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2C0E3AB5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F1FA6" w:rsidP="0010095E" w14:paraId="017BDC54" w14:textId="77777777">
            <w:pPr>
              <w:pStyle w:val="EPName"/>
            </w:pPr>
            <w:r w:rsidRPr="00EF1FA6">
              <w:t>Európsky parlament</w:t>
            </w:r>
          </w:p>
          <w:p w:rsidR="00751A4A" w:rsidRPr="00EF1FA6" w:rsidP="005F1B17" w14:paraId="07C0285C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F1FA6">
              <w:t>2024</w:t>
            </w:r>
            <w:r w:rsidRPr="00EF1FA6" w:rsidR="00817416">
              <w:t>-202</w:t>
            </w:r>
            <w:r w:rsidRPr="00EF1FA6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EF1FA6" w:rsidP="0010095E" w14:paraId="71D8FA7B" w14:textId="77777777">
            <w:pPr>
              <w:pStyle w:val="EPLogo"/>
            </w:pPr>
            <w:r w:rsidRPr="00EF1FA6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F1FA6" w:rsidP="004C5D52" w14:paraId="38EEF0EB" w14:textId="77777777">
      <w:pPr>
        <w:pStyle w:val="LineTop"/>
      </w:pPr>
    </w:p>
    <w:p w:rsidR="00680577" w:rsidRPr="00EF1FA6" w:rsidP="00680577" w14:paraId="419D45EE" w14:textId="77777777">
      <w:pPr>
        <w:pStyle w:val="EPBodyTA1"/>
      </w:pPr>
      <w:r w:rsidRPr="00EF1FA6">
        <w:t>PRIJATÉ TEXTY</w:t>
      </w:r>
    </w:p>
    <w:p w:rsidR="00D058B8" w:rsidRPr="00EF1FA6" w:rsidP="00D058B8" w14:paraId="49909E24" w14:textId="77777777">
      <w:pPr>
        <w:pStyle w:val="LineBottom"/>
      </w:pPr>
    </w:p>
    <w:p w:rsidR="00BC0AB2" w:rsidRPr="00EF1FA6" w:rsidP="00BC0AB2" w14:paraId="4C0FAD62" w14:textId="06641895">
      <w:pPr>
        <w:pStyle w:val="ATHeading1"/>
      </w:pPr>
      <w:bookmarkStart w:id="0" w:name="TANumber"/>
      <w:r w:rsidRPr="00EF1FA6">
        <w:t>P10_TA(2026)0</w:t>
      </w:r>
      <w:r w:rsidRPr="00EF1FA6" w:rsidR="00EF1FA6">
        <w:t>12</w:t>
      </w:r>
      <w:bookmarkEnd w:id="0"/>
      <w:r w:rsidR="003264DC">
        <w:t>2</w:t>
      </w:r>
    </w:p>
    <w:p w:rsidR="00BC0AB2" w:rsidRPr="00EF1FA6" w:rsidP="00BC0AB2" w14:paraId="107B6E6F" w14:textId="77777777">
      <w:pPr>
        <w:pStyle w:val="ATHeading2"/>
      </w:pPr>
      <w:bookmarkStart w:id="1" w:name="title"/>
      <w:r w:rsidRPr="00EF1FA6">
        <w:t xml:space="preserve">Kontrola, transparentnosť a </w:t>
      </w:r>
      <w:r w:rsidRPr="00EF1FA6">
        <w:t>vysledovateľnosť</w:t>
      </w:r>
      <w:r w:rsidRPr="00EF1FA6">
        <w:t xml:space="preserve"> nástrojov založených na výkonnosti</w:t>
      </w:r>
      <w:bookmarkEnd w:id="1"/>
    </w:p>
    <w:p w:rsidR="00BC0AB2" w:rsidRPr="00EF1FA6" w:rsidP="00BC0AB2" w14:paraId="6A484607" w14:textId="77777777">
      <w:pPr>
        <w:rPr>
          <w:i/>
          <w:vanish/>
        </w:rPr>
      </w:pPr>
      <w:r>
        <w:rPr>
          <w:i/>
        </w:rPr>
        <w:fldChar w:fldCharType="begin"/>
      </w:r>
      <w:r w:rsidRPr="00EF1FA6">
        <w:rPr>
          <w:i/>
        </w:rPr>
        <w:instrText xml:space="preserve"> TC"(</w:instrText>
      </w:r>
      <w:bookmarkStart w:id="2" w:name="DocNumber"/>
      <w:r w:rsidRPr="00EF1FA6">
        <w:rPr>
          <w:i/>
        </w:rPr>
        <w:instrText>A10-0022/2026</w:instrText>
      </w:r>
      <w:bookmarkEnd w:id="2"/>
      <w:r w:rsidRPr="00EF1FA6">
        <w:rPr>
          <w:i/>
        </w:rPr>
        <w:instrText xml:space="preserve"> - Spravodajkyňa: Monika </w:instrText>
      </w:r>
      <w:r w:rsidRPr="00EF1FA6">
        <w:rPr>
          <w:i/>
        </w:rPr>
        <w:instrText>Hohlmeier</w:instrText>
      </w:r>
      <w:r w:rsidRPr="00EF1FA6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BC0AB2" w:rsidRPr="00EF1FA6" w:rsidP="00BC0AB2" w14:paraId="71B3731A" w14:textId="77777777">
      <w:pPr>
        <w:rPr>
          <w:vanish/>
        </w:rPr>
      </w:pPr>
      <w:bookmarkStart w:id="3" w:name="Commission"/>
      <w:r w:rsidRPr="00EF1FA6">
        <w:rPr>
          <w:vanish/>
        </w:rPr>
        <w:t>Výbor pre kontrolu rozpočtu</w:t>
      </w:r>
      <w:bookmarkEnd w:id="3"/>
    </w:p>
    <w:p w:rsidR="00BC0AB2" w:rsidRPr="00EF1FA6" w:rsidP="00BC0AB2" w14:paraId="0C539041" w14:textId="77777777">
      <w:pPr>
        <w:rPr>
          <w:vanish/>
        </w:rPr>
      </w:pPr>
      <w:bookmarkStart w:id="4" w:name="PE"/>
      <w:r w:rsidRPr="00EF1FA6">
        <w:rPr>
          <w:vanish/>
        </w:rPr>
        <w:t>PE778.127</w:t>
      </w:r>
      <w:bookmarkEnd w:id="4"/>
    </w:p>
    <w:p w:rsidR="00BC0AB2" w:rsidRPr="00EF1FA6" w:rsidP="00BC0AB2" w14:paraId="7CD1BEFD" w14:textId="4B0294AC">
      <w:pPr>
        <w:pStyle w:val="ATHeading3"/>
      </w:pPr>
      <w:bookmarkStart w:id="5" w:name="Sujet"/>
      <w:r w:rsidRPr="00EF1FA6">
        <w:t>Uznesenie Európskeho parlamentu z</w:t>
      </w:r>
      <w:r w:rsidRPr="00EF1FA6" w:rsidR="00E63F99">
        <w:t> 28. apríla</w:t>
      </w:r>
      <w:r w:rsidRPr="00EF1FA6">
        <w:t xml:space="preserve"> 2026 o kontrole, transparentnosti a </w:t>
      </w:r>
      <w:r w:rsidRPr="00EF1FA6">
        <w:t>vysledovateľnosti</w:t>
      </w:r>
      <w:r w:rsidRPr="00EF1FA6">
        <w:t xml:space="preserve"> nástrojov založených na výkonnosti</w:t>
      </w:r>
      <w:bookmarkEnd w:id="5"/>
      <w:r w:rsidRPr="00EF1FA6">
        <w:t xml:space="preserve"> </w:t>
      </w:r>
      <w:bookmarkStart w:id="6" w:name="References"/>
      <w:r w:rsidRPr="00EF1FA6">
        <w:t>(2025/2032(INI))</w:t>
      </w:r>
      <w:bookmarkEnd w:id="6"/>
    </w:p>
    <w:p w:rsidR="00803968" w:rsidRPr="00EF1FA6" w:rsidP="00803968" w14:paraId="76DB9C83" w14:textId="77777777">
      <w:pPr>
        <w:pStyle w:val="Normal12"/>
      </w:pPr>
      <w:r w:rsidRPr="00EF1FA6">
        <w:rPr>
          <w:i/>
        </w:rPr>
        <w:t>Európsky parlament</w:t>
      </w:r>
      <w:r w:rsidRPr="00EF1FA6">
        <w:t>,</w:t>
      </w:r>
    </w:p>
    <w:p w:rsidR="00803968" w:rsidRPr="00EF1FA6" w:rsidP="00803968" w14:paraId="62104BB1" w14:textId="77777777">
      <w:pPr>
        <w:pStyle w:val="NormalHanging"/>
      </w:pPr>
      <w:r w:rsidRPr="00EF1FA6">
        <w:t>–</w:t>
      </w:r>
      <w:r w:rsidRPr="00EF1FA6">
        <w:tab/>
        <w:t>so zreteľom na články 311, 312, 319, 323 a 324 Zmluvy o fungovaní Európskej únie (ďalej len „ZFEÚ“),</w:t>
      </w:r>
    </w:p>
    <w:p w:rsidR="00803968" w:rsidRPr="00EF1FA6" w:rsidP="00803968" w14:paraId="2634BA1E" w14:textId="77777777">
      <w:pPr>
        <w:pStyle w:val="NormalHanging"/>
      </w:pPr>
      <w:r w:rsidRPr="00EF1FA6">
        <w:t>–</w:t>
      </w:r>
      <w:r w:rsidRPr="00EF1FA6">
        <w:tab/>
        <w:t xml:space="preserve">so zreteľom na nariadenie Rady (EÚ, </w:t>
      </w:r>
      <w:r w:rsidRPr="00EF1FA6">
        <w:t>Euratom</w:t>
      </w:r>
      <w:r w:rsidRPr="00EF1FA6">
        <w:t>) 2020/2093 zo 17. decembra 2020, ktorým sa stanovuje viacročný finančný rámec na roky 2021 až 2027</w:t>
      </w:r>
      <w:r>
        <w:rPr>
          <w:rStyle w:val="FootnoteReference"/>
        </w:rPr>
        <w:footnoteReference w:customMarkFollows="1" w:id="2"/>
        <w:t xml:space="preserve">1</w:t>
      </w:r>
      <w:r w:rsidRPr="00EF1FA6">
        <w:t>, a na spoločné vyhlásenia, na ktorých sa v tejto súvislosti dohodli Európsky parlament, Rada a Komisia, ako aj na súvisiace jednostranné vyhlásenia,</w:t>
      </w:r>
    </w:p>
    <w:p w:rsidR="00803968" w:rsidRPr="00EF1FA6" w:rsidP="00803968" w14:paraId="4FD4CB31" w14:textId="77777777">
      <w:pPr>
        <w:pStyle w:val="NormalHanging"/>
      </w:pPr>
      <w:r w:rsidRPr="00EF1FA6">
        <w:t>–</w:t>
      </w:r>
      <w:r w:rsidRPr="00EF1FA6">
        <w:tab/>
        <w:t xml:space="preserve">so zreteľom na nariadenie Európskeho parlamentu a Rady (EÚ, </w:t>
      </w:r>
      <w:r w:rsidRPr="00EF1FA6">
        <w:t>Euratom</w:t>
      </w:r>
      <w:r w:rsidRPr="00EF1FA6">
        <w:t>) 2024/2509 z 23. septembra 2024 o rozpočtových pravidlách, ktoré sa vzťahujú na všeobecný rozpočet Únie</w:t>
      </w:r>
      <w:r>
        <w:rPr>
          <w:rStyle w:val="FootnoteReference"/>
        </w:rPr>
        <w:footnoteReference w:customMarkFollows="1" w:id="3"/>
        <w:t xml:space="preserve">2</w:t>
      </w:r>
      <w:r w:rsidRPr="00EF1FA6">
        <w:t xml:space="preserve"> (ďalej len „nariadenie o rozpočtových pravidlách“),</w:t>
      </w:r>
    </w:p>
    <w:p w:rsidR="00803968" w:rsidRPr="00EF1FA6" w:rsidP="00803968" w14:paraId="3183FCC8" w14:textId="77777777">
      <w:pPr>
        <w:pStyle w:val="NormalHanging"/>
      </w:pPr>
      <w:r w:rsidRPr="00EF1FA6">
        <w:t>–</w:t>
      </w:r>
      <w:r w:rsidRPr="00EF1FA6">
        <w:tab/>
        <w:t xml:space="preserve">so zreteľom na nariadenie Európskeho parlamentu a Rady (EÚ, </w:t>
      </w:r>
      <w:r w:rsidRPr="00EF1FA6">
        <w:t>Euratom</w:t>
      </w:r>
      <w:r w:rsidRPr="00EF1FA6">
        <w:t>) 2020/2092 zo 16. decembra 2020 o všeobecnom režime podmienenosti na ochranu rozpočtu Únie</w:t>
      </w:r>
      <w:r>
        <w:rPr>
          <w:rStyle w:val="FootnoteReference"/>
        </w:rPr>
        <w:footnoteReference w:customMarkFollows="1" w:id="4"/>
        <w:t xml:space="preserve">3</w:t>
      </w:r>
      <w:r w:rsidRPr="00EF1FA6">
        <w:t xml:space="preserve"> (ďalej len „nariadenie o podmienenosti právnym štátom“),</w:t>
      </w:r>
    </w:p>
    <w:p w:rsidR="00803968" w:rsidRPr="00EF1FA6" w:rsidP="00803968" w14:paraId="2F85404D" w14:textId="77777777">
      <w:pPr>
        <w:pStyle w:val="NormalHanging"/>
      </w:pPr>
      <w:r w:rsidRPr="00EF1FA6">
        <w:t>–</w:t>
      </w:r>
      <w:r w:rsidRPr="00EF1FA6">
        <w:tab/>
        <w:t>so zreteľom na nariadenie Európskeho parlamentu a Rady (EÚ) 2024/1263 z 29. apríla 2024 o účinnej koordinácii hospodárskych politík a mnohostrannom rozpočtovom dohľade a o zrušení nariadenia Rady (ES) č. 1466/97</w:t>
      </w:r>
      <w:r>
        <w:rPr>
          <w:rStyle w:val="FootnoteReference"/>
        </w:rPr>
        <w:footnoteReference w:customMarkFollows="1" w:id="5"/>
        <w:t xml:space="preserve">4</w:t>
      </w:r>
      <w:r w:rsidRPr="00EF1FA6">
        <w:t>,</w:t>
      </w:r>
    </w:p>
    <w:p w:rsidR="00803968" w:rsidRPr="00EF1FA6" w:rsidP="00803968" w14:paraId="260093EE" w14:textId="77777777">
      <w:pPr>
        <w:pStyle w:val="NormalHanging"/>
      </w:pPr>
      <w:r w:rsidRPr="00EF1FA6">
        <w:t>–</w:t>
      </w:r>
      <w:r w:rsidRPr="00EF1FA6">
        <w:tab/>
        <w:t>so zreteľom na svoje uznesenie z 15. decembra 2022 o zvýšení viacročného finančného rámca na roky 2021 – 2027: odolný rozpočet EÚ pripravený na nové výzvy</w:t>
      </w:r>
      <w:r>
        <w:rPr>
          <w:rStyle w:val="FootnoteReference"/>
        </w:rPr>
        <w:footnoteReference w:customMarkFollows="1" w:id="6"/>
        <w:t xml:space="preserve">5</w:t>
      </w:r>
      <w:r w:rsidRPr="00EF1FA6">
        <w:t>,</w:t>
      </w:r>
    </w:p>
    <w:p w:rsidR="00803968" w:rsidRPr="00EF1FA6" w:rsidP="00803968" w14:paraId="7F37CFA6" w14:textId="77777777">
      <w:pPr>
        <w:pStyle w:val="NormalHanging"/>
      </w:pPr>
      <w:r w:rsidRPr="00EF1FA6">
        <w:t>–</w:t>
      </w:r>
      <w:r w:rsidRPr="00EF1FA6">
        <w:tab/>
        <w:t xml:space="preserve">so zreteľom na svoju pozíciu z 27. februára 2024 k návrhu nariadenia Rady, ktorým sa mení nariadenie (EÚ, </w:t>
      </w:r>
      <w:r w:rsidRPr="00EF1FA6">
        <w:t>Euratom</w:t>
      </w:r>
      <w:r w:rsidRPr="00EF1FA6">
        <w:t>) 2020/2093, ktorým sa stanovuje viacročný finančný rámec na roky 2021 – 2027</w:t>
      </w:r>
      <w:r>
        <w:rPr>
          <w:rStyle w:val="FootnoteReference"/>
        </w:rPr>
        <w:footnoteReference w:customMarkFollows="1" w:id="7"/>
        <w:t xml:space="preserve">6</w:t>
      </w:r>
      <w:r w:rsidRPr="00EF1FA6">
        <w:t>,</w:t>
      </w:r>
    </w:p>
    <w:p w:rsidR="00803968" w:rsidRPr="00EF1FA6" w:rsidP="00803968" w14:paraId="1B260A5E" w14:textId="77777777">
      <w:pPr>
        <w:pStyle w:val="NormalHanging"/>
      </w:pPr>
      <w:r w:rsidRPr="00EF1FA6">
        <w:t>–</w:t>
      </w:r>
      <w:r w:rsidRPr="00EF1FA6">
        <w:tab/>
        <w:t xml:space="preserve">so zreteľom na </w:t>
      </w:r>
      <w:r w:rsidRPr="00EF1FA6">
        <w:t>Medziinštitucionálnu</w:t>
      </w:r>
      <w:r w:rsidRPr="00EF1FA6">
        <w:t xml:space="preserve"> dohodu zo 16. decembra 2020 medzi Európskym parlamentom, Radou Európskej únie a Európskou komisiou o rozpočtovej disciplíne, spolupráci v rozpočtových záležitostiach a správnom finančnom riadení, ako aj o nových vlastných zdrojoch vrátane plánu na zavedenie nových vlastných zdrojov</w:t>
      </w:r>
      <w:r>
        <w:rPr>
          <w:rStyle w:val="FootnoteReference"/>
        </w:rPr>
        <w:footnoteReference w:customMarkFollows="1" w:id="8"/>
        <w:t xml:space="preserve">7</w:t>
      </w:r>
      <w:r w:rsidRPr="00EF1FA6">
        <w:t xml:space="preserve"> (ďalej len „</w:t>
      </w:r>
      <w:r w:rsidRPr="00EF1FA6">
        <w:t>medziinštitucionálna</w:t>
      </w:r>
      <w:r w:rsidRPr="00EF1FA6">
        <w:t xml:space="preserve"> dohoda“),</w:t>
      </w:r>
    </w:p>
    <w:p w:rsidR="00803968" w:rsidRPr="00EF1FA6" w:rsidP="00803968" w14:paraId="1D6883C1" w14:textId="77777777">
      <w:pPr>
        <w:pStyle w:val="NormalHanging"/>
      </w:pPr>
      <w:r w:rsidRPr="00EF1FA6">
        <w:t>–</w:t>
      </w:r>
      <w:r w:rsidRPr="00EF1FA6">
        <w:tab/>
        <w:t>so zreteľom na svoju pozíciu zo 16. decembra 2020 k návrhu nariadenia Rady, ktorým sa ustanovuje viacročný finančný rámec na roky 2021 – 2027</w:t>
      </w:r>
      <w:r>
        <w:rPr>
          <w:rStyle w:val="FootnoteReference"/>
        </w:rPr>
        <w:footnoteReference w:customMarkFollows="1" w:id="9"/>
        <w:t xml:space="preserve">8</w:t>
      </w:r>
      <w:r w:rsidRPr="00EF1FA6">
        <w:t>,</w:t>
      </w:r>
    </w:p>
    <w:p w:rsidR="00803968" w:rsidRPr="00EF1FA6" w:rsidP="00803968" w14:paraId="4D934127" w14:textId="2CF11435">
      <w:pPr>
        <w:pStyle w:val="NormalHanging"/>
      </w:pPr>
      <w:r w:rsidRPr="00EF1FA6">
        <w:t>–</w:t>
      </w:r>
      <w:r w:rsidRPr="00EF1FA6">
        <w:tab/>
        <w:t>so zreteľom na výročnú správu Európskeho dvora audítorov (</w:t>
      </w:r>
      <w:r w:rsidRPr="00EF1FA6" w:rsidR="000B1827">
        <w:t>ďalej len „</w:t>
      </w:r>
      <w:r w:rsidRPr="00EF1FA6">
        <w:t>EDA</w:t>
      </w:r>
      <w:r w:rsidRPr="00EF1FA6" w:rsidR="000B1827">
        <w:t>“</w:t>
      </w:r>
      <w:r w:rsidRPr="00EF1FA6">
        <w:t>) z 10. októbra 2024 o plnení EÚ rozpočtu za rozpočtový rok 2023 spolu s odpoveďami inštitúcií,</w:t>
      </w:r>
    </w:p>
    <w:p w:rsidR="00803968" w:rsidRPr="00EF1FA6" w:rsidP="00803968" w14:paraId="25375E4B" w14:textId="77777777">
      <w:pPr>
        <w:pStyle w:val="NormalHanging"/>
      </w:pPr>
      <w:r w:rsidRPr="00EF1FA6">
        <w:t>–</w:t>
      </w:r>
      <w:r w:rsidRPr="00EF1FA6">
        <w:tab/>
        <w:t>so zreteľom na osobitnú správu EDA č. 13/2024 z 2. septembra 2024 s názvom Čerpanie finančných prostriedkov z Mechanizmu na podporu obnovy a odolnosti – Postupuje sa s oneskorením a naďalej je ohrozené dokončenie opatrení, a tým aj plnenie cieľov mechanizmu, na osobitnú správu EDA č. 14/2024 z 11. septembra 2024 s názvom Zelená transformácia – Nejasný príspevok z Mechanizmu na podporu obnovy a odolnosti, ako aj na osobitnú správu EDA č. 22/2024 z 21. októbra 2024 s názvom Dvojité financovanie z rozpočtu EÚ – Kontrolným systémom chýbajú základné prvky na zmiernenie zvýšeného rizika vyplývajúceho z toho, že model financovania Mechanizmu na podporu obnovy a odolnosti nie je spojený s nákladmi,</w:t>
      </w:r>
    </w:p>
    <w:p w:rsidR="00803968" w:rsidRPr="00EF1FA6" w:rsidP="00803968" w14:paraId="58293704" w14:textId="77777777">
      <w:pPr>
        <w:pStyle w:val="NormalHanging"/>
      </w:pPr>
      <w:r w:rsidRPr="00EF1FA6">
        <w:t>–</w:t>
      </w:r>
      <w:r w:rsidRPr="00EF1FA6">
        <w:tab/>
        <w:t>so zreteľom na preskúmanie EDA 03/2025 zo 16. júna 2025 s názvom Príležitosti pre viacročný finančný rámec na obdobie po roku 2027, preskúmanie EDA 04/2025 z 19. júna 2025 s názvom Budúcnosť politiky súdržnosti EÚ: poučenia z minulosti,</w:t>
      </w:r>
    </w:p>
    <w:p w:rsidR="00803968" w:rsidRPr="00EF1FA6" w:rsidP="00803968" w14:paraId="40307124" w14:textId="77777777">
      <w:pPr>
        <w:pStyle w:val="NormalHanging"/>
      </w:pPr>
      <w:r w:rsidRPr="00EF1FA6">
        <w:t>–</w:t>
      </w:r>
      <w:r w:rsidRPr="00EF1FA6">
        <w:tab/>
        <w:t>so zreteľom na svoje uznesenie zo 7. mája 2025 o prepracovanom dlhodobom rozpočte pre Úniu v meniacom sa svete a na stanovisko Výboru pre kontrolu rozpočtu pre Výbor pre rozpočet k prepracovanému dlhodobému rozpočtu pre Úniu v meniacom sa svete</w:t>
      </w:r>
      <w:r>
        <w:rPr>
          <w:rStyle w:val="FootnoteReference"/>
        </w:rPr>
        <w:footnoteReference w:customMarkFollows="1" w:id="10"/>
        <w:t xml:space="preserve">9</w:t>
      </w:r>
      <w:r w:rsidRPr="00EF1FA6">
        <w:t>,</w:t>
      </w:r>
    </w:p>
    <w:p w:rsidR="00803968" w:rsidRPr="00EF1FA6" w:rsidP="00803968" w14:paraId="1D714002" w14:textId="77777777">
      <w:pPr>
        <w:pStyle w:val="NormalHanging"/>
      </w:pPr>
      <w:r w:rsidRPr="00EF1FA6">
        <w:t>–</w:t>
      </w:r>
      <w:r w:rsidRPr="00EF1FA6">
        <w:tab/>
        <w:t>so zreteľom na správu svojho Výboru pre kontrolu rozpočtu z 23. apríla 2025 o absolutóriu za plnenie všeobecného rozpočtu Európskej únie za rozpočtový rok 2023, oddiel III – Komisia, výkonné agentúry a deviaty, desiaty a jedenásty Európsky rozvojový fond,</w:t>
      </w:r>
    </w:p>
    <w:p w:rsidR="00803968" w:rsidRPr="00EF1FA6" w:rsidP="00803968" w14:paraId="1CB13C9C" w14:textId="77777777">
      <w:pPr>
        <w:pStyle w:val="NormalHanging"/>
      </w:pPr>
      <w:r w:rsidRPr="00EF1FA6">
        <w:t>–</w:t>
      </w:r>
      <w:r w:rsidRPr="00EF1FA6">
        <w:tab/>
        <w:t>so zreteľom na správu Komisie z decembra 2023 s názvom Štúdia na podporu hodnotenia Mechanizmu na podporu obnovy a odolnosti v polovici trvania,</w:t>
      </w:r>
    </w:p>
    <w:p w:rsidR="00803968" w:rsidRPr="00EF1FA6" w:rsidP="00803968" w14:paraId="566EE2C5" w14:textId="77777777">
      <w:pPr>
        <w:pStyle w:val="NormalHanging"/>
      </w:pPr>
      <w:r w:rsidRPr="00EF1FA6">
        <w:t>–</w:t>
      </w:r>
      <w:r w:rsidRPr="00EF1FA6">
        <w:tab/>
        <w:t>so zreteľom na výročnú správu Európskej prokuratúry za rok 2024 uverejnenú 3. marca 2025,</w:t>
      </w:r>
    </w:p>
    <w:p w:rsidR="00803968" w:rsidRPr="00EF1FA6" w:rsidP="00803968" w14:paraId="76FE7EF2" w14:textId="77777777">
      <w:pPr>
        <w:pStyle w:val="NormalHanging"/>
      </w:pPr>
      <w:r w:rsidRPr="00EF1FA6">
        <w:t>–</w:t>
      </w:r>
      <w:r w:rsidRPr="00EF1FA6">
        <w:tab/>
        <w:t xml:space="preserve">so zreteľom na správu </w:t>
      </w:r>
      <w:r w:rsidRPr="00EF1FA6">
        <w:t>Maria</w:t>
      </w:r>
      <w:r w:rsidRPr="00EF1FA6">
        <w:t xml:space="preserve"> </w:t>
      </w:r>
      <w:r w:rsidRPr="00EF1FA6">
        <w:t>Draghiho</w:t>
      </w:r>
      <w:r w:rsidRPr="00EF1FA6">
        <w:t xml:space="preserve"> zo septembra 2024 s názvom Budúcnosť európskej konkurencieschopnosti (</w:t>
      </w:r>
      <w:r w:rsidRPr="00EF1FA6">
        <w:t>Draghiho</w:t>
      </w:r>
      <w:r w:rsidRPr="00EF1FA6">
        <w:t xml:space="preserve"> správa),</w:t>
      </w:r>
    </w:p>
    <w:p w:rsidR="00803968" w:rsidRPr="00EF1FA6" w:rsidP="00803968" w14:paraId="1C5912E3" w14:textId="77777777">
      <w:pPr>
        <w:pStyle w:val="NormalHanging"/>
      </w:pPr>
      <w:r w:rsidRPr="00EF1FA6">
        <w:t>–</w:t>
      </w:r>
      <w:r w:rsidRPr="00EF1FA6">
        <w:tab/>
        <w:t>so zreteľom na stanovisko Výboru regiónov z 8. októbra 2024 s názvom Preskúmanie európskeho plánu na oživenie hospodárstva po pandémii ochorenia COVID-19 v polovici trvania (Mechanizmus na podporu obnovy a odolnosti)</w:t>
      </w:r>
      <w:r>
        <w:rPr>
          <w:rStyle w:val="FootnoteReference"/>
        </w:rPr>
        <w:footnoteReference w:customMarkFollows="1" w:id="11"/>
        <w:t xml:space="preserve">10</w:t>
      </w:r>
      <w:r w:rsidRPr="00EF1FA6">
        <w:t>,</w:t>
      </w:r>
    </w:p>
    <w:p w:rsidR="00803968" w:rsidRPr="00EF1FA6" w:rsidP="00803968" w14:paraId="20364371" w14:textId="77777777">
      <w:pPr>
        <w:pStyle w:val="NormalHanging"/>
      </w:pPr>
      <w:r w:rsidRPr="00EF1FA6">
        <w:t>–</w:t>
      </w:r>
      <w:r w:rsidRPr="00EF1FA6">
        <w:tab/>
        <w:t>so zreteľom na informácie uverejnené v hodnotiacej tabuľke Mechanizmu na podporu obnovy a odolnosti,</w:t>
      </w:r>
    </w:p>
    <w:p w:rsidR="00803968" w:rsidRPr="00EF1FA6" w:rsidP="00803968" w14:paraId="5CC609A2" w14:textId="77777777">
      <w:pPr>
        <w:pStyle w:val="NormalHanging"/>
      </w:pPr>
      <w:r w:rsidRPr="00EF1FA6">
        <w:t>–</w:t>
      </w:r>
      <w:r w:rsidRPr="00EF1FA6">
        <w:tab/>
        <w:t xml:space="preserve">so zreteľom na svoj interný výskum, hĺbkovú analýzu a </w:t>
      </w:r>
      <w:r w:rsidRPr="00EF1FA6">
        <w:t>briefingy</w:t>
      </w:r>
      <w:r w:rsidRPr="00EF1FA6">
        <w:t xml:space="preserve"> týkajúce sa vykonávania Mechanizmu na podporu obnovy a odolnosti,</w:t>
      </w:r>
    </w:p>
    <w:p w:rsidR="00803968" w:rsidRPr="00EF1FA6" w:rsidP="00803968" w14:paraId="346C85E9" w14:textId="77777777">
      <w:pPr>
        <w:pStyle w:val="NormalHanging"/>
      </w:pPr>
      <w:r w:rsidRPr="00EF1FA6">
        <w:t>–</w:t>
      </w:r>
      <w:r w:rsidRPr="00EF1FA6">
        <w:tab/>
        <w:t xml:space="preserve">so zreteľom na správu </w:t>
      </w:r>
      <w:r w:rsidRPr="00EF1FA6">
        <w:t>Enrica</w:t>
      </w:r>
      <w:r w:rsidRPr="00EF1FA6">
        <w:t xml:space="preserve"> </w:t>
      </w:r>
      <w:r w:rsidRPr="00EF1FA6">
        <w:t>Lettu</w:t>
      </w:r>
      <w:r w:rsidRPr="00EF1FA6">
        <w:t xml:space="preserve"> zo 17. apríla 2024 s názvom Oveľa viac než len trh: posilnenie jednotného trhu s cieľom zabezpečiť udržateľnú budúcnosť a prosperitu pre všetkých občanov EÚ (</w:t>
      </w:r>
      <w:r w:rsidRPr="00EF1FA6">
        <w:t>Lettova</w:t>
      </w:r>
      <w:r w:rsidRPr="00EF1FA6">
        <w:t xml:space="preserve"> správa),</w:t>
      </w:r>
    </w:p>
    <w:p w:rsidR="00803968" w:rsidRPr="00EF1FA6" w:rsidP="00803968" w14:paraId="425A115D" w14:textId="77777777">
      <w:pPr>
        <w:pStyle w:val="NormalHanging"/>
      </w:pPr>
      <w:r w:rsidRPr="00EF1FA6">
        <w:t>–</w:t>
      </w:r>
      <w:r w:rsidRPr="00EF1FA6">
        <w:tab/>
        <w:t>so zreteľom na správu skupiny Komisie na vysokej úrovni pre budúcnosť politiky súdržnosti z 20. februára 2024 s názvom Spoločné formovanie udržateľnej budúcnosti – súdržnosť pre konkurencieschopnú a inkluzívnu Európu,</w:t>
      </w:r>
    </w:p>
    <w:p w:rsidR="00803968" w:rsidRPr="00EF1FA6" w:rsidP="00803968" w14:paraId="1458EED6" w14:textId="77777777">
      <w:pPr>
        <w:pStyle w:val="NormalHanging"/>
      </w:pPr>
      <w:r w:rsidRPr="00EF1FA6">
        <w:t>–</w:t>
      </w:r>
      <w:r w:rsidRPr="00EF1FA6">
        <w:tab/>
        <w:t>so zreteľom na oznámenie Komisie z 11. februára 2025 s názvom Na ceste k budúcemu viacročnému finančnému rámcu (COM(2025)0046),</w:t>
      </w:r>
    </w:p>
    <w:p w:rsidR="00803968" w:rsidRPr="00EF1FA6" w:rsidP="00803968" w14:paraId="32CF373F" w14:textId="77777777">
      <w:pPr>
        <w:pStyle w:val="NormalHanging"/>
      </w:pPr>
      <w:r w:rsidRPr="00EF1FA6">
        <w:t>–</w:t>
      </w:r>
      <w:r w:rsidRPr="00EF1FA6">
        <w:tab/>
        <w:t>so zreteľom na oznámenie Komisie z 29. januára 2025 s názvom Kompas konkurencieschopnosti pre EÚ (COM(2025)0030),</w:t>
      </w:r>
    </w:p>
    <w:p w:rsidR="00803968" w:rsidRPr="00EF1FA6" w:rsidP="00803968" w14:paraId="52874BDE" w14:textId="77777777">
      <w:pPr>
        <w:pStyle w:val="NormalHanging"/>
      </w:pPr>
      <w:r w:rsidRPr="00EF1FA6">
        <w:t>–</w:t>
      </w:r>
      <w:r w:rsidRPr="00EF1FA6">
        <w:tab/>
        <w:t>so zreteľom na závery Európskej rady z 20. marca 2025, 6. marca 2025 a 19. decembra 2024,</w:t>
      </w:r>
    </w:p>
    <w:p w:rsidR="00803968" w:rsidRPr="00EF1FA6" w:rsidP="00803968" w14:paraId="2B7677A4" w14:textId="77777777">
      <w:pPr>
        <w:pStyle w:val="NormalHanging"/>
      </w:pPr>
      <w:r w:rsidRPr="00EF1FA6">
        <w:t>–</w:t>
      </w:r>
      <w:r w:rsidRPr="00EF1FA6">
        <w:tab/>
        <w:t>so zreteľom na politické usmernenia pre budúcu Európsku komisiu 2024 – 2029, ktoré zvolená predsedníčka Komisie predstavila 18. júla 2024,</w:t>
      </w:r>
    </w:p>
    <w:p w:rsidR="00803968" w:rsidRPr="00EF1FA6" w:rsidP="00803968" w14:paraId="7AD888F2" w14:textId="77777777">
      <w:pPr>
        <w:pStyle w:val="NormalHanging"/>
      </w:pPr>
      <w:r w:rsidRPr="00EF1FA6">
        <w:t>–</w:t>
      </w:r>
      <w:r w:rsidRPr="00EF1FA6">
        <w:tab/>
        <w:t>so zreteľom na stanovisko Európskeho výboru regiónov z 20. novembra 2024 s názvom Rozpočet EÚ a miestne orientované politiky: návrhy nových mechanizmov navrhovania a vykonávania vo VFR po roku 2027</w:t>
      </w:r>
      <w:r>
        <w:rPr>
          <w:rStyle w:val="FootnoteReference"/>
        </w:rPr>
        <w:footnoteReference w:customMarkFollows="1" w:id="12"/>
        <w:t xml:space="preserve">11</w:t>
      </w:r>
      <w:r w:rsidRPr="00EF1FA6">
        <w:t>,</w:t>
      </w:r>
    </w:p>
    <w:p w:rsidR="00803968" w:rsidRPr="00EF1FA6" w:rsidP="00803968" w14:paraId="600A98DC" w14:textId="77777777">
      <w:pPr>
        <w:pStyle w:val="NormalHanging"/>
      </w:pPr>
      <w:r w:rsidRPr="00EF1FA6">
        <w:t>–</w:t>
      </w:r>
      <w:r w:rsidRPr="00EF1FA6">
        <w:tab/>
        <w:t>so zreteľom na návrh Komisie zo 16. júla 2025 na nariadenie Európskeho parlamentu a Rady, ktorým sa stanovuje rámec sledovania výdavkov a výkonnosti rozpočtu a ďalšie horizontálne pravidlá pre programy a činnosti Únie (COM(2025)0545),</w:t>
      </w:r>
    </w:p>
    <w:p w:rsidR="00803968" w:rsidRPr="00EF1FA6" w:rsidP="00803968" w14:paraId="11970DF6" w14:textId="77777777">
      <w:pPr>
        <w:pStyle w:val="NormalHanging"/>
      </w:pPr>
      <w:r w:rsidRPr="00EF1FA6">
        <w:t>–</w:t>
      </w:r>
      <w:r w:rsidRPr="00EF1FA6">
        <w:tab/>
        <w:t>so zreteľom na svoje uznesenie z 18. júna 2025 o vykonávaní Mechanizmu na podporu obnovy a odolnosti</w:t>
      </w:r>
      <w:r>
        <w:rPr>
          <w:rStyle w:val="FootnoteReference"/>
        </w:rPr>
        <w:footnoteReference w:customMarkFollows="1" w:id="13"/>
        <w:t xml:space="preserve">12</w:t>
      </w:r>
      <w:r w:rsidRPr="00EF1FA6">
        <w:t>,</w:t>
      </w:r>
    </w:p>
    <w:p w:rsidR="00803968" w:rsidRPr="00EF1FA6" w:rsidP="00803968" w14:paraId="6AFF4844" w14:textId="77777777">
      <w:pPr>
        <w:pStyle w:val="NormalHanging"/>
      </w:pPr>
      <w:r w:rsidRPr="00EF1FA6">
        <w:t>–</w:t>
      </w:r>
      <w:r w:rsidRPr="00EF1FA6">
        <w:tab/>
        <w:t>so zreteľom na správu Výboru pre kontrolu rozpočtu (A10-0074/2025),</w:t>
      </w:r>
    </w:p>
    <w:p w:rsidR="00803968" w:rsidRPr="00EF1FA6" w:rsidP="00803968" w14:paraId="5E8457DB" w14:textId="77777777">
      <w:pPr>
        <w:pStyle w:val="NormalHanging"/>
      </w:pPr>
      <w:r w:rsidRPr="00EF1FA6">
        <w:t>–</w:t>
      </w:r>
      <w:r w:rsidRPr="00EF1FA6">
        <w:tab/>
        <w:t>so zreteľom na článok 55 a článok 148 ods. 2 rokovacieho poriadku,</w:t>
      </w:r>
    </w:p>
    <w:p w:rsidR="00803968" w:rsidRPr="00EF1FA6" w:rsidP="00803968" w14:paraId="162B4FD7" w14:textId="77777777">
      <w:pPr>
        <w:pStyle w:val="NormalHanging"/>
      </w:pPr>
      <w:r w:rsidRPr="00EF1FA6">
        <w:t>–</w:t>
      </w:r>
      <w:r w:rsidRPr="00EF1FA6">
        <w:tab/>
        <w:t>so zreteľom na správu Výboru pre kontrolu rozpočtu (A10-0022/2026),</w:t>
      </w:r>
    </w:p>
    <w:p w:rsidR="00803968" w:rsidRPr="00EF1FA6" w:rsidP="00803968" w14:paraId="16A2B86F" w14:textId="77777777">
      <w:pPr>
        <w:pStyle w:val="NormalHanging12a"/>
      </w:pPr>
      <w:r w:rsidRPr="00EF1FA6">
        <w:t>A.</w:t>
      </w:r>
      <w:r w:rsidRPr="00EF1FA6">
        <w:tab/>
        <w:t xml:space="preserve">keďže čoraz väčší počet politických priorít v EÚ vytvára ďalší tlak na rozpočet EÚ, čím sa zodpovedné využívanie dostupných finančných zdrojov stáva </w:t>
      </w:r>
      <w:r w:rsidRPr="00EF1FA6">
        <w:t>nevyhnutnejším</w:t>
      </w:r>
      <w:r w:rsidRPr="00EF1FA6">
        <w:t xml:space="preserve"> ako kedykoľvek predtým; keďže správne finančné riadenie, ako je vymedzené v nariadení o rozpočtových pravidlách, si vyžaduje, aby sa finančné prostriedky EÚ čerpali v súlade so zásadami hospodárnosti, efektívnosti a účinnosti, aby sa zabezpečilo využívanie zdrojov nákladovo efektívnym spôsobom, aby sa ciele dosiahli včas, v náležitej kvantite i kvalite a za najlepšiu cenu a aby sa dosiahli plánované výsledky a účinky; keďže to posilňuje nevyhnutnosť obozretnosti vo finančnom riadení, aby sa zaručilo, že výdavky prinesú preukázateľnú návratnosť investícií z hľadiska hospodárskeho rastu, konkurencieschopnosti a dosahovania priorít EÚ;</w:t>
      </w:r>
    </w:p>
    <w:p w:rsidR="00803968" w:rsidRPr="00EF1FA6" w:rsidP="00803968" w14:paraId="7B8A3F2E" w14:textId="77777777">
      <w:pPr>
        <w:pStyle w:val="NormalHanging"/>
      </w:pPr>
      <w:r w:rsidRPr="00EF1FA6">
        <w:t>B.</w:t>
      </w:r>
      <w:r w:rsidRPr="00EF1FA6">
        <w:tab/>
        <w:t>keďže, ak má financovanie EÚ formu podpory, ktorá nie je spojená s úhradou oprávnených nákladov, ale s výsledkami, výstupmi alebo inými ukazovateľmi výkonnosti, platby závisia od dosiahnutia vopred stanovených míľnikov alebo cieľov, ktoré sa musia pred každým vyplatením overiť;</w:t>
      </w:r>
    </w:p>
    <w:p w:rsidR="00803968" w:rsidRPr="00EF1FA6" w:rsidP="00803968" w14:paraId="01A6C525" w14:textId="77777777">
      <w:pPr>
        <w:pStyle w:val="NormalHanging"/>
      </w:pPr>
      <w:r w:rsidRPr="00EF1FA6">
        <w:t>C.</w:t>
      </w:r>
      <w:r w:rsidRPr="00EF1FA6">
        <w:tab/>
        <w:t>keďže tým, že tento prístup oddeľuje úhrady od skutočných výdavkov, oslabuje dostupnosť údajov o skutočných nákladoch, a tým bráni posudzovaniu hospodárnosti, efektívnosti a účinnosti; zdôrazňuje, že tento nedostatok údajov o nákladoch takisto bráni systematickej identifikácii nezrovnalostí, rizík podvodov a dvojitého financovania a zároveň oslabuje schopnosť Únie zaviesť mechanizmy včasného varovania a posudzovania rizík založené na údajoch;</w:t>
      </w:r>
    </w:p>
    <w:p w:rsidR="00803968" w:rsidRPr="00EF1FA6" w:rsidP="00803968" w14:paraId="75E5D29D" w14:textId="77777777">
      <w:pPr>
        <w:pStyle w:val="NormalHanging"/>
      </w:pPr>
      <w:r w:rsidRPr="00EF1FA6">
        <w:t>D.</w:t>
      </w:r>
      <w:r w:rsidRPr="00EF1FA6">
        <w:tab/>
        <w:t>keďže pri neoverovaní výdavkov sa zvyšuje riziko nepresnosti v odhadoch nákladov, čím sa oslabuje správne finančné riadenie, transparentnosť a zodpovednosť; keďže Dvor audítorov opakovane varoval pred nedostatkami v posudzovaní nákladov, rozdielmi medzi audítorskými štandardmi členských štátov a slabou kapacitou dohľadu Komisie;</w:t>
      </w:r>
    </w:p>
    <w:p w:rsidR="00803968" w:rsidRPr="00EF1FA6" w:rsidP="00803968" w14:paraId="0CCDB764" w14:textId="77777777">
      <w:pPr>
        <w:pStyle w:val="NormalHanging"/>
      </w:pPr>
      <w:r w:rsidRPr="00EF1FA6">
        <w:t>E.</w:t>
      </w:r>
      <w:r w:rsidRPr="00EF1FA6">
        <w:tab/>
        <w:t xml:space="preserve">keďže široká </w:t>
      </w:r>
      <w:r w:rsidRPr="00EF1FA6">
        <w:t>diskrečná</w:t>
      </w:r>
      <w:r w:rsidRPr="00EF1FA6">
        <w:t xml:space="preserve"> právomoc pri posudzovaní plnenia míľnikov a cieľov môže viesť k nejednotnému pristupovaniu k členským štátom zo strany Komisie alebo k predčasnému uvoľneniu finančných prostriedkov pred tým, ako sú plne splnené podmienky na ich vyplatenie;</w:t>
      </w:r>
    </w:p>
    <w:p w:rsidR="00803968" w:rsidRPr="00EF1FA6" w:rsidP="00803968" w14:paraId="4B013AFD" w14:textId="77777777">
      <w:pPr>
        <w:pStyle w:val="NormalHanging"/>
      </w:pPr>
      <w:r w:rsidRPr="00EF1FA6">
        <w:t>F.</w:t>
      </w:r>
      <w:r w:rsidRPr="00EF1FA6">
        <w:tab/>
        <w:t xml:space="preserve">keďže Dvor audítorov odhalil mnohé nedostatky v nastavení kontrolného systému Mechanizmu na podporu obnovy a odolnosti vrátane nadmerného dôrazu na vnútroštátne orgány, neúplných audítorských záznamov, systémových zlyhaní a rizík nejednotného uplatňovania medzi jednotlivými členskými štátmi; konštatuje, že tieto nedostatky ešte zhoršuje roztrieštenosť a nekompatibilita vnútroštátnych systémov údajov, čo bráni </w:t>
      </w:r>
      <w:r w:rsidRPr="00EF1FA6">
        <w:t>interoperabilite</w:t>
      </w:r>
      <w:r w:rsidRPr="00EF1FA6">
        <w:t>, včasnému odhaľovaniu rizík a účinnej ochrane osobných údajov pri auditoch a kontrolách;</w:t>
      </w:r>
    </w:p>
    <w:p w:rsidR="00803968" w:rsidRPr="00EF1FA6" w:rsidP="00803968" w14:paraId="0940D694" w14:textId="77777777">
      <w:pPr>
        <w:pStyle w:val="NormalHanging"/>
      </w:pPr>
      <w:r w:rsidRPr="00EF1FA6">
        <w:t>G.</w:t>
      </w:r>
      <w:r w:rsidRPr="00EF1FA6">
        <w:tab/>
        <w:t>keďže kontrola nástrojov založených na výkonnosti závisí od dôveryhodnosti vnútroštátnych monitorovacích mechanizmov; keďže nedostatky v oblasti právneho štátu zvyšujú riziko pre finančné záujmy EÚ, pretože ich ochrana závisí od nezávislého súdnictva a autonómnych orgánov pre boj proti podvodom;</w:t>
      </w:r>
    </w:p>
    <w:p w:rsidR="00803968" w:rsidRPr="00EF1FA6" w:rsidP="00803968" w14:paraId="17749701" w14:textId="77777777">
      <w:pPr>
        <w:pStyle w:val="NormalHanging"/>
      </w:pPr>
      <w:r w:rsidRPr="00EF1FA6">
        <w:t>H.</w:t>
      </w:r>
      <w:r w:rsidRPr="00EF1FA6">
        <w:tab/>
        <w:t xml:space="preserve">keďže demokratická zodpovednosť si vyžaduje zachovanie úlohy Parlamentu ako zákonodarcu a rozpočtového orgánu a orgánu udeľujúceho absolutórium s prísnymi mechanizmami zodpovednosti a úplnou transparentnosťou, pokiaľ ide o konečných </w:t>
      </w:r>
      <w:r w:rsidRPr="00EF1FA6">
        <w:t>príjemcov finančných prostriedkov Únie, a keďže členské štáty a iné vnútroštátne orgány by sa nemali považovať za konečných príjemcov finančných prostriedkov Únie;</w:t>
      </w:r>
    </w:p>
    <w:p w:rsidR="00803968" w:rsidRPr="00EF1FA6" w:rsidP="00803968" w14:paraId="6ED1AD6B" w14:textId="77777777">
      <w:pPr>
        <w:pStyle w:val="Normal12a"/>
      </w:pPr>
      <w:r w:rsidRPr="00EF1FA6">
        <w:rPr>
          <w:b/>
          <w:i/>
        </w:rPr>
        <w:t>Výzvy ovplyvňujúce transparentnosť, zodpovednosť a účinnú kontrolu nástrojov založených na výkonnosti</w:t>
      </w:r>
    </w:p>
    <w:p w:rsidR="00803968" w:rsidRPr="00EF1FA6" w:rsidP="00803968" w14:paraId="7CF6DA94" w14:textId="77777777">
      <w:pPr>
        <w:pStyle w:val="NormalHanging12a"/>
      </w:pPr>
      <w:r w:rsidRPr="00EF1FA6">
        <w:t>1.</w:t>
      </w:r>
      <w:r w:rsidRPr="00EF1FA6">
        <w:tab/>
        <w:t>zdôrazňuje, že tak, ako sa stanovuje v nariadení o rozpočtových pravidlách, nástroje založené na výkonnosti musia byť v súlade so zásadami zákonnosti, správnosti, hospodárnosti, efektívnosti a účinnosti a že zjednodušovanie by nikdy nemalo byť na úkor správneho finančného riadenia a transparentnosti; požaduje primerané kontroly založené na riziku a trvá na tom, že ukazovatele pre nástroje založené na výkonnosti by mali zachytávať hmatateľné výsledky a pridanú hodnotu EÚ, a nie len vopred vymedzené výstupy; zdôrazňuje, že ak sú tieto nástroje správne navrhnuté, môžu posilniť zameranie na výsledky, reformy a konkurencieschopnosť;</w:t>
      </w:r>
    </w:p>
    <w:p w:rsidR="00803968" w:rsidRPr="00EF1FA6" w:rsidP="00803968" w14:paraId="252C5195" w14:textId="41098BCD">
      <w:pPr>
        <w:pStyle w:val="NormalHanging12a"/>
      </w:pPr>
      <w:r w:rsidRPr="00EF1FA6">
        <w:t>2.</w:t>
      </w:r>
      <w:r w:rsidRPr="00EF1FA6">
        <w:tab/>
        <w:t>konštatuje, že Mechanizmus na podporu obnovy a odolnosti so zameraním sa na vyplácanie na základe uspokojivého splnenia míľnikov a cieľov je prvým významným nástrojom na úrovni EÚ založeným na výkonnosti, ktorý stavia výlučne na financovaní, ktoré nie je spojené s nákladmi; ďalej konštatuje, že model Mechanizmu na podporu obnovy a odolnosti bol použitý aj v iných finančných nástrojoch, napríklad v Nástroji pre Ukrajinu a Nástroji pre západný Balkán; vyjadruje znepokojenie v súvislosti s návrhmi Komisie použiť podobný model v budúcom viacročnom finančnom rámci (</w:t>
      </w:r>
      <w:r w:rsidRPr="00EF1FA6" w:rsidR="000B1827">
        <w:t>ďalej len „</w:t>
      </w:r>
      <w:r w:rsidRPr="00EF1FA6">
        <w:t>VFR</w:t>
      </w:r>
      <w:r w:rsidRPr="00EF1FA6" w:rsidR="000B1827">
        <w:t>“</w:t>
      </w:r>
      <w:r w:rsidRPr="00EF1FA6">
        <w:t>) pri väčšine finančných programov EÚ vrátane okruhu 1; konštatuje, že Mechanizmus na podporu obnovy a odolnosti do určitej miery stimuloval niektoré vnútroštátne investície a reformy;</w:t>
      </w:r>
    </w:p>
    <w:p w:rsidR="00803968" w:rsidRPr="00EF1FA6" w:rsidP="00803968" w14:paraId="304297AC" w14:textId="023FB60F">
      <w:pPr>
        <w:pStyle w:val="NormalHanging12a"/>
      </w:pPr>
      <w:r w:rsidRPr="00EF1FA6">
        <w:t>3.</w:t>
      </w:r>
      <w:r w:rsidRPr="00EF1FA6">
        <w:tab/>
        <w:t xml:space="preserve">zdôrazňuje dôležitosť poučenia sa z kritických nedostatkov, ktoré odhalil centralizovaný, výkonnostný model vykonávania Mechanizmu na podporu obnovy a odolnosti, ako to uznali Európsky dvor audítorov a Komisia, vrátane zníženej zodpovednosti a obmedzeného dohľadu nad dodržiavaním pravidiel a predpisov na úrovni EÚ; zdôrazňuje, že transparentnosť, pokiaľ ide o konečných prijímateľov, sa musí zabezpečiť prostredníctvom jednotného, </w:t>
      </w:r>
      <w:r w:rsidRPr="00EF1FA6">
        <w:t>interoperabilného</w:t>
      </w:r>
      <w:r w:rsidRPr="00EF1FA6">
        <w:t xml:space="preserve"> a </w:t>
      </w:r>
      <w:r w:rsidRPr="00EF1FA6">
        <w:t>celoúnijného</w:t>
      </w:r>
      <w:r w:rsidRPr="00EF1FA6">
        <w:t xml:space="preserve"> systému podávania správ, ktorý bude prístupný Komisii, Dvoru audítorov, Európskej prokuratúre a</w:t>
      </w:r>
      <w:r w:rsidRPr="00EF1FA6" w:rsidR="00E63F99">
        <w:t> Európskeho p</w:t>
      </w:r>
      <w:r w:rsidRPr="00EF1FA6">
        <w:t>arlamentu; zdôrazňuje, že pridaná hodnota EÚ sa môže posilniť zvýšením počtu cezhraničných projektov a zabezpečením dostatočnej rozhodovacej právomoci subjektom na nižšej ako celoštátnej úrovni, najmä miestnym a regionálnym orgánom, pri navrhovaní a vykonávaní tohto nástroja;</w:t>
      </w:r>
    </w:p>
    <w:p w:rsidR="00803968" w:rsidRPr="00EF1FA6" w:rsidP="00803968" w14:paraId="05C17376" w14:textId="77777777">
      <w:pPr>
        <w:pStyle w:val="NormalHanging12a"/>
      </w:pPr>
      <w:r w:rsidRPr="00EF1FA6">
        <w:t>4.</w:t>
      </w:r>
      <w:r w:rsidRPr="00EF1FA6">
        <w:tab/>
        <w:t>domnieva sa, že napriek tomu, že Mechanizmus na podporu obnovy má byť nástrojom založeným na výkonnosti, pri jeho vykonávaní sa často uprednostňujú výstupy pred výsledkami; vyjadruje poľutovanie nad tým, že nejasne vymedzené míľniky a ciele, ktoré kladú dôraz najmä na vstupy a výstupy, a nie na výsledky, môžu ohroziť dosiahnutie cieľov Mechanizmu na podporu obnovy a odolnosti; domnieva sa, že v rámci budúcich nástrojov založených na výkonnosti by sa mali stanoviť konkrétnejšie kľúčové ukazovatele výkonnosti, aby sa zaistilo, že investície budú v súlade s cieľmi konkrétneho nástroja, budú mať pozitívny vplyv a prinesú jasnú pridanú hodnotu pre EÚ; vyzýva Komisiu, aby zabezpečila, že budúce nástroje založené na výkonnosti budú harmonizované vo všetkých členských štátoch, budú koncipované transparentne a budú stabilné v čase s cieľom podporiť konzistentnosť, zodpovednosť a dlhodobú účinnosť;</w:t>
      </w:r>
    </w:p>
    <w:p w:rsidR="00803968" w:rsidRPr="00EF1FA6" w:rsidP="00803968" w14:paraId="69771E67" w14:textId="77777777">
      <w:pPr>
        <w:pStyle w:val="NormalHanging12a"/>
      </w:pPr>
      <w:r w:rsidRPr="00EF1FA6">
        <w:t>5.</w:t>
      </w:r>
      <w:r w:rsidRPr="00EF1FA6">
        <w:tab/>
        <w:t xml:space="preserve">zdôrazňuje, že spoliehaním sa na odhady nákladov </w:t>
      </w:r>
      <w:r w:rsidRPr="00EF1FA6">
        <w:rPr>
          <w:i/>
          <w:iCs/>
        </w:rPr>
        <w:t xml:space="preserve">ex </w:t>
      </w:r>
      <w:r w:rsidRPr="00EF1FA6">
        <w:rPr>
          <w:i/>
          <w:iCs/>
        </w:rPr>
        <w:t>ante</w:t>
      </w:r>
      <w:r w:rsidRPr="00EF1FA6">
        <w:t xml:space="preserve"> bez overovania skutočných výdavkov hrozí, že vznikne štrukturálna medzera v zodpovednosti, čo obmedzí možnosť posúdiť pomer medzi kvalitou a cenou, a tým oslabí zásady hospodárnosti a účinnosti; zdôrazňuje, že treba zaviesť mechanizmy overovania založené na riziku a významnosti s jasne vymedzenými prahovými hodnotami pre povinné kontroly; vyzýva Komisiu, aby systematicky začleňovala hĺbkovú analýzu údajov, nástroje krížovej kontroly a analýzy do budúcich nástrojov založených na výkonnosti s cieľom odhaliť nezrovnalosti a riziká korupcie a konfliktov záujmov;</w:t>
      </w:r>
    </w:p>
    <w:p w:rsidR="00803968" w:rsidRPr="00EF1FA6" w:rsidP="00803968" w14:paraId="19D63986" w14:textId="77777777">
      <w:pPr>
        <w:pStyle w:val="NormalHanging12a"/>
      </w:pPr>
      <w:r w:rsidRPr="00EF1FA6">
        <w:t>6.</w:t>
      </w:r>
      <w:r w:rsidRPr="00EF1FA6">
        <w:tab/>
        <w:t>vyjadruje hlboké znepokojenie nad návrhmi Komisie, aby sa financovanie, ktoré nie je spojené s nákladmi, bežne využívalo v budúcom VFR a zdôrazňuje dôležitosť vytvorenia primeraných záruk zabezpečujúcich správne finančné riadenie pri využívaní finančných prostriedkov Únie; zdôrazňuje potrebu starostlivo posúdiť takýto významný posun smerom využívaniu financovania, ktoré nie je spojené s nákladmi, vzhľadom na nedostatky zistené v predchádzajúcich alebo existujúcich nástrojoch založených na výkonnosti, a zdôrazňuje význam vykonania komplexného posúdenia Mechanizmu na podporu obnovy a odolnosti;</w:t>
      </w:r>
    </w:p>
    <w:p w:rsidR="00803968" w:rsidRPr="00EF1FA6" w:rsidP="00803968" w14:paraId="4A6996EE" w14:textId="77777777">
      <w:pPr>
        <w:pStyle w:val="NormalHanging12a"/>
      </w:pPr>
      <w:r w:rsidRPr="00EF1FA6">
        <w:t>7.</w:t>
      </w:r>
      <w:r w:rsidRPr="00EF1FA6">
        <w:tab/>
        <w:t xml:space="preserve">vyjadruje znepokojenie v súvislosti s rastúcim dlhovým zaťažením EÚ a nákladmi na pôžičky; konštatuje, že podľa odhadu výročnej správy Európskeho dvora audítorov za rok 2024 by nesplatené pôžičky EÚ mohli do roku 2027 presiahnuť 900 miliárd EUR, čo je takmer desaťnásobok úrovne z roku 2020 pred zavedením balíka obnovy </w:t>
      </w:r>
      <w:r w:rsidRPr="00EF1FA6">
        <w:t>NextGenerationEU</w:t>
      </w:r>
      <w:r w:rsidRPr="00EF1FA6">
        <w:t>; varuje, že rastúce náklady na prijaté úvery a pôžičky predstavujú riziko pre budúce rozpočty a obmedzujú fiškálny priestor pre nové priority;</w:t>
      </w:r>
    </w:p>
    <w:p w:rsidR="00803968" w:rsidRPr="00EF1FA6" w:rsidP="00803968" w14:paraId="4FD00CB7" w14:textId="410A8D75">
      <w:pPr>
        <w:pStyle w:val="NormalHanging12a"/>
      </w:pPr>
      <w:r w:rsidRPr="00EF1FA6">
        <w:t>8.</w:t>
      </w:r>
      <w:r w:rsidRPr="00EF1FA6">
        <w:tab/>
        <w:t>tvrdí, že všeobecným využívaním financovania, ktoré nie je spojené s nákladmi, sa síce môže znížiť administratívne zaťaženie, ale zároveň sa zvyšuje riziko nezrovnalostí, dvojitého financovania a podvodov, a tým znižuje transparentnosť a </w:t>
      </w:r>
      <w:r w:rsidRPr="00EF1FA6">
        <w:t>vysledovateľnosť</w:t>
      </w:r>
      <w:r w:rsidRPr="00EF1FA6">
        <w:t xml:space="preserve"> finančných prostriedkov EÚ; zdôrazňuje, že nedostatočné prepojenie s nákladmi môže viesť k financovaniu neživotaschopných projektov, ktoré sú navrhnuté tak, aby splnili míľniky, ale nie aby dosiahli najlepší pomer ceny a kvality; zdôrazňuje kontrolnú úlohu </w:t>
      </w:r>
      <w:r w:rsidRPr="00EF1FA6" w:rsidR="00E63F99">
        <w:t>Európskeho p</w:t>
      </w:r>
      <w:r w:rsidRPr="00EF1FA6">
        <w:t xml:space="preserve">arlamentu pri dohľade nad plnením rozpočtu EÚ, najmä jeho právomoc udeľovať absolutórium; požaduje spoľahlivé riadenie v budúcom VFR, ktoré má zabezpečiť, aby </w:t>
      </w:r>
      <w:r w:rsidRPr="00EF1FA6" w:rsidR="00E63F99">
        <w:t>Európsky p</w:t>
      </w:r>
      <w:r w:rsidRPr="00EF1FA6">
        <w:t>arlament mohol v plnej miere vykonávať svoju úlohu orgánu udeľujúceho absolutórium;</w:t>
      </w:r>
    </w:p>
    <w:p w:rsidR="00803968" w:rsidRPr="00EF1FA6" w:rsidP="00803968" w14:paraId="7B84A3AA" w14:textId="77777777">
      <w:pPr>
        <w:pStyle w:val="NormalHanging12a"/>
      </w:pPr>
      <w:r w:rsidRPr="00EF1FA6">
        <w:t>9.</w:t>
      </w:r>
      <w:r w:rsidRPr="00EF1FA6">
        <w:tab/>
        <w:t>berie na vedomie aspekty týkajúce sa právneho štátu v návrhu VFR na roky 2028 – 2034, ktorý predložila Komisia, a požaduje jednotný, súdržný a komplexný rámec vo všetkých programoch financovania EÚ pod záštitou nariadenia o podmienenosti právnym štátom; okrem toho žiada, aby akékoľvek uplatňovanie financovania, ktoré nie je spojené s nákladmi, bolo plne v súlade s týmto nariadením;</w:t>
      </w:r>
    </w:p>
    <w:p w:rsidR="00803968" w:rsidRPr="00EF1FA6" w:rsidP="00803968" w14:paraId="2A87B322" w14:textId="77777777">
      <w:pPr>
        <w:pStyle w:val="NormalHanging12a"/>
      </w:pPr>
      <w:r w:rsidRPr="00EF1FA6">
        <w:t>10.</w:t>
      </w:r>
      <w:r w:rsidRPr="00EF1FA6">
        <w:tab/>
        <w:t xml:space="preserve">konštatuje so znepokojením, že na konci roka 2024 riešila Európska prokuratúra 311 aktívnych prípadov týkajúcich sa nástroja </w:t>
      </w:r>
      <w:r w:rsidRPr="00EF1FA6">
        <w:t>NextGenerationEU</w:t>
      </w:r>
      <w:r w:rsidRPr="00EF1FA6">
        <w:t xml:space="preserve">, z ktorých sa všetky okrem štyroch týkali Mechanizmu na podporu obnovy a odolnosti, čo predstavuje približne 17 % všetkých aktívnych vyšetrovaní podvodov v oblasti výdavkov a nárast približne o 51 % v porovnaní s rokom 2023, pokiaľ ide o prípady súvisiace s nástrojom </w:t>
      </w:r>
      <w:r w:rsidRPr="00EF1FA6">
        <w:t>NextGenerationEU</w:t>
      </w:r>
      <w:r w:rsidRPr="00EF1FA6">
        <w:t xml:space="preserve">; ďalej konštatuje, že odhadované škody na finančných záujmoch EÚ dosahujú 2,8 miliardy EUR, čo predstavuje 30 % celkových odhadovaných škôd vyplývajúcich zo všetkých podvodov s výdavkami v EÚ (v porovnaní s 25 % v roku 2023); zdôrazňuje, že počet prípadov hlásených inštitúciami EÚ je naďalej nízky, čo </w:t>
      </w:r>
      <w:r w:rsidRPr="00EF1FA6">
        <w:t>vyvoláva ďalšie obavy, pokiaľ ide o schopnosť Komisie účinne dohliadať na vykonávanie Mechanizmu na podporu obnovy a odolnosti; pripomína, že z 27 členských štátov EÚ je v súčasnosti do Európskej prokuratúry zapojených 24 štátov;</w:t>
      </w:r>
    </w:p>
    <w:p w:rsidR="00803968" w:rsidRPr="00EF1FA6" w:rsidP="00803968" w14:paraId="32EFFB4A" w14:textId="77777777">
      <w:pPr>
        <w:pStyle w:val="NormalHanging12a"/>
      </w:pPr>
      <w:r w:rsidRPr="00EF1FA6">
        <w:t>11.</w:t>
      </w:r>
      <w:r w:rsidRPr="00EF1FA6">
        <w:tab/>
        <w:t>vyjadruje znepokojenie nad tým, že nástroje založené na výkonnosti využívajúce financovanie, ktoré nie je spojené s nákladmi, sa zameriavajú viac na systémové audity než na kontroly skutočne vynaložených výdavkov; varuje, že takéto systémové audity nemusia odhaliť základné problémy, ktoré sa môžu rozšíriť a vážne narušiť správne finančné riadenie rozpočtu Únie a ochranu finančných záujmov Únie; domnieva sa, že aj v rámci súčasnej finančnej architektúry a modelu financovania EÚ vykazujú systémy kontroly viacerých členských štátov systémové nedostatky, následkom čoho sa nedarí odhaľovať podvody alebo iné nezrovnalosti a predchádzať im, ako napríklad v prípade OPEKEPE v Grécku alebo v prípadoch týkajúcich sa fondov na rozvoj vidieka na Slovensku, ako aj v iných nedávnych prípadoch vo viacerých členských štátoch, čo svedčí o potrebe silnejšieho dohľadu EÚ; vyzýva preto Komisiu, aby prijala rozhodné nápravné opatrenia, posilnila audítorské a akreditačné postupy a zabezpečila, aby sa podobné systémové zlyhania nemohli opakovať, a to pri dodržaní zásady proporcionality, pokiaľ ide o povinnosti týkajúce sa podávania správ a dokumentácie;</w:t>
      </w:r>
    </w:p>
    <w:p w:rsidR="00803968" w:rsidRPr="00EF1FA6" w:rsidP="00803968" w14:paraId="3B881ADA" w14:textId="77777777">
      <w:pPr>
        <w:pStyle w:val="NormalHanging12a"/>
      </w:pPr>
      <w:r w:rsidRPr="00EF1FA6">
        <w:t>12.</w:t>
      </w:r>
      <w:r w:rsidRPr="00EF1FA6">
        <w:tab/>
        <w:t>konštatuje so znepokojením, že v právnych predpisoch týkajúcich sa nástrojov založených na výkonnosti, ako je Mechanizmus na podporu obnovy a odolnosti, a v návrhoch Komisie týkajúcich sa VFR na roky 2028 – 2034 chýbajú jasné normy a prahové hodnoty pre prípady, keď sa vnútroštátne systémy riadenia a kontroly považujú za nedostatočné alebo nespoľahlivé, čím sa nápravné opatrenia alebo pozastavenia ponechávajú na voľné uváženie;</w:t>
      </w:r>
    </w:p>
    <w:p w:rsidR="00803968" w:rsidRPr="00EF1FA6" w:rsidP="00803968" w14:paraId="6F7AF648" w14:textId="77777777">
      <w:pPr>
        <w:pStyle w:val="NormalHanging12a"/>
      </w:pPr>
      <w:r w:rsidRPr="00EF1FA6">
        <w:t>13.</w:t>
      </w:r>
      <w:r w:rsidRPr="00EF1FA6">
        <w:tab/>
        <w:t>zdôrazňuje, že široké využívanie financovania, ktoré nie je spojené s nákladmi, si vyžaduje, aby Dvor audítorov a vnútroštátne orgány auditu výrazne upravili svoje činnosti a prešli na iný audítorský prístup; varuje, že bez zabezpečenia pripravenosti orgánov auditu prinesie takáto zmena veľké výzvy a mohla by vytvoriť štrukturálnu medzeru v audítorských záznamoch, čo by malo vážne dôsledky pre správne finančné riadenie rozpočtu Únie, ako aj pre postup udelenia absolutória;</w:t>
      </w:r>
    </w:p>
    <w:p w:rsidR="00803968" w:rsidRPr="00EF1FA6" w:rsidP="00803968" w14:paraId="5B47273C" w14:textId="4CE1AA67">
      <w:pPr>
        <w:pStyle w:val="NormalHanging12a"/>
      </w:pPr>
      <w:r w:rsidRPr="00EF1FA6">
        <w:t>14.</w:t>
      </w:r>
      <w:r w:rsidRPr="00EF1FA6">
        <w:tab/>
        <w:t xml:space="preserve">vyjadruje poľutovanie nad tým, že Dvor audítorov upozornil na neúplné audítorské záznamy v rámci nástrojov založených na výkonnosti, ako je Mechanizmus na podporu obnovy a odolnosti, čo oslabuje </w:t>
      </w:r>
      <w:r w:rsidRPr="00EF1FA6">
        <w:t>vysledovateľnosť</w:t>
      </w:r>
      <w:r w:rsidRPr="00EF1FA6">
        <w:t xml:space="preserve"> a obmedzuje schopnosť </w:t>
      </w:r>
      <w:r w:rsidRPr="00EF1FA6" w:rsidR="00E63F99">
        <w:t>Európskeho p</w:t>
      </w:r>
      <w:r w:rsidRPr="00EF1FA6">
        <w:t>arlamentu a Dvora audítorov vykonávať kontrolu;</w:t>
      </w:r>
    </w:p>
    <w:p w:rsidR="00803968" w:rsidRPr="00EF1FA6" w:rsidP="00803968" w14:paraId="53B90508" w14:textId="77777777">
      <w:pPr>
        <w:pStyle w:val="NormalHanging12a"/>
      </w:pPr>
      <w:r w:rsidRPr="00EF1FA6">
        <w:t>15.</w:t>
      </w:r>
      <w:r w:rsidRPr="00EF1FA6">
        <w:tab/>
        <w:t>zdôrazňuje, že prílišným spoliehaním sa na vnútroštátne orgány a externých audítorov bez silných záruk a podrobných usmernení Komisie, technickej pomoci a špecializovanej odbornej prípravy v oblasti metodiky auditu výkonnosti vzniká riziko rozdielov v kvalite a nezávislosti kontrol, čo vystavuje EÚ riziku poškodenia dobrej povesti; zdôrazňuje, že podpora vnútroštátnych kontrolných orgánov prispeje k zlepšeniu kvality a väčšej konzistentnosti;</w:t>
      </w:r>
    </w:p>
    <w:p w:rsidR="00803968" w:rsidRPr="00EF1FA6" w:rsidP="00803968" w14:paraId="7C02F4BF" w14:textId="77777777">
      <w:pPr>
        <w:pStyle w:val="NormalHanging12a"/>
      </w:pPr>
      <w:r w:rsidRPr="00EF1FA6">
        <w:t>16.</w:t>
      </w:r>
      <w:r w:rsidRPr="00EF1FA6">
        <w:tab/>
        <w:t>zdôrazňuje, že čerpanie alebo vyplácanie finančných prostriedkov nie je zo svojej podstaty ukazovateľom úspešnosti; vyjadruje poľutovanie nad tým, že v najnovších zmenách národných plánov obnovy a odolnosti viedlo zameranie na čerpanie k zníženiu pôvodne plánovaných ambícií, najmä pokiaľ ide o reformy;</w:t>
      </w:r>
    </w:p>
    <w:p w:rsidR="00803968" w:rsidRPr="00EF1FA6" w:rsidP="00803968" w14:paraId="1874325C" w14:textId="77777777">
      <w:pPr>
        <w:pStyle w:val="NormalHanging12a"/>
      </w:pPr>
      <w:r w:rsidRPr="00EF1FA6">
        <w:t>17.</w:t>
      </w:r>
      <w:r w:rsidRPr="00EF1FA6">
        <w:tab/>
        <w:t>pripomína, že orgány auditu v členských štátoch musia dodržiavať medzinárodne uznávané audítorské štandardy; varuje, že ak to tak nebude, ich práca nebude taká spoľahlivá a ohrozí to prístup jednotného auditu; berie na vedomie opakované zistenia Dvora audítorov o nedostatkoch niektorých vnútroštátnych orgánov auditu, pokiaľ ide o rozsah pôsobnosti, kvalitu, dokumentáciu a podávanie správ; zdôrazňuje potrebu jasného rámca zodpovednosti s cieľom zaručiť kvalitu a konzistentnosť;</w:t>
      </w:r>
    </w:p>
    <w:p w:rsidR="00803968" w:rsidRPr="00EF1FA6" w:rsidP="00803968" w14:paraId="3CBCA759" w14:textId="085316A6">
      <w:pPr>
        <w:pStyle w:val="NormalHanging12a"/>
      </w:pPr>
      <w:r w:rsidRPr="00EF1FA6">
        <w:t>18.</w:t>
      </w:r>
      <w:r w:rsidRPr="00EF1FA6">
        <w:tab/>
        <w:t xml:space="preserve">zdôrazňuje, že rozdrobenosťou informačných a dátových systémov v členských štátoch sa zvyšuje riziko chýb, nezrovnalostí, dvojitého financovania, oneskorení a nejednotného podávania správ; pripomína, že s cieľom zabezpečiť plnú </w:t>
      </w:r>
      <w:r w:rsidRPr="00EF1FA6">
        <w:t>vysledovateľnosť</w:t>
      </w:r>
      <w:r w:rsidRPr="00EF1FA6">
        <w:t xml:space="preserve"> finančných prostriedkov EÚ </w:t>
      </w:r>
      <w:r w:rsidRPr="00EF1FA6" w:rsidR="00E63F99">
        <w:t>Európsky p</w:t>
      </w:r>
      <w:r w:rsidRPr="00EF1FA6">
        <w:t xml:space="preserve">arlament opakovane vyzýval na vytvorenie jednotného, integrovaného a </w:t>
      </w:r>
      <w:r w:rsidRPr="00EF1FA6">
        <w:t>interoperabilného</w:t>
      </w:r>
      <w:r w:rsidRPr="00EF1FA6">
        <w:t xml:space="preserve"> informačného a monitorovacieho systému vrátane jednotného nástroja na hĺbkovú analýzu údajov a hodnotenie rizika, ktorý by vychádzal okrem iného z existujúcich nástrojov a databáz v kontexte prepracovaného znenia nariadenia o rozpočtových pravidlách; vyjadruje však poľutovanie nad tým, že členské štáty odmietajú zaviesť povinné používanie takéhoto systému od začiatku budúceho VFR; víta neustále úsilie Komisie o vytvorenie takéhoto </w:t>
      </w:r>
      <w:r w:rsidRPr="00EF1FA6">
        <w:t>interoperabilného</w:t>
      </w:r>
      <w:r w:rsidRPr="00EF1FA6">
        <w:t xml:space="preserve"> systému na základe nástroja ARACHNE a naliehavo vyzýva všetky členské štáty, aby tento systém v plnej miere využívali; zdôrazňuje, že účinnosť každého nového modelu financovania závisí od spoľahlivosti a konzistentnosti podkladových údajov a monitorovacích nástrojov; zdôrazňuje, že je dôležité navrhnúť </w:t>
      </w:r>
      <w:r w:rsidRPr="00EF1FA6">
        <w:t>interoperabilný</w:t>
      </w:r>
      <w:r w:rsidRPr="00EF1FA6">
        <w:t xml:space="preserve"> systém, ktorý bude v súlade so všeobecným nariadením o ochrane údajov (GDPR)</w:t>
      </w:r>
      <w:r>
        <w:rPr>
          <w:rStyle w:val="FootnoteReference"/>
        </w:rPr>
        <w:footnoteReference w:id="14"/>
      </w:r>
      <w:r w:rsidRPr="00EF1FA6">
        <w:t xml:space="preserve">; zdôrazňuje, že takýto systém musí poskytovať presné a včasné informácie, minimalizovať falošne pozitívne výsledky a fungovať spoľahlivo; </w:t>
      </w:r>
    </w:p>
    <w:p w:rsidR="00803968" w:rsidRPr="00EF1FA6" w:rsidP="00803968" w14:paraId="2C6CD674" w14:textId="77777777">
      <w:pPr>
        <w:pStyle w:val="NormalHanging12a"/>
      </w:pPr>
      <w:r w:rsidRPr="00EF1FA6">
        <w:t>19.</w:t>
      </w:r>
      <w:r w:rsidRPr="00EF1FA6">
        <w:tab/>
        <w:t>zdôrazňuje, že do zdieľaného riadenia v budúcom VFR sa na základe viacúrovňového prístupu k riadeniu musia vo fáze navrhovania, rozhodovania a plánovania, ako aj vo fáze vykonávania a plnenia zapojiť regionálne a miestne orgány a zainteresované strany, a to aj v prípade nástrojov založených na výkonnosti, aby sa zaistila pridaná hodnota cezhraničných projektov pre EÚ a dôraz sa kládol skôr na merateľné výsledky než na výstupy;</w:t>
      </w:r>
    </w:p>
    <w:p w:rsidR="00803968" w:rsidRPr="00EF1FA6" w:rsidP="00803968" w14:paraId="666BE0CD" w14:textId="77777777">
      <w:pPr>
        <w:pStyle w:val="NormalHanging12a"/>
      </w:pPr>
      <w:r w:rsidRPr="00EF1FA6">
        <w:t>20.</w:t>
      </w:r>
      <w:r w:rsidRPr="00EF1FA6">
        <w:tab/>
        <w:t>konštatuje, že kombinovaním grantov a finančných nástrojov v rámcoch založených na výkonnosti sa celá vec komplikuje a zvyšuje sa riziko dvojitého financovania, nezrovnalostí, podvodov, nadmernej kompenzácie a slabých reťazcov zodpovednosti; zdôrazňuje najmä, že ak financovanie nie je spojené s nákladmi, neoverovaním nákladov sa zvyšuje riziko prekrývania rôznych tokov financovania a oslabuje sa záruka správneho finančného riadenia;</w:t>
      </w:r>
    </w:p>
    <w:p w:rsidR="00803968" w:rsidRPr="00EF1FA6" w:rsidP="00803968" w14:paraId="539C0F4F" w14:textId="77777777">
      <w:pPr>
        <w:pStyle w:val="NormalHanging12a"/>
      </w:pPr>
      <w:r w:rsidRPr="00EF1FA6">
        <w:t>21.</w:t>
      </w:r>
      <w:r w:rsidRPr="00EF1FA6">
        <w:tab/>
        <w:t xml:space="preserve">poukazuje na to, že monitorovanie založené na výkonnosti nemusí nevyhnutne znižovať administratívnu záťaž, pretože slabé systémy overovania môžu vytvárať skryté náklady bez zvýšenia istoty; vyzýva Komisiu, aby zefektívnila ukazovatele výkonnosti, zjednodušila vzory na podávanie správ, odstránila nadbytočné žiadosti o údaje a riešila zbytočnú zložitosť žiadostí o platby; domnieva sa, že akýkoľvek prechod na využívanie modelov vykonávania založených na výkonnosti si vyžaduje budovanie kapacít na úrovni EÚ a v členských štátoch, keďže potreby monitoringu, kontroly a auditu v </w:t>
      </w:r>
      <w:r w:rsidRPr="00EF1FA6">
        <w:t>prípade týchto modelov sa líšia od potrieb nástrojov založených na preplácaní oprávnených nákladov;</w:t>
      </w:r>
    </w:p>
    <w:p w:rsidR="00803968" w:rsidRPr="00EF1FA6" w:rsidP="00803968" w14:paraId="250426B0" w14:textId="5864FD13">
      <w:pPr>
        <w:pStyle w:val="NormalHanging12a"/>
      </w:pPr>
      <w:r w:rsidRPr="00EF1FA6">
        <w:t>22.</w:t>
      </w:r>
      <w:r w:rsidRPr="00EF1FA6">
        <w:tab/>
        <w:t xml:space="preserve">varuje, že v súčasnom geopolitickom kontexte a vzhľadom na zvýšený rozpočtový tlak hrozí, že rastúce využívanie nástrojov založených na výkonnosti bez riešenia nedostatkov zistených v Mechanizme na podporu obnovy a odolnosti, a to aj posilnením parlamentnej kontroly, bude viesť k posunu inštitucionálnej rovnováhy v prospech výkonnej </w:t>
      </w:r>
      <w:r w:rsidRPr="00EF1FA6">
        <w:t>diskrečnej</w:t>
      </w:r>
      <w:r w:rsidRPr="00EF1FA6">
        <w:t xml:space="preserve"> právomoci na úkor demokratickej zodpovednosti; trvá na tom, že každý model riadenia nástrojov založených na výkonnosti musí na rovnakej úrovni zahŕňať </w:t>
      </w:r>
      <w:r w:rsidRPr="00EF1FA6" w:rsidR="00E63F99">
        <w:t>Európsky p</w:t>
      </w:r>
      <w:r w:rsidRPr="00EF1FA6">
        <w:t xml:space="preserve">arlament i Radu; odmieta akýkoľvek návrh na narušenie inštitucionálnej rovnováhy a oslabenie úlohy </w:t>
      </w:r>
      <w:r w:rsidRPr="00EF1FA6" w:rsidR="00E63F99">
        <w:t>Európskeho p</w:t>
      </w:r>
      <w:r w:rsidRPr="00EF1FA6">
        <w:t>arlamentu ako rozpočtového orgánu a orgánu udeľujúceho absolutórium;</w:t>
      </w:r>
    </w:p>
    <w:p w:rsidR="00803968" w:rsidRPr="00EF1FA6" w:rsidP="00803968" w14:paraId="2B4CF160" w14:textId="77777777">
      <w:pPr>
        <w:pStyle w:val="Normal12a"/>
      </w:pPr>
      <w:r w:rsidRPr="00EF1FA6">
        <w:rPr>
          <w:b/>
          <w:i/>
        </w:rPr>
        <w:t xml:space="preserve">Odporúčania na posilnenie kontroly, transparentnosti a </w:t>
      </w:r>
      <w:r w:rsidRPr="00EF1FA6">
        <w:rPr>
          <w:b/>
          <w:i/>
        </w:rPr>
        <w:t>vysledovateľnosti</w:t>
      </w:r>
      <w:r w:rsidRPr="00EF1FA6">
        <w:rPr>
          <w:b/>
          <w:i/>
        </w:rPr>
        <w:t xml:space="preserve"> nástrojov založených na výkonnosti</w:t>
      </w:r>
    </w:p>
    <w:p w:rsidR="00803968" w:rsidRPr="00EF1FA6" w:rsidP="00803968" w14:paraId="41D4B5A2" w14:textId="77777777">
      <w:pPr>
        <w:pStyle w:val="NormalHanging12a"/>
      </w:pPr>
      <w:r w:rsidRPr="00EF1FA6">
        <w:t>23.</w:t>
      </w:r>
      <w:r w:rsidRPr="00EF1FA6">
        <w:tab/>
        <w:t xml:space="preserve">domnieva sa, že model financovania, ktoré nie je spojené s nákladmi, by sa v prípade nástrojov založených na výkonnosti nemal používať ako všeobecná metóda vykonávania nástrojov ani úhrady medzi členskými štátmi a príjemcami s výnimkou menších príjemcov s projektmi pod určitými finančnými prahovými hodnotami, čo im umožňuje zjednodušený systém realizácie, ale zároveň zachováva pevný rámec kontroly; zdôrazňuje najmä, že rozsiahle a zložité projekty by mali byť aj naďalej založené na nákladoch, keďže ich rozsah, trvanie a viacúrovňové financovanie si vyžadujú podrobné finančné vykazovanie a overiteľné údaje o výdavkoch, aby sa zabezpečilo riadne monitorovanie a zodpovednosť; zdôrazňuje, že je dôležité vytvoriť mechanizmus vymáhania finančných prostriedkov v prípadoch, keď medzi odhadmi nákladov </w:t>
      </w:r>
      <w:r w:rsidRPr="00EF1FA6">
        <w:rPr>
          <w:i/>
          <w:iCs/>
        </w:rPr>
        <w:t xml:space="preserve">ex </w:t>
      </w:r>
      <w:r w:rsidRPr="00EF1FA6">
        <w:rPr>
          <w:i/>
          <w:iCs/>
        </w:rPr>
        <w:t>ante</w:t>
      </w:r>
      <w:r w:rsidRPr="00EF1FA6">
        <w:t xml:space="preserve"> a kontrolami </w:t>
      </w:r>
      <w:r w:rsidRPr="00EF1FA6">
        <w:rPr>
          <w:i/>
          <w:iCs/>
        </w:rPr>
        <w:t>ex post</w:t>
      </w:r>
      <w:r w:rsidRPr="00EF1FA6">
        <w:t xml:space="preserve"> vzniknú značné odchýlky, najmä ak sa projekty realizujú pod úrovňou pôvodne odhadovaných nákladov; zdôrazňuje, že takéto úpravy musia odrážať skutočné výdavky, aby sa zabezpečila finančná integrita, pomer medzi kvalitou a cenou a zodpovednosť; vyzýva na pokračovanie a rozšírenie využívania jednorazových platieb a zjednodušeného vykazovania nákladov, najmä v prípade menších alebo stredných investícií, keďže sú účinnými a primeranými nástrojmi na zníženie administratívnej záťaže, zvýšenie prístupnosti pre menších príjemcov a zachovanie zodpovednosti a </w:t>
      </w:r>
      <w:r w:rsidRPr="00EF1FA6">
        <w:t>vysledovateľnosti</w:t>
      </w:r>
      <w:r w:rsidRPr="00EF1FA6">
        <w:t xml:space="preserve"> pri využívaní finančných prostriedkov Únie;</w:t>
      </w:r>
    </w:p>
    <w:p w:rsidR="00803968" w:rsidRPr="00EF1FA6" w:rsidP="00803968" w14:paraId="1848E5D0" w14:textId="354DA2C9">
      <w:pPr>
        <w:pStyle w:val="NormalHanging"/>
      </w:pPr>
      <w:r w:rsidRPr="00EF1FA6">
        <w:t>24.</w:t>
      </w:r>
      <w:r w:rsidRPr="00EF1FA6">
        <w:tab/>
        <w:t xml:space="preserve">trvá na tom, že zjednodušený rozpočet musí viesť aj k transparentnému rozpočtu; naliehavo vyzýva Komisiu, aby poskytla verejnosti prístup k procedurálnym informáciám vrátane metodiky odhadu nákladov a aby </w:t>
      </w:r>
      <w:r w:rsidRPr="00EF1FA6" w:rsidR="00E63F99">
        <w:t>Európskemu p</w:t>
      </w:r>
      <w:r w:rsidRPr="00EF1FA6">
        <w:t>arlamentu poskytla prístup k odhadovaným nákladom na plány národného a regionálneho partnerstva;</w:t>
      </w:r>
    </w:p>
    <w:p w:rsidR="00803968" w:rsidRPr="00EF1FA6" w:rsidP="00803968" w14:paraId="3FA52DDC" w14:textId="77777777">
      <w:pPr>
        <w:pStyle w:val="NormalHanging12a"/>
      </w:pPr>
      <w:r w:rsidRPr="00EF1FA6">
        <w:t>25.</w:t>
      </w:r>
      <w:r w:rsidRPr="00EF1FA6">
        <w:tab/>
        <w:t xml:space="preserve">požaduje jednotný systém zodpovednosti, ktorý umožní </w:t>
      </w:r>
      <w:r w:rsidRPr="00EF1FA6">
        <w:t>vysledovateľnosť</w:t>
      </w:r>
      <w:r w:rsidRPr="00EF1FA6">
        <w:t xml:space="preserve"> príspevkov z rozpočtu EÚ na konkrétne projekty a ich skutočných konečných príjemcov vrátane dodávateľov a subdodávateľov, ako aj konečných užívateľov výhod; zdôrazňuje, že je dôležité zabezpečiť viditeľnosť projektov financovaných EÚ pre občanov; zdôrazňuje potrebu prepojiť platby s plnením koherentných, jasne vymedzených míľnikov a cieľov, aby sa zlepšil súlad medzi reformami a investíciami; zdôrazňuje význam zavedenia systému hodnotenia </w:t>
      </w:r>
      <w:r w:rsidRPr="00EF1FA6">
        <w:rPr>
          <w:i/>
          <w:iCs/>
        </w:rPr>
        <w:t>ex post</w:t>
      </w:r>
      <w:r w:rsidRPr="00EF1FA6">
        <w:t xml:space="preserve"> založeného na cieľoch dosiahnutých jednotlivými nástrojmi meraných ich ukazovateľmi výkonnosti;</w:t>
      </w:r>
    </w:p>
    <w:p w:rsidR="00803968" w:rsidRPr="00EF1FA6" w:rsidP="00803968" w14:paraId="3EDD2DD5" w14:textId="77777777">
      <w:pPr>
        <w:pStyle w:val="NormalHanging12a"/>
      </w:pPr>
      <w:r w:rsidRPr="00EF1FA6">
        <w:t>26.</w:t>
      </w:r>
      <w:r w:rsidRPr="00EF1FA6">
        <w:tab/>
        <w:t>zdôrazňuje, že financovanie Únie by sa malo poskytovať len na opatrenia priamo spojené s konkrétnymi overiteľnými projektmi, ktoré preukazujú hmatateľný pokrok, merateľné výsledky, prispievajú k cieľom politiky Únie, možno ich účinne monitorovať a kontrolovať a podliehajú transparentnému podávaniu správ, a to aj pokiaľ ide o pomer kvality a ceny a požiadavky viditeľnosti;</w:t>
      </w:r>
    </w:p>
    <w:p w:rsidR="00803968" w:rsidRPr="00EF1FA6" w:rsidP="00803968" w14:paraId="46342736" w14:textId="77777777">
      <w:pPr>
        <w:pStyle w:val="NormalHanging12a"/>
      </w:pPr>
      <w:r w:rsidRPr="00EF1FA6">
        <w:t>27.</w:t>
      </w:r>
      <w:r w:rsidRPr="00EF1FA6">
        <w:tab/>
        <w:t>vyzýva Komisiu, aby sa zdržala zavádzania zložitých alebo špekulatívnych metodík odhadu nákladov, ktoré by mohli ohroziť transparentnosť a porovnateľnosť medzi členskými štátmi; namiesto toho naliehavo vyzýva na vytvorenie a širšie využívanie harmonizovaných a overiteľných zjednodušených možností vykazovania nákladov, ktoré by boli prehľadné, znížili by administratívne zaťaženie a zachovali primeranú úroveň zodpovednosti;</w:t>
      </w:r>
    </w:p>
    <w:p w:rsidR="00803968" w:rsidRPr="00EF1FA6" w:rsidP="00803968" w14:paraId="59D10C7F" w14:textId="77777777">
      <w:pPr>
        <w:pStyle w:val="NormalHanging12a"/>
      </w:pPr>
      <w:r w:rsidRPr="00EF1FA6">
        <w:t>28.</w:t>
      </w:r>
      <w:r w:rsidRPr="00EF1FA6">
        <w:tab/>
        <w:t>požaduje jednoznačné kritériá súladu s jednotnými vymedzeniami vo všetkých členských štátoch, ktorými sa dá určiť, kedy nástroje založené na výkonnosti spĺňajú plánované výstupy alebo výsledky;</w:t>
      </w:r>
    </w:p>
    <w:p w:rsidR="00803968" w:rsidRPr="00EF1FA6" w:rsidP="00803968" w14:paraId="43D941B9" w14:textId="77777777">
      <w:pPr>
        <w:pStyle w:val="NormalHanging12a"/>
      </w:pPr>
      <w:r w:rsidRPr="00EF1FA6">
        <w:t>29.</w:t>
      </w:r>
      <w:r w:rsidRPr="00EF1FA6">
        <w:tab/>
        <w:t>požaduje pravidelné posudzovanie skutočných nákladov vzniknutých pri vykonávaní nástrojov založených na výkonnosti v porovnaní s odhadmi nákladov členských štátov s cieľom zabrániť nezrovnalostiam; domnieva sa, že pri takýchto posúdeniach by sa mali automaticky aktivovať kontroly a audity, ak existujú významné rozdiely medzi skutočnými a odhadovanými nákladmi;</w:t>
      </w:r>
    </w:p>
    <w:p w:rsidR="00803968" w:rsidRPr="00EF1FA6" w:rsidP="00803968" w14:paraId="00BB2B08" w14:textId="77777777">
      <w:pPr>
        <w:pStyle w:val="NormalHanging12a"/>
      </w:pPr>
      <w:r w:rsidRPr="00EF1FA6">
        <w:t>30.</w:t>
      </w:r>
      <w:r w:rsidRPr="00EF1FA6">
        <w:tab/>
        <w:t xml:space="preserve">trvá na tom, že pri použití modelu financovania, ktoré nie je spojené s nákladmi, sa musí vždy vyžadovať korelácia medzi žiadosťami o platbu a plnením míľnikov a cieľov na jednej strane a vykonávaním konkrétnych projektov na strane druhej; zdôrazňuje, že bez takejto korelácie je </w:t>
      </w:r>
      <w:r w:rsidRPr="00EF1FA6">
        <w:t>vysledovateľnosť</w:t>
      </w:r>
      <w:r w:rsidRPr="00EF1FA6">
        <w:t xml:space="preserve"> financovania Únie vážne ohrozená;</w:t>
      </w:r>
    </w:p>
    <w:p w:rsidR="00803968" w:rsidRPr="00EF1FA6" w:rsidP="00803968" w14:paraId="276E76B3" w14:textId="77777777">
      <w:pPr>
        <w:pStyle w:val="NormalHanging12a"/>
      </w:pPr>
      <w:r w:rsidRPr="00EF1FA6">
        <w:t>31.</w:t>
      </w:r>
      <w:r w:rsidRPr="00EF1FA6">
        <w:tab/>
        <w:t>vyzýva na vytvorenie jednotného, integrovaného a </w:t>
      </w:r>
      <w:r w:rsidRPr="00EF1FA6">
        <w:t>interoperabilného</w:t>
      </w:r>
      <w:r w:rsidRPr="00EF1FA6">
        <w:t xml:space="preserve"> informačného a monitorovacieho systému vrátane jednotného nástroja na hĺbkovú analýzu údajov a hodnotenie rizík; žiada, aby používanie tohto nového </w:t>
      </w:r>
      <w:r w:rsidRPr="00EF1FA6">
        <w:t>interoperabilného</w:t>
      </w:r>
      <w:r w:rsidRPr="00EF1FA6">
        <w:t xml:space="preserve"> systému muselo byť podmienkou prístupu k finančným prostriedkom Únie v budúcom VFR; žiada, aby Komisia vytvorila verejne prístupné prehľady, ktoré občanom umožnia posúdiť hodnotu vytvorenú financovaním EÚ; vyzýva Komisiu, aby zaviedla pokročilú analýzu údajov a nástroje umelej inteligencie s cieľom zlepšiť hodnotenie sledovania výkonnosti a podávanie správ, znížiť manuálnu záťaž a zefektívniť proces podávania správ a zabrániť dvojitému financovaniu a iným rizikám pre ochranu finančných záujmov EÚ;</w:t>
      </w:r>
    </w:p>
    <w:p w:rsidR="00803968" w:rsidRPr="00EF1FA6" w:rsidP="00803968" w14:paraId="53CC6B9F" w14:textId="77777777">
      <w:pPr>
        <w:pStyle w:val="NormalHanging12a"/>
      </w:pPr>
      <w:r w:rsidRPr="00EF1FA6">
        <w:t>32.</w:t>
      </w:r>
      <w:r w:rsidRPr="00EF1FA6">
        <w:tab/>
        <w:t>žiada, aby Komisia stanovila a zverejnila jasné prahové hodnoty pre nápravné opatrenia vrátane úrovní závažnosti s cieľom zaručiť rovnaké zaobchádzanie a konzistentné presadzovanie;</w:t>
      </w:r>
    </w:p>
    <w:p w:rsidR="00803968" w:rsidRPr="00EF1FA6" w:rsidP="00803968" w14:paraId="644999C0" w14:textId="7E6ACD89">
      <w:pPr>
        <w:pStyle w:val="NormalHanging12a"/>
      </w:pPr>
      <w:r w:rsidRPr="00EF1FA6">
        <w:t>33.</w:t>
      </w:r>
      <w:r w:rsidRPr="00EF1FA6">
        <w:tab/>
        <w:t xml:space="preserve">trvá na tom, že plnenie míľnikov a cieľov musí hodnotiť Komisia, pričom zohľadní údaje poskytnuté členskými štátmi a musí sa riadiť transparentnou a štandardizovanou metodikou, ktorej súčasťou je zdokumentované bodové hodnotenie a podložené zdôvodnenie akýchkoľvek odchýlok nad zákonnou prahovou hodnotou; žiada, aby sa všetky hodnotiace spisy sprístupnili </w:t>
      </w:r>
      <w:r w:rsidRPr="00EF1FA6" w:rsidR="00E63F99">
        <w:t>Európskemu p</w:t>
      </w:r>
      <w:r w:rsidRPr="00EF1FA6">
        <w:t>arlamentu a Dvoru audítorov;</w:t>
      </w:r>
    </w:p>
    <w:p w:rsidR="00803968" w:rsidRPr="00EF1FA6" w:rsidP="00803968" w14:paraId="769C3AF4" w14:textId="7DFD2971">
      <w:pPr>
        <w:pStyle w:val="NormalHanging12a"/>
      </w:pPr>
      <w:r w:rsidRPr="00EF1FA6">
        <w:t>34.</w:t>
      </w:r>
      <w:r w:rsidRPr="00EF1FA6">
        <w:tab/>
        <w:t xml:space="preserve">požaduje väčšiu transparentnosť pri implementácii nástrojov založených na výkonnosti vrátane včasného zverejňovania všetkých posúdení Komisie, národných správ, zhrnutí </w:t>
      </w:r>
      <w:r w:rsidRPr="00EF1FA6">
        <w:t xml:space="preserve">auditov a opatrení na vymáhanie prostriedkov vo formátoch, ktoré sú prístupné, porovnateľné, overiteľné a používateľsky ústretový, čím sa zabezpečí, aby </w:t>
      </w:r>
      <w:r w:rsidRPr="00EF1FA6" w:rsidR="00E63F99">
        <w:t>Európsky p</w:t>
      </w:r>
      <w:r w:rsidRPr="00EF1FA6">
        <w:t xml:space="preserve">arlament, Dvor audítorov a občania mohli kontrolovať využívanie finančných prostriedkov Únie; zdôrazňuje, že prístup k informáciám by mal fungovať kaskádovo – Dvor audítorov by mal mať plný a neobmedzený prístup v reálnom čase, </w:t>
      </w:r>
      <w:r w:rsidRPr="00EF1FA6" w:rsidR="00E63F99">
        <w:t>Európsky p</w:t>
      </w:r>
      <w:r w:rsidRPr="00EF1FA6">
        <w:t>arlament zaručené a neobmedzené právo klásť otázky a požadovať informácie a občania primeraný a transparentný prístup k informáciám v súlade s rozsudkami Súdneho dvora Európskej únie; pripomína, že všetky opatrenia v oblasti transparentnosti musia byť v súlade s požiadavkami na ochranu údajov podľa všeobecného nariadenia o ochrane údajov a iných príslušných právnych predpisov Únie; zdôrazňuje, že na to, aby sa poskytol skutočný obraz o výsledkoch dosiahnutých v praxi, verejne dostupné údaje musia presne odrážať skutočný stav realizácie a vývoja projektov v praxi, a nie plánované záväzky alebo úhrady uskutočnené výlučne na splnenie míľnikov a cieľov v rámci národných plánov;</w:t>
      </w:r>
    </w:p>
    <w:p w:rsidR="00803968" w:rsidRPr="00EF1FA6" w:rsidP="00803968" w14:paraId="628EAB88" w14:textId="77777777">
      <w:pPr>
        <w:pStyle w:val="NormalHanging12a"/>
      </w:pPr>
      <w:r w:rsidRPr="00EF1FA6">
        <w:t>35.</w:t>
      </w:r>
      <w:r w:rsidRPr="00EF1FA6">
        <w:tab/>
        <w:t>zdôrazňuje, že všetky databázy a informačné systémy Komisie používané na zber, výmenu a monitorovanie údajov medzi Komisiou a členskými štátmi musia byť prístupné Dvoru audítorov; zdôrazňuje, že Dvor audítorov by mal mať priamy a rýchly prístup k pôvodným údajom zaznamenaným v systéme bez predchádzajúcej úpravy, agregácie alebo zmien vykonaných vnútroštátnymi orgánmi alebo útvarmi Komisie; zdôrazňuje, že takýto prístup je nevyhnutný na zabezpečenie nezávislosti, spoľahlivosti a účinnosti auditov a na zachovanie transparentnosti a zodpovednosti pri plnení rozpočtu Únie;</w:t>
      </w:r>
    </w:p>
    <w:p w:rsidR="00803968" w:rsidRPr="00EF1FA6" w:rsidP="00803968" w14:paraId="16577B37" w14:textId="77777777">
      <w:pPr>
        <w:pStyle w:val="NormalHanging12a"/>
      </w:pPr>
      <w:r w:rsidRPr="00EF1FA6">
        <w:t>36.</w:t>
      </w:r>
      <w:r w:rsidRPr="00EF1FA6">
        <w:tab/>
        <w:t>vyzýva na zlepšenie podávania správ o nástrojoch založených na výkonnosti tak, aby zahŕňali údaje na úrovni projektov podobné údajom v rámci politiky súdržnosti, čím sa zabezpečí geografické rozdelenie financovania a intervencií na nižšej ako celoštátnej úrovni;</w:t>
      </w:r>
    </w:p>
    <w:p w:rsidR="00803968" w:rsidRPr="00EF1FA6" w:rsidP="00803968" w14:paraId="351EBBA8" w14:textId="77777777">
      <w:pPr>
        <w:pStyle w:val="NormalHanging12a"/>
      </w:pPr>
      <w:r w:rsidRPr="00EF1FA6">
        <w:t>37.</w:t>
      </w:r>
      <w:r w:rsidRPr="00EF1FA6">
        <w:tab/>
        <w:t>vyzýva na zlepšenie audítorských záznamov tým, že sa bude vyžadovať systematická dokumentácia krokov overovania a zabezpečí sa, aby boli záznamy úplné, prístupné a kontrolovateľné na úrovni EÚ aj na vnútroštátnej úrovni;</w:t>
      </w:r>
    </w:p>
    <w:p w:rsidR="00803968" w:rsidRPr="00EF1FA6" w:rsidP="00803968" w14:paraId="7711EB3A" w14:textId="77777777">
      <w:pPr>
        <w:pStyle w:val="NormalHanging12a"/>
      </w:pPr>
      <w:r w:rsidRPr="00EF1FA6">
        <w:t>38.</w:t>
      </w:r>
      <w:r w:rsidRPr="00EF1FA6">
        <w:tab/>
        <w:t>žiada, aby Komisia zaviedla spoľahlivé záruky na zabezpečenie konzistentnej, nezávislej a vysokokvalitnej audítorskej práce vo všetkých členských štátoch, a to aj podrobnými metodickými usmerneniami, dlhodobej technickej pomoci vždy, keď orgány auditu vykazujú pretrvávajúce nedostatky, a špecializovanej odbornej prípravy v oblasti štandardov auditu výkonnosti; trvá na tom, že podmienkou využívania vnútroštátnych orgánov a externých audítorov musí byť dodržiavanie týchto záruk, aby sa zabránilo variabilite kvality kontrol; vyzýva členské štáty, aby zaviedli záruky s cieľom zabezpečiť nezávislosť vnútroštátnych kontrolných orgánov od politických a správnych orgánov zodpovedných za správu fondov;</w:t>
      </w:r>
    </w:p>
    <w:p w:rsidR="00803968" w:rsidRPr="00EF1FA6" w:rsidP="00803968" w14:paraId="057A100D" w14:textId="77777777">
      <w:pPr>
        <w:pStyle w:val="NormalHanging12a"/>
      </w:pPr>
      <w:r w:rsidRPr="00EF1FA6">
        <w:t>39.</w:t>
      </w:r>
      <w:r w:rsidRPr="00EF1FA6">
        <w:tab/>
        <w:t xml:space="preserve">vyzýva na zavedenie prediktívnych analytických nástrojov založených na umelej inteligencii, ako aj spôsobilostí strojového učenia, ktoré by audítorom umožnili vykonávať posudzovanie rizík v reálnom čase, účinnejšie identifikovať anomálie a uskutočňovať audity optimálneho využívania finančných prostriedkov a cielené hodnotenia v prípadoch, keď Dvor audítorov zistí pretrvávajúce nezrovnalosti; zdôrazňuje, že je dôležité využívať automatizované nástroje na hĺbkovú analýzu údajov a umelú inteligenciu na identifikáciu anomálií a zároveň sa vyhnúť dodatočným oznamovacím povinnostiam pre príjemcov, ktorí dodržiavajú predpisy; pripomína, že </w:t>
      </w:r>
      <w:r w:rsidRPr="00EF1FA6">
        <w:t>takéto technológie umelej inteligencie sa musia využívať v plnom súlade s pravidlami EÚ o ochrane údajov a musia byť podporené komplexnou odbornou prípravou pre vnútroštátne kontrolné orgány;</w:t>
      </w:r>
    </w:p>
    <w:p w:rsidR="00803968" w:rsidRPr="00EF1FA6" w:rsidP="00803968" w14:paraId="36C67F7E" w14:textId="77777777">
      <w:pPr>
        <w:pStyle w:val="NormalHanging12a"/>
      </w:pPr>
      <w:r w:rsidRPr="00EF1FA6">
        <w:t>40.</w:t>
      </w:r>
      <w:r w:rsidRPr="00EF1FA6">
        <w:tab/>
        <w:t>žiada Komisiu, aby posilnila záruky pre finančné nástroje vrátane prísnejších stropov poplatkov za riadenie, transparentných pravidiel priameho udeľovania a kontrol s cieľom zabrániť dvojitému financovaniu a porušovaniu pravidiel štátnej pomoci; žiada, aby stropy poplatkov za riadenie, najmä v prípade ich priameho udeľovania správcom fondov za kapitálové alebo kvázi kapitálové produkty, nenarúšali pomer medzi kvalitou a cenou podpory Únie, najmä v prípade nízkeho objemu operácií;</w:t>
      </w:r>
    </w:p>
    <w:p w:rsidR="00803968" w:rsidRPr="00EF1FA6" w:rsidP="00803968" w14:paraId="7815C429" w14:textId="77777777">
      <w:pPr>
        <w:pStyle w:val="NormalHanging12a"/>
      </w:pPr>
      <w:r w:rsidRPr="00EF1FA6">
        <w:t>41.</w:t>
      </w:r>
      <w:r w:rsidRPr="00EF1FA6">
        <w:tab/>
        <w:t xml:space="preserve">opakuje, že treba zvýšiť transparentnosť rozšírením modelu hodnotiacej tabuľky Mechanizmu na podporu obnovy a odolnosti na všetky nástroje založené na výkonnosti, zlepšiť načasovanie a porovnateľnosť podávania správ na vnútroštátnej úrovni a zabezpečiť prístup verejnosti, </w:t>
      </w:r>
      <w:r w:rsidRPr="00EF1FA6">
        <w:t>vysledovateľnosť</w:t>
      </w:r>
      <w:r w:rsidRPr="00EF1FA6">
        <w:t xml:space="preserve"> a zodpovednosť; naliehavo vyzýva Komisiu, aby zabezpečila plnú </w:t>
      </w:r>
      <w:r w:rsidRPr="00EF1FA6">
        <w:t>interoperabilitu</w:t>
      </w:r>
      <w:r w:rsidRPr="00EF1FA6">
        <w:t xml:space="preserve"> dátových systémov EÚ a vnútroštátnych dátových systémov, znížila manuálne vstupy, zlepšila kvalitu údajov a umožnila </w:t>
      </w:r>
      <w:r w:rsidRPr="00EF1FA6">
        <w:t>vysledovateľnosť</w:t>
      </w:r>
      <w:r w:rsidRPr="00EF1FA6">
        <w:t xml:space="preserve"> v reálnom čase až po úroveň konečných príjemcov; vyzýva v tejto súvislosti Komisiu, aby zabezpečila, aby boli údaje o skutočných konečných príjemcoch finančných prostriedkov z nástroja založeného na výkonnosti vrátane dodávateľov a subdodávateľov k dispozícii v reálnom čase orgánom auditu a orgánom udeľujúcim absolutórium, ako aj Európskej prokuratúre a Európskemu úradu pre boj proti podvodom;</w:t>
      </w:r>
    </w:p>
    <w:p w:rsidR="00803968" w:rsidRPr="00EF1FA6" w:rsidP="00803968" w14:paraId="76134C5B" w14:textId="742BDB5E">
      <w:pPr>
        <w:pStyle w:val="NormalHanging12a"/>
      </w:pPr>
      <w:r w:rsidRPr="00EF1FA6">
        <w:t>42.</w:t>
      </w:r>
      <w:r w:rsidRPr="00EF1FA6">
        <w:tab/>
        <w:t xml:space="preserve">trvá na tom, že výsady </w:t>
      </w:r>
      <w:r w:rsidRPr="00EF1FA6" w:rsidR="00E63F99">
        <w:t>Európskeho p</w:t>
      </w:r>
      <w:r w:rsidRPr="00EF1FA6">
        <w:t>arlamentu ako zákonodarcu, rozpočtového orgánu a orgánu udeľujúceho absolutórium sa musia v plnej miere rešpektovať a musí sa poskytnúť prístup ku všetkým údajom potrebným na vykonávanie jeho funkcií;</w:t>
      </w:r>
    </w:p>
    <w:p w:rsidR="00803968" w:rsidRPr="00EF1FA6" w:rsidP="00803968" w14:paraId="5D653BD0" w14:textId="77777777">
      <w:pPr>
        <w:pStyle w:val="NormalCenter12a"/>
      </w:pPr>
      <w:r w:rsidRPr="00EF1FA6">
        <w:t>°</w:t>
      </w:r>
    </w:p>
    <w:p w:rsidR="00803968" w:rsidRPr="00EF1FA6" w:rsidP="00803968" w14:paraId="0FB4850A" w14:textId="77777777">
      <w:pPr>
        <w:pStyle w:val="NormalCenter12a"/>
      </w:pPr>
      <w:r w:rsidRPr="00EF1FA6">
        <w:t>°</w:t>
      </w:r>
      <w:r w:rsidRPr="00EF1FA6">
        <w:tab/>
        <w:t>°</w:t>
      </w:r>
    </w:p>
    <w:p w:rsidR="0084096C" w:rsidRPr="00EF1FA6" w:rsidP="0084096C" w14:paraId="1B608862" w14:textId="5B3F9C06">
      <w:pPr>
        <w:pStyle w:val="NormalHanging12a"/>
      </w:pPr>
      <w:r w:rsidRPr="00EF1FA6">
        <w:t>43.</w:t>
      </w:r>
      <w:r w:rsidRPr="00EF1FA6">
        <w:tab/>
        <w:t>poveruje svoju predsedníčku, aby postúpila toto uznesenie Rade a Komisii.</w:t>
      </w:r>
    </w:p>
    <w:p w:rsidR="00E365E1" w:rsidRPr="00EF1FA6" w:rsidP="00BC0AB2" w14:paraId="02C1F31E" w14:textId="1C32E80A"/>
    <w:sectPr w:rsidSect="0084096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4096C" w14:paraId="50D9DDF7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4096C" w14:paraId="18346D00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4096C" w14:paraId="305D0E0F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BC0AB2" w:rsidRPr="0084096C" w14:paraId="0F5CE9D0" w14:textId="77777777">
      <w:r w:rsidRPr="0084096C">
        <w:separator/>
      </w:r>
    </w:p>
  </w:footnote>
  <w:footnote w:type="continuationSeparator" w:id="1">
    <w:p w:rsidR="00BC0AB2" w:rsidRPr="0084096C" w14:paraId="7D6655E9" w14:textId="77777777">
      <w:r w:rsidRPr="0084096C">
        <w:continuationSeparator/>
      </w:r>
    </w:p>
  </w:footnote>
  <w:footnote w:id="2">
    <w:p w:rsidR="00803968" w:rsidRPr="0084096C" w:rsidP="0084096C" w14:paraId="40B686A0" w14:textId="54B8FFC6">
      <w:pPr>
        <w:pStyle w:val="FootnoteText"/>
        <w:ind w:left="567" w:hanging="567"/>
        <w:rPr>
          <w:sz w:val="24"/>
          <w:lang w:val="sk-SK"/>
        </w:rPr>
      </w:pPr>
      <w:r w:rsidRPr="0084096C">
        <w:rPr>
          <w:sz w:val="24"/>
          <w:vertAlign w:val="superscript"/>
          <w:lang w:val="sk-SK"/>
        </w:rPr>
        <w:t>1</w:t>
      </w:r>
      <w:r w:rsidRPr="0084096C" w:rsidR="0084096C">
        <w:rPr>
          <w:sz w:val="24"/>
          <w:vertAlign w:val="superscript"/>
          <w:lang w:val="sk-SK"/>
        </w:rPr>
        <w:t xml:space="preserve"> </w:t>
      </w:r>
      <w:r w:rsidRPr="0084096C" w:rsidR="0084096C">
        <w:rPr>
          <w:sz w:val="24"/>
          <w:vertAlign w:val="superscript"/>
          <w:lang w:val="sk-SK"/>
        </w:rPr>
        <w:tab/>
      </w:r>
      <w:r w:rsidRPr="0084096C">
        <w:rPr>
          <w:sz w:val="24"/>
          <w:lang w:val="sk-SK"/>
        </w:rPr>
        <w:t xml:space="preserve">Ú. v. EÚ L 433 I, 22.12.2020, s. 11, ELI: </w:t>
      </w:r>
      <w:hyperlink r:id="rId1" w:tgtFrame="http://data.europa.eu/eli/reg/2020/2093/oj" w:history="1">
        <w:r w:rsidRPr="0084096C">
          <w:rPr>
            <w:rStyle w:val="Hyperlink"/>
            <w:sz w:val="24"/>
            <w:lang w:val="sk-SK"/>
          </w:rPr>
          <w:t>http://data.europa.eu/eli/reg/2020/2093/oj</w:t>
        </w:r>
      </w:hyperlink>
      <w:r w:rsidRPr="0084096C">
        <w:rPr>
          <w:sz w:val="24"/>
          <w:lang w:val="sk-SK"/>
        </w:rPr>
        <w:t>.</w:t>
      </w:r>
    </w:p>
  </w:footnote>
  <w:footnote w:id="3">
    <w:p w:rsidR="00803968" w:rsidRPr="0084096C" w:rsidP="0084096C" w14:paraId="35578BB5" w14:textId="225CB092">
      <w:pPr>
        <w:pStyle w:val="FootnoteText"/>
        <w:ind w:left="567" w:hanging="567"/>
        <w:rPr>
          <w:sz w:val="24"/>
          <w:lang w:val="sk-SK"/>
        </w:rPr>
      </w:pPr>
      <w:r w:rsidRPr="0084096C">
        <w:rPr>
          <w:sz w:val="24"/>
          <w:vertAlign w:val="superscript"/>
          <w:lang w:val="sk-SK"/>
        </w:rPr>
        <w:t>2</w:t>
      </w:r>
      <w:r w:rsidRPr="0084096C" w:rsidR="0084096C">
        <w:rPr>
          <w:sz w:val="24"/>
          <w:vertAlign w:val="superscript"/>
          <w:lang w:val="sk-SK"/>
        </w:rPr>
        <w:t xml:space="preserve"> </w:t>
      </w:r>
      <w:r w:rsidRPr="0084096C" w:rsidR="0084096C">
        <w:rPr>
          <w:sz w:val="24"/>
          <w:vertAlign w:val="superscript"/>
          <w:lang w:val="sk-SK"/>
        </w:rPr>
        <w:tab/>
      </w:r>
      <w:r w:rsidRPr="0084096C">
        <w:rPr>
          <w:sz w:val="24"/>
          <w:lang w:val="sk-SK"/>
        </w:rPr>
        <w:t xml:space="preserve">Ú. v. EÚ L, 2024/2509, 26.9.2024, ELI: </w:t>
      </w:r>
      <w:hyperlink r:id="rId2" w:tgtFrame="http://data.europa.eu/eli/reg/2024/2509/oj" w:history="1">
        <w:r w:rsidRPr="0084096C">
          <w:rPr>
            <w:rStyle w:val="Hyperlink"/>
            <w:sz w:val="24"/>
            <w:lang w:val="sk-SK"/>
          </w:rPr>
          <w:t>http://data.europa.eu/eli/reg/2024/2509/oj</w:t>
        </w:r>
      </w:hyperlink>
      <w:r w:rsidRPr="0084096C">
        <w:rPr>
          <w:sz w:val="24"/>
          <w:lang w:val="sk-SK"/>
        </w:rPr>
        <w:t>.</w:t>
      </w:r>
    </w:p>
  </w:footnote>
  <w:footnote w:id="4">
    <w:p w:rsidR="00803968" w:rsidRPr="0084096C" w:rsidP="0084096C" w14:paraId="7A976196" w14:textId="5391F447">
      <w:pPr>
        <w:pStyle w:val="FootnoteText"/>
        <w:ind w:left="567" w:hanging="567"/>
        <w:rPr>
          <w:sz w:val="24"/>
          <w:lang w:val="sk-SK"/>
        </w:rPr>
      </w:pPr>
      <w:r w:rsidRPr="0084096C">
        <w:rPr>
          <w:sz w:val="24"/>
          <w:vertAlign w:val="superscript"/>
          <w:lang w:val="sk-SK"/>
        </w:rPr>
        <w:t>3</w:t>
      </w:r>
      <w:r w:rsidRPr="0084096C" w:rsidR="0084096C">
        <w:rPr>
          <w:sz w:val="24"/>
          <w:vertAlign w:val="superscript"/>
          <w:lang w:val="sk-SK"/>
        </w:rPr>
        <w:t xml:space="preserve"> </w:t>
      </w:r>
      <w:r w:rsidRPr="0084096C" w:rsidR="0084096C">
        <w:rPr>
          <w:sz w:val="24"/>
          <w:vertAlign w:val="superscript"/>
          <w:lang w:val="sk-SK"/>
        </w:rPr>
        <w:tab/>
      </w:r>
      <w:r w:rsidRPr="0084096C">
        <w:rPr>
          <w:sz w:val="24"/>
          <w:lang w:val="sk-SK"/>
        </w:rPr>
        <w:t xml:space="preserve">Ú. v. EÚ L 433 I, 22.12.2020, s. 1, ELI: </w:t>
      </w:r>
      <w:hyperlink r:id="rId3" w:tgtFrame="http://data.europa.eu/eli/reg/2020/2092/oj" w:history="1">
        <w:r w:rsidRPr="0084096C">
          <w:rPr>
            <w:rStyle w:val="Hyperlink"/>
            <w:sz w:val="24"/>
            <w:lang w:val="sk-SK"/>
          </w:rPr>
          <w:t>http://data.europa.eu/eli/reg/2020/2092/oj</w:t>
        </w:r>
      </w:hyperlink>
      <w:r w:rsidRPr="0084096C">
        <w:rPr>
          <w:sz w:val="24"/>
          <w:lang w:val="sk-SK"/>
        </w:rPr>
        <w:t>.</w:t>
      </w:r>
    </w:p>
  </w:footnote>
  <w:footnote w:id="5">
    <w:p w:rsidR="00803968" w:rsidRPr="0084096C" w:rsidP="0084096C" w14:paraId="1C87B899" w14:textId="599659EB">
      <w:pPr>
        <w:pStyle w:val="FootnoteText"/>
        <w:ind w:left="567" w:hanging="567"/>
        <w:rPr>
          <w:sz w:val="24"/>
          <w:lang w:val="sk-SK"/>
        </w:rPr>
      </w:pPr>
      <w:r w:rsidRPr="0084096C">
        <w:rPr>
          <w:sz w:val="24"/>
          <w:vertAlign w:val="superscript"/>
          <w:lang w:val="sk-SK"/>
        </w:rPr>
        <w:t>4</w:t>
      </w:r>
      <w:r w:rsidRPr="0084096C" w:rsidR="0084096C">
        <w:rPr>
          <w:sz w:val="24"/>
          <w:vertAlign w:val="superscript"/>
          <w:lang w:val="sk-SK"/>
        </w:rPr>
        <w:t xml:space="preserve"> </w:t>
      </w:r>
      <w:r w:rsidRPr="0084096C" w:rsidR="0084096C">
        <w:rPr>
          <w:sz w:val="24"/>
          <w:vertAlign w:val="superscript"/>
          <w:lang w:val="sk-SK"/>
        </w:rPr>
        <w:tab/>
      </w:r>
      <w:r w:rsidRPr="0084096C">
        <w:rPr>
          <w:sz w:val="24"/>
          <w:lang w:val="sk-SK"/>
        </w:rPr>
        <w:t xml:space="preserve">Ú. v. EÚ L, 2024/1263, 30.4.2024, ELI: </w:t>
      </w:r>
      <w:hyperlink r:id="rId4" w:tgtFrame="http://data.europa.eu/eli/reg/2024/1263/oj" w:history="1">
        <w:r w:rsidRPr="0084096C">
          <w:rPr>
            <w:rStyle w:val="Hyperlink"/>
            <w:sz w:val="24"/>
            <w:lang w:val="sk-SK"/>
          </w:rPr>
          <w:t>http://data.europa.eu/eli/reg/2024/1263/oj</w:t>
        </w:r>
      </w:hyperlink>
      <w:r w:rsidRPr="0084096C">
        <w:rPr>
          <w:sz w:val="24"/>
          <w:lang w:val="sk-SK"/>
        </w:rPr>
        <w:t>.</w:t>
      </w:r>
    </w:p>
  </w:footnote>
  <w:footnote w:id="6">
    <w:p w:rsidR="00803968" w:rsidRPr="0084096C" w:rsidP="0084096C" w14:paraId="1DC177DD" w14:textId="5F80CCDE">
      <w:pPr>
        <w:pStyle w:val="FootnoteText"/>
        <w:ind w:left="567" w:hanging="567"/>
        <w:rPr>
          <w:sz w:val="24"/>
          <w:lang w:val="sk-SK"/>
        </w:rPr>
      </w:pPr>
      <w:r w:rsidRPr="0084096C">
        <w:rPr>
          <w:sz w:val="24"/>
          <w:vertAlign w:val="superscript"/>
          <w:lang w:val="sk-SK"/>
        </w:rPr>
        <w:t>5</w:t>
      </w:r>
      <w:r w:rsidRPr="0084096C" w:rsidR="0084096C">
        <w:rPr>
          <w:sz w:val="24"/>
          <w:vertAlign w:val="superscript"/>
          <w:lang w:val="sk-SK"/>
        </w:rPr>
        <w:t xml:space="preserve"> </w:t>
      </w:r>
      <w:r w:rsidRPr="0084096C" w:rsidR="0084096C">
        <w:rPr>
          <w:sz w:val="24"/>
          <w:vertAlign w:val="superscript"/>
          <w:lang w:val="sk-SK"/>
        </w:rPr>
        <w:tab/>
      </w:r>
      <w:r w:rsidRPr="0084096C">
        <w:rPr>
          <w:sz w:val="24"/>
          <w:lang w:val="sk-SK"/>
        </w:rPr>
        <w:t>Ú. v. EÚ C 177, 17.5.2023, s. 115.</w:t>
      </w:r>
    </w:p>
  </w:footnote>
  <w:footnote w:id="7">
    <w:p w:rsidR="00803968" w:rsidRPr="0084096C" w:rsidP="0084096C" w14:paraId="22200831" w14:textId="1E6BECE8">
      <w:pPr>
        <w:pStyle w:val="FootnoteText"/>
        <w:ind w:left="567" w:hanging="567"/>
        <w:rPr>
          <w:sz w:val="24"/>
          <w:lang w:val="sk-SK"/>
        </w:rPr>
      </w:pPr>
      <w:r w:rsidRPr="0084096C">
        <w:rPr>
          <w:sz w:val="24"/>
          <w:vertAlign w:val="superscript"/>
          <w:lang w:val="sk-SK"/>
        </w:rPr>
        <w:t>6</w:t>
      </w:r>
      <w:r w:rsidRPr="0084096C" w:rsidR="0084096C">
        <w:rPr>
          <w:sz w:val="24"/>
          <w:vertAlign w:val="superscript"/>
          <w:lang w:val="sk-SK"/>
        </w:rPr>
        <w:t xml:space="preserve"> </w:t>
      </w:r>
      <w:r w:rsidRPr="0084096C" w:rsidR="0084096C">
        <w:rPr>
          <w:sz w:val="24"/>
          <w:vertAlign w:val="superscript"/>
          <w:lang w:val="sk-SK"/>
        </w:rPr>
        <w:tab/>
      </w:r>
      <w:r w:rsidRPr="0084096C">
        <w:rPr>
          <w:sz w:val="24"/>
          <w:lang w:val="sk-SK"/>
        </w:rPr>
        <w:t xml:space="preserve">Ú. v. EÚ C, C/2024/6750, 26.11.2024, ELI: </w:t>
      </w:r>
      <w:hyperlink r:id="rId5" w:tgtFrame="http://data.europa.eu/eli/C/2024/6750/oj" w:history="1">
        <w:r w:rsidRPr="0084096C">
          <w:rPr>
            <w:rStyle w:val="Hyperlink"/>
            <w:sz w:val="24"/>
            <w:lang w:val="sk-SK"/>
          </w:rPr>
          <w:t>http://data.europa.eu/eli/C/2024/6750/oj</w:t>
        </w:r>
      </w:hyperlink>
      <w:r w:rsidRPr="0084096C">
        <w:rPr>
          <w:sz w:val="24"/>
          <w:lang w:val="sk-SK"/>
        </w:rPr>
        <w:t>.</w:t>
      </w:r>
    </w:p>
  </w:footnote>
  <w:footnote w:id="8">
    <w:p w:rsidR="00803968" w:rsidRPr="0084096C" w:rsidP="0084096C" w14:paraId="41E70E67" w14:textId="2CD65675">
      <w:pPr>
        <w:pStyle w:val="FootnoteText"/>
        <w:ind w:left="567" w:hanging="567"/>
        <w:rPr>
          <w:sz w:val="24"/>
          <w:lang w:val="sk-SK"/>
        </w:rPr>
      </w:pPr>
      <w:r w:rsidRPr="0084096C">
        <w:rPr>
          <w:sz w:val="24"/>
          <w:vertAlign w:val="superscript"/>
          <w:lang w:val="sk-SK"/>
        </w:rPr>
        <w:t>7</w:t>
      </w:r>
      <w:r w:rsidRPr="0084096C" w:rsidR="0084096C">
        <w:rPr>
          <w:sz w:val="24"/>
          <w:vertAlign w:val="superscript"/>
          <w:lang w:val="sk-SK"/>
        </w:rPr>
        <w:t xml:space="preserve"> </w:t>
      </w:r>
      <w:r w:rsidRPr="0084096C" w:rsidR="0084096C">
        <w:rPr>
          <w:sz w:val="24"/>
          <w:vertAlign w:val="superscript"/>
          <w:lang w:val="sk-SK"/>
        </w:rPr>
        <w:tab/>
      </w:r>
      <w:r w:rsidRPr="0084096C">
        <w:rPr>
          <w:sz w:val="24"/>
          <w:lang w:val="sk-SK"/>
        </w:rPr>
        <w:t xml:space="preserve">Ú. v. EÚ L 433 I, 22.12.2020, s. 28, ELI: </w:t>
      </w:r>
      <w:hyperlink r:id="rId6" w:tgtFrame="http://data.europa.eu/eli/agree_interinstit/2020/1222/oj" w:history="1">
        <w:r w:rsidRPr="0084096C">
          <w:rPr>
            <w:rStyle w:val="Hyperlink"/>
            <w:sz w:val="24"/>
            <w:lang w:val="sk-SK"/>
          </w:rPr>
          <w:t>http://data.europa.eu/eli/agree_interinstit/2020/1222/oj</w:t>
        </w:r>
      </w:hyperlink>
      <w:r w:rsidRPr="0084096C">
        <w:rPr>
          <w:sz w:val="24"/>
          <w:lang w:val="sk-SK"/>
        </w:rPr>
        <w:t>.</w:t>
      </w:r>
    </w:p>
  </w:footnote>
  <w:footnote w:id="9">
    <w:p w:rsidR="00803968" w:rsidRPr="0084096C" w:rsidP="0084096C" w14:paraId="58204DA6" w14:textId="1251EED6">
      <w:pPr>
        <w:pStyle w:val="FootnoteText"/>
        <w:ind w:left="567" w:hanging="567"/>
        <w:rPr>
          <w:sz w:val="24"/>
          <w:lang w:val="sk-SK"/>
        </w:rPr>
      </w:pPr>
      <w:r w:rsidRPr="0084096C">
        <w:rPr>
          <w:sz w:val="24"/>
          <w:vertAlign w:val="superscript"/>
          <w:lang w:val="sk-SK"/>
        </w:rPr>
        <w:t>8</w:t>
      </w:r>
      <w:r w:rsidRPr="0084096C" w:rsidR="0084096C">
        <w:rPr>
          <w:sz w:val="24"/>
          <w:vertAlign w:val="superscript"/>
          <w:lang w:val="sk-SK"/>
        </w:rPr>
        <w:t xml:space="preserve"> </w:t>
      </w:r>
      <w:r w:rsidRPr="0084096C" w:rsidR="0084096C">
        <w:rPr>
          <w:sz w:val="24"/>
          <w:vertAlign w:val="superscript"/>
          <w:lang w:val="sk-SK"/>
        </w:rPr>
        <w:tab/>
      </w:r>
      <w:r w:rsidRPr="0084096C">
        <w:rPr>
          <w:sz w:val="24"/>
          <w:lang w:val="sk-SK"/>
        </w:rPr>
        <w:t>Ú. v. EÚ C 445, 29.10.2021, s. 240.</w:t>
      </w:r>
    </w:p>
  </w:footnote>
  <w:footnote w:id="10">
    <w:p w:rsidR="00803968" w:rsidRPr="0084096C" w:rsidP="0084096C" w14:paraId="6A4FB70A" w14:textId="105028A4">
      <w:pPr>
        <w:pStyle w:val="FootnoteText"/>
        <w:ind w:left="567" w:hanging="567"/>
        <w:rPr>
          <w:sz w:val="24"/>
          <w:lang w:val="sk-SK"/>
        </w:rPr>
      </w:pPr>
      <w:r w:rsidRPr="0084096C">
        <w:rPr>
          <w:sz w:val="24"/>
          <w:vertAlign w:val="superscript"/>
          <w:lang w:val="sk-SK"/>
        </w:rPr>
        <w:t>9</w:t>
      </w:r>
      <w:r w:rsidRPr="0084096C" w:rsidR="0084096C">
        <w:rPr>
          <w:sz w:val="24"/>
          <w:vertAlign w:val="superscript"/>
          <w:lang w:val="sk-SK"/>
        </w:rPr>
        <w:t xml:space="preserve"> </w:t>
      </w:r>
      <w:r w:rsidRPr="0084096C" w:rsidR="0084096C">
        <w:rPr>
          <w:sz w:val="24"/>
          <w:vertAlign w:val="superscript"/>
          <w:lang w:val="sk-SK"/>
        </w:rPr>
        <w:tab/>
      </w:r>
      <w:r w:rsidRPr="0084096C">
        <w:rPr>
          <w:sz w:val="24"/>
          <w:lang w:val="sk-SK"/>
        </w:rPr>
        <w:t>Prijaté texty, P10_TA(2025)0090.</w:t>
      </w:r>
    </w:p>
  </w:footnote>
  <w:footnote w:id="11">
    <w:p w:rsidR="00803968" w:rsidRPr="0084096C" w:rsidP="0084096C" w14:paraId="0F2DDD64" w14:textId="549B1DC2">
      <w:pPr>
        <w:pStyle w:val="FootnoteText"/>
        <w:ind w:left="567" w:hanging="567"/>
        <w:rPr>
          <w:sz w:val="24"/>
          <w:lang w:val="sk-SK"/>
        </w:rPr>
      </w:pPr>
      <w:r w:rsidRPr="0084096C">
        <w:rPr>
          <w:sz w:val="24"/>
          <w:vertAlign w:val="superscript"/>
          <w:lang w:val="sk-SK"/>
        </w:rPr>
        <w:t>10</w:t>
      </w:r>
      <w:r w:rsidRPr="0084096C" w:rsidR="0084096C">
        <w:rPr>
          <w:sz w:val="24"/>
          <w:vertAlign w:val="superscript"/>
          <w:lang w:val="sk-SK"/>
        </w:rPr>
        <w:t xml:space="preserve"> </w:t>
      </w:r>
      <w:r w:rsidRPr="0084096C" w:rsidR="0084096C">
        <w:rPr>
          <w:sz w:val="24"/>
          <w:vertAlign w:val="superscript"/>
          <w:lang w:val="sk-SK"/>
        </w:rPr>
        <w:tab/>
      </w:r>
      <w:r w:rsidRPr="0084096C">
        <w:rPr>
          <w:sz w:val="24"/>
          <w:lang w:val="sk-SK"/>
        </w:rPr>
        <w:t xml:space="preserve">Ú. v. EÚ C, C/2024/7057, 4.12.2024, ELI: </w:t>
      </w:r>
      <w:hyperlink r:id="rId7" w:tgtFrame="http://data.europa.eu/eli/C/2024/7057/oj" w:history="1">
        <w:r w:rsidRPr="0084096C">
          <w:rPr>
            <w:rStyle w:val="Hyperlink"/>
            <w:sz w:val="24"/>
            <w:lang w:val="sk-SK"/>
          </w:rPr>
          <w:t>http://data.europa.eu/eli/C/2024/7057/oj</w:t>
        </w:r>
      </w:hyperlink>
      <w:r w:rsidRPr="0084096C">
        <w:rPr>
          <w:sz w:val="24"/>
          <w:lang w:val="sk-SK"/>
        </w:rPr>
        <w:t>.</w:t>
      </w:r>
    </w:p>
  </w:footnote>
  <w:footnote w:id="12">
    <w:p w:rsidR="00803968" w:rsidRPr="0084096C" w:rsidP="0084096C" w14:paraId="6D93083D" w14:textId="4782F69D">
      <w:pPr>
        <w:pStyle w:val="FootnoteText"/>
        <w:ind w:left="567" w:hanging="567"/>
        <w:rPr>
          <w:sz w:val="24"/>
          <w:lang w:val="sk-SK"/>
        </w:rPr>
      </w:pPr>
      <w:r w:rsidRPr="0084096C">
        <w:rPr>
          <w:sz w:val="24"/>
          <w:vertAlign w:val="superscript"/>
          <w:lang w:val="sk-SK"/>
        </w:rPr>
        <w:t>11</w:t>
      </w:r>
      <w:r w:rsidRPr="0084096C" w:rsidR="0084096C">
        <w:rPr>
          <w:sz w:val="24"/>
          <w:vertAlign w:val="superscript"/>
          <w:lang w:val="sk-SK"/>
        </w:rPr>
        <w:t xml:space="preserve"> </w:t>
      </w:r>
      <w:r w:rsidRPr="0084096C" w:rsidR="0084096C">
        <w:rPr>
          <w:sz w:val="24"/>
          <w:vertAlign w:val="superscript"/>
          <w:lang w:val="sk-SK"/>
        </w:rPr>
        <w:tab/>
      </w:r>
      <w:r w:rsidRPr="0084096C">
        <w:rPr>
          <w:sz w:val="24"/>
          <w:lang w:val="sk-SK"/>
        </w:rPr>
        <w:t xml:space="preserve">Ú. v. EÚ C, C/2025/279, 24.1.2025, ELI: </w:t>
      </w:r>
      <w:hyperlink r:id="rId8" w:tgtFrame="http://data.europa.eu/eli/C/2025/279/oj" w:history="1">
        <w:r w:rsidRPr="0084096C">
          <w:rPr>
            <w:rStyle w:val="Hyperlink"/>
            <w:sz w:val="24"/>
            <w:lang w:val="sk-SK"/>
          </w:rPr>
          <w:t>http://data.europa.eu/eli/C/2025/279/oj</w:t>
        </w:r>
      </w:hyperlink>
      <w:r w:rsidRPr="0084096C">
        <w:rPr>
          <w:sz w:val="24"/>
          <w:lang w:val="sk-SK"/>
        </w:rPr>
        <w:t>.</w:t>
      </w:r>
    </w:p>
  </w:footnote>
  <w:footnote w:id="13">
    <w:p w:rsidR="00803968" w:rsidRPr="0084096C" w:rsidP="0084096C" w14:paraId="3CAFEDDE" w14:textId="3F7D8D5F">
      <w:pPr>
        <w:pStyle w:val="FootnoteText"/>
        <w:ind w:left="567" w:hanging="567"/>
        <w:rPr>
          <w:sz w:val="24"/>
          <w:lang w:val="sk-SK"/>
        </w:rPr>
      </w:pPr>
      <w:r w:rsidRPr="0084096C">
        <w:rPr>
          <w:sz w:val="24"/>
          <w:vertAlign w:val="superscript"/>
          <w:lang w:val="sk-SK"/>
        </w:rPr>
        <w:t>12</w:t>
      </w:r>
      <w:r w:rsidRPr="0084096C" w:rsidR="0084096C">
        <w:rPr>
          <w:sz w:val="24"/>
          <w:vertAlign w:val="superscript"/>
          <w:lang w:val="sk-SK"/>
        </w:rPr>
        <w:t xml:space="preserve"> </w:t>
      </w:r>
      <w:r w:rsidRPr="0084096C" w:rsidR="0084096C">
        <w:rPr>
          <w:sz w:val="24"/>
          <w:vertAlign w:val="superscript"/>
          <w:lang w:val="sk-SK"/>
        </w:rPr>
        <w:tab/>
      </w:r>
      <w:r w:rsidRPr="0084096C">
        <w:rPr>
          <w:sz w:val="24"/>
          <w:lang w:val="sk-SK"/>
        </w:rPr>
        <w:t>Prijaté texty, P10_TA(2025)0128.</w:t>
      </w:r>
    </w:p>
  </w:footnote>
  <w:footnote w:id="14">
    <w:p w:rsidR="00803968" w:rsidRPr="0084096C" w:rsidP="0084096C" w14:paraId="44453218" w14:textId="36E2015E">
      <w:pPr>
        <w:pStyle w:val="FootnoteText"/>
        <w:ind w:left="567" w:hanging="567"/>
        <w:rPr>
          <w:sz w:val="24"/>
          <w:lang w:val="sk-SK"/>
        </w:rPr>
      </w:pPr>
      <w:r w:rsidRPr="0084096C">
        <w:rPr>
          <w:rStyle w:val="FootnoteReference"/>
          <w:sz w:val="24"/>
          <w:lang w:val="sk-SK"/>
        </w:rPr>
        <w:footnoteRef/>
      </w:r>
      <w:r w:rsidRPr="0084096C" w:rsidR="0084096C">
        <w:rPr>
          <w:sz w:val="24"/>
          <w:lang w:val="sk-SK"/>
        </w:rPr>
        <w:t xml:space="preserve"> </w:t>
      </w:r>
      <w:r w:rsidRPr="0084096C" w:rsidR="0084096C">
        <w:rPr>
          <w:sz w:val="24"/>
          <w:lang w:val="sk-SK"/>
        </w:rPr>
        <w:tab/>
      </w:r>
      <w:r w:rsidRPr="0084096C">
        <w:rPr>
          <w:sz w:val="24"/>
          <w:lang w:val="sk-SK"/>
        </w:rPr>
        <w:t xml:space="preserve">Nariadenie Európskeho parlamentu a Rady (EÚ) 2016/679 z 27. apríla 2016 o ochrane fyzických osôb pri spracúvaní osobných údajov a o voľnom pohybe takýchto údajov, ktorým sa zrušuje smernica 95/46/ES (všeobecné nariadenie o ochrane údajov) (Ú. v. EÚ L 119, 4.5.2016, s. 1, ELI: </w:t>
      </w:r>
      <w:hyperlink r:id="rId9" w:history="1">
        <w:r w:rsidRPr="0084096C">
          <w:rPr>
            <w:rStyle w:val="Hyperlink"/>
            <w:sz w:val="24"/>
            <w:lang w:val="sk-SK"/>
          </w:rPr>
          <w:t>http://data.europa.eu/eli/reg/2016/679/oj</w:t>
        </w:r>
      </w:hyperlink>
      <w:r w:rsidRPr="0084096C">
        <w:rPr>
          <w:sz w:val="24"/>
          <w:lang w:val="sk-SK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4096C" w14:paraId="7FB4945A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4096C" w14:paraId="60EFAF95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4096C" w14:paraId="5B0D4930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926651677">
    <w:abstractNumId w:val="9"/>
  </w:num>
  <w:num w:numId="2" w16cid:durableId="2116561233">
    <w:abstractNumId w:val="9"/>
  </w:num>
  <w:num w:numId="3" w16cid:durableId="569273453">
    <w:abstractNumId w:val="7"/>
  </w:num>
  <w:num w:numId="4" w16cid:durableId="1885867471">
    <w:abstractNumId w:val="7"/>
  </w:num>
  <w:num w:numId="5" w16cid:durableId="10375035">
    <w:abstractNumId w:val="6"/>
  </w:num>
  <w:num w:numId="6" w16cid:durableId="883712466">
    <w:abstractNumId w:val="6"/>
  </w:num>
  <w:num w:numId="7" w16cid:durableId="741682673">
    <w:abstractNumId w:val="5"/>
  </w:num>
  <w:num w:numId="8" w16cid:durableId="1601183321">
    <w:abstractNumId w:val="5"/>
  </w:num>
  <w:num w:numId="9" w16cid:durableId="2107188134">
    <w:abstractNumId w:val="4"/>
  </w:num>
  <w:num w:numId="10" w16cid:durableId="1852640318">
    <w:abstractNumId w:val="4"/>
  </w:num>
  <w:num w:numId="11" w16cid:durableId="1399128744">
    <w:abstractNumId w:val="8"/>
  </w:num>
  <w:num w:numId="12" w16cid:durableId="1567573151">
    <w:abstractNumId w:val="8"/>
  </w:num>
  <w:num w:numId="13" w16cid:durableId="725379516">
    <w:abstractNumId w:val="3"/>
  </w:num>
  <w:num w:numId="14" w16cid:durableId="1863469373">
    <w:abstractNumId w:val="3"/>
  </w:num>
  <w:num w:numId="15" w16cid:durableId="1278874564">
    <w:abstractNumId w:val="2"/>
  </w:num>
  <w:num w:numId="16" w16cid:durableId="1625580804">
    <w:abstractNumId w:val="2"/>
  </w:num>
  <w:num w:numId="17" w16cid:durableId="1772313217">
    <w:abstractNumId w:val="1"/>
  </w:num>
  <w:num w:numId="18" w16cid:durableId="224293131">
    <w:abstractNumId w:val="1"/>
  </w:num>
  <w:num w:numId="19" w16cid:durableId="1285770034">
    <w:abstractNumId w:val="0"/>
  </w:num>
  <w:num w:numId="20" w16cid:durableId="962034409">
    <w:abstractNumId w:val="0"/>
  </w:num>
  <w:num w:numId="21" w16cid:durableId="120854419">
    <w:abstractNumId w:val="9"/>
  </w:num>
  <w:num w:numId="22" w16cid:durableId="867647927">
    <w:abstractNumId w:val="7"/>
  </w:num>
  <w:num w:numId="23" w16cid:durableId="1260870499">
    <w:abstractNumId w:val="6"/>
  </w:num>
  <w:num w:numId="24" w16cid:durableId="621225666">
    <w:abstractNumId w:val="5"/>
  </w:num>
  <w:num w:numId="25" w16cid:durableId="1721594247">
    <w:abstractNumId w:val="4"/>
  </w:num>
  <w:num w:numId="26" w16cid:durableId="1026642440">
    <w:abstractNumId w:val="8"/>
  </w:num>
  <w:num w:numId="27" w16cid:durableId="1428579701">
    <w:abstractNumId w:val="3"/>
  </w:num>
  <w:num w:numId="28" w16cid:durableId="1903365742">
    <w:abstractNumId w:val="2"/>
  </w:num>
  <w:num w:numId="29" w16cid:durableId="1985507747">
    <w:abstractNumId w:val="1"/>
  </w:num>
  <w:num w:numId="30" w16cid:durableId="49963318">
    <w:abstractNumId w:val="0"/>
  </w:num>
  <w:num w:numId="31" w16cid:durableId="865101095">
    <w:abstractNumId w:val="9"/>
  </w:num>
  <w:num w:numId="32" w16cid:durableId="1739865388">
    <w:abstractNumId w:val="7"/>
  </w:num>
  <w:num w:numId="33" w16cid:durableId="105659623">
    <w:abstractNumId w:val="6"/>
  </w:num>
  <w:num w:numId="34" w16cid:durableId="514003594">
    <w:abstractNumId w:val="5"/>
  </w:num>
  <w:num w:numId="35" w16cid:durableId="1066344567">
    <w:abstractNumId w:val="4"/>
  </w:num>
  <w:num w:numId="36" w16cid:durableId="1672567790">
    <w:abstractNumId w:val="8"/>
  </w:num>
  <w:num w:numId="37" w16cid:durableId="1764885408">
    <w:abstractNumId w:val="3"/>
  </w:num>
  <w:num w:numId="38" w16cid:durableId="386880974">
    <w:abstractNumId w:val="2"/>
  </w:num>
  <w:num w:numId="39" w16cid:durableId="491067876">
    <w:abstractNumId w:val="1"/>
  </w:num>
  <w:num w:numId="40" w16cid:durableId="1444030018">
    <w:abstractNumId w:val="0"/>
  </w:num>
  <w:num w:numId="41" w16cid:durableId="877204068">
    <w:abstractNumId w:val="10"/>
  </w:num>
  <w:num w:numId="42" w16cid:durableId="259263954">
    <w:abstractNumId w:val="10"/>
  </w:num>
  <w:num w:numId="43" w16cid:durableId="1976446560">
    <w:abstractNumId w:val="10"/>
  </w:num>
  <w:num w:numId="44" w16cid:durableId="120771843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AB2"/>
    <w:rsid w:val="00002272"/>
    <w:rsid w:val="00064002"/>
    <w:rsid w:val="000677B9"/>
    <w:rsid w:val="000831BA"/>
    <w:rsid w:val="000A42CC"/>
    <w:rsid w:val="000B1827"/>
    <w:rsid w:val="000E7DD9"/>
    <w:rsid w:val="0010095E"/>
    <w:rsid w:val="00125B37"/>
    <w:rsid w:val="00187494"/>
    <w:rsid w:val="001F32AE"/>
    <w:rsid w:val="002767FF"/>
    <w:rsid w:val="002B18FE"/>
    <w:rsid w:val="002B5493"/>
    <w:rsid w:val="003264DC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A4AAB"/>
    <w:rsid w:val="004C0004"/>
    <w:rsid w:val="004C5D52"/>
    <w:rsid w:val="0050519A"/>
    <w:rsid w:val="005072A1"/>
    <w:rsid w:val="00511E8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3968"/>
    <w:rsid w:val="00817416"/>
    <w:rsid w:val="0084096C"/>
    <w:rsid w:val="00842779"/>
    <w:rsid w:val="00865F67"/>
    <w:rsid w:val="00881A7B"/>
    <w:rsid w:val="008840E5"/>
    <w:rsid w:val="00887B3E"/>
    <w:rsid w:val="008C2AC6"/>
    <w:rsid w:val="0090102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C0AB2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50C62"/>
    <w:rsid w:val="00E63F99"/>
    <w:rsid w:val="00E820A4"/>
    <w:rsid w:val="00EB006A"/>
    <w:rsid w:val="00EB4772"/>
    <w:rsid w:val="00ED169E"/>
    <w:rsid w:val="00ED4235"/>
    <w:rsid w:val="00EF1FA6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022/2026"/>
    <w:docVar w:name="dvlangue" w:val="SK"/>
    <w:docVar w:name="dvnumam" w:val="0"/>
    <w:docVar w:name="dvpe" w:val="778.127"/>
    <w:docVar w:name="dvrapporteur" w:val="Spravodajkyňa: "/>
    <w:docVar w:name="dvtitre" w:val="Uznesenie Európskeho parlamentu z/zo xx. xxx 2026 o kontrole, transparentnosti a vysledovateľnosti nástrojov založených na výkonnosti(2025/2032(INI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F651508"/>
  <w15:chartTrackingRefBased/>
  <w15:docId w15:val="{BB87E5E7-E1C6-4219-BEBE-9C5660195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12a">
    <w:name w:val="Normal12a"/>
    <w:basedOn w:val="Normal"/>
    <w:rsid w:val="00803968"/>
    <w:pPr>
      <w:widowControl/>
      <w:spacing w:after="240"/>
    </w:pPr>
    <w:rPr>
      <w:szCs w:val="24"/>
      <w:lang w:eastAsia="en-US"/>
    </w:rPr>
  </w:style>
  <w:style w:type="paragraph" w:customStyle="1" w:styleId="NormalHanging12a">
    <w:name w:val="NormalHanging12a"/>
    <w:basedOn w:val="Normal"/>
    <w:link w:val="NormalHanging12aChar"/>
    <w:rsid w:val="00803968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12">
    <w:name w:val="Normal12"/>
    <w:basedOn w:val="Normal"/>
    <w:rsid w:val="00803968"/>
    <w:pPr>
      <w:widowControl/>
      <w:spacing w:after="240"/>
    </w:pPr>
    <w:rPr>
      <w:szCs w:val="24"/>
      <w:lang w:eastAsia="en-US"/>
    </w:rPr>
  </w:style>
  <w:style w:type="paragraph" w:customStyle="1" w:styleId="NormalHanging">
    <w:name w:val="NormalHanging"/>
    <w:basedOn w:val="Normal"/>
    <w:rsid w:val="00803968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Center12a">
    <w:name w:val="NormalCenter12a"/>
    <w:basedOn w:val="Normal"/>
    <w:rsid w:val="00803968"/>
    <w:pPr>
      <w:widowControl/>
      <w:spacing w:after="240"/>
      <w:jc w:val="center"/>
    </w:pPr>
    <w:rPr>
      <w:szCs w:val="24"/>
      <w:lang w:eastAsia="en-US"/>
    </w:rPr>
  </w:style>
  <w:style w:type="character" w:styleId="Hyperlink">
    <w:name w:val="Hyperlink"/>
    <w:basedOn w:val="DefaultParagraphFont"/>
    <w:rsid w:val="00803968"/>
    <w:rPr>
      <w:color w:val="0000FF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803968"/>
    <w:rPr>
      <w:sz w:val="24"/>
      <w:szCs w:val="24"/>
      <w:lang w:val="sk-SK" w:eastAsia="en-US"/>
    </w:rPr>
  </w:style>
  <w:style w:type="paragraph" w:styleId="Revision">
    <w:name w:val="Revision"/>
    <w:hidden/>
    <w:uiPriority w:val="99"/>
    <w:semiHidden/>
    <w:rsid w:val="00E63F99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reg/2020/2093/oj" TargetMode="External" /><Relationship Id="rId2" Type="http://schemas.openxmlformats.org/officeDocument/2006/relationships/hyperlink" Target="http://data.europa.eu/eli/reg/2024/2509/oj" TargetMode="External" /><Relationship Id="rId3" Type="http://schemas.openxmlformats.org/officeDocument/2006/relationships/hyperlink" Target="http://data.europa.eu/eli/reg/2020/2092/oj" TargetMode="External" /><Relationship Id="rId4" Type="http://schemas.openxmlformats.org/officeDocument/2006/relationships/hyperlink" Target="http://data.europa.eu/eli/reg/2024/1263/oj" TargetMode="External" /><Relationship Id="rId5" Type="http://schemas.openxmlformats.org/officeDocument/2006/relationships/hyperlink" Target="http://data.europa.eu/eli/C/2024/6750/oj" TargetMode="External" /><Relationship Id="rId6" Type="http://schemas.openxmlformats.org/officeDocument/2006/relationships/hyperlink" Target="http://data.europa.eu/eli/agree_interinstit/2020/1222/oj" TargetMode="External" /><Relationship Id="rId7" Type="http://schemas.openxmlformats.org/officeDocument/2006/relationships/hyperlink" Target="http://data.europa.eu/eli/C/2024/7057/oj" TargetMode="External" /><Relationship Id="rId8" Type="http://schemas.openxmlformats.org/officeDocument/2006/relationships/hyperlink" Target="http://data.europa.eu/eli/C/2025/279/oj" TargetMode="External" /><Relationship Id="rId9" Type="http://schemas.openxmlformats.org/officeDocument/2006/relationships/hyperlink" Target="http://data.europa.eu/eli/reg/2016/679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4797</Words>
  <Characters>30501</Characters>
  <Application>Microsoft Office Word</Application>
  <DocSecurity>0</DocSecurity>
  <Lines>1326</Lines>
  <Paragraphs>705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34593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2026-04-28T11:46:00Z</dcterms:created>
  <dcterms:modified xsi:type="dcterms:W3CDTF">2026-04-28T11:46:00Z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A10-0022/2026</vt:lpwstr>
  </property>
  <property fmtid="{D5CDD505-2E9C-101B-9397-08002B2CF9AE}" pid="4" name="&lt;Type&gt;">
    <vt:lpwstr>RR</vt:lpwstr>
  </property>
</Properties>
</file>