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660B9" w14:paraId="6755E4C2" w14:textId="77777777" w:rsidTr="0010095E">
        <w:trPr>
          <w:trHeight w:hRule="exact" w:val="1418"/>
        </w:trPr>
        <w:tc>
          <w:tcPr>
            <w:tcW w:w="6804" w:type="dxa"/>
            <w:shd w:val="clear" w:color="auto" w:fill="auto"/>
            <w:vAlign w:val="center"/>
          </w:tcPr>
          <w:p w14:paraId="09B00944" w14:textId="77777777" w:rsidR="00751A4A" w:rsidRPr="004660B9" w:rsidRDefault="009D3D5A" w:rsidP="0010095E">
            <w:pPr>
              <w:pStyle w:val="EPName"/>
            </w:pPr>
            <w:r w:rsidRPr="004660B9">
              <w:t>European Parliament</w:t>
            </w:r>
          </w:p>
          <w:p w14:paraId="4160323F" w14:textId="77777777" w:rsidR="00751A4A" w:rsidRPr="004660B9" w:rsidRDefault="005F1B17" w:rsidP="005F1B17">
            <w:pPr>
              <w:pStyle w:val="EPTerm"/>
              <w:rPr>
                <w:rStyle w:val="HideTWBExt"/>
                <w:noProof w:val="0"/>
                <w:vanish w:val="0"/>
                <w:color w:val="auto"/>
              </w:rPr>
            </w:pPr>
            <w:r w:rsidRPr="004660B9">
              <w:t>2024</w:t>
            </w:r>
            <w:r w:rsidR="00817416" w:rsidRPr="004660B9">
              <w:t>-202</w:t>
            </w:r>
            <w:r w:rsidRPr="004660B9">
              <w:t>9</w:t>
            </w:r>
          </w:p>
        </w:tc>
        <w:tc>
          <w:tcPr>
            <w:tcW w:w="2268" w:type="dxa"/>
            <w:shd w:val="clear" w:color="auto" w:fill="auto"/>
          </w:tcPr>
          <w:p w14:paraId="22746BBD" w14:textId="77777777" w:rsidR="00751A4A" w:rsidRPr="004660B9" w:rsidRDefault="00187494" w:rsidP="0010095E">
            <w:pPr>
              <w:pStyle w:val="EPLogo"/>
            </w:pPr>
            <w:r w:rsidRPr="004660B9">
              <w:rPr>
                <w:noProof/>
                <w:lang w:eastAsia="ja-JP"/>
              </w:rPr>
              <w:drawing>
                <wp:inline distT="0" distB="0" distL="0" distR="0" wp14:anchorId="387EF1F0" wp14:editId="79144A3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535E208" w14:textId="77777777" w:rsidR="00D058B8" w:rsidRPr="004660B9" w:rsidRDefault="00D058B8" w:rsidP="004C5D52">
      <w:pPr>
        <w:pStyle w:val="LineTop"/>
      </w:pPr>
    </w:p>
    <w:p w14:paraId="5F2D3AE6" w14:textId="77777777" w:rsidR="00680577" w:rsidRPr="004660B9" w:rsidRDefault="009D3D5A" w:rsidP="00680577">
      <w:pPr>
        <w:pStyle w:val="EPBodyTA1"/>
      </w:pPr>
      <w:r w:rsidRPr="004660B9">
        <w:t>TEXTS ADOPTED</w:t>
      </w:r>
    </w:p>
    <w:p w14:paraId="65397C45" w14:textId="77777777" w:rsidR="00D058B8" w:rsidRPr="004660B9" w:rsidRDefault="00D058B8" w:rsidP="00D058B8">
      <w:pPr>
        <w:pStyle w:val="LineBottom"/>
      </w:pPr>
    </w:p>
    <w:p w14:paraId="6961406D" w14:textId="46674DBB" w:rsidR="009D3D5A" w:rsidRPr="004660B9" w:rsidRDefault="009D3D5A" w:rsidP="009D3D5A">
      <w:pPr>
        <w:pStyle w:val="ATHeading1"/>
      </w:pPr>
      <w:bookmarkStart w:id="0" w:name="TANumber"/>
      <w:r w:rsidRPr="004660B9">
        <w:t>P10_TA(2026)</w:t>
      </w:r>
      <w:bookmarkEnd w:id="0"/>
      <w:r w:rsidR="00257A41">
        <w:t>0124</w:t>
      </w:r>
    </w:p>
    <w:p w14:paraId="52F17BE0" w14:textId="77777777" w:rsidR="009D3D5A" w:rsidRPr="004660B9" w:rsidRDefault="009D3D5A" w:rsidP="009D3D5A">
      <w:pPr>
        <w:pStyle w:val="ATHeading2"/>
      </w:pPr>
      <w:bookmarkStart w:id="1" w:name="title"/>
      <w:r w:rsidRPr="004660B9">
        <w:t>Amendment of the European Electoral Act allowing Members to vote in plenary by proxy voting during pregnancy and after giving birth</w:t>
      </w:r>
      <w:bookmarkEnd w:id="1"/>
    </w:p>
    <w:p w14:paraId="152A17E5" w14:textId="77777777" w:rsidR="009D3D5A" w:rsidRPr="005733C2" w:rsidRDefault="009D3D5A" w:rsidP="009D3D5A">
      <w:pPr>
        <w:rPr>
          <w:i/>
          <w:vanish/>
          <w:lang w:val="fr-BE"/>
        </w:rPr>
      </w:pPr>
      <w:r w:rsidRPr="004660B9">
        <w:rPr>
          <w:i/>
        </w:rPr>
        <w:fldChar w:fldCharType="begin"/>
      </w:r>
      <w:r w:rsidRPr="005733C2">
        <w:rPr>
          <w:i/>
          <w:lang w:val="fr-BE"/>
        </w:rPr>
        <w:instrText xml:space="preserve"> TC"(</w:instrText>
      </w:r>
      <w:bookmarkStart w:id="2" w:name="DocNumber"/>
      <w:r w:rsidRPr="005733C2">
        <w:rPr>
          <w:i/>
          <w:lang w:val="fr-BE"/>
        </w:rPr>
        <w:instrText>A10-0123/2026</w:instrText>
      </w:r>
      <w:bookmarkEnd w:id="2"/>
      <w:r w:rsidRPr="005733C2">
        <w:rPr>
          <w:i/>
          <w:lang w:val="fr-BE"/>
        </w:rPr>
        <w:instrText xml:space="preserve"> - Rapporteur: Juan Fernando López Aguilar)"\l3 \n&gt; \* MERGEFORMAT </w:instrText>
      </w:r>
      <w:r w:rsidRPr="004660B9">
        <w:rPr>
          <w:i/>
        </w:rPr>
        <w:fldChar w:fldCharType="end"/>
      </w:r>
    </w:p>
    <w:p w14:paraId="0AE365AA" w14:textId="77777777" w:rsidR="009D3D5A" w:rsidRPr="005733C2" w:rsidRDefault="009D3D5A" w:rsidP="009D3D5A">
      <w:pPr>
        <w:rPr>
          <w:vanish/>
          <w:lang w:val="fr-BE"/>
        </w:rPr>
      </w:pPr>
      <w:bookmarkStart w:id="3" w:name="Commission"/>
      <w:r w:rsidRPr="005733C2">
        <w:rPr>
          <w:vanish/>
          <w:lang w:val="fr-BE"/>
        </w:rPr>
        <w:t>Committee on Constitutional Affairs</w:t>
      </w:r>
      <w:bookmarkEnd w:id="3"/>
    </w:p>
    <w:p w14:paraId="50BFEA72" w14:textId="77777777" w:rsidR="009D3D5A" w:rsidRPr="005733C2" w:rsidRDefault="009D3D5A" w:rsidP="009D3D5A">
      <w:pPr>
        <w:rPr>
          <w:vanish/>
          <w:lang w:val="fr-BE"/>
        </w:rPr>
      </w:pPr>
      <w:bookmarkStart w:id="4" w:name="PE"/>
      <w:r w:rsidRPr="005733C2">
        <w:rPr>
          <w:vanish/>
          <w:lang w:val="fr-BE"/>
        </w:rPr>
        <w:t>PE786.666</w:t>
      </w:r>
      <w:bookmarkEnd w:id="4"/>
    </w:p>
    <w:p w14:paraId="6D920063" w14:textId="77777777" w:rsidR="009D3D5A" w:rsidRPr="004660B9" w:rsidRDefault="009D3D5A" w:rsidP="009D3D5A">
      <w:pPr>
        <w:pStyle w:val="ATHeading3"/>
      </w:pPr>
      <w:bookmarkStart w:id="5" w:name="Sujet"/>
      <w:r w:rsidRPr="004660B9">
        <w:t>European Parliament legislative resolution of 29 April 2026 on the draft Council decision amending the Act concerning the election of the members of the European Parliament by direct universal suffrage, annexed to Council Decision 76/787/ECSC, EEC, Euratom of 20 September 1976</w:t>
      </w:r>
      <w:bookmarkEnd w:id="5"/>
      <w:r w:rsidRPr="004660B9">
        <w:t xml:space="preserve"> </w:t>
      </w:r>
      <w:bookmarkStart w:id="6" w:name="References"/>
      <w:r w:rsidRPr="004660B9">
        <w:t>(06708/2026 – C10-0078/2026 – 2025/0900(APP))</w:t>
      </w:r>
      <w:bookmarkEnd w:id="6"/>
    </w:p>
    <w:p w14:paraId="71FBCE06" w14:textId="77777777" w:rsidR="00C20096" w:rsidRPr="004660B9" w:rsidRDefault="00C20096" w:rsidP="00C20096">
      <w:pPr>
        <w:pStyle w:val="NormalBold"/>
      </w:pPr>
      <w:r w:rsidRPr="004660B9">
        <w:t>(Special legislative procedure – consent)</w:t>
      </w:r>
    </w:p>
    <w:p w14:paraId="641B9F28" w14:textId="77777777" w:rsidR="00C20096" w:rsidRPr="004660B9" w:rsidRDefault="00C20096" w:rsidP="00C20096">
      <w:pPr>
        <w:pStyle w:val="EPComma"/>
        <w:rPr>
          <w:lang w:val="en-GB"/>
        </w:rPr>
      </w:pPr>
      <w:r w:rsidRPr="004660B9">
        <w:rPr>
          <w:i/>
          <w:lang w:val="en-GB"/>
        </w:rPr>
        <w:t>The European Parliament</w:t>
      </w:r>
      <w:r w:rsidRPr="004660B9">
        <w:rPr>
          <w:lang w:val="en-GB"/>
        </w:rPr>
        <w:t>,</w:t>
      </w:r>
    </w:p>
    <w:p w14:paraId="12B5BFCA" w14:textId="77777777" w:rsidR="00C20096" w:rsidRPr="004660B9" w:rsidRDefault="00C20096" w:rsidP="0002510F">
      <w:pPr>
        <w:pStyle w:val="NormalHanging12a"/>
        <w:widowControl/>
      </w:pPr>
      <w:r w:rsidRPr="004660B9">
        <w:t>–</w:t>
      </w:r>
      <w:r w:rsidRPr="004660B9">
        <w:tab/>
        <w:t>having regard to the draft Council decision (06708/2026),</w:t>
      </w:r>
    </w:p>
    <w:p w14:paraId="618B5E54" w14:textId="77777777" w:rsidR="00C20096" w:rsidRPr="004660B9" w:rsidRDefault="00C20096" w:rsidP="0002510F">
      <w:pPr>
        <w:pStyle w:val="NormalHanging12a"/>
        <w:widowControl/>
      </w:pPr>
      <w:r w:rsidRPr="004660B9">
        <w:t>–</w:t>
      </w:r>
      <w:r w:rsidRPr="004660B9">
        <w:tab/>
        <w:t>having regard to the request for consent submitted by the Council in accordance with Article 223(1) of the Treaty on the Functioning of the European Union and to Article 106a(1) of the Treaty establishing the European Atomic Energy Community (C10-0078/2026),</w:t>
      </w:r>
    </w:p>
    <w:p w14:paraId="3AAEB454" w14:textId="77777777" w:rsidR="00C20096" w:rsidRPr="004660B9" w:rsidRDefault="00C20096" w:rsidP="0002510F">
      <w:pPr>
        <w:pStyle w:val="NormalHanging12a"/>
        <w:widowControl/>
      </w:pPr>
      <w:r w:rsidRPr="004660B9">
        <w:t>–</w:t>
      </w:r>
      <w:r w:rsidRPr="004660B9">
        <w:tab/>
        <w:t>having regard to its legislative resolution of 13 November 2025 on the amendment of the European Electoral act, allowing Members to vote in plenary by proxy voting during pregnancy and after giving birth</w:t>
      </w:r>
      <w:r w:rsidRPr="004660B9">
        <w:rPr>
          <w:vertAlign w:val="superscript"/>
        </w:rPr>
        <w:footnoteReference w:id="1"/>
      </w:r>
      <w:r w:rsidRPr="004660B9">
        <w:t>,</w:t>
      </w:r>
    </w:p>
    <w:p w14:paraId="5B48BF00" w14:textId="77777777" w:rsidR="00C20096" w:rsidRPr="004660B9" w:rsidRDefault="00C20096" w:rsidP="0002510F">
      <w:pPr>
        <w:pStyle w:val="NormalHanging12a"/>
        <w:widowControl/>
      </w:pPr>
      <w:r w:rsidRPr="004660B9">
        <w:t>–</w:t>
      </w:r>
      <w:r w:rsidRPr="004660B9">
        <w:tab/>
        <w:t>having regard to Rule 107(1) and (4) of its Rules of Procedure,</w:t>
      </w:r>
    </w:p>
    <w:p w14:paraId="10D43D97" w14:textId="77777777" w:rsidR="00C20096" w:rsidRPr="004660B9" w:rsidRDefault="00C20096" w:rsidP="0002510F">
      <w:pPr>
        <w:pStyle w:val="NormalHanging12a"/>
        <w:widowControl/>
      </w:pPr>
      <w:r w:rsidRPr="004660B9">
        <w:t>–</w:t>
      </w:r>
      <w:r w:rsidRPr="004660B9">
        <w:tab/>
        <w:t>having regard to the recommendation of the Committee on Constitutional Affairs (A10-0123/2026),</w:t>
      </w:r>
    </w:p>
    <w:p w14:paraId="394B947C" w14:textId="77777777" w:rsidR="00C20096" w:rsidRPr="004660B9" w:rsidRDefault="00C20096" w:rsidP="0002510F">
      <w:pPr>
        <w:pStyle w:val="NormalHanging12a"/>
        <w:widowControl/>
      </w:pPr>
      <w:r w:rsidRPr="004660B9">
        <w:t>1.</w:t>
      </w:r>
      <w:r w:rsidRPr="004660B9">
        <w:tab/>
        <w:t>Gives its consent to the draft Council decision;</w:t>
      </w:r>
    </w:p>
    <w:p w14:paraId="7D4C02D3" w14:textId="78021574" w:rsidR="00E365E1" w:rsidRPr="004660B9" w:rsidRDefault="00C20096" w:rsidP="005733C2">
      <w:pPr>
        <w:pStyle w:val="NormalHanging12a"/>
        <w:widowControl/>
      </w:pPr>
      <w:r w:rsidRPr="004660B9">
        <w:t>2.</w:t>
      </w:r>
      <w:r w:rsidRPr="004660B9">
        <w:tab/>
        <w:t>Instructs its President to forward its position to the Council, the Commission and the national parliaments.</w:t>
      </w:r>
    </w:p>
    <w:sectPr w:rsidR="00E365E1" w:rsidRPr="004660B9" w:rsidSect="004660B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68937" w14:textId="77777777" w:rsidR="009D3D5A" w:rsidRPr="004660B9" w:rsidRDefault="009D3D5A">
      <w:r w:rsidRPr="004660B9">
        <w:separator/>
      </w:r>
    </w:p>
  </w:endnote>
  <w:endnote w:type="continuationSeparator" w:id="0">
    <w:p w14:paraId="54E315C6" w14:textId="77777777" w:rsidR="009D3D5A" w:rsidRPr="004660B9" w:rsidRDefault="009D3D5A">
      <w:r w:rsidRPr="004660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ED8C" w14:textId="77777777" w:rsidR="00064002" w:rsidRPr="004660B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5A44" w14:textId="77777777" w:rsidR="00064002" w:rsidRPr="004660B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E1415" w14:textId="77777777" w:rsidR="00064002" w:rsidRPr="004660B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95864" w14:textId="77777777" w:rsidR="009D3D5A" w:rsidRPr="004660B9" w:rsidRDefault="009D3D5A">
      <w:r w:rsidRPr="004660B9">
        <w:separator/>
      </w:r>
    </w:p>
  </w:footnote>
  <w:footnote w:type="continuationSeparator" w:id="0">
    <w:p w14:paraId="1ED89DC9" w14:textId="77777777" w:rsidR="009D3D5A" w:rsidRPr="004660B9" w:rsidRDefault="009D3D5A">
      <w:r w:rsidRPr="004660B9">
        <w:continuationSeparator/>
      </w:r>
    </w:p>
  </w:footnote>
  <w:footnote w:id="1">
    <w:p w14:paraId="32BCE4EB" w14:textId="346DEBF6" w:rsidR="00C20096" w:rsidRPr="005733C2" w:rsidRDefault="00C20096" w:rsidP="0002510F">
      <w:pPr>
        <w:pStyle w:val="FootnoteText"/>
        <w:keepLines w:val="0"/>
        <w:ind w:left="567" w:hanging="567"/>
        <w:rPr>
          <w:sz w:val="24"/>
          <w:lang w:val="fi-FI"/>
        </w:rPr>
      </w:pPr>
      <w:r w:rsidRPr="004660B9">
        <w:rPr>
          <w:rStyle w:val="FootnoteReference"/>
          <w:sz w:val="24"/>
          <w:lang w:val="en-GB"/>
        </w:rPr>
        <w:footnoteRef/>
      </w:r>
      <w:r w:rsidR="004660B9" w:rsidRPr="005733C2">
        <w:rPr>
          <w:sz w:val="24"/>
          <w:lang w:val="fi-FI"/>
        </w:rPr>
        <w:t xml:space="preserve"> </w:t>
      </w:r>
      <w:r w:rsidR="004660B9" w:rsidRPr="005733C2">
        <w:rPr>
          <w:sz w:val="24"/>
          <w:lang w:val="fi-FI"/>
        </w:rPr>
        <w:tab/>
      </w:r>
      <w:r w:rsidR="008E7EB6" w:rsidRPr="005733C2">
        <w:rPr>
          <w:sz w:val="24"/>
          <w:lang w:val="fi-FI"/>
        </w:rPr>
        <w:t xml:space="preserve">OJ C, C/2026/1667, 22.4.2026, ELI: </w:t>
      </w:r>
      <w:hyperlink r:id="rId1" w:history="1">
        <w:r w:rsidR="002D580E" w:rsidRPr="00F836FD">
          <w:rPr>
            <w:rStyle w:val="Hyperlink"/>
            <w:sz w:val="24"/>
            <w:lang w:val="fi-FI"/>
          </w:rPr>
          <w:t>http://data.europa.eu/eli/C/2026/1667/oj</w:t>
        </w:r>
      </w:hyperlink>
      <w:r w:rsidRPr="005733C2">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889D2" w14:textId="77777777" w:rsidR="00064002" w:rsidRPr="004660B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5070" w14:textId="77777777" w:rsidR="00064002" w:rsidRPr="004660B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D8FA8" w14:textId="77777777" w:rsidR="00064002" w:rsidRPr="004660B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08535964">
    <w:abstractNumId w:val="9"/>
  </w:num>
  <w:num w:numId="2" w16cid:durableId="605694176">
    <w:abstractNumId w:val="9"/>
  </w:num>
  <w:num w:numId="3" w16cid:durableId="1090081631">
    <w:abstractNumId w:val="7"/>
  </w:num>
  <w:num w:numId="4" w16cid:durableId="1355423730">
    <w:abstractNumId w:val="7"/>
  </w:num>
  <w:num w:numId="5" w16cid:durableId="1835105262">
    <w:abstractNumId w:val="6"/>
  </w:num>
  <w:num w:numId="6" w16cid:durableId="1406419845">
    <w:abstractNumId w:val="6"/>
  </w:num>
  <w:num w:numId="7" w16cid:durableId="1899047035">
    <w:abstractNumId w:val="5"/>
  </w:num>
  <w:num w:numId="8" w16cid:durableId="1642419198">
    <w:abstractNumId w:val="5"/>
  </w:num>
  <w:num w:numId="9" w16cid:durableId="157770640">
    <w:abstractNumId w:val="4"/>
  </w:num>
  <w:num w:numId="10" w16cid:durableId="990868389">
    <w:abstractNumId w:val="4"/>
  </w:num>
  <w:num w:numId="11" w16cid:durableId="583149240">
    <w:abstractNumId w:val="8"/>
  </w:num>
  <w:num w:numId="12" w16cid:durableId="1759864246">
    <w:abstractNumId w:val="8"/>
  </w:num>
  <w:num w:numId="13" w16cid:durableId="14967442">
    <w:abstractNumId w:val="3"/>
  </w:num>
  <w:num w:numId="14" w16cid:durableId="1569269205">
    <w:abstractNumId w:val="3"/>
  </w:num>
  <w:num w:numId="15" w16cid:durableId="838928524">
    <w:abstractNumId w:val="2"/>
  </w:num>
  <w:num w:numId="16" w16cid:durableId="1999724857">
    <w:abstractNumId w:val="2"/>
  </w:num>
  <w:num w:numId="17" w16cid:durableId="682627704">
    <w:abstractNumId w:val="1"/>
  </w:num>
  <w:num w:numId="18" w16cid:durableId="510603689">
    <w:abstractNumId w:val="1"/>
  </w:num>
  <w:num w:numId="19" w16cid:durableId="717361967">
    <w:abstractNumId w:val="0"/>
  </w:num>
  <w:num w:numId="20" w16cid:durableId="404034376">
    <w:abstractNumId w:val="0"/>
  </w:num>
  <w:num w:numId="21" w16cid:durableId="1666401217">
    <w:abstractNumId w:val="9"/>
  </w:num>
  <w:num w:numId="22" w16cid:durableId="918565658">
    <w:abstractNumId w:val="7"/>
  </w:num>
  <w:num w:numId="23" w16cid:durableId="1210264314">
    <w:abstractNumId w:val="6"/>
  </w:num>
  <w:num w:numId="24" w16cid:durableId="345717612">
    <w:abstractNumId w:val="5"/>
  </w:num>
  <w:num w:numId="25" w16cid:durableId="1569225865">
    <w:abstractNumId w:val="4"/>
  </w:num>
  <w:num w:numId="26" w16cid:durableId="196045408">
    <w:abstractNumId w:val="8"/>
  </w:num>
  <w:num w:numId="27" w16cid:durableId="1981960207">
    <w:abstractNumId w:val="3"/>
  </w:num>
  <w:num w:numId="28" w16cid:durableId="735590613">
    <w:abstractNumId w:val="2"/>
  </w:num>
  <w:num w:numId="29" w16cid:durableId="1947687054">
    <w:abstractNumId w:val="1"/>
  </w:num>
  <w:num w:numId="30" w16cid:durableId="810251108">
    <w:abstractNumId w:val="0"/>
  </w:num>
  <w:num w:numId="31" w16cid:durableId="1207253396">
    <w:abstractNumId w:val="9"/>
  </w:num>
  <w:num w:numId="32" w16cid:durableId="6758827">
    <w:abstractNumId w:val="7"/>
  </w:num>
  <w:num w:numId="33" w16cid:durableId="970786918">
    <w:abstractNumId w:val="6"/>
  </w:num>
  <w:num w:numId="34" w16cid:durableId="344987571">
    <w:abstractNumId w:val="5"/>
  </w:num>
  <w:num w:numId="35" w16cid:durableId="180819559">
    <w:abstractNumId w:val="4"/>
  </w:num>
  <w:num w:numId="36" w16cid:durableId="1970358763">
    <w:abstractNumId w:val="8"/>
  </w:num>
  <w:num w:numId="37" w16cid:durableId="1198664798">
    <w:abstractNumId w:val="3"/>
  </w:num>
  <w:num w:numId="38" w16cid:durableId="377582999">
    <w:abstractNumId w:val="2"/>
  </w:num>
  <w:num w:numId="39" w16cid:durableId="1424836443">
    <w:abstractNumId w:val="1"/>
  </w:num>
  <w:num w:numId="40" w16cid:durableId="454449198">
    <w:abstractNumId w:val="0"/>
  </w:num>
  <w:num w:numId="41" w16cid:durableId="898519238">
    <w:abstractNumId w:val="10"/>
  </w:num>
  <w:num w:numId="42" w16cid:durableId="1439328954">
    <w:abstractNumId w:val="10"/>
  </w:num>
  <w:num w:numId="43" w16cid:durableId="1659311852">
    <w:abstractNumId w:val="10"/>
  </w:num>
  <w:num w:numId="44" w16cid:durableId="7171679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3/2026"/>
    <w:docVar w:name="dvlangue" w:val="EN"/>
    <w:docVar w:name="dvnumam" w:val="0"/>
    <w:docVar w:name="dvpe" w:val="786.666"/>
    <w:docVar w:name="dvrapporteur" w:val="Rapporteur: "/>
    <w:docVar w:name="dvstar" w:val="***"/>
    <w:docVar w:name="dvtitre" w:val="European Parliament legislative resolution of 29 April 2026 on the draft Council decision amending the Act concerning the election of the members of the European Parliament by direct universal suffrage, annexed to Council Decision 76/787/ECSC, EEC, Euratom of 20 September 1976(06708/2026 – C10-0078/2026 – 2025/0900(APP))"/>
  </w:docVars>
  <w:rsids>
    <w:rsidRoot w:val="009D3D5A"/>
    <w:rsid w:val="00002272"/>
    <w:rsid w:val="0002510F"/>
    <w:rsid w:val="00064002"/>
    <w:rsid w:val="000677B9"/>
    <w:rsid w:val="000831BA"/>
    <w:rsid w:val="000A42CC"/>
    <w:rsid w:val="000E7DD9"/>
    <w:rsid w:val="0010095E"/>
    <w:rsid w:val="00125B37"/>
    <w:rsid w:val="00187494"/>
    <w:rsid w:val="001F32AE"/>
    <w:rsid w:val="002420FB"/>
    <w:rsid w:val="00257A41"/>
    <w:rsid w:val="00260B3F"/>
    <w:rsid w:val="002767FF"/>
    <w:rsid w:val="002B18FE"/>
    <w:rsid w:val="002B5493"/>
    <w:rsid w:val="002C062D"/>
    <w:rsid w:val="002D580E"/>
    <w:rsid w:val="00343214"/>
    <w:rsid w:val="00361C00"/>
    <w:rsid w:val="00395FA1"/>
    <w:rsid w:val="003B3CAA"/>
    <w:rsid w:val="003E15D4"/>
    <w:rsid w:val="00411CCE"/>
    <w:rsid w:val="0041666E"/>
    <w:rsid w:val="00421060"/>
    <w:rsid w:val="004660B9"/>
    <w:rsid w:val="00471C19"/>
    <w:rsid w:val="004867E3"/>
    <w:rsid w:val="00494A28"/>
    <w:rsid w:val="004C0004"/>
    <w:rsid w:val="004C5D52"/>
    <w:rsid w:val="0050519A"/>
    <w:rsid w:val="005072A1"/>
    <w:rsid w:val="00514517"/>
    <w:rsid w:val="00545827"/>
    <w:rsid w:val="00560270"/>
    <w:rsid w:val="005733C2"/>
    <w:rsid w:val="005C2568"/>
    <w:rsid w:val="005F1B17"/>
    <w:rsid w:val="006037C0"/>
    <w:rsid w:val="0066280F"/>
    <w:rsid w:val="006631B6"/>
    <w:rsid w:val="00680577"/>
    <w:rsid w:val="006F74FA"/>
    <w:rsid w:val="00731099"/>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7EB6"/>
    <w:rsid w:val="00930C23"/>
    <w:rsid w:val="0093193B"/>
    <w:rsid w:val="009509D8"/>
    <w:rsid w:val="00950B64"/>
    <w:rsid w:val="00981893"/>
    <w:rsid w:val="009D3D5A"/>
    <w:rsid w:val="00A1687D"/>
    <w:rsid w:val="00A43E52"/>
    <w:rsid w:val="00A4678D"/>
    <w:rsid w:val="00A778C7"/>
    <w:rsid w:val="00AB441E"/>
    <w:rsid w:val="00AB6293"/>
    <w:rsid w:val="00AE0928"/>
    <w:rsid w:val="00AF040F"/>
    <w:rsid w:val="00AF3B82"/>
    <w:rsid w:val="00B12E95"/>
    <w:rsid w:val="00B22876"/>
    <w:rsid w:val="00B558F0"/>
    <w:rsid w:val="00BB785B"/>
    <w:rsid w:val="00BD48FE"/>
    <w:rsid w:val="00BD7BD8"/>
    <w:rsid w:val="00BE1FB5"/>
    <w:rsid w:val="00BE6ADC"/>
    <w:rsid w:val="00C05BFE"/>
    <w:rsid w:val="00C20096"/>
    <w:rsid w:val="00C23CD4"/>
    <w:rsid w:val="00C42BF6"/>
    <w:rsid w:val="00C61C0C"/>
    <w:rsid w:val="00C941CB"/>
    <w:rsid w:val="00CC2357"/>
    <w:rsid w:val="00CF071A"/>
    <w:rsid w:val="00D058B8"/>
    <w:rsid w:val="00D56C11"/>
    <w:rsid w:val="00D834A0"/>
    <w:rsid w:val="00D872DF"/>
    <w:rsid w:val="00D91E21"/>
    <w:rsid w:val="00DA7FCD"/>
    <w:rsid w:val="00DC1329"/>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80CF1"/>
  <w15:chartTrackingRefBased/>
  <w15:docId w15:val="{E3997540-1D32-4FA9-B571-CC0CE3D5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C20096"/>
    <w:rPr>
      <w:b/>
    </w:rPr>
  </w:style>
  <w:style w:type="paragraph" w:customStyle="1" w:styleId="NormalHanging12a">
    <w:name w:val="NormalHanging12a"/>
    <w:basedOn w:val="Normal"/>
    <w:rsid w:val="00C20096"/>
    <w:pPr>
      <w:spacing w:after="240"/>
      <w:ind w:left="567" w:hanging="567"/>
    </w:pPr>
  </w:style>
  <w:style w:type="paragraph" w:customStyle="1" w:styleId="EPComma">
    <w:name w:val="EPComma"/>
    <w:basedOn w:val="Normal"/>
    <w:rsid w:val="00C20096"/>
    <w:pPr>
      <w:spacing w:before="480" w:after="240"/>
    </w:pPr>
    <w:rPr>
      <w:lang w:val="pl-PL"/>
    </w:rPr>
  </w:style>
  <w:style w:type="character" w:styleId="Hyperlink">
    <w:name w:val="Hyperlink"/>
    <w:basedOn w:val="DefaultParagraphFont"/>
    <w:rsid w:val="008E7EB6"/>
    <w:rPr>
      <w:color w:val="0563C1" w:themeColor="hyperlink"/>
      <w:u w:val="single"/>
    </w:rPr>
  </w:style>
  <w:style w:type="character" w:styleId="UnresolvedMention">
    <w:name w:val="Unresolved Mention"/>
    <w:basedOn w:val="DefaultParagraphFont"/>
    <w:uiPriority w:val="99"/>
    <w:semiHidden/>
    <w:unhideWhenUsed/>
    <w:rsid w:val="008E7EB6"/>
    <w:rPr>
      <w:color w:val="605E5C"/>
      <w:shd w:val="clear" w:color="auto" w:fill="E1DFDD"/>
    </w:rPr>
  </w:style>
  <w:style w:type="paragraph" w:styleId="Revision">
    <w:name w:val="Revision"/>
    <w:hidden/>
    <w:uiPriority w:val="99"/>
    <w:semiHidden/>
    <w:rsid w:val="008E7EB6"/>
    <w:rPr>
      <w:sz w:val="24"/>
    </w:rPr>
  </w:style>
  <w:style w:type="character" w:styleId="CommentReference">
    <w:name w:val="annotation reference"/>
    <w:basedOn w:val="DefaultParagraphFont"/>
    <w:rsid w:val="003B3CAA"/>
    <w:rPr>
      <w:sz w:val="16"/>
      <w:szCs w:val="16"/>
    </w:rPr>
  </w:style>
  <w:style w:type="paragraph" w:styleId="CommentText">
    <w:name w:val="annotation text"/>
    <w:basedOn w:val="Normal"/>
    <w:link w:val="CommentTextChar"/>
    <w:rsid w:val="003B3CAA"/>
    <w:rPr>
      <w:sz w:val="20"/>
    </w:rPr>
  </w:style>
  <w:style w:type="character" w:customStyle="1" w:styleId="CommentTextChar">
    <w:name w:val="Comment Text Char"/>
    <w:basedOn w:val="DefaultParagraphFont"/>
    <w:link w:val="CommentText"/>
    <w:rsid w:val="003B3CAA"/>
  </w:style>
  <w:style w:type="paragraph" w:styleId="CommentSubject">
    <w:name w:val="annotation subject"/>
    <w:basedOn w:val="CommentText"/>
    <w:next w:val="CommentText"/>
    <w:link w:val="CommentSubjectChar"/>
    <w:rsid w:val="003B3CAA"/>
    <w:rPr>
      <w:b/>
      <w:bCs/>
    </w:rPr>
  </w:style>
  <w:style w:type="character" w:customStyle="1" w:styleId="CommentSubjectChar">
    <w:name w:val="Comment Subject Char"/>
    <w:basedOn w:val="CommentTextChar"/>
    <w:link w:val="CommentSubject"/>
    <w:rsid w:val="003B3CAA"/>
    <w:rPr>
      <w:b/>
      <w:bCs/>
    </w:rPr>
  </w:style>
  <w:style w:type="character" w:styleId="FollowedHyperlink">
    <w:name w:val="FollowedHyperlink"/>
    <w:basedOn w:val="DefaultParagraphFont"/>
    <w:rsid w:val="002D58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6/166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210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10</cp:revision>
  <cp:lastPrinted>2004-11-19T15:42:00Z</cp:lastPrinted>
  <dcterms:created xsi:type="dcterms:W3CDTF">2026-04-28T09:32:00Z</dcterms:created>
  <dcterms:modified xsi:type="dcterms:W3CDTF">2026-04-29T10:18:00Z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A10-0123/2026</vt:lpwstr>
  </property>
  <property fmtid="{D5CDD505-2E9C-101B-9397-08002B2CF9AE}" pid="4" name="&lt;Type&gt;">
    <vt:lpwstr>RR</vt:lpwstr>
  </property>
</Properties>
</file>