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117C" w14:paraId="55BE438A" w14:textId="77777777" w:rsidTr="0010095E">
        <w:trPr>
          <w:trHeight w:hRule="exact" w:val="1418"/>
        </w:trPr>
        <w:tc>
          <w:tcPr>
            <w:tcW w:w="6804" w:type="dxa"/>
            <w:shd w:val="clear" w:color="auto" w:fill="auto"/>
            <w:vAlign w:val="center"/>
          </w:tcPr>
          <w:p w14:paraId="1337126B" w14:textId="40B918C3" w:rsidR="00751A4A" w:rsidRPr="00C4117C" w:rsidRDefault="002F4FE0" w:rsidP="0010095E">
            <w:pPr>
              <w:pStyle w:val="EPName"/>
            </w:pPr>
            <w:r w:rsidRPr="00C4117C">
              <w:t>Eiropas Parlaments</w:t>
            </w:r>
          </w:p>
          <w:p w14:paraId="42CA5016" w14:textId="77777777" w:rsidR="00751A4A" w:rsidRPr="00C4117C" w:rsidRDefault="005F1B17" w:rsidP="005F1B17">
            <w:pPr>
              <w:pStyle w:val="EPTerm"/>
              <w:rPr>
                <w:rStyle w:val="HideTWBExt"/>
                <w:noProof w:val="0"/>
                <w:vanish w:val="0"/>
                <w:color w:val="auto"/>
              </w:rPr>
            </w:pPr>
            <w:r w:rsidRPr="00C4117C">
              <w:t>2024</w:t>
            </w:r>
            <w:r w:rsidR="00817416" w:rsidRPr="00C4117C">
              <w:t>-202</w:t>
            </w:r>
            <w:r w:rsidRPr="00C4117C">
              <w:t>9</w:t>
            </w:r>
          </w:p>
        </w:tc>
        <w:tc>
          <w:tcPr>
            <w:tcW w:w="2268" w:type="dxa"/>
            <w:shd w:val="clear" w:color="auto" w:fill="auto"/>
          </w:tcPr>
          <w:p w14:paraId="666F4531" w14:textId="77777777" w:rsidR="00751A4A" w:rsidRPr="00C4117C" w:rsidRDefault="00187494" w:rsidP="0010095E">
            <w:pPr>
              <w:pStyle w:val="EPLogo"/>
            </w:pPr>
            <w:r w:rsidRPr="00C4117C">
              <w:rPr>
                <w:noProof/>
                <w:lang w:eastAsia="ja-JP"/>
              </w:rPr>
              <w:drawing>
                <wp:inline distT="0" distB="0" distL="0" distR="0" wp14:anchorId="69359268" wp14:editId="473E8C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31DDB2" w14:textId="77777777" w:rsidR="00D058B8" w:rsidRPr="00C4117C" w:rsidRDefault="00D058B8" w:rsidP="004C5D52">
      <w:pPr>
        <w:pStyle w:val="LineTop"/>
      </w:pPr>
    </w:p>
    <w:p w14:paraId="3712EA54" w14:textId="195AD90C" w:rsidR="00680577" w:rsidRPr="00C4117C" w:rsidRDefault="002F4FE0" w:rsidP="00680577">
      <w:pPr>
        <w:pStyle w:val="EPBodyTA1"/>
      </w:pPr>
      <w:r w:rsidRPr="00C4117C">
        <w:t>PIEŅEMTIE TEKSTI</w:t>
      </w:r>
    </w:p>
    <w:p w14:paraId="6BB46B4F" w14:textId="77777777" w:rsidR="00D058B8" w:rsidRPr="00C4117C" w:rsidRDefault="00D058B8" w:rsidP="00D058B8">
      <w:pPr>
        <w:pStyle w:val="LineBottom"/>
      </w:pPr>
    </w:p>
    <w:p w14:paraId="64EFB16E" w14:textId="4912B488" w:rsidR="002F4FE0" w:rsidRPr="00C4117C" w:rsidRDefault="002F4FE0" w:rsidP="002F4FE0">
      <w:pPr>
        <w:pStyle w:val="ATHeading1"/>
      </w:pPr>
      <w:bookmarkStart w:id="0" w:name="TANumber"/>
      <w:r w:rsidRPr="00C4117C">
        <w:t>P10_TA(2026)0</w:t>
      </w:r>
      <w:bookmarkEnd w:id="0"/>
      <w:r w:rsidR="00C4117C" w:rsidRPr="00C4117C">
        <w:t>124</w:t>
      </w:r>
    </w:p>
    <w:p w14:paraId="39242D19" w14:textId="6E07FFCB" w:rsidR="002F4FE0" w:rsidRPr="00C4117C" w:rsidRDefault="00A46817" w:rsidP="00A46817">
      <w:pPr>
        <w:pStyle w:val="ATHeading2"/>
      </w:pPr>
      <w:r w:rsidRPr="00C4117C">
        <w:t>Groz</w:t>
      </w:r>
      <w:r w:rsidRPr="00C4117C">
        <w:rPr>
          <w:rFonts w:hint="eastAsia"/>
        </w:rPr>
        <w:t>ī</w:t>
      </w:r>
      <w:r w:rsidRPr="00C4117C">
        <w:t>jums Eiropas V</w:t>
      </w:r>
      <w:r w:rsidRPr="00C4117C">
        <w:rPr>
          <w:rFonts w:hint="eastAsia"/>
        </w:rPr>
        <w:t>ē</w:t>
      </w:r>
      <w:r w:rsidRPr="00C4117C">
        <w:t>l</w:t>
      </w:r>
      <w:r w:rsidRPr="00C4117C">
        <w:rPr>
          <w:rFonts w:hint="eastAsia"/>
        </w:rPr>
        <w:t>ēš</w:t>
      </w:r>
      <w:r w:rsidRPr="00C4117C">
        <w:t>anu akt</w:t>
      </w:r>
      <w:r w:rsidRPr="00C4117C">
        <w:rPr>
          <w:rFonts w:hint="eastAsia"/>
        </w:rPr>
        <w:t>ā</w:t>
      </w:r>
      <w:r w:rsidRPr="00C4117C">
        <w:t>, lai deput</w:t>
      </w:r>
      <w:r w:rsidRPr="00C4117C">
        <w:rPr>
          <w:rFonts w:hint="eastAsia"/>
        </w:rPr>
        <w:t>ā</w:t>
      </w:r>
      <w:r w:rsidRPr="00C4117C">
        <w:t>tes gr</w:t>
      </w:r>
      <w:r w:rsidRPr="00C4117C">
        <w:rPr>
          <w:rFonts w:hint="eastAsia"/>
        </w:rPr>
        <w:t>ū</w:t>
      </w:r>
      <w:r w:rsidRPr="00C4117C">
        <w:t>tniec</w:t>
      </w:r>
      <w:r w:rsidRPr="00C4117C">
        <w:rPr>
          <w:rFonts w:hint="eastAsia"/>
        </w:rPr>
        <w:t>ī</w:t>
      </w:r>
      <w:r w:rsidRPr="00C4117C">
        <w:t>bas laik</w:t>
      </w:r>
      <w:r w:rsidRPr="00C4117C">
        <w:rPr>
          <w:rFonts w:hint="eastAsia"/>
        </w:rPr>
        <w:t>ā</w:t>
      </w:r>
      <w:r w:rsidRPr="00C4117C">
        <w:t xml:space="preserve"> </w:t>
      </w:r>
      <w:r w:rsidR="00740B31" w:rsidRPr="00C4117C">
        <w:t xml:space="preserve">un </w:t>
      </w:r>
      <w:r w:rsidRPr="00C4117C">
        <w:t>p</w:t>
      </w:r>
      <w:r w:rsidRPr="00C4117C">
        <w:rPr>
          <w:rFonts w:hint="eastAsia"/>
        </w:rPr>
        <w:t>ē</w:t>
      </w:r>
      <w:r w:rsidRPr="00C4117C">
        <w:t>c dzemd</w:t>
      </w:r>
      <w:r w:rsidRPr="00C4117C">
        <w:rPr>
          <w:rFonts w:hint="eastAsia"/>
        </w:rPr>
        <w:t>ī</w:t>
      </w:r>
      <w:r w:rsidRPr="00C4117C">
        <w:t>b</w:t>
      </w:r>
      <w:r w:rsidRPr="00C4117C">
        <w:rPr>
          <w:rFonts w:hint="eastAsia"/>
        </w:rPr>
        <w:t>ā</w:t>
      </w:r>
      <w:r w:rsidRPr="00C4117C">
        <w:t>m var</w:t>
      </w:r>
      <w:r w:rsidRPr="00C4117C">
        <w:rPr>
          <w:rFonts w:hint="eastAsia"/>
        </w:rPr>
        <w:t>ē</w:t>
      </w:r>
      <w:r w:rsidRPr="00C4117C">
        <w:t>tu balsot plen</w:t>
      </w:r>
      <w:r w:rsidRPr="00C4117C">
        <w:rPr>
          <w:rFonts w:hint="eastAsia"/>
        </w:rPr>
        <w:t>ā</w:t>
      </w:r>
      <w:r w:rsidRPr="00C4117C">
        <w:t>rs</w:t>
      </w:r>
      <w:r w:rsidRPr="00C4117C">
        <w:rPr>
          <w:rFonts w:hint="eastAsia"/>
        </w:rPr>
        <w:t>ē</w:t>
      </w:r>
      <w:r w:rsidRPr="00C4117C">
        <w:t>d</w:t>
      </w:r>
      <w:r w:rsidRPr="00C4117C">
        <w:rPr>
          <w:rFonts w:hint="eastAsia"/>
        </w:rPr>
        <w:t>ē</w:t>
      </w:r>
      <w:r w:rsidRPr="00C4117C">
        <w:t xml:space="preserve"> ar pilnvarot</w:t>
      </w:r>
      <w:r w:rsidRPr="00C4117C">
        <w:rPr>
          <w:rFonts w:hint="eastAsia"/>
        </w:rPr>
        <w:t>ā</w:t>
      </w:r>
      <w:r w:rsidRPr="00C4117C">
        <w:t>s personas starpniec</w:t>
      </w:r>
      <w:r w:rsidRPr="00C4117C">
        <w:rPr>
          <w:rFonts w:hint="eastAsia"/>
        </w:rPr>
        <w:t>ī</w:t>
      </w:r>
      <w:r w:rsidRPr="00C4117C">
        <w:t>bu</w:t>
      </w:r>
    </w:p>
    <w:p w14:paraId="69702E7B" w14:textId="77777777" w:rsidR="002F4FE0" w:rsidRPr="00C4117C" w:rsidRDefault="002F4FE0" w:rsidP="002F4FE0">
      <w:pPr>
        <w:rPr>
          <w:i/>
          <w:vanish/>
        </w:rPr>
      </w:pPr>
      <w:r w:rsidRPr="00C4117C">
        <w:rPr>
          <w:i/>
        </w:rPr>
        <w:fldChar w:fldCharType="begin"/>
      </w:r>
      <w:r w:rsidRPr="00C4117C">
        <w:rPr>
          <w:i/>
        </w:rPr>
        <w:instrText xml:space="preserve"> TC"(</w:instrText>
      </w:r>
      <w:bookmarkStart w:id="1" w:name="DocNumber"/>
      <w:r w:rsidRPr="00C4117C">
        <w:rPr>
          <w:i/>
        </w:rPr>
        <w:instrText>A10-0123/2026</w:instrText>
      </w:r>
      <w:bookmarkEnd w:id="1"/>
      <w:r w:rsidRPr="00C4117C">
        <w:rPr>
          <w:i/>
        </w:rPr>
        <w:instrText xml:space="preserve"> - Referents: Juan Fernando </w:instrText>
      </w:r>
      <w:proofErr w:type="spellStart"/>
      <w:r w:rsidRPr="00C4117C">
        <w:rPr>
          <w:i/>
        </w:rPr>
        <w:instrText>López</w:instrText>
      </w:r>
      <w:proofErr w:type="spellEnd"/>
      <w:r w:rsidRPr="00C4117C">
        <w:rPr>
          <w:i/>
        </w:rPr>
        <w:instrText xml:space="preserve"> </w:instrText>
      </w:r>
      <w:proofErr w:type="spellStart"/>
      <w:r w:rsidRPr="00C4117C">
        <w:rPr>
          <w:i/>
        </w:rPr>
        <w:instrText>Aguilar</w:instrText>
      </w:r>
      <w:proofErr w:type="spellEnd"/>
      <w:r w:rsidRPr="00C4117C">
        <w:rPr>
          <w:i/>
        </w:rPr>
        <w:instrText xml:space="preserve">)"\l3 \n&gt; \* MERGEFORMAT </w:instrText>
      </w:r>
      <w:r w:rsidRPr="00C4117C">
        <w:rPr>
          <w:i/>
        </w:rPr>
        <w:fldChar w:fldCharType="end"/>
      </w:r>
    </w:p>
    <w:p w14:paraId="7145D0E2" w14:textId="77777777" w:rsidR="002F4FE0" w:rsidRPr="00C4117C" w:rsidRDefault="002F4FE0" w:rsidP="002F4FE0">
      <w:pPr>
        <w:rPr>
          <w:vanish/>
        </w:rPr>
      </w:pPr>
      <w:bookmarkStart w:id="2" w:name="Commission"/>
      <w:r w:rsidRPr="00C4117C">
        <w:rPr>
          <w:vanish/>
        </w:rPr>
        <w:t>Konstitucionālo jautājumu komiteja</w:t>
      </w:r>
      <w:bookmarkEnd w:id="2"/>
    </w:p>
    <w:p w14:paraId="6A8632EC" w14:textId="77777777" w:rsidR="002F4FE0" w:rsidRPr="00C4117C" w:rsidRDefault="002F4FE0" w:rsidP="002F4FE0">
      <w:pPr>
        <w:rPr>
          <w:vanish/>
        </w:rPr>
      </w:pPr>
      <w:bookmarkStart w:id="3" w:name="PE"/>
      <w:r w:rsidRPr="00C4117C">
        <w:rPr>
          <w:vanish/>
        </w:rPr>
        <w:t>PE786.666</w:t>
      </w:r>
      <w:bookmarkEnd w:id="3"/>
    </w:p>
    <w:p w14:paraId="7503C2BD" w14:textId="24F45C13" w:rsidR="002F4FE0" w:rsidRPr="00C4117C" w:rsidRDefault="002F4FE0" w:rsidP="002F4FE0">
      <w:pPr>
        <w:pStyle w:val="ATHeading3"/>
      </w:pPr>
      <w:bookmarkStart w:id="4" w:name="Sujet"/>
      <w:r w:rsidRPr="00C4117C">
        <w:t xml:space="preserve">Eiropas Parlamenta 2026. gada </w:t>
      </w:r>
      <w:r w:rsidR="00A46817" w:rsidRPr="00C4117C">
        <w:t>29</w:t>
      </w:r>
      <w:r w:rsidRPr="00C4117C">
        <w:t xml:space="preserve">. </w:t>
      </w:r>
      <w:r w:rsidR="00A46817" w:rsidRPr="00C4117C">
        <w:t>aprīļa</w:t>
      </w:r>
      <w:r w:rsidRPr="00C4117C">
        <w:t xml:space="preserve"> normatīvā rezolūcija par projektu Padomes lēmumam, ar ko groza Aktu par Eiropas Parlamenta pārstāvju ievēlēšanu vispārējās tiešās vēlēšanās, kurš pievienots Padomes 1976. gada 20. septembra Lēmumam 76/787/EOTK, EEK, Euratom</w:t>
      </w:r>
      <w:bookmarkEnd w:id="4"/>
      <w:r w:rsidRPr="00C4117C">
        <w:t xml:space="preserve"> </w:t>
      </w:r>
      <w:bookmarkStart w:id="5" w:name="References"/>
      <w:r w:rsidRPr="00C4117C">
        <w:t>(06708/2026 – C10-0078/2026 – 2025/0900(APP))</w:t>
      </w:r>
      <w:bookmarkEnd w:id="5"/>
    </w:p>
    <w:p w14:paraId="53D5287B" w14:textId="77777777" w:rsidR="00A06A6D" w:rsidRPr="00C4117C" w:rsidRDefault="00A06A6D" w:rsidP="00A06A6D">
      <w:pPr>
        <w:pStyle w:val="NormalBold"/>
      </w:pPr>
      <w:r w:rsidRPr="00C4117C">
        <w:t>(Īpašā likumdošanas procedūra — piekrišana)</w:t>
      </w:r>
    </w:p>
    <w:p w14:paraId="337EC702" w14:textId="77777777" w:rsidR="00A06A6D" w:rsidRPr="00C4117C" w:rsidRDefault="00A06A6D" w:rsidP="00A06A6D">
      <w:pPr>
        <w:pStyle w:val="EPComma"/>
      </w:pPr>
      <w:r w:rsidRPr="00C4117C">
        <w:rPr>
          <w:i/>
        </w:rPr>
        <w:t>Eiropas Parlaments</w:t>
      </w:r>
      <w:r w:rsidRPr="00C4117C">
        <w:t>,</w:t>
      </w:r>
    </w:p>
    <w:p w14:paraId="21A566C7" w14:textId="77777777" w:rsidR="00A06A6D" w:rsidRPr="00C4117C" w:rsidRDefault="00A06A6D" w:rsidP="00A06A6D">
      <w:pPr>
        <w:pStyle w:val="NormalHanging12a"/>
      </w:pPr>
      <w:r w:rsidRPr="00C4117C">
        <w:t>–</w:t>
      </w:r>
      <w:r w:rsidRPr="00C4117C">
        <w:tab/>
        <w:t>ņemot Padomes lēmuma projektu (06708/2026),</w:t>
      </w:r>
    </w:p>
    <w:p w14:paraId="6164ABF8" w14:textId="77777777" w:rsidR="00A06A6D" w:rsidRPr="00C4117C" w:rsidRDefault="00A06A6D" w:rsidP="00A06A6D">
      <w:pPr>
        <w:pStyle w:val="NormalHanging12a"/>
      </w:pPr>
      <w:r w:rsidRPr="00C4117C">
        <w:t>–</w:t>
      </w:r>
      <w:r w:rsidRPr="00C4117C">
        <w:tab/>
        <w:t>ņemot vērā piekrišanas pieprasījumu, ko Padome iesniegusi saskaņā ar Līguma par Eiropas Savienības darbību 223. panta 1. punktu un Eiropas Atomenerģijas kopienas dibināšanas līguma 106.a panta 1. punktu (C10-0078/2026),</w:t>
      </w:r>
    </w:p>
    <w:p w14:paraId="6E263477" w14:textId="77777777" w:rsidR="00A06A6D" w:rsidRPr="00C4117C" w:rsidRDefault="00A06A6D" w:rsidP="00A06A6D">
      <w:pPr>
        <w:pStyle w:val="NormalHanging12a"/>
      </w:pPr>
      <w:r w:rsidRPr="00C4117C">
        <w:t>–</w:t>
      </w:r>
      <w:r w:rsidRPr="00C4117C">
        <w:tab/>
        <w:t>ņemot vērā 2025. gada 13. novembra normatīvo rezolūciju par grozījumu Eiropas Vēlēšanu aktā, lai deputātes grūtniecības laikā vai pēc dzemdībām varētu balsot plenārsēdē ar pilnvarotās personas starpniecību</w:t>
      </w:r>
      <w:r w:rsidRPr="00C4117C">
        <w:rPr>
          <w:vertAlign w:val="superscript"/>
        </w:rPr>
        <w:footnoteReference w:id="1"/>
      </w:r>
      <w:r w:rsidRPr="00C4117C">
        <w:t>,</w:t>
      </w:r>
    </w:p>
    <w:p w14:paraId="4AB79E3C" w14:textId="77777777" w:rsidR="00A06A6D" w:rsidRPr="00C4117C" w:rsidRDefault="00A06A6D" w:rsidP="00A06A6D">
      <w:pPr>
        <w:pStyle w:val="NormalHanging12a"/>
      </w:pPr>
      <w:r w:rsidRPr="00C4117C">
        <w:t>–</w:t>
      </w:r>
      <w:r w:rsidRPr="00C4117C">
        <w:tab/>
        <w:t>ņemot vērā Reglamenta 107. panta 1. un 4. punktu,</w:t>
      </w:r>
    </w:p>
    <w:p w14:paraId="013E37F2" w14:textId="77777777" w:rsidR="00A06A6D" w:rsidRPr="00C4117C" w:rsidRDefault="00A06A6D" w:rsidP="00A06A6D">
      <w:pPr>
        <w:pStyle w:val="NormalHanging12a"/>
      </w:pPr>
      <w:r w:rsidRPr="00C4117C">
        <w:t>–</w:t>
      </w:r>
      <w:r w:rsidRPr="00C4117C">
        <w:tab/>
        <w:t>ņemot vērā Konstitucionālo jautājumu komitejas ieteikumu (A10</w:t>
      </w:r>
      <w:r w:rsidRPr="00C4117C">
        <w:noBreakHyphen/>
        <w:t>0123/2026),</w:t>
      </w:r>
    </w:p>
    <w:p w14:paraId="4AF4F1B7" w14:textId="77777777" w:rsidR="00A06A6D" w:rsidRPr="00C4117C" w:rsidRDefault="00A06A6D" w:rsidP="00A06A6D">
      <w:pPr>
        <w:pStyle w:val="NormalHanging12a"/>
      </w:pPr>
      <w:r w:rsidRPr="00C4117C">
        <w:t>1.</w:t>
      </w:r>
      <w:r w:rsidRPr="00C4117C">
        <w:tab/>
        <w:t>sniedz piekrišanu Padomes lēmuma projektam;</w:t>
      </w:r>
    </w:p>
    <w:p w14:paraId="31E9D92B" w14:textId="768ABE5F" w:rsidR="00E73323" w:rsidRPr="00C4117C" w:rsidRDefault="00A06A6D" w:rsidP="00E73323">
      <w:pPr>
        <w:pStyle w:val="NormalHanging12a"/>
      </w:pPr>
      <w:r w:rsidRPr="00C4117C">
        <w:t>2.</w:t>
      </w:r>
      <w:r w:rsidRPr="00C4117C">
        <w:tab/>
        <w:t>uzdod priekšsēdētājai Parlamenta nostāju nosūtīt Padomei un Komisijai, kā arī dalībvalstu parlamentiem.</w:t>
      </w:r>
    </w:p>
    <w:p w14:paraId="7C7FB59F" w14:textId="1C78A38A" w:rsidR="00E365E1" w:rsidRPr="00C4117C" w:rsidRDefault="00E365E1" w:rsidP="002F4FE0"/>
    <w:sectPr w:rsidR="00E365E1" w:rsidRPr="00C4117C" w:rsidSect="00E733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2C09F" w14:textId="77777777" w:rsidR="002F4FE0" w:rsidRPr="00E73323" w:rsidRDefault="002F4FE0">
      <w:r w:rsidRPr="00E73323">
        <w:separator/>
      </w:r>
    </w:p>
  </w:endnote>
  <w:endnote w:type="continuationSeparator" w:id="0">
    <w:p w14:paraId="09DA0144" w14:textId="77777777" w:rsidR="002F4FE0" w:rsidRPr="00E73323" w:rsidRDefault="002F4FE0">
      <w:r w:rsidRPr="00E733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60695" w14:textId="77777777" w:rsidR="00064002" w:rsidRPr="00E733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98CB" w14:textId="77777777" w:rsidR="00064002" w:rsidRPr="00E733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C8D97" w14:textId="77777777" w:rsidR="00064002" w:rsidRPr="00E733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42581" w14:textId="77777777" w:rsidR="002F4FE0" w:rsidRPr="00E73323" w:rsidRDefault="002F4FE0">
      <w:r w:rsidRPr="00E73323">
        <w:separator/>
      </w:r>
    </w:p>
  </w:footnote>
  <w:footnote w:type="continuationSeparator" w:id="0">
    <w:p w14:paraId="06BD9FB6" w14:textId="77777777" w:rsidR="002F4FE0" w:rsidRPr="00E73323" w:rsidRDefault="002F4FE0">
      <w:r w:rsidRPr="00E73323">
        <w:continuationSeparator/>
      </w:r>
    </w:p>
  </w:footnote>
  <w:footnote w:id="1">
    <w:p w14:paraId="06C911F2" w14:textId="43ED09B4" w:rsidR="00A06A6D" w:rsidRPr="00E73323" w:rsidRDefault="00A06A6D" w:rsidP="00E73323">
      <w:pPr>
        <w:pStyle w:val="FootnoteText"/>
        <w:ind w:left="567" w:hanging="567"/>
        <w:rPr>
          <w:sz w:val="24"/>
          <w:lang w:val="lv-LV"/>
        </w:rPr>
      </w:pPr>
      <w:r w:rsidRPr="00E73323">
        <w:rPr>
          <w:rStyle w:val="FootnoteReference"/>
          <w:sz w:val="24"/>
          <w:lang w:val="lv-LV"/>
        </w:rPr>
        <w:footnoteRef/>
      </w:r>
      <w:r w:rsidR="00E73323" w:rsidRPr="00E73323">
        <w:rPr>
          <w:sz w:val="24"/>
          <w:lang w:val="lv-LV"/>
        </w:rPr>
        <w:t xml:space="preserve"> </w:t>
      </w:r>
      <w:r w:rsidR="00E73323" w:rsidRPr="00E73323">
        <w:rPr>
          <w:sz w:val="24"/>
          <w:lang w:val="lv-LV"/>
        </w:rPr>
        <w:tab/>
      </w:r>
      <w:r w:rsidR="00A46817" w:rsidRPr="00F70034">
        <w:rPr>
          <w:sz w:val="24"/>
          <w:lang w:val="fi-FI"/>
        </w:rPr>
        <w:t>O</w:t>
      </w:r>
      <w:r w:rsidR="00A46817">
        <w:rPr>
          <w:sz w:val="24"/>
          <w:lang w:val="fi-FI"/>
        </w:rPr>
        <w:t>V</w:t>
      </w:r>
      <w:r w:rsidR="00A46817" w:rsidRPr="00F70034">
        <w:rPr>
          <w:sz w:val="24"/>
          <w:lang w:val="fi-FI"/>
        </w:rPr>
        <w:t xml:space="preserve"> C, C/2026/1667, 22.4.2026</w:t>
      </w:r>
      <w:r w:rsidR="00A46817">
        <w:rPr>
          <w:sz w:val="24"/>
          <w:lang w:val="fi-FI"/>
        </w:rPr>
        <w:t>.</w:t>
      </w:r>
      <w:r w:rsidR="00A46817" w:rsidRPr="00F70034">
        <w:rPr>
          <w:sz w:val="24"/>
          <w:lang w:val="fi-FI"/>
        </w:rPr>
        <w:t xml:space="preserve">, ELI: </w:t>
      </w:r>
      <w:hyperlink r:id="rId1" w:history="1">
        <w:r w:rsidR="00A46817" w:rsidRPr="00F836FD">
          <w:rPr>
            <w:rStyle w:val="Hyperlink"/>
            <w:sz w:val="24"/>
            <w:lang w:val="fi-FI"/>
          </w:rPr>
          <w:t>http://data.europa.eu/eli/C/2026/1667/oj</w:t>
        </w:r>
      </w:hyperlink>
      <w:r w:rsidRPr="00E7332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CCDA3" w14:textId="77777777" w:rsidR="00064002" w:rsidRPr="00E733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D856" w14:textId="77777777" w:rsidR="00064002" w:rsidRPr="00E733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353A1" w14:textId="77777777" w:rsidR="00064002" w:rsidRPr="00E733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7626260">
    <w:abstractNumId w:val="9"/>
  </w:num>
  <w:num w:numId="2" w16cid:durableId="207687868">
    <w:abstractNumId w:val="9"/>
  </w:num>
  <w:num w:numId="3" w16cid:durableId="1339192014">
    <w:abstractNumId w:val="7"/>
  </w:num>
  <w:num w:numId="4" w16cid:durableId="1897009935">
    <w:abstractNumId w:val="7"/>
  </w:num>
  <w:num w:numId="5" w16cid:durableId="1420368861">
    <w:abstractNumId w:val="6"/>
  </w:num>
  <w:num w:numId="6" w16cid:durableId="800464822">
    <w:abstractNumId w:val="6"/>
  </w:num>
  <w:num w:numId="7" w16cid:durableId="1226140966">
    <w:abstractNumId w:val="5"/>
  </w:num>
  <w:num w:numId="8" w16cid:durableId="171385839">
    <w:abstractNumId w:val="5"/>
  </w:num>
  <w:num w:numId="9" w16cid:durableId="289164780">
    <w:abstractNumId w:val="4"/>
  </w:num>
  <w:num w:numId="10" w16cid:durableId="2087799362">
    <w:abstractNumId w:val="4"/>
  </w:num>
  <w:num w:numId="11" w16cid:durableId="350494096">
    <w:abstractNumId w:val="8"/>
  </w:num>
  <w:num w:numId="12" w16cid:durableId="1192962455">
    <w:abstractNumId w:val="8"/>
  </w:num>
  <w:num w:numId="13" w16cid:durableId="338119697">
    <w:abstractNumId w:val="3"/>
  </w:num>
  <w:num w:numId="14" w16cid:durableId="1827162801">
    <w:abstractNumId w:val="3"/>
  </w:num>
  <w:num w:numId="15" w16cid:durableId="2059476538">
    <w:abstractNumId w:val="2"/>
  </w:num>
  <w:num w:numId="16" w16cid:durableId="1546064488">
    <w:abstractNumId w:val="2"/>
  </w:num>
  <w:num w:numId="17" w16cid:durableId="1696805475">
    <w:abstractNumId w:val="1"/>
  </w:num>
  <w:num w:numId="18" w16cid:durableId="545072619">
    <w:abstractNumId w:val="1"/>
  </w:num>
  <w:num w:numId="19" w16cid:durableId="41371756">
    <w:abstractNumId w:val="0"/>
  </w:num>
  <w:num w:numId="20" w16cid:durableId="1705599711">
    <w:abstractNumId w:val="0"/>
  </w:num>
  <w:num w:numId="21" w16cid:durableId="2095737164">
    <w:abstractNumId w:val="9"/>
  </w:num>
  <w:num w:numId="22" w16cid:durableId="987898687">
    <w:abstractNumId w:val="7"/>
  </w:num>
  <w:num w:numId="23" w16cid:durableId="1048532594">
    <w:abstractNumId w:val="6"/>
  </w:num>
  <w:num w:numId="24" w16cid:durableId="726147597">
    <w:abstractNumId w:val="5"/>
  </w:num>
  <w:num w:numId="25" w16cid:durableId="3361306">
    <w:abstractNumId w:val="4"/>
  </w:num>
  <w:num w:numId="26" w16cid:durableId="1860702940">
    <w:abstractNumId w:val="8"/>
  </w:num>
  <w:num w:numId="27" w16cid:durableId="1055155192">
    <w:abstractNumId w:val="3"/>
  </w:num>
  <w:num w:numId="28" w16cid:durableId="1512378546">
    <w:abstractNumId w:val="2"/>
  </w:num>
  <w:num w:numId="29" w16cid:durableId="13729397">
    <w:abstractNumId w:val="1"/>
  </w:num>
  <w:num w:numId="30" w16cid:durableId="1680502233">
    <w:abstractNumId w:val="0"/>
  </w:num>
  <w:num w:numId="31" w16cid:durableId="234555512">
    <w:abstractNumId w:val="9"/>
  </w:num>
  <w:num w:numId="32" w16cid:durableId="322783999">
    <w:abstractNumId w:val="7"/>
  </w:num>
  <w:num w:numId="33" w16cid:durableId="1184976950">
    <w:abstractNumId w:val="6"/>
  </w:num>
  <w:num w:numId="34" w16cid:durableId="1416129486">
    <w:abstractNumId w:val="5"/>
  </w:num>
  <w:num w:numId="35" w16cid:durableId="24909175">
    <w:abstractNumId w:val="4"/>
  </w:num>
  <w:num w:numId="36" w16cid:durableId="261256194">
    <w:abstractNumId w:val="8"/>
  </w:num>
  <w:num w:numId="37" w16cid:durableId="894194720">
    <w:abstractNumId w:val="3"/>
  </w:num>
  <w:num w:numId="38" w16cid:durableId="1295915945">
    <w:abstractNumId w:val="2"/>
  </w:num>
  <w:num w:numId="39" w16cid:durableId="341779167">
    <w:abstractNumId w:val="1"/>
  </w:num>
  <w:num w:numId="40" w16cid:durableId="404375107">
    <w:abstractNumId w:val="0"/>
  </w:num>
  <w:num w:numId="41" w16cid:durableId="1798840685">
    <w:abstractNumId w:val="10"/>
  </w:num>
  <w:num w:numId="42" w16cid:durableId="1748720536">
    <w:abstractNumId w:val="10"/>
  </w:num>
  <w:num w:numId="43" w16cid:durableId="1347713600">
    <w:abstractNumId w:val="10"/>
  </w:num>
  <w:num w:numId="44" w16cid:durableId="1814058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6"/>
    <w:docVar w:name="dvlangue" w:val="LV"/>
    <w:docVar w:name="dvnumam" w:val="0"/>
    <w:docVar w:name="dvpe" w:val="786.666"/>
    <w:docVar w:name="dvrapporteur" w:val="Referents: "/>
    <w:docVar w:name="dvstar" w:val="***"/>
    <w:docVar w:name="dvtitre" w:val="Eiropas Parlamenta 2026. gada XX. XXX normatīvā rezolūcija par projektu Padomes lēmumam, ar ko groza Aktu par Eiropas Parlamenta pārstāvju ievēlēšanu vispārējās tiešās vēlēšanās, kurš pievienots Padomes 1976. gada 20. septembra Lēmumam 76/787/EOTK, EEK, Euratom(06708/2026 – C10-0078/2026 – 2025/0900(APP))"/>
  </w:docVars>
  <w:rsids>
    <w:rsidRoot w:val="002F4FE0"/>
    <w:rsid w:val="00002272"/>
    <w:rsid w:val="00064002"/>
    <w:rsid w:val="000677B9"/>
    <w:rsid w:val="000831BA"/>
    <w:rsid w:val="000A42CC"/>
    <w:rsid w:val="000D4495"/>
    <w:rsid w:val="000E7DD9"/>
    <w:rsid w:val="0010095E"/>
    <w:rsid w:val="00125B37"/>
    <w:rsid w:val="00187494"/>
    <w:rsid w:val="001F32AE"/>
    <w:rsid w:val="002767FF"/>
    <w:rsid w:val="002B18FE"/>
    <w:rsid w:val="002B5493"/>
    <w:rsid w:val="002F4FE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24F"/>
    <w:rsid w:val="006037C0"/>
    <w:rsid w:val="006631B6"/>
    <w:rsid w:val="00680577"/>
    <w:rsid w:val="006F74FA"/>
    <w:rsid w:val="00731ADD"/>
    <w:rsid w:val="00734777"/>
    <w:rsid w:val="00740B3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A6D"/>
    <w:rsid w:val="00A1687D"/>
    <w:rsid w:val="00A43E52"/>
    <w:rsid w:val="00A4678D"/>
    <w:rsid w:val="00A46817"/>
    <w:rsid w:val="00A778C7"/>
    <w:rsid w:val="00AB441E"/>
    <w:rsid w:val="00AB6293"/>
    <w:rsid w:val="00AE0928"/>
    <w:rsid w:val="00AF3B82"/>
    <w:rsid w:val="00B12E95"/>
    <w:rsid w:val="00B22876"/>
    <w:rsid w:val="00B558F0"/>
    <w:rsid w:val="00BD48FE"/>
    <w:rsid w:val="00BD7BD8"/>
    <w:rsid w:val="00BE6ADC"/>
    <w:rsid w:val="00C05BFE"/>
    <w:rsid w:val="00C23CD4"/>
    <w:rsid w:val="00C4117C"/>
    <w:rsid w:val="00C61C0C"/>
    <w:rsid w:val="00C941CB"/>
    <w:rsid w:val="00CA0B9E"/>
    <w:rsid w:val="00CC2357"/>
    <w:rsid w:val="00CF071A"/>
    <w:rsid w:val="00D058B8"/>
    <w:rsid w:val="00D56C11"/>
    <w:rsid w:val="00D834A0"/>
    <w:rsid w:val="00D872DF"/>
    <w:rsid w:val="00D91E21"/>
    <w:rsid w:val="00DA7FCD"/>
    <w:rsid w:val="00E365E1"/>
    <w:rsid w:val="00E7332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EC294C"/>
  <w15:chartTrackingRefBased/>
  <w15:docId w15:val="{35BF643A-FEA1-44C9-BE2F-E9790FA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06A6D"/>
    <w:rPr>
      <w:b/>
    </w:rPr>
  </w:style>
  <w:style w:type="paragraph" w:customStyle="1" w:styleId="NormalBold12a">
    <w:name w:val="NormalBold12a"/>
    <w:basedOn w:val="Normal"/>
    <w:rsid w:val="00A06A6D"/>
    <w:pPr>
      <w:spacing w:after="240"/>
    </w:pPr>
    <w:rPr>
      <w:b/>
    </w:rPr>
  </w:style>
  <w:style w:type="paragraph" w:customStyle="1" w:styleId="NormalHanging12a">
    <w:name w:val="NormalHanging12a"/>
    <w:basedOn w:val="Normal"/>
    <w:rsid w:val="00A06A6D"/>
    <w:pPr>
      <w:spacing w:after="240"/>
      <w:ind w:left="567" w:hanging="567"/>
    </w:pPr>
  </w:style>
  <w:style w:type="paragraph" w:customStyle="1" w:styleId="EPComma">
    <w:name w:val="EPComma"/>
    <w:basedOn w:val="Normal"/>
    <w:rsid w:val="00A06A6D"/>
    <w:pPr>
      <w:spacing w:before="480" w:after="240"/>
    </w:pPr>
  </w:style>
  <w:style w:type="paragraph" w:styleId="Revision">
    <w:name w:val="Revision"/>
    <w:hidden/>
    <w:uiPriority w:val="99"/>
    <w:semiHidden/>
    <w:rsid w:val="00A46817"/>
    <w:rPr>
      <w:sz w:val="24"/>
      <w:lang w:val="lv-LV"/>
    </w:rPr>
  </w:style>
  <w:style w:type="character" w:styleId="Hyperlink">
    <w:name w:val="Hyperlink"/>
    <w:basedOn w:val="DefaultParagraphFont"/>
    <w:rsid w:val="00A46817"/>
    <w:rPr>
      <w:color w:val="0563C1" w:themeColor="hyperlink"/>
      <w:u w:val="single"/>
    </w:rPr>
  </w:style>
  <w:style w:type="character" w:styleId="CommentReference">
    <w:name w:val="annotation reference"/>
    <w:basedOn w:val="DefaultParagraphFont"/>
    <w:rsid w:val="00A46817"/>
    <w:rPr>
      <w:sz w:val="16"/>
      <w:szCs w:val="16"/>
    </w:rPr>
  </w:style>
  <w:style w:type="paragraph" w:styleId="CommentText">
    <w:name w:val="annotation text"/>
    <w:basedOn w:val="Normal"/>
    <w:link w:val="CommentTextChar"/>
    <w:rsid w:val="00A46817"/>
    <w:rPr>
      <w:sz w:val="20"/>
    </w:rPr>
  </w:style>
  <w:style w:type="character" w:customStyle="1" w:styleId="CommentTextChar">
    <w:name w:val="Comment Text Char"/>
    <w:basedOn w:val="DefaultParagraphFont"/>
    <w:link w:val="CommentText"/>
    <w:rsid w:val="00A46817"/>
    <w:rPr>
      <w:lang w:val="lv-LV"/>
    </w:rPr>
  </w:style>
  <w:style w:type="paragraph" w:styleId="CommentSubject">
    <w:name w:val="annotation subject"/>
    <w:basedOn w:val="CommentText"/>
    <w:next w:val="CommentText"/>
    <w:link w:val="CommentSubjectChar"/>
    <w:rsid w:val="00A46817"/>
    <w:rPr>
      <w:b/>
      <w:bCs/>
    </w:rPr>
  </w:style>
  <w:style w:type="character" w:customStyle="1" w:styleId="CommentSubjectChar">
    <w:name w:val="Comment Subject Char"/>
    <w:basedOn w:val="CommentTextChar"/>
    <w:link w:val="CommentSubject"/>
    <w:rsid w:val="00A46817"/>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165</Words>
  <Characters>1316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2026-04-29T10:20:00Z</dcterms:created>
  <dcterms:modified xsi:type="dcterms:W3CDTF">2026-04-29T10:20:00Z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A10-0123/2026</vt:lpwstr>
  </property>
  <property fmtid="{D5CDD505-2E9C-101B-9397-08002B2CF9AE}" pid="4" name="&lt;Type&gt;">
    <vt:lpwstr>RR</vt:lpwstr>
  </property>
</Properties>
</file>