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78F4" w14:paraId="39AC45C7" w14:textId="77777777" w:rsidTr="0010095E">
        <w:trPr>
          <w:trHeight w:hRule="exact" w:val="1418"/>
        </w:trPr>
        <w:tc>
          <w:tcPr>
            <w:tcW w:w="6804" w:type="dxa"/>
            <w:shd w:val="clear" w:color="auto" w:fill="auto"/>
            <w:vAlign w:val="center"/>
          </w:tcPr>
          <w:p w14:paraId="2B33C91C" w14:textId="77777777" w:rsidR="00751A4A" w:rsidRPr="005E78F4" w:rsidRDefault="00AD0531" w:rsidP="0010095E">
            <w:pPr>
              <w:pStyle w:val="EPName"/>
            </w:pPr>
            <w:r w:rsidRPr="005E78F4">
              <w:t>Európsky parlament</w:t>
            </w:r>
          </w:p>
          <w:p w14:paraId="7CB6FAC1" w14:textId="77777777" w:rsidR="00751A4A" w:rsidRPr="005E78F4" w:rsidRDefault="005F1B17" w:rsidP="005F1B17">
            <w:pPr>
              <w:pStyle w:val="EPTerm"/>
              <w:rPr>
                <w:rStyle w:val="HideTWBExt"/>
                <w:noProof w:val="0"/>
                <w:vanish w:val="0"/>
                <w:color w:val="auto"/>
              </w:rPr>
            </w:pPr>
            <w:r w:rsidRPr="005E78F4">
              <w:t>2024</w:t>
            </w:r>
            <w:r w:rsidR="00817416" w:rsidRPr="005E78F4">
              <w:t>-202</w:t>
            </w:r>
            <w:r w:rsidRPr="005E78F4">
              <w:t>9</w:t>
            </w:r>
          </w:p>
        </w:tc>
        <w:tc>
          <w:tcPr>
            <w:tcW w:w="2268" w:type="dxa"/>
            <w:shd w:val="clear" w:color="auto" w:fill="auto"/>
          </w:tcPr>
          <w:p w14:paraId="12BEB82D" w14:textId="77777777" w:rsidR="00751A4A" w:rsidRPr="005E78F4" w:rsidRDefault="00187494" w:rsidP="0010095E">
            <w:pPr>
              <w:pStyle w:val="EPLogo"/>
            </w:pPr>
            <w:r w:rsidRPr="005E78F4">
              <w:rPr>
                <w:noProof/>
                <w:lang w:eastAsia="ja-JP"/>
              </w:rPr>
              <w:drawing>
                <wp:inline distT="0" distB="0" distL="0" distR="0" wp14:anchorId="02096738" wp14:editId="3DC974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DBC4F" w14:textId="77777777" w:rsidR="00D058B8" w:rsidRPr="005E78F4" w:rsidRDefault="00D058B8" w:rsidP="004C5D52">
      <w:pPr>
        <w:pStyle w:val="LineTop"/>
      </w:pPr>
    </w:p>
    <w:p w14:paraId="412DF472" w14:textId="77777777" w:rsidR="00680577" w:rsidRPr="005E78F4" w:rsidRDefault="00AD0531" w:rsidP="00680577">
      <w:pPr>
        <w:pStyle w:val="EPBodyTA1"/>
      </w:pPr>
      <w:r w:rsidRPr="005E78F4">
        <w:t>PRIJATÉ TEXTY</w:t>
      </w:r>
    </w:p>
    <w:p w14:paraId="1B0799C6" w14:textId="77777777" w:rsidR="00D058B8" w:rsidRPr="005E78F4" w:rsidRDefault="00D058B8" w:rsidP="00D058B8">
      <w:pPr>
        <w:pStyle w:val="LineBottom"/>
      </w:pPr>
    </w:p>
    <w:p w14:paraId="0DA30B0A" w14:textId="3ECDF234" w:rsidR="00AD0531" w:rsidRPr="005E78F4" w:rsidRDefault="00AD0531" w:rsidP="00AD0531">
      <w:pPr>
        <w:pStyle w:val="ATHeading1"/>
      </w:pPr>
      <w:bookmarkStart w:id="0" w:name="TANumber"/>
      <w:r w:rsidRPr="005E78F4">
        <w:t>P10_TA(2026)0</w:t>
      </w:r>
      <w:r w:rsidR="005E78F4" w:rsidRPr="005E78F4">
        <w:t>125</w:t>
      </w:r>
      <w:bookmarkEnd w:id="0"/>
    </w:p>
    <w:p w14:paraId="42EB2466" w14:textId="77777777" w:rsidR="00AD0531" w:rsidRPr="005E78F4" w:rsidRDefault="00AD0531" w:rsidP="00AD0531">
      <w:pPr>
        <w:pStyle w:val="ATHeading2"/>
      </w:pPr>
      <w:bookmarkStart w:id="1" w:name="title"/>
      <w:r w:rsidRPr="005E78F4">
        <w:t>Absolutórium za rok 2024: všeobecný rozpočet EÚ – Komisia</w:t>
      </w:r>
      <w:bookmarkEnd w:id="1"/>
    </w:p>
    <w:p w14:paraId="51E02582" w14:textId="77777777" w:rsidR="00AD0531" w:rsidRPr="005E78F4" w:rsidRDefault="00AD0531" w:rsidP="00AD0531">
      <w:pPr>
        <w:rPr>
          <w:i/>
          <w:vanish/>
        </w:rPr>
      </w:pPr>
      <w:r w:rsidRPr="005E78F4">
        <w:rPr>
          <w:i/>
        </w:rPr>
        <w:fldChar w:fldCharType="begin"/>
      </w:r>
      <w:r w:rsidRPr="005E78F4">
        <w:rPr>
          <w:i/>
        </w:rPr>
        <w:instrText xml:space="preserve"> TC"(</w:instrText>
      </w:r>
      <w:bookmarkStart w:id="2" w:name="DocNumber"/>
      <w:r w:rsidRPr="005E78F4">
        <w:rPr>
          <w:i/>
        </w:rPr>
        <w:instrText>A10-0085/2026</w:instrText>
      </w:r>
      <w:bookmarkEnd w:id="2"/>
      <w:r w:rsidRPr="005E78F4">
        <w:rPr>
          <w:i/>
        </w:rPr>
        <w:instrText xml:space="preserve"> - Spravodajca: Daniel </w:instrText>
      </w:r>
      <w:proofErr w:type="spellStart"/>
      <w:r w:rsidRPr="005E78F4">
        <w:rPr>
          <w:i/>
        </w:rPr>
        <w:instrText>Freund</w:instrText>
      </w:r>
      <w:proofErr w:type="spellEnd"/>
      <w:r w:rsidRPr="005E78F4">
        <w:rPr>
          <w:i/>
        </w:rPr>
        <w:instrText xml:space="preserve">)"\l3 \n&gt; \* MERGEFORMAT </w:instrText>
      </w:r>
      <w:r w:rsidRPr="005E78F4">
        <w:rPr>
          <w:i/>
        </w:rPr>
        <w:fldChar w:fldCharType="end"/>
      </w:r>
    </w:p>
    <w:p w14:paraId="1F0BDEDF" w14:textId="77777777" w:rsidR="00AD0531" w:rsidRPr="005E78F4" w:rsidRDefault="00AD0531" w:rsidP="00AD0531">
      <w:pPr>
        <w:rPr>
          <w:vanish/>
        </w:rPr>
      </w:pPr>
      <w:bookmarkStart w:id="3" w:name="Commission"/>
      <w:r w:rsidRPr="005E78F4">
        <w:rPr>
          <w:vanish/>
        </w:rPr>
        <w:t>Výbor pre kontrolu rozpočtu</w:t>
      </w:r>
      <w:bookmarkEnd w:id="3"/>
    </w:p>
    <w:p w14:paraId="2571C10B" w14:textId="77777777" w:rsidR="00AD0531" w:rsidRPr="005E78F4" w:rsidRDefault="00AD0531" w:rsidP="00AD0531">
      <w:pPr>
        <w:rPr>
          <w:vanish/>
        </w:rPr>
      </w:pPr>
      <w:bookmarkStart w:id="4" w:name="PE"/>
      <w:r w:rsidRPr="005E78F4">
        <w:rPr>
          <w:vanish/>
        </w:rPr>
        <w:t>PE778.123</w:t>
      </w:r>
      <w:bookmarkEnd w:id="4"/>
    </w:p>
    <w:p w14:paraId="18078709" w14:textId="6C9143B4" w:rsidR="00AD0531" w:rsidRPr="005E78F4" w:rsidRDefault="00AE12F0" w:rsidP="00AD0531">
      <w:pPr>
        <w:pStyle w:val="ATHeading3"/>
      </w:pPr>
      <w:bookmarkStart w:id="5" w:name="Sujet"/>
      <w:r w:rsidRPr="005E78F4">
        <w:t xml:space="preserve">1. </w:t>
      </w:r>
      <w:r w:rsidR="00AD0531" w:rsidRPr="005E78F4">
        <w:t xml:space="preserve">Rozhodnutie Európskeho parlamentu z </w:t>
      </w:r>
      <w:r w:rsidR="00F65885" w:rsidRPr="005E78F4">
        <w:t>29</w:t>
      </w:r>
      <w:r w:rsidR="00AD0531" w:rsidRPr="005E78F4">
        <w:t xml:space="preserve">. </w:t>
      </w:r>
      <w:r w:rsidR="00F65885" w:rsidRPr="005E78F4">
        <w:t>apríla</w:t>
      </w:r>
      <w:r w:rsidR="00AD0531" w:rsidRPr="005E78F4">
        <w:t xml:space="preserve"> 2026 o absolutóriu za plnenie všeobecného rozpočtu Európskej únie za rozpočtový rok 2024, oddiel III – Komisia a výkonné agentúry a deviaty, desiaty a jedenásty Európsky rozvojový fond</w:t>
      </w:r>
      <w:bookmarkEnd w:id="5"/>
      <w:r w:rsidR="00AD0531" w:rsidRPr="005E78F4">
        <w:t xml:space="preserve"> </w:t>
      </w:r>
      <w:bookmarkStart w:id="6" w:name="References"/>
      <w:r w:rsidR="00AD0531" w:rsidRPr="005E78F4">
        <w:t>(2025/2145(DEC))</w:t>
      </w:r>
      <w:bookmarkEnd w:id="6"/>
    </w:p>
    <w:p w14:paraId="0BCF3782" w14:textId="77777777" w:rsidR="003B03EB" w:rsidRPr="005E78F4" w:rsidRDefault="003B03EB" w:rsidP="003B03EB">
      <w:pPr>
        <w:pStyle w:val="EPComma"/>
      </w:pPr>
      <w:bookmarkStart w:id="7" w:name="TextBodyBegin"/>
      <w:bookmarkEnd w:id="7"/>
      <w:r w:rsidRPr="005E78F4">
        <w:rPr>
          <w:i/>
        </w:rPr>
        <w:t>Európsky parlament</w:t>
      </w:r>
      <w:r w:rsidRPr="005E78F4">
        <w:t>,</w:t>
      </w:r>
    </w:p>
    <w:p w14:paraId="279136AB"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1"/>
      </w:r>
      <w:r w:rsidRPr="005E78F4">
        <w:t>,</w:t>
      </w:r>
    </w:p>
    <w:p w14:paraId="08EAF9B1"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2"/>
      </w:r>
      <w:r w:rsidRPr="005E78F4">
        <w:t>,</w:t>
      </w:r>
    </w:p>
    <w:p w14:paraId="3979BE4A"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0E85DF33" w14:textId="77777777" w:rsidR="003B03EB" w:rsidRPr="005E78F4" w:rsidRDefault="003B03EB" w:rsidP="003B03EB">
      <w:pPr>
        <w:pStyle w:val="NormalHanging12a"/>
      </w:pPr>
      <w:r w:rsidRPr="005E78F4">
        <w:t>–</w:t>
      </w:r>
      <w:r w:rsidRPr="005E78F4">
        <w:tab/>
        <w:t>so zreteľom na výročnú správu Komisie o riadení a výkonnosti rozpočtu EÚ za rok 2024 (COM(2025)0824),</w:t>
      </w:r>
    </w:p>
    <w:p w14:paraId="40D0517D"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12D2F776" w14:textId="77777777" w:rsidR="003B03EB" w:rsidRPr="005E78F4" w:rsidRDefault="003B03EB" w:rsidP="003B03EB">
      <w:pPr>
        <w:pStyle w:val="NormalHanging12a"/>
      </w:pPr>
      <w:r w:rsidRPr="005E78F4">
        <w:t>–</w:t>
      </w:r>
      <w:r w:rsidRPr="005E78F4">
        <w:tab/>
        <w:t>so zreteľom na výročnú správu Dvora audítorov o plnení rozpočtu za rozpočtový rok 2024 spolu s odpoveďami inštitúcií</w:t>
      </w:r>
      <w:r w:rsidRPr="005E78F4">
        <w:rPr>
          <w:rStyle w:val="FootnoteReference"/>
        </w:rPr>
        <w:footnoteReference w:id="3"/>
      </w:r>
      <w:r w:rsidRPr="005E78F4">
        <w:t xml:space="preserve"> a na osobitné správy Dvora audítorov,</w:t>
      </w:r>
    </w:p>
    <w:p w14:paraId="426C358C"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4"/>
      </w:r>
      <w:r w:rsidRPr="005E78F4">
        <w:t xml:space="preserve"> týkajúce sa spoľahlivosti účtov a zákonnosti a správnosti príslušných operácií, ktoré poskytol Dvor audítorov za rozpočtový rok 2024 v súlade s článkom 287 Zmluvy o fungovaní Európskej únie,</w:t>
      </w:r>
    </w:p>
    <w:p w14:paraId="4C4F00DE" w14:textId="77777777" w:rsidR="003B03EB" w:rsidRPr="005E78F4" w:rsidRDefault="003B03EB" w:rsidP="003B03EB">
      <w:pPr>
        <w:pStyle w:val="NormalHanging12a"/>
      </w:pPr>
      <w:r w:rsidRPr="005E78F4">
        <w:t>–</w:t>
      </w:r>
      <w:r w:rsidRPr="005E78F4">
        <w:tab/>
        <w:t xml:space="preserve">so zreteľom na odporúčanie Rady zo 17. februára 2026 o udelení absolutória Komisii za </w:t>
      </w:r>
      <w:r w:rsidRPr="005E78F4">
        <w:lastRenderedPageBreak/>
        <w:t>plnenie rozpočtu za rozpočtový rok 2024 (05749/2026 – C10</w:t>
      </w:r>
      <w:r w:rsidRPr="005E78F4">
        <w:noBreakHyphen/>
        <w:t>0037/2026),</w:t>
      </w:r>
    </w:p>
    <w:p w14:paraId="0DE129A8" w14:textId="77777777" w:rsidR="003B03EB" w:rsidRPr="005E78F4" w:rsidRDefault="003B03EB" w:rsidP="003B03EB">
      <w:pPr>
        <w:pStyle w:val="NormalHanging12a"/>
      </w:pPr>
      <w:r w:rsidRPr="005E78F4">
        <w:t>–</w:t>
      </w:r>
      <w:r w:rsidRPr="005E78F4">
        <w:tab/>
        <w:t>so zreteľom na články 317, 318 a 319 Zmluvy o fungovaní Európskej únie,</w:t>
      </w:r>
    </w:p>
    <w:p w14:paraId="1207BFD1"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4E5667BA"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5"/>
      </w:r>
      <w:r w:rsidRPr="005E78F4">
        <w:t>, a najmä na jeho články 69, 260, 261 a 262,</w:t>
      </w:r>
    </w:p>
    <w:p w14:paraId="63D62A40"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2024/2509 z 23. septembra 2024 o rozpočtových pravidlách, ktoré sa vzťahujú na všeobecný rozpočet Únie</w:t>
      </w:r>
      <w:r w:rsidRPr="005E78F4">
        <w:rPr>
          <w:rStyle w:val="FootnoteReference"/>
        </w:rPr>
        <w:footnoteReference w:id="6"/>
      </w:r>
      <w:r w:rsidRPr="005E78F4">
        <w:t>, a najmä na jeho články 69, 266, 267 a 268,</w:t>
      </w:r>
    </w:p>
    <w:p w14:paraId="2A1FD7BB" w14:textId="77777777" w:rsidR="003B03EB" w:rsidRPr="005E78F4" w:rsidRDefault="003B03EB" w:rsidP="003B03EB">
      <w:pPr>
        <w:pStyle w:val="NormalHanging12a"/>
      </w:pPr>
      <w:r w:rsidRPr="005E78F4">
        <w:t>–</w:t>
      </w:r>
      <w:r w:rsidRPr="005E78F4">
        <w:tab/>
        <w:t>so zreteľom na článok 101 a prílohu V k rokovaciemu poriadku,</w:t>
      </w:r>
    </w:p>
    <w:p w14:paraId="22A3EBCA"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05996978" w14:textId="77777777" w:rsidR="003B03EB" w:rsidRPr="005E78F4" w:rsidRDefault="003B03EB" w:rsidP="003B03EB">
      <w:pPr>
        <w:pStyle w:val="NormalHanging12a"/>
      </w:pPr>
      <w:r w:rsidRPr="005E78F4">
        <w:t>–</w:t>
      </w:r>
      <w:r w:rsidRPr="005E78F4">
        <w:tab/>
        <w:t>so zreteľom na list Výboru pre poľnohospodárstvo a rozvoj vidieka,</w:t>
      </w:r>
    </w:p>
    <w:p w14:paraId="696FE633" w14:textId="77777777" w:rsidR="003B03EB" w:rsidRPr="005E78F4" w:rsidRDefault="003B03EB" w:rsidP="003B03EB">
      <w:pPr>
        <w:pStyle w:val="NormalHanging12a"/>
      </w:pPr>
      <w:r w:rsidRPr="005E78F4">
        <w:t>–</w:t>
      </w:r>
      <w:r w:rsidRPr="005E78F4">
        <w:tab/>
        <w:t>so zreteľom na správu Výboru pre kontrolu rozpočtu (A10-0085/2026),</w:t>
      </w:r>
    </w:p>
    <w:p w14:paraId="04DF28EB" w14:textId="77777777" w:rsidR="003B03EB" w:rsidRPr="005E78F4" w:rsidRDefault="003B03EB" w:rsidP="003B03EB">
      <w:pPr>
        <w:pStyle w:val="NormalHanging12a"/>
      </w:pPr>
      <w:r w:rsidRPr="005E78F4">
        <w:t>1.</w:t>
      </w:r>
      <w:r w:rsidRPr="005E78F4">
        <w:tab/>
        <w:t>udeľuje Komisii absolutórium za plnenie všeobecného rozpočtu Európskej únie za rozpočtový rok 2024;</w:t>
      </w:r>
    </w:p>
    <w:p w14:paraId="0031728D"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04044106" w14:textId="77777777" w:rsidR="003B03EB" w:rsidRPr="005E78F4" w:rsidRDefault="003B03EB" w:rsidP="003B03EB">
      <w:pPr>
        <w:pStyle w:val="NormalHanging12a"/>
      </w:pPr>
      <w:r w:rsidRPr="005E78F4">
        <w:t>3.</w:t>
      </w:r>
      <w:r w:rsidRPr="005E78F4">
        <w:tab/>
        <w:t xml:space="preserve">poveruje svoju predsedníčku, aby postúpila toto rozhodnutie a uznesenie, ktoré je jeho neoddeliteľnou súčasťou, Rade, Komisii, Dvoru audítorov, ako aj národným parlamentom a národným a regionálnym kontrolným orgánom členských štátov a aby zabezpečila ich uverejnenie v </w:t>
      </w:r>
      <w:r w:rsidRPr="005E78F4">
        <w:rPr>
          <w:i/>
        </w:rPr>
        <w:t>Úradnom vestníku Európskej únie</w:t>
      </w:r>
      <w:r w:rsidRPr="005E78F4">
        <w:t xml:space="preserve"> (v sérii L).</w:t>
      </w:r>
    </w:p>
    <w:p w14:paraId="323F46B1" w14:textId="77777777" w:rsidR="003B03EB" w:rsidRPr="005E78F4" w:rsidRDefault="003B03EB" w:rsidP="003B03EB"/>
    <w:p w14:paraId="4087CF66" w14:textId="77777777" w:rsidR="003B03EB" w:rsidRPr="005E78F4" w:rsidRDefault="003B03EB" w:rsidP="003B03EB">
      <w:pPr>
        <w:pStyle w:val="PageHeading"/>
        <w:sectPr w:rsidR="003B03EB" w:rsidRPr="005E78F4" w:rsidSect="004050B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AB7100" w14:textId="77777777" w:rsidR="00AE12F0" w:rsidRPr="005E78F4" w:rsidRDefault="00AE12F0" w:rsidP="00AE12F0">
      <w:pPr>
        <w:pStyle w:val="ATHeading3"/>
      </w:pPr>
      <w:bookmarkStart w:id="8" w:name="_Toc227937510"/>
      <w:bookmarkStart w:id="9" w:name="_Toc107908457"/>
      <w:bookmarkStart w:id="10" w:name="_Toc107913004"/>
      <w:bookmarkStart w:id="11" w:name="_Toc107915329"/>
      <w:bookmarkStart w:id="12" w:name="_Toc107915333"/>
      <w:bookmarkStart w:id="13" w:name="_Toc107915473"/>
      <w:r w:rsidRPr="005E78F4">
        <w:lastRenderedPageBreak/>
        <w:t>2. Rozhodnutie Európskeho parlamentu z 29. apríla 2026 o absolutóriu za plnenie rozpočtu Európskej výkonnej agentúry pre klímu, infraštruktúru a životné prostredie za rozpočtový rok 2024 (2025/2145(DEC))</w:t>
      </w:r>
    </w:p>
    <w:bookmarkEnd w:id="8"/>
    <w:p w14:paraId="69BC4106" w14:textId="77777777" w:rsidR="003B03EB" w:rsidRPr="005E78F4" w:rsidRDefault="003B03EB" w:rsidP="003B03EB">
      <w:pPr>
        <w:pStyle w:val="EPComma"/>
      </w:pPr>
      <w:r w:rsidRPr="005E78F4">
        <w:rPr>
          <w:i/>
        </w:rPr>
        <w:t>Európsky parlament</w:t>
      </w:r>
      <w:r w:rsidRPr="005E78F4">
        <w:t>,</w:t>
      </w:r>
    </w:p>
    <w:p w14:paraId="761762A3"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7"/>
      </w:r>
      <w:r w:rsidRPr="005E78F4">
        <w:t>,</w:t>
      </w:r>
    </w:p>
    <w:p w14:paraId="7A2FF0C9"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8"/>
      </w:r>
      <w:r w:rsidRPr="005E78F4">
        <w:t>,</w:t>
      </w:r>
    </w:p>
    <w:p w14:paraId="1C354CAD" w14:textId="77777777" w:rsidR="003B03EB" w:rsidRPr="005E78F4" w:rsidRDefault="003B03EB" w:rsidP="003B03EB">
      <w:pPr>
        <w:pStyle w:val="NormalHanging12a"/>
      </w:pPr>
      <w:r w:rsidRPr="005E78F4">
        <w:t>–</w:t>
      </w:r>
      <w:r w:rsidRPr="005E78F4">
        <w:tab/>
        <w:t>so zreteľom na konečnú ročnú účtovnú závierku Európskej výkonnej agentúry pre klímu, infraštruktúru a životné prostredie za rozpočtový rok 2024</w:t>
      </w:r>
      <w:r w:rsidRPr="005E78F4">
        <w:rPr>
          <w:rStyle w:val="FootnoteReference"/>
        </w:rPr>
        <w:footnoteReference w:id="9"/>
      </w:r>
      <w:r w:rsidRPr="005E78F4">
        <w:t>,</w:t>
      </w:r>
    </w:p>
    <w:p w14:paraId="43CB53DA"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6A5CA537"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7F3B12B5"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10"/>
      </w:r>
      <w:r w:rsidRPr="005E78F4">
        <w:t>,</w:t>
      </w:r>
    </w:p>
    <w:p w14:paraId="1849A0E5"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11"/>
      </w:r>
      <w:r w:rsidRPr="005E78F4">
        <w:t xml:space="preserve"> týkajúce sa spoľahlivosti účtov a zákonnosti a správnosti príslušných operácií, ktoré poskytol Dvor audítorov za rozpočtový rok 2024 v súlade s článkom 287 Zmluvy o fungovaní Európskej únie,</w:t>
      </w:r>
    </w:p>
    <w:p w14:paraId="5BAE1D79"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41AD9235" w14:textId="77777777" w:rsidR="003B03EB" w:rsidRPr="005E78F4" w:rsidRDefault="003B03EB" w:rsidP="003B03EB">
      <w:pPr>
        <w:pStyle w:val="NormalHanging12a"/>
      </w:pPr>
      <w:r w:rsidRPr="005E78F4">
        <w:t>–</w:t>
      </w:r>
      <w:r w:rsidRPr="005E78F4">
        <w:tab/>
        <w:t>so zreteľom na články 317, 318 a 319 Zmluvy o fungovaní Európskej únie,</w:t>
      </w:r>
    </w:p>
    <w:p w14:paraId="3ACEE0A2"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2D8C777A"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12"/>
      </w:r>
      <w:r w:rsidRPr="005E78F4">
        <w:t>, a najmä na jeho články 69, 260, 261 a 262,</w:t>
      </w:r>
    </w:p>
    <w:p w14:paraId="00D047E2"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13"/>
      </w:r>
      <w:r w:rsidRPr="005E78F4">
        <w:t>, a najmä na jeho články 69, 266, 267 a 268,</w:t>
      </w:r>
    </w:p>
    <w:p w14:paraId="5162644B"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14"/>
      </w:r>
      <w:r w:rsidRPr="005E78F4">
        <w:t>, a najmä na jeho článok 14 ods. 3,</w:t>
      </w:r>
    </w:p>
    <w:p w14:paraId="46AE7E1E"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15"/>
      </w:r>
      <w:r w:rsidRPr="005E78F4">
        <w:t>, a najmä na jeho článok 66 prvý a druhý odsek,</w:t>
      </w:r>
    </w:p>
    <w:p w14:paraId="2F292748"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16"/>
      </w:r>
      <w:r w:rsidRPr="005E78F4">
        <w:t>,</w:t>
      </w:r>
    </w:p>
    <w:p w14:paraId="58D4BB96" w14:textId="77777777" w:rsidR="003B03EB" w:rsidRPr="005E78F4" w:rsidRDefault="003B03EB" w:rsidP="003B03EB">
      <w:pPr>
        <w:pStyle w:val="NormalHanging12a"/>
      </w:pPr>
      <w:r w:rsidRPr="005E78F4">
        <w:t>–</w:t>
      </w:r>
      <w:r w:rsidRPr="005E78F4">
        <w:tab/>
        <w:t>so zreteľom na článok 101 a prílohu V k rokovaciemu poriadku,</w:t>
      </w:r>
    </w:p>
    <w:p w14:paraId="742D5FCD"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0BC13469" w14:textId="77777777" w:rsidR="003B03EB" w:rsidRPr="005E78F4" w:rsidRDefault="003B03EB" w:rsidP="003B03EB">
      <w:pPr>
        <w:pStyle w:val="NormalHanging12a"/>
      </w:pPr>
      <w:r w:rsidRPr="005E78F4">
        <w:t>–</w:t>
      </w:r>
      <w:r w:rsidRPr="005E78F4">
        <w:tab/>
        <w:t>so zreteľom na list Výboru pre poľnohospodárstvo a rozvoj vidieka,</w:t>
      </w:r>
    </w:p>
    <w:p w14:paraId="0E045A38" w14:textId="77777777" w:rsidR="003B03EB" w:rsidRPr="005E78F4" w:rsidRDefault="003B03EB" w:rsidP="003B03EB">
      <w:pPr>
        <w:pStyle w:val="NormalHanging12a"/>
      </w:pPr>
      <w:r w:rsidRPr="005E78F4">
        <w:t>–</w:t>
      </w:r>
      <w:r w:rsidRPr="005E78F4">
        <w:tab/>
        <w:t>so zreteľom na správu Výboru pre kontrolu rozpočtu (A10-0085/2026),</w:t>
      </w:r>
    </w:p>
    <w:p w14:paraId="5805C10D" w14:textId="77777777" w:rsidR="003B03EB" w:rsidRPr="005E78F4" w:rsidRDefault="003B03EB" w:rsidP="003B03EB">
      <w:pPr>
        <w:pStyle w:val="NormalHanging12a"/>
      </w:pPr>
      <w:r w:rsidRPr="005E78F4">
        <w:t>1.</w:t>
      </w:r>
      <w:r w:rsidRPr="005E78F4">
        <w:tab/>
        <w:t>udeľuje riaditeľke Európskej výkonnej agentúry pre klímu, infraštruktúru a životné prostredie absolutórium za plnenie rozpočtu výkonnej agentúry za rozpočtový rok 2024;</w:t>
      </w:r>
    </w:p>
    <w:p w14:paraId="6FCBFE17"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7FDFA78C" w14:textId="77777777" w:rsidR="003B03EB" w:rsidRPr="005E78F4" w:rsidRDefault="003B03EB" w:rsidP="003B03EB">
      <w:pPr>
        <w:pStyle w:val="NormalHanging12a"/>
      </w:pPr>
      <w:r w:rsidRPr="005E78F4">
        <w:t>3.</w:t>
      </w:r>
      <w:r w:rsidRPr="005E78F4">
        <w:tab/>
        <w:t>poveruje svoju predsedníčku, aby postúpila toto rozhodnutie, rozhodnutie o absolutóriu za plnenie všeobecného rozpočtu Európskej únie za rozpočtový rok 2024, oddiel III – Komisia a uznesenie, ktoré je neoddeliteľnou súčasťou týchto rozhodnutí, riaditeľke Európskej výkonnej agentúry pre klímu, infraštruktúru a životné prostredie, Rade, Komisii a Dvoru audítorov a aby zabezpečila ich uverejnenie v </w:t>
      </w:r>
      <w:r w:rsidRPr="005E78F4">
        <w:rPr>
          <w:i/>
        </w:rPr>
        <w:t>Úradnom vestníku Európskej únie</w:t>
      </w:r>
      <w:r w:rsidRPr="005E78F4">
        <w:t xml:space="preserve"> (v sérii L).</w:t>
      </w:r>
    </w:p>
    <w:p w14:paraId="422B94FA" w14:textId="77777777" w:rsidR="003B03EB" w:rsidRPr="005E78F4" w:rsidRDefault="003B03EB" w:rsidP="003B03EB"/>
    <w:p w14:paraId="1CFF230C"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3893B2" w14:textId="77777777" w:rsidR="00AE12F0" w:rsidRPr="005E78F4" w:rsidRDefault="00AE12F0" w:rsidP="00AE12F0">
      <w:pPr>
        <w:pStyle w:val="ATHeading3"/>
      </w:pPr>
      <w:bookmarkStart w:id="14" w:name="_Toc227937512"/>
      <w:r w:rsidRPr="005E78F4">
        <w:lastRenderedPageBreak/>
        <w:t>3. Rozhodnutie Európskeho parlamentu z 29. apríla 2026 o absolutóriu za plnenie rozpočtu Európskej výkonnej agentúry pre vzdelávanie a kultúru za rozpočtový rok 2024 (2025/2145(DEC))</w:t>
      </w:r>
    </w:p>
    <w:bookmarkEnd w:id="14"/>
    <w:p w14:paraId="2825C986" w14:textId="77777777" w:rsidR="003B03EB" w:rsidRPr="005E78F4" w:rsidRDefault="003B03EB" w:rsidP="003B03EB">
      <w:pPr>
        <w:pStyle w:val="EPComma"/>
      </w:pPr>
      <w:r w:rsidRPr="005E78F4">
        <w:rPr>
          <w:i/>
        </w:rPr>
        <w:t>Európsky parlament</w:t>
      </w:r>
      <w:r w:rsidRPr="005E78F4">
        <w:t>,</w:t>
      </w:r>
    </w:p>
    <w:p w14:paraId="4CB0D7CB"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17"/>
      </w:r>
      <w:r w:rsidRPr="005E78F4">
        <w:t>,</w:t>
      </w:r>
    </w:p>
    <w:p w14:paraId="375376D7"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18"/>
      </w:r>
      <w:r w:rsidRPr="005E78F4">
        <w:t>,</w:t>
      </w:r>
    </w:p>
    <w:p w14:paraId="1802E5C2" w14:textId="77777777" w:rsidR="003B03EB" w:rsidRPr="005E78F4" w:rsidRDefault="003B03EB" w:rsidP="003B03EB">
      <w:pPr>
        <w:pStyle w:val="NormalHanging12a"/>
      </w:pPr>
      <w:r w:rsidRPr="005E78F4">
        <w:t>–</w:t>
      </w:r>
      <w:r w:rsidRPr="005E78F4">
        <w:tab/>
        <w:t>so zreteľom na konečnú ročnú účtovnú závierku Výkonnej agentúry pre vzdelávanie a kultúru za rozpočtový rok 2024</w:t>
      </w:r>
      <w:r w:rsidRPr="005E78F4">
        <w:rPr>
          <w:rStyle w:val="FootnoteReference"/>
        </w:rPr>
        <w:footnoteReference w:id="19"/>
      </w:r>
      <w:r w:rsidRPr="005E78F4">
        <w:t>,</w:t>
      </w:r>
    </w:p>
    <w:p w14:paraId="4234FA2D"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056E5AC1"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759C5FBF"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20"/>
      </w:r>
      <w:r w:rsidRPr="005E78F4">
        <w:t>,</w:t>
      </w:r>
    </w:p>
    <w:p w14:paraId="0B122717"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21"/>
      </w:r>
      <w:r w:rsidRPr="005E78F4">
        <w:t xml:space="preserve"> týkajúce sa spoľahlivosti účtov a zákonnosti a správnosti príslušných operácií, ktoré poskytol Dvor audítorov za rozpočtový rok 2024 v súlade s článkom 287 Zmluvy o fungovaní Európskej únie,</w:t>
      </w:r>
    </w:p>
    <w:p w14:paraId="527244D8"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04C7E1BF" w14:textId="77777777" w:rsidR="003B03EB" w:rsidRPr="005E78F4" w:rsidRDefault="003B03EB" w:rsidP="003B03EB">
      <w:pPr>
        <w:pStyle w:val="NormalHanging12a"/>
      </w:pPr>
      <w:r w:rsidRPr="005E78F4">
        <w:t>–</w:t>
      </w:r>
      <w:r w:rsidRPr="005E78F4">
        <w:tab/>
        <w:t>so zreteľom na články 317, 318 a 319 Zmluvy o fungovaní Európskej únie,</w:t>
      </w:r>
    </w:p>
    <w:p w14:paraId="032C169C"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4D6C1751"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22"/>
      </w:r>
      <w:r w:rsidRPr="005E78F4">
        <w:t>, a najmä na jeho články 69, 260, 261 a 262,</w:t>
      </w:r>
    </w:p>
    <w:p w14:paraId="46C7648E"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23"/>
      </w:r>
      <w:r w:rsidRPr="005E78F4">
        <w:t>, a najmä na jeho články 69, 266, 267 a 268,</w:t>
      </w:r>
    </w:p>
    <w:p w14:paraId="6A697C2B"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24"/>
      </w:r>
      <w:r w:rsidRPr="005E78F4">
        <w:t>, a najmä na jeho článok 14 ods. 3,</w:t>
      </w:r>
    </w:p>
    <w:p w14:paraId="6BCD5CA1"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25"/>
      </w:r>
      <w:r w:rsidRPr="005E78F4">
        <w:t>, a najmä na jeho článok 66 prvý a druhý odsek,</w:t>
      </w:r>
    </w:p>
    <w:p w14:paraId="4067729E"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26"/>
      </w:r>
      <w:r w:rsidRPr="005E78F4">
        <w:t>,</w:t>
      </w:r>
    </w:p>
    <w:p w14:paraId="5BA4E10D" w14:textId="77777777" w:rsidR="003B03EB" w:rsidRPr="005E78F4" w:rsidRDefault="003B03EB" w:rsidP="003B03EB">
      <w:pPr>
        <w:pStyle w:val="NormalHanging12a"/>
      </w:pPr>
      <w:r w:rsidRPr="005E78F4">
        <w:t>–</w:t>
      </w:r>
      <w:r w:rsidRPr="005E78F4">
        <w:tab/>
        <w:t>so zreteľom na článok 101 a prílohu V k rokovaciemu poriadku,</w:t>
      </w:r>
    </w:p>
    <w:p w14:paraId="5F5A9EC4"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3289A663" w14:textId="77777777" w:rsidR="003B03EB" w:rsidRPr="005E78F4" w:rsidRDefault="003B03EB" w:rsidP="003B03EB">
      <w:pPr>
        <w:pStyle w:val="NormalHanging12a"/>
      </w:pPr>
      <w:r w:rsidRPr="005E78F4">
        <w:t>–</w:t>
      </w:r>
      <w:r w:rsidRPr="005E78F4">
        <w:tab/>
        <w:t>so zreteľom na list Výboru pre poľnohospodárstvo a rozvoj vidieka,</w:t>
      </w:r>
    </w:p>
    <w:p w14:paraId="65C0EDFE" w14:textId="77777777" w:rsidR="003B03EB" w:rsidRPr="005E78F4" w:rsidRDefault="003B03EB" w:rsidP="003B03EB">
      <w:pPr>
        <w:pStyle w:val="NormalHanging12a"/>
      </w:pPr>
      <w:r w:rsidRPr="005E78F4">
        <w:t>–</w:t>
      </w:r>
      <w:r w:rsidRPr="005E78F4">
        <w:tab/>
        <w:t>so zreteľom na správu Výboru pre kontrolu rozpočtu (A10-0085/2026),</w:t>
      </w:r>
    </w:p>
    <w:p w14:paraId="357714CC" w14:textId="77777777" w:rsidR="003B03EB" w:rsidRPr="005E78F4" w:rsidRDefault="003B03EB" w:rsidP="003B03EB">
      <w:pPr>
        <w:pStyle w:val="NormalHanging12a"/>
      </w:pPr>
      <w:r w:rsidRPr="005E78F4">
        <w:t>1.</w:t>
      </w:r>
      <w:r w:rsidRPr="005E78F4">
        <w:tab/>
        <w:t>udeľuje riaditeľke Európskej výkonnej agentúry pre vzdelávanie a kultúru absolutórium za plnenie rozpočtu výkonnej agentúry za rozpočtový rok 2024;</w:t>
      </w:r>
    </w:p>
    <w:p w14:paraId="3465A2B0"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3A1F05D7" w14:textId="77777777" w:rsidR="003B03EB" w:rsidRPr="005E78F4" w:rsidRDefault="003B03EB" w:rsidP="003B03EB">
      <w:pPr>
        <w:pStyle w:val="NormalHanging12a"/>
      </w:pPr>
      <w:r w:rsidRPr="005E78F4">
        <w:t>3.</w:t>
      </w:r>
      <w:r w:rsidRPr="005E78F4">
        <w:tab/>
        <w:t>poveruje svoju predsedníčku, aby postúpila toto rozhodnutie, rozhodnutie o absolutóriu za plnenie všeobecného rozpočtu Európskej únie za rozpočtový rok 2024, oddiel III – Komisia a uznesenie, ktoré je neoddeliteľnou súčasťou týchto rozhodnutí, riaditeľke Európskej výkonnej agentúry pre vzdelávanie a kultúru, Rade, Komisii a Dvoru audítorov a aby zabezpečila ich uverejnenie v </w:t>
      </w:r>
      <w:r w:rsidRPr="005E78F4">
        <w:rPr>
          <w:i/>
        </w:rPr>
        <w:t>Úradnom vestníku Európskej únie</w:t>
      </w:r>
      <w:r w:rsidRPr="005E78F4">
        <w:t xml:space="preserve"> (v sérii L).</w:t>
      </w:r>
    </w:p>
    <w:p w14:paraId="532FE305" w14:textId="77777777" w:rsidR="003B03EB" w:rsidRPr="005E78F4" w:rsidRDefault="003B03EB" w:rsidP="003B03EB"/>
    <w:p w14:paraId="6F250F74"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6C1E5F" w14:textId="77777777" w:rsidR="00AE12F0" w:rsidRPr="005E78F4" w:rsidRDefault="00AE12F0" w:rsidP="00AE12F0">
      <w:pPr>
        <w:pStyle w:val="ATHeading3"/>
      </w:pPr>
      <w:bookmarkStart w:id="15" w:name="_Toc227937514"/>
      <w:r w:rsidRPr="005E78F4">
        <w:lastRenderedPageBreak/>
        <w:t>4. Rozhodnutie Európskeho parlamentu z 29. apríla 2026 o absolutóriu za plnenie rozpočtu Výkonnej agentúry pre Európsku radu pre inováciu a MSP za rozpočtový rok 2024 (2025/2145(DEC))</w:t>
      </w:r>
    </w:p>
    <w:bookmarkEnd w:id="15"/>
    <w:p w14:paraId="62CCBD9A" w14:textId="77777777" w:rsidR="003B03EB" w:rsidRPr="005E78F4" w:rsidRDefault="003B03EB" w:rsidP="003B03EB">
      <w:pPr>
        <w:pStyle w:val="EPComma"/>
      </w:pPr>
      <w:r w:rsidRPr="005E78F4">
        <w:rPr>
          <w:i/>
        </w:rPr>
        <w:t>Európsky parlament</w:t>
      </w:r>
      <w:r w:rsidRPr="005E78F4">
        <w:t>,</w:t>
      </w:r>
    </w:p>
    <w:p w14:paraId="63929C54"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27"/>
      </w:r>
      <w:r w:rsidRPr="005E78F4">
        <w:t>,</w:t>
      </w:r>
    </w:p>
    <w:p w14:paraId="0A842520"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28"/>
      </w:r>
      <w:r w:rsidRPr="005E78F4">
        <w:t>,</w:t>
      </w:r>
    </w:p>
    <w:p w14:paraId="0A90F19A" w14:textId="77777777" w:rsidR="003B03EB" w:rsidRPr="005E78F4" w:rsidRDefault="003B03EB" w:rsidP="003B03EB">
      <w:pPr>
        <w:pStyle w:val="NormalHanging12a"/>
      </w:pPr>
      <w:r w:rsidRPr="005E78F4">
        <w:t>–</w:t>
      </w:r>
      <w:r w:rsidRPr="005E78F4">
        <w:tab/>
        <w:t>so zreteľom na konečnú ročnú účtovnú závierku Výkonnej agentúry pre Európsku radu pre inováciu a MSP za rozpočtový rok 2024</w:t>
      </w:r>
      <w:r w:rsidRPr="005E78F4">
        <w:rPr>
          <w:rStyle w:val="FootnoteReference"/>
        </w:rPr>
        <w:footnoteReference w:id="29"/>
      </w:r>
      <w:r w:rsidRPr="005E78F4">
        <w:t>,</w:t>
      </w:r>
    </w:p>
    <w:p w14:paraId="75916487"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65CA8919"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25FA803D"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30"/>
      </w:r>
      <w:r w:rsidRPr="005E78F4">
        <w:t>,</w:t>
      </w:r>
    </w:p>
    <w:p w14:paraId="16167D2E"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31"/>
      </w:r>
      <w:r w:rsidRPr="005E78F4">
        <w:t xml:space="preserve"> týkajúce sa spoľahlivosti účtov a zákonnosti a správnosti príslušných operácií, ktoré poskytol Dvor audítorov za rozpočtový rok 2024 v súlade s článkom 287 Zmluvy o fungovaní Európskej únie,</w:t>
      </w:r>
    </w:p>
    <w:p w14:paraId="77CCF917"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0D7CEE14" w14:textId="77777777" w:rsidR="003B03EB" w:rsidRPr="005E78F4" w:rsidRDefault="003B03EB" w:rsidP="003B03EB">
      <w:pPr>
        <w:pStyle w:val="NormalHanging12a"/>
      </w:pPr>
      <w:r w:rsidRPr="005E78F4">
        <w:t>–</w:t>
      </w:r>
      <w:r w:rsidRPr="005E78F4">
        <w:tab/>
        <w:t>so zreteľom na články 317, 318 a 319 Zmluvy o fungovaní Európskej únie,</w:t>
      </w:r>
    </w:p>
    <w:p w14:paraId="0CC63F86"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2C7FAB62"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32"/>
      </w:r>
      <w:r w:rsidRPr="005E78F4">
        <w:t>, a najmä na jeho články 69, 260, 261 a 262,</w:t>
      </w:r>
    </w:p>
    <w:p w14:paraId="38DE8ED1"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33"/>
      </w:r>
      <w:r w:rsidRPr="005E78F4">
        <w:t>, a najmä na jeho články 69, 266, 267 a 268,</w:t>
      </w:r>
    </w:p>
    <w:p w14:paraId="4D19B4F4"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34"/>
      </w:r>
      <w:r w:rsidRPr="005E78F4">
        <w:t>, a najmä na jeho článok 14 ods. 3,</w:t>
      </w:r>
    </w:p>
    <w:p w14:paraId="6E3FC3FD"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35"/>
      </w:r>
      <w:r w:rsidRPr="005E78F4">
        <w:t>, a najmä na jeho článok 66 prvý a druhý odsek,</w:t>
      </w:r>
    </w:p>
    <w:p w14:paraId="1F4EA877"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36"/>
      </w:r>
      <w:r w:rsidRPr="005E78F4">
        <w:t>,</w:t>
      </w:r>
    </w:p>
    <w:p w14:paraId="27A191E8" w14:textId="77777777" w:rsidR="003B03EB" w:rsidRPr="005E78F4" w:rsidRDefault="003B03EB" w:rsidP="003B03EB">
      <w:pPr>
        <w:pStyle w:val="NormalHanging12a"/>
      </w:pPr>
      <w:r w:rsidRPr="005E78F4">
        <w:t>–</w:t>
      </w:r>
      <w:r w:rsidRPr="005E78F4">
        <w:tab/>
        <w:t>so zreteľom na článok 101 a prílohu V k rokovaciemu poriadku,</w:t>
      </w:r>
    </w:p>
    <w:p w14:paraId="7C673F5A"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1FF66A3D" w14:textId="77777777" w:rsidR="003B03EB" w:rsidRPr="005E78F4" w:rsidRDefault="003B03EB" w:rsidP="003B03EB">
      <w:pPr>
        <w:pStyle w:val="NormalHanging12a"/>
      </w:pPr>
      <w:r w:rsidRPr="005E78F4">
        <w:t>–</w:t>
      </w:r>
      <w:r w:rsidRPr="005E78F4">
        <w:tab/>
        <w:t>so zreteľom na list Výboru pre poľnohospodárstvo a rozvoj vidieka,</w:t>
      </w:r>
    </w:p>
    <w:p w14:paraId="4B567A74" w14:textId="77777777" w:rsidR="003B03EB" w:rsidRPr="005E78F4" w:rsidRDefault="003B03EB" w:rsidP="003B03EB">
      <w:pPr>
        <w:pStyle w:val="NormalHanging12a"/>
      </w:pPr>
      <w:r w:rsidRPr="005E78F4">
        <w:t>–</w:t>
      </w:r>
      <w:r w:rsidRPr="005E78F4">
        <w:tab/>
        <w:t>so zreteľom na správu Výboru pre kontrolu rozpočtu (A10-0085/2026),</w:t>
      </w:r>
    </w:p>
    <w:p w14:paraId="4FA49B3E" w14:textId="08B185F5" w:rsidR="003B03EB" w:rsidRPr="005E78F4" w:rsidRDefault="003B03EB" w:rsidP="003B03EB">
      <w:pPr>
        <w:pStyle w:val="NormalHanging12a"/>
      </w:pPr>
      <w:r w:rsidRPr="005E78F4">
        <w:t>1.</w:t>
      </w:r>
      <w:r w:rsidRPr="005E78F4">
        <w:tab/>
        <w:t>udeľuje riaditeľovi Výkonnej agentúry pre Európsku radu pre inováciu a MSP absolutórium za plnenie rozpočtu výkonnej agentúry za rozpočtový rok 2024;</w:t>
      </w:r>
    </w:p>
    <w:p w14:paraId="78E470F6"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6ECE8C98" w14:textId="1D6CCCA4" w:rsidR="003B03EB" w:rsidRPr="005E78F4" w:rsidRDefault="003B03EB" w:rsidP="003B03EB">
      <w:pPr>
        <w:pStyle w:val="NormalHanging12a"/>
      </w:pPr>
      <w:r w:rsidRPr="005E78F4">
        <w:t>3.</w:t>
      </w:r>
      <w:r w:rsidRPr="005E78F4">
        <w:tab/>
        <w:t>poveruje svoju predsedníčku, aby postúpila toto rozhodnutie, rozhodnutie o absolutóriu za plnenie všeobecného rozpočtu Európskej únie za rozpočtový rok 2024, oddiel III – Komisia a uznesenie, ktoré je neoddeliteľnou súčasťou týchto rozhodnutí, riaditeľovi Výkonnej agentúry pre Európsku radu pre inováciu a MSP, Rade, Komisii a Dvoru audítorov a aby zabezpečila ich uverejnenie v </w:t>
      </w:r>
      <w:r w:rsidRPr="005E78F4">
        <w:rPr>
          <w:i/>
        </w:rPr>
        <w:t>Úradnom vestníku Európskej únie</w:t>
      </w:r>
      <w:r w:rsidRPr="005E78F4">
        <w:t xml:space="preserve"> (v sérii L).</w:t>
      </w:r>
    </w:p>
    <w:p w14:paraId="04F48D8C" w14:textId="77777777" w:rsidR="003B03EB" w:rsidRPr="005E78F4" w:rsidRDefault="003B03EB" w:rsidP="003B03EB"/>
    <w:p w14:paraId="34E6DDBF" w14:textId="77777777" w:rsidR="003B03EB" w:rsidRPr="005E78F4" w:rsidRDefault="003B03EB" w:rsidP="003B03EB">
      <w:pPr>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5E78F3" w14:textId="77777777" w:rsidR="00AE12F0" w:rsidRPr="005E78F4" w:rsidRDefault="00AE12F0" w:rsidP="00AE12F0">
      <w:pPr>
        <w:pStyle w:val="ATHeading3"/>
      </w:pPr>
      <w:bookmarkStart w:id="16" w:name="_Toc227937516"/>
      <w:r w:rsidRPr="005E78F4">
        <w:lastRenderedPageBreak/>
        <w:t>5. Rozhodnutie Európskeho parlamentu z 29. apríla 2026 o absolutóriu za plnenie rozpočtu Výkonnej agentúry Európskej rady pre výskum za rozpočtový rok 2024 (2025/2145(DEC))</w:t>
      </w:r>
    </w:p>
    <w:bookmarkEnd w:id="16"/>
    <w:p w14:paraId="0D3F16AE" w14:textId="77777777" w:rsidR="003B03EB" w:rsidRPr="005E78F4" w:rsidRDefault="003B03EB" w:rsidP="003B03EB">
      <w:pPr>
        <w:pStyle w:val="EPComma"/>
      </w:pPr>
      <w:r w:rsidRPr="005E78F4">
        <w:rPr>
          <w:i/>
        </w:rPr>
        <w:t>Európsky parlament</w:t>
      </w:r>
      <w:r w:rsidRPr="005E78F4">
        <w:t>,</w:t>
      </w:r>
    </w:p>
    <w:p w14:paraId="4855D399"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37"/>
      </w:r>
      <w:r w:rsidRPr="005E78F4">
        <w:t>,</w:t>
      </w:r>
    </w:p>
    <w:p w14:paraId="1FA36BE0"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38"/>
      </w:r>
      <w:r w:rsidRPr="005E78F4">
        <w:t>,</w:t>
      </w:r>
    </w:p>
    <w:p w14:paraId="5B6E3B4D" w14:textId="77777777" w:rsidR="003B03EB" w:rsidRPr="005E78F4" w:rsidRDefault="003B03EB" w:rsidP="003B03EB">
      <w:pPr>
        <w:pStyle w:val="NormalHanging12a"/>
      </w:pPr>
      <w:r w:rsidRPr="005E78F4">
        <w:t>–</w:t>
      </w:r>
      <w:r w:rsidRPr="005E78F4">
        <w:tab/>
        <w:t>so zreteľom na konečnú ročnú účtovnú závierku Výkonnej agentúry Európskej rady pre výskum za rozpočtový rok 2024</w:t>
      </w:r>
      <w:r w:rsidRPr="005E78F4">
        <w:rPr>
          <w:rStyle w:val="FootnoteReference"/>
        </w:rPr>
        <w:footnoteReference w:id="39"/>
      </w:r>
      <w:r w:rsidRPr="005E78F4">
        <w:t>,</w:t>
      </w:r>
    </w:p>
    <w:p w14:paraId="2EE5EB64"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45841CD1"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78524E52"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40"/>
      </w:r>
      <w:r w:rsidRPr="005E78F4">
        <w:t>,</w:t>
      </w:r>
    </w:p>
    <w:p w14:paraId="08939C2C"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41"/>
      </w:r>
      <w:r w:rsidRPr="005E78F4">
        <w:t xml:space="preserve"> týkajúce sa spoľahlivosti účtov a zákonnosti a správnosti príslušných operácií, ktoré poskytol Dvor audítorov za rozpočtový rok 2024 v súlade s článkom 287 Zmluvy o fungovaní Európskej únie,</w:t>
      </w:r>
    </w:p>
    <w:p w14:paraId="21DB0B8B"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6B5698E1" w14:textId="77777777" w:rsidR="003B03EB" w:rsidRPr="005E78F4" w:rsidRDefault="003B03EB" w:rsidP="003B03EB">
      <w:pPr>
        <w:pStyle w:val="NormalHanging12a"/>
      </w:pPr>
      <w:r w:rsidRPr="005E78F4">
        <w:t>–</w:t>
      </w:r>
      <w:r w:rsidRPr="005E78F4">
        <w:tab/>
        <w:t>so zreteľom na články 317, 318 a 319 Zmluvy o fungovaní Európskej únie,</w:t>
      </w:r>
    </w:p>
    <w:p w14:paraId="7433D138"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02EE3753"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42"/>
      </w:r>
      <w:r w:rsidRPr="005E78F4">
        <w:t>, a najmä na jeho články 69, 260, 261 a 262,</w:t>
      </w:r>
    </w:p>
    <w:p w14:paraId="07CD26E0"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43"/>
      </w:r>
      <w:r w:rsidRPr="005E78F4">
        <w:t>, a najmä na jeho články 69, 266, 267 a 268,</w:t>
      </w:r>
    </w:p>
    <w:p w14:paraId="645909EF"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44"/>
      </w:r>
      <w:r w:rsidRPr="005E78F4">
        <w:t>, a najmä na jeho článok 14 ods. 3,</w:t>
      </w:r>
    </w:p>
    <w:p w14:paraId="46DF0D40"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45"/>
      </w:r>
      <w:r w:rsidRPr="005E78F4">
        <w:t>, a najmä na jeho článok 66 prvý a druhý odsek,</w:t>
      </w:r>
    </w:p>
    <w:p w14:paraId="760C2F55"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46"/>
      </w:r>
      <w:r w:rsidRPr="005E78F4">
        <w:t>,</w:t>
      </w:r>
    </w:p>
    <w:p w14:paraId="4C80BCF9" w14:textId="77777777" w:rsidR="003B03EB" w:rsidRPr="005E78F4" w:rsidRDefault="003B03EB" w:rsidP="003B03EB">
      <w:pPr>
        <w:pStyle w:val="NormalHanging12a"/>
      </w:pPr>
      <w:r w:rsidRPr="005E78F4">
        <w:t>–</w:t>
      </w:r>
      <w:r w:rsidRPr="005E78F4">
        <w:tab/>
        <w:t>so zreteľom na článok 101 a prílohu V k rokovaciemu poriadku,</w:t>
      </w:r>
    </w:p>
    <w:p w14:paraId="01DE8848"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511EF43E" w14:textId="77777777" w:rsidR="003B03EB" w:rsidRPr="005E78F4" w:rsidRDefault="003B03EB" w:rsidP="003B03EB">
      <w:pPr>
        <w:pStyle w:val="NormalHanging12a"/>
      </w:pPr>
      <w:r w:rsidRPr="005E78F4">
        <w:t>–</w:t>
      </w:r>
      <w:r w:rsidRPr="005E78F4">
        <w:tab/>
        <w:t>so zreteľom na list Výboru pre poľnohospodárstvo a rozvoj vidieka,</w:t>
      </w:r>
    </w:p>
    <w:p w14:paraId="2B8CD04F" w14:textId="77777777" w:rsidR="003B03EB" w:rsidRPr="005E78F4" w:rsidRDefault="003B03EB" w:rsidP="003B03EB">
      <w:pPr>
        <w:pStyle w:val="NormalHanging12a"/>
      </w:pPr>
      <w:r w:rsidRPr="005E78F4">
        <w:t>–</w:t>
      </w:r>
      <w:r w:rsidRPr="005E78F4">
        <w:tab/>
        <w:t>so zreteľom na správu Výboru pre kontrolu rozpočtu (A10-0085/2026),</w:t>
      </w:r>
    </w:p>
    <w:p w14:paraId="542032C0" w14:textId="77777777" w:rsidR="003B03EB" w:rsidRPr="005E78F4" w:rsidRDefault="003B03EB" w:rsidP="003B03EB">
      <w:pPr>
        <w:pStyle w:val="NormalHanging12a"/>
      </w:pPr>
      <w:r w:rsidRPr="005E78F4">
        <w:t>1.</w:t>
      </w:r>
      <w:r w:rsidRPr="005E78F4">
        <w:tab/>
        <w:t>udeľuje riaditeľke Výkonnej agentúry Európskej rady pre výskum absolutórium za plnenie rozpočtu výkonnej agentúry za rozpočtový rok 2024;</w:t>
      </w:r>
    </w:p>
    <w:p w14:paraId="7247D799"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4926FF58" w14:textId="77777777" w:rsidR="003B03EB" w:rsidRPr="005E78F4" w:rsidRDefault="003B03EB" w:rsidP="003B03EB">
      <w:pPr>
        <w:pStyle w:val="NormalHanging12a"/>
      </w:pPr>
      <w:r w:rsidRPr="005E78F4">
        <w:t>3.</w:t>
      </w:r>
      <w:r w:rsidRPr="005E78F4">
        <w:tab/>
        <w:t>poveruje svoju predsedníčku, aby postúpila toto rozhodnutie, rozhodnutie o absolutóriu za plnenie všeobecného rozpočtu Európskej únie za rozpočtový rok 2024, oddiel III – Komisia a uznesenie, ktoré je neoddeliteľnou súčasťou týchto rozhodnutí, riaditeľke Výkonnej agentúry Európskej rady pre výskum, Rade, Komisii a Dvoru audítorov a aby zabezpečila ich uverejnenie v </w:t>
      </w:r>
      <w:r w:rsidRPr="005E78F4">
        <w:rPr>
          <w:i/>
        </w:rPr>
        <w:t>Úradnom vestníku Európskej únie</w:t>
      </w:r>
      <w:r w:rsidRPr="005E78F4">
        <w:t xml:space="preserve"> (v sérii L).</w:t>
      </w:r>
    </w:p>
    <w:p w14:paraId="781EA90F" w14:textId="77777777" w:rsidR="003B03EB" w:rsidRPr="005E78F4" w:rsidRDefault="003B03EB" w:rsidP="003B03EB"/>
    <w:p w14:paraId="4B489956"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F6EB98" w14:textId="77777777" w:rsidR="00AE12F0" w:rsidRPr="005E78F4" w:rsidRDefault="00AE12F0" w:rsidP="00AE12F0">
      <w:pPr>
        <w:pStyle w:val="ATHeading3"/>
      </w:pPr>
      <w:bookmarkStart w:id="17" w:name="_Toc227937518"/>
      <w:r w:rsidRPr="005E78F4">
        <w:lastRenderedPageBreak/>
        <w:t>6. Rozhodnutie Európskeho parlamentu z 29. apríla 2026 o absolutóriu za plnenie rozpočtu Európskej výkonnej agentúry pre zdravie a digitalizáciu za rozpočtový rok 2024 (2025/2145(DEC))</w:t>
      </w:r>
    </w:p>
    <w:bookmarkEnd w:id="17"/>
    <w:p w14:paraId="7862E351" w14:textId="77777777" w:rsidR="003B03EB" w:rsidRPr="005E78F4" w:rsidRDefault="003B03EB" w:rsidP="003B03EB">
      <w:pPr>
        <w:pStyle w:val="EPComma"/>
      </w:pPr>
      <w:r w:rsidRPr="005E78F4">
        <w:rPr>
          <w:i/>
        </w:rPr>
        <w:t>Európsky parlament</w:t>
      </w:r>
      <w:r w:rsidRPr="005E78F4">
        <w:t>,</w:t>
      </w:r>
    </w:p>
    <w:p w14:paraId="04B790BE"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47"/>
      </w:r>
      <w:r w:rsidRPr="005E78F4">
        <w:t>,</w:t>
      </w:r>
    </w:p>
    <w:p w14:paraId="1138754F"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48"/>
      </w:r>
      <w:r w:rsidRPr="005E78F4">
        <w:t>,</w:t>
      </w:r>
    </w:p>
    <w:p w14:paraId="3DF91896" w14:textId="77777777" w:rsidR="003B03EB" w:rsidRPr="005E78F4" w:rsidRDefault="003B03EB" w:rsidP="003B03EB">
      <w:pPr>
        <w:pStyle w:val="NormalHanging12a"/>
      </w:pPr>
      <w:r w:rsidRPr="005E78F4">
        <w:t>–</w:t>
      </w:r>
      <w:r w:rsidRPr="005E78F4">
        <w:tab/>
        <w:t>so zreteľom na konečnú ročnú účtovnú závierku Európskej výkonnej agentúry pre zdravie a digitalizáciu za rozpočtový rok 2024</w:t>
      </w:r>
      <w:r w:rsidRPr="005E78F4">
        <w:rPr>
          <w:rStyle w:val="FootnoteReference"/>
        </w:rPr>
        <w:footnoteReference w:id="49"/>
      </w:r>
      <w:r w:rsidRPr="005E78F4">
        <w:t>,</w:t>
      </w:r>
    </w:p>
    <w:p w14:paraId="183117DF"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2E6D96A3"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3D38AFC6"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50"/>
      </w:r>
      <w:r w:rsidRPr="005E78F4">
        <w:t>,</w:t>
      </w:r>
    </w:p>
    <w:p w14:paraId="42BC207D"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51"/>
      </w:r>
      <w:r w:rsidRPr="005E78F4">
        <w:t xml:space="preserve"> týkajúce sa spoľahlivosti účtov a zákonnosti a správnosti príslušných operácií, ktoré poskytol Dvor audítorov za rozpočtový rok 2024 v súlade s článkom 287 Zmluvy o fungovaní Európskej únie,</w:t>
      </w:r>
    </w:p>
    <w:p w14:paraId="463721EB"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4C1D0B4A" w14:textId="77777777" w:rsidR="003B03EB" w:rsidRPr="005E78F4" w:rsidRDefault="003B03EB" w:rsidP="003B03EB">
      <w:pPr>
        <w:pStyle w:val="NormalHanging12a"/>
      </w:pPr>
      <w:r w:rsidRPr="005E78F4">
        <w:t>–</w:t>
      </w:r>
      <w:r w:rsidRPr="005E78F4">
        <w:tab/>
        <w:t>so zreteľom na články 317, 318 a 319 Zmluvy o fungovaní Európskej únie,</w:t>
      </w:r>
    </w:p>
    <w:p w14:paraId="1146E456"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67B27189"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52"/>
      </w:r>
      <w:r w:rsidRPr="005E78F4">
        <w:t>, a najmä na jeho články 69, 260, 261 a 262,</w:t>
      </w:r>
    </w:p>
    <w:p w14:paraId="43BA7ABF"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53"/>
      </w:r>
      <w:r w:rsidRPr="005E78F4">
        <w:t>, a najmä na jeho články 69, 266, 267 a 268,</w:t>
      </w:r>
    </w:p>
    <w:p w14:paraId="6403D364"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54"/>
      </w:r>
      <w:r w:rsidRPr="005E78F4">
        <w:t>, a najmä na jeho článok 14 ods. 3,</w:t>
      </w:r>
    </w:p>
    <w:p w14:paraId="01D193A6"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55"/>
      </w:r>
      <w:r w:rsidRPr="005E78F4">
        <w:t>, a najmä na jeho článok 66 prvý a druhý odsek,</w:t>
      </w:r>
    </w:p>
    <w:p w14:paraId="601A057E"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56"/>
      </w:r>
      <w:r w:rsidRPr="005E78F4">
        <w:t>,</w:t>
      </w:r>
    </w:p>
    <w:p w14:paraId="6151A9D6" w14:textId="77777777" w:rsidR="003B03EB" w:rsidRPr="005E78F4" w:rsidRDefault="003B03EB" w:rsidP="003B03EB">
      <w:pPr>
        <w:pStyle w:val="NormalHanging12a"/>
      </w:pPr>
      <w:r w:rsidRPr="005E78F4">
        <w:t>–</w:t>
      </w:r>
      <w:r w:rsidRPr="005E78F4">
        <w:tab/>
        <w:t>so zreteľom na článok 101 a prílohu V k rokovaciemu poriadku,</w:t>
      </w:r>
    </w:p>
    <w:p w14:paraId="14ED5947"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7086A6CC" w14:textId="77777777" w:rsidR="003B03EB" w:rsidRPr="005E78F4" w:rsidRDefault="003B03EB" w:rsidP="003B03EB">
      <w:pPr>
        <w:pStyle w:val="NormalHanging12a"/>
      </w:pPr>
      <w:r w:rsidRPr="005E78F4">
        <w:t>–</w:t>
      </w:r>
      <w:r w:rsidRPr="005E78F4">
        <w:tab/>
        <w:t>so zreteľom na list Výboru pre poľnohospodárstvo a rozvoj vidieka,</w:t>
      </w:r>
    </w:p>
    <w:p w14:paraId="78B9CE2D" w14:textId="77777777" w:rsidR="003B03EB" w:rsidRPr="005E78F4" w:rsidRDefault="003B03EB" w:rsidP="003B03EB">
      <w:pPr>
        <w:pStyle w:val="NormalHanging12a"/>
      </w:pPr>
      <w:r w:rsidRPr="005E78F4">
        <w:t>–</w:t>
      </w:r>
      <w:r w:rsidRPr="005E78F4">
        <w:tab/>
        <w:t>so zreteľom na správu Výboru pre kontrolu rozpočtu (A10-0085/2026),</w:t>
      </w:r>
    </w:p>
    <w:p w14:paraId="0B278E1C" w14:textId="77777777" w:rsidR="003B03EB" w:rsidRPr="005E78F4" w:rsidRDefault="003B03EB" w:rsidP="003B03EB">
      <w:pPr>
        <w:pStyle w:val="NormalHanging12a"/>
      </w:pPr>
      <w:r w:rsidRPr="005E78F4">
        <w:t>1.</w:t>
      </w:r>
      <w:r w:rsidRPr="005E78F4">
        <w:tab/>
        <w:t>udeľuje riaditeľke Európskej výkonnej agentúry pre zdravie a digitalizáciu absolutórium za plnenie rozpočtu výkonnej agentúry za rozpočtový rok 2024;</w:t>
      </w:r>
    </w:p>
    <w:p w14:paraId="07838218"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5B2295DA" w14:textId="77777777" w:rsidR="003B03EB" w:rsidRPr="005E78F4" w:rsidRDefault="003B03EB" w:rsidP="003B03EB">
      <w:pPr>
        <w:pStyle w:val="NormalHanging12a"/>
      </w:pPr>
      <w:r w:rsidRPr="005E78F4">
        <w:t>3.</w:t>
      </w:r>
      <w:r w:rsidRPr="005E78F4">
        <w:tab/>
        <w:t>poveruje svoju predsedníčku, aby postúpila toto rozhodnutie, rozhodnutie o absolutóriu za plnenie všeobecného rozpočtu Európskej únie za rozpočtový rok 2024, oddiel III – Komisia a uznesenie, ktoré je neoddeliteľnou súčasťou týchto rozhodnutí, riaditeľke Európskej výkonnej agentúry pre zdravie a digitalizáciu, Rade, Komisii a Dvoru audítorov a aby zabezpečila ich uverejnenie v </w:t>
      </w:r>
      <w:r w:rsidRPr="005E78F4">
        <w:rPr>
          <w:i/>
        </w:rPr>
        <w:t>Úradnom vestníku Európskej únie</w:t>
      </w:r>
      <w:r w:rsidRPr="005E78F4">
        <w:t xml:space="preserve"> (v sérii L).</w:t>
      </w:r>
    </w:p>
    <w:p w14:paraId="58DBC2CE" w14:textId="77777777" w:rsidR="003B03EB" w:rsidRPr="005E78F4" w:rsidRDefault="003B03EB" w:rsidP="003B03EB"/>
    <w:p w14:paraId="01CD4749"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5C6C2A" w14:textId="77777777" w:rsidR="00AE12F0" w:rsidRPr="005E78F4" w:rsidRDefault="00AE12F0" w:rsidP="00AE12F0">
      <w:pPr>
        <w:pStyle w:val="ATHeading3"/>
      </w:pPr>
      <w:bookmarkStart w:id="18" w:name="_Toc227937520"/>
      <w:bookmarkStart w:id="19" w:name="_Toc225761845"/>
      <w:bookmarkStart w:id="20" w:name="_Toc225842295"/>
      <w:r w:rsidRPr="005E78F4">
        <w:lastRenderedPageBreak/>
        <w:t>7. Rozhodnutie Európskeho parlamentu z 29. apríla 2026 o absolutóriu za plnenie rozpočtu Európskej výkonnej agentúry pre výskum za rozpočtový rok 2024 (2025/2145(DEC))</w:t>
      </w:r>
    </w:p>
    <w:bookmarkEnd w:id="18"/>
    <w:p w14:paraId="2E981BB5" w14:textId="77777777" w:rsidR="003B03EB" w:rsidRPr="005E78F4" w:rsidRDefault="003B03EB" w:rsidP="003B03EB">
      <w:pPr>
        <w:pStyle w:val="EPComma"/>
      </w:pPr>
      <w:r w:rsidRPr="005E78F4">
        <w:rPr>
          <w:i/>
        </w:rPr>
        <w:t>Európsky parlament</w:t>
      </w:r>
      <w:r w:rsidRPr="005E78F4">
        <w:t>,</w:t>
      </w:r>
    </w:p>
    <w:p w14:paraId="1C6BC6DF"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57"/>
      </w:r>
      <w:r w:rsidRPr="005E78F4">
        <w:t>,</w:t>
      </w:r>
    </w:p>
    <w:p w14:paraId="6DB923DD"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58"/>
      </w:r>
      <w:r w:rsidRPr="005E78F4">
        <w:t>,</w:t>
      </w:r>
    </w:p>
    <w:p w14:paraId="72A1C0BB" w14:textId="77777777" w:rsidR="003B03EB" w:rsidRPr="005E78F4" w:rsidRDefault="003B03EB" w:rsidP="003B03EB">
      <w:pPr>
        <w:pStyle w:val="NormalHanging12a"/>
      </w:pPr>
      <w:r w:rsidRPr="005E78F4">
        <w:t>–</w:t>
      </w:r>
      <w:r w:rsidRPr="005E78F4">
        <w:tab/>
        <w:t>so zreteľom na konečnú ročnú účtovnú závierku Európskej výkonnej agentúry pre výskum za rozpočtový rok 2024</w:t>
      </w:r>
      <w:r w:rsidRPr="005E78F4">
        <w:rPr>
          <w:rStyle w:val="FootnoteReference"/>
        </w:rPr>
        <w:footnoteReference w:id="59"/>
      </w:r>
      <w:r w:rsidRPr="005E78F4">
        <w:t>,</w:t>
      </w:r>
    </w:p>
    <w:p w14:paraId="426BB20E"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389AA11F"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1F23FA88" w14:textId="77777777" w:rsidR="003B03EB" w:rsidRPr="005E78F4" w:rsidRDefault="003B03EB" w:rsidP="003B03EB">
      <w:pPr>
        <w:pStyle w:val="NormalHanging12a"/>
      </w:pPr>
      <w:r w:rsidRPr="005E78F4">
        <w:t>–</w:t>
      </w:r>
      <w:r w:rsidRPr="005E78F4">
        <w:tab/>
        <w:t>so zreteľom na výročnú správu Dvora audítorov o agentúrach EÚ za rozpočtový rok 2024 spolu s odpoveďami agentúr</w:t>
      </w:r>
      <w:r w:rsidRPr="005E78F4">
        <w:rPr>
          <w:rStyle w:val="FootnoteReference"/>
        </w:rPr>
        <w:footnoteReference w:id="60"/>
      </w:r>
      <w:r w:rsidRPr="005E78F4">
        <w:t>,</w:t>
      </w:r>
    </w:p>
    <w:p w14:paraId="424EE5D5"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61"/>
      </w:r>
      <w:r w:rsidRPr="005E78F4">
        <w:t xml:space="preserve"> týkajúce sa spoľahlivosti účtov a zákonnosti a správnosti príslušných operácií, ktoré poskytol Dvor audítorov za rozpočtový rok 2024 v súlade s článkom 287 Zmluvy o fungovaní Európskej únie,</w:t>
      </w:r>
    </w:p>
    <w:p w14:paraId="67D3FF95"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4B00E3D9" w14:textId="77777777" w:rsidR="003B03EB" w:rsidRPr="005E78F4" w:rsidRDefault="003B03EB" w:rsidP="003B03EB">
      <w:pPr>
        <w:pStyle w:val="NormalHanging12a"/>
      </w:pPr>
      <w:r w:rsidRPr="005E78F4">
        <w:t>–</w:t>
      </w:r>
      <w:r w:rsidRPr="005E78F4">
        <w:tab/>
        <w:t>so zreteľom na články 317, 318 a 319 Zmluvy o fungovaní Európskej únie,</w:t>
      </w:r>
    </w:p>
    <w:p w14:paraId="7C31EB2C"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2217F40B"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62"/>
      </w:r>
      <w:r w:rsidRPr="005E78F4">
        <w:t>, a najmä na jeho články 69, 260, 261 a 262,</w:t>
      </w:r>
    </w:p>
    <w:p w14:paraId="0BFA039F"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2024/2509 z </w:t>
      </w:r>
      <w:r w:rsidRPr="005E78F4">
        <w:lastRenderedPageBreak/>
        <w:t>23. septembra 2024 o rozpočtových pravidlách, ktoré sa vzťahujú na všeobecný rozpočet Únie</w:t>
      </w:r>
      <w:r w:rsidRPr="005E78F4">
        <w:rPr>
          <w:rStyle w:val="FootnoteReference"/>
        </w:rPr>
        <w:footnoteReference w:id="63"/>
      </w:r>
      <w:r w:rsidRPr="005E78F4">
        <w:t>, a najmä na jeho články 69, 266, 267 a 268,</w:t>
      </w:r>
    </w:p>
    <w:p w14:paraId="11699207"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agentúr, ktorým majú byť zverené niektoré úlohy v rámci riadenia programov Spoločenstva</w:t>
      </w:r>
      <w:r w:rsidRPr="005E78F4">
        <w:rPr>
          <w:rStyle w:val="FootnoteReference"/>
        </w:rPr>
        <w:footnoteReference w:id="64"/>
      </w:r>
      <w:r w:rsidRPr="005E78F4">
        <w:t>, a najmä na jeho článok 14 ods. 3,</w:t>
      </w:r>
    </w:p>
    <w:p w14:paraId="1A13D0EA" w14:textId="77777777" w:rsidR="003B03EB" w:rsidRPr="005E78F4" w:rsidRDefault="003B03EB" w:rsidP="003B03EB">
      <w:pPr>
        <w:pStyle w:val="NormalHanging12a"/>
      </w:pPr>
      <w:r w:rsidRPr="005E78F4">
        <w:t>–</w:t>
      </w:r>
      <w:r w:rsidRPr="005E78F4">
        <w:tab/>
        <w:t>so zreteľom na nariadenie Komisie (ES) č. 1653/2004 z 21. septembra 2004, ktorým sa na základe nariadenia Rady (ES) č. 58/2003 o štatúte výkonných orgánov, poverených určitými úlohami v rámci riadenia programov Spoločenstva, stanovuje vzorové finančné nariadenie pre výkonné agentúry</w:t>
      </w:r>
      <w:r w:rsidRPr="005E78F4">
        <w:rPr>
          <w:rStyle w:val="FootnoteReference"/>
        </w:rPr>
        <w:footnoteReference w:id="65"/>
      </w:r>
      <w:r w:rsidRPr="005E78F4">
        <w:t>, a najmä na jeho článok 66 prvý a druhý odsek,</w:t>
      </w:r>
    </w:p>
    <w:p w14:paraId="05426798" w14:textId="77777777" w:rsidR="003B03EB" w:rsidRPr="005E78F4" w:rsidRDefault="003B03EB" w:rsidP="003B03EB">
      <w:pPr>
        <w:pStyle w:val="NormalHanging12a"/>
      </w:pPr>
      <w:r w:rsidRPr="005E78F4">
        <w:t>–</w:t>
      </w:r>
      <w:r w:rsidRPr="005E78F4">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5E78F4">
        <w:rPr>
          <w:rStyle w:val="FootnoteReference"/>
        </w:rPr>
        <w:footnoteReference w:id="66"/>
      </w:r>
      <w:r w:rsidRPr="005E78F4">
        <w:t>,</w:t>
      </w:r>
    </w:p>
    <w:p w14:paraId="5F8CE9BD" w14:textId="77777777" w:rsidR="003B03EB" w:rsidRPr="005E78F4" w:rsidRDefault="003B03EB" w:rsidP="003B03EB">
      <w:pPr>
        <w:pStyle w:val="NormalHanging12a"/>
      </w:pPr>
      <w:r w:rsidRPr="005E78F4">
        <w:t>–</w:t>
      </w:r>
      <w:r w:rsidRPr="005E78F4">
        <w:tab/>
        <w:t>so zreteľom na článok 101 a prílohu V k rokovaciemu poriadku,</w:t>
      </w:r>
    </w:p>
    <w:p w14:paraId="3BEFE85A"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7DB1A5B9" w14:textId="77777777" w:rsidR="003B03EB" w:rsidRPr="005E78F4" w:rsidRDefault="003B03EB" w:rsidP="003B03EB">
      <w:pPr>
        <w:pStyle w:val="NormalHanging12a"/>
      </w:pPr>
      <w:r w:rsidRPr="005E78F4">
        <w:t>–</w:t>
      </w:r>
      <w:r w:rsidRPr="005E78F4">
        <w:tab/>
        <w:t>so zreteľom na list Výboru pre poľnohospodárstvo a rozvoj vidieka,</w:t>
      </w:r>
    </w:p>
    <w:p w14:paraId="232FB307" w14:textId="77777777" w:rsidR="003B03EB" w:rsidRPr="005E78F4" w:rsidRDefault="003B03EB" w:rsidP="003B03EB">
      <w:pPr>
        <w:pStyle w:val="NormalHanging12a"/>
      </w:pPr>
      <w:r w:rsidRPr="005E78F4">
        <w:t>–</w:t>
      </w:r>
      <w:r w:rsidRPr="005E78F4">
        <w:tab/>
        <w:t>so zreteľom na správu Výboru pre kontrolu rozpočtu (A10-0085/2026),</w:t>
      </w:r>
    </w:p>
    <w:p w14:paraId="77F3E117" w14:textId="31D70E8D" w:rsidR="003B03EB" w:rsidRPr="005E78F4" w:rsidRDefault="003B03EB" w:rsidP="003B03EB">
      <w:pPr>
        <w:pStyle w:val="NormalHanging12a"/>
      </w:pPr>
      <w:r w:rsidRPr="005E78F4">
        <w:t>1.</w:t>
      </w:r>
      <w:r w:rsidRPr="005E78F4">
        <w:tab/>
        <w:t xml:space="preserve">udeľuje </w:t>
      </w:r>
      <w:r w:rsidR="00AC5997" w:rsidRPr="005E78F4">
        <w:t xml:space="preserve">úradujúcemu </w:t>
      </w:r>
      <w:r w:rsidRPr="005E78F4">
        <w:t>riaditeľovi Európskej výkonnej agentúry pre výskum absolutórium za plnenie rozpočtu výkonnej agentúry za rozpočtový rok 2024;</w:t>
      </w:r>
    </w:p>
    <w:p w14:paraId="620F2F7B"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7B9D72E6" w14:textId="5F2ECEAA" w:rsidR="003B03EB" w:rsidRPr="005E78F4" w:rsidRDefault="003B03EB" w:rsidP="003B03EB">
      <w:pPr>
        <w:pStyle w:val="NormalHanging12a"/>
      </w:pPr>
      <w:r w:rsidRPr="005E78F4">
        <w:t>3.</w:t>
      </w:r>
      <w:r w:rsidRPr="005E78F4">
        <w:tab/>
        <w:t xml:space="preserve">poveruje svoju predsedníčku, aby postúpila toto rozhodnutie, rozhodnutie o absolutóriu za plnenie všeobecného rozpočtu Európskej únie za rozpočtový rok 2024, oddiel III – Komisia a uznesenie, ktoré je neoddeliteľnou súčasťou týchto rozhodnutí, </w:t>
      </w:r>
      <w:r w:rsidR="00AC5997" w:rsidRPr="005E78F4">
        <w:t xml:space="preserve">úradujúcemu </w:t>
      </w:r>
      <w:r w:rsidRPr="005E78F4">
        <w:t>riaditeľovi Európskej výkonnej agentúry pre výskum, Rade, Komisii a Dvoru audítorov a aby zabezpečila ich uverejnenie v </w:t>
      </w:r>
      <w:r w:rsidRPr="005E78F4">
        <w:rPr>
          <w:i/>
        </w:rPr>
        <w:t>Úradnom vestníku Európskej únie</w:t>
      </w:r>
      <w:r w:rsidRPr="005E78F4">
        <w:t xml:space="preserve"> (v sérii L).</w:t>
      </w:r>
    </w:p>
    <w:p w14:paraId="624DCD00" w14:textId="77777777" w:rsidR="003B03EB" w:rsidRPr="005E78F4" w:rsidRDefault="003B03EB" w:rsidP="003B03EB">
      <w:pPr>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566539" w14:textId="77777777" w:rsidR="00AE12F0" w:rsidRPr="005E78F4" w:rsidRDefault="00AE12F0" w:rsidP="00AE12F0">
      <w:pPr>
        <w:pStyle w:val="ATHeading3"/>
      </w:pPr>
      <w:bookmarkStart w:id="21" w:name="_Toc227937522"/>
      <w:r w:rsidRPr="005E78F4">
        <w:lastRenderedPageBreak/>
        <w:t>8. Rozhodnutie Európskeho parlamentu z 29. apríla 2026 o absolutóriu za plnenie rozpočtu deviateho, desiateho a jedenásteho Európskeho rozvojového fondu za rozpočtový rok 2024 (2025/2145(DEC))</w:t>
      </w:r>
    </w:p>
    <w:bookmarkEnd w:id="21"/>
    <w:p w14:paraId="5B8E4359" w14:textId="77777777" w:rsidR="003B03EB" w:rsidRPr="005E78F4" w:rsidRDefault="003B03EB" w:rsidP="003B03EB">
      <w:pPr>
        <w:pStyle w:val="EPComma"/>
      </w:pPr>
      <w:r w:rsidRPr="005E78F4">
        <w:rPr>
          <w:i/>
        </w:rPr>
        <w:t>Európsky parlament</w:t>
      </w:r>
      <w:r w:rsidRPr="005E78F4">
        <w:t>,</w:t>
      </w:r>
    </w:p>
    <w:p w14:paraId="7BBA9721" w14:textId="77777777" w:rsidR="003B03EB" w:rsidRPr="005E78F4" w:rsidRDefault="003B03EB" w:rsidP="003B03EB">
      <w:pPr>
        <w:pStyle w:val="NormalHanging12a"/>
      </w:pPr>
      <w:r w:rsidRPr="005E78F4">
        <w:t>–</w:t>
      </w:r>
      <w:r w:rsidRPr="005E78F4">
        <w:tab/>
        <w:t>so zreteľom na finančné výkazy a príjmové a výdavkové účty deviateho, desiateho a jedenásteho Európskeho rozvojového fondu za rozpočtový rok 2024 (COM(2025)0354 – C10</w:t>
      </w:r>
      <w:r w:rsidRPr="005E78F4">
        <w:noBreakHyphen/>
        <w:t>0158/2025),</w:t>
      </w:r>
    </w:p>
    <w:p w14:paraId="4044B91C" w14:textId="71F371BD" w:rsidR="003B03EB" w:rsidRPr="005E78F4" w:rsidRDefault="003B03EB" w:rsidP="003B03EB">
      <w:pPr>
        <w:pStyle w:val="NormalHanging12a"/>
      </w:pPr>
      <w:r w:rsidRPr="005E78F4">
        <w:t>–</w:t>
      </w:r>
      <w:r w:rsidRPr="005E78F4">
        <w:tab/>
        <w:t>so zreteľom na finančné informácie o Európskom rozvojovom fonde (COM(2025)</w:t>
      </w:r>
      <w:r w:rsidR="00706FFF" w:rsidRPr="005E78F4">
        <w:t>0354</w:t>
      </w:r>
      <w:r w:rsidRPr="005E78F4">
        <w:t>),</w:t>
      </w:r>
    </w:p>
    <w:p w14:paraId="277E4535" w14:textId="77777777" w:rsidR="003B03EB" w:rsidRPr="005E78F4" w:rsidRDefault="003B03EB" w:rsidP="003B03EB">
      <w:pPr>
        <w:pStyle w:val="NormalHanging12a"/>
      </w:pPr>
      <w:r w:rsidRPr="005E78F4">
        <w:t>–</w:t>
      </w:r>
      <w:r w:rsidRPr="005E78F4">
        <w:tab/>
        <w:t>so zreteľom na výročnú správu Dvora audítorov o aktivitách financovaných z deviateho, desiateho a jedenásteho Európskeho rozvojového fondu za rozpočtový rok 2024 spolu s odpoveďami Komisie</w:t>
      </w:r>
      <w:r w:rsidRPr="005E78F4">
        <w:rPr>
          <w:rStyle w:val="FootnoteReference"/>
        </w:rPr>
        <w:footnoteReference w:id="67"/>
      </w:r>
      <w:r w:rsidRPr="005E78F4">
        <w:t>,</w:t>
      </w:r>
    </w:p>
    <w:p w14:paraId="3231DA85"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68"/>
      </w:r>
      <w:r w:rsidRPr="005E78F4">
        <w:t xml:space="preserve"> týkajúce sa spoľahlivosti účtov a zákonnosti a správnosti príslušných operácií, ktoré poskytol Dvor audítorov za rozpočtový rok 2024 v súlade s článkom 287 Zmluvy o fungovaní Európskej únie,</w:t>
      </w:r>
    </w:p>
    <w:p w14:paraId="3D98F91B" w14:textId="77777777" w:rsidR="003B03EB" w:rsidRPr="005E78F4" w:rsidRDefault="003B03EB" w:rsidP="003B03EB">
      <w:pPr>
        <w:pStyle w:val="NormalHanging12a"/>
      </w:pPr>
      <w:r w:rsidRPr="005E78F4">
        <w:t>–</w:t>
      </w:r>
      <w:r w:rsidRPr="005E78F4">
        <w:tab/>
        <w:t>so zreteľom na odporúčania Rady zo 17. februára 2026 o udelení absolutória Komisii za vykonávanie operácií Európskeho rozvojového fondu za rozpočtový rok 2024 (05886/2026 – C10</w:t>
      </w:r>
      <w:r w:rsidRPr="005E78F4">
        <w:noBreakHyphen/>
        <w:t>0051/2026),</w:t>
      </w:r>
    </w:p>
    <w:p w14:paraId="30996404"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079EB3D1" w14:textId="77777777" w:rsidR="003B03EB" w:rsidRPr="005E78F4" w:rsidRDefault="003B03EB" w:rsidP="003B03EB">
      <w:pPr>
        <w:pStyle w:val="NormalHanging12a"/>
      </w:pPr>
      <w:r w:rsidRPr="005E78F4">
        <w:t>–</w:t>
      </w:r>
      <w:r w:rsidRPr="005E78F4">
        <w:tab/>
        <w:t xml:space="preserve">so zreteľom na Dohodu o partnerstve medzi členmi skupiny afrických, karibských a tichomorských štátov (AKT) na jednej strane a Európskym spoločenstvom a jeho členskými štátmi na strane druhej, ktorá bola podpísaná 23. júna 2000 v </w:t>
      </w:r>
      <w:proofErr w:type="spellStart"/>
      <w:r w:rsidRPr="005E78F4">
        <w:t>Cotonou</w:t>
      </w:r>
      <w:proofErr w:type="spellEnd"/>
      <w:r w:rsidRPr="005E78F4">
        <w:t xml:space="preserve"> (Benin)</w:t>
      </w:r>
      <w:r w:rsidRPr="005E78F4">
        <w:rPr>
          <w:rStyle w:val="FootnoteReference"/>
        </w:rPr>
        <w:footnoteReference w:id="69"/>
      </w:r>
      <w:r w:rsidRPr="005E78F4">
        <w:t xml:space="preserve"> a zmenená 22. júna 2010 v Ouagadougou (Burkina Faso)</w:t>
      </w:r>
      <w:r w:rsidRPr="005E78F4">
        <w:rPr>
          <w:rStyle w:val="FootnoteReference"/>
        </w:rPr>
        <w:footnoteReference w:id="70"/>
      </w:r>
      <w:r w:rsidRPr="005E78F4">
        <w:t>,</w:t>
      </w:r>
    </w:p>
    <w:p w14:paraId="6E64FB8A" w14:textId="77777777" w:rsidR="003B03EB" w:rsidRPr="005E78F4" w:rsidRDefault="003B03EB" w:rsidP="003B03EB">
      <w:pPr>
        <w:pStyle w:val="NormalHanging12a"/>
      </w:pPr>
      <w:r w:rsidRPr="005E78F4">
        <w:t>–</w:t>
      </w:r>
      <w:r w:rsidRPr="005E78F4">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5E78F4">
        <w:rPr>
          <w:rStyle w:val="FootnoteReference"/>
        </w:rPr>
        <w:footnoteReference w:id="71"/>
      </w:r>
      <w:r w:rsidRPr="005E78F4">
        <w:t>,</w:t>
      </w:r>
    </w:p>
    <w:p w14:paraId="3312DA30" w14:textId="77777777" w:rsidR="003B03EB" w:rsidRPr="005E78F4" w:rsidRDefault="003B03EB" w:rsidP="003B03EB">
      <w:pPr>
        <w:pStyle w:val="NormalHanging12a"/>
      </w:pPr>
      <w:r w:rsidRPr="005E78F4">
        <w:t>–</w:t>
      </w:r>
      <w:r w:rsidRPr="005E78F4">
        <w:tab/>
        <w:t>so zreteľom na článok 33 Vnútornej dohody z 20. decembra 1995 medzi zástupcami vlád členských štátov, ktorí sa zišli na zasadnutí Rady, o financovaní a správe pomoci Spoločenstva v rámci Druhého finančného protokolu k štvrtému dohovoru AKT – ES</w:t>
      </w:r>
      <w:r w:rsidRPr="005E78F4">
        <w:rPr>
          <w:rStyle w:val="FootnoteReference"/>
        </w:rPr>
        <w:footnoteReference w:id="72"/>
      </w:r>
      <w:r w:rsidRPr="005E78F4">
        <w:t>,</w:t>
      </w:r>
    </w:p>
    <w:p w14:paraId="7549436B" w14:textId="77777777" w:rsidR="003B03EB" w:rsidRPr="005E78F4" w:rsidRDefault="003B03EB" w:rsidP="003B03EB">
      <w:pPr>
        <w:pStyle w:val="NormalHanging12a"/>
      </w:pPr>
      <w:r w:rsidRPr="005E78F4">
        <w:t>–</w:t>
      </w:r>
      <w:r w:rsidRPr="005E78F4">
        <w:tab/>
        <w:t xml:space="preserve">so zreteľom na článok 32 Vnútornej dohody z 18. septembra 2000 medzi zástupcami vlád členských štátov, ktorí sa zišli na zasadnutí Rady, o financovaní a správe pomoci </w:t>
      </w:r>
      <w:r w:rsidRPr="005E78F4">
        <w:lastRenderedPageBreak/>
        <w:t xml:space="preserve">Spoločenstva v rámci Finančného protokolu Dohody o partnerstve, uzatvorenej 23. júna 2000 v </w:t>
      </w:r>
      <w:proofErr w:type="spellStart"/>
      <w:r w:rsidRPr="005E78F4">
        <w:t>Cotonou</w:t>
      </w:r>
      <w:proofErr w:type="spellEnd"/>
      <w:r w:rsidRPr="005E78F4">
        <w:t xml:space="preserve"> (Benin) medzi africkými, karibskými a tichomorskými štátmi a Európskym spoločenstvom a jeho členskými štátmi, a o rozdelení finančnej pomoci určenej zámorským krajinám a územiam, na ktorú sa vzťahujú ustanovenia štvrtej časti Zmluvy o ES</w:t>
      </w:r>
      <w:r w:rsidRPr="005E78F4">
        <w:rPr>
          <w:rStyle w:val="FootnoteReference"/>
        </w:rPr>
        <w:footnoteReference w:id="73"/>
      </w:r>
      <w:r w:rsidRPr="005E78F4">
        <w:t>,</w:t>
      </w:r>
    </w:p>
    <w:p w14:paraId="16AC53DD" w14:textId="77777777" w:rsidR="003B03EB" w:rsidRPr="005E78F4" w:rsidRDefault="003B03EB" w:rsidP="003B03EB">
      <w:pPr>
        <w:pStyle w:val="NormalHanging12a"/>
      </w:pPr>
      <w:r w:rsidRPr="005E78F4">
        <w:t>–</w:t>
      </w:r>
      <w:r w:rsidRPr="005E78F4">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vzťahujú ustanovenia štvrtej časti Zmluvy o fungovaní Európskej únie</w:t>
      </w:r>
      <w:r w:rsidRPr="005E78F4">
        <w:rPr>
          <w:rStyle w:val="FootnoteReference"/>
        </w:rPr>
        <w:footnoteReference w:id="74"/>
      </w:r>
      <w:r w:rsidRPr="005E78F4">
        <w:t>,</w:t>
      </w:r>
    </w:p>
    <w:p w14:paraId="6C19FFA7" w14:textId="77777777" w:rsidR="003B03EB" w:rsidRPr="005E78F4" w:rsidRDefault="003B03EB" w:rsidP="003B03EB">
      <w:pPr>
        <w:pStyle w:val="NormalHanging12a"/>
      </w:pPr>
      <w:r w:rsidRPr="005E78F4">
        <w:t>–</w:t>
      </w:r>
      <w:r w:rsidRPr="005E78F4">
        <w:tab/>
        <w:t>so zreteľom na článok 319 Zmluvy o fungovaní Európskej únie,</w:t>
      </w:r>
    </w:p>
    <w:p w14:paraId="3C71969D" w14:textId="77777777" w:rsidR="003B03EB" w:rsidRPr="005E78F4" w:rsidRDefault="003B03EB" w:rsidP="003B03EB">
      <w:pPr>
        <w:pStyle w:val="NormalHanging12a"/>
      </w:pPr>
      <w:r w:rsidRPr="005E78F4">
        <w:t>–</w:t>
      </w:r>
      <w:r w:rsidRPr="005E78F4">
        <w:tab/>
        <w:t>so zreteľom na článok 74 nariadenia o rozpočtových pravidlách zo 16. júna 1998, ktoré sa vzťahujú na spoluprácu pri financovaní rozvoja podľa štvrtého dohovoru AKT – ES</w:t>
      </w:r>
      <w:r w:rsidRPr="005E78F4">
        <w:rPr>
          <w:rStyle w:val="FootnoteReference"/>
        </w:rPr>
        <w:footnoteReference w:id="75"/>
      </w:r>
      <w:r w:rsidRPr="005E78F4">
        <w:t>,</w:t>
      </w:r>
    </w:p>
    <w:p w14:paraId="6CABE311" w14:textId="77777777" w:rsidR="003B03EB" w:rsidRPr="005E78F4" w:rsidRDefault="003B03EB" w:rsidP="003B03EB">
      <w:pPr>
        <w:pStyle w:val="NormalHanging12a"/>
      </w:pPr>
      <w:r w:rsidRPr="005E78F4">
        <w:t>–</w:t>
      </w:r>
      <w:r w:rsidRPr="005E78F4">
        <w:tab/>
        <w:t>so zreteľom na článok 119 nariadenia o rozpočtových pravidlách z 27. marca 2003, ktoré sa vzťahujú na deviaty Európsky rozvojový fond</w:t>
      </w:r>
      <w:r w:rsidRPr="005E78F4">
        <w:rPr>
          <w:rStyle w:val="FootnoteReference"/>
        </w:rPr>
        <w:footnoteReference w:id="76"/>
      </w:r>
      <w:r w:rsidRPr="005E78F4">
        <w:t>,</w:t>
      </w:r>
    </w:p>
    <w:p w14:paraId="193301CF" w14:textId="77777777" w:rsidR="003B03EB" w:rsidRPr="005E78F4" w:rsidRDefault="003B03EB" w:rsidP="003B03EB">
      <w:pPr>
        <w:pStyle w:val="NormalHanging12a"/>
      </w:pPr>
      <w:r w:rsidRPr="005E78F4">
        <w:t>–</w:t>
      </w:r>
      <w:r w:rsidRPr="005E78F4">
        <w:tab/>
        <w:t>so zreteľom na článok 50 nariadenia Rady (ES) č. 215/2008 z 18. februára 2008 o rozpočtových pravidlách, ktoré sa vzťahujú na desiaty Európsky rozvojový fond</w:t>
      </w:r>
      <w:r w:rsidRPr="005E78F4">
        <w:rPr>
          <w:rStyle w:val="FootnoteReference"/>
        </w:rPr>
        <w:footnoteReference w:id="77"/>
      </w:r>
      <w:r w:rsidRPr="005E78F4">
        <w:t>,</w:t>
      </w:r>
    </w:p>
    <w:p w14:paraId="54D914C6" w14:textId="77777777" w:rsidR="003B03EB" w:rsidRPr="005E78F4" w:rsidRDefault="003B03EB" w:rsidP="003B03EB">
      <w:pPr>
        <w:pStyle w:val="NormalHanging12a"/>
      </w:pPr>
      <w:r w:rsidRPr="005E78F4">
        <w:t>–</w:t>
      </w:r>
      <w:r w:rsidRPr="005E78F4">
        <w:tab/>
        <w:t>so zreteľom na článok 44 nariadenia Rady (EÚ) 2018/1877 z 26. novembra 2018 o rozpočtových pravidlách, ktoré sa vzťahujú na 11. Európsky rozvojový fond, a o zrušení nariadenia (EÚ) 2015/323</w:t>
      </w:r>
      <w:r w:rsidRPr="005E78F4">
        <w:rPr>
          <w:rStyle w:val="FootnoteReference"/>
        </w:rPr>
        <w:footnoteReference w:id="78"/>
      </w:r>
      <w:r w:rsidRPr="005E78F4">
        <w:t>,</w:t>
      </w:r>
    </w:p>
    <w:p w14:paraId="26FEE113" w14:textId="77777777" w:rsidR="003B03EB" w:rsidRPr="005E78F4" w:rsidRDefault="003B03EB" w:rsidP="003B03EB">
      <w:pPr>
        <w:pStyle w:val="NormalHanging12a"/>
      </w:pPr>
      <w:r w:rsidRPr="005E78F4">
        <w:t>–</w:t>
      </w:r>
      <w:r w:rsidRPr="005E78F4">
        <w:tab/>
        <w:t>so zreteľom na článok 101, článok 102 tretiu zarážku a na prílohu V k rokovaciemu poriadku,</w:t>
      </w:r>
    </w:p>
    <w:p w14:paraId="1B0D5405" w14:textId="77777777" w:rsidR="003B03EB" w:rsidRPr="005E78F4" w:rsidRDefault="003B03EB" w:rsidP="003B03EB">
      <w:pPr>
        <w:pStyle w:val="NormalHanging12a"/>
      </w:pPr>
      <w:r w:rsidRPr="005E78F4">
        <w:t>–</w:t>
      </w:r>
      <w:r w:rsidRPr="005E78F4">
        <w:tab/>
        <w:t xml:space="preserve">so zreteľom na stanovisko Výboru pre rozvoj, </w:t>
      </w:r>
    </w:p>
    <w:p w14:paraId="695D0D8B" w14:textId="77777777" w:rsidR="003B03EB" w:rsidRPr="005E78F4" w:rsidRDefault="003B03EB" w:rsidP="003B03EB">
      <w:pPr>
        <w:pStyle w:val="NormalHanging12a"/>
      </w:pPr>
      <w:r w:rsidRPr="005E78F4">
        <w:t>–</w:t>
      </w:r>
      <w:r w:rsidRPr="005E78F4">
        <w:tab/>
        <w:t>so zreteľom na správu Výboru pre kontrolu rozpočtu (A10-0085/2026),</w:t>
      </w:r>
    </w:p>
    <w:p w14:paraId="31DD8382" w14:textId="77777777" w:rsidR="003B03EB" w:rsidRPr="005E78F4" w:rsidRDefault="003B03EB" w:rsidP="003B03EB">
      <w:pPr>
        <w:pStyle w:val="NormalHanging12a"/>
      </w:pPr>
      <w:r w:rsidRPr="005E78F4">
        <w:t>1.</w:t>
      </w:r>
      <w:r w:rsidRPr="005E78F4">
        <w:tab/>
        <w:t>udeľuje Komisii absolutórium za plnenie rozpočtu deviateho, desiateho a jedenásteho Európskeho rozvojového fondu za rozpočtový rok 2024;</w:t>
      </w:r>
    </w:p>
    <w:p w14:paraId="1A0AEF4A"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308AB44A" w14:textId="77777777" w:rsidR="003B03EB" w:rsidRPr="005E78F4" w:rsidRDefault="003B03EB" w:rsidP="003B03EB">
      <w:pPr>
        <w:pStyle w:val="NormalHanging12a"/>
      </w:pPr>
      <w:r w:rsidRPr="005E78F4">
        <w:t>3.</w:t>
      </w:r>
      <w:r w:rsidRPr="005E78F4">
        <w:tab/>
        <w:t xml:space="preserve">poveruje svoju predsedníčku, aby postúpila toto rozhodnutie a uznesenie, ktoré je jeho neoddeliteľnou súčasťou, Rade, Komisii, Dvoru audítorov a Európskej investičnej </w:t>
      </w:r>
      <w:r w:rsidRPr="005E78F4">
        <w:lastRenderedPageBreak/>
        <w:t xml:space="preserve">banke a aby zabezpečila ich uverejnenie v </w:t>
      </w:r>
      <w:r w:rsidRPr="005E78F4">
        <w:rPr>
          <w:i/>
        </w:rPr>
        <w:t>Úradnom vestníku Európskej únie</w:t>
      </w:r>
      <w:r w:rsidRPr="005E78F4">
        <w:t xml:space="preserve"> (v sérii L).</w:t>
      </w:r>
    </w:p>
    <w:p w14:paraId="54333C85" w14:textId="77777777" w:rsidR="003B03EB" w:rsidRPr="005E78F4" w:rsidRDefault="003B03EB" w:rsidP="003B03EB"/>
    <w:p w14:paraId="4CA598A7" w14:textId="77777777" w:rsidR="003B03EB" w:rsidRPr="005E78F4" w:rsidRDefault="003B03EB" w:rsidP="003B03EB"/>
    <w:p w14:paraId="07DE0C73"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EF5286" w14:textId="77777777" w:rsidR="00AE12F0" w:rsidRPr="005E78F4" w:rsidRDefault="00AE12F0" w:rsidP="00AE12F0">
      <w:pPr>
        <w:pStyle w:val="ATHeading3"/>
      </w:pPr>
      <w:bookmarkStart w:id="22" w:name="_Toc227937524"/>
      <w:bookmarkEnd w:id="9"/>
      <w:bookmarkEnd w:id="10"/>
      <w:bookmarkEnd w:id="11"/>
      <w:bookmarkEnd w:id="12"/>
      <w:bookmarkEnd w:id="13"/>
      <w:bookmarkEnd w:id="19"/>
      <w:bookmarkEnd w:id="20"/>
      <w:r w:rsidRPr="005E78F4">
        <w:lastRenderedPageBreak/>
        <w:t>9. Rozhodnutie Európskeho parlamentu z 29. apríla 2026 o účtovnej závierke týkajúcej sa plnenia všeobecného rozpočtu Európskej únie za rozpočtový rok 2024, oddiel III – Komisia (2025/2145(DEC))</w:t>
      </w:r>
    </w:p>
    <w:bookmarkEnd w:id="22"/>
    <w:p w14:paraId="3E9B2C7F" w14:textId="77777777" w:rsidR="003B03EB" w:rsidRPr="005E78F4" w:rsidRDefault="003B03EB" w:rsidP="003B03EB">
      <w:pPr>
        <w:pStyle w:val="EPComma"/>
      </w:pPr>
      <w:r w:rsidRPr="005E78F4">
        <w:rPr>
          <w:i/>
        </w:rPr>
        <w:t>Európsky parlament</w:t>
      </w:r>
      <w:r w:rsidRPr="005E78F4">
        <w:t>,</w:t>
      </w:r>
    </w:p>
    <w:p w14:paraId="6206E94A" w14:textId="77777777" w:rsidR="003B03EB" w:rsidRPr="005E78F4" w:rsidRDefault="003B03EB" w:rsidP="003B03EB">
      <w:pPr>
        <w:pStyle w:val="NormalHanging12a"/>
      </w:pPr>
      <w:r w:rsidRPr="005E78F4">
        <w:t>–</w:t>
      </w:r>
      <w:r w:rsidRPr="005E78F4">
        <w:tab/>
        <w:t>so zreteľom na všeobecný rozpočet Európskej únie na rozpočtový rok 2024</w:t>
      </w:r>
      <w:r w:rsidRPr="005E78F4">
        <w:rPr>
          <w:rStyle w:val="FootnoteReference"/>
        </w:rPr>
        <w:footnoteReference w:id="79"/>
      </w:r>
      <w:r w:rsidRPr="005E78F4">
        <w:t>,</w:t>
      </w:r>
    </w:p>
    <w:p w14:paraId="3E309DF7" w14:textId="77777777" w:rsidR="003B03EB" w:rsidRPr="005E78F4" w:rsidRDefault="003B03EB" w:rsidP="003B03EB">
      <w:pPr>
        <w:pStyle w:val="NormalHanging12a"/>
      </w:pPr>
      <w:r w:rsidRPr="005E78F4">
        <w:t>–</w:t>
      </w:r>
      <w:r w:rsidRPr="005E78F4">
        <w:tab/>
        <w:t>so zreteľom na konsolidovanú ročnú účtovnú závierku Európskej únie za rozpočtový rok 2024 (COM(2025)0359 – C10</w:t>
      </w:r>
      <w:r w:rsidRPr="005E78F4">
        <w:noBreakHyphen/>
        <w:t>0145/2025)</w:t>
      </w:r>
      <w:r w:rsidRPr="005E78F4">
        <w:rPr>
          <w:rStyle w:val="FootnoteReference"/>
        </w:rPr>
        <w:footnoteReference w:id="80"/>
      </w:r>
      <w:r w:rsidRPr="005E78F4">
        <w:t>,</w:t>
      </w:r>
    </w:p>
    <w:p w14:paraId="6A28DDA7" w14:textId="77777777" w:rsidR="003B03EB" w:rsidRPr="005E78F4" w:rsidRDefault="003B03EB" w:rsidP="003B03EB">
      <w:pPr>
        <w:pStyle w:val="NormalHanging12a"/>
      </w:pPr>
      <w:r w:rsidRPr="005E78F4">
        <w:t>–</w:t>
      </w:r>
      <w:r w:rsidRPr="005E78F4">
        <w:tab/>
        <w:t>so zreteľom na správu Komisie o následných opatreniach k udeleniu absolutória za rozpočtový rok 2023 (COM(2025)0373) a na podrobné odpovede na osobitné požiadavky Európskeho parlamentu,</w:t>
      </w:r>
    </w:p>
    <w:p w14:paraId="3CCC301A" w14:textId="77777777" w:rsidR="003B03EB" w:rsidRPr="005E78F4" w:rsidRDefault="003B03EB" w:rsidP="003B03EB">
      <w:pPr>
        <w:pStyle w:val="NormalHanging12a"/>
      </w:pPr>
      <w:r w:rsidRPr="005E78F4">
        <w:t>–</w:t>
      </w:r>
      <w:r w:rsidRPr="005E78F4">
        <w:tab/>
        <w:t>so zreteľom na výročnú správu Komisie o riadení a výkonnosti rozpočtu EÚ za rok 2024 (COM(2025)0824),</w:t>
      </w:r>
    </w:p>
    <w:p w14:paraId="005E2686" w14:textId="77777777" w:rsidR="003B03EB" w:rsidRPr="005E78F4" w:rsidRDefault="003B03EB" w:rsidP="003B03EB">
      <w:pPr>
        <w:pStyle w:val="NormalHanging12a"/>
      </w:pPr>
      <w:r w:rsidRPr="005E78F4">
        <w:t>–</w:t>
      </w:r>
      <w:r w:rsidRPr="005E78F4">
        <w:tab/>
        <w:t>so zreteľom na výročnú správu Komisie o vnútorných auditoch vykonaných v roku 2024 pre orgán udeľujúci absolutórium (COM(2025)0314) a pracovný dokument útvarov Komisie k nej pripojený (SWD(2025)0159),</w:t>
      </w:r>
    </w:p>
    <w:p w14:paraId="36F88453" w14:textId="77777777" w:rsidR="003B03EB" w:rsidRPr="005E78F4" w:rsidRDefault="003B03EB" w:rsidP="003B03EB">
      <w:pPr>
        <w:pStyle w:val="NormalHanging12a"/>
      </w:pPr>
      <w:r w:rsidRPr="005E78F4">
        <w:t>–</w:t>
      </w:r>
      <w:r w:rsidRPr="005E78F4">
        <w:tab/>
        <w:t>so zreteľom na výročnú správu Dvora audítorov o plnení rozpočtu za rozpočtový rok 2024 spolu s odpoveďami inštitúcií</w:t>
      </w:r>
      <w:r w:rsidRPr="005E78F4">
        <w:rPr>
          <w:rStyle w:val="FootnoteReference"/>
        </w:rPr>
        <w:footnoteReference w:id="81"/>
      </w:r>
      <w:r w:rsidRPr="005E78F4">
        <w:t xml:space="preserve"> a na osobitné správy Dvora audítorov,</w:t>
      </w:r>
    </w:p>
    <w:p w14:paraId="76F92CFB"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82"/>
      </w:r>
      <w:r w:rsidRPr="005E78F4">
        <w:t xml:space="preserve"> týkajúce sa spoľahlivosti účtov a zákonnosti a správnosti príslušných operácií, ktoré poskytol Dvor audítorov za rozpočtový rok 2024 v súlade s článkom 287 Zmluvy o fungovaní Európskej únie,</w:t>
      </w:r>
    </w:p>
    <w:p w14:paraId="503F96B0" w14:textId="77777777" w:rsidR="003B03EB" w:rsidRPr="005E78F4" w:rsidRDefault="003B03EB" w:rsidP="003B03EB">
      <w:pPr>
        <w:pStyle w:val="NormalHanging12a"/>
      </w:pPr>
      <w:r w:rsidRPr="005E78F4">
        <w:t>–</w:t>
      </w:r>
      <w:r w:rsidRPr="005E78F4">
        <w:tab/>
        <w:t>so zreteľom na odporúčanie Rady zo 17. februára 2026 o udelení absolutória Komisii za plnenie rozpočtu za rozpočtový rok 2024 (05749/2026 – C10</w:t>
      </w:r>
      <w:r w:rsidRPr="005E78F4">
        <w:noBreakHyphen/>
        <w:t>0037/2026),</w:t>
      </w:r>
    </w:p>
    <w:p w14:paraId="3284C15E" w14:textId="77777777" w:rsidR="003B03EB" w:rsidRPr="005E78F4" w:rsidRDefault="003B03EB" w:rsidP="003B03EB">
      <w:pPr>
        <w:pStyle w:val="NormalHanging12a"/>
      </w:pPr>
      <w:r w:rsidRPr="005E78F4">
        <w:t>–</w:t>
      </w:r>
      <w:r w:rsidRPr="005E78F4">
        <w:tab/>
        <w:t>so zreteľom na odporúčanie Rady zo 17. februára 2026 o udelení absolutória výkonným agentúram za plnenie rozpočtu za rozpočtový rok 2024 (05752/2026 – C10</w:t>
      </w:r>
      <w:r w:rsidRPr="005E78F4">
        <w:noBreakHyphen/>
        <w:t>0050/2026),</w:t>
      </w:r>
    </w:p>
    <w:p w14:paraId="29FB0E6A" w14:textId="77777777" w:rsidR="003B03EB" w:rsidRPr="005E78F4" w:rsidRDefault="003B03EB" w:rsidP="003B03EB">
      <w:pPr>
        <w:pStyle w:val="NormalHanging12a"/>
      </w:pPr>
      <w:r w:rsidRPr="005E78F4">
        <w:t>–</w:t>
      </w:r>
      <w:r w:rsidRPr="005E78F4">
        <w:tab/>
        <w:t>so zreteľom na články 317, 318 a 319 Zmluvy o fungovaní Európskej únie,</w:t>
      </w:r>
    </w:p>
    <w:p w14:paraId="1F64B521" w14:textId="77777777" w:rsidR="003B03EB" w:rsidRPr="005E78F4" w:rsidRDefault="003B03EB" w:rsidP="003B03EB">
      <w:pPr>
        <w:pStyle w:val="NormalHanging12a"/>
      </w:pPr>
      <w:r w:rsidRPr="005E78F4">
        <w:t>–</w:t>
      </w:r>
      <w:r w:rsidRPr="005E78F4">
        <w:tab/>
        <w:t>so zreteľom na článok 106a Zmluvy o založení Európskeho spoločenstva pre atómovú energiu,</w:t>
      </w:r>
    </w:p>
    <w:p w14:paraId="75856470" w14:textId="77777777" w:rsidR="003B03EB" w:rsidRPr="005E78F4" w:rsidRDefault="003B03EB" w:rsidP="003B03EB">
      <w:pPr>
        <w:pStyle w:val="NormalHanging12a"/>
      </w:pPr>
      <w:r w:rsidRPr="005E78F4">
        <w:t>–</w:t>
      </w:r>
      <w:r w:rsidRPr="005E78F4">
        <w:tab/>
        <w:t xml:space="preserve">so zreteľom na nariadenie Európskeho parlamentu a Rady (EÚ, </w:t>
      </w:r>
      <w:proofErr w:type="spellStart"/>
      <w:r w:rsidRPr="005E78F4">
        <w:t>Euratom</w:t>
      </w:r>
      <w:proofErr w:type="spellEnd"/>
      <w:r w:rsidRPr="005E78F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5E78F4">
        <w:t>Euratom</w:t>
      </w:r>
      <w:proofErr w:type="spellEnd"/>
      <w:r w:rsidRPr="005E78F4">
        <w:t>) č. 966/2012</w:t>
      </w:r>
      <w:r w:rsidRPr="005E78F4">
        <w:rPr>
          <w:rStyle w:val="FootnoteReference"/>
        </w:rPr>
        <w:footnoteReference w:id="83"/>
      </w:r>
      <w:r w:rsidRPr="005E78F4">
        <w:t>, a najmä na jeho články 69, 260, 261 a 262,</w:t>
      </w:r>
    </w:p>
    <w:p w14:paraId="196B1866" w14:textId="77777777" w:rsidR="003B03EB" w:rsidRPr="005E78F4" w:rsidRDefault="003B03EB" w:rsidP="003B03EB">
      <w:pPr>
        <w:pStyle w:val="NormalHanging12a"/>
      </w:pPr>
      <w:r w:rsidRPr="005E78F4">
        <w:lastRenderedPageBreak/>
        <w:t>–</w:t>
      </w:r>
      <w:r w:rsidRPr="005E78F4">
        <w:tab/>
        <w:t xml:space="preserve">so zreteľom na nariadenie Európskeho parlamentu a Rady (EÚ, </w:t>
      </w:r>
      <w:proofErr w:type="spellStart"/>
      <w:r w:rsidRPr="005E78F4">
        <w:t>Euratom</w:t>
      </w:r>
      <w:proofErr w:type="spellEnd"/>
      <w:r w:rsidRPr="005E78F4">
        <w:t>) 2024/2509 z 23. septembra 2024 o rozpočtových pravidlách, ktoré sa vzťahujú na všeobecný rozpočet Únie</w:t>
      </w:r>
      <w:r w:rsidRPr="005E78F4">
        <w:rPr>
          <w:rStyle w:val="FootnoteReference"/>
        </w:rPr>
        <w:footnoteReference w:id="84"/>
      </w:r>
      <w:r w:rsidRPr="005E78F4">
        <w:t>, a najmä na jeho články 69, 266, 267 a 268,</w:t>
      </w:r>
    </w:p>
    <w:p w14:paraId="3C93B056" w14:textId="77777777" w:rsidR="003B03EB" w:rsidRPr="005E78F4" w:rsidRDefault="003B03EB" w:rsidP="003B03EB">
      <w:pPr>
        <w:pStyle w:val="NormalHanging12a"/>
      </w:pPr>
      <w:r w:rsidRPr="005E78F4">
        <w:t>–</w:t>
      </w:r>
      <w:r w:rsidRPr="005E78F4">
        <w:tab/>
        <w:t>so zreteľom na nariadenie Rady (ES) č. 58/2003 z 19. decembra 2002, ktoré stanovuje štatút výkonných orgánov, ktorým majú byť zverené niektoré úlohy v rámci riadenia programov Spoločenstva</w:t>
      </w:r>
      <w:r w:rsidRPr="005E78F4">
        <w:rPr>
          <w:rStyle w:val="FootnoteReference"/>
        </w:rPr>
        <w:footnoteReference w:id="85"/>
      </w:r>
      <w:r w:rsidRPr="005E78F4">
        <w:t>, a najmä na jeho článok 14 ods. 2 a 3,</w:t>
      </w:r>
    </w:p>
    <w:p w14:paraId="08E09E53" w14:textId="77777777" w:rsidR="003B03EB" w:rsidRPr="005E78F4" w:rsidRDefault="003B03EB" w:rsidP="003B03EB">
      <w:pPr>
        <w:pStyle w:val="NormalHanging12a"/>
      </w:pPr>
      <w:r w:rsidRPr="005E78F4">
        <w:t>–</w:t>
      </w:r>
      <w:r w:rsidRPr="005E78F4">
        <w:tab/>
        <w:t>so zreteľom na článok 101 a prílohu V k rokovaciemu poriadku,</w:t>
      </w:r>
    </w:p>
    <w:p w14:paraId="2C2689C8"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5D8076E6" w14:textId="77777777" w:rsidR="003B03EB" w:rsidRPr="005E78F4" w:rsidRDefault="003B03EB" w:rsidP="003B03EB">
      <w:pPr>
        <w:pStyle w:val="NormalHanging12a"/>
      </w:pPr>
      <w:r w:rsidRPr="005E78F4">
        <w:t>–</w:t>
      </w:r>
      <w:r w:rsidRPr="005E78F4">
        <w:tab/>
        <w:t>so zreteľom na list Výboru pre poľnohospodárstvo a rozvoj vidieka,</w:t>
      </w:r>
    </w:p>
    <w:p w14:paraId="245E4D11" w14:textId="77777777" w:rsidR="003B03EB" w:rsidRPr="005E78F4" w:rsidRDefault="003B03EB" w:rsidP="003B03EB">
      <w:pPr>
        <w:pStyle w:val="NormalHanging12a"/>
      </w:pPr>
      <w:r w:rsidRPr="005E78F4">
        <w:t>–</w:t>
      </w:r>
      <w:r w:rsidRPr="005E78F4">
        <w:tab/>
        <w:t>so zreteľom na správu Výboru pre kontrolu rozpočtu (A10-0085/2026),</w:t>
      </w:r>
    </w:p>
    <w:p w14:paraId="50BF5426" w14:textId="77777777" w:rsidR="003B03EB" w:rsidRPr="005E78F4" w:rsidRDefault="003B03EB" w:rsidP="003B03EB">
      <w:pPr>
        <w:pStyle w:val="NormalHanging12a"/>
      </w:pPr>
      <w:r w:rsidRPr="005E78F4">
        <w:t>1.</w:t>
      </w:r>
      <w:r w:rsidRPr="005E78F4">
        <w:tab/>
        <w:t>schvaľuje účtovnú závierku týkajúcu sa plnenia všeobecného rozpočtu Európskej únie za rozpočtový rok 2024;</w:t>
      </w:r>
    </w:p>
    <w:p w14:paraId="570C20E0" w14:textId="77777777" w:rsidR="003B03EB" w:rsidRPr="005E78F4" w:rsidRDefault="003B03EB" w:rsidP="003B03EB">
      <w:pPr>
        <w:pStyle w:val="NormalHanging12a"/>
      </w:pPr>
      <w:r w:rsidRPr="005E78F4">
        <w:t>2.</w:t>
      </w:r>
      <w:r w:rsidRPr="005E78F4">
        <w:tab/>
        <w:t>uvádza svoje poznámky v uznesení, ktoré je neoddeliteľnou súčasťou rozhodnutí o absolutóriu za plnenie všeobecného rozpočtu Európskej únie za rozpočtový rok 2024, oddiel III – Komisia, výkonné agentúry a deviaty, desiaty a jedenásty Európsky rozvojový fond;</w:t>
      </w:r>
    </w:p>
    <w:p w14:paraId="075620DF" w14:textId="77777777" w:rsidR="003B03EB" w:rsidRPr="005E78F4" w:rsidRDefault="003B03EB" w:rsidP="003B03EB">
      <w:pPr>
        <w:pStyle w:val="NormalHanging12a"/>
      </w:pPr>
      <w:r w:rsidRPr="005E78F4">
        <w:t>3.</w:t>
      </w:r>
      <w:r w:rsidRPr="005E78F4">
        <w:tab/>
        <w:t xml:space="preserve">poveruje svoju predsedníčku, aby postúpila toto rozhodnutie Rade, Komisii, Dvoru audítorov, ako aj národným parlamentom a národným a regionálnym kontrolným orgánom členských štátov a aby zabezpečila ich uverejnenie v </w:t>
      </w:r>
      <w:r w:rsidRPr="005E78F4">
        <w:rPr>
          <w:i/>
        </w:rPr>
        <w:t>Úradnom vestníku Európskej únie</w:t>
      </w:r>
      <w:r w:rsidRPr="005E78F4">
        <w:t xml:space="preserve"> (v sérii L).</w:t>
      </w:r>
    </w:p>
    <w:p w14:paraId="0E37C948" w14:textId="77777777" w:rsidR="003B03EB" w:rsidRPr="005E78F4" w:rsidRDefault="003B03EB" w:rsidP="003B03EB"/>
    <w:p w14:paraId="0D318076" w14:textId="77777777" w:rsidR="003B03EB" w:rsidRPr="005E78F4" w:rsidRDefault="003B03EB" w:rsidP="003B03EB">
      <w:pPr>
        <w:pStyle w:val="PageHeading"/>
        <w:sectPr w:rsidR="003B03EB" w:rsidRPr="005E78F4" w:rsidSect="004050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736D59" w14:textId="77777777" w:rsidR="00AE12F0" w:rsidRPr="005E78F4" w:rsidRDefault="00AE12F0" w:rsidP="00AE12F0">
      <w:pPr>
        <w:pStyle w:val="ATHeading3"/>
      </w:pPr>
      <w:bookmarkStart w:id="23" w:name="_Toc227937526"/>
      <w:r w:rsidRPr="005E78F4">
        <w:lastRenderedPageBreak/>
        <w:t>10. Rozhodnutie Európskeho parlamentu z 29. apríla 2026 o účtovnej závierke deviateho, desiateho a jedenásteho Európskeho rozvojového fondu za rozpočtový rok 2024 (2025/2145(DEC))</w:t>
      </w:r>
    </w:p>
    <w:bookmarkEnd w:id="23"/>
    <w:p w14:paraId="6656BD41" w14:textId="77777777" w:rsidR="003B03EB" w:rsidRPr="005E78F4" w:rsidRDefault="003B03EB" w:rsidP="003B03EB">
      <w:pPr>
        <w:pStyle w:val="EPComma"/>
      </w:pPr>
      <w:r w:rsidRPr="005E78F4">
        <w:rPr>
          <w:i/>
        </w:rPr>
        <w:t>Európsky parlament</w:t>
      </w:r>
      <w:r w:rsidRPr="005E78F4">
        <w:t>,</w:t>
      </w:r>
    </w:p>
    <w:p w14:paraId="28A748B2" w14:textId="77777777" w:rsidR="003B03EB" w:rsidRPr="005E78F4" w:rsidRDefault="003B03EB" w:rsidP="003B03EB">
      <w:pPr>
        <w:pStyle w:val="NormalHanging12a"/>
      </w:pPr>
      <w:r w:rsidRPr="005E78F4">
        <w:t>–</w:t>
      </w:r>
      <w:r w:rsidRPr="005E78F4">
        <w:tab/>
        <w:t>so zreteľom na finančné výkazy a príjmové a výdavkové účty deviateho, desiateho a jedenásteho Európskeho rozvojového fondu za rozpočtový rok 2024 (COM(2025)0354 – C10</w:t>
      </w:r>
      <w:r w:rsidRPr="005E78F4">
        <w:noBreakHyphen/>
        <w:t>0158/2025),</w:t>
      </w:r>
    </w:p>
    <w:p w14:paraId="349CA596" w14:textId="77777777" w:rsidR="003B03EB" w:rsidRPr="005E78F4" w:rsidRDefault="003B03EB" w:rsidP="003B03EB">
      <w:pPr>
        <w:pStyle w:val="NormalHanging12a"/>
      </w:pPr>
      <w:r w:rsidRPr="005E78F4">
        <w:t>–</w:t>
      </w:r>
      <w:r w:rsidRPr="005E78F4">
        <w:tab/>
        <w:t>so zreteľom na finančné informácie o Európskom rozvojovom fonde (COM(2025)0354),</w:t>
      </w:r>
    </w:p>
    <w:p w14:paraId="78894BEC" w14:textId="77777777" w:rsidR="003B03EB" w:rsidRPr="005E78F4" w:rsidRDefault="003B03EB" w:rsidP="003B03EB">
      <w:pPr>
        <w:pStyle w:val="NormalHanging12a"/>
      </w:pPr>
      <w:r w:rsidRPr="005E78F4">
        <w:t>–</w:t>
      </w:r>
      <w:r w:rsidRPr="005E78F4">
        <w:tab/>
        <w:t>so zreteľom na výročnú správu Dvora audítorov o aktivitách financovaných z deviateho, desiateho a jedenásteho Európskeho rozvojového fondu za rozpočtový rok 2024 spolu s odpoveďami Komisie</w:t>
      </w:r>
      <w:r w:rsidRPr="005E78F4">
        <w:rPr>
          <w:rStyle w:val="FootnoteReference"/>
        </w:rPr>
        <w:footnoteReference w:id="86"/>
      </w:r>
      <w:r w:rsidRPr="005E78F4">
        <w:t>,</w:t>
      </w:r>
    </w:p>
    <w:p w14:paraId="4632942C" w14:textId="77777777" w:rsidR="003B03EB" w:rsidRPr="005E78F4" w:rsidRDefault="003B03EB" w:rsidP="003B03EB">
      <w:pPr>
        <w:pStyle w:val="NormalHanging12a"/>
      </w:pPr>
      <w:r w:rsidRPr="005E78F4">
        <w:t>–</w:t>
      </w:r>
      <w:r w:rsidRPr="005E78F4">
        <w:tab/>
        <w:t>so zreteľom na vyhlásenie o vierohodnosti</w:t>
      </w:r>
      <w:r w:rsidRPr="005E78F4">
        <w:rPr>
          <w:rStyle w:val="FootnoteReference"/>
        </w:rPr>
        <w:footnoteReference w:id="87"/>
      </w:r>
      <w:r w:rsidRPr="005E78F4">
        <w:t xml:space="preserve"> týkajúce sa spoľahlivosti účtov a zákonnosti a správnosti príslušných operácií, ktoré poskytol Dvor audítorov za rozpočtový rok 2024 v súlade s článkom 287 Zmluvy o fungovaní Európskej únie,</w:t>
      </w:r>
    </w:p>
    <w:p w14:paraId="1D6B2425" w14:textId="77777777" w:rsidR="003B03EB" w:rsidRPr="005E78F4" w:rsidRDefault="003B03EB" w:rsidP="003B03EB">
      <w:pPr>
        <w:pStyle w:val="NormalHanging12a"/>
      </w:pPr>
      <w:r w:rsidRPr="005E78F4">
        <w:t>–</w:t>
      </w:r>
      <w:r w:rsidRPr="005E78F4">
        <w:tab/>
        <w:t>so zreteľom na odporúčania Rady zo 17. februára 2026 o udelení absolutória Komisii za vykonávanie operácií Európskeho rozvojového fondu za rozpočtový rok 2024 (05886/2026 – C10</w:t>
      </w:r>
      <w:r w:rsidRPr="005E78F4">
        <w:noBreakHyphen/>
        <w:t>0051/2026),</w:t>
      </w:r>
    </w:p>
    <w:p w14:paraId="32564FD9" w14:textId="77777777" w:rsidR="003B03EB" w:rsidRPr="005E78F4" w:rsidRDefault="003B03EB" w:rsidP="003B03EB">
      <w:pPr>
        <w:pStyle w:val="NormalHanging12a"/>
      </w:pPr>
      <w:r w:rsidRPr="005E78F4">
        <w:t>–</w:t>
      </w:r>
      <w:r w:rsidRPr="005E78F4">
        <w:tab/>
        <w:t xml:space="preserve">so zreteľom na Dohodu o partnerstve medzi členmi skupiny afrických, karibských a tichomorských štátov (AKT) na jednej strane a Európskym spoločenstvom a jeho členskými štátmi na strane druhej, ktorá bola podpísaná 23. júna 2000 v </w:t>
      </w:r>
      <w:proofErr w:type="spellStart"/>
      <w:r w:rsidRPr="005E78F4">
        <w:t>Cotonou</w:t>
      </w:r>
      <w:proofErr w:type="spellEnd"/>
      <w:r w:rsidRPr="005E78F4">
        <w:t xml:space="preserve"> (Benin)</w:t>
      </w:r>
      <w:r w:rsidRPr="005E78F4">
        <w:rPr>
          <w:rStyle w:val="FootnoteReference"/>
        </w:rPr>
        <w:footnoteReference w:id="88"/>
      </w:r>
      <w:r w:rsidRPr="005E78F4">
        <w:t xml:space="preserve"> a zmenená 22. júna 2010 v Ouagadougou (Burkina Faso)</w:t>
      </w:r>
      <w:r w:rsidRPr="005E78F4">
        <w:rPr>
          <w:rStyle w:val="FootnoteReference"/>
        </w:rPr>
        <w:footnoteReference w:id="89"/>
      </w:r>
      <w:r w:rsidRPr="005E78F4">
        <w:t>,</w:t>
      </w:r>
    </w:p>
    <w:p w14:paraId="3441F859" w14:textId="77777777" w:rsidR="003B03EB" w:rsidRPr="005E78F4" w:rsidRDefault="003B03EB" w:rsidP="003B03EB">
      <w:pPr>
        <w:pStyle w:val="NormalHanging12a"/>
      </w:pPr>
      <w:r w:rsidRPr="005E78F4">
        <w:t>–</w:t>
      </w:r>
      <w:r w:rsidRPr="005E78F4">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5E78F4">
        <w:rPr>
          <w:rStyle w:val="FootnoteReference"/>
        </w:rPr>
        <w:footnoteReference w:id="90"/>
      </w:r>
      <w:r w:rsidRPr="005E78F4">
        <w:t>,</w:t>
      </w:r>
    </w:p>
    <w:p w14:paraId="61E130DE" w14:textId="77777777" w:rsidR="003B03EB" w:rsidRPr="005E78F4" w:rsidRDefault="003B03EB" w:rsidP="003B03EB">
      <w:pPr>
        <w:pStyle w:val="NormalHanging12a"/>
      </w:pPr>
      <w:r w:rsidRPr="005E78F4">
        <w:t>–</w:t>
      </w:r>
      <w:r w:rsidRPr="005E78F4">
        <w:tab/>
        <w:t>so zreteľom na článok 33 Vnútornej dohody z 20. decembra 1995 medzi zástupcami vlád členských štátov, ktorí sa zišli na zasadnutí Rady, o financovaní a správe pomoci Spoločenstva v rámci Druhého finančného protokolu k štvrtému dohovoru AKT – ES</w:t>
      </w:r>
      <w:r w:rsidRPr="005E78F4">
        <w:rPr>
          <w:rStyle w:val="FootnoteReference"/>
        </w:rPr>
        <w:footnoteReference w:id="91"/>
      </w:r>
      <w:r w:rsidRPr="005E78F4">
        <w:t>,</w:t>
      </w:r>
    </w:p>
    <w:p w14:paraId="171C99E1" w14:textId="77777777" w:rsidR="003B03EB" w:rsidRPr="005E78F4" w:rsidRDefault="003B03EB" w:rsidP="003B03EB">
      <w:pPr>
        <w:pStyle w:val="NormalHanging12a"/>
      </w:pPr>
      <w:r w:rsidRPr="005E78F4">
        <w:t>–</w:t>
      </w:r>
      <w:r w:rsidRPr="005E78F4">
        <w:tab/>
        <w:t xml:space="preserve">so zreteľom na článok 32 Vnútornej dohody z 18. septembra 2000 medzi zástupcami vlád členských štátov, ktorí sa zišli na zasadnutí Rady, o financovaní a správe pomoci Spoločenstva v rámci Finančného protokolu Dohody o partnerstve, uzatvorenej 23. júna 2000 v </w:t>
      </w:r>
      <w:proofErr w:type="spellStart"/>
      <w:r w:rsidRPr="005E78F4">
        <w:t>Cotonou</w:t>
      </w:r>
      <w:proofErr w:type="spellEnd"/>
      <w:r w:rsidRPr="005E78F4">
        <w:t xml:space="preserve"> (Benin) medzi africkými, karibskými a tichomorskými štátmi a Európskym spoločenstvom a jeho členskými štátmi, a o rozdelení finančnej pomoci určenej zámorským krajinám a územiam, na ktorú sa vzťahujú ustanovenia štvrtej časti </w:t>
      </w:r>
      <w:r w:rsidRPr="005E78F4">
        <w:lastRenderedPageBreak/>
        <w:t>Zmluvy o ES</w:t>
      </w:r>
      <w:r w:rsidRPr="005E78F4">
        <w:rPr>
          <w:rStyle w:val="FootnoteReference"/>
        </w:rPr>
        <w:footnoteReference w:id="92"/>
      </w:r>
      <w:r w:rsidRPr="005E78F4">
        <w:t>,</w:t>
      </w:r>
    </w:p>
    <w:p w14:paraId="3F480F6D" w14:textId="77777777" w:rsidR="003B03EB" w:rsidRPr="005E78F4" w:rsidRDefault="003B03EB" w:rsidP="003B03EB">
      <w:pPr>
        <w:pStyle w:val="NormalHanging12a"/>
      </w:pPr>
      <w:r w:rsidRPr="005E78F4">
        <w:t>–</w:t>
      </w:r>
      <w:r w:rsidRPr="005E78F4">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vzťahujú ustanovenia štvrtej časti Zmluvy o fungovaní Európskej únie</w:t>
      </w:r>
      <w:r w:rsidRPr="005E78F4">
        <w:rPr>
          <w:rStyle w:val="FootnoteReference"/>
        </w:rPr>
        <w:footnoteReference w:id="93"/>
      </w:r>
      <w:r w:rsidRPr="005E78F4">
        <w:t>,</w:t>
      </w:r>
    </w:p>
    <w:p w14:paraId="4A849566" w14:textId="77777777" w:rsidR="003B03EB" w:rsidRPr="005E78F4" w:rsidRDefault="003B03EB" w:rsidP="003B03EB">
      <w:pPr>
        <w:pStyle w:val="NormalHanging12a"/>
      </w:pPr>
      <w:r w:rsidRPr="005E78F4">
        <w:t>–</w:t>
      </w:r>
      <w:r w:rsidRPr="005E78F4">
        <w:tab/>
        <w:t>so zreteľom na článok 319 Zmluvy o fungovaní Európskej únie,</w:t>
      </w:r>
    </w:p>
    <w:p w14:paraId="5B644ADC" w14:textId="77777777" w:rsidR="003B03EB" w:rsidRPr="005E78F4" w:rsidRDefault="003B03EB" w:rsidP="003B03EB">
      <w:pPr>
        <w:pStyle w:val="NormalHanging12a"/>
      </w:pPr>
      <w:r w:rsidRPr="005E78F4">
        <w:t>–</w:t>
      </w:r>
      <w:r w:rsidRPr="005E78F4">
        <w:tab/>
        <w:t>so zreteľom na článok 74 nariadenia o rozpočtových pravidlách zo 16. júna 1998, ktoré sa vzťahujú na spoluprácu pri financovaní rozvoja podľa štvrtého dohovoru AKT – ES</w:t>
      </w:r>
      <w:r w:rsidRPr="005E78F4">
        <w:rPr>
          <w:rStyle w:val="FootnoteReference"/>
        </w:rPr>
        <w:footnoteReference w:id="94"/>
      </w:r>
      <w:r w:rsidRPr="005E78F4">
        <w:t>,</w:t>
      </w:r>
    </w:p>
    <w:p w14:paraId="3198CDD6" w14:textId="77777777" w:rsidR="003B03EB" w:rsidRPr="005E78F4" w:rsidRDefault="003B03EB" w:rsidP="003B03EB">
      <w:pPr>
        <w:pStyle w:val="NormalHanging12a"/>
      </w:pPr>
      <w:r w:rsidRPr="005E78F4">
        <w:t>–</w:t>
      </w:r>
      <w:r w:rsidRPr="005E78F4">
        <w:tab/>
        <w:t>so zreteľom na článok 119 nariadenia o rozpočtových pravidlách z 27. marca 2003, ktoré sa vzťahujú na deviaty Európsky rozvojový fond</w:t>
      </w:r>
      <w:r w:rsidRPr="005E78F4">
        <w:rPr>
          <w:rStyle w:val="FootnoteReference"/>
        </w:rPr>
        <w:footnoteReference w:id="95"/>
      </w:r>
      <w:r w:rsidRPr="005E78F4">
        <w:t>,</w:t>
      </w:r>
    </w:p>
    <w:p w14:paraId="4E1D6481" w14:textId="77777777" w:rsidR="003B03EB" w:rsidRPr="005E78F4" w:rsidRDefault="003B03EB" w:rsidP="003B03EB">
      <w:pPr>
        <w:pStyle w:val="NormalHanging12a"/>
      </w:pPr>
      <w:r w:rsidRPr="005E78F4">
        <w:t>–</w:t>
      </w:r>
      <w:r w:rsidRPr="005E78F4">
        <w:tab/>
        <w:t>so zreteľom na článok 50 nariadenia Rady (ES) č. 215/2008 z 18. februára 2008 o rozpočtových pravidlách, ktoré sa vzťahujú na desiaty Európsky rozvojový fond</w:t>
      </w:r>
      <w:r w:rsidRPr="005E78F4">
        <w:rPr>
          <w:rStyle w:val="FootnoteReference"/>
        </w:rPr>
        <w:footnoteReference w:id="96"/>
      </w:r>
      <w:r w:rsidRPr="005E78F4">
        <w:t>,</w:t>
      </w:r>
    </w:p>
    <w:p w14:paraId="58A599EE" w14:textId="77777777" w:rsidR="003B03EB" w:rsidRPr="005E78F4" w:rsidRDefault="003B03EB" w:rsidP="003B03EB">
      <w:pPr>
        <w:pStyle w:val="NormalHanging12a"/>
      </w:pPr>
      <w:r w:rsidRPr="005E78F4">
        <w:t>–</w:t>
      </w:r>
      <w:r w:rsidRPr="005E78F4">
        <w:tab/>
        <w:t>so zreteľom na článok 44 nariadenia Rady (EÚ) 2018/1877 z 26. novembra 2018 o rozpočtových pravidlách, ktoré sa vzťahujú na 11. Európsky rozvojový fond, a o zrušení nariadenia (EÚ) 2015/323</w:t>
      </w:r>
      <w:r w:rsidRPr="005E78F4">
        <w:rPr>
          <w:rStyle w:val="FootnoteReference"/>
        </w:rPr>
        <w:footnoteReference w:id="97"/>
      </w:r>
      <w:r w:rsidRPr="005E78F4">
        <w:t>,</w:t>
      </w:r>
    </w:p>
    <w:p w14:paraId="640F1CF8" w14:textId="77777777" w:rsidR="003B03EB" w:rsidRPr="005E78F4" w:rsidRDefault="003B03EB" w:rsidP="003B03EB">
      <w:pPr>
        <w:pStyle w:val="NormalHanging12a"/>
      </w:pPr>
      <w:r w:rsidRPr="005E78F4">
        <w:t>–</w:t>
      </w:r>
      <w:r w:rsidRPr="005E78F4">
        <w:tab/>
        <w:t>so zreteľom na článok 101, článok 102 tretiu zarážku a na prílohu V k rokovaciemu poriadku,</w:t>
      </w:r>
    </w:p>
    <w:p w14:paraId="32D74A4F" w14:textId="77777777" w:rsidR="003B03EB" w:rsidRPr="005E78F4" w:rsidRDefault="003B03EB" w:rsidP="003B03EB">
      <w:pPr>
        <w:pStyle w:val="NormalHanging12a"/>
      </w:pPr>
      <w:r w:rsidRPr="005E78F4">
        <w:t>–</w:t>
      </w:r>
      <w:r w:rsidRPr="005E78F4">
        <w:tab/>
        <w:t xml:space="preserve">so zreteľom na stanovisko Výboru pre rozvoj, </w:t>
      </w:r>
    </w:p>
    <w:p w14:paraId="084A87FA" w14:textId="77777777" w:rsidR="003B03EB" w:rsidRPr="005E78F4" w:rsidRDefault="003B03EB" w:rsidP="003B03EB">
      <w:pPr>
        <w:pStyle w:val="NormalHanging12a"/>
      </w:pPr>
      <w:r w:rsidRPr="005E78F4">
        <w:t>–</w:t>
      </w:r>
      <w:r w:rsidRPr="005E78F4">
        <w:tab/>
        <w:t>so zreteľom na správu Výboru pre kontrolu rozpočtu (A10-0085/2026),</w:t>
      </w:r>
    </w:p>
    <w:p w14:paraId="2E4F3C0A" w14:textId="77777777" w:rsidR="003B03EB" w:rsidRPr="005E78F4" w:rsidRDefault="003B03EB" w:rsidP="003B03EB">
      <w:pPr>
        <w:pStyle w:val="NormalHanging12a"/>
      </w:pPr>
      <w:r w:rsidRPr="005E78F4">
        <w:t>1.</w:t>
      </w:r>
      <w:r w:rsidRPr="005E78F4">
        <w:tab/>
        <w:t>schvaľuje účtovnú závierku deviateho, desiateho a jedenásteho Európskeho rozvojového fondu za rozpočtový rok 2024;</w:t>
      </w:r>
    </w:p>
    <w:p w14:paraId="30BF2AA5" w14:textId="77777777" w:rsidR="003B03EB" w:rsidRPr="005E78F4" w:rsidRDefault="003B03EB" w:rsidP="003B03EB">
      <w:pPr>
        <w:pStyle w:val="NormalHanging12a"/>
      </w:pPr>
      <w:r w:rsidRPr="005E78F4">
        <w:t>2.</w:t>
      </w:r>
      <w:r w:rsidRPr="005E78F4">
        <w:tab/>
        <w:t xml:space="preserve">poveruje svoju predsedníčku, aby postúpila toto rozhodnutie Rade, Komisii, Dvoru audítorov a Európskej investičnej banke a aby zabezpečila jeho uverejnenie v </w:t>
      </w:r>
      <w:r w:rsidRPr="005E78F4">
        <w:rPr>
          <w:i/>
        </w:rPr>
        <w:t>Úradnom vestníku Európskej únie</w:t>
      </w:r>
      <w:r w:rsidRPr="005E78F4">
        <w:t xml:space="preserve"> (v sérii L).</w:t>
      </w:r>
    </w:p>
    <w:p w14:paraId="30D3BBB5" w14:textId="77777777" w:rsidR="003B03EB" w:rsidRPr="005E78F4" w:rsidRDefault="003B03EB" w:rsidP="003B03EB"/>
    <w:p w14:paraId="45D4D855" w14:textId="77777777" w:rsidR="003B03EB" w:rsidRPr="005E78F4" w:rsidRDefault="003B03EB" w:rsidP="003B03EB">
      <w:pPr>
        <w:pStyle w:val="PageHeading"/>
        <w:sectPr w:rsidR="003B03EB" w:rsidRPr="005E78F4" w:rsidSect="004050B9">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F70AAC" w14:textId="11F6F398" w:rsidR="00AE12F0" w:rsidRPr="005E78F4" w:rsidRDefault="00AE12F0" w:rsidP="00AE12F0">
      <w:pPr>
        <w:pStyle w:val="ATHeading3"/>
      </w:pPr>
      <w:bookmarkStart w:id="24" w:name="_Toc227937528"/>
      <w:r w:rsidRPr="005E78F4">
        <w:lastRenderedPageBreak/>
        <w:t xml:space="preserve">11. Uznesenie Európskeho parlamentu z 29. apríla 2026 s poznámkami, ktoré </w:t>
      </w:r>
      <w:r w:rsidR="006010C0" w:rsidRPr="005E78F4">
        <w:t xml:space="preserve">je </w:t>
      </w:r>
      <w:r w:rsidRPr="005E78F4">
        <w:t>neoddeliteľnou súčasťou rozhodnutí o absolutóriu za plnenie všeobecného rozpočtu Európskej únie za rozpočtový rok 2024, oddiel III – Komisia, výkonné agentúry a deviaty, desiaty a jedenásty Európsky rozvojový fond (2025/2145(DEC))</w:t>
      </w:r>
    </w:p>
    <w:bookmarkEnd w:id="24"/>
    <w:p w14:paraId="4D64CBB8" w14:textId="77777777" w:rsidR="003B03EB" w:rsidRPr="005E78F4" w:rsidRDefault="003B03EB" w:rsidP="003B03EB">
      <w:pPr>
        <w:pStyle w:val="EPComma"/>
      </w:pPr>
      <w:r w:rsidRPr="005E78F4">
        <w:rPr>
          <w:i/>
        </w:rPr>
        <w:t>Európsky parlament</w:t>
      </w:r>
      <w:r w:rsidRPr="005E78F4">
        <w:t>,</w:t>
      </w:r>
    </w:p>
    <w:p w14:paraId="2EE83307" w14:textId="77777777" w:rsidR="003B03EB" w:rsidRPr="005E78F4" w:rsidRDefault="003B03EB" w:rsidP="003B03EB">
      <w:pPr>
        <w:pStyle w:val="NormalHanging12a"/>
      </w:pPr>
      <w:r w:rsidRPr="005E78F4">
        <w:t>–</w:t>
      </w:r>
      <w:r w:rsidRPr="005E78F4">
        <w:tab/>
        <w:t>so zreteľom na rozhodnutie o absolutóriu za plnenie všeobecného rozpočtu Európskej únie za rozpočtový rok 2024, oddiel III – Komisia,</w:t>
      </w:r>
    </w:p>
    <w:p w14:paraId="1CFA5D93" w14:textId="77777777" w:rsidR="003B03EB" w:rsidRPr="005E78F4" w:rsidRDefault="003B03EB" w:rsidP="003B03EB">
      <w:pPr>
        <w:pStyle w:val="NormalHanging12a"/>
      </w:pPr>
      <w:r w:rsidRPr="005E78F4">
        <w:t>–</w:t>
      </w:r>
      <w:r w:rsidRPr="005E78F4">
        <w:tab/>
        <w:t>so zreteľom na svoje rozhodnutia o absolutóriu za plnenie všeobecného rozpočtu výkonných agentúr za rozpočtový rok 2024,</w:t>
      </w:r>
    </w:p>
    <w:p w14:paraId="4BE49590" w14:textId="77777777" w:rsidR="003B03EB" w:rsidRPr="005E78F4" w:rsidRDefault="003B03EB" w:rsidP="003B03EB">
      <w:pPr>
        <w:pStyle w:val="NormalHanging12a"/>
      </w:pPr>
      <w:r w:rsidRPr="005E78F4">
        <w:t>–</w:t>
      </w:r>
      <w:r w:rsidRPr="005E78F4">
        <w:tab/>
        <w:t>so zreteľom na článok 101 a prílohu V k rokovaciemu poriadku,</w:t>
      </w:r>
    </w:p>
    <w:p w14:paraId="1B4A81E4" w14:textId="77777777" w:rsidR="003B03EB" w:rsidRPr="005E78F4" w:rsidRDefault="003B03EB" w:rsidP="003B03EB">
      <w:pPr>
        <w:pStyle w:val="NormalHanging12a"/>
      </w:pPr>
      <w:r w:rsidRPr="005E78F4">
        <w:t>–</w:t>
      </w:r>
      <w:r w:rsidRPr="005E78F4">
        <w:tab/>
        <w:t>so zreteľom na stanoviská Výboru pre zahraničné veci, Výboru pre rozvoj, Výboru pre zamestnanosť a sociálne veci, Výboru pre životné prostredie, klímu a bezpečnosť potravín, Výboru pre dopravu a cestovný ruch, Výboru pre regionálny rozvoj, Výboru pre kultúru a vzdelávanie, Výboru pre občianske slobody, spravodlivosť a vnútorné veci a Výboru pre práva žien a rodovú rovnosť,</w:t>
      </w:r>
    </w:p>
    <w:p w14:paraId="1465D3BC" w14:textId="77777777" w:rsidR="003B03EB" w:rsidRPr="005E78F4" w:rsidRDefault="003B03EB" w:rsidP="003B03EB">
      <w:pPr>
        <w:pStyle w:val="NormalHanging12a"/>
      </w:pPr>
      <w:r w:rsidRPr="005E78F4">
        <w:t>–</w:t>
      </w:r>
      <w:r w:rsidRPr="005E78F4">
        <w:tab/>
        <w:t>so zreteľom na list Výboru pre poľnohospodárstvo a rozvoj vidieka,</w:t>
      </w:r>
    </w:p>
    <w:p w14:paraId="217886DA" w14:textId="77777777" w:rsidR="003B03EB" w:rsidRPr="005E78F4" w:rsidRDefault="003B03EB" w:rsidP="003B03EB">
      <w:pPr>
        <w:pStyle w:val="NormalHanging12a"/>
      </w:pPr>
      <w:r w:rsidRPr="005E78F4">
        <w:t>–</w:t>
      </w:r>
      <w:r w:rsidRPr="005E78F4">
        <w:tab/>
        <w:t>so zreteľom na správu Výboru pre kontrolu rozpočtu (A10-0085/2026),</w:t>
      </w:r>
    </w:p>
    <w:p w14:paraId="27DA0B79" w14:textId="77777777" w:rsidR="003B03EB" w:rsidRPr="005E78F4" w:rsidRDefault="003B03EB" w:rsidP="003B03EB">
      <w:pPr>
        <w:pStyle w:val="NormalHanging12a"/>
        <w:widowControl/>
        <w:rPr>
          <w:szCs w:val="24"/>
        </w:rPr>
      </w:pPr>
      <w:r w:rsidRPr="005E78F4">
        <w:t>A.</w:t>
      </w:r>
      <w:r w:rsidRPr="005E78F4">
        <w:tab/>
        <w:t>keďže jedenásty Európsky rozvojový fond (ďalej len „ERF“) sa dostal do záverečnej fázy, keďže 31. decembra 2020 nadobudla účinnosť jeho doložka o ukončení platnosti; keďže však osobitné zmluvy pre existujúce dohody boli podpísané pred 31. decembrom 2023 a realizácia prebiehajúcich projektov financovaných z ERF bude pokračovať až do ich dokončenia;</w:t>
      </w:r>
    </w:p>
    <w:p w14:paraId="72F6F639" w14:textId="77777777" w:rsidR="003B03EB" w:rsidRPr="005E78F4" w:rsidRDefault="003B03EB" w:rsidP="003B03EB">
      <w:pPr>
        <w:pStyle w:val="NormalHanging12a"/>
        <w:widowControl/>
        <w:rPr>
          <w:szCs w:val="24"/>
        </w:rPr>
      </w:pPr>
      <w:r w:rsidRPr="005E78F4">
        <w:t>B.</w:t>
      </w:r>
      <w:r w:rsidRPr="005E78F4">
        <w:tab/>
        <w:t>keďže deviaty, desiaty a jedenásty ERF</w:t>
      </w:r>
      <w:r w:rsidRPr="005E78F4">
        <w:rPr>
          <w:vertAlign w:val="superscript"/>
        </w:rPr>
        <w:footnoteReference w:id="98"/>
      </w:r>
      <w:r w:rsidRPr="005E78F4">
        <w:t xml:space="preserve"> neboli začlenené do všeobecného rozpočtu Únie a budú sa naďalej vykonávať a až do ich ukončenia vykazovať samostatne;</w:t>
      </w:r>
    </w:p>
    <w:p w14:paraId="0750DDAD" w14:textId="77777777" w:rsidR="003B03EB" w:rsidRPr="005E78F4" w:rsidRDefault="003B03EB" w:rsidP="003B03EB">
      <w:pPr>
        <w:pStyle w:val="NormalHanging12a"/>
        <w:widowControl/>
        <w:rPr>
          <w:szCs w:val="24"/>
        </w:rPr>
      </w:pPr>
      <w:r w:rsidRPr="005E78F4">
        <w:t>C.</w:t>
      </w:r>
      <w:r w:rsidRPr="005E78F4">
        <w:tab/>
        <w:t>keďže pokiaľ ide o VFR na roky 2021 – 2027, pomoc v oblasti rozvojovej spolupráce krajinám AKT je začlenená do Nástroja susedstva a rozvojovej a medzinárodnej spolupráce – Globálna Európa (NDICI – Globálna Európa) ako súčasť všeobecného rozpočtu EÚ a pomoc v oblasti rozvojovej spolupráce pre ZKÚ vrátane Grónska je začlenená do rozhodnutia o pridružení zámoria;</w:t>
      </w:r>
    </w:p>
    <w:p w14:paraId="4454D7CA" w14:textId="77777777" w:rsidR="003B03EB" w:rsidRPr="005E78F4" w:rsidRDefault="003B03EB" w:rsidP="003B03EB">
      <w:pPr>
        <w:pStyle w:val="NormalHanging12a"/>
        <w:widowControl/>
        <w:rPr>
          <w:szCs w:val="24"/>
        </w:rPr>
      </w:pPr>
      <w:r w:rsidRPr="005E78F4">
        <w:t>D.</w:t>
      </w:r>
      <w:r w:rsidRPr="005E78F4">
        <w:tab/>
        <w:t>keďže ERF takmer úplne spravuje Generálne riaditeľstvo Komisie pre medzinárodné partnerstvá (GR INTPA), pričom malú časť (7 %) výdavkov ERF na rok 2023 spravuje Generálne riaditeľstvo pre európsku susedskú politiku a rokovania o rozšírení (GR NEAR);</w:t>
      </w:r>
    </w:p>
    <w:p w14:paraId="05E74517" w14:textId="77777777" w:rsidR="003B03EB" w:rsidRPr="005E78F4" w:rsidRDefault="003B03EB" w:rsidP="003B03EB">
      <w:pPr>
        <w:spacing w:after="240"/>
        <w:rPr>
          <w:b/>
        </w:rPr>
      </w:pPr>
      <w:r w:rsidRPr="005E78F4">
        <w:rPr>
          <w:b/>
        </w:rPr>
        <w:t>Politické priority</w:t>
      </w:r>
    </w:p>
    <w:p w14:paraId="14523BA1" w14:textId="77777777" w:rsidR="003B03EB" w:rsidRPr="005E78F4" w:rsidRDefault="003B03EB" w:rsidP="003B03EB">
      <w:pPr>
        <w:pStyle w:val="NormalHanging12a"/>
      </w:pPr>
      <w:r w:rsidRPr="005E78F4">
        <w:t>1.</w:t>
      </w:r>
      <w:r w:rsidRPr="005E78F4">
        <w:tab/>
        <w:t xml:space="preserve">zdôrazňuje dôležitosť dodržiavania základných zásad a hodnôt, ktoré sú zakotvené v Zmluve o Európskej únii (ďalej len „ZEÚ“) a v Zmluve o fungovaní Európskej únie </w:t>
      </w:r>
      <w:r w:rsidRPr="005E78F4">
        <w:lastRenderedPageBreak/>
        <w:t>(ďalej len „ZFEÚ“); v rámci postupu udeľovania absolutória kladie osobitý dôraz na zásady právneho štátu zakotvené v článku 2 ZEÚ, zásady správneho finančného riadenia stanovené v článku 317 ZFEÚ a boj proti podvodom a ochranu finančných záujmov Únie stanovený v článku 325 ZFEÚ;</w:t>
      </w:r>
    </w:p>
    <w:p w14:paraId="31C652C6" w14:textId="77777777" w:rsidR="003B03EB" w:rsidRDefault="003B03EB" w:rsidP="003B03EB">
      <w:pPr>
        <w:pStyle w:val="NormalHanging12a"/>
      </w:pPr>
      <w:r w:rsidRPr="005E78F4">
        <w:t>2.</w:t>
      </w:r>
      <w:r w:rsidRPr="005E78F4">
        <w:tab/>
        <w:t xml:space="preserve">pripomína, že dodržiavanie zásad právneho štátu a základných práv je predpokladom správneho finančného riadenia rozpočtu Únie a že Komisia má k dispozícii širokú škálu nástrojov na zabezpečenie dodržiavania týchto zásad; s vážnym znepokojením berie na vedomie pokračujúce zhoršovanie situácie v oblasti právneho štátu a systematickú korupciu a útoky na základné práva vo viacerých členských štátoch, čo má priamy vplyv na správne riadenie finančných prostriedkov Únie, konštatuje, že nedostatok finančných prostriedkov Únie má alarmujúci vplyv na poskytovanie verejných služieb; poukazuje najmä na zhoršujúcu sa situáciu v Maďarsku, ktorá sa vyznačuje rozšírenou korupciou a etablovanými </w:t>
      </w:r>
      <w:proofErr w:type="spellStart"/>
      <w:r w:rsidRPr="005E78F4">
        <w:t>oligarchistickými</w:t>
      </w:r>
      <w:proofErr w:type="spellEnd"/>
      <w:r w:rsidRPr="005E78F4">
        <w:t xml:space="preserve"> sieťami, čo si vyžaduje nepretržitú pozornosť; vyjadruje poľutovanie nad tým, že hoci problémy pretrvávajú alebo sa ďalej zhoršujú, tlak vyvíjaný Komisiou s cieľom podnietiť zmysluplné reformy sa znížil, keďže sumy finančných prostriedkov, ktoré zostávajú zmrazené, klesajú; zdôrazňuje, že Komisia sa nesmie obmedzovať len na monitorovanie a musí v plnej miere a dôsledne využívať dostupné nástroje na pozastavenie alebo ochranu financovania Únie v prípadoch, keď nedostatky v oblasti právneho štátu ovplyvňujú správne finančné riadenie vo všetkých dotknutých členských štátoch; zdôrazňuje, že dodržiavanie zásad právneho štátu sa musí vzťahovať na všetkých účastníkov programov Únie vrátane tretích krajín;</w:t>
      </w:r>
    </w:p>
    <w:p w14:paraId="4ACC1232" w14:textId="30C5879A" w:rsidR="0068029C" w:rsidRPr="005E78F4" w:rsidRDefault="00787A26" w:rsidP="003B03EB">
      <w:pPr>
        <w:pStyle w:val="NormalHanging12a"/>
      </w:pPr>
      <w:r>
        <w:t>3</w:t>
      </w:r>
      <w:r w:rsidR="0068029C" w:rsidRPr="0068029C">
        <w:t>.</w:t>
      </w:r>
      <w:r w:rsidR="0068029C" w:rsidRPr="0068029C">
        <w:tab/>
        <w:t>opätovne zdôrazňuje mimoriadny význam ochrany práv dieťaťa vo všetkých činnostiach Únie; vyjadruje vážne znepokojenie nad zisteniami nezávislej medzinárodnej vyšetrovacej komisie OSN pre Ukrajinu v súvislosti s deportáciou a násilným presunom ukrajinských detí do Ruska, ako sa uvádza v jej správach; zdôrazňuje, že je potrebné, aby Európska únia v rámci svojich právomocí konala ako konštruktívny a spoľahlivý aktér v medzinárodnom právnom a inštitucionálnom rámci a prispievala k mnohostrannému úsiliu zameranému na identifikáciu dotknutých detí, objasnenie ich miesta pobytu, podporu pátrania po rodinných príslušníkoch a zlúčenie rodín a uľahčenie ich bezpečného návratu v súlade s medzinárodným právom a najlepšími záujmami dieťaťa; zdôrazňuje, že politiky a nástroje financovania Únie by mali dôsledne podporovať medzinárodnú spoluprácu v oblasti ochrany práv detí, prístup k prostriedkom nápravy, rehabilitácie a reintegrácie, ako aj zodpovednosť za závažné porušovanie medzinárodného humanitárneho práva a medzinárodného práva v oblasti ľudských práv;</w:t>
      </w:r>
    </w:p>
    <w:p w14:paraId="2062541E" w14:textId="24EFFACF" w:rsidR="003B03EB" w:rsidRPr="005E78F4" w:rsidRDefault="00787A26" w:rsidP="003B03EB">
      <w:pPr>
        <w:pStyle w:val="NormalHanging12a"/>
      </w:pPr>
      <w:r>
        <w:t>4</w:t>
      </w:r>
      <w:r w:rsidR="003B03EB" w:rsidRPr="005E78F4">
        <w:t>.</w:t>
      </w:r>
      <w:r w:rsidR="003B03EB" w:rsidRPr="005E78F4">
        <w:tab/>
        <w:t>víta, že Dvor audítorov za rozpočtový rok 2024 vydal opäť výrok bez výhrad k spoľahlivosti účtovnej závierky a zákonnosti a správnosti príjmov; zároveň vyjadruje poľutovanie nad tým, že Dvor audítorov musel už šiesty rok po sebe vydať záporné stanovisko k zákonnosti a správnosti rozpočtových výdavkov Únie a výrok s výhradou k zákonnosti a správnosti výdavkov v rámci Mechanizmu na podporu obnovy a odolnosti;</w:t>
      </w:r>
    </w:p>
    <w:p w14:paraId="7741C2BC" w14:textId="2575A534" w:rsidR="003B03EB" w:rsidRPr="005E78F4" w:rsidRDefault="00787A26" w:rsidP="003B03EB">
      <w:pPr>
        <w:pStyle w:val="NormalHanging12a"/>
      </w:pPr>
      <w:r>
        <w:t>5</w:t>
      </w:r>
      <w:r w:rsidR="003B03EB" w:rsidRPr="005E78F4">
        <w:t>.</w:t>
      </w:r>
      <w:r w:rsidR="003B03EB" w:rsidRPr="005E78F4">
        <w:tab/>
        <w:t xml:space="preserve">konštatuje, že Dvor audítorov vo svojej výročnej správe za rok 2024 poukazuje na niekoľko problémov, ktoré vyvolávajú vážne obavy; víta skutočnosť, že celková miera chybovosti klesla z 5,6 % v roku 2023 na 3,6 % v roku 2024; zdôrazňuje však, že toto zníženie by sa malo interpretovať opatrne, keďže nemusí nevyhnutne odrážať zlepšenie finančného riadenia alebo účinnosti systémov kontroly, ale mohlo byť ovplyvnené aj </w:t>
      </w:r>
      <w:r w:rsidR="003B03EB" w:rsidRPr="005E78F4">
        <w:lastRenderedPageBreak/>
        <w:t xml:space="preserve">kontextovými faktormi, ako je ukončenie núdzových výdavkov súvisiacich s pandémiou </w:t>
      </w:r>
      <w:r w:rsidR="00702D39" w:rsidRPr="005E78F4">
        <w:t xml:space="preserve">ochorenia </w:t>
      </w:r>
      <w:r w:rsidR="003B03EB" w:rsidRPr="005E78F4">
        <w:t>COVID-19, pomerne nízka úroveň plnenia rozpočtu v roku 2024 a počiatočná fáza vykonávania VFR na roky 2021 – 2027; vyjadruje osobitné znepokojenie nad tým, že hoci sa miera chybovosti v okruhu Súdržnosť, odolnosť a hodnoty znížila z 9,3 % na 5,7 %, stále je dosť nad prahom významnosti 2 %, pričom Dvor audítorov naďalej identifikuje slabé miesta v systémoch kontroly a detekcie na strane Komisie, ako aj členských štátov; vyjadruje znepokojenie nad tým, že v dôsledku opakujúcej sa povahy týchto zistení hrozí, že súčasná úroveň chybovosti v politike súdržnosti sa stane bežnou; v tejto súvislosti vyjadruje vážne znepokojenie nad návrhmi na zavedenie nového modelu výdavkov v rámci budúceho VFR, ktorý by sa ešte viac spoliehal na systémy kontroly členských štátov, pričom sa zdá, že základné príčiny pretrvávajúcich vysokých mier chybovosti ešte neboli primerane vyriešené; pripomína, že politika súdržnosti zostáva základným nástrojom Únie na podporu hospodárskej, sociálnej a územnej konvergencie a vyváženého rozvoja v regiónoch, a zdôrazňuje, že akákoľvek budúca reforma výdavkových modelov musí zachovať ciele, predvídateľnosť a osobitný rozpočtový rámec politiky súdržnosti;</w:t>
      </w:r>
    </w:p>
    <w:p w14:paraId="30D89D36" w14:textId="2D4F72BD" w:rsidR="003B03EB" w:rsidRPr="005E78F4" w:rsidRDefault="001E3616" w:rsidP="003B03EB">
      <w:pPr>
        <w:pStyle w:val="NormalHanging12a"/>
      </w:pPr>
      <w:r>
        <w:t>6</w:t>
      </w:r>
      <w:r w:rsidR="003B03EB" w:rsidRPr="005E78F4">
        <w:t>.</w:t>
      </w:r>
      <w:r w:rsidR="003B03EB" w:rsidRPr="005E78F4">
        <w:tab/>
        <w:t xml:space="preserve">vyjadruje hlboké znepokojenie nad pretrvávajúcimi nedostatkami vo vykonávaní Mechanizmu na podporu obnovy a odolnosti; konštatuje, že Dvor audítorov už tretí rok po sebe vydal výrok s výhradou k zákonnosti a správnosti výdavkov z Mechanizmu na podporu obnovy a odolnosti a že odhaduje, že minimálny finančný vplyv jeho zistení je nad prahom významnosti; zdôrazňuje závažné nedostatky v audite a kontrole, ktoré zistil Dvor audítorov a ktoré naďalej oslabujú vierohodnosť správneho využívania finančných prostriedkov Mechanizmu na podporu obnovy a odolnosti; je osobitne znepokojený výrazným nedostatkom zodpovednosti vyplývajúcim z nedostatku spoľahlivých a úplných informácií o konečných príjemcoch finančných prostriedkov Únie, najmä v dôsledku výkladu pojmu „konečný prijímateľ“ Komisiou v rámci Mechanizmu na podporu obnovy a odolnosti, ktorý je v rozpore s existujúcimi právnymi predpismi; pripomína, že </w:t>
      </w:r>
      <w:r w:rsidR="00E47BEF" w:rsidRPr="005E78F4">
        <w:t>Európsky p</w:t>
      </w:r>
      <w:r w:rsidR="003B03EB" w:rsidRPr="005E78F4">
        <w:t xml:space="preserve">arlament opakovane vyjadril vážne obavy v predchádzajúcich uzneseniach o absolutóriu týkajúcich sa Mechanizmu na podporu obnovy a odolnosti, a to aj v súvislosti s transparentnosťou konečných príjemcov; domnieva sa, že Komisia by mala začať konanie o nesplnení povinnosti; domnieva sa tiež, že Komisia by mala bezodkladne konať a v plnej miere vykonávať voči členským štátom svoje právomoci ako strážkyňa zmlúv s cieľom zabezpečiť, aby občania a zainteresované strany mali plný prístup k uvedeným informáciám; ak tak neurobí, </w:t>
      </w:r>
      <w:r w:rsidR="00E47BEF" w:rsidRPr="005E78F4">
        <w:t>Európsky p</w:t>
      </w:r>
      <w:r w:rsidR="003B03EB" w:rsidRPr="005E78F4">
        <w:t>arlament zváži všetky vhodné opatrenia v rámci svojich právomocí na zabezpečenie súladu vrátane právnych krokov;</w:t>
      </w:r>
    </w:p>
    <w:p w14:paraId="0113DE4A" w14:textId="5BF19500" w:rsidR="003B03EB" w:rsidRPr="005E78F4" w:rsidRDefault="001E3616" w:rsidP="003B03EB">
      <w:pPr>
        <w:pStyle w:val="NormalHanging12a"/>
      </w:pPr>
      <w:r>
        <w:t>7</w:t>
      </w:r>
      <w:r w:rsidR="003B03EB" w:rsidRPr="005E78F4">
        <w:t>.</w:t>
      </w:r>
      <w:r w:rsidR="003B03EB" w:rsidRPr="005E78F4">
        <w:tab/>
        <w:t>so znepokojením konštatuje, že súčasná miera plnenia kohéznych fondov je výrazne nižšia ako miera plnenia počas predchádzajúceho VFR na roky 2014 – 2020, čo sa zhoduje so skutočnosťou, že do konca roka 2024 bolo vyplatených len približne 50 % finančných prostriedkov z Mechanizmu na podporu obnovy a odolnosti, čo znamená, že zvyšných 50 % finančných prostriedkov treba vyplatiť pred koncom obdobia vykonávania Mechanizmu na podporu obnovy a odolnosti v decembri 2026; so znepokojením konštatuje, že celková suma nesplatených dlhopisov EÚ sa na konci roka 2024 zvýšila na 578,2 miliardy EUR, a so znepokojením berie na vedomie odhady Dvora audítorov, že táto suma by mohla do konca roka 2027 dosiahnuť 900 miliárd EUR, čo spôsobí značnú záťaž pre budúce VFR v dôsledku súvisiacich úrokových platieb a splátok istiny; konštatuje, že udržateľnosť dlhu Únie sa musí zohľadniť vo všetkých budúcich rozpočtových rozhodnutiach;</w:t>
      </w:r>
    </w:p>
    <w:p w14:paraId="72435CCD" w14:textId="5DEE00C2" w:rsidR="003B03EB" w:rsidRPr="005E78F4" w:rsidRDefault="001E3616" w:rsidP="003B03EB">
      <w:pPr>
        <w:pStyle w:val="NormalHanging12a"/>
      </w:pPr>
      <w:r>
        <w:lastRenderedPageBreak/>
        <w:t>8</w:t>
      </w:r>
      <w:r w:rsidR="003B03EB" w:rsidRPr="005E78F4">
        <w:t>.</w:t>
      </w:r>
      <w:r w:rsidR="003B03EB" w:rsidRPr="005E78F4">
        <w:tab/>
        <w:t xml:space="preserve">zdôrazňuje, že transparentnosť nie je abstraktná zásada riadenia, ale základný prvok účinného kontrolného prostredia; zdôrazňuje, že neúplná dokumentácia, nejednotné postupy registrácie alebo spoliehanie sa na neformálne komunikačné kanály priamo oslabujú audítorské záznamy a obmedzujú schopnosť orgánu udeľujúceho absolutórium posúdiť zákonnosť, správnosť a správne finančné riadenie; v tejto súvislosti vyjadruje poľutovanie nad tým, že v posledných rokoch sa vyskytlo mnoho príkladov, keď Komisia nedodržala primerané normy transparentnosti, a berie na vedomie </w:t>
      </w:r>
      <w:r w:rsidR="00C11CB0" w:rsidRPr="005E78F4">
        <w:t xml:space="preserve">rozsudok Všeobecného súdu vo </w:t>
      </w:r>
      <w:r w:rsidR="003B03EB" w:rsidRPr="005E78F4">
        <w:t>vec</w:t>
      </w:r>
      <w:r w:rsidR="00C11CB0" w:rsidRPr="005E78F4">
        <w:t>i</w:t>
      </w:r>
      <w:r w:rsidR="003B03EB" w:rsidRPr="005E78F4">
        <w:t xml:space="preserve"> T-36/23</w:t>
      </w:r>
      <w:r w:rsidR="003B03EB" w:rsidRPr="005E78F4">
        <w:rPr>
          <w:vertAlign w:val="superscript"/>
        </w:rPr>
        <w:footnoteReference w:id="99"/>
      </w:r>
      <w:r w:rsidR="003B03EB" w:rsidRPr="005E78F4">
        <w:t xml:space="preserve">, </w:t>
      </w:r>
      <w:proofErr w:type="spellStart"/>
      <w:r w:rsidR="003B03EB" w:rsidRPr="005E78F4">
        <w:t>Stevi</w:t>
      </w:r>
      <w:proofErr w:type="spellEnd"/>
      <w:r w:rsidR="003B03EB" w:rsidRPr="005E78F4">
        <w:t xml:space="preserve"> a </w:t>
      </w:r>
      <w:proofErr w:type="spellStart"/>
      <w:r w:rsidR="003B03EB" w:rsidRPr="005E78F4">
        <w:t>The</w:t>
      </w:r>
      <w:proofErr w:type="spellEnd"/>
      <w:r w:rsidR="003B03EB" w:rsidRPr="005E78F4">
        <w:t xml:space="preserve"> New York </w:t>
      </w:r>
      <w:proofErr w:type="spellStart"/>
      <w:r w:rsidR="003B03EB" w:rsidRPr="005E78F4">
        <w:t>Times</w:t>
      </w:r>
      <w:proofErr w:type="spellEnd"/>
      <w:r w:rsidR="003B03EB" w:rsidRPr="005E78F4">
        <w:t>/Komisia; pripomína, že podľa nariadenia (ES) č. 1049/2001 sa textové správy zaslané alebo prijaté úradníkmi Únie považujú za dokumenty len vtedy, ak sa týkajú politiky alebo rozhodnutí Únie; zdôrazňuje, že Komisia by mala zabezpečiť, aby postupy v oblasti transparentnosti spĺňali vysoké štandardy riadenia, a tak sa zaručilo, že orgán udeľujúci absolutórium môže v plnej miere posúdiť zákonnosť, správnosť a správne finančné riadenie rozpočtu Únie; upozorňuje na dôležitosť včasných odpovedí na žiadosti o prístup k dokumentom; vyzýva Komisiu, aby posilnila svoje postupy s cieľom zabezpečiť, aby orgány dohľadu mohli v plnej miere posúdiť zákonnosť, správnosť a správne finančné riadenie; domnieva sa, že nezabezpečenie riadnej dokumentácie a transparentnosti na úrovni vyššieho vedenia môže narušiť dôveru verejnosti, inštitucionálnu zodpovednosť a dôveryhodnosť Komisie ako strážkyne zmlúv; vyzýva vedenie Komisie, aby zabezpečilo úplné dodržiavanie povinností v oblasti transparentnosti, riadne zaznamenávanie všetkej pracovnej komunikácie, a to aj na úrovni predsedu a členov kolégia, a aby posilnilo vnútorné postupy a mechanizmy zodpovednosti s cieľom zabrániť podobným nedostatkom v budúcnosti;</w:t>
      </w:r>
    </w:p>
    <w:p w14:paraId="1D4C0CDA" w14:textId="765E2E29" w:rsidR="003B03EB" w:rsidRPr="005E78F4" w:rsidRDefault="001E3616" w:rsidP="003B03EB">
      <w:pPr>
        <w:pStyle w:val="NormalHanging12a"/>
      </w:pPr>
      <w:r>
        <w:t>9</w:t>
      </w:r>
      <w:r w:rsidR="003B03EB" w:rsidRPr="005E78F4">
        <w:t>.</w:t>
      </w:r>
      <w:r w:rsidR="003B03EB" w:rsidRPr="005E78F4">
        <w:tab/>
        <w:t>konštatuje, že u bývalého predsedu vlády Česka sa zistil konflikt záujmov počas jeho predchádzajúceho mandátu, čo viedlo k pozastaveniu vyplácania finančných prostriedkov Únie a ich finančnej oprave; berie na vedomie verejné vyhlásenia predsedu vlády, ktoré naznačujú zámer vzdať sa vlastníctva a kontroly nad obchodnými záujmami, ktoré by mohli mať prospech z finančných prostriedkov Únie, vytvorením údajne nemennej trustovej správy zvereného majetku; pripomína, že je dôležité vytvoriť overiteľné právne opatrenia, aby sa predišlo akémukoľvek riziku, že finančné prostriedky Únie by mohli priamo alebo nepriamo slúžiť súkromným obchodným záujmom osôb vo verejných funkciách; zdôrazňuje, že členské štáty by mali zabezpečiť zavedenie účinných ochranných opatrení na podporu transparentnosti, a to aj na zverejnenie informácií o skutočnom vlastníctve, integrity a správneho finančného riadenia finančných prostriedkov EÚ;</w:t>
      </w:r>
    </w:p>
    <w:p w14:paraId="0995C743" w14:textId="161DDD6C" w:rsidR="003B03EB" w:rsidRPr="005E78F4" w:rsidRDefault="001E3616" w:rsidP="003B03EB">
      <w:pPr>
        <w:pStyle w:val="NormalHanging12a"/>
      </w:pPr>
      <w:r>
        <w:t>10</w:t>
      </w:r>
      <w:r w:rsidR="003B03EB" w:rsidRPr="005E78F4">
        <w:t>.</w:t>
      </w:r>
      <w:r w:rsidR="003B03EB" w:rsidRPr="005E78F4">
        <w:tab/>
        <w:t xml:space="preserve">zdôrazňuje, že členovia Komisie musia spĺňať najvyššie štandardy integrity, nezávislosti a zodpovednosti, a to tak pri zastávaní súčasných, ako aj predchádzajúcich funkcií; so znepokojením konštatuje, že v období, keď bol súčasný komisár pre zdravie a dobré životné podmienky zvierat zodpovedný za toto generálne riaditeľstvo ako komisár pre susedstvo a rozšírenie, bolo na GR NEAR neobsadených niekoľko pozícií na úrovni vyššieho manažmentu, a konštatuje, že informácie, ktoré v tejto súvislosti poskytla Komisia počas výmeny názorov s orgánom udeľujúcim absolutórium, boli nepresné; zdôrazňuje, že Komisia musí zabezpečiť, aby všetci členovia kolégia spĺňali štandardy integrity, nezávislosti a profesionálneho správania potrebné na plnenie ich povinností, najmä ak tieto povinnosti zahŕňajú riadenie politicky citlivých portfólií a značných finančných prostriedkov Únie; domnieva sa, že závažné a dlhotrvajúce </w:t>
      </w:r>
      <w:r w:rsidR="003B03EB" w:rsidRPr="005E78F4">
        <w:lastRenderedPageBreak/>
        <w:t xml:space="preserve">zlyhania riadenia v GR NEAR v minulosti, poskytnutie nepresných informácií </w:t>
      </w:r>
      <w:r w:rsidR="00E47BEF" w:rsidRPr="005E78F4">
        <w:t>Európskeho p</w:t>
      </w:r>
      <w:r w:rsidR="003B03EB" w:rsidRPr="005E78F4">
        <w:t>arlamentu v súvislosti s postupom udeľovania absolutória a ďalšie uvedené problémy týkajúce sa konania a nezávislosti spoločne poukazujú na model, ktorý je nezlučiteľný s normami zodpovednosti, spoľahlivosti a riadnej správy, ktoré sa vyžadujú od člena Komisie;</w:t>
      </w:r>
    </w:p>
    <w:p w14:paraId="520A146E" w14:textId="12C43BE6" w:rsidR="003B03EB" w:rsidRPr="005E78F4" w:rsidRDefault="001E3616" w:rsidP="003B03EB">
      <w:pPr>
        <w:pStyle w:val="NormalHanging12a"/>
      </w:pPr>
      <w:r>
        <w:t>11</w:t>
      </w:r>
      <w:r w:rsidR="003B03EB" w:rsidRPr="005E78F4">
        <w:t>.</w:t>
      </w:r>
      <w:r w:rsidR="003B03EB" w:rsidRPr="005E78F4">
        <w:tab/>
        <w:t>zdôrazňuje, že Komisia musí konať úplne nestranne a transparentne, čo zahŕňa odstránenie konfliktov záujmov, zabezpečenie jasnej zodpovednosti za riadenie finančných prostriedkov Únie a dodržiavanie vlastných usmernení o právnom štáte; vyzýva Komisiu, aby posilnila transparentnosť a zodpovednosť, pokiaľ ide o menovanie a činnosti jej osobitných poradcov, systematickým zverejňovaním podrobných informácií o kritériách ich výberu, mandáte, úlohách, dĺžke trvania pridelenia, odmeňovaní a vyhláseniach o záujmoch; zdôrazňuje, že osobitní poradcovia môžu mať významný vplyv na vývoj politiky, a preto sa na nich musia vzťahovať jasné normy riadenia, povinnosť pravidelného podávania správ a proaktívne zverejňovanie informácií v súlade so zásadami správneho finančného riadenia a článkom 15 ods. 3 ZFEÚ;</w:t>
      </w:r>
    </w:p>
    <w:p w14:paraId="67BE978D" w14:textId="0D3A9ADC" w:rsidR="003B03EB" w:rsidRPr="005E78F4" w:rsidRDefault="001E3616" w:rsidP="003B03EB">
      <w:pPr>
        <w:pStyle w:val="NormalHanging12a"/>
      </w:pPr>
      <w:r>
        <w:t>12</w:t>
      </w:r>
      <w:r w:rsidR="003B03EB" w:rsidRPr="005E78F4">
        <w:t>.</w:t>
      </w:r>
      <w:r w:rsidR="003B03EB" w:rsidRPr="005E78F4">
        <w:tab/>
        <w:t>zdôrazňuje, že následné opatrenia Komisie nemôžu viesť k rozšíreniu jej právomocí nad rámec stanovený v zmluvách;</w:t>
      </w:r>
    </w:p>
    <w:p w14:paraId="15C8E307" w14:textId="1C539528" w:rsidR="003B03EB" w:rsidRPr="005E78F4" w:rsidRDefault="001E3616" w:rsidP="003B03EB">
      <w:pPr>
        <w:pStyle w:val="NormalHanging12a"/>
      </w:pPr>
      <w:r>
        <w:t>13</w:t>
      </w:r>
      <w:r w:rsidR="003B03EB" w:rsidRPr="005E78F4">
        <w:t>.</w:t>
      </w:r>
      <w:r w:rsidR="003B03EB" w:rsidRPr="005E78F4">
        <w:tab/>
        <w:t xml:space="preserve">konštatuje, že Dvor audítorov vo viacerých osobitných správach za posledné roky zistil nedostatky v metodike Komisie na odhadovanie účinkov výdavkov Únie na klímu, ktoré viedli k systematickému nadhodnocovaniu, pretože sa používali systémy označovania </w:t>
      </w:r>
      <w:r w:rsidR="003B03EB" w:rsidRPr="005E78F4">
        <w:rPr>
          <w:i/>
          <w:iCs/>
        </w:rPr>
        <w:t xml:space="preserve">ex </w:t>
      </w:r>
      <w:proofErr w:type="spellStart"/>
      <w:r w:rsidR="003B03EB" w:rsidRPr="005E78F4">
        <w:rPr>
          <w:i/>
          <w:iCs/>
        </w:rPr>
        <w:t>ante</w:t>
      </w:r>
      <w:proofErr w:type="spellEnd"/>
      <w:r w:rsidR="003B03EB" w:rsidRPr="005E78F4">
        <w:t xml:space="preserve"> založené na očakávanom vplyve činností, a ktoré nezohľadňujú skutočné výsledky; zdôrazňuje, že obmedzenia súčasných metodík môžu ovplyvniť spoľahlivosť vykazovaných údajov a mať vplyv na posúdenie výkonnosti, ktoré vykonáva orgán udeľujúci absolutórium; ďalej konštatuje, že súčasné metodiky sledovania výdavkov na klímu a biodiverzitu nezachytávajú v plnej miere všetky účinky činností Únie vrátane niektorých opatrení v rámci spoločnej poľnohospodárskej politiky; konštatuje, že uplatňovanie zásady „výrazne nenarušiť“ pomáha predchádzať realizovaniu opatrení, ktoré nie sú v súlade s predpismi; zdôrazňuje, že tieto metodické obmedzenia môžu vytvárať výzvy v oblasti zodpovednosti orgánu udeľujúceho absolutórium; zdôrazňuje, že schopnosť </w:t>
      </w:r>
      <w:r w:rsidR="00E47BEF" w:rsidRPr="005E78F4">
        <w:t>Európskeho p</w:t>
      </w:r>
      <w:r w:rsidR="003B03EB" w:rsidRPr="005E78F4">
        <w:t>arlamentu vykonávať účinnú rozpočtovú kontrolu závisí od transparentných a overiteľných dôkazov o environmentálnom súlade a vplyve na úrovni projektov;</w:t>
      </w:r>
    </w:p>
    <w:p w14:paraId="56BA3F1C" w14:textId="4D8DF1F4" w:rsidR="003B03EB" w:rsidRPr="005E78F4" w:rsidRDefault="001E3616" w:rsidP="003B03EB">
      <w:pPr>
        <w:pStyle w:val="NormalHanging12a"/>
      </w:pPr>
      <w:r>
        <w:t>14</w:t>
      </w:r>
      <w:r w:rsidR="003B03EB" w:rsidRPr="005E78F4">
        <w:t>.</w:t>
      </w:r>
      <w:r w:rsidR="003B03EB" w:rsidRPr="005E78F4">
        <w:tab/>
        <w:t>pripomína, že Komisia vo svojom preskúmaní dohôd o grantoch pre mimovládne organizácie v roku 2024 nezistila žiadne porušenie práva; zdôrazňuje však, že každý prijímateľ finančných prostriedkov Únie vrátane mimovládnych organizácií by mal podliehať prísnej, primeranej a na riziku založenej kontrole a požiadavkám na transparentnosť, v súlade s právnymi ustanoveniami a správnym finančným riadením; zdôrazňuje, že požiadavky na rozpočtovú kontrolu, záruky a transparentnosť sa musia uplatňovať neutrálnym a primeraným spôsobom založeným na dôkazoch, pričom je nutné zabezpečiť, aby sa transparentnosť a dohľad uplatňovali účinne na všetky kategórie príjemcov a aby bola kontrola založená na riziku; zdôrazňuje, že nedostatok transparentnosti oslabuje dôveru v postup udelenia absolutória a že účinná kontrola si vyžaduje uplatňovanie rovnocenných štandardov na všetkých príjemcov; berie na vedomie zistenia Dvora audítorov v jeho osobitnej správe č. 11/2025 Transparentnosť financovania mimovládnych organizácií zo strany EÚ;</w:t>
      </w:r>
    </w:p>
    <w:p w14:paraId="4213FE85" w14:textId="5987EFFC" w:rsidR="003B03EB" w:rsidRPr="005E78F4" w:rsidRDefault="001E3616" w:rsidP="003B03EB">
      <w:pPr>
        <w:pStyle w:val="NormalHanging12a"/>
      </w:pPr>
      <w:r>
        <w:lastRenderedPageBreak/>
        <w:t>15</w:t>
      </w:r>
      <w:r w:rsidR="003B03EB" w:rsidRPr="005E78F4">
        <w:t>.</w:t>
      </w:r>
      <w:r w:rsidR="003B03EB" w:rsidRPr="005E78F4">
        <w:tab/>
        <w:t xml:space="preserve">konštatuje, že podľa zmlúv sú organizácie občianskej spoločnosti legitímni príjemcovia finančných prostriedkov Únie a často podporujú dosahovanie cieľov Únie; zdôrazňuje, že požiadavky na rozpočtovú kontrolu, záruky a transparentnosť sa musia uplatňovať neutrálnym a primeraným spôsobom založeným na dôkazoch s náležitým zreteľom na právnu istotu; zdôrazňuje, že selektívna transparentnosť môže oslabovať dôveru v postup udelenia absolutória a že účinná kontrola si vyžaduje jednotné uplatňovanie porovnateľných noriem na všetkých príjemcov; berie na vedomie pracovnú skupinu pre kontrolu, ktorá bola v tejto súvislosti zriadená v rámci </w:t>
      </w:r>
      <w:r w:rsidR="00E47BEF" w:rsidRPr="005E78F4">
        <w:t>Európskeho p</w:t>
      </w:r>
      <w:r w:rsidR="003B03EB" w:rsidRPr="005E78F4">
        <w:t>arlamentu;</w:t>
      </w:r>
    </w:p>
    <w:p w14:paraId="14181CFF" w14:textId="4F0E884A" w:rsidR="003B03EB" w:rsidRPr="005E78F4" w:rsidRDefault="001E3616" w:rsidP="003B03EB">
      <w:pPr>
        <w:pStyle w:val="NormalHanging12a"/>
      </w:pPr>
      <w:r>
        <w:t>16</w:t>
      </w:r>
      <w:r w:rsidR="003B03EB" w:rsidRPr="005E78F4">
        <w:t>.</w:t>
      </w:r>
      <w:r w:rsidR="003B03EB" w:rsidRPr="005E78F4">
        <w:tab/>
        <w:t>pripomína kľúčovú úlohu organizácií občianskej spoločnosti pri presadzovaní demokratických hodnôt na podporu dynamickej a živej demokratickej spoločnosti a zabezpečenie pevného základu pre široké pokrytie všetkých relevantných názorov v rôznych diskusiách, a zdôrazňuje, že organizácie občianskej spoločnosti môžu v súlade s nariadením o rozpočtových pravidlách získať podporu z finančných prostriedkov Únie na vykonávanie týchto funkcií, ako je stanovené v článku 11 Zmluvy o Európskej únii;</w:t>
      </w:r>
    </w:p>
    <w:p w14:paraId="7C1D0C98" w14:textId="7B8F4E61" w:rsidR="003B03EB" w:rsidRPr="005E78F4" w:rsidRDefault="001E3616" w:rsidP="003B03EB">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t>17</w:t>
      </w:r>
      <w:r w:rsidR="003B03EB" w:rsidRPr="005E78F4">
        <w:t>.</w:t>
      </w:r>
      <w:r w:rsidR="003B03EB" w:rsidRPr="005E78F4">
        <w:tab/>
        <w:t xml:space="preserve">víta skutočnosť, že vzhľadom na naliehavú potrebu posilniť obranné spôsobilosti Únie sa počet a objem nástrojov Únie na financovanie obrany od začiatku nezákonnej útočnej vojny Ruska proti Ukrajine zvýšil; domnieva sa, že obrana a podpora Ukrajiny musia byť v súčasnom geopolitickom kontexte považované za rozpočtovú prioritu a že na splnenie tohto cieľa by sa mali prideliť dostatočné zdroje; zdôrazňuje potrebu komplexného prístupu Únie k financovaniu bezpečnosti a obrany, ktorý by reagoval na konvenčné vojenské hrozby aj na nekonvenčné hrozby vrátane hybridných hrozieb, ktoré súvisia napríklad s umelou inteligenciou, </w:t>
      </w:r>
      <w:proofErr w:type="spellStart"/>
      <w:r w:rsidR="003B03EB" w:rsidRPr="005E78F4">
        <w:t>dronmi</w:t>
      </w:r>
      <w:proofErr w:type="spellEnd"/>
      <w:r w:rsidR="003B03EB" w:rsidRPr="005E78F4">
        <w:t xml:space="preserve"> a kybernetickými útokmi; domnieva sa, že pri financovaní technológií by sa mali uprednostniť technológie, ktoré poskytujú najväčšiu prevádzkovú výhodu; zdôrazňuje, že demokratická zodpovednosť, kontrolovateľnosť a transparentnosť sa musia zvýšiť súbežne s výdavkami, a uznáva, že legitímne bezpečnostné požiadavky môžu obmedziť zverejňovanie určitých citlivých informácií bez toho, aby sa znížila celková schopnosť orgánu udeľujúceho absolutórium vykonávať účinný dohľad; zdôrazňuje, že treba ďalej zlepšovať transparentnosť financovania obrany Únie, a to aj zabezpečením mechanizmov auditu, ktoré zodpovedajú citlivosti činností v oblasti obrany, ale zároveň plne zaisťujú účinný dohľad, a zaručením toho, aby orgán udeľujúci absolutórium mohol vykonávať demokratickú kontrolu nad všetkými činnosťami financovanými Úniou počas fázy prijatia, návrhu a vykonávania;</w:t>
      </w:r>
    </w:p>
    <w:p w14:paraId="017918A3" w14:textId="43BED4BA" w:rsidR="003B03EB" w:rsidRPr="005E78F4" w:rsidRDefault="001E3616" w:rsidP="003B03EB">
      <w:pPr>
        <w:pStyle w:val="NormalHanging12a"/>
      </w:pPr>
      <w:r>
        <w:t>18</w:t>
      </w:r>
      <w:r w:rsidR="003B03EB" w:rsidRPr="005E78F4">
        <w:t>.</w:t>
      </w:r>
      <w:r w:rsidR="003B03EB" w:rsidRPr="005E78F4">
        <w:tab/>
        <w:t>zdôrazňuje, že rovnosť je základnou hodnotou Únie a je zakotvená v Charte základných práv Európskej únie (ďalej len „charta“); pripomína záväzok Únie zohľadňovať rodové hľadisko pri tvorbe politík a implementácii finančných prostriedkov Únie vrátane rodového rozpočtovania;</w:t>
      </w:r>
    </w:p>
    <w:p w14:paraId="1DB2CA9B" w14:textId="0AF3B638" w:rsidR="003B03EB" w:rsidRPr="005E78F4" w:rsidRDefault="001E3616" w:rsidP="003B03EB">
      <w:pPr>
        <w:pStyle w:val="NormalHanging12a"/>
      </w:pPr>
      <w:r>
        <w:t>19</w:t>
      </w:r>
      <w:r w:rsidR="003B03EB" w:rsidRPr="005E78F4">
        <w:t>.</w:t>
      </w:r>
      <w:r w:rsidR="003B03EB" w:rsidRPr="005E78F4">
        <w:tab/>
        <w:t xml:space="preserve">pripomína dohodu, ktorou sa zriaďuje </w:t>
      </w:r>
      <w:proofErr w:type="spellStart"/>
      <w:r w:rsidR="003B03EB" w:rsidRPr="005E78F4">
        <w:t>medziinštitucionálny</w:t>
      </w:r>
      <w:proofErr w:type="spellEnd"/>
      <w:r w:rsidR="003B03EB" w:rsidRPr="005E78F4">
        <w:t xml:space="preserve"> orgán pre etické normy týkajúce sa členov inštitúcií a poradných orgánov uvedených v článku 13 Zmluvy o Európskej únii;</w:t>
      </w:r>
    </w:p>
    <w:p w14:paraId="6F136849" w14:textId="42A2433B" w:rsidR="003B03EB" w:rsidRPr="005E78F4" w:rsidRDefault="001E3616" w:rsidP="003B03EB">
      <w:pPr>
        <w:pStyle w:val="NormalHanging12a"/>
      </w:pPr>
      <w:r>
        <w:t>20</w:t>
      </w:r>
      <w:r w:rsidR="003B03EB" w:rsidRPr="005E78F4">
        <w:t>.</w:t>
      </w:r>
      <w:r w:rsidR="003B03EB" w:rsidRPr="005E78F4">
        <w:tab/>
        <w:t xml:space="preserve">pripomína, že je dôležité zabezpečiť, aby sa finančné prostriedky Únie prideľovali a implementovali v plnom súlade s nariadením o rozpočtových pravidlách a základnými hodnotami Únie; zdôrazňuje potrebu primeraného dohľadu, transparentnosti a záruk, aby sa predchádzalo podvodom, konfliktom záujmov, korupcii, dvojitému financovaniu, praniu špinavých peňazí a zneužívaniu finančných prostriedkov, a to aj zo strany príjemcov, ktorých činnosti sú nezlučiteľné s hodnotami Únie; pripomína v tomto rámci </w:t>
      </w:r>
      <w:r w:rsidR="003B03EB" w:rsidRPr="005E78F4">
        <w:lastRenderedPageBreak/>
        <w:t>kľúčovú úlohu, ktorú zohráva architektúra Únie ako celku v oblasti boja proti podvodom, a vyjadruje určité obavy týkajúce sa odmietania niektorých členských štátov spolupracovať s jedným z jej prvkov, najmä s Európskou prokuratúrou;</w:t>
      </w:r>
    </w:p>
    <w:p w14:paraId="5694A4E7" w14:textId="77777777" w:rsidR="003B03EB" w:rsidRPr="005E78F4" w:rsidRDefault="003B03EB" w:rsidP="003B03EB">
      <w:pPr>
        <w:spacing w:after="240"/>
      </w:pPr>
      <w:r w:rsidRPr="005E78F4">
        <w:rPr>
          <w:i/>
        </w:rPr>
        <w:t>Hlavné odporúčania:</w:t>
      </w:r>
    </w:p>
    <w:p w14:paraId="1F871533" w14:textId="65FA13CF" w:rsidR="003B03EB" w:rsidRPr="005E78F4" w:rsidRDefault="001E3616" w:rsidP="003B03EB">
      <w:pPr>
        <w:spacing w:after="240"/>
      </w:pPr>
      <w:r>
        <w:t>21</w:t>
      </w:r>
      <w:r w:rsidR="003B03EB" w:rsidRPr="005E78F4">
        <w:t>.</w:t>
      </w:r>
      <w:r w:rsidR="003B03EB" w:rsidRPr="005E78F4">
        <w:tab/>
        <w:t>vyzýva Komisiu, aby najmä:</w:t>
      </w:r>
    </w:p>
    <w:p w14:paraId="1C4512DB" w14:textId="77777777" w:rsidR="003B03EB" w:rsidRPr="005E78F4" w:rsidRDefault="003B03EB" w:rsidP="002B0DFB">
      <w:pPr>
        <w:pStyle w:val="NormalHanging12a"/>
        <w:widowControl/>
        <w:ind w:left="1134"/>
      </w:pPr>
      <w:r w:rsidRPr="005E78F4">
        <w:t>i)</w:t>
      </w:r>
      <w:r w:rsidRPr="005E78F4">
        <w:tab/>
        <w:t>urýchlene prehodnotila a riešila zhoršovanie situácie v oblasti právneho štátu a riziká pre rozpočet Únie v Maďarsku a prijala všetky potrebné opatrenia v súlade s nariadením o podmienenosti a inými dostupnými nástrojmi vrátane úplného pozastavenia finančných prostriedkov Únie;</w:t>
      </w:r>
    </w:p>
    <w:p w14:paraId="20F1206B" w14:textId="77777777" w:rsidR="003B03EB" w:rsidRPr="005E78F4" w:rsidRDefault="003B03EB" w:rsidP="005E78F4">
      <w:pPr>
        <w:pStyle w:val="NormalHanging12a"/>
        <w:widowControl/>
        <w:ind w:left="1134"/>
      </w:pPr>
      <w:r w:rsidRPr="005E78F4">
        <w:t>ii)</w:t>
      </w:r>
      <w:r w:rsidRPr="005E78F4">
        <w:tab/>
        <w:t>dôsledne a presne uplatňovala ustanovenia nariadenia Európskeho parlamentu a Rady (EÚ) 2021/241 z 12. februára 2021, ktorým sa zriaďuje Mechanizmus na podporu obnovy a odolnosti</w:t>
      </w:r>
      <w:r w:rsidRPr="005E78F4">
        <w:rPr>
          <w:vertAlign w:val="superscript"/>
        </w:rPr>
        <w:footnoteReference w:id="100"/>
      </w:r>
      <w:r w:rsidRPr="005E78F4">
        <w:t xml:space="preserve"> (nariadenie o Mechanizme na podporu obnovy a odolnosti), týkajúce sa „konečných prijímateľov“, a to revíziou svojich usmernení k plánom obnovy a odolnosti, komunikovala s členskými štátmi o správnom uplatňovaní vymedzenia pojmu „koneční prijímatelia“, zabezpečila, aby členské štáty zbierali a poskytovali informácie o posledných subjektoch, ktoré dostávajú finančné prostriedky, bez sprostredkovateľských subjektov, ako sú ministerstvá alebo riadiace orgány, a aby tieto informácie poskytla orgánu udeľujúcemu absolutórium do termínu predloženia poslednej žiadosti o vyplatenie prostriedkov z Mechanizmu na podporu obnovy a odolnosti a v prípade potreby začala konanie o nesplnení povinnosti;</w:t>
      </w:r>
    </w:p>
    <w:p w14:paraId="5D757FF0" w14:textId="77777777" w:rsidR="003B03EB" w:rsidRPr="005E78F4" w:rsidRDefault="003B03EB" w:rsidP="005E78F4">
      <w:pPr>
        <w:pStyle w:val="NormalHanging12a"/>
        <w:widowControl/>
        <w:ind w:left="1134"/>
      </w:pPr>
      <w:r w:rsidRPr="005E78F4">
        <w:t>iii)</w:t>
      </w:r>
      <w:r w:rsidRPr="005E78F4">
        <w:tab/>
        <w:t>uverejnila zoznam konečných prijímateľov a dodávateľov v rámci všetkých nástrojov v harmonizovanom, strojovo čitateľnom formáte;</w:t>
      </w:r>
    </w:p>
    <w:p w14:paraId="7FB9F692" w14:textId="77777777" w:rsidR="003B03EB" w:rsidRPr="005E78F4" w:rsidRDefault="003B03EB" w:rsidP="005E78F4">
      <w:pPr>
        <w:pStyle w:val="NormalHanging12a"/>
        <w:widowControl/>
        <w:ind w:left="1134"/>
      </w:pPr>
      <w:r w:rsidRPr="005E78F4">
        <w:t>iv)</w:t>
      </w:r>
      <w:r w:rsidRPr="005E78F4">
        <w:tab/>
        <w:t>zabezpečila súlad s pravidlami Únie o prístupe k dokumentom, a to aj textovým správam, a zároveň uznala, že komunikácia inštitúcií vo verejnom záujme by mala byť sprístupnená primeraným spôsobom a v súlade s právnymi a bezpečnostnými požiadavkami, aby sa zabezpečil demokratický dohľad a zodpovednosť;</w:t>
      </w:r>
    </w:p>
    <w:p w14:paraId="1C353DD2" w14:textId="77777777" w:rsidR="003B03EB" w:rsidRPr="005E78F4" w:rsidRDefault="003B03EB" w:rsidP="005E78F4">
      <w:pPr>
        <w:pStyle w:val="NormalHanging12a"/>
        <w:widowControl/>
        <w:ind w:left="1134"/>
      </w:pPr>
      <w:r w:rsidRPr="005E78F4">
        <w:t>v)</w:t>
      </w:r>
      <w:r w:rsidRPr="005E78F4">
        <w:tab/>
        <w:t>zabezpečila, aby sa v súlade s uplatniteľnými pravidlami a ochrannými opatreniami Únie finančné prostriedky Únie nevyplácali priamo ani nepriamo príjemcom vrátane tých, ktorí majú väzby s členmi Európskej rady, u ktorých bol zistený a nebol preukázateľne a overiteľne vyriešený konflikt záujmov;</w:t>
      </w:r>
    </w:p>
    <w:p w14:paraId="419161A7" w14:textId="77777777" w:rsidR="003B03EB" w:rsidRPr="005E78F4" w:rsidRDefault="003B03EB" w:rsidP="005E78F4">
      <w:pPr>
        <w:pStyle w:val="NormalHanging12a"/>
        <w:widowControl/>
        <w:ind w:left="1134"/>
      </w:pPr>
      <w:r w:rsidRPr="005E78F4">
        <w:t>vi)</w:t>
      </w:r>
      <w:r w:rsidRPr="005E78F4">
        <w:tab/>
        <w:t>zabezpečila, aby všetci komisári a vyšší úradníci vykonávali svoje funkcie v plnom súlade s pravidlami Únie v oblasti integrity, konfliktu záujmov a dobrej správy;</w:t>
      </w:r>
    </w:p>
    <w:p w14:paraId="015C1EA3" w14:textId="77777777" w:rsidR="003B03EB" w:rsidRPr="005E78F4" w:rsidRDefault="003B03EB" w:rsidP="005E78F4">
      <w:pPr>
        <w:pStyle w:val="NormalHanging12a"/>
        <w:widowControl/>
        <w:ind w:left="1134"/>
      </w:pPr>
      <w:r w:rsidRPr="005E78F4">
        <w:t>vii)</w:t>
      </w:r>
      <w:r w:rsidRPr="005E78F4">
        <w:tab/>
        <w:t xml:space="preserve">primerane uplatňovala kontrolný rámec pre výdavky Únie súvisiace s cieľmi v oblasti klímy a biodiverzity vrátane primeraného mechanizmu overovania, včasného oznamovania údajov o klíme na úrovni projektov a transparentnej komunikácie o vplyvoch na životné prostredie v súlade s odporúčaniami Dvora audítorov a s náležitým zreteľom na prevádzkovú realizovateľnosť a hospodársku konkurencieschopnosť; zlepšila monitorovanie a podávanie správ o výsledkoch </w:t>
      </w:r>
      <w:r w:rsidRPr="005E78F4">
        <w:lastRenderedPageBreak/>
        <w:t>nad rámec samotných cieľových hodnôt výdavkov s cieľom maximalizovať vplyv financovania Únie v oblasti klímy a biodiverzity;</w:t>
      </w:r>
    </w:p>
    <w:p w14:paraId="460FF3F5" w14:textId="77777777" w:rsidR="003B03EB" w:rsidRPr="005E78F4" w:rsidRDefault="003B03EB" w:rsidP="005E78F4">
      <w:pPr>
        <w:pStyle w:val="NormalHanging12a"/>
        <w:widowControl/>
        <w:ind w:left="1134"/>
      </w:pPr>
      <w:r w:rsidRPr="005E78F4">
        <w:t>viii)</w:t>
      </w:r>
      <w:r w:rsidRPr="005E78F4">
        <w:tab/>
        <w:t>v súlade s nariadením o rozpočtových pravidlách preskúmala všetkých potenciálnych podvodných alebo neoprávnených príjemcov; pripomína význam primeraného dohľadu nad financovaním Únie s osobitným dôrazom na dodržiavanie základných hodnôt Únie a právnu povinnosť Komisie zabezpečiť, aby príjemcovia dodržiavali tieto hodnoty a zdržali sa profesionálneho pochybenia;</w:t>
      </w:r>
    </w:p>
    <w:p w14:paraId="6D0EE64E" w14:textId="77777777" w:rsidR="003B03EB" w:rsidRPr="005E78F4" w:rsidRDefault="003B03EB" w:rsidP="005E78F4">
      <w:pPr>
        <w:pStyle w:val="NormalHanging12a"/>
        <w:widowControl/>
        <w:ind w:left="1134"/>
      </w:pPr>
      <w:r w:rsidRPr="005E78F4">
        <w:t>ix)</w:t>
      </w:r>
      <w:r w:rsidRPr="005E78F4">
        <w:tab/>
        <w:t>zabezpečila, aby Európska prokuratúra mala primerané zdroje na vyšetrovanie prípadov podvodov súvisiacich s finančnými prostriedkami Únie vrátane výdavkov Mechanizmu na podporu obnovy a odolnosti vzhľadom na rastúci počet vyšetrovaní a vysoké odhadované škody;</w:t>
      </w:r>
    </w:p>
    <w:p w14:paraId="6FA61DA4" w14:textId="77777777" w:rsidR="003B03EB" w:rsidRPr="005E78F4" w:rsidRDefault="003B03EB" w:rsidP="005E78F4">
      <w:pPr>
        <w:pStyle w:val="NormalHanging12a"/>
        <w:widowControl/>
        <w:ind w:left="1134"/>
      </w:pPr>
      <w:r w:rsidRPr="005E78F4">
        <w:t>x)</w:t>
      </w:r>
      <w:r w:rsidRPr="005E78F4">
        <w:tab/>
        <w:t>pokračovala v úsilí vynakladanom v oblasti rodového rozpočtovania a pri sledovaní vplyvu rozpočtu Únie na posilnenie rodovej rovnosti;</w:t>
      </w:r>
      <w:r w:rsidRPr="005E78F4">
        <w:br w:type="page"/>
      </w:r>
    </w:p>
    <w:p w14:paraId="52CC1E94" w14:textId="77777777" w:rsidR="003B03EB" w:rsidRPr="005E78F4" w:rsidRDefault="003B03EB" w:rsidP="003B03EB">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055854"/>
      <w:bookmarkStart w:id="353" w:name="_Toc227056164"/>
      <w:bookmarkStart w:id="354" w:name="_Toc227056228"/>
      <w:bookmarkStart w:id="355" w:name="_Toc227056255"/>
      <w:bookmarkStart w:id="356" w:name="_Toc227056282"/>
      <w:bookmarkStart w:id="357" w:name="_Toc227056676"/>
      <w:bookmarkStart w:id="358" w:name="_Toc227935145"/>
      <w:bookmarkStart w:id="359" w:name="_Toc227935681"/>
      <w:bookmarkStart w:id="360" w:name="_Toc227936001"/>
      <w:bookmarkStart w:id="361" w:name="_Toc227936029"/>
      <w:bookmarkStart w:id="362" w:name="_Toc227936057"/>
      <w:bookmarkStart w:id="363" w:name="_Toc227936085"/>
      <w:bookmarkStart w:id="364" w:name="_Toc227936113"/>
      <w:bookmarkStart w:id="365" w:name="_Toc227936142"/>
      <w:bookmarkStart w:id="366" w:name="_Toc227936171"/>
      <w:bookmarkStart w:id="367" w:name="_Toc227936200"/>
      <w:bookmarkStart w:id="368" w:name="_Toc227936229"/>
      <w:bookmarkStart w:id="369" w:name="_Toc227936259"/>
      <w:bookmarkStart w:id="370" w:name="_Toc227936289"/>
      <w:bookmarkStart w:id="371" w:name="_Toc227936319"/>
      <w:bookmarkStart w:id="372" w:name="_Toc227936349"/>
      <w:bookmarkStart w:id="373" w:name="_Toc227936380"/>
      <w:bookmarkStart w:id="374" w:name="_Toc227936411"/>
      <w:bookmarkStart w:id="375" w:name="_Toc227936442"/>
      <w:bookmarkStart w:id="376" w:name="_Toc227936473"/>
      <w:bookmarkStart w:id="377" w:name="_Toc227936505"/>
      <w:bookmarkStart w:id="378" w:name="_Toc227936537"/>
      <w:bookmarkStart w:id="379" w:name="_Toc227936569"/>
      <w:bookmarkStart w:id="380" w:name="_Toc227936601"/>
      <w:bookmarkStart w:id="381" w:name="_Toc227936634"/>
      <w:bookmarkStart w:id="382" w:name="_Toc227936667"/>
      <w:bookmarkStart w:id="383" w:name="_Toc227936700"/>
      <w:bookmarkStart w:id="384" w:name="_Toc227936733"/>
      <w:bookmarkStart w:id="385" w:name="_Toc227936767"/>
      <w:bookmarkStart w:id="386" w:name="_Toc227936801"/>
      <w:bookmarkStart w:id="387" w:name="_Toc227936835"/>
      <w:bookmarkStart w:id="388" w:name="_Toc227936869"/>
      <w:bookmarkStart w:id="389" w:name="_Toc227936904"/>
      <w:bookmarkStart w:id="390" w:name="_Toc227936939"/>
      <w:bookmarkStart w:id="391" w:name="_Toc227936974"/>
      <w:bookmarkStart w:id="392" w:name="_Toc227937009"/>
      <w:bookmarkStart w:id="393" w:name="_Toc227937045"/>
      <w:bookmarkStart w:id="394" w:name="_Toc227937081"/>
      <w:bookmarkStart w:id="395" w:name="_Toc227937117"/>
      <w:bookmarkStart w:id="396" w:name="_Toc227937153"/>
      <w:bookmarkStart w:id="397" w:name="_Toc227937190"/>
      <w:bookmarkStart w:id="398" w:name="_Toc227937227"/>
      <w:bookmarkStart w:id="399" w:name="_Toc227937264"/>
      <w:bookmarkStart w:id="400" w:name="_Toc227937301"/>
      <w:bookmarkStart w:id="401" w:name="_Toc227937339"/>
      <w:bookmarkStart w:id="402" w:name="_Toc227937377"/>
      <w:bookmarkStart w:id="403" w:name="_Toc227937415"/>
      <w:bookmarkStart w:id="404" w:name="_Toc227937453"/>
      <w:bookmarkStart w:id="405" w:name="_Toc227937491"/>
      <w:bookmarkStart w:id="406" w:name="_Toc227937529"/>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5E78F4">
        <w:lastRenderedPageBreak/>
        <w:t>KAPITOLA I – Viacročný finančný rámec (VFR)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7BBDF34C" w14:textId="77777777" w:rsidR="003B03EB" w:rsidRPr="005E78F4" w:rsidRDefault="003B03EB" w:rsidP="003B03EB">
      <w:pPr>
        <w:spacing w:after="240"/>
        <w:rPr>
          <w:b/>
        </w:rPr>
      </w:pPr>
      <w:bookmarkStart w:id="407" w:name="_Toc185595110"/>
      <w:r w:rsidRPr="005E78F4">
        <w:rPr>
          <w:b/>
        </w:rPr>
        <w:t>Vyhlásenie Európskeho dvora audítorov o vierohodnosti a rozpočtovom a finančnom riadení</w:t>
      </w:r>
      <w:bookmarkEnd w:id="407"/>
    </w:p>
    <w:p w14:paraId="412B9B27" w14:textId="77777777" w:rsidR="003B03EB" w:rsidRPr="005E78F4" w:rsidRDefault="003B03EB" w:rsidP="003B03EB">
      <w:pPr>
        <w:spacing w:after="240"/>
        <w:ind w:left="567" w:hanging="567"/>
        <w:textAlignment w:val="baseline"/>
        <w:rPr>
          <w:rFonts w:ascii="Segoe UI" w:hAnsi="Segoe UI" w:cs="Segoe UI"/>
          <w:sz w:val="18"/>
          <w:szCs w:val="18"/>
        </w:rPr>
      </w:pPr>
      <w:r w:rsidRPr="005E78F4">
        <w:rPr>
          <w:i/>
          <w:shd w:val="clear" w:color="auto" w:fill="FFFFFF"/>
        </w:rPr>
        <w:t>Spoľahlivosť účtov</w:t>
      </w:r>
    </w:p>
    <w:p w14:paraId="40EBFA6A" w14:textId="05396189" w:rsidR="003B03EB" w:rsidRPr="005E78F4" w:rsidRDefault="006A21CB" w:rsidP="003B03EB">
      <w:pPr>
        <w:pStyle w:val="NormalHanging12a"/>
      </w:pPr>
      <w:r>
        <w:t>22</w:t>
      </w:r>
      <w:r w:rsidR="003B03EB" w:rsidRPr="005E78F4">
        <w:t>.</w:t>
      </w:r>
      <w:r w:rsidR="003B03EB" w:rsidRPr="005E78F4">
        <w:tab/>
        <w:t>víta skutočnosť, že Dvor audítorov vo svojej výročnej správe o plnení rozpočtu za rozpočtový rok 2024</w:t>
      </w:r>
      <w:r w:rsidR="003B03EB" w:rsidRPr="005E78F4">
        <w:rPr>
          <w:rStyle w:val="FootnoteReference"/>
        </w:rPr>
        <w:footnoteReference w:id="101"/>
      </w:r>
      <w:r w:rsidR="003B03EB" w:rsidRPr="005E78F4">
        <w:t xml:space="preserve"> dospel k záveru, že konsolidovaná účtovná závierka Európskej únie za uvedený rok je spoľahlivá; poznamenáva, že Dvor audítorov od roku 2007 každý rok vydal výrok bez výhrad k spoľahlivosti účtovnej závierky;</w:t>
      </w:r>
    </w:p>
    <w:p w14:paraId="37F286C8" w14:textId="055F704F" w:rsidR="003B03EB" w:rsidRPr="005E78F4" w:rsidRDefault="006A21CB" w:rsidP="003B03EB">
      <w:pPr>
        <w:pStyle w:val="NormalHanging12a"/>
      </w:pPr>
      <w:r>
        <w:t>23</w:t>
      </w:r>
      <w:r w:rsidR="003B03EB" w:rsidRPr="005E78F4">
        <w:t>.</w:t>
      </w:r>
      <w:r w:rsidR="003B03EB" w:rsidRPr="005E78F4">
        <w:tab/>
        <w:t xml:space="preserve">konštatuje, že k 31. decembru 2024 boli celkové záväzky na úrovni 827,3 miliardy EUR a celkové aktíva na úrovni 518,5 miliardy EUR; konštatuje, že výsledný rozdiel vo výške 308,8 miliardy EUR predstavuje záporné čisté aktíva Únie, čo odráža dlh a podiel výdavkov, ktoré už vznikli k 31. decembru 2024 a ktoré sa musia financovať z budúcich rozpočtov; ďalej konštatuje, že záporný hospodársky výsledok za rok 2024 predstavoval celkom 97,2 miliardy EUR, pričom sumy vynaložené na nástroj </w:t>
      </w:r>
      <w:proofErr w:type="spellStart"/>
      <w:r w:rsidR="003B03EB" w:rsidRPr="005E78F4">
        <w:t>NextGenerationEU</w:t>
      </w:r>
      <w:proofErr w:type="spellEnd"/>
      <w:r w:rsidR="003B03EB" w:rsidRPr="005E78F4">
        <w:t xml:space="preserve"> (NGEU) významne prispeli k zápornej pozícii čistých aktív, ako aj k hospodárskemu výsledku;</w:t>
      </w:r>
    </w:p>
    <w:p w14:paraId="6E296B10" w14:textId="39642845" w:rsidR="003B03EB" w:rsidRPr="005E78F4" w:rsidRDefault="006A21CB" w:rsidP="003B03EB">
      <w:pPr>
        <w:pStyle w:val="NormalHanging12a"/>
      </w:pPr>
      <w:r>
        <w:t>24</w:t>
      </w:r>
      <w:r w:rsidR="003B03EB" w:rsidRPr="005E78F4">
        <w:t>.</w:t>
      </w:r>
      <w:r w:rsidR="003B03EB" w:rsidRPr="005E78F4">
        <w:tab/>
        <w:t>konštatuje, že na konci roka 2024 predstavovala odhadovaná hodnota vzniknutých, ale ešte nevykázaných oprávnených výdavkov prijímateľov zaznamenaných ako časovo rozlíšené výdavky 160,7 miliardy EUR (2023: 155,2 miliardy EUR), z čoho 7,9 miliardy EUR súvisí s predpokladanými budúcimi platbami Mechanizmu na podporu obnovy a odolnosti;</w:t>
      </w:r>
    </w:p>
    <w:p w14:paraId="45FD3ECC" w14:textId="5269A0ED" w:rsidR="003B03EB" w:rsidRPr="005E78F4" w:rsidRDefault="006A21CB" w:rsidP="003B03EB">
      <w:pPr>
        <w:pStyle w:val="NormalHanging12a"/>
      </w:pPr>
      <w:r>
        <w:t>25</w:t>
      </w:r>
      <w:r w:rsidR="003B03EB" w:rsidRPr="005E78F4">
        <w:t>.</w:t>
      </w:r>
      <w:r w:rsidR="003B03EB" w:rsidRPr="005E78F4">
        <w:tab/>
        <w:t xml:space="preserve">víta záver Dvora audítorov, že aktíva, záväzky, príjmy a výdavky vrátane tých, ktoré súvisia s nástrojom </w:t>
      </w:r>
      <w:proofErr w:type="spellStart"/>
      <w:r w:rsidR="003B03EB" w:rsidRPr="005E78F4">
        <w:t>NextGenerationEU</w:t>
      </w:r>
      <w:proofErr w:type="spellEnd"/>
      <w:r w:rsidR="003B03EB" w:rsidRPr="005E78F4">
        <w:t>, odhad týkajúci sa procesu vystúpenia Spojeného kráľovstva a vplyv útočnej vojny Ruska proti Ukrajine sú v konsolidovanej ročnej účtovnej závierke verne zobrazené;</w:t>
      </w:r>
    </w:p>
    <w:p w14:paraId="1F5EE6DD" w14:textId="77777777" w:rsidR="003B03EB" w:rsidRPr="005E78F4" w:rsidRDefault="003B03EB" w:rsidP="003B03EB">
      <w:pPr>
        <w:spacing w:after="240"/>
        <w:ind w:left="567" w:hanging="567"/>
        <w:rPr>
          <w:i/>
        </w:rPr>
      </w:pPr>
      <w:r w:rsidRPr="005E78F4">
        <w:rPr>
          <w:i/>
        </w:rPr>
        <w:t>Zákonnosť a správnosť príjmov Únie</w:t>
      </w:r>
    </w:p>
    <w:p w14:paraId="16CB5C18" w14:textId="394F9757" w:rsidR="003B03EB" w:rsidRPr="005E78F4" w:rsidRDefault="006A21CB" w:rsidP="003B03EB">
      <w:pPr>
        <w:pStyle w:val="NormalHanging12a"/>
      </w:pPr>
      <w:r>
        <w:t>26</w:t>
      </w:r>
      <w:r w:rsidR="003B03EB" w:rsidRPr="005E78F4">
        <w:t>.</w:t>
      </w:r>
      <w:r w:rsidR="003B03EB" w:rsidRPr="005E78F4">
        <w:tab/>
        <w:t>berie na vedomie záver Dvora audítorov, že v príjmoch Únie sa nevyskytujú významné chyby a že systémy riadenia, ktoré Dvor audítorov preskúmal, boli vo všeobecnosti účinné;</w:t>
      </w:r>
    </w:p>
    <w:p w14:paraId="1298B3DA" w14:textId="77777777" w:rsidR="003B03EB" w:rsidRPr="005E78F4" w:rsidRDefault="003B03EB" w:rsidP="003B03EB">
      <w:pPr>
        <w:spacing w:after="240"/>
        <w:ind w:left="567" w:hanging="567"/>
        <w:rPr>
          <w:i/>
        </w:rPr>
      </w:pPr>
      <w:r w:rsidRPr="005E78F4">
        <w:rPr>
          <w:i/>
        </w:rPr>
        <w:t>Zákonnosť a správnosť výdavkov Únie</w:t>
      </w:r>
    </w:p>
    <w:p w14:paraId="07386F57" w14:textId="3D6DA605" w:rsidR="003B03EB" w:rsidRPr="005E78F4" w:rsidRDefault="006A21CB" w:rsidP="003B03EB">
      <w:pPr>
        <w:pStyle w:val="NormalHanging12a"/>
      </w:pPr>
      <w:r>
        <w:t>27</w:t>
      </w:r>
      <w:r w:rsidR="003B03EB" w:rsidRPr="005E78F4">
        <w:t>.</w:t>
      </w:r>
      <w:r w:rsidR="003B03EB" w:rsidRPr="005E78F4">
        <w:tab/>
        <w:t>vyjadruje hlboké poľutovanie nad záporným výrokom k zákonnosti a správnosti rozpočtových výdavkov Únie, ktorý Dvor audítorov vydal už šiesty rok po sebe; pripomína, že orgán udeľujúci absolutórium naďalej pozorne monitoruje vývoj a že prehodnocuje situáciu v súvislosti s postupom udeľovania absolutória; zdôrazňuje význam pokračujúceho a trvalého úsilia o riešenie základných nedostatkov a posilnenie finančného riadenia a kontrolných mechanizmov Komisie aj členských štátov; upozorňuje na ťažkosti, ktoré má orgán udeľujúci absolutórium, keď Dvor audítorov a Komisia uplatňujú rozdielne právne a metodické definície;</w:t>
      </w:r>
    </w:p>
    <w:p w14:paraId="1B14187A" w14:textId="3286D73F" w:rsidR="003B03EB" w:rsidRPr="005E78F4" w:rsidRDefault="006A21CB" w:rsidP="003B03EB">
      <w:pPr>
        <w:pStyle w:val="NormalHanging12a"/>
      </w:pPr>
      <w:r>
        <w:lastRenderedPageBreak/>
        <w:t>28</w:t>
      </w:r>
      <w:r w:rsidR="003B03EB" w:rsidRPr="005E78F4">
        <w:t>.</w:t>
      </w:r>
      <w:r w:rsidR="003B03EB" w:rsidRPr="005E78F4">
        <w:tab/>
        <w:t>víta zníženie úrovne chybovosti odhadovanej Dvorom audítorov na 3,6 % vo výdavkoch v roku 2024, čo predstavuje zníženie o dva percentuálne body z 5,6 % v roku 2023; so znepokojením konštatuje, že vo výdavkoch, ktoré vznikli v dôsledku preplatenia nákladov a ktoré najviac prispievajú k celkovej chybovosti odhadovanej na 5,7 %, zistil Dvor audítorov opäť značné problémy; poznamenáva, že vplyv chýb, ktoré zistil Dvor audítorov, je podľa odhadov významný a rozsiahly;</w:t>
      </w:r>
    </w:p>
    <w:p w14:paraId="6CFBB8D0" w14:textId="79FC6606" w:rsidR="003B03EB" w:rsidRPr="005E78F4" w:rsidRDefault="006A21CB" w:rsidP="003B03EB">
      <w:pPr>
        <w:pStyle w:val="NormalHanging12a"/>
      </w:pPr>
      <w:r>
        <w:t>29</w:t>
      </w:r>
      <w:r w:rsidR="003B03EB" w:rsidRPr="005E78F4">
        <w:t>.</w:t>
      </w:r>
      <w:r w:rsidR="003B03EB" w:rsidRPr="005E78F4">
        <w:tab/>
        <w:t>konštatuje, že odhady Komisie na rok 2024 týkajúce sa rizika pri platbe, ktoré sa vzťahujú na všetky okruhy VFR okrem okruhu 3, sú trvalo nižšie ako intervaly spoľahlivosti Dvora audítorov, najmä v okruhoch 2 a 6, pričom sa domnieva, že to odráža aj významné metodické rozdiely a rozdiely v mandátoch medzi týmito dvoma inštitúciami;</w:t>
      </w:r>
    </w:p>
    <w:p w14:paraId="0FEE021F" w14:textId="62E2E1B9" w:rsidR="003B03EB" w:rsidRPr="005E78F4" w:rsidRDefault="006A21CB" w:rsidP="003B03EB">
      <w:pPr>
        <w:pStyle w:val="NormalHanging12a"/>
      </w:pPr>
      <w:r>
        <w:t>30</w:t>
      </w:r>
      <w:r w:rsidR="003B03EB" w:rsidRPr="005E78F4">
        <w:t>.</w:t>
      </w:r>
      <w:r w:rsidR="003B03EB" w:rsidRPr="005E78F4">
        <w:tab/>
        <w:t>konštatuje, že na rozdiel od Dvora audítorov, ktorý musí oznamovať všetky chyby bez ohľadu na to, či je možná finančná oprava, Komisia oznamuje len nezrovnalosti, v prípade ktorých sa domnieva, že vymáhanie je právne odôvodnené; pripomína, že v súlade s nariadením o spoločných ustanoveniach (NSU) Komisia posudzuje ako „nezrovnalosť“ akékoľvek porušenie uplatniteľného práva vyplývajúce z konania alebo opomenutia hospodárskeho subjektu, dôsledkom ktorého je alebo by bolo poškodenie rozpočtu Únie zaťažením tohto rozpočtu neoprávnenými výdavkami, zatiaľ čo vymedzenie pojmu „chyba“ podľa Dvora audítorov zahŕňa všetky platby uskutočnené bez toho, aby boli splnené požadované podmienky; opakuje svoje znepokojenie nad tým, že Komisia a Dvor audítorov uplatňujú vzhľadom na svoje odlišné inštitucionálne úlohy rôzne právne výklady a metodické definície, čo môže spôsobiť zmätok; vyjadruje znepokojenie nad tým, že Komisia môže systematicky podceňovať existujúcu úroveň chybovosti; vyjadruje podporu rozvoju spoločného audítorského prístupu a metodiky;</w:t>
      </w:r>
    </w:p>
    <w:p w14:paraId="38D40ACC" w14:textId="34FA65A0" w:rsidR="003B03EB" w:rsidRPr="005E78F4" w:rsidRDefault="006A21CB" w:rsidP="003B03EB">
      <w:pPr>
        <w:pStyle w:val="NormalHanging12a"/>
      </w:pPr>
      <w:r>
        <w:t>31</w:t>
      </w:r>
      <w:r w:rsidR="003B03EB" w:rsidRPr="005E78F4">
        <w:t>.</w:t>
      </w:r>
      <w:r w:rsidR="003B03EB" w:rsidRPr="005E78F4">
        <w:tab/>
        <w:t>zdôrazňuje, že je dôležité zabezpečiť, aby verejné orgány účinne vymáhali sumy neoprávnene ušlé v dôsledku podvodov, daňových únikov, nezrovnalostí a administratívnej roztrieštenosti, čo je základný prvok ochrany verejných financií; vyzýva Komisiu, aby zvýšila transparentnosť zverejňovaním jasných každoročných informácií o vymáhaní, finančných opravách a konfiškáciách súvisiacich s výdavkami Únie a spoluprácou v oblasti presadzovania práva, ktoré budú prezentované koherentným a prístupným spôsobom, ktorý podporuje zodpovednosť a zároveň zabraňuje zbytočnej administratívnej záťaži;</w:t>
      </w:r>
    </w:p>
    <w:p w14:paraId="39AEFC0B" w14:textId="051988CA" w:rsidR="003B03EB" w:rsidRPr="005E78F4" w:rsidRDefault="006A21CB" w:rsidP="003B03EB">
      <w:pPr>
        <w:pStyle w:val="NormalHanging12a"/>
      </w:pPr>
      <w:r>
        <w:t>32</w:t>
      </w:r>
      <w:r w:rsidR="003B03EB" w:rsidRPr="005E78F4">
        <w:t>.</w:t>
      </w:r>
      <w:r w:rsidR="003B03EB" w:rsidRPr="005E78F4">
        <w:tab/>
        <w:t xml:space="preserve">opätovne vyjadruje znepokojenie nad pripomienkou Dvora audítorov, že pri posudzovaní rizika Komisiou sa úroveň rizika pravdepodobne vo viacerých oblastiach podhodnocuje; konštatuje, že nedostatky zistené v niektorých systémoch riadenia a kontroly môžu mať vplyv na celkovú spoľahlivosť záverov auditu; zdôrazňuje potrebu zabezpečiť spoľahlivý dohľad nad všetkými spôsobmi riadenia; víta skutočnosť, že od roku 2025 Dvor audítorov ukončí prax výberu audítorských vzoriek z transakcií, ktoré už preskúmala Komisia alebo vnútroštátne orgány auditu, pričom táto zmena sa stala nevyhnutnou, keďže tento prístup sa napriek očakávaniu, že odhalí len málo chýb alebo neodhalí žiadne chyby, opakovane ukázal ako nespoľahlivý; zdôrazňuje, že tento vývoj vyvoláva vážne pochybnosti o účinnosti systémov kontroly Únie a posilňuje dlhodobú výzvu </w:t>
      </w:r>
      <w:r w:rsidR="00E47BEF" w:rsidRPr="005E78F4">
        <w:t>Európskeho p</w:t>
      </w:r>
      <w:r w:rsidR="003B03EB" w:rsidRPr="005E78F4">
        <w:t>arlamentu, aby sa vo všetkých spôsoboch riadenia zaviedli spoľahlivé mechanizmy ubezpečenia;</w:t>
      </w:r>
    </w:p>
    <w:p w14:paraId="0907F3DD" w14:textId="3FA162CF" w:rsidR="003B03EB" w:rsidRPr="005E78F4" w:rsidRDefault="006A21CB" w:rsidP="003B03EB">
      <w:pPr>
        <w:pStyle w:val="NormalHanging12a"/>
      </w:pPr>
      <w:r>
        <w:t>33</w:t>
      </w:r>
      <w:r w:rsidR="003B03EB" w:rsidRPr="005E78F4">
        <w:t>.</w:t>
      </w:r>
      <w:r w:rsidR="003B03EB" w:rsidRPr="005E78F4">
        <w:tab/>
        <w:t xml:space="preserve">naliehavo vyzýva Komisiu, aby urýchlila zavádzanie </w:t>
      </w:r>
      <w:proofErr w:type="spellStart"/>
      <w:r w:rsidR="003B03EB" w:rsidRPr="005E78F4">
        <w:t>interoperabilných</w:t>
      </w:r>
      <w:proofErr w:type="spellEnd"/>
      <w:r w:rsidR="003B03EB" w:rsidRPr="005E78F4">
        <w:t xml:space="preserve"> nástrojov na boj proti podvodom a hĺbkovú analýzu údajov vo všetkých spôsoboch riadenia, ktoré </w:t>
      </w:r>
      <w:r w:rsidR="003B03EB" w:rsidRPr="005E78F4">
        <w:lastRenderedPageBreak/>
        <w:t>umožnia krížové kontroly skutočného vlastníctva, ukazovateľov rizika verejného obstarávania a signálov dvojitého financovania; naliehavo vyzýva Komisiu, aby každoročne podávala orgánu udeľujúcemu absolutórium správu o rozsahu a účinnosti týchto nástrojov vrátane ich využívania riadiacimi orgánmi; pripomína, že je naliehavo potrebné, aby sa na účinný boj proti podvodom a nezrovnalostiam povinne využívali nástroje na hĺbkovú analýzu údajov a nástroje umelej inteligencie;</w:t>
      </w:r>
    </w:p>
    <w:p w14:paraId="11230BCD" w14:textId="2D58663C" w:rsidR="003B03EB" w:rsidRPr="005E78F4" w:rsidRDefault="006A21CB" w:rsidP="003B03EB">
      <w:pPr>
        <w:pStyle w:val="NormalHanging12a"/>
      </w:pPr>
      <w:r>
        <w:t>34</w:t>
      </w:r>
      <w:r w:rsidR="003B03EB" w:rsidRPr="005E78F4">
        <w:t>.</w:t>
      </w:r>
      <w:r w:rsidR="003B03EB" w:rsidRPr="005E78F4">
        <w:tab/>
        <w:t>zdôrazňuje, že odhadovaná úroveň chybovosti vo výdavkoch Únie, ako sa uvádza vo vyhlásení Dvora audítorov o vierohodnosti, odzrkadľuje platby, ktoré podľa Dvora audítorov neboli úplne v súlade s platnými pravidlami a podmienkami; domnieva sa, že hoci to nie je ukazovateľ podvodu alebo korupcie a automaticky to neznamená nehospodárne využívanie zdrojov, poukazuje to skôr na oblasti, v ktorých môžu nápravné opatrenia posilniť riadne uplatňovanie pravidiel a účinne chrániť finančné záujmy Únie; vyjadruje poľutovanie nad tým, že pretrvávajúca úroveň chybovosti je síce často technickej povahy, no aj tak môže oslabiť dôveru verejnosti v správne finančné riadenie rozpočtu Únie;</w:t>
      </w:r>
    </w:p>
    <w:p w14:paraId="088878E4" w14:textId="3356C6C4" w:rsidR="003B03EB" w:rsidRPr="005E78F4" w:rsidRDefault="006A21CB" w:rsidP="003B03EB">
      <w:pPr>
        <w:pStyle w:val="NormalHanging12a"/>
      </w:pPr>
      <w:r>
        <w:t>35</w:t>
      </w:r>
      <w:r w:rsidR="003B03EB" w:rsidRPr="005E78F4">
        <w:t>.</w:t>
      </w:r>
      <w:r w:rsidR="003B03EB" w:rsidRPr="005E78F4">
        <w:tab/>
        <w:t>pripomína, že tak, ako sa stanovuje v zmluvách, orgán udeľujúci absolutórium potrebuje vyhlásenie o vierohodnosti, ktoré poskytuje Dvor audítorov a ktoré sa týka spoľahlivosti účtovnej závierky a zákonnosti a správnosti príslušných operácií na konci roka, aby mohol rozhodnúť o absolutóriu za daný rok; poznamenáva, že výdavkové programy Únie sú viacročné a ich systémy riadenia a kontroly sa vzťahujú na viaceré roky, čo umožňuje opravy a vymáhanie prostriedkov po skončení roka;</w:t>
      </w:r>
    </w:p>
    <w:p w14:paraId="769265E4" w14:textId="2314252C" w:rsidR="003B03EB" w:rsidRPr="005E78F4" w:rsidRDefault="006A21CB" w:rsidP="003B03EB">
      <w:pPr>
        <w:pStyle w:val="NormalHanging12a"/>
      </w:pPr>
      <w:r>
        <w:t>36</w:t>
      </w:r>
      <w:r w:rsidR="003B03EB" w:rsidRPr="005E78F4">
        <w:t>.</w:t>
      </w:r>
      <w:r w:rsidR="003B03EB" w:rsidRPr="005E78F4">
        <w:tab/>
        <w:t>pripomína, že Komisia nesie primárnu zodpovednosť za predchádzanie podvodom poškodzujúcim finančné záujmy Únie a ich odhaľovanie; konštatuje, že Dvor audítorov musí v súlade so svojím mandátom informovať o všetkých prípadoch nezrovnalostí, ktoré zistí počas svojej audítorskej práce; ďalej konštatuje, že Dvor audítorov postupuje podozrenia z trestných činov, ktoré patria do právomoci Európskej prokuratúry, a podozrenia z podvodu, korupcie alebo iných nezákonných činností Európskemu úradu pre boj proti podvodom (OLAF); konštatuje, že v roku 2024 Dvor audítorov oznámil úradu OLAF 19 prípadov podozrenia z podvodu, pričom sedem z týchto prípadov postúpil Európskej prokuratúre, čo doteraz viedlo k šiestim vyšetrovaniam úradu OLAF a siedmim vyšetrovaniam Európskej prokuratúry; oceňuje systematické podávanie správ úradu OLAF a Európskej prokuratúry zo strany Dvora audítorov, najmä vzhľadom na to, že informácie vyplývajúce z audítorských činností majú vysoký stupeň spoľahlivosti; zdôrazňuje, že všetky prípady neoprávnených výdavkov, ktoré zistil Dvor audítorov, by sa mali oznamovať úradu OLAF a Európskej prokuratúre, pričom na tieto príslušné orgány by sa malo ponechať posúdenie toho, či ide o podvodný úmysel, ktorý si vyžaduje ďalšie vyšetrovanie; zdôrazňuje význam pokračujúcej koordinácie medzi Komisiou, úradom OLAF, Európskou prokuratúrou a Dvorom audítorov s cieľom zabezpečiť včasné a účinné následné opatrenia vo všetkých nahlásených prípadoch v súlade s ich príslušnými mandátmi; opakuje, že je potrebné, aby Komisia poskytla týmto orgánom dostatočné zdroje na zaručenie plne účinných kapacít v oblasti cezhraničného vyšetrovania a odhaľovania; pripomína význam úplnej prevádzkovej nezávislosti Európskej prokuratúry a úradu OLAF;</w:t>
      </w:r>
    </w:p>
    <w:p w14:paraId="695BDC54" w14:textId="77777777" w:rsidR="003B03EB" w:rsidRPr="005E78F4" w:rsidRDefault="003B03EB" w:rsidP="003B03EB">
      <w:pPr>
        <w:spacing w:after="240"/>
        <w:ind w:left="567" w:hanging="567"/>
        <w:rPr>
          <w:i/>
        </w:rPr>
      </w:pPr>
      <w:r w:rsidRPr="005E78F4">
        <w:rPr>
          <w:i/>
        </w:rPr>
        <w:t xml:space="preserve">Rozpočtové a finančné riadenie </w:t>
      </w:r>
    </w:p>
    <w:p w14:paraId="04207024" w14:textId="56E2C5E6" w:rsidR="003B03EB" w:rsidRPr="005E78F4" w:rsidRDefault="006A21CB" w:rsidP="003B03EB">
      <w:pPr>
        <w:pStyle w:val="NormalHanging12a"/>
      </w:pPr>
      <w:r>
        <w:t>37</w:t>
      </w:r>
      <w:r w:rsidR="003B03EB" w:rsidRPr="005E78F4">
        <w:t>.</w:t>
      </w:r>
      <w:r w:rsidR="003B03EB" w:rsidRPr="005E78F4">
        <w:tab/>
        <w:t xml:space="preserve">konštatuje, že revíziou VFR v polovici trvania, ktorá bola prijatá vo februári 2024, sa zaviedla revidovaná technická úprava, ktorou sa zvýšil strop viazaných rozpočtových </w:t>
      </w:r>
      <w:r w:rsidR="003B03EB" w:rsidRPr="005E78F4">
        <w:lastRenderedPageBreak/>
        <w:t>prostriedkov na rok 2024 zo 186,0 miliardy EUR na 186,8 miliardy EUR a zvýšila úroveň platobných rozpočtových prostriedkov o 7,1 miliardy EUR, čím sa konečný rozpočet platobných rozpočtových prostriedkov zvýšil na 149,7 miliardy EUR, pričom celkový strop platieb zostal na úrovni 170,5 miliardy EUR; ďalej konštatuje, že revíziou sa vytvorila aj rezerva pre Ukrajinu a Nástroj Európskej únie na obnovu (EURI) ako nové osobitné nástroje mimo stropov VFR;</w:t>
      </w:r>
    </w:p>
    <w:p w14:paraId="6B7ABE96" w14:textId="54CEFC3E" w:rsidR="003B03EB" w:rsidRPr="005E78F4" w:rsidRDefault="006A21CB" w:rsidP="003B03EB">
      <w:pPr>
        <w:pStyle w:val="NormalHanging12a"/>
      </w:pPr>
      <w:r>
        <w:t>38</w:t>
      </w:r>
      <w:r w:rsidR="003B03EB" w:rsidRPr="005E78F4">
        <w:t>.</w:t>
      </w:r>
      <w:r w:rsidR="003B03EB" w:rsidRPr="005E78F4">
        <w:tab/>
        <w:t>konštatuje, že rozpočtový orgán pôvodne schválil rozpočet Únie na rok 2024 vo výške 189,4 miliardy EUR vo viazaných rozpočtových prostriedkoch; konštatuje, že päť opravných rozpočtov prijatých v priebehu roka viedlo k čistému zvýšeniu o 5,9 miliardy EUR, pričom celkové záväzky dosiahli 195,3 miliardy EUR, čím sa prekročil strop VFR vo výške 186,8 miliardy EUR; zdôrazňuje, že to bolo možné vďaka využitiu osobitných nástrojov VFR, ktoré poskytujú dodatočné zdroje nad rámec stropov na riešenie vznikajúcich alebo nepredvídaných potrieb;</w:t>
      </w:r>
    </w:p>
    <w:p w14:paraId="5EEE7275" w14:textId="23AFC1BF" w:rsidR="003B03EB" w:rsidRPr="005E78F4" w:rsidRDefault="006A21CB" w:rsidP="003B03EB">
      <w:pPr>
        <w:pStyle w:val="NormalHanging12a"/>
      </w:pPr>
      <w:r>
        <w:t>39</w:t>
      </w:r>
      <w:r w:rsidR="003B03EB" w:rsidRPr="005E78F4">
        <w:t>.</w:t>
      </w:r>
      <w:r w:rsidR="003B03EB" w:rsidRPr="005E78F4">
        <w:tab/>
        <w:t>konštatuje, že čerpanie európskych štrukturálnych a investičných fondov (EŠIF) na roky 2014 – 2020 je v pokročilom štádiu, pričom celkové platby predstavujú 475,2 miliardy EUR, čo zodpovedá 97,0 % zo 489,9 miliardy EUR dostupných v rámci týchto programov; víta skutočnosť, že 21 členských štátov prekročilo 95,0 % mieru čerpania v programovom období 2014 – 2020, čo dokazuje silnú vykonávaciu kapacitu v čase, keď sa toto obdobie blíži ku koncu;</w:t>
      </w:r>
    </w:p>
    <w:p w14:paraId="7CA9D6FB" w14:textId="28A89375" w:rsidR="003B03EB" w:rsidRPr="005E78F4" w:rsidRDefault="006A21CB" w:rsidP="003B03EB">
      <w:pPr>
        <w:pStyle w:val="NormalHanging12a"/>
      </w:pPr>
      <w:r>
        <w:t>40</w:t>
      </w:r>
      <w:r w:rsidR="003B03EB" w:rsidRPr="005E78F4">
        <w:t>.</w:t>
      </w:r>
      <w:r w:rsidR="003B03EB" w:rsidRPr="005E78F4">
        <w:tab/>
        <w:t>zdôrazňuje, že kumulatívne miery čerpania, ktoré predstavila Komisia na základe predbežného financovania a priebežných platieb poskytnutých členským štátom, neodrážajú v plnej miere pokrok pri realizácii projektov na mieste, keďže nezachytávajú celkové sumy vyplatené vnútroštátnymi orgánmi konečným príjemcom;</w:t>
      </w:r>
    </w:p>
    <w:p w14:paraId="1AA94B47" w14:textId="662DA586" w:rsidR="003B03EB" w:rsidRPr="005E78F4" w:rsidRDefault="006A21CB" w:rsidP="003B03EB">
      <w:pPr>
        <w:pStyle w:val="NormalHanging12a"/>
      </w:pPr>
      <w:r>
        <w:t>41</w:t>
      </w:r>
      <w:r w:rsidR="003B03EB" w:rsidRPr="005E78F4">
        <w:t>.</w:t>
      </w:r>
      <w:r w:rsidR="003B03EB" w:rsidRPr="005E78F4">
        <w:tab/>
        <w:t>so znepokojením konštatuje, že napriek výraznému zvýšeniu platieb v roku 2024 zostáva čerpanie podľa nariadenia o spoločných ustanoveniach na roky 2021 – 2027 nízke, pričom v roku 2024 sa vyplatilo 14,7 miliardy EUR v porovnaní so 6,3 miliardy EUR v roku 2023, čo je v porovnaní s celkovými pridelenými prostriedkami stále pomerne málo; ďalej konštatuje, že grantové platby v rámci Mechanizmu na podporu obnovy a odolnosti dosiahli v roku 2024 len 55,9 miliardy EUR, čo je približne polovica prognózy Komisie z júna 2023 a čo odráža pokračujúce oneskorenia pri predkladaní a spracúvaní žiadostí o platbu;</w:t>
      </w:r>
    </w:p>
    <w:p w14:paraId="6BB9B270" w14:textId="00340476" w:rsidR="003B03EB" w:rsidRPr="005E78F4" w:rsidRDefault="006A21CB" w:rsidP="003B03EB">
      <w:pPr>
        <w:pStyle w:val="NormalHanging12a"/>
      </w:pPr>
      <w:r>
        <w:t>42</w:t>
      </w:r>
      <w:r w:rsidR="003B03EB" w:rsidRPr="005E78F4">
        <w:t>.</w:t>
      </w:r>
      <w:r w:rsidR="003B03EB" w:rsidRPr="005E78F4">
        <w:tab/>
        <w:t>konštatuje, že Komisia v prognóze v roku 2004 predpokladá zrušenie viazanosti vo výške 8,8 miliardy EUR na obdobie 2025 – 2027, čo predstavuje zvýšenie v porovnaní s 8,1 miliardy EUR odhadovanými v roku 2023 na roky 2024 – 2027, pričom toto zvýšenie bolo spôsobené najmä programami politiky súdržnosti v rámci súčasného VFR a Európskym poľnohospodárskym fondom pre rozvoj vidieka (EPFRV), keďže programy na roky 2014 – 2020 sa blížia v roku 2026 ku koncu; konštatuje, že nízka miera plnenia v roku 2024 ohrozuje významné sumy od roku 2025;</w:t>
      </w:r>
    </w:p>
    <w:p w14:paraId="4DFF761C" w14:textId="669BE33B" w:rsidR="003B03EB" w:rsidRPr="005E78F4" w:rsidRDefault="006A21CB" w:rsidP="003B03EB">
      <w:pPr>
        <w:pStyle w:val="NormalHanging12a"/>
      </w:pPr>
      <w:r>
        <w:t>43</w:t>
      </w:r>
      <w:r w:rsidR="003B03EB" w:rsidRPr="005E78F4">
        <w:t>.</w:t>
      </w:r>
      <w:r w:rsidR="003B03EB" w:rsidRPr="005E78F4">
        <w:tab/>
        <w:t>so znepokojením konštatuje, že v prípade Kohézneho fondu (KF), Európskeho fondu regionálneho rozvoja (EFRR) a ESF+ Komisia predpokladá celkové zrušenie viazanosti vo výške 2,7 miliardy EUR, čo je výrazný nárast v porovnaní s 2,2 miliardy EUR predpokladanými v roku 2023 a takmer sedemnásobok prognózy vo výške 0,4 miliardy EUR v roku 2022, a to napriek predpokladanému prudkému zrýchleniu plnenia v rokoch 2026 a 2027; zdôrazňuje, že nedosiahnutie tejto zrýchlenej miery plnenia ešte viac zvýši sumy vystavené riziku zrušenia viazanosti;</w:t>
      </w:r>
    </w:p>
    <w:p w14:paraId="5C630116" w14:textId="05692967" w:rsidR="003B03EB" w:rsidRPr="005E78F4" w:rsidRDefault="006A21CB" w:rsidP="003B03EB">
      <w:pPr>
        <w:pStyle w:val="NormalHanging12a"/>
        <w:rPr>
          <w:bCs/>
          <w:iCs/>
        </w:rPr>
      </w:pPr>
      <w:r>
        <w:lastRenderedPageBreak/>
        <w:t>44</w:t>
      </w:r>
      <w:r w:rsidR="003B03EB" w:rsidRPr="005E78F4">
        <w:t>.</w:t>
      </w:r>
      <w:r w:rsidR="003B03EB" w:rsidRPr="005E78F4">
        <w:tab/>
        <w:t>varuje, že rôzne riziká, ktoré Dvor audítorov zistil v rozpočte Únie, vrátane neuhradených záväzkov môžu ohroziť dosiahnutie cieľov Únie; vyzýva Komisiu, aby v súlade s odporúčaniami Dvora audítorov konala proaktívne s cieľom zabezpečiť, aby jej nástroje na zmierňovanie rizika (ako je spoločný rezervný fond) mali dostatočnú kapacitu;</w:t>
      </w:r>
    </w:p>
    <w:p w14:paraId="5D2D9EEE" w14:textId="2E66038D" w:rsidR="003B03EB" w:rsidRPr="005E78F4" w:rsidRDefault="006A21CB" w:rsidP="003B03EB">
      <w:pPr>
        <w:pStyle w:val="NormalHanging12a"/>
        <w:rPr>
          <w:bCs/>
          <w:iCs/>
        </w:rPr>
      </w:pPr>
      <w:r>
        <w:t>45</w:t>
      </w:r>
      <w:r w:rsidR="003B03EB" w:rsidRPr="005E78F4">
        <w:t>.</w:t>
      </w:r>
      <w:r w:rsidR="003B03EB" w:rsidRPr="005E78F4">
        <w:tab/>
        <w:t xml:space="preserve">konštatuje, že nominálna hodnota nesplatených pôžičiek Únie na konci roka 2024 dosiahla 601,3 miliardy EUR, čo odráža využívanie kapitálových trhov na financovanie programov Únie, ako je nástroj podpory na zmiernenie rizík nezamestnanosti v núdzovej situácii (SURE) a nástroj </w:t>
      </w:r>
      <w:proofErr w:type="spellStart"/>
      <w:r w:rsidR="003B03EB" w:rsidRPr="005E78F4">
        <w:t>NextGenerationEU</w:t>
      </w:r>
      <w:proofErr w:type="spellEnd"/>
      <w:r w:rsidR="003B03EB" w:rsidRPr="005E78F4">
        <w:t xml:space="preserve">; poznamenáva, že v roku 2027 by celkové nesplatené pôžičky mohli presiahnuť 900 miliárd EUR, čo je takmer desaťnásobok úrovne zaznamenanej v roku 2020 pred spustením nástroja </w:t>
      </w:r>
      <w:proofErr w:type="spellStart"/>
      <w:r w:rsidR="003B03EB" w:rsidRPr="005E78F4">
        <w:t>NextGenerationEU</w:t>
      </w:r>
      <w:proofErr w:type="spellEnd"/>
      <w:r w:rsidR="003B03EB" w:rsidRPr="005E78F4">
        <w:t>; konštatuje, že od decembra 2022 Komisia uplatňuje diverzifikovanú stratégiu financovania ako štandardnú metódu získavania finančných prostriedkov na kapitálových trhoch, a zdôrazňuje význam transparentného podávania správ, fiškálnej zodpovednosti a správneho finančného riadenia v kontexte vyšších pôžičiek a úrokového rizika pre zachovanie fiškálnej udržateľnosti a zabezpečenie plnej zodpovednosti, ako aj demokratického dohľadu zo strany orgánu udeľujúceho absolutórium;</w:t>
      </w:r>
    </w:p>
    <w:p w14:paraId="3A36E68E" w14:textId="1AA2F55E" w:rsidR="003B03EB" w:rsidRPr="005E78F4" w:rsidRDefault="006A21CB" w:rsidP="003B03EB">
      <w:pPr>
        <w:pStyle w:val="NormalHanging12a"/>
        <w:rPr>
          <w:bCs/>
          <w:iCs/>
        </w:rPr>
      </w:pPr>
      <w:r>
        <w:t>46</w:t>
      </w:r>
      <w:r w:rsidR="003B03EB" w:rsidRPr="005E78F4">
        <w:t>.</w:t>
      </w:r>
      <w:r w:rsidR="003B03EB" w:rsidRPr="005E78F4">
        <w:tab/>
        <w:t xml:space="preserve">konštatuje, že úrokové výdavky spojené s financovaním nenávratnej podpory z NGEU dosiahli 5,4 miliardy EUR za obdobie rokov 2021 až 2024 vrátane 3,4 miliardy EUR len v roku 2024, čo je takmer o 50 % viac ako 3,7 miliardy EUR podľa pôvodnej prognózy; konštatuje, že celkové úrokové výdavky v súčasnom VFR by sa mohli pohybovať od 29,0 do 30,4 miliardy EUR, čo je približne dvojnásobok pôvodného odhadu Komisie vo výške 14,9 miliardy EUR; ďalej konštatuje, že v brífingu z roku 2024 s názvom Management of </w:t>
      </w:r>
      <w:proofErr w:type="spellStart"/>
      <w:r w:rsidR="003B03EB" w:rsidRPr="005E78F4">
        <w:t>debt</w:t>
      </w:r>
      <w:proofErr w:type="spellEnd"/>
      <w:r w:rsidR="003B03EB" w:rsidRPr="005E78F4">
        <w:t xml:space="preserve"> </w:t>
      </w:r>
      <w:proofErr w:type="spellStart"/>
      <w:r w:rsidR="003B03EB" w:rsidRPr="005E78F4">
        <w:t>liabilities</w:t>
      </w:r>
      <w:proofErr w:type="spellEnd"/>
      <w:r w:rsidR="003B03EB" w:rsidRPr="005E78F4">
        <w:t xml:space="preserve"> in </w:t>
      </w:r>
      <w:proofErr w:type="spellStart"/>
      <w:r w:rsidR="003B03EB" w:rsidRPr="005E78F4">
        <w:t>the</w:t>
      </w:r>
      <w:proofErr w:type="spellEnd"/>
      <w:r w:rsidR="003B03EB" w:rsidRPr="005E78F4">
        <w:t xml:space="preserve"> EU </w:t>
      </w:r>
      <w:proofErr w:type="spellStart"/>
      <w:r w:rsidR="003B03EB" w:rsidRPr="005E78F4">
        <w:t>budget</w:t>
      </w:r>
      <w:proofErr w:type="spellEnd"/>
      <w:r w:rsidR="003B03EB" w:rsidRPr="005E78F4">
        <w:t xml:space="preserve"> </w:t>
      </w:r>
      <w:proofErr w:type="spellStart"/>
      <w:r w:rsidR="003B03EB" w:rsidRPr="005E78F4">
        <w:t>under</w:t>
      </w:r>
      <w:proofErr w:type="spellEnd"/>
      <w:r w:rsidR="003B03EB" w:rsidRPr="005E78F4">
        <w:t xml:space="preserve"> </w:t>
      </w:r>
      <w:proofErr w:type="spellStart"/>
      <w:r w:rsidR="003B03EB" w:rsidRPr="005E78F4">
        <w:t>the</w:t>
      </w:r>
      <w:proofErr w:type="spellEnd"/>
      <w:r w:rsidR="003B03EB" w:rsidRPr="005E78F4">
        <w:t xml:space="preserve"> post-2027 MFF (Riadenie dlhových záväzkov v rozpočte EÚ v rámci VFR na obdobie po roku 2027), o ktorý požiadal Výbor pre rozpočet</w:t>
      </w:r>
      <w:r w:rsidR="003B03EB" w:rsidRPr="005E78F4">
        <w:rPr>
          <w:bCs/>
          <w:iCs/>
          <w:vertAlign w:val="superscript"/>
        </w:rPr>
        <w:footnoteReference w:id="102"/>
      </w:r>
      <w:r w:rsidR="003B03EB" w:rsidRPr="005E78F4">
        <w:t>, sa odhaduje, že úrokové platby za nenávratnú podporu z NGEU v budúcom VFR by mohli dosiahnuť 70,9 miliardy EUR a 73,8 miliardy EUR, čo vyzdvihuje dlhodobý vplyv pôžičiek NGEU na rozpočet;</w:t>
      </w:r>
    </w:p>
    <w:p w14:paraId="6737A41C" w14:textId="78ABD303" w:rsidR="003B03EB" w:rsidRPr="005E78F4" w:rsidRDefault="006A21CB" w:rsidP="003B03EB">
      <w:pPr>
        <w:pStyle w:val="NormalHanging12a"/>
        <w:rPr>
          <w:bCs/>
          <w:iCs/>
        </w:rPr>
      </w:pPr>
      <w:r>
        <w:t>47</w:t>
      </w:r>
      <w:r w:rsidR="003B03EB" w:rsidRPr="005E78F4">
        <w:t>.</w:t>
      </w:r>
      <w:r w:rsidR="003B03EB" w:rsidRPr="005E78F4">
        <w:tab/>
        <w:t>konštatuje, že expozícia rozpočtu Únie sa v roku 2024 naďalej zvyšovala, čo odráža rastúci objem operácií vypožičiavania si prostriedkov a súvisiacich záruk; poukazuje na to, že celková expozícia rozpočtu Únie dosiahla na konci roka 2024 výšku 342,0 miliardy EUR, čo predstavuje zvýšenie o 14,8 % v porovnaní s 298,0 miliardy EUR na konci roka 2023; zdôrazňuje, že tento trend poukazuje na to, nakoľko je dôležitý spoľahlivý systém, fiškálna zodpovednosť a transparentné nahlasovanie, aby sa zabezpečilo, že Únia môže za akýchkoľvek okolností plniť svoje dlhové záväzky; zdôrazňuje, že v súvislosti s rastúcou úrovňou dlhu je rozvoj skutočných nových vlastných zdrojov nevyhnutný na to, aby sa zabránilo tomu, že náklady na dlhovú službu vytlačia priority budúcich viacročných finančných rámcov;</w:t>
      </w:r>
    </w:p>
    <w:p w14:paraId="5C9FADCC" w14:textId="72CB1F4F" w:rsidR="003B03EB" w:rsidRPr="005E78F4" w:rsidRDefault="006A21CB" w:rsidP="003B03EB">
      <w:pPr>
        <w:pStyle w:val="NormalHanging12a"/>
      </w:pPr>
      <w:r>
        <w:t>48</w:t>
      </w:r>
      <w:r w:rsidR="003B03EB" w:rsidRPr="005E78F4">
        <w:t>.</w:t>
      </w:r>
      <w:r w:rsidR="003B03EB" w:rsidRPr="005E78F4">
        <w:tab/>
        <w:t xml:space="preserve">so znepokojením konštatuje, že ako zdôraznil Dvor audítorov v osobitnej správe č. 18/2025 o rozpočtovej flexibilite EÚ, návrh Komisie na VFR na roky 2021 – 2027 nebol dostatočne založený na dôkladnej identifikácii a analýze potrieb a rizík, ktoré by mal byť rozpočet Únie schopný riešiť; konštatuje, že hoci existujúce mechanizmy flexibility umožnili Únii reagovať na vznikajúce priority, niekoľko nástrojov flexibility </w:t>
      </w:r>
      <w:r w:rsidR="003B03EB" w:rsidRPr="005E78F4">
        <w:lastRenderedPageBreak/>
        <w:t>bolo v prvých rokoch VFR opakovane vyčerpaných, čím sa obmedzil manévrovací priestor pre zvyšok obdobia; zdôrazňuje, že rámec flexibility je príliš zložitý a nie je v ňom jasne vymedzená postupnosť pri aktivácii rezerv pod úrovňou stropov a osobitných nástrojov nad nimi; ďalej konštatuje, že určité nástroje flexibility sa prekrývajú jednak navzájom, a jednak s tematickými programami zameranými na rovnaké potreby, čo vedie k zbytočnej zložitosti finančného riadenia a rozhodovania;</w:t>
      </w:r>
    </w:p>
    <w:p w14:paraId="74DB4CF6" w14:textId="77777777" w:rsidR="003B03EB" w:rsidRPr="005E78F4" w:rsidRDefault="003B03EB" w:rsidP="003B03EB">
      <w:pPr>
        <w:spacing w:after="240"/>
        <w:rPr>
          <w:i/>
        </w:rPr>
      </w:pPr>
      <w:r w:rsidRPr="005E78F4">
        <w:rPr>
          <w:i/>
        </w:rPr>
        <w:t>Odporúčania</w:t>
      </w:r>
    </w:p>
    <w:p w14:paraId="1C24821D" w14:textId="757D1866" w:rsidR="003B03EB" w:rsidRPr="005E78F4" w:rsidRDefault="006A21CB" w:rsidP="003B03EB">
      <w:pPr>
        <w:pStyle w:val="NormalHanging12a"/>
      </w:pPr>
      <w:r>
        <w:t>49</w:t>
      </w:r>
      <w:r w:rsidR="003B03EB" w:rsidRPr="005E78F4">
        <w:t>.</w:t>
      </w:r>
      <w:r w:rsidR="003B03EB" w:rsidRPr="005E78F4">
        <w:tab/>
        <w:t>dôrazne podporuje odporúčania Dvora audítorov uvedené v jeho výročnej správe o plnení rozpočtu za rozpočtový rok 2024, ako aj v súvisiacich osobitných správach; vyzýva Komisiu, aby tieto odporúčania bezodkladne vykonala a aby priebežne informovala orgán udeľujúci absolutórium, ako pokročila s ich vykonávaním;</w:t>
      </w:r>
    </w:p>
    <w:p w14:paraId="3FA0590B" w14:textId="5B1E0740" w:rsidR="003B03EB" w:rsidRPr="005E78F4" w:rsidRDefault="006A21CB" w:rsidP="003B03EB">
      <w:pPr>
        <w:pStyle w:val="NormalHanging12a"/>
      </w:pPr>
      <w:r>
        <w:t>50</w:t>
      </w:r>
      <w:r w:rsidR="003B03EB" w:rsidRPr="005E78F4">
        <w:t>.</w:t>
      </w:r>
      <w:r w:rsidR="003B03EB" w:rsidRPr="005E78F4">
        <w:tab/>
        <w:t>vyzýva Komisiu, aby najmä:</w:t>
      </w:r>
    </w:p>
    <w:p w14:paraId="0584D1EB" w14:textId="77777777" w:rsidR="003B03EB" w:rsidRPr="005E78F4" w:rsidRDefault="003B03EB" w:rsidP="005E78F4">
      <w:pPr>
        <w:pStyle w:val="NormalHanging12a"/>
        <w:widowControl/>
        <w:ind w:left="1134"/>
      </w:pPr>
      <w:r w:rsidRPr="005E78F4">
        <w:t>i)</w:t>
      </w:r>
      <w:r w:rsidRPr="005E78F4">
        <w:tab/>
        <w:t>posilnila spoľahlivosť a transparentnosť finančného výkazníctva; najmä tým, že ešte zvýši jednoznačnosť prezentácie záporných čistých aktív a časovo rozlíšených výdavkov, a zabezpečením toho, aby sa rozpočtovému orgánu jasne a systematicky oznamovali dlhodobé rozpočtové dôsledky vypožičiavania si prostriedkov v rámci NGEU;</w:t>
      </w:r>
    </w:p>
    <w:p w14:paraId="5375CC75" w14:textId="77777777" w:rsidR="003B03EB" w:rsidRPr="005E78F4" w:rsidRDefault="003B03EB" w:rsidP="005E78F4">
      <w:pPr>
        <w:pStyle w:val="NormalHanging12a"/>
        <w:widowControl/>
        <w:ind w:left="1134"/>
      </w:pPr>
      <w:r w:rsidRPr="005E78F4">
        <w:t>ii)</w:t>
      </w:r>
      <w:r w:rsidRPr="005E78F4">
        <w:tab/>
        <w:t>prijala všetky potrebné opatrenia na riešenie pretrvávajúcich nedostatkov v zákonnosti a správnosti výdavkov, a to aj tým, že vylepší a objasní usmernenia pre riadiace orgány, bude pokračovať v úsilí o riešenie zistených nedostatkov vo výdavkoch, ktoré vznikli v dôsledku preplatenia nákladov, a zabezpečí konzistentné uplatňovanie nariadenia o podmienenosti právnym štátom, ak riziká pretrvávajú;</w:t>
      </w:r>
    </w:p>
    <w:p w14:paraId="69318529" w14:textId="77777777" w:rsidR="003B03EB" w:rsidRPr="005E78F4" w:rsidRDefault="003B03EB" w:rsidP="005E78F4">
      <w:pPr>
        <w:pStyle w:val="NormalHanging12a"/>
        <w:widowControl/>
        <w:ind w:left="1134"/>
      </w:pPr>
      <w:r w:rsidRPr="005E78F4">
        <w:t>iii)</w:t>
      </w:r>
      <w:r w:rsidRPr="005E78F4">
        <w:tab/>
        <w:t>upravila svoju metodiku oceňovania rizika v momente platby tak, aby zabezpečovala plný súlad medzi jej odhadmi rizika a kontrolným prostredím, o ktoré sa opiera;</w:t>
      </w:r>
    </w:p>
    <w:p w14:paraId="2BCE5BE0" w14:textId="77777777" w:rsidR="003B03EB" w:rsidRPr="005E78F4" w:rsidRDefault="003B03EB" w:rsidP="005E78F4">
      <w:pPr>
        <w:pStyle w:val="NormalHanging12a"/>
        <w:widowControl/>
        <w:ind w:left="1134"/>
      </w:pPr>
      <w:r w:rsidRPr="005E78F4">
        <w:t>iv)</w:t>
      </w:r>
      <w:r w:rsidRPr="005E78F4">
        <w:tab/>
        <w:t>posilnila monitorovanie vykonávania fondov podliehajúcich zdieľanému riadeniu na roky 2021 – 2027 vrátane aktívnejších následných opatrení týkajúcich sa nízkej miery čerpania, posilnenej administratívnej podpory a cielenej pomoci pre členské štáty a systematickej identifikácie štrukturálnych prekážok, ktoré spomaľujú vykonávanie;</w:t>
      </w:r>
    </w:p>
    <w:p w14:paraId="26A75C05" w14:textId="77777777" w:rsidR="003B03EB" w:rsidRPr="005E78F4" w:rsidRDefault="003B03EB" w:rsidP="005E78F4">
      <w:pPr>
        <w:pStyle w:val="NormalHanging12a"/>
        <w:widowControl/>
        <w:ind w:left="1134"/>
      </w:pPr>
      <w:r w:rsidRPr="005E78F4">
        <w:t>v)</w:t>
      </w:r>
      <w:r w:rsidRPr="005E78F4">
        <w:tab/>
        <w:t>v plnej miere využívala všetky dostupné nástroje s cieľom zabrániť zrušeniu viazanosti a zabezpečiť úplné a účinné čerpanie pridelených finančných prostriedkov;</w:t>
      </w:r>
    </w:p>
    <w:p w14:paraId="7D81F5C4" w14:textId="77777777" w:rsidR="003B03EB" w:rsidRPr="005E78F4" w:rsidRDefault="003B03EB" w:rsidP="005E78F4">
      <w:pPr>
        <w:pStyle w:val="NormalHanging12a"/>
        <w:widowControl/>
        <w:ind w:left="1134"/>
      </w:pPr>
      <w:r w:rsidRPr="005E78F4">
        <w:t>vi)</w:t>
      </w:r>
      <w:r w:rsidRPr="005E78F4">
        <w:tab/>
        <w:t>jasne informovala o vplyve očakávaných úrokových výdavkov na operácie Únie v oblasti vypožičiavania si prostriedkov vrátane ich vplyvu na rozpočet budúcich VFR a udržateľnosti súčasnej diverzifikovanej stratégie financovania;</w:t>
      </w:r>
    </w:p>
    <w:p w14:paraId="7DBE6B1E" w14:textId="77777777" w:rsidR="003B03EB" w:rsidRPr="005E78F4" w:rsidRDefault="003B03EB" w:rsidP="005E78F4">
      <w:pPr>
        <w:pStyle w:val="NormalHanging12a"/>
        <w:widowControl/>
        <w:ind w:left="1134"/>
      </w:pPr>
      <w:r w:rsidRPr="005E78F4">
        <w:t>vii)</w:t>
      </w:r>
      <w:r w:rsidRPr="005E78F4">
        <w:tab/>
        <w:t>preskúmala a zjednodušila architektúru flexibility rozpočtu Únie pri budúcom VFR, a to aj stanovením jasného poradia mobilizácie rezerv a osobitných nástrojov, zabezpečením toho, aby sa nástroje flexibility navzájom dopĺňali, a zlepšením transparentnosti a predvídateľnosti ich využívania, pričom sa v plnej miere zaručí demokratický dohľad zo strany orgánu udeľujúceho absolutórium;</w:t>
      </w:r>
    </w:p>
    <w:p w14:paraId="0D20551D" w14:textId="77777777" w:rsidR="003B03EB" w:rsidRPr="005E78F4" w:rsidRDefault="003B03EB" w:rsidP="005E78F4">
      <w:pPr>
        <w:pStyle w:val="NormalHanging12a"/>
        <w:widowControl/>
        <w:ind w:left="1134"/>
      </w:pPr>
      <w:r w:rsidRPr="005E78F4">
        <w:lastRenderedPageBreak/>
        <w:t>viii)</w:t>
      </w:r>
      <w:r w:rsidRPr="005E78F4">
        <w:tab/>
        <w:t>odporúča, aby Komisia do budúcich návrhov VFR zahrnula komplexnú analýzu potrieb, rizík a schopnosti reagovať na krízy, čím sa zabezpečí, že nástroje flexibility budú dostatočne odôvodnené, primerane financované a schopné riešiť nepredvídané udalosti bez toho, aby sa predčasne vyčerpali;</w:t>
      </w:r>
    </w:p>
    <w:p w14:paraId="2C6DECB6" w14:textId="77777777" w:rsidR="003B03EB" w:rsidRPr="005E78F4" w:rsidRDefault="003B03EB" w:rsidP="005E78F4">
      <w:pPr>
        <w:pStyle w:val="NormalHanging12a"/>
        <w:widowControl/>
        <w:ind w:left="1134"/>
      </w:pPr>
      <w:r w:rsidRPr="005E78F4">
        <w:t>ix)</w:t>
      </w:r>
      <w:r w:rsidRPr="005E78F4">
        <w:tab/>
        <w:t>zabezpečila, aby architektúra Únie v oblasti boja proti podvodom, najmä úrad OLAF a Európska prokuratúra, mala k dispozícii dostatočné a primerané zdroje a aby sa uľahčila spoľahlivá spolupráca medzi nimi a s Komisiou; a to aj prostredníctvom včasného zasielania prípadov podozrenia z podvodu a posilnenia stratégií na predchádzanie podvodom, najmä vo vysokorizikových výdavkových oblastiach a pri rozsiahlych finančných nástrojoch;</w:t>
      </w:r>
    </w:p>
    <w:p w14:paraId="101EDE48" w14:textId="77777777" w:rsidR="003B03EB" w:rsidRPr="005E78F4" w:rsidRDefault="003B03EB" w:rsidP="005E78F4">
      <w:pPr>
        <w:pStyle w:val="NormalHanging12a"/>
        <w:widowControl/>
        <w:ind w:left="1134"/>
      </w:pPr>
      <w:r w:rsidRPr="005E78F4">
        <w:t>x)</w:t>
      </w:r>
      <w:r w:rsidRPr="005E78F4">
        <w:tab/>
        <w:t>uverejňovala jasné a používateľsky ústretové zhrnutia výkonnosti a výdavkov vrátane jednostránkových prehľadov a interaktívnych prehľadov so strojovo čitateľnými súbormi údajov;</w:t>
      </w:r>
    </w:p>
    <w:p w14:paraId="0B4233AC" w14:textId="77777777" w:rsidR="003B03EB" w:rsidRPr="005E78F4" w:rsidRDefault="003B03EB" w:rsidP="003B03EB">
      <w:pPr>
        <w:spacing w:after="240"/>
        <w:rPr>
          <w:b/>
          <w:bCs/>
        </w:rPr>
      </w:pPr>
      <w:r w:rsidRPr="005E78F4">
        <w:rPr>
          <w:b/>
        </w:rPr>
        <w:t>Príjmy</w:t>
      </w:r>
    </w:p>
    <w:p w14:paraId="05C4F3DA" w14:textId="2A090861" w:rsidR="003B03EB" w:rsidRPr="005E78F4" w:rsidRDefault="00223996" w:rsidP="003B03EB">
      <w:pPr>
        <w:pStyle w:val="NormalHanging12a"/>
      </w:pPr>
      <w:r>
        <w:t>51</w:t>
      </w:r>
      <w:r w:rsidR="003B03EB" w:rsidRPr="005E78F4">
        <w:t>.</w:t>
      </w:r>
      <w:r w:rsidR="003B03EB" w:rsidRPr="005E78F4">
        <w:tab/>
        <w:t>víta skutočnosť, že z celkových audítorských dôkazov aj za rozpočtový rok 2024 vyplýva, že úroveň chybovosti v príjmoch nebola významná; zároveň naďalej poukazuje na to, že problémy s nesprávnym deklarovaním alebo nedeklarovaním ciel (tzv. výpadok ciel) vedú k výpadku vo vybraných dovozných clách, čo je pre Úniu a jej členské štáty pretrvávajúcim problémom už mnoho rokov;</w:t>
      </w:r>
    </w:p>
    <w:p w14:paraId="6FCBA5AB" w14:textId="37933AD2" w:rsidR="003B03EB" w:rsidRPr="005E78F4" w:rsidRDefault="00223996" w:rsidP="003B03EB">
      <w:pPr>
        <w:pStyle w:val="NormalHanging12a"/>
      </w:pPr>
      <w:r>
        <w:t>52</w:t>
      </w:r>
      <w:r w:rsidR="003B03EB" w:rsidRPr="005E78F4">
        <w:t>.</w:t>
      </w:r>
      <w:r w:rsidR="003B03EB" w:rsidRPr="005E78F4">
        <w:tab/>
        <w:t>zdôrazňuje význam zodpovednosti členských štátov za výber dane z pridanej hodnoty (DPH) a tradičných vlastných zdrojov (TVZ) pri zabezpečovaní spravodlivej hospodárskej súťaže a spravodlivého zdaňovania na jednotnom trhu a pri zaručovaní spravodlivého rozdelenia bremena financovania výdavkov Únie medzi členské štáty; s uspokojením konštatuje, že systémy príjmov, ktoré Dvor audítorov preskúmal, boli vo všeobecnosti účinné; zároveň naliehavo vyzýva Komisiu, aby zintenzívnila úsilie o zlepšenie výberu existujúcich vlastných zdrojov, a to aj riešením zvyšných nedostatkov, ktoré zistil Dvor audítorov, najmä tých, ktoré súvisia s dlhodobo nevyriešenými otázkami týkajúcimi sa výhrad k DPH a otvorených bodov týkajúcich sa tradičných vlastných zdrojov (TVZ);</w:t>
      </w:r>
    </w:p>
    <w:p w14:paraId="729F8927" w14:textId="26444C01" w:rsidR="003B03EB" w:rsidRPr="005E78F4" w:rsidRDefault="00223996" w:rsidP="003B03EB">
      <w:pPr>
        <w:pStyle w:val="NormalHanging12a"/>
      </w:pPr>
      <w:r>
        <w:t>53</w:t>
      </w:r>
      <w:r w:rsidR="003B03EB" w:rsidRPr="005E78F4">
        <w:t>.</w:t>
      </w:r>
      <w:r w:rsidR="003B03EB" w:rsidRPr="005E78F4">
        <w:tab/>
        <w:t>zdôrazňuje, že reforma colného systému Únie je naďalej dôležitá pre modernizáciu vlastných zdrojov aj pre účinný boj proti organizovanej trestnej činnosti na európskej aj vnútroštátnej úrovni; berie na vedomie pripomienku Dvora audítorov k potrebe ďalšieho plánovania implementácie a praktickej realizácie; zdôrazňuje význam včasného a koordinovaného plnenia dohodnutých prvkov reformy;</w:t>
      </w:r>
    </w:p>
    <w:p w14:paraId="6D5D9D11" w14:textId="2524814E" w:rsidR="003B03EB" w:rsidRPr="005E78F4" w:rsidRDefault="00223996" w:rsidP="003B03EB">
      <w:pPr>
        <w:pStyle w:val="NormalHanging12a"/>
      </w:pPr>
      <w:r>
        <w:t>54</w:t>
      </w:r>
      <w:r w:rsidR="003B03EB" w:rsidRPr="005E78F4">
        <w:t>.</w:t>
      </w:r>
      <w:r w:rsidR="003B03EB" w:rsidRPr="005E78F4">
        <w:tab/>
        <w:t>zdôrazňuje, že rýchle prijatie a vykonávanie všetkých prvkov návrhu colnej reformy by malo zostať jednou z hlavných priorít; zdôrazňuje, že zriadenie Colného orgánu EÚ a dátového centra EÚ by malo prispieť k posudzovaniu rizík v reálnom čase, odhaľovaniu podvodov a jednotnému uplatňovaniu colných pravidiel, takže roztrieštené vnútroštátne systémy by nahradila silnejšia digitalizovaná colná únia; zdôrazňuje, že je dôležité zabezpečiť, aby reforma pomohla dosiahnuť výrazné zníženie výpadku ciel a zvýšila účinnosť colných kontrol Únie; poukazuje na význam posudzovania rizík v reálnom čase a digitalizovaných colných kontrol;</w:t>
      </w:r>
    </w:p>
    <w:p w14:paraId="3B5F97C7" w14:textId="048156FF" w:rsidR="003B03EB" w:rsidRPr="005E78F4" w:rsidRDefault="00223996" w:rsidP="003B03EB">
      <w:pPr>
        <w:pStyle w:val="NormalHanging12a"/>
      </w:pPr>
      <w:r>
        <w:t>55</w:t>
      </w:r>
      <w:r w:rsidR="003B03EB" w:rsidRPr="005E78F4">
        <w:t>.</w:t>
      </w:r>
      <w:r w:rsidR="003B03EB" w:rsidRPr="005E78F4">
        <w:tab/>
        <w:t xml:space="preserve">oceňuje úsilie Európskej prokuratúry a úradu OLAF bojovať proti organizovanému </w:t>
      </w:r>
      <w:r w:rsidR="003B03EB" w:rsidRPr="005E78F4">
        <w:lastRenderedPageBreak/>
        <w:t>využívaniu nedostatkov v colných kontrolách Únie; podporuje ďalšie posilnenie operačnej kapacity a odborných znalostí Európskej prokuratúry na boj proti vzorcom organizovanej trestnej činnosti, ktoré poškodzujú príjmy a výdavky Únie, a to aj prostredníctvom špecializovaných spoločných úloh, posilnenej výmeny spravodajských informácií a spôsobilostí v oblasti analýzy rizík;</w:t>
      </w:r>
    </w:p>
    <w:p w14:paraId="5D4E77D8" w14:textId="70F316F4" w:rsidR="003B03EB" w:rsidRPr="005E78F4" w:rsidRDefault="00223996" w:rsidP="003B03EB">
      <w:pPr>
        <w:pStyle w:val="NormalHanging12a"/>
      </w:pPr>
      <w:r>
        <w:t>56</w:t>
      </w:r>
      <w:r w:rsidR="003B03EB" w:rsidRPr="005E78F4">
        <w:t>.</w:t>
      </w:r>
      <w:r w:rsidR="003B03EB" w:rsidRPr="005E78F4">
        <w:tab/>
        <w:t xml:space="preserve">zdôrazňuje význam preventívnych opatrení v boji proti podvodom v oblasti DPH; nabáda na preskúmanie inovatívnych prístupov, ako je výber vzoriek založený na riziku a štatistická </w:t>
      </w:r>
      <w:proofErr w:type="spellStart"/>
      <w:r w:rsidR="003B03EB" w:rsidRPr="005E78F4">
        <w:t>extrapolácia</w:t>
      </w:r>
      <w:proofErr w:type="spellEnd"/>
      <w:r w:rsidR="003B03EB" w:rsidRPr="005E78F4">
        <w:t xml:space="preserve"> výsledkov kontrol na širšie súbory transakcií, pričom sa v plnej miere dodržia právne záruky a proporcionalita;</w:t>
      </w:r>
    </w:p>
    <w:p w14:paraId="26588F68" w14:textId="38C46FD3" w:rsidR="003B03EB" w:rsidRPr="005E78F4" w:rsidRDefault="00223996" w:rsidP="003B03EB">
      <w:pPr>
        <w:pStyle w:val="NormalHanging12a"/>
      </w:pPr>
      <w:r>
        <w:t>57</w:t>
      </w:r>
      <w:r w:rsidR="003B03EB" w:rsidRPr="005E78F4">
        <w:t>.</w:t>
      </w:r>
      <w:r w:rsidR="003B03EB" w:rsidRPr="005E78F4">
        <w:tab/>
        <w:t>víta návrhy na nové vlastné zdroje, ktoré predložila Komisia, a to aj ako súčasť balíka návrhov budúceho VFR, ktoré by mali byť schopné pokryť aspoň výdavky súvisiace s úrokmi a splácaním úverov v rámci Mechanizmu na podporu obnovy a odolnosti s cieľom zabezpečiť, aby takéto výdavky neobmedzovali finančné prostriedky Únie, ktoré sú k dispozícii na bežné výdavkové programy Únie; uznáva, že pokiaľ by sa existujúce návrhy nezrealizovali, mohli by sa zvážiť aj iné zdroje príjmov bez toho, aby to ohrozilo fiškálnu zodpovednosť; domnieva sa, že ako možné riešenie by sa mal preskúmať potenciál príjmov z dane z digitálnych služieb a dane z finančných transakcií;</w:t>
      </w:r>
    </w:p>
    <w:p w14:paraId="2E825EE0" w14:textId="77777777" w:rsidR="003B03EB" w:rsidRPr="005E78F4" w:rsidRDefault="003B03EB" w:rsidP="003B03EB">
      <w:pPr>
        <w:spacing w:after="240"/>
        <w:rPr>
          <w:i/>
          <w:iCs/>
        </w:rPr>
      </w:pPr>
      <w:r w:rsidRPr="005E78F4">
        <w:rPr>
          <w:i/>
        </w:rPr>
        <w:t>Odporúčania:</w:t>
      </w:r>
    </w:p>
    <w:p w14:paraId="5A7E85E6" w14:textId="6302BBC1" w:rsidR="003B03EB" w:rsidRPr="005E78F4" w:rsidRDefault="00223996" w:rsidP="003B03EB">
      <w:pPr>
        <w:pStyle w:val="NormalHanging12a"/>
      </w:pPr>
      <w:r>
        <w:t>58</w:t>
      </w:r>
      <w:r w:rsidR="003B03EB" w:rsidRPr="005E78F4">
        <w:t>.</w:t>
      </w:r>
      <w:r w:rsidR="003B03EB" w:rsidRPr="005E78F4">
        <w:tab/>
        <w:t>vyzýva Komisiu, aby najmä:</w:t>
      </w:r>
    </w:p>
    <w:p w14:paraId="42E3B02E" w14:textId="77777777" w:rsidR="003B03EB" w:rsidRPr="005E78F4" w:rsidRDefault="003B03EB" w:rsidP="005E78F4">
      <w:pPr>
        <w:pStyle w:val="NormalHanging12a"/>
        <w:widowControl/>
        <w:ind w:left="1134"/>
      </w:pPr>
      <w:r w:rsidRPr="005E78F4">
        <w:t>i)</w:t>
      </w:r>
      <w:r w:rsidRPr="005E78F4">
        <w:tab/>
        <w:t>prijala potrebné kroky na podporu včasného a účinného vykonávania colnej reformy vrátane zriadenia a počiatočnej prevádzky Colného orgánu EÚ a rozvoja, vykonávania a údržby Colného dátového centra EÚ;</w:t>
      </w:r>
    </w:p>
    <w:p w14:paraId="33EAB691" w14:textId="77777777" w:rsidR="003B03EB" w:rsidRPr="005E78F4" w:rsidRDefault="003B03EB" w:rsidP="005E78F4">
      <w:pPr>
        <w:pStyle w:val="NormalHanging12a"/>
        <w:widowControl/>
        <w:ind w:left="1134"/>
      </w:pPr>
      <w:r w:rsidRPr="005E78F4">
        <w:t>ii)</w:t>
      </w:r>
      <w:r w:rsidRPr="005E78F4">
        <w:tab/>
        <w:t>zintenzívnila spoluprácu v colnej oblasti s inými krajinami mimo Únie s cieľom uľahčiť obchod a zintenzívniť boj proti cezhraničným daňovým a colným podvodom;</w:t>
      </w:r>
    </w:p>
    <w:p w14:paraId="4E6ABB0E" w14:textId="77777777" w:rsidR="003B03EB" w:rsidRPr="005E78F4" w:rsidRDefault="003B03EB" w:rsidP="005E78F4">
      <w:pPr>
        <w:pStyle w:val="NormalHanging12a"/>
        <w:widowControl/>
        <w:ind w:left="1134"/>
      </w:pPr>
      <w:r w:rsidRPr="005E78F4">
        <w:t>iii)</w:t>
      </w:r>
      <w:r w:rsidRPr="005E78F4">
        <w:tab/>
        <w:t>zintenzívnila úsilie o zlepšenie výberu existujúcich zdrojov príjmov Únie, a to aj zdrojov príjmov z elektronického obchodu tým, že sa bude zaoberať zvyšnými nedostatkami, ktoré zistil Dvor audítorov, najmä tými, ktoré súvisia s dlhodobo nevyriešenými otázkami týkajúcimi sa výhrad k DPH a otvorených bodov, pokiaľ ide o tradičné vlastné zdroje (TVZ);</w:t>
      </w:r>
    </w:p>
    <w:p w14:paraId="6F96F4E1" w14:textId="77777777" w:rsidR="003B03EB" w:rsidRPr="005E78F4" w:rsidRDefault="003B03EB" w:rsidP="005E78F4">
      <w:pPr>
        <w:pStyle w:val="NormalHanging12a"/>
        <w:widowControl/>
        <w:ind w:left="1134"/>
      </w:pPr>
      <w:r w:rsidRPr="005E78F4">
        <w:t>iv)</w:t>
      </w:r>
      <w:r w:rsidRPr="005E78F4">
        <w:tab/>
        <w:t>pokračovala v úsilí o zavedenie ďalších nových vlastných zdrojov;</w:t>
      </w:r>
    </w:p>
    <w:p w14:paraId="0D3D520E" w14:textId="77777777" w:rsidR="003B03EB" w:rsidRPr="005E78F4" w:rsidRDefault="003B03EB" w:rsidP="005E78F4">
      <w:pPr>
        <w:pStyle w:val="NormalHanging12a"/>
        <w:widowControl/>
        <w:ind w:left="1134"/>
      </w:pPr>
      <w:r w:rsidRPr="005E78F4">
        <w:t>v)</w:t>
      </w:r>
      <w:r w:rsidRPr="005E78F4">
        <w:tab/>
        <w:t>naďalej riešila hlavné výzvy spočívajúce vo výpadku cla, ktoré pre colné orgány predstavuje rýchly rast elektronického obchodu; poskytla primerané ľudské, technické a finančné zdroje;</w:t>
      </w:r>
    </w:p>
    <w:p w14:paraId="04818F5F" w14:textId="77777777" w:rsidR="003B03EB" w:rsidRPr="005E78F4" w:rsidRDefault="003B03EB" w:rsidP="003B03EB">
      <w:pPr>
        <w:spacing w:after="240"/>
        <w:ind w:left="567" w:hanging="567"/>
        <w:rPr>
          <w:b/>
        </w:rPr>
      </w:pPr>
      <w:bookmarkStart w:id="408" w:name="_Toc185595112"/>
      <w:r w:rsidRPr="005E78F4">
        <w:rPr>
          <w:b/>
        </w:rPr>
        <w:t>Jednotný trh, inovácie a digitálna ekonomika</w:t>
      </w:r>
      <w:bookmarkEnd w:id="408"/>
    </w:p>
    <w:p w14:paraId="7965F065" w14:textId="7AE9CD9A" w:rsidR="003B03EB" w:rsidRPr="005E78F4" w:rsidRDefault="00A147F8" w:rsidP="003B03EB">
      <w:pPr>
        <w:pStyle w:val="NormalHanging12a"/>
      </w:pPr>
      <w:r>
        <w:rPr>
          <w:shd w:val="clear" w:color="auto" w:fill="FFFFFF"/>
        </w:rPr>
        <w:t>59</w:t>
      </w:r>
      <w:r w:rsidR="003B03EB" w:rsidRPr="005E78F4">
        <w:rPr>
          <w:shd w:val="clear" w:color="auto" w:fill="FFFFFF"/>
        </w:rPr>
        <w:t>.</w:t>
      </w:r>
      <w:r w:rsidR="003B03EB" w:rsidRPr="005E78F4">
        <w:rPr>
          <w:shd w:val="clear" w:color="auto" w:fill="FFFFFF"/>
        </w:rPr>
        <w:tab/>
        <w:t xml:space="preserve">konštatuje, </w:t>
      </w:r>
      <w:r w:rsidR="003B03EB" w:rsidRPr="005E78F4">
        <w:t>že</w:t>
      </w:r>
      <w:r w:rsidR="003B03EB" w:rsidRPr="005E78F4">
        <w:rPr>
          <w:shd w:val="clear" w:color="auto" w:fill="FFFFFF"/>
        </w:rPr>
        <w:t xml:space="preserve"> rozpočet na programy v rámci okruhu 1 VFR „Jednotný trh, inovácie a digitálna ekonomika“ predstavoval 25,9 miliardy EUR (13,5 % rozpočtu Únie) rozdelených </w:t>
      </w:r>
      <w:r w:rsidR="003B03EB" w:rsidRPr="005E78F4">
        <w:t xml:space="preserve">takto: 14,9 miliardy EUR (57,6 %) na Výskum, 4,1 miliardy EUR (15,9 %) na Dopravu, energetiku a digitálnu ekonomiku, 3,1 miliardy EUR (11,9 %) na Program </w:t>
      </w:r>
      <w:proofErr w:type="spellStart"/>
      <w:r w:rsidR="003B03EB" w:rsidRPr="005E78F4">
        <w:t>InvestEU</w:t>
      </w:r>
      <w:proofErr w:type="spellEnd"/>
      <w:r w:rsidR="003B03EB" w:rsidRPr="005E78F4">
        <w:t>, 2,3 miliardy EUR (8,8 %) na Vesmír a 1,5 miliardy EUR (5,8 %) na iné oblasti;</w:t>
      </w:r>
    </w:p>
    <w:p w14:paraId="56C45E6E" w14:textId="76817BC3" w:rsidR="003B03EB" w:rsidRPr="005E78F4" w:rsidRDefault="00A147F8" w:rsidP="003B03EB">
      <w:pPr>
        <w:pStyle w:val="NormalHanging12a"/>
        <w:rPr>
          <w:bCs/>
          <w:shd w:val="clear" w:color="auto" w:fill="FFFFFF"/>
        </w:rPr>
      </w:pPr>
      <w:r>
        <w:lastRenderedPageBreak/>
        <w:t>60</w:t>
      </w:r>
      <w:r w:rsidR="003B03EB" w:rsidRPr="005E78F4">
        <w:t>.</w:t>
      </w:r>
      <w:r w:rsidR="003B03EB" w:rsidRPr="005E78F4">
        <w:tab/>
        <w:t>berie na vedomie, že Dvor audítorov preskúmal 127 transakcií, ktoré zahŕňali celé spektrum výdavkov v rámci tohto okruhu VFR; so znepokojením konštatuje, že 32 (25 %) zo 127 transakcií, ktoré Dvor audítorov preskúmal, obsahovalo chyby; vyjadruje poľutovanie nad tým, že na základe 28 vyčísliteľných chýb, ktoré zistil Dvor audítorov, a ďalších chýb zistených v transakciách okruhu 1 VFR, ktoré uskutočnili agentúry Únie, spoločné podniky a Európsky inovačný a technologický inštitút, Dvor audítorov odhaduje, že úroveň chybovosti vo výdavkoch v okruhu Jednotný trh, inovácie a digitálna ekonomika v roku 2024 bola významná, a to na úrovni 3,2 %; konštatuje tiež, že Komisia odhaduje riziko pri platbe v tomto okruhu na 1,6 %, čo je v dolnej polovici rozsahu odhadu Dvora audítorov;</w:t>
      </w:r>
    </w:p>
    <w:p w14:paraId="46679906" w14:textId="6075DA8E" w:rsidR="003B03EB" w:rsidRPr="005E78F4" w:rsidRDefault="00A147F8" w:rsidP="003B03EB">
      <w:pPr>
        <w:pStyle w:val="NormalHanging12a"/>
      </w:pPr>
      <w:r>
        <w:t>61</w:t>
      </w:r>
      <w:r w:rsidR="003B03EB" w:rsidRPr="005E78F4">
        <w:t>.</w:t>
      </w:r>
      <w:r w:rsidR="003B03EB" w:rsidRPr="005E78F4">
        <w:tab/>
        <w:t>berie na vedomie kategorizáciu chýb Dvorom audítorov, pričom neoprávnené priame náklady na zamestnancov predstavujú 76 % chýb, neoprávnené iné priame náklady (DPH, cestovné náklady, vybavenie) 18 %, neoprávnené subdodávky 4 % a neoprávnené nepriame náklady 2 %;</w:t>
      </w:r>
    </w:p>
    <w:p w14:paraId="0F6646B6" w14:textId="244E5706" w:rsidR="003B03EB" w:rsidRPr="005E78F4" w:rsidRDefault="00A147F8" w:rsidP="003B03EB">
      <w:pPr>
        <w:pStyle w:val="NormalHanging12a"/>
        <w:rPr>
          <w:bCs/>
        </w:rPr>
      </w:pPr>
      <w:r>
        <w:t>62</w:t>
      </w:r>
      <w:r w:rsidR="003B03EB" w:rsidRPr="005E78F4">
        <w:t>.</w:t>
      </w:r>
      <w:r w:rsidR="003B03EB" w:rsidRPr="005E78F4">
        <w:tab/>
        <w:t>so znepokojením berie na vedomie pripomienku Dvora audítorov, že výskum je naďalej vysoko rizikovou oblasťou výdavkov, najmä v oblasti nákladov na zamestnancov; konštatuje, že Dvor audítorov zistil vyčísliteľné chyby v 26 z 99 transakcií v oblasti výskumu a inovácií, ktoré vybral do vzorky; uznáva, že spôsob vyplácania finančných prostriedkov má vplyv na riziko chýb a na zložité pravidlá spojené s financovaním založeným na preplatení nákladov, ktoré sa vo všeobecnosti používa v oblasti výskumu; v tejto súvislosti zdôrazňuje, že je potrebné zjednodušiť pravidlá, ktorými sa riadia výskumné a inovačné programy EÚ, aby sa znížilo riziko chýb a zároveň sa uľahčil prístup príjemcov, najmä MSP, k finančným prostriedkom Únie;</w:t>
      </w:r>
    </w:p>
    <w:p w14:paraId="61B36B30" w14:textId="6C6D480F" w:rsidR="003B03EB" w:rsidRPr="005E78F4" w:rsidRDefault="00A147F8" w:rsidP="003B03EB">
      <w:pPr>
        <w:pStyle w:val="NormalHanging12a"/>
        <w:rPr>
          <w:bCs/>
        </w:rPr>
      </w:pPr>
      <w:r>
        <w:t>63</w:t>
      </w:r>
      <w:r w:rsidR="003B03EB" w:rsidRPr="005E78F4">
        <w:t>.</w:t>
      </w:r>
      <w:r w:rsidR="003B03EB" w:rsidRPr="005E78F4">
        <w:tab/>
        <w:t>konštatuje, že Dvor audítorov zistil aj niekoľko závažných problémov v projektoch Nástroja na prepájanie Európy (NPE) vrátane vykazovania nepriamych nákladov, nezrovnalostí medzi vykázanými a skutočnými platbami a nevyhovujúcich postupov verejného obstarávania, a vyzýva na prísne dodržiavanie pravidiel oprávnenosti nákladov a správneho finančného riadenia u všetkých partnerov; zdôrazňuje tiež, že tieto otázky treba zohľadniť v kontexte budúceho nariadenia o NPE (2028 – 2034), aby sa zvýšila transparentnosť pri vykonávaní projektov NPE a posilnila ich pridaná hodnota EÚ;</w:t>
      </w:r>
    </w:p>
    <w:p w14:paraId="3B23FDAF" w14:textId="37726135" w:rsidR="003B03EB" w:rsidRPr="005E78F4" w:rsidRDefault="00A147F8" w:rsidP="003B03EB">
      <w:pPr>
        <w:pStyle w:val="NormalHanging12a"/>
        <w:rPr>
          <w:bCs/>
        </w:rPr>
      </w:pPr>
      <w:r>
        <w:t>64</w:t>
      </w:r>
      <w:r w:rsidR="003B03EB" w:rsidRPr="005E78F4">
        <w:t>.</w:t>
      </w:r>
      <w:r w:rsidR="003B03EB" w:rsidRPr="005E78F4">
        <w:tab/>
        <w:t xml:space="preserve">víta skutočnosť, že Dvor audítorov vo svojej výročnej správe za rok 2024 posúdil aj informácie o výkonnosti týkajúce sa okruhu 1 VFR, ktoré boli uvedené vo vyhláseniach o výkonnosti programov vo výročnej správe o riadení a výkonnosti za rok 2023, ktoré vypracovala Komisia; oceňuje celkový záver Dvora audítorov, že koncepcia ukazovateľov výkonnosti sa v porovnaní s programovým obdobím 2014 – 2020 zlepšila, a to vrátane rovnováhy rôznych druhov ukazovateľov (vstupov, výstupov, výsledkov a vplyvu) v prípade programov Horizont Európa, Vesmírny program EÚ a </w:t>
      </w:r>
      <w:proofErr w:type="spellStart"/>
      <w:r w:rsidR="003B03EB" w:rsidRPr="005E78F4">
        <w:t>InvestEU</w:t>
      </w:r>
      <w:proofErr w:type="spellEnd"/>
      <w:r w:rsidR="003B03EB" w:rsidRPr="005E78F4">
        <w:t>; so znepokojením konštatuje, že právne predpisy Nástroja na prepájanie Európy (NPE) na roky 2021 – 2027 nezahŕňajú ukazovatele výsledkov alebo ukazovatele vplyvu;</w:t>
      </w:r>
    </w:p>
    <w:p w14:paraId="6EC7F5F8" w14:textId="3A080E8A" w:rsidR="003B03EB" w:rsidRPr="005E78F4" w:rsidRDefault="00A147F8" w:rsidP="003B03EB">
      <w:pPr>
        <w:pStyle w:val="NormalHanging12a"/>
        <w:rPr>
          <w:bCs/>
        </w:rPr>
      </w:pPr>
      <w:r>
        <w:t>65</w:t>
      </w:r>
      <w:r w:rsidR="003B03EB" w:rsidRPr="005E78F4">
        <w:t>.</w:t>
      </w:r>
      <w:r w:rsidR="003B03EB" w:rsidRPr="005E78F4">
        <w:tab/>
        <w:t xml:space="preserve">vyjadruje znepokojenie nad tým, že Dvor audítorov zistil nedostatky vo </w:t>
      </w:r>
      <w:proofErr w:type="spellStart"/>
      <w:r w:rsidR="003B03EB" w:rsidRPr="005E78F4">
        <w:t>vysledovateľnosti</w:t>
      </w:r>
      <w:proofErr w:type="spellEnd"/>
      <w:r w:rsidR="003B03EB" w:rsidRPr="005E78F4">
        <w:t xml:space="preserve"> vykazovaných výsledkov, najmä v prípade programu Horizont 2020; zdôrazňuje význam overovania a zabezpečenia </w:t>
      </w:r>
      <w:proofErr w:type="spellStart"/>
      <w:r w:rsidR="003B03EB" w:rsidRPr="005E78F4">
        <w:t>vysledovateľnosti</w:t>
      </w:r>
      <w:proofErr w:type="spellEnd"/>
      <w:r w:rsidR="003B03EB" w:rsidRPr="005E78F4">
        <w:t xml:space="preserve"> a spoľahlivosti údajov používaných na stanovenie ukazovateľov výkonnosti; konštatuje, že v dôsledku zavedenia a zvýšeného využívania zjednodušeného vykazovania nákladov a modelov </w:t>
      </w:r>
      <w:r w:rsidR="003B03EB" w:rsidRPr="005E78F4">
        <w:lastRenderedPageBreak/>
        <w:t xml:space="preserve">financovania, ktoré nie je spojené s nákladmi, je nutné riešiť nedostatky vo </w:t>
      </w:r>
      <w:proofErr w:type="spellStart"/>
      <w:r w:rsidR="003B03EB" w:rsidRPr="005E78F4">
        <w:t>vysledovateľnosti</w:t>
      </w:r>
      <w:proofErr w:type="spellEnd"/>
      <w:r w:rsidR="003B03EB" w:rsidRPr="005E78F4">
        <w:t xml:space="preserve"> a v spoľahlivosti údajov o výkonnosti, aby sa chránili finančné záujmy Únie;</w:t>
      </w:r>
    </w:p>
    <w:p w14:paraId="08340B4E" w14:textId="62228744" w:rsidR="003B03EB" w:rsidRPr="005E78F4" w:rsidRDefault="00A147F8" w:rsidP="003B03EB">
      <w:pPr>
        <w:pStyle w:val="NormalHanging12a"/>
        <w:rPr>
          <w:bCs/>
        </w:rPr>
      </w:pPr>
      <w:r>
        <w:t>66</w:t>
      </w:r>
      <w:r w:rsidR="003B03EB" w:rsidRPr="005E78F4">
        <w:t>.</w:t>
      </w:r>
      <w:r w:rsidR="003B03EB" w:rsidRPr="005E78F4">
        <w:tab/>
        <w:t xml:space="preserve">so znepokojením berie na vedomie zistenie Dvora audítorov, že Komisia nemohla poskytnúť informácie na úrovni projektov pre Program </w:t>
      </w:r>
      <w:proofErr w:type="spellStart"/>
      <w:r w:rsidR="003B03EB" w:rsidRPr="005E78F4">
        <w:t>InvestEU</w:t>
      </w:r>
      <w:proofErr w:type="spellEnd"/>
      <w:r w:rsidR="003B03EB" w:rsidRPr="005E78F4">
        <w:t xml:space="preserve">, keďže program sa realizuje prostredníctvom nepriameho riadenia, ktoré dopĺňajú monitorovacie návštevy; vyjadruje poľutovanie nad odpoveďou Komisie, že implementujúci partneri Programu </w:t>
      </w:r>
      <w:proofErr w:type="spellStart"/>
      <w:r w:rsidR="003B03EB" w:rsidRPr="005E78F4">
        <w:t>InvestEU</w:t>
      </w:r>
      <w:proofErr w:type="spellEnd"/>
      <w:r w:rsidR="003B03EB" w:rsidRPr="005E78F4">
        <w:t xml:space="preserve"> nie sú podľa dohôd o záruke ani podľa nariadenia o Programe </w:t>
      </w:r>
      <w:proofErr w:type="spellStart"/>
      <w:r w:rsidR="003B03EB" w:rsidRPr="005E78F4">
        <w:t>InvestEU</w:t>
      </w:r>
      <w:proofErr w:type="spellEnd"/>
      <w:r w:rsidR="003B03EB" w:rsidRPr="005E78F4">
        <w:t xml:space="preserve"> povinní vykazovať kľúčové ukazovatele výkonnosti (KPI) na úrovni projektov; zdôrazňuje, že údaje na úrovni projektov by mali byť základom lepšieho podávania správ o výkonnosti finančných nástrojov implementovaných v rámci nepriameho riadenia, ako je Program </w:t>
      </w:r>
      <w:proofErr w:type="spellStart"/>
      <w:r w:rsidR="003B03EB" w:rsidRPr="005E78F4">
        <w:t>InvestEU</w:t>
      </w:r>
      <w:proofErr w:type="spellEnd"/>
      <w:r w:rsidR="003B03EB" w:rsidRPr="005E78F4">
        <w:t xml:space="preserve">; zdôrazňuje, že Európska investičná banka (EIB) ako hlavný implementujúci partner Programu </w:t>
      </w:r>
      <w:proofErr w:type="spellStart"/>
      <w:r w:rsidR="003B03EB" w:rsidRPr="005E78F4">
        <w:t>InvestEU</w:t>
      </w:r>
      <w:proofErr w:type="spellEnd"/>
      <w:r w:rsidR="003B03EB" w:rsidRPr="005E78F4">
        <w:t xml:space="preserve"> musí dodržiavať najvyššie štandardy transparentnosti a zodpovednosti;</w:t>
      </w:r>
    </w:p>
    <w:p w14:paraId="4FA26B81" w14:textId="61AC3250" w:rsidR="003B03EB" w:rsidRPr="005E78F4" w:rsidRDefault="00A147F8" w:rsidP="003B03EB">
      <w:pPr>
        <w:pStyle w:val="NormalHanging12a"/>
        <w:rPr>
          <w:bCs/>
        </w:rPr>
      </w:pPr>
      <w:r>
        <w:t>67</w:t>
      </w:r>
      <w:r w:rsidR="003B03EB" w:rsidRPr="005E78F4">
        <w:t>.</w:t>
      </w:r>
      <w:r w:rsidR="003B03EB" w:rsidRPr="005E78F4">
        <w:tab/>
        <w:t xml:space="preserve">vyjadruje znepokojenie nad tým, že Dvor audítorov zistil, že pokrok pri dosahovaní cieľov kľúčových ukazovateľov výkonnosti bol vo všeobecnosti menší, než zhodnotila Komisia; konštatuje, že programy VFR na roky 2021 – 2027 sú väčšinou na dobrej ceste k dosiahnutiu cieľov, zatiaľ čo programy na roky 2014 – 2020 splnili svoje ciele len čiastočne; so znepokojením berie na vedomie záver Dvora audítorov, že menej ako polovica ukazovateľov výkonnosti programu Horizont 2020 a NPE na roky 2014 – 2020 naznačuje, že výsledky boli dosiahnuté alebo ich dosiahnutie je na dobrej ceste; konštatuje, že v prípade Programu </w:t>
      </w:r>
      <w:proofErr w:type="spellStart"/>
      <w:r w:rsidR="003B03EB" w:rsidRPr="005E78F4">
        <w:t>InvestEU</w:t>
      </w:r>
      <w:proofErr w:type="spellEnd"/>
      <w:r w:rsidR="003B03EB" w:rsidRPr="005E78F4">
        <w:t xml:space="preserve"> 50 % ukazovateľov uvedených vo vyhláseniach o výkonnosti programov nemalo stanovený cieľ; berie na vedomie odpoveď Komisie, že vzhľadom na trhovo a dopytovo orientovanú povahu finančných nástrojov, ako je Program </w:t>
      </w:r>
      <w:proofErr w:type="spellStart"/>
      <w:r w:rsidR="003B03EB" w:rsidRPr="005E78F4">
        <w:t>InvestEU</w:t>
      </w:r>
      <w:proofErr w:type="spellEnd"/>
      <w:r w:rsidR="003B03EB" w:rsidRPr="005E78F4">
        <w:t>, výkonnosť takýchto programov závisí od ich prijatia na trhu, čo obmedzuje schopnosť Komisie stanoviť vopred vymedzené míľniky a ciele;</w:t>
      </w:r>
    </w:p>
    <w:p w14:paraId="2503083C" w14:textId="26131582" w:rsidR="003B03EB" w:rsidRPr="005E78F4" w:rsidRDefault="00A147F8" w:rsidP="003B03EB">
      <w:pPr>
        <w:pStyle w:val="NormalHanging12a"/>
        <w:rPr>
          <w:bCs/>
        </w:rPr>
      </w:pPr>
      <w:r>
        <w:t>68</w:t>
      </w:r>
      <w:r w:rsidR="003B03EB" w:rsidRPr="005E78F4">
        <w:t>.</w:t>
      </w:r>
      <w:r w:rsidR="003B03EB" w:rsidRPr="005E78F4">
        <w:tab/>
        <w:t xml:space="preserve">pripomína význam programov Únie na financovanie výskumu a inovácií pre vedecký, spoločenský, hospodársky a technologický rozvoj Únie, zodpovedajúce reakcie na vznikajúce priority a výzvy, zníženie nerovností, dosiahnutie zelenej a digitálnej transformácie a zníženie energetickej závislosti Únie od Ruska; zdôrazňuje, že na posilnenie konkurencieschopnosti, vedúceho postavenia Únie v oblasti technológií a jej strategickej autonómie a na preklenutie inovačnej priepasti oproti svetovým konkurentom je potrebné zvýšiť financovanie výskumu a inovácií a nutné vyvíjať väčšie a cielenejšie investičné úsilie v oblasti výskumu a inovácií v kombinácii so znížením administratívnej záťaže a lepšou mobilizáciou súkromného kapitálu, a to aj so zreteľom na príslušné odporúčania uvedené v </w:t>
      </w:r>
      <w:proofErr w:type="spellStart"/>
      <w:r w:rsidR="003B03EB" w:rsidRPr="005E78F4">
        <w:t>Draghiho</w:t>
      </w:r>
      <w:proofErr w:type="spellEnd"/>
      <w:r w:rsidR="003B03EB" w:rsidRPr="005E78F4">
        <w:t xml:space="preserve"> správe; pripomína, že </w:t>
      </w:r>
      <w:proofErr w:type="spellStart"/>
      <w:r w:rsidR="003B03EB" w:rsidRPr="005E78F4">
        <w:t>Draghiho</w:t>
      </w:r>
      <w:proofErr w:type="spellEnd"/>
      <w:r w:rsidR="003B03EB" w:rsidRPr="005E78F4">
        <w:t xml:space="preserve"> správa zdôrazňuje, že </w:t>
      </w:r>
      <w:proofErr w:type="spellStart"/>
      <w:r w:rsidR="003B03EB" w:rsidRPr="005E78F4">
        <w:t>excelentnosť</w:t>
      </w:r>
      <w:proofErr w:type="spellEnd"/>
      <w:r w:rsidR="003B03EB" w:rsidRPr="005E78F4">
        <w:t xml:space="preserve"> vo výskume a inováciách je základom konkurencieschopnosti Únie a že v rámci systému výskumu a inovácií Únie vrátane programu Horizont Európa by malo existovať len jedno kritérium výberu, a to </w:t>
      </w:r>
      <w:proofErr w:type="spellStart"/>
      <w:r w:rsidR="003B03EB" w:rsidRPr="005E78F4">
        <w:t>excelentnosť</w:t>
      </w:r>
      <w:proofErr w:type="spellEnd"/>
      <w:r w:rsidR="003B03EB" w:rsidRPr="005E78F4">
        <w:t xml:space="preserve">; v tejto súvislosti opakuje svoje stanovisko, že financovanie výskumu a inovácií by sa malo naďalej riadiť zásadou </w:t>
      </w:r>
      <w:proofErr w:type="spellStart"/>
      <w:r w:rsidR="003B03EB" w:rsidRPr="005E78F4">
        <w:t>excelentnosti</w:t>
      </w:r>
      <w:proofErr w:type="spellEnd"/>
      <w:r w:rsidR="003B03EB" w:rsidRPr="005E78F4">
        <w:t xml:space="preserve"> a malo by zostať založené na zásluhách;</w:t>
      </w:r>
    </w:p>
    <w:p w14:paraId="005FAD82" w14:textId="452CEC06" w:rsidR="003B03EB" w:rsidRPr="005E78F4" w:rsidRDefault="00A147F8" w:rsidP="003B03EB">
      <w:pPr>
        <w:pStyle w:val="NormalHanging12a"/>
        <w:rPr>
          <w:bCs/>
        </w:rPr>
      </w:pPr>
      <w:r>
        <w:t>69</w:t>
      </w:r>
      <w:r w:rsidR="003B03EB" w:rsidRPr="005E78F4">
        <w:t>.</w:t>
      </w:r>
      <w:r w:rsidR="003B03EB" w:rsidRPr="005E78F4">
        <w:tab/>
        <w:t xml:space="preserve">konštatuje, že v </w:t>
      </w:r>
      <w:r w:rsidR="003B03EB" w:rsidRPr="005E78F4">
        <w:rPr>
          <w:i/>
          <w:iCs/>
        </w:rPr>
        <w:t>ex post</w:t>
      </w:r>
      <w:r w:rsidR="003B03EB" w:rsidRPr="005E78F4">
        <w:t xml:space="preserve"> hodnotení programu Horizont 2020 sa odhadlo, že za každé euro nákladov spojených s týmto programom by sa do roku 2040 vytvorili prínosy pre spoločnosť v hodnote päť eur; vyjadruje hlboké poľutovanie nad tým, že 74 % návrhov, ktoré nezávislí experti vyhodnotili ako vysokokvalitné, nebolo možné financovať z </w:t>
      </w:r>
      <w:r w:rsidR="003B03EB" w:rsidRPr="005E78F4">
        <w:lastRenderedPageBreak/>
        <w:t xml:space="preserve">dôvodu rozpočtových obmedzení; konštatuje, že na financovanie všetkých vysokokvalitných návrhov by bolo potrebných ďalších 159 miliárd EUR; zdôrazňuje, že je dôležité zabezpečiť dostatočné financovanie výskumu a inovácií Únie s cieľom posilniť udržateľnú prosperitu a konkurencieschopnosť EÚ; zdôrazňuje význam plnohodnotného využívania známky </w:t>
      </w:r>
      <w:proofErr w:type="spellStart"/>
      <w:r w:rsidR="003B03EB" w:rsidRPr="005E78F4">
        <w:t>excelentnosti</w:t>
      </w:r>
      <w:proofErr w:type="spellEnd"/>
      <w:r w:rsidR="003B03EB" w:rsidRPr="005E78F4">
        <w:t xml:space="preserve"> a ďalších doplnkových nástrojov financovania z prostriedkov Únie a z vnútroštátnych prostriedkov, a to aj v rámci politiky súdržnosti, na podporu vysokokvalitných, ale nefinancovaných výskumných a inovačných projektov a na posilnenie regionálnych inovačných ekosystémov v celej Únii;</w:t>
      </w:r>
    </w:p>
    <w:p w14:paraId="7190012E" w14:textId="67678D2D" w:rsidR="003B03EB" w:rsidRPr="005E78F4" w:rsidRDefault="00A147F8" w:rsidP="003B03EB">
      <w:pPr>
        <w:pStyle w:val="NormalHanging12a"/>
        <w:rPr>
          <w:bCs/>
        </w:rPr>
      </w:pPr>
      <w:r>
        <w:t>70</w:t>
      </w:r>
      <w:r w:rsidR="003B03EB" w:rsidRPr="005E78F4">
        <w:t>.</w:t>
      </w:r>
      <w:r w:rsidR="003B03EB" w:rsidRPr="005E78F4">
        <w:tab/>
        <w:t xml:space="preserve">zdôrazňuje, že je dôležité zjednodušiť pravidlá a postupy upravujúce financovanie výskumu a inovácií z prostriedkov Únie, aby sa uľahčil prístup príjemcov k financovaniu a vykonávaniu programov; zdôrazňuje, že opatrenia na zjednodušenie by mali byť navrhované tak, aby boli prospešné pre žiadateľov a príjemcov, a to aj </w:t>
      </w:r>
      <w:proofErr w:type="spellStart"/>
      <w:r w:rsidR="003B03EB" w:rsidRPr="005E78F4">
        <w:t>prvožiadateľov</w:t>
      </w:r>
      <w:proofErr w:type="spellEnd"/>
      <w:r w:rsidR="003B03EB" w:rsidRPr="005E78F4">
        <w:t>, malé a stredné podniky a univerzity, pričom by sa mali podporovať menšie a flexibilnejšie konzorciá, modulárne projektové štruktúry a postupná účasť s cieľom uľahčiť širšiu účasť a účinné začlenenie na všetkých územiach Únie; je znepokojený zistením Dvora audítorov, že napriek zjednodušeniam zavedeným v rámci programu Horizont Európa s cieľom uľahčiť príjemcom vykazovanie nákladov Dvor audítorov nezistil žiadne významné rozdiely medzi programom Horizont 2020 a programom Horizont Európa, pokiaľ ide o správnosť výdavkov;</w:t>
      </w:r>
    </w:p>
    <w:p w14:paraId="3C8A4151" w14:textId="0A9FDFE0" w:rsidR="003B03EB" w:rsidRPr="005E78F4" w:rsidRDefault="00A147F8" w:rsidP="003B03EB">
      <w:pPr>
        <w:pStyle w:val="NormalHanging12a"/>
        <w:rPr>
          <w:bCs/>
          <w:shd w:val="clear" w:color="auto" w:fill="FFFFFF"/>
        </w:rPr>
      </w:pPr>
      <w:r>
        <w:rPr>
          <w:shd w:val="clear" w:color="auto" w:fill="FFFFFF"/>
        </w:rPr>
        <w:t>71</w:t>
      </w:r>
      <w:r w:rsidR="003B03EB" w:rsidRPr="005E78F4">
        <w:rPr>
          <w:shd w:val="clear" w:color="auto" w:fill="FFFFFF"/>
        </w:rPr>
        <w:t>.</w:t>
      </w:r>
      <w:r w:rsidR="003B03EB" w:rsidRPr="005E78F4">
        <w:rPr>
          <w:shd w:val="clear" w:color="auto" w:fill="FFFFFF"/>
        </w:rPr>
        <w:tab/>
        <w:t xml:space="preserve">berie na vedomie zistenie Dvora audítorov, že Komisia vykonala väčšinu svojich odporúčaní z predchádzajúcich rokov; vyjadruje však znepokojenie nad tým, že v čase auditu Dvora audítorov ešte nebol pripravený nástroj </w:t>
      </w:r>
      <w:proofErr w:type="spellStart"/>
      <w:r w:rsidR="003B03EB" w:rsidRPr="005E78F4">
        <w:rPr>
          <w:shd w:val="clear" w:color="auto" w:fill="FFFFFF"/>
        </w:rPr>
        <w:t>Personnel</w:t>
      </w:r>
      <w:proofErr w:type="spellEnd"/>
      <w:r w:rsidR="003B03EB" w:rsidRPr="005E78F4">
        <w:rPr>
          <w:shd w:val="clear" w:color="auto" w:fill="FFFFFF"/>
        </w:rPr>
        <w:t xml:space="preserve"> </w:t>
      </w:r>
      <w:proofErr w:type="spellStart"/>
      <w:r w:rsidR="003B03EB" w:rsidRPr="005E78F4">
        <w:rPr>
          <w:shd w:val="clear" w:color="auto" w:fill="FFFFFF"/>
        </w:rPr>
        <w:t>Costs</w:t>
      </w:r>
      <w:proofErr w:type="spellEnd"/>
      <w:r w:rsidR="003B03EB" w:rsidRPr="005E78F4">
        <w:rPr>
          <w:shd w:val="clear" w:color="auto" w:fill="FFFFFF"/>
        </w:rPr>
        <w:t xml:space="preserve"> </w:t>
      </w:r>
      <w:proofErr w:type="spellStart"/>
      <w:r w:rsidR="003B03EB" w:rsidRPr="005E78F4">
        <w:rPr>
          <w:shd w:val="clear" w:color="auto" w:fill="FFFFFF"/>
        </w:rPr>
        <w:t>Wizard</w:t>
      </w:r>
      <w:proofErr w:type="spellEnd"/>
      <w:r w:rsidR="003B03EB" w:rsidRPr="005E78F4">
        <w:rPr>
          <w:shd w:val="clear" w:color="auto" w:fill="FFFFFF"/>
        </w:rPr>
        <w:t xml:space="preserve"> (sprievodca nákladmi na zamestnancov), ktorého používanie Dvor audítorov dôrazne podporuje, najmä v prípade určitej kategórie príjemcov, ktorí sú náchylnejší na chyby, ako sú MSP a noví účastníci; berie na vedomie zistenie Dvora audítorov, že v prípade piatich z 34 transakcií programu Horizont Európa vo vzorke za rok 2024 príjemcovia buď stále vypočítavali náklady na zamestnancov metódou uplatniteľnou na program Horizont 2020, alebo nedodržiavali v plnej miere nové pravidlá platné pre program Horizont Európa; domnieva sa, že vývoj a používanie nástrojov, ako je </w:t>
      </w:r>
      <w:proofErr w:type="spellStart"/>
      <w:r w:rsidR="003B03EB" w:rsidRPr="005E78F4">
        <w:rPr>
          <w:shd w:val="clear" w:color="auto" w:fill="FFFFFF"/>
        </w:rPr>
        <w:t>Personnel</w:t>
      </w:r>
      <w:proofErr w:type="spellEnd"/>
      <w:r w:rsidR="003B03EB" w:rsidRPr="005E78F4">
        <w:rPr>
          <w:shd w:val="clear" w:color="auto" w:fill="FFFFFF"/>
        </w:rPr>
        <w:t xml:space="preserve"> </w:t>
      </w:r>
      <w:proofErr w:type="spellStart"/>
      <w:r w:rsidR="003B03EB" w:rsidRPr="005E78F4">
        <w:rPr>
          <w:shd w:val="clear" w:color="auto" w:fill="FFFFFF"/>
        </w:rPr>
        <w:t>Costs</w:t>
      </w:r>
      <w:proofErr w:type="spellEnd"/>
      <w:r w:rsidR="003B03EB" w:rsidRPr="005E78F4">
        <w:rPr>
          <w:shd w:val="clear" w:color="auto" w:fill="FFFFFF"/>
        </w:rPr>
        <w:t xml:space="preserve"> </w:t>
      </w:r>
      <w:proofErr w:type="spellStart"/>
      <w:r w:rsidR="003B03EB" w:rsidRPr="005E78F4">
        <w:rPr>
          <w:shd w:val="clear" w:color="auto" w:fill="FFFFFF"/>
        </w:rPr>
        <w:t>Wizard</w:t>
      </w:r>
      <w:proofErr w:type="spellEnd"/>
      <w:r w:rsidR="003B03EB" w:rsidRPr="005E78F4">
        <w:rPr>
          <w:shd w:val="clear" w:color="auto" w:fill="FFFFFF"/>
        </w:rPr>
        <w:t>, by mohli príjemcom pomôcť uplatňovať správne pravidlá výpočtu nákladov na zamestnancov, ktoré sú hlavným zdrojom chýb v rámci okruhu 1 VFR;</w:t>
      </w:r>
    </w:p>
    <w:p w14:paraId="1EF88F2E" w14:textId="325C56C3" w:rsidR="003B03EB" w:rsidRPr="005E78F4" w:rsidRDefault="00A147F8" w:rsidP="003B03EB">
      <w:pPr>
        <w:pStyle w:val="NormalHanging12a"/>
        <w:rPr>
          <w:bCs/>
        </w:rPr>
      </w:pPr>
      <w:r>
        <w:t>72</w:t>
      </w:r>
      <w:r w:rsidR="003B03EB" w:rsidRPr="005E78F4">
        <w:t>.</w:t>
      </w:r>
      <w:r w:rsidR="003B03EB" w:rsidRPr="005E78F4">
        <w:tab/>
        <w:t>konštatuje, že v roku 2024 Komisia pokračovala v zavádzaní zjednodušeného vykazovania nákladov, ako sú jednorazové platby a jednotkové náklady v programe Horizont Európa, pričom financovanie prostredníctvom jednorazových platieb predstavovalo 27 % celkového rozpočtu na výzvy v pracovných programoch na rok 2024; pripomína objasnenie Dvora audítorov, že keď sa poskytujú granty formou jednorazových platieb, prijímateľom sa vypláca vopred stanovená paušálna suma za každý dokončený pracovný modul bez ohľadu na skutočne vynaložené náklady; ďalej konštatuje, že cieľom Komisie je poskytnúť do roku 2027 aspoň 50 % rozpočtu na výzvy v uverejnených pracovných programoch vo forme jednorazových platieb; vyjadruje znepokojenie nad tým, že z dôvodov vysvetlených v rámčeku 5.4 výročnej správy Dvor audítorov nebol schopný posúdiť, či bolo zahrnutie konkrétnej položky vybavenia do návrhu rozpočtu potrebné a odôvodnené v prípade grantu vo forme jednorazovej platby, ktorý kontroloval; vyzýva Komisiu, aby v súlade s pripomienkami Dvora audítorov zabezpečila, aby budúce nástroje financovania obsahovali záruky, ktoré zabránia nadmernej kompenzácii za vybavenie, ktoré v skutočnosti nebolo zakúpené, hoci bolo zahrnuté do rozpočtu na jednorazové platby;</w:t>
      </w:r>
    </w:p>
    <w:p w14:paraId="40998784" w14:textId="1B794E22" w:rsidR="003B03EB" w:rsidRPr="005E78F4" w:rsidRDefault="00A147F8" w:rsidP="003B03EB">
      <w:pPr>
        <w:pStyle w:val="NormalHanging12a"/>
        <w:rPr>
          <w:bCs/>
        </w:rPr>
      </w:pPr>
      <w:r>
        <w:lastRenderedPageBreak/>
        <w:t>73</w:t>
      </w:r>
      <w:r w:rsidR="003B03EB" w:rsidRPr="005E78F4">
        <w:t>.</w:t>
      </w:r>
      <w:r w:rsidR="003B03EB" w:rsidRPr="005E78F4">
        <w:tab/>
        <w:t xml:space="preserve">berie na vedomie, že v priebežnom hodnotení programu Horizont Európa sa zistilo, že jednorazové platby poskytli príjemcom skutočné zjednodušenie, keďže odhadované úspory sa pohybujú od 14 % do 30 % ich administratívnych nákladov; berie na vedomie zistenia uvedené v posúdení Komisie týkajúcom sa financovania prostredníctvom jednorazových platieb v rámci programov Horizont 2020 a Horizont Európa na roky 2018 – 2024 vrátane vyjadrenia príjemcov pre Komisiu, že by uvítali presnejšie informácie o spôsobe auditu jednorazových grantov; oceňuje, že v roku 2024 Komisia zaviedla stratégiu </w:t>
      </w:r>
      <w:r w:rsidR="003B03EB" w:rsidRPr="005E78F4">
        <w:rPr>
          <w:i/>
          <w:iCs/>
        </w:rPr>
        <w:t>ex post</w:t>
      </w:r>
      <w:r w:rsidR="003B03EB" w:rsidRPr="005E78F4">
        <w:t xml:space="preserve"> kontrol pre granty programu Horizont Európa vrátane metodiky </w:t>
      </w:r>
      <w:r w:rsidR="003B03EB" w:rsidRPr="005E78F4">
        <w:rPr>
          <w:i/>
          <w:iCs/>
        </w:rPr>
        <w:t>ex post</w:t>
      </w:r>
      <w:r w:rsidR="003B03EB" w:rsidRPr="005E78F4">
        <w:t xml:space="preserve"> technických preskúmaní v prípade jednorazových grantov; konštatuje, že Komisia začala v štvrtom štvrťroku 2024 prvých 30 </w:t>
      </w:r>
      <w:r w:rsidR="003B03EB" w:rsidRPr="005E78F4">
        <w:rPr>
          <w:i/>
          <w:iCs/>
        </w:rPr>
        <w:t>ex post</w:t>
      </w:r>
      <w:r w:rsidR="003B03EB" w:rsidRPr="005E78F4">
        <w:t xml:space="preserve"> technických preskúmaní programu Horizont Európa; zároveň uznáva pripomienku Dvora audítorov, že hoci sú jednorazové sumy vhodné pre jasne definované pracovné moduly, ťažkosti pri implementácii takýchto systémov by vznikli v situáciách, keď by sa pracovné moduly oneskorili, dokončili čiastočne alebo keď by boli niektoré z činností stanovených v pracovnom module nahradené;</w:t>
      </w:r>
    </w:p>
    <w:p w14:paraId="5CF0A872" w14:textId="17B73948" w:rsidR="003B03EB" w:rsidRPr="005E78F4" w:rsidRDefault="00A147F8" w:rsidP="003B03EB">
      <w:pPr>
        <w:pStyle w:val="NormalHanging12a"/>
        <w:rPr>
          <w:bCs/>
          <w:shd w:val="clear" w:color="auto" w:fill="FFFFFF"/>
        </w:rPr>
      </w:pPr>
      <w:r>
        <w:rPr>
          <w:shd w:val="clear" w:color="auto" w:fill="FFFFFF"/>
        </w:rPr>
        <w:t>74</w:t>
      </w:r>
      <w:r w:rsidR="003B03EB" w:rsidRPr="005E78F4">
        <w:rPr>
          <w:shd w:val="clear" w:color="auto" w:fill="FFFFFF"/>
        </w:rPr>
        <w:t>.</w:t>
      </w:r>
      <w:r w:rsidR="003B03EB" w:rsidRPr="005E78F4">
        <w:rPr>
          <w:shd w:val="clear" w:color="auto" w:fill="FFFFFF"/>
        </w:rPr>
        <w:tab/>
        <w:t xml:space="preserve">berie na vedomie zistenie Dvora audítorov, že došlo k výraznému zvýšeniu finančnej podpory Únie pre tretie strany v oblasti výskumu, keďže v rámci grantov programu Horizont 2020 bolo </w:t>
      </w:r>
      <w:r w:rsidR="003B03EB" w:rsidRPr="005E78F4">
        <w:t>poskytnutých</w:t>
      </w:r>
      <w:r w:rsidR="003B03EB" w:rsidRPr="005E78F4">
        <w:rPr>
          <w:shd w:val="clear" w:color="auto" w:fill="FFFFFF"/>
        </w:rPr>
        <w:t xml:space="preserve"> 2,5 miliardy EUR takýchto finančných prostriedkov za celé programové obdobie, zatiaľ čo do konca roka 2024 bolo v rámci programu Horizont Európa poskytnutých 5,5 miliardy EUR; je znepokojený zistením Dvora audítorov, že v prípade deviatich z 11 transakcií vo vzorke týkajúcich sa</w:t>
      </w:r>
      <w:r w:rsidR="003B03EB" w:rsidRPr="005E78F4">
        <w:t xml:space="preserve"> grantov </w:t>
      </w:r>
      <w:r w:rsidR="003B03EB" w:rsidRPr="005E78F4">
        <w:rPr>
          <w:shd w:val="clear" w:color="auto" w:fill="FFFFFF"/>
        </w:rPr>
        <w:t>pre tretie strany bola prahová hodnota financovania 60 000 EUR stanovená v článku 207 nariadenia o rozpočtových pravidlách prekročená bez riadneho odôvodnenia výnimky v pracovnom programe alebo vo výzve; konštatuje, že podľa názoru Komisie potreba vyšších grantov súvisí s určitými typmi akcií; je znepokojený zistením Dvora audítorov, že od tretích strán sa nevyžaduje, aby preukazovali účinnosť svojich kontrol na zabezpečenie správnosti výdavkov Únie; súhlasí s Dvorom audítorov, že to predstavuje riziko pre správne finančné riadenie a ochranu finančných záujmov Únie;</w:t>
      </w:r>
    </w:p>
    <w:p w14:paraId="177B00EC" w14:textId="6B1D4B35" w:rsidR="003B03EB" w:rsidRPr="005E78F4" w:rsidRDefault="00A147F8" w:rsidP="003B03EB">
      <w:pPr>
        <w:pStyle w:val="NormalHanging12a"/>
        <w:rPr>
          <w:bCs/>
        </w:rPr>
      </w:pPr>
      <w:r>
        <w:t>75</w:t>
      </w:r>
      <w:r w:rsidR="003B03EB" w:rsidRPr="005E78F4">
        <w:t>.</w:t>
      </w:r>
      <w:r w:rsidR="003B03EB" w:rsidRPr="005E78F4">
        <w:tab/>
        <w:t xml:space="preserve">konštatuje, že programy Únie v oblasti výskumu a inovácií vrátane programu Horizont Európa podporujú vývoj pokročilých technológií pre civilné aplikácie, ale uznáva, že určité technológie môžu predstavovať s nimi spojené riziká dvojakého využitia; konštatuje, že posilnenie obrany Únie si vyžaduje posilnenú podporu výskumu a inovácií v rámci programu Horizont Európa; zdôrazňuje významný potenciál nových technológií, najmä v oblastiach, ako je umelá inteligencia, kybernetická bezpečnosť a kvantová výpočtová technika, prispieť k bezpečnosti a odolnosti Únie; domnieva sa, že civilné programy v oblasti výskumu a inovácií by sa preto mali primerane podporovať a strategicky zosúladiť, a to aj tým, že sa v prípade potreby umožní využitie ich výsledkov na účely dvojakého použitia, aby sa zachovali obranné kapacity EÚ; berie však so znepokojením na vedomie odpoveď Komisie, že v súčasnosti po skončení projektov už nemonitoruje, či sa výsledky projektov v oblasti výskumu a inovácií financovaných Úniou využívajú na dvojaké použitie, na vojenské alebo obranné účely; vyzýva Komisiu, aby zabezpečila primerané monitorovanie následných opatrení v súvislosti s projektmi v oblasti výskumu a inovácií financovanými Úniou, ktoré môžu mať dvojaké použitie, na vojenské alebo obranné účely, v súlade s požiadavkami Únie; zdôrazňuje, že je dôležité zabezpečiť, aby financovanie Únie bolo plne v súlade s hodnotami a záväzkami Únie podľa medzinárodného práva; zároveň zdôrazňuje, že je potrebné, aby Komisia posilnila opatrenia nadväzujúce na výsledky výskumu financovaného Úniou vrátane ich prechodu na komerčné využitie s cieľom maximalizovať spoločenský vplyv a zabezpečiť primeranú návratnosť investícií pre </w:t>
      </w:r>
      <w:r w:rsidR="003B03EB" w:rsidRPr="005E78F4">
        <w:lastRenderedPageBreak/>
        <w:t>daňovníkov;</w:t>
      </w:r>
    </w:p>
    <w:p w14:paraId="64DF199A" w14:textId="5DDB181A" w:rsidR="003B03EB" w:rsidRPr="005E78F4" w:rsidRDefault="00A147F8" w:rsidP="003B03EB">
      <w:pPr>
        <w:pStyle w:val="NormalHanging12a"/>
        <w:rPr>
          <w:bCs/>
        </w:rPr>
      </w:pPr>
      <w:r>
        <w:t>76</w:t>
      </w:r>
      <w:r w:rsidR="003B03EB" w:rsidRPr="005E78F4">
        <w:t>.</w:t>
      </w:r>
      <w:r w:rsidR="003B03EB" w:rsidRPr="005E78F4">
        <w:tab/>
        <w:t xml:space="preserve">pripomína, že skupine EIB bolo pridelených 75 % (19,6 miliardy EUR) z rozpočtovej záruky Únie podľa nariadenia o Programe </w:t>
      </w:r>
      <w:proofErr w:type="spellStart"/>
      <w:r w:rsidR="003B03EB" w:rsidRPr="005E78F4">
        <w:t>InvestEU</w:t>
      </w:r>
      <w:proofErr w:type="spellEnd"/>
      <w:r w:rsidR="003B03EB" w:rsidRPr="005E78F4">
        <w:t xml:space="preserve">; pripomína tiež odporúčania orgánu udeľujúceho absolutórium uvedené v jeho predchádzajúcich správach o kontrole finančnej činnosti EIB; berie na vedomie nedostatky v zodpovednosti a audite v súvislosti s operáciami EIB, ktoré sa uvádzajú vo vyhlásení kontaktného výboru CC 1/2025; zdôrazňuje potrebu zosúladiť a prispôsobiť rámec auditu rozšírenému mandátu EIB; vyzýva Komisiu, aby aktívne podporovala udelenie plného prístupu pre audítorov </w:t>
      </w:r>
      <w:r w:rsidR="00047C69" w:rsidRPr="005E78F4">
        <w:t>D</w:t>
      </w:r>
      <w:r w:rsidR="003B03EB" w:rsidRPr="005E78F4">
        <w:t>vora audítorov k činnostiam EIB; zdôrazňuje potrebu komplexných informácií o kvalite portfólia EIB a postupoch riadenia rizík s cieľom umožniť zmysluplný demokratický dohľad nad jej operáciami; vyzýva Komisiu, aby spolupracovala s EIB s cieľom poskytovať orgánu udeľujúcemu absolutórium správy o kvalite jej portfólia, zabezpečiť, aby sa profily hodnotenia rizík pri rozsiahlych investíciách podrobili nezávislému preskúmaniu a aby EIB zverejnila skúsenosti získané z prípadov, keď významné úvery viedli k nesplateniu; zdôrazňuje, že dôvera verejnosti v správne riadenie úverov krytých Úniou závisí od najvyšších štandardov inštitucionálnej integrity; naliehavo preto vyzýva Komisiu, aby od EIB požadovala posilnenie mechanizmov na predchádzanie konfliktom záujmov;</w:t>
      </w:r>
    </w:p>
    <w:p w14:paraId="5DE607CE" w14:textId="3938945B" w:rsidR="003B03EB" w:rsidRPr="005E78F4" w:rsidRDefault="00A147F8" w:rsidP="003B03EB">
      <w:pPr>
        <w:pStyle w:val="NormalHanging12a"/>
        <w:rPr>
          <w:bCs/>
        </w:rPr>
      </w:pPr>
      <w:r>
        <w:t>77</w:t>
      </w:r>
      <w:r w:rsidR="003B03EB" w:rsidRPr="005E78F4">
        <w:t>.</w:t>
      </w:r>
      <w:r w:rsidR="003B03EB" w:rsidRPr="005E78F4">
        <w:tab/>
        <w:t>zdôrazňuje strategický význam výskumu v oblasti obrany pre posilnenie bezpečnosti a dlhodobej odolnosti Únie; zdôrazňuje, že výskum v oblasti obrany a bezpečnosti si vyžaduje úzku a dôveryhodnú spoluprácu medzi členskými štátmi s cieľom zabezpečiť nákladovo hospodárnejšie a účinnejšie využívanie peňazí daňovníkov Únie, zabrániť zbytočnej duplicite a podporiť synergie; zdôrazňuje, že výskumné činnosti v tejto oblasti nevyhnutne zahŕňajú veľmi citlivé údaje, technológie a informácie, ktoré musia podliehať najvyšším štandardom ochrany pred vonkajším zasahovaním alebo zlomyseľnou manipuláciou; v tejto súvislosti zdôrazňuje, že je naliehavo potrebné vytvoriť spoločnú a spoľahlivú ochrannú architektúru na úrovni Únie s cieľom čeliť hybridným hrozbám a chrániť kritické poznatky, infraštruktúru a inovačné ekosystémy;</w:t>
      </w:r>
    </w:p>
    <w:p w14:paraId="5CC64206" w14:textId="4AA04B03" w:rsidR="003B03EB" w:rsidRPr="005E78F4" w:rsidRDefault="00A147F8" w:rsidP="003B03EB">
      <w:pPr>
        <w:pStyle w:val="NormalHanging12a"/>
        <w:rPr>
          <w:bCs/>
        </w:rPr>
      </w:pPr>
      <w:r>
        <w:t>78</w:t>
      </w:r>
      <w:r w:rsidR="003B03EB" w:rsidRPr="005E78F4">
        <w:t>.</w:t>
      </w:r>
      <w:r w:rsidR="003B03EB" w:rsidRPr="005E78F4">
        <w:tab/>
        <w:t xml:space="preserve">pripomína, že 10. marca 2022 sa Európsky parlament rozhodol zriadiť výbor PEGA s cieľom vyšetriť údajné porušenie alebo nesprávny úradný postup pri uplatňovaní práva Únie v súvislosti s používaním softvéru </w:t>
      </w:r>
      <w:proofErr w:type="spellStart"/>
      <w:r w:rsidR="003B03EB" w:rsidRPr="005E78F4">
        <w:t>Pegasus</w:t>
      </w:r>
      <w:proofErr w:type="spellEnd"/>
      <w:r w:rsidR="003B03EB" w:rsidRPr="005E78F4">
        <w:t xml:space="preserve"> a rovnocenného špionážneho sledovacieho softvéru a odporúčanie Európskeho parlamentu Rade a Komisii z 15. júna 2023 prijaté v nadväznosti na prácu výboru PEGA</w:t>
      </w:r>
      <w:r w:rsidR="003B03EB" w:rsidRPr="005E78F4">
        <w:rPr>
          <w:bCs/>
          <w:vertAlign w:val="superscript"/>
        </w:rPr>
        <w:footnoteReference w:id="103"/>
      </w:r>
      <w:r w:rsidR="003B03EB" w:rsidRPr="005E78F4">
        <w:t xml:space="preserve">; vyjadruje nespokojnosť s tým, že Komisia ešte stále nepredstavila opatrenia na presadzovanie práva a legislatívne opatrenia nadväzujúce na odporúčania </w:t>
      </w:r>
      <w:r w:rsidR="00E47BEF" w:rsidRPr="005E78F4">
        <w:t>Európskeho p</w:t>
      </w:r>
      <w:r w:rsidR="003B03EB" w:rsidRPr="005E78F4">
        <w:t xml:space="preserve">arlamentu, pokiaľ ide o používanie softvéru </w:t>
      </w:r>
      <w:proofErr w:type="spellStart"/>
      <w:r w:rsidR="003B03EB" w:rsidRPr="005E78F4">
        <w:t>Pegasus</w:t>
      </w:r>
      <w:proofErr w:type="spellEnd"/>
      <w:r w:rsidR="003B03EB" w:rsidRPr="005E78F4">
        <w:t xml:space="preserve"> a rovnocenného špionážneho softvéru; berie na vedomie správy médií</w:t>
      </w:r>
      <w:r w:rsidR="003B03EB" w:rsidRPr="005E78F4">
        <w:rPr>
          <w:bCs/>
          <w:vertAlign w:val="superscript"/>
        </w:rPr>
        <w:footnoteReference w:id="104"/>
      </w:r>
      <w:r w:rsidR="003B03EB" w:rsidRPr="005E78F4">
        <w:t xml:space="preserve">, v ktorých sa tvrdí, že z finančných prostriedkov Únie sa možno priamo podporili spoločnosti zapojené do vývoja, nasadzovania a vývozu špionážneho softvéru subjektmi, ktorých technológie boli spojené s nezákonným sledovaním novinárov, obhajcov ľudských práv a politických aktérov v Únii a v tretích krajinách; berie na vedomie odpoveď Komisie, že riadne využívanie finančných prostriedkov Únie je zabezpečené rôznymi zmluvnými ustanoveniami, ktoré vyžadujú dodržiavanie uplatniteľného práva a hodnôt Únie, a že nedodržanie týchto povinností môže viesť k rôznym zmluvným opatreniam vrátane pozastavenia zmluvy alebo platieb a </w:t>
      </w:r>
      <w:r w:rsidR="003B03EB" w:rsidRPr="005E78F4">
        <w:lastRenderedPageBreak/>
        <w:t>vypovedania zmluvy; berie tiež na vedomie písomnú odpoveď Komisie, že sa domnieva, že zaviedla niekoľko opatrení na riešenie rizika, že špionážny softvér sa dostane do nesprávnych rúk, a na zvýšenie ochrany potenciálnych obetí špionážneho softvéru vrátane európskeho aktu o slobode médií, smernice o súkromí a elektronických komunikáciách, aktu o kybernetickej odolnosti a nariadenia o položkách s dvojakým použitím, a že jej výročné správy o právnom štáte sa týkajú aj vývoja v súvislosti s obvineniami z nezákonného používania špionážneho softvéru;</w:t>
      </w:r>
    </w:p>
    <w:p w14:paraId="3CDFD85D" w14:textId="026A97C6" w:rsidR="003B03EB" w:rsidRPr="005E78F4" w:rsidRDefault="00A147F8" w:rsidP="003B03EB">
      <w:pPr>
        <w:pStyle w:val="NormalHanging12a"/>
        <w:rPr>
          <w:bCs/>
        </w:rPr>
      </w:pPr>
      <w:r>
        <w:t>79</w:t>
      </w:r>
      <w:r w:rsidR="003B03EB" w:rsidRPr="005E78F4">
        <w:t>.</w:t>
      </w:r>
      <w:r w:rsidR="003B03EB" w:rsidRPr="005E78F4">
        <w:tab/>
        <w:t xml:space="preserve">berie na vedomie odpoveď Komisie Výboru pre kontrolu rozpočtu, že príslušné spoločnosti dostali od roku 2021 z rozpočtu Únie celkovo 12,77 milióna EUR; vyjadruje poľutovanie nad tým, že Komisia poskytla Výboru pre kontrolu rozpočtu len čiastočné informácie o celkovej výške finančných prostriedkov Únie pridelených spoločnostiam pôsobiacim v oblasti špionážneho a </w:t>
      </w:r>
      <w:proofErr w:type="spellStart"/>
      <w:r w:rsidR="003B03EB" w:rsidRPr="005E78F4">
        <w:t>intruzívneho</w:t>
      </w:r>
      <w:proofErr w:type="spellEnd"/>
      <w:r w:rsidR="003B03EB" w:rsidRPr="005E78F4">
        <w:t xml:space="preserve"> sledovacieho softvéru, keďže odpoveď Komisie sa týka len informácií, ktoré už sú verejne dostupné v systéme finančnej transparentnosti, ktorý v súčasnosti zverejňuje len informácie o príjemcoch a dodávateľoch v rámci priameho riadenia a o implementujúcich partneroch v rámci nepriameho riadenia; vyjadruje poľutovanie nad tým, že orgán udeľujúci absolutórium dostal na svoju žiadosť neúplnú odpoveď;</w:t>
      </w:r>
    </w:p>
    <w:p w14:paraId="727C4F1C" w14:textId="4E4D26B3" w:rsidR="003B03EB" w:rsidRPr="005E78F4" w:rsidRDefault="00A147F8" w:rsidP="003B03EB">
      <w:pPr>
        <w:pStyle w:val="NormalHanging12a"/>
        <w:rPr>
          <w:bCs/>
        </w:rPr>
      </w:pPr>
      <w:r>
        <w:t>80</w:t>
      </w:r>
      <w:r w:rsidR="003B03EB" w:rsidRPr="005E78F4">
        <w:t>.</w:t>
      </w:r>
      <w:r w:rsidR="003B03EB" w:rsidRPr="005E78F4">
        <w:tab/>
        <w:t xml:space="preserve">zdôrazňuje význam investícií Únie do rozvoja vysokovýkonných, udržateľných a efektívne prepojených </w:t>
      </w:r>
      <w:proofErr w:type="spellStart"/>
      <w:r w:rsidR="003B03EB" w:rsidRPr="005E78F4">
        <w:t>transeurópskych</w:t>
      </w:r>
      <w:proofErr w:type="spellEnd"/>
      <w:r w:rsidR="003B03EB" w:rsidRPr="005E78F4">
        <w:t xml:space="preserve"> sietí v oblasti dopravy, energetiky a digitálnych služieb a konštatuje, že NPE s výdavkami vo výške 4,1 miliardy EUR v roku 2024 je kľúčovým nástrojom Únie na dosiahnutie týchto cieľov;</w:t>
      </w:r>
    </w:p>
    <w:p w14:paraId="25F3D185" w14:textId="00D27B79" w:rsidR="003B03EB" w:rsidRPr="005E78F4" w:rsidRDefault="00A147F8" w:rsidP="003B03EB">
      <w:pPr>
        <w:pStyle w:val="NormalHanging12a"/>
        <w:rPr>
          <w:bCs/>
        </w:rPr>
      </w:pPr>
      <w:r>
        <w:t>81</w:t>
      </w:r>
      <w:r w:rsidR="003B03EB" w:rsidRPr="005E78F4">
        <w:t>.</w:t>
      </w:r>
      <w:r w:rsidR="003B03EB" w:rsidRPr="005E78F4">
        <w:tab/>
        <w:t>berie na vedomie písomnú odpoveď Komisie, že od roku 2021 sa vynaložilo 12,63 milióna EUR z NPE – Energia z obnoviteľných zdrojov na výrobu vodíka z obnoviteľných zdrojov a súvisiacu infraštruktúru a 187,21 milióna EUR z NPE – Doprava na čerpacie stanice; ďalej konštatuje, že v rokoch 2021 až 2024 Komisia vyčlenila 791,13 milióna EUR vo forme grantov v rámci Inovačného fondu na projekty v oblasti e-palív; zdôrazňuje, že je dôležité prideľovať finančné prostriedky Únie na podporu riešení s potenciálom dlhodobej dekarbonizácie a škálovateľnosti a zároveň pristupovať ku vznikajúcim riešeniam na základe dôkazov, aby sa zabezpečilo efektívne využívanie verejných zdrojov</w:t>
      </w:r>
      <w:r w:rsidR="0086345F" w:rsidRPr="005E78F4">
        <w:t xml:space="preserve"> a</w:t>
      </w:r>
      <w:r w:rsidR="003B03EB" w:rsidRPr="005E78F4">
        <w:t xml:space="preserve"> maximalizoval vplyv na klímu; zdôrazňuje, že všetky technológie treba posudzovať z hľadiska ich účinnosti a škálovateľnosti; vyzýva na obozretnosť pri prideľovaní finančných prostriedkov Únie na technológie, ktorých dlhodobá úloha na ceste k dekarbonizácii je neistá alebo obmedzená; zdôrazňuje, že dosiahnutie klimatickej neutrality do roku 2050 má rozhodujúci význam; zdôrazňuje potrebu zabezpečiť spoľahlivé, cenovo dostupné a odolné dodávky energie v Únii; v tejto súvislosti poznamenáva, že Komisia by mala podporovať technologicky neutrálny prístup k výskumu a inováciám; vyzýva najmä na podporu cezhraničných projektov, aby sa v oblasti dodávok energie podporovali skutočne európske riešenia, zaručilo nákladovo efektívne využívanie finančných prostriedkov Únie, posilnil vnútorný trh a vytvorila európsku pridanú hodnotu; vyzýva Komisiu, aby zabezpečila, aby kritériá financovania boli založené na merateľných výsledkoch znižovania emisií, a nie na normatívnych preferenciách technológií;</w:t>
      </w:r>
    </w:p>
    <w:p w14:paraId="15B9A7F9" w14:textId="25D77E4A" w:rsidR="003B03EB" w:rsidRPr="005E78F4" w:rsidRDefault="00A147F8" w:rsidP="003B03EB">
      <w:pPr>
        <w:pStyle w:val="NormalHanging12a"/>
        <w:rPr>
          <w:bCs/>
        </w:rPr>
      </w:pPr>
      <w:r>
        <w:t>82</w:t>
      </w:r>
      <w:r w:rsidR="003B03EB" w:rsidRPr="005E78F4">
        <w:t>.</w:t>
      </w:r>
      <w:r w:rsidR="003B03EB" w:rsidRPr="005E78F4">
        <w:tab/>
        <w:t xml:space="preserve">pripomína, že cieľom aktu o digitálnych trhoch je zabezpečiť spravodlivé digitálne trhy v Európe, ktoré podporujú inovácie, a zabrániť tomu, aby bol ktorýkoľvek aktér dominantný na úkor spotrebiteľov, konkurentov alebo demokratického dohľadu; zdôrazňuje významné negatívne účinky, ktoré dominantné postavenie na digitálnom trhu predstavuje pre základné práva a šírenie manipulácie s informáciami a </w:t>
      </w:r>
      <w:r w:rsidR="003B03EB" w:rsidRPr="005E78F4">
        <w:lastRenderedPageBreak/>
        <w:t>dezinformácií, a potrebu spoločných opatrení Únie v týchto oblastiach; konštatuje, že v roku 2024 Generálne riaditeľstvo pre hospodársku súťaž (GR COMP) čelilo vážnemu nedostatku zamestnancov, ako sa uvádza v jeho výročnej správe o činnosti za rok 2024; konštatuje, že GR COMP presunulo zamestnancov do oddelení zodpovedných za presadzovanie aktu o digitálnych trhoch, čo spôsobilo nedostatok zamestnancov v iných oddeleniach;</w:t>
      </w:r>
    </w:p>
    <w:p w14:paraId="0E6DA7F8" w14:textId="77777777" w:rsidR="003B03EB" w:rsidRPr="005E78F4" w:rsidRDefault="003B03EB" w:rsidP="003B03EB">
      <w:pPr>
        <w:spacing w:after="240"/>
        <w:rPr>
          <w:i/>
        </w:rPr>
      </w:pPr>
      <w:r w:rsidRPr="005E78F4">
        <w:rPr>
          <w:i/>
        </w:rPr>
        <w:t>Odporúčania</w:t>
      </w:r>
    </w:p>
    <w:p w14:paraId="1FD18487" w14:textId="5714B29A" w:rsidR="003B03EB" w:rsidRPr="005E78F4" w:rsidRDefault="00A147F8" w:rsidP="003B03EB">
      <w:pPr>
        <w:pStyle w:val="NormalHanging12a"/>
        <w:rPr>
          <w:shd w:val="clear" w:color="auto" w:fill="FFFFFF"/>
        </w:rPr>
      </w:pPr>
      <w:r>
        <w:t>83</w:t>
      </w:r>
      <w:r w:rsidR="003B03EB" w:rsidRPr="005E78F4">
        <w:t>.</w:t>
      </w:r>
      <w:r w:rsidR="003B03EB" w:rsidRPr="005E78F4">
        <w:tab/>
        <w:t>vyzýva</w:t>
      </w:r>
      <w:r w:rsidR="003B03EB" w:rsidRPr="005E78F4">
        <w:rPr>
          <w:shd w:val="clear" w:color="auto" w:fill="FFFFFF"/>
        </w:rPr>
        <w:t xml:space="preserve"> Komisiu, aby:</w:t>
      </w:r>
    </w:p>
    <w:p w14:paraId="43D5E1B2" w14:textId="77777777" w:rsidR="003B03EB" w:rsidRPr="005E78F4" w:rsidRDefault="003B03EB" w:rsidP="005E78F4">
      <w:pPr>
        <w:spacing w:after="240"/>
        <w:ind w:left="1134" w:hanging="567"/>
        <w:rPr>
          <w:shd w:val="clear" w:color="auto" w:fill="FFFFFF"/>
        </w:rPr>
      </w:pPr>
      <w:r w:rsidRPr="005E78F4">
        <w:rPr>
          <w:shd w:val="clear" w:color="auto" w:fill="FFFFFF"/>
        </w:rPr>
        <w:t>i)</w:t>
      </w:r>
      <w:r w:rsidRPr="005E78F4">
        <w:rPr>
          <w:shd w:val="clear" w:color="auto" w:fill="FFFFFF"/>
        </w:rPr>
        <w:tab/>
        <w:t>v plnej miere riešila odporúčania Dvora audítorov týkajúce sa zákonnosti a správnosti a podávania správ o výkonnosti;</w:t>
      </w:r>
    </w:p>
    <w:p w14:paraId="7F403B68" w14:textId="77777777" w:rsidR="003B03EB" w:rsidRPr="005E78F4" w:rsidRDefault="003B03EB" w:rsidP="005E78F4">
      <w:pPr>
        <w:spacing w:after="240"/>
        <w:ind w:left="1134" w:hanging="567"/>
      </w:pPr>
      <w:r w:rsidRPr="005E78F4">
        <w:t>ii)</w:t>
      </w:r>
      <w:r w:rsidRPr="005E78F4">
        <w:tab/>
      </w:r>
      <w:r w:rsidRPr="005E78F4">
        <w:rPr>
          <w:shd w:val="clear" w:color="auto" w:fill="FFFFFF"/>
        </w:rPr>
        <w:t>zabezpečila</w:t>
      </w:r>
      <w:r w:rsidRPr="005E78F4">
        <w:t xml:space="preserve"> výrazné zvýšenie financovania výskumu a inovácií z prostriedkov Únie na základe zásady </w:t>
      </w:r>
      <w:proofErr w:type="spellStart"/>
      <w:r w:rsidRPr="005E78F4">
        <w:t>excelentnosti</w:t>
      </w:r>
      <w:proofErr w:type="spellEnd"/>
      <w:r w:rsidRPr="005E78F4">
        <w:t xml:space="preserve"> a zásluh;</w:t>
      </w:r>
    </w:p>
    <w:p w14:paraId="5E340B80" w14:textId="77777777" w:rsidR="003B03EB" w:rsidRPr="005E78F4" w:rsidRDefault="003B03EB" w:rsidP="005E78F4">
      <w:pPr>
        <w:spacing w:after="240"/>
        <w:ind w:left="1134" w:hanging="567"/>
      </w:pPr>
      <w:r w:rsidRPr="005E78F4">
        <w:t>iii)</w:t>
      </w:r>
      <w:r w:rsidRPr="005E78F4">
        <w:tab/>
        <w:t xml:space="preserve">zaviedla záväzné požiadavky, aby implementujúci partneri vrátane EIB poskytovali správy o výkonnosti na základe údajov na úrovni projektov aj v prípade finančných nástrojov implementovaných v rámci nepriameho riadenia, ako je Program </w:t>
      </w:r>
      <w:proofErr w:type="spellStart"/>
      <w:r w:rsidRPr="005E78F4">
        <w:t>InvestEU</w:t>
      </w:r>
      <w:proofErr w:type="spellEnd"/>
      <w:r w:rsidRPr="005E78F4">
        <w:t>; žiada, aby sa takéto podávanie správ opieralo o vyváženú kombináciu ukazovateľov výstupov, výsledkov a vplyvu;</w:t>
      </w:r>
    </w:p>
    <w:p w14:paraId="0DAA1E1F" w14:textId="77777777" w:rsidR="003B03EB" w:rsidRPr="005E78F4" w:rsidRDefault="003B03EB" w:rsidP="005E78F4">
      <w:pPr>
        <w:spacing w:after="240"/>
        <w:ind w:left="1134" w:hanging="567"/>
      </w:pPr>
      <w:r w:rsidRPr="005E78F4">
        <w:t>iv)</w:t>
      </w:r>
      <w:r w:rsidRPr="005E78F4">
        <w:tab/>
      </w:r>
      <w:r w:rsidRPr="005E78F4">
        <w:rPr>
          <w:shd w:val="clear" w:color="auto" w:fill="FFFFFF"/>
        </w:rPr>
        <w:t>vykonala</w:t>
      </w:r>
      <w:r w:rsidRPr="005E78F4">
        <w:t xml:space="preserve"> preskúmanie zjednodušujúcich opatrení zavedených pre program Horizont Európa s cieľom posúdiť, či poskytujú skutočné zjednodušenie pre prijímateľov a žiadateľov projektov, vrátane ich vplyvu na administratívnu záťaž, mieru účasti, geografickú vyváženosť a uľahčenie prístupu nových žiadateľov, najmä z menej výkonných regiónov, a posilnila synergie s inými nástrojmi Únie, a to aj v oblasti politiky súdržnosti a so známkou </w:t>
      </w:r>
      <w:proofErr w:type="spellStart"/>
      <w:r w:rsidRPr="005E78F4">
        <w:t>excelentnosti</w:t>
      </w:r>
      <w:proofErr w:type="spellEnd"/>
      <w:r w:rsidRPr="005E78F4">
        <w:t>;</w:t>
      </w:r>
    </w:p>
    <w:p w14:paraId="52523EF6" w14:textId="77777777" w:rsidR="003B03EB" w:rsidRPr="005E78F4" w:rsidRDefault="003B03EB" w:rsidP="005E78F4">
      <w:pPr>
        <w:spacing w:after="240"/>
        <w:ind w:left="1134" w:hanging="567"/>
        <w:rPr>
          <w:shd w:val="clear" w:color="auto" w:fill="FFFFFF"/>
        </w:rPr>
      </w:pPr>
      <w:r w:rsidRPr="005E78F4">
        <w:rPr>
          <w:shd w:val="clear" w:color="auto" w:fill="FFFFFF"/>
        </w:rPr>
        <w:t>v)</w:t>
      </w:r>
      <w:r w:rsidRPr="005E78F4">
        <w:rPr>
          <w:shd w:val="clear" w:color="auto" w:fill="FFFFFF"/>
        </w:rPr>
        <w:tab/>
        <w:t xml:space="preserve">rozvíjala a podporovala používanie nástrojov, ako je </w:t>
      </w:r>
      <w:proofErr w:type="spellStart"/>
      <w:r w:rsidRPr="005E78F4">
        <w:rPr>
          <w:shd w:val="clear" w:color="auto" w:fill="FFFFFF"/>
        </w:rPr>
        <w:t>Personnel</w:t>
      </w:r>
      <w:proofErr w:type="spellEnd"/>
      <w:r w:rsidRPr="005E78F4">
        <w:rPr>
          <w:shd w:val="clear" w:color="auto" w:fill="FFFFFF"/>
        </w:rPr>
        <w:t xml:space="preserve"> </w:t>
      </w:r>
      <w:proofErr w:type="spellStart"/>
      <w:r w:rsidRPr="005E78F4">
        <w:rPr>
          <w:shd w:val="clear" w:color="auto" w:fill="FFFFFF"/>
        </w:rPr>
        <w:t>Costs</w:t>
      </w:r>
      <w:proofErr w:type="spellEnd"/>
      <w:r w:rsidRPr="005E78F4">
        <w:rPr>
          <w:shd w:val="clear" w:color="auto" w:fill="FFFFFF"/>
        </w:rPr>
        <w:t xml:space="preserve"> </w:t>
      </w:r>
      <w:proofErr w:type="spellStart"/>
      <w:r w:rsidRPr="005E78F4">
        <w:rPr>
          <w:shd w:val="clear" w:color="auto" w:fill="FFFFFF"/>
        </w:rPr>
        <w:t>Wizard</w:t>
      </w:r>
      <w:proofErr w:type="spellEnd"/>
      <w:r w:rsidRPr="005E78F4">
        <w:rPr>
          <w:shd w:val="clear" w:color="auto" w:fill="FFFFFF"/>
        </w:rPr>
        <w:t>, ktoré pomáhajú príjemcom uplatňovať správne pravidlá výpočtu osobných nákladov;</w:t>
      </w:r>
    </w:p>
    <w:p w14:paraId="384649F2" w14:textId="77777777" w:rsidR="003B03EB" w:rsidRPr="005E78F4" w:rsidRDefault="003B03EB" w:rsidP="005E78F4">
      <w:pPr>
        <w:spacing w:after="240"/>
        <w:ind w:left="1134" w:hanging="567"/>
        <w:rPr>
          <w:shd w:val="clear" w:color="auto" w:fill="FFFFFF"/>
        </w:rPr>
      </w:pPr>
      <w:r w:rsidRPr="005E78F4">
        <w:rPr>
          <w:shd w:val="clear" w:color="auto" w:fill="FFFFFF"/>
        </w:rPr>
        <w:t>vi)</w:t>
      </w:r>
      <w:r w:rsidRPr="005E78F4">
        <w:rPr>
          <w:shd w:val="clear" w:color="auto" w:fill="FFFFFF"/>
        </w:rPr>
        <w:tab/>
        <w:t xml:space="preserve">vyhodnotila poznatky získané z </w:t>
      </w:r>
      <w:r w:rsidRPr="005E78F4">
        <w:rPr>
          <w:i/>
          <w:iCs/>
          <w:shd w:val="clear" w:color="auto" w:fill="FFFFFF"/>
        </w:rPr>
        <w:t>ex post</w:t>
      </w:r>
      <w:r w:rsidRPr="005E78F4">
        <w:rPr>
          <w:shd w:val="clear" w:color="auto" w:fill="FFFFFF"/>
        </w:rPr>
        <w:t xml:space="preserve"> technických preskúmaní týkajúcich sa jednorazových grantov, ktoré sa začali v rokoch 2024 a 2025, a podala o tom správu orgánu udeľujúcemu absolutórium;</w:t>
      </w:r>
    </w:p>
    <w:p w14:paraId="7B8F95F0" w14:textId="77777777" w:rsidR="003B03EB" w:rsidRPr="005E78F4" w:rsidRDefault="003B03EB" w:rsidP="005E78F4">
      <w:pPr>
        <w:spacing w:after="240"/>
        <w:ind w:left="1134" w:hanging="567"/>
      </w:pPr>
      <w:r w:rsidRPr="005E78F4">
        <w:t>vii)</w:t>
      </w:r>
      <w:r w:rsidRPr="005E78F4">
        <w:tab/>
      </w:r>
      <w:r w:rsidRPr="005E78F4">
        <w:rPr>
          <w:shd w:val="clear" w:color="auto" w:fill="FFFFFF"/>
        </w:rPr>
        <w:t>zabezpečila,</w:t>
      </w:r>
      <w:r w:rsidRPr="005E78F4">
        <w:t xml:space="preserve"> aby budúce nástroje financovania obsahovali záruky, ktoré zabránia nadmernej kompenzácii za vybavenie, ktoré v skutočnosti nebolo zakúpené, hoci bolo zahrnuté do rozpočtu na jednorazové platby;</w:t>
      </w:r>
    </w:p>
    <w:p w14:paraId="4E780DE6" w14:textId="77777777" w:rsidR="003B03EB" w:rsidRPr="005E78F4" w:rsidRDefault="003B03EB" w:rsidP="005E78F4">
      <w:pPr>
        <w:spacing w:after="240"/>
        <w:ind w:left="1134" w:hanging="567"/>
      </w:pPr>
      <w:r w:rsidRPr="005E78F4">
        <w:t>viii)</w:t>
      </w:r>
      <w:r w:rsidRPr="005E78F4">
        <w:tab/>
      </w:r>
      <w:r w:rsidRPr="005E78F4">
        <w:rPr>
          <w:shd w:val="clear" w:color="auto" w:fill="FFFFFF"/>
        </w:rPr>
        <w:t>preskúmala</w:t>
      </w:r>
      <w:r w:rsidRPr="005E78F4">
        <w:t xml:space="preserve"> reprezentatívnu vzorku jednorazových grantov a urobila analýzu poznatkov získaných z ich vykonávania a metód použitých na stanovenie finančnej podpory Únie skôr, ako sa využívanie jednorazových grantov v budúcich nástrojoch financovania ešte rozšíri;</w:t>
      </w:r>
    </w:p>
    <w:p w14:paraId="6EBA182E" w14:textId="77777777" w:rsidR="003B03EB" w:rsidRPr="005E78F4" w:rsidRDefault="003B03EB" w:rsidP="005E78F4">
      <w:pPr>
        <w:spacing w:after="240"/>
        <w:ind w:left="1134" w:hanging="567"/>
      </w:pPr>
      <w:r w:rsidRPr="005E78F4">
        <w:t>ix)</w:t>
      </w:r>
      <w:r w:rsidRPr="005E78F4">
        <w:tab/>
      </w:r>
      <w:r w:rsidRPr="005E78F4">
        <w:rPr>
          <w:shd w:val="clear" w:color="auto" w:fill="FFFFFF"/>
        </w:rPr>
        <w:t>vykonala</w:t>
      </w:r>
      <w:r w:rsidRPr="005E78F4">
        <w:t xml:space="preserve"> komplexné preskúmanie financovania Únie na vývoj, nasadzovanie a vývoz špionážneho alebo </w:t>
      </w:r>
      <w:proofErr w:type="spellStart"/>
      <w:r w:rsidRPr="005E78F4">
        <w:t>intruzívneho</w:t>
      </w:r>
      <w:proofErr w:type="spellEnd"/>
      <w:r w:rsidRPr="005E78F4">
        <w:t xml:space="preserve"> sledovacieho softvéru vo všetkých spôsoboch riadenia od roku 2021 a pripravila akčný plán na zabránenie zneužívaniu špionážneho softvéru v Únii, a poskytla ich orgánu udeľujúcemu absolutórium;</w:t>
      </w:r>
    </w:p>
    <w:p w14:paraId="743E7E90" w14:textId="77777777" w:rsidR="003B03EB" w:rsidRPr="005E78F4" w:rsidRDefault="003B03EB" w:rsidP="005E78F4">
      <w:pPr>
        <w:spacing w:after="240"/>
        <w:ind w:left="1134" w:hanging="567"/>
      </w:pPr>
      <w:r w:rsidRPr="005E78F4">
        <w:lastRenderedPageBreak/>
        <w:t>x)</w:t>
      </w:r>
      <w:r w:rsidRPr="005E78F4">
        <w:tab/>
      </w:r>
      <w:r w:rsidRPr="005E78F4">
        <w:rPr>
          <w:shd w:val="clear" w:color="auto" w:fill="FFFFFF"/>
        </w:rPr>
        <w:t>presadzovala</w:t>
      </w:r>
      <w:r w:rsidRPr="005E78F4">
        <w:t xml:space="preserve"> technologicky neutrálny prístup k výskumu a inováciám, a to aj prostredníctvom podpory cezhraničných projektov, s cieľom podporiť dosiahnutie klimatickej neutrality do roku 2050 a posilniť stabilné, odolné a cenovo dostupné dodávky energie v Únii, a zároveň zaručiť nákladovú efektívnosť, urýchliť pokrok pri dosahovaní klimatických cieľov Únie a zvýšiť konkurencieschopnosť;</w:t>
      </w:r>
    </w:p>
    <w:p w14:paraId="1C8A6335" w14:textId="77777777" w:rsidR="003B03EB" w:rsidRPr="005E78F4" w:rsidRDefault="003B03EB" w:rsidP="005E78F4">
      <w:pPr>
        <w:spacing w:after="240"/>
        <w:ind w:left="1134" w:hanging="567"/>
      </w:pPr>
      <w:r w:rsidRPr="005E78F4">
        <w:t>xi)</w:t>
      </w:r>
      <w:r w:rsidRPr="005E78F4">
        <w:tab/>
      </w:r>
      <w:r w:rsidRPr="005E78F4">
        <w:rPr>
          <w:shd w:val="clear" w:color="auto" w:fill="FFFFFF"/>
        </w:rPr>
        <w:t>posilnila</w:t>
      </w:r>
      <w:r w:rsidRPr="005E78F4">
        <w:t xml:space="preserve"> spoluprácu medzi členskými štátmi v oblasti výskumu súvisiaceho s obranou a bezpečnosťou prostredníctvom programov v oblasti výskumu a inovácií financovaných Úniou, a zároveň podporila synergie, zabezpečila spoľahlivú ochranu citlivých údajov a ochranu technológií pred zahraničným zasahovaním a hybridnými hrozbami a v relevantných prípadoch umožnila zodpovedné využívanie výsledkov výskumu na účely dvojakého použitia s cieľom podporiť odolnosť, obranné kapacity a strategickú nezávislosť Únie;</w:t>
      </w:r>
    </w:p>
    <w:p w14:paraId="040CBCB4" w14:textId="391E9493" w:rsidR="003B03EB" w:rsidRPr="005E78F4" w:rsidRDefault="003B03EB" w:rsidP="005E78F4">
      <w:pPr>
        <w:spacing w:after="240"/>
        <w:ind w:left="1134" w:hanging="567"/>
      </w:pPr>
      <w:r w:rsidRPr="005E78F4">
        <w:t>xii)</w:t>
      </w:r>
      <w:r w:rsidRPr="005E78F4">
        <w:tab/>
      </w:r>
      <w:r w:rsidRPr="005E78F4">
        <w:rPr>
          <w:shd w:val="clear" w:color="auto" w:fill="FFFFFF"/>
        </w:rPr>
        <w:t>zabezpečila,</w:t>
      </w:r>
      <w:r w:rsidRPr="005E78F4">
        <w:t xml:space="preserve"> aby financovanie výskumu z prostriedkov Únie, a to aj v rámci programu Horizont Európa a prostredníctvom dohôd s partnermi mimo Únie, bolo prideľované spôsobom, ktorý je v súlade s hodnotami Únie a neprispieva k podpore špionážneho softvéru alebo </w:t>
      </w:r>
      <w:proofErr w:type="spellStart"/>
      <w:r w:rsidRPr="005E78F4">
        <w:t>intruzívnych</w:t>
      </w:r>
      <w:proofErr w:type="spellEnd"/>
      <w:r w:rsidRPr="005E78F4">
        <w:t xml:space="preserve"> sledovacích technológií v súlade s príslušnými odporúčaniami </w:t>
      </w:r>
      <w:r w:rsidR="00E47BEF" w:rsidRPr="005E78F4">
        <w:t>Európskeho p</w:t>
      </w:r>
      <w:r w:rsidRPr="005E78F4">
        <w:t>arlamentu prijatými 15. júna 2023</w:t>
      </w:r>
      <w:r w:rsidRPr="005E78F4">
        <w:rPr>
          <w:vertAlign w:val="superscript"/>
        </w:rPr>
        <w:footnoteReference w:id="105"/>
      </w:r>
      <w:r w:rsidRPr="005E78F4">
        <w:t>;</w:t>
      </w:r>
    </w:p>
    <w:p w14:paraId="77AFEDB3" w14:textId="77777777" w:rsidR="003B03EB" w:rsidRPr="005E78F4" w:rsidRDefault="003B03EB" w:rsidP="003B03EB">
      <w:pPr>
        <w:spacing w:after="240"/>
        <w:ind w:left="567" w:hanging="567"/>
        <w:rPr>
          <w:b/>
        </w:rPr>
      </w:pPr>
      <w:r w:rsidRPr="005E78F4">
        <w:rPr>
          <w:b/>
        </w:rPr>
        <w:t>Súdržnosť, odolnosť a hodnoty</w:t>
      </w:r>
    </w:p>
    <w:p w14:paraId="333EE197" w14:textId="50149B7E" w:rsidR="003B03EB" w:rsidRPr="005E78F4" w:rsidRDefault="00BF2152" w:rsidP="003B03EB">
      <w:pPr>
        <w:pStyle w:val="NormalHanging12a"/>
      </w:pPr>
      <w:r>
        <w:t>84</w:t>
      </w:r>
      <w:r w:rsidR="003B03EB" w:rsidRPr="005E78F4">
        <w:t>.</w:t>
      </w:r>
      <w:r w:rsidR="003B03EB" w:rsidRPr="005E78F4">
        <w:tab/>
        <w:t>zdôrazňuje úlohu politiky súdržnosti Únie pri znižovaní hospodárskych, sociálnych a územných rozdielov v rámci Únie, ako je stanovené v zmluvách, ako aj pri podpore vykonávania Európskeho piliera sociálnych práv; trvá na pokračovaní podpory súdržnosti vo VFR na obdobie po roku 2027 v súlade so zásadami partnerstva a viacúrovňového riadenia a za účasti miestnych a regionálnych orgánov a príslušných zainteresovaných strán; konštatuje, že rozpočet na programy v rámci okruhu 2 VFR Súdržnosť, odolnosť a hodnoty predstavoval 61,4 miliardy EUR (32,1 % rozpočtu Únie) rozdelených takto: 47,7 % na EFRR a iné regionálne operácie, 16,4 % na Európsky sociálny fond (ESF), 6,7 % na KF, 6,6 % na program Erasmus+, 2,2 % na NPE – Doprava, 3,6 % na Plán obnovy pre Európu a 3,1 % na iné schémy;</w:t>
      </w:r>
    </w:p>
    <w:p w14:paraId="0E61378C" w14:textId="419E1554" w:rsidR="003B03EB" w:rsidRPr="005E78F4" w:rsidRDefault="00BF2152" w:rsidP="003B03EB">
      <w:pPr>
        <w:pStyle w:val="NormalHanging12a"/>
      </w:pPr>
      <w:r>
        <w:t>85</w:t>
      </w:r>
      <w:r w:rsidR="003B03EB" w:rsidRPr="005E78F4">
        <w:t>.</w:t>
      </w:r>
      <w:r w:rsidR="003B03EB" w:rsidRPr="005E78F4">
        <w:tab/>
        <w:t>berie na vedomie, že Dvor audítorov preskúmal vzorku 223 transakcií, ktorá zahŕňa celé spektrum výdavkov v rámci okruhu 2 VFR; so znepokojením konštatuje, že celková úroveň chybovosti výdavkov v tomto okruhu v roku 2024 bola podľa odhadu Dvora audítorov opäť výrazne nad prahom významnosti na úrovni 5,7 %; pripomína, že chybovosť Dvora audítorov zahŕňa chyby, ktoré členské štáty a Komisia nezistili, a dokazuje, že miera chybovosti Komisie je podhodnotená;</w:t>
      </w:r>
    </w:p>
    <w:p w14:paraId="429CB998" w14:textId="68A50836" w:rsidR="003B03EB" w:rsidRPr="005E78F4" w:rsidRDefault="00BF2152" w:rsidP="003B03EB">
      <w:pPr>
        <w:pStyle w:val="NormalHanging12a"/>
      </w:pPr>
      <w:r>
        <w:t>86</w:t>
      </w:r>
      <w:r w:rsidR="003B03EB" w:rsidRPr="005E78F4">
        <w:t>.</w:t>
      </w:r>
      <w:r w:rsidR="003B03EB" w:rsidRPr="005E78F4">
        <w:tab/>
        <w:t>berie na vedomie, že Dvor audítorov kategorizoval chyby zistené vo výdavkoch na súdržnosť, pričom 49 % chýb bolo spôsobených neoprávnenými nákladmi, 23 % chýb predstavovalo závažné nedodržiavanie pravidiel verejného obstarávania a štátnej pomoci a 18 % neoprávnené projekty; ďalej konštatuje, že výdavky súvisiace s EFRR a KF predstavujú najväčší podiel chýb (54 %);</w:t>
      </w:r>
    </w:p>
    <w:p w14:paraId="1188DDDA" w14:textId="1E38F183" w:rsidR="003B03EB" w:rsidRPr="005E78F4" w:rsidRDefault="00BF2152" w:rsidP="003B03EB">
      <w:pPr>
        <w:pStyle w:val="NormalHanging12a"/>
      </w:pPr>
      <w:r>
        <w:t>87</w:t>
      </w:r>
      <w:r w:rsidR="003B03EB" w:rsidRPr="005E78F4">
        <w:t>.</w:t>
      </w:r>
      <w:r w:rsidR="003B03EB" w:rsidRPr="005E78F4">
        <w:tab/>
        <w:t xml:space="preserve">konštatuje, že Generálne riaditeľstvo pre regionálnu a mestskú politiku (GR REGIO) vo svojej výročnej správe o činnosti celkovo dospelo k záveru, že v účtovnej závierke za rok 2024 boli výdavky vykazujúce nezrovnalosti v prípade EFRR/KF naďalej na </w:t>
      </w:r>
      <w:r w:rsidR="003B03EB" w:rsidRPr="005E78F4">
        <w:lastRenderedPageBreak/>
        <w:t>významnej úrovni, a to napriek výsledkom kontrol a opráv, ktoré sa už uskutočnili na úrovni členských štátov, a že Generálne riaditeľstvo pre zamestnanosť, sociálne záležitosti a začlenenie (GR EMPL) dospelo k rovnakému záveru v prípade ESF/YEI a FEAD;</w:t>
      </w:r>
    </w:p>
    <w:p w14:paraId="4AB3C1AC" w14:textId="0995E5AA" w:rsidR="003B03EB" w:rsidRPr="005E78F4" w:rsidRDefault="00BF2152" w:rsidP="003B03EB">
      <w:pPr>
        <w:pStyle w:val="NormalHanging12a"/>
      </w:pPr>
      <w:r>
        <w:t>88</w:t>
      </w:r>
      <w:r w:rsidR="003B03EB" w:rsidRPr="005E78F4">
        <w:t>.</w:t>
      </w:r>
      <w:r w:rsidR="003B03EB" w:rsidRPr="005E78F4">
        <w:tab/>
        <w:t xml:space="preserve">opakuje svoje obavy v súvislosti so záverom Dvora audítorov v jeho preskúmaní 03/2024 s názvom Prehľad rámca uistenia a hlavných faktorov </w:t>
      </w:r>
      <w:proofErr w:type="spellStart"/>
      <w:r w:rsidR="003B03EB" w:rsidRPr="005E78F4">
        <w:t>prispievajúcich</w:t>
      </w:r>
      <w:proofErr w:type="spellEnd"/>
      <w:r w:rsidR="003B03EB" w:rsidRPr="005E78F4">
        <w:t xml:space="preserve"> k chybám vo výdavkoch na súdržnosť v období 2014 – 2020, že Komisia podhodnocuje mieru chybovosti, ktorú vykazuje;</w:t>
      </w:r>
    </w:p>
    <w:p w14:paraId="6D19B647" w14:textId="569871A4" w:rsidR="003B03EB" w:rsidRPr="005E78F4" w:rsidRDefault="00BF2152" w:rsidP="003B03EB">
      <w:pPr>
        <w:pStyle w:val="NormalHanging12a"/>
      </w:pPr>
      <w:r>
        <w:t>89</w:t>
      </w:r>
      <w:r w:rsidR="003B03EB" w:rsidRPr="005E78F4">
        <w:t>.</w:t>
      </w:r>
      <w:r w:rsidR="003B03EB" w:rsidRPr="005E78F4">
        <w:tab/>
        <w:t>vyjadruje znepokojenie nad pretrvávajúcimi nedostatkami, ktoré Dvor audítorov zaznamenal v práci vnútroštátnych kontrolných orgánov a ktoré sú viditeľné v nedostatkoch zistených v balíkoch uisťujúcich dokumentov, pričom zvyšková miera chybovosti presahuje prah významnosti v prípade balíkov uisťujúcich dokumentov, čo predstavuje viac ako 60 % hodnoty balíkov uisťujúcich dokumentov, ktoré boli predmetom auditu v roku 2024; so znepokojením zdôrazňuje, že riadiacim orgánom sa stále nedarí účinne predchádzať nezrovnalostiam vo výdavkoch vykázaných príjemcami alebo ich odhaľovať, čo znižuje rozsah, v akom sa Komisia môže spoľahnúť na ich prácu;</w:t>
      </w:r>
    </w:p>
    <w:p w14:paraId="0E72B6FC" w14:textId="314C73F9" w:rsidR="003B03EB" w:rsidRPr="005E78F4" w:rsidRDefault="00BF2152" w:rsidP="003B03EB">
      <w:pPr>
        <w:pStyle w:val="NormalHanging12a"/>
      </w:pPr>
      <w:r>
        <w:t>90</w:t>
      </w:r>
      <w:r w:rsidR="003B03EB" w:rsidRPr="005E78F4">
        <w:t>.</w:t>
      </w:r>
      <w:r w:rsidR="003B03EB" w:rsidRPr="005E78F4">
        <w:tab/>
        <w:t>vyjadruje znepokojenie v súvislosti s pripomienkou Dvora audítorov, že chyby, ktoré Dvor audítorov zistil, mohli a mali zistiť orgány auditu pri svojich kontrolách. konštatuje, že to znižuje rozsah, v akom sa môže Komisia spoliehať na výsledky ich práce; so znepokojením zdôrazňuje pripomienku Dvora audítorov, že od roku 2017 podiel balíkov uisťujúcich dokumentov so zvyškovou chybovosťou nad 2 % neklesol pod 39 % výdavkov v jeho vzorkách, čo naznačuje, že v práci orgánov auditu pretrvávajú nedostatky, ktoré sa prácou Komisie týkajúcou sa uistenia dostatočne neriešia; víta však, že Komisia spustila akčný plán zameraný na zlepšenie kapacity orgánov v oblasti odhaľovania nezrovnalostí v období 2021 – 2027;</w:t>
      </w:r>
    </w:p>
    <w:p w14:paraId="61E29851" w14:textId="5D09F7AA" w:rsidR="003B03EB" w:rsidRPr="005E78F4" w:rsidRDefault="00BF2152" w:rsidP="003B03EB">
      <w:pPr>
        <w:pStyle w:val="NormalHanging12a"/>
      </w:pPr>
      <w:r>
        <w:t>91</w:t>
      </w:r>
      <w:r w:rsidR="003B03EB" w:rsidRPr="005E78F4">
        <w:t>.</w:t>
      </w:r>
      <w:r w:rsidR="003B03EB" w:rsidRPr="005E78F4">
        <w:tab/>
        <w:t xml:space="preserve"> konštatuje, že Dvor audítorov vo svojom preskúmaní 04/2025 s názvom Budúcnosť politiky súdržnosti EÚ: poučenia z minulosti pripomenul dlhodobú výzvu súvisiacu so zložitosťou regulačného rámca a skutočnosť, že napriek úsiliu o zjednodušenie pravidiel a postupov zložitosť právnych predpisov Únie a koexistencia vnútroštátnych a regionálnych požiadaviek naďalej predstavujú značnú administratívnu záťaž a prispievajú k vysokej miere chybovosti; pripomína však dôležitú úlohu, ktorú politika súdržnosti zohráva pri znižovaní hospodárskych, sociálnych a územných rozdielov a podpore konvergencie a stability v celej Únii, čím preukazuje svoju pridanú hodnotu pre daňovníkov Únie, ktorú možno ďalej posilniť riešením pretrvávajúcich nedostatkov; konštatuje, že hoci sa zaviedlo zjednodušené vykazovanie nákladov s cieľom obmedziť povinnosti v oblasti podávania správ, ich využívanie je naďalej obmedzené, najmä v rámci EFRR; pripomína pretrvávajúce nedostatky v systémoch riadenia a kontroly členských štátov; spochybňuje plán Komisie viac sa spoliehať na vnútroštátne systémy a zdôrazňuje, že tieto nedostatky sa musia pred zavedením akéhokoľvek takéhoto budúceho modelu výdavkov v rámci budúceho VFR napraviť; zdôrazňuje, že pred začatím vykonávania treba vymedziť jasnú a záväznú zodpovednosť Komisie a členských štátov v oblasti dohľadu a kontroly; domnieva sa, že Komisia by sa nemala spoliehať len na kontrolné systémy členských štátov, ale mala by vymedziť podobné minimálne požiadavky a mechanizmy overovania, aké sú stanovené v rámci zdieľaného riadenia, aby sa zabránilo akémukoľvek nedodržiavaniu vnútroštátnych pravidiel a pravidiel Únie, ako požaduje Dvor audítorov.</w:t>
      </w:r>
    </w:p>
    <w:p w14:paraId="4CFA5329" w14:textId="626F1749" w:rsidR="003B03EB" w:rsidRPr="005E78F4" w:rsidRDefault="00BF2152" w:rsidP="003B03EB">
      <w:pPr>
        <w:pStyle w:val="NormalHanging12a"/>
      </w:pPr>
      <w:r>
        <w:lastRenderedPageBreak/>
        <w:t>92</w:t>
      </w:r>
      <w:r w:rsidR="003B03EB" w:rsidRPr="005E78F4">
        <w:t>.</w:t>
      </w:r>
      <w:r w:rsidR="003B03EB" w:rsidRPr="005E78F4">
        <w:tab/>
        <w:t>berie na vedomie zistenia Dvora audítorov v jeho osobitnej správe 22/2025 s názvom Finančné opravy vo fondoch politiky súdržnosti, že Komisia neuplatňuje finančné opravy tak, ako by mala v záujme ochrany rozpočtu Únie pred neoprávnenými výdavkami v politike súdržnosti, a že napriek tomu, že výdavky na súdržnosť každoročne vykazujú značný počet chýb, Komisii trvalo viac ako desať rokov, kým prijala svoju prvú finančnú opravu v septembri 2025 na obdobie 2014 – 2020; poukazuje na to, že právny rámec upravujúci korekčný mechanizmus je zložitý, že usmernenia a kritériá na posúdenie závažných nedostatkov nie sú dostatočne jasné a neuplatňujú sa jednotne a že neexistuje riadne vymedzený časový rámec postupu;</w:t>
      </w:r>
    </w:p>
    <w:p w14:paraId="3A552FC6" w14:textId="5ADD4640" w:rsidR="003B03EB" w:rsidRPr="005E78F4" w:rsidRDefault="00BF2152" w:rsidP="003B03EB">
      <w:pPr>
        <w:pStyle w:val="NormalHanging12a"/>
      </w:pPr>
      <w:r>
        <w:t>93</w:t>
      </w:r>
      <w:r w:rsidR="003B03EB" w:rsidRPr="005E78F4">
        <w:t>.</w:t>
      </w:r>
      <w:r w:rsidR="003B03EB" w:rsidRPr="005E78F4">
        <w:tab/>
        <w:t>so znepokojením konštatuje, že Dvor audítorov zistil nedostatky v plánovaní a príprave audítorskej práce orgánov, ako sú nedostatky v prístupoch k výberu vzoriek a neúplné kontrolné zoznamy;</w:t>
      </w:r>
    </w:p>
    <w:p w14:paraId="71169DA3" w14:textId="75DCF351" w:rsidR="003B03EB" w:rsidRPr="005E78F4" w:rsidRDefault="00BF2152" w:rsidP="003B03EB">
      <w:pPr>
        <w:pStyle w:val="NormalHanging12a"/>
      </w:pPr>
      <w:r>
        <w:t>94</w:t>
      </w:r>
      <w:r w:rsidR="003B03EB" w:rsidRPr="005E78F4">
        <w:t>.</w:t>
      </w:r>
      <w:r w:rsidR="003B03EB" w:rsidRPr="005E78F4">
        <w:tab/>
        <w:t xml:space="preserve">pripomína, že v nadväznosti na žiadosť o prístup k dokumentom v súvislosti s absolutóriom, ktorá sa týkala zmlúv s 30 hospodárskymi subjektmi, musela Komisia vykonať rozsiahlu identifikáciu náročnú na zdroje z dôvodu obmedzení v jej interných dátových systémoch, čo viedlo k identifikácii stoviek subjektov s podobnými alebo súvisiacimi názvami; uznáva úsilie útvarov Komisie reagovať rýchlo a transparentne; ďalej pripomína, že od budúceho VFR bude Komisia povinná používať údaje uchovávané v nástroji </w:t>
      </w:r>
      <w:proofErr w:type="spellStart"/>
      <w:r w:rsidR="003B03EB" w:rsidRPr="005E78F4">
        <w:t>Arachne</w:t>
      </w:r>
      <w:proofErr w:type="spellEnd"/>
      <w:r w:rsidR="003B03EB" w:rsidRPr="005E78F4">
        <w:t xml:space="preserve"> na hĺbkovú analýzu údajov a vyhodnotenie rizika na účely vkladania údajov do centralizovaného webového sídla o transparentnosti, pričom členské štáty budú povinné poskytovať automatizovaný prístup k relevantným údajom, čo je povinnosť, ktorá sa bude uplatňovať od roku 2027 a v súvislosti s ktorou už Komisia začala prípravné práce; naliehavo žiada Komisiu, aby zaviedla </w:t>
      </w:r>
      <w:proofErr w:type="spellStart"/>
      <w:r w:rsidR="003B03EB" w:rsidRPr="005E78F4">
        <w:t>interoperabilný</w:t>
      </w:r>
      <w:proofErr w:type="spellEnd"/>
      <w:r w:rsidR="003B03EB" w:rsidRPr="005E78F4">
        <w:t xml:space="preserve"> systém, ktorý by od začiatku nového VFR umožnil sledovanie finančných prostriedkov na európskej úrovni;</w:t>
      </w:r>
    </w:p>
    <w:p w14:paraId="0BAA66D6" w14:textId="386F641C" w:rsidR="003B03EB" w:rsidRPr="005E78F4" w:rsidRDefault="00BF2152" w:rsidP="003B03EB">
      <w:pPr>
        <w:pStyle w:val="NormalHanging12a"/>
      </w:pPr>
      <w:r>
        <w:t>95</w:t>
      </w:r>
      <w:r w:rsidR="003B03EB" w:rsidRPr="005E78F4">
        <w:t>.</w:t>
      </w:r>
      <w:r w:rsidR="003B03EB" w:rsidRPr="005E78F4">
        <w:tab/>
        <w:t>konštatuje, že Dvor audítorov vo svojej osobitnej správe č. 24/2025 s názvom Finančné nástroje v politike súdržnosti EÚ: čiastočné opätovné použitie finančných prostriedkov zistil, že zatiaľ čo jednou z výhod finančných nástrojov v politike súdržnosti oproti grantom je, že spätné toky možno použiť na podporu ďalších konečných prijímateľov, čo vedie k efektívnejšiemu využívaniu verejného financovania, počas období oprávnenosti v skutočnosti dôjde len k obmedzenému opätovnému použitiu spätných tokov, čiastočne z prijateľných dôvodov, ako je dlhodobý charakter investícií; konštatuje, že po období oprávnenosti sa spätné toky vo všeobecnosti opätovne používajú na účely súdržnosti, ale s obmedzeniami; vyjadruje poľutovanie nad tým, že právny rámec týkajúci sa povinnosti opätovného použitia nie je dostatočne jasný a jednoznačný a že Komisii chýba dohľad, čo vedie k rôznym postupom riadiacich orgánov členských štátov;</w:t>
      </w:r>
    </w:p>
    <w:p w14:paraId="2337D385" w14:textId="24605F6A" w:rsidR="003B03EB" w:rsidRPr="005E78F4" w:rsidRDefault="00BF2152" w:rsidP="003B03EB">
      <w:pPr>
        <w:pStyle w:val="NormalHanging12a"/>
      </w:pPr>
      <w:r>
        <w:t>96</w:t>
      </w:r>
      <w:r w:rsidR="003B03EB" w:rsidRPr="005E78F4">
        <w:t>.</w:t>
      </w:r>
      <w:r w:rsidR="003B03EB" w:rsidRPr="005E78F4">
        <w:tab/>
        <w:t xml:space="preserve">vyjadruje znepokojenie v súvislosti s pripomienkou Dvora audítorov, že implementácia fondov politiky súdržnosti (EFRR, KF a ESF+), ktoré predstavujú viac ako 90 % finančných prostriedkov v rámci zdieľaného riadenia podľa NSU na roky 2021 – 2027, zostala na nízkej úrovni; konštatuje, že keď Dvor audítorov porovnáva ich vykonávanie (predbežné financovanie a priebežné platby) s predchádzajúcim programovým obdobím, celková miera čerpania týchto troch fondov bola do konca roka 2024 len 5 % v porovnaní so 14 % v rovnakom období predchádzajúceho VFR (koniec roka 2017); zdôrazňuje, že súčasné programové obdobie sa vykonáva v mimoriadne náročnej situácii, ktorá sa vyznačuje po sebe idúcimi krízami, inflačnými tlakmi, narušeniami dodávateľských reťazcov a meniacimi sa geopolitickými a hospodárskymi </w:t>
      </w:r>
      <w:r w:rsidR="003B03EB" w:rsidRPr="005E78F4">
        <w:lastRenderedPageBreak/>
        <w:t>podmienkami; zároveň uznáva, že programy na roky 2021 – 2027 boli prijaté o sedem mesiacov neskôr než programy na programové obdobie 2014 – 2020 a že miery predbežného financovania v rámci programov na roky 2014 – 2020 boli vyššie a zúčtované v inom čase než programy v rámci súčasného VFR; v tejto súvislosti konštatuje, že miera čerpania v porovnateľnej fáze vykonávania na konci júna 2017 v prípade EFRR, KF a ESF+ predstavovala 3,49 %, čo je porovnateľné s mierou na konci roka 2024; so znepokojením konštatuje, že vzhľadom na to, že koniec obdobia oprávnenosti príslušných výdavkov</w:t>
      </w:r>
      <w:r w:rsidR="003B03EB" w:rsidRPr="005E78F4">
        <w:rPr>
          <w:vertAlign w:val="superscript"/>
        </w:rPr>
        <w:footnoteReference w:id="106"/>
      </w:r>
      <w:r w:rsidR="003B03EB" w:rsidRPr="005E78F4">
        <w:t xml:space="preserve"> a lehota na vyplatenie konečného zostatku pre VFR na roky 2021 – 2027 sú stanovené o jeden rok skôr ako v predchádzajúcom programovom období, tlak na čerpanie finančných prostriedkov EÚ sa ešte zvýši;</w:t>
      </w:r>
    </w:p>
    <w:p w14:paraId="2FBA5C80" w14:textId="203925CC" w:rsidR="003B03EB" w:rsidRPr="005E78F4" w:rsidRDefault="00BF2152" w:rsidP="003B03EB">
      <w:pPr>
        <w:pStyle w:val="NormalHanging12a"/>
      </w:pPr>
      <w:r>
        <w:t>97</w:t>
      </w:r>
      <w:r w:rsidR="003B03EB" w:rsidRPr="005E78F4">
        <w:t>.</w:t>
      </w:r>
      <w:r w:rsidR="003B03EB" w:rsidRPr="005E78F4">
        <w:tab/>
        <w:t>vyjadruje znepokojenie nad tým, že Komisia predpokladá v roku 2024 zvýšenie zrušenia viazanosti na obdobie 2025 – 2027 na 8,8 miliardy EUR v porovnaní s prognózou na rok 2023 vo výške 8,1 miliardy EUR na rovnaké obdobie a že toto zvýšenie odhadovaného zrušenia viazanosti bolo spôsobené najmä programami súdržnosti v rámci súčasného VFR a EPFRV; konštatuje, že zrušenie viazanosti z EPFRV sa očakáva po ukončení programov predchádzajúceho VFR v roku 2026, zatiaľ čo programy politiky súdržnosti vo VFR na roky 2021 – 2027 čelia značnému riziku zrušenia viazanosti od roku 2027;</w:t>
      </w:r>
    </w:p>
    <w:p w14:paraId="1B7B6368" w14:textId="4B6BD71B" w:rsidR="003B03EB" w:rsidRPr="005E78F4" w:rsidRDefault="00BF2152" w:rsidP="003B03EB">
      <w:pPr>
        <w:pStyle w:val="NormalHanging12a"/>
      </w:pPr>
      <w:r>
        <w:t>98</w:t>
      </w:r>
      <w:r w:rsidR="003B03EB" w:rsidRPr="005E78F4">
        <w:t>.</w:t>
      </w:r>
      <w:r w:rsidR="003B03EB" w:rsidRPr="005E78F4">
        <w:tab/>
        <w:t>pripomína, že v roku 2024 nadobudlo účinnosť niekoľko zmien rámca politiky súdržnosti a právneho rámca, konkrétne nástroje STEP a RESTORE; zdôrazňuje význam týchto nástrojov pri zvyšovaní konkurencieschopnosti Únie a riešení dôsledkov prírodných katastrof; opakuje však, že neustále zmeny rámca politiky súdržnosti vedú k právnej neistote a nestabilite a mohli by ohroziť dlhodobé ciele politiky v oblasti štrukturálnej súdržnosti, t. j. znižovanie rozdielov v celej Únii; zdôrazňuje, že kohézna politika potrebuje stabilný regulačný rámec, aby sa zabezpečila predvídateľnosť pre príjemcov;</w:t>
      </w:r>
    </w:p>
    <w:p w14:paraId="67A15C81" w14:textId="0327F20A" w:rsidR="003B03EB" w:rsidRPr="005E78F4" w:rsidRDefault="00BF2152" w:rsidP="003B03EB">
      <w:pPr>
        <w:pStyle w:val="NormalHanging12a"/>
      </w:pPr>
      <w:r>
        <w:t>99</w:t>
      </w:r>
      <w:r w:rsidR="003B03EB" w:rsidRPr="005E78F4">
        <w:t>.</w:t>
      </w:r>
      <w:r w:rsidR="003B03EB" w:rsidRPr="005E78F4">
        <w:tab/>
        <w:t>opätovne vyjadruje hlboké znepokojenie nad neprimeraným vplyvom, ktorý má ruská agresívna vojna proti Ukrajine naďalej na východné regióny Únie hraničiace s Ruskom a/alebo Bieloruskom; upozorňuje na náklady, ktoré tieto regióny znášajú v dôsledku spoločných hraníc s nepriateľskými susednými krajinami, najmä na potrebu príslušných členských štátov smerovať verejné finančné prostriedky do bezpečnosti, obrany a pripravenosti, pričom čelia dramaticky zníženým zdrojom v dôsledku prerušenia hospodárskych činností, cezhraničného obchodu a iných výmen; je ďalej znepokojený stratou finančnej podpory Únie, ktorú pocítili niektoré pohraničné regióny v dôsledku zmien v oblasti finančných prostriedkov na politiku súdržnosti v súčasnom programovom období, najmä finančných prostriedkov v rámci EFRR pôvodne určených na cezhraničnú spoluprácu s Ruskom a Bieloruskom a prostriedkov prerozdelených v rámci preskúmania súdržnosti v polovici obdobia v roku 2025;</w:t>
      </w:r>
    </w:p>
    <w:p w14:paraId="3466A4E5" w14:textId="2E7D2B32" w:rsidR="003B03EB" w:rsidRPr="005E78F4" w:rsidRDefault="00BF2152" w:rsidP="003B03EB">
      <w:pPr>
        <w:pStyle w:val="NormalHanging12a"/>
      </w:pPr>
      <w:r>
        <w:t>100</w:t>
      </w:r>
      <w:r w:rsidR="003B03EB" w:rsidRPr="005E78F4">
        <w:t>.</w:t>
      </w:r>
      <w:r w:rsidR="003B03EB" w:rsidRPr="005E78F4">
        <w:tab/>
        <w:t xml:space="preserve">zdôrazňuje, že územná súdržnosť si vyžaduje posilnenie miestnej hospodárskej odolnosti, napríklad prostredníctvom udržateľného cestovného ruchu, ochrany kultúrneho bohatstva, zamestnanosti mladých ľudí a rozvoja odborných zručností vrátane ekologickej rekonštrukcie, energetickej účinnosti a služieb civilnej ochrany; zdôrazňuje význam politiky súdržnosti Únie pre hospodársku a územnú konvergenciu a rozvoj v regiónoch Únie, ako aj pre podporu vykonávania Európskeho piliera sociálnych práv; zdôrazňuje, že je potrebné zabezpečiť prístup k základným službám vo </w:t>
      </w:r>
      <w:r w:rsidR="003B03EB" w:rsidRPr="005E78F4">
        <w:lastRenderedPageBreak/>
        <w:t>vidieckych a odľahlých oblastiach, a vyzýva Komisiu, aby posúdila, či výdavky Únie účinne prispievajú k zníženiu tlaku vedúceho k vyľudňovaniu;</w:t>
      </w:r>
    </w:p>
    <w:p w14:paraId="60D0AB79" w14:textId="12EEF489" w:rsidR="003B03EB" w:rsidRPr="005E78F4" w:rsidRDefault="00BF2152" w:rsidP="003B03EB">
      <w:pPr>
        <w:pStyle w:val="NormalHanging12a"/>
      </w:pPr>
      <w:r>
        <w:t>101</w:t>
      </w:r>
      <w:r w:rsidR="003B03EB" w:rsidRPr="005E78F4">
        <w:t>.</w:t>
      </w:r>
      <w:r w:rsidR="003B03EB" w:rsidRPr="005E78F4">
        <w:tab/>
        <w:t xml:space="preserve">upozorňuje na to, že niektoré regióny vrátane stredomorských pobrežných a vnútrozemských území sú čoraz viac vystavené rizikám súvisiacim s klímou, ako sú búrky, záplavy, pobrežná erózia a sucho; zdôrazňuje, že preventívne a adaptačné opatrenia sú nákladovo efektívnejšie než obnova po katastrofe; zdôrazňuje, že je potrebné prednostne investovať do prevencie rizík, hydraulickej bezpečnosti, stability svahov, riešení blízkych prírode a infraštruktúry odolnej proti zmene klímy vrátane udržateľných prístavov, </w:t>
      </w:r>
      <w:proofErr w:type="spellStart"/>
      <w:r w:rsidR="003B03EB" w:rsidRPr="005E78F4">
        <w:t>intermodálnej</w:t>
      </w:r>
      <w:proofErr w:type="spellEnd"/>
      <w:r w:rsidR="003B03EB" w:rsidRPr="005E78F4">
        <w:t xml:space="preserve"> logistiky, železničnej prepojenosti a odolných vodných systémov, znižovania únikov, odolného zavlažovania a inteligentného hospodárenia s vodami s cieľom zabezpečiť rýchle a merateľné výsledky v oblasti odolnosti, zvýšiť územnú odolnosť a zabezpečiť účinnosť výdavkov Únie;</w:t>
      </w:r>
    </w:p>
    <w:p w14:paraId="404F2955" w14:textId="7427EE4E" w:rsidR="003B03EB" w:rsidRPr="005E78F4" w:rsidRDefault="00BF2152" w:rsidP="003B03EB">
      <w:pPr>
        <w:pStyle w:val="NormalHanging12a"/>
      </w:pPr>
      <w:r>
        <w:t>102</w:t>
      </w:r>
      <w:r w:rsidR="003B03EB" w:rsidRPr="005E78F4">
        <w:t>.</w:t>
      </w:r>
      <w:r w:rsidR="003B03EB" w:rsidRPr="005E78F4">
        <w:tab/>
        <w:t>zdôrazňuje odporúčanie Útvaru Komisie pre vnútorný audit (IAS) v audite vykonanom v roku 2024 o procesoch budovania uistenia pre finančné prostriedky implementované v rámci zdieľaného riadenia, že stratégiu jednotného auditu GR REGIO, GR EMPL a Generálneho riaditeľstva pre námorné záležitosti a rybárstvo (GR MARE) treba aktualizovať, keďže niektoré prvky neboli dostatočne jasné alebo neboli v tejto fáze programového obdobia dostatočne rozvinuté; berie tiež na vedomie odporúčanie IAS, že GR REGIO, ktoré vykonáva aj Fond solidarity EÚ v rámci zdieľaného a nepriameho riadenia, musí ďalej zlepšovať svoju koncepciu a účinné riadenie;</w:t>
      </w:r>
    </w:p>
    <w:p w14:paraId="37F17CB1" w14:textId="3AEE0B91" w:rsidR="003B03EB" w:rsidRPr="005E78F4" w:rsidRDefault="00BF2152" w:rsidP="003B03EB">
      <w:pPr>
        <w:pStyle w:val="NormalHanging12a"/>
      </w:pPr>
      <w:r>
        <w:t>103</w:t>
      </w:r>
      <w:r w:rsidR="003B03EB" w:rsidRPr="005E78F4">
        <w:t>.</w:t>
      </w:r>
      <w:r w:rsidR="003B03EB" w:rsidRPr="005E78F4">
        <w:tab/>
        <w:t>konštatuje, že po vytvorení rámca</w:t>
      </w:r>
      <w:r w:rsidR="003B03EB" w:rsidRPr="005E78F4">
        <w:rPr>
          <w:vertAlign w:val="superscript"/>
        </w:rPr>
        <w:footnoteReference w:id="107"/>
      </w:r>
      <w:r w:rsidR="003B03EB" w:rsidRPr="005E78F4">
        <w:t xml:space="preserve"> na zníženie a vymáhanie prostriedkov v prípade podvodov, korupcie a konfliktov záujmov, ktoré poškodzujú finančné záujmy Únie a ktoré členský štát nenapravil, Komisia pristúpila k prvému takémuto zníženiu 8. mája 2025, keď na základe odporúčania úradu OLAF prijala prvé vykonávacie rozhodnutie, ktorým znížila podporu Slovensku o 1,225 milióna EUR v súvislosti s neopravenou nezrovnalosťou; berie však na vedomie zistenie Dvora audítorov v osobitnej správe č. 26/2025, že Komisii chýba mechanizmus na monitorovanie toho, či sú sumy, ktorých vymáhanie nariadili vnútroštátne súdy v nadväznosti na trestné konanie, skutočne v plnej výške vrátené do rozpočtu Únie;</w:t>
      </w:r>
    </w:p>
    <w:p w14:paraId="464971D6" w14:textId="593E7C70" w:rsidR="003B03EB" w:rsidRPr="005E78F4" w:rsidRDefault="00BF2152" w:rsidP="003B03EB">
      <w:pPr>
        <w:pStyle w:val="NormalHanging12a"/>
      </w:pPr>
      <w:r>
        <w:t>104</w:t>
      </w:r>
      <w:r w:rsidR="003B03EB" w:rsidRPr="005E78F4">
        <w:t>.</w:t>
      </w:r>
      <w:r w:rsidR="003B03EB" w:rsidRPr="005E78F4">
        <w:tab/>
        <w:t>vyjadruje hlboké znepokojenie nad zisteniami správy o právnom štáte za rok 2025, pokiaľ ide o situáciu v oblasti právneho štátu v Maďarsku, najmä o pretrvávajúce a systémové výzvy v oblasti súdnictva a médií; s veľkým znepokojením si všíma, že transparentnosť v prideľovaní prípadov na nižších súdoch sa nezlepšila a že v súdnictve pokračuje nenáležitý tlak na niektorých sudcov, a to najmä v súvislosti s vnútornými diskusiami o kľúčových otázkach týkajúcich sa nezávislosti súdnictva; so znepokojením v podobnom duchu konštatuje, že vykonávanie národnej protikorupčnej stratégie na roky 2024 – 2025 zaostáva, znížil sa počet odsúdení za trestné činy korupcie, nenastal pokrok v spoľahlivých výsledkoch v oblasti korupcie na vysokej úrovni a maďarský úrad pre integritu neustále informuje o prekážkach pri účinnom plnení svojich úloh dohľadu;</w:t>
      </w:r>
    </w:p>
    <w:p w14:paraId="0AA0E8ED" w14:textId="4D38A875" w:rsidR="003B03EB" w:rsidRPr="005E78F4" w:rsidRDefault="00BF2152" w:rsidP="003B03EB">
      <w:pPr>
        <w:pStyle w:val="NormalHanging12a"/>
      </w:pPr>
      <w:r>
        <w:t>105</w:t>
      </w:r>
      <w:r w:rsidR="003B03EB" w:rsidRPr="005E78F4">
        <w:t>.</w:t>
      </w:r>
      <w:r w:rsidR="003B03EB" w:rsidRPr="005E78F4">
        <w:tab/>
        <w:t xml:space="preserve">opätovne vyjadruje vážne znepokojenie nad rozhodnutím Komisie z 13. decembra 2023, v ktorom sa dospelo k záveru, že maďarská vláda splnila požiadavky charty v súvislosti s nezávislosťou súdnictva a zrušilo sa pozastavenie vyplácania finančných prostriedkov na súvisiace programy, v dôsledku čoho sa Maďarsko stalo oprávneným získať </w:t>
      </w:r>
      <w:r w:rsidR="003B03EB" w:rsidRPr="005E78F4">
        <w:lastRenderedPageBreak/>
        <w:t>približne 10,2 miliardy EUR z rôznych fondov, ktoré sa riadia nariadením o spoločných ustanoveniach; pripomína, že Európsky parlament podal 25. marca 2024 na Súdny dvor žalobu s cieľom preskúmať zákonnosť rozhodnutia Komisie, ako aj vniesť právnu istotu do uplatňovania mechanizmu právneho štátu; konštatuje, že hoci SDEÚ ešte stále nerozhodol, generálny advokát 12. februára 2026 navrhol, aby Súdny dvor zrušil rozhodnutie Komisie, ktorým sa zrušuje pozastavenie vyplácania finančných prostriedkov Maďarsku;</w:t>
      </w:r>
    </w:p>
    <w:p w14:paraId="5A1478D4" w14:textId="11A36D31" w:rsidR="003B03EB" w:rsidRPr="005E78F4" w:rsidRDefault="00BF2152" w:rsidP="003B03EB">
      <w:pPr>
        <w:pStyle w:val="NormalHanging12a"/>
      </w:pPr>
      <w:r>
        <w:t>106</w:t>
      </w:r>
      <w:r w:rsidR="003B03EB" w:rsidRPr="005E78F4">
        <w:t>.</w:t>
      </w:r>
      <w:r w:rsidR="003B03EB" w:rsidRPr="005E78F4">
        <w:tab/>
        <w:t>konštatuje, že z prostriedkov vo výške 19,8 miliardy EUR pridelených v rámci nariadenia o spoločných ustanoveniach, ktoré boli pôvodne zablokované z dôvodu obáv týkajúcich sa základných práv, je v januári 2026 zablokovaných len 7,6 miliardy EUR určených pre maďarskú vládu; ďalej konštatuje, že zo sumy 6,4 miliardy EUR, ktorá bola pôvodne zablokovaná podľa nariadenia o podmienenosti právnym štátom z dôvodu obáv týkajúcich sa právneho štátu a korupcie, bola na konci roka 2024 zrušená viazanosť prostriedkov vo výške 1 miliarda EUR a na konci roka 2025 vo výške 1,1 miliardy EUR; vyjadruje hlboké znepokojenie nad tým, že hoci sa situácia v oblasti právneho štátu v Maďarsku naďalej zhoršuje a korupcii v etablovaných oligarchických štruktúrach sa darí, objem finančných prostriedkov Únie, ktoré sú naďalej zmrazené v dôsledku obáv týkajúcich sa právneho štátu a korupcie, sa znižuje a v dôsledku toho sa tlak Komisie na maďarskú vládu, aby vykonala reformy, neustále zmenšuje;</w:t>
      </w:r>
    </w:p>
    <w:p w14:paraId="5E6C47B6" w14:textId="45A0BEBA" w:rsidR="003B03EB" w:rsidRPr="005E78F4" w:rsidRDefault="00BF2152" w:rsidP="003B03EB">
      <w:pPr>
        <w:pStyle w:val="NormalHanging12a"/>
      </w:pPr>
      <w:r>
        <w:t>107</w:t>
      </w:r>
      <w:r w:rsidR="003B03EB" w:rsidRPr="005E78F4">
        <w:t>.</w:t>
      </w:r>
      <w:r w:rsidR="003B03EB" w:rsidRPr="005E78F4">
        <w:tab/>
        <w:t>berie na vedomie žiadosť maďarskej vlády z 28. a 29. marca 2025 o presun 545 miliónov EUR z dvoch kohéznych programov na nové priority v rámci Platformy strategických technológií pre Európu (STEP), z toho 395 miliónov EUR z prostriedkov zmrazených z dôvodu nesplnenia horizontálnej podmienky podľa Charty základných práv; hlboko ľutuje, že Komisia 25. septembra 2025 schválila zmeny, ktoré napriek tomu, že opäť zablokovali úhrady nových priorít platformy STEP z dôvodu neplnenia požiadaviek Charty, umožnili maďarskej vláde prístup k predbežnému financovaniu vo výške 317,3 milióna EUR; opätovne potvrdzuje, že prerozdelenie alebo presun zmrazených rozpočtových prostriedkov na iné programy alebo ciele by bolo pre vlády, ktoré nedodržiavajú hodnoty Únie a svoje povinnosti chrániť finančné záujmy Únie, signálom, že straty možno kompenzovať inde; pripomína svoje stanovisko, že finančné prostriedky pozastavené podľa nariadenia o podmienenosti alebo z dôvodu nesplnenia horizontálnych podmienok by nemali byť oprávnené na zmeny programu alebo presuny; vyzýva preto Komisiu, aby využila svoje právo iniciatívy a navrhla opatrenia na odstránenie akýchkoľvek existujúcich medzier v legislatívnom rámci Únie, ktoré môžu umožniť vládam previesť finančné prostriedky pozastavené z dôvodu porušenia ich záväzkov v oblasti právneho štátu alebo stanovených v Charte základných práv, a aby zabezpečila, že všetky budúce nástroje financovania budú chránené pred obchádzaním;</w:t>
      </w:r>
    </w:p>
    <w:p w14:paraId="7B080421" w14:textId="42C1BBD0" w:rsidR="003B03EB" w:rsidRPr="005E78F4" w:rsidRDefault="00BF2152" w:rsidP="003B03EB">
      <w:pPr>
        <w:pStyle w:val="NormalHanging12a"/>
      </w:pPr>
      <w:r>
        <w:t>108</w:t>
      </w:r>
      <w:r w:rsidR="003B03EB" w:rsidRPr="005E78F4">
        <w:t>.</w:t>
      </w:r>
      <w:r w:rsidR="003B03EB" w:rsidRPr="005E78F4">
        <w:tab/>
        <w:t xml:space="preserve">konštatuje, že spoločnosť MOL </w:t>
      </w:r>
      <w:proofErr w:type="spellStart"/>
      <w:r w:rsidR="003B03EB" w:rsidRPr="005E78F4">
        <w:t>Plc</w:t>
      </w:r>
      <w:proofErr w:type="spellEnd"/>
      <w:r w:rsidR="003B03EB" w:rsidRPr="005E78F4">
        <w:t>, verejne kótovaný maďarský petrochemický konglomerát, je v skutočnosti pod kontrolou troch tzv. trustov vo verejnom záujme prepojených s maďarskou vládou, z ktorých každý má 10 % podiel; pripomína, že vykonávacím rozhodnutím Rady (EÚ) 2022/2506 z 15. decembra 2022 sa Komisii zakazuje prijímať nové právne záväzky v rámci priameho alebo nepriameho riadenia s maďarskými trustmi vo verejnom záujme a subjektmi, ktoré spravujú, pri plnení rozpočtu Únie; so znepokojením konštatuje, že najmenej jedna dohoda o financovaní bola zrejme uzavretá medzi Komisiou a spoločnosťou MOL po prijatí tohto rozhodnutia; berie na vedomie odpoveď Komisie, že túto záležitosť vyšetruje, a očakáva, že Komisia bezodkladne poskytne orgánu udeľujúcemu absolutórium jasné vysvetlenie, ako mohol byť takýto záväzok podpísaný;</w:t>
      </w:r>
    </w:p>
    <w:p w14:paraId="7D935F38" w14:textId="1D4EF707" w:rsidR="003B03EB" w:rsidRPr="005E78F4" w:rsidRDefault="00BF2152" w:rsidP="003B03EB">
      <w:pPr>
        <w:pStyle w:val="NormalHanging12a"/>
      </w:pPr>
      <w:r>
        <w:lastRenderedPageBreak/>
        <w:t>109</w:t>
      </w:r>
      <w:r w:rsidR="003B03EB" w:rsidRPr="005E78F4">
        <w:t>.</w:t>
      </w:r>
      <w:r w:rsidR="003B03EB" w:rsidRPr="005E78F4">
        <w:tab/>
        <w:t>konštatuje, že maďarská vláda má dostať tretí najväčší príspevok v rámci nástroja SAFE vo výške 16,2 miliardy EUR, ktorý je určený na podporu veľkých investícií v obrannom priemysle; pripomína, že Komisia má právomoc odoprieť schválenie investičných plánov členských štátov v oblasti obrany v rámci nástroja SAFE, ak existujú obavy týkajúce sa ochrany finančných záujmov Únie; konštatuje, že maďarská vláda nedávno predala kontrolný väčšinový podiel 75 % + 1 vo svojom štátnom obrannom priemyselnom holdingu spoločnosti 4iG, ktorá je vo všeobecnosti považovaná za blízku vláde; dôrazne varuje, že vzhľadom na pokračujúce zhoršovanie situácie v oblasti právneho štátu, pretrvávajúce riziká korupcie a systémové nedostatky v dohľade, ktoré sú uvedené vyššie, nemožno finančné záujmy Únie považovať za primerane chránené, ak by sa finančné prostriedky z nástroja SAFE mali vyplatiť maďarskej vláde bez toho, aby sa prinajmenšom stanovili prísne podmienky, ktoré musia byť splnené pred akýmkoľvek vyplatením finančných prostriedkov;</w:t>
      </w:r>
    </w:p>
    <w:p w14:paraId="19B8E3A7" w14:textId="7967808F" w:rsidR="003B03EB" w:rsidRPr="005E78F4" w:rsidRDefault="00BF2152" w:rsidP="003B03EB">
      <w:pPr>
        <w:pStyle w:val="NormalHanging12a"/>
      </w:pPr>
      <w:r>
        <w:t>110</w:t>
      </w:r>
      <w:r w:rsidR="003B03EB" w:rsidRPr="005E78F4">
        <w:t>.</w:t>
      </w:r>
      <w:r w:rsidR="003B03EB" w:rsidRPr="005E78F4">
        <w:tab/>
        <w:t>so znepokojením zdôrazňuje, že od správy o právnom štáte za rok 2024 Slovensko prijalo v druhom polroku 2024 sériu zmien trestného zákona vrátane zrušenia špecializovaných protikorupčných orgánov, národnej kriminálnej agentúry a úradu špeciálnej prokuratúry, čo viedlo k oneskoreniam vo vyšetrovaniach postúpených iným orgánom a k výraznému poklesu počtu prípadov korupcie; so znepokojením berie na vedomie plán slovenskej vlády nahradiť súčasný úrad na ochranu oznamovateľov inštitúciou, ktorej predsedu by menoval priamo predseda parlamentu, čo predstavuje riziko spolitizovania úradu, zosúladenia jeho práce s prioritami vlády, zníženia ochrany oznamovateľov a zníženia kontroly toho, ako vláda nakladá s finančnými prostriedkami Únie; zdôrazňuje, že tento vývoj predstavuje zvýšené, podstatné riziko pre správne finančné riadenie rozpočtu Únie; zdôrazňuje, že nariadenie o podmienenosti právnym štátom sa neobmedzuje na krajné opatrenia, ale umožňuje aj včasné opatrenia s čiastočným pozastavením, ak sa zistia porušenia zásad právneho štátu, ktoré predstavujú vážne riziko pre správne finančné riadenie rozpočtu Únie; plne podporuje rozhodnutie Komisie a vyzýva ju, aby podnikla prvý krok v rámci mechanizmu podmienenosti a začala konanie o porušení povinností v tejto veci;</w:t>
      </w:r>
    </w:p>
    <w:p w14:paraId="65023E54" w14:textId="12BBF6EC" w:rsidR="003B03EB" w:rsidRPr="005E78F4" w:rsidRDefault="00BF2152" w:rsidP="003B03EB">
      <w:pPr>
        <w:pStyle w:val="NormalHanging12a"/>
      </w:pPr>
      <w:r>
        <w:t>111</w:t>
      </w:r>
      <w:r w:rsidR="003B03EB" w:rsidRPr="005E78F4">
        <w:t>.</w:t>
      </w:r>
      <w:r w:rsidR="003B03EB" w:rsidRPr="005E78F4">
        <w:tab/>
        <w:t>v tejto súvislosti poznamenáva, že v nadväznosti na služobnú cestu Výboru pre kontrolu rozpočtu do Bratislavy 26. až 28. mája 2025 neopodstatnené verejné vyhlásenia predsedu vlády Slovenska a členov Národnej rady viedli k hrozbám voči vedúcemu služobnej cesty, takže bola potrebná policajná ochrana; domnieva sa, že takéto incidenty ďalej ilustrujú zhoršujúce sa prostredie právneho štátu a riziká, ktoré to predstavuje pre finančné záujmy Únie;</w:t>
      </w:r>
    </w:p>
    <w:p w14:paraId="221E135B" w14:textId="4FFC70B5" w:rsidR="003B03EB" w:rsidRPr="005E78F4" w:rsidRDefault="00BF2152" w:rsidP="003B03EB">
      <w:pPr>
        <w:pStyle w:val="NormalHanging12a"/>
      </w:pPr>
      <w:r>
        <w:t>112</w:t>
      </w:r>
      <w:r w:rsidR="003B03EB" w:rsidRPr="005E78F4">
        <w:t>.</w:t>
      </w:r>
      <w:r w:rsidR="003B03EB" w:rsidRPr="005E78F4">
        <w:tab/>
        <w:t>vyjadruje poľutovanie nad tým, že podľa analýzy občianskej spoločnosti sa vo veľkej väčšine odporúčaní zo správy o právnom štáte opakujú predchádzajúce odporúčania; domnieva sa, že to vyvoláva obavy o tom, či členské štáty berú odporúčania dostatočne vážne a či Komisia vyvíja primeraný tlak na zabezpečenie ich účinného vykonávania; zdôrazňuje, že mnohé nedostatky uvedené v správe o právnom štáte majú priamy vplyv na správne finančné riadenie rozpočtu Únie, a preto z hľadiska kontroly rozpočtu považuje za nevyhnutné, aby tento postup priniesol hmatateľné a merateľné výsledky; vyzýva preto Komisiu, aby odporúčania pre jednotlivé krajiny vyplývajúce zo správ o právnom štáte pretavila do konkrétnych míľnikov, podľa ktorých by členské štáty systematicky konali, a aby spustila uplatňovanie nariadenia o podmienenosti v prípadoch, keď systematické porušovanie zásad právneho štátu zistené v rámci pilierov danej správy dostatočne priamo súvisí s ochranou rozpočtu Únie;</w:t>
      </w:r>
    </w:p>
    <w:p w14:paraId="76D940AE" w14:textId="227CB9B4" w:rsidR="003B03EB" w:rsidRPr="005E78F4" w:rsidRDefault="00BF2152" w:rsidP="003B03EB">
      <w:pPr>
        <w:pStyle w:val="NormalHanging12a"/>
      </w:pPr>
      <w:r>
        <w:lastRenderedPageBreak/>
        <w:t>113</w:t>
      </w:r>
      <w:r w:rsidR="003B03EB" w:rsidRPr="005E78F4">
        <w:t>.</w:t>
      </w:r>
      <w:r w:rsidR="003B03EB" w:rsidRPr="005E78F4">
        <w:tab/>
        <w:t xml:space="preserve">berie na vedomie odpoveď Komisie, že Generálny sekretariát koordinuje používanie troch rôznych nástrojov, nariadenia o podmienenosti, správy o právnom štáte, Mechanizmu na podporu obnovy a odolnosti a horizontálnych základných podmienok nariadenia o spoločných ustanoveniach s cieľom zabezpečiť konzistentnosť vo všetkých programoch, nástrojoch a členských štátoch a že v rámci každého nástroja existuje vedúci útvar poverený vykonávaním a k tejto práci prispievajú aj príslušné súvisiace útvary; ďalej konštatuje, že Generálne riaditeľstvo pre spravodlivosť a spotrebiteľov (GR JUST) a Generálny sekretariát spolupracujú na správe o právnom štáte, GR EMPL vedie prácu v súvislosti s horizontálnou základnou podmienkou charty, SG REFORM spolu s Generálnym riaditeľstvom pre hospodárske a finančné záležitosti (GR ECFIN) prácu na Mechanizme na podporu obnovy a odolnosti a Generálne riaditeľstvo pre rozpočet (GR BUDG) prácu v súvislosti s nariadením o podmienenosti; vyzýva Komisiu, aby ďalej objasnila úlohu všetkých subjektov s rozhodovacou právomocou v týchto postupoch; zdôrazňuje, že hoci na papieri existuje pevný rámec, praktické uplatňovanie postupov by sa mohlo ešte zlepšiť; vyjadruje poľutovanie nad tým, že Komisia poskytla v minulosti len absolútne minimum informácií bez kľúčových podrobností a neposkytla úplnú dokumentáciu ani po tom, ako o to </w:t>
      </w:r>
      <w:r w:rsidR="00E47BEF" w:rsidRPr="005E78F4">
        <w:t>Európsky p</w:t>
      </w:r>
      <w:r w:rsidR="003B03EB" w:rsidRPr="005E78F4">
        <w:t xml:space="preserve">arlament požiadal; zdôrazňuje, že včasná, komplexná a proaktívna výmena informácií je nevyhnutná na to, aby si </w:t>
      </w:r>
      <w:r w:rsidR="00E47BEF" w:rsidRPr="005E78F4">
        <w:t>Európsky p</w:t>
      </w:r>
      <w:r w:rsidR="003B03EB" w:rsidRPr="005E78F4">
        <w:t>arlament mohol účinne plniť svoje rozpočtové a kontrolné povinnosti a aby si občania zachovali dôveru v inštitúcie Únie a dôveryhodnosť Únie ako celku;</w:t>
      </w:r>
    </w:p>
    <w:p w14:paraId="07933D03" w14:textId="25ED0216" w:rsidR="003B03EB" w:rsidRPr="005E78F4" w:rsidRDefault="00BF2152" w:rsidP="003B03EB">
      <w:pPr>
        <w:pStyle w:val="NormalHanging12a"/>
      </w:pPr>
      <w:r>
        <w:t>114</w:t>
      </w:r>
      <w:r w:rsidR="003B03EB" w:rsidRPr="005E78F4">
        <w:t>.</w:t>
      </w:r>
      <w:r w:rsidR="003B03EB" w:rsidRPr="005E78F4">
        <w:tab/>
        <w:t>vyjadruje poľutovanie nad tým, že Komisii trvalo viac ako dva roky, kým začala konanie o nesplnení povinnosti voči Malte za neuplatňovanie práva Únie v oblasti online hazardných hier; s vážnym znepokojením konštatuje, že v dôsledku maltských právnych predpisov, ktoré bránia výkonu platných rozsudkov z iných členských štátov, sa približne 100 000 občanom Únie, ktorí majú nárok na vrátenie prostriedkov, nepodarilo dosiahnuť nápravu; ďalej konštatuje, že viaceré spoločnosti prevádzkujúce hazardné hry s licenciou na Malte začali prevádzať aktíva na iné subjekty, čím ohrozujú účinný výkon tisícov súdnych rozsudkov aj v prípade, že by sa napadnuté právne predpisy zrušili; v tejto súvislosti vyjadruje hlboké poľutovanie nad oneskorením Komisie pri začatí konania o nesplnení povinnosti;</w:t>
      </w:r>
    </w:p>
    <w:p w14:paraId="369861D9" w14:textId="1075DBB7" w:rsidR="003B03EB" w:rsidRPr="005E78F4" w:rsidRDefault="00BF2152" w:rsidP="003B03EB">
      <w:pPr>
        <w:pStyle w:val="NormalHanging12a"/>
      </w:pPr>
      <w:r>
        <w:t>115</w:t>
      </w:r>
      <w:r w:rsidR="003B03EB" w:rsidRPr="005E78F4">
        <w:t>.</w:t>
      </w:r>
      <w:r w:rsidR="003B03EB" w:rsidRPr="005E78F4">
        <w:tab/>
        <w:t>pripomína zistenia z osobitnej správy Dvora audítorov o digitalizácii zdravotníctva, v ktorej sa dospelo k záveru, že Únia podporovala digitalizáciu systémov zdravotnej starostlivosti v členských štátoch vcelku účinne; konštatuje však, že členské štáty mali ťažkosti pri využívaní finančných prostriedkov Únie pridelených na tento účel, a vyjadruje poľutovanie nad tým, že napriek tomu, že Komisia monitoruje pokrok dosiahnutý členskými štátmi pri digitalizácii zdravotnej starostlivosti, zatiaľ nemá komplexný prehľad o tom, ako sa finančné prostriedky Únie využívajú na podporu týchto činností; vyzýva Komisiu, aby v plnej miere vykonala odporúčania Dvora audítorov, najmä zlepšením usmernení pre členské štáty, posilnením monitorovania finančných prostriedkov Únie používaných na elektronické zdravotníctvo a dohľadu nad nimi založeného na výkonnosti a zabezpečením toho, aby sa pri investíciách do elektronického zdravotníctva dodržiavali najvyššie normy ochrany údajov, kybernetickej bezpečnosti a </w:t>
      </w:r>
      <w:proofErr w:type="spellStart"/>
      <w:r w:rsidR="003B03EB" w:rsidRPr="005E78F4">
        <w:t>interoperability</w:t>
      </w:r>
      <w:proofErr w:type="spellEnd"/>
      <w:r w:rsidR="003B03EB" w:rsidRPr="005E78F4">
        <w:t>;</w:t>
      </w:r>
    </w:p>
    <w:p w14:paraId="0EEE9FCC" w14:textId="147AA72B" w:rsidR="003B03EB" w:rsidRPr="005E78F4" w:rsidRDefault="00BF2152" w:rsidP="003B03EB">
      <w:pPr>
        <w:pStyle w:val="NormalHanging12a"/>
      </w:pPr>
      <w:r>
        <w:t>116</w:t>
      </w:r>
      <w:r w:rsidR="003B03EB" w:rsidRPr="005E78F4">
        <w:t>.</w:t>
      </w:r>
      <w:r w:rsidR="003B03EB" w:rsidRPr="005E78F4">
        <w:tab/>
        <w:t xml:space="preserve">uznáva, že program EU4Health prispieva k Programu </w:t>
      </w:r>
      <w:proofErr w:type="spellStart"/>
      <w:r w:rsidR="003B03EB" w:rsidRPr="005E78F4">
        <w:t>InvestEU</w:t>
      </w:r>
      <w:proofErr w:type="spellEnd"/>
      <w:r w:rsidR="003B03EB" w:rsidRPr="005E78F4">
        <w:t xml:space="preserve"> tým, že sa prelína so zárukou Únie, čím sa získavajú dodatočné investície; berie na vedomie najmä príspevok vo výške 110 miliónov EUR plynúci z navýšenia Programu </w:t>
      </w:r>
      <w:proofErr w:type="spellStart"/>
      <w:r w:rsidR="003B03EB" w:rsidRPr="005E78F4">
        <w:t>InvestEU</w:t>
      </w:r>
      <w:proofErr w:type="spellEnd"/>
      <w:r w:rsidR="003B03EB" w:rsidRPr="005E78F4">
        <w:t xml:space="preserve"> na podporu investícií EIB do inovačných projektov v oblasti biologických vied súvisiacich </w:t>
      </w:r>
      <w:r w:rsidR="003B03EB" w:rsidRPr="005E78F4">
        <w:lastRenderedPageBreak/>
        <w:t>so zdravotníckymi protiopatreniami; zdôrazňuje, že je dôležité zabezpečiť transparentnosť, efektívnu koordináciu s vnútroštátnymi nástrojmi financovania a nástrojmi financovania Únie a široký prístup k členským štátom, aby tieto investície priniesli silnú európsku pridanú hodnotu a posilnili odolnosť systémov zdravotnej starostlivosti Únie; pripomína význam investícií do zdravotníckych inovácií a technológií na európskej úrovni a význam posilnenia spolupráce medzi výskumnými inštitúciami, súkromnými zdravotníckymi spoločnosťami a verejnými orgánmi s cieľom lepšie slúžiť verejnému záujmu;</w:t>
      </w:r>
    </w:p>
    <w:p w14:paraId="7375000A" w14:textId="406BCC20" w:rsidR="003B03EB" w:rsidRPr="005E78F4" w:rsidRDefault="00BF2152" w:rsidP="003B03EB">
      <w:pPr>
        <w:pStyle w:val="NormalHanging12a"/>
      </w:pPr>
      <w:r>
        <w:t>117</w:t>
      </w:r>
      <w:r w:rsidR="003B03EB" w:rsidRPr="005E78F4">
        <w:t>.</w:t>
      </w:r>
      <w:r w:rsidR="003B03EB" w:rsidRPr="005E78F4">
        <w:tab/>
        <w:t>vyjadruje poľutovanie nad rozhodnutím Komisie ukončiť granty na prevádzku na podporu sektora zdravotníctva, ktoré v roku 2024 predstavovali o niečo viac ako 1 % rozpočtu programu EU4Health; konštatuje, že tieto zmeny ovplyvnili prínos ku kontinuite plnenia európskych cieľov v oblasti verejného zdravia; zdôrazňuje význam predvídateľných a stabilných podporných mechanizmov pre zainteresované strany a organizácie občianskej spoločnosti pôsobiace v oblasti zdravia; domnieva sa, že budúce financovanie bude naďalej založené na jasných kritériách európskej pridanej hodnoty, transparentnosti, politickej neutrality a merateľného vplyvu, aby sa zabezpečilo, že zdroje budú smerovať tam, kde prinesú najväčší úžitok pre pacientov a systémy zdravotnej starostlivosti; zdôrazňuje úlohu zainteresovaných strán a aktérov občianskej spoločnosti pri prispievaní k cieľom a vykonávaniu politiky Únie v oblasti zdravia;</w:t>
      </w:r>
    </w:p>
    <w:p w14:paraId="6A8F82E8" w14:textId="0282C79D" w:rsidR="003B03EB" w:rsidRPr="005E78F4" w:rsidRDefault="00BF2152" w:rsidP="003B03EB">
      <w:pPr>
        <w:pStyle w:val="NormalHanging12a"/>
      </w:pPr>
      <w:r>
        <w:t>118</w:t>
      </w:r>
      <w:r w:rsidR="003B03EB" w:rsidRPr="005E78F4">
        <w:t>.</w:t>
      </w:r>
      <w:r w:rsidR="003B03EB" w:rsidRPr="005E78F4">
        <w:tab/>
        <w:t>konštatuje, že Komisia vyčlenila 8 miliónov EUR v roku 2024 a 20,9 milióna EUR v roku 2025 na výzvy na predkladanie návrhov na tvorbu obsahu o záležitostiach Únie konzorciami spravodajských mediálnych organizácií, a že tri mediálne konzorciá v súčasnosti dostávajú finančné prostriedky Únie; pripomína, že slobodná, nezávislá a pluralitná tlač je základným kameňom demokratickej zodpovednosti; domnieva sa, že podpora médií zo strany Únie môže prispieť k posilneniu plurality médií a informovanej verejnej diskusii v celej Únii za predpokladu, že sú zavedené prísne záruky na zabezpečenie úplnej redakčnej nezávislosti a transparentnosti; zdôrazňuje význam transparentnosti, pokiaľ ide o všetku finančnú podporu vrátane grantov, zmlúv a nepriameho financovania poskytovaného mediálnym organizáciám, a že takéto informácie by mali byť ľahko dostupné a jasne prezentované;</w:t>
      </w:r>
    </w:p>
    <w:p w14:paraId="1E9DE11D" w14:textId="6E30794C" w:rsidR="003B03EB" w:rsidRPr="005E78F4" w:rsidRDefault="00BF2152" w:rsidP="003B03EB">
      <w:pPr>
        <w:pStyle w:val="NormalHanging12a"/>
      </w:pPr>
      <w:r>
        <w:t>119</w:t>
      </w:r>
      <w:r w:rsidR="003B03EB" w:rsidRPr="005E78F4">
        <w:t>.</w:t>
      </w:r>
      <w:r w:rsidR="003B03EB" w:rsidRPr="005E78F4">
        <w:tab/>
        <w:t>vyjadruje poľutovanie nad tým, že Komisia nevykonala priebežné hodnotenia hlavných programov Erasmus+, Európsky zbor solidarity a Kreatívna Európa pred zákonom stanoveným termínom; zdôrazňuje, že tieto hodnotenia by mali byť podkladom pre rozhodovanie, a to aj v budúcom programovom období;</w:t>
      </w:r>
    </w:p>
    <w:p w14:paraId="29D1DF6B" w14:textId="77777777" w:rsidR="003B03EB" w:rsidRPr="005E78F4" w:rsidRDefault="003B03EB" w:rsidP="003B03EB">
      <w:pPr>
        <w:spacing w:after="240"/>
        <w:ind w:left="567" w:hanging="567"/>
        <w:rPr>
          <w:i/>
        </w:rPr>
      </w:pPr>
      <w:r w:rsidRPr="005E78F4">
        <w:rPr>
          <w:i/>
        </w:rPr>
        <w:t>Odporúčania</w:t>
      </w:r>
    </w:p>
    <w:p w14:paraId="7374C317" w14:textId="54AA3958" w:rsidR="003B03EB" w:rsidRPr="005E78F4" w:rsidRDefault="00BF2152" w:rsidP="003B03EB">
      <w:pPr>
        <w:pStyle w:val="NormalHanging12a"/>
      </w:pPr>
      <w:r>
        <w:t>120</w:t>
      </w:r>
      <w:r w:rsidR="003B03EB" w:rsidRPr="005E78F4">
        <w:t>.</w:t>
      </w:r>
      <w:r w:rsidR="003B03EB" w:rsidRPr="005E78F4">
        <w:tab/>
        <w:t>vyzýva Komisiu, aby konala v súlade s odporúčaniami Dvora audítorov uvedenými v jeho výročnej správe s cieľom zabezpečiť, aby:</w:t>
      </w:r>
    </w:p>
    <w:p w14:paraId="616D4489" w14:textId="77777777" w:rsidR="003B03EB" w:rsidRPr="005E78F4" w:rsidRDefault="003B03EB" w:rsidP="00A219FA">
      <w:pPr>
        <w:spacing w:after="240"/>
        <w:ind w:left="1134" w:hanging="567"/>
        <w:rPr>
          <w:spacing w:val="-6"/>
        </w:rPr>
      </w:pPr>
      <w:r w:rsidRPr="005E78F4">
        <w:t>i)</w:t>
      </w:r>
      <w:r w:rsidRPr="005E78F4">
        <w:tab/>
        <w:t>orgány auditu posilnili svoju kontrolnú kapacitu a schopnosť odhaľovania tým, že budú overovať, či riadne plánujú výber vzorky, potvrdzovať, že súlad s kritériami oprávnenosti je preukázaný, a viesť riadnu dokumentáciu na podporu audítorských záznamov;</w:t>
      </w:r>
    </w:p>
    <w:p w14:paraId="37EB2D49" w14:textId="77777777" w:rsidR="003B03EB" w:rsidRPr="005E78F4" w:rsidRDefault="003B03EB" w:rsidP="00A219FA">
      <w:pPr>
        <w:spacing w:after="240"/>
        <w:ind w:left="1134" w:hanging="567"/>
      </w:pPr>
      <w:r w:rsidRPr="005E78F4">
        <w:t>ii)</w:t>
      </w:r>
      <w:r w:rsidRPr="005E78F4">
        <w:tab/>
        <w:t xml:space="preserve">v prípade zistenia systematických nedostatkov v operačných programoch a uplatnenia paušálnej sadzby orgány členských štátov nepoužívali mechanizmus paušálnej opravy na to, aby sa vyhli povinnosti kontrolovať oprávnenosť </w:t>
      </w:r>
      <w:r w:rsidRPr="005E78F4">
        <w:lastRenderedPageBreak/>
        <w:t>výdavkov pred ich vykázaním Komisii, a aby v prípade potreby jednotlivo vymáhali finančné prostriedky;</w:t>
      </w:r>
    </w:p>
    <w:p w14:paraId="54352A7A" w14:textId="2166C28E" w:rsidR="003B03EB" w:rsidRPr="005E78F4" w:rsidRDefault="00834070" w:rsidP="003B03EB">
      <w:pPr>
        <w:pStyle w:val="NormalHanging12a"/>
        <w:rPr>
          <w:spacing w:val="-6"/>
        </w:rPr>
      </w:pPr>
      <w:r>
        <w:t>121</w:t>
      </w:r>
      <w:r w:rsidR="003B03EB" w:rsidRPr="005E78F4">
        <w:t>.</w:t>
      </w:r>
      <w:r w:rsidR="003B03EB" w:rsidRPr="005E78F4">
        <w:tab/>
        <w:t>okrem toho vyzýva Komisiu, aby:</w:t>
      </w:r>
    </w:p>
    <w:p w14:paraId="16AB65D0" w14:textId="77777777" w:rsidR="003B03EB" w:rsidRPr="005E78F4" w:rsidRDefault="003B03EB" w:rsidP="005E78F4">
      <w:pPr>
        <w:spacing w:after="240"/>
        <w:ind w:left="1134" w:hanging="567"/>
        <w:rPr>
          <w:spacing w:val="-6"/>
        </w:rPr>
      </w:pPr>
      <w:r w:rsidRPr="005E78F4">
        <w:t>i)</w:t>
      </w:r>
      <w:r w:rsidRPr="005E78F4">
        <w:tab/>
        <w:t>pokračovala v riešení systémového problému neodhalenia chýb na úrovni členských štátov vo výdavkoch na politiku súdržnosti účinným vykonávaním akčného plánu zameraného na zvýšenie schopnosti odhaľovania na úrovni členských štátov a Komisie;</w:t>
      </w:r>
    </w:p>
    <w:p w14:paraId="486D87B9" w14:textId="77777777" w:rsidR="003B03EB" w:rsidRPr="005E78F4" w:rsidRDefault="003B03EB" w:rsidP="005E78F4">
      <w:pPr>
        <w:spacing w:after="240"/>
        <w:ind w:left="1134" w:hanging="567"/>
      </w:pPr>
      <w:r w:rsidRPr="005E78F4">
        <w:t>ii)</w:t>
      </w:r>
      <w:r w:rsidRPr="005E78F4">
        <w:tab/>
        <w:t>ďalej posilňovala usmernenia, koordináciu a monitorovanie s cieľom zabezpečiť väčšiu právnu istotu a účinnejšie opätovné využívanie spätných tokov vo všetkých členských štátoch;</w:t>
      </w:r>
    </w:p>
    <w:p w14:paraId="2CFC8FA9" w14:textId="77777777" w:rsidR="003B03EB" w:rsidRPr="005E78F4" w:rsidRDefault="003B03EB" w:rsidP="005E78F4">
      <w:pPr>
        <w:spacing w:after="240"/>
        <w:ind w:left="1134" w:hanging="567"/>
      </w:pPr>
      <w:r w:rsidRPr="005E78F4">
        <w:t>iii)</w:t>
      </w:r>
      <w:r w:rsidRPr="005E78F4">
        <w:tab/>
        <w:t>úzko spolupracovala s členskými štátmi, najmä s tými, ktoré čelia štrukturálnym alebo kapacitným obmedzeniam, a poskytla im technickú pomoc, administratívne zjednodušenie a dostatočnú flexibilitu pri vykonávaní s cieľom zabezpečiť úplné a účinné čerpanie kohéznych fondov;</w:t>
      </w:r>
    </w:p>
    <w:p w14:paraId="70201CDC" w14:textId="77777777" w:rsidR="003B03EB" w:rsidRPr="005E78F4" w:rsidRDefault="003B03EB" w:rsidP="005E78F4">
      <w:pPr>
        <w:spacing w:after="240"/>
        <w:ind w:left="1134" w:hanging="567"/>
        <w:rPr>
          <w:spacing w:val="-6"/>
        </w:rPr>
      </w:pPr>
      <w:r w:rsidRPr="005E78F4">
        <w:t>iv)</w:t>
      </w:r>
      <w:r w:rsidRPr="005E78F4">
        <w:tab/>
        <w:t>vypracovala metodiku na meranie celkového finančného vplyvu vyšetrovaní Európskej prokuratúry a úradu OLAF vrátane súm získaných vymáhaním na základe rozhodnutí vnútroštátnych súdov v trestnom konaní a na získavanie pravidelných informácií od členských štátov o vymáhaní majetku a podiele vrátenom do rozpočtu Únie, ako to odporúča Dvor audítorov;</w:t>
      </w:r>
    </w:p>
    <w:p w14:paraId="1B00154A" w14:textId="5436EC7A" w:rsidR="003B03EB" w:rsidRPr="005E78F4" w:rsidRDefault="003B03EB" w:rsidP="005E78F4">
      <w:pPr>
        <w:spacing w:after="240"/>
        <w:ind w:left="1134" w:hanging="567"/>
        <w:rPr>
          <w:spacing w:val="-6"/>
        </w:rPr>
      </w:pPr>
      <w:r w:rsidRPr="005E78F4">
        <w:t>v)</w:t>
      </w:r>
      <w:r w:rsidRPr="005E78F4">
        <w:tab/>
        <w:t xml:space="preserve">prepojila odporúčania zo správy o právnom štáte s vykonávaním konkrétnych opatrení dotknutým členským štátom s cieľom dosiahnuť väčší dosah a prispieť k ochrane finančných záujmov Únie a v tejto súvislosti odkazuje na odporúčania uvedené v uznesení </w:t>
      </w:r>
      <w:r w:rsidR="00E47BEF" w:rsidRPr="005E78F4">
        <w:t>Európskeho p</w:t>
      </w:r>
      <w:r w:rsidRPr="005E78F4">
        <w:t>arlamentu z 18. júna 2025 o správe Komisie o právnom štáte za rok 2024;</w:t>
      </w:r>
    </w:p>
    <w:p w14:paraId="6D3D8AFA" w14:textId="77777777" w:rsidR="003B03EB" w:rsidRPr="005E78F4" w:rsidRDefault="003B03EB" w:rsidP="005E78F4">
      <w:pPr>
        <w:spacing w:after="240"/>
        <w:ind w:left="1134" w:hanging="567"/>
      </w:pPr>
      <w:r w:rsidRPr="005E78F4">
        <w:t>vi)</w:t>
      </w:r>
      <w:r w:rsidRPr="005E78F4">
        <w:tab/>
        <w:t>zvýšila monitorovanie horizontálnych a tematických základných podmienok vo všetkých členských štátoch s cieľom identifikovať potenciálne hrozby pre ochranu rozpočtu Únie a zabezpečila väčšiu transparentnosť a účasť zainteresovaných strán na uplatňovaní tohto nástroja;</w:t>
      </w:r>
    </w:p>
    <w:p w14:paraId="6D098384" w14:textId="77777777" w:rsidR="003B03EB" w:rsidRPr="005E78F4" w:rsidRDefault="003B03EB" w:rsidP="005E78F4">
      <w:pPr>
        <w:spacing w:after="240"/>
        <w:ind w:left="1134" w:hanging="567"/>
        <w:rPr>
          <w:spacing w:val="-6"/>
        </w:rPr>
      </w:pPr>
      <w:r w:rsidRPr="005E78F4">
        <w:t>vii)</w:t>
      </w:r>
      <w:r w:rsidRPr="005E78F4">
        <w:tab/>
        <w:t>lepšie zosúladila správu o právnom štáte s nariadením o podmienenosti a podrobnejšie informovala o porušeniach zásad právneho štátu, ktoré možno použiť ako podnet na aktiváciu nariadenia o podmienenosti;</w:t>
      </w:r>
    </w:p>
    <w:p w14:paraId="210751F8" w14:textId="77777777" w:rsidR="003B03EB" w:rsidRPr="005E78F4" w:rsidRDefault="003B03EB" w:rsidP="005E78F4">
      <w:pPr>
        <w:spacing w:after="240"/>
        <w:ind w:left="1134" w:hanging="567"/>
      </w:pPr>
      <w:r w:rsidRPr="005E78F4">
        <w:t>viii)</w:t>
      </w:r>
      <w:r w:rsidRPr="005E78F4">
        <w:tab/>
        <w:t>využila svoje iniciatívne právo a navrhla opatrenia na odstránenie všetkých existujúcich medzier v legislatívnom rámci Únie, ktoré by mohli umožniť vládam previesť finančné prostriedky pozastavené v súlade s nariadením o podmienenosti právnym štátom alebo z dôvodu nesplnenia horizontálnych základných podmienok, a zabezpečila, aby všetky budúce nástroje financovania obsahovali primerané záruky proti obchádzaniu;</w:t>
      </w:r>
    </w:p>
    <w:p w14:paraId="30E06A0A" w14:textId="77777777" w:rsidR="003B03EB" w:rsidRPr="005E78F4" w:rsidRDefault="003B03EB" w:rsidP="005E78F4">
      <w:pPr>
        <w:spacing w:after="240"/>
        <w:ind w:left="1134" w:hanging="567"/>
      </w:pPr>
      <w:r w:rsidRPr="005E78F4">
        <w:t>ix)</w:t>
      </w:r>
      <w:r w:rsidRPr="005E78F4">
        <w:tab/>
        <w:t>urýchlene prehodnotila a riešila zhoršovanie situácie v oblasti právneho štátu a riziká pre rozpočet Únie v Maďarsku a prijala všetky potrebné opatrenia v súlade s nariadením o podmienenosti a inými dostupnými nástrojmi vrátane úplného pozastavenia finančných prostriedkov Únie;</w:t>
      </w:r>
    </w:p>
    <w:p w14:paraId="2C50DE65" w14:textId="77777777" w:rsidR="003B03EB" w:rsidRPr="005E78F4" w:rsidRDefault="003B03EB" w:rsidP="005E78F4">
      <w:pPr>
        <w:spacing w:after="240"/>
        <w:ind w:left="1134" w:hanging="567"/>
      </w:pPr>
      <w:r w:rsidRPr="005E78F4">
        <w:lastRenderedPageBreak/>
        <w:t>x)</w:t>
      </w:r>
      <w:r w:rsidRPr="005E78F4">
        <w:tab/>
        <w:t>vykonala následné hodnotenie finančného vplyvu zmien politiky súdržnosti na východné pohraničné regióny, najmä finančných prostriedkov EFRR pôvodne vyčlenených na cezhraničnú spoluprácu s Ruskom a Bieloruskom, ako aj finančných prostriedkov prerozdelených v rámci preskúmania súdržnosti v polovici obdobia v roku 2025, ktoré by sa týkalo rozsahu, v akom finančné prostriedky Únie pôvodne určené pre regióny hraničiace s Ruskom a/alebo Bieloruskom nakoniec zostali v týchto regiónoch, poskytla svoje hodnotenie orgánu udeľujúcemu absolutórium a urýchlene navrhla cielenú finančnú podporu pre tieto regióny s cieľom čeliť neprimeranému vplyvu ruskej agresívnej vojny vrátane nápravy strát, ktoré utrpeli v dôsledku zmien počas súčasného programového obdobia;</w:t>
      </w:r>
    </w:p>
    <w:p w14:paraId="35709D96" w14:textId="77777777" w:rsidR="003B03EB" w:rsidRPr="005E78F4" w:rsidRDefault="003B03EB" w:rsidP="005E78F4">
      <w:pPr>
        <w:spacing w:after="240"/>
        <w:ind w:left="1134" w:hanging="567"/>
      </w:pPr>
      <w:r w:rsidRPr="005E78F4">
        <w:t>xi)</w:t>
      </w:r>
      <w:r w:rsidRPr="005E78F4">
        <w:tab/>
        <w:t>opätovne zvážila prístup jednotného auditu, kým sa nevyriešia nedostatky zistené v riadiacich a kontrolných orgánoch v členských štátoch;</w:t>
      </w:r>
    </w:p>
    <w:p w14:paraId="3C5A559D" w14:textId="77777777" w:rsidR="003B03EB" w:rsidRPr="005E78F4" w:rsidRDefault="003B03EB" w:rsidP="005E78F4">
      <w:pPr>
        <w:spacing w:after="240"/>
        <w:ind w:left="1134" w:hanging="567"/>
      </w:pPr>
      <w:r w:rsidRPr="005E78F4">
        <w:t>xii)</w:t>
      </w:r>
      <w:r w:rsidRPr="005E78F4">
        <w:tab/>
        <w:t>zabezpečila, aby sa granty na prevádzku poskytovali v rámci programu EU4Health;</w:t>
      </w:r>
    </w:p>
    <w:p w14:paraId="709344DE" w14:textId="77777777" w:rsidR="003B03EB" w:rsidRPr="005E78F4" w:rsidRDefault="003B03EB" w:rsidP="003B03EB">
      <w:pPr>
        <w:spacing w:after="240"/>
        <w:ind w:left="567" w:hanging="567"/>
        <w:rPr>
          <w:b/>
        </w:rPr>
      </w:pPr>
      <w:r w:rsidRPr="005E78F4">
        <w:rPr>
          <w:b/>
        </w:rPr>
        <w:t>Prírodné zdroje a životné prostredie</w:t>
      </w:r>
    </w:p>
    <w:p w14:paraId="5CC5FADF" w14:textId="7E429667" w:rsidR="003B03EB" w:rsidRPr="005E78F4" w:rsidRDefault="006F36A3" w:rsidP="003B03EB">
      <w:pPr>
        <w:pStyle w:val="NormalHanging12a"/>
      </w:pPr>
      <w:r>
        <w:t>122</w:t>
      </w:r>
      <w:r w:rsidR="003B03EB" w:rsidRPr="005E78F4">
        <w:t>.</w:t>
      </w:r>
      <w:r w:rsidR="003B03EB" w:rsidRPr="005E78F4">
        <w:tab/>
        <w:t>konštatuje, že rozpočet na programy v rámci okruhu 3 VFR „Prírodné zdroje a životné prostredie“ predstavoval 64,4 miliardy EUR (33,7 % rozpočtu Únie) rozdelených takto: 59,2 % týchto výdavkov smerovalo do Európskeho poľnohospodárskeho záručného fondu (EPZF) v priamych platbách (38,1 miliardy EUR), 24 % t. j. 15,5 miliardy EUR do Európskeho poľnohospodárskeho fondu pre rozvoj vidieka (EPFRV), 9,5 % do Fondu na spravodlivú transformáciu (6,2 miliardy EUR,), 4,1 % do Európskeho poľnohospodárskeho záručného fondu (EPZF) na výdavky súvisiace s trhom (2,7 miliardy EUR), 2,0 % do námornej dopravy a rybárstva (1,3 miliardy EUR), 0,9 % do životného prostredia a klímy (LIFE) (600 miliónov EUR) a 0,3 % do ostatných oblastí (200 miliónov EUR);</w:t>
      </w:r>
    </w:p>
    <w:p w14:paraId="32363187" w14:textId="5B90DEEF" w:rsidR="003B03EB" w:rsidRPr="005E78F4" w:rsidRDefault="006F36A3" w:rsidP="003B03EB">
      <w:pPr>
        <w:pStyle w:val="NormalHanging12a"/>
      </w:pPr>
      <w:r>
        <w:t>123</w:t>
      </w:r>
      <w:r w:rsidR="003B03EB" w:rsidRPr="005E78F4">
        <w:t>.</w:t>
      </w:r>
      <w:r w:rsidR="003B03EB" w:rsidRPr="005E78F4">
        <w:tab/>
        <w:t>zdôrazňuje, že v roku 2024 spoločná poľnohospodárska politika (SPP) predstavovala (87,3 %) výdavkov Únie na okruh „Prírodné zdroje a životné prostredie“. pripomína, že rok 2024 bol druhým rokom SPP na roky 2023 – 2027, ktorý zaviedol nový model vykonávania zahŕňajúci výkonnostné prvky dohodnuté s členskými štátmi v strategických plánoch ako základ pre platby;</w:t>
      </w:r>
    </w:p>
    <w:p w14:paraId="6416CCD3" w14:textId="5FC557DB" w:rsidR="003B03EB" w:rsidRPr="005E78F4" w:rsidRDefault="006F36A3" w:rsidP="003B03EB">
      <w:pPr>
        <w:pStyle w:val="NormalHanging12a"/>
      </w:pPr>
      <w:r>
        <w:t>124</w:t>
      </w:r>
      <w:r w:rsidR="003B03EB" w:rsidRPr="005E78F4">
        <w:t>.</w:t>
      </w:r>
      <w:r w:rsidR="003B03EB" w:rsidRPr="005E78F4">
        <w:tab/>
        <w:t xml:space="preserve">konštatuje, že na konci roka 2024 dosiahli platby z EPFRV na roky 2023 – 2027 výšku 6,3 miliardy EUR (v roku 2023: 700 miliónov EUR), čo predstavuje mieru čerpania 9,5 % (1 % v roku 2023); zdôrazňuje, že oneskorené platby oslabujú stabilitu príjmov poľnohospodárov; berie tiež na vedomie 32 % mieru čerpania prostriedkov z Fondu na spravodlivú transformáciu; so znepokojením berie na vedomie nízku mieru čerpania prostriedkov z Európskeho námorného, rybolovného a </w:t>
      </w:r>
      <w:proofErr w:type="spellStart"/>
      <w:r w:rsidR="003B03EB" w:rsidRPr="005E78F4">
        <w:t>akvakultúrneho</w:t>
      </w:r>
      <w:proofErr w:type="spellEnd"/>
      <w:r w:rsidR="003B03EB" w:rsidRPr="005E78F4">
        <w:t xml:space="preserve"> fondu (ENRAF), ktorá do konca roka 2024 dosiahla len 3 %;</w:t>
      </w:r>
    </w:p>
    <w:p w14:paraId="59BCB11D" w14:textId="30C84F04" w:rsidR="003B03EB" w:rsidRPr="005E78F4" w:rsidRDefault="006F36A3" w:rsidP="003B03EB">
      <w:pPr>
        <w:pStyle w:val="NormalHanging12a"/>
      </w:pPr>
      <w:r>
        <w:t>125</w:t>
      </w:r>
      <w:r w:rsidR="003B03EB" w:rsidRPr="005E78F4">
        <w:t>.</w:t>
      </w:r>
      <w:r w:rsidR="003B03EB" w:rsidRPr="005E78F4">
        <w:tab/>
        <w:t xml:space="preserve">poznamenáva, že Dvor audítorov preskúmal vzorku 228 transakcií, ktoré zahŕňali celé spektrum výdavkov v rámci tohto okruhu VFR v 19 členských štátoch a v Spojenom kráľovstve; so znepokojením konštatuje, že Dvor audítorov odhaduje chybovosť v tomto okruhu na 2,6 % (2,2 % v roku 2023); ďalej konštatuje, že Dvor audítorov zistil osem vyčísliteľných chýb (t. j. chýb s priamym finančným vplyvom na rozpočet Únie) v oblasti rozvoja vidieka, osem v transakciách týkajúcich sa </w:t>
      </w:r>
      <w:proofErr w:type="spellStart"/>
      <w:r w:rsidR="003B03EB" w:rsidRPr="005E78F4">
        <w:t>ekoschém</w:t>
      </w:r>
      <w:proofErr w:type="spellEnd"/>
      <w:r w:rsidR="003B03EB" w:rsidRPr="005E78F4">
        <w:t xml:space="preserve">, nový typ </w:t>
      </w:r>
      <w:r w:rsidR="003B03EB" w:rsidRPr="005E78F4">
        <w:lastRenderedPageBreak/>
        <w:t xml:space="preserve">intervencie zavedený v rámci SPP na roky 2023 – 2027 na podporu poľnohospodárskych postupov, ktoré prispievajú k cieľom v oblasti klímy a životného prostredia a dobrých životných podmienok zvierat, tri v priamych platbách okrem </w:t>
      </w:r>
      <w:proofErr w:type="spellStart"/>
      <w:r w:rsidR="003B03EB" w:rsidRPr="005E78F4">
        <w:t>ekoschém</w:t>
      </w:r>
      <w:proofErr w:type="spellEnd"/>
      <w:r w:rsidR="003B03EB" w:rsidRPr="005E78F4">
        <w:t>, dve v trhových opatreniach a jednu v transakcii v rámci zdieľaného riadenia v ENRAF; konštatuje, že Dvor audítorov zistil aj 19 ďalších problémov s dodržiavaním predpisov bez finančného vplyvu na rozpočet Únie;</w:t>
      </w:r>
    </w:p>
    <w:p w14:paraId="36E3860B" w14:textId="0F8C19DB" w:rsidR="003B03EB" w:rsidRPr="005E78F4" w:rsidRDefault="006F36A3" w:rsidP="003B03EB">
      <w:pPr>
        <w:pStyle w:val="NormalHanging12a"/>
      </w:pPr>
      <w:r>
        <w:t>126</w:t>
      </w:r>
      <w:r w:rsidR="003B03EB" w:rsidRPr="005E78F4">
        <w:t>.</w:t>
      </w:r>
      <w:r w:rsidR="003B03EB" w:rsidRPr="005E78F4">
        <w:tab/>
        <w:t xml:space="preserve">berie na vedomie kategorizáciu chýb Dvora audítorov, podľa ktorej administratívne chyby predstavovali 44 % chýb, problémy s oprávnenosťou 28 %, nedodržanie záväzkov týkajúcich sa </w:t>
      </w:r>
      <w:proofErr w:type="spellStart"/>
      <w:r w:rsidR="003B03EB" w:rsidRPr="005E78F4">
        <w:t>agroenvironmentálnych</w:t>
      </w:r>
      <w:proofErr w:type="spellEnd"/>
      <w:r w:rsidR="003B03EB" w:rsidRPr="005E78F4">
        <w:t>, klimatických alebo ekologických režimov 16 % a poskytnutie nepresných informácií o plochách alebo zvieratách 12 %;</w:t>
      </w:r>
    </w:p>
    <w:p w14:paraId="519A2C09" w14:textId="0CC8B264" w:rsidR="003B03EB" w:rsidRPr="005E78F4" w:rsidRDefault="006F36A3" w:rsidP="003B03EB">
      <w:pPr>
        <w:pStyle w:val="NormalHanging12a"/>
      </w:pPr>
      <w:r>
        <w:t>127</w:t>
      </w:r>
      <w:r w:rsidR="003B03EB" w:rsidRPr="005E78F4">
        <w:t>.</w:t>
      </w:r>
      <w:r w:rsidR="003B03EB" w:rsidRPr="005E78F4">
        <w:tab/>
        <w:t>vyjadruje znepokojenie nad tým, že v prípade 13 vyčísliteľných chýb mali podľa názoru Dvora audítorov orgány členských štátov dostatok informácií na to, aby predišli chybám alebo ich odhalili a opravili pred schválením výdavkov, a že ak by orgány členských štátov a Komisia riadne využili všetky informácie, ktoré mali k dispozícii, odhadovaná úroveň chybovosti v tejto kapitole by bola o 2,2 percentuálneho bodu nižšia;</w:t>
      </w:r>
    </w:p>
    <w:p w14:paraId="22983F85" w14:textId="0A7052EA" w:rsidR="003B03EB" w:rsidRPr="005E78F4" w:rsidRDefault="006F36A3" w:rsidP="003B03EB">
      <w:pPr>
        <w:pStyle w:val="NormalHanging12a"/>
      </w:pPr>
      <w:r>
        <w:t>128</w:t>
      </w:r>
      <w:r w:rsidR="003B03EB" w:rsidRPr="005E78F4">
        <w:t>.</w:t>
      </w:r>
      <w:r w:rsidR="003B03EB" w:rsidRPr="005E78F4">
        <w:tab/>
        <w:t>upozorňuje na potrebu zjednodušenia, ďalšieho rozvoja a podpory digitálnych nástrojov a prísnejších kontrol s cieľom znížiť úroveň neoprávnených výdavkov; zdôrazňuje, že je dôležité znížiť administratívne zaťaženie poľnohospodárov s cieľom posilniť správne finančné riadenie;</w:t>
      </w:r>
    </w:p>
    <w:p w14:paraId="45C99A85" w14:textId="12299169" w:rsidR="003B03EB" w:rsidRPr="005E78F4" w:rsidRDefault="006F36A3" w:rsidP="003B03EB">
      <w:pPr>
        <w:pStyle w:val="NormalHanging12a"/>
      </w:pPr>
      <w:r>
        <w:t>129</w:t>
      </w:r>
      <w:r w:rsidR="003B03EB" w:rsidRPr="005E78F4">
        <w:t>.</w:t>
      </w:r>
      <w:r w:rsidR="003B03EB" w:rsidRPr="005E78F4">
        <w:tab/>
        <w:t xml:space="preserve">je uistený záverom Dvora audítorov, že priame platby v rámci SPP s výnimkou </w:t>
      </w:r>
      <w:proofErr w:type="spellStart"/>
      <w:r w:rsidR="003B03EB" w:rsidRPr="005E78F4">
        <w:t>ekoschém</w:t>
      </w:r>
      <w:proofErr w:type="spellEnd"/>
      <w:r w:rsidR="003B03EB" w:rsidRPr="005E78F4">
        <w:t xml:space="preserve"> boli v roku 2024 bez významných chýb; berie na vedomie posúdenie Komisie, že to potvrdzuje dôležitú úlohu, ktorú zohráva integrovaný administratívny a kontrolný systém (IACS) pri prevencii a znižovaní rizika chýb, keďže priame platby riadi každý členský štát prostredníctvom IACS, ktorý prepája databázy podnikov, žiadostí o pomoc, registrov zvierat a poľnohospodárskych oblastí;</w:t>
      </w:r>
    </w:p>
    <w:p w14:paraId="6239CBE9" w14:textId="5FBC17AC" w:rsidR="003B03EB" w:rsidRPr="005E78F4" w:rsidRDefault="006F36A3" w:rsidP="003B03EB">
      <w:pPr>
        <w:pStyle w:val="NormalHanging12a"/>
      </w:pPr>
      <w:r>
        <w:t>130</w:t>
      </w:r>
      <w:r w:rsidR="003B03EB" w:rsidRPr="005E78F4">
        <w:t>.</w:t>
      </w:r>
      <w:r w:rsidR="003B03EB" w:rsidRPr="005E78F4">
        <w:tab/>
        <w:t>pripomína, že podľa modelu SPP na roky 2023 – 2027 založeného na výkonnosti členské štáty stanovujú pravidlá, ktoré majú koneční prijímatelia dodržiavať v súlade so všeobecným rámcom Únie, zatiaľ čo Komisia sa zameriava na výsledky výkonnosti a fungovanie systémov, ktoré členské štáty zaviedli s cieľom zabezpečiť dodržiavanie týchto podmienok, a nie na jednotlivé transakcie; ďalej pripomína, že v prípade SPP na roky 2023 – 2027 sú členské štáty povinné podávať Komisii správy o ukazovateľoch výstupov a výsledkov týkajúcich sa výkonnosti politiky, a nie o kontrolných štatistikách; berie na vedomie konštatovanie Dvora audítorov v osobitnej správe 07/2024 s názvom Systémy Komisie na vymáhanie výdavkov EÚ vykazujúcich nezrovnalosti, že vymáhanie poľnohospodárskych výdavkov bolo relatívne úspešné, čo sa čiastočne pripisuje tzv. pravidlu 50/50, ktoré motivovalo členské štáty k vymáhaniu finančných prostriedkov; konštatuje, že toto pravidlo nebolo v SPP na roky 2023 – 2027 zachované, a berie na vedomie varovanie Dvora audítorov, že by to mohlo viesť k zhoršeniu miery návratnosti vymáhaných poľnohospodárskych výdavkov;</w:t>
      </w:r>
    </w:p>
    <w:p w14:paraId="5E50A38D" w14:textId="4DE519F8" w:rsidR="003B03EB" w:rsidRPr="005E78F4" w:rsidRDefault="006F36A3" w:rsidP="003B03EB">
      <w:pPr>
        <w:pStyle w:val="NormalHanging12a"/>
      </w:pPr>
      <w:r>
        <w:t>131</w:t>
      </w:r>
      <w:r w:rsidR="003B03EB" w:rsidRPr="005E78F4">
        <w:t>.</w:t>
      </w:r>
      <w:r w:rsidR="003B03EB" w:rsidRPr="005E78F4">
        <w:tab/>
        <w:t xml:space="preserve">berie na vedomie odpovede Komisie Dvoru audítorov, že sa domnieva, že audítorská práca certifikačných orgánov je naďalej kľúčovým prvkom uistenia o výdavkoch SPP v rámci strategických plánov; ďalej konštatuje, že v prípade SPP na roky 2023 – 2027 sú členské štáty povinné podávať Komisii správy o svojich balíkoch uisťujúcich dokumentov vrátane nových výročných správ o výkonnosti a stanoviska a sprievodných správ certifikačného orgánu, ktoré Komisia následne použije spolu s výsledkami svojich </w:t>
      </w:r>
      <w:r w:rsidR="003B03EB" w:rsidRPr="005E78F4">
        <w:lastRenderedPageBreak/>
        <w:t>vlastných zistení auditu a zistení Dvora audítorov na vyvodenie záveru o uistení v súvislosti s výdavkami SPP; zdôrazňuje, že Komisia nevypočítava mieru chybovosti ani riziko pri platbe v prípade výdavkov v rámci strategických plánov SPP; berie na vedomie vysvetlenie Komisie, že keďže 74,8 % výdavkov v okruhu 3 VFR v roku 2024 zodpovedalo výdavkom založeným na výkonnosti v rámci strategických plánov SPP, pre tento okruh a v dôsledku toho pre rozpočet Únie ako celok nebolo možné určiť žiadne riziko pri platbe;</w:t>
      </w:r>
    </w:p>
    <w:p w14:paraId="569F465E" w14:textId="69221BED" w:rsidR="003B03EB" w:rsidRPr="005E78F4" w:rsidRDefault="006F36A3" w:rsidP="003B03EB">
      <w:pPr>
        <w:pStyle w:val="NormalHanging12a"/>
      </w:pPr>
      <w:r>
        <w:t>132</w:t>
      </w:r>
      <w:r w:rsidR="003B03EB" w:rsidRPr="005E78F4">
        <w:t>.</w:t>
      </w:r>
      <w:r w:rsidR="003B03EB" w:rsidRPr="005E78F4">
        <w:tab/>
        <w:t>konštatuje, že za rok 2024 Generálne riaditeľstvo pre poľnohospodárstvo a rozvoj vidieka (GR AGRI) vyhodnotilo 82 % výdavkov SPP na roky 2023 – 2027 ako výdavky s nízkym rizikom, 11 % ako výdavky so stredným rizikom a zvyšných 7 % ako výdavky s vysokým rizikom; berie na vedomie objasnenie Dvora audítorov, že výdavky s nízkym rizikom zodpovedajú intervenciám, ktoré nie sú ovplyvnené potenciálnymi závažnými nedostatkami v ich systémoch riadenia, a že väčšina výdavkov s nízkym rizikom sa týka priamych platieb a inej podpory, ktoré podliehajú IACS; ďalej konštatuje, že GR AGRI vo svojej výročnej správe o činnosti za rok 2024 spojilo výsledok platieb založených na výkonnosti a na dodržiavaní predpisov a dospelo k záveru, že celkovo 77 % výdavkov SPP v roku 2024 bolo nízkorizikových (69 % výdavkov SPP v roku 2023 a 72 % v roku 2022), 10 % bolo stredne rizikových a 13 % bolo vysoko rizikových;</w:t>
      </w:r>
    </w:p>
    <w:p w14:paraId="375B5E70" w14:textId="5C965552" w:rsidR="003B03EB" w:rsidRPr="005E78F4" w:rsidRDefault="006F36A3" w:rsidP="003B03EB">
      <w:pPr>
        <w:pStyle w:val="NormalHanging12a"/>
      </w:pPr>
      <w:r>
        <w:t>133</w:t>
      </w:r>
      <w:r w:rsidR="003B03EB" w:rsidRPr="005E78F4">
        <w:t>.</w:t>
      </w:r>
      <w:r w:rsidR="003B03EB" w:rsidRPr="005E78F4">
        <w:tab/>
        <w:t>so znepokojením berie na vedomie výhrady uvedené vo výročnej správe o činnosti GR AGRI za rok 2024, konkrétne desať výhrad pre deväť členských štátov k výdavkom IACS v rámci strategických plánov SPP z dôvodu potenciálnych závažných nedostatkov zistených vo fungovaní systémov správy a riadenia, šesť výhrad pre päť členských štátov týkajúcich sa výdavkov mimo IACS v rámci strategických plánov SPP z dôvodu potenciálnych závažných nedostatkov zistených vo fungovaní systémov správy a riadenia, šesť výhrad pre štyri členské štáty týkajúcich sa trhových opatrení z dôvodu významného výskytu nedostatkov v zákonnosti a správnosti príslušných operácií, pričom suma vystavená riziku sa odhaduje na 14,92 milióna EUR, jednu výhradu pre jeden členský štát týkajúcu sa priamych platieb v rámci programu osobitných alternatív pre odľahlosť a ostrovný charakter (POSEI) z dôvodu významného výskytu nedostatkov v zákonnosti a správnosti príslušných operácií, pričom suma vystavená riziku sa odhaduje na 28,83 milióna EUR, 12 výhrad pre desať členských štátov týkajúcich sa rozvoja vidieka z dôvodu významného výskytu nedostatkov v zákonnosti a správnosti príslušných operácií, pričom suma vystavená riziku sa odhaduje na 209,80 milióna EUR;</w:t>
      </w:r>
    </w:p>
    <w:p w14:paraId="4742C3CE" w14:textId="0E541F28" w:rsidR="003B03EB" w:rsidRPr="005E78F4" w:rsidRDefault="006F36A3" w:rsidP="003B03EB">
      <w:pPr>
        <w:pStyle w:val="NormalHanging12a"/>
      </w:pPr>
      <w:r>
        <w:t>134</w:t>
      </w:r>
      <w:r w:rsidR="003B03EB" w:rsidRPr="005E78F4">
        <w:t>.</w:t>
      </w:r>
      <w:r w:rsidR="003B03EB" w:rsidRPr="005E78F4">
        <w:tab/>
        <w:t>víta skutočnosť, že Dvor audítorov rámci svojho auditu za rok 2024 zhromaždil a analyzoval aj informácie o zavedení výročných správ o výkonnosti SPP na obdobie 2023 – 2027; je uistený celkovým záverom Dvora audítorov, že výročné správy o výkonnosti boli z väčšej časti zavedené podľa plánu a že sa nezistili žiadne problémy s vykazovanými údajmi; je uistený zistením Dvora audítorov, že v prípade deviatich platobných agentúr, ktoré preskúmal, možno stanoviť súlad medzi vykonanými platbami a výstupmi zaznamenanými v ich informačných systémoch na vypracovanie výročných správ o výkonnosti;</w:t>
      </w:r>
    </w:p>
    <w:p w14:paraId="675E9CDC" w14:textId="4C3BF861" w:rsidR="003B03EB" w:rsidRPr="005E78F4" w:rsidRDefault="006F36A3" w:rsidP="003B03EB">
      <w:pPr>
        <w:pStyle w:val="NormalHanging12a"/>
      </w:pPr>
      <w:r>
        <w:t>135</w:t>
      </w:r>
      <w:r w:rsidR="003B03EB" w:rsidRPr="005E78F4">
        <w:t>.</w:t>
      </w:r>
      <w:r w:rsidR="003B03EB" w:rsidRPr="005E78F4">
        <w:tab/>
        <w:t xml:space="preserve">berie na vedomie zistenie Dvora audítorov založené na prieskume 19 členských štátov, že systémy podávania správ o výkonnosti platobných agentúr sa v roku 2024 stále vyvíjali, pričom 18 platobných agentúr automatizovalo tvorbu ukazovateľov výkonnosti a dve používali manuálny alebo čiastočne automatizovaný prístup na vypracovanie niektorých kľúčových ukazovateľov výstupov pre svoje výročné správy o výkonnosti za </w:t>
      </w:r>
      <w:r w:rsidR="003B03EB" w:rsidRPr="005E78F4">
        <w:lastRenderedPageBreak/>
        <w:t>rok 2024; so znepokojením konštatuje, že informačné systémy používané na vypracúvanie výročných správ o výkonnosti v čase auditu Dvora audítorov ešte neboli podrobené úplnému testovaniu s cieľom overiť ich súlad s medzinárodnými normami informačnej bezpečnosti (ISO 27001);</w:t>
      </w:r>
    </w:p>
    <w:p w14:paraId="33B49AC2" w14:textId="33B47994" w:rsidR="003B03EB" w:rsidRPr="005E78F4" w:rsidRDefault="006F36A3" w:rsidP="003B03EB">
      <w:pPr>
        <w:pStyle w:val="NormalHanging12a"/>
      </w:pPr>
      <w:r>
        <w:t>136</w:t>
      </w:r>
      <w:r w:rsidR="003B03EB" w:rsidRPr="005E78F4">
        <w:t>.</w:t>
      </w:r>
      <w:r w:rsidR="003B03EB" w:rsidRPr="005E78F4">
        <w:tab/>
        <w:t>pripomína, že SPP na roky 2023 – 2027 je štrukturálne postavená na desiatich kľúčových cieľoch vrátane zabezpečenia dôstojného, spravodlivého a stabilného príjmu pre poľnohospodárov, ochrany potravinovej bezpečnosti a posilnenia odolnosti poľnohospodárskeho sektora; domnieva sa, že priama podpora príjmov v rámci SPP by mala byť lepšie cielená na poľnohospodárov, ktorí sa aktívne podieľajú na poľnohospodárskej výrobe, pričom by sa mala zachovať právna istota a malo by sa zabrániť nadmerným administratívnym obmedzeniam, s osobitným zameraním na podporu tých, ktorí to najviac potrebujú, ako sú rodinné poľnohospodárske podniky, malé poľnohospodárske podniky, poľnohospodárske podniky nachádzajúce sa v oblastiach s prírodnými obmedzeniami alebo inými osobitnými výzvami, mladí poľnohospodári a poľnohospodárky; vyzýva Komisiu, aby zlepšila efektívnosť a zameranie poľnohospodárskych fondov Únie a zabezpečila, aby priamu podporu príjmu dostávali len aktívni poľnohospodári, a zároveň zabezpečila proporcionalitu a zachovala spoľahlivé kontroly;</w:t>
      </w:r>
    </w:p>
    <w:p w14:paraId="32A1E177" w14:textId="2DA90287" w:rsidR="003B03EB" w:rsidRPr="005E78F4" w:rsidRDefault="006F36A3" w:rsidP="003B03EB">
      <w:pPr>
        <w:pStyle w:val="NormalHanging12a"/>
      </w:pPr>
      <w:r>
        <w:t>137</w:t>
      </w:r>
      <w:r w:rsidR="003B03EB" w:rsidRPr="005E78F4">
        <w:t>.</w:t>
      </w:r>
      <w:r w:rsidR="003B03EB" w:rsidRPr="005E78F4">
        <w:tab/>
        <w:t xml:space="preserve">berie na vedomie závery Európskeho dvora audítorov z roku 2025 o finančných prostriedkoch Únie na opatrenia súvisiace s lesnými požiarmi: zatiaľ čo členské štáty čoraz viac využívali finančné prostriedky Únie na prevenciu, Komisia nemala úplný prehľad o celkových výdavkoch na lesné požiare a monitorovanie výsledkov bolo nedostatočné, čo je problém, ktorý má jasné dôsledky pre poľnohospodárstvo a vidiek; vyzýva Komisiu, aby zlepšila zlučovanie výdavkov súvisiacich s lesnými požiarmi a posilnila monitorovanie výsledkov a dlhodobú udržateľnosť preventívnych opatrení; </w:t>
      </w:r>
    </w:p>
    <w:p w14:paraId="075355AB" w14:textId="47D2ADC3" w:rsidR="003B03EB" w:rsidRPr="005E78F4" w:rsidRDefault="006F36A3" w:rsidP="003B03EB">
      <w:pPr>
        <w:pStyle w:val="NormalHanging12a"/>
      </w:pPr>
      <w:r>
        <w:t>138</w:t>
      </w:r>
      <w:r w:rsidR="003B03EB" w:rsidRPr="005E78F4">
        <w:t>.</w:t>
      </w:r>
      <w:r w:rsidR="003B03EB" w:rsidRPr="005E78F4">
        <w:tab/>
        <w:t xml:space="preserve">zdôrazňuje, že v súvislosti s rastúcimi rizikami prírodných katastrof musia Komisia a členské štáty zabezpečiť, aby preventívne opatrenia financované Úniou boli dobre cielené, založené na aktuálnych posúdeniach rizík a pretrvávali nad rámec jednorazových projektových cyklov, takže investície budú mať pre poľnohospodárstvo a vidiecke komunity trvalé výhody; </w:t>
      </w:r>
    </w:p>
    <w:p w14:paraId="230A46E2" w14:textId="7860FEEF" w:rsidR="003B03EB" w:rsidRPr="005E78F4" w:rsidRDefault="006F36A3" w:rsidP="003B03EB">
      <w:pPr>
        <w:pStyle w:val="NormalHanging12a"/>
      </w:pPr>
      <w:r>
        <w:t>139</w:t>
      </w:r>
      <w:r w:rsidR="003B03EB" w:rsidRPr="005E78F4">
        <w:t>.</w:t>
      </w:r>
      <w:r w:rsidR="003B03EB" w:rsidRPr="005E78F4">
        <w:tab/>
        <w:t>je znepokojený obvineniami z rozsiahlych podvodov poškodzujúcich poľnohospodárske fondy Únie, ktoré sa prvýkrát objavili v médiách vo februári 2025 v súvislosti s gréckou platobnou a kontrolnou agentúrou pre usmerňovaciu a záručnú pomoc Spoločenstva (OPEKEPE); pripomína, že Európska prokuratúra uverejnila v máji 2025 tlačovú správu, v ktorej potvrdila, že vedie vyšetrovanie údajného organizovaného podvodu týkajúceho sa poľnohospodárskych fondov a korupcie, na ktorých sa podieľali verejní činitelia OPEKEPE; pripomína, že Európska prokuratúra podľa tlačových správ odovzdala informácie gréckemu parlamentu, aby prešetril konanie dvoch bývalých ministrov, ktorí neskôr odstúpili; so znepokojením berie na vedomie tlačovú správu Európskej prokuratúry z 22. októbra 2025, v ktorej sa vysvetľuje, že v priebehu predbežného vyšetrovania Európskej prokuratúry bola identifikovaná organizovaná zločinecká skupina, ktorá je údajne zapojená do systematického rozsiahleho systému podvodov v oblasti dotácií a prania špinavých peňazí; berie na vedomie rýchlo prijaté opatrenia gréckych orgánov, okrem iného aj rozhodnutie zriadiť osobitnú vyšetrovaciu skupinu zloženú z finančnej polície a nezávislého orgánu pre verejné príjmy; v tejto súvislosti zdôrazňuje, že majetok viacerých osôb podozrivých z účasti na údajnej trestnej činnosti bol zaistený;</w:t>
      </w:r>
    </w:p>
    <w:p w14:paraId="5C4E03B2" w14:textId="3C2102A6" w:rsidR="003B03EB" w:rsidRPr="005E78F4" w:rsidRDefault="006F36A3" w:rsidP="003B03EB">
      <w:pPr>
        <w:pStyle w:val="NormalHanging12a"/>
      </w:pPr>
      <w:r>
        <w:lastRenderedPageBreak/>
        <w:t>140</w:t>
      </w:r>
      <w:r w:rsidR="003B03EB" w:rsidRPr="005E78F4">
        <w:t>.</w:t>
      </w:r>
      <w:r w:rsidR="003B03EB" w:rsidRPr="005E78F4">
        <w:tab/>
        <w:t>berie na vedomie, že GR AGRI vydalo vo svojej výročnej správe o činnosti za rok 2024 štyri výhrady týkajúce sa výdavkov, ktoré riadi OPEKEPE; konštatuje, že jedna takáto výhrada sa vzťahuje na všetky intervencie IACS v rámci strategických plánov SPP, keďže audit zhody GR AGRI a činnosť certifikačného orgánu odhalili niekoľko potenciálnych závažných nedostatkov v súvislosti s vykonávaním systému identifikácie poľnohospodárskych pozemkov, ako aj s návrhom a fungovaním systému riadenia a kontroly; konštatuje, že ďalšia výhrada bola vznesená v súvislosti s výdavkami mimo IACS v rámci strategických plánov SPP, a to v sektore vinárstva a včelárstva z dôvodu možných závažných nedostatkov v súvislosti s návrhom alebo zriadením systémov, ktoré nezahŕňajú zásady hospodárnosti, efektívnosti a opatrenia na zabránenie dvojitému financovaniu; poznamenáva, že tretia výhrada pre OPEKEPE sa týka programov rozvoja vidieka na roky 2014 – 2022, v prípade ktorých sa upravená miera chybovosti odhaduje na 7,45 % na základe auditov GR AGRI vykonaných v rokoch 2023 a 2024, pri ktorých sa zistilo niekoľko nedostatkov týkajúcich sa systému identifikácie pozemkov, nedostatkov v kontrolách OPEKEPE na mieste, závažných nedostatkov v súvislosti s dohľadom a kontrolami miestnych akčných skupín, postupov na overenie potenciálneho vytvorenia umelých podmienok, kontrol dvojitého financovania a verejného obstarávania a nedostatkov pri hodnotení primeranosti nákladov a overovaní postavenia MSP; berie na vedomie, že bola vydaná štvrtá výhrada týkajúca sa trhových opatrení mimo strategických plánov SPP, ktoré sa vzťahujú na organizácie výrobcov ovocia a zeleniny, a mimoriadnych opatrení, v prípade ktorých sa odhaduje upravená miera chybovosti vo výške 10 % na základe auditu GR AGRI z roku 2024, v ktorom sa zistili nedostatky v administratívnych kontrolách a kontrolách na mieste, ktoré majú vplyv na mimoriadne opatrenia, a vzhľadom na to, že na základe posúdenia certifikačného orgánu sa uskutočnili úpravy mier chybovosti v prípade organizácií výrobcov ovocia a zeleniny a propagácie; berie na vedomie, že grécke orgány vypracovali akčný plán, ktorý GR AGRI akceptovalo ako dostatočný základ na nápravu uvedených nedostatkov; pripomína, že všetky nápravné opatrenia podliehajú priebežnému monitorovaniu zo strany Komisie; trvá na tom, aby Komisia predložila orgánu udeľujúcemu absolutórium správu o vykonávaní akčného plánu a o merateľných zlepšeniach výkonnosti kontroly;</w:t>
      </w:r>
    </w:p>
    <w:p w14:paraId="37F0BB53" w14:textId="596F5C77" w:rsidR="003B03EB" w:rsidRPr="005E78F4" w:rsidRDefault="006F36A3" w:rsidP="003B03EB">
      <w:pPr>
        <w:pStyle w:val="NormalHanging12a"/>
      </w:pPr>
      <w:r>
        <w:t>141</w:t>
      </w:r>
      <w:r w:rsidR="003B03EB" w:rsidRPr="005E78F4">
        <w:t>.</w:t>
      </w:r>
      <w:r w:rsidR="003B03EB" w:rsidRPr="005E78F4">
        <w:tab/>
        <w:t>berie na vedomie písomné odpovede Komisie, že v roku 2023 a opäť v júni 2024 GR AGRI požiadalo príslušný grécky orgán, aby stanovil skúšobnú lehotu na akreditáciu OPEKEPE; berie na vedomie vysvetlenie vo výročnej správe o činnosti GR AGRI, že certifikačný orgán a GR AGRI zistili nedostatky ovplyvňujúce niekoľko akreditačných kritérií, v dôsledku čoho grécke orgány stanovili pre akreditáciu OPEKEPE v septembri 2024 skúšobnú lehotu a vypracovali akčný plán akreditácie; ďalej berie na vedomie, že Komisia sleduje pokrok vo vykonávaní tohto nápravného akčného plánu; trvá na tom, aby Komisia poskytla orgánu udeľujúcemu absolutórium najnovší revidovaný akčný plán a jeho posúdenie; uznáva, že grécke orgány bezodkladne prijali nápravné opatrenia na riešenie zistených štrukturálnych nedostatkov, zvýšenie transparentnosti príjemcov a posilnenie kontrol a opatrení na boj proti podvodom; v tejto súvislosti víta reformu, ktorá bola nedávno zavedená zákonom s cieľom úplne previesť OPEKEPE na nezávislý orgán pre verejné príjmy (AADE);</w:t>
      </w:r>
    </w:p>
    <w:p w14:paraId="294F3C11" w14:textId="203B29FC" w:rsidR="003B03EB" w:rsidRPr="005E78F4" w:rsidRDefault="006F36A3" w:rsidP="003B03EB">
      <w:pPr>
        <w:pStyle w:val="NormalHanging12a"/>
        <w:rPr>
          <w:rFonts w:ascii="TimesNewRoman" w:hAnsi="TimesNewRoman" w:cs="TimesNewRoman"/>
        </w:rPr>
      </w:pPr>
      <w:r>
        <w:rPr>
          <w:rFonts w:ascii="TimesNewRoman" w:hAnsi="TimesNewRoman"/>
        </w:rPr>
        <w:t>142</w:t>
      </w:r>
      <w:r w:rsidR="003B03EB" w:rsidRPr="005E78F4">
        <w:rPr>
          <w:rFonts w:ascii="TimesNewRoman" w:hAnsi="TimesNewRoman"/>
        </w:rPr>
        <w:t>.</w:t>
      </w:r>
      <w:r w:rsidR="003B03EB" w:rsidRPr="005E78F4">
        <w:rPr>
          <w:rFonts w:ascii="TimesNewRoman" w:hAnsi="TimesNewRoman"/>
        </w:rPr>
        <w:tab/>
      </w:r>
      <w:r w:rsidR="003B03EB" w:rsidRPr="005E78F4">
        <w:t xml:space="preserve">berie na vedomie odpoveď Komisie, že v júni 2025 uplatnila finančnú opravu vo výške 415 miliónov EUR v dôsledku nedostatkov zistených v systéme riadenia a kontroly v </w:t>
      </w:r>
      <w:r w:rsidR="003B03EB" w:rsidRPr="005E78F4">
        <w:lastRenderedPageBreak/>
        <w:t>Grécku v rokoch 2015 – 2022</w:t>
      </w:r>
      <w:r w:rsidR="003B03EB" w:rsidRPr="005E78F4">
        <w:rPr>
          <w:rStyle w:val="FootnoteReference"/>
          <w:rFonts w:ascii="TimesNewRoman" w:hAnsi="TimesNewRoman" w:cs="TimesNewRoman"/>
        </w:rPr>
        <w:footnoteReference w:id="108"/>
      </w:r>
      <w:r w:rsidR="003B03EB" w:rsidRPr="005E78F4">
        <w:t>;</w:t>
      </w:r>
      <w:r w:rsidR="003B03EB" w:rsidRPr="005E78F4">
        <w:rPr>
          <w:rFonts w:ascii="TimesNewRoman" w:hAnsi="TimesNewRoman"/>
        </w:rPr>
        <w:t xml:space="preserve"> so znepokojením konštatuje, že Komisia vedela o závažných nedostatkoch týkajúcich sa OPEKEPE minimálne od roku 2021, keďže v tom čase už GR AGRI vo svojej výročnej správe o činnosti za rok 2021 informovalo o prebiehajúcom vyšetrovaní v rámci overenia súladu v súvislosti s akreditáciou; vyjadruje poľutovanie nad tým, že Komisia neprijala skôr opatrenia na dôkladné vyšetrenie závažných nedostatkov zistených v súvislosti s činnosťou OPEKEPE, zmiernenie rizík a lepšiu ochranu rozpočtu Únie;</w:t>
      </w:r>
    </w:p>
    <w:p w14:paraId="5FC014A4" w14:textId="18C6597A" w:rsidR="003B03EB" w:rsidRPr="005E78F4" w:rsidRDefault="006F36A3" w:rsidP="003B03EB">
      <w:pPr>
        <w:pStyle w:val="NormalHanging12a"/>
      </w:pPr>
      <w:r>
        <w:t>143</w:t>
      </w:r>
      <w:r w:rsidR="003B03EB" w:rsidRPr="005E78F4">
        <w:t>.</w:t>
      </w:r>
      <w:r w:rsidR="003B03EB" w:rsidRPr="005E78F4">
        <w:tab/>
        <w:t xml:space="preserve">vyjadruje znepokojenie nad počtom nezrovnalostí a obvinení z podvodov týkajúcich sa penziónov financovaných Úniou; berie na vedomie písomné odpovede Komisie, že v programovom období 2014 – 2022 boli penzióny financované spolu s inými druhmi investícií v rámci čiastkového opatrenia 6.4 Rozvoj vidieka (investície do vytvárania a rozvoja nepoľnohospodárskych činností) a programu </w:t>
      </w:r>
      <w:proofErr w:type="spellStart"/>
      <w:r w:rsidR="003B03EB" w:rsidRPr="005E78F4">
        <w:t>Leader</w:t>
      </w:r>
      <w:proofErr w:type="spellEnd"/>
      <w:r w:rsidR="003B03EB" w:rsidRPr="005E78F4">
        <w:t xml:space="preserve">; považuje za poľutovaniahodné, že keďže </w:t>
      </w:r>
      <w:bookmarkStart w:id="409" w:name="_Hlk213862531"/>
      <w:r w:rsidR="003B03EB" w:rsidRPr="005E78F4">
        <w:t>členské štáty Komisii nepredkladajú správy o počte a type investícií podporovaných týmito opatreniami, Komisia</w:t>
      </w:r>
      <w:bookmarkEnd w:id="409"/>
      <w:r w:rsidR="003B03EB" w:rsidRPr="005E78F4">
        <w:t xml:space="preserve"> nemohla orgánu udeľujúcemu absolutórium poskytnúť prehľad projektov penziónov financovaných Úniou; konštatuje, že audity Komisie týkajúce sa opatrení na rozvoj vidieka sú systémové a neposudzujú zákonnosť a správnosť jednotlivých transakcií; berie na vedomie písomnú odpoveď Komisie, že problémy týkajúce sa systému riadenia a kontroly zavedeného členskými štátmi v súvislosti s penziónmi sa zistili v Maďarsku, na Slovensku (opatrenie 6.4) a v Grécku (</w:t>
      </w:r>
      <w:proofErr w:type="spellStart"/>
      <w:r w:rsidR="003B03EB" w:rsidRPr="005E78F4">
        <w:t>Leader</w:t>
      </w:r>
      <w:proofErr w:type="spellEnd"/>
      <w:r w:rsidR="003B03EB" w:rsidRPr="005E78F4">
        <w:t>); domnieva sa, že vzhľadom na počet obvinení z podvodov týkajúcich sa penziónov by Komisia mala monitorovať a podrobiť auditu aj jednotlivé projekty penziónov vrátane ich využívania po období realizácie projektu a zvážiť predĺženie obdobia trvalosti pre tieto druhy projektov s cieľom zabrániť ďalšiemu zneužívaniu, ako aj zaviesť prísne kontroly konfliktu záujmov ako predpoklad pridelenia finančných prostriedkov Únie na výstavbu penziónov;</w:t>
      </w:r>
    </w:p>
    <w:p w14:paraId="66E4C7D2" w14:textId="0C636841" w:rsidR="003B03EB" w:rsidRPr="005E78F4" w:rsidRDefault="006F36A3" w:rsidP="003B03EB">
      <w:pPr>
        <w:pStyle w:val="NormalHanging12a"/>
      </w:pPr>
      <w:r>
        <w:t>144</w:t>
      </w:r>
      <w:r w:rsidR="003B03EB" w:rsidRPr="005E78F4">
        <w:t>.</w:t>
      </w:r>
      <w:r w:rsidR="003B03EB" w:rsidRPr="005E78F4">
        <w:tab/>
        <w:t>pripomína, že sa zistilo, že bývalý predseda vlády Česka bol počas svojho predchádzajúceho mandátu v situácii konfliktu záujmov, a pripomína súvisiace uznesenie Európskeho parlamentu z 13. decembra 2018</w:t>
      </w:r>
      <w:r w:rsidR="003B03EB" w:rsidRPr="005E78F4">
        <w:rPr>
          <w:vertAlign w:val="superscript"/>
        </w:rPr>
        <w:footnoteReference w:id="109"/>
      </w:r>
      <w:r w:rsidR="003B03EB" w:rsidRPr="005E78F4">
        <w:t>; berie na vedomie písomné odpovede Komisie týkajúce sa opatrení prijatých v reakcii na konflikt záujmov vyplývajúci z vlastníctva súkromnej holdingovej spoločnosti počas výkonu verejného úradu, a že Komisia v marci 2020 pozastavila platbu na jeden projekt v hodnote 30 606,96 EUR; konštatuje, že v júni 2022 Komisia uplatnila finančnú opravu vo výške 3,3 milióna EUR voči Česku, z ktorej časť (30 606,96 EUR) sa týkala situácie konfliktu záujmov predsedu vlády počas jeho mandátu, ktorý sa skončil v roku 2021</w:t>
      </w:r>
      <w:r w:rsidR="003B03EB" w:rsidRPr="005E78F4">
        <w:rPr>
          <w:vertAlign w:val="superscript"/>
        </w:rPr>
        <w:footnoteReference w:id="110"/>
      </w:r>
      <w:r w:rsidR="003B03EB" w:rsidRPr="005E78F4">
        <w:t xml:space="preserve">; trvá na tom, že Komisia by mala naďalej monitorovať možné konflikty záujmov, ktoré by mohli mať vplyv na finančné prostriedky Únie, najmä v súvislosti s volenými </w:t>
      </w:r>
      <w:r w:rsidR="003B03EB" w:rsidRPr="005E78F4">
        <w:lastRenderedPageBreak/>
        <w:t>úradníkmi, a prijať opatrenia na ochranu rozpočtu Únie;</w:t>
      </w:r>
    </w:p>
    <w:p w14:paraId="71D2A0DF" w14:textId="5CA32B4D" w:rsidR="003B03EB" w:rsidRPr="005E78F4" w:rsidRDefault="006F36A3" w:rsidP="003B03EB">
      <w:pPr>
        <w:pStyle w:val="NormalHanging12a"/>
      </w:pPr>
      <w:r>
        <w:t>145</w:t>
      </w:r>
      <w:r w:rsidR="003B03EB" w:rsidRPr="005E78F4">
        <w:t>.</w:t>
      </w:r>
      <w:r w:rsidR="003B03EB" w:rsidRPr="005E78F4">
        <w:tab/>
        <w:t xml:space="preserve">konštatuje, že po vnútroštátnych voľbách sa v Česku v decembri 2025 ujala funkcie nová vláda; berie na vedomie verejné vyhlásenia predsedu vlády, ktoré naznačujú zámer vzdať sa vlastníctva a kontroly nad obchodnými záujmami, ktoré by mohli mať prospech z finančných prostriedkov Únie, vytvorením údajne nemennej trustovej správy zvereného majetku; konštatuje však, že od polovice januára 2026 nebola poskytnutá žiadna verejne dostupná právna dokumentácia, ktorá by preukázala účinné zavedenie a prevádzkové záruky takýchto dohôd, a že predseda českej vlády v súčasnosti naďalej vlastní spoločnosť </w:t>
      </w:r>
      <w:proofErr w:type="spellStart"/>
      <w:r w:rsidR="003B03EB" w:rsidRPr="005E78F4">
        <w:t>Agrofert</w:t>
      </w:r>
      <w:proofErr w:type="spellEnd"/>
      <w:r w:rsidR="003B03EB" w:rsidRPr="005E78F4">
        <w:t xml:space="preserve"> a iné obchodné záujmy, ktoré by mohli potenciálne využívať finančné prostriedky Únie; zdôrazňuje, že samotné oznámenie budúcich opatrení nepostačuje na rozptýlenie obáv z konfliktu záujmov; trvá na tom, že akékoľvek budúce opatrenia musia zabezpečiť účinné odstránenie ekonomických záujmov a vplyvu, v súlade s pravidlami Únie o konflikte záujmov; víta nedávne mediálne správy, že Komisia formálne požiadala české orgány o podrobné informácie o opatreniach zavedených na predchádzanie potenciálnym konfliktom záujmov v súvislosti so spoločnosťami vo vlastníctve alebo pod kontrolou predsedu vlády a požiadala o ubezpečenie, že spoločnosti </w:t>
      </w:r>
      <w:proofErr w:type="spellStart"/>
      <w:r w:rsidR="003B03EB" w:rsidRPr="005E78F4">
        <w:t>Agrofert</w:t>
      </w:r>
      <w:proofErr w:type="spellEnd"/>
      <w:r w:rsidR="003B03EB" w:rsidRPr="005E78F4">
        <w:t xml:space="preserve"> nebudú nasmerované žiadne ďalšie finančné prostriedky Únie, kým sa situácia úplne nevyjasní;</w:t>
      </w:r>
    </w:p>
    <w:p w14:paraId="38728632" w14:textId="7AC110D2" w:rsidR="003B03EB" w:rsidRPr="005E78F4" w:rsidRDefault="006F36A3" w:rsidP="003B03EB">
      <w:pPr>
        <w:pStyle w:val="NormalHanging12a"/>
        <w:rPr>
          <w:rFonts w:ascii="TimesNewRoman" w:hAnsi="TimesNewRoman" w:cs="TimesNewRoman"/>
        </w:rPr>
      </w:pPr>
      <w:r>
        <w:rPr>
          <w:rFonts w:ascii="TimesNewRoman" w:hAnsi="TimesNewRoman"/>
        </w:rPr>
        <w:t>146</w:t>
      </w:r>
      <w:r w:rsidR="003B03EB" w:rsidRPr="005E78F4">
        <w:rPr>
          <w:rFonts w:ascii="TimesNewRoman" w:hAnsi="TimesNewRoman"/>
        </w:rPr>
        <w:t>.</w:t>
      </w:r>
      <w:r w:rsidR="003B03EB" w:rsidRPr="005E78F4">
        <w:rPr>
          <w:rFonts w:ascii="TimesNewRoman" w:hAnsi="TimesNewRoman"/>
        </w:rPr>
        <w:tab/>
      </w:r>
      <w:r w:rsidR="003B03EB" w:rsidRPr="005E78F4">
        <w:t>pripomína, že klíma a biodiverzita sú dve z horizontálnych politických priorít rozpočtu Únie na roky 2021 – 2027;</w:t>
      </w:r>
      <w:r w:rsidR="003B03EB" w:rsidRPr="005E78F4">
        <w:rPr>
          <w:rFonts w:ascii="TimesNewRoman" w:hAnsi="TimesNewRoman"/>
        </w:rPr>
        <w:t xml:space="preserve"> konštatuje, že Komisia vymedzuje zohľadňovanie problematiky klímy a biodiverzity ako systematické zohľadňovanie cieľov v oblasti klímy a biodiverzity pri navrhovaní, príprave, vykonávaní a hodnotení každého výdavkového programu;</w:t>
      </w:r>
    </w:p>
    <w:p w14:paraId="1C92F752" w14:textId="5BAF3F0D" w:rsidR="003B03EB" w:rsidRPr="005E78F4" w:rsidRDefault="006F36A3" w:rsidP="003B03EB">
      <w:pPr>
        <w:pStyle w:val="NormalHanging12a"/>
        <w:rPr>
          <w:rFonts w:ascii="TimesNewRoman" w:hAnsi="TimesNewRoman" w:cs="TimesNewRoman"/>
        </w:rPr>
      </w:pPr>
      <w:r>
        <w:rPr>
          <w:rFonts w:ascii="TimesNewRoman" w:hAnsi="TimesNewRoman"/>
        </w:rPr>
        <w:t>147</w:t>
      </w:r>
      <w:r w:rsidR="003B03EB" w:rsidRPr="005E78F4">
        <w:rPr>
          <w:rFonts w:ascii="TimesNewRoman" w:hAnsi="TimesNewRoman"/>
        </w:rPr>
        <w:t>.</w:t>
      </w:r>
      <w:r w:rsidR="003B03EB" w:rsidRPr="005E78F4">
        <w:rPr>
          <w:rFonts w:ascii="TimesNewRoman" w:hAnsi="TimesNewRoman"/>
        </w:rPr>
        <w:tab/>
        <w:t xml:space="preserve">pripomína, že v </w:t>
      </w:r>
      <w:proofErr w:type="spellStart"/>
      <w:r w:rsidR="003B03EB" w:rsidRPr="005E78F4">
        <w:rPr>
          <w:rFonts w:ascii="TimesNewRoman" w:hAnsi="TimesNewRoman"/>
        </w:rPr>
        <w:t>medziinštitucionálnej</w:t>
      </w:r>
      <w:proofErr w:type="spellEnd"/>
      <w:r w:rsidR="003B03EB" w:rsidRPr="005E78F4">
        <w:rPr>
          <w:rFonts w:ascii="TimesNewRoman" w:hAnsi="TimesNewRoman"/>
        </w:rPr>
        <w:t xml:space="preserve"> dohode z roku 2020 sa stanovil záväzný cieľ 30 % pre výdavky v oblasti klímy, ale len ročná „ambícia“ pre výdavky na biodiverzitu na úrovni 7,5 % v roku 2025 a 10 % v rokoch 2026 a 2027; konštatuje, že Komisia sleduje výdavky Únie na činnosti súvisiace s klímou a biodiverzitou prostredníctvom špecializovaných metodík; zdôrazňuje, že metodiky sledovania klímy a biodiverzity sú systémy označovania </w:t>
      </w:r>
      <w:r w:rsidR="003B03EB" w:rsidRPr="005E78F4">
        <w:rPr>
          <w:rFonts w:ascii="TimesNewRoman" w:hAnsi="TimesNewRoman"/>
          <w:i/>
          <w:iCs/>
        </w:rPr>
        <w:t xml:space="preserve">ex </w:t>
      </w:r>
      <w:proofErr w:type="spellStart"/>
      <w:r w:rsidR="003B03EB" w:rsidRPr="005E78F4">
        <w:rPr>
          <w:rFonts w:ascii="TimesNewRoman" w:hAnsi="TimesNewRoman"/>
          <w:i/>
          <w:iCs/>
        </w:rPr>
        <w:t>ante</w:t>
      </w:r>
      <w:proofErr w:type="spellEnd"/>
      <w:r w:rsidR="003B03EB" w:rsidRPr="005E78F4">
        <w:rPr>
          <w:rFonts w:ascii="TimesNewRoman" w:hAnsi="TimesNewRoman"/>
        </w:rPr>
        <w:t xml:space="preserve"> založené na očakávanom vplyve činností a nezohľadňujú výsledky; pripomína, že začleňovanie priorít do rozpočtu Únie si vyžaduje zohľadnenie tejto priority vo všetkých fázach rozpočtového cyklu;</w:t>
      </w:r>
      <w:r w:rsidR="003B03EB" w:rsidRPr="005E78F4">
        <w:t xml:space="preserve"> zdôrazňuje preto, že sledovanie výdavkov súvisiacich s cieľmi v oblasti klímy alebo biodiverzity je len jedným krokom komplexného cyklu zeleného rozpočtovania, v ktorom sa ciele v oblasti klímy a biodiverzity zohľadňujú počas celého životného cyklu rozpočtu;</w:t>
      </w:r>
    </w:p>
    <w:p w14:paraId="4D26BF62" w14:textId="6D12ABD0" w:rsidR="003B03EB" w:rsidRPr="005E78F4" w:rsidRDefault="006F36A3" w:rsidP="003B03EB">
      <w:pPr>
        <w:pStyle w:val="NormalHanging12a"/>
      </w:pPr>
      <w:r>
        <w:t>148</w:t>
      </w:r>
      <w:r w:rsidR="003B03EB" w:rsidRPr="005E78F4">
        <w:t>.</w:t>
      </w:r>
      <w:r w:rsidR="003B03EB" w:rsidRPr="005E78F4">
        <w:tab/>
        <w:t>berie na vedomie, že Komisia uplatnením svojich metodík sledovania klímy a biodiverzity vypočítala, že Únia je na dobrej ceste k splneniu svojho cieľa 30 % výdavkov v oblasti klímy na roky 2021 – 2027 a ambície výdavkov na biodiverzitu na úrovni 7,5 % v roku 2025; vyjadruje poľutovanie nad tým, že nie je na dobrej ceste splniť ambíciu výdavkov na biodiverzitu vo výške 10 % na roky 2026 a 2027; konštatuje, že na dosiahnutie cieľov Únie v oblasti biodiverzity chýba ročne v priemere 21,4 miliardy EUR</w:t>
      </w:r>
      <w:r w:rsidR="003B03EB" w:rsidRPr="005E78F4">
        <w:rPr>
          <w:rStyle w:val="FootnoteReference"/>
        </w:rPr>
        <w:footnoteReference w:id="111"/>
      </w:r>
      <w:r w:rsidR="003B03EB" w:rsidRPr="005E78F4">
        <w:t xml:space="preserve">; zdôrazňuje, že zvýšenie rozpočtových prostriedkov musí byť sprevádzané zlepšením účinnosti, lepším monitorovaním výsledkov v oblasti biodiverzity, a súčasne treba zabezpečiť, aby tieto zmeny neviedli k neprimeranému </w:t>
      </w:r>
      <w:r w:rsidR="003B03EB" w:rsidRPr="005E78F4">
        <w:lastRenderedPageBreak/>
        <w:t>administratívnemu zaťaženiu poľnohospodárov a miestnych orgánov;</w:t>
      </w:r>
    </w:p>
    <w:p w14:paraId="6288EE16" w14:textId="00563F74" w:rsidR="003B03EB" w:rsidRPr="005E78F4" w:rsidRDefault="006F36A3" w:rsidP="003B03EB">
      <w:pPr>
        <w:pStyle w:val="NormalHanging12a"/>
      </w:pPr>
      <w:r>
        <w:t>149</w:t>
      </w:r>
      <w:r w:rsidR="003B03EB" w:rsidRPr="005E78F4">
        <w:t>.</w:t>
      </w:r>
      <w:r w:rsidR="003B03EB" w:rsidRPr="005E78F4">
        <w:tab/>
        <w:t>vyjadruje znepokojenie nad tým, že pri viacerých auditoch Dvor audítorov zistil, že príspevok finančných prostriedkov Únie k cieľom v oblasti klímy bol nejasný a potenciálne nadhodnotený z dôvodu nedostatkov v metodikách sledovania, ktoré Komisia používa; pripomína, že Dvor audítorov vo svojej osobitnej správe č. 09/2022 o výdavkoch v oblasti klímy v rozpočte Únie na roky 2014 – 2020 zistil, že príspevok rozpočtu Únie na opatrenia v oblasti klímy bol v rámci VFR na roky 2014 – 2020 nadhodnotený o 72 miliárd EUR, keďže vykázané výdavky neboli vždy relevantné pre opatrenia v oblasti klímy, a to aj v rámci SPP; berie na vedomie, že v reakcii na uvedenú osobitnú správu Komisia zadala vypracovanie štúdie s cieľom zaviesť vedeckejší prístup ku kvantifikácii príspevku SPP na opatrenia v oblasti klímy, a domnieva sa, že táto štúdia by sa mala uverejniť; so záujmom očakáva posúdenie Dvora audítorov týkajúce sa následných opatrení Komisie v nadväznosti na jeho odporúčania uvedené v osobitnej správe č. 09/2022 v roku 2026;</w:t>
      </w:r>
    </w:p>
    <w:p w14:paraId="3A22B9E1" w14:textId="07CD0668" w:rsidR="003B03EB" w:rsidRPr="005E78F4" w:rsidRDefault="006F36A3" w:rsidP="003B03EB">
      <w:pPr>
        <w:pStyle w:val="NormalHanging12a"/>
      </w:pPr>
      <w:r>
        <w:t>150</w:t>
      </w:r>
      <w:r w:rsidR="003B03EB" w:rsidRPr="005E78F4">
        <w:t>.</w:t>
      </w:r>
      <w:r w:rsidR="003B03EB" w:rsidRPr="005E78F4">
        <w:tab/>
        <w:t>berie na vedomie písomnú odpoveď Komisie, že od roku 2021 do roku 2023 sa poľnohospodárske emisie skleníkových plynov v Únii znížili o 3 %, zatiaľ čo emisie v oblasti dodávok energie a priemyslu sa znížili o 16 %; domnieva sa, že všetky oblasti politiky a činnosti musia spravodlivo prispievať k znižovaniu emisií; berie na vedomie osobitnú správu Dvora audítorov č. 20/2024 o plánoch spoločnej poľnohospodárskej politiky a odpoveď Komisie; berie najmä na vedomie záver Dvora audítorov, že strategické plány SPP na roky 2023 – 2027 predstavujú zlepšenie v porovnaní s predchádzajúcim programovým obdobím, a to aj pokiaľ ide o klimatické a environmentálne aspekty, hoci monitorovanie a výkonnostný rámec by sa mohli ďalej posilniť; víta skutočnosť, že Dvor audítorov okrem toho Komisii odporúča, aby odhadla príspevok SPP k cieľom Zelenej dohody a posilnila budúci rámec monitorovania SPP s cieľom zlepšiť to, ako prispieva k cieľom Únie v oblasti klímy a životného prostredia; domnieva sa, že zlepšenia monitorovania a výkonnostného rámca by nemali viesť k ďalším povinnostiam pre poľnohospodárov alebo riadiace orgány;</w:t>
      </w:r>
    </w:p>
    <w:p w14:paraId="6141B830" w14:textId="5F7B7F46" w:rsidR="003B03EB" w:rsidRPr="005E78F4" w:rsidRDefault="006F36A3" w:rsidP="003B03EB">
      <w:pPr>
        <w:pStyle w:val="NormalHanging12a"/>
      </w:pPr>
      <w:r>
        <w:t>151</w:t>
      </w:r>
      <w:r w:rsidR="003B03EB" w:rsidRPr="005E78F4">
        <w:t>.</w:t>
      </w:r>
      <w:r w:rsidR="003B03EB" w:rsidRPr="005E78F4">
        <w:tab/>
        <w:t>berie na vedomie osobitnú správu Dvora audítorov č. 14/2024 s názvom Zelená transformácia – Nejasný príspevok z Mechanizmu na podporu obnovy a odolnosti a odpoveď Komisie; berie na vedomie zistenia Dvora audítorov poukazujúce na nedostatky a obmedzenia v návrhu a vykonávaní Mechanizmu na podporu obnovy a odolnosti (RRF), pokiaľ ide o meranie jeho príspevku k cieľom v oblasti klímy a životného prostredia; berie na vedomie zistenie Dvora audítorov, že sledovanie výdavkov v oblasti klímy sa vo veľkej miere spolieha na približné odhady a že niektoré koeficienty mohli viesť k nadhodnoteniu; víta skutočnosť, že Dvor audítorov odporúča Komisii, aby ešte viac spresnila metodiky odhadovania výdavkov v oblasti klímy v rámci budúcich nástrojov financovania a aby poučenia zakomponovala do koncepcie budúcich nástrojov financovania podporujúcich ciele a zámery v oblasti klímy a životného prostredia;</w:t>
      </w:r>
    </w:p>
    <w:p w14:paraId="31440645" w14:textId="1FCE9131" w:rsidR="003B03EB" w:rsidRPr="005E78F4" w:rsidRDefault="006F36A3" w:rsidP="003B03EB">
      <w:pPr>
        <w:pStyle w:val="NormalHanging12a"/>
        <w:rPr>
          <w:rFonts w:ascii="TimesNewRoman" w:hAnsi="TimesNewRoman" w:cs="TimesNewRoman"/>
        </w:rPr>
      </w:pPr>
      <w:r>
        <w:rPr>
          <w:rFonts w:ascii="TimesNewRoman" w:hAnsi="TimesNewRoman"/>
        </w:rPr>
        <w:t>152</w:t>
      </w:r>
      <w:r w:rsidR="003B03EB" w:rsidRPr="005E78F4">
        <w:rPr>
          <w:rFonts w:ascii="TimesNewRoman" w:hAnsi="TimesNewRoman"/>
        </w:rPr>
        <w:t>.</w:t>
      </w:r>
      <w:r w:rsidR="003B03EB" w:rsidRPr="005E78F4">
        <w:rPr>
          <w:rFonts w:ascii="TimesNewRoman" w:hAnsi="TimesNewRoman"/>
        </w:rPr>
        <w:tab/>
      </w:r>
      <w:r w:rsidR="003B03EB" w:rsidRPr="005E78F4">
        <w:t>berie na vedomie osobitnú správu Dvora audítorov č. 15/2024 o adaptácii na zmenu klímy v EÚ a odpoveď Komisie;</w:t>
      </w:r>
      <w:r w:rsidR="003B03EB" w:rsidRPr="005E78F4">
        <w:rPr>
          <w:rFonts w:ascii="TimesNewRoman" w:hAnsi="TimesNewRoman"/>
        </w:rPr>
        <w:t xml:space="preserve"> oceňuje záver Dvora audítorov, že adaptačný rámec na úrovni Únie je primeraný; je znepokojený zistením, že členské štáty niekedy používali vo svojich dokumentoch o národnej adaptačnej stratégii neaktuálne vedecké údaje a že správy členských štátov o adaptácii na zmenu klímy boli nedostatočné a ich pridaná hodnota, pokiaľ ide o sledovanie pokroku, je nízka; je sklamaný zisteniami Dvora audítorov, že tretina projektov vo vzorke mala malý alebo žiadny vplyv na zvýšenie </w:t>
      </w:r>
      <w:r w:rsidR="003B03EB" w:rsidRPr="005E78F4">
        <w:rPr>
          <w:rFonts w:ascii="TimesNewRoman" w:hAnsi="TimesNewRoman"/>
        </w:rPr>
        <w:lastRenderedPageBreak/>
        <w:t>schopnosti adaptácie a že existuje riziko, že dva projekty (z 36) by mohli viesť k nesprávnej adaptácii; víta aj odporúčanie Dvora audítorov, aby Komisia zlepšila podávanie správ o adaptácii na zmenu klímy prostredníctvom spoločných ukazovateľov na meranie pokroku a následne kontrolovala zistené nedostatky;</w:t>
      </w:r>
    </w:p>
    <w:p w14:paraId="19B15013" w14:textId="52A4B727" w:rsidR="003B03EB" w:rsidRPr="005E78F4" w:rsidRDefault="006F36A3" w:rsidP="003B03EB">
      <w:pPr>
        <w:pStyle w:val="NormalHanging12a"/>
        <w:rPr>
          <w:rFonts w:ascii="TimesNewRoman" w:hAnsi="TimesNewRoman" w:cs="TimesNewRoman"/>
        </w:rPr>
      </w:pPr>
      <w:r>
        <w:rPr>
          <w:rFonts w:ascii="TimesNewRoman" w:hAnsi="TimesNewRoman"/>
        </w:rPr>
        <w:t>153</w:t>
      </w:r>
      <w:r w:rsidR="003B03EB" w:rsidRPr="005E78F4">
        <w:rPr>
          <w:rFonts w:ascii="TimesNewRoman" w:hAnsi="TimesNewRoman"/>
        </w:rPr>
        <w:t>.</w:t>
      </w:r>
      <w:r w:rsidR="003B03EB" w:rsidRPr="005E78F4">
        <w:rPr>
          <w:rFonts w:ascii="TimesNewRoman" w:hAnsi="TimesNewRoman"/>
        </w:rPr>
        <w:tab/>
        <w:t xml:space="preserve">pripomína, že všetky výdavky Únie musia byť v súlade s horizontálnou zásadou „výrazne nenarušiť“ stanovenou v bode 16 </w:t>
      </w:r>
      <w:proofErr w:type="spellStart"/>
      <w:r w:rsidR="003B03EB" w:rsidRPr="005E78F4">
        <w:rPr>
          <w:rFonts w:ascii="TimesNewRoman" w:hAnsi="TimesNewRoman"/>
        </w:rPr>
        <w:t>medziinštitucionálnej</w:t>
      </w:r>
      <w:proofErr w:type="spellEnd"/>
      <w:r w:rsidR="003B03EB" w:rsidRPr="005E78F4">
        <w:rPr>
          <w:rFonts w:ascii="TimesNewRoman" w:hAnsi="TimesNewRoman"/>
        </w:rPr>
        <w:t xml:space="preserve"> dohody, kde sa stanovuje, že výdavky Únie nesmú poškodzovať šesť environmentálnych cieľov stanovených v článku 17 nariadenia o taxonómii</w:t>
      </w:r>
      <w:r w:rsidR="003B03EB" w:rsidRPr="005E78F4">
        <w:rPr>
          <w:rStyle w:val="FootnoteReference"/>
          <w:rFonts w:ascii="TimesNewRoman" w:hAnsi="TimesNewRoman" w:cs="TimesNewRoman"/>
        </w:rPr>
        <w:footnoteReference w:id="112"/>
      </w:r>
      <w:r w:rsidR="003B03EB" w:rsidRPr="005E78F4">
        <w:rPr>
          <w:rFonts w:ascii="TimesNewRoman" w:hAnsi="TimesNewRoman"/>
        </w:rPr>
        <w:t>, konkrétne zmiernenie zmeny klímy a adaptáciu na ňu, udržateľné využívanie a ochranu vodných zdrojov, obehové hospodárstvo, prevenciu a kontrolu znečisťovania a ochranu biodiverzity; domnieva sa, že vzhľadom na opakované zistenia Dvora audítorov by sa mali sledovať a vykazovať aj negatívne vplyvy výdavkov Únie na životné prostredie;</w:t>
      </w:r>
    </w:p>
    <w:p w14:paraId="4259958F" w14:textId="14132F68" w:rsidR="003B03EB" w:rsidRPr="005E78F4" w:rsidRDefault="006F36A3" w:rsidP="003B03EB">
      <w:pPr>
        <w:pStyle w:val="NormalHanging12a"/>
      </w:pPr>
      <w:r>
        <w:t>154</w:t>
      </w:r>
      <w:r w:rsidR="003B03EB" w:rsidRPr="005E78F4">
        <w:t>.</w:t>
      </w:r>
      <w:r w:rsidR="003B03EB" w:rsidRPr="005E78F4">
        <w:tab/>
        <w:t>pripomína, že systém EÚ na obchodovanie s emisiami (EU ETS) je kľúčovou zložkou Európskej zelenej dohody a jedným z hlavných nástrojov na dosiahnutie ambícií Únie v oblasti klímy; víta, že podľa výročnej správy o činnosti Generálneho riaditeľstva pre oblasť klímy (GR CLIMA) za rok 2024 vygeneroval systém EU ETS v predchádzajúcom roku príjmy vo výške 43,6 miliardy EUR na investície do opatrení v oblasti klímy, z čoho 7,4 miliardy EUR bolo poskytnutých do Inovačného fondu ETS a Modernizačného fondu a 2,8 miliardy EUR do Mechanizmu na podporu obnovy a odolnosti, ktorý členské štáty využívajú na podporu prechodu na čistú energiu a zvýšenie energetickej bezpečnosti; berie na vedomie zistenie auditu IAS z roku 2024 o vykonávaní a monitorovaní systému EU ETS, že zamestnanci GR CLIMA napriek veľkému pracovnému zaťaženiu, zložitému právnemu rámcu a obmedzeným zdrojom, s ktorými pracujú, preukázali odhodlanie plniť úlohy a ochotu zlepšiť efektívnosť procesov súvisiacich so systémom EU ETS; oceňuje písomné potvrdenie Komisie, že GR CLIMA má v úmysle riešiť väčšinu odporúčaní vnútorného auditu do roku 2025 a všetky do polovice roka 2028;</w:t>
      </w:r>
    </w:p>
    <w:p w14:paraId="01CB72AF" w14:textId="3F0E7343" w:rsidR="003B03EB" w:rsidRPr="005E78F4" w:rsidRDefault="006F36A3" w:rsidP="003B03EB">
      <w:pPr>
        <w:pStyle w:val="NormalHanging12a"/>
      </w:pPr>
      <w:r>
        <w:t>155</w:t>
      </w:r>
      <w:r w:rsidR="003B03EB" w:rsidRPr="005E78F4">
        <w:t>.</w:t>
      </w:r>
      <w:r w:rsidR="003B03EB" w:rsidRPr="005E78F4">
        <w:tab/>
        <w:t>pripomína, že GR CLIMA od roku 2010 vydalo vo všetkých svojich výročných správach o činnosti výhradu týkajúcu sa dobrého mena, právnych a/alebo finančných dôvodov súvisiacich s bezpečnostnými nedostatkami zistenými v registri Únie pre systém EU ETS, ktorá bola ponechaná aj vo výročnej správe o činnosti za rok 2024; vyjadruje poľutovanie nad tým, že základné nedostatky sa neriešia od roku 2010; je znepokojený písomným objasnením Komisie, že úroveň rizika úzko súvisí s hodnotou aktív, s ktorými sa manipuluje v rámci EU ETS, ktorá od roku 2017 vzrástla desaťnásobne, a ďalej ju zvyšuje zhoršujúci sa geopolitický kontext; zdôrazňuje, že hoci finančný vplyv výhrady za rok 2024 nemožno vyčísliť, v čase výročnej správy o činnosti GR CLIMA za rok 2024 mal register Únie emisné kvóty v hodnote viac ako 200 miliárd EUR v bežných cenách;</w:t>
      </w:r>
    </w:p>
    <w:p w14:paraId="74FB4DFB" w14:textId="286899F2" w:rsidR="003B03EB" w:rsidRPr="005E78F4" w:rsidRDefault="006F36A3" w:rsidP="003B03EB">
      <w:pPr>
        <w:pStyle w:val="NormalHanging12a"/>
        <w:rPr>
          <w:rFonts w:ascii="TimesNewRoman" w:hAnsi="TimesNewRoman" w:cs="TimesNewRoman"/>
        </w:rPr>
      </w:pPr>
      <w:r>
        <w:t>156</w:t>
      </w:r>
      <w:r w:rsidR="003B03EB" w:rsidRPr="005E78F4">
        <w:t>.</w:t>
      </w:r>
      <w:r w:rsidR="003B03EB" w:rsidRPr="005E78F4">
        <w:tab/>
        <w:t xml:space="preserve">so znepokojením berie na vedomie písomnú odpoveď Komisie, že vývoj rizikového prostredia systematicky prekračuje rýchlosť, akou Komisia dokáže zlepšovať bezpečnostné opatrenia; chápe, že podľa posúdenia Komisie bezpečnostné riziko identifikované v registri Únie pre EU ETS možno vyriešiť len zvýšenou úrovňou výdavkov a v konečnom dôsledku </w:t>
      </w:r>
      <w:proofErr w:type="spellStart"/>
      <w:r w:rsidR="003B03EB" w:rsidRPr="005E78F4">
        <w:t>externalizáciou</w:t>
      </w:r>
      <w:proofErr w:type="spellEnd"/>
      <w:r w:rsidR="003B03EB" w:rsidRPr="005E78F4">
        <w:t xml:space="preserve"> registra Únie; vyjadruje hlboké </w:t>
      </w:r>
      <w:r w:rsidR="003B03EB" w:rsidRPr="005E78F4">
        <w:lastRenderedPageBreak/>
        <w:t>znepokojenie nad tým, že návrh na riešenie bezpečnostných nedostatkov registra Únie brzdí predovšetkým nedostupnosť primeraných ľudských a finančných zdrojov;</w:t>
      </w:r>
      <w:r w:rsidR="003B03EB" w:rsidRPr="005E78F4">
        <w:rPr>
          <w:rFonts w:ascii="TimesNewRoman" w:hAnsi="TimesNewRoman"/>
        </w:rPr>
        <w:t xml:space="preserve"> so znepokojením berie na vedomie písomnú odpoveď Komisie, že tieto zdroje by mali pochádzať zo zavedenia poplatkov za služby pre členské štáty na financovanie prevádzky systému EU ETS, ale keďže vhodný právny základ na zavedenie poplatku za služby treba najprv navrhnúť v smernici o ETS, Komisia sa domnieva, že riešenie nemožno nájsť skôr, ako v roku 2028; považuje za nevyhnutné, aby sa bezodkladne sprístupnili primerané zdroje na riešenie hlavných finančných a právnych rizík a rizík poškodenia dobrého mena Únie, ktoré vyplývajú z bezpečnostných nedostatkov registra Únie;</w:t>
      </w:r>
    </w:p>
    <w:p w14:paraId="67EB8F0B" w14:textId="4FE6B321" w:rsidR="003B03EB" w:rsidRPr="005E78F4" w:rsidRDefault="006F36A3" w:rsidP="003B03EB">
      <w:pPr>
        <w:pStyle w:val="NormalHanging12a"/>
        <w:rPr>
          <w:rFonts w:ascii="TimesNewRoman" w:hAnsi="TimesNewRoman" w:cs="TimesNewRoman"/>
        </w:rPr>
      </w:pPr>
      <w:r>
        <w:rPr>
          <w:rFonts w:ascii="TimesNewRoman" w:hAnsi="TimesNewRoman"/>
        </w:rPr>
        <w:t>157</w:t>
      </w:r>
      <w:r w:rsidR="003B03EB" w:rsidRPr="005E78F4">
        <w:rPr>
          <w:rFonts w:ascii="TimesNewRoman" w:hAnsi="TimesNewRoman"/>
        </w:rPr>
        <w:t>.</w:t>
      </w:r>
      <w:r w:rsidR="003B03EB" w:rsidRPr="005E78F4">
        <w:rPr>
          <w:rFonts w:ascii="TimesNewRoman" w:hAnsi="TimesNewRoman"/>
        </w:rPr>
        <w:tab/>
        <w:t>pripomína, že demokracia a pluralizmus sú základné hodnoty Únie zakotvené v článku 2 ZEÚ; ďalej pripomína, že v súlade s článkom 11 ZEÚ musia inštitúcie Únie poskytnúť občanom a zastupujúcim združeniam možnosť verejne vyjadrovať a vymieňať si názory na všetky oblasti činnosti Únie s cieľom viesť otvorený, transparentný a pravidelný dialóg;</w:t>
      </w:r>
    </w:p>
    <w:p w14:paraId="52DB8950" w14:textId="6072C723" w:rsidR="003B03EB" w:rsidRPr="005E78F4" w:rsidRDefault="006F36A3" w:rsidP="003B03EB">
      <w:pPr>
        <w:pStyle w:val="NormalHanging12a"/>
      </w:pPr>
      <w:r>
        <w:t>158</w:t>
      </w:r>
      <w:r w:rsidR="003B03EB" w:rsidRPr="005E78F4">
        <w:t>.</w:t>
      </w:r>
      <w:r w:rsidR="003B03EB" w:rsidRPr="005E78F4">
        <w:tab/>
        <w:t xml:space="preserve">uznáva význam programu LIFE, jediného samostatného programu Únie pre životné prostredie a opatrenia v oblasti klímy, pre podporu ochrany prírody, iniciatív v oblasti obehového hospodárstva, opatrení v oblasti klímy a prechodu na čistú energiu a všeobecnejšie pre podporu udržateľného rozvoja v celej Únii; pripomína, že ustanovenia nariadenia o programe LIFE vrátane článku 11 ods. 6 stanovujú, že granty na prevádzku môžu podporovať fungovanie neziskových subjektov, ktoré sa aktívne podieľajú na tvorbe, vykonávaní a presadzovaní právnych predpisov Únie v oblasti životného prostredia a klímy; zdôrazňuje však, že takéto granty na prevádzku sa musia vykonávať v prísnom súlade s právnymi, finančnými a </w:t>
      </w:r>
      <w:proofErr w:type="spellStart"/>
      <w:r w:rsidR="003B03EB" w:rsidRPr="005E78F4">
        <w:t>transparentnostnými</w:t>
      </w:r>
      <w:proofErr w:type="spellEnd"/>
      <w:r w:rsidR="003B03EB" w:rsidRPr="005E78F4">
        <w:t xml:space="preserve"> požiadavkami Únie; ďalej zdôrazňuje význam jasných ochranných opatrení, aby sa zabezpečilo, že finančné prostriedky Únie sa budú používať výlučne na ciele vymedzené v programe; konštatuje, že granty na prevádzku pridelené mimovládnym organizáciám v rámci programu LIFE predstavujú približne 1 % celkového rozpočtu programu; vyzýva Komisiu, aby zabezpečila dôkladné monitorovanie, plnú zodpovednosť a transparentnosť pri využívaní finančných prostriedkov Únie vrátane podporných činností;</w:t>
      </w:r>
    </w:p>
    <w:p w14:paraId="4B2FA69E" w14:textId="2E4E74DD" w:rsidR="003B03EB" w:rsidRPr="005E78F4" w:rsidRDefault="006F36A3" w:rsidP="003B03EB">
      <w:pPr>
        <w:pStyle w:val="NormalHanging12a"/>
      </w:pPr>
      <w:r>
        <w:t>159</w:t>
      </w:r>
      <w:r w:rsidR="003B03EB" w:rsidRPr="005E78F4">
        <w:t>.</w:t>
      </w:r>
      <w:r w:rsidR="003B03EB" w:rsidRPr="005E78F4">
        <w:tab/>
        <w:t>berie na vedomie obavy, ktoré vyjadrili niektorí poslanci EP v súvislosti s využívaním grantov na prevádzku a na akcie v rámci programu LIFE niektorými príjemcami, ako sú organizácie občianskej spoločnosti a spoločnosti; zdôrazňuje význam úplnej transparentnosti, pokiaľ ide o príjemcov aj financované činnosti, pokračujúceho monitorovania a v prípade potreby ďalšieho objasnenia zavedených ochranných opatrení, aby sa zabezpečilo, že finančné prostriedky Únie sa budú používať výlučne na ciele vymedzené v programe;</w:t>
      </w:r>
    </w:p>
    <w:p w14:paraId="7E17CC18" w14:textId="12E61263" w:rsidR="003B03EB" w:rsidRPr="005E78F4" w:rsidRDefault="006F36A3" w:rsidP="003B03EB">
      <w:pPr>
        <w:pStyle w:val="NormalHanging12a"/>
      </w:pPr>
      <w:r>
        <w:t>160</w:t>
      </w:r>
      <w:r w:rsidR="003B03EB" w:rsidRPr="005E78F4">
        <w:t>.</w:t>
      </w:r>
      <w:r w:rsidR="003B03EB" w:rsidRPr="005E78F4">
        <w:tab/>
        <w:t xml:space="preserve">konštatuje, že z preskúmania zmlúv o financovaní v rámci postupu udeľovania absolutória vyplýva, že činnosti súvisiace s ovplyvňovaním verejnej politiky alebo rozhodovania sa môžu vyskytovať v rôznych kategóriách príjemcov, a to aj vrátane MVO; vyjadruje znepokojenie nad tým, že v niektorých prípadoch môžu byť tvorcovia politík Únie zároveň členmi správnych rád a prijímať odmenu v spoločnostiach, ktoré dostávajú finančné prostriedky Únie na takéto činnosti; zdôrazňuje, že ochranné opatrenia musia zabezpečiť, aby sa predišlo prípadným konfliktom záujmov a aby sa finančné prostriedky Únie spravovali transparentne, nezávisle od typu príjemcu; zdôrazňuje, že je potrebné zabezpečiť konzistentný dohľad a overovanie u všetkých príjemcov s cieľom zaručiť súlad s usmerneniami Komisie z roku 2024 o činnostiach na </w:t>
      </w:r>
      <w:r w:rsidR="003B03EB" w:rsidRPr="005E78F4">
        <w:lastRenderedPageBreak/>
        <w:t>podporu tvorby, vykonávania, monitorovania a presadzovania právnych predpisov a politiky Únie; nabáda na vytvorenie štandardizovaného postupu preskúmania žiadostí o prevádzkové granty vrátane toho, aby návrhy žiadostí čítali a preskúmavali aspoň dvaja členovia Komisie alebo pracovníci agentúry, a na vytvorenie štandardizovaného súboru pravidiel výberu externých odborníkov pre hodnotiacu radu grantov na prevádzku;</w:t>
      </w:r>
    </w:p>
    <w:p w14:paraId="71FDA69B" w14:textId="77777777" w:rsidR="003B03EB" w:rsidRPr="005E78F4" w:rsidRDefault="003B03EB" w:rsidP="003B03EB">
      <w:pPr>
        <w:pStyle w:val="NormalHanging12a"/>
        <w:ind w:left="0" w:firstLine="0"/>
        <w:rPr>
          <w:rFonts w:ascii="TimesNewRoman" w:hAnsi="TimesNewRoman" w:cs="TimesNewRoman"/>
          <w:i/>
          <w:iCs/>
        </w:rPr>
      </w:pPr>
      <w:r w:rsidRPr="005E78F4">
        <w:rPr>
          <w:rFonts w:ascii="TimesNewRoman" w:hAnsi="TimesNewRoman"/>
          <w:i/>
        </w:rPr>
        <w:t>Odporúčania</w:t>
      </w:r>
    </w:p>
    <w:p w14:paraId="2AED8C1C" w14:textId="1F5C1A1D" w:rsidR="003B03EB" w:rsidRPr="005E78F4" w:rsidRDefault="006F36A3" w:rsidP="003B03EB">
      <w:pPr>
        <w:pStyle w:val="NormalHanging12a"/>
        <w:rPr>
          <w:rFonts w:ascii="TimesNewRoman" w:hAnsi="TimesNewRoman" w:cs="TimesNewRoman"/>
        </w:rPr>
      </w:pPr>
      <w:r>
        <w:rPr>
          <w:rFonts w:ascii="TimesNewRoman" w:hAnsi="TimesNewRoman"/>
        </w:rPr>
        <w:t>161</w:t>
      </w:r>
      <w:r w:rsidR="003B03EB" w:rsidRPr="005E78F4">
        <w:rPr>
          <w:rFonts w:ascii="TimesNewRoman" w:hAnsi="TimesNewRoman"/>
        </w:rPr>
        <w:t>.</w:t>
      </w:r>
      <w:r w:rsidR="003B03EB" w:rsidRPr="005E78F4">
        <w:rPr>
          <w:rFonts w:ascii="TimesNewRoman" w:hAnsi="TimesNewRoman"/>
        </w:rPr>
        <w:tab/>
        <w:t>vyzýva Komisiu, aby:</w:t>
      </w:r>
    </w:p>
    <w:p w14:paraId="7624D520" w14:textId="77777777" w:rsidR="003B03EB" w:rsidRPr="005E78F4" w:rsidRDefault="003B03EB" w:rsidP="005E78F4">
      <w:pPr>
        <w:spacing w:after="240"/>
        <w:ind w:left="1134" w:hanging="567"/>
        <w:rPr>
          <w:spacing w:val="-6"/>
        </w:rPr>
      </w:pPr>
      <w:r w:rsidRPr="005E78F4">
        <w:t>i)</w:t>
      </w:r>
      <w:r w:rsidRPr="005E78F4">
        <w:tab/>
        <w:t>v spolupráci s členskými štátmi sprístupnila finančné a ľudské zdroje potrebné na urýchlené vyriešenie zostávajúcich významných nedostatkov v oblasti bezpečnosti zistených v registri Únie pre EU ETS;</w:t>
      </w:r>
    </w:p>
    <w:p w14:paraId="7E112D59" w14:textId="77777777" w:rsidR="003B03EB" w:rsidRPr="005E78F4" w:rsidRDefault="003B03EB" w:rsidP="005E78F4">
      <w:pPr>
        <w:spacing w:after="240"/>
        <w:ind w:left="1134" w:hanging="567"/>
        <w:rPr>
          <w:spacing w:val="-6"/>
        </w:rPr>
      </w:pPr>
      <w:r w:rsidRPr="005E78F4">
        <w:t>ii)</w:t>
      </w:r>
      <w:r w:rsidRPr="005E78F4">
        <w:tab/>
        <w:t xml:space="preserve">poskytla podporu členským štátom s cieľom zjednodušiť </w:t>
      </w:r>
      <w:proofErr w:type="spellStart"/>
      <w:r w:rsidRPr="005E78F4">
        <w:t>ekoschémy</w:t>
      </w:r>
      <w:proofErr w:type="spellEnd"/>
      <w:r w:rsidRPr="005E78F4">
        <w:t xml:space="preserve"> v súlade s odporúčaním Dvora audítorov bez toho, aby sa znížili ich environmentálne ambície;</w:t>
      </w:r>
    </w:p>
    <w:p w14:paraId="7405B1EE" w14:textId="77777777" w:rsidR="003B03EB" w:rsidRPr="005E78F4" w:rsidRDefault="003B03EB" w:rsidP="005E78F4">
      <w:pPr>
        <w:spacing w:after="240"/>
        <w:ind w:left="1134" w:hanging="567"/>
      </w:pPr>
      <w:r w:rsidRPr="005E78F4">
        <w:t>iii)</w:t>
      </w:r>
      <w:r w:rsidRPr="005E78F4">
        <w:tab/>
        <w:t>podporila členské štáty pri testovaní a modernizácii informačných systémov používaných na vypracúvanie výročných správ o výkonnosti s cieľom zabezpečiť ich súlad s platnými medzinárodnými normami informačnej bezpečnosti;</w:t>
      </w:r>
    </w:p>
    <w:p w14:paraId="1987E861" w14:textId="77777777" w:rsidR="003B03EB" w:rsidRPr="005E78F4" w:rsidRDefault="003B03EB" w:rsidP="005E78F4">
      <w:pPr>
        <w:spacing w:after="240"/>
        <w:ind w:left="1134" w:hanging="567"/>
      </w:pPr>
      <w:r w:rsidRPr="005E78F4">
        <w:t>iv)</w:t>
      </w:r>
      <w:r w:rsidRPr="005E78F4">
        <w:tab/>
        <w:t>informovala orgán udeľujúci absolutórium o miere vymáhania poľnohospodárskych výdavkov v rámci SPP na roky 2023 – 2027 a zvážila zavedenie nových stimulov pre členské štáty na vymáhanie finančných prostriedkov;</w:t>
      </w:r>
    </w:p>
    <w:p w14:paraId="0DEAA0E4" w14:textId="77777777" w:rsidR="003B03EB" w:rsidRPr="005E78F4" w:rsidRDefault="003B03EB" w:rsidP="005E78F4">
      <w:pPr>
        <w:spacing w:after="240"/>
        <w:ind w:left="1134" w:hanging="567"/>
      </w:pPr>
      <w:r w:rsidRPr="005E78F4">
        <w:t>v)</w:t>
      </w:r>
      <w:r w:rsidRPr="005E78F4">
        <w:tab/>
        <w:t>spolu s členskými štátmi urýchlila vyplácanie EPFRV a v prípadoch pretrvávajúceho oneskorenia mobilizovala opatrenia na zvýšenie čerpania, a tak zabezpečila vyváženú podporu vo všetkých regiónoch;</w:t>
      </w:r>
    </w:p>
    <w:p w14:paraId="7D2B0186" w14:textId="77777777" w:rsidR="003B03EB" w:rsidRPr="005E78F4" w:rsidRDefault="003B03EB" w:rsidP="005E78F4">
      <w:pPr>
        <w:spacing w:after="240"/>
        <w:ind w:left="1134" w:hanging="567"/>
      </w:pPr>
      <w:r w:rsidRPr="005E78F4">
        <w:t>vi)</w:t>
      </w:r>
      <w:r w:rsidRPr="005E78F4">
        <w:tab/>
        <w:t>podporovala členské štáty pri nasmerovaní finančných prostriedkov na vysokohodnotné preventívne opatrenia (napr. starostlivosť o krajinu, údržba poľnohospodárskych protipožiarnych priesekov, obnovu znehodnotenej pôdy, nákup a dodávky veterinárnych vakcín) a aby podporovala šírenie najlepších postupov a účinných poľnohospodárskych projektov vo všetkých členských štátoch.</w:t>
      </w:r>
    </w:p>
    <w:p w14:paraId="75E66272" w14:textId="77777777" w:rsidR="003B03EB" w:rsidRDefault="003B03EB" w:rsidP="005E78F4">
      <w:pPr>
        <w:spacing w:after="240"/>
        <w:ind w:left="1134" w:hanging="567"/>
      </w:pPr>
      <w:r w:rsidRPr="005E78F4">
        <w:t>vii)</w:t>
      </w:r>
      <w:r w:rsidRPr="005E78F4">
        <w:tab/>
        <w:t>zlepšila správne finančné riadenie súčasnej a budúcej SPP tým, že sa zabezpečí, aby sa priama podpora príjmu poskytovala len aktívnym poľnohospodárom s osobitným zameraním na tých, ktorí ju najviac potrebujú, ako sú rodinné a malé poľnohospodárske podniky, poľnohospodárske podniky v oblastiach s problémami spojenými s prírodnými alebo inými osobitnými podmienkami, mladí poľnohospodári a poľnohospodárky;</w:t>
      </w:r>
    </w:p>
    <w:p w14:paraId="0E728380" w14:textId="2B627C37" w:rsidR="00D80DE2" w:rsidRPr="005E78F4" w:rsidRDefault="00D80DE2" w:rsidP="005E78F4">
      <w:pPr>
        <w:spacing w:after="240"/>
        <w:ind w:left="1134" w:hanging="567"/>
        <w:rPr>
          <w:spacing w:val="-6"/>
        </w:rPr>
      </w:pPr>
      <w:r>
        <w:rPr>
          <w:spacing w:val="-6"/>
        </w:rPr>
        <w:t>viii</w:t>
      </w:r>
      <w:r w:rsidRPr="00D80DE2">
        <w:rPr>
          <w:spacing w:val="-6"/>
        </w:rPr>
        <w:t>)</w:t>
      </w:r>
      <w:r w:rsidRPr="00D80DE2">
        <w:rPr>
          <w:spacing w:val="-6"/>
        </w:rPr>
        <w:tab/>
        <w:t xml:space="preserve">zaviedla všetky možné opatrenia zamerané na zníženie nepriaznivých vplyvov dohody medzi EÚ a </w:t>
      </w:r>
      <w:proofErr w:type="spellStart"/>
      <w:r w:rsidRPr="00D80DE2">
        <w:rPr>
          <w:spacing w:val="-6"/>
        </w:rPr>
        <w:t>Mercosurom</w:t>
      </w:r>
      <w:proofErr w:type="spellEnd"/>
      <w:r w:rsidRPr="00D80DE2">
        <w:rPr>
          <w:spacing w:val="-6"/>
        </w:rPr>
        <w:t xml:space="preserve"> na európske poľnohospodárstvo a postavenie európskych výrobcov na trhu a spoľahlivo monitorovala rozsah, ako aj skutočné účinky týchto vplyvov;</w:t>
      </w:r>
    </w:p>
    <w:p w14:paraId="225B977E" w14:textId="7C440DDD" w:rsidR="003B03EB" w:rsidRPr="005E78F4" w:rsidRDefault="00D80DE2" w:rsidP="005E78F4">
      <w:pPr>
        <w:spacing w:after="240"/>
        <w:ind w:left="1134" w:hanging="567"/>
        <w:rPr>
          <w:spacing w:val="-6"/>
        </w:rPr>
      </w:pPr>
      <w:r>
        <w:t>ix</w:t>
      </w:r>
      <w:r w:rsidR="003B03EB" w:rsidRPr="005E78F4">
        <w:t>)</w:t>
      </w:r>
      <w:r w:rsidR="003B03EB" w:rsidRPr="005E78F4">
        <w:tab/>
        <w:t>vykonala finančné audity a audity zhody projektov penziónov financovaných z rozpočtu Únie na základe rizika;</w:t>
      </w:r>
    </w:p>
    <w:p w14:paraId="2ECF7BCA" w14:textId="59D4C6DA" w:rsidR="003B03EB" w:rsidRPr="005E78F4" w:rsidRDefault="00D80DE2" w:rsidP="005E78F4">
      <w:pPr>
        <w:spacing w:after="240"/>
        <w:ind w:left="1134" w:hanging="567"/>
        <w:rPr>
          <w:spacing w:val="-6"/>
        </w:rPr>
      </w:pPr>
      <w:r>
        <w:lastRenderedPageBreak/>
        <w:t>x</w:t>
      </w:r>
      <w:r w:rsidR="003B03EB" w:rsidRPr="005E78F4">
        <w:t>)</w:t>
      </w:r>
      <w:r w:rsidR="003B03EB" w:rsidRPr="005E78F4">
        <w:tab/>
        <w:t>dôkladne monitorovala využívanie projektov penziónov financovaných z rozpočtu Únie po období realizácie projektu a zvážila predĺženie obdobia trvalosti pre tieto druhy projektov s cieľom zabrániť ďalšiemu zneužívaniu a zaviedla prísne kontroly konfliktu záujmov ako predpoklad na pridelenie finančných prostriedkov Únie na výstavbu penziónov;</w:t>
      </w:r>
    </w:p>
    <w:p w14:paraId="68CCC501" w14:textId="42BC6A96" w:rsidR="003B03EB" w:rsidRPr="005E78F4" w:rsidRDefault="003B03EB" w:rsidP="005E78F4">
      <w:pPr>
        <w:spacing w:after="240"/>
        <w:ind w:left="1134" w:hanging="567"/>
        <w:rPr>
          <w:spacing w:val="-6"/>
        </w:rPr>
      </w:pPr>
      <w:r w:rsidRPr="005E78F4">
        <w:t>x</w:t>
      </w:r>
      <w:r w:rsidR="00D80DE2">
        <w:t>i</w:t>
      </w:r>
      <w:r w:rsidRPr="005E78F4">
        <w:t>)</w:t>
      </w:r>
      <w:r w:rsidRPr="005E78F4">
        <w:tab/>
        <w:t>zhromaždila údaje od orgánov členských štátov o počte projektov penziónov financovaných z rozpočtu Únie od roku 2021, uvádzajúc aj všetky zistené nezrovnalosti, a poskytla tieto informácie orgánu udeľujúcemu absolutórium;</w:t>
      </w:r>
    </w:p>
    <w:p w14:paraId="12AEA24A" w14:textId="2FCAA42C" w:rsidR="003B03EB" w:rsidRPr="005E78F4" w:rsidRDefault="003B03EB" w:rsidP="005E78F4">
      <w:pPr>
        <w:spacing w:after="240"/>
        <w:ind w:left="1134" w:hanging="567"/>
      </w:pPr>
      <w:r w:rsidRPr="005E78F4">
        <w:t>xi</w:t>
      </w:r>
      <w:r w:rsidR="00D80DE2">
        <w:t>i</w:t>
      </w:r>
      <w:r w:rsidRPr="005E78F4">
        <w:t>)</w:t>
      </w:r>
      <w:r w:rsidRPr="005E78F4">
        <w:tab/>
        <w:t>monitorovala možné konflikty záujmov, ktoré majú vplyv na finančné prostriedky Únie, a zabezpečila, aby sa konflikty záujmov skutočne vyriešili, a to aj v prípade členov Európskej rady, a najmä zabezpečila, aby sa žiadnym príjemcom, v prípade ktorých bol zistený konflikt záujmov a nebol preukázateľne a overiteľne vyriešený, priamo ani nepriamo nevyplácali žiadne finančné prostriedky Únie;</w:t>
      </w:r>
    </w:p>
    <w:p w14:paraId="5094AC13" w14:textId="171D2ACB" w:rsidR="003B03EB" w:rsidRPr="005E78F4" w:rsidRDefault="003B03EB" w:rsidP="005E78F4">
      <w:pPr>
        <w:spacing w:after="240"/>
        <w:ind w:left="1134" w:hanging="567"/>
      </w:pPr>
      <w:r w:rsidRPr="005E78F4">
        <w:t>xii</w:t>
      </w:r>
      <w:r w:rsidR="00D80DE2">
        <w:t>i</w:t>
      </w:r>
      <w:r w:rsidRPr="005E78F4">
        <w:t>)</w:t>
      </w:r>
      <w:r w:rsidRPr="005E78F4">
        <w:tab/>
        <w:t>poskytla list adresovaný českým orgánom s cieľom objasniť situáciu týkajúcu sa konfliktu záujmov predsedu vlády orgánu udeľujúcemu absolutórium a v plnej miere ho informovala o všetkých následných krokoch vrátane možného začatia audítorského postupu;</w:t>
      </w:r>
    </w:p>
    <w:p w14:paraId="729A41C5" w14:textId="52DD84DE" w:rsidR="003B03EB" w:rsidRPr="005E78F4" w:rsidRDefault="003B03EB" w:rsidP="005E78F4">
      <w:pPr>
        <w:spacing w:after="240"/>
        <w:ind w:left="1134" w:hanging="567"/>
        <w:rPr>
          <w:spacing w:val="-6"/>
        </w:rPr>
      </w:pPr>
      <w:r w:rsidRPr="005E78F4">
        <w:t>xi</w:t>
      </w:r>
      <w:r w:rsidR="00D80DE2">
        <w:t>v</w:t>
      </w:r>
      <w:r w:rsidRPr="005E78F4">
        <w:t>)</w:t>
      </w:r>
      <w:r w:rsidRPr="005E78F4">
        <w:tab/>
        <w:t>poskytla orgánu udeľujúcemu absolutórium všetky relevantné dokumenty týkajúce sa následných opatrení Komisie v súvislosti s prípadom OPEKEPE vrátane aktualizovaného akčného plánu a jeho posúdenia Komisiou, a to v prípade potreby pri zachovaní osobitných podmienok dôvernosti;</w:t>
      </w:r>
    </w:p>
    <w:p w14:paraId="22DA1FD9" w14:textId="173F132A" w:rsidR="003B03EB" w:rsidRPr="005E78F4" w:rsidRDefault="003B03EB" w:rsidP="005E78F4">
      <w:pPr>
        <w:spacing w:after="240"/>
        <w:ind w:left="1134" w:hanging="567"/>
        <w:rPr>
          <w:spacing w:val="-6"/>
        </w:rPr>
      </w:pPr>
      <w:r w:rsidRPr="005E78F4">
        <w:t>xv)</w:t>
      </w:r>
      <w:r w:rsidRPr="005E78F4">
        <w:tab/>
        <w:t>vyvodila poznatky z prípadu OPEKEPE, posilnila kontrolný systém poľnohospodárskych fondov Únie, zodpovedajúcim spôsobom posilnila svoje kontrolné činnosti a podala orgánu udeľujúcemu absolutórium správu o prijatých opatreniach;</w:t>
      </w:r>
    </w:p>
    <w:p w14:paraId="25049649" w14:textId="0330FCF5" w:rsidR="003B03EB" w:rsidRPr="005E78F4" w:rsidRDefault="003B03EB" w:rsidP="005E78F4">
      <w:pPr>
        <w:spacing w:after="240"/>
        <w:ind w:left="1134" w:hanging="567"/>
      </w:pPr>
      <w:r w:rsidRPr="005E78F4">
        <w:t>xv</w:t>
      </w:r>
      <w:r w:rsidR="00D80DE2">
        <w:t>i</w:t>
      </w:r>
      <w:r w:rsidRPr="005E78F4">
        <w:t>)</w:t>
      </w:r>
      <w:r w:rsidRPr="005E78F4">
        <w:tab/>
        <w:t>zlepšila svoju metodiku používanú na sledovanie výdavkov Únie na činnosti súvisiace s klímou a biodiverzitou vo VFR na roky 2021 – 2027, a to aj riešením príslušných odporúčaní uvedených v osobitných správach Dvora audítorov, ako aj zlepšením monitorovania a oznamovania skutočných výsledkov investícií a negatívnych účinkov výdavkov Únie na ciele v oblasti životného prostredia a biodiverzity;</w:t>
      </w:r>
    </w:p>
    <w:p w14:paraId="3C0628D0" w14:textId="5DDCF819" w:rsidR="003B03EB" w:rsidRPr="005E78F4" w:rsidRDefault="003B03EB" w:rsidP="005E78F4">
      <w:pPr>
        <w:spacing w:after="240"/>
        <w:ind w:left="1134" w:hanging="567"/>
      </w:pPr>
      <w:r w:rsidRPr="005E78F4">
        <w:t>xvi</w:t>
      </w:r>
      <w:r w:rsidR="00D80DE2">
        <w:t>i</w:t>
      </w:r>
      <w:r w:rsidRPr="005E78F4">
        <w:t>)</w:t>
      </w:r>
      <w:r w:rsidRPr="005E78F4">
        <w:tab/>
        <w:t>zabezpečila, aby sa v budúcom VFR zohľadnili klimatické a environmentálne aspekty;</w:t>
      </w:r>
    </w:p>
    <w:p w14:paraId="5358998A" w14:textId="5AB88660" w:rsidR="003B03EB" w:rsidRPr="005E78F4" w:rsidRDefault="003B03EB" w:rsidP="005E78F4">
      <w:pPr>
        <w:spacing w:after="240"/>
        <w:ind w:left="1134" w:hanging="567"/>
      </w:pPr>
      <w:r w:rsidRPr="005E78F4">
        <w:t>xvii</w:t>
      </w:r>
      <w:r w:rsidR="00D80DE2">
        <w:t>i</w:t>
      </w:r>
      <w:r w:rsidRPr="005E78F4">
        <w:t>)</w:t>
      </w:r>
      <w:r w:rsidRPr="005E78F4">
        <w:tab/>
        <w:t>predložila osobitný podrobný plán s cieľom zabezpečiť splnenie cieľa výdavkov na biodiverzitu stanoveného na roky 2026 a 2027, podporiť finančné nástroje na odstránenie medzery vo financovaní a v plnej miere vykonávať právne predpisy v oblasti životného prostredia a začleniť opatrenia v oblasti biodiverzity do kľúčových odvetví s cieľom dosiahnuť politické ciele, a to aj s ohľadom na poskytnutie finančných prostriedkov na vykonávanie nariadenia o obnove prírody;</w:t>
      </w:r>
    </w:p>
    <w:p w14:paraId="09072525" w14:textId="69CEF5EA" w:rsidR="003B03EB" w:rsidRPr="005E78F4" w:rsidRDefault="003B03EB" w:rsidP="005E78F4">
      <w:pPr>
        <w:spacing w:after="240"/>
        <w:ind w:left="1134" w:hanging="567"/>
        <w:rPr>
          <w:rFonts w:ascii="TimesNewRoman" w:hAnsi="TimesNewRoman" w:cs="TimesNewRoman"/>
        </w:rPr>
      </w:pPr>
      <w:r w:rsidRPr="005E78F4">
        <w:rPr>
          <w:rFonts w:ascii="TimesNewRoman" w:hAnsi="TimesNewRoman"/>
        </w:rPr>
        <w:t>x</w:t>
      </w:r>
      <w:r w:rsidR="00D80DE2">
        <w:rPr>
          <w:rFonts w:ascii="TimesNewRoman" w:hAnsi="TimesNewRoman"/>
        </w:rPr>
        <w:t>ix</w:t>
      </w:r>
      <w:r w:rsidRPr="005E78F4">
        <w:rPr>
          <w:rFonts w:ascii="TimesNewRoman" w:hAnsi="TimesNewRoman"/>
        </w:rPr>
        <w:t>)</w:t>
      </w:r>
      <w:r w:rsidRPr="005E78F4">
        <w:rPr>
          <w:rFonts w:ascii="TimesNewRoman" w:hAnsi="TimesNewRoman"/>
        </w:rPr>
        <w:tab/>
        <w:t xml:space="preserve">naďalej overovala, či sú dohody o financovaní so všetkými typmi prijímateľov v súlade s usmernením Komisie z mája 2024 o financovaní činností súvisiacich s tvorbou, vykonávaním, monitorovaním a presadzovaním právnych predpisov a </w:t>
      </w:r>
      <w:r w:rsidRPr="005E78F4">
        <w:rPr>
          <w:rFonts w:ascii="TimesNewRoman" w:hAnsi="TimesNewRoman"/>
        </w:rPr>
        <w:lastRenderedPageBreak/>
        <w:t>politiky Únie;</w:t>
      </w:r>
    </w:p>
    <w:p w14:paraId="7228A008" w14:textId="43BD1309" w:rsidR="003B03EB" w:rsidRPr="005E78F4" w:rsidRDefault="003B03EB" w:rsidP="005E78F4">
      <w:pPr>
        <w:spacing w:after="240"/>
        <w:ind w:left="1134" w:hanging="567"/>
        <w:rPr>
          <w:rFonts w:ascii="TimesNewRoman" w:hAnsi="TimesNewRoman" w:cs="TimesNewRoman"/>
        </w:rPr>
      </w:pPr>
      <w:r w:rsidRPr="005E78F4">
        <w:rPr>
          <w:rFonts w:ascii="TimesNewRoman" w:hAnsi="TimesNewRoman"/>
        </w:rPr>
        <w:t>xx)</w:t>
      </w:r>
      <w:r w:rsidRPr="005E78F4">
        <w:rPr>
          <w:rFonts w:ascii="TimesNewRoman" w:hAnsi="TimesNewRoman"/>
        </w:rPr>
        <w:tab/>
        <w:t>zabezpečila prísne dodržiavanie článku 61 nariadenia o rozpočtových pravidlách účinným predchádzaním konfliktom záujmov, ich identifikáciou a riadením pri uzatváraní dohôd o grante, najmä s prijímateľmi, ktorí zamestnávajú alebo odmeňujú tvorcov politík Únie;</w:t>
      </w:r>
    </w:p>
    <w:p w14:paraId="1B903776" w14:textId="59CF1380" w:rsidR="003B03EB" w:rsidRPr="005E78F4" w:rsidRDefault="003B03EB" w:rsidP="005E78F4">
      <w:pPr>
        <w:spacing w:after="240"/>
        <w:ind w:left="1134" w:hanging="567"/>
      </w:pPr>
      <w:r w:rsidRPr="005E78F4">
        <w:t>xx</w:t>
      </w:r>
      <w:r w:rsidR="00D80DE2">
        <w:t>i</w:t>
      </w:r>
      <w:r w:rsidRPr="005E78F4">
        <w:t>)</w:t>
      </w:r>
      <w:r w:rsidRPr="005E78F4">
        <w:tab/>
        <w:t xml:space="preserve">zabezpečila, aby všetky dohody o grante vrátane dohôd o grante na prevádzku spĺňali potrebné požiadavky týkajúce sa transparentnosti, </w:t>
      </w:r>
      <w:proofErr w:type="spellStart"/>
      <w:r w:rsidRPr="005E78F4">
        <w:t>vysledovateľnosti</w:t>
      </w:r>
      <w:proofErr w:type="spellEnd"/>
      <w:r w:rsidRPr="005E78F4">
        <w:t xml:space="preserve"> a viditeľnosti finančných prostriedkov;</w:t>
      </w:r>
    </w:p>
    <w:p w14:paraId="06AC7AB8" w14:textId="22717A28" w:rsidR="003B03EB" w:rsidRPr="005E78F4" w:rsidRDefault="003B03EB" w:rsidP="005E78F4">
      <w:pPr>
        <w:spacing w:after="240"/>
        <w:ind w:left="1134" w:hanging="567"/>
      </w:pPr>
      <w:r w:rsidRPr="005E78F4">
        <w:t>xxi</w:t>
      </w:r>
      <w:r w:rsidR="00D80DE2">
        <w:t>i</w:t>
      </w:r>
      <w:r w:rsidRPr="005E78F4">
        <w:t>)</w:t>
      </w:r>
      <w:r w:rsidRPr="005E78F4">
        <w:tab/>
        <w:t>začlenila do svojich kontrol a systémov overovanie dodržiavania hodnôt Únie príjemcami založené na riziku s cieľom odhaliť možné porušenia;</w:t>
      </w:r>
    </w:p>
    <w:p w14:paraId="21EC97F2" w14:textId="77777777" w:rsidR="003B03EB" w:rsidRPr="005E78F4" w:rsidRDefault="003B03EB" w:rsidP="003B03EB">
      <w:pPr>
        <w:spacing w:after="240"/>
        <w:ind w:left="567" w:hanging="567"/>
        <w:rPr>
          <w:b/>
        </w:rPr>
      </w:pPr>
      <w:bookmarkStart w:id="410" w:name="_Toc185595115"/>
      <w:r w:rsidRPr="005E78F4">
        <w:rPr>
          <w:b/>
        </w:rPr>
        <w:t>Migrácia a riadenie hraníc</w:t>
      </w:r>
      <w:bookmarkEnd w:id="410"/>
      <w:r w:rsidRPr="005E78F4">
        <w:rPr>
          <w:b/>
        </w:rPr>
        <w:t xml:space="preserve"> </w:t>
      </w:r>
    </w:p>
    <w:p w14:paraId="0C8DF41C" w14:textId="479011DE" w:rsidR="003B03EB" w:rsidRPr="005E78F4" w:rsidRDefault="002A58EF" w:rsidP="003B03EB">
      <w:pPr>
        <w:pStyle w:val="NormalHanging12a"/>
        <w:rPr>
          <w:szCs w:val="24"/>
        </w:rPr>
      </w:pPr>
      <w:r>
        <w:t>162</w:t>
      </w:r>
      <w:r w:rsidR="003B03EB" w:rsidRPr="005E78F4">
        <w:t>.</w:t>
      </w:r>
      <w:r w:rsidR="003B03EB" w:rsidRPr="005E78F4">
        <w:tab/>
        <w:t>konštatuje, že rozpočet na programy v rámci okruhu 4 VFR „Migrácia a riadenie hraníc“ na rok 2024 predstavoval 3,4 miliardy EUR (1,8 % výdavkov rozpočtu Únie) rozdelených takto: 1,4 miliardy EUR (40,1 %) pre Fond pre azyl, migráciu a integráciu (AMIF), 1,3 miliardy EUR (37,7 %) pre tri decentralizované agentúry, Európsku agentúru pre pobrežnú stráž (FRONTEX), Agentúru Európskej únie pre azyl (EUAA) a Agentúru Európskej únie na prevádzkové riadenie rozsiahlych informačných systémov v priestore slobody, bezpečnosti a spravodlivosti (</w:t>
      </w:r>
      <w:proofErr w:type="spellStart"/>
      <w:r w:rsidR="003B03EB" w:rsidRPr="005E78F4">
        <w:t>eu</w:t>
      </w:r>
      <w:proofErr w:type="spellEnd"/>
      <w:r w:rsidR="003B03EB" w:rsidRPr="005E78F4">
        <w:t>-LISA); a 0,8 miliardy EUR (22,2 %) pre Fond pre integrované riadenie hraníc (IBMF), ktorý pozostáva z Nástroja na riadenie hraníc a víza (BMVI) a Nástroja na vybavenie na colné kontroly (CCEI);</w:t>
      </w:r>
    </w:p>
    <w:p w14:paraId="3CDA9DCE" w14:textId="7D0A4411" w:rsidR="003B03EB" w:rsidRPr="005E78F4" w:rsidRDefault="002A58EF" w:rsidP="003B03EB">
      <w:pPr>
        <w:pStyle w:val="NormalHanging12a"/>
        <w:rPr>
          <w:szCs w:val="24"/>
        </w:rPr>
      </w:pPr>
      <w:r>
        <w:t>163</w:t>
      </w:r>
      <w:r w:rsidR="003B03EB" w:rsidRPr="005E78F4">
        <w:t>.</w:t>
      </w:r>
      <w:r w:rsidR="003B03EB" w:rsidRPr="005E78F4">
        <w:tab/>
        <w:t>pripomína, že finančné prostriedky pre AMIF na roky 2014 – 2020 sa museli vynaložiť do júna 2024 a konečná účtovná závierka sa musela predložiť do 31. decembra 2024; berie na vedomie zistenie Dvora audítorov, že v čase jeho auditu ešte nebola zúčtovaná významná suma finančných prostriedkov z AMIF na roky 2014 – 2020 (12 % alebo 528 miliónov EUR), kým Komisia neschváli túto konečnú účtovnú závierku; berie na vedomie odpoveď Komisie, že celkové výdavky vykázané členskými štátmi v období 2014 – 2020 vrátane predloženia konečnej účtovnej závierky predstavovali 94 % AMIF;</w:t>
      </w:r>
    </w:p>
    <w:p w14:paraId="29E4B431" w14:textId="0DE238E3" w:rsidR="003B03EB" w:rsidRPr="005E78F4" w:rsidRDefault="002A58EF" w:rsidP="003B03EB">
      <w:pPr>
        <w:pStyle w:val="NormalHanging12a"/>
        <w:rPr>
          <w:szCs w:val="24"/>
        </w:rPr>
      </w:pPr>
      <w:r>
        <w:t>164</w:t>
      </w:r>
      <w:r w:rsidR="003B03EB" w:rsidRPr="005E78F4">
        <w:t>.</w:t>
      </w:r>
      <w:r w:rsidR="003B03EB" w:rsidRPr="005E78F4">
        <w:tab/>
        <w:t>berie na vedomie, že Dvor audítorov preskúmal vzorku 23 transakcií, ktorá nie je dostatočne veľká na to, aby bola reprezentatívna pre výdavky v rámci okruhov 4 a 5 VFR, a preto nemôže poskytnúť odhad miery chybovosti v týchto okruhoch; konštatuje tiež, že z výsledkov auditu Dvora audítorov vyplýva, že výdavky v okruhoch 4 a 5 VFR sú ovplyvnené chybami súvisiacimi s oprávnenosťou a verejným obstarávaním a chýbajúcimi dokumentmi že ide o vysokorizikovú oblasť (8 z 23 auditovaných operácií bolo ovplyvnených chybami); vyjadruje znepokojenie nad tým, že Dvor audítorov zistil tri vyčísliteľné chyby, ktoré mali finančný vplyv na rozpočet Únie, sedem prípadov nedodržania právnych a finančných ustanovení (ktoré nemali priamy finančný vplyv na rozpočet Únie) a dve transakcie, ktoré neboli v súlade so zásadami správneho finančného riadenia z dôvodu nedostatočnej ochrany vybavenia financovaného Úniou a vrátenia dane z pridanej hodnoty verejným orgánom nad rámec vzniknutých nákladov v rozpore s usmerneniami Komisie; konštatuje, že podľa odhadov Komisie bolo riziko pri platbe v prípade výdavkov na migráciu a riadenie hraníc v roku 2024 na úrovni 1,3 %;</w:t>
      </w:r>
    </w:p>
    <w:p w14:paraId="45E172CC" w14:textId="3AAD27EB" w:rsidR="003B03EB" w:rsidRPr="005E78F4" w:rsidRDefault="002A58EF" w:rsidP="003B03EB">
      <w:pPr>
        <w:pStyle w:val="NormalHanging12a"/>
        <w:rPr>
          <w:szCs w:val="24"/>
        </w:rPr>
      </w:pPr>
      <w:r>
        <w:rPr>
          <w:rFonts w:ascii="TimesNewRoman" w:hAnsi="TimesNewRoman"/>
        </w:rPr>
        <w:t>165</w:t>
      </w:r>
      <w:r w:rsidR="003B03EB" w:rsidRPr="005E78F4">
        <w:rPr>
          <w:rFonts w:ascii="TimesNewRoman" w:hAnsi="TimesNewRoman"/>
        </w:rPr>
        <w:t>.</w:t>
      </w:r>
      <w:r w:rsidR="003B03EB" w:rsidRPr="005E78F4">
        <w:rPr>
          <w:rFonts w:ascii="TimesNewRoman" w:hAnsi="TimesNewRoman"/>
        </w:rPr>
        <w:tab/>
      </w:r>
      <w:r w:rsidR="003B03EB" w:rsidRPr="005E78F4">
        <w:t xml:space="preserve">víta záver Dvora audítorov, že Komisia sa v plnej miere zaoberala dvoma odporúčaniami, ktoré Dvor audítorov uviedol vo svojej výročnej správe za rok 2021, a </w:t>
      </w:r>
      <w:r w:rsidR="003B03EB" w:rsidRPr="005E78F4">
        <w:lastRenderedPageBreak/>
        <w:t xml:space="preserve">jedným odporúčaním uvedeným vo výročnej správe za rok 2022, ktoré sa týkajú poskytovania ďalších usmernení prijímateľom opatrení Únie a núdzovej pomoci a vykonávania lepšie cielených kontrol </w:t>
      </w:r>
      <w:r w:rsidR="003B03EB" w:rsidRPr="005E78F4">
        <w:rPr>
          <w:i/>
          <w:iCs/>
        </w:rPr>
        <w:t xml:space="preserve">ex </w:t>
      </w:r>
      <w:proofErr w:type="spellStart"/>
      <w:r w:rsidR="003B03EB" w:rsidRPr="005E78F4">
        <w:rPr>
          <w:i/>
          <w:iCs/>
        </w:rPr>
        <w:t>ante</w:t>
      </w:r>
      <w:proofErr w:type="spellEnd"/>
      <w:r w:rsidR="003B03EB" w:rsidRPr="005E78F4">
        <w:t>; oceňuje, že v decembri 2024 bola prijatá revidovaná stratégia kontroly projektov núdzovej pomoci, ktoré sa vykonávajú v rámci priameho a nepriameho riadenia na Generálnom riaditeľstve pre migráciu a vnútorné záležitosti (GR HOME);</w:t>
      </w:r>
    </w:p>
    <w:p w14:paraId="74FDE262" w14:textId="1FE138D7" w:rsidR="003B03EB" w:rsidRPr="005E78F4" w:rsidRDefault="002A58EF" w:rsidP="003B03EB">
      <w:pPr>
        <w:pStyle w:val="NormalHanging12a"/>
        <w:rPr>
          <w:szCs w:val="24"/>
        </w:rPr>
      </w:pPr>
      <w:r>
        <w:t>166</w:t>
      </w:r>
      <w:r w:rsidR="003B03EB" w:rsidRPr="005E78F4">
        <w:t>.</w:t>
      </w:r>
      <w:r w:rsidR="003B03EB" w:rsidRPr="005E78F4">
        <w:tab/>
        <w:t>vyjadruje nespokojnosť s tým, že Dvor audítorov má naďalej problém so získavaním dokumentácie potrebnej na vykonávanie svojho mandátu od medzinárodných organizácií, ktoré vykonávajú projekty financované Úniou; so znepokojením konštatuje, že niektoré medzinárodné organizácie obmedzili prístup Dvora audítorov k dokumentom na dočasnú elektronickú konzultáciu v prostredí určenom len na zobrazenie, a záver Dvora audítorov, že to naznačuje, že zmluvné dojednania Komisie s medzinárodnými organizáciami nie sú dostatočne presné; berie na vedomie odpoveď Komisie, že podľa jej názoru platné zmluvy s medzinárodnými organizáciami už poskytujú rámec na zabezpečenie prístupu k dokumentom spôsobom, ktorý umožňuje požadované kontroly; vyjadruje poľutovanie nad tým, že Komisia v plnej miere neprijala odporúčanie Dvora audítorov riešiť tento opakujúci sa problém, najmä preto, že ťažkosti Dvora audítorov s auditom medzinárodných organizácií, ktoré vykonávajú projekty financované Úniou, pretrvávajú od ich auditu za rozpočtový rok 2018; trvá na tom, že zmluvné dojednania Komisie s partnermi musia zaručiť plné práva Dvora audítorov na audit vrátane možnosti stiahnuť a uložiť si dôkazy potrebné na audit, preskúmanie, kontrolu kvality a následné opatrenia;</w:t>
      </w:r>
    </w:p>
    <w:p w14:paraId="4AE2C77B" w14:textId="1E4E5B1C" w:rsidR="003B03EB" w:rsidRPr="005E78F4" w:rsidRDefault="002A58EF" w:rsidP="003B03EB">
      <w:pPr>
        <w:pStyle w:val="NormalHanging12a"/>
        <w:rPr>
          <w:szCs w:val="24"/>
        </w:rPr>
      </w:pPr>
      <w:r>
        <w:t>167</w:t>
      </w:r>
      <w:r w:rsidR="003B03EB" w:rsidRPr="005E78F4">
        <w:t>.</w:t>
      </w:r>
      <w:r w:rsidR="003B03EB" w:rsidRPr="005E78F4">
        <w:tab/>
        <w:t>so znepokojením konštatuje, že vo výročnej správe o činnosti GR HOME za rok 2024 boli uvedené dve výhrady k vyhláseniu o vierohodnosti; konštatuje, že jedna výhrada sa týka vykonávania programov AMIF a ISF na roky 2014 – 2020 vo viacerých členských štátoch z dôvodu závažných nedostatkov v systémoch riadenia a kontroly týchto programov, ktoré zistilo GR HOME; ďalej konštatuje, že druhá výhrada sa týka programov AMIF, BMVI a ISF na roky 2021 – 2027 vo viacerých členských štátoch z dôvodu závažných nedostatkov v systémoch riadenia a kontroly týchto programov;</w:t>
      </w:r>
    </w:p>
    <w:p w14:paraId="790B9984" w14:textId="3F0A1431" w:rsidR="003B03EB" w:rsidRPr="005E78F4" w:rsidRDefault="002A58EF" w:rsidP="003B03EB">
      <w:pPr>
        <w:pStyle w:val="NormalHanging12a"/>
        <w:rPr>
          <w:szCs w:val="24"/>
        </w:rPr>
      </w:pPr>
      <w:r>
        <w:t>168</w:t>
      </w:r>
      <w:r w:rsidR="003B03EB" w:rsidRPr="005E78F4">
        <w:t>.</w:t>
      </w:r>
      <w:r w:rsidR="003B03EB" w:rsidRPr="005E78F4">
        <w:tab/>
        <w:t>berie na vedomie, že členské štáty predložili v roku 2024 svoju prvú ročnú účtovnú závierku programov AMIF a BMVI za roky 2021 – 2027; konštatuje tiež, že Dvor audítorov preskúmal prácu piatich orgánov auditu v súvislosti s ich výročnými kontrolnými správami a auditmi výdavkov AMIF a BMVI; víta zistenia Dvora audítorov, že tieto orgány auditu vypracovali a vykonali podrobné a dostatočne kvalitné postupy na informovanie o svojej činnosti vo výročnej kontrolnej správe;</w:t>
      </w:r>
    </w:p>
    <w:p w14:paraId="4D0D4301" w14:textId="00B57F89" w:rsidR="003B03EB" w:rsidRPr="005E78F4" w:rsidRDefault="002A58EF" w:rsidP="003B03EB">
      <w:pPr>
        <w:pStyle w:val="NormalHanging12a"/>
        <w:rPr>
          <w:szCs w:val="24"/>
        </w:rPr>
      </w:pPr>
      <w:r>
        <w:t>169</w:t>
      </w:r>
      <w:r w:rsidR="003B03EB" w:rsidRPr="005E78F4">
        <w:t>.</w:t>
      </w:r>
      <w:r w:rsidR="003B03EB" w:rsidRPr="005E78F4">
        <w:tab/>
        <w:t>okrem toho berie na vedomie záver Dvora audítorov, že orgány auditu, ktoré preskúmal, mali podrobné programy auditov a ich závery boli založené na podrobných kontrolných zoznamoch; so znepokojením konštatuje, že Dvor audítorov zistil v práci orgánov auditu aj určité nedostatky; berie na vedomie, že Komisia prijala odporúčanie Dvora audítorov zaoberať sa nedostatkami v činnosti orgánov auditu;</w:t>
      </w:r>
    </w:p>
    <w:p w14:paraId="10D0667E" w14:textId="4DEA552E" w:rsidR="003B03EB" w:rsidRPr="005E78F4" w:rsidRDefault="002A58EF" w:rsidP="003B03EB">
      <w:pPr>
        <w:pStyle w:val="NormalHanging12a"/>
      </w:pPr>
      <w:r>
        <w:t>170</w:t>
      </w:r>
      <w:r w:rsidR="003B03EB" w:rsidRPr="005E78F4">
        <w:t>.</w:t>
      </w:r>
      <w:r w:rsidR="003B03EB" w:rsidRPr="005E78F4">
        <w:tab/>
        <w:t>vyjadruje však znepokojenie nad tým, že je ťažké získať podrobné a komplexné údaje o výdavkoch Únie na vnútorné veci, najmä v rámci zdieľaného riadenia členskými štátmi, čo bráni riadnemu dohľadu zo strany rozpočtového orgánu a orgánu udeľujúceho absolutórium; v tejto súvislosti vyzýva na zvýšenie transparentnosti;</w:t>
      </w:r>
    </w:p>
    <w:p w14:paraId="25F89D2F" w14:textId="31D29836" w:rsidR="003B03EB" w:rsidRPr="005E78F4" w:rsidRDefault="002A58EF" w:rsidP="003B03EB">
      <w:pPr>
        <w:pStyle w:val="NormalHanging12a"/>
      </w:pPr>
      <w:r>
        <w:t>171</w:t>
      </w:r>
      <w:r w:rsidR="003B03EB" w:rsidRPr="005E78F4">
        <w:t>.</w:t>
      </w:r>
      <w:r w:rsidR="003B03EB" w:rsidRPr="005E78F4">
        <w:tab/>
        <w:t xml:space="preserve">víta prijatie Paktu o migrácii a azyle v roku 2024 a pripomína, že jeho vykonávanie je </w:t>
      </w:r>
      <w:r w:rsidR="003B03EB" w:rsidRPr="005E78F4">
        <w:lastRenderedPageBreak/>
        <w:t>základným kameňom nového systému riadenia migrácie a azylu v EÚ, ktorý sa začne uplatňovať v polovici roka 2026 vo všetkých členských štátoch; víta aj pridelenie dodatočných 2 miliárd EUR na okruh 4 VFR na roky 2024 – 2027 v kontexte revízie VFR na roky 2021 – 2027 v polovici trvania, a to aj s cieľom umožniť úplné vykonávanie nových pravidiel paktu a riešiť čoraz väčšie výzvy v oblasti migrácie a riadenia hraníc vyplývajúce zo súčasného geopolitického kontextu; zdôrazňuje význam zabezpečenia dostatočného financovania na jej efektívne vykonávanie vrátane nových postupov na hraniciach, a preto oceňuje písomné odpovede Komisie, ktoré potvrdzujú, že v rámci AMIF a BMVI na roky 2025 – 2027 sprístupnila dodatočné 3 miliardy EUR okrem iného na podporu členských štátov, ktoré prijímajú osoby utekajúce pred vojnou na Ukrajine;</w:t>
      </w:r>
    </w:p>
    <w:p w14:paraId="4DB2CA66" w14:textId="77260E08" w:rsidR="003B03EB" w:rsidRPr="005E78F4" w:rsidRDefault="002A58EF" w:rsidP="003B03EB">
      <w:pPr>
        <w:pStyle w:val="NormalHanging12a"/>
      </w:pPr>
      <w:r>
        <w:t>172</w:t>
      </w:r>
      <w:r w:rsidR="003B03EB" w:rsidRPr="005E78F4">
        <w:t>.</w:t>
      </w:r>
      <w:r w:rsidR="003B03EB" w:rsidRPr="005E78F4">
        <w:tab/>
        <w:t>zdôrazňuje, že zabezpečenie vonkajších hraníc Únie je pilierom Paktu o migrácii a azyle a zásadnou nutnou podmienkou fungujúceho schengenského priestoru voľného pohybu; uznáva, že projekty financované z prostriedkov EÚ, ktoré podporujú ochranu vonkajších hraníc, slúžia na zmiernenie tlaku na ochranu vnútorných hraníc, ako uviedol komisár pre rozpočet, boj proti podvodom a verejnú správu na svojom vypočutí vo Výbore pre rozpočtovú kontrolu 8. decembra 2025; uznáva, že hoci celkový počet migrantov prichádzajúcich do Únie neregulárne klesol v roku 2024 o 38 %, vzorce sa na kontinente menili, pričom na niektorých trasách došlo k výraznému zvýšeniu, najmä na trase cez východné hranice, kde bolo v roku 2024 zaznamenané trojnásobné zvýšenie počtu prekročení hraníc; konštatuje, že BMVI môže podporovať členské štáty v prvej línii, aby sa zabezpečilo, že budú mať zdroje na infraštruktúru, zariadenia a inštalácie potrebné na zabezpečenie vonkajších hraníc Únie vrátane posilnenia elektronickej bezpečnosti hraníc a iných nástrojov hraničného dozoru, ako sa stanovuje v prílohe III k nariadeniu o BMVI;</w:t>
      </w:r>
    </w:p>
    <w:p w14:paraId="5F0B78FB" w14:textId="09F52E83" w:rsidR="003B03EB" w:rsidRDefault="002A58EF" w:rsidP="003B03EB">
      <w:pPr>
        <w:pStyle w:val="NormalHanging12a"/>
      </w:pPr>
      <w:r>
        <w:t>173</w:t>
      </w:r>
      <w:r w:rsidR="003B03EB" w:rsidRPr="005E78F4">
        <w:t>.</w:t>
      </w:r>
      <w:r w:rsidR="003B03EB" w:rsidRPr="005E78F4">
        <w:tab/>
        <w:t>trvá na tom, že Únia musí lepšie chrániť zraniteľné osoby pred sieťami prevádzačov a obchodníkov s ľuďmi, riešiť hybridné útoky a zneužívanie migrácie tretími krajinami alebo nepriateľskými neštátnymi aktérmi; berie na vedomie, že po prijatí oznámenia z 11. decembra 2024</w:t>
      </w:r>
      <w:r w:rsidR="003B03EB" w:rsidRPr="005E78F4">
        <w:rPr>
          <w:vertAlign w:val="superscript"/>
        </w:rPr>
        <w:footnoteReference w:id="113"/>
      </w:r>
      <w:r w:rsidR="003B03EB" w:rsidRPr="005E78F4">
        <w:t xml:space="preserve"> Komisia prostredníctvom BMVI vyčlenila približne 520 miliónov EUR pre členské štáty Únie, ktoré majú hranicu s Ruskom a Bieloruskom, a to s cieľom posilniť kapacity v oblasti riadenia hraníc a riešiť výzvy súvisiace s bezpečnosťou a migráciou; vyzdvihuje najmä potrebu podporovať členské štáty v prvej línii na účely ochrany vonkajších hraníc EÚ;</w:t>
      </w:r>
    </w:p>
    <w:p w14:paraId="35B9BA9F" w14:textId="1E0616C2" w:rsidR="00575ECC" w:rsidRPr="005E78F4" w:rsidRDefault="00064728" w:rsidP="003B03EB">
      <w:pPr>
        <w:pStyle w:val="NormalHanging12a"/>
      </w:pPr>
      <w:r>
        <w:t>174</w:t>
      </w:r>
      <w:r w:rsidR="00575ECC" w:rsidRPr="00575ECC">
        <w:t>.</w:t>
      </w:r>
      <w:r w:rsidR="00575ECC" w:rsidRPr="00575ECC">
        <w:tab/>
        <w:t xml:space="preserve">vyjadruje poctu pamiatke poľského príslušníka pohraničnej stráže </w:t>
      </w:r>
      <w:proofErr w:type="spellStart"/>
      <w:r w:rsidR="00575ECC" w:rsidRPr="00575ECC">
        <w:t>Mateusza</w:t>
      </w:r>
      <w:proofErr w:type="spellEnd"/>
      <w:r w:rsidR="00575ECC" w:rsidRPr="00575ECC">
        <w:t xml:space="preserve"> </w:t>
      </w:r>
      <w:proofErr w:type="spellStart"/>
      <w:r w:rsidR="00575ECC" w:rsidRPr="00575ECC">
        <w:t>Siteka</w:t>
      </w:r>
      <w:proofErr w:type="spellEnd"/>
      <w:r w:rsidR="00575ECC" w:rsidRPr="00575ECC">
        <w:t>, ktorý bol zabitý 6. júna 2024 počas obrany vonkajšej hranice Únie pred hybridným útokom, ktorý zorganizoval bieloruský režim; zdôrazňuje, že ochrana vonkajších hraníc Únie nie je abstraktným politickým cieľom, ale otázkou života a smrti mužov a žien slúžiacich v prvej línii; vyzýva Komisiu, aby zabezpečila poskytovanie primeranej finančnej a operačnej podpory členským štátom v prvej línii, ktoré čelia hybridným hrozbám na vonkajších hraniciach Únie;</w:t>
      </w:r>
    </w:p>
    <w:p w14:paraId="562D0B6D" w14:textId="6AA3C8AC" w:rsidR="003B03EB" w:rsidRPr="005E78F4" w:rsidRDefault="0092307E" w:rsidP="003B03EB">
      <w:pPr>
        <w:pStyle w:val="NormalHanging12a"/>
      </w:pPr>
      <w:r>
        <w:t>175</w:t>
      </w:r>
      <w:r w:rsidR="003B03EB" w:rsidRPr="005E78F4">
        <w:t>.</w:t>
      </w:r>
      <w:r w:rsidR="003B03EB" w:rsidRPr="005E78F4">
        <w:tab/>
        <w:t xml:space="preserve">uznáva pokračujúce úsilie Komisie o posilnenie zmysluplnej spolupráce s tretími krajinami pôvodu a tranzitu, najmä s krajinami susediacimi s Úniou, s cieľom riešiť neoprávnenú migráciu pri zdroji; zdôrazňuje potrebu dôkladného dohľadu a náležitej starostlivosti pri prideľovaní finančných prostriedkov partnerom zapojeným do riadenia migrácie mimo EÚ cieľom zabezpečiť, aby sa migrácia riadila vzájomne prospešným </w:t>
      </w:r>
      <w:r w:rsidR="003B03EB" w:rsidRPr="005E78F4">
        <w:lastRenderedPageBreak/>
        <w:t>spôsobom a v súlade s európskou stratégiou v oblasti azylu a migrácie, a to aj pokiaľ ide o základné práva; vyzýva Komisiu, aby posilnila transparentnosť a zodpovednosť fondov Únie v oblasti vnútorných záležitostí v tretích krajinách;</w:t>
      </w:r>
    </w:p>
    <w:p w14:paraId="191C3110" w14:textId="2856512B" w:rsidR="003B03EB" w:rsidRPr="005E78F4" w:rsidRDefault="0092307E" w:rsidP="003B03EB">
      <w:pPr>
        <w:pStyle w:val="NormalHanging12a"/>
      </w:pPr>
      <w:r>
        <w:t>176</w:t>
      </w:r>
      <w:r w:rsidR="003B03EB" w:rsidRPr="005E78F4">
        <w:t>.</w:t>
      </w:r>
      <w:r w:rsidR="003B03EB" w:rsidRPr="005E78F4">
        <w:tab/>
        <w:t>pripomína, že solidarita a spravodlivé rozdelenie zodpovednosti, v súlade so zmluvami, sú základnými zásadami migračnej a azylovej politiky Únie; uznáva pokračujúce úsilie Komisie o posilnenie solidarity a rozdelenia zodpovednosti medzi členskými štátmi, najmä vo vzťahu k tým, ktoré sú najviac postihnuté výzvami v oblasti migrácie a azylu vrátane zneužívania migrácie ako politického nástroja; v tejto súvislosti zdôrazňuje úlohu AMIF v podpore členských štátov pri prijímaní, azylových konaniach, integračných opatreniach a presídľovaní, a to aj pre osoby utekajúce pred konfliktmi a humanitárnymi krízami; zdôrazňuje, že účinné vykonávanie paktu o migrácii a azyle si vyžaduje dostatočné, dobre riadené a včasné financovanie na podporu solidárnych opatrení v celej Únii;</w:t>
      </w:r>
    </w:p>
    <w:p w14:paraId="6992EBD5" w14:textId="12749A91" w:rsidR="003B03EB" w:rsidRPr="005E78F4" w:rsidRDefault="0092307E" w:rsidP="003B03EB">
      <w:pPr>
        <w:pStyle w:val="NormalHanging12a"/>
      </w:pPr>
      <w:r>
        <w:t>177</w:t>
      </w:r>
      <w:r w:rsidR="003B03EB" w:rsidRPr="005E78F4">
        <w:t>.</w:t>
      </w:r>
      <w:r w:rsidR="003B03EB" w:rsidRPr="005E78F4">
        <w:tab/>
        <w:t xml:space="preserve">konštatuje, že v roku 2024 bolo 37,7 % finančných prostriedkov Únie na migráciu a riadenie hraníc pridelených decentralizovaným agentúram v oblasti migrácie a vnútorných vecí; pripomína, že hoci sú decentralizované agentúry právne a finančne nezávislé od Komisie, Komisia si ponecháva zodpovednosť za dohľad nad ich činnosťami; opätovne zdôrazňuje, že riadenie migrácie sa musí uskutočňovať v plnom súlade s právom Únie vrátane základných práv; víta písomné odpovede Komisie, v ktorých sa zdôrazňuje potreba ďalšieho posilnenia mechanizmov monitorovania a zodpovednosti, a to aj v súvislosti s činnosťou agentúry </w:t>
      </w:r>
      <w:proofErr w:type="spellStart"/>
      <w:r w:rsidR="003B03EB" w:rsidRPr="005E78F4">
        <w:t>Frontex</w:t>
      </w:r>
      <w:proofErr w:type="spellEnd"/>
      <w:r w:rsidR="003B03EB" w:rsidRPr="005E78F4">
        <w:t>;</w:t>
      </w:r>
    </w:p>
    <w:p w14:paraId="446E2CFC" w14:textId="77777777" w:rsidR="003B03EB" w:rsidRPr="005E78F4" w:rsidRDefault="003B03EB" w:rsidP="003B03EB">
      <w:pPr>
        <w:pStyle w:val="NormalHanging12a"/>
        <w:ind w:left="0" w:firstLine="0"/>
        <w:rPr>
          <w:i/>
        </w:rPr>
      </w:pPr>
      <w:r w:rsidRPr="005E78F4">
        <w:rPr>
          <w:i/>
        </w:rPr>
        <w:t>Odporúčania</w:t>
      </w:r>
    </w:p>
    <w:p w14:paraId="51C09AE2" w14:textId="1E5A6C24" w:rsidR="003B03EB" w:rsidRPr="005E78F4" w:rsidRDefault="0092307E" w:rsidP="003B03EB">
      <w:pPr>
        <w:pStyle w:val="NormalHanging12a"/>
        <w:rPr>
          <w:szCs w:val="24"/>
        </w:rPr>
      </w:pPr>
      <w:r>
        <w:rPr>
          <w:rFonts w:ascii="TimesNewRoman" w:hAnsi="TimesNewRoman"/>
        </w:rPr>
        <w:t>178</w:t>
      </w:r>
      <w:r w:rsidR="003B03EB" w:rsidRPr="005E78F4">
        <w:rPr>
          <w:rFonts w:ascii="TimesNewRoman" w:hAnsi="TimesNewRoman"/>
        </w:rPr>
        <w:t>.</w:t>
      </w:r>
      <w:r w:rsidR="003B03EB" w:rsidRPr="005E78F4">
        <w:rPr>
          <w:rFonts w:ascii="TimesNewRoman" w:hAnsi="TimesNewRoman"/>
        </w:rPr>
        <w:tab/>
      </w:r>
      <w:r w:rsidR="003B03EB" w:rsidRPr="005E78F4">
        <w:t xml:space="preserve">vyzýva </w:t>
      </w:r>
      <w:r w:rsidR="00391A61" w:rsidRPr="005E78F4">
        <w:t>D</w:t>
      </w:r>
      <w:r w:rsidR="003B03EB" w:rsidRPr="005E78F4">
        <w:t>vor audítorov, aby uviedol odhad miery chybovosti pre okruh 4 VFR;</w:t>
      </w:r>
    </w:p>
    <w:p w14:paraId="6502BA0C" w14:textId="0DF37527" w:rsidR="003B03EB" w:rsidRPr="005E78F4" w:rsidRDefault="0092307E" w:rsidP="003B03EB">
      <w:pPr>
        <w:pStyle w:val="NormalHanging12a"/>
        <w:rPr>
          <w:szCs w:val="24"/>
        </w:rPr>
      </w:pPr>
      <w:r>
        <w:rPr>
          <w:rFonts w:ascii="TimesNewRoman" w:hAnsi="TimesNewRoman"/>
        </w:rPr>
        <w:t>179</w:t>
      </w:r>
      <w:r w:rsidR="003B03EB" w:rsidRPr="005E78F4">
        <w:rPr>
          <w:rFonts w:ascii="TimesNewRoman" w:hAnsi="TimesNewRoman"/>
        </w:rPr>
        <w:t>.</w:t>
      </w:r>
      <w:r w:rsidR="003B03EB" w:rsidRPr="005E78F4">
        <w:rPr>
          <w:rFonts w:ascii="TimesNewRoman" w:hAnsi="TimesNewRoman"/>
        </w:rPr>
        <w:tab/>
      </w:r>
      <w:r w:rsidR="003B03EB" w:rsidRPr="005E78F4">
        <w:t>vyzýva Komisiu, aby:</w:t>
      </w:r>
    </w:p>
    <w:p w14:paraId="34A8586B" w14:textId="77777777" w:rsidR="003B03EB" w:rsidRPr="005E78F4" w:rsidRDefault="003B03EB" w:rsidP="005E78F4">
      <w:pPr>
        <w:pStyle w:val="NormalHanging12a"/>
        <w:widowControl/>
        <w:ind w:left="1134"/>
        <w:rPr>
          <w:szCs w:val="24"/>
        </w:rPr>
      </w:pPr>
      <w:r w:rsidRPr="005E78F4">
        <w:t>i)</w:t>
      </w:r>
      <w:r w:rsidRPr="005E78F4">
        <w:tab/>
        <w:t>v plnej miere vykonávala odporúčania Dvora audítorov vrátane zabezpečenia toho, aby jej zmluvné dojednania s medzinárodnými organizáciami v plnej miere rešpektovali audítorské práva Dvora audítorov;</w:t>
      </w:r>
    </w:p>
    <w:p w14:paraId="3954D697" w14:textId="77777777" w:rsidR="003B03EB" w:rsidRPr="005E78F4" w:rsidRDefault="003B03EB" w:rsidP="005E78F4">
      <w:pPr>
        <w:pStyle w:val="NormalHanging12a"/>
        <w:widowControl/>
        <w:ind w:left="1134"/>
        <w:rPr>
          <w:szCs w:val="24"/>
        </w:rPr>
      </w:pPr>
      <w:r w:rsidRPr="005E78F4">
        <w:t>ii)</w:t>
      </w:r>
      <w:r w:rsidRPr="005E78F4">
        <w:tab/>
        <w:t>riešila systémové nedostatky spolu s orgánmi členských štátov v súvislosti s výhradami uvedenými vo výročnej správe o činnosti GR HOME za rok 2024 a v prípade potreby začala aj postupy overenia súladu a vydala príkazy na vymáhanie súm vyplatených členským štátom, ktoré Komisia považuje za neoprávnené;</w:t>
      </w:r>
    </w:p>
    <w:p w14:paraId="06B930E8" w14:textId="64677C31" w:rsidR="003B03EB" w:rsidRPr="005E78F4" w:rsidRDefault="003B03EB" w:rsidP="005E78F4">
      <w:pPr>
        <w:pStyle w:val="NormalHanging12a"/>
        <w:widowControl/>
        <w:ind w:left="1134"/>
      </w:pPr>
      <w:r w:rsidRPr="005E78F4">
        <w:t>iii)</w:t>
      </w:r>
      <w:r w:rsidRPr="005E78F4">
        <w:tab/>
        <w:t xml:space="preserve">naďalej monitorovala a kontrolovala kroky, ktoré členské štáty a agentúry Únie požadujú na úplné vykonávanie Paktu o migrácii a azyle do roku 2026, a podala </w:t>
      </w:r>
      <w:r w:rsidR="00E47BEF" w:rsidRPr="005E78F4">
        <w:t>Európskemu p</w:t>
      </w:r>
      <w:r w:rsidRPr="005E78F4">
        <w:t>arlamentu správy o pokroku v jeho vykonávaní a poskytla mu prístup ku všetkým relevantným dokumentom s cieľom uľahčiť účinný demokratický dohľad nad procesom vykonávania;</w:t>
      </w:r>
    </w:p>
    <w:p w14:paraId="0995E3CA" w14:textId="77777777" w:rsidR="003B03EB" w:rsidRPr="005E78F4" w:rsidRDefault="003B03EB" w:rsidP="005E78F4">
      <w:pPr>
        <w:pStyle w:val="NormalHanging12a"/>
        <w:widowControl/>
        <w:ind w:left="1134"/>
        <w:jc w:val="both"/>
      </w:pPr>
      <w:r w:rsidRPr="005E78F4">
        <w:t>iv)</w:t>
      </w:r>
      <w:r w:rsidRPr="005E78F4">
        <w:tab/>
        <w:t>poskytovala podporu členským štátom v prvej línii na účely ochrany vonkajších hraníc EÚ;</w:t>
      </w:r>
    </w:p>
    <w:p w14:paraId="56507600" w14:textId="7114511F" w:rsidR="003B03EB" w:rsidRPr="005E78F4" w:rsidRDefault="003B03EB" w:rsidP="005E78F4">
      <w:pPr>
        <w:pStyle w:val="NormalHanging12a"/>
        <w:widowControl/>
        <w:ind w:left="1134"/>
      </w:pPr>
      <w:r w:rsidRPr="005E78F4">
        <w:t>v)</w:t>
      </w:r>
      <w:r w:rsidRPr="005E78F4">
        <w:tab/>
        <w:t xml:space="preserve">zvýšila transparentnosť a zodpovednosť pri programovaní a vykonávaní fondov Únie v oblasti vnútorných vecí zabezpečením podrobných a komplexných údajov, a to aj pokiaľ ide o prostriedky vynaložené v tretích krajinách, a zároveň </w:t>
      </w:r>
      <w:r w:rsidRPr="005E78F4">
        <w:lastRenderedPageBreak/>
        <w:t xml:space="preserve">zachovala úlohu </w:t>
      </w:r>
      <w:r w:rsidR="00E47BEF" w:rsidRPr="005E78F4">
        <w:t>Európskeho p</w:t>
      </w:r>
      <w:r w:rsidRPr="005E78F4">
        <w:t>arlamentu pri zabezpečovaní demokratickej kontroly výdavkov Únie;</w:t>
      </w:r>
    </w:p>
    <w:p w14:paraId="67CBD1FD" w14:textId="77777777" w:rsidR="003B03EB" w:rsidRPr="005E78F4" w:rsidRDefault="003B03EB" w:rsidP="005E78F4">
      <w:pPr>
        <w:pStyle w:val="NormalHanging12a"/>
        <w:widowControl/>
        <w:ind w:left="1134"/>
      </w:pPr>
      <w:r w:rsidRPr="005E78F4">
        <w:t>vi)</w:t>
      </w:r>
      <w:r w:rsidRPr="005E78F4">
        <w:tab/>
        <w:t>presadzovala transparentné a nezávislé mechanizmy monitorovania ľudských práv v prípade fondov Únie v oblasti vnútorných vecí v tretích krajinách;</w:t>
      </w:r>
    </w:p>
    <w:p w14:paraId="1143B7A5" w14:textId="77777777" w:rsidR="003B03EB" w:rsidRPr="005E78F4" w:rsidRDefault="003B03EB" w:rsidP="005E78F4">
      <w:pPr>
        <w:pStyle w:val="NormalHanging12a"/>
        <w:widowControl/>
        <w:ind w:left="1134"/>
      </w:pPr>
      <w:bookmarkStart w:id="411" w:name="_Toc185595116"/>
      <w:r w:rsidRPr="005E78F4">
        <w:t>vii)</w:t>
      </w:r>
      <w:r w:rsidRPr="005E78F4">
        <w:tab/>
        <w:t>pozorne monitorovala opatrenia na riadenie hraníc financované Úniou, najmä s cieľom zabezpečiť úplný súlad so záväzkami Únie v oblasti základných práv a zásadou zákazu vyhostenia alebo vrátenia;</w:t>
      </w:r>
    </w:p>
    <w:p w14:paraId="6DE8FB85" w14:textId="77777777" w:rsidR="003B03EB" w:rsidRPr="005E78F4" w:rsidRDefault="003B03EB" w:rsidP="003B03EB">
      <w:pPr>
        <w:spacing w:after="240"/>
        <w:ind w:left="567" w:hanging="567"/>
        <w:rPr>
          <w:b/>
        </w:rPr>
      </w:pPr>
      <w:r w:rsidRPr="005E78F4">
        <w:rPr>
          <w:b/>
        </w:rPr>
        <w:t>Bezpečnosť a obrana</w:t>
      </w:r>
      <w:bookmarkEnd w:id="411"/>
    </w:p>
    <w:p w14:paraId="1E062191" w14:textId="4FE20500" w:rsidR="003B03EB" w:rsidRPr="005E78F4" w:rsidRDefault="005A0F52" w:rsidP="003B03EB">
      <w:pPr>
        <w:pStyle w:val="NormalHanging12a"/>
        <w:rPr>
          <w:szCs w:val="24"/>
        </w:rPr>
      </w:pPr>
      <w:r>
        <w:t>180</w:t>
      </w:r>
      <w:r w:rsidR="003B03EB" w:rsidRPr="005E78F4">
        <w:t>.</w:t>
      </w:r>
      <w:r w:rsidR="003B03EB" w:rsidRPr="005E78F4">
        <w:tab/>
        <w:t>konštatuje, že rozpočet na programy v rámci okruhu 5 VFR „Bezpečnosť a obrana“ na rok 2024 predstavoval 2,1 miliardy EUR (1,1 % rozpočtu Únie) rozdelených takto: 800 miliónov EUR (36,9 %) pre Európsky obranný fond (EOF), 300 miliónov EUR (15,9 %) na vojenskú mobilitu, 300 miliónov EUR (13,3 %) na obranné nástroje a Program Únie pre bezpečnú konektivitu, 300 miliónov EUR (12,1 %) pre decentralizované agentúry, konkrétne Agentúru Európskej únie pre drogy (EUDA), Agentúru Európskej únie pre spoluprácu v oblasti presadzovania práva (</w:t>
      </w:r>
      <w:proofErr w:type="spellStart"/>
      <w:r w:rsidR="003B03EB" w:rsidRPr="005E78F4">
        <w:t>Europol</w:t>
      </w:r>
      <w:proofErr w:type="spellEnd"/>
      <w:r w:rsidR="003B03EB" w:rsidRPr="005E78F4">
        <w:t>) a Agentúru Európskej únie pre odbornú prípravu v oblasti presadzovania práva (CEPOL), 300 miliónov EUR (11,9 %) na jadrovú bezpečnosť, vyraďovanie z prevádzky a iné oblasti a 200 miliónov EUR (9,9 %) pre Fond pre vnútornú bezpečnosť (ISF);</w:t>
      </w:r>
    </w:p>
    <w:p w14:paraId="6C428214" w14:textId="2CE6B4CE" w:rsidR="003B03EB" w:rsidRPr="005E78F4" w:rsidRDefault="005A0F52" w:rsidP="003B03EB">
      <w:pPr>
        <w:pStyle w:val="NormalHanging12a"/>
        <w:rPr>
          <w:szCs w:val="24"/>
        </w:rPr>
      </w:pPr>
      <w:r>
        <w:t>181</w:t>
      </w:r>
      <w:r w:rsidR="003B03EB" w:rsidRPr="005E78F4">
        <w:t>.</w:t>
      </w:r>
      <w:r w:rsidR="003B03EB" w:rsidRPr="005E78F4">
        <w:tab/>
        <w:t>pripomína, že finančné prostriedky pre ISF na roky 2014 – 2020 sa museli vynaložiť do júna 2024 a konečná účtovná závierka sa musela predložiť do 31. decembra 2024; berie na vedomie zistenie Dvora audítorov, že v čase jeho auditu ešte nebola zúčtovaná významná suma finančných prostriedkov z ISF (16 % alebo 505 miliónov EUR), kým Komisia neschváli túto konečnú účtovnú závierku; berie na vedomie odpoveď Komisie, že celkové výdavky vykázané členskými štátmi v období 2014 – 2020 vrátane predloženia konečnej účtovnej závierky predstavovali 94 % ISF;</w:t>
      </w:r>
    </w:p>
    <w:p w14:paraId="4E852144" w14:textId="29B31A94" w:rsidR="003B03EB" w:rsidRPr="005E78F4" w:rsidRDefault="005A0F52" w:rsidP="003B03EB">
      <w:pPr>
        <w:pStyle w:val="NormalHanging12a"/>
        <w:rPr>
          <w:szCs w:val="24"/>
        </w:rPr>
      </w:pPr>
      <w:r>
        <w:t>182</w:t>
      </w:r>
      <w:r w:rsidR="003B03EB" w:rsidRPr="005E78F4">
        <w:t>.</w:t>
      </w:r>
      <w:r w:rsidR="003B03EB" w:rsidRPr="005E78F4">
        <w:tab/>
        <w:t>so znepokojením berie na vedomie, že z dôvodov vysvetlených v oddiele o migrácii a riadení hraníc Dvor audítorov nemôže poskytnúť samostatný odhad miery chybovosti v okruhu 5 VFR „Bezpečnosť a obrana“ a že na základe výsledkov svojho auditu považuje výdavky z tohto okruhu za vysokorizikové; konštatuje, že komisár pre obranu a vesmír počas vypočutia vo Výbore pre kontrolu rozpočtu 6. novembra 2025 vysvetlil, že výročná správa Dvora audítorov za rok 2024 neobsahuje žiadne chyby zistené v projektoch v oblasti obrany; poznamenáva, že podľa odhadu Komisie bolo v roku 2024 riziko pri platbe vo výdavkoch na bezpečnosť a obranu na úrovni 0,5 %;</w:t>
      </w:r>
    </w:p>
    <w:p w14:paraId="645A0C09" w14:textId="570F6E24" w:rsidR="003B03EB" w:rsidRPr="005E78F4" w:rsidRDefault="005A0F52" w:rsidP="003B03EB">
      <w:pPr>
        <w:pStyle w:val="NormalHanging12a"/>
      </w:pPr>
      <w:r>
        <w:t>183</w:t>
      </w:r>
      <w:r w:rsidR="003B03EB" w:rsidRPr="005E78F4">
        <w:t>.</w:t>
      </w:r>
      <w:r w:rsidR="003B03EB" w:rsidRPr="005E78F4">
        <w:tab/>
        <w:t>pripomína, že veľmi nestabilná geopolitická situácia v susedstve Únie, ktorá od začiatku útočnej vojny Ruska proti Ukrajine vedie k väčším bezpečnostným a obranným výzvam vrátane hybridných hrozieb, a tým aj potrebe väčších investícií do bezpečnosti, obrany a pripravenosti; upozorňuje na skutočnosť, že okruh 5 VFR vyhradený na bezpečnosť a obranu, je najmenší zo všetkých okruhov VFR, a vyjadruje poľutovanie nad tým, že súčasný rozpočet Únie na zaistenie bezpečnosti a obrany jej občanov nezodpovedá výzvam, ktoré sa majú riešiť v krátkodobom ani dlhodobom horizonte; opakuje svoj postoj, že Rusko predstavuje hlavnú a najvýznamnejšiu hrozbu pre Úniu a jej členské štáty; pripomína, že Európsky parlament vyzval Úniu a jej členské štáty, aby zaviedli právny rámec umožňujúci klasifikovať Rusko ako štát podporujúci terorizmus;</w:t>
      </w:r>
    </w:p>
    <w:p w14:paraId="6D8CA968" w14:textId="060134C5" w:rsidR="003B03EB" w:rsidRPr="005E78F4" w:rsidRDefault="005A0F52" w:rsidP="003B03EB">
      <w:pPr>
        <w:pStyle w:val="NormalHanging12a"/>
      </w:pPr>
      <w:bookmarkStart w:id="412" w:name="_Hlk216866440"/>
      <w:r>
        <w:lastRenderedPageBreak/>
        <w:t>184</w:t>
      </w:r>
      <w:r w:rsidR="003B03EB" w:rsidRPr="005E78F4">
        <w:t>.</w:t>
      </w:r>
      <w:r w:rsidR="003B03EB" w:rsidRPr="005E78F4">
        <w:tab/>
        <w:t>pripomína, že obranné spôsobilosti v Únii sú poznačené tým, že investície do nich boli celé desaťročia nedostatočné, a že podľa Komisie predstavuje výpadok vo výdavkoch na obranu v nasledujúcom desaťročí aktuálne 500 miliárd EUR; víta skutočnosť, že vzhľadom na naliehavú potrebu posilniť obranné spôsobilosti sa počet nástrojov Únie na financovanie obrany od útočnej vojny Ruska proti Ukrajine zvýšil; konštatuje, že nástroje Únie v oblasti obrany zahŕňajú mimorozpočtové nástroje, ako je Európsky mierový nástroj (EPF) a Nástroj bezpečnostnej akcie pre Európu (SAFE), dočasný úverový nástroj na obranu; zdôrazňuje tiež, že okrem programov financovania obrany môžu na účely dvojakého použitia slúžiť aj iné programy Únie, najmä zložka vojenskej mobility Nástroja na prepájanie Európy (NPE) a Program Únie pre bezpečnú konektivitu, ktorý bol zriadený v roku 2023 predovšetkým s cieľom poskytnúť členským štátom Únie zaručený prístup k vysoko bezpečným, zvrchovaným a globálnym službám v oblasti konektivity; dodáva, že po preskúmaní v polovici trvania v septembri 2025 sa finančné prostriedky politiky súdržnosti môžu použiť aj na zlepšenie vojenskej mobility a rozvoj obrannej infraštruktúry, najmä vo východných pohraničných regiónoch;</w:t>
      </w:r>
    </w:p>
    <w:bookmarkEnd w:id="412"/>
    <w:p w14:paraId="484BE973" w14:textId="559922C1" w:rsidR="003B03EB" w:rsidRPr="005E78F4" w:rsidRDefault="005A0F52" w:rsidP="003B03EB">
      <w:pPr>
        <w:pStyle w:val="NormalHanging12a"/>
      </w:pPr>
      <w:r>
        <w:t>185</w:t>
      </w:r>
      <w:r w:rsidR="003B03EB" w:rsidRPr="005E78F4">
        <w:t>.</w:t>
      </w:r>
      <w:r w:rsidR="003B03EB" w:rsidRPr="005E78F4">
        <w:tab/>
        <w:t>oceňuje písomné odpovede Komisie, v ktorých uznáva, že množstvo nástrojov súvisiacich s obranou viedlo k fragmentovanému prostrediu financovania s určitými presahmi a medzerami; zdôrazňuje potrebu komplexného a dlhodobého prístupu Únie k financovaniu bezpečnosti a obrany, ktorý by reagoval na konvenčné vojenské hrozby aj na nekonvenčné hrozby; zdôrazňuje, že treba ďalej zlepšovať transparentnosť financovania obrany Únie, a to aj zaručením audítorských práv Dvora audítorov pre všetky nástroje a zabezpečením toho, aby orgán udeľujúci absolutórium mohol vykonávať demokratickú kontrolu všetkých činností financovaných Úniou; zdôrazňuje, že treba zvýšiť používateľskú ústretovosť zverejnených informácií o financovaní obrany Únie, aby z nich mali prospech aj žiadatelia a príjemcovia, najmä MSP; zdôrazňuje, že vo všetkých členských štátoch by sa mala uľahčovať a podporovať účasť MSP a mal by sa zaistiť ich spravodlivý a rovnocenný prístup k projektom financovaným Úniou; nabáda na trvalé investície a podporu MSP;</w:t>
      </w:r>
    </w:p>
    <w:p w14:paraId="2347C58F" w14:textId="6ED71828" w:rsidR="003B03EB" w:rsidRPr="005E78F4" w:rsidRDefault="005A0F52" w:rsidP="003B03EB">
      <w:pPr>
        <w:pStyle w:val="NormalHanging12a"/>
      </w:pPr>
      <w:r>
        <w:t>186</w:t>
      </w:r>
      <w:r w:rsidR="003B03EB" w:rsidRPr="005E78F4">
        <w:t>.</w:t>
      </w:r>
      <w:r w:rsidR="003B03EB" w:rsidRPr="005E78F4">
        <w:tab/>
        <w:t xml:space="preserve">zdôrazňuje, že rýchly nárast výdavkov Únie na obranu a bezpečnosť v roku 2024 si vyžaduje primerané opatrenia auditu umožňujúce účinný prístup </w:t>
      </w:r>
      <w:r w:rsidR="006C735D" w:rsidRPr="005E78F4">
        <w:t>D</w:t>
      </w:r>
      <w:r w:rsidR="003B03EB" w:rsidRPr="005E78F4">
        <w:t>vora audítorov, úradu OLAF a Európskej prokuratúry ku všetkým relevantným dokumentom, vrátane projektov s technológiami dvojakého použitia; pripomína, že samotná Komisia uznala, že prístup k utajovaným výstupom môže byť odložený alebo sa mu môže zabrániť, ak sú „pôvodcami“ utajenia členské štáty, a zdôrazňuje, že v prípade obmedzeného prístupu auditu z riadne odôvodnených dôvodov, ako napríklad utajenia projektov, by sa mali prijať vhodné opatrenia a konštruktívne riešenia, aby sa zabezpečil úplný súlad s požiadavkami finančného dohľadu a riadne hospodárenie s finančnými prostriedkami Únie;</w:t>
      </w:r>
    </w:p>
    <w:p w14:paraId="1372BE31" w14:textId="4CC6B2C3" w:rsidR="003B03EB" w:rsidRPr="005E78F4" w:rsidRDefault="005A0F52" w:rsidP="003B03EB">
      <w:pPr>
        <w:pStyle w:val="NormalHanging12a"/>
      </w:pPr>
      <w:r>
        <w:t>187</w:t>
      </w:r>
      <w:r w:rsidR="003B03EB" w:rsidRPr="005E78F4">
        <w:t>.</w:t>
      </w:r>
      <w:r w:rsidR="003B03EB" w:rsidRPr="005E78F4">
        <w:tab/>
        <w:t xml:space="preserve">vyjadruje hlboké znepokojenie nad rozhodnutím Komisie pristúpiť k prijatiu iniciatívy </w:t>
      </w:r>
      <w:proofErr w:type="spellStart"/>
      <w:r w:rsidR="003B03EB" w:rsidRPr="005E78F4">
        <w:t>Rearm</w:t>
      </w:r>
      <w:proofErr w:type="spellEnd"/>
      <w:r w:rsidR="003B03EB" w:rsidRPr="005E78F4">
        <w:t xml:space="preserve"> EU bez predchádzajúcej konzultácie s Európskym parlamentom; vyjadruje poľutovanie nad tým, že takéto rozhodnutie obchádza zásadu inštitucionálnej rovnováhy a oslabuje úlohu Európskeho parlamentu ako </w:t>
      </w:r>
      <w:proofErr w:type="spellStart"/>
      <w:r w:rsidR="003B03EB" w:rsidRPr="005E78F4">
        <w:t>spoluzákonodarcu</w:t>
      </w:r>
      <w:proofErr w:type="spellEnd"/>
      <w:r w:rsidR="003B03EB" w:rsidRPr="005E78F4">
        <w:t xml:space="preserve"> pri formovaní strategických a rozpočtových priorít; naliehavo vyzýva Komisiu, aby sa zdržala zavádzania zásadných politických nástrojov, ktoré majú vplyv na finančnú a strategickú štruktúru Únie, bez toho, aby zabezpečila plné rešpektovanie výsad Európskeho parlamentu;</w:t>
      </w:r>
    </w:p>
    <w:p w14:paraId="33F71CF7" w14:textId="7DC4C2F8" w:rsidR="003B03EB" w:rsidRPr="005E78F4" w:rsidRDefault="005A0F52" w:rsidP="003B03EB">
      <w:pPr>
        <w:pStyle w:val="NormalHanging12a"/>
      </w:pPr>
      <w:r>
        <w:lastRenderedPageBreak/>
        <w:t>188</w:t>
      </w:r>
      <w:r w:rsidR="003B03EB" w:rsidRPr="005E78F4">
        <w:t>.</w:t>
      </w:r>
      <w:r w:rsidR="003B03EB" w:rsidRPr="005E78F4">
        <w:tab/>
        <w:t xml:space="preserve">pripomína, že všeobecným cieľom Európskeho obranného fondu (EOF) je podporovať konkurencieschopnosť, efektívnosť a inovačnú kapacitu európskej obrannej technologickej a priemyselnej základne (EDTIB) v celej Únii; konštatuje, že ako sa uvádza v písomných odpovediach Komisie, finančné prostriedky EOF vo výške 227,9 milióna EUR boli pridelené na 20 projektov súvisiacich s umelou inteligenciou a ďalších 171,1 milióna EUR bolo pridelených na 18 projektov zameraných na technológie bezpilotných vzdušných prostriedkov, pričom 50 projektov zameraných na vybavenie, ktoré možno klasifikovať ako tradičné obranné vybavenie týkajúce sa prostriedkov pozemného, vzdušného a námorného boja, podmorských obranných systémov, protivzdušnej a protiraketovej obrany a zmierňovania chemického, biologického, rádiologického a jadrového rizika (CBRN), bolo podporených celkovou sumou 1,49 miliardy EUR z EOF; berie na vedomie, že od roku 2021 sa na projekty súvisiace s umelou inteligenciou a technológiami </w:t>
      </w:r>
      <w:proofErr w:type="spellStart"/>
      <w:r w:rsidR="003B03EB" w:rsidRPr="005E78F4">
        <w:t>dronov</w:t>
      </w:r>
      <w:proofErr w:type="spellEnd"/>
      <w:r w:rsidR="003B03EB" w:rsidRPr="005E78F4">
        <w:t xml:space="preserve"> vynaložilo z EOF menej ako 400 miliónov EUR, a to napriek tomu, že skúsenosti z prebiehajúcich a nedávnych konfliktov poukazujú na to, že kybernetické spôsobilosti, umelá inteligencia a bezpilotné systémy vrátane </w:t>
      </w:r>
      <w:proofErr w:type="spellStart"/>
      <w:r w:rsidR="003B03EB" w:rsidRPr="005E78F4">
        <w:t>dronov</w:t>
      </w:r>
      <w:proofErr w:type="spellEnd"/>
      <w:r w:rsidR="003B03EB" w:rsidRPr="005E78F4">
        <w:t xml:space="preserve"> hrajú čoraz dôležitejšiu úlohu v modernej vojne; domnieva sa, že pri financovaní technológií by sa mali uprednostniť tie, ktoré poskytujú najväčšiu prevádzkovú výhodu;</w:t>
      </w:r>
    </w:p>
    <w:p w14:paraId="2A1F0E4B" w14:textId="0078A606" w:rsidR="003B03EB" w:rsidRPr="005E78F4" w:rsidRDefault="005A0F52" w:rsidP="003B03EB">
      <w:pPr>
        <w:pStyle w:val="NormalHanging12a"/>
      </w:pPr>
      <w:r>
        <w:t>189</w:t>
      </w:r>
      <w:r w:rsidR="003B03EB" w:rsidRPr="005E78F4">
        <w:t>.</w:t>
      </w:r>
      <w:r w:rsidR="003B03EB" w:rsidRPr="005E78F4">
        <w:tab/>
        <w:t>berie na vedomie osobitnú správu Dvora audítorov č. 04/2025 o vojenskej mobilite EÚ a odpovede Komisie; je znepokojený celkovým záverom Dvora audítorov, že druhý akčný plán vojenskej mobility EÚ, zverejnený v novembri 2022, nebol postavený na dostatočne pevných základoch a že pokrok v plnení jeho cieľa, t. j. zabezpečiť rýchle a bezproblémové presuny personálu, materiálu a majetku v krátkom čase a vo veľkom rozsahu, je v dôsledku nedostatkov koncepcie a pretrvávajúcich prekážok pri vykonávaní premenlivý; so znepokojením berie na vedomie pripomienku Dvora audítorov, že Komisia nevykonala spoľahlivé posúdenie celkového financovania potrebného na dosiahnutie cieľov a zámerov; berie na vedomie skutočnosť, ktorú zdôraznil Dvor audítorov, že parlamentný dohľad nad všetkými činnosťami vojenskej mobility Únie nie je vždy uskutočniteľný, pretože nie všetky projekty sa financujú z rozpočtu Únie, ako to napríklad platí pre Európsku obrannú agentúru (EDA) alebo PESCO;</w:t>
      </w:r>
    </w:p>
    <w:p w14:paraId="04740F91" w14:textId="2F85E675" w:rsidR="003B03EB" w:rsidRPr="005E78F4" w:rsidRDefault="005A0F52" w:rsidP="003B03EB">
      <w:pPr>
        <w:pStyle w:val="NormalHanging12a"/>
      </w:pPr>
      <w:r>
        <w:t>190</w:t>
      </w:r>
      <w:r w:rsidR="003B03EB" w:rsidRPr="005E78F4">
        <w:t>.</w:t>
      </w:r>
      <w:r w:rsidR="003B03EB" w:rsidRPr="005E78F4">
        <w:tab/>
        <w:t xml:space="preserve">vyjadruje znepokojenie nad tým, že v nadväznosti na tri výzvy na predkladanie návrhov usporiadané v rokoch 2021, 2022 a 2023 už bolo vyčerpané celé finančné krytie na vojenskú mobilitu v rámci NPE na súčasné programové obdobie, pričom podľa odhadov budú na riešenie 500 </w:t>
      </w:r>
      <w:proofErr w:type="spellStart"/>
      <w:r w:rsidR="003B03EB" w:rsidRPr="005E78F4">
        <w:t>hotspotov</w:t>
      </w:r>
      <w:proofErr w:type="spellEnd"/>
      <w:r w:rsidR="003B03EB" w:rsidRPr="005E78F4">
        <w:t xml:space="preserve">, ktoré boli v Únii identifikované ako </w:t>
      </w:r>
      <w:proofErr w:type="spellStart"/>
      <w:r w:rsidR="003B03EB" w:rsidRPr="005E78F4">
        <w:t>hotspoty</w:t>
      </w:r>
      <w:proofErr w:type="spellEnd"/>
      <w:r w:rsidR="003B03EB" w:rsidRPr="005E78F4">
        <w:t xml:space="preserve"> vyžadujúce naliehavú modernizáciu, potrebné investície vo výške najmenej 100 miliárd EUR</w:t>
      </w:r>
      <w:r w:rsidR="003B03EB" w:rsidRPr="005E78F4">
        <w:rPr>
          <w:vertAlign w:val="superscript"/>
        </w:rPr>
        <w:footnoteReference w:id="114"/>
      </w:r>
      <w:r w:rsidR="003B03EB" w:rsidRPr="005E78F4">
        <w:t>; berie na vedomie písomnú odpoveď Komisie, že revíziou nariadenia o TEN-T v roku 2024 sa zaviedli prvky na začlenenie vojenskej mobility do dopravnej politiky Únie; ďalej berie na vedomie, že Európska komisia a vysoká predstaviteľka Únie pre zahraničné veci a bezpečnostnú politiku prijali balík opatrení v oblasti vojenskej mobility na rok 2025; pripomína, že je dôležité ďalej posilňovať schopnosť reagovať a efektívnosť vojenskej mobility Únie znížením regulačnej a procedurálnej zložitosti, posilnením harmonizácie a zefektívnením koordinácie s cieľom znížiť oneskorenia a zlepšiť operačnú pripravenosť;</w:t>
      </w:r>
    </w:p>
    <w:p w14:paraId="7385E99E" w14:textId="77777777" w:rsidR="003B03EB" w:rsidRPr="005E78F4" w:rsidRDefault="003B03EB" w:rsidP="003B03EB">
      <w:pPr>
        <w:spacing w:after="240"/>
        <w:ind w:left="567" w:hanging="567"/>
        <w:rPr>
          <w:i/>
        </w:rPr>
      </w:pPr>
      <w:r w:rsidRPr="005E78F4">
        <w:rPr>
          <w:i/>
        </w:rPr>
        <w:lastRenderedPageBreak/>
        <w:t>Odporúčania</w:t>
      </w:r>
    </w:p>
    <w:p w14:paraId="73603839" w14:textId="3EE6EBC6" w:rsidR="003B03EB" w:rsidRPr="005E78F4" w:rsidRDefault="005A0F52" w:rsidP="003B03EB">
      <w:pPr>
        <w:pStyle w:val="NormalHanging12a"/>
        <w:rPr>
          <w:szCs w:val="24"/>
        </w:rPr>
      </w:pPr>
      <w:bookmarkStart w:id="413" w:name="_Hlk216940941"/>
      <w:r>
        <w:t>191</w:t>
      </w:r>
      <w:r w:rsidR="003B03EB" w:rsidRPr="005E78F4">
        <w:t>.</w:t>
      </w:r>
      <w:r w:rsidR="003B03EB" w:rsidRPr="005E78F4">
        <w:tab/>
        <w:t>vyzýva Dvor audítorov, aby poskytol odhad miery chybovosti pre okruh 5 VFR;</w:t>
      </w:r>
    </w:p>
    <w:bookmarkEnd w:id="413"/>
    <w:p w14:paraId="4D59DD37" w14:textId="5EF6A9D7" w:rsidR="003B03EB" w:rsidRPr="005E78F4" w:rsidRDefault="005A0F52" w:rsidP="003B03EB">
      <w:pPr>
        <w:pStyle w:val="NormalHanging12a"/>
        <w:rPr>
          <w:szCs w:val="24"/>
        </w:rPr>
      </w:pPr>
      <w:r>
        <w:rPr>
          <w:rFonts w:ascii="TimesNewRoman" w:hAnsi="TimesNewRoman"/>
        </w:rPr>
        <w:t>192</w:t>
      </w:r>
      <w:r w:rsidR="003B03EB" w:rsidRPr="005E78F4">
        <w:rPr>
          <w:rFonts w:ascii="TimesNewRoman" w:hAnsi="TimesNewRoman"/>
        </w:rPr>
        <w:t>.</w:t>
      </w:r>
      <w:r w:rsidR="003B03EB" w:rsidRPr="005E78F4">
        <w:rPr>
          <w:rFonts w:ascii="TimesNewRoman" w:hAnsi="TimesNewRoman"/>
        </w:rPr>
        <w:tab/>
      </w:r>
      <w:r w:rsidR="003B03EB" w:rsidRPr="005E78F4">
        <w:t>vyzýva Komisiu, aby:</w:t>
      </w:r>
    </w:p>
    <w:p w14:paraId="0B886039" w14:textId="77777777" w:rsidR="003B03EB" w:rsidRPr="005E78F4" w:rsidRDefault="003B03EB" w:rsidP="005E78F4">
      <w:pPr>
        <w:pStyle w:val="NormalHanging12a"/>
        <w:widowControl/>
        <w:ind w:left="1134"/>
      </w:pPr>
      <w:r w:rsidRPr="005E78F4">
        <w:t>i)</w:t>
      </w:r>
      <w:r w:rsidRPr="005E78F4">
        <w:tab/>
        <w:t>pokračovala v úsilí o zvýšenie transparentnosti výdavkov Únie na obranu v príslušných nástrojoch, a to aj uľahčením audítorskej činnosti Dvora audítorov v súlade s uplatniteľným právnym rámcom a zabezpečením toho, aby bol orgán udeľujúci absolutórium primerane informovaný a mohol tak vykonávať demokratickú kontrolu činností financovaných Úniou, najmä počas ich fáz prijatia, návrhu a vykonávania;</w:t>
      </w:r>
    </w:p>
    <w:p w14:paraId="09E02B00" w14:textId="77777777" w:rsidR="003B03EB" w:rsidRPr="005E78F4" w:rsidRDefault="003B03EB" w:rsidP="005E78F4">
      <w:pPr>
        <w:pStyle w:val="NormalHanging12a"/>
        <w:widowControl/>
        <w:ind w:left="1134"/>
      </w:pPr>
      <w:r w:rsidRPr="005E78F4">
        <w:t>ii)</w:t>
      </w:r>
      <w:r w:rsidRPr="005E78F4">
        <w:tab/>
        <w:t>poskytovala orgánu udeľujúcemu absolutórium pravidelné konsolidované správy o plnení rozpočtu a výkonnosti o všetkých výdavkoch súvisiacich s obranou z rozpočtu Únie, mimorozpočtových nástrojov a všetkých ostatných relevantných nástrojov, ako je vojenská mobilita a programy súvisiace s bezpečnosťou, s cieľom umožniť demokratickú kontrolu a zabrániť fragmentácii;</w:t>
      </w:r>
    </w:p>
    <w:p w14:paraId="77DE4CA1" w14:textId="0EB73C9B" w:rsidR="003B03EB" w:rsidRPr="005E78F4" w:rsidRDefault="003B03EB" w:rsidP="005E78F4">
      <w:pPr>
        <w:pStyle w:val="NormalHanging12a"/>
        <w:widowControl/>
        <w:ind w:left="1134"/>
      </w:pPr>
      <w:r w:rsidRPr="005E78F4">
        <w:t>iii)</w:t>
      </w:r>
      <w:r w:rsidRPr="005E78F4">
        <w:tab/>
        <w:t xml:space="preserve">poskytla </w:t>
      </w:r>
      <w:r w:rsidR="00E47BEF" w:rsidRPr="005E78F4">
        <w:t>Európskemu p</w:t>
      </w:r>
      <w:r w:rsidRPr="005E78F4">
        <w:t>arlamentu systematickejšie informácie o následných opatreniach a správy o opatreniach Únie v oblasti obrany a vojenskej mobility, ich vykonávaní a financovaní vrátane tých, ktoré sa týkajú spolupráce medzi EÚ a NATO, EPF, EDA a PESCO;</w:t>
      </w:r>
    </w:p>
    <w:p w14:paraId="262EAE15" w14:textId="77777777" w:rsidR="003B03EB" w:rsidRPr="005E78F4" w:rsidRDefault="003B03EB" w:rsidP="005E78F4">
      <w:pPr>
        <w:pStyle w:val="NormalHanging12a"/>
        <w:widowControl/>
        <w:ind w:left="1134"/>
      </w:pPr>
      <w:r w:rsidRPr="005E78F4">
        <w:t>iv)</w:t>
      </w:r>
      <w:r w:rsidRPr="005E78F4">
        <w:tab/>
        <w:t xml:space="preserve">posilnila príspevok EOF ku komplexnému európskemu obrannému prístupu zvýšením podpory projektov zameraných na hybridné hrozby vrátane umelej inteligencie, kybernetických a </w:t>
      </w:r>
      <w:proofErr w:type="spellStart"/>
      <w:r w:rsidRPr="005E78F4">
        <w:t>dronových</w:t>
      </w:r>
      <w:proofErr w:type="spellEnd"/>
      <w:r w:rsidRPr="005E78F4">
        <w:t xml:space="preserve"> technológií;</w:t>
      </w:r>
    </w:p>
    <w:p w14:paraId="67D91D30" w14:textId="77777777" w:rsidR="003B03EB" w:rsidRPr="005E78F4" w:rsidRDefault="003B03EB" w:rsidP="005E78F4">
      <w:pPr>
        <w:pStyle w:val="NormalHanging12a"/>
        <w:widowControl/>
        <w:ind w:left="1134"/>
      </w:pPr>
      <w:bookmarkStart w:id="414" w:name="_Toc185595117"/>
      <w:r w:rsidRPr="005E78F4">
        <w:t>v)</w:t>
      </w:r>
      <w:r w:rsidRPr="005E78F4">
        <w:tab/>
        <w:t xml:space="preserve">ďalej posilňovala bezpečnostné a obranné opatrenia Únie výrazným zvýšením dostupných finančných prostriedkov na zlepšenie koridorov dopravnej infraštruktúry s dvojakým použitím a prijatím opatrení na odstránenie administratívnych, procesných a regulačných prekážok cezhraničných vojenských presunov, a to aj harmonizáciou spoločného obstarávania v oblasti obrany, ako sa uvádza v nariadení Európskeho parlamentu a Rady (EÚ) 2025/2643 zo 16. decembra 2025 (ďalej len „nariadenie o EDIP“), a súvisiacich postupov medzi členskými štátmi s cieľom zvýšiť </w:t>
      </w:r>
      <w:proofErr w:type="spellStart"/>
      <w:r w:rsidRPr="005E78F4">
        <w:t>interoperabilitu</w:t>
      </w:r>
      <w:proofErr w:type="spellEnd"/>
      <w:r w:rsidRPr="005E78F4">
        <w:t>, efektívnosť a strategickú súdržnosť, pričom sa má uprednostniť financovanie z prostriedkov Únie na projekty, ktoré najlepšie reagujú na súčasnú situáciu v oblasti európskych hrozieb;</w:t>
      </w:r>
    </w:p>
    <w:p w14:paraId="0F41B82C" w14:textId="77777777" w:rsidR="003B03EB" w:rsidRPr="005E78F4" w:rsidRDefault="003B03EB" w:rsidP="005E78F4">
      <w:pPr>
        <w:pStyle w:val="NormalHanging12a"/>
        <w:widowControl/>
        <w:ind w:left="1134"/>
      </w:pPr>
      <w:r w:rsidRPr="005E78F4">
        <w:t>vi)</w:t>
      </w:r>
      <w:r w:rsidRPr="005E78F4">
        <w:tab/>
        <w:t>prijala ďalšie opatrenia na zabezpečenie rovnakých podmienok pre všetky subjekty obranného priemyslu v celej Únii a zjednodušiť prístup k finančným prostriedkom Únie vrátane MSP a členských štátov, ktoré sú najviac ohrozené vonkajšími hrozbami;</w:t>
      </w:r>
    </w:p>
    <w:p w14:paraId="67431B84" w14:textId="77777777" w:rsidR="003B03EB" w:rsidRPr="005E78F4" w:rsidRDefault="003B03EB" w:rsidP="003B03EB">
      <w:pPr>
        <w:spacing w:after="240"/>
        <w:ind w:left="567" w:hanging="567"/>
        <w:rPr>
          <w:b/>
        </w:rPr>
      </w:pPr>
      <w:r w:rsidRPr="005E78F4">
        <w:rPr>
          <w:b/>
        </w:rPr>
        <w:t>Susedstvo a svet</w:t>
      </w:r>
      <w:bookmarkEnd w:id="414"/>
    </w:p>
    <w:p w14:paraId="14838540" w14:textId="37DE8F39" w:rsidR="003B03EB" w:rsidRPr="005E78F4" w:rsidRDefault="000A140A" w:rsidP="003B03EB">
      <w:pPr>
        <w:pStyle w:val="NormalHanging12a"/>
      </w:pPr>
      <w:r>
        <w:t>193</w:t>
      </w:r>
      <w:r w:rsidR="003B03EB" w:rsidRPr="005E78F4">
        <w:t>.</w:t>
      </w:r>
      <w:r w:rsidR="003B03EB" w:rsidRPr="005E78F4">
        <w:tab/>
        <w:t xml:space="preserve">konštatuje, že rozpočet na programy v rámci okruhu 6 VFR „Susedstvo a svet“ predstavoval 15,4 miliardy EUR (8,0 % výdavkov rozpočtu Únie bez RRF) rozdelených takto: 62,4 % pre Nástroj susedstva a rozvojovej a medzinárodnej spolupráce – Globálna Európa (NDICI – Globálna Európa), 15,9 % na Humanitárnu pomoc (HUMA), 14,9 % na predvstupovú pomoc (IPA III), 2,7 % na </w:t>
      </w:r>
      <w:proofErr w:type="spellStart"/>
      <w:r w:rsidR="003B03EB" w:rsidRPr="005E78F4">
        <w:t>makrofinančnú</w:t>
      </w:r>
      <w:proofErr w:type="spellEnd"/>
      <w:r w:rsidR="003B03EB" w:rsidRPr="005E78F4">
        <w:t xml:space="preserve"> pomoc pre Ukrajinu plus (MFP+) a 4,1 % na iné akcie a programy;</w:t>
      </w:r>
    </w:p>
    <w:p w14:paraId="149BAA1D" w14:textId="702949AF" w:rsidR="003B03EB" w:rsidRPr="005E78F4" w:rsidRDefault="000A140A" w:rsidP="003B03EB">
      <w:pPr>
        <w:pStyle w:val="NormalHanging12a"/>
      </w:pPr>
      <w:r>
        <w:lastRenderedPageBreak/>
        <w:t>194</w:t>
      </w:r>
      <w:r w:rsidR="003B03EB" w:rsidRPr="005E78F4">
        <w:t>.</w:t>
      </w:r>
      <w:r w:rsidR="003B03EB" w:rsidRPr="005E78F4">
        <w:tab/>
        <w:t>víta skutočnosť, že v roku 2024 Dvor audítorov preskúmal štatisticky reprezentatívnu vzorku 137 transakcií pokrývajúcich všetky výdavky v rámci tohto okruhu VFR, čo mu po prvýkrát umožnilo vypočítať mieru chybovosti; so znepokojením berie na vedomie odhadovanú mieru chybovosti 4,9 %, ktorá výrazne prekračuje 2,0 % prah významnosti; ďalej konštatuje, že 56 zo 137 transakcií (40,9 %) obsahovalo vyčísliteľné chyby, ktoré majú finančný vplyv na rozpočet Únie; konštatuje, že tieto chyby sa týkali neoprávnených nákladov, závažných porušení pravidiel verejného obstarávania, chýbajúcich základných podporných dokumentov, neoprávnených príjemcov a výdavkov, ktoré v skutočnosti nevznikli; domnieva sa, že tieto problémy môžu naznačovať nedostatky vo fungovaní a spoľahlivosti systémov kontroly;</w:t>
      </w:r>
    </w:p>
    <w:p w14:paraId="32D9E76A" w14:textId="7AFC9F74" w:rsidR="003B03EB" w:rsidRPr="005E78F4" w:rsidRDefault="000A140A" w:rsidP="003B03EB">
      <w:pPr>
        <w:pStyle w:val="NormalHanging12a"/>
      </w:pPr>
      <w:r>
        <w:t>195</w:t>
      </w:r>
      <w:r w:rsidR="003B03EB" w:rsidRPr="005E78F4">
        <w:t>.</w:t>
      </w:r>
      <w:r w:rsidR="003B03EB" w:rsidRPr="005E78F4">
        <w:tab/>
        <w:t>je znepokojený skutočnosťou, že v desiatich prípadoch zahŕňajúcich vyčísliteľné chyby už Komisia mala k dispozícii dostatočné informácie na to, aby chybám predišla alebo ich odhalila a opravila pred schválením výdavkov; konštatuje, že ak by Komisia tieto informácie použila účinne, odhadovaná chybovosť by sa znížila o 1,4 percentuálneho bodu;</w:t>
      </w:r>
    </w:p>
    <w:p w14:paraId="6C8F8EEB" w14:textId="487E2019" w:rsidR="003B03EB" w:rsidRPr="005E78F4" w:rsidRDefault="000A140A" w:rsidP="003B03EB">
      <w:pPr>
        <w:pStyle w:val="NormalHanging12a"/>
      </w:pPr>
      <w:r>
        <w:t>196</w:t>
      </w:r>
      <w:r w:rsidR="003B03EB" w:rsidRPr="005E78F4">
        <w:t>.</w:t>
      </w:r>
      <w:r w:rsidR="003B03EB" w:rsidRPr="005E78F4">
        <w:tab/>
        <w:t>konštatuje, že podobne ako v predchádzajúcich rokoch sa značná časť chýb zistených Dvorom audítorov týkala zmlúv, ktoré v rámci nepriameho riadenia plnia organizácie posudzované v rámci piliera vrátane medzinárodných inštitúcií; konštatuje, že v prípade týchto zmlúv Komisia akceptovala výdavky na základe finančného výkazu a vyhlásenia riadiaceho subjektu, pričom vyhlásenie riadiaceho subjektu vydala samotná organizácia, ktorá bola posúdená v rámci piliera, pričom osvedčila úplnosť, presnosť a súlad poskytnutých finančných informácií; so znepokojením konštatuje, že 26 zo 42 vyčíslených chýb zistených Dvorom audítorov sa týkalo práve takýchto zmlúv, čo k odhadovanej chybovosti prispelo 3,1 percentuálneho bodu a potvrdilo pretrvávajúce zraniteľné miesta v rámci uistenia pre nepriame riadenie so subjektmi posudzovanými v rámci piliera;</w:t>
      </w:r>
    </w:p>
    <w:p w14:paraId="5A6ABD2A" w14:textId="29A23BC5" w:rsidR="003B03EB" w:rsidRPr="005E78F4" w:rsidRDefault="000A140A" w:rsidP="003B03EB">
      <w:pPr>
        <w:pStyle w:val="NormalHanging12a"/>
      </w:pPr>
      <w:r>
        <w:t>197</w:t>
      </w:r>
      <w:r w:rsidR="003B03EB" w:rsidRPr="005E78F4">
        <w:t>.</w:t>
      </w:r>
      <w:r w:rsidR="003B03EB" w:rsidRPr="005E78F4">
        <w:tab/>
        <w:t>vyjadruje znepokojenie nad tým, že Dvor audítorov opäť zaznamenal oneskorenia pri získavaní požadovanej dokumentácie od niektorých medzinárodných organizácií a medzinárodných finančných inštitúcií, čo bráni včasnému vykonávaniu jeho audítorskej práce, a to napriek jeho predchádzajúcemu odporúčaniu z roku 2020; konštatuje, že v 19 kontrolovaných operáciách tieto subjekty obmedzili prístup k dokumentom na dočasnú konzultáciu nahliadnutím do elektronických dokumentov bez toho, aby umožnili Dvoru audítorov ponechať si kópie, čo zabránilo riadnemu plánovaniu, vykonaniu a kontrole kvality auditu; vyjadruje poľutovanie nad tým, že tieto prekážky pretrvávali napriek úsiliu Komisie o vyriešenie tohto problému prostredníctvom nepretržitej komunikácie s príslušnými organizáciami, ako sa zdôrazňuje aj vo výročnej správe o ERF za rok 2024;</w:t>
      </w:r>
    </w:p>
    <w:p w14:paraId="4BE7CE65" w14:textId="4FDBC27E" w:rsidR="003B03EB" w:rsidRPr="005E78F4" w:rsidRDefault="000A140A" w:rsidP="003B03EB">
      <w:pPr>
        <w:pStyle w:val="NormalHanging12a"/>
      </w:pPr>
      <w:r>
        <w:t>198</w:t>
      </w:r>
      <w:r w:rsidR="003B03EB" w:rsidRPr="005E78F4">
        <w:t>.</w:t>
      </w:r>
      <w:r w:rsidR="003B03EB" w:rsidRPr="005E78F4">
        <w:tab/>
        <w:t xml:space="preserve">vyjadruje vážne znepokojenie nad tým, že v roku 2024 sa neuskutočnili žiadne monitorovacie misie zamerané na výsledky z dôvodu ukončenia dvoch platných zmlúv o službách monitorovania zameraného na výsledky v roku 2025; so znepokojením zdôrazňuje, že plánovaná užšia verejná súťaž na rok 2024 na novú generáciu zmlúv o službách monitorovania zameraného na výsledky musela byť zrušená z dôvodu nedostupnosti rozpočtových prostriedkov na podporné výdavky NDICI, čo GR INTPA prinútilo použiť prevádzkové úvery a pripraviť samostatné podporné opatrenie NDICI na financovanie monitorovania zameraného na výsledky; konštatuje, že v októbri 2025 bola obnovená nová užšia verejná súťaž na základe doložky o pozastavení, a očakáva sa, že nová trojročná zmluva o monitorovaní zameranom na výsledky bude podpísaná až v apríli 2026; zdôrazňuje, že toto narušenie financovania a verejného obstarávania </w:t>
      </w:r>
      <w:r w:rsidR="003B03EB" w:rsidRPr="005E78F4">
        <w:lastRenderedPageBreak/>
        <w:t>viedlo od začiatku roka 2025 k úplnému pozastaveniu systému monitorovania zameraného na výsledky, čím sa oneskorilo nezávislé monitorovanie výkonnosti vykonávania programu a oslabilo celkové zameranie vonkajšej činnosti na výsledky;</w:t>
      </w:r>
    </w:p>
    <w:p w14:paraId="16E5E63D" w14:textId="3CC13204" w:rsidR="003B03EB" w:rsidRPr="005E78F4" w:rsidRDefault="000A140A" w:rsidP="003B03EB">
      <w:pPr>
        <w:pStyle w:val="NormalHanging12a"/>
      </w:pPr>
      <w:r>
        <w:t>199</w:t>
      </w:r>
      <w:r w:rsidR="003B03EB" w:rsidRPr="005E78F4">
        <w:t>.</w:t>
      </w:r>
      <w:r w:rsidR="003B03EB" w:rsidRPr="005E78F4">
        <w:tab/>
        <w:t>konštatuje, že investície Únie do pomoci súvisiacej s obchodom pre najmenej rozvinuté krajiny sa znížili, pričom v roku 2022 dostali najmenej rozvinuté krajiny len 12,0 % pomoci obchodu (</w:t>
      </w:r>
      <w:proofErr w:type="spellStart"/>
      <w:r w:rsidR="003B03EB" w:rsidRPr="005E78F4">
        <w:t>AfT</w:t>
      </w:r>
      <w:proofErr w:type="spellEnd"/>
      <w:r w:rsidR="003B03EB" w:rsidRPr="005E78F4">
        <w:t>) v porovnaní s 18,0 % v priemere v rokoch 2010 až 2015; so znepokojením konštatuje, že táto nedostatočná miera pretrváva napriek cieľu 25,0 % výdavkov pre najmenej rozvinuté krajiny, ktorý bol stanovený v revidovanej stratégii pomoci obchodu EÚ z roku 2017; berie na vedomie zistenia Európskeho dvora audítorov uvedené v osobitnej správe č. 17/2025 s názvom Pomoc obchodu, ktorú poskytuje EÚ, pre najmenej rozvinuté krajiny, v ktorej dospel k záveru, že Pomoc obchodu, ktorú poskytuje EÚ, pravdepodobne nesplní cieľ do roku 2030; víta skutočnosť, že Komisia prijala odporúčanie Dvora audítorov zanalyzovať základné príčiny tohto poklesu, a konštatuje, že toto posúdenie je naplánované na rok 2026, pričom zdôrazňuje potrebu prijatia včasných nápravných opatrení s cieľom zabezpečiť, aby sa obchodná pomoc Únie dostala k tým, ktorí ju najviac potrebujú;</w:t>
      </w:r>
    </w:p>
    <w:p w14:paraId="0CBE7B12" w14:textId="5AA89FEA" w:rsidR="003B03EB" w:rsidRPr="005E78F4" w:rsidRDefault="000A140A" w:rsidP="003B03EB">
      <w:pPr>
        <w:pStyle w:val="NormalHanging12a"/>
      </w:pPr>
      <w:r>
        <w:t>200</w:t>
      </w:r>
      <w:r w:rsidR="003B03EB" w:rsidRPr="005E78F4">
        <w:t>.</w:t>
      </w:r>
      <w:r w:rsidR="003B03EB" w:rsidRPr="005E78F4">
        <w:tab/>
        <w:t>konštatuje, že rozpočtová podpora, ktorú v roku 2024 vykázali INTPA a GR NEAR krajinám mimo Únie, predstavovala 1,56 miliardy EUR; vyjadruje poľutovanie nad tým, že chýbajú verejne dostupné údaje identifikujúce prijímajúce krajiny, keďže zverejnené štatistiky sa týkajú len regiónov alebo zoskupení krajín; ďalej vyjadruje poľutovanie nad nedostatočnou transparentnosťou, pokiaľ ide o využívanie týchto finančných prostriedkov a identifikáciu konečných prijímateľov; zdôrazňuje, že rozpočtová podpora by mala byť v súlade s potrebami partnerských krajín a strategickými politickými cieľmi Únie;</w:t>
      </w:r>
    </w:p>
    <w:p w14:paraId="02840AE7" w14:textId="120BB365" w:rsidR="003B03EB" w:rsidRPr="005E78F4" w:rsidRDefault="000A140A" w:rsidP="003B03EB">
      <w:pPr>
        <w:pStyle w:val="NormalHanging12a"/>
      </w:pPr>
      <w:r>
        <w:t>201</w:t>
      </w:r>
      <w:r w:rsidR="003B03EB" w:rsidRPr="005E78F4">
        <w:t>.</w:t>
      </w:r>
      <w:r w:rsidR="003B03EB" w:rsidRPr="005E78F4">
        <w:tab/>
        <w:t xml:space="preserve">zdôrazňuje, že pomoc Únie nesmie za žiadnych okolností – priamo ani nepriamo – slúžiť na financovanie terorizmu alebo akýchkoľvek činností nezlučiteľných s hodnotami uvedenými v člnku 2 ZEÚ, a preto nesmie podporovať žiadny subjekt napojený na </w:t>
      </w:r>
      <w:proofErr w:type="spellStart"/>
      <w:r w:rsidR="003B03EB" w:rsidRPr="005E78F4">
        <w:t>Hamás</w:t>
      </w:r>
      <w:proofErr w:type="spellEnd"/>
      <w:r w:rsidR="003B03EB" w:rsidRPr="005E78F4">
        <w:t xml:space="preserve"> alebo inú teroristickú alebo extrémistickú organizáciu; pripomína, že na tento účel je legitímne a nevyhnutné jasne identifikovať všetkých konečných prijímateľov pomoci Únie, a to aj v tretích krajinách; zdôrazňuje, že je potrebná prísna kontrola prideľovania a používania pomoci s cieľom zabezpečiť, aby nedochádzalo k zneužívaniu prostriedkov; ďalej ju vyzýva, aby posilnila mechanizmy náležitej obozretnosti, monitorovania a kontroly s cieľom zabrániť akejkoľvek forme ideologickej infiltrácie do programov financovaných Úniou; zdôrazňuje, že protiteroristické záruky a požiadavky na transparentnosť sa musia prísne uplatňovať bez toho, aby sa oslabili humanitárne zásady a poskytovanie pomoci na záchranu životov;</w:t>
      </w:r>
    </w:p>
    <w:p w14:paraId="1EA2FD96" w14:textId="65EDE5EF" w:rsidR="003B03EB" w:rsidRPr="005E78F4" w:rsidRDefault="000A140A" w:rsidP="003B03EB">
      <w:pPr>
        <w:pStyle w:val="NormalHanging12a"/>
      </w:pPr>
      <w:r>
        <w:t>202</w:t>
      </w:r>
      <w:r w:rsidR="003B03EB" w:rsidRPr="005E78F4">
        <w:t>.</w:t>
      </w:r>
      <w:r w:rsidR="003B03EB" w:rsidRPr="005E78F4">
        <w:tab/>
        <w:t xml:space="preserve">pripomína, že vzdelávanie je ústredným pilierom budovania mieru, spolužitia a prípravy na dohodnuté dvojštátne riešenie a kľúčovým prostriedkom boja proti extrémizmu, netolerancii a radikálnym ideológiám; pripomína, že finančná pomoc a politická angažovanosť Únie by mali podporovať vzdelávanie, ktoré podporuje mier, toleranciu a spolužitie; víta pokračujúcu spoluprácu Komisie s Palestínskou samosprávou v oblasti reformy učebných osnov a uznáva hmatateľný pokrok oznámený v roku 2025 vrátane prebiehajúceho preskúmania a zmeny učebníc palestínskym ministerstvom školstva a vysokoškolského vzdelávania s cieľom zabezpečiť súlad s normami UNESCO; konštatuje najmä, že sa vykonalo niekoľko úprav osnov 12. triedy a komplexnejších úprav tried 1 – 4 a nový vzdelávací materiál bol uverejnený v decembri 2024 a októbri 2025 a v súčasnosti je predmetom preskúmania zo strany Únie; pripomína, že je </w:t>
      </w:r>
      <w:r w:rsidR="003B03EB" w:rsidRPr="005E78F4">
        <w:lastRenderedPageBreak/>
        <w:t>potrebné, aby Palestínska samospráva odstránila všetky vzdelávacie materiály a obsah, ktoré nie sú v súlade s normami UNESCO, najmä tie, ktoré obsahujú antisemitizmus a podnecujú násilie, glorifikujú džihád a mučeníctvo a odmietajú mierové riešenie konfliktu; pripomína Komisii, aby pri svojom preskúmaní vychádzala z verejných a overiteľných dôkazov a aby zverejnila výsledky svojich preskúmaní;</w:t>
      </w:r>
    </w:p>
    <w:p w14:paraId="6DE729C6" w14:textId="729ADD29" w:rsidR="003B03EB" w:rsidRPr="005E78F4" w:rsidRDefault="000A140A" w:rsidP="003B03EB">
      <w:pPr>
        <w:pStyle w:val="NormalHanging12a"/>
      </w:pPr>
      <w:r>
        <w:t>203</w:t>
      </w:r>
      <w:r w:rsidR="003B03EB" w:rsidRPr="005E78F4">
        <w:t>.</w:t>
      </w:r>
      <w:r w:rsidR="003B03EB" w:rsidRPr="005E78F4">
        <w:tab/>
        <w:t xml:space="preserve">konštatuje, že podobne ako v predchádzajúcich rokoch sa v roku 2024 nepoužili žiadne finančné prostriedky Únie na podporu výroby palestínskych učebníc a že priama finančná pomoc Únie poskytnutá Palestínskej samospráve cez mechanizmus Únie PEGASE v rámci balíka núdzovej podpory na rok 2024 a viacročného komplexného programu obnovy a odolnosti Palestíny (2025 – 2027) je prísne obmedzená na </w:t>
      </w:r>
      <w:proofErr w:type="spellStart"/>
      <w:r w:rsidR="003B03EB" w:rsidRPr="005E78F4">
        <w:t>vysledovateľné</w:t>
      </w:r>
      <w:proofErr w:type="spellEnd"/>
      <w:r w:rsidR="003B03EB" w:rsidRPr="005E78F4">
        <w:t xml:space="preserve"> výdavkové položky, ako sú platy, sociálne dávky a nedoplatky nemocniciam; konštatuje, že táto finančná podpora Palestínskej samospráve je čiastočne spojená s dosiahnutím reforiem dohodnutých v ambicióznej matici reforiem s Palestínskou samosprávou v roku 2024, ktorá zahŕňa postupné a systémové preskúmanie vzdelávacích materiálov; pripomína, že je potrebné, aby Palestínska samospráva odstránila všetky vzdelávacie materiály a obsah, ktoré nie sú v súlade s normami UNESCO, najmä tie, ktoré podporujú antisemitizmus a obsahujú násilie, ktorému by palestínske deti nemali byť vystavené; zdôrazňuje, že finančná podpora Únie pre Palestínsku samosprávu v oblasti vzdelávania by sa mala poskytovať pod podmienkou, že obsah učebníc bude v súlade s normami UNESCO; vyzýva Komisiu, aby zabezpečila, že žiadne finančné prostriedky Únie nebudú priamo ani nepriamo pridelené na vzdelávacie materiály, ktoré obsahujú antisemitské odkazy alebo príklady, ktoré podnecujú nenávisť a násilie;</w:t>
      </w:r>
    </w:p>
    <w:p w14:paraId="583A904E" w14:textId="3A2357D8" w:rsidR="003B03EB" w:rsidRPr="005E78F4" w:rsidRDefault="000A140A" w:rsidP="003B03EB">
      <w:pPr>
        <w:pStyle w:val="NormalHanging12a"/>
      </w:pPr>
      <w:bookmarkStart w:id="415" w:name="_Toc185595118"/>
      <w:r>
        <w:t>204</w:t>
      </w:r>
      <w:r w:rsidR="003B03EB" w:rsidRPr="005E78F4">
        <w:t>.</w:t>
      </w:r>
      <w:r w:rsidR="003B03EB" w:rsidRPr="005E78F4">
        <w:tab/>
        <w:t xml:space="preserve">naliehavo vyzýva Komisiu, aby v súvislosti s poskytovaním podpory a humanitárnej pomoci palestínskemu obyvateľstvu spolupracovala so spoľahlivými partnermi na mieste s cieľom zaručiť nepretržité a bezpečné poskytovanie humanitárnej pomoci a zabezpečiť, aby sa žiadne finančné prostriedky Únie neposkytovali jednotlivcom alebo organizáciám napojeným na teroristické alebo extrémistické hnutia, ktoré sú v rozpore so základnými hodnotami Únie; v tejto súvislosti pripomína, že existujú tvrdenia, že 19 z 13 000 zamestnancov UNRWA v Pásme Gazy bolo zapojených do </w:t>
      </w:r>
      <w:proofErr w:type="spellStart"/>
      <w:r w:rsidR="003B03EB" w:rsidRPr="005E78F4">
        <w:t>opovrhnutiahodných</w:t>
      </w:r>
      <w:proofErr w:type="spellEnd"/>
      <w:r w:rsidR="003B03EB" w:rsidRPr="005E78F4">
        <w:t xml:space="preserve"> teroristických útokov hnutia </w:t>
      </w:r>
      <w:proofErr w:type="spellStart"/>
      <w:r w:rsidR="003B03EB" w:rsidRPr="005E78F4">
        <w:t>Hamas</w:t>
      </w:r>
      <w:proofErr w:type="spellEnd"/>
      <w:r w:rsidR="003B03EB" w:rsidRPr="005E78F4">
        <w:t xml:space="preserve"> proti Izraelu 7. októbra 2023; berie na vedomie reakciu Organizácie Spojených národov na tieto obvinenia vrátane vyšetrovaní, ktoré začal Úrad OSN pre služby vnútorného dohľadu (OIOS) a po ktorých sa v záujme agentúry formálne ukončil pracovný pomer 9 zamestnancov, a odporúčania vydané prostredníctvom </w:t>
      </w:r>
      <w:proofErr w:type="spellStart"/>
      <w:r w:rsidR="003B03EB" w:rsidRPr="005E78F4">
        <w:t>Colonnovej</w:t>
      </w:r>
      <w:proofErr w:type="spellEnd"/>
      <w:r w:rsidR="003B03EB" w:rsidRPr="005E78F4">
        <w:t xml:space="preserve"> správy; konštatuje, že Komisia spolupracuje s UNRWA na posilnení procesov neutrality a kontrolných systémov v agentúre v súlade so zisteniami vyšetrovaní OIOS OSN a na monitorovaní uplatňovania akčného plánu, ktorý predložila UNRWA; berie na vedomie posúdenie Komisie, že UNRWA je naďalej odhodlaná vykonávať dohodnuté odporúčania, ako aj splnenie všetkých podmienok dohodnutých s Úniou na pokračovanie financovania v roku 2024; v tejto súvislosti nabáda Komisiu, aby sa naďalej angažovala a vykonávala pozorné monitorovanie s cieľom zabezpečiť, že financovanie bude spojené so spoľahlivými zárukami neutrality, transparentnosti a zodpovednosti;</w:t>
      </w:r>
    </w:p>
    <w:p w14:paraId="59BEF872" w14:textId="78EDCD4F" w:rsidR="003B03EB" w:rsidRPr="005E78F4" w:rsidRDefault="000A140A" w:rsidP="003B03EB">
      <w:pPr>
        <w:pStyle w:val="NormalHanging12a"/>
      </w:pPr>
      <w:r>
        <w:t>205</w:t>
      </w:r>
      <w:r w:rsidR="003B03EB" w:rsidRPr="005E78F4">
        <w:t>.</w:t>
      </w:r>
      <w:r w:rsidR="003B03EB" w:rsidRPr="005E78F4">
        <w:tab/>
        <w:t xml:space="preserve">konštatuje, že v období rokov 2019 – 2024 zostalo 6 z 9 pozícií vyššieho manažmentu v GR NEAR na dlhšie obdobia neobsadených; konštatuje najmä, že pozícia generálneho riaditeľa zostala neobsadená 28 mesiacov, riaditeľa riaditeľstva NEAR A 25 mesiacov, riaditeľa NEAR B (južné susedstvo) 48 mesiacov, riaditeľa NEAR D (západný Balkán) 35 mesiacov, riaditeľa skupiny na podporu Ukrajiny 32 mesiacov a riaditeľa R 22 </w:t>
      </w:r>
      <w:r w:rsidR="003B03EB" w:rsidRPr="005E78F4">
        <w:lastRenderedPageBreak/>
        <w:t xml:space="preserve">mesiacov; zdôrazňuje, že skutočnosť, že tieto pracovné miesta boli dlhodobo neobsadené, ovplyvnila niektoré politicky najcitlivejšie a operačne najdôležitejšie portfóliá Únie, a to aj počas ruskej invázie na Ukrajinu a teroristického útoku </w:t>
      </w:r>
      <w:proofErr w:type="spellStart"/>
      <w:r w:rsidR="003B03EB" w:rsidRPr="005E78F4">
        <w:t>Hamasu</w:t>
      </w:r>
      <w:proofErr w:type="spellEnd"/>
      <w:r w:rsidR="003B03EB" w:rsidRPr="005E78F4">
        <w:t xml:space="preserve"> na Izrael; ďalej poukazuje na výsledky prieskumu medzi zamestnancami GR NEAR z apríla 2022, z ktorých vyplýva výrazný pokles dôvery vo vedenie vrcholového manažmentu;</w:t>
      </w:r>
    </w:p>
    <w:p w14:paraId="0E4E0DC6" w14:textId="55EA59B7" w:rsidR="003B03EB" w:rsidRPr="005E78F4" w:rsidRDefault="000A140A" w:rsidP="003B03EB">
      <w:pPr>
        <w:pStyle w:val="NormalHanging12a"/>
      </w:pPr>
      <w:r>
        <w:t>206</w:t>
      </w:r>
      <w:r w:rsidR="003B03EB" w:rsidRPr="005E78F4">
        <w:t>.</w:t>
      </w:r>
      <w:r w:rsidR="003B03EB" w:rsidRPr="005E78F4">
        <w:tab/>
        <w:t xml:space="preserve">konštatuje, že v rokoch 2020 až 2023 bola skupina na podporu Ukrajiny dočasne vedená zástupkyňou generálneho riaditeľa GR NEAR popri jej mnohých ďalších funkciách; ďalej konštatuje, že skupina na podporu Ukrajiny bola v roku 2023 rozpustená, pričom portfóliá boli prerozdelené do Nástroja pre Ukrajinu a iných oddelení; konštatuje, že informácie, ktoré v tejto súvislosti poskytla Komisia počas výmeny názorov s orgánom udeľujúcim absolutórium, boli nepresné, a vyzýva Komisiu, aby zabezpečila jasné a presné podávanie správ </w:t>
      </w:r>
      <w:r w:rsidR="00E47BEF" w:rsidRPr="005E78F4">
        <w:t>Európskemu p</w:t>
      </w:r>
      <w:r w:rsidR="003B03EB" w:rsidRPr="005E78F4">
        <w:t>arlamentu všetkými členmi Komisie;</w:t>
      </w:r>
    </w:p>
    <w:p w14:paraId="63732F08" w14:textId="1A80B1CD" w:rsidR="003B03EB" w:rsidRPr="005E78F4" w:rsidRDefault="000A140A" w:rsidP="003B03EB">
      <w:pPr>
        <w:pStyle w:val="NormalHanging12a"/>
      </w:pPr>
      <w:r>
        <w:t>207</w:t>
      </w:r>
      <w:r w:rsidR="003B03EB" w:rsidRPr="005E78F4">
        <w:t>.</w:t>
      </w:r>
      <w:r w:rsidR="003B03EB" w:rsidRPr="005E78F4">
        <w:tab/>
        <w:t xml:space="preserve">berie na vedomie nedávne investigatívne správy, ktoré v októbri 2025 uverejnilo niekoľko európskych médií a v ktorých sa uvádza, že maďarské spravodajské služby viedli v Bruseli špionážne činnosti vrátane pokusov o nábor maďarských štátnych príslušníkov pracujúcich v inštitúciách Únie; konštatuje, že tieto správy sa týkajú obdobia 2015 – 2019 a že Komisia potvrdila, že tieto obvinenia interne skúma; očakáva, že očakávame, že Komisia a príslušné orgány vykonajú dôkladnú analýzu a vyšetrovanie na základe dôkazov a budú </w:t>
      </w:r>
      <w:r w:rsidR="00702D39" w:rsidRPr="005E78F4">
        <w:t>Európsky p</w:t>
      </w:r>
      <w:r w:rsidR="003B03EB" w:rsidRPr="005E78F4">
        <w:t>arlament informovať hneď po ukončení vyšetrovania;</w:t>
      </w:r>
    </w:p>
    <w:p w14:paraId="54E03865" w14:textId="5631C3AA" w:rsidR="003B03EB" w:rsidRPr="005E78F4" w:rsidRDefault="000A140A" w:rsidP="003B03EB">
      <w:pPr>
        <w:pStyle w:val="NormalHanging12a"/>
      </w:pPr>
      <w:r>
        <w:t>208</w:t>
      </w:r>
      <w:r w:rsidR="003B03EB" w:rsidRPr="005E78F4">
        <w:t>.</w:t>
      </w:r>
      <w:r w:rsidR="003B03EB" w:rsidRPr="005E78F4">
        <w:tab/>
        <w:t xml:space="preserve">konštatuje, že komisári vykonávajú významnú politickú a regulačnú právomoc, a preto ich správanie musí odrážať najvyššie normy nezávislosti, transparentnosti, zodpovednosti a etického správania; zdôrazňuje, že prísne dodržiavanie kódexu správania členov Európskej komisie je nevyhnutné na zabezpečenie integrity, dôveryhodnosti a demokratickej legitimity výkonnej moci Únie; zdôrazňuje, že úplné dodržiavanie kódexu správania je nevyhnutné aj na predchádzanie konfliktom záujmov, zabránenie neprimeranému ovplyvňovaniu a zabezpečenie toho, aby sa rozhodnutia prijímali výlučne v európskom záujme; domnieva sa, že závažné a dlhotrvajúce zlyhania riadenia v GR NEAR, poskytnutie nepresných informácií </w:t>
      </w:r>
      <w:r w:rsidR="00702D39" w:rsidRPr="005E78F4">
        <w:t>Európskemu p</w:t>
      </w:r>
      <w:r w:rsidR="003B03EB" w:rsidRPr="005E78F4">
        <w:t>arlamentu v súvislosti s postupom udeľovania absolutória a ďalšie uvedené problémy týkajúce sa konania a nezávislosti spoločne poukazujú na model, ktorý je nezlučiteľný s normami zodpovednosti, spoľahlivosti a riadnej správy, ktoré sa vyžadujú od člena Komisie;</w:t>
      </w:r>
    </w:p>
    <w:p w14:paraId="38E06983" w14:textId="4E2C2174" w:rsidR="003B03EB" w:rsidRPr="005E78F4" w:rsidRDefault="000A140A" w:rsidP="003B03EB">
      <w:pPr>
        <w:pStyle w:val="NormalHanging12a"/>
      </w:pPr>
      <w:r>
        <w:t>209</w:t>
      </w:r>
      <w:r w:rsidR="003B03EB" w:rsidRPr="005E78F4">
        <w:t>.</w:t>
      </w:r>
      <w:r w:rsidR="003B03EB" w:rsidRPr="005E78F4">
        <w:tab/>
        <w:t>so znepokojením konštatuje, že finančné prostriedky Únie pre Ukrajinu sú rozptýlené vo viacerých nástrojoch a prostriedkoch, čo vytvára nejednotné a zložité prostredie financovania; zdôrazňuje, že absencia konsolidovaného a transparentného prehľadu o tom, ako sa tieto finančné prostriedky vrátane úverov zaručených manévrovacím priestorom VFR prideľujú a vynakladajú, bráni účinnému demokratickému dohľadu, zodpovednosti a schopnosti posúdiť celkový vplyv podpory Únie;</w:t>
      </w:r>
    </w:p>
    <w:p w14:paraId="143C92DF" w14:textId="0E0C5109" w:rsidR="003B03EB" w:rsidRPr="005E78F4" w:rsidRDefault="000A140A" w:rsidP="003B03EB">
      <w:pPr>
        <w:pStyle w:val="NormalHanging12a"/>
      </w:pPr>
      <w:r>
        <w:t>210</w:t>
      </w:r>
      <w:r w:rsidR="003B03EB" w:rsidRPr="005E78F4">
        <w:t>.</w:t>
      </w:r>
      <w:r w:rsidR="003B03EB" w:rsidRPr="005E78F4">
        <w:tab/>
        <w:t xml:space="preserve">konštatuje, že ukrajinské protikorupčné špecializované orgány (NABU, SAPO a HACC) naďalej vedú vyšetrovania, trestné stíhania a vynášajú rozsudky v prípadoch na vysokej úrovni, čo dokazuje, že nezávislé protikorupčné inštitúcie začínajú fungovať a že nedávne odstúpenia obvinených ministrov vykazujú určitý stupeň </w:t>
      </w:r>
      <w:proofErr w:type="spellStart"/>
      <w:r w:rsidR="003B03EB" w:rsidRPr="005E78F4">
        <w:t>reakcieschopnosti</w:t>
      </w:r>
      <w:proofErr w:type="spellEnd"/>
      <w:r w:rsidR="003B03EB" w:rsidRPr="005E78F4">
        <w:t xml:space="preserve"> a zodpovednosti vlády; uznáva reformy, ktoré Ukrajina uskutočnila uprostred plnohodnotnej invázie; konštatuje, že pokusy o podriadenie NABU a SAPO </w:t>
      </w:r>
      <w:r w:rsidR="003B03EB" w:rsidRPr="005E78F4">
        <w:lastRenderedPageBreak/>
        <w:t>generálnemu prokurátorovi mohli ohroziť nezávislosť a účinnosť protikorupčného rámca; víta rýchle zvrátenie týchto zmien v nadväznosti na domáci a medzinárodný tlak, ale vyjadruje znepokojenie nad správami protikorupčných inštitúcií a občianskej spoločnosti, v ktorých sa zdôrazňujú výzvy pri zachovávaní účinnosti a nezávislosti protikorupčného rámca; vyzýva orgány, aby zabránili zhoršeniu situácie, riešili procesné prieťahy a prekážky v prípadoch na vysokej úrovni a zrevidovali premlčacie lehoty v súlade s európskymi normami;</w:t>
      </w:r>
    </w:p>
    <w:p w14:paraId="72DB250A" w14:textId="098D7D58" w:rsidR="003B03EB" w:rsidRPr="005E78F4" w:rsidRDefault="000A140A" w:rsidP="003B03EB">
      <w:pPr>
        <w:pStyle w:val="NormalHanging12a"/>
      </w:pPr>
      <w:r>
        <w:t>211</w:t>
      </w:r>
      <w:r w:rsidR="003B03EB" w:rsidRPr="005E78F4">
        <w:t>.</w:t>
      </w:r>
      <w:r w:rsidR="003B03EB" w:rsidRPr="005E78F4">
        <w:tab/>
        <w:t>berie na vedomie nedávne obvinenia z podvodov v odvetví energetiky na Ukrajine; zdôrazňuje, že ak sa tieto obvinenia potvrdia, poukáže to na štrukturálne slabé miesta v systémoch správy, dohľadu a vnútornej kontroly; zdôrazňuje, že je potrebné vybudovať dôveru verejnosti, aby sa posilnila dôveryhodnosť reforiem Ukrajiny prostredníctvom posilnenia systémov obstarávania a vnútornej kontroly;</w:t>
      </w:r>
    </w:p>
    <w:p w14:paraId="5C28DB08" w14:textId="140E5FDB" w:rsidR="003B03EB" w:rsidRPr="005E78F4" w:rsidRDefault="000A140A" w:rsidP="003B03EB">
      <w:pPr>
        <w:pStyle w:val="NormalHanging12a"/>
      </w:pPr>
      <w:r>
        <w:t>212</w:t>
      </w:r>
      <w:r w:rsidR="003B03EB" w:rsidRPr="005E78F4">
        <w:t>.</w:t>
      </w:r>
      <w:r w:rsidR="003B03EB" w:rsidRPr="005E78F4">
        <w:tab/>
        <w:t>konštatuje, že s cieľom zabezpečiť správne finančné riadenie Nástroja pre Ukrajinu Komisia v júni 2024 zriadila prostredníctvom vykonávacieho rozhodnutia (EÚ) 2024/1697 osobitnú radu audítorov zloženú z nezávislých expertov, ktorých menuje Komisia; konštatuje, že mandátom rady audítorov je odhaľovať systémové nedostatky v riadení a kontrole finančných prostriedkov nástroja zo strany Ukrajiny vrátane nedostatkov v oblasti predchádzania podvodom, protikorupčných záruk a systémov konfliktu záujmov a oznamovať takéto problémy priamo Komisii;</w:t>
      </w:r>
    </w:p>
    <w:p w14:paraId="2667990D" w14:textId="06800198" w:rsidR="003B03EB" w:rsidRPr="005E78F4" w:rsidRDefault="000A140A" w:rsidP="003B03EB">
      <w:pPr>
        <w:pStyle w:val="NormalHanging12a"/>
      </w:pPr>
      <w:r>
        <w:t>213</w:t>
      </w:r>
      <w:r w:rsidR="003B03EB" w:rsidRPr="005E78F4">
        <w:t>.</w:t>
      </w:r>
      <w:r w:rsidR="003B03EB" w:rsidRPr="005E78F4">
        <w:tab/>
        <w:t>zdôrazňuje, že rada audítorov môže okrem svojej úlohy dohľadu vydávať odporúčania ukrajinským orgánom týkajúce sa riešenia finančných nezrovnalostí alebo štrukturálnych nedostatkov v riadení finančných prostriedkov Únie; zdôrazňuje, že Ukrajina zastúpená ministerstvom hospodárstva musí na každé odporúčanie poskytnúť písomnú odpoveď, v ktorej buď uvedie prijaté vykonávacie opatrenia alebo poskytne odôvodnené vysvetlenie, prečo opatrenia neprijala; zdôrazňuje, že zistenia rady audítorov môžu mať významné finančné dôsledky; zdôrazňuje, že trvalú finančnú podporu Únie musí sprevádzať správne finančné riadenie, transparentnosť a monitorovanie výkonnosti, aby sa zabezpečilo účinné využívanie finančných prostriedkov Únie a zachovala dôveryhodnosť politiky rozširovania;</w:t>
      </w:r>
    </w:p>
    <w:p w14:paraId="6F6744B6" w14:textId="77C9DE0F" w:rsidR="003B03EB" w:rsidRPr="005E78F4" w:rsidRDefault="000A140A" w:rsidP="003B03EB">
      <w:pPr>
        <w:pStyle w:val="NormalHanging12a"/>
      </w:pPr>
      <w:r>
        <w:t>214</w:t>
      </w:r>
      <w:r w:rsidR="003B03EB" w:rsidRPr="005E78F4">
        <w:t>.</w:t>
      </w:r>
      <w:r w:rsidR="003B03EB" w:rsidRPr="005E78F4">
        <w:tab/>
        <w:t>pripomína, že v rámci Nástroja pre Ukrajinu sú pravidelné platby podmienené tým, že Komisia overuje vykonávanie plánu obnovy a reforiem Ukrajiny a nepretržité dodržiavanie demokratických mechanizmov, právneho štátu a ľudských práv; konštatuje, že Komisia doteraz päťkrát dospela k záveru, že jednotlivé reformné kroky neboli splnené v rámci splátok jedna až päť, čo viedlo k pozastaveniu príslušných súm, z ktorých jedna bola odvtedy napravená; v tejto súvislosti víta prístup prísnej podmienenosti Komisie a jej preukázanú vôľu dôkladne overovať vykonávanie a pozastaviť finančné prostriedky v prípade nesplnenia podmienok;</w:t>
      </w:r>
    </w:p>
    <w:p w14:paraId="67C3F4C6" w14:textId="1658EE59" w:rsidR="003B03EB" w:rsidRPr="005E78F4" w:rsidRDefault="000A140A" w:rsidP="003B03EB">
      <w:pPr>
        <w:pStyle w:val="NormalHanging12a"/>
      </w:pPr>
      <w:r>
        <w:t>215</w:t>
      </w:r>
      <w:r w:rsidR="003B03EB" w:rsidRPr="005E78F4">
        <w:t>.</w:t>
      </w:r>
      <w:r w:rsidR="003B03EB" w:rsidRPr="005E78F4">
        <w:tab/>
        <w:t>víta skutočnosť, že úrad OLAF poskytuje orgánom cielenú pomoc v boji proti podvodom a podporuje pristúpenie Ukrajiny k programu Únie pre boj proti podvodom; konštatuje, že v rámcovej dohode o Nástroji pre Ukrajinu, ktorá nadobudla platnosť v júni 2024, sa stanovujú právne záväzné opatrenia pre riadenie, kontrolu, dohľad, monitorovanie, hodnotenie, podávanie správ a audit finančných prostriedkov v rámci nástroja, ako aj opatrenia na predchádzanie nezrovnalostiam, podvodom, korupcii a konfliktom záujmov, ich vyšetrovanie a nápravu a ustanovenia o úlohách úradu OLAF a Európskej prokuratúry;</w:t>
      </w:r>
    </w:p>
    <w:p w14:paraId="6392371B" w14:textId="6CBC7A69" w:rsidR="003B03EB" w:rsidRPr="005E78F4" w:rsidRDefault="000A140A" w:rsidP="003B03EB">
      <w:pPr>
        <w:pStyle w:val="NormalHanging12a"/>
      </w:pPr>
      <w:r>
        <w:lastRenderedPageBreak/>
        <w:t>216</w:t>
      </w:r>
      <w:r w:rsidR="003B03EB" w:rsidRPr="005E78F4">
        <w:t>.</w:t>
      </w:r>
      <w:r w:rsidR="003B03EB" w:rsidRPr="005E78F4">
        <w:tab/>
        <w:t xml:space="preserve">vyjadruje znepokojenie nad pridelením prostriedkov z fondu EFSD+ v rámci nového flexibilného finančného krytia na „podporu investícií“ v prospech prijímajúcich krajín, kde sa ľahšie realizujú investície </w:t>
      </w:r>
      <w:proofErr w:type="spellStart"/>
      <w:r w:rsidR="003B03EB" w:rsidRPr="005E78F4">
        <w:t>Global</w:t>
      </w:r>
      <w:proofErr w:type="spellEnd"/>
      <w:r w:rsidR="003B03EB" w:rsidRPr="005E78F4">
        <w:t xml:space="preserve"> </w:t>
      </w:r>
      <w:proofErr w:type="spellStart"/>
      <w:r w:rsidR="003B03EB" w:rsidRPr="005E78F4">
        <w:t>Gateway</w:t>
      </w:r>
      <w:proofErr w:type="spellEnd"/>
      <w:r w:rsidR="003B03EB" w:rsidRPr="005E78F4">
        <w:t>, a to na úkor uprednostnenia najmenej rozvinutých krajín, nestabilných krajín a krajín postihnutých konfliktom;</w:t>
      </w:r>
    </w:p>
    <w:p w14:paraId="7B58E537" w14:textId="15B1032F" w:rsidR="003B03EB" w:rsidRPr="005E78F4" w:rsidRDefault="000A140A" w:rsidP="003B03EB">
      <w:pPr>
        <w:pStyle w:val="NormalHanging12a"/>
      </w:pPr>
      <w:r>
        <w:t>217</w:t>
      </w:r>
      <w:r w:rsidR="003B03EB" w:rsidRPr="005E78F4">
        <w:t>.</w:t>
      </w:r>
      <w:r w:rsidR="003B03EB" w:rsidRPr="005E78F4">
        <w:tab/>
        <w:t>konštatuje, že napriek dlhodobému financovaniu Únie na posilnenie kontrol líbyjských hraníc a migrácie zo správ vyplýva, že táto pomoc naďalej vyvoláva vážne operatívne a humanitárne obavy a obavy v oblasti základných práv a správy vecí verejných, čo môže vystaviť Úniu riziku poškodenia jej dobrej povesti; zdôrazňuje potrebu prísnych mechanizmov monitorovania, transparentnosti a zodpovednosti s cieľom zabezpečiť, aby pomoc súvisiaca s migráciou nepriamo neprispievala k ďalším škodám;</w:t>
      </w:r>
    </w:p>
    <w:p w14:paraId="1C5E6A17" w14:textId="42D3F16C" w:rsidR="003B03EB" w:rsidRPr="005E78F4" w:rsidRDefault="000A140A" w:rsidP="003B03EB">
      <w:pPr>
        <w:pStyle w:val="NormalHanging12a"/>
      </w:pPr>
      <w:r>
        <w:t>218</w:t>
      </w:r>
      <w:r w:rsidR="003B03EB" w:rsidRPr="005E78F4">
        <w:t>.</w:t>
      </w:r>
      <w:r w:rsidR="003B03EB" w:rsidRPr="005E78F4">
        <w:tab/>
        <w:t>konštatuje, že od 1. februára 2025 Európska komisia reorganizovala bývalé generálne riaditeľstvo GR NEAR a rozdelila jeho úlohy medzi dve novovytvorené riaditeľstvá: Generálne riaditeľstvo pre rozširovanie a východné susedstvo (GR ENEST), ktoré je zodpovedné za kandidátske krajiny a východné susedstvo, a Generálne riaditeľstvo pre Blízky východ, severnú Afriku a Perzský záliv (GR MENA), ktoré teraz zahŕňa región Stredozemného mora;</w:t>
      </w:r>
    </w:p>
    <w:p w14:paraId="6D18B89D" w14:textId="77777777" w:rsidR="003B03EB" w:rsidRPr="005E78F4" w:rsidRDefault="003B03EB" w:rsidP="003B03EB">
      <w:pPr>
        <w:spacing w:after="240"/>
        <w:ind w:left="567" w:hanging="567"/>
        <w:rPr>
          <w:b/>
        </w:rPr>
      </w:pPr>
      <w:r w:rsidRPr="005E78F4">
        <w:rPr>
          <w:b/>
        </w:rPr>
        <w:t>Európsky rozvojový fond (ERF)</w:t>
      </w:r>
      <w:bookmarkEnd w:id="415"/>
    </w:p>
    <w:p w14:paraId="686F4B14" w14:textId="15891217" w:rsidR="003B03EB" w:rsidRPr="005E78F4" w:rsidRDefault="000A140A" w:rsidP="003B03EB">
      <w:pPr>
        <w:pStyle w:val="NormalHanging12a"/>
      </w:pPr>
      <w:r>
        <w:t>219</w:t>
      </w:r>
      <w:r w:rsidR="003B03EB" w:rsidRPr="005E78F4">
        <w:t>.</w:t>
      </w:r>
      <w:r w:rsidR="003B03EB" w:rsidRPr="005E78F4">
        <w:tab/>
        <w:t>konštatuje, že na účely auditu správnosti transakcií Dvor audítorov preskúmal vzorku 85 transakcií, ktorá reprezentovala celý rad výdavkov v rámci ERF; dodáva, že ju tvorilo 16 transakcií týkajúcich sa núdzového trustového fondu Európskej únie pre Afriku, 54 transakcií schválených 14 delegáciami Únie,</w:t>
      </w:r>
      <w:r w:rsidR="003B03EB" w:rsidRPr="005E78F4">
        <w:rPr>
          <w:vertAlign w:val="superscript"/>
        </w:rPr>
        <w:footnoteReference w:id="115"/>
      </w:r>
      <w:r w:rsidR="003B03EB" w:rsidRPr="005E78F4">
        <w:t xml:space="preserve"> 14 transakcií schválených ústredím Komisie a jedna transakcia súvisiaca s Trustovým fondom </w:t>
      </w:r>
      <w:proofErr w:type="spellStart"/>
      <w:r w:rsidR="003B03EB" w:rsidRPr="005E78F4">
        <w:t>Bêkou</w:t>
      </w:r>
      <w:proofErr w:type="spellEnd"/>
      <w:r w:rsidR="003B03EB" w:rsidRPr="005E78F4">
        <w:t>;</w:t>
      </w:r>
    </w:p>
    <w:p w14:paraId="10A03BC6" w14:textId="4687A8A3" w:rsidR="003B03EB" w:rsidRPr="005E78F4" w:rsidRDefault="000A140A" w:rsidP="003B03EB">
      <w:pPr>
        <w:pStyle w:val="NormalHanging12a"/>
      </w:pPr>
      <w:r>
        <w:t>220</w:t>
      </w:r>
      <w:r w:rsidR="003B03EB" w:rsidRPr="005E78F4">
        <w:t>.</w:t>
      </w:r>
      <w:r w:rsidR="003B03EB" w:rsidRPr="005E78F4">
        <w:tab/>
        <w:t>so znepokojením konštatuje, že 34 z 85 preskúmaných transakcií obsahovalo chyby (40,0 %) v porovnaní s 62 transakciami v roku 2023 (44,3 %) pri rovnakom počte transakcií; okrem toho zdôrazňuje, že Dvor audítorov vyčíslil 27 chýb (52 v roku 2023), na základe čoho odhadol úroveň chybovosti na rozpočtový rok 2024 na 6,5 % (8,9 % v roku 2023);</w:t>
      </w:r>
    </w:p>
    <w:p w14:paraId="6E21D7EB" w14:textId="5D5D5C77" w:rsidR="003B03EB" w:rsidRPr="005E78F4" w:rsidRDefault="000A140A" w:rsidP="003B03EB">
      <w:pPr>
        <w:pStyle w:val="NormalHanging12a"/>
      </w:pPr>
      <w:r>
        <w:t>221</w:t>
      </w:r>
      <w:r w:rsidR="003B03EB" w:rsidRPr="005E78F4">
        <w:t>.</w:t>
      </w:r>
      <w:r w:rsidR="003B03EB" w:rsidRPr="005E78F4">
        <w:tab/>
        <w:t>so znepokojením zdôrazňuje, že tri najčastejšie typy chýb zistených v rozpočtovom roku 2024 boli: neoprávnené výdavky (40,0 %), chýbajúca základná podporná dokumentácia (32,0 %) a nadmerné zúčtovanie predbežného financovania (14,0 %);</w:t>
      </w:r>
    </w:p>
    <w:p w14:paraId="23654D08" w14:textId="61B1269B" w:rsidR="003B03EB" w:rsidRPr="005E78F4" w:rsidRDefault="000A140A" w:rsidP="003B03EB">
      <w:pPr>
        <w:pStyle w:val="NormalHanging12a"/>
      </w:pPr>
      <w:r>
        <w:t>222</w:t>
      </w:r>
      <w:r w:rsidR="003B03EB" w:rsidRPr="005E78F4">
        <w:t>.</w:t>
      </w:r>
      <w:r w:rsidR="003B03EB" w:rsidRPr="005E78F4">
        <w:tab/>
        <w:t>so znepokojením konštatuje, že k 31. decembru 2024 ešte stále nebola dokončená úplná účtovná závierka 9. Európskeho rozvojového fondu za obdobie 2000 – 2007, a to viac ako 17 rokov po zavedení doložky o ukončení platnosti, pričom osem zmlúv sa stále plní, čo poukazuje na výnimočnú zložitosť a trvanie určitých programov ERF;</w:t>
      </w:r>
    </w:p>
    <w:p w14:paraId="0048ECB9" w14:textId="6422FF4B" w:rsidR="003B03EB" w:rsidRPr="005E78F4" w:rsidRDefault="000A140A" w:rsidP="003B03EB">
      <w:pPr>
        <w:pStyle w:val="NormalHanging12a"/>
      </w:pPr>
      <w:r>
        <w:t>223</w:t>
      </w:r>
      <w:r w:rsidR="003B03EB" w:rsidRPr="005E78F4">
        <w:t>.</w:t>
      </w:r>
      <w:r w:rsidR="003B03EB" w:rsidRPr="005E78F4">
        <w:tab/>
        <w:t>s uspokojením konštatuje, že Komisia zlepšila výpočet odhadov pri rozdelení účtovných období systematickým zohľadňovaním predĺžení období plnenia zmlúv, ku ktorým došlo po vykazovanom roku, v nadväznosti na odporúčanie Dvora audítorov uvedené v jeho výročnej správe za rok 2023;</w:t>
      </w:r>
    </w:p>
    <w:p w14:paraId="08AE2D42" w14:textId="2DA8CB2C" w:rsidR="003B03EB" w:rsidRPr="005E78F4" w:rsidRDefault="000A140A" w:rsidP="003B03EB">
      <w:pPr>
        <w:pStyle w:val="NormalHanging12a"/>
      </w:pPr>
      <w:r>
        <w:t>224</w:t>
      </w:r>
      <w:r w:rsidR="003B03EB" w:rsidRPr="005E78F4">
        <w:t>.</w:t>
      </w:r>
      <w:r w:rsidR="003B03EB" w:rsidRPr="005E78F4">
        <w:tab/>
        <w:t xml:space="preserve">so znepokojením konštatuje, že podobne ako v predchádzajúcich rokoch zostávajú </w:t>
      </w:r>
      <w:r w:rsidR="003B03EB" w:rsidRPr="005E78F4">
        <w:lastRenderedPageBreak/>
        <w:t>značné zostatky predbežného financovania nezúčtované počas nadmerne dlhých období vrátane 446,0 milióna EUR, ktoré neboli zúčtované viac ako 10 rokov, čo je vo veľkej miere spojené s Trustovým fondom EÚ a Afriky pre infraštruktúru, ktorého dlhodobé operácie vedú k veľmi pomalému zúčtovaniu predbežného financovania;</w:t>
      </w:r>
    </w:p>
    <w:p w14:paraId="1D0AEB5C" w14:textId="3F87122E" w:rsidR="003B03EB" w:rsidRPr="005E78F4" w:rsidRDefault="000A140A" w:rsidP="003B03EB">
      <w:pPr>
        <w:pStyle w:val="NormalHanging12a"/>
      </w:pPr>
      <w:r>
        <w:t>225</w:t>
      </w:r>
      <w:r w:rsidR="003B03EB" w:rsidRPr="005E78F4">
        <w:t>.</w:t>
      </w:r>
      <w:r w:rsidR="003B03EB" w:rsidRPr="005E78F4">
        <w:tab/>
        <w:t xml:space="preserve">konštatuje, že očakávané výsledky prebiehajúceho preskúmania stratégie kontroly GR INTPA zahŕňajú posilnenie usmernení o finančnom vykazovaní a o posilnených </w:t>
      </w:r>
      <w:r w:rsidR="003B03EB" w:rsidRPr="005E78F4">
        <w:rPr>
          <w:i/>
          <w:iCs/>
        </w:rPr>
        <w:t xml:space="preserve">ex </w:t>
      </w:r>
      <w:proofErr w:type="spellStart"/>
      <w:r w:rsidR="003B03EB" w:rsidRPr="005E78F4">
        <w:rPr>
          <w:i/>
          <w:iCs/>
        </w:rPr>
        <w:t>ante</w:t>
      </w:r>
      <w:proofErr w:type="spellEnd"/>
      <w:r w:rsidR="003B03EB" w:rsidRPr="005E78F4">
        <w:t xml:space="preserve"> kontrolách na predchádzanie chybám vrátane nadmerného zúčtovania;</w:t>
      </w:r>
    </w:p>
    <w:p w14:paraId="46F3FAFC" w14:textId="3BD13538" w:rsidR="003B03EB" w:rsidRPr="005E78F4" w:rsidRDefault="000A140A" w:rsidP="003B03EB">
      <w:pPr>
        <w:pStyle w:val="NormalHanging12a"/>
        <w:rPr>
          <w:szCs w:val="24"/>
        </w:rPr>
      </w:pPr>
      <w:r>
        <w:t>226</w:t>
      </w:r>
      <w:r w:rsidR="003B03EB" w:rsidRPr="005E78F4">
        <w:t>.</w:t>
      </w:r>
      <w:r w:rsidR="003B03EB" w:rsidRPr="005E78F4">
        <w:tab/>
        <w:t>konštatuje, že vyhlásenie generálneho riaditeľa o vierohodnosti vo výročnej správe o činnosti GR INTPA za rok 2024 neobsahuje žiadne výhrady, pričom pokračuje trend, v rámci ktorého generálne riaditeľstvo znížilo rozsah výhrad zo 16,0 % výdavkov v roku 2017 na 1,0 % v roku 2018 a na nulu od roku 2019; ďalej konštatuje, že GR INTPA odhaduje sumu vystavenú riziku pri platbe na 89,7 milióna EUR (1,1 % výdavkov v roku 2024) a sumu vystavenú riziku pri ukončení na 78,6 milióna EUR (0,97 %), a že očakáva opravy vo výške 11,1 milióna EUR (12,4 % sumy vystavenej riziku pri platbe) v nasledujúcich rokoch prostredníctvom svojich vlastných kontrol; konštatuje však, že pokiaľ ide o 5 miliónov EUR vykázaných ako spätne získaných vymáhaním v roku 2024, z testovania Dvora audítorov vyplynulo, že 0,2 milióna EUR sa nemalo započítať ako realizovaná kapacita opráv, čo vyvoláva obavy o spoľahlivosť vykazovania generálneho riaditeľstva;</w:t>
      </w:r>
    </w:p>
    <w:p w14:paraId="18F06696" w14:textId="63F37C42" w:rsidR="003B03EB" w:rsidRPr="005E78F4" w:rsidRDefault="000A140A" w:rsidP="003B03EB">
      <w:pPr>
        <w:pStyle w:val="NormalHanging12a"/>
      </w:pPr>
      <w:r>
        <w:t>227</w:t>
      </w:r>
      <w:r w:rsidR="003B03EB" w:rsidRPr="005E78F4">
        <w:t>.</w:t>
      </w:r>
      <w:r w:rsidR="003B03EB" w:rsidRPr="005E78F4">
        <w:tab/>
        <w:t xml:space="preserve">konštatuje, že GR INTPA zadalo v roku 2024 vypracovanie svojej 13. štúdie o zvyškovej chybovosti, ktorá je dôležitou súčasťou vyhlásenia generálneho riaditeľa o vierohodnosti a informácií o správnosti zverejnených vo výročnej správe o riadení a výkonnosti; konštatuje, že v štúdii za rok 2024, ktorá bola založená na vzorke 401 operácií, sa odhaduje zvyšková chybovosť na úrovni 0,48 %, ktorá zostáva už deviaty rok po sebe pod prahom významnosti Komisie 2,0 %; pripomína však, že Dvor audítorov opakovane zistil metodické nedostatky, v dôsledku čoho sa môže skutočná zvyšková chybovosť podhodnotiť, najmä pokiaľ ide o zaobchádzanie s položkami s vysokou hodnotou; konštatuje, že hoci Komisia v roku 2025 zrevidovala metodiku zvyškovej chybovosti s cieľom objasniť určité aspekty a obmedziť využívanie kontrol riadenia a práce iných audítorov, aktualizovaná metodika stále umožňuje vylúčiť „izolované“ chyby z </w:t>
      </w:r>
      <w:proofErr w:type="spellStart"/>
      <w:r w:rsidR="003B03EB" w:rsidRPr="005E78F4">
        <w:t>extrapolácie</w:t>
      </w:r>
      <w:proofErr w:type="spellEnd"/>
      <w:r w:rsidR="003B03EB" w:rsidRPr="005E78F4">
        <w:t>; očakáva, že Komisia bude dôsledne uplatňovať revidovanú metodiku, a to, že Dvor audítorov overí jej uplatňovanie v ďalšom cykle auditu;</w:t>
      </w:r>
    </w:p>
    <w:p w14:paraId="599C39CB" w14:textId="0EF2E4CB" w:rsidR="003B03EB" w:rsidRPr="005E78F4" w:rsidRDefault="000A140A" w:rsidP="003B03EB">
      <w:pPr>
        <w:pStyle w:val="NormalHanging12a"/>
      </w:pPr>
      <w:r>
        <w:t>228</w:t>
      </w:r>
      <w:r w:rsidR="003B03EB" w:rsidRPr="005E78F4">
        <w:t>.</w:t>
      </w:r>
      <w:r w:rsidR="003B03EB" w:rsidRPr="005E78F4">
        <w:tab/>
        <w:t>pripomína, že Núdzový trustový fond EÚ pre Afriku, zriadený na riešenie základných príčin vysídľovania a neoprávnenej migrácie, zmobilizoval viac ako 5 miliárd EUR, z toho 88 % z ERF a rozpočtu Únie; vyjadruje poľutovanie nad nedostatočnou transparentnosťou riadenia a prideľovania týchto finančných prostriedkov a nad ťažkosťami pri overovaní súladu so zásadami oficiálnej rozvojovej pomoci, ako sa zdôrazňuje v osobitnej správe Dvora audítorov č. 17/2024; vyzýva trustový fond EÚ, aby dostatočne podporoval dohodnuté priority; so znepokojením berie na vedomie aj zistenia osobitnej správy Dvora audítorov č. 20/2025 o podpore Komisie v boji proti hladu v subsaharskej Afrike, v ktorej sa zistili nedostatky v posudzovaní nákladov a plánovaní projektov vrátane nedostatočnej kontroly rozpočtov a prípadov nevyužitého alebo nevhodného vybavenia; zdôrazňuje, že takéto nedostatky oslabujú správne finančné riadenie, a vyzýva Komisiu, aby posilnila analýzu nákladov, plánovanie verejného obstarávania a vykonávanie na základe potrieb;</w:t>
      </w:r>
    </w:p>
    <w:p w14:paraId="59620E84" w14:textId="77777777" w:rsidR="003B03EB" w:rsidRPr="005E78F4" w:rsidRDefault="003B03EB" w:rsidP="003B03EB">
      <w:pPr>
        <w:spacing w:after="240"/>
        <w:rPr>
          <w:i/>
        </w:rPr>
      </w:pPr>
      <w:r w:rsidRPr="005E78F4">
        <w:rPr>
          <w:i/>
        </w:rPr>
        <w:lastRenderedPageBreak/>
        <w:t>Odporúčania</w:t>
      </w:r>
    </w:p>
    <w:p w14:paraId="21D3BBC4" w14:textId="173FFA0B" w:rsidR="003B03EB" w:rsidRPr="005E78F4" w:rsidRDefault="000A140A" w:rsidP="003B03EB">
      <w:pPr>
        <w:pStyle w:val="NormalHanging12a"/>
        <w:rPr>
          <w:szCs w:val="24"/>
        </w:rPr>
      </w:pPr>
      <w:r>
        <w:t>229</w:t>
      </w:r>
      <w:r w:rsidR="003B03EB" w:rsidRPr="005E78F4">
        <w:t>.</w:t>
      </w:r>
      <w:r w:rsidR="003B03EB" w:rsidRPr="005E78F4">
        <w:tab/>
        <w:t>vyzýva Komisiu, aby:</w:t>
      </w:r>
    </w:p>
    <w:p w14:paraId="52D71190" w14:textId="77777777" w:rsidR="003B03EB" w:rsidRPr="005E78F4" w:rsidRDefault="003B03EB" w:rsidP="005E78F4">
      <w:pPr>
        <w:pStyle w:val="NormalHanging12a"/>
        <w:widowControl/>
        <w:ind w:left="1134"/>
      </w:pPr>
      <w:r w:rsidRPr="005E78F4">
        <w:t>i)</w:t>
      </w:r>
      <w:r w:rsidRPr="005E78F4">
        <w:tab/>
        <w:t>posilnila preventívne a nápravné kontroly v rámci okruhu 6 a riešila opakujúce sa nedostatky, ako sú neoprávnené výdavky, nezrovnalosti vo verejnom obstarávaní, chýbajúca dokumentácia a výdavky, ktoré v skutočnosti nevznikli; vyzýva ju, aby posilnila usmernenia pre delegácie a implementujúcich partnerov;</w:t>
      </w:r>
    </w:p>
    <w:p w14:paraId="1FC9A678" w14:textId="77777777" w:rsidR="003B03EB" w:rsidRPr="005E78F4" w:rsidRDefault="003B03EB" w:rsidP="005E78F4">
      <w:pPr>
        <w:pStyle w:val="NormalHanging12a"/>
        <w:widowControl/>
        <w:ind w:left="1134"/>
      </w:pPr>
      <w:r w:rsidRPr="005E78F4">
        <w:t>ii)</w:t>
      </w:r>
      <w:r w:rsidRPr="005E78F4">
        <w:tab/>
        <w:t>vykonala komplexné preskúmanie rámca uistenia pre nepriame riadenie, najmä s organizáciami, ktoré sa posudzujú v rámci piliera, a medzinárodnými finančnými inštitúciami;</w:t>
      </w:r>
    </w:p>
    <w:p w14:paraId="16040551" w14:textId="77777777" w:rsidR="003B03EB" w:rsidRPr="005E78F4" w:rsidRDefault="003B03EB" w:rsidP="005E78F4">
      <w:pPr>
        <w:pStyle w:val="NormalHanging12a"/>
        <w:widowControl/>
        <w:ind w:left="1134"/>
      </w:pPr>
      <w:r w:rsidRPr="005E78F4">
        <w:t>iii)</w:t>
      </w:r>
      <w:r w:rsidRPr="005E78F4">
        <w:tab/>
        <w:t>zabezpečila, aby nová zmluva o monitorovaní zameranom na výsledky bola v apríli 2026 bezodkladne v platnosti, keďže prerušenie monitorovania zameraného na výsledky oslabuje monitorovanie výkonnosti a orientáciu vykonávania NDICI na výsledky; zabránila budúcim narušeniam monitorovania zameraného na výsledky zabezpečením stabilného financovania a zaručením nepretržitej dostupnosti monitorovacích nástrojov počas celého obdobia VFR;</w:t>
      </w:r>
    </w:p>
    <w:p w14:paraId="334C9EFC" w14:textId="77777777" w:rsidR="003B03EB" w:rsidRPr="005E78F4" w:rsidRDefault="003B03EB" w:rsidP="005E78F4">
      <w:pPr>
        <w:pStyle w:val="NormalHanging12a"/>
        <w:widowControl/>
        <w:ind w:left="1134"/>
        <w:rPr>
          <w:szCs w:val="24"/>
        </w:rPr>
      </w:pPr>
      <w:r w:rsidRPr="005E78F4">
        <w:t>iv)</w:t>
      </w:r>
      <w:r w:rsidRPr="005E78F4">
        <w:tab/>
        <w:t>zvrátila pokles financovania pomoci obchodu pre najmenej rozvinuté krajiny, bezodkladne vykonala analýzu plánovanú na rok 2026 a navrhla nápravné opatrenia, ktorými sa zabezpečí, aby sa použitie zdrojov v rámci pomoci obchodu uprednostňovalo v krajinách, ktoré to najviac potrebujú;</w:t>
      </w:r>
    </w:p>
    <w:p w14:paraId="1D7C09FB" w14:textId="77777777" w:rsidR="003B03EB" w:rsidRPr="005E78F4" w:rsidRDefault="003B03EB" w:rsidP="005E78F4">
      <w:pPr>
        <w:pStyle w:val="NormalHanging12a"/>
        <w:widowControl/>
        <w:ind w:left="1134"/>
      </w:pPr>
      <w:r w:rsidRPr="005E78F4">
        <w:t>v)</w:t>
      </w:r>
      <w:r w:rsidRPr="005E78F4">
        <w:tab/>
        <w:t>do nového legislatívneho návrhu VFR začlenila odporúčania záruky pre vonkajšiu činnosť, ktoré dopĺňajú hodnotenie Komisie, vrátane zvýšeného využívania kombinovaného financovania v najmenej rozvinutých krajinách, nestabilných krajinách alebo krajinách postihnutých konfliktom a aktívnej koordinácie so zainteresovanými stranami, ako je občianska spoločnosť;</w:t>
      </w:r>
    </w:p>
    <w:p w14:paraId="3A97B342" w14:textId="77777777" w:rsidR="003B03EB" w:rsidRPr="005E78F4" w:rsidRDefault="003B03EB" w:rsidP="005E78F4">
      <w:pPr>
        <w:pStyle w:val="NormalHanging12a"/>
        <w:widowControl/>
        <w:ind w:left="1134"/>
        <w:rPr>
          <w:szCs w:val="24"/>
        </w:rPr>
      </w:pPr>
      <w:r w:rsidRPr="005E78F4">
        <w:t>vi)</w:t>
      </w:r>
      <w:r w:rsidRPr="005E78F4">
        <w:tab/>
        <w:t>zabezpečila nestranné posúdenia založené na dôkazoch pri podávaní správ o rozširovaní, aby politické úvahy neprevažovali nad objektívnymi hodnotiacimi kritériami;</w:t>
      </w:r>
    </w:p>
    <w:p w14:paraId="68C4B2FB" w14:textId="77777777" w:rsidR="003B03EB" w:rsidRPr="005E78F4" w:rsidRDefault="003B03EB" w:rsidP="005E78F4">
      <w:pPr>
        <w:pStyle w:val="NormalHanging12a"/>
        <w:widowControl/>
        <w:ind w:left="1134"/>
      </w:pPr>
      <w:r w:rsidRPr="005E78F4">
        <w:t>vii)</w:t>
      </w:r>
      <w:r w:rsidRPr="005E78F4">
        <w:tab/>
        <w:t>zabezpečila, aby žiadna pomoc Únie tretím krajinám nezvýhodňovala subjekty, ktoré sa podieľajú na porušovaní ľudských práv, represiách alebo úpadku demokracie, a dôsledne uplatňovala podmienenosť, a to aj pozastavením pomoci v prípadoch, keď sú ohrozené základné hodnoty Únie; poskytla podrobný rozpis s uvedením ochranných opatrení, monitorovacích mechanizmov a nápravných opatrení zavedených na zachovanie integrity a zodpovednosti vonkajšej pomoci Únie;</w:t>
      </w:r>
    </w:p>
    <w:p w14:paraId="5D133660" w14:textId="77777777" w:rsidR="003B03EB" w:rsidRPr="005E78F4" w:rsidRDefault="003B03EB" w:rsidP="005E78F4">
      <w:pPr>
        <w:pStyle w:val="NormalHanging12a"/>
        <w:widowControl/>
        <w:ind w:left="1134"/>
      </w:pPr>
      <w:r w:rsidRPr="005E78F4">
        <w:t>viii)</w:t>
      </w:r>
      <w:r w:rsidRPr="005E78F4">
        <w:tab/>
        <w:t>naďalej podporovala spoľahlivých humanitárnych partnerov spolu s nezávislým dohľadom externých expertov a Dvora audítorov s cieľom zabezpečiť účinnú kontrolu a dôveru, pokiaľ ide o použitie finančných prostriedkov Únie;</w:t>
      </w:r>
    </w:p>
    <w:p w14:paraId="4519EFFE" w14:textId="77777777" w:rsidR="003B03EB" w:rsidRPr="005E78F4" w:rsidRDefault="003B03EB" w:rsidP="005E78F4">
      <w:pPr>
        <w:pStyle w:val="NormalHanging12a"/>
        <w:widowControl/>
        <w:ind w:left="1134"/>
        <w:rPr>
          <w:szCs w:val="24"/>
        </w:rPr>
      </w:pPr>
      <w:r w:rsidRPr="005E78F4">
        <w:t>ix)</w:t>
      </w:r>
      <w:r w:rsidRPr="005E78F4">
        <w:tab/>
        <w:t xml:space="preserve">poskytla konsolidovaný a transparentný prehľad všetkej finančnej podpory Únie určenej Ukrajine vrátane grantov, úverov a záruk v rámci viacerých nástrojov a </w:t>
      </w:r>
      <w:proofErr w:type="spellStart"/>
      <w:r w:rsidRPr="005E78F4">
        <w:t>facilít</w:t>
      </w:r>
      <w:proofErr w:type="spellEnd"/>
      <w:r w:rsidRPr="005E78F4">
        <w:t xml:space="preserve"> s cieľom posilniť demokratickú kontrolu a zabezpečiť plnú zodpovednosť;</w:t>
      </w:r>
    </w:p>
    <w:p w14:paraId="0F18CB6D" w14:textId="77777777" w:rsidR="003B03EB" w:rsidRPr="005E78F4" w:rsidRDefault="003B03EB" w:rsidP="005E78F4">
      <w:pPr>
        <w:pStyle w:val="NormalHanging12a"/>
        <w:widowControl/>
        <w:ind w:left="1134"/>
        <w:rPr>
          <w:szCs w:val="24"/>
        </w:rPr>
      </w:pPr>
      <w:r w:rsidRPr="005E78F4">
        <w:lastRenderedPageBreak/>
        <w:t>x)</w:t>
      </w:r>
      <w:r w:rsidRPr="005E78F4">
        <w:tab/>
        <w:t>pozorne monitorovala obvinenia zo závažných podvodov na Ukrajine a naďalej uplatňovala podmienenosť v prípade zistenia systémových rizík alebo zneužitia finančných prostriedkov; Európsky parlament pravidelne informovala o činnostiach a zisteniach rady audítorov s cieľom zabezpečiť riadny parlamentný dohľad;</w:t>
      </w:r>
    </w:p>
    <w:p w14:paraId="4540DA81" w14:textId="77777777" w:rsidR="003B03EB" w:rsidRPr="005E78F4" w:rsidRDefault="003B03EB" w:rsidP="005E78F4">
      <w:pPr>
        <w:pStyle w:val="NormalHanging12a"/>
        <w:widowControl/>
        <w:ind w:left="1134"/>
        <w:rPr>
          <w:szCs w:val="24"/>
        </w:rPr>
      </w:pPr>
      <w:r w:rsidRPr="005E78F4">
        <w:t>xi)</w:t>
      </w:r>
      <w:r w:rsidRPr="005E78F4">
        <w:tab/>
        <w:t>informovala o objeme súm z EFSD+ pridelených a zmluvne dohodnutých v najmenej rozvinutých krajinách a o transparentnosti toho, ako sa dodržiava kvóta na prideľovanie finančných prostriedkov týmto krajinám v rámci ich viacročných orientačných programov;</w:t>
      </w:r>
    </w:p>
    <w:p w14:paraId="640B72C2" w14:textId="77777777" w:rsidR="003B03EB" w:rsidRPr="005E78F4" w:rsidRDefault="003B03EB" w:rsidP="005E78F4">
      <w:pPr>
        <w:pStyle w:val="NormalHanging12a"/>
        <w:widowControl/>
        <w:ind w:left="1134"/>
      </w:pPr>
      <w:r w:rsidRPr="005E78F4">
        <w:t>xii)</w:t>
      </w:r>
      <w:r w:rsidRPr="005E78F4">
        <w:tab/>
        <w:t>podala orgánu udeľujúcemu absolutórium správu o nápravných opatreniach prijatých po dokončení prebiehajúceho preskúmania stratégie kontroly GR INTPA;</w:t>
      </w:r>
    </w:p>
    <w:p w14:paraId="263E6BE6" w14:textId="77777777" w:rsidR="003B03EB" w:rsidRPr="005E78F4" w:rsidRDefault="003B03EB" w:rsidP="005E78F4">
      <w:pPr>
        <w:pStyle w:val="NormalHanging12a"/>
        <w:widowControl/>
        <w:ind w:left="1134"/>
        <w:rPr>
          <w:szCs w:val="24"/>
        </w:rPr>
      </w:pPr>
      <w:r w:rsidRPr="005E78F4">
        <w:t>xiii)</w:t>
      </w:r>
      <w:r w:rsidRPr="005E78F4">
        <w:tab/>
        <w:t>urýchlila dokončenie 9. ERF, pričom poznamenáva, že je nedokončený aj 17 rokov po doložke o ukončení platnosti, a preskúmala dôvody, ktoré prispeli k predĺženému cyklu vykonávania;</w:t>
      </w:r>
    </w:p>
    <w:p w14:paraId="43BE0DDA" w14:textId="77777777" w:rsidR="003B03EB" w:rsidRPr="005E78F4" w:rsidRDefault="003B03EB" w:rsidP="005E78F4">
      <w:pPr>
        <w:pStyle w:val="NormalHanging12a"/>
        <w:widowControl/>
        <w:ind w:left="1134"/>
      </w:pPr>
      <w:r w:rsidRPr="005E78F4">
        <w:t>xiv)</w:t>
      </w:r>
      <w:r w:rsidRPr="005E78F4">
        <w:tab/>
        <w:t>spolupracovala s EIB s cieľom zabezpečiť, aby jej úverové operácie v krajinách mimo EÚ boli v súlade s cieľmi vonkajšej politiky Únie a aby ich sprevádzali účinné rámce spolupráce s partnerskými krajinami;</w:t>
      </w:r>
    </w:p>
    <w:p w14:paraId="6D263FFB" w14:textId="77777777" w:rsidR="003B03EB" w:rsidRPr="005E78F4" w:rsidRDefault="003B03EB" w:rsidP="005E78F4">
      <w:pPr>
        <w:pStyle w:val="NormalHanging12a"/>
        <w:widowControl/>
        <w:ind w:left="1134"/>
      </w:pPr>
      <w:r w:rsidRPr="005E78F4">
        <w:t>xv)</w:t>
      </w:r>
      <w:r w:rsidRPr="005E78F4">
        <w:tab/>
        <w:t>zvýšila transparentnosť zverejňovaním dostupných prehľadov sledujúcich zmluvy o vonkajšej činnosti s vysokou hodnotou, ukazovatele výkonnosti a stav odporúčaní Dvora audítorov;</w:t>
      </w:r>
    </w:p>
    <w:p w14:paraId="6F716D94" w14:textId="77777777" w:rsidR="003B03EB" w:rsidRPr="005E78F4" w:rsidRDefault="003B03EB" w:rsidP="005E78F4">
      <w:pPr>
        <w:pStyle w:val="NormalHanging12a"/>
        <w:widowControl/>
        <w:ind w:left="1134"/>
      </w:pPr>
      <w:r w:rsidRPr="005E78F4">
        <w:t>xvi)</w:t>
      </w:r>
      <w:r w:rsidRPr="005E78F4">
        <w:tab/>
        <w:t xml:space="preserve">posilnila finančné záruky náležitej starostlivosti a verejného obstarávania v rámci stratégie </w:t>
      </w:r>
      <w:proofErr w:type="spellStart"/>
      <w:r w:rsidRPr="005E78F4">
        <w:t>Global</w:t>
      </w:r>
      <w:proofErr w:type="spellEnd"/>
      <w:r w:rsidRPr="005E78F4">
        <w:t xml:space="preserve"> </w:t>
      </w:r>
      <w:proofErr w:type="spellStart"/>
      <w:r w:rsidRPr="005E78F4">
        <w:t>Gateway</w:t>
      </w:r>
      <w:proofErr w:type="spellEnd"/>
      <w:r w:rsidRPr="005E78F4">
        <w:t>;</w:t>
      </w:r>
    </w:p>
    <w:p w14:paraId="6D85A818" w14:textId="77777777" w:rsidR="003B03EB" w:rsidRPr="005E78F4" w:rsidRDefault="003B03EB" w:rsidP="005E78F4">
      <w:pPr>
        <w:pStyle w:val="NormalHanging12a"/>
        <w:widowControl/>
        <w:ind w:left="1134"/>
      </w:pPr>
      <w:r w:rsidRPr="005E78F4">
        <w:t>xvii)</w:t>
      </w:r>
      <w:r w:rsidRPr="005E78F4">
        <w:tab/>
        <w:t>zabezpečila, aby implementujúci partneri prísne dodržiavali pravidlá viditeľnosti s cieľom predkladať verejnosti transparentné informácie, a požaduje prísnejšie následné opatrenia v prípadoch opakovaného nedodržiavania pravidiel;</w:t>
      </w:r>
    </w:p>
    <w:p w14:paraId="3B8E9F20" w14:textId="77777777" w:rsidR="003B03EB" w:rsidRPr="005E78F4" w:rsidRDefault="003B03EB" w:rsidP="003B03EB">
      <w:pPr>
        <w:spacing w:after="240"/>
        <w:rPr>
          <w:b/>
          <w:bCs/>
        </w:rPr>
      </w:pPr>
      <w:r w:rsidRPr="005E78F4">
        <w:rPr>
          <w:b/>
        </w:rPr>
        <w:t>Administratíva</w:t>
      </w:r>
    </w:p>
    <w:p w14:paraId="697B5295" w14:textId="0C68379D" w:rsidR="003B03EB" w:rsidRPr="005E78F4" w:rsidRDefault="004177E9" w:rsidP="003B03EB">
      <w:pPr>
        <w:pStyle w:val="NormalHanging12a"/>
      </w:pPr>
      <w:r>
        <w:t>230</w:t>
      </w:r>
      <w:r w:rsidR="003B03EB" w:rsidRPr="005E78F4">
        <w:t>.</w:t>
      </w:r>
      <w:r w:rsidR="003B03EB" w:rsidRPr="005E78F4">
        <w:tab/>
        <w:t>konštatuje, že okruh 7 VFR „Európska verejná správa“ predstavoval 13,3 miliardy EUR, čo zodpovedá 6,9 % rozpočtových výdavkov Únie v roku 2024; konštatuje, že výdavky Európskej komisie predstavujú 8 miliárd EUR, čo zodpovedá 60,6 % celkovej sumy; s uspokojením konštatuje, že aj v roku 2024 Dvor audítorov dospel k záveru, že oblasť administratívnych výdavkov je nízkoriziková; zdôrazňuje, že Komisia by mala bez váhania prijať následné opatrenia v súvislosti s otázkami, ktoré Dvor audítorov uviedol vo svojej výročnej správe za rok 2024 a ktoré sa týkajú platieb za IT služby;</w:t>
      </w:r>
    </w:p>
    <w:p w14:paraId="3B1C14AB" w14:textId="152A3DAE" w:rsidR="003B03EB" w:rsidRPr="005E78F4" w:rsidRDefault="004177E9" w:rsidP="003B03EB">
      <w:pPr>
        <w:pStyle w:val="NormalHanging12a"/>
      </w:pPr>
      <w:r>
        <w:t>231</w:t>
      </w:r>
      <w:r w:rsidR="003B03EB" w:rsidRPr="005E78F4">
        <w:t>.</w:t>
      </w:r>
      <w:r w:rsidR="003B03EB" w:rsidRPr="005E78F4">
        <w:tab/>
        <w:t xml:space="preserve">je aj naďalej kritický, pokiaľ ide o postup, v rámci ktorého sa Komisia v roku 2023 rozhodla predať 23 svojich kancelárskych budov v Bruseli a prenajať si 17 z nich späť na obdobie do roku 2029; konštatuje, že toto rozhodnutie bolo zjavne prijaté bez jasného posúdenia vplyvu všetkých transakcií; považuje za obzvlášť znepokojujúce, že Komisii bola doručená len jedna ponuka na transakciu od belgickej štátnej spoločnosti, ktorá predložila orientačnú ponuku pred tým, ako Komisia uverejnila výzvu na predkladanie ponúk, a že ponuka nespĺňala požiadavky výzvy na predkladanie ponúk týkajúce sa obdobia platnosti bankovej záruky; vyjadruje hlboké znepokojenie nad tým, </w:t>
      </w:r>
      <w:r w:rsidR="003B03EB" w:rsidRPr="005E78F4">
        <w:lastRenderedPageBreak/>
        <w:t>že hodnotiaci výbor Komisie nebol dostatočne nezávislý, pretože všetci jeho členovia boli podriadení príslušnému povoľujúcemu úradníkovi; v tejto súvislosti so znepokojením upozorňuje na nedávne aktivity EPPO v oblasti zhromažďovania dôkazov v súvislosti s touto transakciou, ktoré ešte viac posilňujú vážne pochybnosti o riešení a riadení predaja;</w:t>
      </w:r>
    </w:p>
    <w:p w14:paraId="3F51A53C" w14:textId="108D062B" w:rsidR="003B03EB" w:rsidRPr="005E78F4" w:rsidRDefault="004177E9" w:rsidP="003B03EB">
      <w:pPr>
        <w:pStyle w:val="NormalHanging12a"/>
      </w:pPr>
      <w:r>
        <w:t>232</w:t>
      </w:r>
      <w:r w:rsidR="003B03EB" w:rsidRPr="005E78F4">
        <w:t>.</w:t>
      </w:r>
      <w:r w:rsidR="003B03EB" w:rsidRPr="005E78F4">
        <w:tab/>
        <w:t>berie na vedomie, že podľa Komisie bolo v období 2021 – 2024 predložených 54 žiadostí o pomoc podľa článku 24 služobného poriadku, a že len v prípade ôsmich z nich nasledovalo administratívne vyšetrovanie; domnieva sa, že tento počet je znepokojujúco nízky, pretože 85 % žiadostí bolo zamietnutých bez akýchkoľvek následných opatrení; víta skutočnosť, že kancelária hlavného dôverného poradcu bola posilnená, keďže v priebehu jedného roka ju požiadalo o pomoc v prípadoch súvisiacich s obťažovaním približne 300 zamestnancov Komisie; ďalej konštatuje, že 14 sťažností bolo predložených priamo Vyšetrovaciemu a disciplinárnemu úradu Komisie (IDOC), pričom štyri prípady boli po posúdení uzavreté ako prípady, ktoré si nevyžadujú žiadne opatrenia, a dva prípady boli uzavreté bez následných opatrení po administratívnom vyšetrovaní; úkony pred začatím disciplinárneho konania viedli k jednému varovaniu, jednému písomnému varovaniu a trom pokarhaniam, jeden prípad je stále vo fáze pred začatím disciplinárneho konania a dva prípady v súčasnosti rieši disciplinárna komisia, zatiaľ čo dva prípady boli oznámené priamo úradu OLAF, pričom oba boli zamietnuté z dôvodu nedostatočného podozrenia; zdôrazňuje, že tieto počty sa zdajú veľmi nízke v prípade organizácie s viac ako 30 000 zamestnancami, a nabáda Komisiu, aby zlepšila možnosti zamestnancov informovať o prípadoch obťažovania v bezpečnom prostredí;</w:t>
      </w:r>
    </w:p>
    <w:p w14:paraId="3A3CC2B8" w14:textId="0D325DD1" w:rsidR="003B03EB" w:rsidRPr="005E78F4" w:rsidRDefault="004177E9" w:rsidP="003B03EB">
      <w:pPr>
        <w:pStyle w:val="NormalHanging12a"/>
      </w:pPr>
      <w:r>
        <w:t>233</w:t>
      </w:r>
      <w:r w:rsidR="003B03EB" w:rsidRPr="005E78F4">
        <w:t>.</w:t>
      </w:r>
      <w:r w:rsidR="003B03EB" w:rsidRPr="005E78F4">
        <w:tab/>
        <w:t>konštatuje, že v období 2021 – 2024 zamestnanci Komisie neoznámili úradu OLAF žiadne prípady, v ktorých by sa zdroj kvalifikoval ako oznamovateľ; vyjadruje poľutovanie nad tým, že Komisia neposkytla informácie o tom, či alebo koľko prípadov bolo nahlásených prostredníctvom interných hierarchických kanálov alebo generálnemu tajomníkovi; domnieva sa, že vzhľadom na nedostatok komplexných údajov o počte vzniknutých prípadov, použitých kanáloch a následných opatreniach prijatých Komisiou v každom prípade nie je možné posúdiť, či je systém oznamovania protispoločenskej činnosti účinný; v tejto súvislosti konštatuje, že Komisia v súčasnosti reviduje svoje usmernenia o oznamovaní so zreteľom na judikatúru a praktické skúsenosti s vykonávaním smernice (EÚ) 2019/1937 o ochrane osôb, ktoré nahlasujú porušenia práva Únie v členských štátoch, s cieľom čo najviac ich zosúladiť so smernicou;</w:t>
      </w:r>
    </w:p>
    <w:p w14:paraId="4806D11A" w14:textId="6045C542" w:rsidR="003B03EB" w:rsidRPr="005E78F4" w:rsidRDefault="004177E9" w:rsidP="003B03EB">
      <w:pPr>
        <w:pStyle w:val="NormalHanging12a"/>
      </w:pPr>
      <w:r>
        <w:t>234</w:t>
      </w:r>
      <w:r w:rsidR="003B03EB" w:rsidRPr="005E78F4">
        <w:t>.</w:t>
      </w:r>
      <w:r w:rsidR="003B03EB" w:rsidRPr="005E78F4">
        <w:tab/>
        <w:t>so záujmom konštatuje, že komisár pre rozpočet, boj proti podvodom a verejnú správu bol vo svojom poverovacom liste poverený vykonaním rozsiahleho preskúmania organizácie a činnosti Komisie; v zásade súhlasí s tým, že je dôležité, aby všetky organizácie pravidelne skúmali, či sú ich organizácia a postupy aktuálne; zdôrazňuje, že je dôležité, aby bol tento postup transparentný a aby sa doň v plnej miere zapojili príslušné organizácie zastupujúce zamestnancov Komisie a ďalšie príslušné subjekty aj s cieľom posilniť dôveru a akceptáciu výsledkov preskúmania všetkými zainteresovanými stranami, a to predovšetkým dotknutými zamestnancami;</w:t>
      </w:r>
    </w:p>
    <w:p w14:paraId="4890BE7E" w14:textId="6FAD66DD" w:rsidR="003B03EB" w:rsidRPr="005E78F4" w:rsidRDefault="004177E9" w:rsidP="003B03EB">
      <w:pPr>
        <w:pStyle w:val="NormalHanging12a"/>
      </w:pPr>
      <w:r>
        <w:t>235</w:t>
      </w:r>
      <w:r w:rsidR="003B03EB" w:rsidRPr="005E78F4">
        <w:t>.</w:t>
      </w:r>
      <w:r w:rsidR="003B03EB" w:rsidRPr="005E78F4">
        <w:tab/>
        <w:t xml:space="preserve">zdôrazňuje, že transparentnosť v administratíve a prístup k informáciám a dokumentom sú kľúčové prvky zdravej, zodpovednej a demokratickej správy vecí verejných; v tejto súvislosti vyjadruje poľutovanie nad tým, že v posledných rokoch sa vyskytlo mnoho príkladov, keď Komisia nedodržala primerané normy transparentnosti; berie na vedomie </w:t>
      </w:r>
      <w:r w:rsidR="001A24A4" w:rsidRPr="005E78F4">
        <w:t xml:space="preserve">rozsudok Všeobecného súdu vo </w:t>
      </w:r>
      <w:r w:rsidR="003B03EB" w:rsidRPr="005E78F4">
        <w:t>vec</w:t>
      </w:r>
      <w:r w:rsidR="001A24A4" w:rsidRPr="005E78F4">
        <w:t>i</w:t>
      </w:r>
      <w:r w:rsidR="003B03EB" w:rsidRPr="005E78F4">
        <w:t xml:space="preserve"> T-36/23, </w:t>
      </w:r>
      <w:proofErr w:type="spellStart"/>
      <w:r w:rsidR="003B03EB" w:rsidRPr="005E78F4">
        <w:t>Stevi</w:t>
      </w:r>
      <w:proofErr w:type="spellEnd"/>
      <w:r w:rsidR="003B03EB" w:rsidRPr="005E78F4">
        <w:t xml:space="preserve"> a </w:t>
      </w:r>
      <w:proofErr w:type="spellStart"/>
      <w:r w:rsidR="003B03EB" w:rsidRPr="005E78F4">
        <w:t>The</w:t>
      </w:r>
      <w:proofErr w:type="spellEnd"/>
      <w:r w:rsidR="003B03EB" w:rsidRPr="005E78F4">
        <w:t xml:space="preserve"> New York </w:t>
      </w:r>
      <w:proofErr w:type="spellStart"/>
      <w:r w:rsidR="003B03EB" w:rsidRPr="005E78F4">
        <w:t>Times</w:t>
      </w:r>
      <w:proofErr w:type="spellEnd"/>
      <w:r w:rsidR="003B03EB" w:rsidRPr="005E78F4">
        <w:t xml:space="preserve">/Komisia; domnieva sa, že neformálna výmena správ nesmie nahradiť oficiálnu komunikáciu, a že </w:t>
      </w:r>
      <w:r w:rsidR="003B03EB" w:rsidRPr="005E78F4">
        <w:lastRenderedPageBreak/>
        <w:t>všetky informácie týkajúce sa rozhodovania alebo pracovného postupu sa odovzdávajú oficiálnou cestou pri plnom dodržaní požiadaviek transparentnosti; zdôrazňuje, že pre dôveryhodnosť Komisie je dôležité, aby zabezpečila prísne vykonávanie usmernení týkajúcich sa používania textových správ v súvislosti s pracovnými postupmi; pripomína, že podľa nariadenia (ES) č. 1049/2001 sa textové správy zaslané alebo prijaté úradníkmi Únie považujú za dokumenty len vtedy, ak sa týkajú politiky alebo rozhodnutí Únie;</w:t>
      </w:r>
    </w:p>
    <w:p w14:paraId="73E8BEC3" w14:textId="6A503015" w:rsidR="003B03EB" w:rsidRPr="005E78F4" w:rsidRDefault="004177E9" w:rsidP="003B03EB">
      <w:pPr>
        <w:pStyle w:val="NormalHanging12a"/>
      </w:pPr>
      <w:r>
        <w:t>236</w:t>
      </w:r>
      <w:r w:rsidR="003B03EB" w:rsidRPr="005E78F4">
        <w:t>.</w:t>
      </w:r>
      <w:r w:rsidR="003B03EB" w:rsidRPr="005E78F4">
        <w:tab/>
        <w:t>so znepokojením konštatuje, že Komisia v roku 2024 zrevidovala svoje vnútorné pravidlá týkajúce sa prístupu verejnosti k dokumentom; domnieva sa, že tieto zmeny nie sú v súlade s právom na prístup k dokumentom, ako je rozvinuté v nariadení (ES) č. 1049/2001; zdôrazňuje, že v pravidlách sa napríklad uvádza, že sa registruje len „obsah, ktorý predstavuje dôležitú informáciu, ktorá nemá krátku životnosť“, a vyžaduje sa automatické miznutie textových správ; pripomína, že zákonnosť týchto pravidiel je v súčasnosti predmetom sporu na Európskom súdnom dvore;</w:t>
      </w:r>
    </w:p>
    <w:p w14:paraId="42EB3A9F" w14:textId="215182F4" w:rsidR="003B03EB" w:rsidRPr="005E78F4" w:rsidRDefault="004177E9" w:rsidP="003B03EB">
      <w:pPr>
        <w:pStyle w:val="NormalHanging12a"/>
      </w:pPr>
      <w:r>
        <w:t>237</w:t>
      </w:r>
      <w:r w:rsidR="003B03EB" w:rsidRPr="005E78F4">
        <w:t>.</w:t>
      </w:r>
      <w:r w:rsidR="003B03EB" w:rsidRPr="005E78F4">
        <w:tab/>
        <w:t xml:space="preserve">zdôrazňuje, že prístup k dokumentom je kľúčovou zásadou na zabezpečenie transparentnosti vo verejnej správe; upozorňuje, že Komisia nanešťastie vo viacerých situáciách neposkytla odpovede na žiadosti o prístup k dokumentom v stanovených lehotách, najmä v prípade opakovaných žiadostí, keď európska ombudsmanka zistila systémové a výrazné oneskorenia v odpovediach administratívy Komisie; zdôrazňuje, že pre dôveryhodnosť Komisie je nevyhnutné, aby novinári a široká verejnosť mali prístup k dokumentom v zákonne uplatniteľných lehotách; okrem toho zdôrazňuje, že transparentnosť si vyžaduje nielen včasný prístup, ale aj to, aby boli samotné dokumenty vypracované jasným a zrozumiteľným jazykom, pretože príliš </w:t>
      </w:r>
      <w:proofErr w:type="spellStart"/>
      <w:r w:rsidR="003B03EB" w:rsidRPr="005E78F4">
        <w:t>technokratická</w:t>
      </w:r>
      <w:proofErr w:type="spellEnd"/>
      <w:r w:rsidR="003B03EB" w:rsidRPr="005E78F4">
        <w:t xml:space="preserve"> komunikácia môže brániť zmysluplnému prístupu občanov k informáciám, aj keď sú dokumenty k dispozícii;</w:t>
      </w:r>
    </w:p>
    <w:p w14:paraId="5534C24C" w14:textId="4F197EA4" w:rsidR="003B03EB" w:rsidRPr="005E78F4" w:rsidRDefault="004177E9" w:rsidP="003B03EB">
      <w:pPr>
        <w:pStyle w:val="NormalHanging12a"/>
      </w:pPr>
      <w:r>
        <w:t>238</w:t>
      </w:r>
      <w:r w:rsidR="003B03EB" w:rsidRPr="005E78F4">
        <w:t>.</w:t>
      </w:r>
      <w:r w:rsidR="003B03EB" w:rsidRPr="005E78F4">
        <w:tab/>
        <w:t xml:space="preserve">pripomína, že európska ombudsmanka zistila prípady nesprávneho úradného postupu v súvislosti s viacerými legislatívnymi návrhmi, ktoré Komisia predložila v roku 2025; s veľkým znepokojením konštatuje, že tieto prípady zahŕňajú balík </w:t>
      </w:r>
      <w:proofErr w:type="spellStart"/>
      <w:r w:rsidR="003B03EB" w:rsidRPr="005E78F4">
        <w:t>Omnibus</w:t>
      </w:r>
      <w:proofErr w:type="spellEnd"/>
      <w:r w:rsidR="003B03EB" w:rsidRPr="005E78F4">
        <w:t xml:space="preserve"> I; zdôrazňuje význam dodržiavania pravidiel lepšej tvorby práva; zdôrazňuje význam spoľahlivých, trvalých a právne spoľahlivých právnych predpisov, ktoré zabezpečujú stabilné a predvídateľné regulačné prostredie, a to aj s cieľom posilniť jednotný trh a zvýšiť globálnu konkurencieschopnosť Únie;</w:t>
      </w:r>
    </w:p>
    <w:p w14:paraId="640EC3F6" w14:textId="201C35AB" w:rsidR="003B03EB" w:rsidRPr="005E78F4" w:rsidRDefault="004177E9" w:rsidP="003B03EB">
      <w:pPr>
        <w:pStyle w:val="NormalHanging12a"/>
      </w:pPr>
      <w:r>
        <w:t>239</w:t>
      </w:r>
      <w:r w:rsidR="003B03EB" w:rsidRPr="005E78F4">
        <w:t>.</w:t>
      </w:r>
      <w:r w:rsidR="003B03EB" w:rsidRPr="005E78F4">
        <w:tab/>
        <w:t xml:space="preserve">vyjadruje hlboké znepokojenie nad tým, že sa objavilo niekoľko obvinení z korupcie v súvislosti s Komisiou vrátane bývalých členov Komisie a vyšších úradníkov; konštatuje najmä, že po začatí trestného vyšetrovania obvinení z korupcie týkajúcich sa vysokého úradníka Komisie Európskou prokuratúrou koncom roka 2024 a v nadväznosti na odporúčanie vydané úradom OLAF v roku 2024 Komisia začala vlastné disciplinárne konanie týkajúce sa tohto úradníka; konštatuje, že Komisia nedávno oznámila ukončenie konania so zistením, že príslušný úradník porušil uplatniteľné pravidlá služobného poriadku vrátane ustanovení týkajúcich sa konfliktu záujmov, transparentnosti, prijímania darov a zverejňovania dokumentov; pripomína, že disciplinárne konanie nasledovalo po zisteniach úradu OLAF, ktorý preskúmal obvinenia z výmeny dôverných informácií týkajúcich sa významnej dohody o leteckej doprave s Katarským štátom za dary; konštatuje, že vzhľadom na to, že tento vysoký úradník v tom čase zastával funkciu generálneho riaditeľa na Generálnom riaditeľstve Komisie pre mobilitu a dopravu, mal významný vplyv na proces rokovaní a následne aj na výslednú Dohodu o leteckej doprave medzi Európskou úniou a jej členskými štátmi a </w:t>
      </w:r>
      <w:r w:rsidR="003B03EB" w:rsidRPr="005E78F4">
        <w:lastRenderedPageBreak/>
        <w:t>Katarským štátom, ktorá bola podpísaná 18. októbra 2021; vzhľadom na povahu skutočností, ktoré viedli Komisiu k začatiu disciplinárneho konania, a na povahu opatrení, o ktorých rozhodlo kolégium komisárov v súvislosti s týmto vyšším úradníkom, vyzýva Komisiu, domnieva sa, že uplatňovanie tejto dohody by sa malo vyhodnotiť a v prípade potreby pozastaviť;</w:t>
      </w:r>
    </w:p>
    <w:p w14:paraId="258092DB" w14:textId="75439DA9" w:rsidR="003B03EB" w:rsidRPr="005E78F4" w:rsidRDefault="004177E9" w:rsidP="003B03EB">
      <w:pPr>
        <w:pStyle w:val="NormalHanging12a"/>
      </w:pPr>
      <w:r>
        <w:t>240</w:t>
      </w:r>
      <w:r w:rsidR="003B03EB" w:rsidRPr="005E78F4">
        <w:t>.</w:t>
      </w:r>
      <w:r w:rsidR="003B03EB" w:rsidRPr="005E78F4">
        <w:tab/>
        <w:t>pripomína, že v kódexe správania členov Európskej komisie sa stanovuje dvojročné kontrolné obdobie pre bývalých členov Komisie na profesionálne činnosti po skončení ich funkčného obdobia; považuje za nevyhnutné zabezpečiť, aby bývalí členovia kolégia vykonávali len činnosti po skončení funkčného obdobia, ktoré sú v súlade s článkom 245 ZFEÚ; pripomína, že v Kódexe správania sa stanovuje, že členovia Komisie sa musia vyhýbať akejkoľvek činnosti, ktorá by mohla ohroziť ich nezávislosť alebo jej vnímanie, najmä počas politicky citlivých období, ako sú volebné kampane;</w:t>
      </w:r>
    </w:p>
    <w:p w14:paraId="508E90E8" w14:textId="3E04539B" w:rsidR="003B03EB" w:rsidRPr="005E78F4" w:rsidRDefault="004177E9" w:rsidP="003B03EB">
      <w:pPr>
        <w:pStyle w:val="NormalHanging12a"/>
      </w:pPr>
      <w:r>
        <w:t>241</w:t>
      </w:r>
      <w:r w:rsidR="003B03EB" w:rsidRPr="005E78F4">
        <w:t>.</w:t>
      </w:r>
      <w:r w:rsidR="003B03EB" w:rsidRPr="005E78F4">
        <w:tab/>
        <w:t>s vážnym znepokojením berie na vedomie nedávno oznámenú komunikáciu medzi pracovníkmi Generálneho riaditeľstva Komisie pre obchod a ekonomickú bezpečnosť (GR TRADE) a zástupcami tabakového priemyslu, ktorá naznačuje, že pracovnici GR TRADE mohli konať spôsobom, z ktorého mala prospech spoločnosť v tomto odvetví, a to tým, že nabádali tretie krajiny, aby oslabili regulačné obmedzenia a daňové politiky týkajúce sa určitých tabakových výrobkov; konštatuje, že európska ombudsmanka vo svojom rozhodnutí z 19. decembra 2023 konštatovala, že skutočnosť, že Komisia nezabezpečila komplexný prístup všetkých oddelení k transparentnosti v oblasti stretnutí s tabakovým priemyslom, predstavuje nesprávny úradný postup; pripomína, že Únia ako zmluvná strana Rámcového dohovoru WHO o kontrole tabaku (FCTC) musí chrániť svoje politiky pred obchodnými a inými záujmami tabakového priemyslu a obmedziť interakcie na to, čo je nevyhnutne potrebné na regulačné účely; zdôrazňuje preto, že by nemala byť povolená žiadna interakcia týkajúca sa politík tretích krajín v oblasti kontroly tabaku; vyjadruje poľutovanie nad tým, že údajne uskutočnené stretnutia neboli zverejnené; vyzýva na úplné uplatňovanie článku 5 ods. 3 FCTC, čo zabezpečí prísne obmedzenie interakcií a ich úplnú transparentnosť;</w:t>
      </w:r>
    </w:p>
    <w:p w14:paraId="0859FAB6" w14:textId="47083AD9" w:rsidR="003B03EB" w:rsidRPr="005E78F4" w:rsidRDefault="004177E9" w:rsidP="003B03EB">
      <w:pPr>
        <w:pStyle w:val="NormalHanging12a"/>
      </w:pPr>
      <w:r>
        <w:t>242</w:t>
      </w:r>
      <w:r w:rsidR="003B03EB" w:rsidRPr="005E78F4">
        <w:t>.</w:t>
      </w:r>
      <w:r w:rsidR="003B03EB" w:rsidRPr="005E78F4">
        <w:tab/>
        <w:t>vyjadruje poľutovanie nad pretrvávajúcimi závažnými technickými, organizačnými a procedurálnymi nedostatkami vo fungovaní úradu EPSO v posledných rokoch, ktoré viedli k vážnemu poškodeniu dobrého mena celkového náborového postupu Únie a mali vážne negatívne dôsledky pre mnohých uchádzačov, ktorí investovali veľa času a zdrojov do snahy zúčastniť sa na výberových konaniach, ktoré boli zrušené, oneskorené alebo mali vážne technické nedostatky; pripomína, že európska ombudsmanka v niekoľkých samostatných vyšetrovaniach dospela k záveru, že úrad EPSO sa dopustil nesprávneho úradného postupu pri vybavovaní sťažností uchádzačov, najmä v súvislosti s postupmi testovania na diaľku, nedostatkami platforiem a nekonzistentnou komunikáciou o technických otázkach; zdôrazňuje, že tieto nedostatky môžu ohroziť príťažlivosť, dôveryhodnosť a dlhodobú administratívnu kapacitu inštitúcií Únie, a preto si vyžadujú naliehavú nápravu;</w:t>
      </w:r>
    </w:p>
    <w:p w14:paraId="7EF3D734" w14:textId="21C672FF" w:rsidR="003B03EB" w:rsidRPr="005E78F4" w:rsidRDefault="004177E9" w:rsidP="003B03EB">
      <w:pPr>
        <w:pStyle w:val="NormalHanging12a"/>
      </w:pPr>
      <w:r>
        <w:t>243</w:t>
      </w:r>
      <w:r w:rsidR="003B03EB" w:rsidRPr="005E78F4">
        <w:t>.</w:t>
      </w:r>
      <w:r w:rsidR="003B03EB" w:rsidRPr="005E78F4">
        <w:tab/>
        <w:t>nalieha na Komisiu a vedenie úradu EPSO, aby vyhodnotili všetky aspekty výberového konania vrátane správy, digitálnej infraštruktúry a komunikácie s kandidátmi s cieľom zabezpečiť, aby sa Komisia a ostatné inštitúcie Únie mohli úplne spoľahnúť na úrad EPSO pri včasnej identifikácii a výbere vysokokvalifikovaných a motivovaných uchádzačov na všetky typy pracovných miest v inštitúciách; zároveň nabáda Komisiu, aby riešila pretrvávajúcu nerovnováhu v geografickom zastúpení vo všetkých útvaroch;</w:t>
      </w:r>
    </w:p>
    <w:p w14:paraId="6B93E3D8" w14:textId="77777777" w:rsidR="003B03EB" w:rsidRPr="005E78F4" w:rsidRDefault="003B03EB" w:rsidP="003B03EB">
      <w:pPr>
        <w:spacing w:after="240"/>
        <w:rPr>
          <w:i/>
          <w:iCs/>
        </w:rPr>
      </w:pPr>
      <w:r w:rsidRPr="005E78F4">
        <w:rPr>
          <w:i/>
        </w:rPr>
        <w:lastRenderedPageBreak/>
        <w:t xml:space="preserve">Európske školy </w:t>
      </w:r>
    </w:p>
    <w:p w14:paraId="2398BC59" w14:textId="55366425" w:rsidR="003B03EB" w:rsidRPr="005E78F4" w:rsidRDefault="004177E9" w:rsidP="003B03EB">
      <w:pPr>
        <w:pStyle w:val="NormalHanging12a"/>
      </w:pPr>
      <w:r>
        <w:t>244</w:t>
      </w:r>
      <w:r w:rsidR="003B03EB" w:rsidRPr="005E78F4">
        <w:t>.</w:t>
      </w:r>
      <w:r w:rsidR="003B03EB" w:rsidRPr="005E78F4">
        <w:tab/>
        <w:t>konštatuje, že celkový rozpočet európskych škôl na rok 2024 bol 439,5 milióna EUR, čo v porovnaní s rokom 2023 predstavuje zvýšenie o 5,3 %; pripomína, že európske školy sa financujú predovšetkým zo zdrojov Európskej komisie, iných európskych inštitúcií, členský štátov a z poplatkov rodičov;</w:t>
      </w:r>
    </w:p>
    <w:p w14:paraId="357E64F2" w14:textId="22ACD289" w:rsidR="003B03EB" w:rsidRPr="005E78F4" w:rsidRDefault="004177E9" w:rsidP="003B03EB">
      <w:pPr>
        <w:pStyle w:val="NormalHanging12a"/>
      </w:pPr>
      <w:r>
        <w:t>245</w:t>
      </w:r>
      <w:r w:rsidR="003B03EB" w:rsidRPr="005E78F4">
        <w:t>.</w:t>
      </w:r>
      <w:r w:rsidR="003B03EB" w:rsidRPr="005E78F4">
        <w:tab/>
        <w:t>s uspokojením konštatuje, že IAS ani oddelenie vnútornej kontroly nezistili vo svojich auditoch a kontrolách v roku 2024 kritické problémy; konštatuje však, že zistené nedostatky v riadení ľudských zdrojov a postupoch verejného obstarávania by sa mali riešiť prioritne;</w:t>
      </w:r>
    </w:p>
    <w:p w14:paraId="4CF35DBF" w14:textId="77777777" w:rsidR="003B03EB" w:rsidRPr="005E78F4" w:rsidRDefault="003B03EB" w:rsidP="003B03EB">
      <w:pPr>
        <w:spacing w:after="240"/>
        <w:rPr>
          <w:i/>
          <w:iCs/>
        </w:rPr>
      </w:pPr>
      <w:r w:rsidRPr="005E78F4">
        <w:rPr>
          <w:i/>
        </w:rPr>
        <w:t>Pripomienky týkajúce sa postupu udelenia absolutória</w:t>
      </w:r>
    </w:p>
    <w:p w14:paraId="2F604D51" w14:textId="5B15853E" w:rsidR="003B03EB" w:rsidRPr="005E78F4" w:rsidRDefault="004177E9" w:rsidP="003B03EB">
      <w:pPr>
        <w:pStyle w:val="NormalHanging12a"/>
      </w:pPr>
      <w:r>
        <w:t>246</w:t>
      </w:r>
      <w:r w:rsidR="003B03EB" w:rsidRPr="005E78F4">
        <w:t>.</w:t>
      </w:r>
      <w:r w:rsidR="003B03EB" w:rsidRPr="005E78F4">
        <w:tab/>
        <w:t xml:space="preserve">zdôrazňuje, že </w:t>
      </w:r>
      <w:r w:rsidR="00702D39" w:rsidRPr="005E78F4">
        <w:t>Európsky p</w:t>
      </w:r>
      <w:r w:rsidR="003B03EB" w:rsidRPr="005E78F4">
        <w:t>arlament by očakával, že Komisia poskytne podrobné odpovede na uznesenie o absolutóriu pred začatím vypočutí o absolutóriu za nasledujúci rok, ktoré sa zvyčajne začínajú začiatkom novembra; považuje za poľutovaniahodné, že podrobné odpovede Komisie na osobitné požiadavky Európskeho parlamentu uvedené v správe o absolutóriu za rozpočtový rok 2023 mu boli doručené až začiatkom decembra 2025; zdôrazňuje, že takéto zdržania oslabujú efektívnosť postupu udeľovania absolutória tým, že zvyšujú pracovné zaťaženie oboch inštitúcií a znižujú zameranie parlamentnej kontroly;</w:t>
      </w:r>
    </w:p>
    <w:p w14:paraId="1C82E99B" w14:textId="63A5938F" w:rsidR="003B03EB" w:rsidRPr="005E78F4" w:rsidRDefault="004177E9" w:rsidP="003B03EB">
      <w:pPr>
        <w:pStyle w:val="NormalHanging12a"/>
      </w:pPr>
      <w:r>
        <w:t>247</w:t>
      </w:r>
      <w:r w:rsidR="003B03EB" w:rsidRPr="005E78F4">
        <w:t>.</w:t>
      </w:r>
      <w:r w:rsidR="003B03EB" w:rsidRPr="005E78F4">
        <w:tab/>
        <w:t>zdôrazňuje, že ak zodpovedný komisár nemôže odpovedať na otázky na ústne zodpovedanie priamo počas vypočutia o absolutóriu v</w:t>
      </w:r>
      <w:r w:rsidR="00702D39" w:rsidRPr="005E78F4">
        <w:t> Európskom p</w:t>
      </w:r>
      <w:r w:rsidR="003B03EB" w:rsidRPr="005E78F4">
        <w:t xml:space="preserve">arlamente, následné písomné odpovede by sa mali poskytnúť </w:t>
      </w:r>
      <w:r w:rsidR="00702D39" w:rsidRPr="005E78F4">
        <w:t>Európskemu p</w:t>
      </w:r>
      <w:r w:rsidR="003B03EB" w:rsidRPr="005E78F4">
        <w:t>arlamentu v dohodnutom časovom rámci; pripomína, že poskytovanie včasných a vecných odpovedí je základnou zložkou účinnej parlamentnej kontroly a demokratickej zodpovednosti;</w:t>
      </w:r>
    </w:p>
    <w:p w14:paraId="6548963B" w14:textId="621AAE56" w:rsidR="003B03EB" w:rsidRPr="005E78F4" w:rsidRDefault="004177E9" w:rsidP="003B03EB">
      <w:pPr>
        <w:pStyle w:val="NormalHanging12a"/>
      </w:pPr>
      <w:r>
        <w:t>248</w:t>
      </w:r>
      <w:r w:rsidR="003B03EB" w:rsidRPr="005E78F4">
        <w:t>.</w:t>
      </w:r>
      <w:r w:rsidR="003B03EB" w:rsidRPr="005E78F4">
        <w:tab/>
        <w:t>s uspokojením konštatuje, že väčšina komisárov dodržiava postup udelenia absolutória a zúčastňuje sa na vypočutiach, ako to požaduje Výbor pre kontrolu rozpočtu; zdôrazňuje, že predsedníčka Komisie vo svojej úlohe vedúcej Komisie zohráva rozhodujúcu úlohu pri formulovaní a vykonávaní všetkých hlavných iniciatív a návrhov politík Komisie; domnieva sa, že v tejto funkcii by sa predsedníčka Komisie mala aktívne zúčastňovať na postupe udeľovania absolutória, a v tejto súvislosti zdôrazňuje, že je dôležité, aby sa predsedníčka Európskej komisie zúčastňovala na rozprave o udelení absolutória v pléne;</w:t>
      </w:r>
    </w:p>
    <w:p w14:paraId="2CB834BE" w14:textId="77777777" w:rsidR="003B03EB" w:rsidRPr="005E78F4" w:rsidRDefault="003B03EB" w:rsidP="003B03EB">
      <w:pPr>
        <w:spacing w:after="240"/>
        <w:rPr>
          <w:i/>
          <w:iCs/>
        </w:rPr>
      </w:pPr>
      <w:r w:rsidRPr="005E78F4">
        <w:rPr>
          <w:i/>
        </w:rPr>
        <w:t>Odporúčania:</w:t>
      </w:r>
    </w:p>
    <w:p w14:paraId="31CC38A9" w14:textId="349F0DD5" w:rsidR="003B03EB" w:rsidRPr="005E78F4" w:rsidRDefault="004177E9" w:rsidP="003B03EB">
      <w:pPr>
        <w:pStyle w:val="NormalHanging12a"/>
      </w:pPr>
      <w:r>
        <w:t>249</w:t>
      </w:r>
      <w:r w:rsidR="003B03EB" w:rsidRPr="005E78F4">
        <w:t>.</w:t>
      </w:r>
      <w:r w:rsidR="003B03EB" w:rsidRPr="005E78F4">
        <w:tab/>
        <w:t>vyzýva Komisiu, aby najmä:</w:t>
      </w:r>
    </w:p>
    <w:p w14:paraId="02A68ADB" w14:textId="77777777" w:rsidR="003B03EB" w:rsidRPr="005E78F4" w:rsidRDefault="003B03EB" w:rsidP="005E78F4">
      <w:pPr>
        <w:pStyle w:val="NormalHanging12a"/>
        <w:widowControl/>
        <w:ind w:left="1134"/>
      </w:pPr>
      <w:r w:rsidRPr="005E78F4">
        <w:t>i)</w:t>
      </w:r>
      <w:r w:rsidRPr="005E78F4">
        <w:tab/>
        <w:t>zabezpečila, aby sa všetky budúce rozhodnutia týkajúce sa operácií predaja a spätného prenájmu budov prijímali na základe dôkladného posúdenia vplyvu, aby sa prijala viac ako jedna ponuka a aby hodnotiace komisie boli nezávislé od povoľujúcich úradníkov;</w:t>
      </w:r>
    </w:p>
    <w:p w14:paraId="4A29B6C5" w14:textId="77777777" w:rsidR="003B03EB" w:rsidRPr="005E78F4" w:rsidRDefault="003B03EB" w:rsidP="005E78F4">
      <w:pPr>
        <w:pStyle w:val="NormalHanging12a"/>
        <w:widowControl/>
        <w:ind w:left="1134"/>
      </w:pPr>
      <w:r w:rsidRPr="005E78F4">
        <w:t>ii)</w:t>
      </w:r>
      <w:r w:rsidRPr="005E78F4">
        <w:tab/>
        <w:t>transparentne navrhla budúce fázy rozsiahleho preskúmania organizácie a činností Komisie a zabezpečila, aby boli do tohto postupu v plnej miere zapojené príslušné organizácie zastupujúce zamestnancov Komisie a ďalšie relevantné subjekty;</w:t>
      </w:r>
    </w:p>
    <w:p w14:paraId="3D557AC9" w14:textId="77777777" w:rsidR="003B03EB" w:rsidRPr="005E78F4" w:rsidRDefault="003B03EB" w:rsidP="005E78F4">
      <w:pPr>
        <w:pStyle w:val="NormalHanging12a"/>
        <w:widowControl/>
        <w:ind w:left="1134"/>
      </w:pPr>
      <w:r w:rsidRPr="005E78F4">
        <w:lastRenderedPageBreak/>
        <w:t>iii)</w:t>
      </w:r>
      <w:r w:rsidRPr="005E78F4">
        <w:tab/>
        <w:t>poskytla orgánu udeľujúcemu absolutórium všetky relevantné informácie a dokumentáciu týkajúcu sa predaja jej 23 budov v roku 2023 vrátane podrobného opisu všetkých prijatých procesných krokov, ako je použitá metodika oceňovania a posúdenie konkurenčných ponúk, a to úplne transparentne a s náležitým ohľadom na prebiehajúce vyšetrovanie Európskej prokuratúry;</w:t>
      </w:r>
    </w:p>
    <w:p w14:paraId="13544BFC" w14:textId="77777777" w:rsidR="003B03EB" w:rsidRPr="005E78F4" w:rsidRDefault="003B03EB" w:rsidP="005E78F4">
      <w:pPr>
        <w:pStyle w:val="NormalHanging12a"/>
        <w:widowControl/>
        <w:ind w:left="1134"/>
      </w:pPr>
      <w:r w:rsidRPr="005E78F4">
        <w:t>iv)</w:t>
      </w:r>
      <w:r w:rsidRPr="005E78F4">
        <w:tab/>
        <w:t xml:space="preserve">zadala vypracovanie externej štúdie nezávislými odborníkmi pod záštitou hlavného dôverného poradcu, v ktorej sa zanalyzuje funkčnosť alebo nefunkčnosť formálneho postupu riešenia obťažovania a navrhnú sa spôsoby jeho zefektívnenia; </w:t>
      </w:r>
    </w:p>
    <w:p w14:paraId="23F3C9A8" w14:textId="77777777" w:rsidR="003B03EB" w:rsidRPr="005E78F4" w:rsidRDefault="003B03EB" w:rsidP="005E78F4">
      <w:pPr>
        <w:pStyle w:val="NormalHanging12a"/>
        <w:widowControl/>
        <w:ind w:left="1134"/>
      </w:pPr>
      <w:r w:rsidRPr="005E78F4">
        <w:t>v)</w:t>
      </w:r>
      <w:r w:rsidRPr="005E78F4">
        <w:tab/>
        <w:t>poskytla orgánu udeľujúcemu absolutórium komplexný prehľad prípadov oznamovania protispoločenskej činnosti, na ktoré upozornili zamestnanci, za obdobie 2021 – 2025 vrátane počtu prípadov, použitých kanálov nahlasovania (aj príslušnej hierarchie, generálneho tajomníka a úradu OLAF), následných opatrení prijatých v každom prípade a zamestnaneckého postavenia nahlasujúcich osôb;</w:t>
      </w:r>
    </w:p>
    <w:p w14:paraId="5A8BF3F8" w14:textId="77777777" w:rsidR="003B03EB" w:rsidRPr="005E78F4" w:rsidRDefault="003B03EB" w:rsidP="005E78F4">
      <w:pPr>
        <w:pStyle w:val="NormalHanging12a"/>
        <w:widowControl/>
        <w:ind w:left="1134"/>
      </w:pPr>
      <w:r w:rsidRPr="005E78F4">
        <w:t>vi)</w:t>
      </w:r>
      <w:r w:rsidRPr="005E78F4">
        <w:tab/>
        <w:t>v súvislosti s preskúmaním usmernení o oznamovaní prijala všetky potrebné opatrenia na ich zosúladenie s normami stanovenými v smernici;</w:t>
      </w:r>
    </w:p>
    <w:p w14:paraId="461B44F0" w14:textId="77777777" w:rsidR="003B03EB" w:rsidRPr="005E78F4" w:rsidRDefault="003B03EB" w:rsidP="005E78F4">
      <w:pPr>
        <w:pStyle w:val="NormalHanging12a"/>
        <w:widowControl/>
        <w:ind w:left="1134"/>
      </w:pPr>
      <w:r w:rsidRPr="005E78F4">
        <w:t>vii)</w:t>
      </w:r>
      <w:r w:rsidRPr="005E78F4">
        <w:tab/>
        <w:t>zaviedla usmernenia týkajúce sa používania textových správ v súvislosti s pracovnými postupmi s cieľom zabezpečiť, aby sa všetky informácie týkajúce sa rozhodovania alebo pracovného postupu zasielali oficiálnymi kanálmi pri plnom dodržiavaní požiadaviek na transparentnosť;</w:t>
      </w:r>
    </w:p>
    <w:p w14:paraId="1F308ED8" w14:textId="124C8863" w:rsidR="003B03EB" w:rsidRPr="005E78F4" w:rsidRDefault="003B03EB" w:rsidP="005E78F4">
      <w:pPr>
        <w:pStyle w:val="NormalHanging12a"/>
        <w:widowControl/>
        <w:ind w:left="1134"/>
      </w:pPr>
      <w:r w:rsidRPr="005E78F4">
        <w:t>viii)</w:t>
      </w:r>
      <w:r w:rsidRPr="005E78F4">
        <w:tab/>
        <w:t xml:space="preserve">zrevidovala zmeny podrobných pravidiel uplatňovania nariadenia </w:t>
      </w:r>
      <w:r w:rsidR="00543081">
        <w:t xml:space="preserve">(ES) </w:t>
      </w:r>
      <w:r w:rsidRPr="005E78F4">
        <w:t xml:space="preserve">č. 1049/2001, ktoré Komisia vykonala v roku 2024, a zmenila svoj rokovací poriadok s cieľom zabezpečiť úplný súlad s nariadením </w:t>
      </w:r>
      <w:r w:rsidR="00543081">
        <w:t xml:space="preserve">(ES) </w:t>
      </w:r>
      <w:r w:rsidRPr="005E78F4">
        <w:t>č. 1049/2001,</w:t>
      </w:r>
    </w:p>
    <w:p w14:paraId="24E4BE46" w14:textId="77777777" w:rsidR="003B03EB" w:rsidRPr="005E78F4" w:rsidRDefault="003B03EB" w:rsidP="005E78F4">
      <w:pPr>
        <w:pStyle w:val="NormalHanging12a"/>
        <w:widowControl/>
        <w:ind w:left="1134"/>
      </w:pPr>
      <w:r w:rsidRPr="005E78F4">
        <w:t>ix)</w:t>
      </w:r>
      <w:r w:rsidRPr="005E78F4">
        <w:tab/>
        <w:t>zabezpečila včasné a správne vybavovanie žiadostí o prístup k dokumentom vo všetkých fázach postupu;</w:t>
      </w:r>
    </w:p>
    <w:p w14:paraId="76645A0B" w14:textId="77777777" w:rsidR="003B03EB" w:rsidRPr="005E78F4" w:rsidRDefault="003B03EB" w:rsidP="005E78F4">
      <w:pPr>
        <w:pStyle w:val="NormalHanging12a"/>
        <w:widowControl/>
        <w:ind w:left="1134"/>
      </w:pPr>
      <w:r w:rsidRPr="005E78F4">
        <w:t>x)</w:t>
      </w:r>
      <w:r w:rsidRPr="005E78F4">
        <w:tab/>
        <w:t>zabezpečila predvídateľné, konzistentné a nearbitrárne uplatňovanie svojich pravidiel lepšej právnej regulácie vymedzením „naliehavých“ situácií, ktoré odôvodňujú výnimku z požiadaviek stanovených v pravidlách, a v prípade udelenia výnimiek zaviedla postup, ktorý zabezpečí, aby naliehavá príprava legislatívnych návrhov bola stále v súlade so zásadami transparentného, na dôkazoch založeného a inkluzívneho procesu tvorby práva;</w:t>
      </w:r>
    </w:p>
    <w:p w14:paraId="02DF574E" w14:textId="77777777" w:rsidR="003B03EB" w:rsidRPr="005E78F4" w:rsidRDefault="003B03EB" w:rsidP="005E78F4">
      <w:pPr>
        <w:pStyle w:val="NormalHanging12a"/>
        <w:widowControl/>
        <w:ind w:left="1134"/>
      </w:pPr>
      <w:r w:rsidRPr="005E78F4">
        <w:t>xi)</w:t>
      </w:r>
      <w:r w:rsidRPr="005E78F4">
        <w:tab/>
        <w:t>zabezpečila, aby sa zásady nezávislosti a bezúhonnosti stanovené v Kódexe správania členov Európskej komisie dodržiavali v súlade s najvyššími normami etického správania;</w:t>
      </w:r>
    </w:p>
    <w:p w14:paraId="4D24EFD3" w14:textId="77777777" w:rsidR="003B03EB" w:rsidRPr="005E78F4" w:rsidRDefault="003B03EB" w:rsidP="005E78F4">
      <w:pPr>
        <w:pStyle w:val="NormalHanging12a"/>
        <w:widowControl/>
        <w:ind w:left="1134"/>
      </w:pPr>
      <w:r w:rsidRPr="005E78F4">
        <w:t>xii)</w:t>
      </w:r>
      <w:r w:rsidRPr="005E78F4">
        <w:tab/>
        <w:t>urýchlila úsilie s cieľom zabezpečiť riadne fungovanie úradu EPSO, aby pre inštitúcie Únie zabezpečil dostatočný počet vysokokvalifikovaných uchádzačov;</w:t>
      </w:r>
    </w:p>
    <w:p w14:paraId="1D115D1B" w14:textId="77777777" w:rsidR="003B03EB" w:rsidRPr="005E78F4" w:rsidRDefault="003B03EB" w:rsidP="005E78F4">
      <w:pPr>
        <w:pStyle w:val="NormalHanging12a"/>
        <w:widowControl/>
        <w:ind w:left="1134"/>
      </w:pPr>
      <w:r w:rsidRPr="005E78F4">
        <w:t>xiii)</w:t>
      </w:r>
      <w:r w:rsidRPr="005E78F4">
        <w:tab/>
        <w:t>v spolupráci s úradom EPSO a ostatnými inštitúciami Únie zabezpečila úplné a včasné vykonanie odporúčaní ombudsmanky a obnovila dôveru v spravodlivosť, prístupnosť a spoľahlivosť výberových konaní úradu EPSO, a informovala orgán udeľujúci absolutórium o pokroku;</w:t>
      </w:r>
    </w:p>
    <w:p w14:paraId="3E2D8B0F" w14:textId="77777777" w:rsidR="003B03EB" w:rsidRPr="005E78F4" w:rsidRDefault="003B03EB" w:rsidP="005E78F4">
      <w:pPr>
        <w:pStyle w:val="NormalHanging12a"/>
        <w:widowControl/>
        <w:ind w:left="1134"/>
      </w:pPr>
      <w:r w:rsidRPr="005E78F4">
        <w:lastRenderedPageBreak/>
        <w:t>xiv)</w:t>
      </w:r>
      <w:r w:rsidRPr="005E78F4">
        <w:tab/>
        <w:t>pokračovala v skúmaní všetkých možností nápravy značnej geografickej a rodovej nerovnováhy v jednotlivých kategóriách zamestnancov;</w:t>
      </w:r>
    </w:p>
    <w:p w14:paraId="743C8567" w14:textId="77777777" w:rsidR="003B03EB" w:rsidRPr="005E78F4" w:rsidRDefault="003B03EB" w:rsidP="005E78F4">
      <w:pPr>
        <w:pStyle w:val="NormalHanging12a"/>
        <w:widowControl/>
        <w:ind w:left="1134"/>
      </w:pPr>
      <w:r w:rsidRPr="005E78F4">
        <w:t>xv)</w:t>
      </w:r>
      <w:r w:rsidRPr="005E78F4">
        <w:tab/>
        <w:t>prijala merateľné normy zrozumiteľného jazyka pre všetky svoje verejné oznámenia a vypracovala akčný plán na zlepšenie prístupnosti svojich publikácií vrátane tlačových správ, programových dokumentov, výročných správ a výročných správ o činnosti pre občanov vo všetkých úradných jazykoch Únie a podala správu o ich vykonávaní orgánu udeľujúcemu absolutórium;</w:t>
      </w:r>
    </w:p>
    <w:p w14:paraId="50D6C125" w14:textId="77777777" w:rsidR="003B03EB" w:rsidRPr="005E78F4" w:rsidRDefault="003B03EB" w:rsidP="005E78F4">
      <w:pPr>
        <w:pStyle w:val="NormalHanging12a"/>
        <w:widowControl/>
        <w:ind w:left="1134"/>
      </w:pPr>
      <w:r w:rsidRPr="005E78F4">
        <w:t>xvi)</w:t>
      </w:r>
      <w:r w:rsidRPr="005E78F4">
        <w:tab/>
        <w:t>spolupracovala so Spoločným systémom zdravotného poistenia (JSIS) na zabezpečení toho, aby poskytoval úhradu pre širší okruh chorôb vrátane ďalších autoimunitných ochorení a aby uhrádzal širší rozsah testov a liečby;</w:t>
      </w:r>
    </w:p>
    <w:p w14:paraId="59BC84AD" w14:textId="77777777" w:rsidR="003B03EB" w:rsidRPr="005E78F4" w:rsidRDefault="003B03EB" w:rsidP="005E78F4">
      <w:pPr>
        <w:pStyle w:val="NormalHanging12a"/>
        <w:widowControl/>
        <w:ind w:left="1134"/>
      </w:pPr>
      <w:r w:rsidRPr="005E78F4">
        <w:t>xvii)</w:t>
      </w:r>
      <w:r w:rsidRPr="005E78F4">
        <w:tab/>
        <w:t>vyhodnotila a v prípade potreby pozastavila Dohodu o leteckej doprave z roku 2021 medzi Európskou úniou a jej členskými štátmi a Katarským štátom;</w:t>
      </w:r>
    </w:p>
    <w:p w14:paraId="303AD1B1" w14:textId="77777777" w:rsidR="003B03EB" w:rsidRPr="005E78F4" w:rsidRDefault="003B03EB" w:rsidP="005E78F4">
      <w:pPr>
        <w:pStyle w:val="NormalHanging12a"/>
        <w:widowControl/>
        <w:ind w:left="1134"/>
      </w:pPr>
      <w:r w:rsidRPr="005E78F4">
        <w:t>xviii)</w:t>
      </w:r>
      <w:r w:rsidRPr="005E78F4">
        <w:tab/>
        <w:t>nadviazala na zistenia ombudsmanky a urýchlene preskúmala výmeny medzi zamestnancami GR TRADE a zástupcami tabakového priemyslu a informovala o svojich zisteniach orgán udeľujúci absolutórium;</w:t>
      </w:r>
    </w:p>
    <w:p w14:paraId="5B8B3BE8" w14:textId="77777777" w:rsidR="003B03EB" w:rsidRPr="005E78F4" w:rsidRDefault="003B03EB" w:rsidP="003B03EB">
      <w:r w:rsidRPr="005E78F4">
        <w:br w:type="page"/>
      </w:r>
    </w:p>
    <w:p w14:paraId="07860D80" w14:textId="77777777" w:rsidR="003B03EB" w:rsidRPr="005E78F4" w:rsidRDefault="003B03EB" w:rsidP="003B03EB">
      <w:pPr>
        <w:pStyle w:val="PageHeadingNoLeader"/>
        <w:numPr>
          <w:ilvl w:val="0"/>
          <w:numId w:val="0"/>
        </w:numPr>
        <w:tabs>
          <w:tab w:val="left" w:pos="720"/>
        </w:tabs>
        <w:ind w:left="720" w:hanging="720"/>
        <w:jc w:val="left"/>
      </w:pPr>
      <w:bookmarkStart w:id="416" w:name="_Toc225939594"/>
      <w:bookmarkStart w:id="417" w:name="_Toc225939623"/>
      <w:bookmarkStart w:id="418" w:name="_Toc225939675"/>
      <w:bookmarkStart w:id="419" w:name="_Toc225939786"/>
      <w:bookmarkStart w:id="420" w:name="_Toc225940323"/>
      <w:bookmarkStart w:id="421" w:name="_Toc225940390"/>
      <w:bookmarkStart w:id="422" w:name="_Toc225940419"/>
      <w:bookmarkStart w:id="423" w:name="_Toc225944464"/>
      <w:bookmarkStart w:id="424" w:name="_Toc225952128"/>
      <w:bookmarkStart w:id="425" w:name="_Toc225952196"/>
      <w:bookmarkStart w:id="426" w:name="_Toc225952236"/>
      <w:bookmarkStart w:id="427" w:name="_Toc225952335"/>
      <w:bookmarkStart w:id="428" w:name="_Toc225952648"/>
      <w:bookmarkStart w:id="429" w:name="_Toc225952801"/>
      <w:bookmarkStart w:id="430" w:name="_Toc225952832"/>
      <w:bookmarkStart w:id="431" w:name="_Toc225953392"/>
      <w:bookmarkStart w:id="432" w:name="_Toc225953474"/>
      <w:bookmarkStart w:id="433" w:name="_Toc225953520"/>
      <w:bookmarkStart w:id="434" w:name="_Toc225953655"/>
      <w:bookmarkStart w:id="435" w:name="_Toc225954674"/>
      <w:bookmarkStart w:id="436" w:name="_Toc225954718"/>
      <w:bookmarkStart w:id="437" w:name="_Toc225954917"/>
      <w:bookmarkStart w:id="438" w:name="_Toc225955238"/>
      <w:bookmarkStart w:id="439" w:name="_Toc225955489"/>
      <w:bookmarkStart w:id="440" w:name="_Toc225955571"/>
      <w:bookmarkStart w:id="441" w:name="_Toc225955951"/>
      <w:bookmarkStart w:id="442" w:name="_Toc225955993"/>
      <w:bookmarkStart w:id="443" w:name="_Toc225956067"/>
      <w:bookmarkStart w:id="444" w:name="_Toc225956202"/>
      <w:bookmarkStart w:id="445" w:name="_Toc225956240"/>
      <w:bookmarkStart w:id="446" w:name="_Toc225956278"/>
      <w:bookmarkStart w:id="447" w:name="_Toc225956382"/>
      <w:bookmarkStart w:id="448" w:name="_Toc225956420"/>
      <w:bookmarkStart w:id="449" w:name="_Toc226711042"/>
      <w:bookmarkStart w:id="450" w:name="_Toc226712102"/>
      <w:bookmarkStart w:id="451" w:name="_Toc226712325"/>
      <w:bookmarkStart w:id="452" w:name="_Toc226712492"/>
      <w:bookmarkStart w:id="453" w:name="_Toc226714588"/>
      <w:bookmarkStart w:id="454" w:name="_Toc226714653"/>
      <w:bookmarkStart w:id="455" w:name="_Toc226714768"/>
      <w:bookmarkStart w:id="456" w:name="_Toc226714830"/>
      <w:bookmarkStart w:id="457" w:name="_Toc226716540"/>
      <w:bookmarkStart w:id="458" w:name="_Toc226716577"/>
      <w:bookmarkStart w:id="459" w:name="_Toc227055855"/>
      <w:bookmarkStart w:id="460" w:name="_Toc227056165"/>
      <w:bookmarkStart w:id="461" w:name="_Toc227056229"/>
      <w:bookmarkStart w:id="462" w:name="_Toc227056256"/>
      <w:bookmarkStart w:id="463" w:name="_Toc227056283"/>
      <w:bookmarkStart w:id="464" w:name="_Toc227935682"/>
      <w:bookmarkStart w:id="465" w:name="_Toc227936002"/>
      <w:bookmarkStart w:id="466" w:name="_Toc227936030"/>
      <w:bookmarkStart w:id="467" w:name="_Toc227936058"/>
      <w:bookmarkStart w:id="468" w:name="_Toc227936086"/>
      <w:bookmarkStart w:id="469" w:name="_Toc227936114"/>
      <w:bookmarkStart w:id="470" w:name="_Toc227936143"/>
      <w:bookmarkStart w:id="471" w:name="_Toc227936172"/>
      <w:bookmarkStart w:id="472" w:name="_Toc227936201"/>
      <w:bookmarkStart w:id="473" w:name="_Toc227936230"/>
      <w:bookmarkStart w:id="474" w:name="_Toc227936260"/>
      <w:bookmarkStart w:id="475" w:name="_Toc227936290"/>
      <w:bookmarkStart w:id="476" w:name="_Toc227936320"/>
      <w:bookmarkStart w:id="477" w:name="_Toc227936350"/>
      <w:bookmarkStart w:id="478" w:name="_Toc227936381"/>
      <w:bookmarkStart w:id="479" w:name="_Toc227936412"/>
      <w:bookmarkStart w:id="480" w:name="_Toc227936443"/>
      <w:bookmarkStart w:id="481" w:name="_Toc227936474"/>
      <w:bookmarkStart w:id="482" w:name="_Toc227936506"/>
      <w:bookmarkStart w:id="483" w:name="_Toc227936538"/>
      <w:bookmarkStart w:id="484" w:name="_Toc227936570"/>
      <w:bookmarkStart w:id="485" w:name="_Toc227936602"/>
      <w:bookmarkStart w:id="486" w:name="_Toc227936635"/>
      <w:bookmarkStart w:id="487" w:name="_Toc227936668"/>
      <w:bookmarkStart w:id="488" w:name="_Toc227936701"/>
      <w:bookmarkStart w:id="489" w:name="_Toc227936734"/>
      <w:bookmarkStart w:id="490" w:name="_Toc227936768"/>
      <w:bookmarkStart w:id="491" w:name="_Toc227936802"/>
      <w:bookmarkStart w:id="492" w:name="_Toc227936836"/>
      <w:bookmarkStart w:id="493" w:name="_Toc227936870"/>
      <w:bookmarkStart w:id="494" w:name="_Toc227936905"/>
      <w:bookmarkStart w:id="495" w:name="_Toc227936940"/>
      <w:bookmarkStart w:id="496" w:name="_Toc227936975"/>
      <w:bookmarkStart w:id="497" w:name="_Toc227937010"/>
      <w:bookmarkStart w:id="498" w:name="_Toc227937046"/>
      <w:bookmarkStart w:id="499" w:name="_Toc227937082"/>
      <w:bookmarkStart w:id="500" w:name="_Toc227937118"/>
      <w:bookmarkStart w:id="501" w:name="_Toc227937154"/>
      <w:bookmarkStart w:id="502" w:name="_Toc227937191"/>
      <w:bookmarkStart w:id="503" w:name="_Toc227937228"/>
      <w:bookmarkStart w:id="504" w:name="_Toc227937265"/>
      <w:bookmarkStart w:id="505" w:name="_Toc227937302"/>
      <w:bookmarkStart w:id="506" w:name="_Toc227937340"/>
      <w:bookmarkStart w:id="507" w:name="_Toc227937378"/>
      <w:bookmarkStart w:id="508" w:name="_Toc227937416"/>
      <w:bookmarkStart w:id="509" w:name="_Toc227937454"/>
      <w:bookmarkStart w:id="510" w:name="_Toc227937492"/>
      <w:bookmarkStart w:id="511" w:name="_Toc227937530"/>
      <w:r w:rsidRPr="005E78F4">
        <w:lastRenderedPageBreak/>
        <w:t>KAPITOLA II – Mechanizmus na podporu obnovy a odolnosti (RRF)</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3CC08F4A" w14:textId="77777777" w:rsidR="003B03EB" w:rsidRPr="005E78F4" w:rsidRDefault="003B03EB" w:rsidP="003B03EB">
      <w:pPr>
        <w:tabs>
          <w:tab w:val="left" w:pos="3840"/>
        </w:tabs>
        <w:spacing w:after="240"/>
        <w:ind w:left="567" w:hanging="567"/>
        <w:rPr>
          <w:i/>
        </w:rPr>
      </w:pPr>
      <w:r w:rsidRPr="005E78F4">
        <w:rPr>
          <w:i/>
        </w:rPr>
        <w:t>Pripomienky Dvora audítorov</w:t>
      </w:r>
    </w:p>
    <w:p w14:paraId="4245CEAB" w14:textId="54E27021" w:rsidR="003B03EB" w:rsidRPr="005E78F4" w:rsidRDefault="004177E9" w:rsidP="003B03EB">
      <w:pPr>
        <w:pStyle w:val="NormalHanging12a"/>
      </w:pPr>
      <w:r>
        <w:t>250</w:t>
      </w:r>
      <w:r w:rsidR="003B03EB" w:rsidRPr="005E78F4">
        <w:t>.</w:t>
      </w:r>
      <w:r w:rsidR="003B03EB" w:rsidRPr="005E78F4">
        <w:tab/>
        <w:t>berie na vedomie, že Dvor audítorov už tretí rok po sebe vydal výrok s výhradou k zákonnosti a správnosti výdavkov z Mechanizmu na podporu obnovy a odolnosti (RRF) podobne ako v správach za rok 2022 a rok 2023; konštatuje, že v roku 2024 Dvor audítorov vybral vzorku 395 míľnikov a cieľov v rámci 28 grantových platieb, zahŕňajúcich 53,5 miliardy EUR z celkovej sumy 59,9 miliardy EUR vyplatenej v roku 2024, a hoci neuvádza mieru chybovosti z dôvodu osobitného modelu výdavkov RRF, odhaduje, že minimálny finančný vplyv jeho zistení presahuje prah významnosti; s veľkým znepokojením konštatuje, že celkový finančný vplyv kvantitatívnych zistení sa zvyšuje; vyjadruje znepokojenie nad tým, že podľa záverov Dvora audítorov šesť z 28 platieb v rámci RRF uskutočnených v roku 2024 bolo ovplyvnených kvantitatívnymi zisteniami a že päť z týchto platieb bolo ovplyvnených významnou chybou; poznamenáva, že podľa názoru Dvora audítorov sú s výnimkou týchto záležitostí výdavky v rámci RRF prijaté v účtovnej závierke za rok 2024 zo všetkých významných hľadísk zákonné a správne;</w:t>
      </w:r>
    </w:p>
    <w:p w14:paraId="0B164639" w14:textId="0DF49455" w:rsidR="003B03EB" w:rsidRPr="005E78F4" w:rsidRDefault="004177E9" w:rsidP="003B03EB">
      <w:pPr>
        <w:pStyle w:val="NormalHanging12a"/>
      </w:pPr>
      <w:r>
        <w:t>251</w:t>
      </w:r>
      <w:r w:rsidR="003B03EB" w:rsidRPr="005E78F4">
        <w:t>.</w:t>
      </w:r>
      <w:r w:rsidR="003B03EB" w:rsidRPr="005E78F4">
        <w:tab/>
        <w:t>so znepokojením konštatuje, že Dvor audítorov identifikoval šesť míľnikov v piatich platbách, ktoré neboli uspokojivo splnené. konštatuje, že v týchto prípadoch chýbajúce prvky predstavovali viac ako minimálnu prijateľnú odchýlku a že Komisia napriek tomu uskutočnila príslušné platby; dodáva, že v jednom z týchto šiestich prípadov Komisia pri svojom predbežnom posúdení vychádzala z údajov a kontrol predložených členským štátom bez toho, aby vykonala ďalšie testovanie s cieľom posúdiť ich spoľahlivosť;</w:t>
      </w:r>
    </w:p>
    <w:p w14:paraId="7090B2D9" w14:textId="7AEB3B65" w:rsidR="003B03EB" w:rsidRPr="005E78F4" w:rsidRDefault="004177E9" w:rsidP="003B03EB">
      <w:pPr>
        <w:pStyle w:val="NormalHanging12a"/>
      </w:pPr>
      <w:r>
        <w:t>252</w:t>
      </w:r>
      <w:r w:rsidR="003B03EB" w:rsidRPr="005E78F4">
        <w:t>.</w:t>
      </w:r>
      <w:r w:rsidR="003B03EB" w:rsidRPr="005E78F4">
        <w:tab/>
        <w:t>ďalej konštatuje, že Dvor audítorov zistil ďalších 12 prípadov nedostatkov v posúdení Komisie, ktoré napriek tomu, že nemali vplyv na uspokojivé splnenie príslušného míľnika alebo cieľa, odhalili, že Komisia nevykonala dostatočné kontroly na posúdenie spoľahlivosti údajov a kontrol poskytnutých členskými štátmi;</w:t>
      </w:r>
    </w:p>
    <w:p w14:paraId="7A2A2D3C" w14:textId="2D528C93" w:rsidR="003B03EB" w:rsidRPr="005E78F4" w:rsidRDefault="004177E9" w:rsidP="003B03EB">
      <w:pPr>
        <w:pStyle w:val="NormalHanging12a"/>
      </w:pPr>
      <w:r>
        <w:t>253</w:t>
      </w:r>
      <w:r w:rsidR="003B03EB" w:rsidRPr="005E78F4">
        <w:t>.</w:t>
      </w:r>
      <w:r w:rsidR="003B03EB" w:rsidRPr="005E78F4">
        <w:tab/>
        <w:t>konštatuje, že v rámci RRF sú platby Komisie členským štátom podmienené uspokojivým splnením dohodnutých míľnikov a cieľov, a nie overením súladu jednotlivých výdavkov s pravidlami Únie a vnútroštátnymi pravidlami, čo sťažuje posúdenie súladu s uplatniteľnými právnymi požiadavkami; konštatuje, že v nariadení o Mechanizme na podporu obnovy a odolnosti sa neuvádzajú kritériá na výklad pojmu „uspokojivý“ v súvislosti s plnením míľnikov a cieľov, a že v prípade kvalitatívnych kritérií závisí toto posúdenie od viacerých hodnotení, čo vedie k rôznym možným výkladom toho, či boli míľniky alebo ciele uspokojivo splnené; ďalej konštatuje, že prípady nejasne vymedzených míľnikov alebo cieľov, ktoré boli identifikované, vedú k tomu, že kritériá na posúdenie ich splnenia zostávajú nejasné;</w:t>
      </w:r>
    </w:p>
    <w:p w14:paraId="3F16411F" w14:textId="52E7B90B" w:rsidR="003B03EB" w:rsidRPr="005E78F4" w:rsidRDefault="004177E9" w:rsidP="003B03EB">
      <w:pPr>
        <w:pStyle w:val="NormalHanging12a"/>
      </w:pPr>
      <w:r>
        <w:t>254</w:t>
      </w:r>
      <w:r w:rsidR="003B03EB" w:rsidRPr="005E78F4">
        <w:t>.</w:t>
      </w:r>
      <w:r w:rsidR="003B03EB" w:rsidRPr="005E78F4">
        <w:tab/>
        <w:t>berie na vedomie, že Dvor audítorov zistil aj štyri prípady nejasne vymedzených míľnikov alebo cieľov, ktoré Komisia takisto uznala a zdokumentovala vo svojom predbežnom posúdení; konštatuje, že keď sú míľniky a ciele vymedzené nejasne, kritériá na posúdenie ich plnenia sa nevyhnutne stávajú rovnako nejasnými, čo oslabuje spoľahlivosť a jednoznačnosť postupu posudzovania; berie na vedomie názor Komisie, že míľniky a ciele stanovené vo vykonávacích rozhodnutiach Rady mohli byť v niektorých prípadoch vypracované jasnejšie;</w:t>
      </w:r>
    </w:p>
    <w:p w14:paraId="53CD1282" w14:textId="1EB2CC71" w:rsidR="003B03EB" w:rsidRPr="005E78F4" w:rsidRDefault="004177E9" w:rsidP="003B03EB">
      <w:pPr>
        <w:pStyle w:val="NormalHanging12a"/>
      </w:pPr>
      <w:r>
        <w:lastRenderedPageBreak/>
        <w:t>255</w:t>
      </w:r>
      <w:r w:rsidR="003B03EB" w:rsidRPr="005E78F4">
        <w:t>.</w:t>
      </w:r>
      <w:r w:rsidR="003B03EB" w:rsidRPr="005E78F4">
        <w:tab/>
        <w:t xml:space="preserve">pripomína, že </w:t>
      </w:r>
      <w:proofErr w:type="spellStart"/>
      <w:r w:rsidR="003B03EB" w:rsidRPr="005E78F4">
        <w:t>supermíľnikmi</w:t>
      </w:r>
      <w:proofErr w:type="spellEnd"/>
      <w:r w:rsidR="003B03EB" w:rsidRPr="005E78F4">
        <w:t xml:space="preserve"> v rámci RRF pre Poľsko sa nariadili konkrétne reformy v oblasti súdnictva, a to zrušenie disciplinárneho senátu najvyššieho súdu a jeho nahradenia nezávislým senátom najvyššieho súdu a to, aby všetci sudcovia dotknutí rozsudkami disciplinárneho senátu mali právo na preskúmanie ich veci novým senátom v jasnom časovom rámci; vyjadruje znepokojenie nad tým, že poľský prezident naďalej odmieta podpísať zákon o reformách navrhnutých v roku 2025 poľskou vládou a prijatých poľským parlamentom týkajúcich sa právneho štátu, ktorých cieľom je vykonať odporúčania Európskej komisie týkajúce sa plnenia míľnikov v oblasti súdnictva v rámci plánu obnovy a odolnosti; zdôrazňuje, že plnenie míľnikov v oblasti nezávislosti súdnictva v súlade s právom Únie vrátane judikatúry Súdneho dvora je nevyhnutné, aby sa zabezpečila právna istota a ochrana rozpočtu Únie;</w:t>
      </w:r>
    </w:p>
    <w:p w14:paraId="7D4BF3AB" w14:textId="4C59BEAD" w:rsidR="003B03EB" w:rsidRPr="005E78F4" w:rsidRDefault="004177E9" w:rsidP="003B03EB">
      <w:pPr>
        <w:pStyle w:val="NormalHanging12a"/>
      </w:pPr>
      <w:r>
        <w:t>256</w:t>
      </w:r>
      <w:r w:rsidR="003B03EB" w:rsidRPr="005E78F4">
        <w:t>.</w:t>
      </w:r>
      <w:r w:rsidR="003B03EB" w:rsidRPr="005E78F4">
        <w:tab/>
        <w:t>konštatuje, že Dvor audítorov zistil, že projekty týkajúce sa jedného míľnika a troch cieľov v dvoch platbách sa začali pred obdobím oprávnenosti; v nariadení sa stanovuje, že v rámci RRF sa môžu financovať len opatrenia, ktoré sa začali vykonávať od 1. februára 2020, ale neuvádza sa v ňom, čo predstavuje „začiatok“ opatrenia; poznamenáva, že v januári 2021 Komisia vydala usmernenie, v ktorom objasnila, že za „začiatok“ opatrenia sa považuje začiatok jeho vykonávania v praxi, keď vzniknú náklady; uznáva, že Dvor audítorov považuje za začiatok opatrenia dátum prvého právneho záväzku (napr. zmluvy, objednávky alebo rozhodnutia o financovaní), ktorý predstavuje začiatok prvej činnosti súvisiacej s opatrením, zatiaľ čo Komisia považuje za začiatok opatrenia začiatok jeho vykonávania v praxi, keď vzniknú náklady; uznáva, že existujú rôzne výklady toho, čo predstavuje „začiatok“ opatrenia v rámci RRF;</w:t>
      </w:r>
    </w:p>
    <w:p w14:paraId="65CFDD48" w14:textId="29F4D275" w:rsidR="003B03EB" w:rsidRPr="005E78F4" w:rsidRDefault="004177E9" w:rsidP="003B03EB">
      <w:pPr>
        <w:pStyle w:val="NormalHanging12a"/>
      </w:pPr>
      <w:r>
        <w:t>257</w:t>
      </w:r>
      <w:r w:rsidR="003B03EB" w:rsidRPr="005E78F4">
        <w:t>.</w:t>
      </w:r>
      <w:r w:rsidR="003B03EB" w:rsidRPr="005E78F4">
        <w:tab/>
        <w:t xml:space="preserve">konštatuje, že nesplatené pôžičky Únie sa v roku 2024 zvýšili o viac ako 30 %, čo je spôsobené tým, že Komisia intenzívnejšie využíva kapitálové trhy na financovanie rozsiahlych programov, ako je európsky nástroj dočasnej podpory na zmiernenie rizík nezamestnanosti v núdzovej situácii (SURE) a nástroj </w:t>
      </w:r>
      <w:proofErr w:type="spellStart"/>
      <w:r w:rsidR="003B03EB" w:rsidRPr="005E78F4">
        <w:t>NextGenerationEU</w:t>
      </w:r>
      <w:proofErr w:type="spellEnd"/>
      <w:r w:rsidR="003B03EB" w:rsidRPr="005E78F4">
        <w:t xml:space="preserve">; poznamenáva, že v roku 2027 by celkové nesplatené pôžičky mohli presiahnuť 900 miliárd EUR, čo je takmer desaťnásobok úrovne zaznamenanej v roku 2020 pred spustením nástroja </w:t>
      </w:r>
      <w:proofErr w:type="spellStart"/>
      <w:r w:rsidR="003B03EB" w:rsidRPr="005E78F4">
        <w:t>NextGenerationEU</w:t>
      </w:r>
      <w:proofErr w:type="spellEnd"/>
      <w:r w:rsidR="003B03EB" w:rsidRPr="005E78F4">
        <w:t>; konštatuje, že od decembra 2022 Komisia uplatňuje diverzifikovanú stratégiu financovania ako štandardnú metódu získavania finančných prostriedkov na kapitálových trhoch a že na konci roka 2024 predstavovala nominálna hodnota nesplatených pôžičiek Únie 601,3 miliardy EUR, čo znamená nárast zo 458,5 miliardy EUR v roku 2023; vyjadruje znepokojenie nad tým, že zvýšený dlh a súvisiace vyššie úrokové náklady budú mať dlhodobé následky na fiškálnu stabilitu Únie, čo môže viesť k väčšiemu finančnému tlaku a zníženej schopnosti Únie reagovať na budúce výzvy alebo investovať do kľúčových strategických oblastí;</w:t>
      </w:r>
    </w:p>
    <w:p w14:paraId="7268FE3A" w14:textId="303AA3A7" w:rsidR="003B03EB" w:rsidRPr="005E78F4" w:rsidRDefault="004177E9" w:rsidP="003B03EB">
      <w:pPr>
        <w:pStyle w:val="NormalHanging12a"/>
      </w:pPr>
      <w:r>
        <w:t>258</w:t>
      </w:r>
      <w:r w:rsidR="003B03EB" w:rsidRPr="005E78F4">
        <w:t>.</w:t>
      </w:r>
      <w:r w:rsidR="003B03EB" w:rsidRPr="005E78F4">
        <w:tab/>
        <w:t xml:space="preserve">so znepokojením konštatuje, že ročné grantové platby z RRF financované z nástroja </w:t>
      </w:r>
      <w:proofErr w:type="spellStart"/>
      <w:r w:rsidR="003B03EB" w:rsidRPr="005E78F4">
        <w:t>NextGenerationEU</w:t>
      </w:r>
      <w:proofErr w:type="spellEnd"/>
      <w:r w:rsidR="003B03EB" w:rsidRPr="005E78F4">
        <w:t xml:space="preserve"> dosiahli v roku 2024 výšku 55,9 miliardy EUR, čo je len približne polovica úrovne očakávanej Komisiou v júni 2023 (96,0 miliardy EUR), čo odzrkadľuje pretrvávajúce oneskorenia pri predkladaní a spracúvaní žiadostí o platbu; konštatuje však, že dynamika sa do konca roka zvýšila, pričom 15 členských štátov predložilo v decembri 2024 žiadosti o platbu v celkovej výške 58,5 miliardy EUR;</w:t>
      </w:r>
    </w:p>
    <w:p w14:paraId="40EDE690" w14:textId="54A50CA4" w:rsidR="003B03EB" w:rsidRPr="005E78F4" w:rsidRDefault="004177E9" w:rsidP="003B03EB">
      <w:pPr>
        <w:pStyle w:val="NormalHanging12a"/>
      </w:pPr>
      <w:r>
        <w:t>259</w:t>
      </w:r>
      <w:r w:rsidR="003B03EB" w:rsidRPr="005E78F4">
        <w:t>.</w:t>
      </w:r>
      <w:r w:rsidR="003B03EB" w:rsidRPr="005E78F4">
        <w:tab/>
        <w:t xml:space="preserve">konštatuje, že do konca roka 2024 dosiahli platby v rámci RRF 197,5 miliardy EUR z 358,9 miliardy EUR vo viazaných grantoch, takže do konca roka 2026 sa má ešte vyplatiť až 161,4 miliardy EUR; konštatuje, že tento značný objem neuhradených platieb sústredený do posledných dvoch rokov nástroja zvyšuje riziko prekážok pri vykonávaní a ďalších oneskorení, najmä v členských štátoch, ktoré čelia štrukturálnym </w:t>
      </w:r>
      <w:r w:rsidR="003B03EB" w:rsidRPr="005E78F4">
        <w:lastRenderedPageBreak/>
        <w:t>kapacitným obmedzeniam; zdôrazňuje, že včasné čerpanie zostávajúcich grantov RRF bude závisieť od kvality a vyspelosti reforiem a investícií, stability vnútroštátnych systémov riadenia, dostupnosti administratívnej kapacity a technickej podpory a schopnosti Komisie efektívne spracovať vysoký objem žiadostí o platbu v skrátenom časovom rámci;</w:t>
      </w:r>
    </w:p>
    <w:p w14:paraId="01B306F2" w14:textId="5AE2DAA6" w:rsidR="003B03EB" w:rsidRPr="005E78F4" w:rsidRDefault="004177E9" w:rsidP="003B03EB">
      <w:pPr>
        <w:pStyle w:val="NormalHanging12a"/>
      </w:pPr>
      <w:r>
        <w:t>260</w:t>
      </w:r>
      <w:r w:rsidR="003B03EB" w:rsidRPr="005E78F4">
        <w:t>.</w:t>
      </w:r>
      <w:r w:rsidR="003B03EB" w:rsidRPr="005E78F4">
        <w:tab/>
        <w:t xml:space="preserve">berie na vedomie zistenie Dvora audítorov, že využívanie grantov RRF bolo nižšie, ako sa očakávalo, zatiaľ čo čerpanie navýšených prostriedkov nástroja </w:t>
      </w:r>
      <w:proofErr w:type="spellStart"/>
      <w:r w:rsidR="003B03EB" w:rsidRPr="005E78F4">
        <w:t>NextGenerationEU</w:t>
      </w:r>
      <w:proofErr w:type="spellEnd"/>
      <w:r w:rsidR="003B03EB" w:rsidRPr="005E78F4">
        <w:t xml:space="preserve"> sa v roku 2024 zrýchlilo; konštatuje, že ročné platby grantov RRF dosiahli v roku 2024 celkovo 55,9 miliardy EUR, z čoho 7,9 miliardy EUR bolo financovaných z plánu </w:t>
      </w:r>
      <w:proofErr w:type="spellStart"/>
      <w:r w:rsidR="003B03EB" w:rsidRPr="005E78F4">
        <w:t>REPowerEU</w:t>
      </w:r>
      <w:proofErr w:type="spellEnd"/>
      <w:r w:rsidR="003B03EB" w:rsidRPr="005E78F4">
        <w:t xml:space="preserve"> a 48 miliárd EUR z grantov </w:t>
      </w:r>
      <w:proofErr w:type="spellStart"/>
      <w:r w:rsidR="003B03EB" w:rsidRPr="005E78F4">
        <w:t>NextGenerationEU</w:t>
      </w:r>
      <w:proofErr w:type="spellEnd"/>
      <w:r w:rsidR="003B03EB" w:rsidRPr="005E78F4">
        <w:t xml:space="preserve">, a že ročné platby grantov RRF financovaných z </w:t>
      </w:r>
      <w:proofErr w:type="spellStart"/>
      <w:r w:rsidR="003B03EB" w:rsidRPr="005E78F4">
        <w:t>NextGenerationEU</w:t>
      </w:r>
      <w:proofErr w:type="spellEnd"/>
      <w:r w:rsidR="003B03EB" w:rsidRPr="005E78F4">
        <w:t xml:space="preserve"> predstavovali len polovicu toho, čo Komisia očakávala v júni 2023 (96 miliárd EUR); v decembri 2024 však 15 členských štátov predložilo žiadosti o platbu v celkovej výške 58,5 mld. EUR; poznamenáva, že s platbami vo výške 197,5 mld. EUR do konca roka 2024 z 358,9 mld. EUR prijatých záväzkov zostávajú k dispozícii granty RRF vo výške až 161,4 mld. EUR, ktoré sa majú vyplatiť do konca roka 2026;</w:t>
      </w:r>
    </w:p>
    <w:p w14:paraId="4C1E2337" w14:textId="4BEB01CC" w:rsidR="003B03EB" w:rsidRPr="005E78F4" w:rsidRDefault="004177E9" w:rsidP="003B03EB">
      <w:pPr>
        <w:pStyle w:val="NormalHanging12a"/>
      </w:pPr>
      <w:r>
        <w:t>261</w:t>
      </w:r>
      <w:r w:rsidR="003B03EB" w:rsidRPr="005E78F4">
        <w:t>.</w:t>
      </w:r>
      <w:r w:rsidR="003B03EB" w:rsidRPr="005E78F4">
        <w:tab/>
        <w:t>so znepokojením berie na vedomie, že Komisia vo svojej správe z 8. októbra 2025 o vykonávaní RRF uznala, že tempo vykonávania sa v jednotlivých členských štátoch výrazne líši, pričom len šesť členských štátov dostalo platby zodpovedajúce viac ako 65 % ich celkového finančného krytia VFR a ďalšie štyri členské štáty dostali viac ako 50 % svojich pridelených prostriedkov; vyjadruje znepokojenie nad značnými rozdielmi v čerpaní grantov RRF k dnešnému dňu; zdôrazňuje, že vzhľadom na to, že do konečného termínu v auguste 2026 zostáva menej ako šesť mesiacov, včasné a účinné vykonávanie reforiem a investícií členskými štátmi je čoraz naliehavejšie;</w:t>
      </w:r>
    </w:p>
    <w:p w14:paraId="3B39E2C1" w14:textId="11B0D3BE" w:rsidR="003B03EB" w:rsidRPr="005E78F4" w:rsidRDefault="004177E9" w:rsidP="003B03EB">
      <w:pPr>
        <w:pStyle w:val="NormalHanging12a"/>
      </w:pPr>
      <w:r>
        <w:t>262</w:t>
      </w:r>
      <w:r w:rsidR="003B03EB" w:rsidRPr="005E78F4">
        <w:t>.</w:t>
      </w:r>
      <w:r w:rsidR="003B03EB" w:rsidRPr="005E78F4">
        <w:tab/>
        <w:t xml:space="preserve">zdôrazňuje svoje znepokojenie nad zisteniami Dvora audítorov v jeho osobitnej správe 22/2024 o dvojitom financovaní z rozpočtu EÚ v súvislosti s modelom financovania RRF; zdôrazňuje, že národné plány členských štátov môžu zahŕňať tzv. opatrenia s nulovými nákladmi, t. j. opatrenia, ktoré podľa odhadov nebudú vykazovať žiadne náklady financované z RRF, a v prípade ktorých sa dvojité financovanie nekontroluje, keďže podľa názoru Komisie sú opatrenia, ktoré nedostávajú žiadne finančné prostriedky z RRF, z tohto hľadiska bez rizika; konštatuje, že Dvor audítorov informoval o možných prípadoch dvojitého financovania v súvislosti s opatreniami v rámci RRF; pripomína, že oznámené zistenie z Chorvátska sa týka takéhoto opatrenia s nulovými nákladmi a že Komisia ani členský štát sa nedomnievajú, že by došlo k duplicite prostriedkov RRF; zdôrazňuje, že zistenie Dvora audítorov odráža odlišný výklad toho, čo predstavuje pojem „financované“, a nie skutočné dvojité financovanie; zdôrazňuje však, že „opatrenia s nulovými nákladmi“ a absencia systematických krížových kontrol vytvárajú štrukturálne slepé miesto, ktoré si vyžaduje posilnené monitorovanie a </w:t>
      </w:r>
      <w:proofErr w:type="spellStart"/>
      <w:r w:rsidR="003B03EB" w:rsidRPr="005E78F4">
        <w:t>usmerneň</w:t>
      </w:r>
      <w:r w:rsidR="004B59E5" w:rsidRPr="005E78F4">
        <w:t>o</w:t>
      </w:r>
      <w:r w:rsidR="003B03EB" w:rsidRPr="005E78F4">
        <w:t>vanie</w:t>
      </w:r>
      <w:proofErr w:type="spellEnd"/>
      <w:r w:rsidR="003B03EB" w:rsidRPr="005E78F4">
        <w:t>; vyzýva Komisiu, aby naďalej monitorovala uplatňovanie pravidiel dvojitého financovania a poskytovala členským štátom v tomto smere usmernenia, uznávajúc právny a metodický rámec stanovený v nariadení o RRF;</w:t>
      </w:r>
    </w:p>
    <w:p w14:paraId="36BCD490" w14:textId="47B7D153" w:rsidR="003B03EB" w:rsidRPr="005E78F4" w:rsidRDefault="004177E9" w:rsidP="003B03EB">
      <w:pPr>
        <w:pStyle w:val="NormalHanging12a"/>
      </w:pPr>
      <w:r>
        <w:t>263</w:t>
      </w:r>
      <w:r w:rsidR="003B03EB" w:rsidRPr="005E78F4">
        <w:t>.</w:t>
      </w:r>
      <w:r w:rsidR="003B03EB" w:rsidRPr="005E78F4">
        <w:tab/>
        <w:t>pripomína, že v nariadení sa stanovuje, že opatrenia a kroky týkajúce sa predtým splnených míľnikov a cieľov sa nesmú zrušiť a že od členských štátov sa vyžaduje, aby túto skutočnosť potvrdili vo vyhláseniach riadiaceho subjektu pripojených k ich žiadostiam o platbu; vyjadruje poľutovanie nad tým, že právny rámec RRF neumožňuje Komisii účinne riešiť zrušenia po 31. decembri 2026;</w:t>
      </w:r>
    </w:p>
    <w:p w14:paraId="053378F9" w14:textId="71E64AEB" w:rsidR="003B03EB" w:rsidRPr="005E78F4" w:rsidRDefault="004177E9" w:rsidP="00115730">
      <w:pPr>
        <w:pStyle w:val="NormalHanging12a"/>
      </w:pPr>
      <w:r>
        <w:lastRenderedPageBreak/>
        <w:t>264</w:t>
      </w:r>
      <w:r w:rsidR="003B03EB" w:rsidRPr="005E78F4">
        <w:t>.</w:t>
      </w:r>
      <w:r w:rsidR="003B03EB" w:rsidRPr="005E78F4">
        <w:tab/>
        <w:t>zdôrazňuje, že v súlade s článkom 12 ods. 1 dohody o financovaní a článkom 21 ods. 1 dohody o úvere Komisia „môže vykonávať overovania, preskúmania, kontroly a audity vykonávania plánu obnovy a odolnosti, pokiaľ ide o informácie a odôvodnenia týkajúce sa uspokojivého plnenia míľnikov a cieľov v žiadosti o platbu“, a že takéto overovania, preskúmania, kontroly a audity sa môžu vykonávať počas obdobia po skončení platnosti RRF a mohli by pomôcť identifikovať prípady, keď informácie, na ktorých je založená žiadosť o platbu predložená členským štátom, neboli správne;</w:t>
      </w:r>
    </w:p>
    <w:p w14:paraId="22B4A813" w14:textId="2AD51D8C" w:rsidR="003B03EB" w:rsidRPr="005E78F4" w:rsidRDefault="004177E9" w:rsidP="003B03EB">
      <w:pPr>
        <w:pStyle w:val="NormalHanging12a"/>
      </w:pPr>
      <w:r>
        <w:t>265</w:t>
      </w:r>
      <w:r w:rsidR="003B03EB" w:rsidRPr="005E78F4">
        <w:t>.</w:t>
      </w:r>
      <w:r w:rsidR="003B03EB" w:rsidRPr="005E78F4">
        <w:tab/>
        <w:t>berie na vedomie, že v rámci európskeho semestra sa každoročne monitoruje vykonávanie opatrení stanovených v strednodobých fiškálno-štrukturálnych plánoch, pričom členské štáty predkladajú Komisii správy o pokroku; konštatuje, že v súlade s usmernením</w:t>
      </w:r>
      <w:r w:rsidR="003B03EB" w:rsidRPr="005E78F4">
        <w:rPr>
          <w:rStyle w:val="FootnoteReference"/>
        </w:rPr>
        <w:footnoteReference w:id="116"/>
      </w:r>
      <w:r w:rsidR="003B03EB" w:rsidRPr="005E78F4">
        <w:t xml:space="preserve"> pre členské štáty o požiadavkách na informácie v prípade strednodobých fiškálno-štrukturálnych plánov a výročných správ o pokroku sa počas trvania RRF vyžaduje, aby tieto správy obsahovali informácie o pokroku vo vykonávaní ktorejkoľvek z reforiem a investícií plánu obnovy a odolnosti zahrnutých do strednodobých fiškálno-štrukturálnych plánov; zdôrazňuje, že tieto správy sú nevyhnutné na zabezpečenie transparentnosti, zodpovednosti a efektívneho využívania finančných prostriedkov Únie, a vyzýva Komisiu, aby overila, že členské štáty poskytujú úplné, včasné a presné informácie v súlade s cieľmi RRF;</w:t>
      </w:r>
    </w:p>
    <w:p w14:paraId="07A09C8D" w14:textId="4CDB4738" w:rsidR="003B03EB" w:rsidRPr="005E78F4" w:rsidRDefault="004177E9" w:rsidP="003B03EB">
      <w:pPr>
        <w:pStyle w:val="NormalHanging12a"/>
      </w:pPr>
      <w:r>
        <w:t>266</w:t>
      </w:r>
      <w:r w:rsidR="003B03EB" w:rsidRPr="005E78F4">
        <w:t>.</w:t>
      </w:r>
      <w:r w:rsidR="003B03EB" w:rsidRPr="005E78F4">
        <w:tab/>
        <w:t>berie na vedomie, že Komisia od roku 2021 vydala 20 záverečných audítorských správ týkajúcich sa míľnikov a cieľov, ktoré obsahujú 591 odporúčaní pre 15 členských štátov; vyjadruje mimoriadne znepokojenie nad tým, že v prípade väčšiny zo 136 odporúčaní týkajúcich sa kritických a veľmi dôležitých zistení (64 %) už uplynula lehota na ich vykonanie, stanovená v audítorskej správe; berie na vedomie informáciu Komisie, že takéto oneskorenia vo vykonávaní odporúčaní členskými štátmi predstavujú 22 % z celkového počtu odporúčaní týkajúcich sa kritických a veľmi dôležitých zistení; ďalej berie na vedomie, že Komisia prijala odporúčanie Dvora audítorov analyzovať príčiny zdržaní pri vykonávaní členskými štátmi a priebežne skúma stav všetkých nesplnených odporúčaní; očakáva, že sa bude urýchlene zaoberať oneskoreniami pri vykonávaní odporúčaní Komisie z následných auditov;</w:t>
      </w:r>
    </w:p>
    <w:p w14:paraId="37A270D0" w14:textId="13481480" w:rsidR="003B03EB" w:rsidRPr="005E78F4" w:rsidRDefault="004177E9" w:rsidP="003B03EB">
      <w:pPr>
        <w:pStyle w:val="NormalHanging12a"/>
      </w:pPr>
      <w:r>
        <w:t>267</w:t>
      </w:r>
      <w:r w:rsidR="003B03EB" w:rsidRPr="005E78F4">
        <w:t>.</w:t>
      </w:r>
      <w:r w:rsidR="003B03EB" w:rsidRPr="005E78F4">
        <w:tab/>
        <w:t xml:space="preserve">pripomína, že Komisia naďalej pridávala kontrolné míľniky po zistení nedostatkov v kontrolných systémoch členských štátov; berie na vedomie pripomienku Dvora audítorov, že hoci Komisia svoje kontroly verejného obstarávania a štátnej pomoci posilnila, systémy kontroly členských štátov naďalej nie sú dostatočne účinné na zabezpečenie súladu s predpismi; berie na vedomie nedostatky, ktoré Dvor audítorov zistil a ktoré predstavujú riziko pre ochranu finančných záujmov Únie, v 22 jednotlivých postupoch verejného obstarávania, vrátane nedostatočných kontrol na predchádzanie konfliktom záujmov alebo na ich odhaľovanie, nedostatkov pri odôvodňovaní použitia naliehavých postupov a nedostatkov pri odhadovaní hodnoty verejného obstarávania a trvania projektu, čo vedie k výrazným rozdielom medzi súťažnými podkladmi a skutočne podpísanými zmluvami; konštatuje, že Komisia prehodnocuje svoje usmernenia pre členské štáty s cieľom zlepšiť súvisiace kontroly na vnútroštátnej úrovni; zdôrazňuje, že hoci dodržiavanie pravidiel verejného obstarávania a štátnej pomoci vo všeobecnosti nemá vplyv na správnosť platieb RRF, ktoré Komisia vypláca členským štátom, tieto pravidlá sú kľúčové pre zabezpečenie plne fungujúceho vnútorného trhu; domnieva sa preto, že financovanie musí podliehať dodržiavaniu uplatniteľných pravidiel vnútorného trhu; uznáva, že komisár pre rozpočet, boj proti </w:t>
      </w:r>
      <w:r w:rsidR="003B03EB" w:rsidRPr="005E78F4">
        <w:lastRenderedPageBreak/>
        <w:t>podvodom a verejnú správu počas svojho vypočutia na Výbore pre kontrolu rozpočtu 8. decembra 2025 priznal, že jedným z nedostatkov, ktoré sa nesmú opakovať, je skutočnosť, že pravidlá v oblasti verejného obstarávania a štátnej pomoci nie sú zahrnuté ako podmienky platby, a záväzok Komisie napraviť to v rámci budúceho VFR;</w:t>
      </w:r>
    </w:p>
    <w:p w14:paraId="6DCEC01D" w14:textId="4F472E38" w:rsidR="003B03EB" w:rsidRPr="005E78F4" w:rsidRDefault="004177E9" w:rsidP="003B03EB">
      <w:pPr>
        <w:pStyle w:val="NormalHanging12a"/>
      </w:pPr>
      <w:r>
        <w:t>268</w:t>
      </w:r>
      <w:r w:rsidR="003B03EB" w:rsidRPr="005E78F4">
        <w:t>.</w:t>
      </w:r>
      <w:r w:rsidR="003B03EB" w:rsidRPr="005E78F4">
        <w:tab/>
        <w:t>berie na vedomie, že Dvor audítorov zistil v prípade piatich členských štátov nedostatky vo vyhláseniach riadiaceho subjektu, ktoré majú poskytnúť uistenie, že informácie predložené spolu so žiadosťami o platbu sú úplné, presné a spoľahlivé; berie na vedomie zistenie Dvora audítorov, že päť členských štátov, Česko, Španielsko, Francúzsko, Chorvátsko a Slovensko pri predkladaní žiadosti o platbu vedelo o nedostatočných dôkazoch o uspokojivom splnení niektorých míľnikov a cieľov, ale že ani jeden z nich vo svojom vyhlásení riadiaceho subjektu neuviedol žiadnu výhradu, v ktorej by upozornil, že míľnik/cieľ bol v čase žiadosti o platbu splnený len čiastočne;</w:t>
      </w:r>
    </w:p>
    <w:p w14:paraId="2FAD0F99" w14:textId="78C4EB43" w:rsidR="003B03EB" w:rsidRPr="005E78F4" w:rsidRDefault="004177E9" w:rsidP="003B03EB">
      <w:pPr>
        <w:pStyle w:val="NormalHanging12a"/>
      </w:pPr>
      <w:r>
        <w:t>269</w:t>
      </w:r>
      <w:r w:rsidR="003B03EB" w:rsidRPr="005E78F4">
        <w:t>.</w:t>
      </w:r>
      <w:r w:rsidR="003B03EB" w:rsidRPr="005E78F4">
        <w:tab/>
        <w:t>vyjadruje znepokojenie nad zisteniami Dvora audítorov v osobitnej správe č. 21/2025 o podpore zlepšenia podnikateľského prostredia z RRF; zdôrazňuje, že reformy stanovené v národných plánoch sa líšia v rozsahu, povahe a ambíciách a nemusia sa vždy premietnuť do štrukturálnych zmien v podnikateľskom prostredí; vyjadruje tiež sklamanie nad tým, že míľniky a ciele sa vo všeobecnosti obmedzujú na meranie právnych „výstupov“, najmä prijímanie zákonov, a nie ich výsledky, a preto boli podmienky pre uskutočnenie platby splnené po prijatí zákonov, a nie vtedy, keď sa prejavili ich účinky; konštatuje, že mnohé reformy sa plánovali už pred RRF, ale že finančná podpora RRF pomohla zabezpečiť, aby sa reformy vykonali v danom čase;</w:t>
      </w:r>
    </w:p>
    <w:p w14:paraId="1D3C2C30" w14:textId="77777777" w:rsidR="003B03EB" w:rsidRPr="005E78F4" w:rsidRDefault="003B03EB" w:rsidP="003B03EB">
      <w:pPr>
        <w:spacing w:after="240"/>
        <w:ind w:left="567" w:hanging="567"/>
        <w:rPr>
          <w:i/>
          <w:iCs/>
        </w:rPr>
      </w:pPr>
      <w:r w:rsidRPr="005E78F4">
        <w:rPr>
          <w:i/>
        </w:rPr>
        <w:t>Audit a kontrola</w:t>
      </w:r>
    </w:p>
    <w:p w14:paraId="2877EB7B" w14:textId="35827023" w:rsidR="003B03EB" w:rsidRPr="005E78F4" w:rsidRDefault="004177E9" w:rsidP="003B03EB">
      <w:pPr>
        <w:pStyle w:val="NormalHanging12a"/>
      </w:pPr>
      <w:r>
        <w:t>270</w:t>
      </w:r>
      <w:r w:rsidR="003B03EB" w:rsidRPr="005E78F4">
        <w:t>.</w:t>
      </w:r>
      <w:r w:rsidR="003B03EB" w:rsidRPr="005E78F4">
        <w:tab/>
        <w:t>berie na vedomie zistenie Dvora audítorov, že pokiaľ ide o závažné nezrovnalosti, ktoré členský štát nenapravil, generálny riaditeľ GR ECFIN uviedol vo svojom uistení výhradu v súvislosti s vysokým rizikom zisteným v jednom členskom štáte, konkrétne v Česku, z dôvodu dvoch prípadov konfliktu záujmov, v súvislosti s ktorými v súčasnosti nie sú informácie o nápravných opatreniach členského štátu a Komisia ešte nezačala nápravné opatrenia; konštatuje, že táto výhrada sa týka dvoch platieb v rámci RRF a že Komisia takisto posúdila 22 platieb ako stredne rizikové a šesť platieb ako platby s nízkym rizikom závažných nezrovnalostí; so znepokojením berie na vedomie názor Dvora audítorov, že keďže kritériá hodnotenia rizika sú zhruba v súlade s kritériami, ktoré sa používajú na kontroly v oblastiach ako verejné obstarávanie a štátna pomoc, celkové posúdenie nemusí v plnej miere zachytiť úroveň podkladového rizika;</w:t>
      </w:r>
    </w:p>
    <w:p w14:paraId="1B919072" w14:textId="6814BFDC" w:rsidR="003B03EB" w:rsidRPr="005E78F4" w:rsidRDefault="004177E9" w:rsidP="003B03EB">
      <w:pPr>
        <w:pStyle w:val="NormalHanging12a"/>
      </w:pPr>
      <w:r>
        <w:t>271</w:t>
      </w:r>
      <w:r w:rsidR="003B03EB" w:rsidRPr="005E78F4">
        <w:t>.</w:t>
      </w:r>
      <w:r w:rsidR="003B03EB" w:rsidRPr="005E78F4">
        <w:tab/>
        <w:t xml:space="preserve">vyjadruje znepokojenie nad správami Dvora audítorov, že informácie o odhalených podvodoch, ktoré má Komisia k dispozícii, sú obmedzené, a zdôrazňuje potrebu zlepšiť informačné toky s cieľom zabezpečiť ochranu finančných záujmov Únie, najmä prostredníctvom posilnených preventívnych opatrení; upozorňuje, že na konci roka 2024 riešila Európska prokuratúra 311 aktívnych prípadov týkajúcich sa nástroja </w:t>
      </w:r>
      <w:proofErr w:type="spellStart"/>
      <w:r w:rsidR="003B03EB" w:rsidRPr="005E78F4">
        <w:t>NextGenerationEU</w:t>
      </w:r>
      <w:proofErr w:type="spellEnd"/>
      <w:r w:rsidR="003B03EB" w:rsidRPr="005E78F4">
        <w:t xml:space="preserve">, z ktorých sa všetky okrem štyroch týkali RRF, čo predstavuje približne 17 % všetkých prebiehajúcich vyšetrovaní podvodov v oblasti výdavkov; konštatuje, že odhadované poškodenie finančných záujmov Únie je 2,8 mld. EUR, čo predstavuje 30 % (2023: 25 %) celkových odhadovaných škôd vyplývajúcich zo všetkých podvodov v oblasti výdavkov Únie; zdôrazňuje však, že EPPO oficiálne oznámila Komisii len 75 prípadov týkajúcich sa RRF a že 80 % týchto oznámených prípadov sa týkalo jediného opatrenia v jedinom členskom štáte, Taliansku; berie na vedomie aj zistenie EPPO, že hlavným zdrojom informácií zostali vnútroštátne orgány </w:t>
      </w:r>
      <w:r w:rsidR="003B03EB" w:rsidRPr="005E78F4">
        <w:lastRenderedPageBreak/>
        <w:t>presadzovania práva, pričom 90 % nových vyšetrovaní sa začalo na základe ich informácií; z osobitnej správy Dvora audítorov č. 06/2026 o riešení podvodov v rámci RRF tiež berie na vedomie, že členské štáty nahlásili od začiatku RRF v roku 2021 do konca roka 2024 GR ECFIN 51 prípadov podozrenia z podvodu; vyjadruje znepokojenie nad tým, že správy inštitúcií, orgánov, úradov a agentúr Únie vrátane Komisie predstavujú menej ako 1 % nových vyšetrovaní Európskej prokuratúry začatých v roku 2025, čo vyvoláva ďalšie obavy, pokiaľ ide o schopnosť Komisie dohliadať na Mechanizmus na podporu obnovy a odolnosti; je takisto znepokojený tým, že keďže implementácia Mechanizmu na podporu obnovy a odolnosti nie je ešte ani v polovici, Európska prokuratúra očakáva, že počet prípadov bude naďalej rásť; zdôrazňuje, že údaje predložené Európskou prokuratúrou potvrdzujú, že s RRF je spojené riziko podvodu; zdôrazňuje, že táto situácia poukazuje na potrebu ďalšieho posilnenia vnútroštátnych kapacít na odhaľovanie a oznamovanie podvodov, spolupráce s EPPO a Komisiou a celkovej účinnosti a konzistentnosti systémov boja proti podvodom v celej Únii; zdôrazňuje, že ochrana finančných prostriedkov Únie a peňazí daňovníkov si vyžaduje spoľahlivý, koordinovaný a dobre vybavený rámec na boj proti podvodom na úrovni Únie aj na vnútroštátnej úrovni;</w:t>
      </w:r>
    </w:p>
    <w:p w14:paraId="3A5F392F" w14:textId="7F115042" w:rsidR="003B03EB" w:rsidRPr="005E78F4" w:rsidRDefault="004177E9" w:rsidP="003B03EB">
      <w:pPr>
        <w:pStyle w:val="NormalHanging12a"/>
      </w:pPr>
      <w:r>
        <w:t>272</w:t>
      </w:r>
      <w:r w:rsidR="003B03EB" w:rsidRPr="005E78F4">
        <w:t>.</w:t>
      </w:r>
      <w:r w:rsidR="003B03EB" w:rsidRPr="005E78F4">
        <w:tab/>
        <w:t xml:space="preserve">víta reformy, ktoré vykonalo Bulharsko, a pokrok dosiahnutý v roku 2025, počas ktorého krajina získala približne 31 % z celkového objemu svojich pridelených finančných prostriedkov z RRF prostredníctvom dvoch </w:t>
      </w:r>
      <w:proofErr w:type="spellStart"/>
      <w:r w:rsidR="003B03EB" w:rsidRPr="005E78F4">
        <w:t>tranží</w:t>
      </w:r>
      <w:proofErr w:type="spellEnd"/>
      <w:r w:rsidR="003B03EB" w:rsidRPr="005E78F4">
        <w:t xml:space="preserve"> vo výške 1,91 miliardy EUR; uznáva kľúčové reformy v oblasti verejného obstarávania a transparentnosti súdnictva; berie na vedomie, že Komisia 3. novembra 2025 prijala vykonávacie rozhodnutie o čiastočnom pozastavení vyplácania druhej splátky nenávratnej podpory Bulharsku, keďže jeden míľnik kontroly súvisiaci s bojom proti korupcii sa nepovažoval za uspokojivo splnený; uznáva úsilie bulharskej vlády zaviesť reformy zamerané na zabezpečenie politicky nezávislého vymenovania protikorupčnej komisie; konštatuje, že vo vykonávacom rozhodnutí Komisie sa ďalej uznáva, že národné zhromaždenie si zachováva hlavnú úlohu pri nominácii aj vymenovaní vedenia protikorupčnej komisie; konštatuje, že Bulharsko má šesť mesiacov na revíziu legislatívneho rámca, aby dosiahlo požadovanú prahovú úroveň; zdôrazňuje, že pozastavenie by sa malo zrušiť len vtedy, keď Bulharsko prijme potrebné opatrenia na zabezpečenie uspokojivého splnenia míľnika;</w:t>
      </w:r>
    </w:p>
    <w:p w14:paraId="72219CC2" w14:textId="5640DF0C" w:rsidR="003B03EB" w:rsidRPr="005E78F4" w:rsidRDefault="004177E9" w:rsidP="003B03EB">
      <w:pPr>
        <w:pStyle w:val="NormalHanging12a"/>
      </w:pPr>
      <w:r>
        <w:t>273</w:t>
      </w:r>
      <w:r w:rsidR="003B03EB" w:rsidRPr="005E78F4">
        <w:t>.</w:t>
      </w:r>
      <w:r w:rsidR="003B03EB" w:rsidRPr="005E78F4">
        <w:tab/>
        <w:t>berie na vedomie opakované zistenia Dvora audítorov o nedostatkoch niektorých vnútroštátnych orgánov auditu, pokiaľ ide o rozsah pôsobnosti, kvalitu, dokumentáciu a podávanie správ; zdôrazňuje potrebu jasného rámca zodpovednosti s cieľom zaručiť kvalitu a konzistentnosť; trvá na tom, aby orgány auditu v členských štátoch dodržiavali medzinárodne uznávané normy pre audity; varuje, že ak to tak nebude, ich práca nebude taká spoľahlivá a ohrozí to prístup jednotného auditu;</w:t>
      </w:r>
    </w:p>
    <w:p w14:paraId="0E87B2C5" w14:textId="11B9BEEE" w:rsidR="003B03EB" w:rsidRPr="005E78F4" w:rsidRDefault="004177E9" w:rsidP="003B03EB">
      <w:pPr>
        <w:pStyle w:val="NormalHanging12a"/>
      </w:pPr>
      <w:r>
        <w:t>274</w:t>
      </w:r>
      <w:r w:rsidR="003B03EB" w:rsidRPr="005E78F4">
        <w:t>.</w:t>
      </w:r>
      <w:r w:rsidR="003B03EB" w:rsidRPr="005E78F4">
        <w:tab/>
        <w:t xml:space="preserve">vyjadruje poľutovanie nad neúplnými </w:t>
      </w:r>
      <w:proofErr w:type="spellStart"/>
      <w:r w:rsidR="003B03EB" w:rsidRPr="005E78F4">
        <w:t>auditorskými</w:t>
      </w:r>
      <w:proofErr w:type="spellEnd"/>
      <w:r w:rsidR="003B03EB" w:rsidRPr="005E78F4">
        <w:t xml:space="preserve"> záznamami, ktoré Dvor audítorov zistil v RRF, čo oslabuje </w:t>
      </w:r>
      <w:proofErr w:type="spellStart"/>
      <w:r w:rsidR="003B03EB" w:rsidRPr="005E78F4">
        <w:t>vysledovateľnosť</w:t>
      </w:r>
      <w:proofErr w:type="spellEnd"/>
      <w:r w:rsidR="003B03EB" w:rsidRPr="005E78F4">
        <w:t xml:space="preserve"> a obmedzuje schopnosť </w:t>
      </w:r>
      <w:r w:rsidR="00702D39" w:rsidRPr="005E78F4">
        <w:t>Európskeho p</w:t>
      </w:r>
      <w:r w:rsidR="003B03EB" w:rsidRPr="005E78F4">
        <w:t>arlamentu a Dvora audítorov vykonávať kontrolu; zdôrazňuje, že všetky databázy a informačné systémy Komisie používané na zber, výmenu a monitorovanie údajov medzi Komisiou a členskými štátmi musia byť prístupné Dvoru audítorov; zdôrazňuje, že Dvor audítorov by mal mať priamy a rýchly prístup k pôvodným údajom zaznamenaným v systéme bez predchádzajúcej úpravy, agregácie alebo zmien vykonaných vnútroštátnymi orgánmi alebo útvarmi Komisie; zdôrazňuje, že takýto prístup je nevyhnutný na zabezpečenie nezávislosti, spoľahlivosti a účinnosti auditov a na zachovanie transparentnosti a zodpovednosti pri plnení rozpočtu Únie;</w:t>
      </w:r>
    </w:p>
    <w:p w14:paraId="06E1DF73" w14:textId="1DDE75B2" w:rsidR="003B03EB" w:rsidRPr="005E78F4" w:rsidRDefault="004177E9" w:rsidP="005E78F4">
      <w:pPr>
        <w:pStyle w:val="NormalHanging12a"/>
      </w:pPr>
      <w:r>
        <w:lastRenderedPageBreak/>
        <w:t>275</w:t>
      </w:r>
      <w:r w:rsidR="003B03EB" w:rsidRPr="005E78F4">
        <w:t>.</w:t>
      </w:r>
      <w:r w:rsidR="003B03EB" w:rsidRPr="005E78F4">
        <w:tab/>
        <w:t>vyjadruje znepokojenie nad tým, že audity RRF a iných nástrojov založených na výkonnosti sa zameriavajú skôr na systémové audity než na kontroly skutočne vynaložených výdavkov; varuje, že takéto systémové audity nemusia odhaliť základné problémy, ktoré sa môžu rozšíriť a vážne narušiť správne finančné riadenie rozpočtu Únie a ochranu finančných záujmov Únie; vyzýva Komisiu, aby prijala rozhodné nápravné opatrenia, posilnila audítorské a akreditačné postupy a zabezpečila, aby sa podobné systémové zlyhania nemohli opakovať, a to pri dodržaní zásady proporcionality, pokiaľ ide o povinnosti týkajúce sa podávania správ a dokumentácie;</w:t>
      </w:r>
    </w:p>
    <w:p w14:paraId="2245F4E1" w14:textId="7A560135" w:rsidR="003B03EB" w:rsidRPr="005E78F4" w:rsidRDefault="004177E9" w:rsidP="003B03EB">
      <w:pPr>
        <w:pStyle w:val="NormalHanging12a"/>
      </w:pPr>
      <w:r>
        <w:t>276</w:t>
      </w:r>
      <w:r w:rsidR="003B03EB" w:rsidRPr="005E78F4">
        <w:t>.</w:t>
      </w:r>
      <w:r w:rsidR="003B03EB" w:rsidRPr="005E78F4">
        <w:tab/>
        <w:t xml:space="preserve">domnieva sa, že RRF predstavuje vzhľadom na svoju veľkosť, rýchlosť a výnimočný model vykonávania ústavný test demokratickej zodpovednosti; pripomína, že RRF je financovaný prostredníctvom významných spoločných európskych pôžičiek, a preto si vyžaduje najvyššie štandardy finančnej zodpovednosti, transparentnosti a hodnoty za peniaze pre úniových daňovníkov; zdôrazňuje, že úloha </w:t>
      </w:r>
      <w:r w:rsidR="00702D39" w:rsidRPr="005E78F4">
        <w:t>Európskeho p</w:t>
      </w:r>
      <w:r w:rsidR="003B03EB" w:rsidRPr="005E78F4">
        <w:t xml:space="preserve">arlamentu ako orgánu udeľujúceho absolutórium má zmysel len vtedy, ak sa normy transparentnosti, </w:t>
      </w:r>
      <w:proofErr w:type="spellStart"/>
      <w:r w:rsidR="003B03EB" w:rsidRPr="005E78F4">
        <w:t>vysledovateľnosti</w:t>
      </w:r>
      <w:proofErr w:type="spellEnd"/>
      <w:r w:rsidR="003B03EB" w:rsidRPr="005E78F4">
        <w:t xml:space="preserve">, objektívneho uplatňovania pravidiel a overovania uplatňujú dôsledne a konzistentne vo všetkých členských štátoch a ak sa hodnotenie míľnikov a cieľov vykonáva úplne objektívnym a nepolitizovaným spôsobom, ktorý zabezpečuje rovnaké zaobchádzanie s členskými štátmi; domnieva sa, že akýkoľvek prechod na nástroje založené na výkonnosti musí byť sprevádzaný parlamentnou kontrolou, aby sa zaručila demokratická zodpovednosť; je proti akémukoľvek návrhu, ktorý by narušil inštitucionálnu rovnováhu a oslabiť úlohu </w:t>
      </w:r>
      <w:r w:rsidR="00702D39" w:rsidRPr="005E78F4">
        <w:t>Európskeho p</w:t>
      </w:r>
      <w:r w:rsidR="003B03EB" w:rsidRPr="005E78F4">
        <w:t>arlamentu ako orgánu udeľujúceho absolutórium;</w:t>
      </w:r>
    </w:p>
    <w:p w14:paraId="70D014C2" w14:textId="77777777" w:rsidR="003B03EB" w:rsidRPr="005E78F4" w:rsidRDefault="003B03EB" w:rsidP="003B03EB">
      <w:pPr>
        <w:spacing w:after="240"/>
        <w:ind w:left="567" w:hanging="567"/>
        <w:rPr>
          <w:i/>
        </w:rPr>
      </w:pPr>
      <w:r w:rsidRPr="005E78F4">
        <w:rPr>
          <w:i/>
        </w:rPr>
        <w:t>Transparentnosť</w:t>
      </w:r>
    </w:p>
    <w:p w14:paraId="79B93914" w14:textId="50793C66" w:rsidR="003B03EB" w:rsidRPr="005E78F4" w:rsidRDefault="004177E9" w:rsidP="003B03EB">
      <w:pPr>
        <w:pStyle w:val="NormalHanging12a"/>
      </w:pPr>
      <w:r>
        <w:t>277</w:t>
      </w:r>
      <w:r w:rsidR="003B03EB" w:rsidRPr="005E78F4">
        <w:t>.</w:t>
      </w:r>
      <w:r w:rsidR="003B03EB" w:rsidRPr="005E78F4">
        <w:tab/>
        <w:t xml:space="preserve">konštatuje, že Dvor audítorov posudzoval za rok 2024 vnútroštátne systémy piatich členských štátov s cieľom posúdiť, či sú schopné sledovať finančné prostriedky z RRF zo štátneho rozpočtu až ku konečným prijímateľom a ďalej, ako aj poskytovať údaje o výdavkoch vynaložených konečnými prijímateľmi; berie na vedomie pripomienku Dvora audítorov, že </w:t>
      </w:r>
      <w:proofErr w:type="spellStart"/>
      <w:r w:rsidR="003B03EB" w:rsidRPr="005E78F4">
        <w:t>vysledovateľnosť</w:t>
      </w:r>
      <w:proofErr w:type="spellEnd"/>
      <w:r w:rsidR="003B03EB" w:rsidRPr="005E78F4">
        <w:t xml:space="preserve"> finančných prostriedkov z RRF nie je vo všetkých členských štátoch systematická a že systémy zavedené v dvoch členských štátoch nezabezpečili systematický zber údajov o výdavkoch vynaložených konečnými prijímateľmi prostriedkov z RRF; vyjadruje poľutovanie nad zistením Dvora audítorov, že napriek usmerneniam Komisie o metodike, ktorú majú členské štáty dodržiavať pri uverejňovaní 100 najväčších konečných prijímateľov</w:t>
      </w:r>
      <w:r w:rsidR="003B03EB" w:rsidRPr="005E78F4">
        <w:rPr>
          <w:vertAlign w:val="superscript"/>
        </w:rPr>
        <w:footnoteReference w:id="117"/>
      </w:r>
      <w:r w:rsidR="003B03EB" w:rsidRPr="005E78F4">
        <w:t xml:space="preserve">, dochádza k značným rozdielom v tom, aké informácie sa uverejňujú; vyjadruje vážne obavy z toho, že takéto nedostatky v transparentnosti a </w:t>
      </w:r>
      <w:proofErr w:type="spellStart"/>
      <w:r w:rsidR="003B03EB" w:rsidRPr="005E78F4">
        <w:t>vysledovateľnosti</w:t>
      </w:r>
      <w:proofErr w:type="spellEnd"/>
      <w:r w:rsidR="003B03EB" w:rsidRPr="005E78F4">
        <w:t xml:space="preserve"> môžu narušiť dôveru verejnosti a účinnú demokratickú kontrolu výdavkov z RRF; konštatuje tiež, že dva členské štáty nahlásili sumy pridelené (t. j. rozpočtované) alebo vyplatené, ale v niektorých prípadoch len na úrovni sprostredkovateľských orgánov a v niektorých prípadoch v spojení s vnútroštátnym financovaním, a že jeden členský štát nahlásil Komisii len údaje týkajúce sa opatrení s míľnikmi a cieľmi, ktoré boli Komisii predložené na platbu a ktoré plne nezodpovedali vykonávaniu prebiehajúcich opatrení;</w:t>
      </w:r>
    </w:p>
    <w:p w14:paraId="51CFB5F7" w14:textId="560EEF7E" w:rsidR="003B03EB" w:rsidRPr="005E78F4" w:rsidRDefault="004177E9" w:rsidP="003B03EB">
      <w:pPr>
        <w:pStyle w:val="NormalHanging12a"/>
      </w:pPr>
      <w:r>
        <w:t>278</w:t>
      </w:r>
      <w:r w:rsidR="003B03EB" w:rsidRPr="005E78F4">
        <w:t>.</w:t>
      </w:r>
      <w:r w:rsidR="003B03EB" w:rsidRPr="005E78F4">
        <w:tab/>
        <w:t xml:space="preserve">pripomína, že v článku 22 ods. 2 písm. d) bode ii) nariadenia (EÚ) 2021/241 sa členským štátom ukladá povinnosť zhromažďovať na účely auditu a kontroly porovnateľné informácie o využívaní finančných prostriedkov z RFF vrátane mien </w:t>
      </w:r>
      <w:r w:rsidR="003B03EB" w:rsidRPr="005E78F4">
        <w:lastRenderedPageBreak/>
        <w:t xml:space="preserve">konečných prijímateľov, dodávateľov a subdodávateľov a skutočných vlastníkov; ďalej pripomína, že hoci nariadenie neukladá členským štátom povinnosť zhromažďovať a zverejňovať informácie o výdavkoch, ktoré vznikli konečným prijímateľom pri plnení míľnikov alebo cieľov, ani povinnosť poskytovať takéto informácie spolu so žiadosťami o platbu z RRF, musia však uverejňovať tieto informácie o 100 „konečných prijímateľoch“, ktorí dostávajú najväčšie sumy finančných prostriedkov v rámci RRF; berie na vedomie stanovisko Komisie uvedené v jej usmernení k plánom obnovy a odolnosti, v ktorom sa konečný prijímateľ opisuje ako „posledný subjekt, ktorý dostane finančné prostriedky na opatrenie v rámci mechanizmu a ktorý nie je dodávateľom ani subdodávateľom“; vyjadruje hlboké znepokojenie nad týmto výkladom pojmu „konečný prijímateľ“, a opakuje svoje stanovisko, že je to v rozpore s platnými právnymi predpismi; zdôrazňuje, že od Komisie očakáva, že bude presadzovať dodržiavanie existujúcich právnych predpisov a využije všetky dostupné prostriedky na zabezpečenie toho, aby členské štáty poskytovali úplné a zmysluplné zoznamy konečných prijímateľov, bez výlučne sprostredkovateľských entít, ako sú ministerstvá alebo riadiace orgány; zdôrazňuje, že na zaistenie transparentnosti </w:t>
      </w:r>
      <w:r w:rsidR="00702D39" w:rsidRPr="005E78F4">
        <w:t>Európsky p</w:t>
      </w:r>
      <w:r w:rsidR="003B03EB" w:rsidRPr="005E78F4">
        <w:t xml:space="preserve">arlament zváži všetky dostupné opatrenia na presadzovanie súladu a na zabránenie tomu, aby sa podobný výklad uplatňoval na ustanovenia o transparentnosti v iných rozpočtových nariadeniach; domnieva sa, že pretrvávajúce nezabezpečenie zmysluplného zverejňovania konečných prijímateľov vážne spochybňuje schopnosť </w:t>
      </w:r>
      <w:r w:rsidR="00702D39" w:rsidRPr="005E78F4">
        <w:t>Európskeho p</w:t>
      </w:r>
      <w:r w:rsidR="003B03EB" w:rsidRPr="005E78F4">
        <w:t xml:space="preserve">arlamentu udeľovať absolutórium na základe informácií; pripomína, že </w:t>
      </w:r>
      <w:r w:rsidR="00702D39" w:rsidRPr="005E78F4">
        <w:t>Európsky p</w:t>
      </w:r>
      <w:r w:rsidR="003B03EB" w:rsidRPr="005E78F4">
        <w:t>arlament v predchádzajúcich uzneseniach o absolutóriu opakovane vyjadril vážne obavy týkajúce sa Mechanizmu na podporu obnovy a odolnosti vrátane transparentnosti konečných pr</w:t>
      </w:r>
      <w:r w:rsidR="00702D39" w:rsidRPr="005E78F4">
        <w:t>i</w:t>
      </w:r>
      <w:r w:rsidR="003B03EB" w:rsidRPr="005E78F4">
        <w:t xml:space="preserve">jímateľov; domnieva sa, že Komisia by mala začať konanie o nesplnení povinnosti, a že by mala konať bez zbytočného odkladu, aby mohla v plnej miere vykonávať svoje právomoci strážkyne zmlúv voči členským štátom s cieľom zabezpečiť, aby občania a zainteresované strany mali plný prístup k týmto informáciám; ak by tak neurobila, </w:t>
      </w:r>
      <w:r w:rsidR="00702D39" w:rsidRPr="005E78F4">
        <w:t>Európsky p</w:t>
      </w:r>
      <w:r w:rsidR="003B03EB" w:rsidRPr="005E78F4">
        <w:t>arlament zváži všetky vhodné opatrenia v rámci svojich právomocí na zabezpečenie súladu vrátane právnych krokov; zdôrazňuje, že úplné a spoľahlivé informácie o konečných prijímateľoch sú nevyhnutné na to, aby sa zabránilo zneužívaniu finančných prostriedkov, odhalili podvody a zabezpečili rovnaké normy zodpovednosti vo všetkých členských štátoch;</w:t>
      </w:r>
    </w:p>
    <w:p w14:paraId="2884AEC1" w14:textId="160697D5" w:rsidR="003B03EB" w:rsidRPr="005E78F4" w:rsidRDefault="004177E9" w:rsidP="003B03EB">
      <w:pPr>
        <w:pStyle w:val="NormalHanging12a"/>
      </w:pPr>
      <w:r>
        <w:t>279</w:t>
      </w:r>
      <w:r w:rsidR="003B03EB" w:rsidRPr="005E78F4">
        <w:t>.</w:t>
      </w:r>
      <w:r w:rsidR="003B03EB" w:rsidRPr="005E78F4">
        <w:tab/>
        <w:t xml:space="preserve">pripomína Komisii, že znenie a duch nariadenia o Mechanizme na podporu obnovy a odolnosti sa musí prísne dodržiavať a že prijatie usmernení alebo iných interných dokumentov musí byť plne v súlade s výsledkami rokovaní medzi </w:t>
      </w:r>
      <w:proofErr w:type="spellStart"/>
      <w:r w:rsidR="003B03EB" w:rsidRPr="005E78F4">
        <w:t>spoluzákonodarcami</w:t>
      </w:r>
      <w:proofErr w:type="spellEnd"/>
      <w:r w:rsidR="003B03EB" w:rsidRPr="005E78F4">
        <w:t>; domnieva sa, že to tak nebolo, keď Komisia prijala ustanovenia týkajúce sa výkladu pojmu „konečný prijímateľ“ vo svojich usmerneniach k plánom obnovy a odolnosti;</w:t>
      </w:r>
    </w:p>
    <w:p w14:paraId="0530FCC8" w14:textId="15FB7ECE" w:rsidR="003B03EB" w:rsidRPr="005E78F4" w:rsidRDefault="004177E9" w:rsidP="003B03EB">
      <w:pPr>
        <w:pStyle w:val="NormalHanging12a"/>
      </w:pPr>
      <w:r>
        <w:t>280</w:t>
      </w:r>
      <w:r w:rsidR="003B03EB" w:rsidRPr="005E78F4">
        <w:t>.</w:t>
      </w:r>
      <w:r w:rsidR="003B03EB" w:rsidRPr="005E78F4">
        <w:tab/>
        <w:t>ďalej zdôrazňuje, že 4. februára 2025 členovia Výboru pre kontrolu rozpočtu na účely udeľovania absolutória podľa článku 319 ZFEÚ požiadali Komisiu, aby pre každý členský štát poskytla zoznam 100 najväčších fyzických osôb alebo subjektov prijímajúcich finančné prostriedky v rámci Mechanizmu na podporu obnovy a odolnosti vrátane dodávateľov a subdodávateľov; považuje za neprijateľné, že len šesť členských štátov poskytlo požadované údaje útvarom Komisie a jeden členský štát vyjadril zámer poskytnúť tento zoznam v budúcnosti, zatiaľ čo tri ďalšie členské štáty uviedli, že údaje nepredložia s tým, že žiadosť nie je v súlade s požiadavkami na podávanie správ podľa nariadenia o Mechanizme na podporu obnovy a odolnosti, zatiaľ čo zvyšných 17 členských štátov na žiadosť Komisie vôbec nereagovalo;</w:t>
      </w:r>
    </w:p>
    <w:p w14:paraId="435E2FE4" w14:textId="6C3C4FB1" w:rsidR="003B03EB" w:rsidRPr="005E78F4" w:rsidRDefault="004177E9" w:rsidP="003B03EB">
      <w:pPr>
        <w:spacing w:after="240"/>
        <w:ind w:left="567" w:hanging="567"/>
      </w:pPr>
      <w:r>
        <w:t>281</w:t>
      </w:r>
      <w:r w:rsidR="003B03EB" w:rsidRPr="005E78F4">
        <w:t>.</w:t>
      </w:r>
      <w:r w:rsidR="003B03EB" w:rsidRPr="005E78F4">
        <w:tab/>
        <w:t xml:space="preserve">zdôrazňuje kľúčový príspevok Mechanizmu na podporu obnovy a odolnosti k </w:t>
      </w:r>
      <w:r w:rsidR="003B03EB" w:rsidRPr="005E78F4">
        <w:lastRenderedPageBreak/>
        <w:t xml:space="preserve">predchádzaniu prudkému hospodárskemu poklesu a sociálnej kríze po pandémii </w:t>
      </w:r>
      <w:r w:rsidR="00702D39" w:rsidRPr="005E78F4">
        <w:t xml:space="preserve">ochorenia </w:t>
      </w:r>
      <w:r w:rsidR="003B03EB" w:rsidRPr="005E78F4">
        <w:t>COVID-19 a jeho schopnosť poskytnúť silný nástroj reakcie na krízu;</w:t>
      </w:r>
    </w:p>
    <w:p w14:paraId="0F601041" w14:textId="77777777" w:rsidR="003B03EB" w:rsidRPr="005E78F4" w:rsidRDefault="003B03EB" w:rsidP="003B03EB">
      <w:pPr>
        <w:spacing w:after="240"/>
        <w:ind w:left="567" w:hanging="567"/>
        <w:rPr>
          <w:i/>
        </w:rPr>
      </w:pPr>
      <w:r w:rsidRPr="005E78F4">
        <w:rPr>
          <w:i/>
        </w:rPr>
        <w:t>Odporúčania</w:t>
      </w:r>
    </w:p>
    <w:p w14:paraId="735C3998" w14:textId="60CA359B" w:rsidR="003B03EB" w:rsidRPr="005E78F4" w:rsidRDefault="004177E9" w:rsidP="003B03EB">
      <w:pPr>
        <w:pStyle w:val="NormalHanging12a"/>
      </w:pPr>
      <w:r>
        <w:t>282</w:t>
      </w:r>
      <w:r w:rsidR="003B03EB" w:rsidRPr="005E78F4">
        <w:t>.</w:t>
      </w:r>
      <w:r w:rsidR="003B03EB" w:rsidRPr="005E78F4">
        <w:tab/>
        <w:t>vyzýva Komisiu, aby konala v súlade s odporúčaniami Dvora audítorov uvedenými v jeho výročnej správe za rok 2024 s cieľom zabezpečiť, aby:</w:t>
      </w:r>
    </w:p>
    <w:p w14:paraId="341A6DF6" w14:textId="77777777" w:rsidR="003B03EB" w:rsidRPr="005E78F4" w:rsidRDefault="003B03EB" w:rsidP="00DF1803">
      <w:pPr>
        <w:spacing w:after="240"/>
        <w:ind w:left="1134" w:hanging="567"/>
      </w:pPr>
      <w:r w:rsidRPr="005E78F4">
        <w:t>i)</w:t>
      </w:r>
      <w:r w:rsidRPr="005E78F4">
        <w:tab/>
        <w:t>uskutočnila dostatočné testovanie vecnej správnosti s cieľom zabezpečiť spoľahlivosť informácií o dodržiavaní požiadaviek uvedených vo vykonávacích rozhodnutiach Rady členskými štátmi pri posudzovaní míľnikov a cieľov podporených najmä správami o monitorovaní alebo vykonávaní, a nespoliehala sa len na údaje a kontroly členských štátov;</w:t>
      </w:r>
    </w:p>
    <w:p w14:paraId="74F94603" w14:textId="77777777" w:rsidR="003B03EB" w:rsidRPr="005E78F4" w:rsidRDefault="003B03EB" w:rsidP="005E78F4">
      <w:pPr>
        <w:spacing w:after="240"/>
        <w:ind w:left="1134" w:hanging="567"/>
      </w:pPr>
      <w:r w:rsidRPr="005E78F4">
        <w:t>ii)</w:t>
      </w:r>
      <w:r w:rsidRPr="005E78F4">
        <w:tab/>
        <w:t>analyzovala dôvody oneskorení členských štátov pri vykonávaní odporúčaní súvisiacich so zásadnými alebo veľmi dôležitými zisteniami a zvážila uplatnenie paušálnych znížení;</w:t>
      </w:r>
    </w:p>
    <w:p w14:paraId="19FFE484" w14:textId="48776256" w:rsidR="003B03EB" w:rsidRPr="005E78F4" w:rsidRDefault="004177E9" w:rsidP="003B03EB">
      <w:pPr>
        <w:pStyle w:val="NormalHanging12a"/>
      </w:pPr>
      <w:r>
        <w:t>283</w:t>
      </w:r>
      <w:r w:rsidR="003B03EB" w:rsidRPr="005E78F4">
        <w:t>.</w:t>
      </w:r>
      <w:r w:rsidR="003B03EB" w:rsidRPr="005E78F4">
        <w:tab/>
        <w:t>okrem toho vyzýva Komisiu, aby:</w:t>
      </w:r>
    </w:p>
    <w:p w14:paraId="08EE6683" w14:textId="77777777" w:rsidR="003B03EB" w:rsidRPr="005E78F4" w:rsidRDefault="003B03EB" w:rsidP="005E78F4">
      <w:pPr>
        <w:spacing w:after="240"/>
        <w:ind w:left="1134" w:hanging="567"/>
      </w:pPr>
      <w:r w:rsidRPr="005E78F4">
        <w:t>i)</w:t>
      </w:r>
      <w:r w:rsidRPr="005E78F4">
        <w:tab/>
        <w:t>pozorne monitorovala pokračujúce plnenie míľnikov a cieľov, najmä tých, ktoré sa týkajú auditu, monitorovania a kontroly, a zabezpečila primerané monitorovanie stavu vykonávania jednotlivých míľnikov a cieľov v rôznom čase po uplynutí platnosti RRF s možnosťami, ktoré sa poskytujú v rámci dohôd o financovaní a úveroch a európskeho semestra;</w:t>
      </w:r>
    </w:p>
    <w:p w14:paraId="3CDF58CD" w14:textId="77777777" w:rsidR="003B03EB" w:rsidRPr="005E78F4" w:rsidRDefault="003B03EB" w:rsidP="005E78F4">
      <w:pPr>
        <w:spacing w:after="240"/>
        <w:ind w:left="1134" w:hanging="567"/>
      </w:pPr>
      <w:r w:rsidRPr="005E78F4">
        <w:t>ii)</w:t>
      </w:r>
      <w:r w:rsidRPr="005E78F4">
        <w:tab/>
        <w:t>úzko spolupracovala s členskými štátmi s cieľom zabezpečiť úplné a dôsledné vykonávanie míľnikov a cieľov, najmä tých, ktoré majú štrukturálnu povahu alebo sú spojené s odporúčaniami pre jednotlivé krajiny;</w:t>
      </w:r>
    </w:p>
    <w:p w14:paraId="5F5E8690" w14:textId="77777777" w:rsidR="003B03EB" w:rsidRPr="005E78F4" w:rsidRDefault="003B03EB" w:rsidP="005E78F4">
      <w:pPr>
        <w:spacing w:after="240"/>
        <w:ind w:left="1134" w:hanging="567"/>
      </w:pPr>
      <w:r w:rsidRPr="005E78F4">
        <w:t>iii)</w:t>
      </w:r>
      <w:r w:rsidRPr="005E78F4">
        <w:tab/>
        <w:t>zaviedla prísnejšie mechanizmy overovania s cieľom zabrániť zahrnutiu už existujúcich projektov, ktoré neposkytujú pridanú hodnotu v rámci RRF;</w:t>
      </w:r>
    </w:p>
    <w:p w14:paraId="485D3733" w14:textId="77777777" w:rsidR="003B03EB" w:rsidRPr="005E78F4" w:rsidRDefault="003B03EB" w:rsidP="005E78F4">
      <w:pPr>
        <w:spacing w:after="240"/>
        <w:ind w:left="1134" w:hanging="567"/>
      </w:pPr>
      <w:r w:rsidRPr="005E78F4">
        <w:t>iv)</w:t>
      </w:r>
      <w:r w:rsidRPr="005E78F4">
        <w:tab/>
        <w:t>zabezpečila úplný súlad s míľnikmi Mechanizmu na podporu obnovy a odolnosti a vyplácala finančné prostriedky len vtedy, ak sa míľniky naďalej plnia;</w:t>
      </w:r>
    </w:p>
    <w:p w14:paraId="3B1B8727" w14:textId="77777777" w:rsidR="003B03EB" w:rsidRPr="005E78F4" w:rsidRDefault="003B03EB" w:rsidP="005E78F4">
      <w:pPr>
        <w:spacing w:after="240"/>
        <w:ind w:left="1134" w:hanging="567"/>
      </w:pPr>
      <w:r w:rsidRPr="005E78F4">
        <w:t>v)</w:t>
      </w:r>
      <w:r w:rsidRPr="005E78F4">
        <w:tab/>
        <w:t xml:space="preserve">bez akéhokoľvek ďalšieho odkladu uzatvorila záväznú </w:t>
      </w:r>
      <w:proofErr w:type="spellStart"/>
      <w:r w:rsidRPr="005E78F4">
        <w:t>medziinštitucionálnu</w:t>
      </w:r>
      <w:proofErr w:type="spellEnd"/>
      <w:r w:rsidRPr="005E78F4">
        <w:t xml:space="preserve"> dohodu, ktorou sa zabezpečí úplný, systematický prístup Dvora audítorov v reálnom čase ku všetkým príslušným databázam vrátane databáz </w:t>
      </w:r>
      <w:proofErr w:type="spellStart"/>
      <w:r w:rsidRPr="005E78F4">
        <w:t>Arachne</w:t>
      </w:r>
      <w:proofErr w:type="spellEnd"/>
      <w:r w:rsidRPr="005E78F4">
        <w:t xml:space="preserve"> a </w:t>
      </w:r>
      <w:proofErr w:type="spellStart"/>
      <w:r w:rsidRPr="005E78F4">
        <w:t>Fenix</w:t>
      </w:r>
      <w:proofErr w:type="spellEnd"/>
      <w:r w:rsidRPr="005E78F4">
        <w:t>;</w:t>
      </w:r>
    </w:p>
    <w:p w14:paraId="2A1CC507" w14:textId="77777777" w:rsidR="003B03EB" w:rsidRPr="005E78F4" w:rsidRDefault="003B03EB" w:rsidP="005E78F4">
      <w:pPr>
        <w:spacing w:after="240"/>
        <w:ind w:left="1134" w:hanging="567"/>
      </w:pPr>
      <w:r w:rsidRPr="005E78F4">
        <w:t>vi)</w:t>
      </w:r>
      <w:r w:rsidRPr="005E78F4">
        <w:tab/>
        <w:t>dôsledne a presne uplatňovala ustanovenia nariadenia o Mechanizmu na podporu obnovy a odolnosti týkajúce sa „konečných prijímateľov“, a to revíziou svojich usmernení k plánom obnovy a odolnosti, komunikovala s členskými štátmi o správnom uplatňovaní vymedzenia pojmu „koneční prijímatelia“, zabezpečila, aby členské štáty zbierali a poskytovali informácie o posledných subjektoch, ktoré dostávajú finančné prostriedky, bez sprostredkovateľských subjektov, ako sú ministerstvá alebo riadiace orgány, aby tieto informácie poskytla orgánu udeľujúcemu absolutórium do posledného termínu platieb z Mechanizmu na podporu obnovy a odolnosti a v prípade potreby začala konanie o nesplnení povinnosti;</w:t>
      </w:r>
    </w:p>
    <w:p w14:paraId="2CBF5990" w14:textId="2AA1840A" w:rsidR="003B03EB" w:rsidRPr="005E78F4" w:rsidRDefault="003B03EB" w:rsidP="005E78F4">
      <w:pPr>
        <w:spacing w:after="240"/>
        <w:ind w:left="1134" w:hanging="567"/>
      </w:pPr>
      <w:r w:rsidRPr="005E78F4">
        <w:t>vii)</w:t>
      </w:r>
      <w:r w:rsidRPr="005E78F4">
        <w:tab/>
        <w:t xml:space="preserve">zabezpečila väčšiu transparentnosť v rámci RRF prostredníctvom včasného </w:t>
      </w:r>
      <w:r w:rsidRPr="005E78F4">
        <w:lastRenderedPageBreak/>
        <w:t xml:space="preserve">zverejňovania posúdení Komisie, národných správ, auditov a opatrení v oblasti vymáhania v prístupnom a overiteľnom formáte, čo umožní riadnu kontrolu zo strany </w:t>
      </w:r>
      <w:r w:rsidR="00702D39" w:rsidRPr="005E78F4">
        <w:t>Európskeho p</w:t>
      </w:r>
      <w:r w:rsidRPr="005E78F4">
        <w:t xml:space="preserve">arlamentu, Dvora audítorov a občanov; podporuje viacúrovňový prístup k prístupu – plnohodnotný prístup v reálnom čase pre Dvor audítorov, neobmedzené informačné práva pre </w:t>
      </w:r>
      <w:r w:rsidR="00702D39" w:rsidRPr="005E78F4">
        <w:t>Európsky p</w:t>
      </w:r>
      <w:r w:rsidRPr="005E78F4">
        <w:t>arlament a transparentný prístup verejnosti v súlade s rozsudkami SDEÚ – pri súčasnom zabezpečení súladu s GDPR a pravidlami Únie o ochrane údajov; zdôrazňuje, že zverejnené údaje musia odrážať skutočnú realizáciu projektu a jeho výsledky;</w:t>
      </w:r>
    </w:p>
    <w:p w14:paraId="43DBAFBF" w14:textId="77777777" w:rsidR="003B03EB" w:rsidRPr="005E78F4" w:rsidRDefault="003B03EB" w:rsidP="005E78F4">
      <w:pPr>
        <w:spacing w:after="240"/>
        <w:ind w:left="1134" w:hanging="567"/>
      </w:pPr>
      <w:r w:rsidRPr="005E78F4">
        <w:t>viii)</w:t>
      </w:r>
      <w:r w:rsidRPr="005E78F4">
        <w:tab/>
        <w:t>zabezpečila konzistentné informácie o výkonnosti vo VFR na obdobie po roku 2027 vytvorením jednotného súboru jasne vymedzených oblastí politiky a konzistentnej metodiky na prepojenie výziev, cieľov, opatrení, financovania a ukazovateľov výkonnosti s jednou alebo viacerými oblasťami politiky, a to aj prostredníctvom používania harmonizovaných rámcov podávania správ a merateľných, porovnateľných ukazovateľov vo všetkých členských štátoch, čo umožní jasné posúdenie výsledkov, efektívnosti a hodnoty financovania z prostriedkov Únie;</w:t>
      </w:r>
    </w:p>
    <w:p w14:paraId="5DF20255" w14:textId="77777777" w:rsidR="003B03EB" w:rsidRPr="005E78F4" w:rsidRDefault="003B03EB" w:rsidP="005E78F4">
      <w:pPr>
        <w:spacing w:after="240"/>
        <w:ind w:left="1134" w:hanging="567"/>
      </w:pPr>
      <w:r w:rsidRPr="005E78F4">
        <w:t>ix)</w:t>
      </w:r>
      <w:r w:rsidRPr="005E78F4">
        <w:tab/>
        <w:t>prísne uplatňovala ustanovenia nariadenia o Mechanizme na podporu obnovy a odolnosti vrátane ustanovení týkajúcich sa pozastavenia platieb alebo vymáhania súm, najmä ak nie je zabezpečená ochrana finančných záujmov Únie;</w:t>
      </w:r>
    </w:p>
    <w:p w14:paraId="28506FD1" w14:textId="77777777" w:rsidR="003B03EB" w:rsidRPr="005E78F4" w:rsidRDefault="003B03EB" w:rsidP="005E78F4">
      <w:pPr>
        <w:spacing w:after="240"/>
        <w:ind w:left="1134" w:hanging="567"/>
      </w:pPr>
      <w:r w:rsidRPr="005E78F4">
        <w:t>x)</w:t>
      </w:r>
      <w:r w:rsidRPr="005E78F4">
        <w:tab/>
        <w:t xml:space="preserve">nariadila </w:t>
      </w:r>
      <w:proofErr w:type="spellStart"/>
      <w:r w:rsidRPr="005E78F4">
        <w:t>interoperabilné</w:t>
      </w:r>
      <w:proofErr w:type="spellEnd"/>
      <w:r w:rsidRPr="005E78F4">
        <w:t xml:space="preserve"> automatizované krížové kontroly v rámci RRF, nástrojov politiky súdržnosti a priameho riadenia a každoročne podala orgánu udeľujúcemu absolutórium správu o zistených prípadoch dvojitého financovania;</w:t>
      </w:r>
    </w:p>
    <w:p w14:paraId="30DE5ED9" w14:textId="77777777" w:rsidR="003B03EB" w:rsidRPr="005E78F4" w:rsidRDefault="003B03EB" w:rsidP="005E78F4">
      <w:pPr>
        <w:spacing w:after="240"/>
        <w:ind w:left="1134" w:hanging="567"/>
      </w:pPr>
      <w:r w:rsidRPr="005E78F4">
        <w:t>xi)</w:t>
      </w:r>
      <w:r w:rsidRPr="005E78F4">
        <w:tab/>
        <w:t>úzko spolupracovala s členskými štátmi, najmä s tými, ktoré čelia štrukturálnym kapacitným obmedzeniam, a poskytovala cielenú technickú pomoc, usmernenia a administratívnu podporu s cieľom zabezpečiť úplné a účinné vykonávanie investícií a reforiem v rámci RRF vo všetkých členských štátoch;</w:t>
      </w:r>
    </w:p>
    <w:p w14:paraId="5DE96DF7" w14:textId="77777777" w:rsidR="003B03EB" w:rsidRPr="005E78F4" w:rsidRDefault="003B03EB" w:rsidP="005E78F4">
      <w:pPr>
        <w:spacing w:after="240"/>
        <w:ind w:left="1134" w:hanging="567"/>
      </w:pPr>
      <w:r w:rsidRPr="005E78F4">
        <w:t>xii)</w:t>
      </w:r>
      <w:r w:rsidRPr="005E78F4">
        <w:tab/>
        <w:t>posilnila monitorovacie mechanizmy a zabezpečila, aby reformy a investície financované v rámci RRF zostali funkčné a mali trvalý vplyv aj po skončení obdobia vyplácania, a to s cieľom ochrániť finančné záujmy Únie a peniaze daňovníkov;</w:t>
      </w:r>
    </w:p>
    <w:p w14:paraId="5F2C9357" w14:textId="77777777" w:rsidR="003B03EB" w:rsidRPr="005E78F4" w:rsidRDefault="003B03EB" w:rsidP="005E78F4">
      <w:pPr>
        <w:spacing w:after="240"/>
        <w:ind w:left="1134" w:hanging="567"/>
      </w:pPr>
      <w:r w:rsidRPr="005E78F4">
        <w:t>xiii)</w:t>
      </w:r>
      <w:r w:rsidRPr="005E78F4">
        <w:tab/>
        <w:t>navrhla, v prípade nástrojov na obdobie po roku 2026 a revízií nariadenia, povinnosť členských štátov oznamovať podozrenia z podvodu a nezrovnalostí pomocou harmonizovanej taxonómie zosúladenej s normami úradu OLAF/EPPO;</w:t>
      </w:r>
    </w:p>
    <w:p w14:paraId="4C1D5F0D" w14:textId="43563A74" w:rsidR="003B03EB" w:rsidRPr="005E78F4" w:rsidRDefault="003B03EB" w:rsidP="005E78F4">
      <w:pPr>
        <w:spacing w:after="240"/>
        <w:ind w:left="1134" w:hanging="567"/>
      </w:pPr>
      <w:r w:rsidRPr="005E78F4">
        <w:t>xiv)</w:t>
      </w:r>
      <w:r w:rsidRPr="005E78F4">
        <w:tab/>
        <w:t xml:space="preserve">vykonala makroekonomické hodnotenie s cieľom posúdiť účinnosť a efektívnosť podpory Únie členským štátom prostredníctvom RRF vrátane rozsahu, v akom bola podpora včasná a primeraná zamýšľaným cieľom nástroja, najmä oživeniu po kríze spôsobenej pandémiou </w:t>
      </w:r>
      <w:r w:rsidR="00702D39" w:rsidRPr="005E78F4">
        <w:t xml:space="preserve">ochorenia </w:t>
      </w:r>
      <w:r w:rsidRPr="005E78F4">
        <w:t>COVID-19, a poskytla ho orgánu udeľujúcemu absolutórium;</w:t>
      </w:r>
    </w:p>
    <w:p w14:paraId="4D7D50ED" w14:textId="115345AF" w:rsidR="00E365E1" w:rsidRPr="005E78F4" w:rsidRDefault="003B03EB" w:rsidP="00DF1803">
      <w:pPr>
        <w:spacing w:after="240"/>
        <w:ind w:left="1134" w:hanging="567"/>
      </w:pPr>
      <w:r w:rsidRPr="005E78F4">
        <w:t>xv)</w:t>
      </w:r>
      <w:r w:rsidRPr="005E78F4">
        <w:tab/>
        <w:t>vyzývala na zavedenie prediktívnych analytických nástrojov založených na umelej inteligencii, ako aj spôsobilostí strojového učenia, ktoré by audítorom umožnili vykonávať posudzovanie rizík v reálnom čase a účinnejšie identifikovať anomálie</w:t>
      </w:r>
      <w:r w:rsidR="00DF1803" w:rsidRPr="005E78F4">
        <w:t>.</w:t>
      </w:r>
    </w:p>
    <w:sectPr w:rsidR="00E365E1" w:rsidRPr="005E78F4" w:rsidSect="004050B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290B3" w14:textId="77777777" w:rsidR="00AD0531" w:rsidRPr="004050B9" w:rsidRDefault="00AD0531">
      <w:r w:rsidRPr="004050B9">
        <w:separator/>
      </w:r>
    </w:p>
  </w:endnote>
  <w:endnote w:type="continuationSeparator" w:id="0">
    <w:p w14:paraId="6298CDF6" w14:textId="77777777" w:rsidR="00AD0531" w:rsidRPr="004050B9" w:rsidRDefault="00AD0531">
      <w:r w:rsidRPr="00405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A5A5" w14:textId="77777777" w:rsidR="003B03EB" w:rsidRPr="004050B9" w:rsidRDefault="003B03EB" w:rsidP="000158BA">
    <w:pPr>
      <w:pStyle w:val="EPFooter"/>
    </w:pPr>
    <w:r w:rsidRPr="004050B9">
      <w:t>PE</w:t>
    </w:r>
    <w:r w:rsidRPr="004050B9">
      <w:rPr>
        <w:rStyle w:val="HideTWBExt"/>
      </w:rPr>
      <w:t>&lt;</w:t>
    </w:r>
    <w:proofErr w:type="spellStart"/>
    <w:r w:rsidRPr="004050B9">
      <w:rPr>
        <w:rStyle w:val="HideTWBExt"/>
      </w:rPr>
      <w:t>NoPE</w:t>
    </w:r>
    <w:proofErr w:type="spellEnd"/>
    <w:r w:rsidRPr="004050B9">
      <w:rPr>
        <w:rStyle w:val="HideTWBExt"/>
      </w:rPr>
      <w:t>&gt;</w:t>
    </w:r>
    <w:r w:rsidRPr="004050B9">
      <w:t>778.123</w:t>
    </w:r>
    <w:r w:rsidRPr="004050B9">
      <w:rPr>
        <w:rStyle w:val="HideTWBExt"/>
      </w:rPr>
      <w:t>&lt;/</w:t>
    </w:r>
    <w:proofErr w:type="spellStart"/>
    <w:r w:rsidRPr="004050B9">
      <w:rPr>
        <w:rStyle w:val="HideTWBExt"/>
      </w:rPr>
      <w:t>NoPE</w:t>
    </w:r>
    <w:proofErr w:type="spellEnd"/>
    <w:r w:rsidRPr="004050B9">
      <w:rPr>
        <w:rStyle w:val="HideTWBExt"/>
      </w:rPr>
      <w:t>&gt;&lt;Version&gt;</w:t>
    </w:r>
    <w:r w:rsidRPr="004050B9">
      <w:t>v02-00</w:t>
    </w:r>
    <w:r w:rsidRPr="004050B9">
      <w:rPr>
        <w:rStyle w:val="HideTWBExt"/>
      </w:rPr>
      <w:t>&lt;/</w:t>
    </w:r>
    <w:proofErr w:type="spellStart"/>
    <w:r w:rsidRPr="004050B9">
      <w:rPr>
        <w:rStyle w:val="HideTWBExt"/>
      </w:rPr>
      <w:t>Version</w:t>
    </w:r>
    <w:proofErr w:type="spellEnd"/>
    <w:r w:rsidRPr="004050B9">
      <w:rPr>
        <w:rStyle w:val="HideTWBExt"/>
      </w:rPr>
      <w:t>&gt;</w:t>
    </w:r>
    <w:r w:rsidRPr="004050B9">
      <w:tab/>
    </w:r>
    <w:r w:rsidRPr="004050B9">
      <w:fldChar w:fldCharType="begin"/>
    </w:r>
    <w:r w:rsidRPr="004050B9">
      <w:instrText xml:space="preserve"> PAGE  \* MERGEFORMAT </w:instrText>
    </w:r>
    <w:r w:rsidRPr="004050B9">
      <w:fldChar w:fldCharType="separate"/>
    </w:r>
    <w:r w:rsidRPr="004050B9">
      <w:rPr>
        <w:noProof/>
      </w:rPr>
      <w:t>6</w:t>
    </w:r>
    <w:r w:rsidRPr="004050B9">
      <w:fldChar w:fldCharType="end"/>
    </w:r>
    <w:r w:rsidRPr="004050B9">
      <w:t>/</w:t>
    </w:r>
    <w:fldSimple w:instr=" NUMPAGES  \* MERGEFORMAT ">
      <w:r w:rsidRPr="004050B9">
        <w:rPr>
          <w:noProof/>
        </w:rPr>
        <w:t>1</w:t>
      </w:r>
    </w:fldSimple>
    <w:r w:rsidRPr="004050B9">
      <w:tab/>
    </w:r>
    <w:r w:rsidRPr="004050B9">
      <w:rPr>
        <w:rStyle w:val="HideTWBExt"/>
      </w:rPr>
      <w:t>&lt;PathFdR&gt;</w:t>
    </w:r>
    <w:r w:rsidRPr="004050B9">
      <w:t>RR\1341119SK.docx</w:t>
    </w:r>
    <w:r w:rsidRPr="004050B9">
      <w:rPr>
        <w:rStyle w:val="HideTWBExt"/>
      </w:rPr>
      <w:t>&lt;/</w:t>
    </w:r>
    <w:proofErr w:type="spellStart"/>
    <w:r w:rsidRPr="004050B9">
      <w:rPr>
        <w:rStyle w:val="HideTWBExt"/>
      </w:rPr>
      <w:t>PathFdR</w:t>
    </w:r>
    <w:proofErr w:type="spellEnd"/>
    <w:r w:rsidRPr="004050B9">
      <w:rPr>
        <w:rStyle w:val="HideTWBExt"/>
      </w:rPr>
      <w:t>&gt;</w:t>
    </w:r>
  </w:p>
  <w:p w14:paraId="298D8D19" w14:textId="77777777" w:rsidR="003B03EB" w:rsidRPr="004050B9" w:rsidRDefault="003B03EB" w:rsidP="000158BA">
    <w:pPr>
      <w:pStyle w:val="EPFooter2"/>
    </w:pPr>
    <w:r w:rsidRPr="004050B9">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E980F" w14:textId="77777777" w:rsidR="003B03EB" w:rsidRPr="004050B9" w:rsidRDefault="003B03EB" w:rsidP="000158BA">
    <w:pPr>
      <w:pStyle w:val="EPFooter"/>
    </w:pPr>
    <w:r w:rsidRPr="004050B9">
      <w:rPr>
        <w:rStyle w:val="HideTWBExt"/>
      </w:rPr>
      <w:t>&lt;PathFdR&gt;</w:t>
    </w:r>
    <w:r w:rsidRPr="004050B9">
      <w:t>RR\1341119SK.docx</w:t>
    </w:r>
    <w:r w:rsidRPr="004050B9">
      <w:rPr>
        <w:rStyle w:val="HideTWBExt"/>
      </w:rPr>
      <w:t>&lt;/</w:t>
    </w:r>
    <w:proofErr w:type="spellStart"/>
    <w:r w:rsidRPr="004050B9">
      <w:rPr>
        <w:rStyle w:val="HideTWBExt"/>
      </w:rPr>
      <w:t>PathFdR</w:t>
    </w:r>
    <w:proofErr w:type="spellEnd"/>
    <w:r w:rsidRPr="004050B9">
      <w:rPr>
        <w:rStyle w:val="HideTWBExt"/>
      </w:rPr>
      <w:t>&gt;</w:t>
    </w:r>
    <w:r w:rsidRPr="004050B9">
      <w:tab/>
    </w:r>
    <w:r w:rsidRPr="004050B9">
      <w:tab/>
      <w:t>PE</w:t>
    </w:r>
    <w:r w:rsidRPr="004050B9">
      <w:rPr>
        <w:rStyle w:val="HideTWBExt"/>
      </w:rPr>
      <w:t>&lt;</w:t>
    </w:r>
    <w:proofErr w:type="spellStart"/>
    <w:r w:rsidRPr="004050B9">
      <w:rPr>
        <w:rStyle w:val="HideTWBExt"/>
      </w:rPr>
      <w:t>NoPE</w:t>
    </w:r>
    <w:proofErr w:type="spellEnd"/>
    <w:r w:rsidRPr="004050B9">
      <w:rPr>
        <w:rStyle w:val="HideTWBExt"/>
      </w:rPr>
      <w:t>&gt;</w:t>
    </w:r>
    <w:r w:rsidRPr="004050B9">
      <w:t>778.123</w:t>
    </w:r>
    <w:r w:rsidRPr="004050B9">
      <w:rPr>
        <w:rStyle w:val="HideTWBExt"/>
      </w:rPr>
      <w:t>&lt;/</w:t>
    </w:r>
    <w:proofErr w:type="spellStart"/>
    <w:r w:rsidRPr="004050B9">
      <w:rPr>
        <w:rStyle w:val="HideTWBExt"/>
      </w:rPr>
      <w:t>NoPE</w:t>
    </w:r>
    <w:proofErr w:type="spellEnd"/>
    <w:r w:rsidRPr="004050B9">
      <w:rPr>
        <w:rStyle w:val="HideTWBExt"/>
      </w:rPr>
      <w:t>&gt;&lt;Version&gt;</w:t>
    </w:r>
    <w:r w:rsidRPr="004050B9">
      <w:t>v02-00</w:t>
    </w:r>
    <w:r w:rsidRPr="004050B9">
      <w:rPr>
        <w:rStyle w:val="HideTWBExt"/>
      </w:rPr>
      <w:t>&lt;/</w:t>
    </w:r>
    <w:proofErr w:type="spellStart"/>
    <w:r w:rsidRPr="004050B9">
      <w:rPr>
        <w:rStyle w:val="HideTWBExt"/>
      </w:rPr>
      <w:t>Version</w:t>
    </w:r>
    <w:proofErr w:type="spellEnd"/>
    <w:r w:rsidRPr="004050B9">
      <w:rPr>
        <w:rStyle w:val="HideTWBExt"/>
      </w:rPr>
      <w:t>&gt;</w:t>
    </w:r>
  </w:p>
  <w:p w14:paraId="707C4A3E" w14:textId="77777777" w:rsidR="003B03EB" w:rsidRPr="004050B9" w:rsidRDefault="003B03EB" w:rsidP="000158BA">
    <w:pPr>
      <w:pStyle w:val="EPFooter2"/>
    </w:pPr>
    <w:r w:rsidRPr="004050B9">
      <w:t>SK</w:t>
    </w:r>
    <w:r w:rsidRPr="004050B9">
      <w:tab/>
    </w:r>
    <w:r w:rsidRPr="004050B9">
      <w:rPr>
        <w:b w:val="0"/>
        <w:i/>
        <w:color w:val="C0C0C0"/>
        <w:sz w:val="22"/>
      </w:rPr>
      <w:t>Zjednotení v rozmanitosti</w:t>
    </w:r>
    <w:r w:rsidRPr="004050B9">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F2042" w14:textId="77777777" w:rsidR="003B03EB" w:rsidRPr="004050B9" w:rsidRDefault="003B03EB" w:rsidP="005812E0">
    <w:pPr>
      <w:pStyle w:val="EPFooter"/>
    </w:pPr>
    <w:r w:rsidRPr="004050B9">
      <w:rPr>
        <w:rStyle w:val="HideTWBExt"/>
      </w:rPr>
      <w:t>&lt;PathFdR&gt;</w:t>
    </w:r>
    <w:r w:rsidRPr="004050B9">
      <w:t>[ZPATH]</w:t>
    </w:r>
    <w:r w:rsidRPr="004050B9">
      <w:rPr>
        <w:rStyle w:val="HideTWBExt"/>
      </w:rPr>
      <w:t>&lt;/</w:t>
    </w:r>
    <w:proofErr w:type="spellStart"/>
    <w:r w:rsidRPr="004050B9">
      <w:rPr>
        <w:rStyle w:val="HideTWBExt"/>
      </w:rPr>
      <w:t>PathFdR</w:t>
    </w:r>
    <w:proofErr w:type="spellEnd"/>
    <w:r w:rsidRPr="004050B9">
      <w:rPr>
        <w:rStyle w:val="HideTWBExt"/>
      </w:rPr>
      <w:t>&gt;</w:t>
    </w:r>
    <w:r w:rsidRPr="004050B9">
      <w:tab/>
    </w:r>
    <w:r w:rsidRPr="004050B9">
      <w:tab/>
      <w:t>PE</w:t>
    </w:r>
    <w:r w:rsidRPr="004050B9">
      <w:rPr>
        <w:rStyle w:val="HideTWBExt"/>
      </w:rPr>
      <w:t>&lt;</w:t>
    </w:r>
    <w:proofErr w:type="spellStart"/>
    <w:r w:rsidRPr="004050B9">
      <w:rPr>
        <w:rStyle w:val="HideTWBExt"/>
      </w:rPr>
      <w:t>NoPE</w:t>
    </w:r>
    <w:proofErr w:type="spellEnd"/>
    <w:r w:rsidRPr="004050B9">
      <w:rPr>
        <w:rStyle w:val="HideTWBExt"/>
      </w:rPr>
      <w:t>&gt;</w:t>
    </w:r>
    <w:r w:rsidRPr="004050B9">
      <w:t>[ZNRPE]</w:t>
    </w:r>
    <w:r w:rsidRPr="004050B9">
      <w:rPr>
        <w:rStyle w:val="HideTWBExt"/>
      </w:rPr>
      <w:t>&lt;/</w:t>
    </w:r>
    <w:proofErr w:type="spellStart"/>
    <w:r w:rsidRPr="004050B9">
      <w:rPr>
        <w:rStyle w:val="HideTWBExt"/>
      </w:rPr>
      <w:t>NoPE</w:t>
    </w:r>
    <w:proofErr w:type="spellEnd"/>
    <w:r w:rsidRPr="004050B9">
      <w:rPr>
        <w:rStyle w:val="HideTWBExt"/>
      </w:rPr>
      <w:t>&gt;&lt;Version&gt;</w:t>
    </w:r>
    <w:r w:rsidRPr="004050B9">
      <w:t>[ZNRV]</w:t>
    </w:r>
    <w:r w:rsidRPr="004050B9">
      <w:rPr>
        <w:rStyle w:val="HideTWBExt"/>
      </w:rPr>
      <w:t>&lt;/</w:t>
    </w:r>
    <w:proofErr w:type="spellStart"/>
    <w:r w:rsidRPr="004050B9">
      <w:rPr>
        <w:rStyle w:val="HideTWBExt"/>
      </w:rPr>
      <w:t>Version</w:t>
    </w:r>
    <w:proofErr w:type="spellEnd"/>
    <w:r w:rsidRPr="004050B9">
      <w:rPr>
        <w:rStyle w:val="HideTWBExt"/>
      </w:rPr>
      <w:t>&gt;</w:t>
    </w:r>
  </w:p>
  <w:p w14:paraId="6A152F0F" w14:textId="77777777" w:rsidR="003B03EB" w:rsidRPr="004050B9" w:rsidRDefault="003B03EB" w:rsidP="005E506A">
    <w:pPr>
      <w:pStyle w:val="EPFooter2"/>
      <w:tabs>
        <w:tab w:val="clear" w:pos="4535"/>
        <w:tab w:val="center" w:pos="4536"/>
      </w:tabs>
    </w:pPr>
    <w:r w:rsidRPr="004050B9">
      <w:fldChar w:fldCharType="begin"/>
    </w:r>
    <w:r w:rsidRPr="004050B9">
      <w:instrText xml:space="preserve"> DOCPROPERTY "&lt;Extension&gt;" </w:instrText>
    </w:r>
    <w:r w:rsidRPr="004050B9">
      <w:fldChar w:fldCharType="separate"/>
    </w:r>
    <w:r w:rsidRPr="004050B9">
      <w:t>SK</w:t>
    </w:r>
    <w:r w:rsidRPr="004050B9">
      <w:fldChar w:fldCharType="end"/>
    </w:r>
    <w:r w:rsidRPr="004050B9">
      <w:tab/>
    </w:r>
    <w:r w:rsidRPr="004050B9">
      <w:rPr>
        <w:b w:val="0"/>
        <w:i/>
        <w:color w:val="C0C0C0"/>
        <w:sz w:val="22"/>
        <w:szCs w:val="22"/>
      </w:rPr>
      <w:t>#(STD@_Motto#</w:t>
    </w:r>
    <w:r w:rsidRPr="004050B9">
      <w:tab/>
    </w:r>
    <w:r w:rsidRPr="004050B9">
      <w:fldChar w:fldCharType="begin"/>
    </w:r>
    <w:r w:rsidRPr="004050B9">
      <w:instrText xml:space="preserve"> DOCPROPERTY "&lt;Extension&gt;" </w:instrText>
    </w:r>
    <w:r w:rsidRPr="004050B9">
      <w:fldChar w:fldCharType="separate"/>
    </w:r>
    <w:r w:rsidRPr="004050B9">
      <w:t>SK</w:t>
    </w:r>
    <w:r w:rsidRPr="004050B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E79F" w14:textId="77777777" w:rsidR="00064002" w:rsidRPr="004050B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B5FC" w14:textId="77777777" w:rsidR="00064002" w:rsidRPr="004050B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0F43" w14:textId="77777777" w:rsidR="00064002" w:rsidRPr="004050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FE84C" w14:textId="77777777" w:rsidR="00AD0531" w:rsidRPr="004050B9" w:rsidRDefault="00AD0531">
      <w:r w:rsidRPr="004050B9">
        <w:separator/>
      </w:r>
    </w:p>
  </w:footnote>
  <w:footnote w:type="continuationSeparator" w:id="0">
    <w:p w14:paraId="3D68BAD5" w14:textId="77777777" w:rsidR="00AD0531" w:rsidRPr="004050B9" w:rsidRDefault="00AD0531">
      <w:r w:rsidRPr="004050B9">
        <w:continuationSeparator/>
      </w:r>
    </w:p>
  </w:footnote>
  <w:footnote w:id="1">
    <w:p w14:paraId="63394E51" w14:textId="1C0603F2"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1" w:history="1">
        <w:r w:rsidRPr="004050B9">
          <w:rPr>
            <w:rStyle w:val="Hyperlink"/>
            <w:sz w:val="24"/>
            <w:lang w:val="sk-SK"/>
          </w:rPr>
          <w:t>http://data.europa.eu/eli/budget/2024/207/oj</w:t>
        </w:r>
      </w:hyperlink>
      <w:r w:rsidRPr="004050B9">
        <w:rPr>
          <w:sz w:val="24"/>
          <w:lang w:val="sk-SK"/>
        </w:rPr>
        <w:t xml:space="preserve">. </w:t>
      </w:r>
    </w:p>
  </w:footnote>
  <w:footnote w:id="2">
    <w:p w14:paraId="287E57C3" w14:textId="5574AAF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2"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3">
    <w:p w14:paraId="11F9A19E" w14:textId="44AFC99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3"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4">
    <w:p w14:paraId="30B9F2B5" w14:textId="6C8D368F"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4" w:history="1">
        <w:r w:rsidRPr="004050B9">
          <w:rPr>
            <w:rStyle w:val="Hyperlink"/>
            <w:sz w:val="24"/>
            <w:lang w:val="sk-SK"/>
          </w:rPr>
          <w:t>http://data.europa.eu/eli/C/2025/5407/oj</w:t>
        </w:r>
      </w:hyperlink>
      <w:r w:rsidRPr="004050B9">
        <w:rPr>
          <w:sz w:val="24"/>
          <w:lang w:val="sk-SK"/>
        </w:rPr>
        <w:t xml:space="preserve">. </w:t>
      </w:r>
    </w:p>
  </w:footnote>
  <w:footnote w:id="5">
    <w:p w14:paraId="68A0C818" w14:textId="049DC9E1"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5" w:history="1">
        <w:r w:rsidRPr="004050B9">
          <w:rPr>
            <w:rStyle w:val="Hyperlink"/>
            <w:sz w:val="24"/>
            <w:lang w:val="sk-SK"/>
          </w:rPr>
          <w:t>http://data.europa.eu/eli/reg/2018/1046/oj</w:t>
        </w:r>
      </w:hyperlink>
      <w:r w:rsidRPr="004050B9">
        <w:rPr>
          <w:sz w:val="24"/>
          <w:lang w:val="sk-SK"/>
        </w:rPr>
        <w:t>.</w:t>
      </w:r>
    </w:p>
  </w:footnote>
  <w:footnote w:id="6">
    <w:p w14:paraId="7B291F5A" w14:textId="5E4BA6E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6" w:history="1">
        <w:r w:rsidRPr="004050B9">
          <w:rPr>
            <w:rStyle w:val="Hyperlink"/>
            <w:sz w:val="24"/>
            <w:lang w:val="sk-SK"/>
          </w:rPr>
          <w:t>http://data.europa.eu/eli/reg/2024/2509/oj</w:t>
        </w:r>
      </w:hyperlink>
      <w:r w:rsidRPr="004050B9">
        <w:rPr>
          <w:sz w:val="24"/>
          <w:lang w:val="sk-SK"/>
        </w:rPr>
        <w:t>.</w:t>
      </w:r>
    </w:p>
  </w:footnote>
  <w:footnote w:id="7">
    <w:p w14:paraId="73A4A957" w14:textId="061C512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7" w:history="1">
        <w:r w:rsidRPr="004050B9">
          <w:rPr>
            <w:rStyle w:val="Hyperlink"/>
            <w:sz w:val="24"/>
            <w:lang w:val="sk-SK"/>
          </w:rPr>
          <w:t>http://data.europa.eu/eli/budget/2024/207/oj</w:t>
        </w:r>
      </w:hyperlink>
      <w:r w:rsidRPr="004050B9">
        <w:rPr>
          <w:sz w:val="24"/>
          <w:lang w:val="sk-SK"/>
        </w:rPr>
        <w:t>.</w:t>
      </w:r>
    </w:p>
  </w:footnote>
  <w:footnote w:id="8">
    <w:p w14:paraId="0F01734F" w14:textId="0ABB1C4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9">
    <w:p w14:paraId="45B14530" w14:textId="27F40FB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C/2025/6001, 18.11.2025, ELI: </w:t>
      </w:r>
      <w:hyperlink r:id="rId9" w:tgtFrame="_blank" w:tooltip="Umožňuje prístup k tomuto dokumentu prostredníctvom identifikátora URI používaného v rámci ELI." w:history="1">
        <w:r w:rsidRPr="004050B9">
          <w:rPr>
            <w:rStyle w:val="Hyperlink"/>
            <w:sz w:val="24"/>
            <w:lang w:val="sk-SK"/>
          </w:rPr>
          <w:t>http://data.europa.eu/eli/C/2025/6001/oj</w:t>
        </w:r>
      </w:hyperlink>
      <w:r w:rsidRPr="004050B9">
        <w:rPr>
          <w:sz w:val="24"/>
          <w:lang w:val="sk-SK"/>
        </w:rPr>
        <w:t>.</w:t>
      </w:r>
    </w:p>
  </w:footnote>
  <w:footnote w:id="10">
    <w:p w14:paraId="3CB811B6" w14:textId="4B4D698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1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11">
    <w:p w14:paraId="7C8C53B2" w14:textId="655F2B5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1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12">
    <w:p w14:paraId="2E73D90A" w14:textId="6F34E51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12" w:history="1">
        <w:r w:rsidRPr="004050B9">
          <w:rPr>
            <w:rStyle w:val="Hyperlink"/>
            <w:sz w:val="24"/>
            <w:lang w:val="sk-SK"/>
          </w:rPr>
          <w:t>http://data.europa.eu/eli/reg/2018/1046/oj</w:t>
        </w:r>
      </w:hyperlink>
      <w:r w:rsidRPr="004050B9">
        <w:rPr>
          <w:sz w:val="24"/>
          <w:lang w:val="sk-SK"/>
        </w:rPr>
        <w:t>.</w:t>
      </w:r>
    </w:p>
  </w:footnote>
  <w:footnote w:id="13">
    <w:p w14:paraId="2D5A1466" w14:textId="311161D7"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13" w:history="1">
        <w:r w:rsidRPr="004050B9">
          <w:rPr>
            <w:rStyle w:val="Hyperlink"/>
            <w:sz w:val="24"/>
            <w:lang w:val="sk-SK"/>
          </w:rPr>
          <w:t>http://data.europa.eu/eli/reg/2024/2509/oj</w:t>
        </w:r>
      </w:hyperlink>
      <w:r w:rsidRPr="004050B9">
        <w:rPr>
          <w:sz w:val="24"/>
          <w:lang w:val="sk-SK"/>
        </w:rPr>
        <w:t>.</w:t>
      </w:r>
    </w:p>
  </w:footnote>
  <w:footnote w:id="14">
    <w:p w14:paraId="73CD56A2" w14:textId="30679291"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14" w:history="1">
        <w:r w:rsidRPr="004050B9">
          <w:rPr>
            <w:rStyle w:val="Hyperlink"/>
            <w:sz w:val="24"/>
            <w:lang w:val="sk-SK"/>
          </w:rPr>
          <w:t>http://data.europa.eu/eli/reg/2003/58/oj</w:t>
        </w:r>
      </w:hyperlink>
      <w:r w:rsidRPr="004050B9">
        <w:rPr>
          <w:sz w:val="24"/>
          <w:lang w:val="sk-SK"/>
        </w:rPr>
        <w:t>.</w:t>
      </w:r>
    </w:p>
  </w:footnote>
  <w:footnote w:id="15">
    <w:p w14:paraId="27816CEE" w14:textId="35BF71B1"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15" w:history="1">
        <w:r w:rsidRPr="004050B9">
          <w:rPr>
            <w:rStyle w:val="Hyperlink"/>
            <w:sz w:val="24"/>
            <w:lang w:val="sk-SK"/>
          </w:rPr>
          <w:t>http://data.europa.eu/eli/reg/2004/1653/oj</w:t>
        </w:r>
      </w:hyperlink>
      <w:r w:rsidRPr="004050B9">
        <w:rPr>
          <w:sz w:val="24"/>
          <w:lang w:val="sk-SK"/>
        </w:rPr>
        <w:t>.</w:t>
      </w:r>
    </w:p>
  </w:footnote>
  <w:footnote w:id="16">
    <w:p w14:paraId="2B3CA57A" w14:textId="3CFB089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16" w:history="1">
        <w:r w:rsidRPr="004050B9">
          <w:rPr>
            <w:rStyle w:val="Hyperlink"/>
            <w:sz w:val="24"/>
            <w:lang w:val="sk-SK"/>
          </w:rPr>
          <w:t>http://data.europa.eu/eli/dec_impl/2021/173/oj</w:t>
        </w:r>
      </w:hyperlink>
      <w:r w:rsidRPr="004050B9">
        <w:rPr>
          <w:sz w:val="24"/>
          <w:lang w:val="sk-SK"/>
        </w:rPr>
        <w:t>.</w:t>
      </w:r>
    </w:p>
  </w:footnote>
  <w:footnote w:id="17">
    <w:p w14:paraId="50A509F1" w14:textId="6EFCC89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17" w:history="1">
        <w:r w:rsidRPr="004050B9">
          <w:rPr>
            <w:rStyle w:val="Hyperlink"/>
            <w:sz w:val="24"/>
            <w:lang w:val="sk-SK"/>
          </w:rPr>
          <w:t>http://data.europa.eu/eli/budget/2024/207/oj</w:t>
        </w:r>
      </w:hyperlink>
      <w:r w:rsidRPr="004050B9">
        <w:rPr>
          <w:sz w:val="24"/>
          <w:lang w:val="sk-SK"/>
        </w:rPr>
        <w:t>.</w:t>
      </w:r>
    </w:p>
  </w:footnote>
  <w:footnote w:id="18">
    <w:p w14:paraId="667B4D79" w14:textId="028653B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1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19">
    <w:p w14:paraId="2357FC84" w14:textId="3CB108D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C/2025/6003, 18.11.2025, ELI: </w:t>
      </w:r>
      <w:hyperlink r:id="rId19" w:tgtFrame="_blank" w:tooltip="Umožňuje prístup k tomuto dokumentu prostredníctvom identifikátora URI používaného v rámci ELI." w:history="1">
        <w:r w:rsidRPr="004050B9">
          <w:rPr>
            <w:rStyle w:val="Hyperlink"/>
            <w:sz w:val="24"/>
            <w:lang w:val="sk-SK"/>
          </w:rPr>
          <w:t>http://data.europa.eu/eli/C/2025/6003/oj</w:t>
        </w:r>
      </w:hyperlink>
      <w:r w:rsidRPr="004050B9">
        <w:rPr>
          <w:sz w:val="24"/>
          <w:lang w:val="sk-SK"/>
        </w:rPr>
        <w:t>.</w:t>
      </w:r>
    </w:p>
  </w:footnote>
  <w:footnote w:id="20">
    <w:p w14:paraId="017F1A77" w14:textId="3E9327E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2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21">
    <w:p w14:paraId="0426F7CA" w14:textId="68E6AFC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2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22">
    <w:p w14:paraId="65FCA878" w14:textId="361F601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22" w:history="1">
        <w:r w:rsidRPr="004050B9">
          <w:rPr>
            <w:rStyle w:val="Hyperlink"/>
            <w:sz w:val="24"/>
            <w:lang w:val="sk-SK"/>
          </w:rPr>
          <w:t>http://data.europa.eu/eli/reg/2018/1046/oj</w:t>
        </w:r>
      </w:hyperlink>
      <w:r w:rsidRPr="004050B9">
        <w:rPr>
          <w:sz w:val="24"/>
          <w:lang w:val="sk-SK"/>
        </w:rPr>
        <w:t>.</w:t>
      </w:r>
    </w:p>
  </w:footnote>
  <w:footnote w:id="23">
    <w:p w14:paraId="28D7EFC0" w14:textId="0D7707E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23" w:history="1">
        <w:r w:rsidRPr="004050B9">
          <w:rPr>
            <w:rStyle w:val="Hyperlink"/>
            <w:sz w:val="24"/>
            <w:lang w:val="sk-SK"/>
          </w:rPr>
          <w:t>http://data.europa.eu/eli/reg/2024/2509/oj</w:t>
        </w:r>
      </w:hyperlink>
      <w:r w:rsidRPr="004050B9">
        <w:rPr>
          <w:sz w:val="24"/>
          <w:lang w:val="sk-SK"/>
        </w:rPr>
        <w:t>.</w:t>
      </w:r>
    </w:p>
  </w:footnote>
  <w:footnote w:id="24">
    <w:p w14:paraId="7F155F67" w14:textId="5DB5FB3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24" w:history="1">
        <w:r w:rsidRPr="004050B9">
          <w:rPr>
            <w:rStyle w:val="Hyperlink"/>
            <w:sz w:val="24"/>
            <w:lang w:val="sk-SK"/>
          </w:rPr>
          <w:t>http://data.europa.eu/eli/reg/2003/58/oj</w:t>
        </w:r>
      </w:hyperlink>
      <w:r w:rsidRPr="004050B9">
        <w:rPr>
          <w:sz w:val="24"/>
          <w:lang w:val="sk-SK"/>
        </w:rPr>
        <w:t>.</w:t>
      </w:r>
    </w:p>
  </w:footnote>
  <w:footnote w:id="25">
    <w:p w14:paraId="71F9FDA2" w14:textId="5992CA74"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25" w:history="1">
        <w:r w:rsidRPr="004050B9">
          <w:rPr>
            <w:rStyle w:val="Hyperlink"/>
            <w:sz w:val="24"/>
            <w:lang w:val="sk-SK"/>
          </w:rPr>
          <w:t>http://data.europa.eu/eli/reg/2004/1653/oj</w:t>
        </w:r>
      </w:hyperlink>
      <w:r w:rsidRPr="004050B9">
        <w:rPr>
          <w:sz w:val="24"/>
          <w:lang w:val="sk-SK"/>
        </w:rPr>
        <w:t>.</w:t>
      </w:r>
    </w:p>
  </w:footnote>
  <w:footnote w:id="26">
    <w:p w14:paraId="1E841C93" w14:textId="2AFE191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26" w:history="1">
        <w:r w:rsidRPr="004050B9">
          <w:rPr>
            <w:rStyle w:val="Hyperlink"/>
            <w:sz w:val="24"/>
            <w:lang w:val="sk-SK"/>
          </w:rPr>
          <w:t>http://data.europa.eu/eli/dec_impl/2021/173/oj</w:t>
        </w:r>
      </w:hyperlink>
      <w:r w:rsidRPr="004050B9">
        <w:rPr>
          <w:sz w:val="24"/>
          <w:lang w:val="sk-SK"/>
        </w:rPr>
        <w:t>.</w:t>
      </w:r>
    </w:p>
  </w:footnote>
  <w:footnote w:id="27">
    <w:p w14:paraId="4D48FC75" w14:textId="39AD38F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27" w:history="1">
        <w:r w:rsidRPr="004050B9">
          <w:rPr>
            <w:rStyle w:val="Hyperlink"/>
            <w:sz w:val="24"/>
            <w:lang w:val="sk-SK"/>
          </w:rPr>
          <w:t>http://data.europa.eu/eli/budget/2024/207/oj</w:t>
        </w:r>
      </w:hyperlink>
      <w:r w:rsidRPr="004050B9">
        <w:rPr>
          <w:sz w:val="24"/>
          <w:lang w:val="sk-SK"/>
        </w:rPr>
        <w:t>.</w:t>
      </w:r>
    </w:p>
  </w:footnote>
  <w:footnote w:id="28">
    <w:p w14:paraId="0409F22B" w14:textId="7A3A5A4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2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29">
    <w:p w14:paraId="0C9C110C" w14:textId="033426E7"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C/2025/6015, 18.11.2025, ELI: </w:t>
      </w:r>
      <w:hyperlink r:id="rId29" w:tgtFrame="_blank" w:tooltip="Umožňuje prístup k tomuto dokumentu prostredníctvom identifikátora URI používaného v rámci ELI." w:history="1">
        <w:r w:rsidRPr="004050B9">
          <w:rPr>
            <w:rStyle w:val="Hyperlink"/>
            <w:sz w:val="24"/>
            <w:lang w:val="sk-SK"/>
          </w:rPr>
          <w:t>http://data.europa.eu/eli/C/2025/6015/oj</w:t>
        </w:r>
      </w:hyperlink>
      <w:r w:rsidRPr="004050B9">
        <w:rPr>
          <w:sz w:val="24"/>
          <w:lang w:val="sk-SK"/>
        </w:rPr>
        <w:t>.</w:t>
      </w:r>
    </w:p>
  </w:footnote>
  <w:footnote w:id="30">
    <w:p w14:paraId="5A46C064" w14:textId="469DAB71"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3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31">
    <w:p w14:paraId="674F9DA8" w14:textId="3A1EE0A4"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3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32">
    <w:p w14:paraId="7460345C" w14:textId="43EAD0F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32" w:history="1">
        <w:r w:rsidRPr="004050B9">
          <w:rPr>
            <w:rStyle w:val="Hyperlink"/>
            <w:sz w:val="24"/>
            <w:lang w:val="sk-SK"/>
          </w:rPr>
          <w:t>http://data.europa.eu/eli/reg/2018/1046/oj</w:t>
        </w:r>
      </w:hyperlink>
      <w:r w:rsidRPr="004050B9">
        <w:rPr>
          <w:sz w:val="24"/>
          <w:lang w:val="sk-SK"/>
        </w:rPr>
        <w:t>.</w:t>
      </w:r>
    </w:p>
  </w:footnote>
  <w:footnote w:id="33">
    <w:p w14:paraId="29C590B4" w14:textId="32035C4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33" w:history="1">
        <w:r w:rsidRPr="004050B9">
          <w:rPr>
            <w:rStyle w:val="Hyperlink"/>
            <w:sz w:val="24"/>
            <w:lang w:val="sk-SK"/>
          </w:rPr>
          <w:t>http://data.europa.eu/eli/reg/2024/2509/oj</w:t>
        </w:r>
      </w:hyperlink>
      <w:r w:rsidRPr="004050B9">
        <w:rPr>
          <w:sz w:val="24"/>
          <w:lang w:val="sk-SK"/>
        </w:rPr>
        <w:t>.</w:t>
      </w:r>
    </w:p>
  </w:footnote>
  <w:footnote w:id="34">
    <w:p w14:paraId="1B4D16CB" w14:textId="630DD28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34" w:history="1">
        <w:r w:rsidRPr="004050B9">
          <w:rPr>
            <w:rStyle w:val="Hyperlink"/>
            <w:sz w:val="24"/>
            <w:lang w:val="sk-SK"/>
          </w:rPr>
          <w:t>http://data.europa.eu/eli/reg/2003/58/oj</w:t>
        </w:r>
      </w:hyperlink>
      <w:r w:rsidRPr="004050B9">
        <w:rPr>
          <w:sz w:val="24"/>
          <w:lang w:val="sk-SK"/>
        </w:rPr>
        <w:t>.</w:t>
      </w:r>
    </w:p>
  </w:footnote>
  <w:footnote w:id="35">
    <w:p w14:paraId="77703592" w14:textId="0834598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35" w:history="1">
        <w:r w:rsidRPr="004050B9">
          <w:rPr>
            <w:rStyle w:val="Hyperlink"/>
            <w:sz w:val="24"/>
            <w:lang w:val="sk-SK"/>
          </w:rPr>
          <w:t>http://data.europa.eu/eli/reg/2004/1653/oj</w:t>
        </w:r>
      </w:hyperlink>
      <w:r w:rsidRPr="004050B9">
        <w:rPr>
          <w:sz w:val="24"/>
          <w:lang w:val="sk-SK"/>
        </w:rPr>
        <w:t>.</w:t>
      </w:r>
    </w:p>
  </w:footnote>
  <w:footnote w:id="36">
    <w:p w14:paraId="26C41B5A" w14:textId="3982079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36" w:history="1">
        <w:r w:rsidRPr="004050B9">
          <w:rPr>
            <w:rStyle w:val="Hyperlink"/>
            <w:sz w:val="24"/>
            <w:lang w:val="sk-SK"/>
          </w:rPr>
          <w:t>http://data.europa.eu/eli/dec_impl/2021/173/oj</w:t>
        </w:r>
      </w:hyperlink>
      <w:r w:rsidRPr="004050B9">
        <w:rPr>
          <w:sz w:val="24"/>
          <w:lang w:val="sk-SK"/>
        </w:rPr>
        <w:t>.</w:t>
      </w:r>
    </w:p>
  </w:footnote>
  <w:footnote w:id="37">
    <w:p w14:paraId="4C5A022B" w14:textId="4F19476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37" w:history="1">
        <w:r w:rsidRPr="004050B9">
          <w:rPr>
            <w:rStyle w:val="Hyperlink"/>
            <w:sz w:val="24"/>
            <w:lang w:val="sk-SK"/>
          </w:rPr>
          <w:t>http://data.europa.eu/eli/budget/2024/207/oj</w:t>
        </w:r>
      </w:hyperlink>
      <w:r w:rsidRPr="004050B9">
        <w:rPr>
          <w:sz w:val="24"/>
          <w:lang w:val="sk-SK"/>
        </w:rPr>
        <w:t>.</w:t>
      </w:r>
    </w:p>
  </w:footnote>
  <w:footnote w:id="38">
    <w:p w14:paraId="3412077C" w14:textId="0B3EB94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3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39">
    <w:p w14:paraId="32B5EE0C" w14:textId="2A10B58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C/2025/6023, 18.11.2025, ELI: </w:t>
      </w:r>
      <w:hyperlink r:id="rId39" w:tgtFrame="_blank" w:tooltip="Umožňuje prístup k tomuto dokumentu prostredníctvom identifikátora URI používaného v rámci ELI." w:history="1">
        <w:r w:rsidRPr="004050B9">
          <w:rPr>
            <w:rStyle w:val="Hyperlink"/>
            <w:sz w:val="24"/>
            <w:lang w:val="sk-SK"/>
          </w:rPr>
          <w:t>http://data.europa.eu/eli/C/2025/6023/oj</w:t>
        </w:r>
      </w:hyperlink>
      <w:r w:rsidRPr="004050B9">
        <w:rPr>
          <w:sz w:val="24"/>
          <w:lang w:val="sk-SK"/>
        </w:rPr>
        <w:t>.</w:t>
      </w:r>
    </w:p>
  </w:footnote>
  <w:footnote w:id="40">
    <w:p w14:paraId="087A1F93" w14:textId="50E54BE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4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41">
    <w:p w14:paraId="5019FC61" w14:textId="104CD122"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4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42">
    <w:p w14:paraId="0FF3F500" w14:textId="2F6C912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42" w:history="1">
        <w:r w:rsidRPr="004050B9">
          <w:rPr>
            <w:rStyle w:val="Hyperlink"/>
            <w:sz w:val="24"/>
            <w:lang w:val="sk-SK"/>
          </w:rPr>
          <w:t>http://data.europa.eu/eli/reg/2018/1046/oj</w:t>
        </w:r>
      </w:hyperlink>
      <w:r w:rsidRPr="004050B9">
        <w:rPr>
          <w:sz w:val="24"/>
          <w:lang w:val="sk-SK"/>
        </w:rPr>
        <w:t>.</w:t>
      </w:r>
    </w:p>
  </w:footnote>
  <w:footnote w:id="43">
    <w:p w14:paraId="1D0AB9B9" w14:textId="4B00865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43" w:history="1">
        <w:r w:rsidRPr="004050B9">
          <w:rPr>
            <w:rStyle w:val="Hyperlink"/>
            <w:sz w:val="24"/>
            <w:lang w:val="sk-SK"/>
          </w:rPr>
          <w:t>http://data.europa.eu/eli/reg/2024/2509/oj</w:t>
        </w:r>
      </w:hyperlink>
      <w:r w:rsidRPr="004050B9">
        <w:rPr>
          <w:sz w:val="24"/>
          <w:lang w:val="sk-SK"/>
        </w:rPr>
        <w:t>.</w:t>
      </w:r>
    </w:p>
  </w:footnote>
  <w:footnote w:id="44">
    <w:p w14:paraId="3F83B4F1" w14:textId="0B53FD5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44" w:history="1">
        <w:r w:rsidRPr="004050B9">
          <w:rPr>
            <w:rStyle w:val="Hyperlink"/>
            <w:sz w:val="24"/>
            <w:lang w:val="sk-SK"/>
          </w:rPr>
          <w:t>http://data.europa.eu/eli/reg/2003/58/oj</w:t>
        </w:r>
      </w:hyperlink>
      <w:r w:rsidRPr="004050B9">
        <w:rPr>
          <w:sz w:val="24"/>
          <w:lang w:val="sk-SK"/>
        </w:rPr>
        <w:t>.</w:t>
      </w:r>
    </w:p>
  </w:footnote>
  <w:footnote w:id="45">
    <w:p w14:paraId="3AC14703" w14:textId="209C4DA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45" w:history="1">
        <w:r w:rsidRPr="004050B9">
          <w:rPr>
            <w:rStyle w:val="Hyperlink"/>
            <w:sz w:val="24"/>
            <w:lang w:val="sk-SK"/>
          </w:rPr>
          <w:t>http://data.europa.eu/eli/reg/2004/1653/oj</w:t>
        </w:r>
      </w:hyperlink>
      <w:r w:rsidRPr="004050B9">
        <w:rPr>
          <w:sz w:val="24"/>
          <w:lang w:val="sk-SK"/>
        </w:rPr>
        <w:t>.</w:t>
      </w:r>
    </w:p>
  </w:footnote>
  <w:footnote w:id="46">
    <w:p w14:paraId="23CE002E" w14:textId="0E8DA50C"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46" w:history="1">
        <w:r w:rsidRPr="004050B9">
          <w:rPr>
            <w:rStyle w:val="Hyperlink"/>
            <w:sz w:val="24"/>
            <w:lang w:val="sk-SK"/>
          </w:rPr>
          <w:t>http://data.europa.eu/eli/dec_impl/2021/173/oj</w:t>
        </w:r>
      </w:hyperlink>
      <w:r w:rsidRPr="004050B9">
        <w:rPr>
          <w:sz w:val="24"/>
          <w:lang w:val="sk-SK"/>
        </w:rPr>
        <w:t>.</w:t>
      </w:r>
    </w:p>
  </w:footnote>
  <w:footnote w:id="47">
    <w:p w14:paraId="30E9A021" w14:textId="1EA72D7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47" w:history="1">
        <w:r w:rsidRPr="004050B9">
          <w:rPr>
            <w:rStyle w:val="Hyperlink"/>
            <w:sz w:val="24"/>
            <w:lang w:val="sk-SK"/>
          </w:rPr>
          <w:t>http://data.europa.eu/eli/budget/2024/207/oj</w:t>
        </w:r>
      </w:hyperlink>
      <w:r w:rsidRPr="004050B9">
        <w:rPr>
          <w:sz w:val="24"/>
          <w:lang w:val="sk-SK"/>
        </w:rPr>
        <w:t>.</w:t>
      </w:r>
    </w:p>
  </w:footnote>
  <w:footnote w:id="48">
    <w:p w14:paraId="0DB0ED67" w14:textId="6EEE2C2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4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49">
    <w:p w14:paraId="579052F8" w14:textId="63A5D47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C/2025/6041, 18.11.2025, ELI: </w:t>
      </w:r>
      <w:hyperlink r:id="rId49" w:tgtFrame="_blank" w:tooltip="Umožňuje prístup k tomuto dokumentu prostredníctvom identifikátora URI používaného v rámci ELI." w:history="1">
        <w:r w:rsidRPr="004050B9">
          <w:rPr>
            <w:rStyle w:val="Hyperlink"/>
            <w:sz w:val="24"/>
            <w:lang w:val="sk-SK"/>
          </w:rPr>
          <w:t>http://data.europa.eu/eli/C/2025/6041/oj</w:t>
        </w:r>
      </w:hyperlink>
      <w:r w:rsidRPr="004050B9">
        <w:rPr>
          <w:sz w:val="24"/>
          <w:lang w:val="sk-SK"/>
        </w:rPr>
        <w:t>.</w:t>
      </w:r>
    </w:p>
  </w:footnote>
  <w:footnote w:id="50">
    <w:p w14:paraId="56CBEA08" w14:textId="66910EB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5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51">
    <w:p w14:paraId="67DE0AFF" w14:textId="46CD8847"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5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52">
    <w:p w14:paraId="4C58CD86" w14:textId="6543392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52" w:history="1">
        <w:r w:rsidRPr="004050B9">
          <w:rPr>
            <w:rStyle w:val="Hyperlink"/>
            <w:sz w:val="24"/>
            <w:lang w:val="sk-SK"/>
          </w:rPr>
          <w:t>http://data.europa.eu/eli/reg/2018/1046/oj</w:t>
        </w:r>
      </w:hyperlink>
      <w:r w:rsidRPr="004050B9">
        <w:rPr>
          <w:sz w:val="24"/>
          <w:lang w:val="sk-SK"/>
        </w:rPr>
        <w:t>.</w:t>
      </w:r>
    </w:p>
  </w:footnote>
  <w:footnote w:id="53">
    <w:p w14:paraId="05D1754F" w14:textId="24C869F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53" w:history="1">
        <w:r w:rsidRPr="004050B9">
          <w:rPr>
            <w:rStyle w:val="Hyperlink"/>
            <w:sz w:val="24"/>
            <w:lang w:val="sk-SK"/>
          </w:rPr>
          <w:t>http://data.europa.eu/eli/reg/2024/2509/oj</w:t>
        </w:r>
      </w:hyperlink>
      <w:r w:rsidRPr="004050B9">
        <w:rPr>
          <w:sz w:val="24"/>
          <w:lang w:val="sk-SK"/>
        </w:rPr>
        <w:t>.</w:t>
      </w:r>
    </w:p>
  </w:footnote>
  <w:footnote w:id="54">
    <w:p w14:paraId="4F8E1331" w14:textId="3DAAA6C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54" w:history="1">
        <w:r w:rsidRPr="004050B9">
          <w:rPr>
            <w:rStyle w:val="Hyperlink"/>
            <w:sz w:val="24"/>
            <w:lang w:val="sk-SK"/>
          </w:rPr>
          <w:t>http://data.europa.eu/eli/reg/2003/58/oj</w:t>
        </w:r>
      </w:hyperlink>
      <w:r w:rsidRPr="004050B9">
        <w:rPr>
          <w:sz w:val="24"/>
          <w:lang w:val="sk-SK"/>
        </w:rPr>
        <w:t>.</w:t>
      </w:r>
    </w:p>
  </w:footnote>
  <w:footnote w:id="55">
    <w:p w14:paraId="1883212F" w14:textId="07E2A1F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55" w:history="1">
        <w:r w:rsidRPr="004050B9">
          <w:rPr>
            <w:rStyle w:val="Hyperlink"/>
            <w:sz w:val="24"/>
            <w:lang w:val="sk-SK"/>
          </w:rPr>
          <w:t>http://data.europa.eu/eli/reg/2004/1653/oj</w:t>
        </w:r>
      </w:hyperlink>
      <w:r w:rsidRPr="004050B9">
        <w:rPr>
          <w:sz w:val="24"/>
          <w:lang w:val="sk-SK"/>
        </w:rPr>
        <w:t>.</w:t>
      </w:r>
    </w:p>
  </w:footnote>
  <w:footnote w:id="56">
    <w:p w14:paraId="799CCE81" w14:textId="00681E5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56" w:history="1">
        <w:r w:rsidRPr="004050B9">
          <w:rPr>
            <w:rStyle w:val="Hyperlink"/>
            <w:sz w:val="24"/>
            <w:lang w:val="sk-SK"/>
          </w:rPr>
          <w:t>http://data.europa.eu/eli/dec_impl/2021/173/oj</w:t>
        </w:r>
      </w:hyperlink>
      <w:r w:rsidRPr="004050B9">
        <w:rPr>
          <w:sz w:val="24"/>
          <w:lang w:val="sk-SK"/>
        </w:rPr>
        <w:t>.</w:t>
      </w:r>
    </w:p>
  </w:footnote>
  <w:footnote w:id="57">
    <w:p w14:paraId="0FAB212E" w14:textId="7C60166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57" w:history="1">
        <w:r w:rsidRPr="004050B9">
          <w:rPr>
            <w:rStyle w:val="Hyperlink"/>
            <w:sz w:val="24"/>
            <w:lang w:val="sk-SK"/>
          </w:rPr>
          <w:t>http://data.europa.eu/eli/budget/2024/207/oj</w:t>
        </w:r>
      </w:hyperlink>
      <w:r w:rsidRPr="004050B9">
        <w:rPr>
          <w:sz w:val="24"/>
          <w:lang w:val="sk-SK"/>
        </w:rPr>
        <w:t>.</w:t>
      </w:r>
    </w:p>
  </w:footnote>
  <w:footnote w:id="58">
    <w:p w14:paraId="33248DFF" w14:textId="0C5914E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58"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59">
    <w:p w14:paraId="1C683087" w14:textId="5CDEF28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C/2025/6023, 18.11.2025, ELI: </w:t>
      </w:r>
      <w:hyperlink r:id="rId59" w:tgtFrame="_blank" w:tooltip="Umožňuje prístup k tomuto dokumentu prostredníctvom identifikátora URI používaného v rámci ELI." w:history="1">
        <w:r w:rsidRPr="004050B9">
          <w:rPr>
            <w:rStyle w:val="Hyperlink"/>
            <w:sz w:val="24"/>
            <w:lang w:val="sk-SK"/>
          </w:rPr>
          <w:t>http://data.europa.eu/eli/C/2025/6023/oj</w:t>
        </w:r>
      </w:hyperlink>
      <w:r w:rsidRPr="004050B9">
        <w:rPr>
          <w:sz w:val="24"/>
          <w:lang w:val="sk-SK"/>
        </w:rPr>
        <w:t>.</w:t>
      </w:r>
    </w:p>
  </w:footnote>
  <w:footnote w:id="60">
    <w:p w14:paraId="641A6A0E" w14:textId="2003DCD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60"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61">
    <w:p w14:paraId="64639212" w14:textId="571F04D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61"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62">
    <w:p w14:paraId="5AE7A776" w14:textId="6917370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62" w:history="1">
        <w:r w:rsidRPr="004050B9">
          <w:rPr>
            <w:rStyle w:val="Hyperlink"/>
            <w:sz w:val="24"/>
            <w:lang w:val="sk-SK"/>
          </w:rPr>
          <w:t>http://data.europa.eu/eli/reg/2018/1046/oj</w:t>
        </w:r>
      </w:hyperlink>
      <w:r w:rsidRPr="004050B9">
        <w:rPr>
          <w:sz w:val="24"/>
          <w:lang w:val="sk-SK"/>
        </w:rPr>
        <w:t>.</w:t>
      </w:r>
    </w:p>
  </w:footnote>
  <w:footnote w:id="63">
    <w:p w14:paraId="04103B6E" w14:textId="36EDDBB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63" w:history="1">
        <w:r w:rsidRPr="004050B9">
          <w:rPr>
            <w:rStyle w:val="Hyperlink"/>
            <w:sz w:val="24"/>
            <w:lang w:val="sk-SK"/>
          </w:rPr>
          <w:t>http://data.europa.eu/eli/reg/2024/2509/oj</w:t>
        </w:r>
      </w:hyperlink>
      <w:r w:rsidRPr="004050B9">
        <w:rPr>
          <w:sz w:val="24"/>
          <w:lang w:val="sk-SK"/>
        </w:rPr>
        <w:t>.</w:t>
      </w:r>
    </w:p>
  </w:footnote>
  <w:footnote w:id="64">
    <w:p w14:paraId="7DC48B1A" w14:textId="1091D96F"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64" w:history="1">
        <w:r w:rsidRPr="004050B9">
          <w:rPr>
            <w:rStyle w:val="Hyperlink"/>
            <w:sz w:val="24"/>
            <w:lang w:val="sk-SK"/>
          </w:rPr>
          <w:t>http://data.europa.eu/eli/reg/2003/58/oj</w:t>
        </w:r>
      </w:hyperlink>
      <w:r w:rsidRPr="004050B9">
        <w:rPr>
          <w:sz w:val="24"/>
          <w:lang w:val="sk-SK"/>
        </w:rPr>
        <w:t>.</w:t>
      </w:r>
    </w:p>
  </w:footnote>
  <w:footnote w:id="65">
    <w:p w14:paraId="781961B9" w14:textId="327F9C8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297, 22.9.2004, s. 6, ELI: </w:t>
      </w:r>
      <w:hyperlink r:id="rId65" w:history="1">
        <w:r w:rsidRPr="004050B9">
          <w:rPr>
            <w:rStyle w:val="Hyperlink"/>
            <w:sz w:val="24"/>
            <w:lang w:val="sk-SK"/>
          </w:rPr>
          <w:t>http://data.europa.eu/eli/reg/2004/1653/oj</w:t>
        </w:r>
      </w:hyperlink>
      <w:r w:rsidRPr="004050B9">
        <w:rPr>
          <w:sz w:val="24"/>
          <w:lang w:val="sk-SK"/>
        </w:rPr>
        <w:t>.</w:t>
      </w:r>
    </w:p>
  </w:footnote>
  <w:footnote w:id="66">
    <w:p w14:paraId="00C6EB06" w14:textId="0A58DBD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50, 15.2.2021, s. 9, ELI: </w:t>
      </w:r>
      <w:hyperlink r:id="rId66" w:history="1">
        <w:r w:rsidRPr="004050B9">
          <w:rPr>
            <w:rStyle w:val="Hyperlink"/>
            <w:sz w:val="24"/>
            <w:lang w:val="sk-SK"/>
          </w:rPr>
          <w:t>http://data.europa.eu/eli/dec_impl/2021/173/oj</w:t>
        </w:r>
      </w:hyperlink>
      <w:r w:rsidRPr="004050B9">
        <w:rPr>
          <w:sz w:val="24"/>
          <w:lang w:val="sk-SK"/>
        </w:rPr>
        <w:t>.</w:t>
      </w:r>
    </w:p>
  </w:footnote>
  <w:footnote w:id="67">
    <w:p w14:paraId="6A32FF8C" w14:textId="55A52BF2"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67"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68">
    <w:p w14:paraId="41828ACE" w14:textId="0ABA29E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C/2025/5405, 13.10.2025, ELI: </w:t>
      </w:r>
      <w:hyperlink r:id="rId68" w:tgtFrame="_blank" w:tooltip="Umožňuje prístup k tomuto dokumentu prostredníctvom identifikátora URI používaného v rámci ELI." w:history="1">
        <w:r w:rsidRPr="004050B9">
          <w:rPr>
            <w:rStyle w:val="Hyperlink"/>
            <w:sz w:val="24"/>
            <w:lang w:val="sk-SK"/>
          </w:rPr>
          <w:t>http://data.europa.eu/eli/C/2025/5405/oj</w:t>
        </w:r>
      </w:hyperlink>
      <w:r w:rsidRPr="004050B9">
        <w:rPr>
          <w:sz w:val="24"/>
          <w:lang w:val="sk-SK"/>
        </w:rPr>
        <w:t>.</w:t>
      </w:r>
    </w:p>
  </w:footnote>
  <w:footnote w:id="69">
    <w:p w14:paraId="4813EA2F" w14:textId="0FE237E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317, 15.12.2000, s. 3.</w:t>
      </w:r>
    </w:p>
  </w:footnote>
  <w:footnote w:id="70">
    <w:p w14:paraId="3F0BF5C0" w14:textId="67BE8B50"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L 287, 4.11.2010, s. 3.</w:t>
      </w:r>
    </w:p>
  </w:footnote>
  <w:footnote w:id="71">
    <w:p w14:paraId="48DF9713" w14:textId="55835C34"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355, 7.10.2021, s. 6, ELI: </w:t>
      </w:r>
      <w:hyperlink r:id="rId69" w:history="1">
        <w:r w:rsidRPr="004050B9">
          <w:rPr>
            <w:rStyle w:val="Hyperlink"/>
            <w:sz w:val="24"/>
            <w:lang w:val="sk-SK"/>
          </w:rPr>
          <w:t>http://data.europa.eu/eli/dec/2021/1764/oj</w:t>
        </w:r>
      </w:hyperlink>
      <w:r w:rsidRPr="004050B9">
        <w:rPr>
          <w:sz w:val="24"/>
          <w:lang w:val="sk-SK"/>
        </w:rPr>
        <w:t>.</w:t>
      </w:r>
    </w:p>
  </w:footnote>
  <w:footnote w:id="72">
    <w:p w14:paraId="44B382F4" w14:textId="64F85A9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156, 29.5.1998, s. 108.</w:t>
      </w:r>
    </w:p>
  </w:footnote>
  <w:footnote w:id="73">
    <w:p w14:paraId="35B39652" w14:textId="58AF1D3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317, 15.12.2000, s. 355.</w:t>
      </w:r>
    </w:p>
  </w:footnote>
  <w:footnote w:id="74">
    <w:p w14:paraId="459A8CCC" w14:textId="09A57F1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210, 6.8.2013, s. 1, ELI: </w:t>
      </w:r>
      <w:hyperlink r:id="rId70" w:history="1">
        <w:r w:rsidRPr="004050B9">
          <w:rPr>
            <w:rStyle w:val="Hyperlink"/>
            <w:sz w:val="24"/>
            <w:lang w:val="sk-SK"/>
          </w:rPr>
          <w:t>http://data.europa.eu/eli/agree_eums/2013/806/oj</w:t>
        </w:r>
      </w:hyperlink>
      <w:r w:rsidRPr="004050B9">
        <w:rPr>
          <w:sz w:val="24"/>
          <w:lang w:val="sk-SK"/>
        </w:rPr>
        <w:t>.</w:t>
      </w:r>
    </w:p>
  </w:footnote>
  <w:footnote w:id="75">
    <w:p w14:paraId="5518531D" w14:textId="22AA70DC"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191, 7.7.1998, s. 53, ELI: </w:t>
      </w:r>
      <w:hyperlink r:id="rId71" w:history="1">
        <w:r w:rsidRPr="004050B9">
          <w:rPr>
            <w:rStyle w:val="Hyperlink"/>
            <w:sz w:val="24"/>
            <w:lang w:val="sk-SK"/>
          </w:rPr>
          <w:t>http://data.europa.eu/eli/reg_financ/1998/430/oj</w:t>
        </w:r>
      </w:hyperlink>
      <w:r w:rsidRPr="004050B9">
        <w:rPr>
          <w:sz w:val="24"/>
          <w:lang w:val="sk-SK"/>
        </w:rPr>
        <w:t>.</w:t>
      </w:r>
    </w:p>
  </w:footnote>
  <w:footnote w:id="76">
    <w:p w14:paraId="213953AF" w14:textId="2B02F40F"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83, 1.4.2003, s. 1, ELI: </w:t>
      </w:r>
      <w:hyperlink r:id="rId72" w:history="1">
        <w:r w:rsidRPr="004050B9">
          <w:rPr>
            <w:rStyle w:val="Hyperlink"/>
            <w:sz w:val="24"/>
            <w:lang w:val="sk-SK"/>
          </w:rPr>
          <w:t>http://data.europa.eu/eli/reg_financ/2003/401/oj</w:t>
        </w:r>
      </w:hyperlink>
      <w:r w:rsidRPr="004050B9">
        <w:rPr>
          <w:sz w:val="24"/>
          <w:lang w:val="sk-SK"/>
        </w:rPr>
        <w:t>.</w:t>
      </w:r>
    </w:p>
  </w:footnote>
  <w:footnote w:id="77">
    <w:p w14:paraId="2F4C1360" w14:textId="490D9762"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78, 19.3.2008, s. 1, ELI: </w:t>
      </w:r>
      <w:hyperlink r:id="rId73" w:history="1">
        <w:r w:rsidRPr="004050B9">
          <w:rPr>
            <w:rStyle w:val="Hyperlink"/>
            <w:sz w:val="24"/>
            <w:lang w:val="sk-SK"/>
          </w:rPr>
          <w:t>http://data.europa.eu/eli/reg/2008/215/oj</w:t>
        </w:r>
      </w:hyperlink>
      <w:r w:rsidRPr="004050B9">
        <w:rPr>
          <w:sz w:val="24"/>
          <w:lang w:val="sk-SK"/>
        </w:rPr>
        <w:t>.</w:t>
      </w:r>
    </w:p>
  </w:footnote>
  <w:footnote w:id="78">
    <w:p w14:paraId="14902990" w14:textId="1228C8A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307, 3.12.2018, s. 1, ELI: </w:t>
      </w:r>
      <w:hyperlink r:id="rId74" w:history="1">
        <w:r w:rsidRPr="004050B9">
          <w:rPr>
            <w:rStyle w:val="Hyperlink"/>
            <w:sz w:val="24"/>
            <w:lang w:val="sk-SK"/>
          </w:rPr>
          <w:t>http://data.europa.eu/eli/reg/2018/1877/oj</w:t>
        </w:r>
      </w:hyperlink>
      <w:r w:rsidRPr="004050B9">
        <w:rPr>
          <w:sz w:val="24"/>
          <w:lang w:val="sk-SK"/>
        </w:rPr>
        <w:t>.</w:t>
      </w:r>
    </w:p>
  </w:footnote>
  <w:footnote w:id="79">
    <w:p w14:paraId="79972B10" w14:textId="65DAE23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2024/207, 22.2.2024, ELI: </w:t>
      </w:r>
      <w:hyperlink r:id="rId75" w:history="1">
        <w:r w:rsidRPr="004050B9">
          <w:rPr>
            <w:rStyle w:val="Hyperlink"/>
            <w:sz w:val="24"/>
            <w:lang w:val="sk-SK"/>
          </w:rPr>
          <w:t>http://data.europa.eu/eli/budget/2024/207/oj</w:t>
        </w:r>
      </w:hyperlink>
      <w:r w:rsidRPr="004050B9">
        <w:rPr>
          <w:sz w:val="24"/>
          <w:lang w:val="sk-SK"/>
        </w:rPr>
        <w:t>.</w:t>
      </w:r>
    </w:p>
  </w:footnote>
  <w:footnote w:id="80">
    <w:p w14:paraId="375BF608" w14:textId="6684B217"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C, C/2025/4944, 13.10.2025, ELI: </w:t>
      </w:r>
      <w:hyperlink r:id="rId76" w:tgtFrame="_blank" w:tooltip="Umožňuje prístup k tomuto dokumentu prostredníctvom identifikátora URI používaného v rámci ELI." w:history="1">
        <w:r w:rsidRPr="004050B9">
          <w:rPr>
            <w:rStyle w:val="Hyperlink"/>
            <w:sz w:val="24"/>
            <w:lang w:val="sk-SK"/>
          </w:rPr>
          <w:t>http://data.europa.eu/eli/C/2025/4944/oj</w:t>
        </w:r>
      </w:hyperlink>
      <w:r w:rsidRPr="004050B9">
        <w:rPr>
          <w:sz w:val="24"/>
          <w:lang w:val="sk-SK"/>
        </w:rPr>
        <w:t>.</w:t>
      </w:r>
    </w:p>
  </w:footnote>
  <w:footnote w:id="81">
    <w:p w14:paraId="5DFA5610" w14:textId="5A91717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77"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82">
    <w:p w14:paraId="67C496C0" w14:textId="5384FF6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78"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83">
    <w:p w14:paraId="7BD83603" w14:textId="2D130A3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193, 30.7.2018, s. 1, ELI: </w:t>
      </w:r>
      <w:hyperlink r:id="rId79" w:history="1">
        <w:r w:rsidRPr="004050B9">
          <w:rPr>
            <w:rStyle w:val="Hyperlink"/>
            <w:sz w:val="24"/>
            <w:lang w:val="sk-SK"/>
          </w:rPr>
          <w:t>http://data.europa.eu/eli/reg/2018/1046/oj</w:t>
        </w:r>
      </w:hyperlink>
      <w:r w:rsidRPr="004050B9">
        <w:rPr>
          <w:sz w:val="24"/>
          <w:lang w:val="sk-SK"/>
        </w:rPr>
        <w:t>.</w:t>
      </w:r>
    </w:p>
  </w:footnote>
  <w:footnote w:id="84">
    <w:p w14:paraId="309D115E" w14:textId="6C72FEDC"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2024/2509, 26.9.2024, ELI: </w:t>
      </w:r>
      <w:hyperlink r:id="rId80" w:history="1">
        <w:r w:rsidRPr="004050B9">
          <w:rPr>
            <w:rStyle w:val="Hyperlink"/>
            <w:sz w:val="24"/>
            <w:lang w:val="sk-SK"/>
          </w:rPr>
          <w:t>http://data.europa.eu/eli/reg/2024/2509/oj</w:t>
        </w:r>
      </w:hyperlink>
      <w:r w:rsidRPr="004050B9">
        <w:rPr>
          <w:sz w:val="24"/>
          <w:lang w:val="sk-SK"/>
        </w:rPr>
        <w:t>.</w:t>
      </w:r>
    </w:p>
  </w:footnote>
  <w:footnote w:id="85">
    <w:p w14:paraId="14B01BCB" w14:textId="14B829D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11, 16.1.2003, s. 1, ELI: </w:t>
      </w:r>
      <w:hyperlink r:id="rId81" w:history="1">
        <w:r w:rsidRPr="004050B9">
          <w:rPr>
            <w:rStyle w:val="Hyperlink"/>
            <w:sz w:val="24"/>
            <w:lang w:val="sk-SK"/>
          </w:rPr>
          <w:t>http://data.europa.eu/eli/reg/2003/58/oj</w:t>
        </w:r>
      </w:hyperlink>
      <w:r w:rsidRPr="004050B9">
        <w:rPr>
          <w:sz w:val="24"/>
          <w:lang w:val="sk-SK"/>
        </w:rPr>
        <w:t>.</w:t>
      </w:r>
    </w:p>
  </w:footnote>
  <w:footnote w:id="86">
    <w:p w14:paraId="4326E9A7" w14:textId="03A7360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C/2025/5409, 8.10.2025, ELI: </w:t>
      </w:r>
      <w:hyperlink r:id="rId82" w:tgtFrame="_blank" w:tooltip="Umožňuje prístup k tomuto dokumentu prostredníctvom identifikátora URI používaného v rámci ELI." w:history="1">
        <w:r w:rsidRPr="004050B9">
          <w:rPr>
            <w:rStyle w:val="Hyperlink"/>
            <w:sz w:val="24"/>
            <w:lang w:val="sk-SK"/>
          </w:rPr>
          <w:t>http://data.europa.eu/eli/C/2025/5409/oj</w:t>
        </w:r>
      </w:hyperlink>
      <w:r w:rsidRPr="004050B9">
        <w:rPr>
          <w:sz w:val="24"/>
          <w:lang w:val="sk-SK"/>
        </w:rPr>
        <w:t>.</w:t>
      </w:r>
    </w:p>
  </w:footnote>
  <w:footnote w:id="87">
    <w:p w14:paraId="46DE7A45" w14:textId="2DA7E07D"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C, C/2025/5407, 13.10.2025, ELI: </w:t>
      </w:r>
      <w:hyperlink r:id="rId83" w:tgtFrame="_blank" w:tooltip="Umožňuje prístup k tomuto dokumentu prostredníctvom identifikátora URI používaného v rámci ELI." w:history="1">
        <w:r w:rsidRPr="004050B9">
          <w:rPr>
            <w:rStyle w:val="Hyperlink"/>
            <w:sz w:val="24"/>
            <w:lang w:val="sk-SK"/>
          </w:rPr>
          <w:t>http://data.europa.eu/eli/C/2025/5407/oj</w:t>
        </w:r>
      </w:hyperlink>
      <w:r w:rsidRPr="004050B9">
        <w:rPr>
          <w:sz w:val="24"/>
          <w:lang w:val="sk-SK"/>
        </w:rPr>
        <w:t>.</w:t>
      </w:r>
    </w:p>
  </w:footnote>
  <w:footnote w:id="88">
    <w:p w14:paraId="6005714C" w14:textId="5EED1B0C"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317, 15.12.2000, s. 3.</w:t>
      </w:r>
    </w:p>
  </w:footnote>
  <w:footnote w:id="89">
    <w:p w14:paraId="4BD84E58" w14:textId="69E3F68F"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EÚ L 287, 4.11.2010, s. 3.</w:t>
      </w:r>
    </w:p>
  </w:footnote>
  <w:footnote w:id="90">
    <w:p w14:paraId="444268B9" w14:textId="7CDE71A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355, 7.10.2021, s. 6, ELI: </w:t>
      </w:r>
      <w:hyperlink r:id="rId84" w:history="1">
        <w:r w:rsidRPr="004050B9">
          <w:rPr>
            <w:rStyle w:val="Hyperlink"/>
            <w:sz w:val="24"/>
            <w:lang w:val="sk-SK"/>
          </w:rPr>
          <w:t>http://data.europa.eu/eli/dec/2021/1764/oj</w:t>
        </w:r>
      </w:hyperlink>
      <w:r w:rsidRPr="004050B9">
        <w:rPr>
          <w:sz w:val="24"/>
          <w:lang w:val="sk-SK"/>
        </w:rPr>
        <w:t>.</w:t>
      </w:r>
    </w:p>
  </w:footnote>
  <w:footnote w:id="91">
    <w:p w14:paraId="42B86A7B" w14:textId="0F0CB07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156, 29.5.1998, s. 108.</w:t>
      </w:r>
    </w:p>
  </w:footnote>
  <w:footnote w:id="92">
    <w:p w14:paraId="37D9D264" w14:textId="0C1B809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Ú. v. ES L 317, 15.12.2000, s. 355.</w:t>
      </w:r>
    </w:p>
  </w:footnote>
  <w:footnote w:id="93">
    <w:p w14:paraId="3A691AC6" w14:textId="33614DD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210, 6.8.2013, s. 1, ELI: </w:t>
      </w:r>
      <w:hyperlink r:id="rId85" w:history="1">
        <w:r w:rsidRPr="004050B9">
          <w:rPr>
            <w:rStyle w:val="Hyperlink"/>
            <w:sz w:val="24"/>
            <w:lang w:val="sk-SK"/>
          </w:rPr>
          <w:t>http://data.europa.eu/eli/agree_eums/2013/806/oj</w:t>
        </w:r>
      </w:hyperlink>
      <w:r w:rsidRPr="004050B9">
        <w:rPr>
          <w:sz w:val="24"/>
          <w:lang w:val="sk-SK"/>
        </w:rPr>
        <w:t>.</w:t>
      </w:r>
    </w:p>
  </w:footnote>
  <w:footnote w:id="94">
    <w:p w14:paraId="6D34EC9A" w14:textId="59746FCC"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ES L 191, 7.7.1998, s. 53, ELI: </w:t>
      </w:r>
      <w:hyperlink r:id="rId86" w:history="1">
        <w:r w:rsidRPr="004050B9">
          <w:rPr>
            <w:rStyle w:val="Hyperlink"/>
            <w:sz w:val="24"/>
            <w:lang w:val="sk-SK"/>
          </w:rPr>
          <w:t>http://data.europa.eu/eli/reg_financ/1998/430/oj</w:t>
        </w:r>
      </w:hyperlink>
      <w:r w:rsidRPr="004050B9">
        <w:rPr>
          <w:sz w:val="24"/>
          <w:lang w:val="sk-SK"/>
        </w:rPr>
        <w:t>.</w:t>
      </w:r>
    </w:p>
  </w:footnote>
  <w:footnote w:id="95">
    <w:p w14:paraId="2265C583" w14:textId="27BFD879"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83, 1.4.2003, s. 1, ELI: </w:t>
      </w:r>
      <w:hyperlink r:id="rId87" w:history="1">
        <w:r w:rsidRPr="004050B9">
          <w:rPr>
            <w:rStyle w:val="Hyperlink"/>
            <w:sz w:val="24"/>
            <w:lang w:val="sk-SK"/>
          </w:rPr>
          <w:t>http://data.europa.eu/eli/reg_financ/2003/401/oj</w:t>
        </w:r>
      </w:hyperlink>
      <w:r w:rsidRPr="004050B9">
        <w:rPr>
          <w:sz w:val="24"/>
          <w:lang w:val="sk-SK"/>
        </w:rPr>
        <w:t>.</w:t>
      </w:r>
    </w:p>
  </w:footnote>
  <w:footnote w:id="96">
    <w:p w14:paraId="3556E5EB" w14:textId="64A53DF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78, 19.3.2008, s. 1, ELI: </w:t>
      </w:r>
      <w:hyperlink r:id="rId88" w:history="1">
        <w:r w:rsidRPr="004050B9">
          <w:rPr>
            <w:rStyle w:val="Hyperlink"/>
            <w:sz w:val="24"/>
            <w:lang w:val="sk-SK"/>
          </w:rPr>
          <w:t>http://data.europa.eu/eli/reg/2008/215/oj</w:t>
        </w:r>
      </w:hyperlink>
      <w:r w:rsidRPr="004050B9">
        <w:rPr>
          <w:sz w:val="24"/>
          <w:lang w:val="sk-SK"/>
        </w:rPr>
        <w:t>.</w:t>
      </w:r>
    </w:p>
  </w:footnote>
  <w:footnote w:id="97">
    <w:p w14:paraId="61BF2C1B" w14:textId="42561C3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307, 3.12.2018, s. 1, ELI: </w:t>
      </w:r>
      <w:hyperlink r:id="rId89" w:history="1">
        <w:r w:rsidRPr="004050B9">
          <w:rPr>
            <w:rStyle w:val="Hyperlink"/>
            <w:sz w:val="24"/>
            <w:lang w:val="sk-SK"/>
          </w:rPr>
          <w:t>http://data.europa.eu/eli/reg/2018/1877/oj</w:t>
        </w:r>
      </w:hyperlink>
      <w:r w:rsidRPr="004050B9">
        <w:rPr>
          <w:sz w:val="24"/>
          <w:lang w:val="sk-SK"/>
        </w:rPr>
        <w:t>.</w:t>
      </w:r>
    </w:p>
  </w:footnote>
  <w:footnote w:id="98">
    <w:p w14:paraId="7E0BE970" w14:textId="38DD54CF"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11. ERF sa vzťahuje na VFR na roky 2021 – 2027.</w:t>
      </w:r>
    </w:p>
  </w:footnote>
  <w:footnote w:id="99">
    <w:p w14:paraId="2A076187" w14:textId="01F6B796"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00131595" w:rsidRPr="00131595">
        <w:rPr>
          <w:sz w:val="24"/>
          <w:lang w:val="sk-SK"/>
        </w:rPr>
        <w:t xml:space="preserve">Rozsudok Všeobecného súdu zo 14. mája 2025, </w:t>
      </w:r>
      <w:proofErr w:type="spellStart"/>
      <w:r w:rsidR="00131595" w:rsidRPr="00131595">
        <w:rPr>
          <w:sz w:val="24"/>
          <w:lang w:val="sk-SK"/>
        </w:rPr>
        <w:t>Matina</w:t>
      </w:r>
      <w:proofErr w:type="spellEnd"/>
      <w:r w:rsidR="00131595" w:rsidRPr="00131595">
        <w:rPr>
          <w:sz w:val="24"/>
          <w:lang w:val="sk-SK"/>
        </w:rPr>
        <w:t xml:space="preserve"> </w:t>
      </w:r>
      <w:proofErr w:type="spellStart"/>
      <w:r w:rsidR="00131595" w:rsidRPr="00131595">
        <w:rPr>
          <w:sz w:val="24"/>
          <w:lang w:val="sk-SK"/>
        </w:rPr>
        <w:t>Stevi</w:t>
      </w:r>
      <w:proofErr w:type="spellEnd"/>
      <w:r w:rsidR="00131595" w:rsidRPr="00131595">
        <w:rPr>
          <w:sz w:val="24"/>
          <w:lang w:val="sk-SK"/>
        </w:rPr>
        <w:t xml:space="preserve"> a </w:t>
      </w:r>
      <w:proofErr w:type="spellStart"/>
      <w:r w:rsidR="00131595" w:rsidRPr="00131595">
        <w:rPr>
          <w:sz w:val="24"/>
          <w:lang w:val="sk-SK"/>
        </w:rPr>
        <w:t>The</w:t>
      </w:r>
      <w:proofErr w:type="spellEnd"/>
      <w:r w:rsidR="00131595" w:rsidRPr="00131595">
        <w:rPr>
          <w:sz w:val="24"/>
          <w:lang w:val="sk-SK"/>
        </w:rPr>
        <w:t xml:space="preserve"> New York </w:t>
      </w:r>
      <w:proofErr w:type="spellStart"/>
      <w:r w:rsidR="00131595" w:rsidRPr="00131595">
        <w:rPr>
          <w:sz w:val="24"/>
          <w:lang w:val="sk-SK"/>
        </w:rPr>
        <w:t>Times</w:t>
      </w:r>
      <w:proofErr w:type="spellEnd"/>
      <w:r w:rsidR="00131595" w:rsidRPr="00131595">
        <w:rPr>
          <w:sz w:val="24"/>
          <w:lang w:val="sk-SK"/>
        </w:rPr>
        <w:t xml:space="preserve"> </w:t>
      </w:r>
      <w:proofErr w:type="spellStart"/>
      <w:r w:rsidR="00131595" w:rsidRPr="00131595">
        <w:rPr>
          <w:sz w:val="24"/>
          <w:lang w:val="sk-SK"/>
        </w:rPr>
        <w:t>Company</w:t>
      </w:r>
      <w:proofErr w:type="spellEnd"/>
      <w:r w:rsidR="00131595" w:rsidRPr="00131595">
        <w:rPr>
          <w:sz w:val="24"/>
          <w:lang w:val="sk-SK"/>
        </w:rPr>
        <w:t>/Európska komisia, T-36/23, ECLI:EU:T:2025:483.</w:t>
      </w:r>
    </w:p>
  </w:footnote>
  <w:footnote w:id="100">
    <w:p w14:paraId="78354AFC" w14:textId="54B0982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Ú. v. EÚ L 57, 18.2.2021, ELI: </w:t>
      </w:r>
      <w:hyperlink r:id="rId90" w:history="1">
        <w:r w:rsidRPr="002B0DFB">
          <w:rPr>
            <w:rStyle w:val="Hyperlink"/>
            <w:sz w:val="24"/>
            <w:lang w:val="sk-SK"/>
          </w:rPr>
          <w:t>http://data.europa.eu/eli/reg/2021/241/oj</w:t>
        </w:r>
      </w:hyperlink>
      <w:r w:rsidRPr="004050B9">
        <w:rPr>
          <w:sz w:val="24"/>
          <w:lang w:val="sk-SK"/>
        </w:rPr>
        <w:t>.</w:t>
      </w:r>
    </w:p>
  </w:footnote>
  <w:footnote w:id="101">
    <w:p w14:paraId="2F8AA8AC" w14:textId="2EE610FB" w:rsidR="003B03EB" w:rsidRPr="004050B9" w:rsidRDefault="003B03EB" w:rsidP="004050B9">
      <w:pPr>
        <w:pStyle w:val="NormalHanging12a"/>
        <w:widowControl/>
        <w:spacing w:after="0" w:line="260" w:lineRule="exact"/>
        <w:rPr>
          <w:u w:val="single"/>
        </w:rPr>
      </w:pPr>
      <w:r w:rsidRPr="004050B9">
        <w:rPr>
          <w:rStyle w:val="FootnoteReference"/>
        </w:rPr>
        <w:t>4.</w:t>
      </w:r>
      <w:r w:rsidR="004050B9" w:rsidRPr="004050B9">
        <w:t xml:space="preserve"> </w:t>
      </w:r>
      <w:r w:rsidR="004050B9" w:rsidRPr="004050B9">
        <w:tab/>
      </w:r>
      <w:r w:rsidRPr="004050B9">
        <w:t>Ú. v. EÚ C, C/2025/5409, 8.10.2025, ELI: </w:t>
      </w:r>
      <w:hyperlink r:id="rId91" w:history="1">
        <w:r w:rsidRPr="004050B9">
          <w:rPr>
            <w:rStyle w:val="Hyperlink"/>
          </w:rPr>
          <w:t>http://data.europa.eu/eli/C/2025/5409/oj</w:t>
        </w:r>
      </w:hyperlink>
      <w:r w:rsidRPr="004050B9">
        <w:t>.</w:t>
      </w:r>
    </w:p>
  </w:footnote>
  <w:footnote w:id="102">
    <w:p w14:paraId="7575A386" w14:textId="6B7810A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hyperlink r:id="rId92" w:history="1">
        <w:r w:rsidR="0017139E" w:rsidRPr="00585AF5">
          <w:rPr>
            <w:rStyle w:val="Hyperlink"/>
            <w:sz w:val="24"/>
            <w:lang w:val="sk-SK"/>
          </w:rPr>
          <w:t>https://www.europarl.europa.eu/RegData/etudes/BRIE/2024/766173/</w:t>
        </w:r>
        <w:r w:rsidR="0017139E" w:rsidRPr="00585AF5">
          <w:rPr>
            <w:rStyle w:val="Hyperlink"/>
            <w:sz w:val="24"/>
            <w:lang w:val="sk-SK"/>
          </w:rPr>
          <w:br/>
          <w:t>IPOL_BRI(2024)766173_EN.pdf</w:t>
        </w:r>
      </w:hyperlink>
      <w:r w:rsidRPr="004050B9">
        <w:rPr>
          <w:sz w:val="24"/>
          <w:lang w:val="sk-SK"/>
        </w:rPr>
        <w:t>.</w:t>
      </w:r>
    </w:p>
  </w:footnote>
  <w:footnote w:id="103">
    <w:p w14:paraId="3D0F521A" w14:textId="6ABCA9A4"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Prijaté texty</w:t>
      </w:r>
      <w:r w:rsidR="00827FBE">
        <w:rPr>
          <w:sz w:val="24"/>
          <w:lang w:val="sk-SK"/>
        </w:rPr>
        <w:t>,</w:t>
      </w:r>
      <w:r w:rsidRPr="004050B9">
        <w:rPr>
          <w:sz w:val="24"/>
          <w:lang w:val="sk-SK"/>
        </w:rPr>
        <w:t xml:space="preserve"> P9_TA(2023)0244</w:t>
      </w:r>
      <w:r w:rsidR="0086345F">
        <w:rPr>
          <w:sz w:val="24"/>
          <w:lang w:val="sk-SK"/>
        </w:rPr>
        <w:t>,</w:t>
      </w:r>
      <w:r w:rsidRPr="004050B9">
        <w:rPr>
          <w:sz w:val="24"/>
          <w:lang w:val="sk-SK"/>
        </w:rPr>
        <w:t xml:space="preserve"> </w:t>
      </w:r>
      <w:hyperlink r:id="rId93" w:history="1">
        <w:r w:rsidRPr="00827FBE">
          <w:rPr>
            <w:rStyle w:val="Hyperlink"/>
            <w:sz w:val="24"/>
            <w:lang w:val="sk-SK"/>
          </w:rPr>
          <w:t>https://www.europarl.europa.eu/doceo/document/TA-9-2023-0244_SK.html</w:t>
        </w:r>
      </w:hyperlink>
      <w:r w:rsidRPr="004050B9">
        <w:rPr>
          <w:sz w:val="24"/>
          <w:lang w:val="sk-SK"/>
        </w:rPr>
        <w:t>.</w:t>
      </w:r>
    </w:p>
  </w:footnote>
  <w:footnote w:id="104">
    <w:p w14:paraId="0FCD8431" w14:textId="71751E2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hyperlink r:id="rId94" w:history="1">
        <w:r w:rsidRPr="00827FBE">
          <w:rPr>
            <w:rStyle w:val="Hyperlink"/>
            <w:sz w:val="24"/>
            <w:lang w:val="sk-SK"/>
          </w:rPr>
          <w:t>https://www.ftm.eu/articles/spyware-industry-eu-subsidies-surveillance-concers</w:t>
        </w:r>
      </w:hyperlink>
      <w:r w:rsidRPr="004050B9">
        <w:rPr>
          <w:sz w:val="24"/>
          <w:lang w:val="sk-SK"/>
        </w:rPr>
        <w:t>.</w:t>
      </w:r>
    </w:p>
  </w:footnote>
  <w:footnote w:id="105">
    <w:p w14:paraId="5A550FFC" w14:textId="62C4F49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0030353F">
        <w:rPr>
          <w:sz w:val="24"/>
          <w:lang w:val="sk-SK"/>
        </w:rPr>
        <w:t>Ú. v. EÚ</w:t>
      </w:r>
      <w:r w:rsidR="0030353F" w:rsidRPr="0030353F">
        <w:rPr>
          <w:sz w:val="24"/>
          <w:lang w:val="sk-SK"/>
        </w:rPr>
        <w:t xml:space="preserve"> C, C/2024/494, 23.1.2024, ELI: </w:t>
      </w:r>
      <w:hyperlink r:id="rId95" w:history="1">
        <w:r w:rsidR="0030353F" w:rsidRPr="0030353F">
          <w:rPr>
            <w:rStyle w:val="Hyperlink"/>
            <w:sz w:val="24"/>
            <w:lang w:val="sk-SK"/>
          </w:rPr>
          <w:t>http://data.europa.eu/eli/C/2024/494/oj</w:t>
        </w:r>
      </w:hyperlink>
      <w:r w:rsidR="0030353F">
        <w:rPr>
          <w:sz w:val="24"/>
          <w:lang w:val="sk-SK"/>
        </w:rPr>
        <w:t>.</w:t>
      </w:r>
    </w:p>
  </w:footnote>
  <w:footnote w:id="106">
    <w:p w14:paraId="0C531BA1" w14:textId="2CE4574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Článok 63 ods. 2 nariadenia (EÚ) 2021/1060.</w:t>
      </w:r>
    </w:p>
  </w:footnote>
  <w:footnote w:id="107">
    <w:p w14:paraId="6B57A43C" w14:textId="63AEBCD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C/2024/4618, príloha IV.</w:t>
      </w:r>
    </w:p>
  </w:footnote>
  <w:footnote w:id="108">
    <w:p w14:paraId="1C448D35" w14:textId="31F56ED5"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Vykonávacie rozhodnutie Komisie (EÚ) 2025/1147 z 11. júna 2025, ktorým sa z financovania Európskou úniou vylučujú určité výdavky vynaložené členskými štátmi v rámci Európskeho poľnohospodárskeho záručného fondu (EPZF) a v rámci Európskeho poľnohospodárskeho fondu pre rozvoj vidieka (EPFRV) (Ú. v. EÚ L, 2025/1147, 13.6.2025, ELI: </w:t>
      </w:r>
      <w:hyperlink r:id="rId96" w:tgtFrame="_blank" w:tooltip="Umožňuje prístup k tomuto dokumentu prostredníctvom identifikátora URI používaného v rámci ELI." w:history="1">
        <w:r w:rsidRPr="004050B9">
          <w:rPr>
            <w:rStyle w:val="Hyperlink"/>
            <w:sz w:val="24"/>
            <w:lang w:val="sk-SK"/>
          </w:rPr>
          <w:t>http://data.europa.eu/eli/dec_impl/2025/1147/oj</w:t>
        </w:r>
      </w:hyperlink>
      <w:r w:rsidRPr="004050B9">
        <w:rPr>
          <w:sz w:val="24"/>
          <w:lang w:val="sk-SK"/>
        </w:rPr>
        <w:t>).</w:t>
      </w:r>
    </w:p>
  </w:footnote>
  <w:footnote w:id="109">
    <w:p w14:paraId="0CE9E407" w14:textId="6789D3FB"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Prijaté texty, </w:t>
      </w:r>
      <w:r w:rsidRPr="004050B9">
        <w:rPr>
          <w:sz w:val="24"/>
          <w:lang w:val="sk-SK"/>
        </w:rPr>
        <w:t>P8_TA(2018)0530.</w:t>
      </w:r>
    </w:p>
  </w:footnote>
  <w:footnote w:id="110">
    <w:p w14:paraId="03DD95BF" w14:textId="64F92A88"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Vykonávacie rozhodnutie Komisie (EÚ) 2022/908 z 8. júna 2022, ktorým sa z financovania Európskou úniou vylučujú určité výdavky vynaložené členskými štátmi v rámci Európskeho poľnohospodárskeho záručného fondu (EPZF) a v rámci Európskeho poľnohospodárskeho fondu pre rozvoj vidieka (EPFRV) (Ú. v. EÚ L 157, 10.6.2022, s. 15, ELI: </w:t>
      </w:r>
      <w:hyperlink r:id="rId97" w:history="1">
        <w:r w:rsidRPr="005010F1">
          <w:rPr>
            <w:rStyle w:val="Hyperlink"/>
            <w:sz w:val="24"/>
            <w:lang w:val="sk-SK"/>
          </w:rPr>
          <w:t>http://data.europa.eu/eli/dec_impl/2022/908/oj</w:t>
        </w:r>
      </w:hyperlink>
      <w:r w:rsidRPr="004050B9">
        <w:rPr>
          <w:sz w:val="24"/>
          <w:lang w:val="sk-SK"/>
        </w:rPr>
        <w:t>).</w:t>
      </w:r>
    </w:p>
  </w:footnote>
  <w:footnote w:id="111">
    <w:p w14:paraId="66C67283" w14:textId="5C249D3A"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 xml:space="preserve">Európska komisia, 2022, </w:t>
      </w:r>
      <w:proofErr w:type="spellStart"/>
      <w:r w:rsidRPr="004050B9">
        <w:rPr>
          <w:sz w:val="24"/>
          <w:lang w:val="sk-SK"/>
        </w:rPr>
        <w:t>Biodiversity</w:t>
      </w:r>
      <w:proofErr w:type="spellEnd"/>
      <w:r w:rsidRPr="004050B9">
        <w:rPr>
          <w:sz w:val="24"/>
          <w:lang w:val="sk-SK"/>
        </w:rPr>
        <w:t xml:space="preserve"> </w:t>
      </w:r>
      <w:proofErr w:type="spellStart"/>
      <w:r w:rsidRPr="004050B9">
        <w:rPr>
          <w:sz w:val="24"/>
          <w:lang w:val="sk-SK"/>
        </w:rPr>
        <w:t>financing</w:t>
      </w:r>
      <w:proofErr w:type="spellEnd"/>
      <w:r w:rsidRPr="004050B9">
        <w:rPr>
          <w:sz w:val="24"/>
          <w:lang w:val="sk-SK"/>
        </w:rPr>
        <w:t xml:space="preserve"> and </w:t>
      </w:r>
      <w:proofErr w:type="spellStart"/>
      <w:r w:rsidRPr="004050B9">
        <w:rPr>
          <w:sz w:val="24"/>
          <w:lang w:val="sk-SK"/>
        </w:rPr>
        <w:t>tracking</w:t>
      </w:r>
      <w:proofErr w:type="spellEnd"/>
      <w:r w:rsidRPr="004050B9">
        <w:rPr>
          <w:sz w:val="24"/>
          <w:lang w:val="sk-SK"/>
        </w:rPr>
        <w:t xml:space="preserve">: </w:t>
      </w:r>
      <w:proofErr w:type="spellStart"/>
      <w:r w:rsidRPr="004050B9">
        <w:rPr>
          <w:sz w:val="24"/>
          <w:lang w:val="sk-SK"/>
        </w:rPr>
        <w:t>final</w:t>
      </w:r>
      <w:proofErr w:type="spellEnd"/>
      <w:r w:rsidRPr="004050B9">
        <w:rPr>
          <w:sz w:val="24"/>
          <w:lang w:val="sk-SK"/>
        </w:rPr>
        <w:t xml:space="preserve"> report (Financovanie a sledovanie biodiverzity: záverečná správa), Úrad pre vydávanie publikácií Európskej únie, Luxemburg (</w:t>
      </w:r>
      <w:hyperlink r:id="rId98" w:history="1">
        <w:r w:rsidRPr="00391A61">
          <w:rPr>
            <w:rStyle w:val="Hyperlink"/>
            <w:sz w:val="24"/>
            <w:lang w:val="sk-SK"/>
          </w:rPr>
          <w:t>https://data.europa.eu/doi/10.2779/950856</w:t>
        </w:r>
      </w:hyperlink>
      <w:r w:rsidRPr="004050B9">
        <w:rPr>
          <w:sz w:val="24"/>
          <w:lang w:val="sk-SK"/>
        </w:rPr>
        <w:t>).</w:t>
      </w:r>
    </w:p>
  </w:footnote>
  <w:footnote w:id="112">
    <w:p w14:paraId="6623F948" w14:textId="2407B0E4"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Nariadenie Európskeho parlamentu a Rady (EÚ) 2020/852 z 18. júna 2020 o vytvorení rámca na uľahčenie udržateľných investícií a o zmene nariadenia (EÚ) 2019/2088 (Ú. v. EÚ L 198, 22.6.2020, s. 13, ELI: </w:t>
      </w:r>
      <w:hyperlink r:id="rId99" w:tooltip="Umožňuje prístup k tomuto dokumentu prostredníctvom identifikátora URI používaného v rámci ELI." w:history="1">
        <w:r w:rsidRPr="004050B9">
          <w:rPr>
            <w:rStyle w:val="Hyperlink"/>
            <w:sz w:val="24"/>
            <w:lang w:val="sk-SK"/>
          </w:rPr>
          <w:t>http://data.europa.eu/eli/reg/2020/852/oj</w:t>
        </w:r>
      </w:hyperlink>
      <w:r w:rsidRPr="004050B9">
        <w:rPr>
          <w:sz w:val="24"/>
          <w:lang w:val="sk-SK"/>
        </w:rPr>
        <w:t>).</w:t>
      </w:r>
    </w:p>
  </w:footnote>
  <w:footnote w:id="113">
    <w:p w14:paraId="0D1F3C5D" w14:textId="7734AE5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COM(2024)0570.</w:t>
      </w:r>
    </w:p>
  </w:footnote>
  <w:footnote w:id="114">
    <w:p w14:paraId="025B8345" w14:textId="474ADDBE"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Spoločné oznámenie Komisie a vysokej predstaviteľky Únie pre zahraničné veci a bezpečnostnú politiku zo 16. októbra 2025 s názvom Zachovanie mieru – Plán obrannej pripravenosti do roku 2030 (JOIN(2025)0027).</w:t>
      </w:r>
    </w:p>
  </w:footnote>
  <w:footnote w:id="115">
    <w:p w14:paraId="0BC7AC7C" w14:textId="39B6965E" w:rsidR="003B03EB" w:rsidRPr="004050B9" w:rsidRDefault="003B03EB" w:rsidP="004050B9">
      <w:pPr>
        <w:pStyle w:val="NormalHanging12a"/>
        <w:widowControl/>
        <w:spacing w:line="260" w:lineRule="exact"/>
      </w:pPr>
      <w:r w:rsidRPr="004050B9">
        <w:rPr>
          <w:rStyle w:val="FootnoteReference"/>
          <w:rFonts w:eastAsiaTheme="majorEastAsia"/>
        </w:rPr>
        <w:footnoteRef/>
      </w:r>
      <w:r w:rsidR="004050B9" w:rsidRPr="004050B9">
        <w:t xml:space="preserve"> </w:t>
      </w:r>
      <w:r w:rsidR="004050B9" w:rsidRPr="004050B9">
        <w:tab/>
      </w:r>
      <w:r w:rsidRPr="004050B9">
        <w:t>Burundi, Konžská demokratická republika, Guinea-Bissau, Keňa, Malawi, Mauritánia, Maurícius, Mozambik, Namíbia, Nigéria, Sierra Leone, Togo, Uganda, Zambia.</w:t>
      </w:r>
    </w:p>
  </w:footnote>
  <w:footnote w:id="116">
    <w:p w14:paraId="19B37D0B" w14:textId="6C780BA3"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Usmernenie C/2024/3975, 21. júna 2024.</w:t>
      </w:r>
    </w:p>
  </w:footnote>
  <w:footnote w:id="117">
    <w:p w14:paraId="15D0D53C" w14:textId="33F86007" w:rsidR="003B03EB" w:rsidRPr="004050B9" w:rsidRDefault="003B03EB" w:rsidP="004050B9">
      <w:pPr>
        <w:pStyle w:val="FootnoteText"/>
        <w:ind w:left="567" w:hanging="567"/>
        <w:rPr>
          <w:sz w:val="24"/>
          <w:lang w:val="sk-SK"/>
        </w:rPr>
      </w:pPr>
      <w:r w:rsidRPr="004050B9">
        <w:rPr>
          <w:rStyle w:val="FootnoteReference"/>
          <w:sz w:val="24"/>
          <w:lang w:val="sk-SK"/>
        </w:rPr>
        <w:footnoteRef/>
      </w:r>
      <w:r w:rsidR="004050B9" w:rsidRPr="004050B9">
        <w:rPr>
          <w:sz w:val="24"/>
          <w:lang w:val="sk-SK"/>
        </w:rPr>
        <w:t xml:space="preserve"> </w:t>
      </w:r>
      <w:r w:rsidR="004050B9" w:rsidRPr="004050B9">
        <w:rPr>
          <w:sz w:val="24"/>
          <w:lang w:val="sk-SK"/>
        </w:rPr>
        <w:tab/>
      </w:r>
      <w:r w:rsidRPr="004050B9">
        <w:rPr>
          <w:sz w:val="24"/>
          <w:lang w:val="sk-SK"/>
        </w:rPr>
        <w:t>COM(2024)0474, príloha V, Príloha k správe Komisie Európskemu parlamentu a Rade o vykonávaní Mechanizmu na podporu obnovy a odolnosti, 10. októbra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85DE" w14:textId="77777777" w:rsidR="00064002" w:rsidRPr="004050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391E" w14:textId="77777777" w:rsidR="00064002" w:rsidRPr="004050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E271" w14:textId="77777777" w:rsidR="00064002" w:rsidRPr="004050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17018356">
    <w:abstractNumId w:val="0"/>
  </w:num>
  <w:num w:numId="2" w16cid:durableId="1735661817">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SK"/>
    <w:docVar w:name="dvnumam" w:val="0"/>
    <w:docVar w:name="dvpe" w:val="778.123"/>
    <w:docVar w:name="dvrapporteur" w:val="Spravodajca: "/>
    <w:docVar w:name="dvtitre" w:val="Rozhodnutie Európskeho parlamentu z/zo xx. xxx 2026 o absolutóriu za plnenie všeobecného rozpočtu Európskej únie za rozpočtový rok 2024, oddiel III – Komisia a výkonné agentúry a deviaty, desiaty a jedenásty Európsky rozvojový fond(2025/2145(DEC))"/>
  </w:docVars>
  <w:rsids>
    <w:rsidRoot w:val="00AD0531"/>
    <w:rsid w:val="00002272"/>
    <w:rsid w:val="00036576"/>
    <w:rsid w:val="00045896"/>
    <w:rsid w:val="00047C69"/>
    <w:rsid w:val="00064002"/>
    <w:rsid w:val="00064728"/>
    <w:rsid w:val="000677B9"/>
    <w:rsid w:val="000831BA"/>
    <w:rsid w:val="000A140A"/>
    <w:rsid w:val="000A42CC"/>
    <w:rsid w:val="000D36A0"/>
    <w:rsid w:val="000E7DD9"/>
    <w:rsid w:val="0010095E"/>
    <w:rsid w:val="00115730"/>
    <w:rsid w:val="00125B37"/>
    <w:rsid w:val="00131595"/>
    <w:rsid w:val="0017139E"/>
    <w:rsid w:val="00173137"/>
    <w:rsid w:val="00187494"/>
    <w:rsid w:val="001A24A4"/>
    <w:rsid w:val="001E3616"/>
    <w:rsid w:val="001F32AE"/>
    <w:rsid w:val="00223996"/>
    <w:rsid w:val="002767FF"/>
    <w:rsid w:val="002A58EF"/>
    <w:rsid w:val="002B0DFB"/>
    <w:rsid w:val="002B18FE"/>
    <w:rsid w:val="002B5493"/>
    <w:rsid w:val="0030353F"/>
    <w:rsid w:val="00343214"/>
    <w:rsid w:val="00361C00"/>
    <w:rsid w:val="00391A61"/>
    <w:rsid w:val="00395FA1"/>
    <w:rsid w:val="003B03EB"/>
    <w:rsid w:val="003E15D4"/>
    <w:rsid w:val="004050B9"/>
    <w:rsid w:val="00411CCE"/>
    <w:rsid w:val="0041666E"/>
    <w:rsid w:val="004177E9"/>
    <w:rsid w:val="00421060"/>
    <w:rsid w:val="00453F6E"/>
    <w:rsid w:val="00456CDA"/>
    <w:rsid w:val="00471C19"/>
    <w:rsid w:val="004867E3"/>
    <w:rsid w:val="00494A28"/>
    <w:rsid w:val="004B59E5"/>
    <w:rsid w:val="004C0004"/>
    <w:rsid w:val="004C5D52"/>
    <w:rsid w:val="004E6962"/>
    <w:rsid w:val="005010F1"/>
    <w:rsid w:val="00502AD3"/>
    <w:rsid w:val="0050519A"/>
    <w:rsid w:val="005072A1"/>
    <w:rsid w:val="00514517"/>
    <w:rsid w:val="00543081"/>
    <w:rsid w:val="00545827"/>
    <w:rsid w:val="00560270"/>
    <w:rsid w:val="00570BF5"/>
    <w:rsid w:val="00575ECC"/>
    <w:rsid w:val="00585AF5"/>
    <w:rsid w:val="005A0F52"/>
    <w:rsid w:val="005C2568"/>
    <w:rsid w:val="005E78F4"/>
    <w:rsid w:val="005F1B17"/>
    <w:rsid w:val="006010C0"/>
    <w:rsid w:val="006037C0"/>
    <w:rsid w:val="006631B6"/>
    <w:rsid w:val="0068029C"/>
    <w:rsid w:val="00680577"/>
    <w:rsid w:val="006A21CB"/>
    <w:rsid w:val="006C735D"/>
    <w:rsid w:val="006F36A3"/>
    <w:rsid w:val="006F74FA"/>
    <w:rsid w:val="00702D39"/>
    <w:rsid w:val="00706FFF"/>
    <w:rsid w:val="00731ADD"/>
    <w:rsid w:val="00734777"/>
    <w:rsid w:val="00736321"/>
    <w:rsid w:val="00744C1D"/>
    <w:rsid w:val="00747932"/>
    <w:rsid w:val="00751A4A"/>
    <w:rsid w:val="00756632"/>
    <w:rsid w:val="00762C74"/>
    <w:rsid w:val="0076372E"/>
    <w:rsid w:val="00786EC0"/>
    <w:rsid w:val="00787A26"/>
    <w:rsid w:val="007D1690"/>
    <w:rsid w:val="007D3F26"/>
    <w:rsid w:val="007E22AD"/>
    <w:rsid w:val="00817416"/>
    <w:rsid w:val="00827FBE"/>
    <w:rsid w:val="00834070"/>
    <w:rsid w:val="00842779"/>
    <w:rsid w:val="0086345F"/>
    <w:rsid w:val="00865F67"/>
    <w:rsid w:val="00867D1C"/>
    <w:rsid w:val="00881A7B"/>
    <w:rsid w:val="008840E5"/>
    <w:rsid w:val="00887B3E"/>
    <w:rsid w:val="008C2AC6"/>
    <w:rsid w:val="008F3F02"/>
    <w:rsid w:val="0092307E"/>
    <w:rsid w:val="00930C23"/>
    <w:rsid w:val="0093193B"/>
    <w:rsid w:val="009509D8"/>
    <w:rsid w:val="00950B64"/>
    <w:rsid w:val="00981893"/>
    <w:rsid w:val="00A147F8"/>
    <w:rsid w:val="00A1687D"/>
    <w:rsid w:val="00A219FA"/>
    <w:rsid w:val="00A43E52"/>
    <w:rsid w:val="00A4678D"/>
    <w:rsid w:val="00A778C7"/>
    <w:rsid w:val="00AB441E"/>
    <w:rsid w:val="00AB6293"/>
    <w:rsid w:val="00AC5997"/>
    <w:rsid w:val="00AD0531"/>
    <w:rsid w:val="00AD33A1"/>
    <w:rsid w:val="00AE0928"/>
    <w:rsid w:val="00AE12F0"/>
    <w:rsid w:val="00AF3B82"/>
    <w:rsid w:val="00B12E95"/>
    <w:rsid w:val="00B22876"/>
    <w:rsid w:val="00B558F0"/>
    <w:rsid w:val="00BD48FE"/>
    <w:rsid w:val="00BD7BD8"/>
    <w:rsid w:val="00BE6ADC"/>
    <w:rsid w:val="00BF2152"/>
    <w:rsid w:val="00C05BFE"/>
    <w:rsid w:val="00C11CB0"/>
    <w:rsid w:val="00C23CD4"/>
    <w:rsid w:val="00C61C0C"/>
    <w:rsid w:val="00C941CB"/>
    <w:rsid w:val="00CC2357"/>
    <w:rsid w:val="00CF071A"/>
    <w:rsid w:val="00D058B8"/>
    <w:rsid w:val="00D56C11"/>
    <w:rsid w:val="00D80DE2"/>
    <w:rsid w:val="00D834A0"/>
    <w:rsid w:val="00D872DF"/>
    <w:rsid w:val="00D91E21"/>
    <w:rsid w:val="00DA7FCD"/>
    <w:rsid w:val="00DF1803"/>
    <w:rsid w:val="00E365E1"/>
    <w:rsid w:val="00E47BEF"/>
    <w:rsid w:val="00E820A4"/>
    <w:rsid w:val="00EB006A"/>
    <w:rsid w:val="00EB4772"/>
    <w:rsid w:val="00ED169E"/>
    <w:rsid w:val="00ED4235"/>
    <w:rsid w:val="00F04346"/>
    <w:rsid w:val="00F075DC"/>
    <w:rsid w:val="00F149E9"/>
    <w:rsid w:val="00F5134D"/>
    <w:rsid w:val="00F658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3792A"/>
  <w15:chartTrackingRefBased/>
  <w15:docId w15:val="{AB2D87E3-AB6A-4EB2-B3E9-63235918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B03EB"/>
    <w:rPr>
      <w:b/>
      <w:kern w:val="28"/>
      <w:sz w:val="28"/>
      <w:lang w:val="fr-FR" w:eastAsia="fr-FR"/>
    </w:rPr>
  </w:style>
  <w:style w:type="character" w:customStyle="1" w:styleId="Heading2Char">
    <w:name w:val="Heading 2 Char"/>
    <w:basedOn w:val="DefaultParagraphFont"/>
    <w:link w:val="Heading2"/>
    <w:semiHidden/>
    <w:rsid w:val="003B03EB"/>
    <w:rPr>
      <w:sz w:val="24"/>
      <w:lang w:val="fr-FR" w:eastAsia="fr-FR"/>
    </w:rPr>
  </w:style>
  <w:style w:type="character" w:customStyle="1" w:styleId="Heading3Char">
    <w:name w:val="Heading 3 Char"/>
    <w:basedOn w:val="DefaultParagraphFont"/>
    <w:link w:val="Heading3"/>
    <w:semiHidden/>
    <w:rsid w:val="003B03EB"/>
    <w:rPr>
      <w:rFonts w:ascii="Arial" w:hAnsi="Arial"/>
      <w:sz w:val="24"/>
      <w:lang w:val="fr-FR" w:eastAsia="fr-FR"/>
    </w:rPr>
  </w:style>
  <w:style w:type="character" w:customStyle="1" w:styleId="Heading4Char">
    <w:name w:val="Heading 4 Char"/>
    <w:basedOn w:val="DefaultParagraphFont"/>
    <w:link w:val="Heading4"/>
    <w:semiHidden/>
    <w:rsid w:val="003B03EB"/>
    <w:rPr>
      <w:sz w:val="24"/>
      <w:lang w:val="en-US" w:eastAsia="fr-FR"/>
    </w:rPr>
  </w:style>
  <w:style w:type="character" w:customStyle="1" w:styleId="Heading5Char">
    <w:name w:val="Heading 5 Char"/>
    <w:basedOn w:val="DefaultParagraphFont"/>
    <w:link w:val="Heading5"/>
    <w:semiHidden/>
    <w:rsid w:val="003B03EB"/>
    <w:rPr>
      <w:sz w:val="24"/>
      <w:lang w:val="en-US" w:eastAsia="fr-FR"/>
    </w:rPr>
  </w:style>
  <w:style w:type="character" w:customStyle="1" w:styleId="Heading6Char">
    <w:name w:val="Heading 6 Char"/>
    <w:basedOn w:val="DefaultParagraphFont"/>
    <w:link w:val="Heading6"/>
    <w:semiHidden/>
    <w:rsid w:val="003B03EB"/>
    <w:rPr>
      <w:i/>
      <w:sz w:val="22"/>
      <w:lang w:val="sk-SK"/>
    </w:rPr>
  </w:style>
  <w:style w:type="character" w:customStyle="1" w:styleId="Heading7Char">
    <w:name w:val="Heading 7 Char"/>
    <w:basedOn w:val="DefaultParagraphFont"/>
    <w:link w:val="Heading7"/>
    <w:semiHidden/>
    <w:rsid w:val="003B03EB"/>
    <w:rPr>
      <w:rFonts w:ascii="Arial" w:hAnsi="Arial"/>
      <w:sz w:val="24"/>
      <w:lang w:val="sk-SK"/>
    </w:rPr>
  </w:style>
  <w:style w:type="character" w:customStyle="1" w:styleId="Heading8Char">
    <w:name w:val="Heading 8 Char"/>
    <w:basedOn w:val="DefaultParagraphFont"/>
    <w:link w:val="Heading8"/>
    <w:semiHidden/>
    <w:rsid w:val="003B03EB"/>
    <w:rPr>
      <w:rFonts w:ascii="Arial" w:hAnsi="Arial"/>
      <w:i/>
      <w:sz w:val="24"/>
      <w:lang w:val="sk-SK"/>
    </w:rPr>
  </w:style>
  <w:style w:type="character" w:customStyle="1" w:styleId="Heading9Char">
    <w:name w:val="Heading 9 Char"/>
    <w:basedOn w:val="DefaultParagraphFont"/>
    <w:link w:val="Heading9"/>
    <w:semiHidden/>
    <w:rsid w:val="003B03EB"/>
    <w:rPr>
      <w:rFonts w:ascii="Arial" w:hAnsi="Arial"/>
      <w:b/>
      <w:i/>
      <w:sz w:val="18"/>
      <w:lang w:val="sk-SK"/>
    </w:rPr>
  </w:style>
  <w:style w:type="paragraph" w:styleId="TOCHeading">
    <w:name w:val="TOC Heading"/>
    <w:basedOn w:val="Normal"/>
    <w:next w:val="Normal"/>
    <w:unhideWhenUsed/>
    <w:qFormat/>
    <w:rsid w:val="003B03EB"/>
    <w:pPr>
      <w:widowControl/>
      <w:spacing w:after="240"/>
    </w:pPr>
    <w:rPr>
      <w:lang w:val="en-GB"/>
    </w:rPr>
  </w:style>
  <w:style w:type="paragraph" w:customStyle="1" w:styleId="EPFooter2">
    <w:name w:val="EPFooter2"/>
    <w:basedOn w:val="Normal"/>
    <w:next w:val="Normal"/>
    <w:rsid w:val="003B03EB"/>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3B03EB"/>
    <w:pPr>
      <w:widowControl/>
      <w:tabs>
        <w:tab w:val="center" w:pos="4535"/>
        <w:tab w:val="right" w:pos="9071"/>
      </w:tabs>
      <w:spacing w:before="240" w:after="240"/>
    </w:pPr>
    <w:rPr>
      <w:color w:val="010000"/>
      <w:sz w:val="22"/>
    </w:rPr>
  </w:style>
  <w:style w:type="paragraph" w:customStyle="1" w:styleId="EPFooterRC">
    <w:name w:val="EPFooterRC"/>
    <w:basedOn w:val="Normal"/>
    <w:rsid w:val="003B03EB"/>
    <w:pPr>
      <w:tabs>
        <w:tab w:val="center" w:pos="4535"/>
        <w:tab w:val="left" w:pos="6662"/>
      </w:tabs>
    </w:pPr>
    <w:rPr>
      <w:sz w:val="22"/>
    </w:rPr>
  </w:style>
  <w:style w:type="paragraph" w:customStyle="1" w:styleId="Normal12a">
    <w:name w:val="Normal12a"/>
    <w:basedOn w:val="Normal"/>
    <w:rsid w:val="003B03EB"/>
    <w:pPr>
      <w:spacing w:after="240"/>
    </w:pPr>
  </w:style>
  <w:style w:type="paragraph" w:customStyle="1" w:styleId="TOCPage">
    <w:name w:val="TOC Page"/>
    <w:basedOn w:val="Normal"/>
    <w:next w:val="TOC1"/>
    <w:rsid w:val="003B03EB"/>
    <w:pPr>
      <w:keepNext/>
      <w:spacing w:after="240"/>
      <w:jc w:val="right"/>
    </w:pPr>
    <w:rPr>
      <w:rFonts w:ascii="Arial" w:hAnsi="Arial"/>
      <w:b/>
    </w:rPr>
  </w:style>
  <w:style w:type="paragraph" w:customStyle="1" w:styleId="PageHeading">
    <w:name w:val="PageHeading"/>
    <w:basedOn w:val="Normal"/>
    <w:link w:val="PageHeadingChar"/>
    <w:rsid w:val="003B03EB"/>
    <w:pPr>
      <w:keepNext/>
      <w:spacing w:after="480"/>
      <w:jc w:val="center"/>
    </w:pPr>
    <w:rPr>
      <w:rFonts w:ascii="Arial" w:hAnsi="Arial" w:cs="Arial"/>
      <w:b/>
    </w:rPr>
  </w:style>
  <w:style w:type="paragraph" w:customStyle="1" w:styleId="NormalBold">
    <w:name w:val="NormalBold"/>
    <w:basedOn w:val="Normal"/>
    <w:rsid w:val="003B03EB"/>
    <w:rPr>
      <w:b/>
    </w:rPr>
  </w:style>
  <w:style w:type="paragraph" w:customStyle="1" w:styleId="NormalHanging12a">
    <w:name w:val="NormalHanging12a"/>
    <w:basedOn w:val="Normal"/>
    <w:link w:val="NormalHanging12aChar"/>
    <w:rsid w:val="003B03EB"/>
    <w:pPr>
      <w:spacing w:after="240"/>
      <w:ind w:left="567" w:hanging="567"/>
    </w:pPr>
  </w:style>
  <w:style w:type="paragraph" w:customStyle="1" w:styleId="CoverNormal24a">
    <w:name w:val="CoverNormal24a"/>
    <w:basedOn w:val="Normal"/>
    <w:rsid w:val="003B03EB"/>
    <w:pPr>
      <w:spacing w:after="480"/>
      <w:ind w:left="1417"/>
    </w:pPr>
  </w:style>
  <w:style w:type="paragraph" w:customStyle="1" w:styleId="CoverNormal">
    <w:name w:val="CoverNormal"/>
    <w:basedOn w:val="Normal"/>
    <w:rsid w:val="003B03EB"/>
    <w:pPr>
      <w:ind w:left="1418"/>
    </w:pPr>
  </w:style>
  <w:style w:type="paragraph" w:customStyle="1" w:styleId="CoverReference">
    <w:name w:val="CoverReference"/>
    <w:basedOn w:val="Normal"/>
    <w:rsid w:val="003B03EB"/>
    <w:pPr>
      <w:spacing w:before="1080"/>
      <w:jc w:val="right"/>
    </w:pPr>
    <w:rPr>
      <w:rFonts w:ascii="Arial" w:hAnsi="Arial" w:cs="Arial"/>
      <w:b/>
    </w:rPr>
  </w:style>
  <w:style w:type="paragraph" w:customStyle="1" w:styleId="CoverDocType24a">
    <w:name w:val="CoverDocType24a"/>
    <w:basedOn w:val="Normal"/>
    <w:rsid w:val="003B03EB"/>
    <w:pPr>
      <w:spacing w:after="480"/>
      <w:ind w:left="1418"/>
    </w:pPr>
    <w:rPr>
      <w:rFonts w:ascii="Arial" w:hAnsi="Arial"/>
      <w:b/>
      <w:sz w:val="48"/>
    </w:rPr>
  </w:style>
  <w:style w:type="paragraph" w:customStyle="1" w:styleId="CoverDate">
    <w:name w:val="CoverDate"/>
    <w:basedOn w:val="Normal"/>
    <w:rsid w:val="003B03EB"/>
    <w:pPr>
      <w:spacing w:before="240" w:after="1200"/>
    </w:pPr>
  </w:style>
  <w:style w:type="paragraph" w:customStyle="1" w:styleId="EPComma">
    <w:name w:val="EPComma"/>
    <w:basedOn w:val="Normal"/>
    <w:rsid w:val="003B03EB"/>
    <w:pPr>
      <w:spacing w:before="480" w:after="240"/>
    </w:pPr>
  </w:style>
  <w:style w:type="paragraph" w:customStyle="1" w:styleId="PageSubHeading">
    <w:name w:val="PageSubHeading"/>
    <w:basedOn w:val="Normal"/>
    <w:rsid w:val="003B03EB"/>
    <w:rPr>
      <w:b/>
    </w:rPr>
  </w:style>
  <w:style w:type="paragraph" w:customStyle="1" w:styleId="EPBody">
    <w:name w:val="EPBody"/>
    <w:basedOn w:val="Normal"/>
    <w:rsid w:val="003B03EB"/>
    <w:pPr>
      <w:jc w:val="center"/>
    </w:pPr>
    <w:rPr>
      <w:rFonts w:ascii="Arial" w:hAnsi="Arial" w:cs="Arial"/>
      <w:i/>
      <w:sz w:val="22"/>
      <w:szCs w:val="22"/>
    </w:rPr>
  </w:style>
  <w:style w:type="paragraph" w:styleId="Header">
    <w:name w:val="header"/>
    <w:basedOn w:val="Normal"/>
    <w:link w:val="HeaderChar"/>
    <w:rsid w:val="003B03EB"/>
    <w:pPr>
      <w:tabs>
        <w:tab w:val="center" w:pos="4513"/>
        <w:tab w:val="right" w:pos="9026"/>
      </w:tabs>
    </w:pPr>
  </w:style>
  <w:style w:type="character" w:customStyle="1" w:styleId="HeaderChar">
    <w:name w:val="Header Char"/>
    <w:basedOn w:val="DefaultParagraphFont"/>
    <w:link w:val="Header"/>
    <w:rsid w:val="003B03EB"/>
    <w:rPr>
      <w:sz w:val="24"/>
      <w:lang w:val="sk-SK"/>
    </w:rPr>
  </w:style>
  <w:style w:type="paragraph" w:customStyle="1" w:styleId="PageHeadingNoLeader">
    <w:name w:val="PageHeadingNoLeader"/>
    <w:basedOn w:val="PageHeading"/>
    <w:qFormat/>
    <w:rsid w:val="003B03EB"/>
    <w:pPr>
      <w:numPr>
        <w:numId w:val="3"/>
      </w:numPr>
      <w:tabs>
        <w:tab w:val="clear" w:pos="720"/>
        <w:tab w:val="num" w:pos="360"/>
      </w:tabs>
      <w:ind w:left="360"/>
    </w:pPr>
  </w:style>
  <w:style w:type="character" w:styleId="CommentReference">
    <w:name w:val="annotation reference"/>
    <w:basedOn w:val="DefaultParagraphFont"/>
    <w:rsid w:val="003B03EB"/>
    <w:rPr>
      <w:sz w:val="16"/>
      <w:szCs w:val="16"/>
    </w:rPr>
  </w:style>
  <w:style w:type="paragraph" w:styleId="CommentText">
    <w:name w:val="annotation text"/>
    <w:basedOn w:val="Normal"/>
    <w:link w:val="CommentTextChar"/>
    <w:rsid w:val="003B03EB"/>
    <w:rPr>
      <w:sz w:val="20"/>
    </w:rPr>
  </w:style>
  <w:style w:type="character" w:customStyle="1" w:styleId="CommentTextChar">
    <w:name w:val="Comment Text Char"/>
    <w:basedOn w:val="DefaultParagraphFont"/>
    <w:link w:val="CommentText"/>
    <w:rsid w:val="003B03EB"/>
    <w:rPr>
      <w:lang w:val="sk-SK"/>
    </w:rPr>
  </w:style>
  <w:style w:type="paragraph" w:styleId="CommentSubject">
    <w:name w:val="annotation subject"/>
    <w:basedOn w:val="CommentText"/>
    <w:next w:val="CommentText"/>
    <w:link w:val="CommentSubjectChar"/>
    <w:unhideWhenUsed/>
    <w:rsid w:val="003B03EB"/>
    <w:rPr>
      <w:b/>
      <w:bCs/>
    </w:rPr>
  </w:style>
  <w:style w:type="character" w:customStyle="1" w:styleId="CommentSubjectChar">
    <w:name w:val="Comment Subject Char"/>
    <w:basedOn w:val="CommentTextChar"/>
    <w:link w:val="CommentSubject"/>
    <w:rsid w:val="003B03EB"/>
    <w:rPr>
      <w:b/>
      <w:bCs/>
      <w:lang w:val="sk-SK"/>
    </w:rPr>
  </w:style>
  <w:style w:type="paragraph" w:styleId="BalloonText">
    <w:name w:val="Balloon Text"/>
    <w:basedOn w:val="Normal"/>
    <w:link w:val="BalloonTextChar"/>
    <w:unhideWhenUsed/>
    <w:rsid w:val="003B03EB"/>
    <w:rPr>
      <w:rFonts w:ascii="Segoe UI" w:hAnsi="Segoe UI" w:cs="Segoe UI"/>
      <w:sz w:val="18"/>
      <w:szCs w:val="18"/>
    </w:rPr>
  </w:style>
  <w:style w:type="character" w:customStyle="1" w:styleId="BalloonTextChar">
    <w:name w:val="Balloon Text Char"/>
    <w:basedOn w:val="DefaultParagraphFont"/>
    <w:link w:val="BalloonText"/>
    <w:rsid w:val="003B03EB"/>
    <w:rPr>
      <w:rFonts w:ascii="Segoe UI" w:hAnsi="Segoe UI" w:cs="Segoe UI"/>
      <w:sz w:val="18"/>
      <w:szCs w:val="18"/>
      <w:lang w:val="sk-SK"/>
    </w:rPr>
  </w:style>
  <w:style w:type="character" w:styleId="Hyperlink">
    <w:name w:val="Hyperlink"/>
    <w:basedOn w:val="DefaultParagraphFont"/>
    <w:qFormat/>
    <w:rsid w:val="003B03EB"/>
    <w:rPr>
      <w:color w:val="0563C1" w:themeColor="hyperlink"/>
      <w:u w:val="single"/>
    </w:rPr>
  </w:style>
  <w:style w:type="character" w:styleId="UnresolvedMention">
    <w:name w:val="Unresolved Mention"/>
    <w:basedOn w:val="DefaultParagraphFont"/>
    <w:uiPriority w:val="99"/>
    <w:semiHidden/>
    <w:unhideWhenUsed/>
    <w:rsid w:val="003B03EB"/>
    <w:rPr>
      <w:color w:val="605E5C"/>
      <w:shd w:val="clear" w:color="auto" w:fill="E1DFDD"/>
    </w:rPr>
  </w:style>
  <w:style w:type="paragraph" w:styleId="Revision">
    <w:name w:val="Revision"/>
    <w:hidden/>
    <w:uiPriority w:val="99"/>
    <w:semiHidden/>
    <w:rsid w:val="003B03EB"/>
    <w:rPr>
      <w:sz w:val="24"/>
      <w:lang w:val="sk-SK"/>
    </w:rPr>
  </w:style>
  <w:style w:type="character" w:styleId="FollowedHyperlink">
    <w:name w:val="FollowedHyperlink"/>
    <w:basedOn w:val="DefaultParagraphFont"/>
    <w:rsid w:val="003B03EB"/>
    <w:rPr>
      <w:color w:val="954F72" w:themeColor="followedHyperlink"/>
      <w:u w:val="single"/>
    </w:rPr>
  </w:style>
  <w:style w:type="character" w:customStyle="1" w:styleId="NormalHanging12aChar">
    <w:name w:val="NormalHanging12a Char"/>
    <w:basedOn w:val="DefaultParagraphFont"/>
    <w:link w:val="NormalHanging12a"/>
    <w:locked/>
    <w:rsid w:val="003B03EB"/>
    <w:rPr>
      <w:sz w:val="24"/>
      <w:lang w:val="sk-SK"/>
    </w:rPr>
  </w:style>
  <w:style w:type="paragraph" w:styleId="ListParagraph">
    <w:name w:val="List Paragraph"/>
    <w:basedOn w:val="Normal"/>
    <w:uiPriority w:val="34"/>
    <w:qFormat/>
    <w:rsid w:val="003B03EB"/>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3B03EB"/>
    <w:rPr>
      <w:color w:val="0563C1"/>
      <w:u w:val="single"/>
    </w:rPr>
  </w:style>
  <w:style w:type="paragraph" w:styleId="NormalWeb">
    <w:name w:val="Normal (Web)"/>
    <w:basedOn w:val="Normal"/>
    <w:rsid w:val="003B03EB"/>
    <w:rPr>
      <w:szCs w:val="24"/>
    </w:rPr>
  </w:style>
  <w:style w:type="character" w:styleId="Emphasis">
    <w:name w:val="Emphasis"/>
    <w:basedOn w:val="DefaultParagraphFont"/>
    <w:qFormat/>
    <w:rsid w:val="003B03EB"/>
    <w:rPr>
      <w:i/>
      <w:iCs/>
    </w:rPr>
  </w:style>
  <w:style w:type="paragraph" w:customStyle="1" w:styleId="LetterSubject">
    <w:name w:val="LetterSubject"/>
    <w:basedOn w:val="Normal"/>
    <w:rsid w:val="003B03EB"/>
    <w:pPr>
      <w:spacing w:before="480"/>
      <w:ind w:left="1134" w:hanging="1134"/>
    </w:pPr>
  </w:style>
  <w:style w:type="paragraph" w:customStyle="1" w:styleId="Normal24a">
    <w:name w:val="Normal24a"/>
    <w:basedOn w:val="Normal"/>
    <w:rsid w:val="003B03EB"/>
    <w:pPr>
      <w:spacing w:after="480"/>
    </w:pPr>
  </w:style>
  <w:style w:type="paragraph" w:customStyle="1" w:styleId="NormalBoldCenter">
    <w:name w:val="NormalBoldCenter"/>
    <w:basedOn w:val="Normal"/>
    <w:rsid w:val="003B03EB"/>
    <w:pPr>
      <w:jc w:val="center"/>
    </w:pPr>
    <w:rPr>
      <w:b/>
    </w:rPr>
  </w:style>
  <w:style w:type="paragraph" w:customStyle="1" w:styleId="Footprint12b">
    <w:name w:val="Footprint12b"/>
    <w:basedOn w:val="Normal"/>
    <w:rsid w:val="003B03EB"/>
    <w:pPr>
      <w:spacing w:before="240"/>
    </w:pPr>
    <w:rPr>
      <w:szCs w:val="24"/>
    </w:rPr>
  </w:style>
  <w:style w:type="paragraph" w:customStyle="1" w:styleId="NormalSingle">
    <w:name w:val="NormalSingle"/>
    <w:basedOn w:val="Normal"/>
    <w:qFormat/>
    <w:rsid w:val="003B03EB"/>
    <w:rPr>
      <w:szCs w:val="24"/>
    </w:rPr>
  </w:style>
  <w:style w:type="paragraph" w:customStyle="1" w:styleId="PageHeadingNotTOC">
    <w:name w:val="PageHeadingNotTOC"/>
    <w:basedOn w:val="Normal"/>
    <w:rsid w:val="003B03EB"/>
    <w:pPr>
      <w:keepNext/>
      <w:spacing w:after="480"/>
      <w:jc w:val="center"/>
    </w:pPr>
    <w:rPr>
      <w:rFonts w:ascii="Arial" w:hAnsi="Arial" w:cs="Arial"/>
      <w:b/>
    </w:rPr>
  </w:style>
  <w:style w:type="paragraph" w:customStyle="1" w:styleId="RollCallSymbols14pt">
    <w:name w:val="RollCallSymbols14pt"/>
    <w:basedOn w:val="Normal"/>
    <w:rsid w:val="003B03E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B03EB"/>
    <w:pPr>
      <w:tabs>
        <w:tab w:val="center" w:pos="284"/>
        <w:tab w:val="left" w:pos="426"/>
      </w:tabs>
    </w:pPr>
    <w:rPr>
      <w:snapToGrid w:val="0"/>
      <w:lang w:eastAsia="en-US"/>
    </w:rPr>
  </w:style>
  <w:style w:type="paragraph" w:customStyle="1" w:styleId="RollCallVotes">
    <w:name w:val="RollCallVotes"/>
    <w:basedOn w:val="Normal"/>
    <w:rsid w:val="003B03EB"/>
    <w:pPr>
      <w:spacing w:before="120" w:after="120"/>
      <w:jc w:val="center"/>
    </w:pPr>
    <w:rPr>
      <w:b/>
      <w:bCs/>
      <w:snapToGrid w:val="0"/>
      <w:sz w:val="16"/>
      <w:lang w:eastAsia="en-US"/>
    </w:rPr>
  </w:style>
  <w:style w:type="paragraph" w:customStyle="1" w:styleId="RollCallTable">
    <w:name w:val="RollCallTable"/>
    <w:basedOn w:val="Normal"/>
    <w:rsid w:val="003B03EB"/>
    <w:pPr>
      <w:spacing w:before="120" w:after="120"/>
    </w:pPr>
    <w:rPr>
      <w:snapToGrid w:val="0"/>
      <w:sz w:val="16"/>
      <w:lang w:eastAsia="en-US"/>
    </w:rPr>
  </w:style>
  <w:style w:type="paragraph" w:customStyle="1" w:styleId="Normal12">
    <w:name w:val="Normal12"/>
    <w:basedOn w:val="Normal"/>
    <w:link w:val="Normal12Char"/>
    <w:rsid w:val="003B03EB"/>
    <w:pPr>
      <w:spacing w:after="240"/>
    </w:pPr>
    <w:rPr>
      <w:rFonts w:ascii="Arial" w:hAnsi="Arial" w:cs="Arial"/>
    </w:rPr>
  </w:style>
  <w:style w:type="character" w:customStyle="1" w:styleId="PageHeadingChar">
    <w:name w:val="PageHeading Char"/>
    <w:basedOn w:val="DefaultParagraphFont"/>
    <w:link w:val="PageHeading"/>
    <w:rsid w:val="003B03EB"/>
    <w:rPr>
      <w:rFonts w:ascii="Arial" w:hAnsi="Arial" w:cs="Arial"/>
      <w:b/>
      <w:sz w:val="24"/>
      <w:lang w:val="sk-SK"/>
    </w:rPr>
  </w:style>
  <w:style w:type="character" w:customStyle="1" w:styleId="Normal12Char">
    <w:name w:val="Normal12 Char"/>
    <w:basedOn w:val="PageHeadingChar"/>
    <w:link w:val="Normal12"/>
    <w:rsid w:val="003B03EB"/>
    <w:rPr>
      <w:rFonts w:ascii="Arial" w:hAnsi="Arial" w:cs="Arial"/>
      <w:b w:val="0"/>
      <w:sz w:val="24"/>
      <w:lang w:val="sk-SK"/>
    </w:rPr>
  </w:style>
  <w:style w:type="paragraph" w:customStyle="1" w:styleId="LetterSalutation">
    <w:name w:val="LetterSalutation"/>
    <w:basedOn w:val="Normal"/>
    <w:rsid w:val="003B03EB"/>
    <w:pPr>
      <w:spacing w:before="600" w:after="360"/>
    </w:pPr>
  </w:style>
  <w:style w:type="paragraph" w:styleId="EndnoteText">
    <w:name w:val="endnote text"/>
    <w:basedOn w:val="Normal"/>
    <w:link w:val="EndnoteTextChar"/>
    <w:rsid w:val="003B03EB"/>
    <w:rPr>
      <w:sz w:val="20"/>
    </w:rPr>
  </w:style>
  <w:style w:type="character" w:customStyle="1" w:styleId="EndnoteTextChar">
    <w:name w:val="Endnote Text Char"/>
    <w:basedOn w:val="DefaultParagraphFont"/>
    <w:link w:val="EndnoteText"/>
    <w:rsid w:val="003B03EB"/>
    <w:rPr>
      <w:lang w:val="sk-SK"/>
    </w:rPr>
  </w:style>
  <w:style w:type="character" w:styleId="EndnoteReference">
    <w:name w:val="endnote reference"/>
    <w:basedOn w:val="DefaultParagraphFont"/>
    <w:rsid w:val="003B03EB"/>
    <w:rPr>
      <w:vertAlign w:val="superscript"/>
    </w:rPr>
  </w:style>
  <w:style w:type="character" w:customStyle="1" w:styleId="RollCallSubtitleChar">
    <w:name w:val="RollCallSubtitle Char"/>
    <w:basedOn w:val="DefaultParagraphFont"/>
    <w:link w:val="RollCallSubtitle"/>
    <w:locked/>
    <w:rsid w:val="003B03EB"/>
    <w:rPr>
      <w:sz w:val="24"/>
    </w:rPr>
  </w:style>
  <w:style w:type="paragraph" w:customStyle="1" w:styleId="RollCallSubtitle">
    <w:name w:val="RollCallSubtitle"/>
    <w:basedOn w:val="Normal"/>
    <w:link w:val="RollCallSubtitleChar"/>
    <w:qFormat/>
    <w:rsid w:val="003B03EB"/>
    <w:pPr>
      <w:snapToGrid w:val="0"/>
      <w:spacing w:after="240"/>
    </w:pPr>
    <w:rPr>
      <w:lang w:val="en-GB"/>
    </w:rPr>
  </w:style>
  <w:style w:type="paragraph" w:styleId="Footer">
    <w:name w:val="footer"/>
    <w:basedOn w:val="Normal"/>
    <w:link w:val="FooterChar"/>
    <w:rsid w:val="00F65885"/>
    <w:pPr>
      <w:tabs>
        <w:tab w:val="center" w:pos="4513"/>
        <w:tab w:val="right" w:pos="9026"/>
      </w:tabs>
    </w:pPr>
  </w:style>
  <w:style w:type="character" w:customStyle="1" w:styleId="FooterChar">
    <w:name w:val="Footer Char"/>
    <w:basedOn w:val="DefaultParagraphFont"/>
    <w:link w:val="Footer"/>
    <w:rsid w:val="00F65885"/>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SK.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42526</Words>
  <Characters>261900</Characters>
  <Application>Microsoft Office Word</Application>
  <DocSecurity>0</DocSecurity>
  <Lines>2182</Lines>
  <Paragraphs>607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2026-05-06T09:35:00Z</dcterms:created>
  <dcterms:modified xsi:type="dcterms:W3CDTF">2026-05-06T09:35:00Z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P10_TA(2026)0125_</vt:lpwstr>
  </property>
  <property fmtid="{D5CDD505-2E9C-101B-9397-08002B2CF9AE}" pid="4" name="&lt;Type&gt;">
    <vt:lpwstr>RR</vt:lpwstr>
  </property>
</Properties>
</file>