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1491" w14:paraId="468DBE70" w14:textId="77777777" w:rsidTr="0010095E">
        <w:trPr>
          <w:trHeight w:hRule="exact" w:val="1418"/>
        </w:trPr>
        <w:tc>
          <w:tcPr>
            <w:tcW w:w="6804" w:type="dxa"/>
            <w:shd w:val="clear" w:color="auto" w:fill="auto"/>
            <w:vAlign w:val="center"/>
          </w:tcPr>
          <w:p w14:paraId="47822CF6" w14:textId="1D72DFC5" w:rsidR="00751A4A" w:rsidRPr="00FB1491" w:rsidRDefault="00E55624" w:rsidP="0010095E">
            <w:pPr>
              <w:pStyle w:val="EPName"/>
            </w:pPr>
            <w:r w:rsidRPr="00FB1491">
              <w:t>Европейски</w:t>
            </w:r>
            <w:r w:rsidR="005728E5" w:rsidRPr="00FB1491">
              <w:t xml:space="preserve"> парламент</w:t>
            </w:r>
          </w:p>
          <w:p w14:paraId="6803AC63" w14:textId="05C337BA" w:rsidR="00751A4A" w:rsidRPr="00FB1491" w:rsidRDefault="005F1B17" w:rsidP="005F1B17">
            <w:pPr>
              <w:pStyle w:val="EPTerm"/>
              <w:rPr>
                <w:rStyle w:val="HideTWBExt"/>
                <w:noProof w:val="0"/>
                <w:vanish w:val="0"/>
                <w:color w:val="auto"/>
              </w:rPr>
            </w:pPr>
            <w:r w:rsidRPr="00FB1491">
              <w:t>2024</w:t>
            </w:r>
            <w:r w:rsidR="00E55624">
              <w:t> – </w:t>
            </w:r>
            <w:r w:rsidR="00817416" w:rsidRPr="00FB1491">
              <w:t>202</w:t>
            </w:r>
            <w:r w:rsidRPr="00FB1491">
              <w:t>9</w:t>
            </w:r>
          </w:p>
        </w:tc>
        <w:tc>
          <w:tcPr>
            <w:tcW w:w="2268" w:type="dxa"/>
            <w:shd w:val="clear" w:color="auto" w:fill="auto"/>
          </w:tcPr>
          <w:p w14:paraId="6FF935B1" w14:textId="77777777" w:rsidR="00751A4A" w:rsidRPr="00FB1491" w:rsidRDefault="00187494" w:rsidP="0010095E">
            <w:pPr>
              <w:pStyle w:val="EPLogo"/>
            </w:pPr>
            <w:r w:rsidRPr="00FB1491">
              <w:rPr>
                <w:noProof/>
                <w:lang w:eastAsia="ja-JP"/>
              </w:rPr>
              <w:drawing>
                <wp:inline distT="0" distB="0" distL="0" distR="0" wp14:anchorId="5A8DB0AC" wp14:editId="08BF9B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CFA155" w14:textId="77777777" w:rsidR="00D058B8" w:rsidRPr="00FB1491" w:rsidRDefault="00D058B8" w:rsidP="004C5D52">
      <w:pPr>
        <w:pStyle w:val="LineTop"/>
      </w:pPr>
    </w:p>
    <w:p w14:paraId="266D2122" w14:textId="77777777" w:rsidR="00680577" w:rsidRPr="00FB1491" w:rsidRDefault="005728E5" w:rsidP="00680577">
      <w:pPr>
        <w:pStyle w:val="EPBodyTA1"/>
      </w:pPr>
      <w:r w:rsidRPr="00FB1491">
        <w:t>ПРИЕТИ ТЕКСТОВЕ</w:t>
      </w:r>
    </w:p>
    <w:p w14:paraId="439CD45E" w14:textId="77777777" w:rsidR="00D058B8" w:rsidRPr="00FB1491" w:rsidRDefault="00D058B8" w:rsidP="00D058B8">
      <w:pPr>
        <w:pStyle w:val="LineBottom"/>
      </w:pPr>
    </w:p>
    <w:p w14:paraId="728BEAC5" w14:textId="2F53105F" w:rsidR="005728E5" w:rsidRPr="002512A8" w:rsidRDefault="005728E5" w:rsidP="005728E5">
      <w:pPr>
        <w:pStyle w:val="ATHeading1"/>
        <w:rPr>
          <w:lang w:val="en-GB"/>
        </w:rPr>
      </w:pPr>
      <w:bookmarkStart w:id="0" w:name="TANumber"/>
      <w:r w:rsidRPr="00FB1491">
        <w:t>P10_TA(2026)0</w:t>
      </w:r>
      <w:r w:rsidR="00EF05FD">
        <w:rPr>
          <w:lang w:val="en-GB"/>
        </w:rPr>
        <w:t>126</w:t>
      </w:r>
      <w:bookmarkEnd w:id="0"/>
    </w:p>
    <w:p w14:paraId="7CBA727C" w14:textId="77777777" w:rsidR="005728E5" w:rsidRPr="00FB1491" w:rsidRDefault="005728E5" w:rsidP="005728E5">
      <w:pPr>
        <w:pStyle w:val="ATHeading2"/>
      </w:pPr>
      <w:bookmarkStart w:id="1" w:name="title"/>
      <w:r w:rsidRPr="00FB1491">
        <w:t>Освобождаване от отговорност във връзка с изпълнението на бюджета за 2024 г.: Общ бюджет на ЕС - Европейски парламент</w:t>
      </w:r>
      <w:bookmarkEnd w:id="1"/>
    </w:p>
    <w:p w14:paraId="17C7070B" w14:textId="77777777" w:rsidR="005728E5" w:rsidRPr="00FB1491" w:rsidRDefault="005728E5" w:rsidP="005728E5">
      <w:pPr>
        <w:rPr>
          <w:i/>
          <w:vanish/>
        </w:rPr>
      </w:pPr>
      <w:r w:rsidRPr="00FB1491">
        <w:rPr>
          <w:i/>
        </w:rPr>
        <w:fldChar w:fldCharType="begin"/>
      </w:r>
      <w:r w:rsidRPr="00FB1491">
        <w:rPr>
          <w:i/>
        </w:rPr>
        <w:instrText xml:space="preserve"> TC"(</w:instrText>
      </w:r>
      <w:bookmarkStart w:id="2" w:name="DocNumber"/>
      <w:r w:rsidRPr="00FB1491">
        <w:rPr>
          <w:i/>
        </w:rPr>
        <w:instrText>A10-0081/2026</w:instrText>
      </w:r>
      <w:bookmarkEnd w:id="2"/>
      <w:r w:rsidRPr="00FB1491">
        <w:rPr>
          <w:i/>
        </w:rPr>
        <w:instrText xml:space="preserve"> - Докладчик: Гербен-Ян Гербранди)"\l3 \n&gt; \* MERGEFORMAT </w:instrText>
      </w:r>
      <w:r w:rsidRPr="00FB1491">
        <w:rPr>
          <w:i/>
        </w:rPr>
        <w:fldChar w:fldCharType="end"/>
      </w:r>
    </w:p>
    <w:p w14:paraId="4965FE8C" w14:textId="77777777" w:rsidR="005728E5" w:rsidRPr="00FB1491" w:rsidRDefault="005728E5" w:rsidP="005728E5">
      <w:pPr>
        <w:rPr>
          <w:vanish/>
        </w:rPr>
      </w:pPr>
      <w:bookmarkStart w:id="3" w:name="Commission"/>
      <w:r w:rsidRPr="00FB1491">
        <w:rPr>
          <w:vanish/>
        </w:rPr>
        <w:t>Комисия по бюджетен контрол</w:t>
      </w:r>
      <w:bookmarkEnd w:id="3"/>
    </w:p>
    <w:p w14:paraId="68E31A9F" w14:textId="77777777" w:rsidR="005728E5" w:rsidRPr="00FB1491" w:rsidRDefault="005728E5" w:rsidP="005728E5">
      <w:pPr>
        <w:rPr>
          <w:vanish/>
        </w:rPr>
      </w:pPr>
      <w:bookmarkStart w:id="4" w:name="PE"/>
      <w:r w:rsidRPr="00FB1491">
        <w:rPr>
          <w:vanish/>
        </w:rPr>
        <w:t>PE776.734</w:t>
      </w:r>
      <w:bookmarkEnd w:id="4"/>
    </w:p>
    <w:p w14:paraId="57214086" w14:textId="27D9E068" w:rsidR="005728E5" w:rsidRPr="00FB1491" w:rsidRDefault="005728E5" w:rsidP="00E55624">
      <w:pPr>
        <w:pStyle w:val="ATHeading3"/>
      </w:pPr>
      <w:bookmarkStart w:id="5" w:name="Sujet"/>
      <w:r w:rsidRPr="00FB1491">
        <w:t xml:space="preserve">1. Решение на Европейския парламент от </w:t>
      </w:r>
      <w:r w:rsidR="00E55624">
        <w:t>29 април</w:t>
      </w:r>
      <w:r w:rsidRPr="00FB1491">
        <w:t xml:space="preserve"> 2026 г. относно освобождаването от отговорност във връзка с изпълнението на общия бюджет на Европейския съюз за финансовата 2024 година, раздел I ‒ Европейски парламент</w:t>
      </w:r>
      <w:bookmarkEnd w:id="5"/>
      <w:r w:rsidRPr="00FB1491">
        <w:t xml:space="preserve"> </w:t>
      </w:r>
      <w:bookmarkStart w:id="6" w:name="References"/>
      <w:r w:rsidRPr="00FB1491">
        <w:t>(2025/2146(DEC))</w:t>
      </w:r>
      <w:bookmarkEnd w:id="6"/>
    </w:p>
    <w:p w14:paraId="1C4B2858" w14:textId="77777777" w:rsidR="00C87F54" w:rsidRPr="00FB1491" w:rsidRDefault="00C87F54" w:rsidP="00C87F54">
      <w:pPr>
        <w:pStyle w:val="EPComma"/>
        <w:rPr>
          <w:noProof/>
        </w:rPr>
      </w:pPr>
      <w:bookmarkStart w:id="7" w:name="TextBodyBegin"/>
      <w:bookmarkEnd w:id="7"/>
      <w:r w:rsidRPr="00FB1491">
        <w:rPr>
          <w:i/>
        </w:rPr>
        <w:t>Европейският парламент</w:t>
      </w:r>
      <w:r w:rsidRPr="00FB1491">
        <w:t>,</w:t>
      </w:r>
    </w:p>
    <w:p w14:paraId="0A5774F7" w14:textId="77777777" w:rsidR="00C87F54" w:rsidRPr="00FB1491" w:rsidRDefault="00C87F54" w:rsidP="00C87F54">
      <w:pPr>
        <w:pStyle w:val="NormalHanging12a"/>
        <w:rPr>
          <w:noProof/>
        </w:rPr>
      </w:pPr>
      <w:r w:rsidRPr="00FB1491">
        <w:t>–</w:t>
      </w:r>
      <w:r w:rsidRPr="00FB1491">
        <w:tab/>
        <w:t>като взе предвид общия бюджет на Европейския съюз за финансовата 2024 година</w:t>
      </w:r>
      <w:r w:rsidRPr="00FB1491">
        <w:rPr>
          <w:rStyle w:val="FootnoteReference"/>
          <w:noProof/>
        </w:rPr>
        <w:footnoteReference w:id="1"/>
      </w:r>
      <w:r w:rsidRPr="00FB1491">
        <w:t>,</w:t>
      </w:r>
    </w:p>
    <w:p w14:paraId="582ED5A9" w14:textId="77777777" w:rsidR="00C87F54" w:rsidRPr="00FB1491" w:rsidRDefault="00C87F54" w:rsidP="00C87F54">
      <w:pPr>
        <w:pStyle w:val="NormalHanging12a"/>
        <w:rPr>
          <w:noProof/>
        </w:rPr>
      </w:pPr>
      <w:r w:rsidRPr="00FB1491">
        <w:t>–</w:t>
      </w:r>
      <w:r w:rsidRPr="00FB1491">
        <w:tab/>
        <w:t>като взе предвид консолидираните годишни отчети на Европейския съюз за финансовата 2024 година (COM(2025)0359 – C10-0146/2025)</w:t>
      </w:r>
      <w:r w:rsidRPr="00FB1491">
        <w:rPr>
          <w:rStyle w:val="FootnoteReference"/>
          <w:noProof/>
        </w:rPr>
        <w:footnoteReference w:id="2"/>
      </w:r>
      <w:r w:rsidRPr="00FB1491">
        <w:t>,</w:t>
      </w:r>
    </w:p>
    <w:p w14:paraId="17C79B80" w14:textId="77777777" w:rsidR="00C87F54" w:rsidRPr="00FB1491" w:rsidRDefault="00C87F54" w:rsidP="00C87F54">
      <w:pPr>
        <w:pStyle w:val="NormalHanging12a"/>
        <w:rPr>
          <w:noProof/>
        </w:rPr>
      </w:pPr>
      <w:r w:rsidRPr="00FB1491">
        <w:t>–</w:t>
      </w:r>
      <w:r w:rsidRPr="00FB1491">
        <w:tab/>
        <w:t>като взе предвид доклада относно бюджетното и финансовото управление за финансовата 2024 година, раздел I – Европейски парламент</w:t>
      </w:r>
      <w:r w:rsidRPr="00FB1491">
        <w:rPr>
          <w:rStyle w:val="FootnoteReference"/>
          <w:noProof/>
        </w:rPr>
        <w:footnoteReference w:id="3"/>
      </w:r>
      <w:r w:rsidRPr="00FB1491">
        <w:t>,</w:t>
      </w:r>
    </w:p>
    <w:p w14:paraId="5FA52E94" w14:textId="77777777" w:rsidR="00C87F54" w:rsidRPr="00FB1491" w:rsidRDefault="00C87F54" w:rsidP="00C87F54">
      <w:pPr>
        <w:pStyle w:val="NormalHanging12a"/>
        <w:rPr>
          <w:noProof/>
        </w:rPr>
      </w:pPr>
      <w:r w:rsidRPr="00FB1491">
        <w:t>–</w:t>
      </w:r>
      <w:r w:rsidRPr="00FB1491">
        <w:tab/>
        <w:t>като взе предвид годишния доклад на вътрешния одитор за финансовата 2024 година,</w:t>
      </w:r>
    </w:p>
    <w:p w14:paraId="5EF8BCA1" w14:textId="77777777" w:rsidR="00C87F54" w:rsidRPr="00FB1491" w:rsidRDefault="00C87F54" w:rsidP="00C87F54">
      <w:pPr>
        <w:pStyle w:val="NormalHanging12a"/>
        <w:rPr>
          <w:noProof/>
        </w:rPr>
      </w:pPr>
      <w:r w:rsidRPr="00FB1491">
        <w:t>–</w:t>
      </w:r>
      <w:r w:rsidRPr="00FB1491">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FB1491">
        <w:rPr>
          <w:rStyle w:val="FootnoteReference"/>
          <w:noProof/>
        </w:rPr>
        <w:footnoteReference w:id="4"/>
      </w:r>
      <w:r w:rsidRPr="00FB1491">
        <w:t>,</w:t>
      </w:r>
    </w:p>
    <w:p w14:paraId="076956AA" w14:textId="77777777" w:rsidR="00C87F54" w:rsidRPr="00FB1491" w:rsidRDefault="00C87F54" w:rsidP="00C87F54">
      <w:pPr>
        <w:pStyle w:val="NormalHanging12a"/>
        <w:rPr>
          <w:noProof/>
        </w:rPr>
      </w:pPr>
      <w:r w:rsidRPr="00FB1491">
        <w:t>–</w:t>
      </w:r>
      <w:r w:rsidRPr="00FB1491">
        <w:tab/>
        <w:t>като взе предвид декларацията за достоверност</w:t>
      </w:r>
      <w:r w:rsidRPr="00FB1491">
        <w:rPr>
          <w:rStyle w:val="FootnoteReference"/>
          <w:noProof/>
        </w:rPr>
        <w:footnoteReference w:id="5"/>
      </w:r>
      <w:r w:rsidRPr="00FB1491">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6F2E79FE" w14:textId="77777777" w:rsidR="00C87F54" w:rsidRPr="00FB1491" w:rsidRDefault="00C87F54" w:rsidP="00C87F54">
      <w:pPr>
        <w:pStyle w:val="NormalHanging12a"/>
        <w:rPr>
          <w:noProof/>
        </w:rPr>
      </w:pPr>
      <w:r w:rsidRPr="00FB1491">
        <w:t>–</w:t>
      </w:r>
      <w:r w:rsidRPr="00FB1491">
        <w:tab/>
        <w:t>като взе предвид член 314, параграф 10 и член 318 от Договора за функционирането на Европейския съюз,</w:t>
      </w:r>
    </w:p>
    <w:p w14:paraId="650AF4FD" w14:textId="77777777" w:rsidR="00C87F54" w:rsidRPr="00FB1491" w:rsidRDefault="00C87F54" w:rsidP="00C87F54">
      <w:pPr>
        <w:pStyle w:val="NormalHanging12a"/>
        <w:rPr>
          <w:noProof/>
        </w:rPr>
      </w:pPr>
      <w:r w:rsidRPr="00FB1491">
        <w:t>–</w:t>
      </w:r>
      <w:r w:rsidRPr="00FB1491">
        <w:tab/>
        <w:t xml:space="preserve">като взе предвид Регламент (ЕС, Евратом) 2018/1046 на Европейския парламент и на Съвета от 18 юли 2018 г. за финансовите правила, приложими за общия </w:t>
      </w:r>
      <w:r w:rsidRPr="00FB1491">
        <w:lastRenderedPageBreak/>
        <w:t>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FB1491">
        <w:rPr>
          <w:rStyle w:val="FootnoteReference"/>
          <w:noProof/>
        </w:rPr>
        <w:footnoteReference w:id="6"/>
      </w:r>
      <w:r w:rsidRPr="00FB1491">
        <w:t>, и по-специално членове 260, 261 и 262 от него,</w:t>
      </w:r>
    </w:p>
    <w:p w14:paraId="70658784" w14:textId="1A99AC9E" w:rsidR="00C87F54" w:rsidRPr="00FB1491" w:rsidRDefault="00C87F54" w:rsidP="00C87F54">
      <w:pPr>
        <w:pStyle w:val="NormalHanging12a"/>
        <w:rPr>
          <w:noProof/>
        </w:rPr>
      </w:pPr>
      <w:r w:rsidRPr="00FB1491">
        <w:t>–</w:t>
      </w:r>
      <w:r w:rsidRPr="00FB1491">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FB1491">
        <w:rPr>
          <w:rStyle w:val="FootnoteReference"/>
          <w:noProof/>
        </w:rPr>
        <w:footnoteReference w:id="7"/>
      </w:r>
      <w:r w:rsidRPr="00FB1491">
        <w:t>, и по-специално членове 266, 267 и 268 от него,</w:t>
      </w:r>
    </w:p>
    <w:p w14:paraId="020CCB97" w14:textId="77777777" w:rsidR="00C87F54" w:rsidRPr="00FB1491" w:rsidRDefault="00C87F54" w:rsidP="00C87F54">
      <w:pPr>
        <w:pStyle w:val="NormalHanging12a"/>
        <w:rPr>
          <w:noProof/>
        </w:rPr>
      </w:pPr>
      <w:r w:rsidRPr="00FB1491">
        <w:t>–</w:t>
      </w:r>
      <w:r w:rsidRPr="00FB1491">
        <w:tab/>
        <w:t>като взе предвид решението на Бюрото от 10 декември 2018 г. относно Вътрешния правилник относно изпълнението на бюджета на Европейския парламент, и по-специално член 34 от него,</w:t>
      </w:r>
    </w:p>
    <w:p w14:paraId="3FEB246A" w14:textId="77777777" w:rsidR="00C87F54" w:rsidRPr="00FB1491" w:rsidRDefault="00C87F54" w:rsidP="00C87F54">
      <w:pPr>
        <w:pStyle w:val="NormalHanging12a"/>
        <w:rPr>
          <w:noProof/>
        </w:rPr>
      </w:pPr>
      <w:r w:rsidRPr="00FB1491">
        <w:t>–</w:t>
      </w:r>
      <w:r w:rsidRPr="00FB1491">
        <w:tab/>
        <w:t>като взе предвид член 102, член 106, параграф 3 и приложение V към своя Правилник за дейността,</w:t>
      </w:r>
    </w:p>
    <w:p w14:paraId="3AE0D811" w14:textId="77777777" w:rsidR="00C87F54" w:rsidRPr="00FB1491" w:rsidRDefault="00C87F54" w:rsidP="00C87F54">
      <w:pPr>
        <w:pStyle w:val="NormalHanging12a"/>
      </w:pPr>
      <w:r w:rsidRPr="00FB1491">
        <w:t>–</w:t>
      </w:r>
      <w:r w:rsidRPr="00FB1491">
        <w:tab/>
        <w:t>като взе предвид становището на комисията по правата на жените и равенството между половете,</w:t>
      </w:r>
    </w:p>
    <w:p w14:paraId="5ECDE1AF" w14:textId="77777777" w:rsidR="00C87F54" w:rsidRPr="00FB1491" w:rsidRDefault="00C87F54" w:rsidP="00C87F54">
      <w:pPr>
        <w:pStyle w:val="NormalHanging12a"/>
      </w:pPr>
      <w:r w:rsidRPr="00FB1491">
        <w:t>–</w:t>
      </w:r>
      <w:r w:rsidRPr="00FB1491">
        <w:tab/>
        <w:t>като взе предвид доклада на комисията по бюджетен контрол (A10-0081/2026),</w:t>
      </w:r>
    </w:p>
    <w:p w14:paraId="1B57EACA" w14:textId="77777777" w:rsidR="00C87F54" w:rsidRPr="00FB1491" w:rsidRDefault="00C87F54" w:rsidP="00C87F54">
      <w:pPr>
        <w:pStyle w:val="NormalHanging12a"/>
        <w:rPr>
          <w:noProof/>
        </w:rPr>
      </w:pPr>
      <w:r w:rsidRPr="00FB1491">
        <w:t>1.</w:t>
      </w:r>
      <w:r w:rsidRPr="00FB1491">
        <w:tab/>
        <w:t>освобождава от отговорност своя председател във връзка с изпълнението на бюджета на Европейския парламент за финансовата 2024 година;</w:t>
      </w:r>
    </w:p>
    <w:p w14:paraId="16D716A9" w14:textId="77777777" w:rsidR="00C87F54" w:rsidRPr="00FB1491" w:rsidRDefault="00C87F54" w:rsidP="00C87F54">
      <w:pPr>
        <w:pStyle w:val="NormalHanging12a"/>
        <w:rPr>
          <w:noProof/>
        </w:rPr>
      </w:pPr>
      <w:r w:rsidRPr="00FB1491">
        <w:t>2.</w:t>
      </w:r>
      <w:r w:rsidRPr="00FB1491">
        <w:tab/>
        <w:t>представя своите забележки в резолюцията по-долу;</w:t>
      </w:r>
    </w:p>
    <w:p w14:paraId="548D0B9D" w14:textId="77777777" w:rsidR="00C87F54" w:rsidRPr="00FB1491" w:rsidRDefault="00C87F54" w:rsidP="00C87F54">
      <w:pPr>
        <w:pStyle w:val="NormalHanging12a"/>
        <w:rPr>
          <w:noProof/>
        </w:rPr>
      </w:pPr>
      <w:r w:rsidRPr="00FB1491">
        <w:t>3.</w:t>
      </w:r>
      <w:r w:rsidRPr="00FB1491">
        <w:tab/>
        <w:t xml:space="preserve">възлага на своя председател да предаде настоящото решение, както и резолюцията, която е неразделна част от него, на Съвета, Комисията и Сметната палата и да осигури публикуването им в </w:t>
      </w:r>
      <w:r w:rsidRPr="00FB1491">
        <w:rPr>
          <w:i/>
          <w:iCs/>
        </w:rPr>
        <w:t>Официален вестник на Европейския съюз</w:t>
      </w:r>
      <w:r w:rsidRPr="00FB1491">
        <w:t xml:space="preserve"> (серия L).</w:t>
      </w:r>
    </w:p>
    <w:p w14:paraId="4203650B" w14:textId="77777777" w:rsidR="00C87F54" w:rsidRPr="00FB1491" w:rsidRDefault="00C87F54" w:rsidP="00C87F54"/>
    <w:p w14:paraId="17483D20" w14:textId="77777777" w:rsidR="00C87F54" w:rsidRPr="00FB1491" w:rsidRDefault="00C87F54" w:rsidP="00C87F54">
      <w:pPr>
        <w:pStyle w:val="PageHeading"/>
        <w:sectPr w:rsidR="00C87F54" w:rsidRPr="00FB1491" w:rsidSect="00FB149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DDAD71" w14:textId="77777777" w:rsidR="00BD3F95" w:rsidRDefault="00BD3F95" w:rsidP="00BD3F95">
      <w:pPr>
        <w:pStyle w:val="ATHeading3"/>
      </w:pPr>
      <w:r>
        <w:lastRenderedPageBreak/>
        <w:t>2. Резолюция на Европейския парламент от 29 април 2026 г., съдържаща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I ‒ Европейски парламент (2025/2146(DEC))</w:t>
      </w:r>
    </w:p>
    <w:p w14:paraId="02B43FEE" w14:textId="77777777" w:rsidR="00C87F54" w:rsidRPr="00FB1491" w:rsidRDefault="00C87F54" w:rsidP="00C87F54">
      <w:pPr>
        <w:pStyle w:val="EPComma"/>
        <w:rPr>
          <w:noProof/>
        </w:rPr>
      </w:pPr>
      <w:r w:rsidRPr="00FB1491">
        <w:rPr>
          <w:i/>
        </w:rPr>
        <w:t>Европейският парламент</w:t>
      </w:r>
      <w:r w:rsidRPr="00FB1491">
        <w:t>,</w:t>
      </w:r>
    </w:p>
    <w:p w14:paraId="58052FC7" w14:textId="77777777" w:rsidR="00C87F54" w:rsidRPr="00FB1491" w:rsidRDefault="00C87F54" w:rsidP="00C87F54">
      <w:pPr>
        <w:pStyle w:val="NormalHanging12a"/>
        <w:rPr>
          <w:noProof/>
        </w:rPr>
      </w:pPr>
      <w:r w:rsidRPr="00FB1491">
        <w:t>–</w:t>
      </w:r>
      <w:r w:rsidRPr="00FB1491">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I ‒ Европейски парламент,</w:t>
      </w:r>
    </w:p>
    <w:p w14:paraId="5A06C67A" w14:textId="77777777" w:rsidR="00C87F54" w:rsidRPr="00FB1491" w:rsidRDefault="00C87F54" w:rsidP="00C87F54">
      <w:pPr>
        <w:pStyle w:val="NormalHanging12a"/>
        <w:rPr>
          <w:noProof/>
        </w:rPr>
      </w:pPr>
      <w:r w:rsidRPr="00FB1491">
        <w:t>–</w:t>
      </w:r>
      <w:r w:rsidRPr="00FB1491">
        <w:tab/>
        <w:t>като взе предвид член 102, член 106, параграф 3 и приложение V към своя Правилник за дейността,</w:t>
      </w:r>
    </w:p>
    <w:p w14:paraId="50F9175A" w14:textId="77777777" w:rsidR="00C87F54" w:rsidRPr="00FB1491" w:rsidRDefault="00C87F54" w:rsidP="00C87F54">
      <w:pPr>
        <w:pStyle w:val="NormalHanging12a"/>
      </w:pPr>
      <w:r w:rsidRPr="00FB1491">
        <w:t>–</w:t>
      </w:r>
      <w:r w:rsidRPr="00FB1491">
        <w:tab/>
        <w:t>като взе предвид становището на комисията по правата на жените и равенството между половете,</w:t>
      </w:r>
    </w:p>
    <w:p w14:paraId="7F01BA26" w14:textId="77777777" w:rsidR="00C87F54" w:rsidRPr="00FB1491" w:rsidRDefault="00C87F54" w:rsidP="00C87F54">
      <w:pPr>
        <w:pStyle w:val="NormalHanging12a"/>
      </w:pPr>
      <w:r w:rsidRPr="00FB1491">
        <w:t>–</w:t>
      </w:r>
      <w:r w:rsidRPr="00FB1491">
        <w:tab/>
        <w:t>като взе предвид доклада на комисията по бюджетен контрол (A10-0081/2026),</w:t>
      </w:r>
    </w:p>
    <w:p w14:paraId="004F3793" w14:textId="77777777" w:rsidR="00C87F54" w:rsidRPr="00FB1491" w:rsidRDefault="00C87F54" w:rsidP="00C87F54">
      <w:pPr>
        <w:pStyle w:val="NormalHanging12a"/>
        <w:rPr>
          <w:noProof/>
        </w:rPr>
      </w:pPr>
      <w:r w:rsidRPr="00FB1491">
        <w:t>А.</w:t>
      </w:r>
      <w:r w:rsidRPr="00FB1491">
        <w:tab/>
        <w:t>като има предвид, че при заверяването на окончателните отчети счетоводителят на Европейския парламент („Парламента“) декларира, че е получил достатъчна увереност, че във всички съществени аспекти отчетите дават вярна представа за финансовото състояние, както и за резултатите от операциите и паричните потоци на Парламента;</w:t>
      </w:r>
    </w:p>
    <w:p w14:paraId="7A13A7F0" w14:textId="77777777" w:rsidR="00C87F54" w:rsidRPr="00FB1491" w:rsidRDefault="00C87F54" w:rsidP="00C87F54">
      <w:pPr>
        <w:pStyle w:val="NormalHanging12a"/>
        <w:rPr>
          <w:noProof/>
        </w:rPr>
      </w:pPr>
      <w:r w:rsidRPr="00FB1491">
        <w:t>Б.</w:t>
      </w:r>
      <w:r w:rsidRPr="00FB1491">
        <w:tab/>
        <w:t>като има предвид, че съгласно обичайната процедура, на администрацията на Парламента бяха изпратени 55 въпроса, писмените отговори на които бяха получени и публично обсъдени на 8 декември 2025 г. от комисията по бюджетен контрол на Парламента, в присъствието на генералния секретар, заместник-председателите на Парламента, отговарящи за бюджета, вътрешния одитор и директора на Органа за европейските политически партии и европейските политически фондации;</w:t>
      </w:r>
    </w:p>
    <w:p w14:paraId="5F1EA277" w14:textId="77777777" w:rsidR="00C87F54" w:rsidRPr="00FB1491" w:rsidRDefault="00C87F54" w:rsidP="00C87F54">
      <w:pPr>
        <w:pStyle w:val="NormalHanging12a"/>
      </w:pPr>
      <w:r w:rsidRPr="00FB1491">
        <w:t>В.</w:t>
      </w:r>
      <w:r w:rsidRPr="00FB1491">
        <w:tab/>
        <w:t>като има предвид, че винаги има възможност за подобрение и че е необходим контрол, за да се гарантира, че политическото ръководство, членовете на ЕП и администрацията на Парламента са прозрачни и почтени, и следователно носят отговорност пред гражданите на Съюза и допринасят за повишаване на качеството, ефикасността и ефективността на управлението на публичните финанси, включително и фискалната дисциплина, като се запазва доверието в Парламента при упражняването на неговата функция по освобождаване от отговорност във връзка с изпълнението на бюджета по отношение на други институции;</w:t>
      </w:r>
    </w:p>
    <w:p w14:paraId="354B9642" w14:textId="77777777" w:rsidR="00C87F54" w:rsidRPr="00FB1491" w:rsidRDefault="00C87F54" w:rsidP="00C87F54">
      <w:pPr>
        <w:pStyle w:val="NormalHanging12a"/>
      </w:pPr>
      <w:r w:rsidRPr="00FB1491">
        <w:t>Г.</w:t>
      </w:r>
      <w:r w:rsidRPr="00FB1491">
        <w:tab/>
        <w:t xml:space="preserve">като има предвид, че правната сигурност е един от водещите принципи за изпълнението на административните решения; като има предвид, че все по-големият брой правила и задължения могат да доведат до объркване и неяснота, а за членовете на ЕП и техните кабинети е необходима правна сигурност, което задължава администрацията да осъществява ясна, изчерпателна и правно издържана комуникация; </w:t>
      </w:r>
    </w:p>
    <w:p w14:paraId="2FD03273" w14:textId="77777777" w:rsidR="00C87F54" w:rsidRPr="00FB1491" w:rsidRDefault="00C87F54" w:rsidP="00C87F54">
      <w:pPr>
        <w:pStyle w:val="NormalHanging12a"/>
      </w:pPr>
      <w:r w:rsidRPr="00FB1491">
        <w:t>Д.</w:t>
      </w:r>
      <w:r w:rsidRPr="00FB1491">
        <w:tab/>
        <w:t xml:space="preserve">като има предвид, че членовете на ЕП получават финансова и логистична </w:t>
      </w:r>
      <w:r w:rsidRPr="00FB1491">
        <w:lastRenderedPageBreak/>
        <w:t>подкрепа от администрацията, за да изпълняват пълноценно своя мандат; като има предвид, че отношенията между членовете на ЕП, техните кабинети и администрацията се основават на взаимно доверие, което следва да бъде водещ принцип при предоставянето на финансова подкрепа на членовете на ЕП; като има предвид, че това следва да бъде отразено в равнището на предварителните и последващите проверки и прегледи, извършвани от администрацията; като има предвид, че ясните, пропорционални, целенасочени, стандартизирани и опростени процедури са най-добрият и ефективен начин да се извършват прегледи и проверки на финансовите права, като крайната цел е да се осигури най-високо равнище на прозрачност и отчетност и по този начин да се повиши демократичната легитимност, а оттам и доверието на гражданите на Съюза;</w:t>
      </w:r>
    </w:p>
    <w:p w14:paraId="612C42C3" w14:textId="77777777" w:rsidR="00C87F54" w:rsidRPr="00FB1491" w:rsidRDefault="00C87F54" w:rsidP="00C87F54">
      <w:pPr>
        <w:pStyle w:val="NormalHanging12a"/>
      </w:pPr>
      <w:r w:rsidRPr="00FB1491">
        <w:t>Е.</w:t>
      </w:r>
      <w:r w:rsidRPr="00FB1491">
        <w:tab/>
        <w:t xml:space="preserve">като има предвид, че доверието в почтеността на Парламента и в принципите на правовата държава е от първостепенно значение за функционирането на европейската демокрация, при пълно зачитане на правата на гражданите; </w:t>
      </w:r>
    </w:p>
    <w:p w14:paraId="7A0A1CA3" w14:textId="77777777" w:rsidR="00C87F54" w:rsidRPr="00FB1491" w:rsidRDefault="00C87F54" w:rsidP="00C87F54">
      <w:pPr>
        <w:pStyle w:val="NormalHanging12a"/>
      </w:pPr>
      <w:r w:rsidRPr="00FB1491">
        <w:t>Ж.</w:t>
      </w:r>
      <w:r w:rsidRPr="00FB1491">
        <w:tab/>
        <w:t>като има предвид, че членовете на ЕП са защитени чрез освобождаване от отговорност за техния вот и изразени мнения при изпълнението на техните задължения, и че те са защитени от наказателно преследване и ограничаване на личната им свобода при изпълнението на техните задължения в Парламента;</w:t>
      </w:r>
    </w:p>
    <w:p w14:paraId="70F98555" w14:textId="77777777" w:rsidR="00C87F54" w:rsidRPr="00FB1491" w:rsidRDefault="00C87F54" w:rsidP="00C87F54">
      <w:pPr>
        <w:pStyle w:val="NormalHanging12a"/>
      </w:pPr>
      <w:r w:rsidRPr="00FB1491">
        <w:t>З.</w:t>
      </w:r>
      <w:r w:rsidRPr="00FB1491">
        <w:tab/>
        <w:t> като има предвид, че равенството между половете и премахването на неравенствата са основни ценности на Съюза, залегнали в член 2 от Договора за Европейския съюз (ДЕС); като има предвид, че Съюзът е поел ангажимент да насърчава равенството между половете във всички свои дейности съгласно член 8 от Договора за функционирането на Европейския съюз, като по този начин установява принципа на интегриране на принципа на равенство между половете и бюджетиране, съобразено с равенството между половете;</w:t>
      </w:r>
    </w:p>
    <w:p w14:paraId="2F7D1247" w14:textId="77777777" w:rsidR="00C87F54" w:rsidRPr="00FB1491" w:rsidRDefault="00C87F54" w:rsidP="00C87F54">
      <w:pPr>
        <w:pStyle w:val="NormalHanging12a"/>
      </w:pPr>
      <w:r w:rsidRPr="00FB1491">
        <w:t>И.</w:t>
      </w:r>
      <w:r w:rsidRPr="00FB1491">
        <w:tab/>
        <w:t>като има предвид, че съгласно член 249 Бюрото приема план за действие относно равенството между половете с цел интегриране на перспективата за равенство между половете във всички дейности на Парламента;</w:t>
      </w:r>
    </w:p>
    <w:p w14:paraId="6C330622"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Бюджетно и финансово управление на Парламента</w:t>
      </w:r>
    </w:p>
    <w:p w14:paraId="7C7F261B"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1</w:t>
      </w:r>
      <w:r w:rsidRPr="00FB1491">
        <w:t>.</w:t>
      </w:r>
      <w:r w:rsidRPr="00FB1491">
        <w:rPr>
          <w14:textOutline w14:w="0" w14:cap="flat" w14:cmpd="sng" w14:algn="ctr">
            <w14:noFill/>
            <w14:prstDash w14:val="solid"/>
            <w14:bevel/>
          </w14:textOutline>
        </w:rPr>
        <w:tab/>
      </w:r>
      <w:r w:rsidRPr="00FB1491">
        <w:t>отбелязва, че окончателните бюджетни кредити на Парламента за 2024 г. възлизат общо на 2 383 милиона евро, или 20,2% от функция 7 на многогодишната финансова рамка</w:t>
      </w:r>
      <w:r w:rsidRPr="00FB1491">
        <w:rPr>
          <w:rStyle w:val="FootnoteReference"/>
        </w:rPr>
        <w:footnoteReference w:id="8"/>
      </w:r>
      <w:r w:rsidRPr="00FB1491">
        <w:t>, заделени за общите административни разходи на институциите на Съюза за 2024 г., което представлява увеличение с 6,05% спрямо бюджета за 2023 г. (2 247 милиона евро);</w:t>
      </w:r>
    </w:p>
    <w:p w14:paraId="34E5DF68"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2</w:t>
      </w:r>
      <w:r w:rsidRPr="00FB1491">
        <w:t>.</w:t>
      </w:r>
      <w:r w:rsidRPr="00FB1491">
        <w:rPr>
          <w14:textOutline w14:w="0" w14:cap="flat" w14:cmpd="sng" w14:algn="ctr">
            <w14:noFill/>
            <w14:prstDash w14:val="solid"/>
            <w14:bevel/>
          </w14:textOutline>
        </w:rPr>
        <w:tab/>
      </w:r>
      <w:r w:rsidRPr="00FB1491">
        <w:t>отбелязва, че общият размер на постъпленията, осчетоводени към 31 декември 2024 г., възлиза на 281 517 001 EUR (спрямо 255 205 473 EUR през 2023 г.);</w:t>
      </w:r>
      <w:r w:rsidRPr="00FB1491">
        <w:rPr>
          <w14:textOutline w14:w="0" w14:cap="flat" w14:cmpd="sng" w14:algn="ctr">
            <w14:noFill/>
            <w14:prstDash w14:val="solid"/>
            <w14:bevel/>
          </w14:textOutline>
        </w:rPr>
        <w:t xml:space="preserve"> </w:t>
      </w:r>
      <w:r w:rsidRPr="00FB1491">
        <w:t>отбелязва, че предоставените през 2024 г. целеви приходи възлизат на 40 277 555 EUR (спрямо 50 186 995 EUR през 2023 г.);</w:t>
      </w:r>
    </w:p>
    <w:p w14:paraId="71B86D86"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3</w:t>
      </w:r>
      <w:r w:rsidRPr="00FB1491">
        <w:t>.</w:t>
      </w:r>
      <w:r w:rsidRPr="00FB1491">
        <w:rPr>
          <w14:textOutline w14:w="0" w14:cap="flat" w14:cmpd="sng" w14:algn="ctr">
            <w14:noFill/>
            <w14:prstDash w14:val="solid"/>
            <w14:bevel/>
          </w14:textOutline>
        </w:rPr>
        <w:tab/>
      </w:r>
      <w:r w:rsidRPr="00FB1491">
        <w:t xml:space="preserve">отбелязва, че следните шест глави съставляват 85,7% от общия размер на поетите </w:t>
      </w:r>
      <w:r w:rsidRPr="00FB1491">
        <w:lastRenderedPageBreak/>
        <w:t>задължения:</w:t>
      </w:r>
      <w:r w:rsidRPr="00FB1491">
        <w:rPr>
          <w14:textOutline w14:w="0" w14:cap="flat" w14:cmpd="sng" w14:algn="ctr">
            <w14:noFill/>
            <w14:prstDash w14:val="solid"/>
            <w14:bevel/>
          </w14:textOutline>
        </w:rPr>
        <w:t xml:space="preserve"> </w:t>
      </w:r>
      <w:r w:rsidRPr="00FB1491">
        <w:t>Глава 1 0 „Членове на институцията“, глава 1 2 „Длъжностни лица и срочно наети служители“, глава 1 4 „Друг персонал и външни услуги“, глава 2 0 „Сгради и разходи, свързани с тях“, глава 2 1 „Обработка на данни, оборудване и обзавеждане“ и глава 4 2 „Разходи, свързани със сътрудниците на членовете на ЕП“;</w:t>
      </w:r>
    </w:p>
    <w:p w14:paraId="4B4E983A"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4.</w:t>
      </w:r>
      <w:r w:rsidRPr="00FB1491">
        <w:rPr>
          <w14:textOutline w14:w="0" w14:cap="flat" w14:cmpd="sng" w14:algn="ctr">
            <w14:noFill/>
            <w14:prstDash w14:val="solid"/>
            <w14:bevel/>
          </w14:textOutline>
        </w:rPr>
        <w:tab/>
        <w:t>отбелязва цифрите, въз основа на които бяха приключени сметките на Парламента за финансовата 2024 година и които са представени в годишните отчети на Европейския парламент за финансовата 2024 година, в доклада относно бюджетното и финансовото управление, раздел I: Европейски парламент, и в доклада относно договорите и концесиите, възложени от Европейския парламент;</w:t>
      </w:r>
    </w:p>
    <w:p w14:paraId="2132CE4D"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5</w:t>
      </w:r>
      <w:r w:rsidRPr="00FB1491">
        <w:t>.</w:t>
      </w:r>
      <w:r w:rsidRPr="00FB1491">
        <w:rPr>
          <w14:textOutline w14:w="0" w14:cap="flat" w14:cmpd="sng" w14:algn="ctr">
            <w14:noFill/>
            <w14:prstDash w14:val="solid"/>
            <w14:bevel/>
          </w14:textOutline>
        </w:rPr>
        <w:tab/>
      </w:r>
      <w:r w:rsidRPr="00FB1491">
        <w:t>отбелязва, че през финансовата 2024 година комисията по бюджети на Парламента одобри 12 трансфера („C“ трансфери) в съответствие с членове 31 и 49 от Финансовия регламент, на стойност 82 768 000 EUR, или 3,47% от окончателните бюджетни кредити;</w:t>
      </w:r>
      <w:r w:rsidRPr="00FB1491">
        <w:rPr>
          <w14:textOutline w14:w="0" w14:cap="flat" w14:cmpd="sng" w14:algn="ctr">
            <w14:noFill/>
            <w14:prstDash w14:val="solid"/>
            <w14:bevel/>
          </w14:textOutline>
        </w:rPr>
        <w:t xml:space="preserve"> </w:t>
      </w:r>
      <w:r w:rsidRPr="00FB1491">
        <w:t>отбелязва, че председателят е разрешил 9 трансфера („P“ трансфери) в съответствие с член 29 от Финансовия регламент, на стойност 11 479 000 EUR, или 0,4% от бюджета за 2024 г.;</w:t>
      </w:r>
    </w:p>
    <w:p w14:paraId="352122A9"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6</w:t>
      </w:r>
      <w:r w:rsidRPr="00FB1491">
        <w:t>.</w:t>
      </w:r>
      <w:r w:rsidRPr="00FB1491">
        <w:rPr>
          <w14:textOutline w14:w="0" w14:cap="flat" w14:cmpd="sng" w14:algn="ctr">
            <w14:noFill/>
            <w14:prstDash w14:val="solid"/>
            <w14:bevel/>
          </w14:textOutline>
        </w:rPr>
        <w:tab/>
      </w:r>
      <w:r w:rsidRPr="00FB1491">
        <w:t>приветства ангажимента на генералния секретар за опростяване, добра администрация и засилване на контролната функция на Парламента; отбелязва със задоволство, че опростяването се възприема не само като цел, която трябва да бъде постигната, но и като ръководен принцип, който да се прилага систематично във всички области на дейност на Парламента, като се обезпечат по-ефективни и достъпни (административни) процеси; приветства трайния акцент върху основната дейност на Парламента, неговите законодателни, бюджетни и контролни дейности, и по-специално създаването на четири тематични генерални дирекции, включително Генерална дирекция по бюджетни въпроси;</w:t>
      </w:r>
    </w:p>
    <w:p w14:paraId="533B7A32"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Становища на Европейската сметна палата относно надеждността на отчетите за 2024 г., както и относно законосъобразността и редовността на свързаните с отчетите операции</w:t>
      </w:r>
    </w:p>
    <w:p w14:paraId="2BCBB0F9"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7</w:t>
      </w:r>
      <w:r w:rsidRPr="00FB1491">
        <w:t>.</w:t>
      </w:r>
      <w:r w:rsidRPr="00FB1491">
        <w:rPr>
          <w14:textOutline w14:w="0" w14:cap="flat" w14:cmpd="sng" w14:algn="ctr">
            <w14:noFill/>
            <w14:prstDash w14:val="solid"/>
            <w14:bevel/>
          </w14:textOutline>
        </w:rPr>
        <w:tab/>
        <w:t xml:space="preserve">припомня, че Европейската сметна палата („Палатата“) прави специфична оценка на административните и другите разходи, като една и съща група от политики за всички институции на Съюза; </w:t>
      </w:r>
      <w:r w:rsidRPr="00FB1491">
        <w:t>подчертава, че административните разходи включват разходи за човешки ресурси, в т.ч. и пенсии, които през 2024 г. представляват около 69% от общия размер на административните разходи, и разходи за сгради, оборудване, енергия, комуникации и информационни технологии;</w:t>
      </w:r>
      <w:r w:rsidRPr="00FB1491">
        <w:rPr>
          <w14:textOutline w14:w="0" w14:cap="flat" w14:cmpd="sng" w14:algn="ctr">
            <w14:noFill/>
            <w14:prstDash w14:val="solid"/>
            <w14:bevel/>
          </w14:textOutline>
        </w:rPr>
        <w:t xml:space="preserve"> подчертава, че работата на Палатата в продължение на много години показва, че разходите в тази област като цяло се характеризират с ниско ниво на риск;</w:t>
      </w:r>
    </w:p>
    <w:p w14:paraId="40510E02"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8</w:t>
      </w:r>
      <w:r w:rsidRPr="00FB1491">
        <w:t>.</w:t>
      </w:r>
      <w:r w:rsidRPr="00FB1491">
        <w:rPr>
          <w14:textOutline w14:w="0" w14:cap="flat" w14:cmpd="sng" w14:algn="ctr">
            <w14:noFill/>
            <w14:prstDash w14:val="solid"/>
            <w14:bevel/>
          </w14:textOutline>
        </w:rPr>
        <w:tab/>
      </w:r>
      <w:r w:rsidRPr="00FB1491">
        <w:t xml:space="preserve">отбелязва, че за функция 7 от многогодишната финансова рамка „Европейска публична администрация“ са заделени </w:t>
      </w:r>
      <w:r w:rsidRPr="00FB1491">
        <w:rPr>
          <w14:textOutline w14:w="0" w14:cap="flat" w14:cmpd="sng" w14:algn="ctr">
            <w14:noFill/>
            <w14:prstDash w14:val="solid"/>
            <w14:bevel/>
          </w14:textOutline>
        </w:rPr>
        <w:t>13</w:t>
      </w:r>
      <w:r w:rsidRPr="00FB1491">
        <w:t>,</w:t>
      </w:r>
      <w:r w:rsidRPr="00FB1491">
        <w:rPr>
          <w14:textOutline w14:w="0" w14:cap="flat" w14:cmpd="sng" w14:algn="ctr">
            <w14:noFill/>
            <w14:prstDash w14:val="solid"/>
            <w14:bevel/>
          </w14:textOutline>
        </w:rPr>
        <w:t>3</w:t>
      </w:r>
      <w:r w:rsidRPr="00FB1491">
        <w:t xml:space="preserve"> милиарда евро, или 6,9% от бюджета на Съюза за 2024 г., от които </w:t>
      </w:r>
      <w:r w:rsidRPr="00FB1491">
        <w:rPr>
          <w14:textOutline w14:w="0" w14:cap="flat" w14:cmpd="sng" w14:algn="ctr">
            <w14:noFill/>
            <w14:prstDash w14:val="solid"/>
            <w14:bevel/>
          </w14:textOutline>
        </w:rPr>
        <w:t>2</w:t>
      </w:r>
      <w:r w:rsidRPr="00FB1491">
        <w:t>,</w:t>
      </w:r>
      <w:r w:rsidRPr="00FB1491">
        <w:rPr>
          <w14:textOutline w14:w="0" w14:cap="flat" w14:cmpd="sng" w14:algn="ctr">
            <w14:noFill/>
            <w14:prstDash w14:val="solid"/>
            <w14:bevel/>
          </w14:textOutline>
        </w:rPr>
        <w:t>4</w:t>
      </w:r>
      <w:r w:rsidRPr="00FB1491">
        <w:t xml:space="preserve"> милиарда евро, или 18,1%, са за Парламента; </w:t>
      </w:r>
      <w:r w:rsidRPr="00FB1491">
        <w:rPr>
          <w14:textOutline w14:w="0" w14:cap="flat" w14:cmpd="sng" w14:algn="ctr">
            <w14:noFill/>
            <w14:prstDash w14:val="solid"/>
            <w14:bevel/>
          </w14:textOutline>
        </w:rPr>
        <w:t>подчертава факта, че според констатациите на Палатата нивото на грешки при разходите по функция „Европейска публична администрация“ не е съществено;</w:t>
      </w:r>
    </w:p>
    <w:p w14:paraId="00933C7F"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9</w:t>
      </w:r>
      <w:r w:rsidRPr="00FB1491">
        <w:t>.</w:t>
      </w:r>
      <w:r w:rsidRPr="00FB1491">
        <w:rPr>
          <w14:textOutline w14:w="0" w14:cap="flat" w14:cmpd="sng" w14:algn="ctr">
            <w14:noFill/>
            <w14:prstDash w14:val="solid"/>
            <w14:bevel/>
          </w14:textOutline>
        </w:rPr>
        <w:tab/>
      </w:r>
      <w:r w:rsidRPr="00FB1491">
        <w:t xml:space="preserve">отбелязва, че в годишния доклад на Палатата относно изпълнението на бюджета за финансовата 2024 година са разгледани по-специално системите на Парламента </w:t>
      </w:r>
      <w:r w:rsidRPr="00FB1491">
        <w:lastRenderedPageBreak/>
        <w:t>за наблюдение и контрол, по-конкретно прилагането на стандартите за вътрешен контрол, управлението на риска и функционирането на някои ключови проверки, определени във Финансовия регламент, включително предварителните и последващите проверки на плащанията, както и представителна извадка от 70 операции, обхващаща целия набор от разходи по тази функция на многогодишната финансова рамка, както и информацията относно спазването на правилата и разпоредбите, съдържаща се в годишните отчети за дейността на всички институции и органи на Съюза;</w:t>
      </w:r>
    </w:p>
    <w:p w14:paraId="2B84787B" w14:textId="77777777" w:rsidR="00C87F54" w:rsidRPr="00FB1491" w:rsidRDefault="00C87F54" w:rsidP="00C87F54">
      <w:pPr>
        <w:pStyle w:val="NormalHanging12a"/>
      </w:pPr>
      <w:r w:rsidRPr="00FB1491">
        <w:t>10.</w:t>
      </w:r>
      <w:r w:rsidRPr="00FB1491">
        <w:tab/>
        <w:t>отбелязва констатациите на Палатата по отношение на вътрешните правила на Парламента; отбелязва, че администрацията на Палатата има задължението да спазва Финансовия регламент и неговите правила за възлагане на обществени поръчки; все пак отбелязва, че за политическите групи Бюрото прие Правилника относно разходването на бюджетни кредити по бюджетна позиция 400, който съдържа редица специфични разпоредби във връзка с някои процедури за възлагане на обществени поръчки; припомня, че политическите групи управляват средствата, които са им отпуснати, в съответствие с принципите за непряко управление на средствата, при аналогично прилагане на член 62, параграф 1, буква в) от Финансовия регламент; счита, че същите тези правила заменят „споразуменията за финансово участие“, посочени в член 158, параграф 7 от Финансовия регламент; подчертава, че външен одитор за всяка група, избран от списък на одиторски дружества, изготвен от администрацията на Парламента, сертифицира съответните им годишни отчети, за да се осигури съответствие, което гарантира неутрално равнище на контрол; подчертава, че Палатата също така разглежда дейностите на политическите групи в своя годишен доклад;</w:t>
      </w:r>
    </w:p>
    <w:p w14:paraId="140EBDD6" w14:textId="77777777" w:rsidR="00C87F54" w:rsidRPr="00FB1491" w:rsidRDefault="00C87F54" w:rsidP="00C87F54">
      <w:pPr>
        <w:pStyle w:val="NormalHanging12a"/>
      </w:pPr>
      <w:r w:rsidRPr="00FB1491">
        <w:t>11.</w:t>
      </w:r>
      <w:r w:rsidRPr="00FB1491">
        <w:tab/>
        <w:t xml:space="preserve">отбелязва, че само трима одитори бяха включени в списъка на одиторските дружества, избрани да извършват одит на отчетите на политическите групи, като изразява съжаление за ограничения наличен избор; призовава Генерална дирекция по финанси (ГД FINS) да се стреми да включва повече външни одиторски дружества в списъка, като активно кани всички квалифицирани европейски одитори, включително и тези, които са установени извън Белгия, като по този начин се осигуряват достатъчно възможности, за да могат политическите групи да имат по-голям избор при подбора на одитор, който да отговаря на изискванията на Съвета по международни одиторски стандарти и стандарти за изразяване на увереност (СМОССИС); счита освен това, че бюджетите, отпуснати от политическите групи за одитите, следва да бъдат увеличени, за да се гарантира по-задълбочен одит на доброто финансово управление и да се привлече по-широк спектър от одиторски експертен опит; отбелязва насоките и напътствията, които вече са предоставени на външните одитори, и насърчава Генералната дирекция по финанси да гарантира качеството на външните одити, при които се заверяват отчетите на политическите групи; </w:t>
      </w:r>
    </w:p>
    <w:p w14:paraId="14956DBC"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12</w:t>
      </w:r>
      <w:r w:rsidRPr="00FB1491">
        <w:t>.</w:t>
      </w:r>
      <w:r w:rsidRPr="00FB1491">
        <w:rPr>
          <w14:textOutline w14:w="0" w14:cap="flat" w14:cmpd="sng" w14:algn="ctr">
            <w14:noFill/>
            <w14:prstDash w14:val="solid"/>
            <w14:bevel/>
          </w14:textOutline>
        </w:rPr>
        <w:tab/>
      </w:r>
      <w:r w:rsidRPr="00FB1491">
        <w:t xml:space="preserve">отбелязва, че съгласно член 1.4 от Правилника относно </w:t>
      </w:r>
      <w:r w:rsidRPr="00FB1491">
        <w:rPr>
          <w:rStyle w:val="s1"/>
          <w:rFonts w:ascii="UICTFontTextStyleBody" w:hAnsi="UICTFontTextStyleBody"/>
        </w:rPr>
        <w:t>разходването на бюджетни кредити по бюджетна позиция</w:t>
      </w:r>
      <w:r w:rsidRPr="00FB1491">
        <w:t> 400 политическите групи носят отговорност пред институцията за разходването на бюджетните кредити в рамките на предоставените им от Бюрото правомощия; отбелязва, че те следят бюджетните кредити да се използват в съответствие с този правилник; приветства усилията на администрацията на Парламента за подпомагане на политическите групи с цел насочване на техните знания и капацитет в областта на финансовото управление;</w:t>
      </w:r>
    </w:p>
    <w:p w14:paraId="439F7CDB" w14:textId="77777777" w:rsidR="00C87F54" w:rsidRPr="00FB1491" w:rsidRDefault="00C87F54" w:rsidP="00C87F54">
      <w:pPr>
        <w:spacing w:after="240"/>
        <w:ind w:left="567" w:hanging="567"/>
      </w:pPr>
      <w:r w:rsidRPr="00FB1491">
        <w:lastRenderedPageBreak/>
        <w:t>13.</w:t>
      </w:r>
      <w:r w:rsidRPr="00FB1491">
        <w:tab/>
        <w:t>припомня, че европейските политически партии могат да получават финансиране от бюджета на Съюза, с оглед на техния принос за формирането на европейско политическо съзнание и за изразяването на политическата воля на гражданите на Съюза; отбелязва, че Палатата е одитирала една трансакция, при която е счела разходите за недопустими и е установила, че администрацията на Парламента е на същото мнение и е предприела стъпки за възстановяване на съответните разходи; приветства поведението на администрацията на Парламента в това отношение, и по-специално нейния ангажимент за прилагане на хоризонтален подход, гарантиращ равно третиране на всички политически партии;</w:t>
      </w:r>
    </w:p>
    <w:p w14:paraId="5885BE8D"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Годишен доклад на вътрешния одитор</w:t>
      </w:r>
    </w:p>
    <w:p w14:paraId="1DEC196A"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14.</w:t>
      </w:r>
      <w:r w:rsidRPr="00FB1491">
        <w:rPr>
          <w14:textOutline w14:w="0" w14:cap="flat" w14:cmpd="sng" w14:algn="ctr">
            <w14:noFill/>
            <w14:prstDash w14:val="solid"/>
            <w14:bevel/>
          </w14:textOutline>
        </w:rPr>
        <w:tab/>
      </w:r>
      <w:r w:rsidRPr="00FB1491">
        <w:t>отбелязва, че на заседанието, проведено на 8 декември 2025 г. с компетентната комисия и вътрешния одитор, вътрешният одитор представи своя годишен доклад;</w:t>
      </w:r>
    </w:p>
    <w:p w14:paraId="0597CA75"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15.</w:t>
      </w:r>
      <w:r w:rsidRPr="00FB1491">
        <w:rPr>
          <w14:textOutline w14:w="0" w14:cap="flat" w14:cmpd="sng" w14:algn="ctr">
            <w14:noFill/>
            <w14:prstDash w14:val="solid"/>
            <w14:bevel/>
          </w14:textOutline>
        </w:rPr>
        <w:tab/>
      </w:r>
      <w:r w:rsidRPr="00FB1491">
        <w:t>приветства и подкрепя действията, които вътрешният одитор е договорил с отговорните генерални дирекции в резултат на задачите на Службата за вътрешен одит (IAS) за получаване на увереност; отбелязва, че последващите действия във връзка с тези препоръки се одитират систематично;</w:t>
      </w:r>
    </w:p>
    <w:p w14:paraId="2B3EA0E7"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16.</w:t>
      </w:r>
      <w:r w:rsidRPr="00FB1491">
        <w:rPr>
          <w14:textOutline w14:w="0" w14:cap="flat" w14:cmpd="sng" w14:algn="ctr">
            <w14:noFill/>
            <w14:prstDash w14:val="solid"/>
            <w14:bevel/>
          </w14:textOutline>
        </w:rPr>
        <w:tab/>
        <w:t>отбелязва, че при процеса за предприемане на последващи действия през 2024 г. 24 от 57-те действия бяха счетени за ефективно изпълнени, и следователно бяха утвърдени от Службата за вътрешен одит; отбелязва, че профилът на остатъчния риск за 33 просрочени действия касае 24 действия със значителен риск, свързани главно с киберсигурността, самоличността и управлението на достъпа; отбелязва засиленото сътрудничество с Генерална дирекция за информационни технологии и киберсигурност (ГД ITEC) с цел наблюдение на изпълнението и остатъчния риск;</w:t>
      </w:r>
    </w:p>
    <w:p w14:paraId="1CAF92D0" w14:textId="77777777" w:rsidR="00C87F54" w:rsidRPr="00FB1491" w:rsidRDefault="00C87F54" w:rsidP="00C87F54">
      <w:pPr>
        <w:pStyle w:val="NormalHanging12a"/>
      </w:pPr>
      <w:r w:rsidRPr="00FB1491">
        <w:t>17.</w:t>
      </w:r>
      <w:r w:rsidRPr="00FB1491">
        <w:tab/>
        <w:t>потвърждава, че в съответствие с член 118, параграф 9 от Финансовия регламент до отчетите и констатациите на вътрешния одитор, както и до доклада на съответната институция на Съюза се осигурява публичен достъп, като същевременно се гарантира спазване на правилата за защита и поверителност на данните, веднага след като вътрешният одитор утвърди действията; отбелязва, че на практика отчетите се публикуват едва след като всички препоръки бъдат изпълнени; отбелязва, че членовете на комисията по бюджетен контрол на Парламента имат право да поискат поверителен достъп до доклада за вътрешен одит, с оглед на процедурата по освобождаване от отговорност във връзка с изпълнението на бюджета, и приветства факта, че вътрешният одитор докладва на комисията по бюджетен контрол на Парламента относно извършените годишни одитни дейности;</w:t>
      </w:r>
    </w:p>
    <w:p w14:paraId="16A007B0"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18.</w:t>
      </w:r>
      <w:r w:rsidRPr="00FB1491">
        <w:rPr>
          <w14:textOutline w14:w="0" w14:cap="flat" w14:cmpd="sng" w14:algn="ctr">
            <w14:noFill/>
            <w14:prstDash w14:val="solid"/>
            <w14:bevel/>
          </w14:textOutline>
        </w:rPr>
        <w:tab/>
        <w:t xml:space="preserve">приветства продължаващата програма на Службата за вътрешен одит за обезпечаване и подобряване на качеството, и най-вече подготовката за въвеждането на новите глобални стандарти за вътрешен одит, които трябваше да влязат в сила през януари 2025 г.; приветства по-специално приемането на актуализираната харта за одит от Бюрото и изготвянето на стратегия за периода 2025 – 2029 г. за функцията по вътрешен одит, която отразява ясно необходимостта от положителна промяна и основан на етика подход; отбелязва факта, че 70% от служителите на Службата за вътрешен одит са издържали изпита </w:t>
      </w:r>
      <w:r w:rsidRPr="00FB1491">
        <w:rPr>
          <w14:textOutline w14:w="0" w14:cap="flat" w14:cmpd="sng" w14:algn="ctr">
            <w14:noFill/>
            <w14:prstDash w14:val="solid"/>
            <w14:bevel/>
          </w14:textOutline>
        </w:rPr>
        <w:lastRenderedPageBreak/>
        <w:t>за сертифициране, за да станат вътрешни одитори, като допълнителен показател за подобряване на качеството;</w:t>
      </w:r>
    </w:p>
    <w:p w14:paraId="1453A16A"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b/>
          <w:i/>
          <w14:textOutline w14:w="0" w14:cap="flat" w14:cmpd="sng" w14:algn="ctr">
            <w14:noFill/>
            <w14:prstDash w14:val="solid"/>
            <w14:bevel/>
          </w14:textOutline>
        </w:rPr>
        <w:t>Политически приоритети</w:t>
      </w:r>
    </w:p>
    <w:p w14:paraId="67641501" w14:textId="77777777" w:rsidR="00C87F54" w:rsidRPr="00FB1491" w:rsidRDefault="00C87F54" w:rsidP="00C87F54">
      <w:pPr>
        <w:pStyle w:val="NormalHanging12a"/>
      </w:pPr>
      <w:r w:rsidRPr="00FB1491">
        <w:t>19.</w:t>
      </w:r>
      <w:r w:rsidRPr="00FB1491">
        <w:tab/>
        <w:t xml:space="preserve">припомня, че в съответствие с членове 1.3.2, 2.7.1 и 2.7.2 от Правилника относно разходването на бюджетни кредити по бюджетна позиция 400 бившата политическа група </w:t>
      </w:r>
      <w:proofErr w:type="spellStart"/>
      <w:r w:rsidRPr="00FB1491">
        <w:t>Identity</w:t>
      </w:r>
      <w:proofErr w:type="spellEnd"/>
      <w:r w:rsidRPr="00FB1491">
        <w:t xml:space="preserve"> &amp; </w:t>
      </w:r>
      <w:proofErr w:type="spellStart"/>
      <w:r w:rsidRPr="00FB1491">
        <w:t>Democracy</w:t>
      </w:r>
      <w:proofErr w:type="spellEnd"/>
      <w:r w:rsidRPr="00FB1491">
        <w:t xml:space="preserve"> (групата ID) представи своя окончателен финансов доклад на 8 октомври 2024 г., обхващащ периода от 1 януари до 15 юли 2024 г.; припомня, че администрацията на Парламента получи пълния финансов архив на групата ID както в електронен формат, така и на хартиен носител, и извърши основана на риска последваща проверка на отчетите за 2024 г., като се фокусира върху проверките за съответствие и тестването на извадки от високорискови договори и дарения; припомня констатациите на администрацията на Парламента, че най-малко 4 333 635,78 EUR от бюджетните кредити по бюджетна позиция 400 са били неправомерно изразходвани от групата през мандата 2019 – 2024 г., което излага Парламента на значителен финансов риск и риск за репутацията; бяха установени слабости в процедурите за възлагане на обществени поръчки, които крият значителни рискове за репутацията на Парламента;</w:t>
      </w:r>
    </w:p>
    <w:p w14:paraId="0586BBBB" w14:textId="77777777" w:rsidR="00C87F54" w:rsidRPr="00FB1491" w:rsidRDefault="00C87F54" w:rsidP="00C87F54">
      <w:pPr>
        <w:pStyle w:val="NormalHanging12a"/>
      </w:pPr>
      <w:r w:rsidRPr="00FB1491">
        <w:t>20.</w:t>
      </w:r>
      <w:r w:rsidRPr="00FB1491">
        <w:tab/>
        <w:t>отбелязва, че Европейската прокуратура обяви, че през юли 2025 г. тя е започнала разследване във връзка с предполагаема злоупотреба със средства на Съюза от страна на групата ID в периода 2019 – 2024 г.;</w:t>
      </w:r>
    </w:p>
    <w:p w14:paraId="1CDCABC9" w14:textId="77777777" w:rsidR="00C87F54" w:rsidRPr="00FB1491" w:rsidRDefault="00C87F54" w:rsidP="00C87F54">
      <w:pPr>
        <w:pStyle w:val="NormalHanging12a"/>
      </w:pPr>
      <w:r w:rsidRPr="00FB1491">
        <w:t>21.</w:t>
      </w:r>
      <w:r w:rsidRPr="00FB1491">
        <w:tab/>
        <w:t xml:space="preserve">подчертава, че администрацията на Парламента е предала преписката по делото и оказва пълно съдействие за разследването на Европейската прокуратура; отбелязва, че Бюрото очаква да узнае резултата от разследването на Европейската прокуратура, преди да предприеме каквито и да било действия по възстановяването на средства; призовава Бюрото да предостави на комисията по бюджетен контрол на Парламента актуална писмена информация за положението по този въпрос преди началото на следващия цикъл на освобождаване от отговорност във връзка с изпълнението на бюджета; призовава администрацията на Парламента да предприеме всички необходими мерки, успоредно с наказателното разследване на Европейската прокуратура, както и временни административни защитни мерки (включително обезпечителни прихващания и/или резерви, когато това е осъществимо от правна гледна точка), за да защити финансовите интереси на Съюза и репутацията на Парламента; счита, че съгласно член 3, параграф 3 от работното споразумение между Европейския парламент и Европейската прокуратура, Европейската прокуратура ще информира Парламента за текущите или приключените разследвания, при които Парламентът изглежда може да предприеме предпазни мерки за защита на финансовите интереси на Съюза, включително дисциплинарни процедури или процедури за възстановяване на средства в рамките на приложимите срокове; отбелязва, че наказателното производство не следва да се използва автоматично като общо оправдание за евентуално бездействие; </w:t>
      </w:r>
    </w:p>
    <w:p w14:paraId="58B6EFFF" w14:textId="77777777" w:rsidR="00C87F54" w:rsidRPr="00FB1491" w:rsidRDefault="00C87F54" w:rsidP="00C87F54">
      <w:pPr>
        <w:pStyle w:val="NormalHanging12a"/>
      </w:pPr>
      <w:r w:rsidRPr="00FB1491">
        <w:t>22.</w:t>
      </w:r>
      <w:r w:rsidRPr="00FB1491">
        <w:tab/>
        <w:t xml:space="preserve">призовава Бюрото да гарантира, че външните одитори спазват изцяло изискванията в писмото за поемане на ангажимент, както и да гарантира, при извършването на бъдещи одити, упражняването на подходящ надзор от страна на външните одитори по отношение на групите, като за външните одитори се </w:t>
      </w:r>
      <w:r w:rsidRPr="00FB1491">
        <w:lastRenderedPageBreak/>
        <w:t>осигурят на разположение повече часове, за да могат те да изпълнят своята надзорна роля; призовава Генералната дирекция по финанси да осигури подходящ персонал в рамките на ГД FINS, който да отговаря за бюджетна позиция 400, с цел предоставяне на по-ясни насоки относно правилното тълкуване на правилата за бюджетна позиция 400, за да се избегне несъответствие между съображенията на външните одитори и тези на Генерална дирекция по финанси, при пълно зачитане на независимостта на одиторите, по-специално при възлагането на обществени поръчки, както и да се осигурят повече обучения и подкрепа за групите във връзка с възлагането на обществени поръчки;</w:t>
      </w:r>
    </w:p>
    <w:p w14:paraId="7D21E964" w14:textId="77777777" w:rsidR="00C87F54" w:rsidRPr="00FB1491" w:rsidRDefault="00C87F54" w:rsidP="00C87F54">
      <w:pPr>
        <w:pStyle w:val="NormalHanging12a"/>
        <w:rPr>
          <w:bCs/>
          <w:iCs/>
        </w:rPr>
      </w:pPr>
      <w:r w:rsidRPr="00FB1491">
        <w:t>23.</w:t>
      </w:r>
      <w:r w:rsidRPr="00FB1491">
        <w:tab/>
        <w:t>призовава генералния секретар да започне обсъждане относно системата за външен одит, въведена за бюджетна позиция 400;</w:t>
      </w:r>
    </w:p>
    <w:p w14:paraId="1903A6C7" w14:textId="77777777" w:rsidR="00C87F54" w:rsidRPr="00FB1491" w:rsidRDefault="00C87F54" w:rsidP="00C87F54">
      <w:pPr>
        <w:pStyle w:val="NormalHanging12a"/>
        <w:rPr>
          <w:bCs/>
          <w:iCs/>
        </w:rPr>
      </w:pPr>
      <w:r w:rsidRPr="00FB1491">
        <w:t>24.</w:t>
      </w:r>
      <w:r w:rsidRPr="00FB1491">
        <w:tab/>
        <w:t>приветства използването на Парламента като платформа за повишаване на осведомеността относно насилието, основано на пола, и домашното насилие; подчертава значението на мисиите на Съюза и на Парламента, които допринасят за насърчаване на равенството между половете, и по-специално тези, които предоставят подкрепа, защита и основни услуги за жени и момичета, които са пострадали от сексуално насилие в ситуации на конфликт и след конфликт;</w:t>
      </w:r>
    </w:p>
    <w:p w14:paraId="3C21E71A" w14:textId="77777777" w:rsidR="00C87F54" w:rsidRPr="00FB1491" w:rsidRDefault="00C87F54" w:rsidP="00C87F54">
      <w:pPr>
        <w:pStyle w:val="NormalHanging12a"/>
        <w:rPr>
          <w:bCs/>
          <w:iCs/>
        </w:rPr>
      </w:pPr>
      <w:r w:rsidRPr="00FB1491">
        <w:t>25.</w:t>
      </w:r>
      <w:r w:rsidRPr="00FB1491">
        <w:tab/>
        <w:t>припомня становището на комисията по бюджетен контрол на Парламента за Бюрото относно разпускането на политическата група „Идентичност и демокрация“ и окончателния финансов доклад за 2024 г., одобрен на 4 септември 2025 г., в който се призовава да се проучи възможността за незабавно започване на необходимите процедури с цел възможно най-бързо възстановяване на всички недопустими разходи, за да се оценят потенциалните задължения на отговорните (бивши) членове на ЕП и на съответната йерархия във връзка с умишленото или допуснато поради груба небрежност разрешаване на неправомерни разходи; препоръчва на Бюрото, за срока на разследването, да отстрани външния одитор, заверил отчетите на групата ID, от списъка с одобрени външни одиторски дружества, предоставен на политическите групи, като отстраненият одитор незабавно се замени с друг одитор и като се гарантира осигуряването на достатъчно алтернативни варианти за политическите групи; очаква анализа на администрацията на Парламента относно отчетите на групата „Патриоти за Европа“ (</w:t>
      </w:r>
      <w:proofErr w:type="spellStart"/>
      <w:r w:rsidRPr="00FB1491">
        <w:t>PfE</w:t>
      </w:r>
      <w:proofErr w:type="spellEnd"/>
      <w:r w:rsidRPr="00FB1491">
        <w:t>) за 2024 г.;</w:t>
      </w:r>
    </w:p>
    <w:p w14:paraId="01ADFB58" w14:textId="5C9B66D8" w:rsidR="00C87F54" w:rsidRPr="00FB1491" w:rsidRDefault="00C24709" w:rsidP="00C87F54">
      <w:pPr>
        <w:pStyle w:val="NormalHanging12a"/>
      </w:pPr>
      <w:r>
        <w:t>26</w:t>
      </w:r>
      <w:r w:rsidR="00C87F54" w:rsidRPr="00FB1491">
        <w:t>.</w:t>
      </w:r>
      <w:r w:rsidR="00C87F54" w:rsidRPr="00FB1491">
        <w:tab/>
        <w:t>отбелязва, че политическите групи разполагат със значителна автономност по отношение на техните ИТ услуги, които се използват за съхранение на информация, свързана с техните дейности; отбелязва, че в един нестабилен геополитически свят тези данни следва да се съхраняват на европейски сървъри от европейски доставчици, за да се избегнат външни зависимости и рискове; поради това приветства неотдавнашното съобщение за обезпечаване на сигурна и суверенна облачна инфраструктура с цел премахване на тази зависимост;</w:t>
      </w:r>
    </w:p>
    <w:p w14:paraId="0A901AD7" w14:textId="50C54A34" w:rsidR="00C87F54" w:rsidRPr="00FB1491" w:rsidRDefault="00720E99" w:rsidP="00C87F54">
      <w:pPr>
        <w:pStyle w:val="NormalHanging12a"/>
      </w:pPr>
      <w:r>
        <w:t>27</w:t>
      </w:r>
      <w:r w:rsidR="00C87F54" w:rsidRPr="00FB1491">
        <w:t>.</w:t>
      </w:r>
      <w:r w:rsidR="00C87F54" w:rsidRPr="00FB1491">
        <w:tab/>
        <w:t>подчертава, че е важно да се поддържа институционалният интегритет и да се предотвратява неправомерна външна намеса; осъжда всеки неправомерен опит за оказване на влияние върху законодателната дейност на Парламента;</w:t>
      </w:r>
    </w:p>
    <w:p w14:paraId="5562629A" w14:textId="3BBC8FA6" w:rsidR="00C87F54" w:rsidRPr="00FB1491" w:rsidRDefault="00720E99" w:rsidP="00C87F54">
      <w:pPr>
        <w:pStyle w:val="NormalHanging12a"/>
        <w:rPr>
          <w:bCs/>
          <w:iCs/>
        </w:rPr>
      </w:pPr>
      <w:r>
        <w:t>28</w:t>
      </w:r>
      <w:r w:rsidR="00C87F54" w:rsidRPr="00FB1491">
        <w:t>.</w:t>
      </w:r>
      <w:r w:rsidR="00C87F54" w:rsidRPr="00FB1491">
        <w:tab/>
        <w:t xml:space="preserve">отбелязва, че Комисията е признала твърденията за използването на средства на Съюза за дейности по застъпничество, насочени към Парламента, от страна на няколко субекта, но е заявила, че тези дейности попадат в обхвата на </w:t>
      </w:r>
      <w:r w:rsidR="00C87F54" w:rsidRPr="00FB1491">
        <w:lastRenderedPageBreak/>
        <w:t>приложимите разпоредби; признава обаче, че това все пак може да е довело до рискове за репутацията;</w:t>
      </w:r>
    </w:p>
    <w:p w14:paraId="3A6D9D21" w14:textId="4BDF9637" w:rsidR="00C87F54" w:rsidRPr="00FB1491" w:rsidRDefault="00720E99" w:rsidP="00C87F54">
      <w:pPr>
        <w:pStyle w:val="NormalHanging12a"/>
      </w:pPr>
      <w:r>
        <w:t>29</w:t>
      </w:r>
      <w:r w:rsidR="00C87F54" w:rsidRPr="00FB1491">
        <w:t>.</w:t>
      </w:r>
      <w:r w:rsidR="00C87F54" w:rsidRPr="00FB1491">
        <w:tab/>
        <w:t>припомня, че твърденията за руско влияние в Парламента пораждат сериозни рискове за демократичната почтеност, като отбелязва, че някои членове открито подкрепят Русия, включително в техни странични дейности, което подчертава необходимостта от по-строги гаранции; отбелязва, че Парламентът е станал по-бдителен в своята реакция спрямо чуждестранна намеса, но въпреки това следва да се предприемат по-решителни мерки, за да се гарантира ефективна защита срещу неправомерно външно влияние; подчертава в този контекст съществената отговорност на Европейската служба за борба с измамите (OLAF) за провеждането на всякакви необходими задълбочени разследвания;</w:t>
      </w:r>
    </w:p>
    <w:p w14:paraId="1A31DAD3" w14:textId="5B929DB0" w:rsidR="00C87F54" w:rsidRPr="00FB1491" w:rsidRDefault="00720E99" w:rsidP="00C87F54">
      <w:pPr>
        <w:pStyle w:val="NormalHanging12a"/>
        <w:rPr>
          <w:bCs/>
          <w:iCs/>
        </w:rPr>
      </w:pPr>
      <w:r>
        <w:t>30</w:t>
      </w:r>
      <w:r w:rsidR="00C87F54" w:rsidRPr="00FB1491">
        <w:t>.</w:t>
      </w:r>
      <w:r w:rsidR="00C87F54" w:rsidRPr="00FB1491">
        <w:tab/>
        <w:t>отбелязва, че 2024 г., включително и подготовката за изборите за Европейски парламент, беше белязана от повишени рискове от външна намеса и операции за оказване на влияние, насочени срещу демократичните институции и избраните представители; припомня, че публичните твърдения и разследванията във връзка с опитите за оказване на влияние върху политическите позиции и поведението при гласуване подчертават необходимостта от наличието на стабилни механизми за предотвратяване и разкриване на нарушения в рамките на Парламента; следователно призовава Парламента да обезпечи вътрешни гаранции, изисквания за прозрачност и сътрудничество със съответните органи на Съюза, за да се защитят почтеността на Парламента и бюджетът на Съюза;</w:t>
      </w:r>
    </w:p>
    <w:p w14:paraId="05A49058" w14:textId="22B83D62" w:rsidR="00C87F54" w:rsidRPr="00FB1491" w:rsidRDefault="00720E99" w:rsidP="00C87F54">
      <w:pPr>
        <w:pStyle w:val="NormalHanging12a"/>
      </w:pPr>
      <w:r>
        <w:t>31</w:t>
      </w:r>
      <w:r w:rsidR="00C87F54" w:rsidRPr="00FB1491">
        <w:t>.</w:t>
      </w:r>
      <w:r w:rsidR="00C87F54" w:rsidRPr="00FB1491">
        <w:tab/>
        <w:t>припомня, че член 4 от Кодекса за поведение на членовете на Европейския парламент относно почтеността и прозрачността изисква представянето на точни декларации за финансовите интереси на членовете на ЕП; призовава в декларациите да се осигурят достатъчно подробности за платените или неплатените външни дейности, за да се избегнат проблеми с качеството на проверките за конфликти на интереси, които са важни за гарантиране на ефективното предотвратяване, установяване и управление на конфликтите на интереси;</w:t>
      </w:r>
    </w:p>
    <w:p w14:paraId="15424295" w14:textId="1117A748" w:rsidR="00C87F54" w:rsidRPr="00FB1491" w:rsidRDefault="00720E99" w:rsidP="00C87F54">
      <w:pPr>
        <w:pStyle w:val="NormalHanging12a"/>
        <w:rPr>
          <w:bCs/>
          <w:iCs/>
        </w:rPr>
      </w:pPr>
      <w:r>
        <w:t>32</w:t>
      </w:r>
      <w:r w:rsidR="00C87F54" w:rsidRPr="00FB1491">
        <w:t>.</w:t>
      </w:r>
      <w:r w:rsidR="00C87F54" w:rsidRPr="00FB1491">
        <w:tab/>
        <w:t>отбелязва, в интерес на прозрачността, задължителното публикуване на информация за заседанията и декларациите за частни интереси, и по-специално декларациите за материална и финансова подкрепа; отбелязва обаче, че при настоящата рамка се наблюдават някои повтарящи се проблеми, свързани с пълнотата и яснотата, което може да намали цялостната ефективност; счита, че подобрените насоки за членовете на ЕП, както и пропорционалните и последователни последващи действия от страна на администрацията в случаите, когато декларациите изглеждат неточни или непоследователни, заслужават специално внимание, особено с оглед на опасенията за външна намеса;</w:t>
      </w:r>
    </w:p>
    <w:p w14:paraId="2A0113F7" w14:textId="53791DFE" w:rsidR="00C87F54" w:rsidRPr="00FB1491" w:rsidRDefault="00720E99" w:rsidP="00C87F54">
      <w:pPr>
        <w:pStyle w:val="NormalHanging12a"/>
      </w:pPr>
      <w:r>
        <w:t>33</w:t>
      </w:r>
      <w:r w:rsidR="00C87F54" w:rsidRPr="00FB1491">
        <w:t>.</w:t>
      </w:r>
      <w:r w:rsidR="00C87F54" w:rsidRPr="00FB1491">
        <w:tab/>
        <w:t>изразява сериозна загриженост във връзка с твърденията, че някои държави членки са шпионирали Парламента; отбелязва, че Комисията е създала вътрешна група за разследване на тези твърдения; настоятелно призовава за тясно сътрудничество между Парламента и Комисията, и настоятелно призовава Комисията да сподели констатациите на работната група с Парламента, при условие че това споделяне на информация не излага на риск текущи или потенциални съдебни производства;</w:t>
      </w:r>
    </w:p>
    <w:p w14:paraId="0667A94D" w14:textId="688072E3" w:rsidR="00C87F54" w:rsidRPr="00FB1491" w:rsidRDefault="00720E99" w:rsidP="00C87F54">
      <w:pPr>
        <w:pStyle w:val="NormalHanging12a"/>
        <w:rPr>
          <w:bCs/>
          <w:iCs/>
        </w:rPr>
      </w:pPr>
      <w:r>
        <w:lastRenderedPageBreak/>
        <w:t>34</w:t>
      </w:r>
      <w:r w:rsidR="00C87F54" w:rsidRPr="00FB1491">
        <w:t>.</w:t>
      </w:r>
      <w:r w:rsidR="00C87F54" w:rsidRPr="00FB1491">
        <w:tab/>
        <w:t>призовава Парламента да засили защитните мерки, включително сигурното управление на устройствата, каналите за бързо докладване на инциденти за членовете и служителите на ЕП, както и редовните брифинги за заплахите, в сътрудничество със CERT-EU и съответните органи на Съюза, като същевременно се гарантира пълно зачитане на основните права и защитата на данните;</w:t>
      </w:r>
    </w:p>
    <w:p w14:paraId="51D695C9" w14:textId="22C45199" w:rsidR="00C87F54" w:rsidRPr="00FB1491" w:rsidRDefault="00720E99" w:rsidP="00C87F54">
      <w:pPr>
        <w:pStyle w:val="NormalHanging12a"/>
      </w:pPr>
      <w:r>
        <w:t>35</w:t>
      </w:r>
      <w:r w:rsidR="00C87F54" w:rsidRPr="00FB1491">
        <w:t>.</w:t>
      </w:r>
      <w:r w:rsidR="00C87F54" w:rsidRPr="00FB1491">
        <w:tab/>
        <w:t>отбелязва потенциала на изкуствения интелект (ИИ) за осигуряване на точна и прозрачна информация в рамките на Съюза и неговите институции, органи, служби и агенции; подходящо проектираните и управлявани системи с ИИ могат да спомогнат за откриване и смекчаване на невярна информация и дезинформация, те могат да насърчат отчетността и да поддържат високи стандарти за прозрачност с цел запазване на общественото доверие и укрепване на демократичното управление; изразява загриженост във връзка с доминиращото положение на инструментите с ИИ, разработени от компании от трети държави, както и със съображенията за защита на данните и осигуряване на поверителност при използването на инструменти с ИИ на трети страни; призовава за пълна прозрачност относно използването на системи с ИИ във връзка с решенията и процедурите на Парламента, включително публикуването на подробна информация за алгоритмите и оценките на въздействието; призовава администрацията на Парламента да предостави на членовете и служителите на Парламента набор от инструменти с ИИ, адаптирани към потребностите на всяка категория служители, които да отговарят на оперативните нужди на членовете на ЕП и да гарантират поверителността, целостта и наличността на обработваните данни чрез използване на инфраструктура на място, за да се предотврати изтичането на данни и да не се разкрива информация на трети страни, в съответствие с настоящите политики за използването на ИИ;</w:t>
      </w:r>
    </w:p>
    <w:p w14:paraId="303D1D4E" w14:textId="607B19F8" w:rsidR="00C87F54" w:rsidRPr="00FB1491" w:rsidRDefault="00720E99" w:rsidP="00C87F54">
      <w:pPr>
        <w:pStyle w:val="NormalHanging12a"/>
        <w:rPr>
          <w:bCs/>
          <w:iCs/>
        </w:rPr>
      </w:pPr>
      <w:r>
        <w:t>36</w:t>
      </w:r>
      <w:r w:rsidR="00C87F54" w:rsidRPr="00FB1491">
        <w:t>.</w:t>
      </w:r>
      <w:r w:rsidR="00C87F54" w:rsidRPr="00FB1491">
        <w:tab/>
        <w:t>отбелязва нарастващото използване на ИИ и инструментите на големите езикови модели при управлението на човешките ресурси и признава техния потенциал за повишаване на ефективността, който следва да бъде допълнително проучен; същевременно подчертава необходимостта от ясно управление, човешки надзор, прозрачност и стабилни гаранции за защита на данните; призовава администрацията да информира органа по освобождаване от отговорност за обхвата, оценката на риска и етичните гаранции на тези инструменти;</w:t>
      </w:r>
    </w:p>
    <w:p w14:paraId="339A18A5" w14:textId="6DA0328E" w:rsidR="00C87F54" w:rsidRPr="00FB1491" w:rsidRDefault="00720E99" w:rsidP="00C87F54">
      <w:pPr>
        <w:pStyle w:val="NormalHanging12a"/>
      </w:pPr>
      <w:r>
        <w:t>37</w:t>
      </w:r>
      <w:r w:rsidR="00C87F54" w:rsidRPr="00FB1491">
        <w:t>.</w:t>
      </w:r>
      <w:r w:rsidR="00C87F54" w:rsidRPr="00FB1491">
        <w:tab/>
        <w:t>отбелязва, че съгласно Правилника за дейността на Парламента тайното гласуване обикновено се използва при избори и при гласуване, засягащо отделни лица; отбелязва освен това, че тайно гласуване се провежда също така по искане на членове на ЕП или политическа(и) група(и), достигащи поне високия праг; отбелязва в този контекст, че на комисията по конституционни въпроси на Парламента е възложено да направи оценка за използването на втората възможност, и очаква заключенията и предложенията на комисията; счита, че поименното гласуване е много важен инструмент за прозрачност и отчетност спрямо гражданите на Съюза; призовава Парламента да представи мерки, с които да се избягва злоупотребата с гласуването чрез процедурата на тайно гласуване;</w:t>
      </w:r>
    </w:p>
    <w:p w14:paraId="39B04D94" w14:textId="62508B03" w:rsidR="00C87F54" w:rsidRPr="00FB1491" w:rsidRDefault="00720E99" w:rsidP="00C87F54">
      <w:pPr>
        <w:pStyle w:val="NormalHanging12a"/>
        <w:rPr>
          <w:bCs/>
          <w:iCs/>
        </w:rPr>
      </w:pPr>
      <w:r>
        <w:t>38</w:t>
      </w:r>
      <w:r w:rsidR="00C87F54" w:rsidRPr="00FB1491">
        <w:t>.</w:t>
      </w:r>
      <w:r w:rsidR="00C87F54" w:rsidRPr="00FB1491">
        <w:tab/>
        <w:t xml:space="preserve">приветства постигнатия напредък за интегриране на принципа за равенство между половете и съобразеното с него бюджетиране, както и приемането на Плана за действие за равенство между половете за 2025 г.; призовава този план за действие да бъде оповестен публично и бързо изпълнен чрез неговата пътна карта за равенството между половете и да бъде подложен на задълбочена оценка чрез </w:t>
      </w:r>
      <w:r w:rsidR="00C87F54" w:rsidRPr="00FB1491">
        <w:lastRenderedPageBreak/>
        <w:t xml:space="preserve">редовни доклади за мониторинг на постигнатия напредък; приветства работата на мрежата за интегриране на принципа за равенство между половете в рамките на Парламента; </w:t>
      </w:r>
    </w:p>
    <w:p w14:paraId="3B9D063A"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Генерална дирекция за председателството</w:t>
      </w:r>
    </w:p>
    <w:p w14:paraId="1204A249" w14:textId="46F1F045"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39</w:t>
      </w:r>
      <w:r w:rsidR="00C87F54" w:rsidRPr="00FB1491">
        <w:t>.</w:t>
      </w:r>
      <w:r w:rsidR="00C87F54" w:rsidRPr="00FB1491">
        <w:rPr>
          <w14:textOutline w14:w="0" w14:cap="flat" w14:cmpd="sng" w14:algn="ctr">
            <w14:noFill/>
            <w14:prstDash w14:val="solid"/>
            <w14:bevel/>
          </w14:textOutline>
        </w:rPr>
        <w:tab/>
        <w:t xml:space="preserve">припомня, че Генерална дирекция за председателството (ГД PRES) предоставя експертен опит и улеснява законодателната и парламентарната дейност на председателя, пленарните заседания, управителните органи на Парламента и членовете на ЕП на всеки етап от парламентарния и законодателния процес; </w:t>
      </w:r>
      <w:r w:rsidR="00C87F54" w:rsidRPr="00FB1491">
        <w:t>припомня, че тя отговаря също така за междуинституционалните отношения, за протоколната подкрепа при официални посещения и прояви под патронажа на председателя, за управлението на класифицираната информация на Съюза и за управлението на официалната и препоръчаната поща;</w:t>
      </w:r>
      <w:r w:rsidR="00C87F54" w:rsidRPr="00FB1491">
        <w:rPr>
          <w14:textOutline w14:w="0" w14:cap="flat" w14:cmpd="sng" w14:algn="ctr">
            <w14:noFill/>
            <w14:prstDash w14:val="solid"/>
            <w14:bevel/>
          </w14:textOutline>
        </w:rPr>
        <w:t xml:space="preserve"> </w:t>
      </w:r>
      <w:r w:rsidR="00C87F54" w:rsidRPr="00FB1491">
        <w:t>отбелязва, че към 31 декември 2024 г. в генералната дирекция е имало 406 служители, от които 320 длъжностни лица, 29 срочно наети служители, 55 договорно наети служители, един командирован национален експерт и един служител, нает чрез агенция за временна заетост;</w:t>
      </w:r>
    </w:p>
    <w:p w14:paraId="56D27B5F" w14:textId="4A9B5C69"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40</w:t>
      </w:r>
      <w:r w:rsidR="00C87F54" w:rsidRPr="00FB1491">
        <w:t>.</w:t>
      </w:r>
      <w:r w:rsidR="00C87F54" w:rsidRPr="00FB1491">
        <w:rPr>
          <w14:textOutline w14:w="0" w14:cap="flat" w14:cmpd="sng" w14:algn="ctr">
            <w14:noFill/>
            <w14:prstDash w14:val="solid"/>
            <w14:bevel/>
          </w14:textOutline>
        </w:rPr>
        <w:tab/>
      </w:r>
      <w:r w:rsidR="00C87F54" w:rsidRPr="00FB1491">
        <w:t>отбелязва, че през 2024 г. окончателните бюджетни кредити на Генерална дирекция за председателството възлизат на 2 970 957 EUR, което представлява 0,2% от бюджета на Парламента;</w:t>
      </w:r>
      <w:r w:rsidR="00C87F54" w:rsidRPr="00FB1491">
        <w:rPr>
          <w14:textOutline w14:w="0" w14:cap="flat" w14:cmpd="sng" w14:algn="ctr">
            <w14:noFill/>
            <w14:prstDash w14:val="solid"/>
            <w14:bevel/>
          </w14:textOutline>
        </w:rPr>
        <w:t xml:space="preserve"> </w:t>
      </w:r>
      <w:r w:rsidR="00C87F54" w:rsidRPr="00FB1491">
        <w:t>подчертава, че от тази сума са поети задължения в размер на общо 2 903 107 EUR;</w:t>
      </w:r>
      <w:r w:rsidR="00C87F54" w:rsidRPr="00FB1491">
        <w:rPr>
          <w14:textOutline w14:w="0" w14:cap="flat" w14:cmpd="sng" w14:algn="ctr">
            <w14:noFill/>
            <w14:prstDash w14:val="solid"/>
            <w14:bevel/>
          </w14:textOutline>
        </w:rPr>
        <w:t xml:space="preserve"> приветства високата степен на усвояване на бюджетните кредити;</w:t>
      </w:r>
    </w:p>
    <w:p w14:paraId="63D3D5D5" w14:textId="4534FDB6" w:rsidR="00C87F54" w:rsidRPr="00FB1491" w:rsidRDefault="00720E99" w:rsidP="00C87F54">
      <w:pPr>
        <w:spacing w:after="240"/>
        <w:ind w:left="567" w:hanging="567"/>
      </w:pPr>
      <w:r>
        <w:t>41</w:t>
      </w:r>
      <w:r w:rsidR="00C87F54" w:rsidRPr="00FB1491">
        <w:t>.</w:t>
      </w:r>
      <w:r w:rsidR="00C87F54" w:rsidRPr="00FB1491">
        <w:tab/>
        <w:t xml:space="preserve">отбелязва, че дейностите на Генерална дирекция за председателството бяха повлияни от края на деветия и началото на десетия законодателен мандат, което създаде предизвикателства за капацитета за планиране и приключване на пленарните заседания в края на деветия мандат, предвид твърде големия брой досиета по обикновената законодателна процедура, договорени през последните месеци на мандата, и учредяването на новия Парламент в началото на десетия мандат с избирането на председателя и Бюрото; </w:t>
      </w:r>
    </w:p>
    <w:p w14:paraId="50BF42EA" w14:textId="1CF61998" w:rsidR="00C87F54" w:rsidRPr="00FB1491" w:rsidRDefault="00720E99" w:rsidP="00C87F54">
      <w:pPr>
        <w:pStyle w:val="NormalHanging12a"/>
      </w:pPr>
      <w:bookmarkStart w:id="8" w:name="_Hlk216613698"/>
      <w:r>
        <w:t>42</w:t>
      </w:r>
      <w:r w:rsidR="00C87F54" w:rsidRPr="00FB1491">
        <w:t>.</w:t>
      </w:r>
      <w:r w:rsidR="00C87F54" w:rsidRPr="00FB1491">
        <w:tab/>
        <w:t>поздравява Генерална дирекция за председателството за нейните дейности, свързани с прилагането и последващите действия във връзка с новите правила относно почтеността и прозрачността, които включват обща първа оценка за техническото изпълнение на реформата, както и дейности за повишаване на осведомеността и предоставяне на технически експертен опит и услуги във връзка с въпросите за прозрачността, почтеността и отчетността; освен това приветства ролята на Консултативния комитет относно поведението на членовете при наблюдението на това как членовете спазват Кодекса за поведение и мерките за неговото прилагане;</w:t>
      </w:r>
    </w:p>
    <w:bookmarkEnd w:id="8"/>
    <w:p w14:paraId="5476F27C" w14:textId="58CC793D" w:rsidR="00C87F54" w:rsidRPr="002512A8" w:rsidRDefault="00720E99" w:rsidP="00C87F54">
      <w:pPr>
        <w:pStyle w:val="NormalHanging12a"/>
        <w:rPr>
          <w:lang w:val="en-GB"/>
        </w:rPr>
      </w:pPr>
      <w:r>
        <w:t>43</w:t>
      </w:r>
      <w:r w:rsidR="00C87F54" w:rsidRPr="00FB1491">
        <w:t>.</w:t>
      </w:r>
      <w:r w:rsidR="00C87F54" w:rsidRPr="00FB1491">
        <w:tab/>
        <w:t xml:space="preserve">призовава за продължаване на междуинституционалното сътрудничество и диалога относно почтеността и прозрачността </w:t>
      </w:r>
      <w:r w:rsidR="00F01B4A" w:rsidRPr="00F01B4A">
        <w:t>между</w:t>
      </w:r>
      <w:r w:rsidR="00C87F54" w:rsidRPr="00FB1491">
        <w:t xml:space="preserve"> институциите на Съюза;</w:t>
      </w:r>
      <w:r w:rsidR="00F01B4A">
        <w:rPr>
          <w:lang w:val="en-GB"/>
        </w:rPr>
        <w:t xml:space="preserve"> </w:t>
      </w:r>
      <w:r w:rsidR="00F01B4A" w:rsidRPr="002512A8">
        <w:rPr>
          <w:bCs/>
          <w:iCs/>
          <w:szCs w:val="24"/>
          <w:lang w:eastAsia="en-US"/>
        </w:rPr>
        <w:t>припомня, че Парламентът остава обвързан със Споразумението за създаване на междуинституционален орган за етични стандарти за членовете на институциите и консултативните органи, посочени в член 13 от Договора за Европейския съюз; припомня, че поради това от Парламента се изисква да се съобрази с неговите разпоредби без по-нататъшно забавяне;</w:t>
      </w:r>
    </w:p>
    <w:p w14:paraId="724152F7" w14:textId="3753F71F" w:rsidR="00C87F54" w:rsidRPr="00FB1491" w:rsidRDefault="00720E99" w:rsidP="00C87F54">
      <w:pPr>
        <w:pStyle w:val="NormalHanging12a"/>
        <w:rPr>
          <w:bCs/>
          <w:iCs/>
        </w:rPr>
      </w:pPr>
      <w:r>
        <w:lastRenderedPageBreak/>
        <w:t>44</w:t>
      </w:r>
      <w:r w:rsidR="00C87F54" w:rsidRPr="00FB1491">
        <w:t>.</w:t>
      </w:r>
      <w:r w:rsidR="00C87F54" w:rsidRPr="00FB1491">
        <w:tab/>
        <w:t>приветства факта, че Генералната дирекция за председателството е продължила ефективното си сътрудничество със Съвета и Комисията по всички елементи, свързани с междуинституционалния секретариат на регистъра за прозрачност, с цел да продължи да се подобрява функционирането на регистъра;</w:t>
      </w:r>
    </w:p>
    <w:p w14:paraId="4F18B85A" w14:textId="2B3C318F" w:rsidR="00C87F54" w:rsidRPr="00FB1491" w:rsidRDefault="00720E99" w:rsidP="00C87F54">
      <w:pPr>
        <w:pStyle w:val="NormalHanging12a"/>
      </w:pPr>
      <w:r>
        <w:t>45</w:t>
      </w:r>
      <w:r w:rsidR="00C87F54" w:rsidRPr="00FB1491">
        <w:t>.</w:t>
      </w:r>
      <w:r w:rsidR="00C87F54" w:rsidRPr="00FB1491">
        <w:tab/>
        <w:t>подчертава продължаващите забавяния през последните години при разглеждането от Комисията на парламентарните въпроси с искане за писмен отговор; изразява съжаление за това, че процесът става все по-бюрократичен и бавен, което води до системно неспазване на сроковете, определени в член 144 от Правилника за дейността на Парламента; отбелязва със загриженост, че през 2024 г. Комисията е отговорила в рамките на сроковете, определени в Правилника за дейността на Парламента, само при ограничена част от въпросите с искане за писмен отговор, с особено нисък процент при въпросите от първостепенна важност, и в много случаи след крайния срок; подчертава, че най-дългият срок за отговор е бил 475 дни; припомня, че навременните отговори са съществен елемент от парламентарния контрол и демократичната отчетност; приветства усилията, положени от Генерална дирекция за председателството през последните години за спазване на определените срокове; призовава Генерална дирекция за председателството да работи за гарантиране на пълното спазване на сроковете, определени от Парламента, и да се стреми, включително и на политическо равнище, към постигане на по-обвързващи договорености с Комисията за това тя да отговаря на въпросите с искане за писмен отговор в рамките на определените срокове, както и да докладва на органа по освобождаване от отговорност относно постигнатия напредък, с цел възстановяване на въпросите с искане за писмен отговор на Парламента като ефективен инструмент за упражняване на надзор;</w:t>
      </w:r>
    </w:p>
    <w:p w14:paraId="026540D2" w14:textId="3F4617DC" w:rsidR="00C87F54" w:rsidRPr="00FB1491" w:rsidRDefault="00720E99" w:rsidP="00C87F54">
      <w:pPr>
        <w:pStyle w:val="NormalHanging12a"/>
        <w:rPr>
          <w:bCs/>
          <w:iCs/>
        </w:rPr>
      </w:pPr>
      <w:r>
        <w:t>46</w:t>
      </w:r>
      <w:r w:rsidR="00C87F54" w:rsidRPr="00FB1491">
        <w:t>.</w:t>
      </w:r>
      <w:r w:rsidR="00C87F54" w:rsidRPr="00FB1491">
        <w:tab/>
        <w:t>отбелязва, че вътрешното обработване, включително редактирането, преводът и проверките за допустимост, допринасят за общото време за предаване на въпросите с искане за писмен отговор; призовава администрацията да продължи да рационализира тези процедури, като същевременно се зачитат изцяло изискванията за осигуряване на езиково качество и защита на данните, за да се подпомогне по-ефективно работата на членовете на ЕП във връзка с упражняването на контрол;</w:t>
      </w:r>
    </w:p>
    <w:p w14:paraId="01746FE4" w14:textId="7F0E35C0" w:rsidR="00C87F54" w:rsidRPr="00FB1491" w:rsidRDefault="00720E99" w:rsidP="00C87F54">
      <w:pPr>
        <w:spacing w:after="240"/>
        <w:ind w:left="567" w:hanging="567"/>
      </w:pPr>
      <w:r>
        <w:t>47</w:t>
      </w:r>
      <w:r w:rsidR="00C87F54" w:rsidRPr="00FB1491">
        <w:t>.</w:t>
      </w:r>
      <w:r w:rsidR="00C87F54" w:rsidRPr="00FB1491">
        <w:tab/>
        <w:t>призовава Генерална дирекция за председателството да работи активно с парламентите на други държави членки и трети държави за разработване на предложения за ефективни механизми за контрол, както и на начини за подобряване на качеството и присъствието на пленарните разисквания в Парламента; призовава Генерална дирекция за председателството да извлече поуки от структурата за провеждане на изслушвания в Конгреса;</w:t>
      </w:r>
    </w:p>
    <w:p w14:paraId="6AF528C3" w14:textId="5F30F6FE" w:rsidR="00C87F54" w:rsidRPr="00FB1491" w:rsidRDefault="00720E99" w:rsidP="00C87F54">
      <w:pPr>
        <w:pStyle w:val="NormalHanging12a"/>
        <w:rPr>
          <w:bCs/>
          <w:iCs/>
        </w:rPr>
      </w:pPr>
      <w:r>
        <w:t>48</w:t>
      </w:r>
      <w:r w:rsidR="00C87F54" w:rsidRPr="00FB1491">
        <w:t>.</w:t>
      </w:r>
      <w:r w:rsidR="00C87F54" w:rsidRPr="00FB1491">
        <w:tab/>
        <w:t>приветства факта, че Парламентът наскоро започна законодателната процедура за промени в избирателното право на Съюза с цел въвеждане на нова възможност за гласуване чрез пълномощник за членове на ЕП по време на напреднала бременност и в първите месеци на майчинството; приветства факта, че с гласуването си на пленарното заседание на 13 ноември 2025 г. Парламентът пое ангажимент за постигане на равенство между половете, приобщаване и баланс между професионалния и личния живот, въпреки факта, че по-големият родителски отпуск не е включен в акта;</w:t>
      </w:r>
    </w:p>
    <w:p w14:paraId="5A29B4BF" w14:textId="74804C01" w:rsidR="00C87F54" w:rsidRPr="00FB1491" w:rsidRDefault="00720E99" w:rsidP="00C87F54">
      <w:pPr>
        <w:pStyle w:val="NormalHanging12a"/>
        <w:rPr>
          <w:bCs/>
          <w:iCs/>
        </w:rPr>
      </w:pPr>
      <w:r>
        <w:t>49</w:t>
      </w:r>
      <w:r w:rsidR="00C87F54" w:rsidRPr="00FB1491">
        <w:t>.</w:t>
      </w:r>
      <w:r w:rsidR="00C87F54" w:rsidRPr="00FB1491">
        <w:tab/>
        <w:t xml:space="preserve">отбелязва, че понастоящем няма актуални данни за присъствието на ниво </w:t>
      </w:r>
      <w:r w:rsidR="00C87F54" w:rsidRPr="00FB1491">
        <w:lastRenderedPageBreak/>
        <w:t>комисии; призовава службите на Парламента да публикуват ежегодно тези данни за присъствието на ниво комисии, обобщено на годишна основа за всяка комисия;</w:t>
      </w:r>
    </w:p>
    <w:p w14:paraId="0D07F069"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Генерална дирекция за комуникация</w:t>
      </w:r>
    </w:p>
    <w:p w14:paraId="049EAAA4" w14:textId="78F0CB7B"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50</w:t>
      </w:r>
      <w:r w:rsidR="00C87F54" w:rsidRPr="00FB1491">
        <w:t>.</w:t>
      </w:r>
      <w:r w:rsidR="00C87F54" w:rsidRPr="00FB1491">
        <w:rPr>
          <w14:textOutline w14:w="0" w14:cap="flat" w14:cmpd="sng" w14:algn="ctr">
            <w14:noFill/>
            <w14:prstDash w14:val="solid"/>
            <w14:bevel/>
          </w14:textOutline>
        </w:rPr>
        <w:tab/>
      </w:r>
      <w:r w:rsidR="00C87F54" w:rsidRPr="00FB1491">
        <w:t>отбелязва, че мисията на Генерална дирекция за комуникация (ГД COMM) е да гарантира, че гражданите разбират значението на Парламента, така че да могат да подобрят участието си в европейския демократичен процес;</w:t>
      </w:r>
      <w:r w:rsidR="00C87F54" w:rsidRPr="00FB1491">
        <w:rPr>
          <w14:textOutline w14:w="0" w14:cap="flat" w14:cmpd="sng" w14:algn="ctr">
            <w14:noFill/>
            <w14:prstDash w14:val="solid"/>
            <w14:bevel/>
          </w14:textOutline>
        </w:rPr>
        <w:t xml:space="preserve"> подчертава, че нейните основни задачи са да си сътрудничи с медиите, да информира, да разяснява и да повишава видимостта на работата на Парламента, да подобрява осведомеността за Парламента сред гражданите във всички държави членки, сред заинтересованите лица и субектите, формиращи общественото мнение, чрез бюрата за връзка на Европейския парламент, намиращи се в държавите членки, да насърчава взаимодействието с гражданите чрез подобрени проекти за посетители, прояви и информационни кампании и чрез нейното присъствие в социалните медии, както и да предоставя експертен опит на членовете на ЕП и на политическите групи по някои въпроси, като например стратегически анализ на медиите и мониторинг на общественото мнение;</w:t>
      </w:r>
    </w:p>
    <w:p w14:paraId="5604F56C" w14:textId="48BB171C"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51</w:t>
      </w:r>
      <w:r w:rsidR="00C87F54" w:rsidRPr="00FB1491">
        <w:t>.</w:t>
      </w:r>
      <w:r w:rsidR="00C87F54" w:rsidRPr="00FB1491">
        <w:rPr>
          <w14:textOutline w14:w="0" w14:cap="flat" w14:cmpd="sng" w14:algn="ctr">
            <w14:noFill/>
            <w14:prstDash w14:val="solid"/>
            <w14:bevel/>
          </w14:textOutline>
        </w:rPr>
        <w:tab/>
      </w:r>
      <w:r w:rsidR="00C87F54" w:rsidRPr="00FB1491">
        <w:t>отбелязва, че през 2024 г. окончателните бюджетни кредити на Генерална дирекция за комуникация възлизат на 137 463 777 EUR, което представлява 5,8% от бюджета на Парламента;</w:t>
      </w:r>
      <w:r w:rsidR="00C87F54" w:rsidRPr="00FB1491">
        <w:rPr>
          <w14:textOutline w14:w="0" w14:cap="flat" w14:cmpd="sng" w14:algn="ctr">
            <w14:noFill/>
            <w14:prstDash w14:val="solid"/>
            <w14:bevel/>
          </w14:textOutline>
        </w:rPr>
        <w:t xml:space="preserve"> </w:t>
      </w:r>
      <w:r w:rsidR="00C87F54" w:rsidRPr="00FB1491">
        <w:t>подчертава, че от тази сума са поети задължения в размер на общо 137 467 355 EUR;</w:t>
      </w:r>
      <w:r w:rsidR="00C87F54" w:rsidRPr="00FB1491">
        <w:rPr>
          <w14:textOutline w14:w="0" w14:cap="flat" w14:cmpd="sng" w14:algn="ctr">
            <w14:noFill/>
            <w14:prstDash w14:val="solid"/>
            <w14:bevel/>
          </w14:textOutline>
        </w:rPr>
        <w:t xml:space="preserve"> приветства високата степен на усвояване на бюджетните кредити;</w:t>
      </w:r>
    </w:p>
    <w:p w14:paraId="174811A5" w14:textId="4C725687" w:rsidR="00C87F54" w:rsidRPr="00FB1491" w:rsidRDefault="00720E99" w:rsidP="00C87F54">
      <w:pPr>
        <w:spacing w:after="240"/>
        <w:ind w:left="567" w:hanging="567"/>
      </w:pPr>
      <w:r>
        <w:t>52</w:t>
      </w:r>
      <w:r w:rsidR="00C87F54" w:rsidRPr="00FB1491">
        <w:t>.</w:t>
      </w:r>
      <w:r w:rsidR="00C87F54" w:rsidRPr="00FB1491">
        <w:tab/>
        <w:t>отчита факта, че комуникацията относно изборите за Европейски парламент беше сред най-важните дейности на Генерална дирекция за комуникация през 2024 г., най-вече с успешната комуникационна кампания „Да гласуваме“, партньорствата с над 300 организации на гражданското общество и информирането на повече от 18 000 журналисти; отбелязва, че всички стратегически проекти на Генерална дирекция за комуникация през 2024 г., със степен на изпълнение от 94%, са били насочени към изборите за Европейски парламент, а останалите 6% са свързани с прилагането на новата структура на уебсайта;</w:t>
      </w:r>
    </w:p>
    <w:p w14:paraId="42D99F83" w14:textId="596E4C36" w:rsidR="00C87F54" w:rsidRPr="00FB1491" w:rsidRDefault="00720E99" w:rsidP="00C87F54">
      <w:pPr>
        <w:spacing w:after="240"/>
        <w:ind w:left="567" w:hanging="567"/>
      </w:pPr>
      <w:r>
        <w:t>53</w:t>
      </w:r>
      <w:r w:rsidR="00C87F54" w:rsidRPr="00FB1491">
        <w:t>.</w:t>
      </w:r>
      <w:r w:rsidR="00C87F54" w:rsidRPr="00FB1491">
        <w:tab/>
        <w:t>отбелязва, че Генерална дирекция за комуникация улесни отразяването на изборите за Европейски парламент, което достигна рекорден обем репортажи (+18% в сравнение с предишните избори), като според Генерална дирекция за комуникация особено внимание заслужават последните моменти от изборния цикъл – нощта на изборите (9 юни 2024 г.) беше отразена от 149 телевизионни канала в 51 държави, по-голямата част онлайн;</w:t>
      </w:r>
    </w:p>
    <w:p w14:paraId="31C943C0" w14:textId="776EA548" w:rsidR="00C87F54" w:rsidRPr="00FB1491" w:rsidRDefault="00720E99" w:rsidP="00C87F54">
      <w:pPr>
        <w:spacing w:after="240"/>
        <w:ind w:left="567" w:hanging="567"/>
      </w:pPr>
      <w:r>
        <w:rPr>
          <w14:textOutline w14:w="0" w14:cap="flat" w14:cmpd="sng" w14:algn="ctr">
            <w14:noFill/>
            <w14:prstDash w14:val="solid"/>
            <w14:bevel/>
          </w14:textOutline>
        </w:rPr>
        <w:t>54</w:t>
      </w:r>
      <w:r w:rsidR="00C87F54" w:rsidRPr="00FB1491">
        <w:t>.</w:t>
      </w:r>
      <w:r w:rsidR="00C87F54" w:rsidRPr="00FB1491">
        <w:rPr>
          <w14:textOutline w14:w="0" w14:cap="flat" w14:cmpd="sng" w14:algn="ctr">
            <w14:noFill/>
            <w14:prstDash w14:val="solid"/>
            <w14:bevel/>
          </w14:textOutline>
        </w:rPr>
        <w:tab/>
      </w:r>
      <w:r w:rsidR="00C87F54" w:rsidRPr="00FB1491">
        <w:t>отбелязва ролята на бюрата за връзка на ЕП за осъществяването на връзка между Парламента, обществеността и заинтересованите страни в държавите членки като цяло, както и за комуникацията във връзка с изборите за Европейски парламент;</w:t>
      </w:r>
      <w:r w:rsidR="00C87F54" w:rsidRPr="00FB1491">
        <w:rPr>
          <w14:textOutline w14:w="0" w14:cap="flat" w14:cmpd="sng" w14:algn="ctr">
            <w14:noFill/>
            <w14:prstDash w14:val="solid"/>
            <w14:bevel/>
          </w14:textOutline>
        </w:rPr>
        <w:t xml:space="preserve"> </w:t>
      </w:r>
      <w:r w:rsidR="00C87F54" w:rsidRPr="00FB1491">
        <w:t xml:space="preserve">отбелязва, че всички бюра за връзка на ЕП разполагат с аудио-визуални услуги, които членовете на ЕП, политическите групи и трети страни да могат да използват в държавите членки; </w:t>
      </w:r>
    </w:p>
    <w:p w14:paraId="1138EA74" w14:textId="6AC7AA0C" w:rsidR="00C87F54" w:rsidRPr="00FB1491" w:rsidRDefault="00720E99" w:rsidP="00C87F54">
      <w:pPr>
        <w:pStyle w:val="NormalHanging12a"/>
        <w:rPr>
          <w:bCs/>
          <w:iCs/>
        </w:rPr>
      </w:pPr>
      <w:r>
        <w:t>55</w:t>
      </w:r>
      <w:r w:rsidR="00C87F54" w:rsidRPr="00FB1491">
        <w:t>.</w:t>
      </w:r>
      <w:r w:rsidR="00C87F54" w:rsidRPr="00FB1491">
        <w:tab/>
        <w:t>призовава за подходящ мониторинг на разходите на бюрата за връзка на ЕП и центровете „</w:t>
      </w:r>
      <w:proofErr w:type="spellStart"/>
      <w:r w:rsidR="00C87F54" w:rsidRPr="00FB1491">
        <w:t>Europa</w:t>
      </w:r>
      <w:proofErr w:type="spellEnd"/>
      <w:r w:rsidR="00C87F54" w:rsidRPr="00FB1491">
        <w:t xml:space="preserve"> </w:t>
      </w:r>
      <w:proofErr w:type="spellStart"/>
      <w:r w:rsidR="00C87F54" w:rsidRPr="00FB1491">
        <w:t>Experience</w:t>
      </w:r>
      <w:proofErr w:type="spellEnd"/>
      <w:r w:rsidR="00C87F54" w:rsidRPr="00FB1491">
        <w:t>“;</w:t>
      </w:r>
    </w:p>
    <w:p w14:paraId="4F87257A" w14:textId="08D387F9" w:rsidR="00C87F54" w:rsidRPr="00FB1491" w:rsidRDefault="00720E99" w:rsidP="00C87F54">
      <w:pPr>
        <w:pStyle w:val="NormalHanging12a"/>
        <w:rPr>
          <w:bCs/>
          <w:iCs/>
        </w:rPr>
      </w:pPr>
      <w:r>
        <w:lastRenderedPageBreak/>
        <w:t>56</w:t>
      </w:r>
      <w:r w:rsidR="00C87F54" w:rsidRPr="00FB1491">
        <w:t>.</w:t>
      </w:r>
      <w:r w:rsidR="00C87F54" w:rsidRPr="00FB1491">
        <w:tab/>
        <w:t>подчертава решаващата роля на Бюрото за връзка на ЕП във Вашингтон за насърчаване на трансатлантическите отношения и засилване на връзката между парламентите на САЩ и на ЕС; подчертава, че с оглед на новата администрация на САЩ и възникващите глобални предизвикателства, ролята на Бюрото за връзка на ЕП във Вашингтон е още по-важна; призовава за осигуряване на подходящ бюджет и персонал с цел подкрепа на дейностите на Бюрото за връзка на ЕП във Вашингтон;</w:t>
      </w:r>
    </w:p>
    <w:p w14:paraId="0EB5A226" w14:textId="36140771" w:rsidR="00C87F54" w:rsidRPr="00FB1491" w:rsidRDefault="00720E99" w:rsidP="00C87F54">
      <w:pPr>
        <w:pStyle w:val="NormalHanging12a"/>
      </w:pPr>
      <w:r>
        <w:t>57</w:t>
      </w:r>
      <w:r w:rsidR="00C87F54" w:rsidRPr="00FB1491">
        <w:t>.</w:t>
      </w:r>
      <w:r w:rsidR="00C87F54" w:rsidRPr="00FB1491">
        <w:tab/>
        <w:t>отбелязва, че през 2024 г. са били открити 14 центъра „</w:t>
      </w:r>
      <w:proofErr w:type="spellStart"/>
      <w:r w:rsidR="00C87F54" w:rsidRPr="00FB1491">
        <w:t>Europa</w:t>
      </w:r>
      <w:proofErr w:type="spellEnd"/>
      <w:r w:rsidR="00C87F54" w:rsidRPr="00FB1491">
        <w:t xml:space="preserve"> </w:t>
      </w:r>
      <w:proofErr w:type="spellStart"/>
      <w:r w:rsidR="00C87F54" w:rsidRPr="00FB1491">
        <w:t>Experience</w:t>
      </w:r>
      <w:proofErr w:type="spellEnd"/>
      <w:r w:rsidR="00C87F54" w:rsidRPr="00FB1491">
        <w:t>“, които са привлекли общо 957 209 посетители; броят на посетителите е варирал в широки граници, като Страсбург и Берлин са привлекли най-много посетители (съответно 381 687 и 122 672), а Копенхаген и Дъблин – най-малко (съответно 18 182 и 8 312), като центърът в Дъблин е бил открит едва през октомври 2024 г.; отбелязва забележката, че центровете „</w:t>
      </w:r>
      <w:proofErr w:type="spellStart"/>
      <w:r w:rsidR="00C87F54" w:rsidRPr="00FB1491">
        <w:t>Europa</w:t>
      </w:r>
      <w:proofErr w:type="spellEnd"/>
      <w:r w:rsidR="00C87F54" w:rsidRPr="00FB1491">
        <w:t xml:space="preserve"> </w:t>
      </w:r>
      <w:proofErr w:type="spellStart"/>
      <w:r w:rsidR="00C87F54" w:rsidRPr="00FB1491">
        <w:t>Experience</w:t>
      </w:r>
      <w:proofErr w:type="spellEnd"/>
      <w:r w:rsidR="00C87F54" w:rsidRPr="00FB1491">
        <w:t>“ се използват от бюрата за връзка на ЕП в съответните държави членки като платформа на Съюза за демократична ангажираност и че те предлагат възможности за привличане на по-широка аудитория за посланията на Парламента;</w:t>
      </w:r>
    </w:p>
    <w:p w14:paraId="691A43B3" w14:textId="396E456E" w:rsidR="00C87F54" w:rsidRPr="00FB1491" w:rsidRDefault="00720E99" w:rsidP="00C87F54">
      <w:pPr>
        <w:spacing w:after="240"/>
        <w:ind w:left="567" w:hanging="567"/>
      </w:pPr>
      <w:r>
        <w:rPr>
          <w14:textOutline w14:w="0" w14:cap="flat" w14:cmpd="sng" w14:algn="ctr">
            <w14:noFill/>
            <w14:prstDash w14:val="solid"/>
            <w14:bevel/>
          </w14:textOutline>
        </w:rPr>
        <w:t>58</w:t>
      </w:r>
      <w:r w:rsidR="00C87F54" w:rsidRPr="00FB1491">
        <w:t>.</w:t>
      </w:r>
      <w:r w:rsidR="00C87F54" w:rsidRPr="00FB1491">
        <w:rPr>
          <w14:textOutline w14:w="0" w14:cap="flat" w14:cmpd="sng" w14:algn="ctr">
            <w14:noFill/>
            <w14:prstDash w14:val="solid"/>
            <w14:bevel/>
          </w14:textOutline>
        </w:rPr>
        <w:tab/>
      </w:r>
      <w:r w:rsidR="00C87F54" w:rsidRPr="00FB1491">
        <w:t>подчертава значението на задълбочената оценка за извлечените до момента поуки от центровете „</w:t>
      </w:r>
      <w:proofErr w:type="spellStart"/>
      <w:r w:rsidR="00C87F54" w:rsidRPr="00FB1491">
        <w:t>Europa</w:t>
      </w:r>
      <w:proofErr w:type="spellEnd"/>
      <w:r w:rsidR="00C87F54" w:rsidRPr="00FB1491">
        <w:t xml:space="preserve"> </w:t>
      </w:r>
      <w:proofErr w:type="spellStart"/>
      <w:r w:rsidR="00C87F54" w:rsidRPr="00FB1491">
        <w:t>Experience</w:t>
      </w:r>
      <w:proofErr w:type="spellEnd"/>
      <w:r w:rsidR="00C87F54" w:rsidRPr="00FB1491">
        <w:t>“, по-специално по отношение на търсенето на подходящи сгради и начините за ефективно достигане до целевите групи, определянето на най-добри практики и адаптирането на бъдещото развитие на центровете „</w:t>
      </w:r>
      <w:proofErr w:type="spellStart"/>
      <w:r w:rsidR="00C87F54" w:rsidRPr="00FB1491">
        <w:t>Europa</w:t>
      </w:r>
      <w:proofErr w:type="spellEnd"/>
      <w:r w:rsidR="00C87F54" w:rsidRPr="00FB1491">
        <w:t xml:space="preserve"> </w:t>
      </w:r>
      <w:proofErr w:type="spellStart"/>
      <w:r w:rsidR="00C87F54" w:rsidRPr="00FB1491">
        <w:t>Experience</w:t>
      </w:r>
      <w:proofErr w:type="spellEnd"/>
      <w:r w:rsidR="00C87F54" w:rsidRPr="00FB1491">
        <w:t>“ към местните нужди и доказаното въздействие; подчертава, че тази повторна оценка следва да направлява бъдещите промени или преразглеждането при по-нататъшното разширяване на центровете, като се гарантира, че всички бъдещи инвестиции са по-ефективни и изпълняват ролята си за доближаване на Парламента до гражданите и за подобряване на тяхното разбиране за демократичния процес на Съюза;</w:t>
      </w:r>
    </w:p>
    <w:p w14:paraId="2FA41733" w14:textId="566A5C75" w:rsidR="00C87F54" w:rsidRPr="00FB1491" w:rsidRDefault="00720E99" w:rsidP="00C87F54">
      <w:pPr>
        <w:pStyle w:val="NormalHanging12a"/>
      </w:pPr>
      <w:r>
        <w:t>59</w:t>
      </w:r>
      <w:r w:rsidR="00C87F54" w:rsidRPr="00FB1491">
        <w:t>.</w:t>
      </w:r>
      <w:r w:rsidR="00C87F54" w:rsidRPr="00FB1491">
        <w:tab/>
        <w:t>припомня, че на 11 септември 2023 г. Бюрото прие нови правила относно плащането на субсидии за групи посетители под патронаж, с дата на влизане в сила: 1 януари 2024 г.; отбелязва, че през 2024 г. 300 000 посетители под и без патронаж са били поканени от членове на ЕП в Брюксел и Страсбург; отбелязва, че субсидиите за тези групи посетители възлизат на 17% от разходите на Генерална дирекция за комуникация през 2024 г.; отбелязва, че политическите групи полагат допълнителни усилия за подкрепа на техните членове при взаимодействието им с гражданите, включително и с млади хора, за да се осигури подходяща информация за работата на членовете на ЕП в Страсбург и Брюксел чрез финансиране със средства по бюджетна позиция 400;</w:t>
      </w:r>
    </w:p>
    <w:p w14:paraId="451ACBF4" w14:textId="4969E9FE" w:rsidR="00C87F54" w:rsidRPr="00FB1491" w:rsidRDefault="00720E99" w:rsidP="00C87F54">
      <w:pPr>
        <w:spacing w:after="240"/>
        <w:ind w:left="567" w:hanging="567"/>
      </w:pPr>
      <w:r>
        <w:t>60</w:t>
      </w:r>
      <w:r w:rsidR="00C87F54" w:rsidRPr="00FB1491">
        <w:t>.</w:t>
      </w:r>
      <w:r w:rsidR="00C87F54" w:rsidRPr="00FB1491">
        <w:tab/>
        <w:t xml:space="preserve">отбелязва непрекъснатите предизвикателства, пред които се изправя ЕС във връзка със защитата на ценностите на Съюза и почтеността на демократичния процес; признава зачестяващите опити на чуждестранни участници да влияят на работата на Парламента и подчертава необходимостта от бдителност с цел противодействие на дезинформацията с произход извън Съюза; припомня в тази връзка резолюциите на Европейския парламент от 1 юни 2023 г. относно външната намеса, включително дезинформацията, във всички демократични процеси в Европейския съюз (2022/2075(INI)) и от 23 януари 2025 г. относно дезинформацията и фалшифицирането на историята от Русия с цел оправдаване на агресивната ѝ война срещу Украйна (2024/2988(RSP)); приветства действията, предприети от Парламента за предотвратяване и реагиране на дезинформацията; </w:t>
      </w:r>
      <w:r w:rsidR="00C87F54" w:rsidRPr="00FB1491">
        <w:lastRenderedPageBreak/>
        <w:t>признава, че все още не е възникнал значителен инцидент, но подчертава, че е важно да се поддържат проактивни мерки за запазване на почтеността на обществения дебат и гласуването в Парламента; подчертава добавената стойност на някои инициативи, като например срещите за проверка на фактите и срещите на високо равнище, които са важни за насърчаване на прозрачността, предоставяне на инструменти за борба с невярната информация за заинтересованите лица и задълбочаване на сътрудничеството между организациите за проверка на факти в рамките на Съюза и извън него;</w:t>
      </w:r>
    </w:p>
    <w:p w14:paraId="300F33F9"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Генерална дирекция за персонала</w:t>
      </w:r>
    </w:p>
    <w:p w14:paraId="52499340" w14:textId="7F4287EA"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61</w:t>
      </w:r>
      <w:r w:rsidR="00C87F54" w:rsidRPr="00FB1491">
        <w:t>.</w:t>
      </w:r>
      <w:r w:rsidR="00C87F54" w:rsidRPr="00FB1491">
        <w:rPr>
          <w14:textOutline w14:w="0" w14:cap="flat" w14:cmpd="sng" w14:algn="ctr">
            <w14:noFill/>
            <w14:prstDash w14:val="solid"/>
            <w14:bevel/>
          </w14:textOutline>
        </w:rPr>
        <w:tab/>
        <w:t xml:space="preserve">припомня, че Генерална дирекция за персонала (ГД PERS) отговаря за подобаващото и ефикасно управление на човешките ресурси в Парламента и гарантира, че членовете на ЕП се подпомагат от висококвалифицирани служители, така че да могат да изпълняват надлежно своя мандат; </w:t>
      </w:r>
      <w:r w:rsidR="00C87F54" w:rsidRPr="00FB1491">
        <w:t>отбелязва, че към 31 декември 2024 г. в генералната дирекция е имало 499 служители, от които 290 длъжностни лица, 82 срочно наети служители, 120 договорно наети служители, двама командировани национални експерти и петима служители, наети чрез агенция за временна заетост;</w:t>
      </w:r>
    </w:p>
    <w:p w14:paraId="6BA2D623" w14:textId="366529A0"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62</w:t>
      </w:r>
      <w:r w:rsidR="00C87F54" w:rsidRPr="00FB1491">
        <w:t>.</w:t>
      </w:r>
      <w:r w:rsidR="00C87F54" w:rsidRPr="00FB1491">
        <w:rPr>
          <w14:textOutline w14:w="0" w14:cap="flat" w14:cmpd="sng" w14:algn="ctr">
            <w14:noFill/>
            <w14:prstDash w14:val="solid"/>
            <w14:bevel/>
          </w14:textOutline>
        </w:rPr>
        <w:tab/>
      </w:r>
      <w:r w:rsidR="00C87F54" w:rsidRPr="00FB1491">
        <w:t>отбелязва, че през 2024 г. окончателните бюджетни кредити на Генерална дирекция за персонала възлизат на 1 225 341 375 EUR (спрямо 1 163 329 780 EUR през 2023 г.), което представлява 51,4% от бюджета на Парламента;</w:t>
      </w:r>
      <w:r w:rsidR="00C87F54" w:rsidRPr="00FB1491">
        <w:rPr>
          <w14:textOutline w14:w="0" w14:cap="flat" w14:cmpd="sng" w14:algn="ctr">
            <w14:noFill/>
            <w14:prstDash w14:val="solid"/>
            <w14:bevel/>
          </w14:textOutline>
        </w:rPr>
        <w:t xml:space="preserve"> </w:t>
      </w:r>
      <w:r w:rsidR="00C87F54" w:rsidRPr="00FB1491">
        <w:t>подчертава, че от тази сума са поети задължения в размер на общо 1 160 835 147 EUR;</w:t>
      </w:r>
      <w:r w:rsidR="00C87F54" w:rsidRPr="00FB1491">
        <w:rPr>
          <w14:textOutline w14:w="0" w14:cap="flat" w14:cmpd="sng" w14:algn="ctr">
            <w14:noFill/>
            <w14:prstDash w14:val="solid"/>
            <w14:bevel/>
          </w14:textOutline>
        </w:rPr>
        <w:t xml:space="preserve"> приветства високата степен на усвояване на бюджетните кредити;</w:t>
      </w:r>
    </w:p>
    <w:p w14:paraId="60FDFF63" w14:textId="61FA9E4A" w:rsidR="00C87F54" w:rsidRPr="00FB1491" w:rsidRDefault="00720E99" w:rsidP="00C87F54">
      <w:pPr>
        <w:pStyle w:val="NormalHanging12a"/>
      </w:pPr>
      <w:r>
        <w:t>63</w:t>
      </w:r>
      <w:r w:rsidR="00C87F54" w:rsidRPr="00FB1491">
        <w:t>.</w:t>
      </w:r>
      <w:r w:rsidR="00C87F54" w:rsidRPr="00FB1491">
        <w:tab/>
        <w:t>приветства факта, че през 2024 г. Генерална дирекция за персонала е продължила да организира конкурси и процедури за подбор, като е обработила повече кандидатури, и също така е организирала четири конкурса за конкретни националности; приветства усилията, положени от Генерална дирекция за персонала за организирането на конкурси, като се осигурява тяхното навременно приключване и се поддържат необходимите стандарти за качество; приветства факта, че над 441 кандидати са били успешно включени в списъците с одобрени кандидати; изразява обаче съжаление за това, че Европейската служба за подбор на персонал (EPSO) се е сблъсквала със систематични проблеми при организирането на конкурси, както и че няма резерв от кандидати, който да е подходящ за потребностите на Парламента; изразява съжаление във връзка с факта, че средната продължителност на периода между публикуването на обявлението за конкурса и окончателното интервю за всеки конкурс е повече от година; признава общите трудности, с които се сблъскват Генерална дирекция за персонала и други генерални дирекции при привличането и задържането на таланти, което оказва влияние върху работата на служителите на Парламента; призовава за по-ефективни, по-целенасочени и по-кратки процедури за подбор на служители, които биха довели до повишаване на привлекателността на Парламента като работодател и биха позволили на генералните дирекции да наемат бързо съответните лица със специализирани профили, които са необходими за подпомагане на тяхната дейност; подчертава, че процедурите за подбор трябва да се провеждат при пълно зачитане на принципите на равно третиране и географски баланс, като се гарантира справедливото представителство на всички държави членки;</w:t>
      </w:r>
    </w:p>
    <w:p w14:paraId="0B3B70C7" w14:textId="66975B71" w:rsidR="00C87F54" w:rsidRPr="00FB1491" w:rsidRDefault="00720E99" w:rsidP="00C87F54">
      <w:pPr>
        <w:spacing w:after="240"/>
        <w:ind w:left="567" w:hanging="567"/>
      </w:pPr>
      <w:r>
        <w:lastRenderedPageBreak/>
        <w:t>64</w:t>
      </w:r>
      <w:r w:rsidR="00C87F54" w:rsidRPr="00FB1491">
        <w:t>.</w:t>
      </w:r>
      <w:r w:rsidR="00C87F54" w:rsidRPr="00FB1491">
        <w:tab/>
        <w:t>приветства конкурсите на Парламента за конкретни националности с цел подобряване на географския баланс сред служителите на Парламента чрез набиране на по-широк кръг от кандидати от по-слабо представените държави членки; отбелязва обаче, че анализът на данните за служителите на Парламента, разбити по националност и функционална група, разкрива траен дисбаланс в кариерното развитие, в резултат на което служителите от някои държави членки, въпреки че са добре представени в рамките на администрацията, продължават да бъдат недостатъчно представени в по-високите функционални групи и на длъжностите, свързани с вземането на решения; изразява съжаление във връзка с липсата на географски баланс сред висшето и средното ръководство на Парламента; назначаването на служителите следва винаги да се основава на заслуги и следва винаги да се зачитат някои основни принципи като равенство, недискриминация и пропорционалност; подчертава, че е необходимо подобрение в тази насока, и призовава генералния секретар, в сътрудничество с Генерална дирекция за персонала, да представи конкретни, измерими и обвързани със срокове мерки за преодоляване на тези дисбаланси и да докладва редовно на комисията по бюджетен контрол на Парламента и на органа по освобождаване от отговорност относно постигнатия напредък за коригиране на географския дисбаланс сред служителите на Парламента; призовава генералния секретар и Генерална дирекция за персонала да включват в редовните доклади до комисията по бюджетен контрол на Парламента информация, която да надхвърля общия брой на персонала, и да включват по-специално данни за кариерното развитие и повишенията по националности и функционални групи, назначаването на служители на ръководни и висши длъжности, участието в програми за управление на таланти и лидерство, както и използването на временни назначения и задължения, като част от моделите за кариерно развитие;</w:t>
      </w:r>
    </w:p>
    <w:p w14:paraId="026246C8" w14:textId="579BE0BB" w:rsidR="00C87F54" w:rsidRPr="00FB1491" w:rsidRDefault="00720E99" w:rsidP="00C87F54">
      <w:pPr>
        <w:spacing w:after="240"/>
        <w:ind w:left="567" w:hanging="567"/>
        <w:rPr>
          <w:noProof/>
        </w:rPr>
      </w:pPr>
      <w:r>
        <w:t>65</w:t>
      </w:r>
      <w:r w:rsidR="00C87F54" w:rsidRPr="00FB1491">
        <w:t>.</w:t>
      </w:r>
      <w:r w:rsidR="00C87F54" w:rsidRPr="00FB1491">
        <w:tab/>
        <w:t xml:space="preserve">отбелязва важното постижение на Генерална дирекция за персонала във връзка с ефективното назначаване на безпрецедентен брой от 1 339 акредитирани парламентарни сътрудници (АПС) до учредителната сесия през юли, като общият брой на АПС с действащи договори до края на годината се е увеличил на 2 024, както и освобождаването от работа на около 800 АПС; счита, че акредитираните парламентарни сътрудници са голямо предимство за институцията, и приветства ГД PERS в усилията ѝ за подкрепа на ефикасното и ефективно набиране на персонал от членовете на ЕП; </w:t>
      </w:r>
    </w:p>
    <w:p w14:paraId="0F421AE2" w14:textId="1209483E" w:rsidR="00C87F54" w:rsidRDefault="00720E99" w:rsidP="00C87F54">
      <w:pPr>
        <w:pStyle w:val="NormalHanging12a"/>
        <w:rPr>
          <w:lang w:val="en-GB"/>
        </w:rPr>
      </w:pPr>
      <w:r>
        <w:t>66</w:t>
      </w:r>
      <w:r w:rsidR="00C87F54" w:rsidRPr="00FB1491">
        <w:t>.</w:t>
      </w:r>
      <w:r w:rsidR="00C87F54" w:rsidRPr="00FB1491">
        <w:tab/>
        <w:t xml:space="preserve">признава, че работата на АПС е неразделна част от работата на членовете на ЕП, и следователно – на Парламента; отбелязва, че след приемането на Устава на АПС през 2009 г., с течение на годините техният статут беше защитен чрез прилаганите правила; отбелязва усилията на Парламента да създаде рамка за предоставяне на подкрепа на акредитираните парламентарни сътрудници; призовава за надлежно спазване на действащите правила; отбелязва, че от този момент нататък АПС участват в официалните командировки до трите места на работа на Парламента; приветства факта, че правилата относно възстановяването на разходите за командировки на АПС между трите места на работа бяха приведени в съответствие с правилата, приложими за длъжностните лица, като се осигури равно третиране на АПС; призовава Бюрото и администрацията на Парламента да се консултират официално с Комитета на акредитираните парламентарни сътрудници относно прегледите и реформите, които оказват пряко въздействие върху правата на АПС; призовава администрацията на Парламента да проучи осъществимостта на идеята за въвеждане на срок за предизвестие в договорите на </w:t>
      </w:r>
      <w:r w:rsidR="00C87F54" w:rsidRPr="00FB1491">
        <w:lastRenderedPageBreak/>
        <w:t>АПС при неочакваното напускане на член на ЕП; призовава отново Председателския съвет и Бюрото да преразгледат разпоредбите за прилагане, уреждащи дейността на делегациите и командировките извън Съюза; подчертава, че при това преразглеждане следва да се обмисли възможността, при определени условия, акредитираните парламентарни сътрудници да могат да придружават членовете на ЕП в рамките на официални парламентарни делегации и командировки; подчертава, че тази промяна няма да доведе до промяна на пакета и няма да има отражение върху бюджета;</w:t>
      </w:r>
    </w:p>
    <w:p w14:paraId="0592416A" w14:textId="656751F0" w:rsidR="00F01B4A" w:rsidRPr="002512A8" w:rsidRDefault="00F01B4A" w:rsidP="00C87F54">
      <w:pPr>
        <w:pStyle w:val="NormalHanging12a"/>
        <w:rPr>
          <w:bCs/>
          <w:iCs/>
          <w:lang w:val="en-GB"/>
        </w:rPr>
      </w:pPr>
      <w:r w:rsidRPr="002512A8">
        <w:rPr>
          <w:bCs/>
          <w:iCs/>
        </w:rPr>
        <w:t>67.</w:t>
      </w:r>
      <w:r w:rsidRPr="00F01B4A">
        <w:rPr>
          <w:bCs/>
          <w:iCs/>
        </w:rPr>
        <w:tab/>
      </w:r>
      <w:r w:rsidRPr="002512A8">
        <w:rPr>
          <w:bCs/>
          <w:iCs/>
        </w:rPr>
        <w:t xml:space="preserve">подчертава, че здравословните и безопасни условия на труд, включително </w:t>
      </w:r>
      <w:proofErr w:type="spellStart"/>
      <w:r w:rsidRPr="002512A8">
        <w:rPr>
          <w:bCs/>
          <w:iCs/>
        </w:rPr>
        <w:t>психосоциалните</w:t>
      </w:r>
      <w:proofErr w:type="spellEnd"/>
      <w:r w:rsidRPr="002512A8">
        <w:rPr>
          <w:bCs/>
          <w:iCs/>
        </w:rPr>
        <w:t xml:space="preserve"> рискове (стрес, професионално изчерпване, тормоз), са приоритет; призовава Бюрото да признае официално </w:t>
      </w:r>
      <w:proofErr w:type="spellStart"/>
      <w:r w:rsidRPr="002512A8">
        <w:rPr>
          <w:bCs/>
          <w:iCs/>
        </w:rPr>
        <w:t>психосоциалните</w:t>
      </w:r>
      <w:proofErr w:type="spellEnd"/>
      <w:r w:rsidRPr="002512A8">
        <w:rPr>
          <w:bCs/>
          <w:iCs/>
        </w:rPr>
        <w:t xml:space="preserve"> рискове като професионални рискове и да приеме план за превенцията им за целия Парламент, с измерими цели; призовава за въвеждането на оценки на риска, обхващащи дистанционната работа, командировките и кратките срокове, както и поверителните канали за докладване, обучението на ръководителите и редовния социален диалог; настоява за прилагане на правото на откъсване от работната среда</w:t>
      </w:r>
      <w:r>
        <w:rPr>
          <w:bCs/>
          <w:iCs/>
          <w:lang w:val="en-GB"/>
        </w:rPr>
        <w:t>;</w:t>
      </w:r>
    </w:p>
    <w:p w14:paraId="760E1ABB" w14:textId="77777777" w:rsidR="00C87F54" w:rsidRPr="00FB1491" w:rsidRDefault="00C87F54" w:rsidP="00C87F54">
      <w:pPr>
        <w:pStyle w:val="NormalHanging12a"/>
        <w:rPr>
          <w:bCs/>
          <w:iCs/>
        </w:rPr>
      </w:pPr>
      <w:r w:rsidRPr="00FB1491">
        <w:t>68.</w:t>
      </w:r>
      <w:r w:rsidRPr="00FB1491">
        <w:tab/>
        <w:t>припомня, че акредитираните парламентарни сътрудници не могат да участват във вътрешните конкурси на Парламента; приканва Бюрото да проучи възможността за това акредитираните парламентарни сътрудници да могат да участват във вътрешни конкурси по същия начин, както служителите на Парламента, при условия, които все още предстои да бъдат определени; подчертава, че по-активното участие на акредитираните парламентарни сътрудници във вътрешните структури на Парламента би могло да доведе до по-приобщаваща, разнообразна и географски балансирана работна сила; подчертава значението на запазването и трансфера на знания в рамките на Парламента във връзка с вътрешните методи на работа;</w:t>
      </w:r>
    </w:p>
    <w:p w14:paraId="1624657B" w14:textId="77777777" w:rsidR="00C87F54" w:rsidRPr="00FB1491" w:rsidRDefault="00C87F54" w:rsidP="00C87F54">
      <w:pPr>
        <w:pStyle w:val="NormalHanging12a"/>
      </w:pPr>
      <w:r w:rsidRPr="00FB1491">
        <w:t>69.</w:t>
      </w:r>
      <w:r w:rsidRPr="00FB1491">
        <w:tab/>
        <w:t xml:space="preserve">отбелязва с голяма загриженост съобщенията за нарушение на сигурността на данните във връзка с приложението PEOPLE на Парламента за набиране на персонал, което засяга предимно временно наетите служители на Парламента, включително и акредитираните парламентарни сътрудници; изразява съжаление за това, че нарушението на сигурността на данните засяга данни във връзка с лични карти, удостоверения за раждане, дипломи, трудови биографии, медицински досиета, финансови права, застраховки и документи за трудов стаж през последните десет години в някои случаи; приветства схемата за възстановяване на разходи, въведена от генералния секретар в съответствие със задължението на Парламента за полагане на грижа, за покриване на разходите за подмяна на личните карти и/или паспортите на засегнатите ползватели на приложението PEOPLE, като до момента са изплатени 51 874 EUR; изразява съжаление за това, че разходите за пътуване до държавата на произход във връзка с тези административни процедури не са били покрити; призовава администрацията да гарантира, че мерките за подпомагане са ефективни и справедливи, като се включват ясни насоки за обслужване на едно гише, подкрепа за защита на самоличността и възстановяване на разходите, като по този начин засегнатите лица не се налага да поемат сами неизбежните административни разходи по процедурите за подмяна на документи; отбелязва, че администрацията е предоставила на органа по освобождаване от отговорност своя анализ на причините за допуснатото нарушение; призовава администрацията да предостави </w:t>
      </w:r>
      <w:r w:rsidRPr="00FB1491">
        <w:lastRenderedPageBreak/>
        <w:t>на засегнатите служители, включително и на бившите служители, ясен анализ на причините за нарушението и на мерките, предприети за възстановяване на съответната система; напълно осъзнава факта, че Парламентът ще продължи да бъде цел за кибератаки и в бъдеще, и че е важно да се проявява максимална бдителност; приветства мерките, предприети от администрацията за по-нататъшно укрепване на зрелостта на киберсигурността и управлението на нейната ИТ среда;</w:t>
      </w:r>
    </w:p>
    <w:p w14:paraId="0D55E8BE" w14:textId="77777777" w:rsidR="00C87F54" w:rsidRPr="00FB1491" w:rsidRDefault="00C87F54" w:rsidP="00C87F54">
      <w:pPr>
        <w:spacing w:after="240"/>
        <w:ind w:left="567" w:hanging="567"/>
        <w:rPr>
          <w:noProof/>
        </w:rPr>
      </w:pPr>
      <w:r w:rsidRPr="00FB1491">
        <w:t>70.</w:t>
      </w:r>
      <w:r w:rsidRPr="00FB1491">
        <w:tab/>
        <w:t>отбелязва, че Генерална дирекция за персонала е въвела нова ИТ система APA-</w:t>
      </w:r>
      <w:proofErr w:type="spellStart"/>
      <w:r w:rsidRPr="00FB1491">
        <w:t>People</w:t>
      </w:r>
      <w:proofErr w:type="spellEnd"/>
      <w:r w:rsidRPr="00FB1491">
        <w:t>, като е подобрила процеса за набиране на персонал чрез централизиране на управлението на договорите и предоставяне на достъп за членовете на ЕП, наред с напълно цифровизирана процедура за провеждане на медицински прегледи във връзка с набирането на персонал; призовава Генерална дирекция за персонала, в сътрудничество с Генерална дирекция за иновации и техническо обслужване, да гарантира, че киберсигурността на тази система отговаря на стандартите и предотвратява изтичането на лични данни; счита, че киберсигурността на информационните системи, съдържащи личните данни на всички служители, е от първостепенно значение, и призовава Генерална дирекция за персонала да си сътрудничи тясно с Генерална дирекция за иновации и техническо обслужване за постигането на тази цел;</w:t>
      </w:r>
    </w:p>
    <w:p w14:paraId="33CE7852" w14:textId="77777777" w:rsidR="00C87F54" w:rsidRPr="00FB1491" w:rsidRDefault="00C87F54" w:rsidP="00C87F54">
      <w:pPr>
        <w:spacing w:after="240"/>
        <w:ind w:left="567" w:hanging="567"/>
      </w:pPr>
      <w:r w:rsidRPr="00FB1491">
        <w:t>71.</w:t>
      </w:r>
      <w:r w:rsidRPr="00FB1491">
        <w:tab/>
        <w:t>отбелязва, че през 2024 г. Генерална дирекция за персонала е подкрепила прилагането на пътни карти за равенство между половете и за многообразие, и е разработила обучителни курсове за многообразието и приобщаването за всички служители; приветства факта, че през 2024 г. Отделът за равните възможности, приобщаването и многообразието (EIDU) на Генерална дирекция за персонала рационализира вътрешната си процедура за предоставяне на разумни улеснения, насърчаваща равенството, приобщаването и многообразието на служителите, и също така че той предостави съвети на Отдела за учене и повишаване на квалификацията относно разумни улеснения за провеждането на обучителни курсове; приветства факта, че отделът също така е организирал 20 обучителни курса и прояви за повишаване на осведомеността за 2 334 участници, включително нов курс за многообразие и приобщаване за всички служители, и че е бил домакин на прояви, посветени на равенството между половете, уврежданията и приобщаването на ЛГБТКИ+;</w:t>
      </w:r>
    </w:p>
    <w:p w14:paraId="12EABD94" w14:textId="77777777" w:rsidR="00C87F54" w:rsidRPr="00FB1491" w:rsidRDefault="00C87F54" w:rsidP="00C87F54">
      <w:pPr>
        <w:pStyle w:val="NormalHanging12a"/>
      </w:pPr>
      <w:r w:rsidRPr="00FB1491">
        <w:t>72.</w:t>
      </w:r>
      <w:r w:rsidRPr="00FB1491">
        <w:tab/>
        <w:t>приветства приемането на общо междуинституционално решение относно жилищните надбавки за служителите с по-ниска степен, живеещи в Люксембург; счита, че това е необходим инструмент за подкрепа на служителите с по-ниска степен с цел балансиране на непропорционално високите жилищни разходи, както и необходим инструмент за повишаване на привлекателността на седалището на Парламента в Люксембург; отбелязва, че този инструмент е временен, и призовава Парламента да гарантира дългосрочна предвидимост за съответните служители;</w:t>
      </w:r>
    </w:p>
    <w:p w14:paraId="52779DCC" w14:textId="77777777" w:rsidR="00C87F54" w:rsidRPr="00FB1491" w:rsidRDefault="00C87F54" w:rsidP="00C87F54">
      <w:pPr>
        <w:pStyle w:val="NormalHanging12a"/>
      </w:pPr>
      <w:r w:rsidRPr="00FB1491">
        <w:t>73.</w:t>
      </w:r>
      <w:r w:rsidRPr="00FB1491">
        <w:tab/>
        <w:t xml:space="preserve">припомня стартирането на масовата кампания на Парламента за борба с тормоза „Заедно срещу тормоза“ на 22 октомври 2024 г., която допринася за осигуряването на безопасна работна среда; приветства факта, че в допълнение към информационната кампания, обучението на тема „Зачитане и достойнство на работното място – предотвратяване на конфликти и тормоз на работното място“ беше задължително за членовете на ЕП и те го преминаха през първата година от </w:t>
      </w:r>
      <w:r w:rsidRPr="00FB1491">
        <w:lastRenderedPageBreak/>
        <w:t>законодателния мандат; подчертава, че ефективността на тези мерки следва да бъде оценена;</w:t>
      </w:r>
    </w:p>
    <w:p w14:paraId="51ED7C71" w14:textId="77777777" w:rsidR="00C87F54" w:rsidRPr="00FB1491" w:rsidRDefault="00C87F54" w:rsidP="00C87F54">
      <w:pPr>
        <w:pStyle w:val="NormalHanging12a"/>
      </w:pPr>
      <w:r w:rsidRPr="00FB1491">
        <w:t>74.</w:t>
      </w:r>
      <w:r w:rsidRPr="00FB1491">
        <w:tab/>
        <w:t>отбелязва възможността служителите да работят дистанционно извън своето работно място; отбелязва, че служителите на Парламента могат да използват тази форма на дистанционна работа за срок от пет дни годишно; отбелязва, че другите институции на Съюза предоставят средно по 15 дни годишно; призовава за проактивен мониторинг и оценка на новите форми на организация на труда; припомня значението на истинския диалог със служителите по някои ключови въпроси, свързани с новите начини на работа;</w:t>
      </w:r>
    </w:p>
    <w:p w14:paraId="1ECBD305" w14:textId="77777777" w:rsidR="00C87F54" w:rsidRPr="00FB1491" w:rsidRDefault="00C87F54" w:rsidP="00C87F54">
      <w:pPr>
        <w:pStyle w:val="NormalHanging12a"/>
        <w:rPr>
          <w:bCs/>
          <w:iCs/>
        </w:rPr>
      </w:pPr>
      <w:r w:rsidRPr="00FB1491">
        <w:t>75.</w:t>
      </w:r>
      <w:r w:rsidRPr="00FB1491">
        <w:tab/>
        <w:t>подчертава, че качествените услуги за полагане на грижи за деца, предоставяни на членовете и служителите на ЕП, са много важни мерки за гарантиране на ефективното прилагане на политиката за баланс между професионалния и личния живот; обръща внимание на факта, че качеството на услугите, предоставяни от детското заведение „</w:t>
      </w:r>
      <w:proofErr w:type="spellStart"/>
      <w:r w:rsidRPr="00FB1491">
        <w:t>Вайенберг</w:t>
      </w:r>
      <w:proofErr w:type="spellEnd"/>
      <w:r w:rsidRPr="00FB1491">
        <w:t>“ в Брюксел за деца в предучилищна възраст, страда поради честата смяна на доставчика на услуги от 2020 г. насам; във връзка с това призовава да се разгледа необходимостта от приемане на стандарти за високо качество;</w:t>
      </w:r>
    </w:p>
    <w:p w14:paraId="0C6B23BD" w14:textId="3B4EAD6A" w:rsidR="00C87F54" w:rsidRPr="00FB1491" w:rsidRDefault="00C87F54" w:rsidP="00C87F54">
      <w:pPr>
        <w:pStyle w:val="NormalHanging12a"/>
        <w:rPr>
          <w:bCs/>
          <w:iCs/>
        </w:rPr>
      </w:pPr>
      <w:r w:rsidRPr="00FB1491">
        <w:t>76.</w:t>
      </w:r>
      <w:r w:rsidRPr="00FB1491">
        <w:tab/>
        <w:t>припомня препоръката на Парламента, отправена към Комисията в резолюцията на Европейския парламент от 18 април 2018 г. относно политиката на етично поведение на Комисията, и по-специално назначаването на генералния секретар на Европейската комисия (2018/2624(RSP)), „да преразгледа [...] административната си процедура за назначаване на висши длъжностни лица с цел напълно да гарантира, че най-добрите кандидати биват избрани в рамките на максимална прозрачност и равни възможности“; счита, че при процедурите за назначаване на служители Парламентът следва винаги да съблюдава най-високите стандарти за прозрачност, отчетност и добра администрация;</w:t>
      </w:r>
    </w:p>
    <w:p w14:paraId="0546B0A0" w14:textId="77777777" w:rsidR="00C87F54" w:rsidRPr="00FB1491" w:rsidRDefault="00C87F54" w:rsidP="00C87F54">
      <w:pPr>
        <w:pStyle w:val="NormalHanging12a"/>
        <w:rPr>
          <w:bCs/>
          <w:iCs/>
        </w:rPr>
      </w:pPr>
      <w:r w:rsidRPr="00FB1491">
        <w:t>77.</w:t>
      </w:r>
      <w:r w:rsidRPr="00FB1491">
        <w:tab/>
        <w:t>приканва Парламента да оптимизира използването на своите човешки ресурси, включително чрез прилагането на подходящи мерки за текущо обучение, насочени към повишаване на ефективността и ефикасността на вътрешните служби; призовава да се предоставя редовно обучение по оказване на първа помощ за служителите на начално и средно равнище, както и обучението по оказване на първа помощ да се превърне в доброволна част от програмата за постъпване на работа на нови служители; призовава администрацията да проучи възможността за инсталиране на допълнителни дефибрилатори, с оглед подобряване на здравето и безопасността на членовете и служителите на ЕП, включително и предоставяне на обучение;</w:t>
      </w:r>
    </w:p>
    <w:p w14:paraId="03F2AEFD" w14:textId="77777777" w:rsidR="00C87F54" w:rsidRPr="00FB1491" w:rsidRDefault="00C87F54" w:rsidP="00C87F54">
      <w:pPr>
        <w:spacing w:after="240"/>
        <w:rPr>
          <w:b/>
          <w:bCs/>
          <w:i/>
          <w:iCs/>
        </w:rPr>
      </w:pPr>
      <w:r w:rsidRPr="00FB1491">
        <w:rPr>
          <w:b/>
          <w:i/>
        </w:rPr>
        <w:t>Генерална дирекция за инфраструктури и логистика</w:t>
      </w:r>
    </w:p>
    <w:p w14:paraId="102FD09E" w14:textId="77777777" w:rsidR="00C87F54" w:rsidRPr="00FB1491" w:rsidRDefault="00C87F54" w:rsidP="00C87F54">
      <w:pPr>
        <w:spacing w:after="240"/>
        <w:ind w:left="567" w:hanging="567"/>
      </w:pPr>
      <w:r w:rsidRPr="00FB1491">
        <w:t>78.</w:t>
      </w:r>
      <w:r w:rsidRPr="00FB1491">
        <w:tab/>
        <w:t>припомня, че Генерална дирекция за инфраструктури и логистика (ГД INLO) отговаря за сградите, строителните работи, управлението на съоръженията и логистиката на Парламента; отбелязва, че Генерална дирекция за инфраструктури и логистика също така осигурява кетъринг и транспорт, и управлява и оборудва офисите и заседателните зали на Парламента; припомня, че Генерална дирекция за инфраструктури и логистика по-специално управлява сградния фонд на Парламента от около 1,3 милиона м² в Брюксел, Люксембург и Страсбург, както и бюрата за връзка и центровете „</w:t>
      </w:r>
      <w:proofErr w:type="spellStart"/>
      <w:r w:rsidRPr="00FB1491">
        <w:t>Europa</w:t>
      </w:r>
      <w:proofErr w:type="spellEnd"/>
      <w:r w:rsidRPr="00FB1491">
        <w:t xml:space="preserve"> </w:t>
      </w:r>
      <w:proofErr w:type="spellStart"/>
      <w:r w:rsidRPr="00FB1491">
        <w:t>Experience</w:t>
      </w:r>
      <w:proofErr w:type="spellEnd"/>
      <w:r w:rsidRPr="00FB1491">
        <w:t xml:space="preserve">“ в държавите членки; </w:t>
      </w:r>
      <w:r w:rsidRPr="00FB1491">
        <w:lastRenderedPageBreak/>
        <w:t>отбелязва, че към 31 декември 2024 г. Генерална дирекция за инфраструктури и логистика наброяваше 635 служители, от които 311 длъжностни лица, 20 срочно наети служители и 326 договорно наети служители;</w:t>
      </w:r>
    </w:p>
    <w:p w14:paraId="1562F36D" w14:textId="77777777" w:rsidR="00C87F54" w:rsidRPr="00FB1491" w:rsidRDefault="00C87F54" w:rsidP="00C87F54">
      <w:pPr>
        <w:pStyle w:val="NormalHanging12a"/>
      </w:pPr>
      <w:r w:rsidRPr="00FB1491">
        <w:t>79.</w:t>
      </w:r>
      <w:r w:rsidRPr="00FB1491">
        <w:tab/>
        <w:t>отбелязва, че през 2024 г. окончателните бюджетни кредити на Генерална дирекция за инфраструктури и логистика възлизат на 258 638 966 EUR, което представлява 10,9% от бюджета на Парламента; подчертава, че от тази сума са поети задължения в размер на общо 256 935 431 EUR; отбелязва високата степен на усвояване на бюджетните кредити;</w:t>
      </w:r>
    </w:p>
    <w:p w14:paraId="10214EA7" w14:textId="77777777" w:rsidR="00C87F54" w:rsidRPr="00FB1491" w:rsidRDefault="00C87F54" w:rsidP="00C87F54">
      <w:pPr>
        <w:spacing w:after="240"/>
        <w:ind w:left="567" w:hanging="567"/>
      </w:pPr>
      <w:r w:rsidRPr="00FB1491">
        <w:t>80.</w:t>
      </w:r>
      <w:r w:rsidRPr="00FB1491">
        <w:tab/>
        <w:t>припомня, че преобладаващата част от членовете на ЕП изразяват подкрепа за преминаването към едно седалище на Парламента; отбелязва, че съгласно ДЕС седалището на Парламента е в Страсбург, където се провеждат 12-те месечни пленарни заседания, и че всяка промяна на Договорите изисква постигането на единодушие от страна на държавите членки; отбелязва, че в настоящата рамка на Договора могат да бъдат постигнати икономии чрез оптимизиране на операциите; призовава за определяне на конкретни етапни цели и план за действие за постигане на идентифицираните намаления на разходите;</w:t>
      </w:r>
    </w:p>
    <w:p w14:paraId="68D31D07" w14:textId="77777777" w:rsidR="00C87F54" w:rsidRPr="00FB1491" w:rsidRDefault="00C87F54" w:rsidP="00C87F54">
      <w:pPr>
        <w:pStyle w:val="NormalHanging12a"/>
        <w:rPr>
          <w:bCs/>
          <w:iCs/>
        </w:rPr>
      </w:pPr>
      <w:r w:rsidRPr="00FB1491">
        <w:t>81.</w:t>
      </w:r>
      <w:r w:rsidRPr="00FB1491">
        <w:tab/>
        <w:t>насърчава администрацията да продължи да извършва оценка на качеството, ценообразуването и обхвата на кетъринг услугите, предлагани в рамките на Парламента, с цел да се гарантира, че при критериите за възлагане на обществени поръчки се балансират по подходящ начин съображенията за цената и качеството на услугите; приканва Генералната дирекция за инфраструктури и логистика да проучи възможностите за засилване на конкуренцията между доставчиците на кетъринг услуги с цел подобряване на стандартите за предлаганите услуги, избора и разходната ефективност, особено във връзка с организирането на официални прояви и услуги за посетители; призовава администрацията на Парламента да докладва на комисията по бюджетен контрол на Парламента относно резултатите;</w:t>
      </w:r>
    </w:p>
    <w:p w14:paraId="060D96E0" w14:textId="77777777" w:rsidR="00C87F54" w:rsidRPr="00FB1491" w:rsidRDefault="00C87F54" w:rsidP="00C87F54">
      <w:pPr>
        <w:pStyle w:val="NormalHanging12a"/>
      </w:pPr>
      <w:r w:rsidRPr="00FB1491">
        <w:t>82.</w:t>
      </w:r>
      <w:r w:rsidRPr="00FB1491">
        <w:tab/>
        <w:t>приветства факта, че през 2024 г. администрацията е изпълнила стратегията на Парламента за сградния фонд за периода след 2019 г. и е постигнала основните ѝ цели; със задоволство отбелязва, че след години на разширяване поради увеличените институционални правомощия на Парламента, понастоящем Генерална дирекция за инфраструктури и логистика се фокусира върху консолидирането на сградния фонд на Парламента; приветства ангажимента на Генерална дирекция за инфраструктури и логистика за по-нататъшно развитие на ролята на Парламента в градовете Страсбург, Брюксел и Люксембург, за насърчаване на проекти от общ интерес и за свързване на обектите с околните райони;</w:t>
      </w:r>
    </w:p>
    <w:p w14:paraId="5261B01E" w14:textId="77777777" w:rsidR="00C87F54" w:rsidRPr="00FB1491" w:rsidRDefault="00C87F54" w:rsidP="00C87F54">
      <w:pPr>
        <w:pStyle w:val="NormalHanging12a"/>
        <w:rPr>
          <w:bCs/>
          <w:iCs/>
        </w:rPr>
      </w:pPr>
      <w:r w:rsidRPr="00FB1491">
        <w:t>83.</w:t>
      </w:r>
      <w:r w:rsidRPr="00FB1491">
        <w:tab/>
        <w:t xml:space="preserve">призовава администрацията на Парламента да продължи да следва активна стратегия в областта на сградния фонд, като интегрира инфраструктурните и логистичните потребности, като преразгледа мерките за намаляване на разходите, например използването на хибридни технологии за заседанията, и като консолидира парламентарните дейности; призовава Парламента да гарантира, че неговите цели за интегриране на биологичното разнообразие се вземат предвид и при проектите за управление и саниране на сгради, включително извършването на оценка за свързаните с това разходи; отбелязва, че големите строителни проекти включват сложни преговори и значителен правен контрол; призовава администрацията на Парламента да гарантира структурирано последващо </w:t>
      </w:r>
      <w:r w:rsidRPr="00FB1491">
        <w:lastRenderedPageBreak/>
        <w:t>докладване пред органа по освобождаване от отговорност относно тези проекти, включително относно процесите на преговори, мерките за намаляване на риска и правните оценки, за да се подобри прозрачността и институционалното обучение;</w:t>
      </w:r>
    </w:p>
    <w:p w14:paraId="08AE5734" w14:textId="77777777" w:rsidR="00C87F54" w:rsidRPr="00FB1491" w:rsidRDefault="00C87F54" w:rsidP="00C87F54">
      <w:pPr>
        <w:pStyle w:val="NormalHanging12a"/>
      </w:pPr>
      <w:r w:rsidRPr="00FB1491">
        <w:t>84.</w:t>
      </w:r>
      <w:r w:rsidRPr="00FB1491">
        <w:tab/>
        <w:t>отбелязва със загриженост продължаващия недостиг на заседателни зали и зали за семинари в Парламента, което прави резервирането им все по-трудно и изисква предварително планиране; изразява съжаление, че това положение пречи на ефективната организация на парламентарната работа и ограничава гъвкавостта за членовете и служителите на ЕП; отбелязва предстоящото обновяване на сградата „СПАК“, което е в съответствие с изискванията на Съюза за енергийните характеристики; призовава администрацията на Парламента да приложи мерки за смекчаване на въздействието във връзка с обновяването на сградата и да гарантира наличието на достатъчно съоръжения за подкрепа на оперативните нужди на Парламента;</w:t>
      </w:r>
    </w:p>
    <w:p w14:paraId="23541360" w14:textId="77777777" w:rsidR="00C87F54" w:rsidRPr="00FB1491" w:rsidRDefault="00C87F54" w:rsidP="00C87F54">
      <w:pPr>
        <w:pStyle w:val="NormalHanging12a"/>
      </w:pPr>
      <w:r w:rsidRPr="00FB1491">
        <w:t>85.</w:t>
      </w:r>
      <w:r w:rsidRPr="00FB1491">
        <w:tab/>
        <w:t>отбелязва строителните проекти, реализирани през 2024 г., и по-специално завършването на западното крило на сградата „АДЕНАУЕР II“ в Люксембург, което събра всички служители и служби на Парламента под един покрив; отбелязва, че новият павилион за охраната и за посрещането на посетители в сградата „ВАЙС“ в Страсбург беше завършен навреме за началото на новия законодателен мандат през юли 2024 г.; отбелязва придобиването на сградата „ТРЕВ II“ в Брюксел, което обезпечи допълнителното консолидиране на сградния фонд на Парламента в Европейския квартал на града; изисква предоставянето на актуализиран график за свързването на „</w:t>
      </w:r>
      <w:proofErr w:type="spellStart"/>
      <w:r w:rsidRPr="00FB1491">
        <w:t>Трев</w:t>
      </w:r>
      <w:proofErr w:type="spellEnd"/>
      <w:r w:rsidRPr="00FB1491">
        <w:t xml:space="preserve"> I“ и „</w:t>
      </w:r>
      <w:proofErr w:type="spellStart"/>
      <w:r w:rsidRPr="00FB1491">
        <w:t>Трев</w:t>
      </w:r>
      <w:proofErr w:type="spellEnd"/>
      <w:r w:rsidRPr="00FB1491">
        <w:t xml:space="preserve"> II“ с основните централни сгради в Брюксел; изисква да се намери решение на някои структурни проблеми, които все още не са решени в сградата „</w:t>
      </w:r>
      <w:proofErr w:type="spellStart"/>
      <w:r w:rsidRPr="00FB1491">
        <w:t>Трев</w:t>
      </w:r>
      <w:proofErr w:type="spellEnd"/>
      <w:r w:rsidRPr="00FB1491">
        <w:t xml:space="preserve"> I“, като например нестабилната отоплителна система, липсата на климатизация и тоалетни за лица с намалена подвижност, лошата звукоизолация, както и проблема с канализацията; насърчава по-честото почистване на вентилационните отвори на отоплителната система в сградата „</w:t>
      </w:r>
      <w:proofErr w:type="spellStart"/>
      <w:r w:rsidRPr="00FB1491">
        <w:t>Спинели</w:t>
      </w:r>
      <w:proofErr w:type="spellEnd"/>
      <w:r w:rsidRPr="00FB1491">
        <w:t>“, за да се предотврати натрупването на прах и плесен в офисите и да се подобри здравето на служителите на тяхното работно място;</w:t>
      </w:r>
    </w:p>
    <w:p w14:paraId="6B78072A" w14:textId="77777777" w:rsidR="00C87F54" w:rsidRPr="00FB1491" w:rsidRDefault="00C87F54" w:rsidP="00C87F54">
      <w:pPr>
        <w:pStyle w:val="NormalHanging12a"/>
      </w:pPr>
      <w:r w:rsidRPr="00FB1491">
        <w:t>86.</w:t>
      </w:r>
      <w:r w:rsidRPr="00FB1491">
        <w:tab/>
        <w:t>припомня, че на заседанието си на 12 юни 2023 г. Бюрото обсъди стъпки за обновяване на сградата „СПАК“; отбелязва, че Бюрото изрази предпочитание към цялостно екологично саниране и одобри проекта на 11 декември 2023 г.; отбелязва, че Генерална дирекция за инфраструктури и логистика е постигнала напредък по предварителните проекти във връзка с обновяването на сградата „СПАК“, като е започнала проучвания относно новата централна техническа зала на Генерална дирекция за логистика и устни преводи за конференции (ГД LINC), реорганизацията на печатницата, преместването на кабинетите и зоната за медиите и пресата;</w:t>
      </w:r>
    </w:p>
    <w:p w14:paraId="76B7C66C" w14:textId="77777777" w:rsidR="00C87F54" w:rsidRPr="00FB1491" w:rsidRDefault="00C87F54" w:rsidP="00C87F54">
      <w:pPr>
        <w:pStyle w:val="NormalHanging12a"/>
        <w:rPr>
          <w:bCs/>
          <w:iCs/>
        </w:rPr>
      </w:pPr>
      <w:r w:rsidRPr="00FB1491">
        <w:t>87.</w:t>
      </w:r>
      <w:r w:rsidRPr="00FB1491">
        <w:tab/>
        <w:t xml:space="preserve">отбелязва, че в бюджетната прогноза за 2026 г. са включени 4 милиона евро за проучвания и подготвителни работи на изпълнителя във връзка с обновяването на сградата „СПАК“, а общите разходи се оценяват на 36 милиона евро; следователно отбелязва, че в бюджетната прогноза за 2026 г. не са включени разходите за обновяването на сградата „СПАК“ в размер на 32 милиона евро; отбелязва, че генералният секретар възнамерява да покрие тези разходи чрез сборен трансфер или чрез ползването на заем; изисква от генералния секретар да предостави възможно най-бързо на комисията по бюджетен контрол на Парламента подробна информация относно евентуален заем за покриването на </w:t>
      </w:r>
      <w:r w:rsidRPr="00FB1491">
        <w:lastRenderedPageBreak/>
        <w:t>тези разходи; отбелязва, че към декември 2024 г. преките разходи за проекта „СПАК“ възлизаха на 14,12 милиона евро; счита, че промените в разходите за санирането на сградата „СПАК“ трябва да се следят отблизо и внимателно;</w:t>
      </w:r>
    </w:p>
    <w:p w14:paraId="03441A4B" w14:textId="77777777" w:rsidR="00C87F54" w:rsidRPr="00FB1491" w:rsidRDefault="00C87F54" w:rsidP="00C87F54">
      <w:pPr>
        <w:pStyle w:val="NormalHanging12a"/>
      </w:pPr>
      <w:r w:rsidRPr="00FB1491">
        <w:t>88.</w:t>
      </w:r>
      <w:r w:rsidRPr="00FB1491">
        <w:tab/>
        <w:t>отбелязва, че Генерална дирекция за инфраструктури и логистика разработва концепция за оптимизиране на офис пространството, с цел настоящите офиси да се използват така, че да се оползотвори пълният потенциал на служителите на Парламента и те да продължават да бъдат социално ангажирани в рамките на Парламента; отбелязва, че за тази концепция се използват като вдъхновение сградите „МАРТЕНС“, „ТРЕВ II“ и „АРЕНД“ в Брюксел, като се поставя акцент върху „работно място, основано на дейности“, включително социални зони за срещи, неформални събирания и обмен на информация; отбелязва, че е проучена и обща концепция за сградата „КОЛ“, като се вземат предвид нейните структурни ограничения, както и бюджетните ограничения; призовава Генерална дирекция за инфраструктури и логистика да гарантира, че становищата на ползвателите са важен елемент при разработването на тази концепция и да се приоритизира тяхното прилагане в сградите, където оптимизацията е най-необходима, като това винаги се съгласува с представителите на персонала;</w:t>
      </w:r>
    </w:p>
    <w:p w14:paraId="66B168DD" w14:textId="77777777" w:rsidR="00C87F54" w:rsidRPr="00FB1491" w:rsidRDefault="00C87F54" w:rsidP="00C87F54">
      <w:pPr>
        <w:pStyle w:val="NormalHanging12a"/>
        <w:rPr>
          <w:bCs/>
          <w:iCs/>
        </w:rPr>
      </w:pPr>
      <w:r w:rsidRPr="00FB1491">
        <w:t>89.</w:t>
      </w:r>
      <w:r w:rsidRPr="00FB1491">
        <w:tab/>
        <w:t>посочва, че през 2024 г. голяма част от осигурените места в автобусите за превоз на лица между Брюксел и Страсбург във връзка с провеждането на пленарни заседания не са били заети; призовава администрацията на Парламента да разгледа възможността за разширяване на групата ползватели с цел по-ефективно използване на служебните автобуси, като същевременно се гарантира осигуряването на места за членовете на ЕП;</w:t>
      </w:r>
    </w:p>
    <w:p w14:paraId="3F10DA47" w14:textId="77777777" w:rsidR="00C87F54" w:rsidRPr="00FB1491" w:rsidRDefault="00C87F54" w:rsidP="00C87F54">
      <w:pPr>
        <w:pStyle w:val="NormalHanging12a"/>
        <w:rPr>
          <w:bCs/>
          <w:iCs/>
        </w:rPr>
      </w:pPr>
      <w:r w:rsidRPr="00FB1491">
        <w:t>90.</w:t>
      </w:r>
      <w:r w:rsidRPr="00FB1491">
        <w:tab/>
        <w:t>насърчава идеята във фитнес залата да се предлагат повече курсове, които да подкрепят физическото и психическото благосъстояние, за да се достигне до по-широк кръг служители;</w:t>
      </w:r>
    </w:p>
    <w:p w14:paraId="0492A72B"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Генерална дирекция по финанси</w:t>
      </w:r>
    </w:p>
    <w:p w14:paraId="0923DA24"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91</w:t>
      </w:r>
      <w:r w:rsidRPr="00FB1491">
        <w:t>.</w:t>
      </w:r>
      <w:r w:rsidRPr="00FB1491">
        <w:rPr>
          <w14:textOutline w14:w="0" w14:cap="flat" w14:cmpd="sng" w14:algn="ctr">
            <w14:noFill/>
            <w14:prstDash w14:val="solid"/>
            <w14:bevel/>
          </w14:textOutline>
        </w:rPr>
        <w:tab/>
        <w:t>припомня, че Генерална дирекция по финанси (ГД FINS) е административният орган, който отговаря за бюджетните и финансовите въпроси на Парламента; отбелязва, че към 31 декември 2024 г. в генералната дирекция е имало 262 служители, от които 134 длъжностни лица, 51 срочно наети служители и 77 договорно наети служители, и че няма служители, наети чрез агенция за временна заетост;</w:t>
      </w:r>
    </w:p>
    <w:p w14:paraId="3F744F6D" w14:textId="77777777" w:rsidR="00C87F54" w:rsidRPr="00FB1491" w:rsidRDefault="00C87F54" w:rsidP="00C87F54">
      <w:pPr>
        <w:spacing w:after="240"/>
        <w:ind w:left="567" w:hanging="567"/>
        <w:rPr>
          <w14:textOutline w14:w="0" w14:cap="flat" w14:cmpd="sng" w14:algn="ctr">
            <w14:noFill/>
            <w14:prstDash w14:val="solid"/>
            <w14:bevel/>
          </w14:textOutline>
        </w:rPr>
      </w:pPr>
      <w:r w:rsidRPr="00FB1491">
        <w:rPr>
          <w14:textOutline w14:w="0" w14:cap="flat" w14:cmpd="sng" w14:algn="ctr">
            <w14:noFill/>
            <w14:prstDash w14:val="solid"/>
            <w14:bevel/>
          </w14:textOutline>
        </w:rPr>
        <w:t>92</w:t>
      </w:r>
      <w:r w:rsidRPr="00FB1491">
        <w:t>.</w:t>
      </w:r>
      <w:r w:rsidRPr="00FB1491">
        <w:rPr>
          <w14:textOutline w14:w="0" w14:cap="flat" w14:cmpd="sng" w14:algn="ctr">
            <w14:noFill/>
            <w14:prstDash w14:val="solid"/>
            <w14:bevel/>
          </w14:textOutline>
        </w:rPr>
        <w:tab/>
      </w:r>
      <w:r w:rsidRPr="00FB1491">
        <w:t>отбелязва, че през 2024 г. окончателните бюджетни кредити на Генерална дирекция по финанси възлизат на 442 954 175 EUR, което представлява 18,6% от бюджета на Парламента;</w:t>
      </w:r>
      <w:r w:rsidRPr="00FB1491">
        <w:rPr>
          <w14:textOutline w14:w="0" w14:cap="flat" w14:cmpd="sng" w14:algn="ctr">
            <w14:noFill/>
            <w14:prstDash w14:val="solid"/>
            <w14:bevel/>
          </w14:textOutline>
        </w:rPr>
        <w:t xml:space="preserve"> </w:t>
      </w:r>
      <w:r w:rsidRPr="00FB1491">
        <w:t>подчертава, че от тази сума са поети задължения в размер на общо 441 848 935 EUR (99,67%);</w:t>
      </w:r>
      <w:r w:rsidRPr="00FB1491">
        <w:rPr>
          <w14:textOutline w14:w="0" w14:cap="flat" w14:cmpd="sng" w14:algn="ctr">
            <w14:noFill/>
            <w14:prstDash w14:val="solid"/>
            <w14:bevel/>
          </w14:textOutline>
        </w:rPr>
        <w:t xml:space="preserve"> приветства високата степен на усвояване на бюджетните кредити;</w:t>
      </w:r>
    </w:p>
    <w:p w14:paraId="6C17D2D9" w14:textId="77777777" w:rsidR="00C87F54" w:rsidRPr="00FB1491" w:rsidRDefault="00C87F54" w:rsidP="00C87F54">
      <w:pPr>
        <w:spacing w:after="240"/>
        <w:ind w:left="567" w:hanging="567"/>
        <w:rPr>
          <w14:textOutline w14:w="0" w14:cap="flat" w14:cmpd="sng" w14:algn="ctr">
            <w14:noFill/>
            <w14:prstDash w14:val="solid"/>
            <w14:bevel/>
          </w14:textOutline>
        </w:rPr>
      </w:pPr>
      <w:r w:rsidRPr="00FB1491">
        <w:rPr>
          <w14:textOutline w14:w="0" w14:cap="flat" w14:cmpd="sng" w14:algn="ctr">
            <w14:noFill/>
            <w14:prstDash w14:val="solid"/>
            <w14:bevel/>
          </w14:textOutline>
        </w:rPr>
        <w:t>93.</w:t>
      </w:r>
      <w:r w:rsidRPr="00FB1491">
        <w:rPr>
          <w14:textOutline w14:w="0" w14:cap="flat" w14:cmpd="sng" w14:algn="ctr">
            <w14:noFill/>
            <w14:prstDash w14:val="solid"/>
            <w14:bevel/>
          </w14:textOutline>
        </w:rPr>
        <w:tab/>
        <w:t>призовава Генерална дирекция по финанси да се ангажира активно за изпълнение на препоръките на ОИСР относно най-добри практики за парламентите в областта на бюджетирането (2022 – 2023 г.) и да подобри прилагането на бюджетиране, основано на изпълнението; припомня, че много държави членки вече са приели бюджетиране, основано на изпълнението, и докладват за генерирането на значителни икономии;</w:t>
      </w:r>
    </w:p>
    <w:p w14:paraId="6900CF42" w14:textId="77777777" w:rsidR="00C87F54" w:rsidRPr="00FB1491" w:rsidRDefault="00C87F54" w:rsidP="00C87F54">
      <w:pPr>
        <w:pStyle w:val="NormalHanging12a"/>
        <w:rPr>
          <w:bCs/>
          <w:iCs/>
        </w:rPr>
      </w:pPr>
      <w:r w:rsidRPr="00FB1491">
        <w:lastRenderedPageBreak/>
        <w:t>94.</w:t>
      </w:r>
      <w:r w:rsidRPr="00FB1491">
        <w:tab/>
        <w:t>отбелязва, че настоящият фискален натиск изисква финансова предпазливост и ефективност, също така в рамките на административния бюджет на Парламента, за да се демонстрира институционална отговорност, когато това е целесъобразно, без да се застрашава неговата роля в институционалната рамка на Съюза, нито основните му функции; призовава администрацията на Парламента да проучи иновативни инструменти за бюджетиране, включително и бюджетиране, основано на изпълнението, които биха могли да повишат прозрачността, отчетността и ефикасността на процеса на бюджетиране, като се гарантира, че публичните средства се изразходват отговорно; отбелязва, че тези възможности не следва да бъдат в ущърб на вече планираните или поетите финансови задължения и не следва по никакъв начин да засягат качеството на услугите, предоставяни на членовете и служителите на ЕП, нито финансовите задължения, поети въз основа на действащите правила;</w:t>
      </w:r>
    </w:p>
    <w:p w14:paraId="5F1BFDB4"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95</w:t>
      </w:r>
      <w:r w:rsidRPr="00FB1491">
        <w:t>.</w:t>
      </w:r>
      <w:r w:rsidRPr="00FB1491">
        <w:rPr>
          <w14:textOutline w14:w="0" w14:cap="flat" w14:cmpd="sng" w14:algn="ctr">
            <w14:noFill/>
            <w14:prstDash w14:val="solid"/>
            <w14:bevel/>
          </w14:textOutline>
        </w:rPr>
        <w:tab/>
      </w:r>
      <w:r w:rsidRPr="00FB1491">
        <w:t>отбелязва, че 2024 г. беше специална година за Генерална дирекция по финанси, тъй като това беше годината на европейските избори, проведени през юни 2024 г.; отбелязва, че дейностите за подкрепа на членовете на ЕП се увеличиха значително през 2024 г., тъй като бяха управлявани правата и задълженията както на напускащите, така и на новоизбраните членове на ЕП;</w:t>
      </w:r>
    </w:p>
    <w:p w14:paraId="4FE0BD5A" w14:textId="77777777" w:rsidR="00C87F54" w:rsidRPr="00FB1491" w:rsidRDefault="00C87F54" w:rsidP="00C87F54">
      <w:pPr>
        <w:pStyle w:val="NormalHanging12a"/>
      </w:pPr>
      <w:r w:rsidRPr="00FB1491">
        <w:t>96.</w:t>
      </w:r>
      <w:r w:rsidRPr="00FB1491">
        <w:tab/>
        <w:t>препоръчва Генерална дирекция по финанси да въведе основан на риска подход при контрола и одита на разходите на членовете на ЕП, както и процеси, приведени в съответствие с принципите на добро управление, по-специално прозрачност, отчетност, способност за реагиране и справедливост; признава, че е важно да се осигури (основано на извадки) базово равнище на контрол, за да се гарантира спазването на правилата; приветства факта, че при наличието на по-висок риск от неправомерно разходване на средства от страна на член на ЕП, администрацията може да упражни правото си да провери съответните средства; подчертава, че макар тези проверки да се приветстват, тяхната ефективност зависи от своевременното предприемане на последващи действия във връзка с установените неправомерни разходи;</w:t>
      </w:r>
    </w:p>
    <w:p w14:paraId="7BCD132A"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97</w:t>
      </w:r>
      <w:r w:rsidRPr="00FB1491">
        <w:t>.</w:t>
      </w:r>
      <w:r w:rsidRPr="00FB1491">
        <w:rPr>
          <w14:textOutline w14:w="0" w14:cap="flat" w14:cmpd="sng" w14:algn="ctr">
            <w14:noFill/>
            <w14:prstDash w14:val="solid"/>
            <w14:bevel/>
          </w14:textOutline>
        </w:rPr>
        <w:tab/>
      </w:r>
      <w:r w:rsidRPr="00FB1491">
        <w:t xml:space="preserve">признава проблема с привличането на служители в Генерална дирекция по финанси, който се дължи на липсата на кандидати в списъците на EPSO в сферата на финансите и информационните технологии, както и трудностите при привличането на служители в Люксембург, където са 45% от длъжностите на Генерална дирекция по финанси; отбелязва трудностите при привличането на служители в Люксембург, тъй като възнагражденията на местния пазар на труда са еднакви или по-добри от тези на Парламента и разходите за живот са високи, особено за жилищата; </w:t>
      </w:r>
    </w:p>
    <w:p w14:paraId="05651A90" w14:textId="77777777" w:rsidR="00C87F54" w:rsidRPr="00FB1491" w:rsidRDefault="00C87F54" w:rsidP="00C87F54">
      <w:pPr>
        <w:spacing w:after="240"/>
        <w:ind w:left="567" w:hanging="567"/>
      </w:pPr>
      <w:r w:rsidRPr="00FB1491">
        <w:t>98.</w:t>
      </w:r>
      <w:r w:rsidRPr="00FB1491">
        <w:tab/>
        <w:t>отбелязва инициативата „Цифрова и капиталова трансформация на Генерална дирекция по финанси през 2024 г.“, като първите две програми от нея („Цифрова трансформация за подобряване на финансовите услуги за членовете на ЕП“ и „Цифрова трансформация за подобрени услуги за администрацията на Парламента“) имат за цел да продължат цифровата трансформация на услугите, предлагани от Генерална дирекция по финанси, независимо дали става въпрос за членове на ЕП или финансови участници от институцията; отбелязва, че третата стратегическа програма („Капиталова трансформация за по-продуктивно и сплотено работно място“) има за цел да създаде по-продуктивна и сплотена работна среда;</w:t>
      </w:r>
    </w:p>
    <w:p w14:paraId="12B8B3CC" w14:textId="3CB2A56C" w:rsidR="00C87F54" w:rsidRPr="00FB1491" w:rsidRDefault="00C87F54" w:rsidP="00C87F54">
      <w:pPr>
        <w:spacing w:after="240"/>
        <w:ind w:left="567" w:hanging="567"/>
      </w:pPr>
      <w:r w:rsidRPr="00FB1491">
        <w:lastRenderedPageBreak/>
        <w:t>99</w:t>
      </w:r>
      <w:r w:rsidR="0083140B">
        <w:t>.</w:t>
      </w:r>
      <w:r w:rsidR="0083140B">
        <w:tab/>
      </w:r>
      <w:r w:rsidRPr="00FB1491">
        <w:t>приветства работата, извършена от Генерална дирекция по финанси след изборите за Европейски парламент през 2024 г., с напускането на членовете на ЕП с изтекъл мандат и посрещането на новите членове на ЕП и свързаните с това административни процедури; припомня успешния „Салон за посрещане“ и събраната информация от различни служби, което осигури за членовете на ЕП възможността за „обслужване на едно гише“ с цел получаване на информация и попълване на необходимите декларации в началото на техния мандат; приветства ГД FINS за изготвянето на 705 индивидуални досиета, включително симулации за състоянието на техните социални и финансови права, и за изготвянето на четири съобщения на квесторите за информиране на членовете на ЕП относно техните права и задължения в края на парламентарния мандат;</w:t>
      </w:r>
    </w:p>
    <w:p w14:paraId="52D65666" w14:textId="77777777" w:rsidR="00C87F54" w:rsidRPr="00FB1491" w:rsidRDefault="00C87F54" w:rsidP="00C87F54">
      <w:pPr>
        <w:pStyle w:val="NormalHanging12a"/>
      </w:pPr>
      <w:r w:rsidRPr="00FB1491">
        <w:t>100.</w:t>
      </w:r>
      <w:r w:rsidRPr="00FB1491">
        <w:tab/>
        <w:t xml:space="preserve">отбелязва декларацията за достоверност, подписана от генералния директор на Генерална дирекция по финанси; отбелязва забележката, направена в декларацията за достоверност относно остатъчния риск от грешки или нередности при възстановяването на някои пътни разноски на членовете на ЕП, главно във връзка със заявленията за възстановяване на разходи за пътуване с автомобил и изплащането на надбавки за разстояние и продължителност на пътуването; отбелязва действията за смекчаване на последиците, предложени от Генерална дирекция по финанси, и призовава за бързо прилагане на мерките за намаляване на риска; изисква предоставянето на доклад на органа по освобождаване от отговорност относно финансовото въздействие и ефективността на предприетите мерки, </w:t>
      </w:r>
      <w:bookmarkStart w:id="9" w:name="_Hlk225523167"/>
      <w:r w:rsidRPr="00FB1491">
        <w:t>в който да се представят разходите за контрол на различните варианти, основани на доказателства</w:t>
      </w:r>
      <w:bookmarkEnd w:id="9"/>
      <w:r w:rsidRPr="00FB1491">
        <w:t>;</w:t>
      </w:r>
    </w:p>
    <w:p w14:paraId="03BD773A" w14:textId="77777777" w:rsidR="00C87F54" w:rsidRPr="00FB1491" w:rsidRDefault="00C87F54" w:rsidP="00C87F54">
      <w:pPr>
        <w:pStyle w:val="NormalHanging12a"/>
        <w:rPr>
          <w:bCs/>
          <w:iCs/>
        </w:rPr>
      </w:pPr>
      <w:r w:rsidRPr="00FB1491">
        <w:t>101.</w:t>
      </w:r>
      <w:r w:rsidRPr="00FB1491">
        <w:tab/>
        <w:t>отбелязва със загриженост, че възстановяването на пътните разноски на членовете на ЕП често надвишава три месеца; призовава администрацията и Генералната дирекция по финанси да ускорят значително процедурите за възстановяване на разходите, включително чрез по-нататъшна цифровизация, опростени процеси на проверка и по-ясни вътрешни срокове, при пълно спазване на изискванията за финансов контрол;</w:t>
      </w:r>
    </w:p>
    <w:p w14:paraId="16939C54"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t>102.</w:t>
      </w:r>
      <w:r w:rsidRPr="00FB1491">
        <w:tab/>
        <w:t>приветства засилената работа по „Финансовата академия на ЕП на Генерална дирекция по финанси“, и по-специално предоставянето на дванадесет онлайн видео ръководства, в допълнение към съществуващото предлагане на присъствени и хибридни курсове за обучение; подчертава значението на обучението по финансови въпроси за служителите в рамките на Парламента и приветства обученията в областта на обществените поръчки за служителите на политическите групи; приканва Генерална дирекция по финанси да предостави засилена подкрепа на политическите групи при процесите по възлагане на обществени поръчки, по-специално с оглед на констатациите на Палатата; предлага на Генерална дирекция по финанси да осигури съгласуване на практиките, прилагани от различните политически групи в областта на обществените поръчки;</w:t>
      </w:r>
    </w:p>
    <w:p w14:paraId="37E0F518" w14:textId="77777777" w:rsidR="00C87F54" w:rsidRPr="00FB1491" w:rsidRDefault="00C87F54" w:rsidP="00C87F54">
      <w:pPr>
        <w:pStyle w:val="NormalHanging12a"/>
      </w:pPr>
      <w:r w:rsidRPr="00FB1491">
        <w:t>103.</w:t>
      </w:r>
      <w:r w:rsidRPr="00FB1491">
        <w:tab/>
        <w:t xml:space="preserve">подчертава, че членовете на ЕП са свободни да документират използването на средствата в рамките на надбавката за общи разноски; подчертава, че те могат да го правят доброволно, подробно или по вид разходи, самостоятелно или с подкрепата на външен одитор, както и че те могат да решат да публикуват тази информация изцяло или частично на своята онлайн страница на уебсайта на Парламента, в съответствие с член 11, параграф 2 от Правилника за дейността на </w:t>
      </w:r>
      <w:r w:rsidRPr="00FB1491">
        <w:lastRenderedPageBreak/>
        <w:t>Парламента; приветства факта, че в Мерките по прилагане на Устава на членовете на Европейския парламент е включен опростен списък на видовете разходи и че е прието и изменение, с което се уточнява, че членовете на ЕП могат да използват надбавката за общи разходи при изчерпване на средствата за други надбавки; отбелязва, че всички членове на ЕП са информирани за особеностите на тази надбавка; счита, че максималната прозрачност е добра практика;</w:t>
      </w:r>
    </w:p>
    <w:p w14:paraId="4C27647F" w14:textId="77777777" w:rsidR="00C87F54" w:rsidRPr="00FB1491" w:rsidRDefault="00C87F54" w:rsidP="00C87F54">
      <w:pPr>
        <w:pStyle w:val="NormalHanging12a"/>
      </w:pPr>
      <w:r w:rsidRPr="00FB1491">
        <w:t>104.</w:t>
      </w:r>
      <w:r w:rsidRPr="00FB1491">
        <w:tab/>
        <w:t>отбелязва, че през 2024 г. надбавката за общи разходи е била 4 950 EUR на месец и че тя възлиза на около 40 милиона евро годишно; припомня, че през 2022 и 2024 г. не е правена индексация на надбавката; отбелязва, че Парламентът спазва действащите правила относно надбавката за общи разходи; припомня необходимостта от избягване на ненужна административна тежест за членовете на ЕП;</w:t>
      </w:r>
    </w:p>
    <w:p w14:paraId="1E47409E" w14:textId="72FB8AFA" w:rsidR="00C87F54" w:rsidRPr="00FB1491" w:rsidRDefault="00C87F54" w:rsidP="00C87F54">
      <w:pPr>
        <w:pStyle w:val="NormalHanging12a"/>
        <w:rPr>
          <w:bCs/>
          <w:iCs/>
        </w:rPr>
      </w:pPr>
      <w:r w:rsidRPr="00FB1491">
        <w:t>105.</w:t>
      </w:r>
      <w:r w:rsidRPr="00FB1491">
        <w:tab/>
        <w:t>отбелязва, че настоящите мерки по прилагане на Устава на членовете на ЕП определят изисквания за прозрачност по отношение на финансовото управление на надбавката за общи разходи; отбелязва, че на заседанието си от 17 октомври 2022 г. Бюрото прие това решение;</w:t>
      </w:r>
    </w:p>
    <w:p w14:paraId="012C3CA4"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Генерална дирекция за информационни технологии и киберсигурност</w:t>
      </w:r>
    </w:p>
    <w:p w14:paraId="191F1647" w14:textId="6D98273C"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106</w:t>
      </w:r>
      <w:r w:rsidR="00C87F54" w:rsidRPr="00FB1491">
        <w:t>.</w:t>
      </w:r>
      <w:r w:rsidR="00C87F54" w:rsidRPr="00FB1491">
        <w:rPr>
          <w14:textOutline w14:w="0" w14:cap="flat" w14:cmpd="sng" w14:algn="ctr">
            <w14:noFill/>
            <w14:prstDash w14:val="solid"/>
            <w14:bevel/>
          </w14:textOutline>
        </w:rPr>
        <w:tab/>
        <w:t xml:space="preserve">припомня, че Генерална дирекция за информационни технологии и киберсигурност (ГД ITEC) предоставя на Парламента услуги и оборудване в областта на информационните и комуникационните технологии (ИКТ), видеоконферентни и мултимедийни услуги, както и издателски и печатни услуги; </w:t>
      </w:r>
      <w:r w:rsidR="00C87F54" w:rsidRPr="00FB1491">
        <w:t>отбелязва, че към 31 декември 2024 г. Генерална дирекция за информационни технологии и киберсигурност е разполагала с 579 служители, от които 369 длъжностни лица, 70 срочно наети служители и 140 договорно наети служители;</w:t>
      </w:r>
    </w:p>
    <w:p w14:paraId="58A66C32" w14:textId="01261659" w:rsidR="00C87F54" w:rsidRPr="00FB1491" w:rsidRDefault="00720E99" w:rsidP="00C87F54">
      <w:pPr>
        <w:pStyle w:val="NormalHanging12a"/>
        <w:rPr>
          <w:bCs/>
          <w:iCs/>
        </w:rPr>
      </w:pPr>
      <w:r>
        <w:t>107</w:t>
      </w:r>
      <w:r w:rsidR="00C87F54" w:rsidRPr="00FB1491">
        <w:t>.</w:t>
      </w:r>
      <w:r w:rsidR="00C87F54" w:rsidRPr="00FB1491">
        <w:tab/>
        <w:t>призовава Парламента да приеме всеобхватна стратегия за цифрова трансформация, която да включва технически решения за управление на документи и комуникация, за да се осигури прозрачност, да се подобри ефективността, да се гарантира сигурността и да се премине към администрация без документи на хартиен носител; призовава за разработването на лесни за ползване цифрови платформи с цел увеличаване на електронното участие, които да позволяват на гражданите на Съюза да подават обратна информация относно предложеното законодателство и да имат достъп до дейностите на Парламента в реално време;</w:t>
      </w:r>
    </w:p>
    <w:p w14:paraId="0391ADAC" w14:textId="2D33F706" w:rsidR="00C87F54" w:rsidRPr="00FB1491" w:rsidRDefault="00720E99" w:rsidP="00C87F54">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108</w:t>
      </w:r>
      <w:r w:rsidR="00C87F54" w:rsidRPr="00FB1491">
        <w:t>.</w:t>
      </w:r>
      <w:r w:rsidR="00C87F54" w:rsidRPr="00FB1491">
        <w:rPr>
          <w14:textOutline w14:w="0" w14:cap="flat" w14:cmpd="sng" w14:algn="ctr">
            <w14:noFill/>
            <w14:prstDash w14:val="solid"/>
            <w14:bevel/>
          </w14:textOutline>
        </w:rPr>
        <w:tab/>
      </w:r>
      <w:r w:rsidR="00C87F54" w:rsidRPr="00FB1491">
        <w:t>отбелязва, че през 2024 г. окончателните бюджетни кредити на Генерална дирекция за информационни технологии и киберсигурност възлизат на 179 396 522 EUR, което представлява 7,5% от бюджета на Парламента;</w:t>
      </w:r>
      <w:r w:rsidR="00C87F54" w:rsidRPr="00FB1491">
        <w:rPr>
          <w14:textOutline w14:w="0" w14:cap="flat" w14:cmpd="sng" w14:algn="ctr">
            <w14:noFill/>
            <w14:prstDash w14:val="solid"/>
            <w14:bevel/>
          </w14:textOutline>
        </w:rPr>
        <w:t xml:space="preserve"> </w:t>
      </w:r>
      <w:r w:rsidR="00C87F54" w:rsidRPr="00FB1491">
        <w:t>подчертава, че от тази сума са поети задължения в размер на общо 179 349 479 EUR;</w:t>
      </w:r>
      <w:r w:rsidR="00C87F54" w:rsidRPr="00FB1491">
        <w:rPr>
          <w14:textOutline w14:w="0" w14:cap="flat" w14:cmpd="sng" w14:algn="ctr">
            <w14:noFill/>
            <w14:prstDash w14:val="solid"/>
            <w14:bevel/>
          </w14:textOutline>
        </w:rPr>
        <w:t xml:space="preserve"> приветства високата степен на усвояване на бюджетните кредити;</w:t>
      </w:r>
    </w:p>
    <w:p w14:paraId="06C03FB5" w14:textId="3D987ED7" w:rsidR="00C87F54" w:rsidRPr="00FB1491" w:rsidRDefault="00720E99" w:rsidP="00C87F54">
      <w:pPr>
        <w:spacing w:after="240"/>
        <w:ind w:left="567" w:hanging="567"/>
      </w:pPr>
      <w:r>
        <w:t>109</w:t>
      </w:r>
      <w:r w:rsidR="00C87F54" w:rsidRPr="00FB1491">
        <w:t>.</w:t>
      </w:r>
      <w:r w:rsidR="00C87F54" w:rsidRPr="00FB1491">
        <w:tab/>
        <w:t xml:space="preserve">отбелязва непрекъснатите усилия на Генерална дирекция за информационни технологии и киберсигурност за обезпечаването на киберсигурност, предвид все по-нарастващите заплахи и рискове, засягащи Парламента; отбелязва влизането в сила на Регламент (ЕС, Евратом) 2023/2841 на Европейския парламент и на </w:t>
      </w:r>
      <w:r w:rsidR="00C87F54" w:rsidRPr="00FB1491">
        <w:lastRenderedPageBreak/>
        <w:t>Съвета</w:t>
      </w:r>
      <w:r w:rsidR="00C87F54" w:rsidRPr="00FB1491">
        <w:rPr>
          <w:rStyle w:val="FootnoteReference"/>
          <w:noProof/>
        </w:rPr>
        <w:footnoteReference w:id="9"/>
      </w:r>
      <w:r w:rsidR="00C87F54" w:rsidRPr="00FB1491">
        <w:t>, с който беше формализирана мисията на CERT-EU като служба за киберсигурност за субектите на Съюза; отбелязва, че с Регламент (ЕС, Евратом) 2023/2841 също така се създава Междуинституционален съвет по киберсигурност (МСК), който отговаря за наблюдението и подкрепата за прилагането на този регламент от всички субекти на Съюза; отбелязва, че Парламентът е председател на този съвет от 2024 г. насам;</w:t>
      </w:r>
    </w:p>
    <w:p w14:paraId="1858BA47" w14:textId="1E46E566" w:rsidR="00C87F54" w:rsidRPr="00FB1491" w:rsidRDefault="00720E99" w:rsidP="00C87F54">
      <w:pPr>
        <w:spacing w:after="240"/>
        <w:ind w:left="567" w:hanging="567"/>
        <w:rPr>
          <w:b/>
          <w:bCs/>
        </w:rPr>
      </w:pPr>
      <w:r>
        <w:t>110</w:t>
      </w:r>
      <w:r w:rsidR="00C87F54" w:rsidRPr="00FB1491">
        <w:t>.</w:t>
      </w:r>
      <w:r w:rsidR="00C87F54" w:rsidRPr="00FB1491">
        <w:tab/>
        <w:t>отбелязва, че след решението на Бюрото от февруари 2021 г. относно необходимостта центърът за данни на Парламента да бъде разположен в пространство, което да отговаря на най-високия наличен секторен стандарт в тази област (</w:t>
      </w:r>
      <w:proofErr w:type="spellStart"/>
      <w:r w:rsidR="00C87F54" w:rsidRPr="00FB1491">
        <w:t>Tier</w:t>
      </w:r>
      <w:proofErr w:type="spellEnd"/>
      <w:r w:rsidR="00C87F54" w:rsidRPr="00FB1491">
        <w:t> IV), Генерална дирекция за информационни технологии и киберсигурност възложи изпълнението на поръчката през 2022 г., което позволи създаването и пускането в експлоатация на центъра за данни през 2023 г.; подчертава, че тази значителна инвестиция осигурява подготвена за бъдещето инфраструктура за идните години и че тя е важна за поддържането на стабилна хибридна работна среда за Парламента;</w:t>
      </w:r>
    </w:p>
    <w:p w14:paraId="1EEF0020" w14:textId="20DB2969" w:rsidR="00C87F54" w:rsidRPr="00FB1491" w:rsidRDefault="00720E99" w:rsidP="00C87F54">
      <w:pPr>
        <w:spacing w:after="240"/>
        <w:ind w:left="567" w:hanging="567"/>
      </w:pPr>
      <w:r>
        <w:rPr>
          <w14:textOutline w14:w="0" w14:cap="flat" w14:cmpd="sng" w14:algn="ctr">
            <w14:noFill/>
            <w14:prstDash w14:val="solid"/>
            <w14:bevel/>
          </w14:textOutline>
        </w:rPr>
        <w:t>111</w:t>
      </w:r>
      <w:r w:rsidR="00C87F54" w:rsidRPr="00FB1491">
        <w:t>.</w:t>
      </w:r>
      <w:r w:rsidR="00C87F54" w:rsidRPr="00FB1491">
        <w:rPr>
          <w14:textOutline w14:w="0" w14:cap="flat" w14:cmpd="sng" w14:algn="ctr">
            <w14:noFill/>
            <w14:prstDash w14:val="solid"/>
            <w14:bevel/>
          </w14:textOutline>
        </w:rPr>
        <w:tab/>
      </w:r>
      <w:r w:rsidR="00C87F54" w:rsidRPr="00FB1491">
        <w:t>подчертава, че киберсигурността трябва да се разглежда като неразделен, текущ приоритет за всички етапи от операциите, а не само като цел за изпълнение; подчертава, че киберсигурността изисква всеобхватна стратегия, която да обхваща всички аспекти на цифровото управление в рамките на Парламента; призовава за преразглеждане на структурите на Парламента за управление на информационните технологии, като се застъпва за по-стабилен и приспособим подход към киберсигурността, при който да се отчита пълният жизнен цикъл на информационните системи, с оглед на нарастващия брой приложения – понастоящем над 20 – които са пряко достъпни чрез интернет; подчертава, че тази ситуация изисква засилен надзор, за да се сведат до минимум уязвимостите и да се защитят институционалните данни от външни заплахи;</w:t>
      </w:r>
    </w:p>
    <w:p w14:paraId="51E4864B" w14:textId="12D07332" w:rsidR="00C87F54" w:rsidRPr="00FB1491" w:rsidRDefault="00720E99" w:rsidP="00C87F54">
      <w:pPr>
        <w:spacing w:after="240"/>
        <w:ind w:left="567" w:hanging="567"/>
      </w:pPr>
      <w:r>
        <w:t>112</w:t>
      </w:r>
      <w:r w:rsidR="00C87F54" w:rsidRPr="00FB1491">
        <w:t>.</w:t>
      </w:r>
      <w:r w:rsidR="00C87F54" w:rsidRPr="00FB1491">
        <w:tab/>
        <w:t>призовава за продължаване на инвестициите в инфраструктура за киберсигурност, както и за текущо образоване и осигуряване на ресурси за служителите, с цел да се подобри културата на осведоменост по въпросите за сигурността, което повишава издръжливостта на Парламента на потенциални цифрови заплахи;</w:t>
      </w:r>
    </w:p>
    <w:p w14:paraId="4700CDB4" w14:textId="61DFF4AB" w:rsidR="00C87F54" w:rsidRPr="00FB1491" w:rsidRDefault="00720E99" w:rsidP="00C87F54">
      <w:pPr>
        <w:spacing w:after="240"/>
        <w:ind w:left="567" w:hanging="567"/>
      </w:pPr>
      <w:r>
        <w:t>113</w:t>
      </w:r>
      <w:r w:rsidR="00C87F54" w:rsidRPr="00FB1491">
        <w:t>.</w:t>
      </w:r>
      <w:r w:rsidR="00C87F54" w:rsidRPr="00FB1491">
        <w:tab/>
        <w:t>отбелязва акцента върху обезпечаването на осведоменост относно киберсигурността сред всички членове и служители на ЕП; приветства предложението за обучение, предоставено от Генерална дирекция за информационни технологии и киберсигурност и Генерална дирекция за персонала; отбелязва големия брой участници в курсовете за обучение в областта на киберсигурността, а именно 33 участници в курсове за обучение и най-малко 1 800 участници в дейности за повишаване на осведомеността;</w:t>
      </w:r>
    </w:p>
    <w:p w14:paraId="04E03FCC" w14:textId="67BA241A" w:rsidR="00C87F54" w:rsidRPr="00FB1491" w:rsidRDefault="00720E99" w:rsidP="00C87F54">
      <w:pPr>
        <w:spacing w:after="240"/>
        <w:ind w:left="567" w:hanging="567"/>
      </w:pPr>
      <w:r>
        <w:t>114</w:t>
      </w:r>
      <w:r w:rsidR="00C87F54" w:rsidRPr="00FB1491">
        <w:t>.</w:t>
      </w:r>
      <w:r w:rsidR="00C87F54" w:rsidRPr="00FB1491">
        <w:tab/>
        <w:t xml:space="preserve">отбелязва, че настоящата система за управление на човешките ресурси продължава да бъде недостатъчно интегрирана с другите системи на Парламента; отбелязва, че някои прости процедури, като например исканията за отпуск, все още изискват от акредитираните парламентарни сътрудници да изтеглят, </w:t>
      </w:r>
      <w:r w:rsidR="00C87F54" w:rsidRPr="00FB1491">
        <w:lastRenderedPageBreak/>
        <w:t>разпечатват, сканират и ръчно да предават документи, а балансът на отпуските трябва да се проверява на отделна платформа; подчертава, че тези фрагментирани процеси създават ненужна административна тежест и неефективност на работния процес; призовава администрацията да модернизира и рационализира тези процедури и да гарантира пълна оперативна съвместимост между инструментите за управление на човешките ресурси и другите системи на Парламента;</w:t>
      </w:r>
    </w:p>
    <w:p w14:paraId="29FC1A93" w14:textId="6B07ED6F" w:rsidR="00C87F54" w:rsidRPr="00FB1491" w:rsidRDefault="00720E99" w:rsidP="00C87F54">
      <w:pPr>
        <w:spacing w:after="240"/>
        <w:ind w:left="567" w:hanging="567"/>
      </w:pPr>
      <w:r>
        <w:rPr>
          <w14:textOutline w14:w="0" w14:cap="flat" w14:cmpd="sng" w14:algn="ctr">
            <w14:noFill/>
            <w14:prstDash w14:val="solid"/>
            <w14:bevel/>
          </w14:textOutline>
        </w:rPr>
        <w:t>115</w:t>
      </w:r>
      <w:r w:rsidR="00C87F54" w:rsidRPr="00FB1491">
        <w:t>.</w:t>
      </w:r>
      <w:r w:rsidR="00C87F54" w:rsidRPr="00FB1491">
        <w:rPr>
          <w14:textOutline w14:w="0" w14:cap="flat" w14:cmpd="sng" w14:algn="ctr">
            <w14:noFill/>
            <w14:prstDash w14:val="solid"/>
            <w14:bevel/>
          </w14:textOutline>
        </w:rPr>
        <w:tab/>
      </w:r>
      <w:r w:rsidR="00C87F54" w:rsidRPr="00FB1491">
        <w:t xml:space="preserve">подчертава, че подкрепата за членовете на ЕП беше разширена, така че да се включат часовете извън работното време и неработните дни; отбелязва, че за да се отговори на развиващите се потребности и работните практики на членовете на ЕП, въз основа на проучвания сред потребителите и на преки искания от страна на управителните органи, за личните устройства с </w:t>
      </w:r>
      <w:proofErr w:type="spellStart"/>
      <w:r w:rsidR="00C87F54" w:rsidRPr="00FB1491">
        <w:t>MacOS</w:t>
      </w:r>
      <w:proofErr w:type="spellEnd"/>
      <w:r w:rsidR="00C87F54" w:rsidRPr="00FB1491">
        <w:t xml:space="preserve"> и </w:t>
      </w:r>
      <w:proofErr w:type="spellStart"/>
      <w:r w:rsidR="00C87F54" w:rsidRPr="00FB1491">
        <w:t>iOS</w:t>
      </w:r>
      <w:proofErr w:type="spellEnd"/>
      <w:r w:rsidR="00C87F54" w:rsidRPr="00FB1491">
        <w:t xml:space="preserve"> на членовете на ЕП беше въведен нов набор от специални услуги за информационна поддръжка; подчертава, че се насърчава техническа помощ за социалните медии, заедно с пълен набор от услуги, свързани с техническите аспекти при създаването на аудио-визуални материали;</w:t>
      </w:r>
    </w:p>
    <w:p w14:paraId="47944C59" w14:textId="2A2C9C0F" w:rsidR="00C87F54" w:rsidRPr="00FB1491" w:rsidRDefault="00720E99" w:rsidP="00C87F54">
      <w:pPr>
        <w:pStyle w:val="NormalHanging12a"/>
      </w:pPr>
      <w:r>
        <w:t>116</w:t>
      </w:r>
      <w:r w:rsidR="00C87F54" w:rsidRPr="00FB1491">
        <w:t>.</w:t>
      </w:r>
      <w:r w:rsidR="00C87F54" w:rsidRPr="00FB1491">
        <w:tab/>
        <w:t>приветства създаването на нова рамка за управление на ИИ, с управителен съвет по въпросите на ИИ, който да наблюдава стратегията и пътната карта на Парламента в областта на ИИ и да гарантира спазване на регулаторните изисквания и етичен надзор, ръководна група на генералните дирекции по въпросите на ИИ, отговаряща за изготвянето на стратегии за ИИ, разработването на ключови способности и гарантирането на дългосрочна безопасност и устойчивост, както и Експертен център в областта на ИИ в Генерална дирекция за информационни технологии и киберсигурност, който да ръководи, насърчава и наблюдава инициативите в областта на ИИ в рамките на Парламента; отбелязва, че тази рамка за управление ще гарантира прозрачност и съответствие с Регламент (ЕС) 2024/1689 на Европейския парламент и на Съвета</w:t>
      </w:r>
      <w:r w:rsidR="00C87F54" w:rsidRPr="00FB1491">
        <w:rPr>
          <w:vertAlign w:val="superscript"/>
        </w:rPr>
        <w:footnoteReference w:id="10"/>
      </w:r>
      <w:r w:rsidR="00C87F54" w:rsidRPr="00FB1491">
        <w:t>, който влезе в сила на 1 август 2024 г., като неговите разпоредби се прилагат от 2025 г. нататък; отбелязва, че служителите на Парламента могат да използват публично достъпни инструменти с генеративен ИИ на трети страни, ако спазват насоките относно използването на публично достъпни инструменти с ИИ за служителите на Парламента, одобрени от генералния секретар на 16 април 2024 г., при изричното условие, че това подпомага единствено изпълнението на техните професионални задължения; призовава администрацията да увеличи усилията си за обучение на персонала за ефективно и сигурно използване на новите технологии, като например ИИ;</w:t>
      </w:r>
    </w:p>
    <w:p w14:paraId="1F41CF18"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 xml:space="preserve">Хоризонтални въпроси с отражение върху бюджета на Парламента за финансовата 2024 година </w:t>
      </w:r>
    </w:p>
    <w:p w14:paraId="3AB2A09D" w14:textId="77777777" w:rsidR="00C87F54" w:rsidRPr="00FB1491" w:rsidRDefault="00C87F54" w:rsidP="00C87F54">
      <w:pPr>
        <w:spacing w:after="240"/>
        <w:rPr>
          <w:b/>
          <w:bCs/>
        </w:rPr>
      </w:pPr>
      <w:bookmarkStart w:id="10" w:name="_Hlk216615789"/>
      <w:r w:rsidRPr="00FB1491">
        <w:rPr>
          <w:b/>
        </w:rPr>
        <w:t>Прозрачност и етика</w:t>
      </w:r>
    </w:p>
    <w:p w14:paraId="71C87927" w14:textId="0C6BB21C" w:rsidR="00C87F54" w:rsidRPr="00FB1491" w:rsidRDefault="00720E99" w:rsidP="00C87F54">
      <w:pPr>
        <w:spacing w:after="240"/>
        <w:ind w:left="567" w:hanging="567"/>
        <w:rPr>
          <w:b/>
          <w:bCs/>
        </w:rPr>
      </w:pPr>
      <w:r>
        <w:t>117</w:t>
      </w:r>
      <w:r w:rsidR="00C87F54" w:rsidRPr="00FB1491">
        <w:t>.</w:t>
      </w:r>
      <w:r w:rsidR="00C87F54" w:rsidRPr="00FB1491">
        <w:tab/>
        <w:t xml:space="preserve">отбелязва, че през 2024 г. са получени шест доклада във връзка с лица, </w:t>
      </w:r>
      <w:r w:rsidR="00C87F54" w:rsidRPr="00FB1491">
        <w:lastRenderedPageBreak/>
        <w:t>сигнализиращи за нередности, съгласно вътрешните правила за прилагане на член 22в от Правилника за длъжностните лица, пет – по официални канали и един – от друга институция на Съюза; отбелязва, че един случай е бил отнесен до Европейската прокуратура, два са довели до административни разследвания, а един е бил изпратен на Консултативния комитет относно Кодекса за поведение на членовете на ЕП, като външният доклад също е довел до провеждането на разследване;</w:t>
      </w:r>
      <w:r w:rsidR="00F01B4A">
        <w:t xml:space="preserve"> </w:t>
      </w:r>
      <w:r w:rsidR="00F01B4A" w:rsidRPr="00F01B4A">
        <w:t xml:space="preserve">изразява загриженост, че през 2024 г. Съдът </w:t>
      </w:r>
      <w:r w:rsidR="00F01B4A" w:rsidRPr="002512A8">
        <w:rPr>
          <w:highlight w:val="yellow"/>
        </w:rPr>
        <w:t>на ЕС</w:t>
      </w:r>
      <w:r w:rsidR="00F01B4A" w:rsidRPr="00F01B4A">
        <w:t xml:space="preserve"> постанови по дело T- 793/22, че Парламентът не е взел всички необходими мерки, за да осигури на подалите сигнал лица балансирана и ефикасна защита срещу всяка форма на ответни действия; отбелязва, че </w:t>
      </w:r>
      <w:r w:rsidR="00F01B4A" w:rsidRPr="002512A8">
        <w:rPr>
          <w:highlight w:val="yellow"/>
        </w:rPr>
        <w:t>Съдът</w:t>
      </w:r>
      <w:r w:rsidR="00F01B4A" w:rsidRPr="00F01B4A">
        <w:t xml:space="preserve"> също така установи, че Парламентът не е защитил подобаващо поверителността на лицето, сигнализирало за нередности; настоятелно призовава Парламента да приведе вътрешните си правила в пълно съответствие с Директива (ЕС) 2019/1937;</w:t>
      </w:r>
    </w:p>
    <w:bookmarkEnd w:id="10"/>
    <w:p w14:paraId="32DCD05E" w14:textId="0B21EB49" w:rsidR="00C87F54" w:rsidRPr="00FB1491" w:rsidRDefault="00720E99" w:rsidP="00C87F54">
      <w:pPr>
        <w:pStyle w:val="NormalHanging12a"/>
      </w:pPr>
      <w:r>
        <w:t>118</w:t>
      </w:r>
      <w:r w:rsidR="00C87F54" w:rsidRPr="00FB1491">
        <w:t>.</w:t>
      </w:r>
      <w:r w:rsidR="00C87F54" w:rsidRPr="00FB1491">
        <w:tab/>
        <w:t>приветства факта, че обучението по етика продължава да бъде приоритет и че само с 13 сесии на тема „Да говорим за етиката“ са били обучени 178 служители, като в персонализирани курсове са участвали 109 души, а задължителното въвеждащо обучение за акредитираните парламентарни сътрудници е било проведено на 72%; приветства факта, че новият курс за ръководители по етично лидерство и предотвратяване на тормоза е обучил 320 ръководители в рамките на 33 сесии;</w:t>
      </w:r>
    </w:p>
    <w:p w14:paraId="5C328216" w14:textId="2F4BFA3B" w:rsidR="00C87F54" w:rsidRPr="00FB1491" w:rsidRDefault="00720E99" w:rsidP="00C87F54">
      <w:pPr>
        <w:pStyle w:val="NormalHanging12a"/>
      </w:pPr>
      <w:r>
        <w:t>119</w:t>
      </w:r>
      <w:r w:rsidR="00C87F54" w:rsidRPr="00FB1491">
        <w:t>.</w:t>
      </w:r>
      <w:r w:rsidR="00C87F54" w:rsidRPr="00FB1491">
        <w:tab/>
        <w:t>настоява за засилване на мерките за прозрачност, отчетност и етично управление; счита, че Парламентът трябва да гарантира култура на почтеност, като включи етичните стандарти в ежедневните си операции, за да не се накърнява доверието на гражданите и да се засили неговата легитимност при упражняването на надзор; призовава за продължаване и укрепване на сътрудничеството и диалога относно почтеността, прозрачността и стандартите за поведение в институциите на Съюза;</w:t>
      </w:r>
    </w:p>
    <w:p w14:paraId="18B55AF7" w14:textId="10CB7171" w:rsidR="00C87F54" w:rsidRDefault="00720E99" w:rsidP="00C87F54">
      <w:pPr>
        <w:pStyle w:val="NormalHanging12a"/>
      </w:pPr>
      <w:r>
        <w:t>120</w:t>
      </w:r>
      <w:r w:rsidR="00C87F54" w:rsidRPr="00FB1491">
        <w:t>.</w:t>
      </w:r>
      <w:r w:rsidR="00C87F54" w:rsidRPr="00FB1491">
        <w:tab/>
        <w:t>потвърждава положителната оценка за техническото прилагане на Кодекса за поведение на членовете на Европейския парламент по отношение на почтеността и прозрачността, както бе докладвано на Бюрото; призовава за допълнителни усилия за повишаване на прозрачността във всички сектори и служби на Парламента, със специален акцент върху законотворчеството; във връзка с това приканва администрацията на Парламента да не ограничава въвеждането на изискванията за прозрачност само до управленското ниво;</w:t>
      </w:r>
    </w:p>
    <w:p w14:paraId="30FC2B41" w14:textId="38052690" w:rsidR="00F01B4A" w:rsidRPr="00FB1491" w:rsidRDefault="00F01B4A" w:rsidP="00C87F54">
      <w:pPr>
        <w:pStyle w:val="NormalHanging12a"/>
        <w:rPr>
          <w:bCs/>
          <w:iCs/>
        </w:rPr>
      </w:pPr>
      <w:r w:rsidRPr="00F01B4A">
        <w:rPr>
          <w:bCs/>
          <w:iCs/>
        </w:rPr>
        <w:t>121.</w:t>
      </w:r>
      <w:r w:rsidRPr="00F01B4A">
        <w:rPr>
          <w:bCs/>
          <w:iCs/>
        </w:rPr>
        <w:tab/>
        <w:t>припомня, че правилата забраняват на членовете на ЕП да участват в платени дейности по лобиране, пряко свързани с процеса на вземане на решения в Съюза; подчертава, че заемането на платени длъжности в образувания, попадащи в обхвата на регистъра за прозрачност, като същевременно съответните лица упражняват парламентарни функции в същата област на политиката или установяват свързани с нея контакти с Комисията или Съвета, е несъвместимо с тези правила; призовава тези ситуации да бъдат надлежно проучени и когато бъдат установени нарушения, да се прилагат пропорционални санкции;</w:t>
      </w:r>
    </w:p>
    <w:p w14:paraId="006F6876" w14:textId="77777777" w:rsidR="00C87F54" w:rsidRPr="00FB1491" w:rsidRDefault="00C87F54" w:rsidP="00C87F54">
      <w:pPr>
        <w:pStyle w:val="NormalHanging12a"/>
        <w:rPr>
          <w:bCs/>
          <w:iCs/>
        </w:rPr>
      </w:pPr>
      <w:r w:rsidRPr="00FB1491">
        <w:t>122.</w:t>
      </w:r>
      <w:r w:rsidRPr="00FB1491">
        <w:tab/>
        <w:t xml:space="preserve">приветства засиленото използване на регистъра за прозрачност като информационен и референтен инструмент за осъществяване на дейностите по представителство на интереси на равнището на Съюза; приветства разработването на информационни решения за подобряване на регистъра за прозрачност, но отбелязва, че неговият секретариат все още не разполага с достатъчно </w:t>
      </w:r>
      <w:r w:rsidRPr="00FB1491">
        <w:lastRenderedPageBreak/>
        <w:t>финансиране и персонал; отбелязва, че качеството на вписванията в регистъра за прозрачност се е подобрило, и припомня, че трябва да продължат да се подобряват проверките за качеството на данните на новите кандидати; приветства установяването в Парламента на строги стандарти по отношение на прозрачността и достъпа до институциите за субекти, вписани в регистъра за прозрачност; призовава за съгласуване на регистъра за прозрачност и системата за финансова прозрачност, за да могат да се извършват кръстосани проверки на субектите, посочени в регистъра за прозрачност, и да се провери адекватността на предоставените данни; в този контекст отново заявява необходимостта от всеобхватен предварителен финансов преглед на всички субекти, преди те да бъдат вписани в регистъра за прозрачност, и във връзка с това призовава да бъдат осигурени подходящи ресурси за функционирането на регистъра и за ефективното прилагане на неговите вътрешни правила; освен това призовава администрацията на Парламента да гарантира междуинституционална прозрачност на медиите и да оповестява всички медии, които получават средства от Съюза;</w:t>
      </w:r>
    </w:p>
    <w:p w14:paraId="4D072938" w14:textId="77777777" w:rsidR="00C87F54" w:rsidRPr="00FB1491" w:rsidRDefault="00C87F54" w:rsidP="00C87F54">
      <w:pPr>
        <w:spacing w:after="240"/>
        <w:ind w:left="567" w:hanging="567"/>
      </w:pPr>
      <w:r w:rsidRPr="00FB1491">
        <w:t>123.</w:t>
      </w:r>
      <w:r w:rsidRPr="00FB1491">
        <w:tab/>
        <w:t>призовава Сметната палата да разгледа специално финансирането на медиите;</w:t>
      </w:r>
    </w:p>
    <w:p w14:paraId="26C52595" w14:textId="77777777" w:rsidR="00C87F54" w:rsidRPr="00FB1491" w:rsidRDefault="00C87F54" w:rsidP="00C87F54">
      <w:pPr>
        <w:spacing w:after="240"/>
        <w:rPr>
          <w:b/>
          <w:bCs/>
        </w:rPr>
      </w:pPr>
      <w:r w:rsidRPr="00FB1491">
        <w:rPr>
          <w:b/>
        </w:rPr>
        <w:t>Цифровизация, киберсигурност и ИИ</w:t>
      </w:r>
    </w:p>
    <w:p w14:paraId="743F9B12" w14:textId="77777777" w:rsidR="00C87F54" w:rsidRPr="00FB1491" w:rsidRDefault="00C87F54" w:rsidP="00C87F54">
      <w:pPr>
        <w:spacing w:after="240"/>
        <w:ind w:left="567" w:hanging="567"/>
        <w:rPr>
          <w:b/>
          <w:bCs/>
        </w:rPr>
      </w:pPr>
      <w:r w:rsidRPr="00FB1491">
        <w:t>124.</w:t>
      </w:r>
      <w:r w:rsidRPr="00FB1491">
        <w:tab/>
        <w:t>призовава Парламента да продължи да полага повече усилия и да обръща внимание на някои конкретни критични предизвикателства, като например киберсигурността и ИИ;</w:t>
      </w:r>
    </w:p>
    <w:p w14:paraId="472CE87E" w14:textId="77777777" w:rsidR="00C87F54" w:rsidRPr="00FB1491" w:rsidRDefault="00C87F54" w:rsidP="00C87F54">
      <w:pPr>
        <w:spacing w:after="240"/>
        <w:ind w:left="567" w:hanging="567"/>
      </w:pPr>
      <w:r w:rsidRPr="00FB1491">
        <w:t>125.</w:t>
      </w:r>
      <w:r w:rsidRPr="00FB1491">
        <w:tab/>
        <w:t>припомня, че рамката за управление на ИИ беше създадена от Бюрото през март 2024 г.; подчертава спешната необходимост от приемане на всеобхватна стратегия и пътна карта за ИИ, включително предложение за план за действие;</w:t>
      </w:r>
    </w:p>
    <w:p w14:paraId="20DFF36E" w14:textId="77777777" w:rsidR="00C87F54" w:rsidRPr="00FB1491" w:rsidRDefault="00C87F54" w:rsidP="00C87F54">
      <w:pPr>
        <w:pStyle w:val="NormalHanging12a"/>
      </w:pPr>
      <w:r w:rsidRPr="00FB1491">
        <w:t>126.</w:t>
      </w:r>
      <w:r w:rsidRPr="00FB1491">
        <w:tab/>
        <w:t>отбелязва, че напредва работата по вътрешната платформа на Парламента, посветена на генеративния ИИ; отново заявява, че тази платформа е ключов елемент за съответстващото на изискванията и сигурно изпълнение на проектите в областта на ИИ, по-специално за подкрепата на членовете на ЕП в техните дейности;</w:t>
      </w:r>
    </w:p>
    <w:p w14:paraId="4A8A8BA4" w14:textId="77777777" w:rsidR="00C87F54" w:rsidRPr="00FB1491" w:rsidRDefault="00C87F54" w:rsidP="00C87F54">
      <w:pPr>
        <w:spacing w:after="240"/>
        <w:ind w:left="567" w:hanging="567"/>
      </w:pPr>
      <w:r w:rsidRPr="00FB1491">
        <w:t>127.</w:t>
      </w:r>
      <w:r w:rsidRPr="00FB1491">
        <w:tab/>
        <w:t>призовава администрацията на Парламента да гарантира, че проектите в областта на ИИ се изпълняват в пълно съответствие с изискванията за управление, като същевременно се предоставя достъп така, че да се обезпечи защитата на чувствителните данни и да може да се използва публично достъпната информация;</w:t>
      </w:r>
    </w:p>
    <w:p w14:paraId="401BF3C3" w14:textId="77777777" w:rsidR="00C87F54" w:rsidRPr="00FB1491" w:rsidRDefault="00C87F54" w:rsidP="00C87F54">
      <w:pPr>
        <w:pStyle w:val="NormalHanging12a"/>
        <w:rPr>
          <w:bCs/>
          <w:iCs/>
        </w:rPr>
      </w:pPr>
      <w:r w:rsidRPr="00FB1491">
        <w:t>128.</w:t>
      </w:r>
      <w:r w:rsidRPr="00FB1491">
        <w:tab/>
        <w:t>призовава администрацията на Парламента да засили прозрачността и достъпността на парламентарната работа чрез използване на решения с изкуствен интелект, за да се гарантира системното наличие на цифрови транскрипции на всички разисквания в комисиите, които да могат да се търсят и да се използват повторно, включително и обмена на информация с членове на Комисията, експерти и заинтересовани страни; подчертава, че тези транскрипции следва да бъдат предоставяни своевременно; подчертава, че подобреният достъп до разискванията в комисиите би засилил демократичния контрол, институционалната памет и разбирането на гражданите за законодателната дейност на Парламента;</w:t>
      </w:r>
    </w:p>
    <w:p w14:paraId="0B6349DF" w14:textId="77777777" w:rsidR="00C87F54" w:rsidRPr="00FB1491" w:rsidRDefault="00C87F54" w:rsidP="00C87F54">
      <w:pPr>
        <w:pStyle w:val="NormalHanging12a"/>
        <w:rPr>
          <w:bCs/>
          <w:iCs/>
        </w:rPr>
      </w:pPr>
      <w:r w:rsidRPr="00FB1491">
        <w:lastRenderedPageBreak/>
        <w:t>129.</w:t>
      </w:r>
      <w:r w:rsidRPr="00FB1491">
        <w:tab/>
        <w:t>признава значителните подобрения, направени на уебсайта за пленарните заседания, включително подобрената достъпност на инструментите за проверка на поименното гласуване, които допринесоха за по-голяма прозрачност и точност на записите от гласуванията в Парламента; въпреки това призовава за допълнителни подобрения по отношение на използваемостта и представянето на информацията за гласуванията;</w:t>
      </w:r>
    </w:p>
    <w:p w14:paraId="7B15B52B" w14:textId="77777777" w:rsidR="00C87F54" w:rsidRPr="00FB1491" w:rsidRDefault="00C87F54" w:rsidP="00C87F54">
      <w:pPr>
        <w:spacing w:after="240"/>
        <w:rPr>
          <w:b/>
          <w:bCs/>
        </w:rPr>
      </w:pPr>
      <w:r w:rsidRPr="00FB1491">
        <w:rPr>
          <w:b/>
        </w:rPr>
        <w:t>Схема за доброволно пенсионно осигуряване</w:t>
      </w:r>
    </w:p>
    <w:p w14:paraId="0AD42591" w14:textId="77777777" w:rsidR="00C87F54" w:rsidRPr="00FB1491" w:rsidRDefault="00C87F54" w:rsidP="00C87F54">
      <w:pPr>
        <w:pStyle w:val="NormalHanging12a"/>
      </w:pPr>
      <w:r w:rsidRPr="00FB1491">
        <w:t>130.</w:t>
      </w:r>
      <w:r w:rsidRPr="00FB1491">
        <w:tab/>
        <w:t>отбелязва недостатъчното финансиране за схемата за доброволно пенсионно осигуряване поради дефицита от 105 милиона евро в края на 2024 г. и ограничените активи в размер на 23,17 милиона евро, които се очаква да бъдат изчерпани до края на 2026 г.; отбелязва, че задълженията произтичат от правни ангажименти за превеждане на плащания за повече от 900 членове на ЕП поне до 2074 г.;</w:t>
      </w:r>
    </w:p>
    <w:p w14:paraId="07B1D15E" w14:textId="77777777" w:rsidR="00C87F54" w:rsidRPr="00FB1491" w:rsidRDefault="00C87F54" w:rsidP="00C87F54">
      <w:pPr>
        <w:spacing w:after="240"/>
        <w:ind w:left="567" w:hanging="567"/>
      </w:pPr>
      <w:r w:rsidRPr="00FB1491">
        <w:t>131.</w:t>
      </w:r>
      <w:r w:rsidRPr="00FB1491">
        <w:tab/>
        <w:t>отбелязва, че на заседанието си на 12 юни 2023 г. Бюрото взе решение за комбинация от мерки за промяна на условията на схемата за доброволно пенсионно осигуряване с цел справяне със ситуацията; подчертава, че тези мерки включват намаляване на номиналната пенсия с 50% не само за бъдещите бенефициенти с пенсионни права в процес на придобиване, но и за настоящите бенефициенти, които вече са с придобити пенсионни права, замразяване на годишната индексация на размера на пенсиите и увеличаване на пенсионната възраст от 65 на 67 години за бенефициентите, които все още не са достигнали пенсионна възраст; подчертава, че по оценка на актюерите се очаква вследствие на това пенсионните задължения по схемата за доброволно пенсионно осигуряване да намалеят, считано от 1 юли 2023 г., с актюерско предположение с дата 1 юли 2023 г.;</w:t>
      </w:r>
    </w:p>
    <w:p w14:paraId="4BB9C4A3" w14:textId="77777777" w:rsidR="00C87F54" w:rsidRPr="00FB1491" w:rsidRDefault="00C87F54" w:rsidP="00C87F54">
      <w:pPr>
        <w:spacing w:after="240"/>
        <w:ind w:left="567" w:hanging="567"/>
      </w:pPr>
      <w:r w:rsidRPr="00FB1491">
        <w:t>132.</w:t>
      </w:r>
      <w:r w:rsidRPr="00FB1491">
        <w:tab/>
        <w:t>отбелязва, че Бюрото въведе също така „клауза за затруднение“, въз основа на която бенефициентите могат да подадат искане до квесторите за увеличаване на размера на пенсията в случаите, когато намалението е значително; отбелязва, че Бюрото въведе допълнително възможността за доброволно и окончателно оттегляне от схемата за доброволно пенсионно осигуряване чрез изплащането на окончателна еднократна сума;</w:t>
      </w:r>
    </w:p>
    <w:p w14:paraId="30B9719D" w14:textId="77777777" w:rsidR="00C87F54" w:rsidRPr="00FB1491" w:rsidRDefault="00C87F54" w:rsidP="00C87F54">
      <w:pPr>
        <w:pStyle w:val="NormalHanging12a"/>
      </w:pPr>
      <w:r w:rsidRPr="00FB1491">
        <w:t>133.</w:t>
      </w:r>
      <w:r w:rsidRPr="00FB1491">
        <w:tab/>
        <w:t>отбелязва, че решението на Бюрото от 12 юни 2023 г.</w:t>
      </w:r>
      <w:r w:rsidRPr="00FB1491">
        <w:rPr>
          <w:vertAlign w:val="superscript"/>
        </w:rPr>
        <w:footnoteReference w:id="11"/>
      </w:r>
      <w:r w:rsidRPr="00FB1491">
        <w:t xml:space="preserve"> беше оспорено от 405 бенефициенти на схемата за доброволно пенсионно осигуряване пред Общия съд на Европейския съюз; припомня забележките, направени от генералния секретар по време на изслушването на 8 декември, в очакване на решението на Общия съд и евентуалните начини на действие; отбелязва, че на 17 декември 2025 г. Общият съд реши да отхвърли исковете на бившите членове на ЕП; изисква от администрацията и от Бюрото да разгледат въпроса и да предприемат необходимите мерки за изпълнение на решението на Общия съд;</w:t>
      </w:r>
    </w:p>
    <w:p w14:paraId="55486A0D" w14:textId="77777777" w:rsidR="00C87F54" w:rsidRPr="00FB1491" w:rsidRDefault="00C87F54" w:rsidP="00C87F54">
      <w:pPr>
        <w:spacing w:after="240"/>
        <w:ind w:left="567" w:hanging="567"/>
        <w:rPr>
          <w:b/>
          <w:bCs/>
          <w14:textOutline w14:w="0" w14:cap="flat" w14:cmpd="sng" w14:algn="ctr">
            <w14:noFill/>
            <w14:prstDash w14:val="solid"/>
            <w14:bevel/>
          </w14:textOutline>
        </w:rPr>
      </w:pPr>
      <w:r w:rsidRPr="00FB1491">
        <w:rPr>
          <w:b/>
          <w14:textOutline w14:w="0" w14:cap="flat" w14:cmpd="sng" w14:algn="ctr">
            <w14:noFill/>
            <w14:prstDash w14:val="solid"/>
            <w14:bevel/>
          </w14:textOutline>
        </w:rPr>
        <w:t>Годишен доклад относно възложените обществени поръчки</w:t>
      </w:r>
    </w:p>
    <w:p w14:paraId="561962A4" w14:textId="77777777" w:rsidR="00C87F54" w:rsidRPr="00FB1491" w:rsidRDefault="00C87F54" w:rsidP="00C87F54">
      <w:pPr>
        <w:spacing w:after="240"/>
        <w:ind w:left="567" w:hanging="567"/>
      </w:pPr>
      <w:r w:rsidRPr="00FB1491">
        <w:lastRenderedPageBreak/>
        <w:t>134.</w:t>
      </w:r>
      <w:r w:rsidRPr="00FB1491">
        <w:tab/>
        <w:t>припомня, че Финансовият регламент определя каква информация трябва да се предоставя на бюджетния орган и на обществеността във връзка с възлаганите от Парламента обществени поръчки; отбелязва, че Финансовият регламент изисква да се публикуват договорите на стойност над 15 000 EUR, като тази стойност е прагът, над който е задължително процедурите за възлагане на обществени поръчки да бъдат състезателни; отбелязва, че от общо 192 обществени поръчки, възложени през 2024 г., 95 поръчки се основават на открита процедура на стойност 814,2 милиона евро, а една поръчка – на ограничена процедура на стойност 208 000 EUR; отбелязва, че 81 обществени поръчки са възложени чрез процедури на договаряне и че те са на стойност 173 милиона евро;</w:t>
      </w:r>
    </w:p>
    <w:p w14:paraId="26EA1954" w14:textId="77777777" w:rsidR="00C87F54" w:rsidRPr="00FB1491" w:rsidRDefault="00C87F54" w:rsidP="00C87F54">
      <w:pPr>
        <w:pStyle w:val="NormalHanging12a"/>
        <w:rPr>
          <w:bCs/>
          <w:iCs/>
        </w:rPr>
      </w:pPr>
      <w:r w:rsidRPr="00FB1491">
        <w:t>135.</w:t>
      </w:r>
      <w:r w:rsidRPr="00FB1491">
        <w:tab/>
        <w:t>приветства публикуването от Парламента на договорите на стойност над 15 000 EUR; призовава Парламента да повиши прозрачността на своите процедури за възлагане на обществени поръчки, включително чрез публикуване на структурирани машинно четими данни, когато това е правно и технически осъществимо, както и чрез интегриране на ясни очаквания за надлежна проверка и механизми за правоприлагане в своите вериги на доставки чрез управление на договорите;</w:t>
      </w:r>
    </w:p>
    <w:p w14:paraId="7DDA66A1" w14:textId="77777777" w:rsidR="00C87F54" w:rsidRPr="00FB1491" w:rsidRDefault="00C87F54" w:rsidP="00C87F54">
      <w:pPr>
        <w:spacing w:after="240"/>
        <w:ind w:left="567" w:hanging="567"/>
      </w:pPr>
      <w:r w:rsidRPr="00FB1491">
        <w:t>136.</w:t>
      </w:r>
      <w:r w:rsidRPr="00FB1491">
        <w:tab/>
        <w:t>отбелязва, че през 2024 г. общият брой и стойността на възложените поръчки са намалели (192 поръчки) спрямо 2023 г. (242 поръчки); отбелязва, че в резултат на това броят на откритите процедури и процедурите на договаряне, както и тяхната стойност са по-ниски, отколкото през 2023 г.;</w:t>
      </w:r>
    </w:p>
    <w:p w14:paraId="3EA03AC1" w14:textId="77777777" w:rsidR="00C87F54" w:rsidRPr="00FB1491" w:rsidRDefault="00C87F54" w:rsidP="00C87F54">
      <w:pPr>
        <w:spacing w:before="240" w:after="240"/>
        <w:jc w:val="both"/>
        <w:rPr>
          <w:b/>
          <w:bCs/>
          <w14:textOutline w14:w="0" w14:cap="flat" w14:cmpd="sng" w14:algn="ctr">
            <w14:noFill/>
            <w14:prstDash w14:val="solid"/>
            <w14:bevel/>
          </w14:textOutline>
        </w:rPr>
      </w:pPr>
      <w:bookmarkStart w:id="11" w:name="_Hlk216793763"/>
      <w:r w:rsidRPr="00FB1491">
        <w:rPr>
          <w:b/>
          <w14:textOutline w14:w="0" w14:cap="flat" w14:cmpd="sng" w14:algn="ctr">
            <w14:noFill/>
            <w14:prstDash w14:val="solid"/>
            <w14:bevel/>
          </w14:textOutline>
        </w:rPr>
        <w:t>Политически групи (бюджетна позиция 400)</w:t>
      </w:r>
    </w:p>
    <w:p w14:paraId="23FAD927" w14:textId="77777777" w:rsidR="00C87F54" w:rsidRPr="00FB1491" w:rsidRDefault="00C87F54" w:rsidP="00C87F54">
      <w:pPr>
        <w:pStyle w:val="NormalHanging12a"/>
      </w:pPr>
      <w:r w:rsidRPr="00FB1491">
        <w:t>137.</w:t>
      </w:r>
      <w:r w:rsidRPr="00FB1491">
        <w:tab/>
        <w:t xml:space="preserve">отбелязва, че 2024 г. беше трудна година за представяне на разходите, отчетени по бюджетна позиция 400, по две причини: първата – че това беше година на избори за Европейски парламент, като разходите бяха разделени между първата половина на 2024 г. (деветия законодателен мандат) и втората половина на 2024 г. (десетия законодателен мандат), както и факта, че окончателните отчети на една от политическите групи (групата ID), които бяха одитирани за първата половина на 2024 г., съдържаха сериозни нередности; отбелязва, че по време на изслушването на 8 декември заместник-председателите също така посочиха, че е поискана допълнителна информация относно отчетите за втората половина на 2024 г., която все още се очаква от Бюрото, преди то да вземе решение за предоставяне на информацията на органа по освобождаване от отговорност; отбелязва писмото от 20 януари 2026 г. на генералния секретар на Парламента до председателя на комисията по бюджетен контрол на Парламента, с което се представят одитните доклади за втората половина на 2024 г. за седем от осемте политически групи; отбелязва становището без резерви, изразено за всички доклади; отбелязва, че все още липсва докладът на групата </w:t>
      </w:r>
      <w:proofErr w:type="spellStart"/>
      <w:r w:rsidRPr="00FB1491">
        <w:t>PfE</w:t>
      </w:r>
      <w:proofErr w:type="spellEnd"/>
      <w:r w:rsidRPr="00FB1491">
        <w:t xml:space="preserve"> за втората половина на 2024 г. поради текущия обмен на информация между тази политическа група и компетентните служби на Парламента; призовава групата </w:t>
      </w:r>
      <w:proofErr w:type="spellStart"/>
      <w:r w:rsidRPr="00FB1491">
        <w:t>PfE</w:t>
      </w:r>
      <w:proofErr w:type="spellEnd"/>
      <w:r w:rsidRPr="00FB1491">
        <w:t xml:space="preserve"> и компетентните служби на Парламента да разрешат бързо нерешените въпроси и да информират органа по освобождаване от отговорност относно резултата;</w:t>
      </w:r>
    </w:p>
    <w:p w14:paraId="69697B3E" w14:textId="77777777" w:rsidR="00C87F54" w:rsidRPr="00FB1491" w:rsidRDefault="00C87F54" w:rsidP="00C87F54">
      <w:pPr>
        <w:pStyle w:val="NormalHanging12a"/>
      </w:pPr>
      <w:r w:rsidRPr="00FB1491">
        <w:t>138.</w:t>
      </w:r>
      <w:r w:rsidRPr="00FB1491">
        <w:tab/>
        <w:t xml:space="preserve">отбелязва информацията в медиите, според която групата </w:t>
      </w:r>
      <w:proofErr w:type="spellStart"/>
      <w:r w:rsidRPr="00FB1491">
        <w:t>PfE</w:t>
      </w:r>
      <w:proofErr w:type="spellEnd"/>
      <w:r w:rsidRPr="00FB1491">
        <w:t xml:space="preserve"> се обвинява в злоупотреба със средства в размер на най-малко 171 644 EUR за втората половина на 2024 г.; отбелязва, че администрацията на Парламента е поискала разяснения </w:t>
      </w:r>
      <w:r w:rsidRPr="00FB1491">
        <w:lastRenderedPageBreak/>
        <w:t xml:space="preserve">от групата </w:t>
      </w:r>
      <w:proofErr w:type="spellStart"/>
      <w:r w:rsidRPr="00FB1491">
        <w:t>PfE</w:t>
      </w:r>
      <w:proofErr w:type="spellEnd"/>
      <w:r w:rsidRPr="00FB1491">
        <w:t>; отбелязва, че органът по освобождаване от отговорност все още не е информиран, но очаква той да бъде информиран незабавно за всяко по-нататъшно развитие и за резултата от последващите административни действия по този въпрос;</w:t>
      </w:r>
    </w:p>
    <w:p w14:paraId="0EA9DDB5" w14:textId="77777777" w:rsidR="00C87F54" w:rsidRPr="00FB1491" w:rsidRDefault="00C87F54" w:rsidP="00C87F54">
      <w:pPr>
        <w:pStyle w:val="NormalHanging12a"/>
        <w:rPr>
          <w:bCs/>
          <w:iCs/>
        </w:rPr>
      </w:pPr>
      <w:r w:rsidRPr="00FB1491">
        <w:t>139.</w:t>
      </w:r>
      <w:r w:rsidRPr="00FB1491">
        <w:tab/>
        <w:t>отбелязва информацията в германското новинарско списание „</w:t>
      </w:r>
      <w:proofErr w:type="spellStart"/>
      <w:r w:rsidRPr="00FB1491">
        <w:t>Stern</w:t>
      </w:r>
      <w:proofErr w:type="spellEnd"/>
      <w:r w:rsidRPr="00FB1491">
        <w:t>“, според която член на групата „Европа на суверенните нации“ (ESN) е бил домакин на групов конгрес с участието на служители и членове на техните семейства, с потенциални разходи за сметка на бюджета на Парламента по позиция 400, като според твърденията при провеждането на това събитие са били събрани дарения за дясна женска мрежа, свързана с близки роднини и служители на членове на групата ESN; припомня, че разходите по бюджетна позиция 400 трябва да са строго ограничени до парламентарни дейности на политическите групи и да съответстват напълно на приложимите правила; настоятелно призовава Генералната дирекция по финанси да разследва случая; както и незабавно да информира органа по освобождаване от отговорност, ако бъде установено някакво несъответствие;</w:t>
      </w:r>
    </w:p>
    <w:p w14:paraId="25AB169D" w14:textId="77777777" w:rsidR="00C87F54" w:rsidRPr="00FB1491" w:rsidRDefault="00C87F54" w:rsidP="00C87F54">
      <w:pPr>
        <w:pStyle w:val="NormalHanging12a"/>
      </w:pPr>
      <w:r w:rsidRPr="00FB1491">
        <w:t>140.</w:t>
      </w:r>
      <w:r w:rsidRPr="00FB1491">
        <w:tab/>
        <w:t>припомня изключителната финансова отговорност, възложена на политическите групи, и техния ангажимент за гарантиране на добро финансово управление, ефективен контрол и пълна отчетност за публичните средства; призовава за подходящи механизми за надзор в рамките на Генерална дирекция по финанси чрез предоставяне на повече ресурси;</w:t>
      </w:r>
    </w:p>
    <w:p w14:paraId="2F8F3ECE" w14:textId="77777777" w:rsidR="00C87F54" w:rsidRPr="00FB1491" w:rsidRDefault="00C87F54" w:rsidP="00C87F54">
      <w:pPr>
        <w:spacing w:after="240"/>
        <w:rPr>
          <w:b/>
          <w:bCs/>
          <w:i/>
          <w:iCs/>
          <w14:textOutline w14:w="0" w14:cap="flat" w14:cmpd="sng" w14:algn="ctr">
            <w14:noFill/>
            <w14:prstDash w14:val="solid"/>
            <w14:bevel/>
          </w14:textOutline>
        </w:rPr>
      </w:pPr>
      <w:r w:rsidRPr="00FB1491">
        <w:rPr>
          <w:b/>
          <w:i/>
          <w14:textOutline w14:w="0" w14:cap="flat" w14:cmpd="sng" w14:algn="ctr">
            <w14:noFill/>
            <w14:prstDash w14:val="solid"/>
            <w14:bevel/>
          </w14:textOutline>
        </w:rPr>
        <w:t>Европейски политически партии и европейски политически фондации</w:t>
      </w:r>
    </w:p>
    <w:p w14:paraId="25694066" w14:textId="77777777" w:rsidR="00C87F54" w:rsidRPr="00FB1491" w:rsidRDefault="00C87F54" w:rsidP="00C87F54">
      <w:pPr>
        <w:spacing w:after="240"/>
        <w:ind w:left="567" w:hanging="567"/>
        <w:rPr>
          <w:noProof/>
        </w:rPr>
      </w:pPr>
      <w:r w:rsidRPr="00FB1491">
        <w:t>141.</w:t>
      </w:r>
      <w:r w:rsidRPr="00FB1491">
        <w:tab/>
        <w:t>подчертава, че запазването на демократичния интегритет и създаването на справедлива среда за европейските политически партии и европейските политически фондации са важни фактори за ефективното функциониране и доверието в Съюза; отбелязва, че Органът за европейските политически партии и европейските политически фондации („Органът“), който е независим орган на Съюза, участва активно в тези усилия още от създаването си на 1 септември 2016 г. и от 1 януари 2017 г., когато стана напълно оперативен; отбелязва, че законодателят на Съюза възлага на Органа задачата да регистрира, да следи за спазването на изискванията, и когато е необходимо, да налага санкции на европейските политически партии и европейските политически фондации;</w:t>
      </w:r>
    </w:p>
    <w:p w14:paraId="51D8618B" w14:textId="77777777" w:rsidR="00C87F54" w:rsidRPr="00FB1491" w:rsidRDefault="00C87F54" w:rsidP="00C87F54">
      <w:pPr>
        <w:spacing w:after="240"/>
        <w:ind w:left="567" w:hanging="567"/>
      </w:pPr>
      <w:r w:rsidRPr="00FB1491">
        <w:t>142.</w:t>
      </w:r>
      <w:r w:rsidRPr="00FB1491">
        <w:tab/>
        <w:t>отбелязва със задоволство, че Органът предприема проактивни действия и повишава осведомеността сред мрежа от органи и институции, обединени от общата цел за защита на европейската демокрация; подчертава, че по-специално Органът работи с Парламента, който е отговорен за секретариата на Комитета от независими изтъкнати личности, за да се постигне максимална процедурна ефективност; отбелязва, че беше засилено сътрудничеството по някои оперативни аспекти, както и с редица други заинтересовани лица от Съюза, включително Европейската служба за външна дейност и Европейския комитет по защита на данните; отбелязва, че Органът задълбочи сътрудничеството си с Европол, като подписа меморандум за разбирателство относно обмена на стратегическа информация във връзка със случаите на незаконна намеса в демокрацията в рамките на Съюза, осъществявана чрез кибернетични средства;</w:t>
      </w:r>
    </w:p>
    <w:p w14:paraId="7522FF30" w14:textId="77777777" w:rsidR="00C87F54" w:rsidRPr="00FB1491" w:rsidRDefault="00C87F54" w:rsidP="00C87F54">
      <w:pPr>
        <w:spacing w:after="240"/>
        <w:ind w:left="567" w:hanging="567"/>
      </w:pPr>
      <w:r w:rsidRPr="00FB1491">
        <w:t>143.</w:t>
      </w:r>
      <w:r w:rsidRPr="00FB1491">
        <w:tab/>
        <w:t xml:space="preserve">отбелязва, че през 2024 г. Органът е отправил към европейските политически </w:t>
      </w:r>
      <w:r w:rsidRPr="00FB1491">
        <w:lastRenderedPageBreak/>
        <w:t>партии и фондации няколко превантивни препоръки за спазване на изискванията, с цел те да обърнат внимание на рисковете за спазването на изискванията, преди те да се реализират, и по-специално за да се подобрят техните вътрешни процеси във връзка с даренията, вноските и дейностите, които те планират да организират; приветства факта, че Органът също така е предоставил насоки, при поискване, в 11 случая;</w:t>
      </w:r>
    </w:p>
    <w:p w14:paraId="5AA4D1A4" w14:textId="77777777" w:rsidR="00C87F54" w:rsidRPr="00FB1491" w:rsidRDefault="00C87F54" w:rsidP="00C87F54">
      <w:pPr>
        <w:spacing w:after="240"/>
        <w:ind w:left="567" w:hanging="567"/>
      </w:pPr>
      <w:r w:rsidRPr="00FB1491">
        <w:t>144.</w:t>
      </w:r>
      <w:r w:rsidRPr="00FB1491">
        <w:tab/>
        <w:t>отбелязва, че в осем случая Органът е дал възможност на европейските политически партии и европейските политически фондации да предприемат корективни мерки за контрол на спазването на финансовите правила във връзка със забранените дарения, както и случаите на финансиране на други субекти в контекста на съвместни дейности; приветства факта, че Органът продължава да следи за това дали корективните мерки с дългосрочен ефект осигуряват устойчиво спазване на нормативните изисквания в съответните области; отбелязва, че през 2024 г. Органът е приел едно решение за налагане на санкции;</w:t>
      </w:r>
    </w:p>
    <w:p w14:paraId="000B6E81" w14:textId="77777777" w:rsidR="00C87F54" w:rsidRPr="00FB1491" w:rsidRDefault="00C87F54" w:rsidP="00C87F54">
      <w:pPr>
        <w:spacing w:after="240"/>
        <w:ind w:left="567" w:hanging="567"/>
      </w:pPr>
      <w:r w:rsidRPr="00FB1491">
        <w:t>145.</w:t>
      </w:r>
      <w:r w:rsidRPr="00FB1491">
        <w:tab/>
        <w:t>приветства факта, че Органът също така продължи да публикува подробни насоки на своя уебсайт, отнасящи се до най-често установяваните рискови области и потенциално проблемните структури при управлението на европейските политически партии и европейските политически фондации; приветства факта, че той също така съобщи своите констатации и насоки от общ интерес на всички европейски политически партии и европейски политически фондации;</w:t>
      </w:r>
    </w:p>
    <w:p w14:paraId="519AE9E2" w14:textId="77777777" w:rsidR="00C87F54" w:rsidRPr="00FB1491" w:rsidRDefault="00C87F54" w:rsidP="00C87F54">
      <w:pPr>
        <w:spacing w:after="240"/>
        <w:ind w:left="567" w:hanging="567"/>
      </w:pPr>
      <w:r w:rsidRPr="00FB1491">
        <w:t>146.</w:t>
      </w:r>
      <w:r w:rsidRPr="00FB1491">
        <w:tab/>
        <w:t>приветства публикуването на Регламент (ЕС, Евратом) 2025/2445 на Европейския парламент и на Съвета</w:t>
      </w:r>
      <w:r w:rsidRPr="00FB1491">
        <w:rPr>
          <w:rStyle w:val="FootnoteReference"/>
        </w:rPr>
        <w:footnoteReference w:id="12"/>
      </w:r>
      <w:r w:rsidRPr="00FB1491">
        <w:t>, с който се въвеждат нови изисквания за европейските политически партии и европейските политически фондации с цел укрепване на демократичния интегритет и издръжливостта; подчертава по-специално, че сега европейските политически партии и европейските политически фондации трябва също да гарантират, че членуващите в тях партии и организации се придържат към ценностите, на които се основава Съюзът, залегнали в член 2 от ДЕС; отбелязва освен това, че гаранциите срещу външна намеса са засилени и че преразгледаната система от санкции изисква налагането на санкции за извършването на количествено измерими нарушения, като например нарушения на правилата за даренията или забрана за предоставянето на финансиране на национални партии, без да се предлага възможност за корективни мерки; отбелязва като положителен факт в този контекст изчерпателните превантивни насоки, предложени от Органа с неговия план за действие относно съответствието с нормативните изисквания (R-CAP), за да се улесни гладкото и ефективно изпълнение;</w:t>
      </w:r>
      <w:r w:rsidRPr="00FB1491">
        <w:rPr>
          <w:b/>
          <w:u w:val="single"/>
        </w:rPr>
        <w:t xml:space="preserve"> </w:t>
      </w:r>
      <w:r w:rsidRPr="00FB1491">
        <w:t>насърчава решението за въвеждане на проверки за допустимост също така в рамките на членуващите организации, за да се гарантира пълна съгласуваност и на членуващите организации с ценностите по член 2 от ДЕС, както и да се обезпечи демократичен интегритет при финансирането на европейските политически партии от Парламента;</w:t>
      </w:r>
    </w:p>
    <w:p w14:paraId="3F0B6496" w14:textId="77777777" w:rsidR="00C87F54" w:rsidRPr="00FB1491" w:rsidRDefault="00C87F54" w:rsidP="00C87F54">
      <w:pPr>
        <w:spacing w:after="240"/>
        <w:ind w:left="567" w:hanging="567"/>
      </w:pPr>
      <w:r w:rsidRPr="00FB1491">
        <w:t>147.</w:t>
      </w:r>
      <w:r w:rsidRPr="00FB1491">
        <w:tab/>
        <w:t xml:space="preserve">отбелязва, че Органът може да започне проверка за спазването на ценностите, на които се основава Съюзът, единствено въз основа на искане, подадено от </w:t>
      </w:r>
      <w:r w:rsidRPr="00FB1491">
        <w:lastRenderedPageBreak/>
        <w:t>Парламента, Съвета или Комисията;</w:t>
      </w:r>
    </w:p>
    <w:p w14:paraId="331E9BAB" w14:textId="77777777" w:rsidR="00C87F54" w:rsidRPr="00FB1491" w:rsidRDefault="00C87F54" w:rsidP="00C87F54">
      <w:pPr>
        <w:spacing w:after="240"/>
        <w:ind w:left="567" w:hanging="567"/>
        <w:rPr>
          <w:u w:val="single"/>
        </w:rPr>
      </w:pPr>
      <w:r w:rsidRPr="00FB1491">
        <w:t>148.</w:t>
      </w:r>
      <w:r w:rsidRPr="00FB1491">
        <w:tab/>
        <w:t>подчертава, че с оглед на разширения обхват на процедурата за проверка на ценностите, която понастоящем се прилага също за членуващите партии и членуващите организации, както и други новости в Регламент (ЕС, Евратом) 2025/2445, включително приветстваните актуализации за защитата на европейската демокрация срещу външна намеса, е важно човешките ресурси на Органа да се увеличат по подходящ начин;</w:t>
      </w:r>
    </w:p>
    <w:bookmarkEnd w:id="11"/>
    <w:p w14:paraId="3846CC68" w14:textId="77777777" w:rsidR="00C87F54" w:rsidRPr="00FB1491" w:rsidRDefault="00C87F54" w:rsidP="00C87F54">
      <w:pPr>
        <w:spacing w:after="240"/>
        <w:ind w:left="567" w:hanging="567"/>
      </w:pPr>
      <w:r w:rsidRPr="00FB1491">
        <w:rPr>
          <w14:textOutline w14:w="0" w14:cap="flat" w14:cmpd="sng" w14:algn="ctr">
            <w14:noFill/>
            <w14:prstDash w14:val="solid"/>
            <w14:bevel/>
          </w14:textOutline>
        </w:rPr>
        <w:t>149</w:t>
      </w:r>
      <w:r w:rsidRPr="00FB1491">
        <w:t>.</w:t>
      </w:r>
      <w:r w:rsidRPr="00FB1491">
        <w:rPr>
          <w14:textOutline w14:w="0" w14:cap="flat" w14:cmpd="sng" w14:algn="ctr">
            <w14:noFill/>
            <w14:prstDash w14:val="solid"/>
            <w14:bevel/>
          </w14:textOutline>
        </w:rPr>
        <w:tab/>
      </w:r>
      <w:r w:rsidRPr="00FB1491">
        <w:t>отбелязва, че през 2024 г. бюджетните кредити, записани по позиция 402, са били усвоени, както следва</w:t>
      </w:r>
      <w:r w:rsidRPr="00FB1491">
        <w:rPr>
          <w:rStyle w:val="FootnoteReference"/>
        </w:rPr>
        <w:footnoteReference w:id="13"/>
      </w:r>
      <w:r w:rsidRPr="00FB1491">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C87F54" w:rsidRPr="00FB1491" w14:paraId="4CA49254" w14:textId="77777777" w:rsidTr="00B73FCA">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F1C9118"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Партия (2024 г.)</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5F6FAFE"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Съкращение</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F07C1BB"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Собствени ресурси</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7A00C81"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Окончателна вноска от ЕП</w:t>
            </w:r>
            <w:r w:rsidRPr="00FB1491">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20CAE86"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Общо приходи</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B8FEF3F"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Вноска от ЕП като % от възстановимите разходи (</w:t>
            </w:r>
            <w:proofErr w:type="spellStart"/>
            <w:r w:rsidRPr="00FB1491">
              <w:rPr>
                <w:sz w:val="20"/>
                <w14:textOutline w14:w="0" w14:cap="flat" w14:cmpd="sng" w14:algn="ctr">
                  <w14:noFill/>
                  <w14:prstDash w14:val="solid"/>
                  <w14:bevel/>
                </w14:textOutline>
              </w:rPr>
              <w:t>макс</w:t>
            </w:r>
            <w:proofErr w:type="spellEnd"/>
            <w:r w:rsidRPr="00FB1491">
              <w:rPr>
                <w:sz w:val="20"/>
                <w14:textOutline w14:w="0" w14:cap="flat" w14:cmpd="sng" w14:algn="ctr">
                  <w14:noFill/>
                  <w14:prstDash w14:val="solid"/>
                  <w14:bevel/>
                </w14:textOutline>
              </w:rPr>
              <w:t>. 90%)</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BDA0FF2"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Специален резерв след приключването</w:t>
            </w:r>
          </w:p>
          <w:p w14:paraId="17A2690B"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 xml:space="preserve">за 2024 г. </w:t>
            </w:r>
            <w:r w:rsidRPr="00FB1491">
              <w:rPr>
                <w:rStyle w:val="FootnoteReference"/>
                <w:sz w:val="20"/>
              </w:rPr>
              <w:footnoteReference w:id="15"/>
            </w:r>
          </w:p>
        </w:tc>
      </w:tr>
      <w:tr w:rsidR="00C87F54" w:rsidRPr="00FB1491" w14:paraId="436F46F2"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08E775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Европейска народна партия</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485CBE7"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PPЕ</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EC41B3"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A12F45"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9F293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FD9AFE"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72FE4F4"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261 623</w:t>
            </w:r>
          </w:p>
        </w:tc>
      </w:tr>
      <w:tr w:rsidR="00C87F54" w:rsidRPr="00FB1491" w14:paraId="00C3B0FB"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F0197BE"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Партия на европейските социалисти</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B27281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ПЕС</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39F2EA"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28DECF"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4F8A94E"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83E3C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8C676AD"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987 745</w:t>
            </w:r>
          </w:p>
        </w:tc>
      </w:tr>
      <w:tr w:rsidR="00C87F54" w:rsidRPr="00FB1491" w14:paraId="7EA79073"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E693066"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Алианс на либералите и демократите за Европа</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72A121"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9C5FE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1816D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31A5A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ACC631"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B3C2D6D"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414 768</w:t>
            </w:r>
          </w:p>
        </w:tc>
      </w:tr>
      <w:tr w:rsidR="00C87F54" w:rsidRPr="00FB1491" w14:paraId="662AE606"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D5D94A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Европейска зелена партия</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1D5EEF"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ЕЗП</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CF9F36"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F1BB0C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59E484"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A0592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D89AFD2"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993 646</w:t>
            </w:r>
          </w:p>
        </w:tc>
      </w:tr>
      <w:tr w:rsidR="00C87F54" w:rsidRPr="00FB1491" w14:paraId="2C2F5BA0"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6C7731C"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Партия на европейските консерватори и реформисти</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97C77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Партия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CC3FAD"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B3BE11"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8F736E"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4C3A53"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6664344"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-273 939</w:t>
            </w:r>
          </w:p>
        </w:tc>
      </w:tr>
      <w:tr w:rsidR="00C87F54" w:rsidRPr="00FB1491" w14:paraId="726D522E"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FDACD63"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Партия „Идентичност и демокрация“</w:t>
            </w:r>
            <w:r w:rsidRPr="00FB1491">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0614A5"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Партия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52FB4D"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7F681A"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C990F3"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CA9C82"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AE30615"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22 063</w:t>
            </w:r>
          </w:p>
        </w:tc>
      </w:tr>
      <w:tr w:rsidR="00C87F54" w:rsidRPr="00FB1491" w14:paraId="41C0C2C7"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6F6A6F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Партия на европейската левица</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706677"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Европейска левица</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17AC10"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30AA91"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0C64D3"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84DEED"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168EFB5"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-42 833</w:t>
            </w:r>
          </w:p>
        </w:tc>
      </w:tr>
      <w:tr w:rsidR="00C87F54" w:rsidRPr="00FB1491" w14:paraId="0CDDCFBF"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AFD25D6"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Европейска демократическа партия</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A1388A"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02F001"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BE498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17A0D9"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8298C0"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C2AB139"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154 132</w:t>
            </w:r>
          </w:p>
        </w:tc>
      </w:tr>
      <w:tr w:rsidR="00C87F54" w:rsidRPr="00FB1491" w14:paraId="314EA7D8"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4778590"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lastRenderedPageBreak/>
              <w:t>Европейски свободен алианс</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84BC179"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ЕСА</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4A28D5"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0D401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6125A6"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EE22FA"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3C0AA36"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-7 391</w:t>
            </w:r>
          </w:p>
        </w:tc>
      </w:tr>
      <w:tr w:rsidR="00C87F54" w:rsidRPr="00FB1491" w14:paraId="26623658" w14:textId="77777777" w:rsidTr="00B73FC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189D539"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Европейско християнско политическо движение</w:t>
            </w:r>
            <w:r w:rsidRPr="00FB1491">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FC5B7B0"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ЕХПД</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249575"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867E06"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9D81D3"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8A46B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3C84DEC"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rPr>
              <w:t>-59 624</w:t>
            </w:r>
          </w:p>
        </w:tc>
      </w:tr>
      <w:tr w:rsidR="00C87F54" w:rsidRPr="00FB1491" w14:paraId="6ED3774E" w14:textId="77777777" w:rsidTr="00B73FCA">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0CB9F1E"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b/>
                <w:sz w:val="20"/>
                <w14:textOutline w14:w="0" w14:cap="flat" w14:cmpd="sng" w14:algn="ctr">
                  <w14:noFill/>
                  <w14:prstDash w14:val="solid"/>
                  <w14:bevel/>
                </w14:textOutline>
              </w:rPr>
              <w:t>ОБЩО</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EA410E0" w14:textId="77777777" w:rsidR="00C87F54" w:rsidRPr="00FB1491" w:rsidRDefault="00C87F54" w:rsidP="00B73FCA">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37282616" w14:textId="77777777" w:rsidR="00C87F54" w:rsidRPr="00FB1491" w:rsidRDefault="00C87F54" w:rsidP="00B73FCA">
            <w:pPr>
              <w:jc w:val="center"/>
              <w:rPr>
                <w:b/>
                <w:bCs/>
                <w:sz w:val="22"/>
                <w:szCs w:val="22"/>
              </w:rPr>
            </w:pPr>
            <w:r w:rsidRPr="00FB1491">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A49E320" w14:textId="77777777" w:rsidR="00C87F54" w:rsidRPr="00FB1491" w:rsidRDefault="00C87F54" w:rsidP="00B73FCA">
            <w:pPr>
              <w:jc w:val="center"/>
              <w:rPr>
                <w:b/>
                <w:bCs/>
                <w:sz w:val="22"/>
                <w:szCs w:val="22"/>
              </w:rPr>
            </w:pPr>
            <w:r w:rsidRPr="00FB1491">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F9B00E5" w14:textId="77777777" w:rsidR="00C87F54" w:rsidRPr="00FB1491" w:rsidRDefault="00C87F54" w:rsidP="00B73FCA">
            <w:pPr>
              <w:jc w:val="center"/>
              <w:rPr>
                <w:b/>
                <w:bCs/>
                <w:sz w:val="22"/>
                <w:szCs w:val="22"/>
              </w:rPr>
            </w:pPr>
            <w:r w:rsidRPr="00FB1491">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187E027F" w14:textId="77777777" w:rsidR="00C87F54" w:rsidRPr="00FB1491" w:rsidRDefault="00C87F54" w:rsidP="00B73FCA">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3532898B" w14:textId="77777777" w:rsidR="00C87F54" w:rsidRPr="00FB1491" w:rsidRDefault="00C87F54" w:rsidP="00B73FCA">
            <w:pPr>
              <w:jc w:val="center"/>
              <w:rPr>
                <w:b/>
              </w:rPr>
            </w:pPr>
            <w:r w:rsidRPr="00FB1491">
              <w:rPr>
                <w:b/>
                <w:sz w:val="20"/>
              </w:rPr>
              <w:t>2 450 191</w:t>
            </w:r>
          </w:p>
        </w:tc>
      </w:tr>
    </w:tbl>
    <w:p w14:paraId="4194D50F" w14:textId="77777777" w:rsidR="00C87F54" w:rsidRPr="00FB1491" w:rsidRDefault="00C87F54" w:rsidP="00C87F54">
      <w:pPr>
        <w:rPr>
          <w:noProof/>
        </w:rPr>
      </w:pPr>
    </w:p>
    <w:p w14:paraId="05BE85AE" w14:textId="77777777" w:rsidR="00C87F54" w:rsidRPr="00FB1491" w:rsidRDefault="00C87F54" w:rsidP="00C87F54">
      <w:pPr>
        <w:spacing w:after="240"/>
        <w:ind w:left="567" w:hanging="567"/>
        <w:rPr>
          <w:szCs w:val="24"/>
          <w14:textOutline w14:w="0" w14:cap="flat" w14:cmpd="sng" w14:algn="ctr">
            <w14:noFill/>
            <w14:prstDash w14:val="solid"/>
            <w14:bevel/>
          </w14:textOutline>
        </w:rPr>
      </w:pPr>
      <w:r w:rsidRPr="00FB1491">
        <w:rPr>
          <w14:textOutline w14:w="0" w14:cap="flat" w14:cmpd="sng" w14:algn="ctr">
            <w14:noFill/>
            <w14:prstDash w14:val="solid"/>
            <w14:bevel/>
          </w14:textOutline>
        </w:rPr>
        <w:t>150</w:t>
      </w:r>
      <w:r w:rsidRPr="00FB1491">
        <w:t>.</w:t>
      </w:r>
      <w:r w:rsidRPr="00FB1491">
        <w:rPr>
          <w14:textOutline w14:w="0" w14:cap="flat" w14:cmpd="sng" w14:algn="ctr">
            <w14:noFill/>
            <w14:prstDash w14:val="solid"/>
            <w14:bevel/>
          </w14:textOutline>
        </w:rPr>
        <w:tab/>
      </w:r>
      <w:r w:rsidRPr="00FB1491">
        <w:t>отбелязва, че през 2024 г. бюджетните кредити, записани по позиция 403, са усвоени, както следва</w:t>
      </w:r>
      <w:r w:rsidRPr="00FB1491">
        <w:rPr>
          <w:rStyle w:val="FootnoteReference"/>
        </w:rPr>
        <w:footnoteReference w:id="18"/>
      </w:r>
      <w:r w:rsidRPr="00FB1491">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C87F54" w:rsidRPr="00FB1491" w14:paraId="1954371F" w14:textId="77777777" w:rsidTr="00B73FCA">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91B26E5"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Фондация (2024 г.)</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1B0125C"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Съкращение</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ABD0DF0"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Свързана с партия</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1CCAB12"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Собствени ресурси</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3CBA72E"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Окончателен размер на безвъзмездните средства от ЕП</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6D98128"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Общо приходи</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13C8F28"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Безвъзмездни средства от ЕП като % от допустимите разходи (</w:t>
            </w:r>
            <w:proofErr w:type="spellStart"/>
            <w:r w:rsidRPr="00FB1491">
              <w:rPr>
                <w:sz w:val="20"/>
                <w14:textOutline w14:w="0" w14:cap="flat" w14:cmpd="sng" w14:algn="ctr">
                  <w14:noFill/>
                  <w14:prstDash w14:val="solid"/>
                  <w14:bevel/>
                </w14:textOutline>
              </w:rPr>
              <w:t>макс</w:t>
            </w:r>
            <w:proofErr w:type="spellEnd"/>
            <w:r w:rsidRPr="00FB1491">
              <w:rPr>
                <w:sz w:val="20"/>
                <w14:textOutline w14:w="0" w14:cap="flat" w14:cmpd="sng" w14:algn="ctr">
                  <w14:noFill/>
                  <w14:prstDash w14:val="solid"/>
                  <w14:bevel/>
                </w14:textOutline>
              </w:rPr>
              <w:t>. 95%)</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B4CD123"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rPr>
                <w:sz w:val="20"/>
                <w14:textOutline w14:w="0" w14:cap="flat" w14:cmpd="sng" w14:algn="ctr">
                  <w14:noFill/>
                  <w14:prstDash w14:val="solid"/>
                  <w14:bevel/>
                </w14:textOutline>
              </w:rPr>
              <w:t>Специален резерв след приключването</w:t>
            </w:r>
          </w:p>
          <w:p w14:paraId="4D00233A" w14:textId="77777777" w:rsidR="00C87F54" w:rsidRPr="00FB1491" w:rsidRDefault="00C87F54" w:rsidP="00B73FCA">
            <w:pPr>
              <w:widowControl/>
              <w:jc w:val="center"/>
              <w:rPr>
                <w:szCs w:val="24"/>
                <w14:textOutline w14:w="0" w14:cap="flat" w14:cmpd="sng" w14:algn="ctr">
                  <w14:noFill/>
                  <w14:prstDash w14:val="solid"/>
                  <w14:bevel/>
                </w14:textOutline>
              </w:rPr>
            </w:pPr>
            <w:r w:rsidRPr="00FB1491">
              <w:rPr>
                <w:sz w:val="20"/>
                <w14:textOutline w14:w="0" w14:cap="flat" w14:cmpd="sng" w14:algn="ctr">
                  <w14:noFill/>
                  <w14:prstDash w14:val="solid"/>
                  <w14:bevel/>
                </w14:textOutline>
              </w:rPr>
              <w:t>за 2024 г.</w:t>
            </w:r>
            <w:r w:rsidRPr="00FB1491">
              <w:rPr>
                <w:rStyle w:val="FootnoteReference"/>
                <w:sz w:val="20"/>
              </w:rPr>
              <w:footnoteReference w:id="19"/>
            </w:r>
          </w:p>
        </w:tc>
      </w:tr>
      <w:tr w:rsidR="00C87F54" w:rsidRPr="00FB1491" w14:paraId="7ACB40E0"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ED36BF0"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Център за европейски изследвания „Вилфрид Мартенс“</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E0C190" w14:textId="77777777" w:rsidR="00C87F54" w:rsidRPr="00FB1491" w:rsidRDefault="00C87F54" w:rsidP="00B73FCA">
            <w:pPr>
              <w:jc w:val="center"/>
              <w:rPr>
                <w:sz w:val="20"/>
              </w:rPr>
            </w:pPr>
            <w:r w:rsidRPr="00FB1491">
              <w:rPr>
                <w:sz w:val="20"/>
              </w:rPr>
              <w:t>ЦЕИ „Вилфрид Мартенс“</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6E6FF5" w14:textId="77777777" w:rsidR="00C87F54" w:rsidRPr="00FB1491" w:rsidRDefault="00C87F54" w:rsidP="00B73FCA">
            <w:pPr>
              <w:jc w:val="center"/>
              <w:rPr>
                <w:sz w:val="20"/>
              </w:rPr>
            </w:pPr>
            <w:r w:rsidRPr="00FB1491">
              <w:rPr>
                <w:sz w:val="20"/>
              </w:rPr>
              <w:t>PPЕ</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C9B7CA" w14:textId="77777777" w:rsidR="00C87F54" w:rsidRPr="00FB1491" w:rsidRDefault="00C87F54" w:rsidP="00B73FCA">
            <w:pPr>
              <w:jc w:val="center"/>
              <w:rPr>
                <w:sz w:val="20"/>
              </w:rPr>
            </w:pPr>
            <w:r w:rsidRPr="00FB1491">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9C732F" w14:textId="77777777" w:rsidR="00C87F54" w:rsidRPr="00FB1491" w:rsidRDefault="00C87F54" w:rsidP="00B73FCA">
            <w:pPr>
              <w:jc w:val="center"/>
              <w:rPr>
                <w:sz w:val="20"/>
              </w:rPr>
            </w:pPr>
            <w:r w:rsidRPr="00FB1491">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8FBB1C2" w14:textId="77777777" w:rsidR="00C87F54" w:rsidRPr="00FB1491" w:rsidRDefault="00C87F54" w:rsidP="00B73FCA">
            <w:pPr>
              <w:jc w:val="center"/>
              <w:rPr>
                <w:sz w:val="20"/>
              </w:rPr>
            </w:pPr>
            <w:r w:rsidRPr="00FB1491">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ADF37AA" w14:textId="77777777" w:rsidR="00C87F54" w:rsidRPr="00FB1491" w:rsidRDefault="00C87F54" w:rsidP="00B73FCA">
            <w:pPr>
              <w:jc w:val="center"/>
              <w:rPr>
                <w:sz w:val="20"/>
              </w:rPr>
            </w:pPr>
            <w:r w:rsidRPr="00FB149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676CF1" w14:textId="77777777" w:rsidR="00C87F54" w:rsidRPr="00FB1491" w:rsidRDefault="00C87F54" w:rsidP="00B73FCA">
            <w:pPr>
              <w:jc w:val="center"/>
              <w:rPr>
                <w:sz w:val="20"/>
              </w:rPr>
            </w:pPr>
            <w:r w:rsidRPr="00FB1491">
              <w:rPr>
                <w:sz w:val="20"/>
              </w:rPr>
              <w:t>1 320 717</w:t>
            </w:r>
          </w:p>
        </w:tc>
      </w:tr>
      <w:tr w:rsidR="00C87F54" w:rsidRPr="00FB1491" w14:paraId="1AD0EBED"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284BDB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Фондация за европейски прогресивни изследвания</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6F2EDD" w14:textId="77777777" w:rsidR="00C87F54" w:rsidRPr="00FB1491" w:rsidRDefault="00C87F54" w:rsidP="00B73FCA">
            <w:pPr>
              <w:jc w:val="center"/>
              <w:rPr>
                <w:sz w:val="20"/>
              </w:rPr>
            </w:pPr>
            <w:r w:rsidRPr="00FB1491">
              <w:rPr>
                <w:sz w:val="20"/>
              </w:rPr>
              <w:t>ФЕПИ</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96580CB" w14:textId="77777777" w:rsidR="00C87F54" w:rsidRPr="00FB1491" w:rsidRDefault="00C87F54" w:rsidP="00B73FCA">
            <w:pPr>
              <w:jc w:val="center"/>
              <w:rPr>
                <w:sz w:val="20"/>
              </w:rPr>
            </w:pPr>
            <w:r w:rsidRPr="00FB1491">
              <w:rPr>
                <w:sz w:val="20"/>
              </w:rPr>
              <w:t>ПЕС</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0AC18A" w14:textId="77777777" w:rsidR="00C87F54" w:rsidRPr="00FB1491" w:rsidRDefault="00C87F54" w:rsidP="00B73FCA">
            <w:pPr>
              <w:jc w:val="center"/>
              <w:rPr>
                <w:sz w:val="20"/>
              </w:rPr>
            </w:pPr>
            <w:r w:rsidRPr="00FB1491">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5AFA427" w14:textId="77777777" w:rsidR="00C87F54" w:rsidRPr="00FB1491" w:rsidRDefault="00C87F54" w:rsidP="00B73FCA">
            <w:pPr>
              <w:jc w:val="center"/>
              <w:rPr>
                <w:sz w:val="20"/>
              </w:rPr>
            </w:pPr>
            <w:r w:rsidRPr="00FB1491">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39178D" w14:textId="77777777" w:rsidR="00C87F54" w:rsidRPr="00FB1491" w:rsidRDefault="00C87F54" w:rsidP="00B73FCA">
            <w:pPr>
              <w:jc w:val="center"/>
              <w:rPr>
                <w:sz w:val="20"/>
              </w:rPr>
            </w:pPr>
            <w:r w:rsidRPr="00FB1491">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F495C95" w14:textId="77777777" w:rsidR="00C87F54" w:rsidRPr="00FB1491" w:rsidRDefault="00C87F54" w:rsidP="00B73FCA">
            <w:pPr>
              <w:jc w:val="center"/>
              <w:rPr>
                <w:sz w:val="20"/>
              </w:rPr>
            </w:pPr>
            <w:r w:rsidRPr="00FB1491">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C718A3C" w14:textId="77777777" w:rsidR="00C87F54" w:rsidRPr="00FB1491" w:rsidRDefault="00C87F54" w:rsidP="00B73FCA">
            <w:pPr>
              <w:jc w:val="center"/>
              <w:rPr>
                <w:sz w:val="20"/>
              </w:rPr>
            </w:pPr>
            <w:r w:rsidRPr="00FB1491">
              <w:rPr>
                <w:sz w:val="20"/>
              </w:rPr>
              <w:t>251 466</w:t>
            </w:r>
          </w:p>
        </w:tc>
      </w:tr>
      <w:tr w:rsidR="00C87F54" w:rsidRPr="00FB1491" w14:paraId="540FAA0C"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BF7AB8D"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Европейски либерален форум</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7D32DD" w14:textId="77777777" w:rsidR="00C87F54" w:rsidRPr="00FB1491" w:rsidRDefault="00C87F54" w:rsidP="00B73FCA">
            <w:pPr>
              <w:jc w:val="center"/>
              <w:rPr>
                <w:sz w:val="20"/>
              </w:rPr>
            </w:pPr>
            <w:r w:rsidRPr="00FB1491">
              <w:rPr>
                <w:sz w:val="20"/>
              </w:rPr>
              <w:t>ЕЛФ</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151EAE" w14:textId="77777777" w:rsidR="00C87F54" w:rsidRPr="00FB1491" w:rsidRDefault="00C87F54" w:rsidP="00B73FCA">
            <w:pPr>
              <w:jc w:val="center"/>
              <w:rPr>
                <w:sz w:val="20"/>
              </w:rPr>
            </w:pPr>
            <w:r w:rsidRPr="00FB1491">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46BD3F" w14:textId="77777777" w:rsidR="00C87F54" w:rsidRPr="00FB1491" w:rsidRDefault="00C87F54" w:rsidP="00B73FCA">
            <w:pPr>
              <w:jc w:val="center"/>
              <w:rPr>
                <w:sz w:val="20"/>
              </w:rPr>
            </w:pPr>
            <w:r w:rsidRPr="00FB1491">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D6F106" w14:textId="77777777" w:rsidR="00C87F54" w:rsidRPr="00FB1491" w:rsidRDefault="00C87F54" w:rsidP="00B73FCA">
            <w:pPr>
              <w:jc w:val="center"/>
              <w:rPr>
                <w:sz w:val="20"/>
              </w:rPr>
            </w:pPr>
            <w:r w:rsidRPr="00FB1491">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EE97CE6" w14:textId="77777777" w:rsidR="00C87F54" w:rsidRPr="00FB1491" w:rsidRDefault="00C87F54" w:rsidP="00B73FCA">
            <w:pPr>
              <w:jc w:val="center"/>
              <w:rPr>
                <w:sz w:val="20"/>
              </w:rPr>
            </w:pPr>
            <w:r w:rsidRPr="00FB1491">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695800" w14:textId="77777777" w:rsidR="00C87F54" w:rsidRPr="00FB1491" w:rsidRDefault="00C87F54" w:rsidP="00B73FCA">
            <w:pPr>
              <w:jc w:val="center"/>
              <w:rPr>
                <w:sz w:val="20"/>
              </w:rPr>
            </w:pPr>
            <w:r w:rsidRPr="00FB1491">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A61C6AD" w14:textId="77777777" w:rsidR="00C87F54" w:rsidRPr="00FB1491" w:rsidRDefault="00C87F54" w:rsidP="00B73FCA">
            <w:pPr>
              <w:jc w:val="center"/>
              <w:rPr>
                <w:sz w:val="20"/>
              </w:rPr>
            </w:pPr>
            <w:r w:rsidRPr="00FB1491">
              <w:rPr>
                <w:sz w:val="20"/>
              </w:rPr>
              <w:t>638 880</w:t>
            </w:r>
          </w:p>
        </w:tc>
      </w:tr>
      <w:tr w:rsidR="00C87F54" w:rsidRPr="00FB1491" w14:paraId="7CF4136E"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7FB67F8"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Зелена европейск</w:t>
            </w:r>
            <w:r w:rsidRPr="00FB1491">
              <w:lastRenderedPageBreak/>
              <w:t>а фондация</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D09E97" w14:textId="77777777" w:rsidR="00C87F54" w:rsidRPr="00FB1491" w:rsidRDefault="00C87F54" w:rsidP="00B73FCA">
            <w:pPr>
              <w:jc w:val="center"/>
              <w:rPr>
                <w:sz w:val="20"/>
              </w:rPr>
            </w:pPr>
            <w:r w:rsidRPr="00FB1491">
              <w:rPr>
                <w:sz w:val="20"/>
              </w:rPr>
              <w:lastRenderedPageBreak/>
              <w:t>ЗЕФ</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60C653" w14:textId="77777777" w:rsidR="00C87F54" w:rsidRPr="00FB1491" w:rsidRDefault="00C87F54" w:rsidP="00B73FCA">
            <w:pPr>
              <w:jc w:val="center"/>
              <w:rPr>
                <w:sz w:val="20"/>
              </w:rPr>
            </w:pPr>
            <w:r w:rsidRPr="00FB1491">
              <w:rPr>
                <w:sz w:val="20"/>
              </w:rPr>
              <w:t>ЕЗП</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A50BDC" w14:textId="77777777" w:rsidR="00C87F54" w:rsidRPr="00FB1491" w:rsidRDefault="00C87F54" w:rsidP="00B73FCA">
            <w:pPr>
              <w:jc w:val="center"/>
              <w:rPr>
                <w:sz w:val="20"/>
              </w:rPr>
            </w:pPr>
            <w:r w:rsidRPr="00FB1491">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C4E01E" w14:textId="77777777" w:rsidR="00C87F54" w:rsidRPr="00FB1491" w:rsidRDefault="00C87F54" w:rsidP="00B73FCA">
            <w:pPr>
              <w:jc w:val="center"/>
              <w:rPr>
                <w:sz w:val="20"/>
              </w:rPr>
            </w:pPr>
            <w:r w:rsidRPr="00FB1491">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D6E001" w14:textId="77777777" w:rsidR="00C87F54" w:rsidRPr="00FB1491" w:rsidRDefault="00C87F54" w:rsidP="00B73FCA">
            <w:pPr>
              <w:jc w:val="center"/>
              <w:rPr>
                <w:sz w:val="20"/>
              </w:rPr>
            </w:pPr>
            <w:r w:rsidRPr="00FB1491">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25C38A4" w14:textId="77777777" w:rsidR="00C87F54" w:rsidRPr="00FB1491" w:rsidRDefault="00C87F54" w:rsidP="00B73FCA">
            <w:pPr>
              <w:jc w:val="center"/>
              <w:rPr>
                <w:sz w:val="20"/>
              </w:rPr>
            </w:pPr>
            <w:r w:rsidRPr="00FB149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6F5C0D8" w14:textId="77777777" w:rsidR="00C87F54" w:rsidRPr="00FB1491" w:rsidRDefault="00C87F54" w:rsidP="00B73FCA">
            <w:pPr>
              <w:jc w:val="center"/>
              <w:rPr>
                <w:sz w:val="20"/>
              </w:rPr>
            </w:pPr>
            <w:r w:rsidRPr="00FB1491">
              <w:rPr>
                <w:sz w:val="20"/>
              </w:rPr>
              <w:t>40 821</w:t>
            </w:r>
          </w:p>
        </w:tc>
      </w:tr>
      <w:tr w:rsidR="00C87F54" w:rsidRPr="00FB1491" w14:paraId="2D68093E"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A9A518E"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Нов курс — Фондация за европейска реформа</w:t>
            </w:r>
            <w:r w:rsidRPr="00FB1491">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D379252" w14:textId="77777777" w:rsidR="00C87F54" w:rsidRPr="00FB1491" w:rsidRDefault="00C87F54" w:rsidP="00B73FCA">
            <w:pPr>
              <w:jc w:val="center"/>
              <w:rPr>
                <w:sz w:val="20"/>
              </w:rPr>
            </w:pPr>
            <w:r w:rsidRPr="00FB1491">
              <w:rPr>
                <w:sz w:val="20"/>
              </w:rPr>
              <w:t xml:space="preserve">Нов курс </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F5368B" w14:textId="77777777" w:rsidR="00C87F54" w:rsidRPr="00FB1491" w:rsidRDefault="00C87F54" w:rsidP="00B73FCA">
            <w:pPr>
              <w:jc w:val="center"/>
              <w:rPr>
                <w:sz w:val="20"/>
              </w:rPr>
            </w:pPr>
            <w:r w:rsidRPr="00FB1491">
              <w:rPr>
                <w:sz w:val="20"/>
              </w:rPr>
              <w:t>Партия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3A5BC5" w14:textId="77777777" w:rsidR="00C87F54" w:rsidRPr="00FB1491" w:rsidRDefault="00C87F54" w:rsidP="00B73FCA">
            <w:pPr>
              <w:jc w:val="center"/>
              <w:rPr>
                <w:sz w:val="20"/>
              </w:rPr>
            </w:pPr>
            <w:r w:rsidRPr="00FB1491">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DF7645" w14:textId="77777777" w:rsidR="00C87F54" w:rsidRPr="00FB1491" w:rsidRDefault="00C87F54" w:rsidP="00B73FCA">
            <w:pPr>
              <w:jc w:val="center"/>
              <w:rPr>
                <w:sz w:val="20"/>
              </w:rPr>
            </w:pPr>
            <w:r w:rsidRPr="00FB1491">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9C92FE0" w14:textId="77777777" w:rsidR="00C87F54" w:rsidRPr="00FB1491" w:rsidRDefault="00C87F54" w:rsidP="00B73FCA">
            <w:pPr>
              <w:jc w:val="center"/>
              <w:rPr>
                <w:sz w:val="20"/>
              </w:rPr>
            </w:pPr>
            <w:r w:rsidRPr="00FB1491">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63E7320" w14:textId="77777777" w:rsidR="00C87F54" w:rsidRPr="00FB1491" w:rsidRDefault="00C87F54" w:rsidP="00B73FCA">
            <w:pPr>
              <w:jc w:val="center"/>
              <w:rPr>
                <w:sz w:val="20"/>
              </w:rPr>
            </w:pPr>
            <w:r w:rsidRPr="00FB149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4D368CB" w14:textId="77777777" w:rsidR="00C87F54" w:rsidRPr="00FB1491" w:rsidRDefault="00C87F54" w:rsidP="00B73FCA">
            <w:pPr>
              <w:jc w:val="center"/>
              <w:rPr>
                <w:sz w:val="20"/>
              </w:rPr>
            </w:pPr>
            <w:r w:rsidRPr="00FB1491">
              <w:rPr>
                <w:sz w:val="20"/>
              </w:rPr>
              <w:t>134 704</w:t>
            </w:r>
          </w:p>
        </w:tc>
      </w:tr>
      <w:tr w:rsidR="00C87F54" w:rsidRPr="00FB1491" w14:paraId="34C48ADD"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B374CAB"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Фондация „Идентичност и демокрация“</w:t>
            </w:r>
            <w:r w:rsidRPr="00FB1491">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84F7FD" w14:textId="77777777" w:rsidR="00C87F54" w:rsidRPr="00FB1491" w:rsidRDefault="00C87F54" w:rsidP="00B73FCA">
            <w:pPr>
              <w:jc w:val="center"/>
              <w:rPr>
                <w:sz w:val="20"/>
              </w:rPr>
            </w:pPr>
            <w:r w:rsidRPr="00FB1491">
              <w:rPr>
                <w:sz w:val="20"/>
              </w:rPr>
              <w:t>Фондация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2A83C4" w14:textId="77777777" w:rsidR="00C87F54" w:rsidRPr="00FB1491" w:rsidRDefault="00C87F54" w:rsidP="00B73FCA">
            <w:pPr>
              <w:jc w:val="center"/>
              <w:rPr>
                <w:sz w:val="20"/>
              </w:rPr>
            </w:pPr>
            <w:r w:rsidRPr="00FB1491">
              <w:rPr>
                <w:sz w:val="20"/>
              </w:rPr>
              <w:t>Партия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0DF4C2" w14:textId="77777777" w:rsidR="00C87F54" w:rsidRPr="00FB1491" w:rsidRDefault="00C87F54" w:rsidP="00B73FCA">
            <w:pPr>
              <w:jc w:val="center"/>
              <w:rPr>
                <w:sz w:val="20"/>
              </w:rPr>
            </w:pPr>
            <w:r w:rsidRPr="00FB1491">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738860" w14:textId="77777777" w:rsidR="00C87F54" w:rsidRPr="00FB1491" w:rsidRDefault="00C87F54" w:rsidP="00B73FCA">
            <w:pPr>
              <w:jc w:val="center"/>
              <w:rPr>
                <w:sz w:val="20"/>
              </w:rPr>
            </w:pPr>
            <w:r w:rsidRPr="00FB1491">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4392CE" w14:textId="77777777" w:rsidR="00C87F54" w:rsidRPr="00FB1491" w:rsidRDefault="00C87F54" w:rsidP="00B73FCA">
            <w:pPr>
              <w:jc w:val="center"/>
              <w:rPr>
                <w:sz w:val="20"/>
              </w:rPr>
            </w:pPr>
            <w:r w:rsidRPr="00FB1491">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63D10F" w14:textId="77777777" w:rsidR="00C87F54" w:rsidRPr="00FB1491" w:rsidRDefault="00C87F54" w:rsidP="00B73FCA">
            <w:pPr>
              <w:jc w:val="center"/>
              <w:rPr>
                <w:sz w:val="20"/>
              </w:rPr>
            </w:pPr>
            <w:r w:rsidRPr="00FB149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9581FB1" w14:textId="77777777" w:rsidR="00C87F54" w:rsidRPr="00FB1491" w:rsidRDefault="00C87F54" w:rsidP="00B73FCA">
            <w:pPr>
              <w:jc w:val="center"/>
              <w:rPr>
                <w:sz w:val="20"/>
              </w:rPr>
            </w:pPr>
            <w:r w:rsidRPr="00FB1491">
              <w:rPr>
                <w:sz w:val="20"/>
              </w:rPr>
              <w:t>-62 575</w:t>
            </w:r>
          </w:p>
        </w:tc>
      </w:tr>
      <w:tr w:rsidR="00C87F54" w:rsidRPr="00FB1491" w14:paraId="09FE2729"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31017A6" w14:textId="77777777" w:rsidR="00C87F54" w:rsidRPr="00FB1491" w:rsidRDefault="00C87F54" w:rsidP="00B73FCA">
            <w:pPr>
              <w:widowControl/>
              <w:jc w:val="center"/>
              <w:rPr>
                <w:sz w:val="20"/>
                <w14:textOutline w14:w="0" w14:cap="flat" w14:cmpd="sng" w14:algn="ctr">
                  <w14:noFill/>
                  <w14:prstDash w14:val="solid"/>
                  <w14:bevel/>
                </w14:textOutline>
              </w:rPr>
            </w:pPr>
            <w:proofErr w:type="spellStart"/>
            <w:r w:rsidRPr="00FB1491">
              <w:t>Трансформ</w:t>
            </w:r>
            <w:proofErr w:type="spellEnd"/>
            <w:r w:rsidRPr="00FB1491">
              <w:t xml:space="preserve"> Европа</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683390" w14:textId="77777777" w:rsidR="00C87F54" w:rsidRPr="00FB1491" w:rsidRDefault="00C87F54" w:rsidP="00B73FCA">
            <w:pPr>
              <w:jc w:val="center"/>
              <w:rPr>
                <w:sz w:val="20"/>
              </w:rPr>
            </w:pPr>
            <w:r w:rsidRPr="00FB1491">
              <w:rPr>
                <w:sz w:val="20"/>
              </w:rPr>
              <w:t>ТЕ</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8F09AE" w14:textId="77777777" w:rsidR="00C87F54" w:rsidRPr="00FB1491" w:rsidRDefault="00C87F54" w:rsidP="00B73FCA">
            <w:pPr>
              <w:jc w:val="center"/>
              <w:rPr>
                <w:sz w:val="20"/>
              </w:rPr>
            </w:pPr>
            <w:r w:rsidRPr="00FB1491">
              <w:rPr>
                <w:sz w:val="20"/>
              </w:rPr>
              <w:t>Европейска левица</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734768" w14:textId="77777777" w:rsidR="00C87F54" w:rsidRPr="00FB1491" w:rsidRDefault="00C87F54" w:rsidP="00B73FCA">
            <w:pPr>
              <w:jc w:val="center"/>
              <w:rPr>
                <w:sz w:val="20"/>
              </w:rPr>
            </w:pPr>
            <w:r w:rsidRPr="00FB1491">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2872989" w14:textId="77777777" w:rsidR="00C87F54" w:rsidRPr="00FB1491" w:rsidRDefault="00C87F54" w:rsidP="00B73FCA">
            <w:pPr>
              <w:jc w:val="center"/>
              <w:rPr>
                <w:sz w:val="20"/>
              </w:rPr>
            </w:pPr>
            <w:r w:rsidRPr="00FB1491">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65154EB" w14:textId="77777777" w:rsidR="00C87F54" w:rsidRPr="00FB1491" w:rsidRDefault="00C87F54" w:rsidP="00B73FCA">
            <w:pPr>
              <w:jc w:val="center"/>
              <w:rPr>
                <w:sz w:val="20"/>
              </w:rPr>
            </w:pPr>
            <w:r w:rsidRPr="00FB1491">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33A7CB" w14:textId="77777777" w:rsidR="00C87F54" w:rsidRPr="00FB1491" w:rsidRDefault="00C87F54" w:rsidP="00B73FCA">
            <w:pPr>
              <w:jc w:val="center"/>
              <w:rPr>
                <w:sz w:val="20"/>
              </w:rPr>
            </w:pPr>
            <w:r w:rsidRPr="00FB1491">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DB8EA38" w14:textId="77777777" w:rsidR="00C87F54" w:rsidRPr="00FB1491" w:rsidRDefault="00C87F54" w:rsidP="00B73FCA">
            <w:pPr>
              <w:jc w:val="center"/>
              <w:rPr>
                <w:sz w:val="20"/>
              </w:rPr>
            </w:pPr>
            <w:r w:rsidRPr="00FB1491">
              <w:rPr>
                <w:sz w:val="20"/>
              </w:rPr>
              <w:t>69 496</w:t>
            </w:r>
          </w:p>
        </w:tc>
      </w:tr>
      <w:tr w:rsidR="00C87F54" w:rsidRPr="00FB1491" w14:paraId="24884BAD"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63107F0"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Институт на европейските демократи</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20A7D4B" w14:textId="77777777" w:rsidR="00C87F54" w:rsidRPr="00FB1491" w:rsidRDefault="00C87F54" w:rsidP="00B73FCA">
            <w:pPr>
              <w:jc w:val="center"/>
              <w:rPr>
                <w:sz w:val="20"/>
              </w:rPr>
            </w:pPr>
            <w:r w:rsidRPr="00FB1491">
              <w:rPr>
                <w:sz w:val="20"/>
              </w:rPr>
              <w:t>ИЕД</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7590DE" w14:textId="77777777" w:rsidR="00C87F54" w:rsidRPr="00FB1491" w:rsidRDefault="00C87F54" w:rsidP="00B73FCA">
            <w:pPr>
              <w:jc w:val="center"/>
              <w:rPr>
                <w:sz w:val="20"/>
              </w:rPr>
            </w:pPr>
            <w:r w:rsidRPr="00FB1491">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4380B1" w14:textId="77777777" w:rsidR="00C87F54" w:rsidRPr="00FB1491" w:rsidRDefault="00C87F54" w:rsidP="00B73FCA">
            <w:pPr>
              <w:jc w:val="center"/>
              <w:rPr>
                <w:sz w:val="20"/>
              </w:rPr>
            </w:pPr>
            <w:r w:rsidRPr="00FB1491">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AD03CE" w14:textId="77777777" w:rsidR="00C87F54" w:rsidRPr="00FB1491" w:rsidRDefault="00C87F54" w:rsidP="00B73FCA">
            <w:pPr>
              <w:jc w:val="center"/>
              <w:rPr>
                <w:sz w:val="20"/>
              </w:rPr>
            </w:pPr>
            <w:r w:rsidRPr="00FB1491">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477D943" w14:textId="77777777" w:rsidR="00C87F54" w:rsidRPr="00FB1491" w:rsidRDefault="00C87F54" w:rsidP="00B73FCA">
            <w:pPr>
              <w:jc w:val="center"/>
              <w:rPr>
                <w:sz w:val="20"/>
              </w:rPr>
            </w:pPr>
            <w:r w:rsidRPr="00FB1491">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D6E0F8" w14:textId="77777777" w:rsidR="00C87F54" w:rsidRPr="00FB1491" w:rsidRDefault="00C87F54" w:rsidP="00B73FCA">
            <w:pPr>
              <w:jc w:val="center"/>
              <w:rPr>
                <w:sz w:val="20"/>
              </w:rPr>
            </w:pPr>
            <w:r w:rsidRPr="00FB1491">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28146DD" w14:textId="77777777" w:rsidR="00C87F54" w:rsidRPr="00FB1491" w:rsidRDefault="00C87F54" w:rsidP="00B73FCA">
            <w:pPr>
              <w:jc w:val="center"/>
              <w:rPr>
                <w:sz w:val="20"/>
              </w:rPr>
            </w:pPr>
            <w:r w:rsidRPr="00FB1491">
              <w:rPr>
                <w:sz w:val="20"/>
              </w:rPr>
              <w:t>-113 763</w:t>
            </w:r>
          </w:p>
        </w:tc>
      </w:tr>
      <w:tr w:rsidR="00C87F54" w:rsidRPr="00FB1491" w14:paraId="730C8162"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BCBF8F4" w14:textId="77777777" w:rsidR="00C87F54" w:rsidRPr="00FB1491" w:rsidRDefault="00C87F54" w:rsidP="00B73FCA">
            <w:pPr>
              <w:widowControl/>
              <w:jc w:val="center"/>
              <w:rPr>
                <w:sz w:val="20"/>
                <w14:textOutline w14:w="0" w14:cap="flat" w14:cmpd="sng" w14:algn="ctr">
                  <w14:noFill/>
                  <w14:prstDash w14:val="solid"/>
                  <w14:bevel/>
                </w14:textOutline>
              </w:rPr>
            </w:pPr>
            <w:r w:rsidRPr="00FB1491">
              <w:t>Фондация „</w:t>
            </w:r>
            <w:proofErr w:type="spellStart"/>
            <w:r w:rsidRPr="00FB1491">
              <w:t>Копитерс</w:t>
            </w:r>
            <w:proofErr w:type="spellEnd"/>
            <w:r w:rsidRPr="00FB1491">
              <w:t>“</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1A5897" w14:textId="77777777" w:rsidR="00C87F54" w:rsidRPr="00FB1491" w:rsidRDefault="00C87F54" w:rsidP="00B73FCA">
            <w:pPr>
              <w:jc w:val="center"/>
              <w:rPr>
                <w:sz w:val="20"/>
              </w:rPr>
            </w:pPr>
            <w:r w:rsidRPr="00FB1491">
              <w:rPr>
                <w:sz w:val="20"/>
              </w:rPr>
              <w:t>„</w:t>
            </w:r>
            <w:proofErr w:type="spellStart"/>
            <w:r w:rsidRPr="00FB1491">
              <w:rPr>
                <w:sz w:val="20"/>
              </w:rPr>
              <w:t>Копитерс</w:t>
            </w:r>
            <w:proofErr w:type="spellEnd"/>
            <w:r w:rsidRPr="00FB1491">
              <w:rPr>
                <w:sz w:val="20"/>
              </w:rPr>
              <w:t>“</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C5A2A6" w14:textId="77777777" w:rsidR="00C87F54" w:rsidRPr="00FB1491" w:rsidRDefault="00C87F54" w:rsidP="00B73FCA">
            <w:pPr>
              <w:jc w:val="center"/>
              <w:rPr>
                <w:sz w:val="20"/>
              </w:rPr>
            </w:pPr>
            <w:r w:rsidRPr="00FB1491">
              <w:rPr>
                <w:sz w:val="20"/>
              </w:rPr>
              <w:t>ЕСА</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4FD95A5" w14:textId="77777777" w:rsidR="00C87F54" w:rsidRPr="00FB1491" w:rsidRDefault="00C87F54" w:rsidP="00B73FCA">
            <w:pPr>
              <w:jc w:val="center"/>
              <w:rPr>
                <w:sz w:val="20"/>
              </w:rPr>
            </w:pPr>
            <w:r w:rsidRPr="00FB1491">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629E88" w14:textId="77777777" w:rsidR="00C87F54" w:rsidRPr="00FB1491" w:rsidRDefault="00C87F54" w:rsidP="00B73FCA">
            <w:pPr>
              <w:jc w:val="center"/>
              <w:rPr>
                <w:sz w:val="20"/>
              </w:rPr>
            </w:pPr>
            <w:r w:rsidRPr="00FB1491">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6874BD" w14:textId="77777777" w:rsidR="00C87F54" w:rsidRPr="00FB1491" w:rsidRDefault="00C87F54" w:rsidP="00B73FCA">
            <w:pPr>
              <w:jc w:val="center"/>
              <w:rPr>
                <w:sz w:val="20"/>
              </w:rPr>
            </w:pPr>
            <w:r w:rsidRPr="00FB1491">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3534C61" w14:textId="77777777" w:rsidR="00C87F54" w:rsidRPr="00FB1491" w:rsidRDefault="00C87F54" w:rsidP="00B73FCA">
            <w:pPr>
              <w:jc w:val="center"/>
              <w:rPr>
                <w:sz w:val="20"/>
              </w:rPr>
            </w:pPr>
            <w:r w:rsidRPr="00FB1491">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DA5F749" w14:textId="77777777" w:rsidR="00C87F54" w:rsidRPr="00FB1491" w:rsidRDefault="00C87F54" w:rsidP="00B73FCA">
            <w:pPr>
              <w:jc w:val="center"/>
              <w:rPr>
                <w:sz w:val="20"/>
              </w:rPr>
            </w:pPr>
            <w:r w:rsidRPr="00FB1491">
              <w:rPr>
                <w:sz w:val="20"/>
              </w:rPr>
              <w:t>288 315</w:t>
            </w:r>
          </w:p>
        </w:tc>
      </w:tr>
      <w:tr w:rsidR="00C87F54" w:rsidRPr="00FB1491" w14:paraId="64EC6A52" w14:textId="77777777" w:rsidTr="00B73FCA">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1CC92F3" w14:textId="77777777" w:rsidR="00C87F54" w:rsidRPr="00FB1491" w:rsidRDefault="00C87F54" w:rsidP="00B73FCA">
            <w:pPr>
              <w:widowControl/>
              <w:jc w:val="center"/>
              <w:rPr>
                <w:sz w:val="20"/>
                <w14:textOutline w14:w="0" w14:cap="flat" w14:cmpd="sng" w14:algn="ctr">
                  <w14:noFill/>
                  <w14:prstDash w14:val="solid"/>
                  <w14:bevel/>
                </w14:textOutline>
              </w:rPr>
            </w:pPr>
            <w:proofErr w:type="spellStart"/>
            <w:r w:rsidRPr="00FB1491">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2E41FA" w14:textId="77777777" w:rsidR="00C87F54" w:rsidRPr="00FB1491" w:rsidRDefault="00C87F54" w:rsidP="00B73FCA">
            <w:pPr>
              <w:jc w:val="center"/>
              <w:rPr>
                <w:sz w:val="20"/>
              </w:rPr>
            </w:pPr>
            <w:r w:rsidRPr="00FB1491">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9A5FB85" w14:textId="77777777" w:rsidR="00C87F54" w:rsidRPr="00FB1491" w:rsidRDefault="00C87F54" w:rsidP="00B73FCA">
            <w:pPr>
              <w:jc w:val="center"/>
              <w:rPr>
                <w:sz w:val="20"/>
              </w:rPr>
            </w:pPr>
            <w:r w:rsidRPr="00FB1491">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AF0625" w14:textId="77777777" w:rsidR="00C87F54" w:rsidRPr="00FB1491" w:rsidRDefault="00C87F54" w:rsidP="00B73FCA">
            <w:pPr>
              <w:jc w:val="center"/>
              <w:rPr>
                <w:sz w:val="20"/>
              </w:rPr>
            </w:pPr>
            <w:r w:rsidRPr="00FB1491">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8B7157" w14:textId="77777777" w:rsidR="00C87F54" w:rsidRPr="00FB1491" w:rsidRDefault="00C87F54" w:rsidP="00B73FCA">
            <w:pPr>
              <w:jc w:val="center"/>
              <w:rPr>
                <w:sz w:val="20"/>
              </w:rPr>
            </w:pPr>
            <w:r w:rsidRPr="00FB1491">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87DD6A" w14:textId="77777777" w:rsidR="00C87F54" w:rsidRPr="00FB1491" w:rsidRDefault="00C87F54" w:rsidP="00B73FCA">
            <w:pPr>
              <w:jc w:val="center"/>
              <w:rPr>
                <w:sz w:val="20"/>
              </w:rPr>
            </w:pPr>
            <w:r w:rsidRPr="00FB1491">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F45F7EF" w14:textId="77777777" w:rsidR="00C87F54" w:rsidRPr="00FB1491" w:rsidRDefault="00C87F54" w:rsidP="00B73FCA">
            <w:pPr>
              <w:jc w:val="center"/>
              <w:rPr>
                <w:sz w:val="20"/>
              </w:rPr>
            </w:pPr>
            <w:r w:rsidRPr="00FB1491">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4A457027" w14:textId="77777777" w:rsidR="00C87F54" w:rsidRPr="00FB1491" w:rsidRDefault="00C87F54" w:rsidP="00B73FCA">
            <w:pPr>
              <w:jc w:val="center"/>
              <w:rPr>
                <w:sz w:val="20"/>
              </w:rPr>
            </w:pPr>
            <w:r w:rsidRPr="00FB1491">
              <w:rPr>
                <w:sz w:val="20"/>
              </w:rPr>
              <w:t>8 781</w:t>
            </w:r>
          </w:p>
        </w:tc>
      </w:tr>
      <w:tr w:rsidR="00C87F54" w:rsidRPr="00FB1491" w14:paraId="08EB58B4" w14:textId="77777777" w:rsidTr="00B73FCA">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CB7CA0B" w14:textId="77777777" w:rsidR="00C87F54" w:rsidRPr="00FB1491" w:rsidRDefault="00C87F54" w:rsidP="00B73FCA">
            <w:pPr>
              <w:jc w:val="center"/>
              <w:rPr>
                <w:b/>
                <w:bCs/>
                <w:sz w:val="20"/>
                <w14:textOutline w14:w="0" w14:cap="flat" w14:cmpd="sng" w14:algn="ctr">
                  <w14:noFill/>
                  <w14:prstDash w14:val="solid"/>
                  <w14:bevel/>
                </w14:textOutline>
              </w:rPr>
            </w:pPr>
            <w:r w:rsidRPr="00FB1491">
              <w:rPr>
                <w:b/>
                <w:sz w:val="20"/>
                <w14:textOutline w14:w="0" w14:cap="flat" w14:cmpd="sng" w14:algn="ctr">
                  <w14:noFill/>
                  <w14:prstDash w14:val="solid"/>
                  <w14:bevel/>
                </w14:textOutline>
              </w:rPr>
              <w:t>ОБЩО</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1CEE450" w14:textId="77777777" w:rsidR="00C87F54" w:rsidRPr="00FB1491" w:rsidRDefault="00C87F54" w:rsidP="00B73FCA">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9197C25" w14:textId="77777777" w:rsidR="00C87F54" w:rsidRPr="00FB1491" w:rsidRDefault="00C87F54" w:rsidP="00B73FCA">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71BC8249" w14:textId="77777777" w:rsidR="00C87F54" w:rsidRPr="00FB1491" w:rsidRDefault="00C87F54" w:rsidP="00B73FCA">
            <w:pPr>
              <w:jc w:val="center"/>
              <w:rPr>
                <w:b/>
                <w:bCs/>
                <w:sz w:val="20"/>
              </w:rPr>
            </w:pPr>
            <w:r w:rsidRPr="00FB1491">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7DF2B78" w14:textId="77777777" w:rsidR="00C87F54" w:rsidRPr="00FB1491" w:rsidRDefault="00C87F54" w:rsidP="00B73FCA">
            <w:pPr>
              <w:jc w:val="center"/>
              <w:rPr>
                <w:b/>
                <w:bCs/>
                <w:sz w:val="20"/>
              </w:rPr>
            </w:pPr>
            <w:r w:rsidRPr="00FB1491">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7938BA8" w14:textId="77777777" w:rsidR="00C87F54" w:rsidRPr="00FB1491" w:rsidRDefault="00C87F54" w:rsidP="00B73FCA">
            <w:pPr>
              <w:jc w:val="center"/>
              <w:rPr>
                <w:b/>
                <w:bCs/>
                <w:sz w:val="20"/>
              </w:rPr>
            </w:pPr>
            <w:r w:rsidRPr="00FB1491">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261AFE7" w14:textId="77777777" w:rsidR="00C87F54" w:rsidRPr="00FB1491" w:rsidRDefault="00C87F54" w:rsidP="00B73FCA">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28A62522" w14:textId="77777777" w:rsidR="00C87F54" w:rsidRPr="00FB1491" w:rsidRDefault="00C87F54" w:rsidP="00B73FCA">
            <w:pPr>
              <w:jc w:val="center"/>
              <w:rPr>
                <w:b/>
                <w:bCs/>
                <w:sz w:val="20"/>
              </w:rPr>
            </w:pPr>
            <w:r w:rsidRPr="00FB1491">
              <w:rPr>
                <w:b/>
                <w:sz w:val="20"/>
              </w:rPr>
              <w:t>2 576 842</w:t>
            </w:r>
          </w:p>
        </w:tc>
      </w:tr>
    </w:tbl>
    <w:p w14:paraId="12BA4878" w14:textId="166FCBF8" w:rsidR="00E365E1" w:rsidRPr="00FB1491" w:rsidRDefault="00E365E1" w:rsidP="005728E5"/>
    <w:sectPr w:rsidR="00E365E1" w:rsidRPr="00FB1491" w:rsidSect="00FB149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6A699" w14:textId="77777777" w:rsidR="005728E5" w:rsidRPr="00FB1491" w:rsidRDefault="005728E5">
      <w:r w:rsidRPr="00FB1491">
        <w:separator/>
      </w:r>
    </w:p>
  </w:endnote>
  <w:endnote w:type="continuationSeparator" w:id="0">
    <w:p w14:paraId="7E66D382" w14:textId="77777777" w:rsidR="005728E5" w:rsidRPr="00FB1491" w:rsidRDefault="005728E5">
      <w:r w:rsidRPr="00FB14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4258" w14:textId="77777777" w:rsidR="00C87F54" w:rsidRPr="00FB1491" w:rsidRDefault="00C87F54" w:rsidP="004F2F85">
    <w:pPr>
      <w:pStyle w:val="EPFooter"/>
    </w:pPr>
    <w:r w:rsidRPr="00FB1491">
      <w:t>PE</w:t>
    </w:r>
    <w:r w:rsidRPr="00FB1491">
      <w:rPr>
        <w:rStyle w:val="HideTWBExt"/>
      </w:rPr>
      <w:t>&lt;NoPE&gt;</w:t>
    </w:r>
    <w:r w:rsidRPr="00FB1491">
      <w:t>776.734</w:t>
    </w:r>
    <w:r w:rsidRPr="00FB1491">
      <w:rPr>
        <w:rStyle w:val="HideTWBExt"/>
      </w:rPr>
      <w:t>&lt;/NoPE&gt;&lt;Version&gt;</w:t>
    </w:r>
    <w:r w:rsidRPr="00FB1491">
      <w:t>v02-00</w:t>
    </w:r>
    <w:r w:rsidRPr="00FB1491">
      <w:rPr>
        <w:rStyle w:val="HideTWBExt"/>
      </w:rPr>
      <w:t>&lt;/Version&gt;</w:t>
    </w:r>
    <w:r w:rsidRPr="00FB1491">
      <w:tab/>
    </w:r>
    <w:r w:rsidRPr="00FB1491">
      <w:fldChar w:fldCharType="begin"/>
    </w:r>
    <w:r w:rsidRPr="00FB1491">
      <w:instrText xml:space="preserve"> PAGE  \* MERGEFORMAT </w:instrText>
    </w:r>
    <w:r w:rsidRPr="00FB1491">
      <w:fldChar w:fldCharType="separate"/>
    </w:r>
    <w:r w:rsidRPr="00FB1491">
      <w:rPr>
        <w:noProof/>
      </w:rPr>
      <w:t>1</w:t>
    </w:r>
    <w:r w:rsidRPr="00FB1491">
      <w:fldChar w:fldCharType="end"/>
    </w:r>
    <w:r w:rsidRPr="00FB1491">
      <w:t>/</w:t>
    </w:r>
    <w:fldSimple w:instr=" NUMPAGES  \* MERGEFORMAT ">
      <w:r w:rsidRPr="00FB1491">
        <w:rPr>
          <w:noProof/>
        </w:rPr>
        <w:t>1</w:t>
      </w:r>
    </w:fldSimple>
    <w:r w:rsidRPr="00FB1491">
      <w:tab/>
    </w:r>
    <w:r w:rsidRPr="00FB1491">
      <w:rPr>
        <w:rStyle w:val="HideTWBExt"/>
      </w:rPr>
      <w:t>&lt;PathFdR&gt;</w:t>
    </w:r>
    <w:r w:rsidRPr="00FB1491">
      <w:t>RR\1340476BG.docx</w:t>
    </w:r>
    <w:r w:rsidRPr="00FB1491">
      <w:rPr>
        <w:rStyle w:val="HideTWBExt"/>
      </w:rPr>
      <w:t>&lt;/PathFdR&gt;</w:t>
    </w:r>
  </w:p>
  <w:p w14:paraId="50A22141" w14:textId="77777777" w:rsidR="00C87F54" w:rsidRPr="00FB1491" w:rsidRDefault="00C87F54" w:rsidP="004F2F85">
    <w:pPr>
      <w:pStyle w:val="EPFooter2"/>
    </w:pPr>
    <w:r w:rsidRPr="00FB1491">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D41B" w14:textId="77777777" w:rsidR="00C87F54" w:rsidRPr="00FB1491" w:rsidRDefault="00C87F54" w:rsidP="004F2F85">
    <w:pPr>
      <w:pStyle w:val="EPFooter"/>
    </w:pPr>
    <w:r w:rsidRPr="00FB1491">
      <w:rPr>
        <w:rStyle w:val="HideTWBExt"/>
      </w:rPr>
      <w:t>&lt;PathFdR&gt;</w:t>
    </w:r>
    <w:r w:rsidRPr="00FB1491">
      <w:t>RR\1340476BG.docx</w:t>
    </w:r>
    <w:r w:rsidRPr="00FB1491">
      <w:rPr>
        <w:rStyle w:val="HideTWBExt"/>
      </w:rPr>
      <w:t>&lt;/PathFdR&gt;</w:t>
    </w:r>
    <w:r w:rsidRPr="00FB1491">
      <w:tab/>
    </w:r>
    <w:r w:rsidRPr="00FB1491">
      <w:tab/>
      <w:t>PE</w:t>
    </w:r>
    <w:r w:rsidRPr="00FB1491">
      <w:rPr>
        <w:rStyle w:val="HideTWBExt"/>
      </w:rPr>
      <w:t>&lt;NoPE&gt;</w:t>
    </w:r>
    <w:r w:rsidRPr="00FB1491">
      <w:t>776.734</w:t>
    </w:r>
    <w:r w:rsidRPr="00FB1491">
      <w:rPr>
        <w:rStyle w:val="HideTWBExt"/>
      </w:rPr>
      <w:t>&lt;/NoPE&gt;&lt;Version&gt;</w:t>
    </w:r>
    <w:r w:rsidRPr="00FB1491">
      <w:t>v02-00</w:t>
    </w:r>
    <w:r w:rsidRPr="00FB1491">
      <w:rPr>
        <w:rStyle w:val="HideTWBExt"/>
      </w:rPr>
      <w:t>&lt;/Version&gt;</w:t>
    </w:r>
  </w:p>
  <w:p w14:paraId="3926F556" w14:textId="77777777" w:rsidR="00C87F54" w:rsidRPr="00FB1491" w:rsidRDefault="00C87F54" w:rsidP="004F2F85">
    <w:pPr>
      <w:pStyle w:val="EPFooter2"/>
    </w:pPr>
    <w:r w:rsidRPr="00FB1491">
      <w:t>BG</w:t>
    </w:r>
    <w:r w:rsidRPr="00FB1491">
      <w:tab/>
    </w:r>
    <w:r w:rsidRPr="00FB1491">
      <w:rPr>
        <w:b w:val="0"/>
        <w:i/>
        <w:color w:val="C0C0C0"/>
        <w:sz w:val="22"/>
      </w:rPr>
      <w:t>Единство в многообразието</w:t>
    </w:r>
    <w:r w:rsidRPr="00FB1491">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B787" w14:textId="77777777" w:rsidR="00064002" w:rsidRPr="00FB149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6ABC" w14:textId="77777777" w:rsidR="00064002" w:rsidRPr="00FB149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75F24" w14:textId="77777777" w:rsidR="00064002" w:rsidRPr="00FB14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2B54B" w14:textId="77777777" w:rsidR="005728E5" w:rsidRPr="00FB1491" w:rsidRDefault="005728E5">
      <w:r w:rsidRPr="00FB1491">
        <w:separator/>
      </w:r>
    </w:p>
  </w:footnote>
  <w:footnote w:type="continuationSeparator" w:id="0">
    <w:p w14:paraId="0E23AC99" w14:textId="77777777" w:rsidR="005728E5" w:rsidRPr="00FB1491" w:rsidRDefault="005728E5">
      <w:r w:rsidRPr="00FB1491">
        <w:continuationSeparator/>
      </w:r>
    </w:p>
  </w:footnote>
  <w:footnote w:id="1">
    <w:p w14:paraId="27EB972C" w14:textId="54A0BD3F"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OВ L</w:t>
      </w:r>
      <w:r w:rsidR="00A63F5F">
        <w:rPr>
          <w:sz w:val="24"/>
          <w:lang w:val="en-GB"/>
        </w:rPr>
        <w:t>,</w:t>
      </w:r>
      <w:r w:rsidRPr="00FB1491">
        <w:rPr>
          <w:sz w:val="24"/>
          <w:lang w:val="bg-BG"/>
        </w:rPr>
        <w:t> </w:t>
      </w:r>
      <w:r w:rsidR="00A63F5F">
        <w:rPr>
          <w:sz w:val="24"/>
          <w:lang w:val="en-GB"/>
        </w:rPr>
        <w:t>2024/</w:t>
      </w:r>
      <w:r w:rsidRPr="00FB1491">
        <w:rPr>
          <w:sz w:val="24"/>
          <w:lang w:val="bg-BG"/>
        </w:rPr>
        <w:t xml:space="preserve">207, 22.2.2024 г., ELI: </w:t>
      </w:r>
      <w:hyperlink r:id="rId1" w:history="1">
        <w:r w:rsidRPr="00FB1491">
          <w:rPr>
            <w:rStyle w:val="Hyperlink"/>
            <w:color w:val="0563C1"/>
            <w:sz w:val="24"/>
            <w:lang w:val="bg-BG"/>
          </w:rPr>
          <w:t>http://data.europa.eu/eli/budget/2024/207/oj</w:t>
        </w:r>
      </w:hyperlink>
      <w:r w:rsidRPr="00FB1491">
        <w:rPr>
          <w:sz w:val="24"/>
          <w:lang w:val="bg-BG"/>
        </w:rPr>
        <w:t>.</w:t>
      </w:r>
    </w:p>
  </w:footnote>
  <w:footnote w:id="2">
    <w:p w14:paraId="1413390C" w14:textId="3349FA81"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ОВ C, C/2025/4944, 13.10.202</w:t>
      </w:r>
      <w:r w:rsidR="008C7F86">
        <w:rPr>
          <w:sz w:val="24"/>
          <w:lang w:val="bg-BG"/>
        </w:rPr>
        <w:t>5</w:t>
      </w:r>
      <w:r w:rsidRPr="00FB1491">
        <w:rPr>
          <w:sz w:val="24"/>
          <w:lang w:val="bg-BG"/>
        </w:rPr>
        <w:t xml:space="preserve"> г., ELI: </w:t>
      </w:r>
      <w:hyperlink r:id="rId2" w:history="1">
        <w:r w:rsidRPr="00FB1491">
          <w:rPr>
            <w:rStyle w:val="Hyperlink"/>
            <w:sz w:val="24"/>
            <w:lang w:val="bg-BG"/>
          </w:rPr>
          <w:t>http://data.europa.eu/eli/C/2025/4944/oj</w:t>
        </w:r>
      </w:hyperlink>
      <w:r w:rsidRPr="00FB1491">
        <w:rPr>
          <w:sz w:val="24"/>
          <w:lang w:val="bg-BG"/>
        </w:rPr>
        <w:t xml:space="preserve">. </w:t>
      </w:r>
    </w:p>
  </w:footnote>
  <w:footnote w:id="3">
    <w:p w14:paraId="40802E77" w14:textId="018F422E"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ОВ C, C/2025/2817, 6.6.2025 г., ELI: </w:t>
      </w:r>
      <w:hyperlink r:id="rId3" w:history="1">
        <w:r w:rsidRPr="00FB1491">
          <w:rPr>
            <w:rStyle w:val="Hyperlink"/>
            <w:sz w:val="24"/>
            <w:lang w:val="bg-BG"/>
          </w:rPr>
          <w:t>http://data.europa.eu/eli/C/2025/2817/oj</w:t>
        </w:r>
      </w:hyperlink>
      <w:r w:rsidRPr="00FB1491">
        <w:rPr>
          <w:sz w:val="24"/>
          <w:lang w:val="bg-BG"/>
        </w:rPr>
        <w:t>.</w:t>
      </w:r>
    </w:p>
  </w:footnote>
  <w:footnote w:id="4">
    <w:p w14:paraId="10837269" w14:textId="12594B3F"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ОВ C, C/2025/5409, 8.10.2025 г., ELI: </w:t>
      </w:r>
      <w:hyperlink r:id="rId4" w:history="1">
        <w:r w:rsidRPr="00FB1491">
          <w:rPr>
            <w:rStyle w:val="Hyperlink"/>
            <w:sz w:val="24"/>
            <w:lang w:val="bg-BG"/>
          </w:rPr>
          <w:t>http://data.europa.eu/eli/C/2025/5409/oj</w:t>
        </w:r>
      </w:hyperlink>
      <w:r w:rsidRPr="00FB1491">
        <w:rPr>
          <w:sz w:val="24"/>
          <w:lang w:val="bg-BG"/>
        </w:rPr>
        <w:t>.</w:t>
      </w:r>
    </w:p>
  </w:footnote>
  <w:footnote w:id="5">
    <w:p w14:paraId="1DC8DE31" w14:textId="06D02340"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ОВ C, C/2025/5407, 13.10.2025 г., ELI: </w:t>
      </w:r>
      <w:hyperlink r:id="rId5" w:history="1">
        <w:r w:rsidRPr="00FB1491">
          <w:rPr>
            <w:rStyle w:val="Hyperlink"/>
            <w:sz w:val="24"/>
            <w:lang w:val="bg-BG"/>
          </w:rPr>
          <w:t>http://data.europa.eu/eli/C/2025/5407/oj</w:t>
        </w:r>
      </w:hyperlink>
      <w:r w:rsidRPr="00FB1491">
        <w:rPr>
          <w:sz w:val="24"/>
          <w:lang w:val="bg-BG"/>
        </w:rPr>
        <w:t xml:space="preserve">. </w:t>
      </w:r>
    </w:p>
  </w:footnote>
  <w:footnote w:id="6">
    <w:p w14:paraId="3E00D28C" w14:textId="63A235AB"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ОJ L 193, 30.7.2018 г., стр. 1, ELI: </w:t>
      </w:r>
      <w:hyperlink r:id="rId6" w:history="1">
        <w:r w:rsidRPr="00FB1491">
          <w:rPr>
            <w:rStyle w:val="Hyperlink"/>
            <w:sz w:val="24"/>
            <w:lang w:val="bg-BG"/>
          </w:rPr>
          <w:t>http://data.europa.eu/eli/reg/2018/1046/oj</w:t>
        </w:r>
      </w:hyperlink>
      <w:r w:rsidRPr="00FB1491">
        <w:rPr>
          <w:sz w:val="24"/>
          <w:lang w:val="bg-BG"/>
        </w:rPr>
        <w:t>.</w:t>
      </w:r>
    </w:p>
  </w:footnote>
  <w:footnote w:id="7">
    <w:p w14:paraId="409A090B" w14:textId="37F11AC2"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OВ L, 2024/2509, 26.9.2024 г., ELI: </w:t>
      </w:r>
      <w:hyperlink r:id="rId7" w:history="1">
        <w:r w:rsidRPr="00FB1491">
          <w:rPr>
            <w:rStyle w:val="Hyperlink"/>
            <w:sz w:val="24"/>
            <w:lang w:val="bg-BG"/>
          </w:rPr>
          <w:t>http://data.europa.eu/eli/reg/2024/2509/oj</w:t>
        </w:r>
      </w:hyperlink>
      <w:r w:rsidRPr="00FB1491">
        <w:rPr>
          <w:sz w:val="24"/>
          <w:lang w:val="bg-BG"/>
        </w:rPr>
        <w:t>.</w:t>
      </w:r>
    </w:p>
  </w:footnote>
  <w:footnote w:id="8">
    <w:p w14:paraId="7059D012" w14:textId="05F4CE6D"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Регламент (ЕС, Евратом) 2020/2093 на Съвета от 17 декември 2020 г. за определяне на многогодишната финансова рамка за годините 2021 – 2027 (ОВ L 433 I, 22.12.2020 г., стр. 11, </w:t>
      </w:r>
      <w:r w:rsidRPr="00FB1491">
        <w:rPr>
          <w:color w:val="333333"/>
          <w:sz w:val="24"/>
          <w:shd w:val="clear" w:color="auto" w:fill="FFFFFF"/>
          <w:lang w:val="bg-BG"/>
        </w:rPr>
        <w:t xml:space="preserve">ELI: </w:t>
      </w:r>
      <w:hyperlink r:id="rId8" w:history="1">
        <w:r w:rsidRPr="00FB1491">
          <w:rPr>
            <w:rStyle w:val="Hyperlink"/>
            <w:sz w:val="24"/>
            <w:shd w:val="clear" w:color="auto" w:fill="FFFFFF"/>
            <w:lang w:val="bg-BG"/>
          </w:rPr>
          <w:t>http://data.europa.eu/eli/reg/2020/2093/oj</w:t>
        </w:r>
      </w:hyperlink>
      <w:r w:rsidRPr="00FB1491">
        <w:rPr>
          <w:sz w:val="24"/>
          <w:lang w:val="bg-BG"/>
        </w:rPr>
        <w:t>).</w:t>
      </w:r>
    </w:p>
  </w:footnote>
  <w:footnote w:id="9">
    <w:p w14:paraId="40904404" w14:textId="3DB63720"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Регламент (ЕС, Евратом) 2023/2841 на Европейския парламент и на Съвета от 13 декември 2023 г. </w:t>
      </w:r>
      <w:r w:rsidRPr="00FB1491">
        <w:rPr>
          <w:sz w:val="24"/>
          <w:lang w:val="bg-BG"/>
        </w:rPr>
        <w:t>за определяне на мерки за високо общо ниво на киберсигурност в институциите, органите, службите и агенциите на Съюза (</w:t>
      </w:r>
      <w:r w:rsidR="008C7F86">
        <w:rPr>
          <w:sz w:val="24"/>
          <w:lang w:val="bg-BG"/>
        </w:rPr>
        <w:t>ОВ</w:t>
      </w:r>
      <w:r w:rsidRPr="00FB1491">
        <w:rPr>
          <w:sz w:val="24"/>
          <w:lang w:val="bg-BG"/>
        </w:rPr>
        <w:t xml:space="preserve"> L, 2023/2841, 18.12.2023</w:t>
      </w:r>
      <w:r w:rsidR="00F01B4A">
        <w:rPr>
          <w:sz w:val="24"/>
          <w:lang w:val="en-GB"/>
        </w:rPr>
        <w:t> </w:t>
      </w:r>
      <w:r w:rsidR="00F01B4A">
        <w:rPr>
          <w:sz w:val="24"/>
          <w:lang w:val="bg-BG"/>
        </w:rPr>
        <w:t>г.</w:t>
      </w:r>
      <w:r w:rsidRPr="00FB1491">
        <w:rPr>
          <w:sz w:val="24"/>
          <w:lang w:val="bg-BG"/>
        </w:rPr>
        <w:t xml:space="preserve">, ELI: </w:t>
      </w:r>
      <w:hyperlink r:id="rId9" w:history="1">
        <w:r w:rsidRPr="00FB1491">
          <w:rPr>
            <w:rStyle w:val="Hyperlink"/>
            <w:sz w:val="24"/>
            <w:lang w:val="bg-BG"/>
          </w:rPr>
          <w:t>http://data.europa.eu/eli/reg/2023/2841/oj</w:t>
        </w:r>
      </w:hyperlink>
      <w:r w:rsidRPr="00FB1491">
        <w:rPr>
          <w:sz w:val="24"/>
          <w:lang w:val="bg-BG"/>
        </w:rPr>
        <w:t>).</w:t>
      </w:r>
    </w:p>
  </w:footnote>
  <w:footnote w:id="10">
    <w:p w14:paraId="798E227E" w14:textId="3588EA96"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Регламент (ЕС) 2024/1689 на Европейския парламент и на Съвета от 13 юни 2024</w:t>
      </w:r>
      <w:r w:rsidR="0083140B">
        <w:rPr>
          <w:sz w:val="24"/>
          <w:lang w:val="bg-BG"/>
        </w:rPr>
        <w:t> </w:t>
      </w:r>
      <w:r w:rsidRPr="00FB1491">
        <w:rPr>
          <w:sz w:val="24"/>
          <w:lang w:val="bg-BG"/>
        </w:rPr>
        <w:t>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w:t>
      </w:r>
      <w:r w:rsidR="00F01B4A">
        <w:rPr>
          <w:sz w:val="24"/>
          <w:lang w:val="bg-BG"/>
        </w:rPr>
        <w:t> г.</w:t>
      </w:r>
      <w:r w:rsidRPr="00FB1491">
        <w:rPr>
          <w:sz w:val="24"/>
          <w:lang w:val="bg-BG"/>
        </w:rPr>
        <w:t xml:space="preserve">, ELI: </w:t>
      </w:r>
      <w:hyperlink r:id="rId10" w:history="1">
        <w:r w:rsidRPr="00FB1491">
          <w:rPr>
            <w:rStyle w:val="Hyperlink"/>
            <w:sz w:val="24"/>
            <w:lang w:val="bg-BG"/>
          </w:rPr>
          <w:t>http://data.europa.eu/eli/reg/2024/1689/oj</w:t>
        </w:r>
      </w:hyperlink>
      <w:r w:rsidRPr="00FB1491">
        <w:rPr>
          <w:sz w:val="24"/>
          <w:lang w:val="bg-BG"/>
        </w:rPr>
        <w:t>).</w:t>
      </w:r>
    </w:p>
  </w:footnote>
  <w:footnote w:id="11">
    <w:p w14:paraId="5CCE4232" w14:textId="085F1B85"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Решение на Бюрото на Европейския парламент от 12 юни 2023 г. за изменение на Мерките по прилагане на Устава на членовете на Европейския парламент (ОВ C 227, 29.6.2023 г., стр. 5).</w:t>
      </w:r>
    </w:p>
  </w:footnote>
  <w:footnote w:id="12">
    <w:p w14:paraId="6FCE4CE8" w14:textId="545F89CF"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Регламент (ЕС, Евратом) 2025/2445 на Европейския парламент и на Съвета от 26 ноември 2025 г. </w:t>
      </w:r>
      <w:r w:rsidRPr="00FB1491">
        <w:rPr>
          <w:sz w:val="24"/>
          <w:lang w:val="bg-BG"/>
        </w:rPr>
        <w:t>относно статута и финансирането на европейските политически партии и на европейските политически фондации (ОВ </w:t>
      </w:r>
      <w:r w:rsidRPr="00FB1491">
        <w:rPr>
          <w:sz w:val="24"/>
          <w:lang w:val="bg-BG"/>
        </w:rPr>
        <w:t>L</w:t>
      </w:r>
      <w:r w:rsidR="001F2178">
        <w:rPr>
          <w:sz w:val="24"/>
          <w:lang w:val="bg-BG"/>
        </w:rPr>
        <w:t>,</w:t>
      </w:r>
      <w:r w:rsidRPr="00FB1491">
        <w:rPr>
          <w:sz w:val="24"/>
          <w:lang w:val="bg-BG"/>
        </w:rPr>
        <w:t xml:space="preserve"> 2025/2445, 8.12.2025 г., ELI: </w:t>
      </w:r>
      <w:hyperlink r:id="rId11" w:history="1">
        <w:r w:rsidRPr="00FB1491">
          <w:rPr>
            <w:rStyle w:val="Hyperlink"/>
            <w:sz w:val="24"/>
            <w:lang w:val="bg-BG"/>
          </w:rPr>
          <w:t>http://data.europa.eu/eli/reg/20</w:t>
        </w:r>
        <w:r w:rsidRPr="00FB1491">
          <w:rPr>
            <w:rStyle w:val="Hyperlink"/>
            <w:sz w:val="24"/>
            <w:lang w:val="bg-BG"/>
          </w:rPr>
          <w:t>2</w:t>
        </w:r>
        <w:r w:rsidRPr="00FB1491">
          <w:rPr>
            <w:rStyle w:val="Hyperlink"/>
            <w:sz w:val="24"/>
            <w:lang w:val="bg-BG"/>
          </w:rPr>
          <w:t>5/2445/oj</w:t>
        </w:r>
      </w:hyperlink>
      <w:r w:rsidRPr="00FB1491">
        <w:rPr>
          <w:sz w:val="24"/>
          <w:lang w:val="bg-BG"/>
        </w:rPr>
        <w:t>).</w:t>
      </w:r>
    </w:p>
  </w:footnote>
  <w:footnote w:id="13">
    <w:p w14:paraId="58694AD4" w14:textId="45530926"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Всички суми са в хиляди евро. </w:t>
      </w:r>
    </w:p>
  </w:footnote>
  <w:footnote w:id="14">
    <w:p w14:paraId="5A688C3E" w14:textId="26AB57FA"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Включва втората част от окончателното финансиране за 2023 г. и първата част от окончателното финансиране за 2024 г. съгласно решението на Бюрото от 9 март 2026 г.</w:t>
      </w:r>
    </w:p>
  </w:footnote>
  <w:footnote w:id="15">
    <w:p w14:paraId="77D90F92" w14:textId="36E4BD07"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Сметки по общоприетите счетоводни принципи за 2024 г., коригирани с въздействието на </w:t>
      </w:r>
      <w:proofErr w:type="spellStart"/>
      <w:r w:rsidRPr="00FB1491">
        <w:rPr>
          <w:sz w:val="24"/>
          <w:lang w:val="bg-BG"/>
        </w:rPr>
        <w:t>прекласификациите</w:t>
      </w:r>
      <w:proofErr w:type="spellEnd"/>
      <w:r w:rsidRPr="00FB1491">
        <w:rPr>
          <w:sz w:val="24"/>
          <w:lang w:val="bg-BG"/>
        </w:rPr>
        <w:t xml:space="preserve"> от приключването за 2024 г.</w:t>
      </w:r>
    </w:p>
  </w:footnote>
  <w:footnote w:id="16">
    <w:p w14:paraId="5D374734" w14:textId="79D266C4"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„Patriots.eu“ от юли 2024 г.</w:t>
      </w:r>
    </w:p>
  </w:footnote>
  <w:footnote w:id="17">
    <w:p w14:paraId="2CB376C6" w14:textId="555DD9E7"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„Европейска християнска политическа партия“ от март 2025 г.</w:t>
      </w:r>
    </w:p>
  </w:footnote>
  <w:footnote w:id="18">
    <w:p w14:paraId="7BE05E72" w14:textId="419CB61E" w:rsidR="00C87F54" w:rsidRPr="00FB1491" w:rsidRDefault="00C87F54" w:rsidP="00FB1491">
      <w:pPr>
        <w:pStyle w:val="FootnoteText"/>
        <w:ind w:left="567" w:hanging="567"/>
        <w:rPr>
          <w:sz w:val="24"/>
          <w:szCs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Всички суми са в хиляди евро. </w:t>
      </w:r>
    </w:p>
  </w:footnote>
  <w:footnote w:id="19">
    <w:p w14:paraId="6994376B" w14:textId="045F1D4B"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 xml:space="preserve">Сметки по общоприетите счетоводни принципи за 2024 г., коригирани с въздействието на </w:t>
      </w:r>
      <w:proofErr w:type="spellStart"/>
      <w:r w:rsidRPr="00FB1491">
        <w:rPr>
          <w:sz w:val="24"/>
          <w:lang w:val="bg-BG"/>
        </w:rPr>
        <w:t>прекласификациите</w:t>
      </w:r>
      <w:proofErr w:type="spellEnd"/>
      <w:r w:rsidRPr="00FB1491">
        <w:rPr>
          <w:sz w:val="24"/>
          <w:lang w:val="bg-BG"/>
        </w:rPr>
        <w:t xml:space="preserve"> от приключването за 2024 г.</w:t>
      </w:r>
    </w:p>
  </w:footnote>
  <w:footnote w:id="20">
    <w:p w14:paraId="761EF562" w14:textId="49696D33"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„Нов курс — Фондация за европейски консерватизъм“ от юли 2025 г.</w:t>
      </w:r>
    </w:p>
  </w:footnote>
  <w:footnote w:id="21">
    <w:p w14:paraId="1CB8B7ED" w14:textId="48CDDF54" w:rsidR="00C87F54" w:rsidRPr="00FB1491" w:rsidRDefault="00C87F54" w:rsidP="00FB1491">
      <w:pPr>
        <w:pStyle w:val="FootnoteText"/>
        <w:ind w:left="567" w:hanging="567"/>
        <w:rPr>
          <w:sz w:val="24"/>
          <w:lang w:val="bg-BG"/>
        </w:rPr>
      </w:pPr>
      <w:r w:rsidRPr="00FB1491">
        <w:rPr>
          <w:rStyle w:val="FootnoteReference"/>
          <w:sz w:val="24"/>
          <w:lang w:val="bg-BG"/>
        </w:rPr>
        <w:footnoteRef/>
      </w:r>
      <w:r w:rsidR="00FB1491" w:rsidRPr="00FB1491">
        <w:rPr>
          <w:sz w:val="24"/>
          <w:lang w:val="bg-BG"/>
        </w:rPr>
        <w:t xml:space="preserve"> </w:t>
      </w:r>
      <w:r w:rsidR="00FB1491" w:rsidRPr="00FB1491">
        <w:rPr>
          <w:sz w:val="24"/>
          <w:lang w:val="bg-BG"/>
        </w:rPr>
        <w:tab/>
      </w:r>
      <w:r w:rsidRPr="00FB1491">
        <w:rPr>
          <w:sz w:val="24"/>
          <w:lang w:val="bg-BG"/>
        </w:rPr>
        <w:t>Фондация „Патриоти за Европа“ от октомври 2024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56EA" w14:textId="77777777" w:rsidR="00064002" w:rsidRPr="00FB14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03CE" w14:textId="77777777" w:rsidR="00064002" w:rsidRPr="00FB14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CC5D" w14:textId="77777777" w:rsidR="00064002" w:rsidRPr="00FB14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0344774">
    <w:abstractNumId w:val="9"/>
  </w:num>
  <w:num w:numId="2" w16cid:durableId="767697455">
    <w:abstractNumId w:val="9"/>
  </w:num>
  <w:num w:numId="3" w16cid:durableId="1638031607">
    <w:abstractNumId w:val="7"/>
  </w:num>
  <w:num w:numId="4" w16cid:durableId="521089987">
    <w:abstractNumId w:val="7"/>
  </w:num>
  <w:num w:numId="5" w16cid:durableId="1428115060">
    <w:abstractNumId w:val="6"/>
  </w:num>
  <w:num w:numId="6" w16cid:durableId="1109937207">
    <w:abstractNumId w:val="6"/>
  </w:num>
  <w:num w:numId="7" w16cid:durableId="890459302">
    <w:abstractNumId w:val="5"/>
  </w:num>
  <w:num w:numId="8" w16cid:durableId="1198657837">
    <w:abstractNumId w:val="5"/>
  </w:num>
  <w:num w:numId="9" w16cid:durableId="724180322">
    <w:abstractNumId w:val="4"/>
  </w:num>
  <w:num w:numId="10" w16cid:durableId="1000038732">
    <w:abstractNumId w:val="4"/>
  </w:num>
  <w:num w:numId="11" w16cid:durableId="1825850989">
    <w:abstractNumId w:val="8"/>
  </w:num>
  <w:num w:numId="12" w16cid:durableId="1739790674">
    <w:abstractNumId w:val="8"/>
  </w:num>
  <w:num w:numId="13" w16cid:durableId="1823890478">
    <w:abstractNumId w:val="3"/>
  </w:num>
  <w:num w:numId="14" w16cid:durableId="174536248">
    <w:abstractNumId w:val="3"/>
  </w:num>
  <w:num w:numId="15" w16cid:durableId="281812144">
    <w:abstractNumId w:val="2"/>
  </w:num>
  <w:num w:numId="16" w16cid:durableId="238641300">
    <w:abstractNumId w:val="2"/>
  </w:num>
  <w:num w:numId="17" w16cid:durableId="480925535">
    <w:abstractNumId w:val="1"/>
  </w:num>
  <w:num w:numId="18" w16cid:durableId="1846746564">
    <w:abstractNumId w:val="1"/>
  </w:num>
  <w:num w:numId="19" w16cid:durableId="997155608">
    <w:abstractNumId w:val="0"/>
  </w:num>
  <w:num w:numId="20" w16cid:durableId="33359468">
    <w:abstractNumId w:val="0"/>
  </w:num>
  <w:num w:numId="21" w16cid:durableId="1571228069">
    <w:abstractNumId w:val="9"/>
  </w:num>
  <w:num w:numId="22" w16cid:durableId="258830600">
    <w:abstractNumId w:val="7"/>
  </w:num>
  <w:num w:numId="23" w16cid:durableId="2008628239">
    <w:abstractNumId w:val="6"/>
  </w:num>
  <w:num w:numId="24" w16cid:durableId="2043626453">
    <w:abstractNumId w:val="5"/>
  </w:num>
  <w:num w:numId="25" w16cid:durableId="1756196724">
    <w:abstractNumId w:val="4"/>
  </w:num>
  <w:num w:numId="26" w16cid:durableId="874125293">
    <w:abstractNumId w:val="8"/>
  </w:num>
  <w:num w:numId="27" w16cid:durableId="1578594355">
    <w:abstractNumId w:val="3"/>
  </w:num>
  <w:num w:numId="28" w16cid:durableId="2124222310">
    <w:abstractNumId w:val="2"/>
  </w:num>
  <w:num w:numId="29" w16cid:durableId="1072897296">
    <w:abstractNumId w:val="1"/>
  </w:num>
  <w:num w:numId="30" w16cid:durableId="1938174735">
    <w:abstractNumId w:val="0"/>
  </w:num>
  <w:num w:numId="31" w16cid:durableId="743726974">
    <w:abstractNumId w:val="9"/>
  </w:num>
  <w:num w:numId="32" w16cid:durableId="1646544845">
    <w:abstractNumId w:val="7"/>
  </w:num>
  <w:num w:numId="33" w16cid:durableId="59209730">
    <w:abstractNumId w:val="6"/>
  </w:num>
  <w:num w:numId="34" w16cid:durableId="1214847101">
    <w:abstractNumId w:val="5"/>
  </w:num>
  <w:num w:numId="35" w16cid:durableId="1595899463">
    <w:abstractNumId w:val="4"/>
  </w:num>
  <w:num w:numId="36" w16cid:durableId="866871613">
    <w:abstractNumId w:val="8"/>
  </w:num>
  <w:num w:numId="37" w16cid:durableId="2001957394">
    <w:abstractNumId w:val="3"/>
  </w:num>
  <w:num w:numId="38" w16cid:durableId="70782862">
    <w:abstractNumId w:val="2"/>
  </w:num>
  <w:num w:numId="39" w16cid:durableId="543059738">
    <w:abstractNumId w:val="1"/>
  </w:num>
  <w:num w:numId="40" w16cid:durableId="913585433">
    <w:abstractNumId w:val="0"/>
  </w:num>
  <w:num w:numId="41" w16cid:durableId="1329022689">
    <w:abstractNumId w:val="10"/>
  </w:num>
  <w:num w:numId="42" w16cid:durableId="510218235">
    <w:abstractNumId w:val="10"/>
  </w:num>
  <w:num w:numId="43" w16cid:durableId="1126005675">
    <w:abstractNumId w:val="10"/>
  </w:num>
  <w:num w:numId="44" w16cid:durableId="5767857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BG"/>
    <w:docVar w:name="dvnumam" w:val="0"/>
    <w:docVar w:name="dvpe" w:val="776.734"/>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I ‒ Европейски парламент(2025/2146(DEC))"/>
  </w:docVars>
  <w:rsids>
    <w:rsidRoot w:val="005728E5"/>
    <w:rsid w:val="00002272"/>
    <w:rsid w:val="00064002"/>
    <w:rsid w:val="000677B9"/>
    <w:rsid w:val="000831BA"/>
    <w:rsid w:val="000A42CC"/>
    <w:rsid w:val="000E7DD9"/>
    <w:rsid w:val="0010095E"/>
    <w:rsid w:val="00125B37"/>
    <w:rsid w:val="00187494"/>
    <w:rsid w:val="001F2178"/>
    <w:rsid w:val="001F32AE"/>
    <w:rsid w:val="002512A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8E5"/>
    <w:rsid w:val="005C2568"/>
    <w:rsid w:val="005F1B17"/>
    <w:rsid w:val="006037C0"/>
    <w:rsid w:val="006631B6"/>
    <w:rsid w:val="00680577"/>
    <w:rsid w:val="006F74FA"/>
    <w:rsid w:val="00720E99"/>
    <w:rsid w:val="00731ADD"/>
    <w:rsid w:val="00732715"/>
    <w:rsid w:val="00734777"/>
    <w:rsid w:val="00747932"/>
    <w:rsid w:val="00751A4A"/>
    <w:rsid w:val="00756632"/>
    <w:rsid w:val="00762C74"/>
    <w:rsid w:val="00786EC0"/>
    <w:rsid w:val="007D1690"/>
    <w:rsid w:val="007E22AD"/>
    <w:rsid w:val="00817416"/>
    <w:rsid w:val="008252F2"/>
    <w:rsid w:val="0083140B"/>
    <w:rsid w:val="00842779"/>
    <w:rsid w:val="00865F67"/>
    <w:rsid w:val="00881A7B"/>
    <w:rsid w:val="008840E5"/>
    <w:rsid w:val="00887B3E"/>
    <w:rsid w:val="008C2AC6"/>
    <w:rsid w:val="008C7F86"/>
    <w:rsid w:val="008E0CCC"/>
    <w:rsid w:val="00930C23"/>
    <w:rsid w:val="0093193B"/>
    <w:rsid w:val="009509D8"/>
    <w:rsid w:val="00950B64"/>
    <w:rsid w:val="00981893"/>
    <w:rsid w:val="00A1687D"/>
    <w:rsid w:val="00A43E52"/>
    <w:rsid w:val="00A4678D"/>
    <w:rsid w:val="00A63F5F"/>
    <w:rsid w:val="00A778C7"/>
    <w:rsid w:val="00AB441E"/>
    <w:rsid w:val="00AB6293"/>
    <w:rsid w:val="00AE0928"/>
    <w:rsid w:val="00AF3B82"/>
    <w:rsid w:val="00B12E95"/>
    <w:rsid w:val="00B22876"/>
    <w:rsid w:val="00B558F0"/>
    <w:rsid w:val="00B73939"/>
    <w:rsid w:val="00BD3F95"/>
    <w:rsid w:val="00BD48FE"/>
    <w:rsid w:val="00BD7BD8"/>
    <w:rsid w:val="00BE6ADC"/>
    <w:rsid w:val="00C05BFE"/>
    <w:rsid w:val="00C23CD4"/>
    <w:rsid w:val="00C24709"/>
    <w:rsid w:val="00C61C0C"/>
    <w:rsid w:val="00C87F54"/>
    <w:rsid w:val="00C941CB"/>
    <w:rsid w:val="00CA6AB8"/>
    <w:rsid w:val="00CC2357"/>
    <w:rsid w:val="00CD6A6E"/>
    <w:rsid w:val="00CF071A"/>
    <w:rsid w:val="00D058B8"/>
    <w:rsid w:val="00D56C11"/>
    <w:rsid w:val="00D834A0"/>
    <w:rsid w:val="00D872DF"/>
    <w:rsid w:val="00D91E21"/>
    <w:rsid w:val="00DA7FCD"/>
    <w:rsid w:val="00E365E1"/>
    <w:rsid w:val="00E55624"/>
    <w:rsid w:val="00E820A4"/>
    <w:rsid w:val="00E87FBA"/>
    <w:rsid w:val="00EB006A"/>
    <w:rsid w:val="00EB4772"/>
    <w:rsid w:val="00ED169E"/>
    <w:rsid w:val="00ED4235"/>
    <w:rsid w:val="00EF05FD"/>
    <w:rsid w:val="00F01B4A"/>
    <w:rsid w:val="00F04346"/>
    <w:rsid w:val="00F075DC"/>
    <w:rsid w:val="00F149E9"/>
    <w:rsid w:val="00F5134D"/>
    <w:rsid w:val="00F74202"/>
    <w:rsid w:val="00F87713"/>
    <w:rsid w:val="00FB149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A65A3"/>
  <w15:chartTrackingRefBased/>
  <w15:docId w15:val="{915A95F0-3A35-44A5-804A-129ACF620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7F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7F54"/>
    <w:pPr>
      <w:spacing w:before="480" w:after="240"/>
    </w:pPr>
  </w:style>
  <w:style w:type="paragraph" w:customStyle="1" w:styleId="PageHeading">
    <w:name w:val="PageHeading"/>
    <w:basedOn w:val="Normal"/>
    <w:rsid w:val="00C87F54"/>
    <w:pPr>
      <w:keepNext/>
      <w:spacing w:after="480"/>
      <w:jc w:val="center"/>
    </w:pPr>
    <w:rPr>
      <w:rFonts w:ascii="Arial" w:hAnsi="Arial" w:cs="Arial"/>
      <w:b/>
    </w:rPr>
  </w:style>
  <w:style w:type="paragraph" w:customStyle="1" w:styleId="NormalBold">
    <w:name w:val="NormalBold"/>
    <w:basedOn w:val="Normal"/>
    <w:rsid w:val="00C87F54"/>
    <w:rPr>
      <w:b/>
    </w:rPr>
  </w:style>
  <w:style w:type="paragraph" w:customStyle="1" w:styleId="NormalHanging12a">
    <w:name w:val="NormalHanging12a"/>
    <w:basedOn w:val="Normal"/>
    <w:link w:val="NormalHanging12aChar"/>
    <w:rsid w:val="00C87F54"/>
    <w:pPr>
      <w:spacing w:after="240"/>
      <w:ind w:left="567" w:hanging="567"/>
    </w:pPr>
  </w:style>
  <w:style w:type="paragraph" w:customStyle="1" w:styleId="EPFooter">
    <w:name w:val="EPFooter"/>
    <w:basedOn w:val="Normal"/>
    <w:rsid w:val="00C87F54"/>
    <w:pPr>
      <w:tabs>
        <w:tab w:val="center" w:pos="4535"/>
        <w:tab w:val="right" w:pos="9071"/>
      </w:tabs>
      <w:spacing w:before="240" w:after="240"/>
    </w:pPr>
    <w:rPr>
      <w:color w:val="010000"/>
      <w:sz w:val="22"/>
    </w:rPr>
  </w:style>
  <w:style w:type="paragraph" w:styleId="Header">
    <w:name w:val="header"/>
    <w:basedOn w:val="Normal"/>
    <w:link w:val="HeaderChar"/>
    <w:rsid w:val="00C87F54"/>
    <w:pPr>
      <w:tabs>
        <w:tab w:val="center" w:pos="4513"/>
        <w:tab w:val="right" w:pos="9026"/>
      </w:tabs>
    </w:pPr>
  </w:style>
  <w:style w:type="character" w:customStyle="1" w:styleId="HeaderChar">
    <w:name w:val="Header Char"/>
    <w:basedOn w:val="DefaultParagraphFont"/>
    <w:link w:val="Header"/>
    <w:rsid w:val="00C87F54"/>
    <w:rPr>
      <w:sz w:val="24"/>
      <w:lang w:val="bg-BG"/>
    </w:rPr>
  </w:style>
  <w:style w:type="character" w:styleId="Hyperlink">
    <w:name w:val="Hyperlink"/>
    <w:basedOn w:val="DefaultParagraphFont"/>
    <w:rsid w:val="00C87F54"/>
    <w:rPr>
      <w:color w:val="0563C1" w:themeColor="hyperlink"/>
      <w:u w:val="single"/>
    </w:rPr>
  </w:style>
  <w:style w:type="character" w:customStyle="1" w:styleId="s1">
    <w:name w:val="s1"/>
    <w:basedOn w:val="DefaultParagraphFont"/>
    <w:rsid w:val="00C87F54"/>
  </w:style>
  <w:style w:type="character" w:customStyle="1" w:styleId="NormalHanging12aChar">
    <w:name w:val="NormalHanging12a Char"/>
    <w:basedOn w:val="DefaultParagraphFont"/>
    <w:link w:val="NormalHanging12a"/>
    <w:rsid w:val="00C87F54"/>
    <w:rPr>
      <w:sz w:val="24"/>
      <w:lang w:val="bg-BG"/>
    </w:rPr>
  </w:style>
  <w:style w:type="paragraph" w:styleId="Revision">
    <w:name w:val="Revision"/>
    <w:hidden/>
    <w:uiPriority w:val="99"/>
    <w:semiHidden/>
    <w:rsid w:val="00A63F5F"/>
    <w:rPr>
      <w:sz w:val="24"/>
      <w:lang w:val="bg-BG"/>
    </w:rPr>
  </w:style>
  <w:style w:type="character" w:styleId="FollowedHyperlink">
    <w:name w:val="FollowedHyperlink"/>
    <w:basedOn w:val="DefaultParagraphFont"/>
    <w:rsid w:val="008C7F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15908</Words>
  <Characters>90682</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2026-05-05T09:21:00Z</dcterms:created>
  <dcterms:modified xsi:type="dcterms:W3CDTF">2026-05-05T09:21:00Z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P10_TA(2026)0126_</vt:lpwstr>
  </property>
  <property fmtid="{D5CDD505-2E9C-101B-9397-08002B2CF9AE}" pid="4" name="&lt;Type&gt;">
    <vt:lpwstr>RR</vt:lpwstr>
  </property>
</Properties>
</file>