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19FF" w14:paraId="4ACCE981" w14:textId="77777777" w:rsidTr="0010095E">
        <w:trPr>
          <w:trHeight w:hRule="exact" w:val="1418"/>
        </w:trPr>
        <w:tc>
          <w:tcPr>
            <w:tcW w:w="6804" w:type="dxa"/>
            <w:shd w:val="clear" w:color="auto" w:fill="auto"/>
            <w:vAlign w:val="center"/>
          </w:tcPr>
          <w:p w14:paraId="47BA8F2E" w14:textId="77777777" w:rsidR="00751A4A" w:rsidRPr="005D19FF" w:rsidRDefault="00CD2206" w:rsidP="0010095E">
            <w:pPr>
              <w:pStyle w:val="EPName"/>
            </w:pPr>
            <w:r w:rsidRPr="005D19FF">
              <w:t>Evropský parlament</w:t>
            </w:r>
          </w:p>
          <w:p w14:paraId="5B13B2F9" w14:textId="77777777" w:rsidR="00751A4A" w:rsidRPr="005D19FF" w:rsidRDefault="005F1B17" w:rsidP="005F1B17">
            <w:pPr>
              <w:pStyle w:val="EPTerm"/>
              <w:rPr>
                <w:rStyle w:val="HideTWBExt"/>
                <w:noProof w:val="0"/>
                <w:vanish w:val="0"/>
                <w:color w:val="auto"/>
              </w:rPr>
            </w:pPr>
            <w:r w:rsidRPr="005D19FF">
              <w:t>2024</w:t>
            </w:r>
            <w:r w:rsidR="00817416" w:rsidRPr="005D19FF">
              <w:t>-202</w:t>
            </w:r>
            <w:r w:rsidRPr="005D19FF">
              <w:t>9</w:t>
            </w:r>
          </w:p>
        </w:tc>
        <w:tc>
          <w:tcPr>
            <w:tcW w:w="2268" w:type="dxa"/>
            <w:shd w:val="clear" w:color="auto" w:fill="auto"/>
          </w:tcPr>
          <w:p w14:paraId="1DC5DD71" w14:textId="77777777" w:rsidR="00751A4A" w:rsidRPr="005D19FF" w:rsidRDefault="00187494" w:rsidP="0010095E">
            <w:pPr>
              <w:pStyle w:val="EPLogo"/>
            </w:pPr>
            <w:r w:rsidRPr="005D19FF">
              <w:rPr>
                <w:noProof/>
                <w:lang w:eastAsia="ja-JP"/>
              </w:rPr>
              <w:drawing>
                <wp:inline distT="0" distB="0" distL="0" distR="0" wp14:anchorId="576D275D" wp14:editId="118BFB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26CF35" w14:textId="77777777" w:rsidR="00D058B8" w:rsidRPr="005D19FF" w:rsidRDefault="00D058B8" w:rsidP="004C5D52">
      <w:pPr>
        <w:pStyle w:val="LineTop"/>
      </w:pPr>
    </w:p>
    <w:p w14:paraId="15E7F9D3" w14:textId="77777777" w:rsidR="00680577" w:rsidRPr="005D19FF" w:rsidRDefault="00CD2206" w:rsidP="00680577">
      <w:pPr>
        <w:pStyle w:val="EPBodyTA1"/>
      </w:pPr>
      <w:r w:rsidRPr="005D19FF">
        <w:t>PŘIJATÉ TEXTY</w:t>
      </w:r>
    </w:p>
    <w:p w14:paraId="7F67D7C2" w14:textId="77777777" w:rsidR="00D058B8" w:rsidRPr="005D19FF" w:rsidRDefault="00D058B8" w:rsidP="00D058B8">
      <w:pPr>
        <w:pStyle w:val="LineBottom"/>
      </w:pPr>
    </w:p>
    <w:p w14:paraId="4DCD31F3" w14:textId="450F2BFB" w:rsidR="00CD2206" w:rsidRPr="005D19FF" w:rsidRDefault="00CD2206" w:rsidP="00CD2206">
      <w:pPr>
        <w:pStyle w:val="ATHeading1"/>
      </w:pPr>
      <w:bookmarkStart w:id="0" w:name="TANumber"/>
      <w:r w:rsidRPr="005D19FF">
        <w:t>P10_</w:t>
      </w:r>
      <w:proofErr w:type="gramStart"/>
      <w:r w:rsidRPr="005D19FF">
        <w:t>TA(</w:t>
      </w:r>
      <w:proofErr w:type="gramEnd"/>
      <w:r w:rsidRPr="005D19FF">
        <w:t>2026)0</w:t>
      </w:r>
      <w:r w:rsidR="004A7996">
        <w:t>126</w:t>
      </w:r>
      <w:bookmarkEnd w:id="0"/>
    </w:p>
    <w:p w14:paraId="54021683" w14:textId="77777777" w:rsidR="00CD2206" w:rsidRPr="005D19FF" w:rsidRDefault="00CD2206" w:rsidP="00CD2206">
      <w:pPr>
        <w:pStyle w:val="ATHeading2"/>
      </w:pPr>
      <w:bookmarkStart w:id="1" w:name="title"/>
      <w:r w:rsidRPr="005D19FF">
        <w:t>Udělení absolutoria za rok 2024: souhrnný rozpočet EU – Evropský parlament</w:t>
      </w:r>
      <w:bookmarkEnd w:id="1"/>
    </w:p>
    <w:p w14:paraId="6F267442" w14:textId="77777777" w:rsidR="00CD2206" w:rsidRPr="005D19FF" w:rsidRDefault="00CD2206" w:rsidP="00CD2206">
      <w:pPr>
        <w:rPr>
          <w:i/>
          <w:vanish/>
        </w:rPr>
      </w:pPr>
      <w:r w:rsidRPr="005D19FF">
        <w:rPr>
          <w:i/>
        </w:rPr>
        <w:fldChar w:fldCharType="begin"/>
      </w:r>
      <w:r w:rsidRPr="005D19FF">
        <w:rPr>
          <w:i/>
        </w:rPr>
        <w:instrText xml:space="preserve"> TC"(</w:instrText>
      </w:r>
      <w:bookmarkStart w:id="2" w:name="DocNumber"/>
      <w:r w:rsidRPr="005D19FF">
        <w:rPr>
          <w:i/>
        </w:rPr>
        <w:instrText>A10-0081/2026</w:instrText>
      </w:r>
      <w:bookmarkEnd w:id="2"/>
      <w:r w:rsidRPr="005D19FF">
        <w:rPr>
          <w:i/>
        </w:rPr>
        <w:instrText xml:space="preserve"> - Zpravodaj: Gerben-Jan Gerbrandy)"\l3 \n&gt; \* MERGEFORMAT </w:instrText>
      </w:r>
      <w:r w:rsidRPr="005D19FF">
        <w:rPr>
          <w:i/>
        </w:rPr>
        <w:fldChar w:fldCharType="end"/>
      </w:r>
    </w:p>
    <w:p w14:paraId="3146EB8F" w14:textId="77777777" w:rsidR="00CD2206" w:rsidRPr="005D19FF" w:rsidRDefault="00CD2206" w:rsidP="00CD2206">
      <w:pPr>
        <w:rPr>
          <w:vanish/>
        </w:rPr>
      </w:pPr>
      <w:bookmarkStart w:id="3" w:name="Commission"/>
      <w:r w:rsidRPr="005D19FF">
        <w:rPr>
          <w:vanish/>
        </w:rPr>
        <w:t>Výbor pro rozpočtovou kontrolu</w:t>
      </w:r>
      <w:bookmarkEnd w:id="3"/>
    </w:p>
    <w:p w14:paraId="08C78FDD" w14:textId="77777777" w:rsidR="00CD2206" w:rsidRPr="005D19FF" w:rsidRDefault="00CD2206" w:rsidP="00CD2206">
      <w:pPr>
        <w:rPr>
          <w:vanish/>
        </w:rPr>
      </w:pPr>
      <w:bookmarkStart w:id="4" w:name="PE"/>
      <w:r w:rsidRPr="005D19FF">
        <w:rPr>
          <w:vanish/>
        </w:rPr>
        <w:t>PE776.734</w:t>
      </w:r>
      <w:bookmarkEnd w:id="4"/>
    </w:p>
    <w:p w14:paraId="6AE6CCA0" w14:textId="7410DC79" w:rsidR="00CD2206" w:rsidRPr="005D19FF" w:rsidRDefault="005D19FF" w:rsidP="00CD2206">
      <w:pPr>
        <w:pStyle w:val="ATHeading3"/>
      </w:pPr>
      <w:bookmarkStart w:id="5" w:name="Sujet"/>
      <w:r w:rsidRPr="005D19FF">
        <w:t xml:space="preserve">1. </w:t>
      </w:r>
      <w:r w:rsidR="00CD2206" w:rsidRPr="005D19FF">
        <w:t>Rozhodnutí Evropského parlamentu ze dne 29. dubna 2026 o udělení absolutoria za plnění souhrnného rozpočtu Evropské unie na rozpočtový rok 2024, oddíl I – Evropský parlament</w:t>
      </w:r>
      <w:bookmarkEnd w:id="5"/>
      <w:r w:rsidR="00CD2206" w:rsidRPr="005D19FF">
        <w:t xml:space="preserve"> </w:t>
      </w:r>
      <w:bookmarkStart w:id="6" w:name="References"/>
      <w:r w:rsidR="00CD2206" w:rsidRPr="005D19FF">
        <w:t>(2025/2146(DEC))</w:t>
      </w:r>
      <w:bookmarkEnd w:id="6"/>
    </w:p>
    <w:p w14:paraId="59518F17" w14:textId="77777777" w:rsidR="00C36A04" w:rsidRPr="005D19FF" w:rsidRDefault="00C36A04" w:rsidP="00C36A04">
      <w:pPr>
        <w:pStyle w:val="EPComma"/>
        <w:rPr>
          <w:noProof/>
        </w:rPr>
      </w:pPr>
      <w:bookmarkStart w:id="7" w:name="TextBodyBegin"/>
      <w:bookmarkEnd w:id="7"/>
      <w:r w:rsidRPr="005D19FF">
        <w:rPr>
          <w:i/>
          <w:iCs/>
        </w:rPr>
        <w:t>Evropský parlament</w:t>
      </w:r>
      <w:r w:rsidRPr="005D19FF">
        <w:t>,</w:t>
      </w:r>
    </w:p>
    <w:p w14:paraId="28EB4ABC" w14:textId="77777777" w:rsidR="00C36A04" w:rsidRPr="005D19FF" w:rsidRDefault="00C36A04" w:rsidP="00C36A04">
      <w:pPr>
        <w:pStyle w:val="NormalHanging12a"/>
        <w:rPr>
          <w:noProof/>
        </w:rPr>
      </w:pPr>
      <w:r w:rsidRPr="005D19FF">
        <w:t>–</w:t>
      </w:r>
      <w:r w:rsidRPr="005D19FF">
        <w:tab/>
        <w:t>s ohledem na souhrnný rozpočet Evropské unie na rozpočtový rok 2024</w:t>
      </w:r>
      <w:r w:rsidRPr="005D19FF">
        <w:rPr>
          <w:rStyle w:val="FootnoteReference"/>
          <w:noProof/>
        </w:rPr>
        <w:footnoteReference w:id="1"/>
      </w:r>
      <w:r w:rsidRPr="005D19FF">
        <w:t>,</w:t>
      </w:r>
    </w:p>
    <w:p w14:paraId="659EDEEB" w14:textId="77777777" w:rsidR="00C36A04" w:rsidRPr="005D19FF" w:rsidRDefault="00C36A04" w:rsidP="00C36A04">
      <w:pPr>
        <w:pStyle w:val="NormalHanging12a"/>
        <w:rPr>
          <w:noProof/>
        </w:rPr>
      </w:pPr>
      <w:r w:rsidRPr="005D19FF">
        <w:t>–</w:t>
      </w:r>
      <w:r w:rsidRPr="005D19FF">
        <w:tab/>
        <w:t>s ohledem na konsolidovanou účetní závěrku Evropské unie za rozpočtový rok 2024 (</w:t>
      </w:r>
      <w:proofErr w:type="gramStart"/>
      <w:r w:rsidRPr="005D19FF">
        <w:t>COM(</w:t>
      </w:r>
      <w:proofErr w:type="gramEnd"/>
      <w:r w:rsidRPr="005D19FF">
        <w:t>2025)0359 – C10</w:t>
      </w:r>
      <w:r w:rsidRPr="005D19FF">
        <w:noBreakHyphen/>
        <w:t>0146/2025)</w:t>
      </w:r>
      <w:r w:rsidRPr="005D19FF">
        <w:rPr>
          <w:rStyle w:val="FootnoteReference"/>
          <w:noProof/>
        </w:rPr>
        <w:footnoteReference w:id="2"/>
      </w:r>
      <w:r w:rsidRPr="005D19FF">
        <w:t>,</w:t>
      </w:r>
    </w:p>
    <w:p w14:paraId="1ADAC84C" w14:textId="0028EC1C" w:rsidR="00C36A04" w:rsidRPr="005D19FF" w:rsidRDefault="00C36A04" w:rsidP="00C36A04">
      <w:pPr>
        <w:pStyle w:val="NormalHanging12a"/>
        <w:rPr>
          <w:noProof/>
        </w:rPr>
      </w:pPr>
      <w:r w:rsidRPr="005D19FF">
        <w:t>–</w:t>
      </w:r>
      <w:r w:rsidRPr="005D19FF">
        <w:tab/>
        <w:t>s ohledem na zprávu o rozpočtovém a finančním řízení za rozpočtový rok 2024, oddíl</w:t>
      </w:r>
      <w:r w:rsidR="008B62CA" w:rsidRPr="005D19FF">
        <w:t> </w:t>
      </w:r>
      <w:r w:rsidRPr="005D19FF">
        <w:t>I – Evropský parlament</w:t>
      </w:r>
      <w:r w:rsidRPr="005D19FF">
        <w:rPr>
          <w:rStyle w:val="FootnoteReference"/>
          <w:noProof/>
        </w:rPr>
        <w:footnoteReference w:id="3"/>
      </w:r>
      <w:r w:rsidRPr="005D19FF">
        <w:t>,</w:t>
      </w:r>
    </w:p>
    <w:p w14:paraId="5642C6CD" w14:textId="77777777" w:rsidR="00C36A04" w:rsidRPr="005D19FF" w:rsidRDefault="00C36A04" w:rsidP="00C36A04">
      <w:pPr>
        <w:pStyle w:val="NormalHanging12a"/>
        <w:rPr>
          <w:noProof/>
        </w:rPr>
      </w:pPr>
      <w:r w:rsidRPr="005D19FF">
        <w:t>–</w:t>
      </w:r>
      <w:r w:rsidRPr="005D19FF">
        <w:tab/>
        <w:t>s ohledem na výroční zprávu interního auditora za rozpočtový rok 2024,</w:t>
      </w:r>
    </w:p>
    <w:p w14:paraId="5AD19358" w14:textId="77777777" w:rsidR="00C36A04" w:rsidRPr="005D19FF" w:rsidRDefault="00C36A04" w:rsidP="00C36A04">
      <w:pPr>
        <w:pStyle w:val="NormalHanging12a"/>
        <w:rPr>
          <w:noProof/>
        </w:rPr>
      </w:pPr>
      <w:r w:rsidRPr="005D19FF">
        <w:t>–</w:t>
      </w:r>
      <w:r w:rsidRPr="005D19FF">
        <w:tab/>
        <w:t>s ohledem na výroční zprávu Účetního dvora o plnění rozpočtu na rozpočtový rok 2024 spolu s odpověďmi orgánů</w:t>
      </w:r>
      <w:r w:rsidRPr="005D19FF">
        <w:rPr>
          <w:rStyle w:val="FootnoteReference"/>
          <w:noProof/>
        </w:rPr>
        <w:footnoteReference w:id="4"/>
      </w:r>
      <w:r w:rsidRPr="005D19FF">
        <w:t>,</w:t>
      </w:r>
    </w:p>
    <w:p w14:paraId="350E6DE3" w14:textId="77777777" w:rsidR="00C36A04" w:rsidRPr="005D19FF" w:rsidRDefault="00C36A04" w:rsidP="00C36A04">
      <w:pPr>
        <w:pStyle w:val="NormalHanging12a"/>
        <w:rPr>
          <w:noProof/>
        </w:rPr>
      </w:pPr>
      <w:r w:rsidRPr="005D19FF">
        <w:t>–</w:t>
      </w:r>
      <w:r w:rsidRPr="005D19FF">
        <w:tab/>
        <w:t>s ohledem na prohlášení o věrohodnosti</w:t>
      </w:r>
      <w:r w:rsidRPr="005D19FF">
        <w:rPr>
          <w:rStyle w:val="FootnoteReference"/>
          <w:noProof/>
        </w:rPr>
        <w:footnoteReference w:id="5"/>
      </w:r>
      <w:r w:rsidRPr="005D19FF">
        <w:t xml:space="preserve"> účetnictví a o legalitě a správnosti uskutečněných operací, které předložil Účetní dvůr za rozpočtový rok 2024 podle článku 287 Smlouvy o fungování Evropské unie,</w:t>
      </w:r>
    </w:p>
    <w:p w14:paraId="059A6BEB" w14:textId="77777777" w:rsidR="00C36A04" w:rsidRPr="005D19FF" w:rsidRDefault="00C36A04" w:rsidP="00C36A04">
      <w:pPr>
        <w:pStyle w:val="NormalHanging12a"/>
        <w:rPr>
          <w:noProof/>
        </w:rPr>
      </w:pPr>
      <w:r w:rsidRPr="005D19FF">
        <w:t>–</w:t>
      </w:r>
      <w:r w:rsidRPr="005D19FF">
        <w:tab/>
        <w:t>s ohledem na čl. 314 odst. 10 a článek 318 Smlouvy o fungování Evropské unie,</w:t>
      </w:r>
    </w:p>
    <w:p w14:paraId="102AD0AB" w14:textId="77777777" w:rsidR="00C36A04" w:rsidRPr="005D19FF" w:rsidRDefault="00C36A04" w:rsidP="00C36A04">
      <w:pPr>
        <w:pStyle w:val="NormalHanging12a"/>
        <w:rPr>
          <w:noProof/>
        </w:rPr>
      </w:pPr>
      <w:r w:rsidRPr="005D19FF">
        <w:t>–</w:t>
      </w:r>
      <w:r w:rsidRPr="005D19FF">
        <w:tab/>
        <w:t xml:space="preserve">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w:t>
      </w:r>
      <w:r w:rsidRPr="005D19FF">
        <w:lastRenderedPageBreak/>
        <w:t>č. 283/2014 a rozhodnutí č. 541/2014/EU a zrušuje nařízení (EU, Euratom) č. 966/2012</w:t>
      </w:r>
      <w:r w:rsidRPr="005D19FF">
        <w:rPr>
          <w:rStyle w:val="FootnoteReference"/>
          <w:noProof/>
        </w:rPr>
        <w:footnoteReference w:id="6"/>
      </w:r>
      <w:r w:rsidRPr="005D19FF">
        <w:t>, a zejména na články 260, 261 a 262 tohoto nařízení,</w:t>
      </w:r>
    </w:p>
    <w:p w14:paraId="5593EFBC" w14:textId="77777777" w:rsidR="00C36A04" w:rsidRPr="005D19FF" w:rsidRDefault="00C36A04" w:rsidP="00C36A04">
      <w:pPr>
        <w:pStyle w:val="NormalHanging12a"/>
        <w:rPr>
          <w:noProof/>
        </w:rPr>
      </w:pPr>
      <w:r w:rsidRPr="005D19FF">
        <w:t>–</w:t>
      </w:r>
      <w:r w:rsidRPr="005D19FF">
        <w:tab/>
        <w:t>s ohledem na nařízení Evropského parlamentu a Rady (EU, Euratom) 2024/2509 ze dne 23. září 2024, kterým se stanoví finanční pravidla pro souhrnný rozpočet Unie</w:t>
      </w:r>
      <w:r w:rsidRPr="005D19FF">
        <w:rPr>
          <w:rStyle w:val="FootnoteReference"/>
          <w:noProof/>
        </w:rPr>
        <w:footnoteReference w:id="7"/>
      </w:r>
      <w:r w:rsidRPr="005D19FF">
        <w:t>, a zejména na články 266, 267 a 268 tohoto nařízení,</w:t>
      </w:r>
    </w:p>
    <w:p w14:paraId="2760E14E" w14:textId="77777777" w:rsidR="00C36A04" w:rsidRPr="005D19FF" w:rsidRDefault="00C36A04" w:rsidP="00C36A04">
      <w:pPr>
        <w:pStyle w:val="NormalHanging12a"/>
        <w:rPr>
          <w:noProof/>
        </w:rPr>
      </w:pPr>
      <w:r w:rsidRPr="005D19FF">
        <w:t>–</w:t>
      </w:r>
      <w:r w:rsidRPr="005D19FF">
        <w:tab/>
        <w:t>s ohledem na rozhodnutí předsednictva ze dne 10. prosince 2018 o vnitřních předpisech pro plnění rozpočtu Evropského parlamentu, a zejména na článek 34 tohoto rozhodnutí,</w:t>
      </w:r>
    </w:p>
    <w:p w14:paraId="4AB0374A" w14:textId="77777777" w:rsidR="00C36A04" w:rsidRPr="005D19FF" w:rsidRDefault="00C36A04" w:rsidP="00C36A04">
      <w:pPr>
        <w:pStyle w:val="NormalHanging12a"/>
        <w:rPr>
          <w:noProof/>
        </w:rPr>
      </w:pPr>
      <w:r w:rsidRPr="005D19FF">
        <w:t>–</w:t>
      </w:r>
      <w:r w:rsidRPr="005D19FF">
        <w:tab/>
        <w:t>s ohledem na článek 102, čl. 106 odst. 3 a přílohu V jednacího řádu,</w:t>
      </w:r>
    </w:p>
    <w:p w14:paraId="6545F66F" w14:textId="77777777" w:rsidR="00C36A04" w:rsidRPr="005D19FF" w:rsidRDefault="00C36A04" w:rsidP="00C36A04">
      <w:pPr>
        <w:pStyle w:val="NormalHanging12a"/>
      </w:pPr>
      <w:r w:rsidRPr="005D19FF">
        <w:t>–</w:t>
      </w:r>
      <w:r w:rsidRPr="005D19FF">
        <w:tab/>
        <w:t>s ohledem na stanovisko Výboru pro práva žen a rovnost pohlaví,</w:t>
      </w:r>
    </w:p>
    <w:p w14:paraId="480BF763" w14:textId="77777777" w:rsidR="00C36A04" w:rsidRPr="005D19FF" w:rsidRDefault="00C36A04" w:rsidP="00C36A04">
      <w:pPr>
        <w:pStyle w:val="NormalHanging12a"/>
      </w:pPr>
      <w:r w:rsidRPr="005D19FF">
        <w:t>–</w:t>
      </w:r>
      <w:r w:rsidRPr="005D19FF">
        <w:tab/>
        <w:t>s ohledem na zprávu Výboru pro rozpočtovou kontrolu (A10-0081/2026),</w:t>
      </w:r>
    </w:p>
    <w:p w14:paraId="0E1E5C7F" w14:textId="77777777" w:rsidR="00C36A04" w:rsidRPr="005D19FF" w:rsidRDefault="00C36A04" w:rsidP="00C36A04">
      <w:pPr>
        <w:pStyle w:val="NormalHanging12a"/>
        <w:rPr>
          <w:noProof/>
        </w:rPr>
      </w:pPr>
      <w:r w:rsidRPr="005D19FF">
        <w:t>1.</w:t>
      </w:r>
      <w:r w:rsidRPr="005D19FF">
        <w:tab/>
        <w:t>uděluje absolutorium své předsedkyni za plnění rozpočtu Evropského parlamentu na rozpočtový rok 2024;</w:t>
      </w:r>
    </w:p>
    <w:p w14:paraId="3DCF2B36" w14:textId="77777777" w:rsidR="00C36A04" w:rsidRPr="005D19FF" w:rsidRDefault="00C36A04" w:rsidP="00C36A04">
      <w:pPr>
        <w:pStyle w:val="NormalHanging12a"/>
        <w:rPr>
          <w:noProof/>
        </w:rPr>
      </w:pPr>
      <w:r w:rsidRPr="005D19FF">
        <w:t>2.</w:t>
      </w:r>
      <w:r w:rsidRPr="005D19FF">
        <w:tab/>
        <w:t>předkládá své připomínky v dále uvedeném usnesení;</w:t>
      </w:r>
    </w:p>
    <w:p w14:paraId="4FB97D80" w14:textId="77777777" w:rsidR="00C36A04" w:rsidRPr="005D19FF" w:rsidRDefault="00C36A04" w:rsidP="00C36A04">
      <w:pPr>
        <w:pStyle w:val="NormalHanging12a"/>
        <w:rPr>
          <w:noProof/>
        </w:rPr>
      </w:pPr>
      <w:r w:rsidRPr="005D19FF">
        <w:t>3.</w:t>
      </w:r>
      <w:r w:rsidRPr="005D19FF">
        <w:tab/>
        <w:t>pověřuje svou předsedkyni, aby předala toto rozhodnutí a usnesení, které je jeho nedílnou součástí, Radě, Komisi a Účetnímu dvoru, a aby zajistila jeho zveřejnění v </w:t>
      </w:r>
      <w:r w:rsidRPr="005D19FF">
        <w:rPr>
          <w:i/>
        </w:rPr>
        <w:t>Úředním věstníku Evropské unie</w:t>
      </w:r>
      <w:r w:rsidRPr="005D19FF">
        <w:t xml:space="preserve"> (řada L).</w:t>
      </w:r>
    </w:p>
    <w:p w14:paraId="1A106AE6" w14:textId="77777777" w:rsidR="00C36A04" w:rsidRPr="005D19FF" w:rsidRDefault="00C36A04" w:rsidP="00C36A04"/>
    <w:p w14:paraId="02E1B367" w14:textId="77777777" w:rsidR="00C36A04" w:rsidRPr="005D19FF" w:rsidRDefault="00C36A04" w:rsidP="00C36A04">
      <w:pPr>
        <w:pStyle w:val="PageHeading"/>
        <w:sectPr w:rsidR="00C36A04" w:rsidRPr="005D19FF" w:rsidSect="006A155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B294FF" w14:textId="07EA87CD" w:rsidR="00C36A04" w:rsidRPr="005D19FF" w:rsidRDefault="00C36A04" w:rsidP="00067493">
      <w:pPr>
        <w:pStyle w:val="ATHeading3"/>
        <w:rPr>
          <w:noProof/>
        </w:rPr>
      </w:pPr>
      <w:bookmarkStart w:id="8" w:name="_Toc227138104"/>
      <w:bookmarkStart w:id="9" w:name="_Toc227230015"/>
      <w:r w:rsidRPr="005D19FF">
        <w:lastRenderedPageBreak/>
        <w:t xml:space="preserve">2. </w:t>
      </w:r>
      <w:r w:rsidR="00067493" w:rsidRPr="005D19FF">
        <w:t>Usnesení Evropského parlamentu</w:t>
      </w:r>
      <w:bookmarkEnd w:id="8"/>
      <w:bookmarkEnd w:id="9"/>
      <w:r w:rsidR="00067493" w:rsidRPr="005D19FF">
        <w:t xml:space="preserve"> ze dne 29. dubna 2026 </w:t>
      </w:r>
      <w:r w:rsidRPr="005D19FF">
        <w:t>obsahující připomínky, které jsou nedílnou součástí rozhodnutí o plnění souhrnného rozpočtu Evropské unie na rozpočtový rok 2024, oddíl I – Evropský parlament</w:t>
      </w:r>
      <w:r w:rsidR="00067493" w:rsidRPr="005D19FF">
        <w:t xml:space="preserve"> </w:t>
      </w:r>
      <w:r w:rsidRPr="005D19FF">
        <w:t>(2025/2146(DEC))</w:t>
      </w:r>
    </w:p>
    <w:p w14:paraId="630AC4E4" w14:textId="77777777" w:rsidR="00C36A04" w:rsidRPr="005D19FF" w:rsidRDefault="00C36A04" w:rsidP="00C36A04">
      <w:pPr>
        <w:pStyle w:val="EPComma"/>
        <w:rPr>
          <w:noProof/>
        </w:rPr>
      </w:pPr>
      <w:r w:rsidRPr="005D19FF">
        <w:rPr>
          <w:i/>
          <w:iCs/>
        </w:rPr>
        <w:t>Evropský parlament</w:t>
      </w:r>
      <w:r w:rsidRPr="005D19FF">
        <w:t>,</w:t>
      </w:r>
    </w:p>
    <w:p w14:paraId="2F3038E5" w14:textId="77777777" w:rsidR="00C36A04" w:rsidRPr="005D19FF" w:rsidRDefault="00C36A04" w:rsidP="00067493">
      <w:pPr>
        <w:pStyle w:val="NormalHanging12a"/>
        <w:rPr>
          <w:noProof/>
          <w:szCs w:val="24"/>
        </w:rPr>
      </w:pPr>
      <w:r w:rsidRPr="005D19FF">
        <w:t>–</w:t>
      </w:r>
      <w:r w:rsidRPr="005D19FF">
        <w:tab/>
        <w:t>s ohledem na své rozho</w:t>
      </w:r>
      <w:r w:rsidRPr="005D19FF">
        <w:rPr>
          <w:szCs w:val="24"/>
        </w:rPr>
        <w:t>dnutí o udělení absolutoria za plnění souhrnného rozpočtu Evropské unie na rozpočtový rok 2024, oddíl I – Evropský parlament,</w:t>
      </w:r>
    </w:p>
    <w:p w14:paraId="68036967" w14:textId="77777777" w:rsidR="00C36A04" w:rsidRPr="005D19FF" w:rsidRDefault="00C36A04" w:rsidP="00067493">
      <w:pPr>
        <w:pStyle w:val="NormalHanging12a"/>
        <w:rPr>
          <w:noProof/>
          <w:szCs w:val="24"/>
        </w:rPr>
      </w:pPr>
      <w:r w:rsidRPr="005D19FF">
        <w:rPr>
          <w:szCs w:val="24"/>
        </w:rPr>
        <w:t>–</w:t>
      </w:r>
      <w:r w:rsidRPr="005D19FF">
        <w:rPr>
          <w:szCs w:val="24"/>
        </w:rPr>
        <w:tab/>
        <w:t>s ohledem na článek 102, čl. 106 odst. 3 a přílohu V jednacího řádu,</w:t>
      </w:r>
    </w:p>
    <w:p w14:paraId="65EF87CE" w14:textId="77777777" w:rsidR="00C36A04" w:rsidRPr="005D19FF" w:rsidRDefault="00C36A04" w:rsidP="00067493">
      <w:pPr>
        <w:pStyle w:val="NormalHanging12a"/>
        <w:rPr>
          <w:szCs w:val="24"/>
        </w:rPr>
      </w:pPr>
      <w:r w:rsidRPr="005D19FF">
        <w:rPr>
          <w:szCs w:val="24"/>
        </w:rPr>
        <w:t>–</w:t>
      </w:r>
      <w:r w:rsidRPr="005D19FF">
        <w:rPr>
          <w:szCs w:val="24"/>
        </w:rPr>
        <w:tab/>
        <w:t>s ohledem na stanovisko Výboru pro práva žen a rovnost pohlaví,</w:t>
      </w:r>
    </w:p>
    <w:p w14:paraId="3139DF8D" w14:textId="77777777" w:rsidR="00C36A04" w:rsidRPr="005D19FF" w:rsidRDefault="00C36A04" w:rsidP="00067493">
      <w:pPr>
        <w:pStyle w:val="NormalHanging12a"/>
        <w:rPr>
          <w:szCs w:val="24"/>
        </w:rPr>
      </w:pPr>
      <w:r w:rsidRPr="005D19FF">
        <w:rPr>
          <w:szCs w:val="24"/>
        </w:rPr>
        <w:t>–</w:t>
      </w:r>
      <w:r w:rsidRPr="005D19FF">
        <w:rPr>
          <w:szCs w:val="24"/>
        </w:rPr>
        <w:tab/>
        <w:t>s ohledem na zprávu Výboru pro rozpočtovou kontrolu (A10-0081/2026),</w:t>
      </w:r>
    </w:p>
    <w:p w14:paraId="1441E56A" w14:textId="77777777" w:rsidR="00C36A04" w:rsidRPr="005D19FF" w:rsidRDefault="00C36A04" w:rsidP="00067493">
      <w:pPr>
        <w:pStyle w:val="NormalHanging12a"/>
        <w:rPr>
          <w:noProof/>
          <w:szCs w:val="24"/>
        </w:rPr>
      </w:pPr>
      <w:r w:rsidRPr="005D19FF">
        <w:rPr>
          <w:szCs w:val="24"/>
        </w:rPr>
        <w:t>A.</w:t>
      </w:r>
      <w:r w:rsidRPr="005D19FF">
        <w:rPr>
          <w:szCs w:val="24"/>
        </w:rPr>
        <w:tab/>
        <w:t>vzhledem k tomu, že v potvrzení konečné účetní závěrky účetní Evropského parlamentu (dále jen „Parlament“) prohlásil, že získal přiměřenou jistotu, že účetní závěrka poskytuje ve všech významných aspektech věrný a poctivý obraz finanční situace Parlamentu, výsledků jeho činností a jeho peněžních toků;</w:t>
      </w:r>
    </w:p>
    <w:p w14:paraId="3F0AC808" w14:textId="3CF68EEB" w:rsidR="00C36A04" w:rsidRPr="005D19FF" w:rsidRDefault="00C36A04" w:rsidP="00067493">
      <w:pPr>
        <w:pStyle w:val="NormalHanging12a"/>
        <w:rPr>
          <w:noProof/>
          <w:szCs w:val="24"/>
        </w:rPr>
      </w:pPr>
      <w:r w:rsidRPr="005D19FF">
        <w:rPr>
          <w:szCs w:val="24"/>
        </w:rPr>
        <w:t>B.</w:t>
      </w:r>
      <w:r w:rsidRPr="005D19FF">
        <w:rPr>
          <w:szCs w:val="24"/>
        </w:rPr>
        <w:tab/>
        <w:t>vzhledem k tomu, že v souladu s běžnými postupy bylo správě Parlamentu zasláno 55 otázek a obdržené písemné odpovědi Výbor pro rozpočtovou kontrolu dne 8.</w:t>
      </w:r>
      <w:r w:rsidR="00674455" w:rsidRPr="005D19FF">
        <w:rPr>
          <w:szCs w:val="24"/>
        </w:rPr>
        <w:t> </w:t>
      </w:r>
      <w:r w:rsidRPr="005D19FF">
        <w:rPr>
          <w:szCs w:val="24"/>
        </w:rPr>
        <w:t>prosince 2025 veřejně projednal v přítomnosti generálního tajemníka, místopředsedů Parlamentu odpovědných za rozpočet, interního auditora a ředitele Úřadu pro evropské politické strany a evropské politické nadace;</w:t>
      </w:r>
    </w:p>
    <w:p w14:paraId="1BA8C169" w14:textId="77777777" w:rsidR="00C36A04" w:rsidRPr="005D19FF" w:rsidRDefault="00C36A04" w:rsidP="00067493">
      <w:pPr>
        <w:pStyle w:val="NormalHanging12a"/>
        <w:rPr>
          <w:szCs w:val="24"/>
        </w:rPr>
      </w:pPr>
      <w:r w:rsidRPr="005D19FF">
        <w:rPr>
          <w:szCs w:val="24"/>
        </w:rPr>
        <w:t>C.</w:t>
      </w:r>
      <w:r w:rsidRPr="005D19FF">
        <w:rPr>
          <w:szCs w:val="24"/>
        </w:rPr>
        <w:tab/>
        <w:t>vzhledem k tomu, že vždy existuje prostor pro zlepšení a že kontrola je nezbytná k zajištění transparentnosti a bezúhonnosti politického vedení, poslanců a správy Parlamentu, a tím i jejich odpovědnosti vůči občanům Unie, a přispívá ke zvýšení kvality, účinnosti a účelnosti správy veřejných financí, včetně fiskální disciplíny, a zajišťuje důvěryhodnost Parlamentu při výkonu jeho funkce udělování absolutoria ostatním orgánům;</w:t>
      </w:r>
    </w:p>
    <w:p w14:paraId="34109F34" w14:textId="77777777" w:rsidR="00C36A04" w:rsidRPr="005D19FF" w:rsidRDefault="00C36A04" w:rsidP="00067493">
      <w:pPr>
        <w:pStyle w:val="NormalHanging12a"/>
        <w:rPr>
          <w:szCs w:val="24"/>
        </w:rPr>
      </w:pPr>
      <w:r w:rsidRPr="005D19FF">
        <w:rPr>
          <w:szCs w:val="24"/>
        </w:rPr>
        <w:t>D.</w:t>
      </w:r>
      <w:r w:rsidRPr="005D19FF">
        <w:rPr>
          <w:szCs w:val="24"/>
        </w:rPr>
        <w:tab/>
        <w:t xml:space="preserve">vzhledem k tomu, že právní jistota je jednou z hlavních zásad pro provádění správních rozhodnutí; vzhledem k tomu, že stále rostoucí počet pravidel a povinností může vést ke zmatkům a nejasnostem tam, kde je pro poslance a jejich kanceláře nezbytná právní jistota, což zavazuje správu k jasné, komplexní a právně spolehlivé komunikaci; </w:t>
      </w:r>
    </w:p>
    <w:p w14:paraId="7CB8615B" w14:textId="77777777" w:rsidR="00C36A04" w:rsidRPr="005D19FF" w:rsidRDefault="00C36A04" w:rsidP="00067493">
      <w:pPr>
        <w:pStyle w:val="NormalHanging12a"/>
        <w:rPr>
          <w:szCs w:val="24"/>
        </w:rPr>
      </w:pPr>
      <w:r w:rsidRPr="005D19FF">
        <w:rPr>
          <w:szCs w:val="24"/>
        </w:rPr>
        <w:t>E.</w:t>
      </w:r>
      <w:r w:rsidRPr="005D19FF">
        <w:rPr>
          <w:szCs w:val="24"/>
        </w:rPr>
        <w:tab/>
        <w:t xml:space="preserve">vzhledem k tomu, že poslanci dostávají od správy finanční a logistickou podporu, aby mohli plně vykonávat svůj mandát; vzhledem k tomu, že vztahy mezi poslanci, jejich kancelářemi a správou jsou založeny na vzájemné důvěře, která by měla být hlavní zásadou při poskytování finanční podpory poslancům; vzhledem k tomu, že by se to mělo odrazit v úrovni kontrol a přezkumů ex ante a ex post uplatňovaných správou; vzhledem k tomu, že je zřejmé, že nejlepším a nejúčinnějším způsobem provádění přezkumů a kontrol finančních nároků jsou jasné, přiměřené, cílené, standardizované a zjednodušené postupy, jejichž konečným cílem je zajistit co nejvyšší úroveň transparentnosti a odpovědnosti, zvýšit demokratickou legitimitu, a tím i důvěru občanů </w:t>
      </w:r>
      <w:r w:rsidRPr="008B0A17">
        <w:rPr>
          <w:szCs w:val="24"/>
        </w:rPr>
        <w:t>Unie</w:t>
      </w:r>
      <w:r w:rsidRPr="005D19FF">
        <w:rPr>
          <w:szCs w:val="24"/>
        </w:rPr>
        <w:t>;</w:t>
      </w:r>
    </w:p>
    <w:p w14:paraId="487BED99" w14:textId="77777777" w:rsidR="00C36A04" w:rsidRPr="005D19FF" w:rsidRDefault="00C36A04" w:rsidP="00067493">
      <w:pPr>
        <w:pStyle w:val="NormalHanging12a"/>
        <w:rPr>
          <w:szCs w:val="24"/>
        </w:rPr>
      </w:pPr>
      <w:r w:rsidRPr="005D19FF">
        <w:rPr>
          <w:szCs w:val="24"/>
        </w:rPr>
        <w:t>F.</w:t>
      </w:r>
      <w:r w:rsidRPr="005D19FF">
        <w:rPr>
          <w:szCs w:val="24"/>
        </w:rPr>
        <w:tab/>
        <w:t xml:space="preserve">vzhledem k tomu, že důvěra v integritu Parlamentu a v právní stát má zásadní význam pro fungování evropské demokracie při plném respektování práv občanů; </w:t>
      </w:r>
    </w:p>
    <w:p w14:paraId="5556E511" w14:textId="77777777" w:rsidR="00C36A04" w:rsidRPr="005D19FF" w:rsidRDefault="00C36A04" w:rsidP="00067493">
      <w:pPr>
        <w:pStyle w:val="NormalHanging12a"/>
        <w:rPr>
          <w:szCs w:val="24"/>
        </w:rPr>
      </w:pPr>
      <w:r w:rsidRPr="005D19FF">
        <w:rPr>
          <w:szCs w:val="24"/>
        </w:rPr>
        <w:lastRenderedPageBreak/>
        <w:t>G.</w:t>
      </w:r>
      <w:r w:rsidRPr="005D19FF">
        <w:rPr>
          <w:szCs w:val="24"/>
        </w:rPr>
        <w:tab/>
        <w:t>vzhledem k tomu, že poslanci jsou chráněni tím, že neodpovídají za odevzdané hlasy a názory vyjádřené při plnění svých povinností, a že jsou chráněni před stíháním a omezováním své osobní svobody při výkonu svého poslaneckého mandátu;</w:t>
      </w:r>
    </w:p>
    <w:p w14:paraId="019E98E4" w14:textId="77777777" w:rsidR="00C36A04" w:rsidRPr="005D19FF" w:rsidRDefault="00C36A04" w:rsidP="00067493">
      <w:pPr>
        <w:pStyle w:val="NormalHanging12a"/>
        <w:rPr>
          <w:szCs w:val="24"/>
        </w:rPr>
      </w:pPr>
      <w:r w:rsidRPr="005D19FF">
        <w:rPr>
          <w:szCs w:val="24"/>
        </w:rPr>
        <w:t>H.</w:t>
      </w:r>
      <w:r w:rsidRPr="005D19FF">
        <w:rPr>
          <w:szCs w:val="24"/>
        </w:rPr>
        <w:tab/>
        <w:t>vzhledem k tomu, že genderová rovnost a odstraňování nerovností jsou základními hodnotami Unie, které jsou zakotvené v článku 2 Smlouvy o Evropské unii (SEU); vzhledem k tomu, že Unie je odhodlána podporovat genderovou rovnost ve všech svých činnostech, jak je stanoveno v článku 8 Smlouvy o fungování Evropské unie, a že proto zavedla zásadu začleňování genderového hlediska a genderové rozpočtování;</w:t>
      </w:r>
    </w:p>
    <w:p w14:paraId="3C5C22E4" w14:textId="77777777" w:rsidR="00C36A04" w:rsidRPr="005D19FF" w:rsidRDefault="00C36A04" w:rsidP="00067493">
      <w:pPr>
        <w:pStyle w:val="NormalHanging12a"/>
        <w:rPr>
          <w:szCs w:val="24"/>
        </w:rPr>
      </w:pPr>
      <w:r w:rsidRPr="005D19FF">
        <w:rPr>
          <w:szCs w:val="24"/>
        </w:rPr>
        <w:t>I.</w:t>
      </w:r>
      <w:r w:rsidRPr="005D19FF">
        <w:rPr>
          <w:szCs w:val="24"/>
        </w:rPr>
        <w:tab/>
        <w:t>vzhledem k tomu, že podle článku 249 jednacího řádu má předsednictvo přijmout akční plán pro rovnost žen a mužů, s jehož pomocí má být genderové hledisko začleněno do všech činností Parlamentu;</w:t>
      </w:r>
    </w:p>
    <w:p w14:paraId="35B36A48" w14:textId="77777777" w:rsidR="00C36A04" w:rsidRPr="005D19FF" w:rsidRDefault="00C36A04" w:rsidP="00067493">
      <w:pPr>
        <w:spacing w:after="240"/>
        <w:ind w:left="567" w:hanging="567"/>
        <w:rPr>
          <w:b/>
          <w:bCs/>
          <w:i/>
          <w:iCs/>
          <w:szCs w:val="24"/>
          <w14:textOutline w14:w="0" w14:cap="flat" w14:cmpd="sng" w14:algn="ctr">
            <w14:noFill/>
            <w14:prstDash w14:val="solid"/>
            <w14:bevel/>
          </w14:textOutline>
        </w:rPr>
      </w:pPr>
      <w:r w:rsidRPr="005D19FF">
        <w:rPr>
          <w:b/>
          <w:i/>
          <w:szCs w:val="24"/>
          <w14:textOutline w14:w="0" w14:cap="flat" w14:cmpd="sng" w14:algn="ctr">
            <w14:noFill/>
            <w14:prstDash w14:val="solid"/>
            <w14:bevel/>
          </w14:textOutline>
        </w:rPr>
        <w:t>Rozpočtové a finanční řízení Parlamentu</w:t>
      </w:r>
    </w:p>
    <w:p w14:paraId="3F012F36"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1</w:t>
      </w:r>
      <w:r w:rsidRPr="005D19FF">
        <w:rPr>
          <w:szCs w:val="24"/>
        </w:rPr>
        <w:t>.</w:t>
      </w:r>
      <w:r w:rsidRPr="005D19FF">
        <w:rPr>
          <w:szCs w:val="24"/>
          <w14:textOutline w14:w="0" w14:cap="flat" w14:cmpd="sng" w14:algn="ctr">
            <w14:noFill/>
            <w14:prstDash w14:val="solid"/>
            <w14:bevel/>
          </w14:textOutline>
        </w:rPr>
        <w:tab/>
        <w:t>konstatuje, že konečná výše rozpočtových prostředků Parlamentu na rok 2024 činila 2 383 milionů EUR, tj. 20,2 % prostředků v okruhu 7 víceletého finančního rámce</w:t>
      </w:r>
      <w:r w:rsidRPr="005D19FF">
        <w:rPr>
          <w:rStyle w:val="FootnoteReference"/>
          <w:szCs w:val="24"/>
        </w:rPr>
        <w:footnoteReference w:id="8"/>
      </w:r>
      <w:r w:rsidRPr="005D19FF">
        <w:rPr>
          <w:szCs w:val="24"/>
          <w14:textOutline w14:w="0" w14:cap="flat" w14:cmpd="sng" w14:algn="ctr">
            <w14:noFill/>
            <w14:prstDash w14:val="solid"/>
            <w14:bevel/>
          </w14:textOutline>
        </w:rPr>
        <w:t xml:space="preserve"> vyčleněných na celkové správní výdaje orgánů Unie na rok 2024, což představuje zvýšení o 6,05 % oproti rozpočtu na rok 2023 (2 247 milionů EUR);</w:t>
      </w:r>
    </w:p>
    <w:p w14:paraId="2B7D0967"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2</w:t>
      </w:r>
      <w:r w:rsidRPr="005D19FF">
        <w:rPr>
          <w:szCs w:val="24"/>
        </w:rPr>
        <w:t>.</w:t>
      </w:r>
      <w:r w:rsidRPr="005D19FF">
        <w:rPr>
          <w:szCs w:val="24"/>
          <w14:textOutline w14:w="0" w14:cap="flat" w14:cmpd="sng" w14:algn="ctr">
            <w14:noFill/>
            <w14:prstDash w14:val="solid"/>
            <w14:bevel/>
          </w14:textOutline>
        </w:rPr>
        <w:tab/>
        <w:t>konstatuje, že celkové příjmy zaúčtované k 31. prosinci 2024 činily 281 517 001 EUR (oproti 255 205 473 EUR v roce 2023); konstatuje, že účelově vázané příjmy poskytnuté v roce 2024 činily 40 277 555 EUR (oproti 50 186 995 EUR v roce 2023);</w:t>
      </w:r>
    </w:p>
    <w:p w14:paraId="76DE85A3"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3</w:t>
      </w:r>
      <w:r w:rsidRPr="005D19FF">
        <w:rPr>
          <w:szCs w:val="24"/>
        </w:rPr>
        <w:t>.</w:t>
      </w:r>
      <w:r w:rsidRPr="005D19FF">
        <w:rPr>
          <w:szCs w:val="24"/>
          <w14:textOutline w14:w="0" w14:cap="flat" w14:cmpd="sng" w14:algn="ctr">
            <w14:noFill/>
            <w14:prstDash w14:val="solid"/>
            <w14:bevel/>
          </w14:textOutline>
        </w:rPr>
        <w:tab/>
        <w:t>konstatuje, že 85,7 % celkových prostředků na závazky bylo přiděleno těmto šesti kapitolám: kapitola 1 0 „Členové orgánu“, kapitola 1 2 „Úředníci a dočasní zaměstnanci“, kapitola 1 4 „Ostatní zaměstnanci a externí služby“, kapitola 2 0 „Nemovitosti a náklady s nimi spojené“, kapitola 2 1 „Výpočetní technika, zařízení a nábytek“ a kapitola 4 2 „Výdaje na parlamentní asistenci“</w:t>
      </w:r>
      <w:r w:rsidRPr="005D19FF">
        <w:rPr>
          <w:szCs w:val="24"/>
        </w:rPr>
        <w:t>;</w:t>
      </w:r>
    </w:p>
    <w:p w14:paraId="51B9BA85"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4.</w:t>
      </w:r>
      <w:r w:rsidRPr="005D19FF">
        <w:rPr>
          <w:szCs w:val="24"/>
          <w14:textOutline w14:w="0" w14:cap="flat" w14:cmpd="sng" w14:algn="ctr">
            <w14:noFill/>
            <w14:prstDash w14:val="solid"/>
            <w14:bevel/>
          </w14:textOutline>
        </w:rPr>
        <w:tab/>
        <w:t>bere na vědomí údaje, na jejichž základě byla účetní závěrka Parlamentu za rozpočtový rok 2024 uzavřena a které jsou uvedeny v roční účetní závěrce Evropského parlamentu za rozpočtový rok 2024, ve zprávě o rozpočtovém a finančním řízení za oddíl I: Evropský parlament a ve zprávě o zakázkách a koncesích udělených Evropským parlamentem;</w:t>
      </w:r>
    </w:p>
    <w:p w14:paraId="5D356757"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5</w:t>
      </w:r>
      <w:r w:rsidRPr="005D19FF">
        <w:rPr>
          <w:szCs w:val="24"/>
        </w:rPr>
        <w:t>.</w:t>
      </w:r>
      <w:r w:rsidRPr="005D19FF">
        <w:rPr>
          <w:szCs w:val="24"/>
          <w14:textOutline w14:w="0" w14:cap="flat" w14:cmpd="sng" w14:algn="ctr">
            <w14:noFill/>
            <w14:prstDash w14:val="solid"/>
            <w14:bevel/>
          </w14:textOutline>
        </w:rPr>
        <w:tab/>
        <w:t>konstatuje, že v rozpočtovém roce 2024 schválil Rozpočtový výbor Parlamentu v souladu s články 31 a 49 finančního nařízení 12 převodů ve výši 82 768 000 EUR neboli 3,47 % konečných prostředků (dále jen „převody typu C“); konstatuje, že předseda schválil v souladu s článkem 29 finančního nařízení 9 převodů ve výši 11 479 000 EUR neboli 0,4 % rozpočtu na rok 2024 (dále jen „převody typu P“);</w:t>
      </w:r>
    </w:p>
    <w:p w14:paraId="64CA6B71" w14:textId="77777777" w:rsidR="00C36A04" w:rsidRPr="005D19FF" w:rsidRDefault="00C36A04" w:rsidP="00067493">
      <w:pPr>
        <w:spacing w:after="240"/>
        <w:ind w:left="567" w:hanging="567"/>
        <w:rPr>
          <w:szCs w:val="24"/>
        </w:rPr>
      </w:pPr>
      <w:r w:rsidRPr="005D19FF">
        <w:rPr>
          <w:szCs w:val="24"/>
          <w14:textOutline w14:w="0" w14:cap="flat" w14:cmpd="sng" w14:algn="ctr">
            <w14:noFill/>
            <w14:prstDash w14:val="solid"/>
            <w14:bevel/>
          </w14:textOutline>
        </w:rPr>
        <w:t>6</w:t>
      </w:r>
      <w:r w:rsidRPr="005D19FF">
        <w:rPr>
          <w:szCs w:val="24"/>
        </w:rPr>
        <w:t>.</w:t>
      </w:r>
      <w:r w:rsidRPr="005D19FF">
        <w:rPr>
          <w:szCs w:val="24"/>
          <w14:textOutline w14:w="0" w14:cap="flat" w14:cmpd="sng" w14:algn="ctr">
            <w14:noFill/>
            <w14:prstDash w14:val="solid"/>
            <w14:bevel/>
          </w14:textOutline>
        </w:rPr>
        <w:tab/>
      </w:r>
      <w:r w:rsidRPr="005D19FF">
        <w:rPr>
          <w:szCs w:val="24"/>
        </w:rPr>
        <w:t xml:space="preserve">vítá závazek generálního tajemníka ke </w:t>
      </w:r>
      <w:r w:rsidRPr="005D19FF">
        <w:rPr>
          <w:szCs w:val="24"/>
          <w14:textOutline w14:w="0" w14:cap="flat" w14:cmpd="sng" w14:algn="ctr">
            <w14:noFill/>
            <w14:prstDash w14:val="solid"/>
            <w14:bevel/>
          </w14:textOutline>
        </w:rPr>
        <w:t>zjednodušení</w:t>
      </w:r>
      <w:r w:rsidRPr="005D19FF">
        <w:rPr>
          <w:szCs w:val="24"/>
        </w:rPr>
        <w:t xml:space="preserve">, řádné správě a posílení kontrolní funkce Parlamentu; s uspokojením konstatuje, že zjednodušení není pouze cílem, kterého má být dosaženo, ale hlavní zásadou, kterou je třeba systematicky uplatňovat ve všech oblastech činnosti Parlamentu, a zajistit tak účinnější a dostupnější administrativní postupy; vítá pokračující důraz na hlavní činnost Parlamentu, jeho legislativní, rozpočtovou a kontrolní činnost, a zejména vytvoření čtyř tematických </w:t>
      </w:r>
      <w:r w:rsidRPr="005D19FF">
        <w:rPr>
          <w:szCs w:val="24"/>
        </w:rPr>
        <w:lastRenderedPageBreak/>
        <w:t>generálních ředitelství, včetně generálního ředitelství pro rozpočtové záležitosti;</w:t>
      </w:r>
    </w:p>
    <w:p w14:paraId="4488AB09" w14:textId="77777777" w:rsidR="00C36A04" w:rsidRPr="005D19FF" w:rsidRDefault="00C36A04" w:rsidP="008B0A17">
      <w:pPr>
        <w:spacing w:after="240"/>
        <w:rPr>
          <w:b/>
          <w:bCs/>
          <w:i/>
          <w:iCs/>
          <w:szCs w:val="24"/>
          <w14:textOutline w14:w="0" w14:cap="flat" w14:cmpd="sng" w14:algn="ctr">
            <w14:noFill/>
            <w14:prstDash w14:val="solid"/>
            <w14:bevel/>
          </w14:textOutline>
        </w:rPr>
      </w:pPr>
      <w:r w:rsidRPr="005D19FF">
        <w:rPr>
          <w:b/>
          <w:i/>
          <w:szCs w:val="24"/>
          <w14:textOutline w14:w="0" w14:cap="flat" w14:cmpd="sng" w14:algn="ctr">
            <w14:noFill/>
            <w14:prstDash w14:val="solid"/>
            <w14:bevel/>
          </w14:textOutline>
        </w:rPr>
        <w:t>Výroky Evropského účetního dvora ve věci spolehlivosti účetní závěrky za rok 2024 a legality a správnosti transakcí, na nichž se zakládá</w:t>
      </w:r>
    </w:p>
    <w:p w14:paraId="4A166211"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7</w:t>
      </w:r>
      <w:r w:rsidRPr="005D19FF">
        <w:rPr>
          <w:szCs w:val="24"/>
        </w:rPr>
        <w:t>.</w:t>
      </w:r>
      <w:r w:rsidRPr="005D19FF">
        <w:rPr>
          <w:szCs w:val="24"/>
          <w14:textOutline w14:w="0" w14:cap="flat" w14:cmpd="sng" w14:algn="ctr">
            <w14:noFill/>
            <w14:prstDash w14:val="solid"/>
            <w14:bevel/>
          </w14:textOutline>
        </w:rPr>
        <w:tab/>
        <w:t>připomíná, že Evropský účetní dvůr (dále jen „Účetní dvůr“) provádí specifické posouzení správních a jiných výdajů jako jediné skupiny politik pro všechny orgány Unie; zdůrazňuje, že správní výdaje zahrnují výdaje na lidské zdroje, včetně důchodů, které v roce 2024 představovaly přibližně 69 % celkových správních výdajů, a výdaje na budovy, vybavení, energii, komunikaci a informační technologie; zdůrazňuje, že z mnohaleté práce Účetního dvora vyplývá, že tyto výdaje jsou celkově spojeny s nízkým rizikem;</w:t>
      </w:r>
    </w:p>
    <w:p w14:paraId="57BD124C"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8</w:t>
      </w:r>
      <w:r w:rsidRPr="005D19FF">
        <w:rPr>
          <w:szCs w:val="24"/>
        </w:rPr>
        <w:t>.</w:t>
      </w:r>
      <w:r w:rsidRPr="005D19FF">
        <w:rPr>
          <w:szCs w:val="24"/>
          <w14:textOutline w14:w="0" w14:cap="flat" w14:cmpd="sng" w14:algn="ctr">
            <w14:noFill/>
            <w14:prstDash w14:val="solid"/>
            <w14:bevel/>
          </w14:textOutline>
        </w:rPr>
        <w:tab/>
        <w:t>konstatuje, že okruh 7 víceletého finančního rámce „Evropská veřejná správa“ představoval 3 miliardy EUR neboli 6,9 % rozpočtu Unie v roce 2024, z čehož na Parlament připadlo 4 miliardy EUR neboli 18,1 %;</w:t>
      </w:r>
      <w:r w:rsidRPr="005D19FF">
        <w:rPr>
          <w:szCs w:val="24"/>
        </w:rPr>
        <w:t xml:space="preserve"> </w:t>
      </w:r>
      <w:r w:rsidRPr="005D19FF">
        <w:rPr>
          <w:szCs w:val="24"/>
          <w14:textOutline w14:w="0" w14:cap="flat" w14:cmpd="sng" w14:algn="ctr">
            <w14:noFill/>
            <w14:prstDash w14:val="solid"/>
            <w14:bevel/>
          </w14:textOutline>
        </w:rPr>
        <w:t>zdůrazňuje skutečnost, že Účetní dvůr shledal, že míra chyb ve výdajích na okruh „Evropská veřejná správa“ nebyla významná;</w:t>
      </w:r>
    </w:p>
    <w:p w14:paraId="0B73CB93" w14:textId="77777777" w:rsidR="00C36A04" w:rsidRPr="005D19FF" w:rsidRDefault="00C36A04" w:rsidP="00067493">
      <w:pPr>
        <w:spacing w:after="240"/>
        <w:ind w:left="567" w:hanging="567"/>
        <w:rPr>
          <w:szCs w:val="24"/>
        </w:rPr>
      </w:pPr>
      <w:r w:rsidRPr="005D19FF">
        <w:rPr>
          <w:szCs w:val="24"/>
          <w14:textOutline w14:w="0" w14:cap="flat" w14:cmpd="sng" w14:algn="ctr">
            <w14:noFill/>
            <w14:prstDash w14:val="solid"/>
            <w14:bevel/>
          </w14:textOutline>
        </w:rPr>
        <w:t>9</w:t>
      </w:r>
      <w:r w:rsidRPr="005D19FF">
        <w:rPr>
          <w:szCs w:val="24"/>
        </w:rPr>
        <w:t>.</w:t>
      </w:r>
      <w:r w:rsidRPr="005D19FF">
        <w:rPr>
          <w:szCs w:val="24"/>
          <w14:textOutline w14:w="0" w14:cap="flat" w14:cmpd="sng" w14:algn="ctr">
            <w14:noFill/>
            <w14:prstDash w14:val="solid"/>
            <w14:bevel/>
          </w14:textOutline>
        </w:rPr>
        <w:tab/>
        <w:t>konstatuje, že ve výroční zprávě Účetního dvora o plnění rozpočtu na rozpočtový rok 2024 byly konkrétně zkoumány systémy dohledu a kontroly Parlamentu, zejména uplatňování norem vnitřní kontroly, řízení rizik a fungování klíčových kontrol vymezených ve finančním nařízení, včetně kontrol ex ante a ex post u plateb, jakož i statisticky reprezentativní vzorek 70 operací pokrývající celé rozpětí výdajů v rámci tohoto okruhu víceletého finančního rámce a informace o dodržování pravidel a předpisů uvedené ve výročních zprávách o činnosti všech orgánů a institucí Unie;</w:t>
      </w:r>
    </w:p>
    <w:p w14:paraId="74557155" w14:textId="77777777" w:rsidR="00C36A04" w:rsidRPr="005D19FF" w:rsidRDefault="00C36A04" w:rsidP="00067493">
      <w:pPr>
        <w:pStyle w:val="NormalHanging12a"/>
        <w:rPr>
          <w:szCs w:val="24"/>
        </w:rPr>
      </w:pPr>
      <w:r w:rsidRPr="005D19FF">
        <w:rPr>
          <w:szCs w:val="24"/>
        </w:rPr>
        <w:t>10.</w:t>
      </w:r>
      <w:r w:rsidRPr="005D19FF">
        <w:rPr>
          <w:szCs w:val="24"/>
        </w:rPr>
        <w:tab/>
        <w:t>bere na vědomí připomínky Účetního dvora týkající se vnitřních předpisů Parlamentu; konstatuje, že správa Parlamentu podléhá finančnímu nařízení a jeho pravidlům pro zadávání veřejných zakázek; konstatuje však, že pro politické skupiny přijalo předsednictvo pravidla, jimiž se řídí používání prostředků z rozpočtové položky 400, která obsahují řadu specifických ustanovení pro některá zadávací řízení; připomíná, že politické skupiny spravují finanční prostředky, které jim byly přiděleny, v souladu se zásadami nepřímého řízení finančních prostředků za použití čl. 62 odst. 1 písm. c) finančního nařízení; domnívá se, že tato pravidla sama o sobě nahrazují „dohody o přiznání příspěvku“ ve smyslu čl. 158 odst. 7 finančního nařízení; zdůrazňuje, že jeden externí auditor pro každou skupinu vybraný ze seznamu auditorských společností sestaveného správou Parlamentu ověřuje jejich roční účetní závěrky, aby se zajistil soulad, který zajišťuje nestrannou úroveň kontroly; zdůrazňuje, že Účetní dvůr ve své výroční zprávě rovněž zkoumá činnost politických skupin;</w:t>
      </w:r>
    </w:p>
    <w:p w14:paraId="0CE9CD28" w14:textId="77777777" w:rsidR="00C36A04" w:rsidRPr="005D19FF" w:rsidRDefault="00C36A04" w:rsidP="00067493">
      <w:pPr>
        <w:pStyle w:val="NormalHanging12a"/>
        <w:rPr>
          <w:szCs w:val="24"/>
        </w:rPr>
      </w:pPr>
      <w:r w:rsidRPr="005D19FF">
        <w:rPr>
          <w:szCs w:val="24"/>
        </w:rPr>
        <w:t>11.</w:t>
      </w:r>
      <w:r w:rsidRPr="005D19FF">
        <w:rPr>
          <w:szCs w:val="24"/>
        </w:rPr>
        <w:tab/>
        <w:t xml:space="preserve">konstatuje, že na seznamu auditorských společností vybraných pro audit účetnictví politických skupin byli uvedeni pouze tři auditoři, a vyjadřuje politování nad omezeným výběrem; vyzývá Generální ředitelství pro finance (GŘ FINS), aby usilovalo o zařazení většího počtu externích auditorských společností na seznam tím, že bude aktivně zvát všechny kvalifikované evropské auditory, včetně těch, kteří sídlí mimo Belgii, a poskytne dostatečný počet možností, aby politické skupiny měly více alternativ pro výběr a mohly si zvolit auditora, který splňuje požadavky Rady pro mezinárodní auditorské a ověřovací standardy (IAASB) dále se domnívá, že rozpočty přidělené politickými skupinami na audity by měly být navýšeny, aby se zajistil důkladnější audit řádného finančního řízení a přilákalo širší spektrum odborníků v oblasti auditu; bere na vědomí pokyny a vodítka, která již byla poskytnuta externím auditorům, a vybízí GŘ </w:t>
      </w:r>
      <w:r w:rsidRPr="005D19FF">
        <w:rPr>
          <w:szCs w:val="24"/>
        </w:rPr>
        <w:lastRenderedPageBreak/>
        <w:t xml:space="preserve">FINS, aby zajistilo kvalitu externích auditů, které ověřují účetní závěrky politických skupin; </w:t>
      </w:r>
    </w:p>
    <w:p w14:paraId="00703401" w14:textId="77777777" w:rsidR="00C36A04" w:rsidRPr="005D19FF" w:rsidRDefault="00C36A04" w:rsidP="00067493">
      <w:pPr>
        <w:spacing w:after="240"/>
        <w:ind w:left="567" w:hanging="567"/>
        <w:rPr>
          <w:szCs w:val="24"/>
        </w:rPr>
      </w:pPr>
      <w:r w:rsidRPr="005D19FF">
        <w:rPr>
          <w:szCs w:val="24"/>
          <w14:textOutline w14:w="0" w14:cap="flat" w14:cmpd="sng" w14:algn="ctr">
            <w14:noFill/>
            <w14:prstDash w14:val="solid"/>
            <w14:bevel/>
          </w14:textOutline>
        </w:rPr>
        <w:t>12</w:t>
      </w:r>
      <w:r w:rsidRPr="005D19FF">
        <w:rPr>
          <w:szCs w:val="24"/>
        </w:rPr>
        <w:t>.</w:t>
      </w:r>
      <w:r w:rsidRPr="005D19FF">
        <w:rPr>
          <w:szCs w:val="24"/>
          <w14:textOutline w14:w="0" w14:cap="flat" w14:cmpd="sng" w14:algn="ctr">
            <w14:noFill/>
            <w14:prstDash w14:val="solid"/>
            <w14:bevel/>
          </w14:textOutline>
        </w:rPr>
        <w:tab/>
        <w:t>konstatuje, že podle čl. 1 odst. 4 pravidel pro používání prostředků z rozpočtové položky 400 jsou politické skupiny odpovědné orgánu za použití rozpočtových prostředků v rámci pravomocí, které jim svěřilo předsednictvo;</w:t>
      </w:r>
      <w:r w:rsidRPr="005D19FF">
        <w:rPr>
          <w:szCs w:val="24"/>
        </w:rPr>
        <w:t xml:space="preserve"> podotýká, že mají zajistit, aby byly prostředky využívány v souladu s těmito pravidly; vítá úsilí správy Parlamentu o pomoc politickým skupinám s cílem poskytnout vodítko pro jejich znalosti a kapacity v oblasti finančního řízení;</w:t>
      </w:r>
    </w:p>
    <w:p w14:paraId="6B87ADE1" w14:textId="77777777" w:rsidR="00C36A04" w:rsidRPr="005D19FF" w:rsidRDefault="00C36A04" w:rsidP="00067493">
      <w:pPr>
        <w:spacing w:after="240"/>
        <w:ind w:left="567" w:hanging="567"/>
        <w:rPr>
          <w:szCs w:val="24"/>
        </w:rPr>
      </w:pPr>
      <w:r w:rsidRPr="005D19FF">
        <w:rPr>
          <w:szCs w:val="24"/>
        </w:rPr>
        <w:t>13.</w:t>
      </w:r>
      <w:r w:rsidRPr="005D19FF">
        <w:rPr>
          <w:szCs w:val="24"/>
        </w:rPr>
        <w:tab/>
        <w:t>připomíná, že rozpočet Unie může být poskytnut evropským politickým stranám s ohledem na jejich přínos k formování evropského politického povědomí a k vyjadřování politické vůle občanů Unie; konstatuje, že Účetní dvůr provedl audit jedné transakce, u níž považoval výdaje za nezpůsobilé, a zjistil, že správa Parlamentu byla téhož názoru a provedla opatření k vymáhání souvisejících výdajů; vítá v tomto ohledu postup správy Parlamentu, zejména její závazek uplatňovat horizontální přístup, který zaručuje rovné zacházení se všemi politickými stranami;</w:t>
      </w:r>
    </w:p>
    <w:p w14:paraId="4F266E53" w14:textId="77777777" w:rsidR="00C36A04" w:rsidRPr="005D19FF" w:rsidRDefault="00C36A04" w:rsidP="00067493">
      <w:pPr>
        <w:spacing w:after="240"/>
        <w:ind w:left="567" w:hanging="567"/>
        <w:rPr>
          <w:b/>
          <w:bCs/>
          <w:i/>
          <w:iCs/>
          <w:szCs w:val="24"/>
          <w14:textOutline w14:w="0" w14:cap="flat" w14:cmpd="sng" w14:algn="ctr">
            <w14:noFill/>
            <w14:prstDash w14:val="solid"/>
            <w14:bevel/>
          </w14:textOutline>
        </w:rPr>
      </w:pPr>
      <w:r w:rsidRPr="005D19FF">
        <w:rPr>
          <w:b/>
          <w:i/>
          <w:szCs w:val="24"/>
          <w14:textOutline w14:w="0" w14:cap="flat" w14:cmpd="sng" w14:algn="ctr">
            <w14:noFill/>
            <w14:prstDash w14:val="solid"/>
            <w14:bevel/>
          </w14:textOutline>
        </w:rPr>
        <w:t>Výroční zpráva interního auditora</w:t>
      </w:r>
    </w:p>
    <w:p w14:paraId="10634697" w14:textId="77777777" w:rsidR="00C36A04" w:rsidRPr="005D19FF" w:rsidRDefault="00C36A04" w:rsidP="00067493">
      <w:pPr>
        <w:spacing w:after="240"/>
        <w:ind w:left="567" w:hanging="567"/>
        <w:rPr>
          <w:szCs w:val="24"/>
        </w:rPr>
      </w:pPr>
      <w:r w:rsidRPr="005D19FF">
        <w:rPr>
          <w:szCs w:val="24"/>
          <w14:textOutline w14:w="0" w14:cap="flat" w14:cmpd="sng" w14:algn="ctr">
            <w14:noFill/>
            <w14:prstDash w14:val="solid"/>
            <w14:bevel/>
          </w14:textOutline>
        </w:rPr>
        <w:t>14.</w:t>
      </w:r>
      <w:r w:rsidRPr="005D19FF">
        <w:rPr>
          <w:szCs w:val="24"/>
          <w14:textOutline w14:w="0" w14:cap="flat" w14:cmpd="sng" w14:algn="ctr">
            <w14:noFill/>
            <w14:prstDash w14:val="solid"/>
            <w14:bevel/>
          </w14:textOutline>
        </w:rPr>
        <w:tab/>
      </w:r>
      <w:r w:rsidRPr="005D19FF">
        <w:rPr>
          <w:szCs w:val="24"/>
        </w:rPr>
        <w:t>bere na vědomí, že na schůzce odpovědného výboru s interním auditorem, která se konala dne 8. prosince 2025, předložil interní auditor svou výroční zprávu;</w:t>
      </w:r>
    </w:p>
    <w:p w14:paraId="4B97B990" w14:textId="77777777" w:rsidR="00C36A04" w:rsidRPr="005D19FF" w:rsidRDefault="00C36A04" w:rsidP="00067493">
      <w:pPr>
        <w:spacing w:after="240"/>
        <w:ind w:left="567" w:hanging="567"/>
        <w:rPr>
          <w:szCs w:val="24"/>
        </w:rPr>
      </w:pPr>
      <w:r w:rsidRPr="005D19FF">
        <w:rPr>
          <w:szCs w:val="24"/>
          <w14:textOutline w14:w="0" w14:cap="flat" w14:cmpd="sng" w14:algn="ctr">
            <w14:noFill/>
            <w14:prstDash w14:val="solid"/>
            <w14:bevel/>
          </w14:textOutline>
        </w:rPr>
        <w:t>15.</w:t>
      </w:r>
      <w:r w:rsidRPr="005D19FF">
        <w:rPr>
          <w:szCs w:val="24"/>
          <w14:textOutline w14:w="0" w14:cap="flat" w14:cmpd="sng" w14:algn="ctr">
            <w14:noFill/>
            <w14:prstDash w14:val="solid"/>
            <w14:bevel/>
          </w14:textOutline>
        </w:rPr>
        <w:tab/>
      </w:r>
      <w:r w:rsidRPr="005D19FF">
        <w:rPr>
          <w:szCs w:val="24"/>
        </w:rPr>
        <w:t>vítá a podporuje opatření, na nichž se interní auditor dohodl s odpovědnými generálními ředitelstvími v návaznosti na úkoly týkající se ujištění o věrohodnosti útvaru interního auditu; konstatuje, že opatření přijatá v návaznosti na tato doporučení jsou systematicky kontrolována;</w:t>
      </w:r>
    </w:p>
    <w:p w14:paraId="16B6B7AF"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16.</w:t>
      </w:r>
      <w:r w:rsidRPr="005D19FF">
        <w:rPr>
          <w:szCs w:val="24"/>
          <w14:textOutline w14:w="0" w14:cap="flat" w14:cmpd="sng" w14:algn="ctr">
            <w14:noFill/>
            <w14:prstDash w14:val="solid"/>
            <w14:bevel/>
          </w14:textOutline>
        </w:rPr>
        <w:tab/>
        <w:t>konstatuje, že následný proces v roce 2024 vedl k tomu, že 24 z 57 opatření bylo považováno za účinně provedené, a tudíž je Útvar interního auditu potvrdil; konstatuje, že profil zbytkového rizika 33 dosud neprovedených opatření se týkal 24 opatření s významným rizikem souvisejících především s kybernetickou bezpečností a správou identit a přístupu; bere na vědomí posílenou spolupráci s generálním ředitelstvím pro informační technologie a kybernetickou bezpečnost (GŘ ITEC) při monitorování provádění a zbytkového rizika;</w:t>
      </w:r>
    </w:p>
    <w:p w14:paraId="7AB17D67" w14:textId="77777777" w:rsidR="00C36A04" w:rsidRPr="005D19FF" w:rsidRDefault="00C36A04" w:rsidP="00067493">
      <w:pPr>
        <w:pStyle w:val="NormalHanging12a"/>
        <w:rPr>
          <w:szCs w:val="24"/>
        </w:rPr>
      </w:pPr>
      <w:r w:rsidRPr="005D19FF">
        <w:rPr>
          <w:szCs w:val="24"/>
        </w:rPr>
        <w:t>17.</w:t>
      </w:r>
      <w:r w:rsidRPr="005D19FF">
        <w:rPr>
          <w:szCs w:val="24"/>
        </w:rPr>
        <w:tab/>
        <w:t>bere na vědomí, že v souladu s čl. 118 odst. 9 finančního nařízení zprávy a zjištění interního auditora i zpráva dotčeného orgánu Unie se zpřístupní veřejnosti poté, co interní auditor schválí opatření, přičemž se současně zajistí dodržení pravidel ochrany údajů a důvěrnosti; konstatuje, že v praxi jsou zprávy zveřejňovány teprve poté, co byla provedena všechna doporučení; bere na vědomí, že členové Výboru pro rozpočtovou kontrolu Parlamentu mají právo požadovat důvěrný přístup ke zprávě o interním auditu v souvislosti s postupem udělování absolutoria, a vítá skutečnost, že interní auditor podává Výboru pro rozpočtovou kontrolu Parlamentu zprávu o provedených ročních auditních činnostech;</w:t>
      </w:r>
    </w:p>
    <w:p w14:paraId="0624C78A"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18.</w:t>
      </w:r>
      <w:r w:rsidRPr="005D19FF">
        <w:rPr>
          <w:szCs w:val="24"/>
          <w14:textOutline w14:w="0" w14:cap="flat" w14:cmpd="sng" w14:algn="ctr">
            <w14:noFill/>
            <w14:prstDash w14:val="solid"/>
            <w14:bevel/>
          </w14:textOutline>
        </w:rPr>
        <w:tab/>
        <w:t xml:space="preserve">vítá pokračující program Útvaru interního auditu pro zajišťování a zlepšování kvality, který je především přípravou na zavedení nových globálních standardů interního auditu, jež měly nabýt účinnosti v lednu 2025; vítá zejména přijetí aktualizované charty auditu předsednictvem a přípravu strategie pro funkci interního auditu na období 2025–2029, která výrazně odráží potřebu pozitivních změn a etického přístupu; považuje skutečnost, že 70 % zaměstnanců Útvaru interního auditu složilo certifikační zkoušku pro interního </w:t>
      </w:r>
      <w:r w:rsidRPr="005D19FF">
        <w:rPr>
          <w:szCs w:val="24"/>
          <w14:textOutline w14:w="0" w14:cap="flat" w14:cmpd="sng" w14:algn="ctr">
            <w14:noFill/>
            <w14:prstDash w14:val="solid"/>
            <w14:bevel/>
          </w14:textOutline>
        </w:rPr>
        <w:lastRenderedPageBreak/>
        <w:t>auditora, za další ukazatel zlepšování kvality;</w:t>
      </w:r>
    </w:p>
    <w:p w14:paraId="4C07BAFF"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b/>
          <w:i/>
          <w:szCs w:val="24"/>
          <w14:textOutline w14:w="0" w14:cap="flat" w14:cmpd="sng" w14:algn="ctr">
            <w14:noFill/>
            <w14:prstDash w14:val="solid"/>
            <w14:bevel/>
          </w14:textOutline>
        </w:rPr>
        <w:t>Politické priority</w:t>
      </w:r>
    </w:p>
    <w:p w14:paraId="5F9D9583" w14:textId="77777777" w:rsidR="00C36A04" w:rsidRPr="005D19FF" w:rsidRDefault="00C36A04" w:rsidP="00067493">
      <w:pPr>
        <w:pStyle w:val="NormalHanging12a"/>
        <w:rPr>
          <w:szCs w:val="24"/>
        </w:rPr>
      </w:pPr>
      <w:r w:rsidRPr="005D19FF">
        <w:rPr>
          <w:szCs w:val="24"/>
        </w:rPr>
        <w:t>19.</w:t>
      </w:r>
      <w:r w:rsidRPr="005D19FF">
        <w:rPr>
          <w:szCs w:val="24"/>
        </w:rPr>
        <w:tab/>
        <w:t>připomíná, že v souladu s články 1.3.2, 2.7.1 a 2.7.2 pravidel pro používání prostředků z rozpočtové položky 400 předložila bývalá politická skupina Identita a demokracie (skupina ID) dne 8. října 2024 závěrečnou finanční zprávu za období od 1. ledna do 15. července 2024; připomíná, že správa Parlamentu obdržela kompletní finanční archiv skupiny ID v elektronické i papírové podobě a provedla následnou kontrolu účtů za rok 2024 založenou na posouzení rizik, přičemž se zaměřila na kontrolu konzistence a testování vzorků vysoce rizikových smluv a darů; připomíná zjištění správy Parlamentu, že skupina v průběhu funkčního období 2019–2024 neoprávněně vynaložila prostředky ve výši nejméně 4 333 635,78 EUR z rozpočtové položky 400, čímž vystavila Parlament značnému finančnímu riziku a riziku poškození dobré pověsti; byly zjištěny nedostatky v postupech zadávání veřejných zakázek, které představují významné riziko pro pověst Parlamentu;</w:t>
      </w:r>
    </w:p>
    <w:p w14:paraId="3B7DAA5E" w14:textId="77777777" w:rsidR="00C36A04" w:rsidRPr="005D19FF" w:rsidRDefault="00C36A04" w:rsidP="00067493">
      <w:pPr>
        <w:pStyle w:val="NormalHanging12a"/>
        <w:rPr>
          <w:szCs w:val="24"/>
        </w:rPr>
      </w:pPr>
      <w:r w:rsidRPr="005D19FF">
        <w:rPr>
          <w:szCs w:val="24"/>
        </w:rPr>
        <w:t>20.</w:t>
      </w:r>
      <w:r w:rsidRPr="005D19FF">
        <w:rPr>
          <w:szCs w:val="24"/>
        </w:rPr>
        <w:tab/>
        <w:t>konstatuje, že Úřad evropského veřejného žalobce (EPPO) v červenci 2025 oznámil, že zahájil vyšetřování údajného zneužití finančních prostředků Unie skupinou ID v letech 2019–2024;</w:t>
      </w:r>
    </w:p>
    <w:p w14:paraId="5EFDA194" w14:textId="77777777" w:rsidR="00C36A04" w:rsidRPr="005D19FF" w:rsidRDefault="00C36A04" w:rsidP="00067493">
      <w:pPr>
        <w:pStyle w:val="NormalHanging12a"/>
        <w:rPr>
          <w:szCs w:val="24"/>
        </w:rPr>
      </w:pPr>
      <w:r w:rsidRPr="005D19FF">
        <w:rPr>
          <w:szCs w:val="24"/>
        </w:rPr>
        <w:t>21.</w:t>
      </w:r>
      <w:r w:rsidRPr="005D19FF">
        <w:rPr>
          <w:szCs w:val="24"/>
        </w:rPr>
        <w:tab/>
        <w:t xml:space="preserve">zdůrazňuje, že správa Parlamentu předala spis a plně spolupracuje na vyšetřování úřadu EPPO; konstatuje, že předsednictvo čeká na výsledek vyšetřování úřadu EPPO předtím, než přijme opatření k vymáhání; vyzývá předsednictvo, aby před zahájením příštího cyklu udělování absolutoria poskytlo Výboru pro rozpočtovou kontrolu Parlamentu písemnou informaci o aktuálním stavu; vyzývá správu Parlamentu, aby v zájmu ochrany finančních zájmů Unie a dobrého jména Parlamentu souběžně s trestním vyšetřováním úřadu EPPO přijala veškerá nezbytná opatření, jež budou zahrnovat správní předběžná ochranná opatření (včetně preventivních započtení nebo rezerv, je-li to právně proveditelné); domnívá se, že podle čl. 3 odst. 3 pracovního ujednání mezi Evropským parlamentem a Úřadem evropského veřejného žalobce bude úřad EPPO informovat Parlament o probíhajících nebo ukončených vyšetřováních, u nichž se zdá, že Parlament je schopen přijmout preventivní opatření na ochranu finančních zájmů Unie, včetně zahájení disciplinárních řízení nebo řízení o vymáhání prostředků v příslušných lhůtách; upozorňuje, že trestní řízení by nemělo být automaticky používáno jako obecné ospravedlnění případné nečinnosti; </w:t>
      </w:r>
    </w:p>
    <w:p w14:paraId="432C84E8" w14:textId="77777777" w:rsidR="00C36A04" w:rsidRPr="005D19FF" w:rsidRDefault="00C36A04" w:rsidP="00067493">
      <w:pPr>
        <w:pStyle w:val="NormalHanging12a"/>
        <w:rPr>
          <w:szCs w:val="24"/>
        </w:rPr>
      </w:pPr>
      <w:r w:rsidRPr="005D19FF">
        <w:rPr>
          <w:szCs w:val="24"/>
        </w:rPr>
        <w:t>22.</w:t>
      </w:r>
      <w:r w:rsidRPr="005D19FF">
        <w:rPr>
          <w:szCs w:val="24"/>
        </w:rPr>
        <w:tab/>
        <w:t>vyzývá předsednictvo, aby zajistilo, že externí auditoři budou postupovat zcela v souladu s pověřeními uvedenými v dohodě o spolupráci, a aby pro budoucí audity zajistilo odpovídající dohled externích auditorů nad skupinami tím, že externím auditorům poskytne více hodin k výkonu jejich úlohy dohledu; vyzývá GŘ FINS, aby zajistilo odpovídající personální obsazení GŘ FINS odpovědného za rozpočtovou položku 400 a poskytlo jasnější pokyny ke správnému výkladu pravidel pro rozpočtovou položku 400, aby se předešlo rozporům mezi postoji externích auditorů a GŘ FINS při plném respektování nezávislosti auditorů, zejména pokud jde o zadávání veřejných zakázek, a aby skupinám poskytovalo více školení a podpory v oblasti zadávání veřejných zakázek;</w:t>
      </w:r>
    </w:p>
    <w:p w14:paraId="1DF37F77" w14:textId="77777777" w:rsidR="00C36A04" w:rsidRPr="005D19FF" w:rsidRDefault="00C36A04" w:rsidP="00067493">
      <w:pPr>
        <w:pStyle w:val="NormalHanging12a"/>
        <w:rPr>
          <w:bCs/>
          <w:iCs/>
          <w:szCs w:val="24"/>
        </w:rPr>
      </w:pPr>
      <w:r w:rsidRPr="005D19FF">
        <w:rPr>
          <w:szCs w:val="24"/>
        </w:rPr>
        <w:t>23.</w:t>
      </w:r>
      <w:r w:rsidRPr="005D19FF">
        <w:rPr>
          <w:szCs w:val="24"/>
        </w:rPr>
        <w:tab/>
        <w:t>vyzývá generálního tajemníka, aby zahájil zkoumání systému externího auditu zavedeného pro rozpočtovou položku 400;</w:t>
      </w:r>
    </w:p>
    <w:p w14:paraId="216DC123" w14:textId="77777777" w:rsidR="00C36A04" w:rsidRPr="005D19FF" w:rsidRDefault="00C36A04" w:rsidP="00067493">
      <w:pPr>
        <w:pStyle w:val="NormalHanging12a"/>
        <w:rPr>
          <w:bCs/>
          <w:iCs/>
          <w:szCs w:val="24"/>
        </w:rPr>
      </w:pPr>
      <w:r w:rsidRPr="005D19FF">
        <w:rPr>
          <w:szCs w:val="24"/>
        </w:rPr>
        <w:t>24.</w:t>
      </w:r>
      <w:r w:rsidRPr="005D19FF">
        <w:rPr>
          <w:szCs w:val="24"/>
        </w:rPr>
        <w:tab/>
        <w:t xml:space="preserve">s potěšením konstatuje, že Parlament je platformou pro zvyšování informovanosti </w:t>
      </w:r>
      <w:r w:rsidRPr="005D19FF">
        <w:rPr>
          <w:szCs w:val="24"/>
        </w:rPr>
        <w:lastRenderedPageBreak/>
        <w:t>o genderově podmíněném a domácím násilí, a zdůrazňuje, že je důležité, aby Unie a Parlament při svých misích pomáhaly prosazovat genderovou rovnost, mimo jiné v rámci misí, které poskytují pomoc, ochranu a základní služby ženám a dívkám, které se staly obětmi sexuálního násilí během nebo po odeznění konfliktu;</w:t>
      </w:r>
    </w:p>
    <w:p w14:paraId="0A972B71" w14:textId="77777777" w:rsidR="00C36A04" w:rsidRPr="005D19FF" w:rsidRDefault="00C36A04" w:rsidP="00067493">
      <w:pPr>
        <w:pStyle w:val="NormalHanging12a"/>
        <w:rPr>
          <w:bCs/>
          <w:iCs/>
          <w:szCs w:val="24"/>
        </w:rPr>
      </w:pPr>
      <w:r w:rsidRPr="005D19FF">
        <w:rPr>
          <w:szCs w:val="24"/>
        </w:rPr>
        <w:t>25.</w:t>
      </w:r>
      <w:r w:rsidRPr="005D19FF">
        <w:rPr>
          <w:szCs w:val="24"/>
        </w:rPr>
        <w:tab/>
        <w:t>připomíná stanovisko Výboru pro rozpočtovou kontrolu Parlamentu pro předsednictvo politické skupiny Identita a demokracie – rozpuštění a závěrečná finanční zpráva 2024, schválené dne 4. září 2025, v němž se vyzývá ke zvážení možnosti neprodleného zahájení požadovaných postupů s cílem co nejdříve získat zpět částku nezpůsobilých výdajů, posoudit případnou odpovědnost odpovědných (bývalých) poslanců a nadřízených orgánů za úmyslnou nebo hrubou nedbalost při schvalování nesprávných výdajů; doporučuje předsednictvu, aby na dobu trvání vyšetřování vyřadilo externího auditora, který ověřil účetní závěrku skupiny ID, ze seznamu schválených externích auditorských společností poskytnutého politickým skupinám, neprodleně vyřazeného auditora nahradilo a zajistilo, aby politické skupiny měly k dispozici dostatečný počet alternativních možností; očekává, že správa Parlamentu provede analýzu účtů skupiny Patrioti pro Evropu (</w:t>
      </w:r>
      <w:proofErr w:type="spellStart"/>
      <w:r w:rsidRPr="005D19FF">
        <w:rPr>
          <w:szCs w:val="24"/>
        </w:rPr>
        <w:t>PfE</w:t>
      </w:r>
      <w:proofErr w:type="spellEnd"/>
      <w:r w:rsidRPr="005D19FF">
        <w:rPr>
          <w:szCs w:val="24"/>
        </w:rPr>
        <w:t>) za rok 2024;</w:t>
      </w:r>
    </w:p>
    <w:p w14:paraId="5CE79820" w14:textId="74352A20" w:rsidR="00C36A04" w:rsidRPr="005D19FF" w:rsidRDefault="00C36A04" w:rsidP="00067493">
      <w:pPr>
        <w:pStyle w:val="NormalHanging12a"/>
        <w:rPr>
          <w:szCs w:val="24"/>
        </w:rPr>
      </w:pPr>
      <w:r w:rsidRPr="005D19FF">
        <w:rPr>
          <w:szCs w:val="24"/>
        </w:rPr>
        <w:t>2</w:t>
      </w:r>
      <w:r w:rsidR="00AD2E1E">
        <w:rPr>
          <w:szCs w:val="24"/>
        </w:rPr>
        <w:t>6</w:t>
      </w:r>
      <w:r w:rsidRPr="005D19FF">
        <w:rPr>
          <w:szCs w:val="24"/>
        </w:rPr>
        <w:t>.</w:t>
      </w:r>
      <w:r w:rsidRPr="005D19FF">
        <w:rPr>
          <w:szCs w:val="24"/>
        </w:rPr>
        <w:tab/>
        <w:t>konstatuje, že politické skupiny mají značnou nezávislost ohledně svých služeb v oblasti IT, které se používají k ukládání informací souvisejících s jejich činností; konstatuje, že v geopoliticky neklidném světě by tyto údaje měly být uchovávány na evropských serverech evropskými poskytovateli, aby se předešlo vnější závislosti a rizikům; vítá proto nedávné oznámení o vytvoření bezpečné a suverénní cloudové infrastruktury, která tuto závislost odstraní;</w:t>
      </w:r>
    </w:p>
    <w:p w14:paraId="3BC3EC00" w14:textId="369E13C0" w:rsidR="00C36A04" w:rsidRPr="005D19FF" w:rsidRDefault="00C36A04" w:rsidP="00067493">
      <w:pPr>
        <w:pStyle w:val="NormalHanging12a"/>
        <w:rPr>
          <w:szCs w:val="24"/>
        </w:rPr>
      </w:pPr>
      <w:r w:rsidRPr="005D19FF">
        <w:rPr>
          <w:szCs w:val="24"/>
        </w:rPr>
        <w:t>2</w:t>
      </w:r>
      <w:r w:rsidR="00AD2E1E">
        <w:rPr>
          <w:szCs w:val="24"/>
        </w:rPr>
        <w:t>7</w:t>
      </w:r>
      <w:r w:rsidRPr="005D19FF">
        <w:rPr>
          <w:szCs w:val="24"/>
        </w:rPr>
        <w:t>.</w:t>
      </w:r>
      <w:r w:rsidRPr="005D19FF">
        <w:rPr>
          <w:szCs w:val="24"/>
        </w:rPr>
        <w:tab/>
        <w:t>zdůrazňuje, že je důležité zachovat institucionální integritu a zabránit nezákonnému vměšování zvnějšku; odsuzuje veškeré nepatřičné pokusy o ovlivňování legislativní činnosti Parlamentu;</w:t>
      </w:r>
    </w:p>
    <w:p w14:paraId="664196D0" w14:textId="69687C8C" w:rsidR="00C36A04" w:rsidRPr="005D19FF" w:rsidRDefault="00C36A04" w:rsidP="00067493">
      <w:pPr>
        <w:pStyle w:val="NormalHanging12a"/>
        <w:rPr>
          <w:bCs/>
          <w:iCs/>
          <w:szCs w:val="24"/>
        </w:rPr>
      </w:pPr>
      <w:r w:rsidRPr="005D19FF">
        <w:rPr>
          <w:szCs w:val="24"/>
        </w:rPr>
        <w:t>2</w:t>
      </w:r>
      <w:r w:rsidR="00AD2E1E">
        <w:rPr>
          <w:szCs w:val="24"/>
        </w:rPr>
        <w:t>8</w:t>
      </w:r>
      <w:r w:rsidRPr="005D19FF">
        <w:rPr>
          <w:szCs w:val="24"/>
        </w:rPr>
        <w:t>.</w:t>
      </w:r>
      <w:r w:rsidRPr="005D19FF">
        <w:rPr>
          <w:szCs w:val="24"/>
        </w:rPr>
        <w:tab/>
        <w:t>konstatuje, že Komise bere na vědomí obvinění týkající se využívání finančních prostředků Unie na činnosti prosazování zájmů zaměřené na Parlament ze strany několika subjektů, avšak uvedla, že tyto činnosti spadají do oblasti působnosti platného nařízení; uznává však, že tímto způsobem mohlo dojít k ohrožení dobré pověsti;</w:t>
      </w:r>
    </w:p>
    <w:p w14:paraId="7D438918" w14:textId="687EF1DB" w:rsidR="00C36A04" w:rsidRPr="005D19FF" w:rsidRDefault="00AD2E1E" w:rsidP="00067493">
      <w:pPr>
        <w:pStyle w:val="NormalHanging12a"/>
        <w:rPr>
          <w:szCs w:val="24"/>
        </w:rPr>
      </w:pPr>
      <w:r>
        <w:rPr>
          <w:szCs w:val="24"/>
        </w:rPr>
        <w:t>29</w:t>
      </w:r>
      <w:r w:rsidR="00C36A04" w:rsidRPr="005D19FF">
        <w:rPr>
          <w:szCs w:val="24"/>
        </w:rPr>
        <w:t>.</w:t>
      </w:r>
      <w:r w:rsidR="00C36A04" w:rsidRPr="005D19FF">
        <w:rPr>
          <w:szCs w:val="24"/>
        </w:rPr>
        <w:tab/>
        <w:t>připomíná, že obvinění z ruského vlivu v Parlamentu představovala vážné riziko pro demokratickou integritu, a konstatuje, že někteří poslanci otevřeně podporovali Rusko, a to i svými vedlejšími aktivitami, což zdůrazňuje potřebu silnějších ochranných opatření; konstatuje, že reakce Parlamentu na zahraniční vměšování se stala ostražitější, je však třeba přijmout důraznější opatření, aby byla zajištěna účinná ochrana před nepatřičným vnějším vlivem; v této souvislosti zdůrazňuje zásadní odpovědnost Evropského úřadu pro boj proti podvodům (OLAF) za provedení všech nezbytných hloubkových šetření;</w:t>
      </w:r>
    </w:p>
    <w:p w14:paraId="22EF4E43" w14:textId="69114715" w:rsidR="00C36A04" w:rsidRPr="005D19FF" w:rsidRDefault="00C36A04" w:rsidP="00067493">
      <w:pPr>
        <w:pStyle w:val="NormalHanging12a"/>
        <w:rPr>
          <w:bCs/>
          <w:iCs/>
          <w:szCs w:val="24"/>
        </w:rPr>
      </w:pPr>
      <w:r w:rsidRPr="005D19FF">
        <w:rPr>
          <w:szCs w:val="24"/>
        </w:rPr>
        <w:t>3</w:t>
      </w:r>
      <w:r w:rsidR="00AD2E1E">
        <w:rPr>
          <w:szCs w:val="24"/>
        </w:rPr>
        <w:t>0</w:t>
      </w:r>
      <w:r w:rsidRPr="005D19FF">
        <w:rPr>
          <w:szCs w:val="24"/>
        </w:rPr>
        <w:t>.</w:t>
      </w:r>
      <w:r w:rsidRPr="005D19FF">
        <w:rPr>
          <w:szCs w:val="24"/>
        </w:rPr>
        <w:tab/>
        <w:t>konstatuje, že rok 2024, včetně období před volbami do Evropského parlamentu, byl poznamenán zvýšeným rizikem zahraničního vměšování a vlivových operací namířených proti demokratickým institucím a voleným zástupcům; připomíná, že veřejná obvinění a vyšetřování týkající se pokusů ovlivnit politické postoje a chování voličů zdůrazňují potřebu spolehlivých preventivních a detekčních mechanismů v Parlamentu; vyzývá proto Parlament, aby zajistil vnitřní záruky, požadavky na transparentnost a spolupráci s příslušnými orgány Unie s cílem chránit integritu Parlamentu a rozpočtu Unie;</w:t>
      </w:r>
    </w:p>
    <w:p w14:paraId="519A3396" w14:textId="56E0D961" w:rsidR="00C36A04" w:rsidRPr="005D19FF" w:rsidRDefault="00C36A04" w:rsidP="00067493">
      <w:pPr>
        <w:pStyle w:val="NormalHanging12a"/>
        <w:rPr>
          <w:szCs w:val="24"/>
        </w:rPr>
      </w:pPr>
      <w:r w:rsidRPr="005D19FF">
        <w:rPr>
          <w:szCs w:val="24"/>
        </w:rPr>
        <w:lastRenderedPageBreak/>
        <w:t>3</w:t>
      </w:r>
      <w:r w:rsidR="00AD2E1E">
        <w:rPr>
          <w:szCs w:val="24"/>
        </w:rPr>
        <w:t>1</w:t>
      </w:r>
      <w:r w:rsidRPr="005D19FF">
        <w:rPr>
          <w:szCs w:val="24"/>
        </w:rPr>
        <w:t>.</w:t>
      </w:r>
      <w:r w:rsidRPr="005D19FF">
        <w:rPr>
          <w:szCs w:val="24"/>
        </w:rPr>
        <w:tab/>
        <w:t>připomíná, že článek 4 kodexu chování poslanců Evropského parlamentu týkající se integrity a transparentnosti vyžaduje, aby poslanci předkládali přesná prohlášení o finančních zájmech; vyzývá k uvádění dostatečných podrobností v prohlášeních o placených nebo neplacených externích aktivitách, aby se předešlo jakýmkoli obavám ohledně kvality kontrol střetu zájmů, jež jsou nezbytné pro zajištění účinné prevence, identifikace a řízení střetů zájmů;</w:t>
      </w:r>
    </w:p>
    <w:p w14:paraId="23B9D3C4" w14:textId="0B003589" w:rsidR="00C36A04" w:rsidRPr="005D19FF" w:rsidRDefault="00C36A04" w:rsidP="00067493">
      <w:pPr>
        <w:pStyle w:val="NormalHanging12a"/>
        <w:rPr>
          <w:bCs/>
          <w:iCs/>
          <w:szCs w:val="24"/>
        </w:rPr>
      </w:pPr>
      <w:r w:rsidRPr="005D19FF">
        <w:rPr>
          <w:szCs w:val="24"/>
        </w:rPr>
        <w:t>3</w:t>
      </w:r>
      <w:r w:rsidR="00AD2E1E">
        <w:rPr>
          <w:szCs w:val="24"/>
        </w:rPr>
        <w:t>2</w:t>
      </w:r>
      <w:r w:rsidRPr="005D19FF">
        <w:rPr>
          <w:szCs w:val="24"/>
        </w:rPr>
        <w:t>.</w:t>
      </w:r>
      <w:r w:rsidRPr="005D19FF">
        <w:rPr>
          <w:szCs w:val="24"/>
        </w:rPr>
        <w:tab/>
        <w:t>v zájmu transparentnosti bere na vědomí povinné zveřejňování schůzí a prohlášení o soukromých zájmech, zejména prohlášení o materiální a finanční podpoře; konstatuje však, že ve stávajícím rámci se opakovaně objevují problémy týkající se úplnosti a srozumitelnosti, což může snižovat jeho celkovou účinnost; domnívá se, že je třeba věnovat zvýšenou pozornost zlepšení pokynů pro poslance a přiměřeným a konzistentním následným opatřením ze strany správy v případech, kdy se prohlášení ukáží být nepřesná nebo nekonzistentní, a to zejména s ohledem na obavy související se zahraničními zásahy;</w:t>
      </w:r>
    </w:p>
    <w:p w14:paraId="2AFDCA9D" w14:textId="22126D56" w:rsidR="00C36A04" w:rsidRPr="005D19FF" w:rsidRDefault="00C36A04" w:rsidP="00067493">
      <w:pPr>
        <w:pStyle w:val="NormalHanging12a"/>
        <w:rPr>
          <w:szCs w:val="24"/>
        </w:rPr>
      </w:pPr>
      <w:r w:rsidRPr="005D19FF">
        <w:rPr>
          <w:szCs w:val="24"/>
        </w:rPr>
        <w:t>3</w:t>
      </w:r>
      <w:r w:rsidR="00AD2E1E">
        <w:rPr>
          <w:szCs w:val="24"/>
        </w:rPr>
        <w:t>3</w:t>
      </w:r>
      <w:r w:rsidRPr="005D19FF">
        <w:rPr>
          <w:szCs w:val="24"/>
        </w:rPr>
        <w:t>.</w:t>
      </w:r>
      <w:r w:rsidRPr="005D19FF">
        <w:rPr>
          <w:szCs w:val="24"/>
        </w:rPr>
        <w:tab/>
        <w:t>vyjadřuje vážné znepokojení nad obviněními, že se členské státy zapojily do špionáže a zaměřily se na Parlament; konstatuje, že Komise zřídila interní skupinu, která tato tvrzení prošetří; vyzývá k úzké spolupráci mezi Parlamentem a Komisí a naléhavě vyzývá Komisi, aby sdílela zjištění pracovní skupiny s Parlamentem za předpokladu, že toto sdílení neohrozí probíhající nebo potenciální soudní řízení;</w:t>
      </w:r>
    </w:p>
    <w:p w14:paraId="6552BCA7" w14:textId="37F9484C" w:rsidR="00C36A04" w:rsidRPr="005D19FF" w:rsidRDefault="00C36A04" w:rsidP="00067493">
      <w:pPr>
        <w:pStyle w:val="NormalHanging12a"/>
        <w:rPr>
          <w:bCs/>
          <w:iCs/>
          <w:szCs w:val="24"/>
        </w:rPr>
      </w:pPr>
      <w:r w:rsidRPr="005D19FF">
        <w:rPr>
          <w:szCs w:val="24"/>
        </w:rPr>
        <w:t>3</w:t>
      </w:r>
      <w:r w:rsidR="00AD2E1E">
        <w:rPr>
          <w:szCs w:val="24"/>
        </w:rPr>
        <w:t>4</w:t>
      </w:r>
      <w:r w:rsidRPr="005D19FF">
        <w:rPr>
          <w:szCs w:val="24"/>
        </w:rPr>
        <w:t>.</w:t>
      </w:r>
      <w:r w:rsidRPr="005D19FF">
        <w:rPr>
          <w:szCs w:val="24"/>
        </w:rPr>
        <w:tab/>
        <w:t>vyzývá Parlament, aby ve spolupráci s týmem CERT-EU a příslušnými orgány Unie posílil ochranná opatření, včetně bezpečné správy zařízení, kanálů pro rychlé hlášení incidentů pro poslance a zaměstnance a pravidelných briefingů informujících o hrozbách, a zároveň zajistil plné dodržování základních práv a ochrany údajů;</w:t>
      </w:r>
    </w:p>
    <w:p w14:paraId="321C47C8" w14:textId="71574D18" w:rsidR="00C36A04" w:rsidRPr="005D19FF" w:rsidRDefault="00C36A04" w:rsidP="00067493">
      <w:pPr>
        <w:pStyle w:val="NormalHanging12a"/>
        <w:rPr>
          <w:szCs w:val="24"/>
        </w:rPr>
      </w:pPr>
      <w:r w:rsidRPr="005D19FF">
        <w:rPr>
          <w:szCs w:val="24"/>
        </w:rPr>
        <w:t>3</w:t>
      </w:r>
      <w:r w:rsidR="00AD2E1E">
        <w:rPr>
          <w:szCs w:val="24"/>
        </w:rPr>
        <w:t>5</w:t>
      </w:r>
      <w:r w:rsidRPr="005D19FF">
        <w:rPr>
          <w:szCs w:val="24"/>
        </w:rPr>
        <w:t>.</w:t>
      </w:r>
      <w:r w:rsidRPr="005D19FF">
        <w:rPr>
          <w:szCs w:val="24"/>
        </w:rPr>
        <w:tab/>
        <w:t xml:space="preserve">bere na vědomí potenciál umělé inteligence (AI), pokud jde o zajištění přesných a transparentních informací v rámci Unie a jejích orgánů, institucí a jiných subjektů, přičemž vhodně navržené a řízené systémy umělé inteligence mohou pomoci odhalovat a zmírňovat </w:t>
      </w:r>
      <w:proofErr w:type="spellStart"/>
      <w:r w:rsidRPr="005D19FF">
        <w:rPr>
          <w:szCs w:val="24"/>
        </w:rPr>
        <w:t>misinformace</w:t>
      </w:r>
      <w:proofErr w:type="spellEnd"/>
      <w:r w:rsidRPr="005D19FF">
        <w:rPr>
          <w:szCs w:val="24"/>
        </w:rPr>
        <w:t xml:space="preserve"> a dezinformace, podporuje odpovědnost a prosazuje vysoké standardy transparentnosti s cílem zachovat důvěru veřejnosti a posílit demokratickou správu věcí veřejných; je znepokojen převahou nástrojů umělé inteligence od společností ze třetích zemí a otázkami ochrany údajů a důvěrnosti při využívání nástrojů umělé inteligence třetích stran; požaduje plnou transparentnost, pokud jde o využívání systémů umělé inteligence v rozhodnutích a postupech Parlamentu, včetně zveřejňování podrobných informací o algoritmech, a posouzení dopadů; vyzývá správu Parlamentu, aby jak poslancům, tak zaměstnancům Parlamentu v míře odpovídající jejich potřebám zpřístupnila soubor nástrojů umělé inteligence, který odpovídá služebním potřebám poslanců a zaručuje důvěrnost, integritu a dostupnost jím zpracovávaných údajů tím, že využívá místní infrastrukturu, aby se zabránilo úniku dat, a nezpřístupňuje informace třetím stranám v souladu se stávajícími politikami týkajícími se využívání umělé inteligence;</w:t>
      </w:r>
    </w:p>
    <w:p w14:paraId="01FA99D4" w14:textId="3D35887B" w:rsidR="00C36A04" w:rsidRPr="005D19FF" w:rsidRDefault="00C36A04" w:rsidP="00067493">
      <w:pPr>
        <w:pStyle w:val="NormalHanging12a"/>
        <w:rPr>
          <w:bCs/>
          <w:iCs/>
          <w:szCs w:val="24"/>
        </w:rPr>
      </w:pPr>
      <w:r w:rsidRPr="005D19FF">
        <w:rPr>
          <w:szCs w:val="24"/>
        </w:rPr>
        <w:t>3</w:t>
      </w:r>
      <w:r w:rsidR="00AD2E1E">
        <w:rPr>
          <w:szCs w:val="24"/>
        </w:rPr>
        <w:t>6</w:t>
      </w:r>
      <w:r w:rsidRPr="005D19FF">
        <w:rPr>
          <w:szCs w:val="24"/>
        </w:rPr>
        <w:t>.</w:t>
      </w:r>
      <w:r w:rsidRPr="005D19FF">
        <w:rPr>
          <w:szCs w:val="24"/>
        </w:rPr>
        <w:tab/>
        <w:t>upozorňuje na rostoucí využívání umělé inteligence a nástrojů založených na velkých jazykových modelech v oblasti řízení lidských zdrojů a uznává, že tyto nástroje mají potenciál pro zvýšení efektivity, který by měl být dále zkoumán; zároveň poukazuje na potřebu jasné správy, lidského dohledu, transparentnosti a spolehlivých záruk ochrany údajů; vyzývá správní útvary, aby informovaly orgán příslušný k udělení absolutoria o rozsahu, posouzení rizik a etických zárukách těchto nástrojů;</w:t>
      </w:r>
    </w:p>
    <w:p w14:paraId="05EC0926" w14:textId="49C1ACC7" w:rsidR="00C36A04" w:rsidRPr="005D19FF" w:rsidRDefault="00C36A04" w:rsidP="00067493">
      <w:pPr>
        <w:pStyle w:val="NormalHanging12a"/>
        <w:rPr>
          <w:szCs w:val="24"/>
        </w:rPr>
      </w:pPr>
      <w:r w:rsidRPr="005D19FF">
        <w:rPr>
          <w:szCs w:val="24"/>
        </w:rPr>
        <w:t>3</w:t>
      </w:r>
      <w:r w:rsidR="00AD2E1E">
        <w:rPr>
          <w:szCs w:val="24"/>
        </w:rPr>
        <w:t>7</w:t>
      </w:r>
      <w:r w:rsidRPr="005D19FF">
        <w:rPr>
          <w:szCs w:val="24"/>
        </w:rPr>
        <w:t>.</w:t>
      </w:r>
      <w:r w:rsidRPr="005D19FF">
        <w:rPr>
          <w:szCs w:val="24"/>
        </w:rPr>
        <w:tab/>
        <w:t xml:space="preserve">konstatuje, že podle jednacího řádu Parlamentu se tajné hlasování obvykle používá pro </w:t>
      </w:r>
      <w:r w:rsidRPr="005D19FF">
        <w:rPr>
          <w:szCs w:val="24"/>
        </w:rPr>
        <w:lastRenderedPageBreak/>
        <w:t>volby a pro hlasování o jednotlivých osobách; dále konstatuje, že tajné hlasování se koná rovněž na žádost poslanců nebo jedné či více poslaneckých skupin dosahujících přinejmenším vysoké prahové hodnoty; v této souvislosti bere na vědomí, že Výbor pro ústavní záležitosti byl pověřen posouzením využívání této možnosti, a očekává závěry a návrhy výboru; domnívá se, že jmenovité hlasování představuje klíčový nástroj pro zajištění transparentnosti a odpovědnosti vůči občanům Unie; vyzývá Parlament, aby předložil opatření, která by zabránila zneužívání tajného hlasování;</w:t>
      </w:r>
    </w:p>
    <w:p w14:paraId="4B27B3F3" w14:textId="3A68B414" w:rsidR="00C36A04" w:rsidRPr="005D19FF" w:rsidRDefault="00C36A04" w:rsidP="00067493">
      <w:pPr>
        <w:pStyle w:val="NormalHanging12a"/>
        <w:rPr>
          <w:bCs/>
          <w:iCs/>
          <w:szCs w:val="24"/>
        </w:rPr>
      </w:pPr>
      <w:r w:rsidRPr="008B62CA">
        <w:rPr>
          <w:szCs w:val="24"/>
        </w:rPr>
        <w:t>3</w:t>
      </w:r>
      <w:r w:rsidR="00AD2E1E" w:rsidRPr="008B0A17">
        <w:rPr>
          <w:szCs w:val="24"/>
        </w:rPr>
        <w:t>8</w:t>
      </w:r>
      <w:r w:rsidRPr="008B62CA">
        <w:rPr>
          <w:szCs w:val="24"/>
        </w:rPr>
        <w:t>.</w:t>
      </w:r>
      <w:r w:rsidRPr="008B62CA">
        <w:rPr>
          <w:szCs w:val="24"/>
        </w:rPr>
        <w:tab/>
        <w:t>oceňuje pokrok se zohledňováním genderové problematiky a s genderovým rozpočtováním a přijetí akčního plánu pro rovnost žen a mužů 2025; žádá, aby byl tento akční plán zveřejněn a rychle proveden pomocí speciálního plánu a aby byly dosažené výsledky sledovány a pečlivě hodnoceny v pravidelných zprávách; oceňuje práci sítě pro začleňování genderového hlediska v Parlamentu;</w:t>
      </w:r>
    </w:p>
    <w:p w14:paraId="4D2F4423" w14:textId="77777777" w:rsidR="00C36A04" w:rsidRPr="005D19FF" w:rsidRDefault="00C36A04" w:rsidP="00067493">
      <w:pPr>
        <w:spacing w:after="240"/>
        <w:ind w:left="567" w:hanging="567"/>
        <w:rPr>
          <w:b/>
          <w:bCs/>
          <w:i/>
          <w:iCs/>
          <w:szCs w:val="24"/>
          <w14:textOutline w14:w="0" w14:cap="flat" w14:cmpd="sng" w14:algn="ctr">
            <w14:noFill/>
            <w14:prstDash w14:val="solid"/>
            <w14:bevel/>
          </w14:textOutline>
        </w:rPr>
      </w:pPr>
      <w:r w:rsidRPr="005D19FF">
        <w:rPr>
          <w:b/>
          <w:i/>
          <w:szCs w:val="24"/>
          <w14:textOutline w14:w="0" w14:cap="flat" w14:cmpd="sng" w14:algn="ctr">
            <w14:noFill/>
            <w14:prstDash w14:val="solid"/>
            <w14:bevel/>
          </w14:textOutline>
        </w:rPr>
        <w:t>Generální ředitelství pro předsednictví</w:t>
      </w:r>
    </w:p>
    <w:p w14:paraId="2955DF96" w14:textId="5DD145A5" w:rsidR="00C36A04" w:rsidRPr="005D19FF" w:rsidRDefault="00AD2E1E" w:rsidP="00067493">
      <w:pPr>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39</w:t>
      </w:r>
      <w:r w:rsidR="00C36A04" w:rsidRPr="005D19FF">
        <w:rPr>
          <w:szCs w:val="24"/>
        </w:rPr>
        <w:t>.</w:t>
      </w:r>
      <w:r w:rsidR="00C36A04" w:rsidRPr="005D19FF">
        <w:rPr>
          <w:szCs w:val="24"/>
          <w14:textOutline w14:w="0" w14:cap="flat" w14:cmpd="sng" w14:algn="ctr">
            <w14:noFill/>
            <w14:prstDash w14:val="solid"/>
            <w14:bevel/>
          </w14:textOutline>
        </w:rPr>
        <w:tab/>
        <w:t>připomíná, že generální ředitelství pro předsednictví (GŘ PRES) poskytuje odborné znalosti a usnadňuje legislativní a parlamentní práci předsedy, pléna a řídicích orgánů Parlamentu a poslanců v každé fázi parlamentního a legislativního procesu; připomíná, že je rovněž odpovědné za interinstitucionální vztahy, za protokolární podporu oficiálních návštěv a akcí zaštítěných předsedou, za správu utajovaných informací Unie a za správu úřední a doporučené pošty; konstatuje, že k 31. prosinci 2024 mělo 406 zaměstnanců, z toho 320 úředníků, 29 dočasných zaměstnanců, 55 smluvních zaměstnanců, 1 vyslaného národního odborníka a 1 agenturního zaměstnance;</w:t>
      </w:r>
    </w:p>
    <w:p w14:paraId="5E6F5468" w14:textId="4069B7BD"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4</w:t>
      </w:r>
      <w:r w:rsidR="00AD2E1E">
        <w:rPr>
          <w:szCs w:val="24"/>
          <w14:textOutline w14:w="0" w14:cap="flat" w14:cmpd="sng" w14:algn="ctr">
            <w14:noFill/>
            <w14:prstDash w14:val="solid"/>
            <w14:bevel/>
          </w14:textOutline>
        </w:rPr>
        <w:t>0</w:t>
      </w:r>
      <w:r w:rsidRPr="005D19FF">
        <w:rPr>
          <w:szCs w:val="24"/>
        </w:rPr>
        <w:t>.</w:t>
      </w:r>
      <w:r w:rsidRPr="005D19FF">
        <w:rPr>
          <w:szCs w:val="24"/>
          <w14:textOutline w14:w="0" w14:cap="flat" w14:cmpd="sng" w14:algn="ctr">
            <w14:noFill/>
            <w14:prstDash w14:val="solid"/>
            <w14:bevel/>
          </w14:textOutline>
        </w:rPr>
        <w:tab/>
        <w:t>konstatuje, že konečná výše prostředků GŘ PRES v roce 2024 činila 2 970 957 EUR, což představuje 0,2 % rozpočtu Parlamentu; zdůrazňuje, že z této částky bylo přiděleno celkem 2 930 107 EUR; vítá vysokou míru čerpání prostředků;</w:t>
      </w:r>
    </w:p>
    <w:p w14:paraId="70060E98" w14:textId="32BA9D9C" w:rsidR="00C36A04" w:rsidRPr="005D19FF" w:rsidRDefault="00C36A04" w:rsidP="00067493">
      <w:pPr>
        <w:spacing w:after="240"/>
        <w:ind w:left="567" w:hanging="567"/>
        <w:rPr>
          <w:szCs w:val="24"/>
        </w:rPr>
      </w:pPr>
      <w:r w:rsidRPr="005D19FF">
        <w:rPr>
          <w:szCs w:val="24"/>
        </w:rPr>
        <w:t>4</w:t>
      </w:r>
      <w:r w:rsidR="00AD2E1E">
        <w:rPr>
          <w:szCs w:val="24"/>
        </w:rPr>
        <w:t>1</w:t>
      </w:r>
      <w:r w:rsidRPr="005D19FF">
        <w:rPr>
          <w:szCs w:val="24"/>
        </w:rPr>
        <w:t>.</w:t>
      </w:r>
      <w:r w:rsidRPr="005D19FF">
        <w:rPr>
          <w:szCs w:val="24"/>
        </w:rPr>
        <w:tab/>
        <w:t xml:space="preserve">konstatuje, že činnost GŘ PRES byla ovlivněna koncem devátého a začátkem desátého volebního období, což na konci devátého volebního období způsobilo problémy s plánovací a dokončovací kapacitou pléna vzhledem k velmi vysokému počtu spisů podléhajících řádnému legislativnímu postupu schválených v posledních měsících volebního období, a utvářením nového Parlamentu na začátku desátého volebního období volbou předsedy a předsednictva; </w:t>
      </w:r>
    </w:p>
    <w:p w14:paraId="336ABDE1" w14:textId="3C3D3C3E" w:rsidR="00C36A04" w:rsidRPr="005D19FF" w:rsidRDefault="00C36A04" w:rsidP="00067493">
      <w:pPr>
        <w:pStyle w:val="NormalHanging12a"/>
        <w:rPr>
          <w:szCs w:val="24"/>
        </w:rPr>
      </w:pPr>
      <w:bookmarkStart w:id="10" w:name="_Hlk216613698"/>
      <w:r w:rsidRPr="005D19FF">
        <w:rPr>
          <w:szCs w:val="24"/>
        </w:rPr>
        <w:t>4</w:t>
      </w:r>
      <w:r w:rsidR="00AD2E1E">
        <w:rPr>
          <w:szCs w:val="24"/>
        </w:rPr>
        <w:t>2</w:t>
      </w:r>
      <w:r w:rsidRPr="005D19FF">
        <w:rPr>
          <w:szCs w:val="24"/>
        </w:rPr>
        <w:t>.</w:t>
      </w:r>
      <w:r w:rsidRPr="005D19FF">
        <w:rPr>
          <w:szCs w:val="24"/>
        </w:rPr>
        <w:tab/>
        <w:t>chválí GŘ PRES za jeho aktivity týkající se provádění nových pravidel pro integritu a transparentnost a příslušných následných opatření, které zahrnovaly první celkové posouzení technického provádění reformy a aktivity zaměřené na zvyšování povědomí a poskytování technických odborných znalostí a služeb v otázkách transparentnosti, integrity a odpovědnosti; dále vítá úlohu poradního výboru pro chování poslanců při sledování toho, jak poslanci dodržují kodex chování a jeho prováděcí opatření;</w:t>
      </w:r>
    </w:p>
    <w:bookmarkEnd w:id="10"/>
    <w:p w14:paraId="21032081" w14:textId="644EFF21" w:rsidR="00C36A04" w:rsidRPr="005D19FF" w:rsidRDefault="00C36A04" w:rsidP="00067493">
      <w:pPr>
        <w:pStyle w:val="NormalHanging12a"/>
        <w:rPr>
          <w:szCs w:val="24"/>
        </w:rPr>
      </w:pPr>
      <w:r w:rsidRPr="005D19FF">
        <w:rPr>
          <w:szCs w:val="24"/>
        </w:rPr>
        <w:t>4</w:t>
      </w:r>
      <w:r w:rsidR="00AD2E1E">
        <w:rPr>
          <w:szCs w:val="24"/>
        </w:rPr>
        <w:t>3</w:t>
      </w:r>
      <w:r w:rsidRPr="005D19FF">
        <w:rPr>
          <w:szCs w:val="24"/>
        </w:rPr>
        <w:t>.</w:t>
      </w:r>
      <w:r w:rsidRPr="005D19FF">
        <w:rPr>
          <w:szCs w:val="24"/>
        </w:rPr>
        <w:tab/>
        <w:t>vyzývá k pokračování interinstitucionální spolupráce a dialogu o integritě a transparentnosti v orgánech Unie;</w:t>
      </w:r>
      <w:r w:rsidR="004A7996">
        <w:rPr>
          <w:szCs w:val="24"/>
        </w:rPr>
        <w:t xml:space="preserve"> </w:t>
      </w:r>
      <w:r w:rsidR="004A7996" w:rsidRPr="004A7996">
        <w:rPr>
          <w:szCs w:val="24"/>
        </w:rPr>
        <w:t>připomíná, že Parlament je stále vázán dohodou o zřízení interinstitucionálního orgánu pro etické normy pro členy orgánů a poradních institucí uvedených v článku 13 Smlouvy o Evropské unii; připomíná, že Parlament je proto povinen dodržovat bez dalšího prodlení její ustanovení;</w:t>
      </w:r>
    </w:p>
    <w:p w14:paraId="1002BE72" w14:textId="459E70ED" w:rsidR="00C36A04" w:rsidRPr="005D19FF" w:rsidRDefault="00C36A04" w:rsidP="00067493">
      <w:pPr>
        <w:pStyle w:val="NormalHanging12a"/>
        <w:rPr>
          <w:bCs/>
          <w:iCs/>
          <w:szCs w:val="24"/>
        </w:rPr>
      </w:pPr>
      <w:r w:rsidRPr="005D19FF">
        <w:rPr>
          <w:szCs w:val="24"/>
        </w:rPr>
        <w:t>4</w:t>
      </w:r>
      <w:r w:rsidR="00AD2E1E">
        <w:rPr>
          <w:szCs w:val="24"/>
        </w:rPr>
        <w:t>4</w:t>
      </w:r>
      <w:r w:rsidRPr="005D19FF">
        <w:rPr>
          <w:szCs w:val="24"/>
        </w:rPr>
        <w:t>.</w:t>
      </w:r>
      <w:r w:rsidRPr="005D19FF">
        <w:rPr>
          <w:szCs w:val="24"/>
        </w:rPr>
        <w:tab/>
        <w:t>vítá skutečnost, že GŘ PRES pokračovalo v účinné spolupráci s Radou a Komisí na všech prvcích týkajících se interinstitucionálního sekretariátu rejstříku transparentnosti s cílem nadále zlepšovat fungování rejstříku;</w:t>
      </w:r>
    </w:p>
    <w:p w14:paraId="5450DD20" w14:textId="6A5F0910" w:rsidR="00C36A04" w:rsidRPr="005D19FF" w:rsidRDefault="00C36A04" w:rsidP="00067493">
      <w:pPr>
        <w:pStyle w:val="NormalHanging12a"/>
        <w:rPr>
          <w:szCs w:val="24"/>
        </w:rPr>
      </w:pPr>
      <w:r w:rsidRPr="005D19FF">
        <w:rPr>
          <w:szCs w:val="24"/>
        </w:rPr>
        <w:lastRenderedPageBreak/>
        <w:t>4</w:t>
      </w:r>
      <w:r w:rsidR="00AD2E1E">
        <w:rPr>
          <w:szCs w:val="24"/>
        </w:rPr>
        <w:t>5</w:t>
      </w:r>
      <w:r w:rsidRPr="005D19FF">
        <w:rPr>
          <w:szCs w:val="24"/>
        </w:rPr>
        <w:t>.</w:t>
      </w:r>
      <w:r w:rsidRPr="005D19FF">
        <w:rPr>
          <w:szCs w:val="24"/>
        </w:rPr>
        <w:tab/>
        <w:t>upozorňuje na přetrvávající zpoždění, s nimiž Komise v posledních letech vyřizuje parlamentní otázky k písemnému zodpovězení; vyjadřuje politování nad tím, že se tento proces stává stále byrokratičtějším a pomalejším, což vede k systematickému nedodržování lhůt stanovených v článku 144 jednacího řádu Parlamentu; se znepokojením konstatuje, že Komise v roce 2024 odpověděla ve lhůtách stanovených v jednacím řádu Parlamentu pouze na omezený počet otázek k písemnému zodpovězení, včetně obzvláště nízkého počtu prioritních otázek, a že v mnoha případech odpověděla po uplynutí lhůty; zdůrazňuje, že nejdelší doba odpovědi byla 475 dní; připomíná, že včasné odpovědi jsou základním prvkem parlamentní kontroly a demokratické odpovědnosti; vítá úsilí, které GŘ PRES v posledních letech vynaložilo na dodržení stanovených lhůt; vyzývá GŘ PRES, aby usilovalo o zajištění plného dodržování lhůt stanovených Parlamentem a aby usilovalo, a to i na politické úrovni, o závaznější ujednání s Komisí, pokud jde o odpovědi na otázky k písemnému zodpovězení ve stanovených lhůtách, a aby informovalo orgán příslušný k udělení absolutoria o dosaženém pokroku za účelem obnovení parlamentních otázek k písemnému zodpovězení jako jednoho z účinných nástrojů dohledu;</w:t>
      </w:r>
    </w:p>
    <w:p w14:paraId="3D3FF9EE" w14:textId="5AEBAA44" w:rsidR="00C36A04" w:rsidRPr="005D19FF" w:rsidRDefault="00C36A04" w:rsidP="00067493">
      <w:pPr>
        <w:pStyle w:val="NormalHanging12a"/>
        <w:rPr>
          <w:bCs/>
          <w:iCs/>
          <w:szCs w:val="24"/>
        </w:rPr>
      </w:pPr>
      <w:r w:rsidRPr="005D19FF">
        <w:rPr>
          <w:szCs w:val="24"/>
        </w:rPr>
        <w:t>4</w:t>
      </w:r>
      <w:r w:rsidR="00AD2E1E">
        <w:rPr>
          <w:szCs w:val="24"/>
        </w:rPr>
        <w:t>6</w:t>
      </w:r>
      <w:r w:rsidRPr="005D19FF">
        <w:rPr>
          <w:szCs w:val="24"/>
        </w:rPr>
        <w:t>.</w:t>
      </w:r>
      <w:r w:rsidRPr="005D19FF">
        <w:rPr>
          <w:szCs w:val="24"/>
        </w:rPr>
        <w:tab/>
        <w:t>konstatuje, že interní zpracování zahrnující editaci, překlady a kontroly přípustnosti přispívá k celkové době předávání písemných otázek; vyzývá správní útvary, aby tyto postupy i nadále zefektivňovaly a zároveň plně respektovaly požadavky na jazykovou kvalitu a ochranu údajů s cílem účinněji podporovat kontrolní činnost poslanců;</w:t>
      </w:r>
    </w:p>
    <w:p w14:paraId="5A63E91D" w14:textId="1DEFCB6C" w:rsidR="00C36A04" w:rsidRPr="005D19FF" w:rsidRDefault="00C36A04" w:rsidP="00067493">
      <w:pPr>
        <w:spacing w:after="240"/>
        <w:ind w:left="567" w:hanging="567"/>
        <w:rPr>
          <w:szCs w:val="24"/>
        </w:rPr>
      </w:pPr>
      <w:r w:rsidRPr="005D19FF">
        <w:rPr>
          <w:szCs w:val="24"/>
        </w:rPr>
        <w:t>4</w:t>
      </w:r>
      <w:r w:rsidR="00AD2E1E">
        <w:rPr>
          <w:szCs w:val="24"/>
        </w:rPr>
        <w:t>7</w:t>
      </w:r>
      <w:r w:rsidRPr="005D19FF">
        <w:rPr>
          <w:szCs w:val="24"/>
        </w:rPr>
        <w:t xml:space="preserve">. </w:t>
      </w:r>
      <w:r w:rsidRPr="005D19FF">
        <w:rPr>
          <w:szCs w:val="24"/>
        </w:rPr>
        <w:tab/>
        <w:t>vyzývá GŘ PRES, aby aktivně spolupracovalo s parlamenty ostatních členských států a třetích zemí na vypracování návrhů účinných kontrolních mechanismů a způsobů, jak zlepšit kvalitu a účast na rozpravách v plénu v Parlamentu; vyzývá GŘ PRES, aby si vzalo ponaučení ze struktury kongresových slyšení;</w:t>
      </w:r>
    </w:p>
    <w:p w14:paraId="45F2EC94" w14:textId="135BA41C" w:rsidR="00C36A04" w:rsidRPr="005D19FF" w:rsidRDefault="00C36A04" w:rsidP="00067493">
      <w:pPr>
        <w:pStyle w:val="NormalHanging12a"/>
        <w:rPr>
          <w:bCs/>
          <w:iCs/>
          <w:szCs w:val="24"/>
        </w:rPr>
      </w:pPr>
      <w:r w:rsidRPr="005D19FF">
        <w:rPr>
          <w:szCs w:val="24"/>
        </w:rPr>
        <w:t>4</w:t>
      </w:r>
      <w:r w:rsidR="00AD2E1E">
        <w:rPr>
          <w:szCs w:val="24"/>
        </w:rPr>
        <w:t>8</w:t>
      </w:r>
      <w:r w:rsidRPr="005D19FF">
        <w:rPr>
          <w:szCs w:val="24"/>
        </w:rPr>
        <w:t>.</w:t>
      </w:r>
      <w:r w:rsidRPr="005D19FF">
        <w:rPr>
          <w:szCs w:val="24"/>
        </w:rPr>
        <w:tab/>
        <w:t xml:space="preserve">vítá skutečnost, že Parlament nedávno zahájil legislativní postup za účelem změny volebního práva Unie s cílem zavést pro poslankyně v době pokročilého těhotenství a brzy po porodu novou možnost hlasovat v zastoupení; vítá, že se Parlament svým hlasováním na plenárním zasedání dne 13. listopadu 2025 zavázal k rovnosti žen a mužů, </w:t>
      </w:r>
      <w:proofErr w:type="spellStart"/>
      <w:r w:rsidRPr="005D19FF">
        <w:rPr>
          <w:szCs w:val="24"/>
        </w:rPr>
        <w:t>inkluzivnosti</w:t>
      </w:r>
      <w:proofErr w:type="spellEnd"/>
      <w:r w:rsidRPr="005D19FF">
        <w:rPr>
          <w:szCs w:val="24"/>
        </w:rPr>
        <w:t xml:space="preserve"> a rovnováze mezi pracovním a soukromým životem navzdory tomu, že se tento akt nevztahuje na širší rodičovskou dovolenou;</w:t>
      </w:r>
    </w:p>
    <w:p w14:paraId="136ACAF3" w14:textId="3DB390A7" w:rsidR="00C36A04" w:rsidRPr="005D19FF" w:rsidRDefault="00AD2E1E" w:rsidP="00067493">
      <w:pPr>
        <w:pStyle w:val="NormalHanging12a"/>
        <w:rPr>
          <w:bCs/>
          <w:iCs/>
          <w:szCs w:val="24"/>
        </w:rPr>
      </w:pPr>
      <w:r>
        <w:rPr>
          <w:szCs w:val="24"/>
        </w:rPr>
        <w:t>49</w:t>
      </w:r>
      <w:r w:rsidR="00C36A04" w:rsidRPr="005D19FF">
        <w:rPr>
          <w:szCs w:val="24"/>
        </w:rPr>
        <w:t>.</w:t>
      </w:r>
      <w:r w:rsidR="00C36A04" w:rsidRPr="005D19FF">
        <w:rPr>
          <w:szCs w:val="24"/>
        </w:rPr>
        <w:tab/>
        <w:t>konstatuje, že v současné době nejsou k dispozici aktuální údaje o účasti na úrovni výboru; vyzývá útvary Parlamentu, aby tyto údaje o účasti na úrovni výborů každoročně zveřejňovaly souhrnně za jednotlivé výbory;</w:t>
      </w:r>
    </w:p>
    <w:p w14:paraId="02F89650" w14:textId="77777777" w:rsidR="00C36A04" w:rsidRPr="005D19FF" w:rsidRDefault="00C36A04" w:rsidP="00067493">
      <w:pPr>
        <w:spacing w:after="240"/>
        <w:ind w:left="567" w:hanging="567"/>
        <w:rPr>
          <w:b/>
          <w:bCs/>
          <w:i/>
          <w:iCs/>
          <w:szCs w:val="24"/>
          <w14:textOutline w14:w="0" w14:cap="flat" w14:cmpd="sng" w14:algn="ctr">
            <w14:noFill/>
            <w14:prstDash w14:val="solid"/>
            <w14:bevel/>
          </w14:textOutline>
        </w:rPr>
      </w:pPr>
      <w:r w:rsidRPr="005D19FF">
        <w:rPr>
          <w:b/>
          <w:i/>
          <w:szCs w:val="24"/>
          <w14:textOutline w14:w="0" w14:cap="flat" w14:cmpd="sng" w14:algn="ctr">
            <w14:noFill/>
            <w14:prstDash w14:val="solid"/>
            <w14:bevel/>
          </w14:textOutline>
        </w:rPr>
        <w:t>Generální ředitelství pro komunikaci</w:t>
      </w:r>
    </w:p>
    <w:p w14:paraId="15AB19DC" w14:textId="2CC11F46"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5</w:t>
      </w:r>
      <w:r w:rsidR="00AD2E1E">
        <w:rPr>
          <w:szCs w:val="24"/>
          <w14:textOutline w14:w="0" w14:cap="flat" w14:cmpd="sng" w14:algn="ctr">
            <w14:noFill/>
            <w14:prstDash w14:val="solid"/>
            <w14:bevel/>
          </w14:textOutline>
        </w:rPr>
        <w:t>0</w:t>
      </w:r>
      <w:r w:rsidRPr="005D19FF">
        <w:rPr>
          <w:szCs w:val="24"/>
        </w:rPr>
        <w:t>.</w:t>
      </w:r>
      <w:r w:rsidRPr="005D19FF">
        <w:rPr>
          <w:szCs w:val="24"/>
          <w14:textOutline w14:w="0" w14:cap="flat" w14:cmpd="sng" w14:algn="ctr">
            <w14:noFill/>
            <w14:prstDash w14:val="solid"/>
            <w14:bevel/>
          </w14:textOutline>
        </w:rPr>
        <w:tab/>
        <w:t>konstatuje, že úkolem generálního ředitelství pro komunikaci (GŘ COMM) je zajistit, aby občané chápali význam Parlamentu a mohli tak zlepšit zapojení do evropského demokratického procesu; zdůrazňuje, že k hlavním úkolům GŘ COMM patří spolupráce se sdělovacími prostředky, informování, vysvětlování a zviditelňování práce Parlamentu, zvyšování povědomí o Parlamentu mezi občany ve všech členských státech, zúčastněnými stranami a osobami formujícími veřejné mínění prostřednictvím kontaktních kanceláří Evropského parlamentu (EPLO) v členských státech, podpora interakce s občany prostřednictvím rozšiřovaných návštěvnických projektů, akcí a informačních kampaní i přítomnosti na sociálních sítích a poskytování odborných znalostí poslancům a politickým skupinám v oblastech, jako je mediální zpravodajství a sledování veřejného mínění;</w:t>
      </w:r>
    </w:p>
    <w:p w14:paraId="600BD980" w14:textId="07D99AA6"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lastRenderedPageBreak/>
        <w:t>5</w:t>
      </w:r>
      <w:r w:rsidR="00AD2E1E">
        <w:rPr>
          <w:szCs w:val="24"/>
          <w14:textOutline w14:w="0" w14:cap="flat" w14:cmpd="sng" w14:algn="ctr">
            <w14:noFill/>
            <w14:prstDash w14:val="solid"/>
            <w14:bevel/>
          </w14:textOutline>
        </w:rPr>
        <w:t>1</w:t>
      </w:r>
      <w:r w:rsidRPr="005D19FF">
        <w:rPr>
          <w:szCs w:val="24"/>
        </w:rPr>
        <w:t>.</w:t>
      </w:r>
      <w:r w:rsidRPr="005D19FF">
        <w:rPr>
          <w:szCs w:val="24"/>
          <w14:textOutline w14:w="0" w14:cap="flat" w14:cmpd="sng" w14:algn="ctr">
            <w14:noFill/>
            <w14:prstDash w14:val="solid"/>
            <w14:bevel/>
          </w14:textOutline>
        </w:rPr>
        <w:tab/>
        <w:t>konstatuje, že konečná výše prostředků GŘ COMM v roce 2024 činila 137 463 777 EUR, což představuje 5,8 % rozpočtu Parlamentu; zdůrazňuje, že z této částky bylo přiděleno celkem 137 467 355 EUR; vítá vysokou míru čerpání prostředků;</w:t>
      </w:r>
    </w:p>
    <w:p w14:paraId="41A3E668" w14:textId="420E7A18" w:rsidR="00C36A04" w:rsidRPr="005D19FF" w:rsidRDefault="00C36A04" w:rsidP="00067493">
      <w:pPr>
        <w:spacing w:after="240"/>
        <w:ind w:left="567" w:hanging="567"/>
        <w:rPr>
          <w:szCs w:val="24"/>
        </w:rPr>
      </w:pPr>
      <w:r w:rsidRPr="005D19FF">
        <w:rPr>
          <w:szCs w:val="24"/>
        </w:rPr>
        <w:t>5</w:t>
      </w:r>
      <w:r w:rsidR="00AD2E1E">
        <w:rPr>
          <w:szCs w:val="24"/>
        </w:rPr>
        <w:t>2</w:t>
      </w:r>
      <w:r w:rsidRPr="005D19FF">
        <w:rPr>
          <w:szCs w:val="24"/>
        </w:rPr>
        <w:t>.</w:t>
      </w:r>
      <w:r w:rsidRPr="005D19FF">
        <w:rPr>
          <w:szCs w:val="24"/>
        </w:rPr>
        <w:tab/>
        <w:t>uznává, že v roce 2024 byla v popředí činnosti GŘ COMM komunikace týkající se voleb do Evropského parlamentu, zejména díky úspěšné komunikační kampani „Jděte k volbám!“, partnerství s více než 300 organizacemi občanské společnosti a informování více než 18 000 novinářů; konstatuje, že všechny strategické projekty GŘ COMM v roce 2024, jejichž míra dokončení byla 94 %, byly zaměřeny na volby do Evropského parlamentu a zbývajících 6 % se týkalo provedení nové struktury internetových stránek;</w:t>
      </w:r>
    </w:p>
    <w:p w14:paraId="47CAF4A1" w14:textId="714FB7F5" w:rsidR="00C36A04" w:rsidRPr="005D19FF" w:rsidRDefault="00C36A04" w:rsidP="00067493">
      <w:pPr>
        <w:spacing w:after="240"/>
        <w:ind w:left="567" w:hanging="567"/>
        <w:rPr>
          <w:szCs w:val="24"/>
        </w:rPr>
      </w:pPr>
      <w:r w:rsidRPr="005D19FF">
        <w:rPr>
          <w:szCs w:val="24"/>
        </w:rPr>
        <w:t>5</w:t>
      </w:r>
      <w:r w:rsidR="00AD2E1E">
        <w:rPr>
          <w:szCs w:val="24"/>
        </w:rPr>
        <w:t>3</w:t>
      </w:r>
      <w:r w:rsidRPr="005D19FF">
        <w:rPr>
          <w:szCs w:val="24"/>
        </w:rPr>
        <w:t>.</w:t>
      </w:r>
      <w:r w:rsidRPr="005D19FF">
        <w:rPr>
          <w:szCs w:val="24"/>
        </w:rPr>
        <w:tab/>
        <w:t>konstatuje, že GŘ COMM usnadnilo pokrytí voleb do Evropského parlamentu, které dosáhly rekordního objemu zpravodajství (+18 % oproti předchozím volbám), což GŘ COMM hodnotí jako obzvláště pozoruhodné v závěrečných okamžicích volebního cyklu, kdy volební noc (9. června 2024) pokrývalo 149 televizních kanálů v 51 zemích a většina zpravodajství byla online;</w:t>
      </w:r>
    </w:p>
    <w:p w14:paraId="50179DF4" w14:textId="1A5138E1" w:rsidR="00C36A04" w:rsidRPr="005D19FF" w:rsidRDefault="00C36A04" w:rsidP="00067493">
      <w:pPr>
        <w:spacing w:after="240"/>
        <w:ind w:left="567" w:hanging="567"/>
        <w:rPr>
          <w:szCs w:val="24"/>
        </w:rPr>
      </w:pPr>
      <w:r w:rsidRPr="005D19FF">
        <w:rPr>
          <w:szCs w:val="24"/>
          <w14:textOutline w14:w="0" w14:cap="flat" w14:cmpd="sng" w14:algn="ctr">
            <w14:noFill/>
            <w14:prstDash w14:val="solid"/>
            <w14:bevel/>
          </w14:textOutline>
        </w:rPr>
        <w:t>5</w:t>
      </w:r>
      <w:r w:rsidR="00AD2E1E">
        <w:rPr>
          <w:szCs w:val="24"/>
          <w14:textOutline w14:w="0" w14:cap="flat" w14:cmpd="sng" w14:algn="ctr">
            <w14:noFill/>
            <w14:prstDash w14:val="solid"/>
            <w14:bevel/>
          </w14:textOutline>
        </w:rPr>
        <w:t>4</w:t>
      </w:r>
      <w:r w:rsidRPr="005D19FF">
        <w:rPr>
          <w:szCs w:val="24"/>
        </w:rPr>
        <w:t>.</w:t>
      </w:r>
      <w:r w:rsidRPr="005D19FF">
        <w:rPr>
          <w:szCs w:val="24"/>
          <w14:textOutline w14:w="0" w14:cap="flat" w14:cmpd="sng" w14:algn="ctr">
            <w14:noFill/>
            <w14:prstDash w14:val="solid"/>
            <w14:bevel/>
          </w14:textOutline>
        </w:rPr>
        <w:tab/>
        <w:t>bere na vědomí úlohu kontaktních kanceláří Evropského parlamentu při zajišťování kontaktů mezi Parlamentem a veřejností a zúčastněnými stranami v členských státech obecně a při informování o volbách do Evropského parlamentu</w:t>
      </w:r>
      <w:r w:rsidRPr="005D19FF">
        <w:rPr>
          <w:szCs w:val="24"/>
        </w:rPr>
        <w:t>;</w:t>
      </w:r>
      <w:r w:rsidRPr="005D19FF">
        <w:rPr>
          <w:szCs w:val="24"/>
          <w14:textOutline w14:w="0" w14:cap="flat" w14:cmpd="sng" w14:algn="ctr">
            <w14:noFill/>
            <w14:prstDash w14:val="solid"/>
            <w14:bevel/>
          </w14:textOutline>
        </w:rPr>
        <w:t xml:space="preserve"> konstatuje, že všechny kontaktní kanceláře Evropského parlamentu byly vybaveny audiovizuálními službami, které mohou poslanci, politické skupiny a třetí strany využívat v členských státech;</w:t>
      </w:r>
      <w:r w:rsidRPr="005D19FF">
        <w:rPr>
          <w:szCs w:val="24"/>
        </w:rPr>
        <w:t xml:space="preserve"> </w:t>
      </w:r>
    </w:p>
    <w:p w14:paraId="35136ED6" w14:textId="38FFC16B" w:rsidR="00C36A04" w:rsidRPr="005D19FF" w:rsidRDefault="00C36A04" w:rsidP="00067493">
      <w:pPr>
        <w:pStyle w:val="NormalHanging12a"/>
        <w:rPr>
          <w:bCs/>
          <w:iCs/>
          <w:szCs w:val="24"/>
        </w:rPr>
      </w:pPr>
      <w:r w:rsidRPr="005D19FF">
        <w:rPr>
          <w:szCs w:val="24"/>
        </w:rPr>
        <w:t>5</w:t>
      </w:r>
      <w:r w:rsidR="00AD2E1E">
        <w:rPr>
          <w:szCs w:val="24"/>
        </w:rPr>
        <w:t>5</w:t>
      </w:r>
      <w:r w:rsidRPr="005D19FF">
        <w:rPr>
          <w:szCs w:val="24"/>
        </w:rPr>
        <w:t>.</w:t>
      </w:r>
      <w:r w:rsidRPr="005D19FF">
        <w:rPr>
          <w:szCs w:val="24"/>
        </w:rPr>
        <w:tab/>
        <w:t xml:space="preserve">vyzývá k náležitému sledování výdajů kontaktních kanceláří Evropského parlamentu a center Europa </w:t>
      </w:r>
      <w:proofErr w:type="spellStart"/>
      <w:r w:rsidRPr="005D19FF">
        <w:rPr>
          <w:szCs w:val="24"/>
        </w:rPr>
        <w:t>Experience</w:t>
      </w:r>
      <w:proofErr w:type="spellEnd"/>
      <w:r w:rsidRPr="005D19FF">
        <w:rPr>
          <w:szCs w:val="24"/>
        </w:rPr>
        <w:t xml:space="preserve"> (</w:t>
      </w:r>
      <w:r w:rsidRPr="005D19FF">
        <w:rPr>
          <w:i/>
          <w:iCs/>
          <w:szCs w:val="24"/>
        </w:rPr>
        <w:t>Zažijte Evropu</w:t>
      </w:r>
      <w:r w:rsidRPr="005D19FF">
        <w:rPr>
          <w:szCs w:val="24"/>
        </w:rPr>
        <w:t>);</w:t>
      </w:r>
    </w:p>
    <w:p w14:paraId="458FCF60" w14:textId="46ABE9C2" w:rsidR="00C36A04" w:rsidRPr="005D19FF" w:rsidRDefault="00C36A04" w:rsidP="00067493">
      <w:pPr>
        <w:pStyle w:val="NormalHanging12a"/>
        <w:rPr>
          <w:bCs/>
          <w:iCs/>
          <w:szCs w:val="24"/>
        </w:rPr>
      </w:pPr>
      <w:r w:rsidRPr="005D19FF">
        <w:rPr>
          <w:szCs w:val="24"/>
        </w:rPr>
        <w:t>5</w:t>
      </w:r>
      <w:r w:rsidR="00AD2E1E">
        <w:rPr>
          <w:szCs w:val="24"/>
        </w:rPr>
        <w:t>6</w:t>
      </w:r>
      <w:r w:rsidRPr="005D19FF">
        <w:rPr>
          <w:szCs w:val="24"/>
        </w:rPr>
        <w:t>.</w:t>
      </w:r>
      <w:r w:rsidRPr="005D19FF">
        <w:rPr>
          <w:szCs w:val="24"/>
        </w:rPr>
        <w:tab/>
        <w:t>poukazuje na zásadní úlohu kontaktní kanceláře EPLO ve Washingtonu při podpoře transatlantických vztahů a posilování vazeb mezi parlamenty USA a Unie; zdůrazňuje, že s ohledem na novou vládu USA a nové globální výzvy je úloha kontaktní kanceláře EP ve Washingtonu ještě důležitější; vyzývá k zajištění odpovídajícího rozpočtu a personálního obsazení na podporu činností kontaktní kanceláře EPLO ve Washingtonu;</w:t>
      </w:r>
    </w:p>
    <w:p w14:paraId="3913623A" w14:textId="4C3380AE" w:rsidR="00C36A04" w:rsidRPr="005D19FF" w:rsidRDefault="00C36A04" w:rsidP="00067493">
      <w:pPr>
        <w:pStyle w:val="NormalHanging12a"/>
        <w:rPr>
          <w:szCs w:val="24"/>
        </w:rPr>
      </w:pPr>
      <w:r w:rsidRPr="005D19FF">
        <w:rPr>
          <w:szCs w:val="24"/>
        </w:rPr>
        <w:t>5</w:t>
      </w:r>
      <w:r w:rsidR="00AD2E1E">
        <w:rPr>
          <w:szCs w:val="24"/>
        </w:rPr>
        <w:t>7</w:t>
      </w:r>
      <w:r w:rsidRPr="005D19FF">
        <w:rPr>
          <w:szCs w:val="24"/>
        </w:rPr>
        <w:t>.</w:t>
      </w:r>
      <w:r w:rsidRPr="005D19FF">
        <w:rPr>
          <w:szCs w:val="24"/>
        </w:rPr>
        <w:tab/>
        <w:t xml:space="preserve">konstatuje, že v roce 2024 bylo otevřeno 14 center Europa </w:t>
      </w:r>
      <w:proofErr w:type="spellStart"/>
      <w:r w:rsidRPr="005D19FF">
        <w:rPr>
          <w:szCs w:val="24"/>
        </w:rPr>
        <w:t>Experience</w:t>
      </w:r>
      <w:proofErr w:type="spellEnd"/>
      <w:r w:rsidRPr="005D19FF">
        <w:rPr>
          <w:szCs w:val="24"/>
        </w:rPr>
        <w:t xml:space="preserve">, která přilákala celkem 957 209 návštěvníků, přičemž jejich počet se v jednotlivých centrech značně lišil: nejvíce jich přilákaly Štrasburk (381 687) a Berlín (122 672), nejméně Kodaň (18 182) a Dublin (8 312), centrum v Dublinu však zahájilo provoz až v říjnu 2024; bere na vědomí poznámku, že centra Europa </w:t>
      </w:r>
      <w:proofErr w:type="spellStart"/>
      <w:r w:rsidRPr="005D19FF">
        <w:rPr>
          <w:szCs w:val="24"/>
        </w:rPr>
        <w:t>Experience</w:t>
      </w:r>
      <w:proofErr w:type="spellEnd"/>
      <w:r w:rsidRPr="005D19FF">
        <w:rPr>
          <w:szCs w:val="24"/>
        </w:rPr>
        <w:t xml:space="preserve"> jsou využívána jako středisko Unie pro demokratickou angažovanost ze strany kontaktních kanceláří Evropského parlamentu v příslušných členských státech, a že nabízejí příležitosti, jak přilákat širší publikum ke sdělením Parlamentu;</w:t>
      </w:r>
    </w:p>
    <w:p w14:paraId="37AC286F" w14:textId="6EDC7ECE" w:rsidR="00C36A04" w:rsidRPr="005D19FF" w:rsidRDefault="00C36A04" w:rsidP="00067493">
      <w:pPr>
        <w:spacing w:after="240"/>
        <w:ind w:left="567" w:hanging="567"/>
        <w:rPr>
          <w:szCs w:val="24"/>
        </w:rPr>
      </w:pPr>
      <w:r w:rsidRPr="005D19FF">
        <w:rPr>
          <w:szCs w:val="24"/>
          <w14:textOutline w14:w="0" w14:cap="flat" w14:cmpd="sng" w14:algn="ctr">
            <w14:noFill/>
            <w14:prstDash w14:val="solid"/>
            <w14:bevel/>
          </w14:textOutline>
        </w:rPr>
        <w:t>5</w:t>
      </w:r>
      <w:r w:rsidR="00AD2E1E">
        <w:rPr>
          <w:szCs w:val="24"/>
          <w14:textOutline w14:w="0" w14:cap="flat" w14:cmpd="sng" w14:algn="ctr">
            <w14:noFill/>
            <w14:prstDash w14:val="solid"/>
            <w14:bevel/>
          </w14:textOutline>
        </w:rPr>
        <w:t>8</w:t>
      </w:r>
      <w:r w:rsidRPr="005D19FF">
        <w:rPr>
          <w:szCs w:val="24"/>
        </w:rPr>
        <w:t>.</w:t>
      </w:r>
      <w:r w:rsidRPr="005D19FF">
        <w:rPr>
          <w:szCs w:val="24"/>
          <w14:textOutline w14:w="0" w14:cap="flat" w14:cmpd="sng" w14:algn="ctr">
            <w14:noFill/>
            <w14:prstDash w14:val="solid"/>
            <w14:bevel/>
          </w14:textOutline>
        </w:rPr>
        <w:tab/>
      </w:r>
      <w:r w:rsidRPr="005D19FF">
        <w:rPr>
          <w:szCs w:val="24"/>
        </w:rPr>
        <w:t xml:space="preserve">zdůrazňuje, že je důležité důkladně vyhodnotit dosavadní zkušenosti získané v rámci center Europa </w:t>
      </w:r>
      <w:proofErr w:type="spellStart"/>
      <w:r w:rsidRPr="005D19FF">
        <w:rPr>
          <w:szCs w:val="24"/>
        </w:rPr>
        <w:t>Experience</w:t>
      </w:r>
      <w:proofErr w:type="spellEnd"/>
      <w:r w:rsidRPr="005D19FF">
        <w:rPr>
          <w:szCs w:val="24"/>
        </w:rPr>
        <w:t xml:space="preserve">, zejména pokud jde o hledání vhodných budov a způsobů, jak účinně oslovit cílové skupiny, identifikovat osvědčené postupy a přizpůsobit budoucí rozvoj center Europa </w:t>
      </w:r>
      <w:proofErr w:type="spellStart"/>
      <w:r w:rsidRPr="005D19FF">
        <w:rPr>
          <w:szCs w:val="24"/>
        </w:rPr>
        <w:t>Experience</w:t>
      </w:r>
      <w:proofErr w:type="spellEnd"/>
      <w:r w:rsidRPr="005D19FF">
        <w:rPr>
          <w:szCs w:val="24"/>
        </w:rPr>
        <w:t xml:space="preserve"> místním potřebám a prokázanému dopadu; zdůrazňuje, že toto hodnocení by mělo být vodítkem pro budoucí úpravy nebo přehodnocení dalšího rozšiřování a mělo by zajistit, aby veškeré budoucí investice lépe sloužily zamýšlenému účelu, kterým je přiblížit Parlament občanům a pomoci jim lépe porozumět demokratickému procesu Unie;</w:t>
      </w:r>
    </w:p>
    <w:p w14:paraId="6297EA3C" w14:textId="1BF99EBF" w:rsidR="00C36A04" w:rsidRPr="005D19FF" w:rsidRDefault="00AD2E1E" w:rsidP="00067493">
      <w:pPr>
        <w:pStyle w:val="NormalHanging12a"/>
        <w:rPr>
          <w:szCs w:val="24"/>
        </w:rPr>
      </w:pPr>
      <w:r>
        <w:rPr>
          <w:szCs w:val="24"/>
        </w:rPr>
        <w:lastRenderedPageBreak/>
        <w:t>59</w:t>
      </w:r>
      <w:r w:rsidR="00C36A04" w:rsidRPr="005D19FF">
        <w:rPr>
          <w:szCs w:val="24"/>
        </w:rPr>
        <w:t>.</w:t>
      </w:r>
      <w:r w:rsidR="00C36A04" w:rsidRPr="005D19FF">
        <w:rPr>
          <w:szCs w:val="24"/>
        </w:rPr>
        <w:tab/>
        <w:t>připomíná, že nová pravidla pro vyplácení dotací skupinovým návštěvám pod záštitou poslance přijalo předsednictvo dne 11. září 2023 a vstoupila v platnost dne 1. ledna 2024; konstatuje, že v roce 2024 poslanci v Bruselu a Štrasburku pozvali 300 000 návštěvníků, kteří byli nebo nebyli pod záštitou poslance; konstatuje, že v roce 2024 činily dotace pro tyto skupinové návštěvy 17 % výdajů GŘ COMM; bere na vědomí dodatečné úsilí politických skupin, které podporují své poslance při interakci s občany, včetně mladých lidí, s cílem zajistit odpovídající informace o práci poslanců ve Štrasburku a Bruselu, a to za pomoci finančních prostředků z rozpočtové položky 400;</w:t>
      </w:r>
    </w:p>
    <w:p w14:paraId="7901FDAC" w14:textId="524BCD3E" w:rsidR="00C36A04" w:rsidRPr="005D19FF" w:rsidRDefault="00C36A04" w:rsidP="00067493">
      <w:pPr>
        <w:spacing w:after="240"/>
        <w:ind w:left="567" w:hanging="567"/>
        <w:rPr>
          <w:szCs w:val="24"/>
        </w:rPr>
      </w:pPr>
      <w:r w:rsidRPr="005D19FF">
        <w:rPr>
          <w:szCs w:val="24"/>
        </w:rPr>
        <w:t>6</w:t>
      </w:r>
      <w:r w:rsidR="00AD2E1E">
        <w:rPr>
          <w:szCs w:val="24"/>
        </w:rPr>
        <w:t>0</w:t>
      </w:r>
      <w:r w:rsidRPr="005D19FF">
        <w:rPr>
          <w:szCs w:val="24"/>
        </w:rPr>
        <w:t>.</w:t>
      </w:r>
      <w:r w:rsidRPr="005D19FF">
        <w:rPr>
          <w:szCs w:val="24"/>
        </w:rPr>
        <w:tab/>
      </w:r>
      <w:r w:rsidRPr="005D19FF">
        <w:rPr>
          <w:szCs w:val="24"/>
          <w14:textOutline w14:w="0" w14:cap="flat" w14:cmpd="sng" w14:algn="ctr">
            <w14:noFill/>
            <w14:prstDash w14:val="solid"/>
            <w14:bevel/>
          </w14:textOutline>
        </w:rPr>
        <w:t>bere na vědomí neutuchající zápas Unie za ochranu svých hodnot a zachování integrity demokratických procesů;</w:t>
      </w:r>
      <w:r w:rsidRPr="005D19FF">
        <w:rPr>
          <w:szCs w:val="24"/>
        </w:rPr>
        <w:t xml:space="preserve"> je si vědom stále častějších pokusů zahraničních aktérů o ovlivňování práce Parlamentu a zdůrazňuje, že je třeba obezřetně bojovat proti dezinformacím vznikajícím v zemích mimo Unii; připomíná v této souvislosti usnesení Evropského parlamentu ze dne 1. června 2023 o zahraničním vměšování do všech demokratických procesů v Evropské unii, včetně dezinformací (2022/2075(INI)), a ze dne 23. ledna 2025 o dezinformacích a falšování historie ze strany Ruska v zájmu ospravedlnění jeho válečné agrese proti Ukrajině (2024/2988(RSP)); vítá opatření, která Parlament přijal s cílem předcházet dezinformacím a reagovat na ně; uznává, že dosud nedošlo k žádnému významnému incidentu, zdůrazňuje však, že je důležité zachovat proaktivní opatření k ochraně integrity veřejné rozpravy a hlasování v Parlamentu; poukazuje na přínos iniciativ, jako jsou schůzky a summity zaměřené na ověřování faktů, které hrají klíčovou úlohu při podpoře transparentnosti, umožňují zúčastněným stranám osvojit si nástroje pro boj proti dezinformacím a posilují spolupráci mezi organizacemi pro ověřování faktů v rámci Unie i mimo ni;</w:t>
      </w:r>
    </w:p>
    <w:p w14:paraId="5C6DB5AE" w14:textId="77777777" w:rsidR="00C36A04" w:rsidRPr="005D19FF" w:rsidRDefault="00C36A04" w:rsidP="00067493">
      <w:pPr>
        <w:spacing w:after="240"/>
        <w:ind w:left="567" w:hanging="567"/>
        <w:rPr>
          <w:b/>
          <w:bCs/>
          <w:i/>
          <w:iCs/>
          <w:szCs w:val="24"/>
          <w14:textOutline w14:w="0" w14:cap="flat" w14:cmpd="sng" w14:algn="ctr">
            <w14:noFill/>
            <w14:prstDash w14:val="solid"/>
            <w14:bevel/>
          </w14:textOutline>
        </w:rPr>
      </w:pPr>
      <w:r w:rsidRPr="005D19FF">
        <w:rPr>
          <w:b/>
          <w:i/>
          <w:szCs w:val="24"/>
          <w14:textOutline w14:w="0" w14:cap="flat" w14:cmpd="sng" w14:algn="ctr">
            <w14:noFill/>
            <w14:prstDash w14:val="solid"/>
            <w14:bevel/>
          </w14:textOutline>
        </w:rPr>
        <w:t>Generální ředitelství pro personál</w:t>
      </w:r>
    </w:p>
    <w:p w14:paraId="77DFBA56" w14:textId="410DA4C8"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6</w:t>
      </w:r>
      <w:r w:rsidR="00AD2E1E">
        <w:rPr>
          <w:szCs w:val="24"/>
          <w14:textOutline w14:w="0" w14:cap="flat" w14:cmpd="sng" w14:algn="ctr">
            <w14:noFill/>
            <w14:prstDash w14:val="solid"/>
            <w14:bevel/>
          </w14:textOutline>
        </w:rPr>
        <w:t>1</w:t>
      </w:r>
      <w:r w:rsidRPr="005D19FF">
        <w:rPr>
          <w:szCs w:val="24"/>
        </w:rPr>
        <w:t>.</w:t>
      </w:r>
      <w:r w:rsidRPr="005D19FF">
        <w:rPr>
          <w:szCs w:val="24"/>
          <w14:textOutline w14:w="0" w14:cap="flat" w14:cmpd="sng" w14:algn="ctr">
            <w14:noFill/>
            <w14:prstDash w14:val="solid"/>
            <w14:bevel/>
          </w14:textOutline>
        </w:rPr>
        <w:tab/>
        <w:t>připomíná, že generální ředitelství pro personál (GŘ PERS) odpovídá za vhodné a účinné řízení lidských zdrojů v Parlamentu a zajišťuje, aby poslanci měli k dispozici vysoce kvalifikované pracovníky, kteří jim umožní řádně vykonávat jejich mandát; konstatuje, že k 31. prosinci 2024 mělo 499 zaměstnanců, z toho 290 úředníků, 82 dočasných zaměstnanců, 120 smluvních zaměstnanců, 2 vyslané národní odborníky a 5 agenturních zaměstnanců;</w:t>
      </w:r>
    </w:p>
    <w:p w14:paraId="5CFC652F" w14:textId="43775DA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6</w:t>
      </w:r>
      <w:r w:rsidR="00AD2E1E">
        <w:rPr>
          <w:szCs w:val="24"/>
          <w14:textOutline w14:w="0" w14:cap="flat" w14:cmpd="sng" w14:algn="ctr">
            <w14:noFill/>
            <w14:prstDash w14:val="solid"/>
            <w14:bevel/>
          </w14:textOutline>
        </w:rPr>
        <w:t>2</w:t>
      </w:r>
      <w:r w:rsidRPr="005D19FF">
        <w:rPr>
          <w:szCs w:val="24"/>
        </w:rPr>
        <w:t>.</w:t>
      </w:r>
      <w:r w:rsidRPr="005D19FF">
        <w:rPr>
          <w:szCs w:val="24"/>
          <w14:textOutline w14:w="0" w14:cap="flat" w14:cmpd="sng" w14:algn="ctr">
            <w14:noFill/>
            <w14:prstDash w14:val="solid"/>
            <w14:bevel/>
          </w14:textOutline>
        </w:rPr>
        <w:tab/>
        <w:t>konstatuje, že konečná výše prostředků GŘ PERS v roce 2024 činila 1 225 341 375 EUR (v roce 2023 to bylo 1 163 329 780 EUR), což představuje 51,4 % rozpočtu Parlamentu; zdůrazňuje, že z této částky bylo přiděleno celkem 1 160 835 147 EUR; vítá vysokou míru čerpání prostředků;</w:t>
      </w:r>
    </w:p>
    <w:p w14:paraId="59C2A44C" w14:textId="5550B711" w:rsidR="00C36A04" w:rsidRPr="005D19FF" w:rsidRDefault="00C36A04" w:rsidP="00067493">
      <w:pPr>
        <w:pStyle w:val="NormalHanging12a"/>
        <w:rPr>
          <w:szCs w:val="24"/>
        </w:rPr>
      </w:pPr>
      <w:r w:rsidRPr="005D19FF">
        <w:rPr>
          <w:szCs w:val="24"/>
        </w:rPr>
        <w:t>6</w:t>
      </w:r>
      <w:r w:rsidR="00AD2E1E">
        <w:rPr>
          <w:szCs w:val="24"/>
        </w:rPr>
        <w:t>3</w:t>
      </w:r>
      <w:r w:rsidRPr="005D19FF">
        <w:rPr>
          <w:szCs w:val="24"/>
        </w:rPr>
        <w:t>.</w:t>
      </w:r>
      <w:r w:rsidRPr="005D19FF">
        <w:rPr>
          <w:szCs w:val="24"/>
        </w:rPr>
        <w:tab/>
        <w:t xml:space="preserve">vítá, že v roce 2024 GŘ PERS pokračovalo v pořádání výběrových řízení, přičemž mělo na starosti rostoucí počet uchazečů, a uspořádalo také čtyři výběrová řízení pro jednotlivé země; vítá úsilí GŘ PERS o pořádání výběrových řízení, zajištění jejich včasného dokončení a zachování nezbytných norem kvality; vítá, že více než 441 uchazečů bylo úspěšně zařazeno na rezervní seznam; vyjadřuje však politování nad tím, že Evropský úřad pro výběr personálu (EPSO) se při organizaci výběrových řízení potýkal se systematickými problémy a nedostatkem dostupného seznamu kandidátů vhodných pro potřeby Parlamentu; vyjadřuje politování nad tím, že průměrná doba mezi zveřejněním oznámení o výběrovém řízení a závěrečným pohovorem u jednotlivých výběrových řízení je delší než jeden rok; uznává obecné obtíže, s nimiž se GŘ PERS a další generální ředitelství potýkají při získávání a udržení talentů, což má dopad na výkonnost pracovníků Parlamentu; vyzývá k účinnějším, cílenějším a kratším výběrovým řízením, která by zvýšila atraktivitu Parlamentu jako zaměstnavatele </w:t>
      </w:r>
      <w:r w:rsidRPr="005D19FF">
        <w:rPr>
          <w:szCs w:val="24"/>
        </w:rPr>
        <w:lastRenderedPageBreak/>
        <w:t>a umožnila generálním ředitelstvím rychle přijímat odborníky potřebné pro jejich práci; zdůrazňuje, že výběrová řízení musí být prováděna při plném dodržování zásad rovného zacházení a zeměpisné vyváženosti, aby bylo zajištěno spravedlivé zastoupení všech členských států;</w:t>
      </w:r>
    </w:p>
    <w:p w14:paraId="1B25EADA" w14:textId="148BFA7E" w:rsidR="00C36A04" w:rsidRPr="005D19FF" w:rsidRDefault="00C36A04" w:rsidP="00067493">
      <w:pPr>
        <w:spacing w:after="240"/>
        <w:ind w:left="567" w:hanging="567"/>
        <w:rPr>
          <w:szCs w:val="24"/>
        </w:rPr>
      </w:pPr>
      <w:r w:rsidRPr="005D19FF">
        <w:rPr>
          <w:szCs w:val="24"/>
        </w:rPr>
        <w:t>6</w:t>
      </w:r>
      <w:r w:rsidR="00AD2E1E">
        <w:rPr>
          <w:szCs w:val="24"/>
        </w:rPr>
        <w:t>4</w:t>
      </w:r>
      <w:r w:rsidRPr="005D19FF">
        <w:rPr>
          <w:szCs w:val="24"/>
        </w:rPr>
        <w:t>.</w:t>
      </w:r>
      <w:r w:rsidRPr="005D19FF">
        <w:rPr>
          <w:szCs w:val="24"/>
        </w:rPr>
        <w:tab/>
        <w:t>vítá výběrová řízení Parlamentu pro nábor státních příslušníků z určitých zemí, jejichž cílem je zlepšit zeměpisnou vyváženost mezi zaměstnanci Parlamentu tím, že vytvoří širší okruh kandidátů z nedostatečně zastoupených členských států; konstatuje však, že z analýzy údajů o zaměstnancích Parlamentu podle státní příslušnosti a funkčních skupin vyplývá, že přetrvává nerovnováha v kariérním postupu, kdy zaměstnanci pocházející z některých členských států jsou i nadále nedostatečně zastoupeni ve vyšších funkčních skupinách a na rozhodovacích pozicích, přestože jejich počet zastoupení ve správních útvarech je vysoký; vyjadřuje politování nad zeměpisnou nevyvážeností ve vyšší a střední úrovni vedení Parlamentu; postupy při náboru pracovníků by měly být vždy založeny na zásluhách a vždy respektovat základní zásady, jako je rovnost, nediskriminace a proporcionalita zdůrazňuje, že je třeba dosáhnout zlepšení, a vyzývá generálního tajemníka, aby ve spolupráci s GŘ PERS předložil konkrétní, měřitelná a časově omezená opatření k odstranění této nerovnováhy a aby pravidelně informoval Výbor pro rozpočtovou kontrolu Parlamentu a orgán příslušný k udělení absolutoria o pokroku dosaženém při odstraňování zeměpisné vyváženosti mezi zaměstnanci Parlamentu; vyzývá generálního tajemníka a GŘ PERS, aby do pravidelných zpráv předkládaných Výboru pro rozpočtovou kontrolu Parlamentu zahrnoval nejen celkový počet zaměstnanců, ale i údaje týkající se konkrétně kariérního postupu a povyšování rozdělené podle státní příslušnosti a funkčních skupin, obsazování vedoucích a vyšších vedoucích pozic, účasti na programech zaměřených na řízení talentů a vedení a využívání dočasných pracovních míst a funkcí v rámci profesní dráhy;</w:t>
      </w:r>
    </w:p>
    <w:p w14:paraId="18AF6E9C" w14:textId="59157C27" w:rsidR="00C36A04" w:rsidRPr="005D19FF" w:rsidRDefault="00C36A04" w:rsidP="00067493">
      <w:pPr>
        <w:spacing w:after="240"/>
        <w:ind w:left="567" w:hanging="567"/>
        <w:rPr>
          <w:noProof/>
          <w:szCs w:val="24"/>
        </w:rPr>
      </w:pPr>
      <w:r w:rsidRPr="005D19FF">
        <w:rPr>
          <w:szCs w:val="24"/>
        </w:rPr>
        <w:t>6</w:t>
      </w:r>
      <w:r w:rsidR="00AD2E1E">
        <w:rPr>
          <w:szCs w:val="24"/>
        </w:rPr>
        <w:t>5</w:t>
      </w:r>
      <w:r w:rsidRPr="005D19FF">
        <w:rPr>
          <w:szCs w:val="24"/>
        </w:rPr>
        <w:t>.</w:t>
      </w:r>
      <w:r w:rsidRPr="005D19FF">
        <w:rPr>
          <w:szCs w:val="24"/>
        </w:rPr>
        <w:tab/>
        <w:t xml:space="preserve">bere na vědomí klíčový úspěch GŘ PERS, kterým je účinný nábor nebývalého počtu 1 339 akreditovaných parlamentních asistentů do červencového ustavujícího zasedání, kdy celkový počet akreditovaných parlamentních asistentů s platnými smlouvami do konce roku vzrostl na 2 024, a rozloučení se s přibližně 800 akreditovanými parlamentními asistenty; domnívá se, že akreditovaní parlamentní asistenti jsou pro orgán velkým přínosem, a chválí úsilí GŘ PERS při podpoře účinného a účelného náboru ze strany poslanců; </w:t>
      </w:r>
    </w:p>
    <w:p w14:paraId="1D33201B" w14:textId="2848CFD7" w:rsidR="00C36A04" w:rsidRDefault="00C36A04" w:rsidP="00067493">
      <w:pPr>
        <w:pStyle w:val="NormalHanging12a"/>
        <w:rPr>
          <w:szCs w:val="24"/>
        </w:rPr>
      </w:pPr>
      <w:r w:rsidRPr="005D19FF">
        <w:rPr>
          <w:szCs w:val="24"/>
        </w:rPr>
        <w:t>6</w:t>
      </w:r>
      <w:r w:rsidR="00AD2E1E">
        <w:rPr>
          <w:szCs w:val="24"/>
        </w:rPr>
        <w:t>6</w:t>
      </w:r>
      <w:r w:rsidRPr="005D19FF">
        <w:rPr>
          <w:szCs w:val="24"/>
        </w:rPr>
        <w:t>.</w:t>
      </w:r>
      <w:r w:rsidRPr="005D19FF">
        <w:rPr>
          <w:szCs w:val="24"/>
        </w:rPr>
        <w:tab/>
        <w:t xml:space="preserve">uznává, že práce akreditovaných parlamentních asistentů je nedílnou součástí činnosti poslanců, a tedy i Parlamentu; konstatuje, že od přijetí statutu akreditovaných parlamentních asistentů v roce 2009 je jejich postavení v průběhu let dotyčnými pravidly chráněno; bere na vědomí úsilí Parlamentu o vytvoření rámce pro poskytování podpory akreditovaným parlamentním asistentům; vyzývá k řádnému dodržování platných pravidel; konstatuje, že od té doby se akreditovaní parlamentní asistenti účastní oficiálních služebních cest do tří pracovních míst Parlamentu; vítá skutečnost, že pravidla týkající se proplácení služebních cest akreditovaných parlamentních asistentů mezi třemi pracovními místy byla sladěna s pravidly platnými pro úředníky, což zajišťuje, že je s parlamentními asistenty zacházeno rovným způsobem; vyzývá předsednictvo a Parlament, aby formálně revize a reformy, které mají přímý dopad na práva akreditovaných asistentů, konzultovaly s výborem akreditovaných asistentů; vyzývá správu Parlamentu, aby prozkoumala proveditelnost začlenění výpovědní lhůty do smluv akreditovaných asistentů pro případ neočekávaného odchodu poslance Evropského parlamentu; znovu vyzývá Konferenci předsedů a předsednictvo, aby zrevidovaly prováděcí ustanovení upravující činnost delegací a pracovní cesty mimo </w:t>
      </w:r>
      <w:r w:rsidRPr="005D19FF">
        <w:rPr>
          <w:szCs w:val="24"/>
        </w:rPr>
        <w:lastRenderedPageBreak/>
        <w:t>Unii; zdůrazňuje, že v rámci této revize by se měla zvážit možnost, aby akreditovaní parlamentní asistenti směli za určitých podmínek doprovázet poslance na cestách oficiálních parlamentních delegací a na pracovních cestách; zdůrazňuje, že tato změna by nevedla k žádné změně finančního krytí a byla by rozpočtově neutrální;</w:t>
      </w:r>
    </w:p>
    <w:p w14:paraId="32405B22" w14:textId="6298EAFF" w:rsidR="004A7996" w:rsidRPr="005D19FF" w:rsidRDefault="004A7996" w:rsidP="00067493">
      <w:pPr>
        <w:pStyle w:val="NormalHanging12a"/>
        <w:rPr>
          <w:szCs w:val="24"/>
        </w:rPr>
      </w:pPr>
      <w:r w:rsidRPr="004A7996">
        <w:rPr>
          <w:szCs w:val="24"/>
        </w:rPr>
        <w:t>67.</w:t>
      </w:r>
      <w:r w:rsidRPr="004A7996">
        <w:rPr>
          <w:szCs w:val="24"/>
        </w:rPr>
        <w:tab/>
        <w:t>zdůrazňuje, že bezpečnost a ochrana zdraví při práci, včetně psychosociálních rizik (stres, vyhoření, obtěžování) je prioritou; vyzývá předsednictvo, aby psychosociální rizika formálně uznalo jako pracovní rizika a aby přijalo pro celý Parlament plán prevence s měřitelnými cíli; vyzývá, aby bylo zavedeno posouzení rizik týkajících se práce na dálku, služebních cest i krátkých lhůt, jakož i důvěrných kanálů pro oznamování, odborné přípravy vedoucích pracovníků a pravidelného sociálního dialogu; trvá na prosazování práva odpojit se;</w:t>
      </w:r>
    </w:p>
    <w:p w14:paraId="4D635F95" w14:textId="77777777" w:rsidR="00C36A04" w:rsidRPr="005D19FF" w:rsidRDefault="00C36A04" w:rsidP="00067493">
      <w:pPr>
        <w:pStyle w:val="NormalHanging12a"/>
        <w:rPr>
          <w:bCs/>
          <w:iCs/>
          <w:szCs w:val="24"/>
        </w:rPr>
      </w:pPr>
      <w:r w:rsidRPr="005D19FF">
        <w:rPr>
          <w:szCs w:val="24"/>
        </w:rPr>
        <w:t>68.</w:t>
      </w:r>
      <w:r w:rsidRPr="005D19FF">
        <w:rPr>
          <w:szCs w:val="24"/>
        </w:rPr>
        <w:tab/>
        <w:t xml:space="preserve">připomíná, že akreditovaní parlamentní asistenti jsou vyloučeni z účasti na interních výběrových řízeních; vyzývá předsednictvo, aby prozkoumalo možnost povolit akreditovaným parlamentním asistentům, aby se za určitých podmínek účastnili interních výběrových řízení podobně jako zaměstnanci Parlamentu; zdůrazňuje, že větší zapojení akreditovaných parlamentních asistentů do vnitřních struktur Parlamentu by mohlo vést k větší </w:t>
      </w:r>
      <w:proofErr w:type="spellStart"/>
      <w:r w:rsidRPr="005D19FF">
        <w:rPr>
          <w:szCs w:val="24"/>
        </w:rPr>
        <w:t>inkluzivnosti</w:t>
      </w:r>
      <w:proofErr w:type="spellEnd"/>
      <w:r w:rsidRPr="005D19FF">
        <w:rPr>
          <w:szCs w:val="24"/>
        </w:rPr>
        <w:t>, rozmanitosti a geografické vyváženosti pracovních sil; upozorňuje na význam uchovávání a předávání znalostí v Parlamentu v souvislosti s interními pracovními metodami;</w:t>
      </w:r>
    </w:p>
    <w:p w14:paraId="7856C4AC" w14:textId="77777777" w:rsidR="00C36A04" w:rsidRPr="005D19FF" w:rsidRDefault="00C36A04" w:rsidP="00067493">
      <w:pPr>
        <w:pStyle w:val="NormalHanging12a"/>
        <w:rPr>
          <w:szCs w:val="24"/>
        </w:rPr>
      </w:pPr>
      <w:r w:rsidRPr="005D19FF">
        <w:rPr>
          <w:szCs w:val="24"/>
        </w:rPr>
        <w:t>69.</w:t>
      </w:r>
      <w:r w:rsidRPr="005D19FF">
        <w:rPr>
          <w:szCs w:val="24"/>
        </w:rPr>
        <w:tab/>
        <w:t>s velkým znepokojením bere na vědomí zprávy o porušení ochrany údajů zaměřeném na náborovou aplikaci Parlamentu PEOPLE, které se týkalo především dočasných zaměstnanců Parlamentu, včetně akreditovaných parlamentních asistentů; vyjadřuje politování nad tím, že se toto porušení ochrany údajů týkalo průkazů totožnosti, rodných listů, diplomů, pracovní historie, zdravotní dokumentace, práv na nároky, pojištění a dokumentů souvisejících s dokladem o práci až za posledních 10 let; vítá systém náhrad, který generální tajemník zavedl v souladu s povinností řádné péče Parlamentu, aby pokryl náklady na výměnu průkazů totožnosti a/nebo pasů dotčených uživatelů aplikace PEOPLE, přičemž doposud bylo vyplaceno 51 874 EUR; vyjadřuje politování nad tím, že nebyly uhrazeny náklady na cestu do země původu za účelem těchto administrativních postupů; vyzývá správu, aby zajistila, že podpůrná opatření budou účinná a spravedlivá, včetně jasných jednotných pokynů, podpory ochrany totožnosti a náhrady, aby dotčené osoby nemusely nést nevyhnutelné administrativní náklady spojené s postupy nahrazení dokumentů; konstatuje, že správa poskytla orgánu příslušnému k udělení absolutoria vlastní analýzu příčin porušení; vyzývá správní orgán, aby dotčeným zaměstnancům, včetně bývalých zaměstnanců, poskytl jasnou analýzu příčin porušení a opatření přijatých k obnově dotčeného systému; je si plně vědom toho, že Parlament bude terčem kybernetických útoků i v budoucnu a že je nezbytné zachovávat maximální ostražitost; vítá opatření, která správa přijímá za účelem dalšího posílení vyspělosti kybernetické bezpečnosti a správy svého IT prostředí;</w:t>
      </w:r>
    </w:p>
    <w:p w14:paraId="33C3E9C1" w14:textId="77777777" w:rsidR="00C36A04" w:rsidRPr="005D19FF" w:rsidRDefault="00C36A04" w:rsidP="00067493">
      <w:pPr>
        <w:spacing w:after="240"/>
        <w:ind w:left="567" w:hanging="567"/>
        <w:rPr>
          <w:noProof/>
          <w:szCs w:val="24"/>
        </w:rPr>
      </w:pPr>
      <w:r w:rsidRPr="005D19FF">
        <w:rPr>
          <w:szCs w:val="24"/>
        </w:rPr>
        <w:t>70.</w:t>
      </w:r>
      <w:r w:rsidRPr="005D19FF">
        <w:rPr>
          <w:szCs w:val="24"/>
        </w:rPr>
        <w:tab/>
        <w:t>konstatuje, že GŘ PERS zavedlo nový informační systém APA-</w:t>
      </w:r>
      <w:proofErr w:type="spellStart"/>
      <w:r w:rsidRPr="005D19FF">
        <w:rPr>
          <w:szCs w:val="24"/>
        </w:rPr>
        <w:t>People</w:t>
      </w:r>
      <w:proofErr w:type="spellEnd"/>
      <w:r w:rsidRPr="005D19FF">
        <w:rPr>
          <w:szCs w:val="24"/>
        </w:rPr>
        <w:t>, který zlepšuje proces náboru tím, že centralizuje správu smluv a umožňuje přístup poslanců, jakož i plně digitalizovaný postup lékařských prohlídek při náboru; vyzývá GŘ PERS, aby ve spolupráci s GŘ ITEC zajistilo, že kybernetická bezpečnost tohoto systému bude odpovídat požadovanému standardu a zabrání úniku osobních údajů; se domnívá, že kybernetická bezpečnost informačních systémů obsahujících osobní údaje všech zaměstnanců je mimořádně důležitá, a vyzývá GŘ PERS, aby v tomto směru úzce spolupracovalo s GŘ ITEC;</w:t>
      </w:r>
    </w:p>
    <w:p w14:paraId="7DEB60E9" w14:textId="77777777" w:rsidR="00C36A04" w:rsidRPr="005D19FF" w:rsidRDefault="00C36A04" w:rsidP="00067493">
      <w:pPr>
        <w:spacing w:after="240"/>
        <w:ind w:left="567" w:hanging="567"/>
        <w:rPr>
          <w:szCs w:val="24"/>
        </w:rPr>
      </w:pPr>
      <w:r w:rsidRPr="005D19FF">
        <w:rPr>
          <w:szCs w:val="24"/>
        </w:rPr>
        <w:lastRenderedPageBreak/>
        <w:t>71.</w:t>
      </w:r>
      <w:r w:rsidRPr="005D19FF">
        <w:rPr>
          <w:szCs w:val="24"/>
        </w:rPr>
        <w:tab/>
        <w:t xml:space="preserve">konstatuje, </w:t>
      </w:r>
      <w:r w:rsidRPr="005D19FF">
        <w:rPr>
          <w:szCs w:val="24"/>
          <w14:textOutline w14:w="0" w14:cap="flat" w14:cmpd="sng" w14:algn="ctr">
            <w14:noFill/>
            <w14:prstDash w14:val="solid"/>
            <w14:bevel/>
          </w14:textOutline>
        </w:rPr>
        <w:t>že</w:t>
      </w:r>
      <w:r w:rsidRPr="005D19FF">
        <w:rPr>
          <w:szCs w:val="24"/>
        </w:rPr>
        <w:t xml:space="preserve"> GŘ PERS v roce 2024 podpořilo provádění plánů v oblasti genderu a rozmanitosti a vypracovalo školicí kurzy v oblasti rozmanitosti a začleňování pro všechny zaměstnance; vítá, že oddělení pro rovnost, začlenění a rozmanitost (EIDU) GŘ PERS v roce 2024 zefektivnilo svůj interní postup pro přiměřená opatření, čímž podpořilo rovnost, začlenění a rozmanitost, a rovněž poskytlo poradenství oddělení pro vzdělávání a rozvoj ohledně přiměřených opatření pro školicí kurzy; vítá, že toto oddělení také uspořádalo 20 školicích kurzů a akcí zaměřených na zvýšení informovanosti pro 2 334 účastníků, včetně nového kurzu v oblasti rozmanitosti a začleňování pro všechny zaměstnance, a hostilo akce na téma rovnost žen a mužů, zdravotní postižení a začleňování LGBTQI+;</w:t>
      </w:r>
    </w:p>
    <w:p w14:paraId="49F1B5A4" w14:textId="77777777" w:rsidR="00C36A04" w:rsidRPr="005D19FF" w:rsidRDefault="00C36A04" w:rsidP="00067493">
      <w:pPr>
        <w:pStyle w:val="NormalHanging12a"/>
        <w:rPr>
          <w:szCs w:val="24"/>
        </w:rPr>
      </w:pPr>
      <w:r w:rsidRPr="005D19FF">
        <w:rPr>
          <w:szCs w:val="24"/>
        </w:rPr>
        <w:t>72.</w:t>
      </w:r>
      <w:r w:rsidRPr="005D19FF">
        <w:rPr>
          <w:szCs w:val="24"/>
        </w:rPr>
        <w:tab/>
        <w:t>vítá přijetí společného interinstitucionálního rozhodnutí o příspěvku na bydlení pro zaměstnance nižších platových tříd žijící v Lucembursku; považuje jej za nezbytný nástroj podpory zaměstnanců nižších platových tříd, aby se vyrovnaly neúměrně vysoké náklady na bydlení, a také za nezbytný nástroj ke zvýšení atraktivity lucemburského sídla Parlamentu; konstatuje, že tento nástroj je dočasný, a vyzývá Parlament, aby zajistil dlouhodobou předvídatelnost pro dotčené zaměstnance;</w:t>
      </w:r>
    </w:p>
    <w:p w14:paraId="58D23D1A" w14:textId="77777777" w:rsidR="00C36A04" w:rsidRPr="005D19FF" w:rsidRDefault="00C36A04" w:rsidP="00067493">
      <w:pPr>
        <w:pStyle w:val="NormalHanging12a"/>
        <w:rPr>
          <w:szCs w:val="24"/>
        </w:rPr>
      </w:pPr>
      <w:r w:rsidRPr="005D19FF">
        <w:rPr>
          <w:szCs w:val="24"/>
        </w:rPr>
        <w:t>73.</w:t>
      </w:r>
      <w:r w:rsidRPr="005D19FF">
        <w:rPr>
          <w:szCs w:val="24"/>
        </w:rPr>
        <w:tab/>
        <w:t xml:space="preserve">připomíná, že dne 22. října 2024 byla zahájena </w:t>
      </w:r>
      <w:proofErr w:type="spellStart"/>
      <w:r w:rsidRPr="005D19FF">
        <w:rPr>
          <w:szCs w:val="24"/>
        </w:rPr>
        <w:t>celoparlamentní</w:t>
      </w:r>
      <w:proofErr w:type="spellEnd"/>
      <w:r w:rsidRPr="005D19FF">
        <w:rPr>
          <w:szCs w:val="24"/>
        </w:rPr>
        <w:t xml:space="preserve"> kampaň proti obtěžování nazvaná „Jednotně proti obtěžování“, která přispívá k bezpečnému pracovnímu prostředí; vítá, že kromě informační kampaně bylo pro poslance povinné školení „Respekt a důstojnost v práci – prevence konfliktů a obtěžování na pracovišti“, které poslanci absolvovali v prvním roce volebního období; zdůrazňuje, že by měla být vyhodnocena účinnost těchto opatření;</w:t>
      </w:r>
    </w:p>
    <w:p w14:paraId="147EF733" w14:textId="77777777" w:rsidR="00C36A04" w:rsidRPr="005D19FF" w:rsidRDefault="00C36A04" w:rsidP="00067493">
      <w:pPr>
        <w:pStyle w:val="NormalHanging12a"/>
        <w:rPr>
          <w:szCs w:val="24"/>
        </w:rPr>
      </w:pPr>
      <w:r w:rsidRPr="005D19FF">
        <w:rPr>
          <w:szCs w:val="24"/>
        </w:rPr>
        <w:t>74.</w:t>
      </w:r>
      <w:r w:rsidRPr="005D19FF">
        <w:rPr>
          <w:szCs w:val="24"/>
        </w:rPr>
        <w:tab/>
        <w:t>vítá skutečnost, že zaměstnanci mají možnost pracovat na dálku mimo své pracoviště; upozorňuje, že zaměstnanci Parlamentu mohou tuto formu práce na dálku využívat pět dní v roce; konstatuje, že ostatní orgány Unie poskytují v průměru 15 dní ročně; vyzývá k tomu, aby tyto nové způsoby práce byly proaktivně monitorovány a hodnoceny; připomíná význam skutečného dialogu se zaměstnanci o zásadních otázkách týkajících se nových způsobů práce;</w:t>
      </w:r>
    </w:p>
    <w:p w14:paraId="65DE1074" w14:textId="77777777" w:rsidR="00C36A04" w:rsidRPr="005D19FF" w:rsidRDefault="00C36A04" w:rsidP="00067493">
      <w:pPr>
        <w:pStyle w:val="NormalHanging12a"/>
        <w:rPr>
          <w:bCs/>
          <w:iCs/>
          <w:szCs w:val="24"/>
        </w:rPr>
      </w:pPr>
      <w:r w:rsidRPr="005D19FF">
        <w:rPr>
          <w:szCs w:val="24"/>
        </w:rPr>
        <w:t>75.</w:t>
      </w:r>
      <w:r w:rsidRPr="005D19FF">
        <w:rPr>
          <w:szCs w:val="24"/>
        </w:rPr>
        <w:tab/>
        <w:t xml:space="preserve">zdůrazňuje, že kvalitní služby péče o děti poskytované poslancům a zaměstnancům patří k ústředním opatřením k zajištění účinného provádění politiky rovnováhy mezi pracovním a soukromým životem; upozorňuje na skutečnost, že kvalita služeb poskytovaných zařízením péče o děti předškolního věku </w:t>
      </w:r>
      <w:proofErr w:type="spellStart"/>
      <w:r w:rsidRPr="005D19FF">
        <w:rPr>
          <w:szCs w:val="24"/>
        </w:rPr>
        <w:t>Wayenberg</w:t>
      </w:r>
      <w:proofErr w:type="spellEnd"/>
      <w:r w:rsidRPr="005D19FF">
        <w:rPr>
          <w:szCs w:val="24"/>
        </w:rPr>
        <w:t xml:space="preserve"> v Bruselu trpí, a to v důsledku častých změn poskytovatele služeb od roku 2020; vyzývá v této souvislosti k tomu, aby byla zvážena potřeba přijmout vysoce kvalitní normy;</w:t>
      </w:r>
    </w:p>
    <w:p w14:paraId="132A236F" w14:textId="77777777" w:rsidR="00C36A04" w:rsidRPr="005D19FF" w:rsidRDefault="00C36A04" w:rsidP="00067493">
      <w:pPr>
        <w:pStyle w:val="NormalHanging12a"/>
        <w:rPr>
          <w:bCs/>
          <w:iCs/>
          <w:szCs w:val="24"/>
        </w:rPr>
      </w:pPr>
      <w:r w:rsidRPr="005D19FF">
        <w:rPr>
          <w:szCs w:val="24"/>
        </w:rPr>
        <w:t>76.</w:t>
      </w:r>
      <w:r w:rsidRPr="005D19FF">
        <w:rPr>
          <w:szCs w:val="24"/>
        </w:rPr>
        <w:tab/>
        <w:t>připomíná doporučení Parlamentu Komisi v usnesení Evropského parlamentu ze dne 18. dubna 2018 o politice Komise v oblasti integrity, zejména pak pokud jde o jmenování generálního tajemníka Evropské komise (2018/2624(RSP)), „aby přezkoumala své správní postupy pro jmenování vyšších úředníků s cílem plně zajistit, aby byli vybíráni nejvhodnější uchazeči, při zachování co nejvyšší úrovně transparentnosti a rovných příležitostí“; je toho názoru, že Parlament by měl v oblasti jmenovacích řízení vždy dodržovat nejvyšší standardy, pokud jde o transparentnost, odpovědnost a řádnou správu;</w:t>
      </w:r>
    </w:p>
    <w:p w14:paraId="529E2560" w14:textId="77777777" w:rsidR="00C36A04" w:rsidRPr="005D19FF" w:rsidRDefault="00C36A04" w:rsidP="00067493">
      <w:pPr>
        <w:pStyle w:val="NormalHanging12a"/>
        <w:rPr>
          <w:bCs/>
          <w:iCs/>
          <w:szCs w:val="24"/>
        </w:rPr>
      </w:pPr>
      <w:r w:rsidRPr="005D19FF">
        <w:rPr>
          <w:szCs w:val="24"/>
        </w:rPr>
        <w:t>77.</w:t>
      </w:r>
      <w:r w:rsidRPr="005D19FF">
        <w:rPr>
          <w:szCs w:val="24"/>
        </w:rPr>
        <w:tab/>
        <w:t xml:space="preserve">vyzývá Parlament, aby optimalizoval využívání svých lidských zdrojů, a to i prostřednictvím provádění vhodných průběžných školení zaměřených na zvýšení účinnosti a účelnosti vnitřních služeb; vyzývá k pravidelnému poskytování školení první pomoci na úrovni začátečníků a středně pokročilých a k tomu, aby se školení </w:t>
      </w:r>
      <w:r w:rsidRPr="005D19FF">
        <w:rPr>
          <w:szCs w:val="24"/>
        </w:rPr>
        <w:lastRenderedPageBreak/>
        <w:t>první pomoci stalo dobrovolnou součástí programu nástupu nových zaměstnanců; vyzývá správu, aby prozkoumala možnost instalace dalších defibrilátorů s cílem zvýšit bezpečnost a ochranu zdraví poslanců a zaměstnanců, včetně zajišťování školení;</w:t>
      </w:r>
    </w:p>
    <w:p w14:paraId="180CBBBA" w14:textId="77777777" w:rsidR="00C36A04" w:rsidRPr="005D19FF" w:rsidRDefault="00C36A04" w:rsidP="00067493">
      <w:pPr>
        <w:spacing w:after="240"/>
        <w:ind w:left="567" w:hanging="567"/>
        <w:rPr>
          <w:b/>
          <w:bCs/>
          <w:i/>
          <w:iCs/>
          <w:szCs w:val="24"/>
        </w:rPr>
      </w:pPr>
      <w:r w:rsidRPr="005D19FF">
        <w:rPr>
          <w:b/>
          <w:i/>
          <w:szCs w:val="24"/>
        </w:rPr>
        <w:t>Generální ředitelství pro infrastrukturu a logistiku</w:t>
      </w:r>
    </w:p>
    <w:p w14:paraId="3B8A9EF8" w14:textId="77777777" w:rsidR="00C36A04" w:rsidRPr="005D19FF" w:rsidRDefault="00C36A04" w:rsidP="00067493">
      <w:pPr>
        <w:spacing w:after="240"/>
        <w:ind w:left="567" w:hanging="567"/>
        <w:rPr>
          <w:szCs w:val="24"/>
        </w:rPr>
      </w:pPr>
      <w:r w:rsidRPr="005D19FF">
        <w:rPr>
          <w:szCs w:val="24"/>
        </w:rPr>
        <w:t>78.</w:t>
      </w:r>
      <w:r w:rsidRPr="005D19FF">
        <w:rPr>
          <w:szCs w:val="24"/>
        </w:rPr>
        <w:tab/>
        <w:t xml:space="preserve">připomíná, že generální ředitelství pro infrastrukturu a logistiku (GŘ INLO) je odpovědné za budovy, stavební práce, správu budov a logistiku Parlamentu; připomíná, že GŘ INLO zajišťuje také stravování a dopravu a spravuje a vybavuje kancelářské a zasedací prostory Parlamentu; připomíná, že GŘ INLO spravovalo zejména portfolio budov Parlamentu o rozloze přibližně 1,3 milionu m² v Bruselu, Lucemburku, Štrasburku, kontaktních kanceláří a center Europa </w:t>
      </w:r>
      <w:proofErr w:type="spellStart"/>
      <w:r w:rsidRPr="005D19FF">
        <w:rPr>
          <w:szCs w:val="24"/>
        </w:rPr>
        <w:t>Experience</w:t>
      </w:r>
      <w:proofErr w:type="spellEnd"/>
      <w:r w:rsidRPr="005D19FF">
        <w:rPr>
          <w:szCs w:val="24"/>
        </w:rPr>
        <w:t xml:space="preserve"> v členských státech; konstatuje, že k 31. prosinci 2024 mělo GŘ INLO 635 zaměstnanců, z toho 311 úředníků, 20 dočasných zaměstnanců a 326 smluvních zaměstnanců;</w:t>
      </w:r>
    </w:p>
    <w:p w14:paraId="5001661C" w14:textId="77777777" w:rsidR="00C36A04" w:rsidRPr="005D19FF" w:rsidRDefault="00C36A04" w:rsidP="00067493">
      <w:pPr>
        <w:pStyle w:val="NormalHanging12a"/>
        <w:rPr>
          <w:szCs w:val="24"/>
        </w:rPr>
      </w:pPr>
      <w:r w:rsidRPr="005D19FF">
        <w:rPr>
          <w:szCs w:val="24"/>
        </w:rPr>
        <w:t>79.</w:t>
      </w:r>
      <w:r w:rsidRPr="005D19FF">
        <w:rPr>
          <w:szCs w:val="24"/>
        </w:rPr>
        <w:tab/>
        <w:t>konstatuje, že konečná výše prostředků GŘ INLO v roce 2024 činila 258 638 966 EUR, což představuje 10,9 % rozpočtu Parlamentu; zdůrazňuje, že z této částky bylo přiděleno celkem 256 935 431 EUR; bere na vědomí vysokou míru čerpání prostředků;</w:t>
      </w:r>
    </w:p>
    <w:p w14:paraId="60B72E17" w14:textId="0C5A459F" w:rsidR="00C36A04" w:rsidRPr="005D19FF" w:rsidRDefault="00C36A04" w:rsidP="00067493">
      <w:pPr>
        <w:spacing w:after="240"/>
        <w:ind w:left="567" w:hanging="567"/>
        <w:rPr>
          <w:szCs w:val="24"/>
        </w:rPr>
      </w:pPr>
      <w:r w:rsidRPr="005D19FF">
        <w:rPr>
          <w:szCs w:val="24"/>
        </w:rPr>
        <w:t>80.</w:t>
      </w:r>
      <w:r w:rsidRPr="005D19FF">
        <w:rPr>
          <w:szCs w:val="24"/>
        </w:rPr>
        <w:tab/>
        <w:t>připomíná, že převážná většina Parlamentu vyjádřila podporu tomu, aby existovalo jediné sídlo; připomíná, že podle Smlouvy o EU má Parlament sídlo ve Štrasburku, kde se koná 12měsíčních plenárních zasedání, a že jakákoli změna Smluv vyžaduje jednomyslnost členských států; konstatuje, že i v současném rámci Smlouvy lze dosáhnout úspor optimalizací operací; vyzývá ke stanovení konkrétních milníků a akčního plánu pro dosažení zjištěného snížení nákladů;</w:t>
      </w:r>
    </w:p>
    <w:p w14:paraId="6E70141A" w14:textId="77777777" w:rsidR="00C36A04" w:rsidRPr="005D19FF" w:rsidRDefault="00C36A04" w:rsidP="00067493">
      <w:pPr>
        <w:pStyle w:val="NormalHanging12a"/>
        <w:rPr>
          <w:bCs/>
          <w:iCs/>
          <w:szCs w:val="24"/>
        </w:rPr>
      </w:pPr>
      <w:r w:rsidRPr="005D19FF">
        <w:rPr>
          <w:szCs w:val="24"/>
        </w:rPr>
        <w:t>81.</w:t>
      </w:r>
      <w:r w:rsidRPr="005D19FF">
        <w:rPr>
          <w:szCs w:val="24"/>
        </w:rPr>
        <w:tab/>
        <w:t>vybízí správu, aby pokračovala v posuzování kvality, ceny a škály stravovacích služeb nabízených v Parlamentu s cílem zajistit, aby kritéria pro zadávání veřejných zakázek náležitě vyvažovala hledisko ceny a kvality; vyzývá GŘ INLO, aby prozkoumalo možnosti posílení hospodářské soutěže mezi poskytovateli stravovacích služeb s cílem zlepšit standardy služeb, výběr a nákladovou efektivnost, zejména v souvislosti s oficiálními akcemi a službami pro návštěvníky; vyzývá správu Parlamentu, aby o výsledku informovala Výbor pro rozpočtovou kontrolu Parlamentu;</w:t>
      </w:r>
    </w:p>
    <w:p w14:paraId="5CC00AED" w14:textId="77777777" w:rsidR="00C36A04" w:rsidRPr="005D19FF" w:rsidRDefault="00C36A04" w:rsidP="00067493">
      <w:pPr>
        <w:pStyle w:val="NormalHanging12a"/>
        <w:rPr>
          <w:szCs w:val="24"/>
        </w:rPr>
      </w:pPr>
      <w:r w:rsidRPr="005D19FF">
        <w:rPr>
          <w:szCs w:val="24"/>
        </w:rPr>
        <w:t>82.</w:t>
      </w:r>
      <w:r w:rsidRPr="005D19FF">
        <w:rPr>
          <w:szCs w:val="24"/>
        </w:rPr>
        <w:tab/>
        <w:t>vítá, že správa v roce 2024 provedla „strategii Parlamentu v oblasti budov pro období po roce 2019“ a dosáhla jejích hlavních cílů; s uspokojením konstatuje, že GŘ INLO se po letech expanze způsobené růstem institucionálních pravomocí Parlamentu nyní zaměřuje na konsolidaci fondu budov Parlamentu a renovaci stávajících prostor; vítá závazek GŘ INLO dále rozvíjet úlohu Parlamentu ve městech Štrasburk, Brusel a Lucemburk, podporovat projekty společného zájmu a propojovat tato místa s okolím;</w:t>
      </w:r>
    </w:p>
    <w:p w14:paraId="4E700C13" w14:textId="77777777" w:rsidR="00C36A04" w:rsidRPr="005D19FF" w:rsidRDefault="00C36A04" w:rsidP="00067493">
      <w:pPr>
        <w:pStyle w:val="NormalHanging12a"/>
        <w:rPr>
          <w:bCs/>
          <w:iCs/>
          <w:szCs w:val="24"/>
        </w:rPr>
      </w:pPr>
      <w:r w:rsidRPr="005D19FF">
        <w:rPr>
          <w:szCs w:val="24"/>
        </w:rPr>
        <w:t>83.</w:t>
      </w:r>
      <w:r w:rsidRPr="005D19FF">
        <w:rPr>
          <w:szCs w:val="24"/>
        </w:rPr>
        <w:tab/>
        <w:t>vyzývá správu Parlamentu, aby i nadále pokračovala v aktivní strategii v oblasti budov, která zohledňuje potřeby infrastruktury a logistiky, a přezkoumala možnosti opatření na úsporu nákladů, jako např. využívání hybridních technologií pro schůze či konsolidace parlamentních činností; vyzývá Parlament, aby zajistil, že jeho cíle v oblasti biologické rozmanitosti budou rovněž zohledňovány v projektech správy a renovace budov, včetně odhadu souvisejících nákladů; konstatuje, že velké stavební projekty zahrnují složitá jednání a důkladnou právní kontrolu; vyzývá správu Parlamentu, aby zajistila strukturované podávání zpráv ex post orgánu příslušnému k udělování absolutoria o těchto projektech, včetně procesů vyjednávání, opatření ke zmírnění rizik a právních posouzení, s cílem posílit transparentnost a institucionální učení;</w:t>
      </w:r>
    </w:p>
    <w:p w14:paraId="3B8C16E9" w14:textId="77777777" w:rsidR="00C36A04" w:rsidRPr="005D19FF" w:rsidRDefault="00C36A04" w:rsidP="00067493">
      <w:pPr>
        <w:pStyle w:val="NormalHanging12a"/>
        <w:rPr>
          <w:szCs w:val="24"/>
        </w:rPr>
      </w:pPr>
      <w:r w:rsidRPr="005D19FF">
        <w:rPr>
          <w:szCs w:val="24"/>
        </w:rPr>
        <w:lastRenderedPageBreak/>
        <w:t>84.</w:t>
      </w:r>
      <w:r w:rsidRPr="005D19FF">
        <w:rPr>
          <w:szCs w:val="24"/>
        </w:rPr>
        <w:tab/>
        <w:t>se znepokojením konstatuje přetrvávající nedostatek zasedacích a seminárních místností v Parlamentu, který stále více ztěžuje rezervaci prostor a vyžaduje plánování s velkým předstihem; lituje, že tato situace brání účinné organizaci parlamentní práce a omezuje flexibilitu poslanců a zaměstnanců; bere na vědomí nadcházející renovaci budovy SPAAK, která je v souladu s požadavky Unie na energetickou náročnost; vyzývá správu Parlamentu, aby provedla opatření ke zmírnění dopadů renovace a zajistila, aby bylo k dispozici dostatečné zázemí na podporu provozních potřeb Parlamentu;</w:t>
      </w:r>
    </w:p>
    <w:p w14:paraId="0857B29A" w14:textId="77777777" w:rsidR="00C36A04" w:rsidRPr="005D19FF" w:rsidRDefault="00C36A04" w:rsidP="00067493">
      <w:pPr>
        <w:pStyle w:val="NormalHanging12a"/>
        <w:rPr>
          <w:szCs w:val="24"/>
        </w:rPr>
      </w:pPr>
      <w:r w:rsidRPr="005D19FF">
        <w:rPr>
          <w:szCs w:val="24"/>
        </w:rPr>
        <w:t>85.</w:t>
      </w:r>
      <w:r w:rsidRPr="005D19FF">
        <w:rPr>
          <w:szCs w:val="24"/>
        </w:rPr>
        <w:tab/>
        <w:t>bere na vědomí stavební projekty v roce 2024, a zejména dokončení západního křídla budovy ADENAUER II v Lucemburku, v němž se pod jednou střechou sejdou všichni zaměstnanci a útvary Parlamentu; konstatuje, že nový pavilon pro bezpečnostní kontroly a přijímání návštěvníků v budově WEISS ve Štrasburku byl dokončen ještě před zahájením nového volebního období v červenci 2024; bere na vědomí pořízení budovy TRÈVES II v Bruselu, čímž Parlament dále konsoliduje svůj fond budov v evropské čtvrti města; požaduje, aby byl předložen aktualizovaný harmonogram propojení budov TRÈVES I a TRÈVES II s hlavními centrálními budovami v Bruselu; žádá, aby byly vyřešeny některé strukturální problémy, v budově TRÈVES I, jako je nestabilní systém vytápění, nedostatečná klimatizace a nedostatek toalet pro osoby s omezenou schopností pohybu, špatná kontrola zvuku a problém s odpadem; vybízí k častějšímu čištění ventilačních otvorů vytápění v budově SPINELLI s cílem zabránit hromadění prachu a plísní v kancelářích a zlepšit zdraví zaměstnanců při práci;</w:t>
      </w:r>
    </w:p>
    <w:p w14:paraId="276B7C23" w14:textId="77777777" w:rsidR="00C36A04" w:rsidRPr="005D19FF" w:rsidRDefault="00C36A04" w:rsidP="00067493">
      <w:pPr>
        <w:pStyle w:val="NormalHanging12a"/>
        <w:rPr>
          <w:szCs w:val="24"/>
        </w:rPr>
      </w:pPr>
      <w:r w:rsidRPr="005D19FF">
        <w:rPr>
          <w:szCs w:val="24"/>
        </w:rPr>
        <w:t>86.</w:t>
      </w:r>
      <w:r w:rsidRPr="005D19FF">
        <w:rPr>
          <w:szCs w:val="24"/>
        </w:rPr>
        <w:tab/>
        <w:t>připomíná, že předsednictvo na své schůzi dne 12. června 2023 projednalo kroky k renovaci budovy SPAAK; konstatuje, že předsednictvo se vyslovilo pro komplexní ekologickou renovaci a dne 11. prosince 2023 projekt schválilo; konstatuje, že GŘ INLO dosáhlo pokroku v předběžných projektech souvisejících s renovací budovy SPAAK tím, že zahájilo studie týkající se nové centrální technické místnosti generálního ředitelství pro logistiku a tlumočení konferencí (GŘ LINC), reorganizace tiskárenského oddělení, stěhování kabinetů a prostoru pro média a tisk;</w:t>
      </w:r>
    </w:p>
    <w:p w14:paraId="61861B69" w14:textId="77777777" w:rsidR="00C36A04" w:rsidRPr="005D19FF" w:rsidRDefault="00C36A04" w:rsidP="00067493">
      <w:pPr>
        <w:pStyle w:val="NormalHanging12a"/>
        <w:rPr>
          <w:bCs/>
          <w:iCs/>
          <w:szCs w:val="24"/>
        </w:rPr>
      </w:pPr>
      <w:r w:rsidRPr="005D19FF">
        <w:rPr>
          <w:szCs w:val="24"/>
        </w:rPr>
        <w:t>87.</w:t>
      </w:r>
      <w:r w:rsidRPr="005D19FF">
        <w:rPr>
          <w:szCs w:val="24"/>
        </w:rPr>
        <w:tab/>
        <w:t>bere na vědomí, že do odhadu příjmů a výdajů na rok 2026 jsou zahrnuty 4 miliony EUR na studie a přípravné práce dodavatele v souvislosti s renovací budovy SPAAK, přičemž celkové náklady se odhadují na 36 milionů EUR; konstatuje proto, že do odhadu příjmů a výdajů na rok 2026 nejsou zahrnuty náklady na renovaci budovy SPAAK ve výši 32 milionů EUR; konstatuje, že generální tajemník má v úmyslu pokrýt tyto náklady sběrným převodem nebo využitím půjčky; žádá generálního tajemníka, aby Výboru pro rozpočtovou kontrolu Parlamentu co nejdříve poskytl podrobné informace o možné půjčce na pokrytí těchto nákladů; konstatuje, že k prosinci 2024 činily přímé náklady na projekt SPAAK 14,12 milionu EUR; je toho názoru, že vývoj nákladů na renovaci budovy SPAAK musí být pečlivě sledován;</w:t>
      </w:r>
    </w:p>
    <w:p w14:paraId="70D67D08" w14:textId="77777777" w:rsidR="00C36A04" w:rsidRPr="005D19FF" w:rsidRDefault="00C36A04" w:rsidP="00067493">
      <w:pPr>
        <w:pStyle w:val="NormalHanging12a"/>
        <w:rPr>
          <w:szCs w:val="24"/>
        </w:rPr>
      </w:pPr>
      <w:r w:rsidRPr="005D19FF">
        <w:rPr>
          <w:szCs w:val="24"/>
        </w:rPr>
        <w:t>88.</w:t>
      </w:r>
      <w:r w:rsidRPr="005D19FF">
        <w:rPr>
          <w:szCs w:val="24"/>
        </w:rPr>
        <w:tab/>
        <w:t>konstatuje, že GŘ INLO vypracovává koncepci optimalizace kancelářských prostor s cílem využít stávající kanceláře způsobem, který plně využívá potenciál zaměstnanců Parlamentu a udržuje jejich společenské kontakty uvnitř Parlamentu; uvádí, že jako inspirace pro tuto koncepci slouží budovy MARTENS, TRÈVES II a ARENDT v Bruselu, a to se zaměřením na „pracoviště založené na aktivitách“, včetně společenských prostor pro setkávání, neformální shromažďování a diskuse; konstatuje, že byla prozkoumána obecná koncepce i pro budovu KOHL se zohledněním jejích konstrukčních a rozpočtových omezení; vyzývá GŘ INLO, aby při vypracovávání této koncepce zohledňovalo především hlediska uživatelů a aby upřednostnilo její uplatňování v budovách, kde je optimalizace nejpotřebnější, a to vždy v koordinaci se zástupci zaměstnanců;</w:t>
      </w:r>
    </w:p>
    <w:p w14:paraId="6F879FB4" w14:textId="77777777" w:rsidR="00C36A04" w:rsidRPr="005D19FF" w:rsidRDefault="00C36A04" w:rsidP="00067493">
      <w:pPr>
        <w:pStyle w:val="NormalHanging12a"/>
        <w:rPr>
          <w:bCs/>
          <w:iCs/>
          <w:szCs w:val="24"/>
        </w:rPr>
      </w:pPr>
      <w:r w:rsidRPr="005D19FF">
        <w:rPr>
          <w:szCs w:val="24"/>
        </w:rPr>
        <w:lastRenderedPageBreak/>
        <w:t>89.</w:t>
      </w:r>
      <w:r w:rsidRPr="005D19FF">
        <w:rPr>
          <w:szCs w:val="24"/>
        </w:rPr>
        <w:tab/>
        <w:t>poukazuje na skutečnost, že v roce 2024 zbývalo ve vozidlech pohybujících se mezi Bruselem a Štrasburkem kvůli plenárním zasedáním mnoho volných míst; vyzývá vedení Parlamentu, aby se pokusilo rozšířit skupinu uživatelů a zefektivnit využívání vozového parku a zároveň zajistit, aby byla zajištěna místa pro poslance;</w:t>
      </w:r>
    </w:p>
    <w:p w14:paraId="4106A9B6" w14:textId="77777777" w:rsidR="00C36A04" w:rsidRPr="005D19FF" w:rsidRDefault="00C36A04" w:rsidP="00067493">
      <w:pPr>
        <w:pStyle w:val="NormalHanging12a"/>
        <w:rPr>
          <w:bCs/>
          <w:iCs/>
          <w:szCs w:val="24"/>
        </w:rPr>
      </w:pPr>
      <w:r w:rsidRPr="005D19FF">
        <w:rPr>
          <w:szCs w:val="24"/>
        </w:rPr>
        <w:t>90.</w:t>
      </w:r>
      <w:r w:rsidRPr="005D19FF">
        <w:rPr>
          <w:szCs w:val="24"/>
        </w:rPr>
        <w:tab/>
        <w:t>vyzývá k tomu, aby tělocvična nabízela více kurzů, které podporují fyzickou a duševní pohodu s cílem oslovit širší škálu zaměstnanců;</w:t>
      </w:r>
    </w:p>
    <w:p w14:paraId="37A9858E" w14:textId="77777777" w:rsidR="00C36A04" w:rsidRPr="005D19FF" w:rsidRDefault="00C36A04" w:rsidP="00067493">
      <w:pPr>
        <w:spacing w:after="240"/>
        <w:ind w:left="567" w:hanging="567"/>
        <w:rPr>
          <w:b/>
          <w:bCs/>
          <w:i/>
          <w:iCs/>
          <w:szCs w:val="24"/>
          <w14:textOutline w14:w="0" w14:cap="flat" w14:cmpd="sng" w14:algn="ctr">
            <w14:noFill/>
            <w14:prstDash w14:val="solid"/>
            <w14:bevel/>
          </w14:textOutline>
        </w:rPr>
      </w:pPr>
      <w:r w:rsidRPr="005D19FF">
        <w:rPr>
          <w:b/>
          <w:i/>
          <w:szCs w:val="24"/>
          <w14:textOutline w14:w="0" w14:cap="flat" w14:cmpd="sng" w14:algn="ctr">
            <w14:noFill/>
            <w14:prstDash w14:val="solid"/>
            <w14:bevel/>
          </w14:textOutline>
        </w:rPr>
        <w:t>Generální ředitelství pro finance</w:t>
      </w:r>
    </w:p>
    <w:p w14:paraId="7D757BA3"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91</w:t>
      </w:r>
      <w:r w:rsidRPr="005D19FF">
        <w:rPr>
          <w:szCs w:val="24"/>
        </w:rPr>
        <w:t>.</w:t>
      </w:r>
      <w:r w:rsidRPr="005D19FF">
        <w:rPr>
          <w:szCs w:val="24"/>
          <w14:textOutline w14:w="0" w14:cap="flat" w14:cmpd="sng" w14:algn="ctr">
            <w14:noFill/>
            <w14:prstDash w14:val="solid"/>
            <w14:bevel/>
          </w14:textOutline>
        </w:rPr>
        <w:tab/>
        <w:t>připomíná, že GŘ FINS je správním orgánem odpovědným za rozpočtové a finanční záležitosti Parlamentu; bere na vědomí, že k 31. prosinci 2024 mělo 262 zaměstnanců, z toho 134 úředníků, 51 dočasných zaměstnanců, 77 smluvních zaměstnanců a žádné agenturní zaměstnance;</w:t>
      </w:r>
    </w:p>
    <w:p w14:paraId="1F15215D"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92</w:t>
      </w:r>
      <w:r w:rsidRPr="005D19FF">
        <w:rPr>
          <w:szCs w:val="24"/>
        </w:rPr>
        <w:t>.</w:t>
      </w:r>
      <w:r w:rsidRPr="005D19FF">
        <w:rPr>
          <w:szCs w:val="24"/>
          <w14:textOutline w14:w="0" w14:cap="flat" w14:cmpd="sng" w14:algn="ctr">
            <w14:noFill/>
            <w14:prstDash w14:val="solid"/>
            <w14:bevel/>
          </w14:textOutline>
        </w:rPr>
        <w:tab/>
        <w:t>bere na vědomí, že konečná výše prostředků GŘ FINS v roce 2024 činila 442 954 175 EUR, což představuje 18,6 % rozpočtu Parlamentu; zdůrazňuje, že z této částky bylo přiděleno celkem 441 848 935 EUR (99,75 %); vítá vysokou míru čerpání prostředků;</w:t>
      </w:r>
    </w:p>
    <w:p w14:paraId="08ADBE16"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93.</w:t>
      </w:r>
      <w:r w:rsidRPr="005D19FF">
        <w:rPr>
          <w:szCs w:val="24"/>
          <w14:textOutline w14:w="0" w14:cap="flat" w14:cmpd="sng" w14:algn="ctr">
            <w14:noFill/>
            <w14:prstDash w14:val="solid"/>
            <w14:bevel/>
          </w14:textOutline>
        </w:rPr>
        <w:tab/>
        <w:t xml:space="preserve">vyzývá GŘ FINS, aby se aktivně zabývalo doporučeními OECD </w:t>
      </w:r>
      <w:r w:rsidRPr="005D19FF">
        <w:rPr>
          <w:i/>
          <w:iCs/>
          <w:szCs w:val="24"/>
          <w14:textOutline w14:w="0" w14:cap="flat" w14:cmpd="sng" w14:algn="ctr">
            <w14:noFill/>
            <w14:prstDash w14:val="solid"/>
            <w14:bevel/>
          </w14:textOutline>
        </w:rPr>
        <w:t xml:space="preserve">Best </w:t>
      </w:r>
      <w:proofErr w:type="spellStart"/>
      <w:r w:rsidRPr="005D19FF">
        <w:rPr>
          <w:i/>
          <w:iCs/>
          <w:szCs w:val="24"/>
          <w14:textOutline w14:w="0" w14:cap="flat" w14:cmpd="sng" w14:algn="ctr">
            <w14:noFill/>
            <w14:prstDash w14:val="solid"/>
            <w14:bevel/>
          </w14:textOutline>
        </w:rPr>
        <w:t>Practices</w:t>
      </w:r>
      <w:proofErr w:type="spellEnd"/>
      <w:r w:rsidRPr="005D19FF">
        <w:rPr>
          <w:i/>
          <w:iCs/>
          <w:szCs w:val="24"/>
          <w14:textOutline w14:w="0" w14:cap="flat" w14:cmpd="sng" w14:algn="ctr">
            <w14:noFill/>
            <w14:prstDash w14:val="solid"/>
            <w14:bevel/>
          </w14:textOutline>
        </w:rPr>
        <w:t xml:space="preserve"> </w:t>
      </w:r>
      <w:proofErr w:type="spellStart"/>
      <w:r w:rsidRPr="005D19FF">
        <w:rPr>
          <w:i/>
          <w:iCs/>
          <w:szCs w:val="24"/>
          <w14:textOutline w14:w="0" w14:cap="flat" w14:cmpd="sng" w14:algn="ctr">
            <w14:noFill/>
            <w14:prstDash w14:val="solid"/>
            <w14:bevel/>
          </w14:textOutline>
        </w:rPr>
        <w:t>for</w:t>
      </w:r>
      <w:proofErr w:type="spellEnd"/>
      <w:r w:rsidRPr="005D19FF">
        <w:rPr>
          <w:i/>
          <w:iCs/>
          <w:szCs w:val="24"/>
          <w14:textOutline w14:w="0" w14:cap="flat" w14:cmpd="sng" w14:algn="ctr">
            <w14:noFill/>
            <w14:prstDash w14:val="solid"/>
            <w14:bevel/>
          </w14:textOutline>
        </w:rPr>
        <w:t xml:space="preserve"> </w:t>
      </w:r>
      <w:proofErr w:type="spellStart"/>
      <w:r w:rsidRPr="005D19FF">
        <w:rPr>
          <w:i/>
          <w:iCs/>
          <w:szCs w:val="24"/>
          <w14:textOutline w14:w="0" w14:cap="flat" w14:cmpd="sng" w14:algn="ctr">
            <w14:noFill/>
            <w14:prstDash w14:val="solid"/>
            <w14:bevel/>
          </w14:textOutline>
        </w:rPr>
        <w:t>Parliaments</w:t>
      </w:r>
      <w:proofErr w:type="spellEnd"/>
      <w:r w:rsidRPr="005D19FF">
        <w:rPr>
          <w:i/>
          <w:iCs/>
          <w:szCs w:val="24"/>
          <w14:textOutline w14:w="0" w14:cap="flat" w14:cmpd="sng" w14:algn="ctr">
            <w14:noFill/>
            <w14:prstDash w14:val="solid"/>
            <w14:bevel/>
          </w14:textOutline>
        </w:rPr>
        <w:t xml:space="preserve"> in </w:t>
      </w:r>
      <w:proofErr w:type="spellStart"/>
      <w:r w:rsidRPr="005D19FF">
        <w:rPr>
          <w:i/>
          <w:iCs/>
          <w:szCs w:val="24"/>
          <w14:textOutline w14:w="0" w14:cap="flat" w14:cmpd="sng" w14:algn="ctr">
            <w14:noFill/>
            <w14:prstDash w14:val="solid"/>
            <w14:bevel/>
          </w14:textOutline>
        </w:rPr>
        <w:t>Budgeting</w:t>
      </w:r>
      <w:proofErr w:type="spellEnd"/>
      <w:r w:rsidRPr="005D19FF">
        <w:rPr>
          <w:i/>
          <w:iCs/>
          <w:szCs w:val="24"/>
          <w14:textOutline w14:w="0" w14:cap="flat" w14:cmpd="sng" w14:algn="ctr">
            <w14:noFill/>
            <w14:prstDash w14:val="solid"/>
            <w14:bevel/>
          </w14:textOutline>
        </w:rPr>
        <w:t xml:space="preserve"> (2022–23)</w:t>
      </w:r>
      <w:r w:rsidRPr="005D19FF">
        <w:rPr>
          <w:szCs w:val="24"/>
          <w14:textOutline w14:w="0" w14:cap="flat" w14:cmpd="sng" w14:algn="ctr">
            <w14:noFill/>
            <w14:prstDash w14:val="solid"/>
            <w14:bevel/>
          </w14:textOutline>
        </w:rPr>
        <w:t xml:space="preserve"> a posílilo provádění rozpočtování založeného na výkonnosti; připomíná, že mnoho členských států již přijalo sestavování rozpočtu podle výkonnosti a vykázalo značné úspory;</w:t>
      </w:r>
    </w:p>
    <w:p w14:paraId="0C62088B" w14:textId="77777777" w:rsidR="00C36A04" w:rsidRPr="005D19FF" w:rsidRDefault="00C36A04" w:rsidP="00067493">
      <w:pPr>
        <w:pStyle w:val="NormalHanging12a"/>
        <w:rPr>
          <w:bCs/>
          <w:iCs/>
          <w:szCs w:val="24"/>
        </w:rPr>
      </w:pPr>
      <w:r w:rsidRPr="005D19FF">
        <w:rPr>
          <w:szCs w:val="24"/>
        </w:rPr>
        <w:t>94.</w:t>
      </w:r>
      <w:r w:rsidRPr="005D19FF">
        <w:rPr>
          <w:szCs w:val="24"/>
        </w:rPr>
        <w:tab/>
        <w:t>konstatuje, že současný fiskální tlak vyžaduje finanční obezřetnost a efektivitu, a to i v rámci správního rozpočtu Parlamentu, jako projev institucionální odpovědnosti tam, kde je to vhodné, aniž by byla ohrožena jeho úloha v institucionálním prostředí Unie a jeho hlavní funkce; vyzývá správu Parlamentu, aby zkoumala možnosti inovativních nástrojů sestavování rozpočtu, včetně sestavování rozpočtu na základě výsledků, které by mohly zvýšit transparentnost, odpovědnost a účinnost rozpočtového procesu a zajistit odpovědné vynakládání veřejných prostředků; konstatuje, že tyto možnosti by neměly ohrožovat již plánované nebo přijaté finanční závazky a neměly by mít žádný vliv na kvalitu služeb poskytovaných poslancům a zaměstnancům ani na finanční závazky vyplývající ze stávajících platných pravidel;</w:t>
      </w:r>
    </w:p>
    <w:p w14:paraId="27EE78F7" w14:textId="77777777" w:rsidR="00C36A04" w:rsidRPr="005D19FF" w:rsidRDefault="00C36A04" w:rsidP="00067493">
      <w:pPr>
        <w:spacing w:after="240"/>
        <w:ind w:left="567" w:hanging="567"/>
        <w:rPr>
          <w:szCs w:val="24"/>
        </w:rPr>
      </w:pPr>
      <w:r w:rsidRPr="005D19FF">
        <w:rPr>
          <w:szCs w:val="24"/>
          <w14:textOutline w14:w="0" w14:cap="flat" w14:cmpd="sng" w14:algn="ctr">
            <w14:noFill/>
            <w14:prstDash w14:val="solid"/>
            <w14:bevel/>
          </w14:textOutline>
        </w:rPr>
        <w:t>95</w:t>
      </w:r>
      <w:r w:rsidRPr="005D19FF">
        <w:rPr>
          <w:szCs w:val="24"/>
        </w:rPr>
        <w:t>.</w:t>
      </w:r>
      <w:r w:rsidRPr="005D19FF">
        <w:rPr>
          <w:szCs w:val="24"/>
          <w14:textOutline w14:w="0" w14:cap="flat" w14:cmpd="sng" w14:algn="ctr">
            <w14:noFill/>
            <w14:prstDash w14:val="solid"/>
            <w14:bevel/>
          </w14:textOutline>
        </w:rPr>
        <w:tab/>
      </w:r>
      <w:r w:rsidRPr="005D19FF">
        <w:rPr>
          <w:szCs w:val="24"/>
        </w:rPr>
        <w:t>konstatuje, že rok 2024 byl pro GŘ FINS zvláštní v tom, že byl rokem voleb do Evropského parlamentu, které se konaly v červnu 2024; konstatuje, že v roce 2024 se výrazně zvýšil počet podpůrných činností pro poslance, které se týkaly správy práv a povinností odcházejících i nově zvolených poslanců;</w:t>
      </w:r>
    </w:p>
    <w:p w14:paraId="02A3659D" w14:textId="77777777" w:rsidR="00C36A04" w:rsidRPr="005D19FF" w:rsidRDefault="00C36A04" w:rsidP="00067493">
      <w:pPr>
        <w:pStyle w:val="NormalHanging12a"/>
        <w:rPr>
          <w:szCs w:val="24"/>
        </w:rPr>
      </w:pPr>
      <w:r w:rsidRPr="005D19FF">
        <w:rPr>
          <w:szCs w:val="24"/>
        </w:rPr>
        <w:t>96.</w:t>
      </w:r>
      <w:r w:rsidRPr="005D19FF">
        <w:rPr>
          <w:szCs w:val="24"/>
        </w:rPr>
        <w:tab/>
        <w:t>doporučuje, aby GŘ FINS v oblasti kontroly a auditu výdajů poslanců a procesů uplatňovalo přístup založený na posouzení rizik, který bude v souladu se zásadami řádné správy věcí veřejných, zejména transparentnosti, odpovědnosti, schopnosti reagovat a spravedlnosti; uznává, že je nezbytné mít referenční úroveň kontroly (založenou na vzorcích), aby bylo zajištěno dodržování pravidel; vítá, že v případě vyššího rizika neoprávněných výdajů ze strany poslance může správa uplatnit své právo na kontrolu dotčených finančních prostředků; zdůrazňuje, že ačkoli jsou tyto kontroly žádoucí, jejich účinnost závisí na včasném provedení následných opatření přijatých v návaznosti na zjištěné neoprávněné výdaje;</w:t>
      </w:r>
    </w:p>
    <w:p w14:paraId="517DEF42" w14:textId="77777777" w:rsidR="00C36A04" w:rsidRPr="005D19FF" w:rsidRDefault="00C36A04" w:rsidP="00067493">
      <w:pPr>
        <w:spacing w:after="240"/>
        <w:ind w:left="567" w:hanging="567"/>
        <w:rPr>
          <w:szCs w:val="24"/>
        </w:rPr>
      </w:pPr>
      <w:r w:rsidRPr="005D19FF">
        <w:rPr>
          <w:szCs w:val="24"/>
          <w14:textOutline w14:w="0" w14:cap="flat" w14:cmpd="sng" w14:algn="ctr">
            <w14:noFill/>
            <w14:prstDash w14:val="solid"/>
            <w14:bevel/>
          </w14:textOutline>
        </w:rPr>
        <w:t>97</w:t>
      </w:r>
      <w:r w:rsidRPr="005D19FF">
        <w:rPr>
          <w:szCs w:val="24"/>
        </w:rPr>
        <w:t>.</w:t>
      </w:r>
      <w:r w:rsidRPr="005D19FF">
        <w:rPr>
          <w:szCs w:val="24"/>
          <w14:textOutline w14:w="0" w14:cap="flat" w14:cmpd="sng" w14:algn="ctr">
            <w14:noFill/>
            <w14:prstDash w14:val="solid"/>
            <w14:bevel/>
          </w14:textOutline>
        </w:rPr>
        <w:tab/>
      </w:r>
      <w:r w:rsidRPr="005D19FF">
        <w:rPr>
          <w:szCs w:val="24"/>
        </w:rPr>
        <w:t xml:space="preserve">uznává problém, kterým je přilákání zaměstnanců na GŘ FINS, způsobený nedostatkem </w:t>
      </w:r>
      <w:r w:rsidRPr="005D19FF">
        <w:rPr>
          <w:szCs w:val="24"/>
        </w:rPr>
        <w:lastRenderedPageBreak/>
        <w:t xml:space="preserve">kandidátů na seznamech úřadu EPSO v oblasti financí a IT a obtíže s přilákáním zaměstnanců do Lucemburska, kde je umístěno 45 % pracovních míst GŘ FINS; konstatuje, že je obtížné přilákat zaměstnance do Lucemburska, protože odměny na místním trhu práce jsou stejné nebo lepší než v Parlamentu a životní náklady jsou vysoké, zejména pokud jde o bydlení; </w:t>
      </w:r>
    </w:p>
    <w:p w14:paraId="67508BCC" w14:textId="77777777" w:rsidR="00C36A04" w:rsidRPr="005D19FF" w:rsidRDefault="00C36A04" w:rsidP="00067493">
      <w:pPr>
        <w:spacing w:after="240"/>
        <w:ind w:left="567" w:hanging="567"/>
        <w:rPr>
          <w:szCs w:val="24"/>
        </w:rPr>
      </w:pPr>
      <w:r w:rsidRPr="005D19FF">
        <w:rPr>
          <w:szCs w:val="24"/>
        </w:rPr>
        <w:t>98.</w:t>
      </w:r>
      <w:r w:rsidRPr="005D19FF">
        <w:rPr>
          <w:szCs w:val="24"/>
        </w:rPr>
        <w:tab/>
        <w:t>bere na vědomí iniciativu GŘ FINS pro digitální a kapitálovou transformaci z roku 2024, jejíž první dva programy („digitální transformace pro lepší finanční služby pro poslance“ a „digitální transformace pro lepší služby pro správu Parlamentu“) usilují o vyšší míru digitalizace služeb, které GŘ FINS nabízí, ať už se jedná o služby pro poslance, nebo pro účastníky finančních operací Parlamentu; bere na vědomí, že třetí strategický program („kapitálová transformace pro produktivnější a soudržnější pracoviště“) má za cíl vytvořit produktivnější a soudržnější pracovní prostředí;</w:t>
      </w:r>
    </w:p>
    <w:p w14:paraId="180FF345" w14:textId="7E2DA86B" w:rsidR="00C36A04" w:rsidRPr="005D19FF" w:rsidRDefault="00C36A04" w:rsidP="00067493">
      <w:pPr>
        <w:spacing w:after="240"/>
        <w:ind w:left="567" w:hanging="567"/>
        <w:rPr>
          <w:szCs w:val="24"/>
        </w:rPr>
      </w:pPr>
      <w:r w:rsidRPr="005D19FF">
        <w:rPr>
          <w:szCs w:val="24"/>
        </w:rPr>
        <w:t>99.</w:t>
      </w:r>
      <w:r w:rsidRPr="005D19FF">
        <w:rPr>
          <w:szCs w:val="24"/>
        </w:rPr>
        <w:tab/>
        <w:t>vítá práci, kterou GŘ FINS vykonalo po volbách do Evropského parlamentu v roce 2024, se skončením odcházejících poslanců a uvítáním nových poslanců a souvisejícími správními řízeními; připomíná úspěšnou „</w:t>
      </w:r>
      <w:proofErr w:type="spellStart"/>
      <w:r w:rsidRPr="005D19FF">
        <w:rPr>
          <w:szCs w:val="24"/>
        </w:rPr>
        <w:t>welcome</w:t>
      </w:r>
      <w:proofErr w:type="spellEnd"/>
      <w:r w:rsidRPr="005D19FF">
        <w:rPr>
          <w:szCs w:val="24"/>
        </w:rPr>
        <w:t xml:space="preserve"> </w:t>
      </w:r>
      <w:proofErr w:type="spellStart"/>
      <w:r w:rsidRPr="005D19FF">
        <w:rPr>
          <w:szCs w:val="24"/>
        </w:rPr>
        <w:t>village</w:t>
      </w:r>
      <w:proofErr w:type="spellEnd"/>
      <w:r w:rsidRPr="005D19FF">
        <w:rPr>
          <w:szCs w:val="24"/>
        </w:rPr>
        <w:t>“ a informace od různých útvarů, které byly shromážděny, aby poslanci mohli na jednom místě získat informace a učinit nezbytná prohlášení na začátku svého mandátu; chválí GŘ FINS za přípravu 705 individuálních spisů, včetně simulací stavu jejich sociálních a finančních nároků, a za přípravu čtyř oznámení kvestorů, která informují poslance o jejich právech a povinnostech na konci volebního období;</w:t>
      </w:r>
    </w:p>
    <w:p w14:paraId="36F44F98" w14:textId="77777777" w:rsidR="00C36A04" w:rsidRPr="005D19FF" w:rsidRDefault="00C36A04" w:rsidP="00067493">
      <w:pPr>
        <w:pStyle w:val="NormalHanging12a"/>
        <w:rPr>
          <w:szCs w:val="24"/>
        </w:rPr>
      </w:pPr>
      <w:r w:rsidRPr="005D19FF">
        <w:rPr>
          <w:szCs w:val="24"/>
        </w:rPr>
        <w:t>100.</w:t>
      </w:r>
      <w:r w:rsidRPr="005D19FF">
        <w:rPr>
          <w:szCs w:val="24"/>
        </w:rPr>
        <w:tab/>
        <w:t xml:space="preserve">bere na vědomí prohlášení o věrohodnosti podepsané generálním ředitelem GŘ FINS; bere na vědomí poznámku uvedenou v prohlášení o věrohodnosti týkající se zbytkového rizika chyb nebo nesrovnalostí při úhradách některých cestovních výdajů poslanců, zejména pokud jde o žádosti o úhrady cest automobilem a vyplacení příspěvku na vzdálenost a na délku cesty; bere na vědomí zmírňující opatření navržená GŘ FINS a vyzývá k urychlenému provedení opatření ke snížení rizik; žádá, aby byla orgánu příslušnému k udělení absolutoria předložena zpráva o finančním dopadu a účinnosti přijatých opatření, </w:t>
      </w:r>
      <w:bookmarkStart w:id="11" w:name="_Hlk225523167"/>
      <w:r w:rsidRPr="005D19FF">
        <w:rPr>
          <w:szCs w:val="24"/>
        </w:rPr>
        <w:t>v níž budou uvedeny náklady na kontrolu jednotlivých možností založených na důkazech</w:t>
      </w:r>
      <w:bookmarkEnd w:id="11"/>
      <w:r w:rsidRPr="005D19FF">
        <w:rPr>
          <w:szCs w:val="24"/>
        </w:rPr>
        <w:t>;</w:t>
      </w:r>
    </w:p>
    <w:p w14:paraId="559E5688" w14:textId="77777777" w:rsidR="00C36A04" w:rsidRPr="005D19FF" w:rsidRDefault="00C36A04" w:rsidP="00067493">
      <w:pPr>
        <w:pStyle w:val="NormalHanging12a"/>
        <w:rPr>
          <w:bCs/>
          <w:iCs/>
          <w:szCs w:val="24"/>
        </w:rPr>
      </w:pPr>
      <w:r w:rsidRPr="005D19FF">
        <w:rPr>
          <w:szCs w:val="24"/>
        </w:rPr>
        <w:t>101.</w:t>
      </w:r>
      <w:r w:rsidRPr="005D19FF">
        <w:rPr>
          <w:szCs w:val="24"/>
        </w:rPr>
        <w:tab/>
        <w:t>se znepokojením konstatuje, že úhrada cestovních výdajů poslanců často trvá déle než tři měsíce; vyzývá správní útvary a GŘ FINS, aby výrazně urychlily postupy úhrady, mimo jiné prostřednictvím další digitalizace, zjednodušených ověřovacích postupů a jasnějších interních lhůt, a to při plném dodržování požadavků na finanční kontrolu;</w:t>
      </w:r>
    </w:p>
    <w:p w14:paraId="366A70DB"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rPr>
        <w:t>102.</w:t>
      </w:r>
      <w:r w:rsidRPr="005D19FF">
        <w:rPr>
          <w:szCs w:val="24"/>
        </w:rPr>
        <w:tab/>
        <w:t>vítá zintenzivněnou práci na „Finanční akademii EP od GŘ FINS“, která se týkala poskytování dvanácti online videokurzů, které doplňují stávající nabídku prezenčních a hybridních školicích kurzů; zdůrazňuje význam školení ohledně finančních záležitostí pro zaměstnance v celém Parlamentu a vítá školení týkající se zadávání veřejných zakázek pro zaměstnance politických skupin a vyzývá GŘ FINS, aby poskytlo politickým skupinám větší podporu při zadávání veřejných zakázek, zejména s ohledem na zjištění Účetního dvora; navrhuje GŘ FINS, aby zajistilo sladění postupů uplatňovaných různými politickými skupinami v oblasti zadávání veřejných zakázek;</w:t>
      </w:r>
    </w:p>
    <w:p w14:paraId="2C78460B" w14:textId="77777777" w:rsidR="00C36A04" w:rsidRPr="005D19FF" w:rsidRDefault="00C36A04" w:rsidP="00067493">
      <w:pPr>
        <w:pStyle w:val="NormalHanging12a"/>
        <w:rPr>
          <w:szCs w:val="24"/>
        </w:rPr>
      </w:pPr>
      <w:r w:rsidRPr="005D19FF">
        <w:rPr>
          <w:szCs w:val="24"/>
        </w:rPr>
        <w:t>103.</w:t>
      </w:r>
      <w:r w:rsidRPr="005D19FF">
        <w:rPr>
          <w:szCs w:val="24"/>
        </w:rPr>
        <w:tab/>
        <w:t xml:space="preserve">zdůrazňuje, že poslanci mohou dokládat využití prostředků v rámci příspěvku na všeobecné výdaje; zdůrazňuje, že tak mohou učinit dobrovolně, podrobně nebo podle druhu nákladů, sami nebo s podporou externího auditora, a že se mohou rozhodnout, zda tyto informace zveřejní zcela nebo zčásti na své stránce v rámci internetových stránek Parlamentu v souladu s čl. 11 odst. 2 jednacího řádu Parlamentu; považuje za </w:t>
      </w:r>
      <w:r w:rsidRPr="005D19FF">
        <w:rPr>
          <w:szCs w:val="24"/>
        </w:rPr>
        <w:lastRenderedPageBreak/>
        <w:t>pozitivní, že se součástí prováděcích opatření ke statutu poslanců stal zjednodušený seznam druhů nákladů a že byl rovněž přijat pozměňovací návrh objasňující možnost poslanců využívat příspěvek na všeobecné výdaje v případě vyčerpání jiných příspěvků; konstatuje, že všichni poslanci byli informováni o specifikách tohoto příspěvku; považuje maximální transparentnost za správnou praxi;</w:t>
      </w:r>
    </w:p>
    <w:p w14:paraId="1D23EE96" w14:textId="77777777" w:rsidR="00C36A04" w:rsidRPr="00113A31" w:rsidRDefault="00C36A04" w:rsidP="00067493">
      <w:pPr>
        <w:pStyle w:val="NormalHanging12a"/>
        <w:rPr>
          <w:szCs w:val="24"/>
        </w:rPr>
      </w:pPr>
      <w:r w:rsidRPr="005D19FF">
        <w:rPr>
          <w:szCs w:val="24"/>
        </w:rPr>
        <w:t>104.</w:t>
      </w:r>
      <w:r w:rsidRPr="005D19FF">
        <w:rPr>
          <w:szCs w:val="24"/>
        </w:rPr>
        <w:tab/>
        <w:t xml:space="preserve">konstatuje, že příspěvek na všeobecné výdaje v roce 2024 činil 4 950 EUR měsíčně a představuje přibližně 40 milionů EUR ročně; připomíná, že v letech 2022 a 2024 nebyla provedena žádná valorizace příspěvku; konstatuje, že Parlament dodržuje platná pravidla týkající se příspěvku na všeobecné výdaje; připomíná, že je třeba zabránit </w:t>
      </w:r>
      <w:r w:rsidRPr="00113A31">
        <w:rPr>
          <w:szCs w:val="24"/>
        </w:rPr>
        <w:t>zbytečné administrativní zátěži pro poslance;</w:t>
      </w:r>
    </w:p>
    <w:p w14:paraId="0684BB20" w14:textId="62F2764D" w:rsidR="00C36A04" w:rsidRPr="005D19FF" w:rsidRDefault="00C36A04" w:rsidP="00067493">
      <w:pPr>
        <w:pStyle w:val="NormalHanging12a"/>
        <w:rPr>
          <w:bCs/>
          <w:iCs/>
          <w:szCs w:val="24"/>
        </w:rPr>
      </w:pPr>
      <w:r w:rsidRPr="00113A31">
        <w:rPr>
          <w:szCs w:val="24"/>
        </w:rPr>
        <w:t>105.</w:t>
      </w:r>
      <w:r w:rsidRPr="00113A31">
        <w:rPr>
          <w:szCs w:val="24"/>
        </w:rPr>
        <w:tab/>
        <w:t>konstatuje, že stávající prováděcí opatření ke statutu poslanců stanoví požadavky na transparentnost finančního řízení příspěvku na všeobecné výdaje; konstatuje, že předsednictvo na svém zasedání dne 17. října 2022 přijalo toto rozhodnutí;</w:t>
      </w:r>
    </w:p>
    <w:p w14:paraId="2A0D32CF" w14:textId="77777777" w:rsidR="00C36A04" w:rsidRPr="005D19FF" w:rsidRDefault="00C36A04" w:rsidP="00067493">
      <w:pPr>
        <w:spacing w:after="240"/>
        <w:ind w:left="567" w:hanging="567"/>
        <w:rPr>
          <w:b/>
          <w:bCs/>
          <w:i/>
          <w:iCs/>
          <w:szCs w:val="24"/>
          <w14:textOutline w14:w="0" w14:cap="flat" w14:cmpd="sng" w14:algn="ctr">
            <w14:noFill/>
            <w14:prstDash w14:val="solid"/>
            <w14:bevel/>
          </w14:textOutline>
        </w:rPr>
      </w:pPr>
      <w:r w:rsidRPr="005D19FF">
        <w:rPr>
          <w:b/>
          <w:i/>
          <w:szCs w:val="24"/>
          <w14:textOutline w14:w="0" w14:cap="flat" w14:cmpd="sng" w14:algn="ctr">
            <w14:noFill/>
            <w14:prstDash w14:val="solid"/>
            <w14:bevel/>
          </w14:textOutline>
        </w:rPr>
        <w:t>Generální ředitelství pro informační technologie a kybernetickou bezpečnost</w:t>
      </w:r>
    </w:p>
    <w:p w14:paraId="5762FE19" w14:textId="3CB5C5AD"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10</w:t>
      </w:r>
      <w:r w:rsidR="00AD2E1E">
        <w:rPr>
          <w:szCs w:val="24"/>
          <w14:textOutline w14:w="0" w14:cap="flat" w14:cmpd="sng" w14:algn="ctr">
            <w14:noFill/>
            <w14:prstDash w14:val="solid"/>
            <w14:bevel/>
          </w14:textOutline>
        </w:rPr>
        <w:t>6</w:t>
      </w:r>
      <w:r w:rsidRPr="005D19FF">
        <w:rPr>
          <w:szCs w:val="24"/>
        </w:rPr>
        <w:t>.</w:t>
      </w:r>
      <w:r w:rsidRPr="005D19FF">
        <w:rPr>
          <w:szCs w:val="24"/>
          <w14:textOutline w14:w="0" w14:cap="flat" w14:cmpd="sng" w14:algn="ctr">
            <w14:noFill/>
            <w14:prstDash w14:val="solid"/>
            <w14:bevel/>
          </w14:textOutline>
        </w:rPr>
        <w:tab/>
        <w:t>připomíná, že GŘ ITEC poskytuje Parlamentu služby a vybavení v oblasti informačních a komunikačních technologií (IKT), videokonferenční a multimediální služby a také publikační a tiskové služby; bere na vědomí, že k 31. prosinci 2024 mělo 579 zaměstnanců, z toho 369 úředníků, 70 dočasných zaměstnanců a 140 smluvních zaměstnanců;</w:t>
      </w:r>
    </w:p>
    <w:p w14:paraId="0BBAE931" w14:textId="246D464E" w:rsidR="00C36A04" w:rsidRPr="005D19FF" w:rsidRDefault="00C36A04" w:rsidP="00067493">
      <w:pPr>
        <w:pStyle w:val="NormalHanging12a"/>
        <w:rPr>
          <w:bCs/>
          <w:iCs/>
          <w:szCs w:val="24"/>
        </w:rPr>
      </w:pPr>
      <w:r w:rsidRPr="005D19FF">
        <w:rPr>
          <w:szCs w:val="24"/>
        </w:rPr>
        <w:t>10</w:t>
      </w:r>
      <w:r w:rsidR="00AD2E1E">
        <w:rPr>
          <w:szCs w:val="24"/>
        </w:rPr>
        <w:t>7</w:t>
      </w:r>
      <w:r w:rsidRPr="005D19FF">
        <w:rPr>
          <w:szCs w:val="24"/>
        </w:rPr>
        <w:t>.</w:t>
      </w:r>
      <w:r w:rsidRPr="005D19FF">
        <w:rPr>
          <w:szCs w:val="24"/>
        </w:rPr>
        <w:tab/>
        <w:t>vyzývá Parlament, aby přijal komplexní strategii v oblasti digitální transformace, jež bude zahrnovat technická řešení pro správu dokumentů, hlasování a komunikaci, s cílem zajistit transparentnost, zlepšit účinnost pracovních postupů, zajistit bezpečnost a přejít k bezpapírové správě; vyzývá k rozvoji uživatelsky vstřícných digitálních platforem s cílem posílit elektronickou účast, což občanům Unie umožní poskytovat zpětnou vazbu k navrhovaným právním předpisům a přístup k činnosti Parlamentu v reálném čase;</w:t>
      </w:r>
    </w:p>
    <w:p w14:paraId="1C90A3B1" w14:textId="0F2EEA9E"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10</w:t>
      </w:r>
      <w:r w:rsidR="00AD2E1E">
        <w:rPr>
          <w:szCs w:val="24"/>
          <w14:textOutline w14:w="0" w14:cap="flat" w14:cmpd="sng" w14:algn="ctr">
            <w14:noFill/>
            <w14:prstDash w14:val="solid"/>
            <w14:bevel/>
          </w14:textOutline>
        </w:rPr>
        <w:t>8</w:t>
      </w:r>
      <w:r w:rsidRPr="005D19FF">
        <w:rPr>
          <w:szCs w:val="24"/>
        </w:rPr>
        <w:t>.</w:t>
      </w:r>
      <w:r w:rsidRPr="005D19FF">
        <w:rPr>
          <w:szCs w:val="24"/>
          <w14:textOutline w14:w="0" w14:cap="flat" w14:cmpd="sng" w14:algn="ctr">
            <w14:noFill/>
            <w14:prstDash w14:val="solid"/>
            <w14:bevel/>
          </w14:textOutline>
        </w:rPr>
        <w:tab/>
        <w:t>konstatuje, že konečná výše prostředků pro GŘ ITEC v roce 2024 činila 179 396 522 EUR, což představuje 7,5 % rozpočtu Parlamentu; zdůrazňuje, že z této částky bylo přiděleno celkem 179 349 479 EUR; vítá vysokou míru čerpání prostředků;</w:t>
      </w:r>
    </w:p>
    <w:p w14:paraId="73E47B30" w14:textId="15EB5F6E" w:rsidR="00C36A04" w:rsidRPr="005D19FF" w:rsidRDefault="00C36A04" w:rsidP="00067493">
      <w:pPr>
        <w:spacing w:after="240"/>
        <w:ind w:left="567" w:hanging="567"/>
        <w:rPr>
          <w:szCs w:val="24"/>
        </w:rPr>
      </w:pPr>
      <w:r w:rsidRPr="005D19FF">
        <w:rPr>
          <w:szCs w:val="24"/>
        </w:rPr>
        <w:t>1</w:t>
      </w:r>
      <w:r w:rsidR="00AD2E1E">
        <w:rPr>
          <w:szCs w:val="24"/>
        </w:rPr>
        <w:t>09</w:t>
      </w:r>
      <w:r w:rsidRPr="005D19FF">
        <w:rPr>
          <w:szCs w:val="24"/>
        </w:rPr>
        <w:t>.</w:t>
      </w:r>
      <w:r w:rsidRPr="005D19FF">
        <w:rPr>
          <w:szCs w:val="24"/>
        </w:rPr>
        <w:tab/>
      </w:r>
      <w:r w:rsidRPr="005D19FF">
        <w:rPr>
          <w:szCs w:val="24"/>
          <w14:textOutline w14:w="0" w14:cap="flat" w14:cmpd="sng" w14:algn="ctr">
            <w14:noFill/>
            <w14:prstDash w14:val="solid"/>
            <w14:bevel/>
          </w14:textOutline>
        </w:rPr>
        <w:t>bere</w:t>
      </w:r>
      <w:r w:rsidRPr="005D19FF">
        <w:rPr>
          <w:szCs w:val="24"/>
        </w:rPr>
        <w:t xml:space="preserve"> na vědomí pokračující úsilí GŘ ITEC zajistit kybernetickou bezpečnost vzhledem ke stále rostoucím hrozbám a rizikům, které se dotýkají Parlamentu; bere na vědomí, že vstoupilo v platnost nařízení Evropského parlamentu a Rady (EU, Euratom) 2023/2841</w:t>
      </w:r>
      <w:r w:rsidRPr="005D19FF">
        <w:rPr>
          <w:rStyle w:val="FootnoteReference"/>
          <w:noProof/>
          <w:szCs w:val="24"/>
        </w:rPr>
        <w:footnoteReference w:id="9"/>
      </w:r>
      <w:r w:rsidRPr="005D19FF">
        <w:rPr>
          <w:szCs w:val="24"/>
        </w:rPr>
        <w:t>, které formalizovalo poslání CERT-EU jako služby kybernetické bezpečnosti pro subjekty Unie; konstatuje, že nařízením (EU, Euratom) 2023/2841 se rovněž zřizuje interinstitucionální výbor pro kybernetickou bezpečnost (výbor IICB), který je odpovědný za monitorování a podporu provádění tohoto nařízení ve všech subjektech Unie; konstatuje, že Parlament je od roku 2024 předsedou tohoto výboru;</w:t>
      </w:r>
    </w:p>
    <w:p w14:paraId="1F56E1FE" w14:textId="01B8C300" w:rsidR="00C36A04" w:rsidRPr="005D19FF" w:rsidRDefault="00C36A04" w:rsidP="00067493">
      <w:pPr>
        <w:spacing w:after="240"/>
        <w:ind w:left="567" w:hanging="567"/>
        <w:rPr>
          <w:b/>
          <w:bCs/>
          <w:szCs w:val="24"/>
        </w:rPr>
      </w:pPr>
      <w:r w:rsidRPr="005D19FF">
        <w:rPr>
          <w:szCs w:val="24"/>
        </w:rPr>
        <w:t>11</w:t>
      </w:r>
      <w:r w:rsidR="00AD2E1E">
        <w:rPr>
          <w:szCs w:val="24"/>
        </w:rPr>
        <w:t>0</w:t>
      </w:r>
      <w:r w:rsidRPr="005D19FF">
        <w:rPr>
          <w:szCs w:val="24"/>
        </w:rPr>
        <w:t>.</w:t>
      </w:r>
      <w:r w:rsidRPr="005D19FF">
        <w:rPr>
          <w:szCs w:val="24"/>
        </w:rPr>
        <w:tab/>
      </w:r>
      <w:r w:rsidRPr="005D19FF">
        <w:rPr>
          <w:szCs w:val="24"/>
          <w14:textOutline w14:w="0" w14:cap="flat" w14:cmpd="sng" w14:algn="ctr">
            <w14:noFill/>
            <w14:prstDash w14:val="solid"/>
            <w14:bevel/>
          </w14:textOutline>
        </w:rPr>
        <w:t>bere</w:t>
      </w:r>
      <w:r w:rsidRPr="005D19FF">
        <w:rPr>
          <w:szCs w:val="24"/>
        </w:rPr>
        <w:t xml:space="preserve"> na vědomí, že v návaznosti na rozhodnutí předsednictva z února 2021 o nutnosti umístit datové centrum Parlamentu do prostor splňujících nejvyšší dostupné odvětvové normy (úroveň IV) zadalo GŘ ITEC v roce 2022 zakázku umožňující vybudování </w:t>
      </w:r>
      <w:r w:rsidRPr="005D19FF">
        <w:rPr>
          <w:szCs w:val="24"/>
        </w:rPr>
        <w:lastRenderedPageBreak/>
        <w:t>a zprovoznění tohoto centra v roce 2023; zdůrazňuje, že tato významná investice zajišťuje infrastrukturu na další roky, která obstojí i v budoucnu, a že je klíčová pro zachování stabilního hybridního pracovního prostředí pro Parlament;</w:t>
      </w:r>
    </w:p>
    <w:p w14:paraId="632882FF" w14:textId="281D87C8" w:rsidR="00C36A04" w:rsidRPr="005D19FF" w:rsidRDefault="00C36A04" w:rsidP="00067493">
      <w:pPr>
        <w:spacing w:after="240"/>
        <w:ind w:left="567" w:hanging="567"/>
        <w:rPr>
          <w:szCs w:val="24"/>
        </w:rPr>
      </w:pPr>
      <w:r w:rsidRPr="005D19FF">
        <w:rPr>
          <w:szCs w:val="24"/>
          <w14:textOutline w14:w="0" w14:cap="flat" w14:cmpd="sng" w14:algn="ctr">
            <w14:noFill/>
            <w14:prstDash w14:val="solid"/>
            <w14:bevel/>
          </w14:textOutline>
        </w:rPr>
        <w:t>11</w:t>
      </w:r>
      <w:r w:rsidR="00AD2E1E">
        <w:rPr>
          <w:szCs w:val="24"/>
          <w14:textOutline w14:w="0" w14:cap="flat" w14:cmpd="sng" w14:algn="ctr">
            <w14:noFill/>
            <w14:prstDash w14:val="solid"/>
            <w14:bevel/>
          </w14:textOutline>
        </w:rPr>
        <w:t>1</w:t>
      </w:r>
      <w:r w:rsidRPr="005D19FF">
        <w:rPr>
          <w:szCs w:val="24"/>
        </w:rPr>
        <w:t>.</w:t>
      </w:r>
      <w:r w:rsidRPr="005D19FF">
        <w:rPr>
          <w:szCs w:val="24"/>
          <w14:textOutline w14:w="0" w14:cap="flat" w14:cmpd="sng" w14:algn="ctr">
            <w14:noFill/>
            <w14:prstDash w14:val="solid"/>
            <w14:bevel/>
          </w14:textOutline>
        </w:rPr>
        <w:tab/>
        <w:t>upozorňuje</w:t>
      </w:r>
      <w:r w:rsidRPr="005D19FF">
        <w:rPr>
          <w:szCs w:val="24"/>
        </w:rPr>
        <w:t xml:space="preserve"> na to, že kybernetická bezpečnost musí být vnímána jako nedílná a trvalá priorita ve všech fázích činnosti, a nikoli pouze jako cíl; zdůrazňuje, že kybernetická bezpečnost vyžaduje komplexní strategii, která bude zahrnovat všechny aspekty digitální správy v Parlamentu; vyzývá k přezkumu struktur správy IT v Parlamentu a k prosazování důraznějšího a adaptabilnějšího přístupu ke kybernetické bezpečnosti, který zohlední celý životní cyklus informačních systémů, s ohledem na rostoucí počet aplikací (v současnosti více než 20), které jsou přímo přístupné prostřednictvím internetu; zdůrazňuje, že tato situace vyžaduje zvýšený dohled s cílem minimalizovat slabiny a chránit institucionální údaje před vnějšími hrozbami;</w:t>
      </w:r>
    </w:p>
    <w:p w14:paraId="2436538B" w14:textId="0FEEC0A7" w:rsidR="00C36A04" w:rsidRPr="005D19FF" w:rsidRDefault="00C36A04" w:rsidP="00067493">
      <w:pPr>
        <w:spacing w:after="240"/>
        <w:ind w:left="567" w:hanging="567"/>
        <w:rPr>
          <w:szCs w:val="24"/>
        </w:rPr>
      </w:pPr>
      <w:r w:rsidRPr="005D19FF">
        <w:rPr>
          <w:szCs w:val="24"/>
        </w:rPr>
        <w:t>11</w:t>
      </w:r>
      <w:r w:rsidR="00AD2E1E">
        <w:rPr>
          <w:szCs w:val="24"/>
        </w:rPr>
        <w:t>2</w:t>
      </w:r>
      <w:r w:rsidRPr="005D19FF">
        <w:rPr>
          <w:szCs w:val="24"/>
        </w:rPr>
        <w:t>.</w:t>
      </w:r>
      <w:r w:rsidRPr="005D19FF">
        <w:rPr>
          <w:szCs w:val="24"/>
        </w:rPr>
        <w:tab/>
        <w:t>vyzývá k dalším investicím do infrastruktury kybernetické bezpečnosti a do průběžného vzdělávání a </w:t>
      </w:r>
      <w:r w:rsidRPr="005D19FF">
        <w:rPr>
          <w:szCs w:val="24"/>
          <w14:textOutline w14:w="0" w14:cap="flat" w14:cmpd="sng" w14:algn="ctr">
            <w14:noFill/>
            <w14:prstDash w14:val="solid"/>
            <w14:bevel/>
          </w14:textOutline>
        </w:rPr>
        <w:t>zdrojů</w:t>
      </w:r>
      <w:r w:rsidRPr="005D19FF">
        <w:rPr>
          <w:szCs w:val="24"/>
        </w:rPr>
        <w:t xml:space="preserve"> pro zaměstnance s cílem zvýšit povědomí o bezpečnosti a tím i odolnost Parlamentu vůči potenciálním digitálním hrozbám;</w:t>
      </w:r>
    </w:p>
    <w:p w14:paraId="532FCC58" w14:textId="55618B9A" w:rsidR="00C36A04" w:rsidRPr="005D19FF" w:rsidRDefault="00C36A04" w:rsidP="00067493">
      <w:pPr>
        <w:spacing w:after="240"/>
        <w:ind w:left="567" w:hanging="567"/>
        <w:rPr>
          <w:szCs w:val="24"/>
        </w:rPr>
      </w:pPr>
      <w:r w:rsidRPr="005D19FF">
        <w:rPr>
          <w:szCs w:val="24"/>
        </w:rPr>
        <w:t>11</w:t>
      </w:r>
      <w:r w:rsidR="00AD2E1E">
        <w:rPr>
          <w:szCs w:val="24"/>
        </w:rPr>
        <w:t>3</w:t>
      </w:r>
      <w:r w:rsidRPr="005D19FF">
        <w:rPr>
          <w:szCs w:val="24"/>
        </w:rPr>
        <w:t>.</w:t>
      </w:r>
      <w:r w:rsidRPr="005D19FF">
        <w:rPr>
          <w:szCs w:val="24"/>
        </w:rPr>
        <w:tab/>
        <w:t>bere na vědomí důraz kladený na zvyšování povědomí všech poslanců a zaměstnanců o kybernetické bezpečnosti; vítá nabídku školení zajišťovaných GŘ ITEC a GŘ PERS; bere na vědomí vysoký počet účastníků školicích kurzů o kybernetické bezpečnosti, který dosáhl 33 účastníků v případě školicích kurzů a nejméně 1 800 účastníků u aktivit zaměřených na zvyšování povědomí;</w:t>
      </w:r>
    </w:p>
    <w:p w14:paraId="6BBF256E" w14:textId="1A3570FC" w:rsidR="00C36A04" w:rsidRPr="005D19FF" w:rsidRDefault="00C36A04" w:rsidP="00067493">
      <w:pPr>
        <w:spacing w:after="240"/>
        <w:ind w:left="567" w:hanging="567"/>
        <w:rPr>
          <w:szCs w:val="24"/>
        </w:rPr>
      </w:pPr>
      <w:r w:rsidRPr="005D19FF">
        <w:rPr>
          <w:szCs w:val="24"/>
        </w:rPr>
        <w:t>11</w:t>
      </w:r>
      <w:r w:rsidR="00AD2E1E">
        <w:rPr>
          <w:szCs w:val="24"/>
        </w:rPr>
        <w:t>4</w:t>
      </w:r>
      <w:r w:rsidRPr="005D19FF">
        <w:rPr>
          <w:szCs w:val="24"/>
        </w:rPr>
        <w:t>.</w:t>
      </w:r>
      <w:r w:rsidRPr="005D19FF">
        <w:rPr>
          <w:szCs w:val="24"/>
        </w:rPr>
        <w:tab/>
        <w:t>konstatuje, že současný systém řízení lidských zdrojů (portál HRM) není dostatečně integrován s ostatními systémy Parlamentu; bere na vědomí, že jednoduché postupy, jako jsou žádosti o dovolenou, stále vyžadují, aby akreditovaní parlamentní asistenti stahovali, tiskli, skenovali a ručně předávali dokumenty, zatímco zůstatky dovolených se musí kontrolovat na samostatné platformě; zdůrazňuje, že tyto roztříštěné procesy vytvářejí zbytečnou administrativní zátěž a neefektivní pracovní postupy; vyzývá správu, aby tyto postupy modernizovala a zefektivnila a zajistila plnou interoperabilitu mezi nástroji řízení lidských zdrojů a dalšími systémy Parlamentu;</w:t>
      </w:r>
    </w:p>
    <w:p w14:paraId="1F0BE885" w14:textId="0F3C2574" w:rsidR="00C36A04" w:rsidRPr="005D19FF" w:rsidRDefault="00C36A04" w:rsidP="00067493">
      <w:pPr>
        <w:spacing w:after="240"/>
        <w:ind w:left="567" w:hanging="567"/>
        <w:rPr>
          <w:szCs w:val="24"/>
        </w:rPr>
      </w:pPr>
      <w:r w:rsidRPr="005D19FF">
        <w:rPr>
          <w:szCs w:val="24"/>
          <w14:textOutline w14:w="0" w14:cap="flat" w14:cmpd="sng" w14:algn="ctr">
            <w14:noFill/>
            <w14:prstDash w14:val="solid"/>
            <w14:bevel/>
          </w14:textOutline>
        </w:rPr>
        <w:t>11</w:t>
      </w:r>
      <w:r w:rsidR="00AD2E1E">
        <w:rPr>
          <w:szCs w:val="24"/>
          <w14:textOutline w14:w="0" w14:cap="flat" w14:cmpd="sng" w14:algn="ctr">
            <w14:noFill/>
            <w14:prstDash w14:val="solid"/>
            <w14:bevel/>
          </w14:textOutline>
        </w:rPr>
        <w:t>5</w:t>
      </w:r>
      <w:r w:rsidRPr="005D19FF">
        <w:rPr>
          <w:szCs w:val="24"/>
        </w:rPr>
        <w:t>.</w:t>
      </w:r>
      <w:r w:rsidRPr="005D19FF">
        <w:rPr>
          <w:szCs w:val="24"/>
          <w14:textOutline w14:w="0" w14:cap="flat" w14:cmpd="sng" w14:algn="ctr">
            <w14:noFill/>
            <w14:prstDash w14:val="solid"/>
            <w14:bevel/>
          </w14:textOutline>
        </w:rPr>
        <w:tab/>
        <w:t>zdůrazňuje</w:t>
      </w:r>
      <w:r w:rsidRPr="005D19FF">
        <w:rPr>
          <w:szCs w:val="24"/>
        </w:rPr>
        <w:t>, že podpora poslanců byla rozšířena tak, aby zahrnovala i čas po pracovní době a dny uzavření kanceláří; bere na vědomí, že aby bylo možné reagovat na vyvíjející se potřeby poslanců a pracovní postupy v reakci na průzkumy mezi uživateli a přímé žádosti řídících orgánů, byl zaveden nový soubor specializovaných podpůrných služeb IT pro soukromá zařízení MacOS a iOS poslanců; vyzdvihuje podporu technické pomoci v oblasti sociálních sítí spolu s celou škálou služeb souvisejících s technickými aspekty audiovizuální tvorby;</w:t>
      </w:r>
    </w:p>
    <w:p w14:paraId="26E3FE06" w14:textId="11758592" w:rsidR="00C36A04" w:rsidRPr="005D19FF" w:rsidRDefault="00C36A04" w:rsidP="00067493">
      <w:pPr>
        <w:pStyle w:val="NormalHanging12a"/>
        <w:rPr>
          <w:szCs w:val="24"/>
        </w:rPr>
      </w:pPr>
      <w:r w:rsidRPr="005D19FF">
        <w:rPr>
          <w:szCs w:val="24"/>
        </w:rPr>
        <w:t>11</w:t>
      </w:r>
      <w:r w:rsidR="00AD2E1E">
        <w:rPr>
          <w:szCs w:val="24"/>
        </w:rPr>
        <w:t>6</w:t>
      </w:r>
      <w:r w:rsidRPr="005D19FF">
        <w:rPr>
          <w:szCs w:val="24"/>
        </w:rPr>
        <w:t>.</w:t>
      </w:r>
      <w:r w:rsidRPr="005D19FF">
        <w:rPr>
          <w:szCs w:val="24"/>
        </w:rPr>
        <w:tab/>
        <w:t xml:space="preserve">vítá zřízení nového rámce pro správu umělé inteligence, jehož součástí je správní rada pro umělou inteligenci, která bude dohlížet na strategii a plán Parlamentu v oblasti umělé inteligence a zajišťovat dodržování právních předpisů a etický dohled, řídicí skupina pro umělou inteligenci sdružující zástupce jednotlivých GŘ odpovědná za vypracování strategií v oblasti umělé inteligence, rozvoj klíčových schopností a zajištění dlouhodobé bezpečnosti a udržitelnosti a kompetenční centrum pro umělou inteligenci v rámci GŘ ITEC, které bude řídit, podporovat a monitorovat iniciativy v oblasti umělé inteligence v celém Parlamentu; konstatuje, že tento rámec pro správu zajistí transparentnost a soulad s nařízením Evropského parlamentu a Rady (EU) </w:t>
      </w:r>
      <w:r w:rsidRPr="005D19FF">
        <w:rPr>
          <w:szCs w:val="24"/>
        </w:rPr>
        <w:lastRenderedPageBreak/>
        <w:t>2024/1689</w:t>
      </w:r>
      <w:r w:rsidRPr="005D19FF">
        <w:rPr>
          <w:szCs w:val="24"/>
          <w:vertAlign w:val="superscript"/>
        </w:rPr>
        <w:footnoteReference w:id="10"/>
      </w:r>
      <w:r w:rsidRPr="005D19FF">
        <w:rPr>
          <w:szCs w:val="24"/>
        </w:rPr>
        <w:t>, které vstoupilo v platnost dne 1. srpna 2024 a jeho ustanovení se začala uplatňovat od roku 2025; bere na vědomí, že zaměstnanci Parlamentu mohou využívat veřejně dostupné nástroje generativní umělé inteligence třetích stran, pokud dodržují pokyny pro využívání veřejně dostupných nástrojů umělé inteligence pro zaměstnance Parlamentu, které schválil generální tajemník dne 16. dubna 2024, a to za přísného předpokladu, že tyto nástroje podporují pouze pracovní povinnosti; vyzývá správní útvary ke zvýšení úsilí o vyškolení zaměstnanců v oblasti efektivního a bezpečného využívání nových technologií, jako je umělá inteligence;</w:t>
      </w:r>
    </w:p>
    <w:p w14:paraId="1394FF81" w14:textId="77777777" w:rsidR="00C36A04" w:rsidRPr="005D19FF" w:rsidRDefault="00C36A04" w:rsidP="00067493">
      <w:pPr>
        <w:spacing w:after="240"/>
        <w:ind w:left="567" w:hanging="567"/>
        <w:rPr>
          <w:b/>
          <w:bCs/>
          <w:i/>
          <w:iCs/>
          <w:szCs w:val="24"/>
          <w14:textOutline w14:w="0" w14:cap="flat" w14:cmpd="sng" w14:algn="ctr">
            <w14:noFill/>
            <w14:prstDash w14:val="solid"/>
            <w14:bevel/>
          </w14:textOutline>
        </w:rPr>
      </w:pPr>
      <w:r w:rsidRPr="005D19FF">
        <w:rPr>
          <w:b/>
          <w:i/>
          <w:szCs w:val="24"/>
          <w14:textOutline w14:w="0" w14:cap="flat" w14:cmpd="sng" w14:algn="ctr">
            <w14:noFill/>
            <w14:prstDash w14:val="solid"/>
            <w14:bevel/>
          </w14:textOutline>
        </w:rPr>
        <w:t xml:space="preserve">Průřezové otázky s dopadem na rozpočet Parlamentu v rozpočtovém roce 2024 </w:t>
      </w:r>
    </w:p>
    <w:p w14:paraId="561AAABD" w14:textId="77777777" w:rsidR="00C36A04" w:rsidRPr="005D19FF" w:rsidRDefault="00C36A04" w:rsidP="00067493">
      <w:pPr>
        <w:spacing w:after="240"/>
        <w:ind w:left="567" w:hanging="567"/>
        <w:rPr>
          <w:b/>
          <w:bCs/>
          <w:szCs w:val="24"/>
        </w:rPr>
      </w:pPr>
      <w:bookmarkStart w:id="12" w:name="_Hlk216615789"/>
      <w:r w:rsidRPr="005D19FF">
        <w:rPr>
          <w:b/>
          <w:szCs w:val="24"/>
        </w:rPr>
        <w:t>Transparentnost a etika</w:t>
      </w:r>
    </w:p>
    <w:p w14:paraId="5814FB50" w14:textId="6491EEE1" w:rsidR="00C36A04" w:rsidRPr="005D19FF" w:rsidRDefault="00C36A04" w:rsidP="00067493">
      <w:pPr>
        <w:spacing w:after="240"/>
        <w:ind w:left="567" w:hanging="567"/>
        <w:rPr>
          <w:b/>
          <w:bCs/>
          <w:szCs w:val="24"/>
        </w:rPr>
      </w:pPr>
      <w:r w:rsidRPr="005D19FF">
        <w:rPr>
          <w:szCs w:val="24"/>
        </w:rPr>
        <w:t>11</w:t>
      </w:r>
      <w:r w:rsidR="00AD2E1E">
        <w:rPr>
          <w:szCs w:val="24"/>
        </w:rPr>
        <w:t>7</w:t>
      </w:r>
      <w:r w:rsidRPr="005D19FF">
        <w:rPr>
          <w:szCs w:val="24"/>
        </w:rPr>
        <w:t>.</w:t>
      </w:r>
      <w:r w:rsidRPr="005D19FF">
        <w:rPr>
          <w:szCs w:val="24"/>
        </w:rPr>
        <w:tab/>
        <w:t>konstatuje, že v roce 2024 bylo podle vnitřních předpisů provádějících článek 22c služebního řádu přijato šest oznámení od oznamovatelů, z toho pět úřední cestou a jedno od jiného orgánu Unie; konstatuje, že jeden případ byl postoupen úřadu EPPO, dva vedly ke správnímu šetření a jeden byl postoupen Poradnímu výboru pro kodex chování poslanců, přičemž externí zpráva rovněž vedla k zahájení šetření;</w:t>
      </w:r>
      <w:r w:rsidR="004A7996">
        <w:rPr>
          <w:szCs w:val="24"/>
        </w:rPr>
        <w:t xml:space="preserve"> </w:t>
      </w:r>
      <w:r w:rsidR="004A7996" w:rsidRPr="004A7996">
        <w:rPr>
          <w:szCs w:val="24"/>
        </w:rPr>
        <w:t>vyjadřuje znepokojení nad tím, že v roce 2024 Soudní dvůr ve věci T-793/22 rozhodl, že Parlament nepřijal veškerá nezbytná opatření k zajištění vyvážené a účinné ochrany oznamovatelů před jakoukoli formou odvetných opatření; konstatuje, že Účetní dvůr rovněž zjistil, že Parlament dostatečně netajil totožnost oznamovatelů; naléhavě žádá Parlament, aby uvedl svá vnitřní pravidla plně do souladu se směrnicí (EU) 2019/1937</w:t>
      </w:r>
      <w:r w:rsidR="004A7996">
        <w:rPr>
          <w:szCs w:val="24"/>
        </w:rPr>
        <w:t>;</w:t>
      </w:r>
    </w:p>
    <w:bookmarkEnd w:id="12"/>
    <w:p w14:paraId="37FA000F" w14:textId="74BB92BC" w:rsidR="00C36A04" w:rsidRPr="005D19FF" w:rsidRDefault="00C36A04" w:rsidP="00067493">
      <w:pPr>
        <w:pStyle w:val="NormalHanging12a"/>
        <w:rPr>
          <w:szCs w:val="24"/>
        </w:rPr>
      </w:pPr>
      <w:r w:rsidRPr="005D19FF">
        <w:rPr>
          <w:szCs w:val="24"/>
        </w:rPr>
        <w:t>11</w:t>
      </w:r>
      <w:r w:rsidR="00AD2E1E">
        <w:rPr>
          <w:szCs w:val="24"/>
        </w:rPr>
        <w:t>8</w:t>
      </w:r>
      <w:r w:rsidRPr="005D19FF">
        <w:rPr>
          <w:szCs w:val="24"/>
        </w:rPr>
        <w:t>.</w:t>
      </w:r>
      <w:r w:rsidRPr="005D19FF">
        <w:rPr>
          <w:szCs w:val="24"/>
        </w:rPr>
        <w:tab/>
        <w:t>vítá, že školení v oblasti etiky zůstalo prioritou a že na pouhých 13 setkáních „Pojďme si promluvit o etice“ bylo proškoleno 178 zaměstnanců, individuálně přizpůsobených kurzů se zúčastnilo 109 osob a povinná úvodní školení pro akreditované parlamentní asistenty dosáhla 72 % míry dokončení; vítá, že v rámci nového kurzu pro vedoucí pracovníky o etickém vedení a prevenci obtěžování bylo proškoleno 320 vedoucích pracovníků v rámci 33 setkání;</w:t>
      </w:r>
    </w:p>
    <w:p w14:paraId="0CE10AAE" w14:textId="5AF927F6" w:rsidR="00C36A04" w:rsidRPr="005D19FF" w:rsidRDefault="00C36A04" w:rsidP="00067493">
      <w:pPr>
        <w:pStyle w:val="NormalHanging12a"/>
        <w:rPr>
          <w:szCs w:val="24"/>
        </w:rPr>
      </w:pPr>
      <w:r w:rsidRPr="005D19FF">
        <w:rPr>
          <w:szCs w:val="24"/>
        </w:rPr>
        <w:t>1</w:t>
      </w:r>
      <w:r w:rsidR="00AD2E1E">
        <w:rPr>
          <w:szCs w:val="24"/>
        </w:rPr>
        <w:t>19</w:t>
      </w:r>
      <w:r w:rsidRPr="005D19FF">
        <w:rPr>
          <w:szCs w:val="24"/>
        </w:rPr>
        <w:t>.</w:t>
      </w:r>
      <w:r w:rsidRPr="005D19FF">
        <w:rPr>
          <w:szCs w:val="24"/>
        </w:rPr>
        <w:tab/>
        <w:t>trvá na tom, aby byla posílena opatření v oblasti transparentnosti, odpovědnosti a etického řízení; domnívá se, že Parlament musí dbát na kulturu integrity a začlenit etické normy do každodenní činnosti tak, aby nepoškodil důvěru občanů a posílil svou legitimitu v oblasti dohledu; vyzývá k pokračování a posílení spolupráce a dialogu o integritě, transparentnosti a normách chování v orgánech Unie;</w:t>
      </w:r>
    </w:p>
    <w:p w14:paraId="306376C6" w14:textId="237EF757" w:rsidR="00C36A04" w:rsidRDefault="00C36A04" w:rsidP="00067493">
      <w:pPr>
        <w:pStyle w:val="NormalHanging12a"/>
        <w:rPr>
          <w:szCs w:val="24"/>
        </w:rPr>
      </w:pPr>
      <w:r w:rsidRPr="005D19FF">
        <w:rPr>
          <w:szCs w:val="24"/>
        </w:rPr>
        <w:t>12</w:t>
      </w:r>
      <w:r w:rsidR="00AD2E1E">
        <w:rPr>
          <w:szCs w:val="24"/>
        </w:rPr>
        <w:t>0</w:t>
      </w:r>
      <w:r w:rsidRPr="005D19FF">
        <w:rPr>
          <w:szCs w:val="24"/>
        </w:rPr>
        <w:t>.</w:t>
      </w:r>
      <w:r w:rsidRPr="005D19FF">
        <w:rPr>
          <w:szCs w:val="24"/>
        </w:rPr>
        <w:tab/>
        <w:t>bere na vědomí kladné hodnocení technického provádění kodexu chování poslanců Evropského parlamentu, pokud jde o integritu a transparentnost, jak bylo oznámeno předsednictvu; vyzývá k dalšímu úsilí o zvýšení transparentnosti ve všech oblastech a útvarech Parlamentu, se zvláštním důrazem na tvorbu právních předpisů; v této souvislosti vyzývá správu Parlamentu, aby neomezovala zavádění požadavků na transparentnost na vedoucí pracovníky;</w:t>
      </w:r>
    </w:p>
    <w:p w14:paraId="197C5F1F" w14:textId="6B8EEE5C" w:rsidR="004A7996" w:rsidRPr="005D19FF" w:rsidRDefault="004A7996" w:rsidP="00067493">
      <w:pPr>
        <w:pStyle w:val="NormalHanging12a"/>
        <w:rPr>
          <w:bCs/>
          <w:iCs/>
          <w:szCs w:val="24"/>
        </w:rPr>
      </w:pPr>
      <w:r w:rsidRPr="004A7996">
        <w:rPr>
          <w:bCs/>
          <w:iCs/>
          <w:szCs w:val="24"/>
        </w:rPr>
        <w:t>121.</w:t>
      </w:r>
      <w:r w:rsidRPr="004A7996">
        <w:rPr>
          <w:bCs/>
          <w:iCs/>
          <w:szCs w:val="24"/>
        </w:rPr>
        <w:tab/>
        <w:t xml:space="preserve">připomíná, že pravidla zakazují poslancům vykonávat placenou lobbistickou činnost přímo související s rozhodovacím procesem Unie; zdůrazňuje, že s těmito pravidly je </w:t>
      </w:r>
      <w:r w:rsidRPr="004A7996">
        <w:rPr>
          <w:bCs/>
          <w:iCs/>
          <w:szCs w:val="24"/>
        </w:rPr>
        <w:lastRenderedPageBreak/>
        <w:t>neslučitelné i zastávání placených pozic v subjektech spadajících do oblasti působnosti rejstříku transparentnosti, pokud dotyčná osoba současně vykonává parlamentní funkce v téže oblasti politiky nebo je v této souvislosti v kontaktu s Komisí či Radou; žádá, aby takovéto situace byly řádně prošetřeny a aby v případě, že bude zjištěno porušení pravidel, byly uplatněny přiměřené sankce;</w:t>
      </w:r>
    </w:p>
    <w:p w14:paraId="72D0614B" w14:textId="77777777" w:rsidR="00C36A04" w:rsidRPr="005D19FF" w:rsidRDefault="00C36A04" w:rsidP="00067493">
      <w:pPr>
        <w:pStyle w:val="NormalHanging12a"/>
        <w:rPr>
          <w:bCs/>
          <w:iCs/>
          <w:szCs w:val="24"/>
        </w:rPr>
      </w:pPr>
      <w:r w:rsidRPr="005D19FF">
        <w:rPr>
          <w:szCs w:val="24"/>
        </w:rPr>
        <w:t>122.</w:t>
      </w:r>
      <w:r w:rsidRPr="005D19FF">
        <w:rPr>
          <w:szCs w:val="24"/>
        </w:rPr>
        <w:tab/>
        <w:t>vítá větší využívání rejstříku transparentnosti jako informačního a referenčního nástroje pro činnosti zastupování zájmů na úrovni Unie; vítá vývoj IT řešení ke zlepšení rejstříku transparentnosti, konstatuje však, že jeho sekretariát je stále nedostatečně financován a nedostatečně personálně obsazen; konstatuje, že kvalita záznamů v rejstříku transparentnosti se zlepšila, a připomíná, že je nezbytné i nadále posilovat kontroly kvality údajů u nových žadatelů; vítá zavedení přísných norem v Parlamentu, pokud jde o transparentnost subjektů uvedených v rejstříku transparentnosti a jejich přístup do orgánů a institucí; vyzývá k propojení rejstříku transparentnosti a systému finanční transparentnosti s cílem umožnit křížové kontroly subjektů uvedených v rejstříku transparentnosti a ověřit přiměřenost předložených údajů; v této souvislosti opakuje, že je třeba provést komplexní předběžnou finanční kontrolu subjektů před jejich zápisem do rejstříku transparentnosti, a v této souvislosti vyzývá k tomu, aby byly rejstříku poskytnuty odpovídající zdroje na jeho fungování a účinné prosazování vnitřních pravidel týkajících se rejstříku transparentnosti; dále vyzývá správu Parlamentu, aby zajistila interinstitucionální transparentnost s ohledem na sdělovací prostředky a zveřejnila informace o všech sdělovacích prostředcích, které dostávají finanční prostředky Unie;</w:t>
      </w:r>
    </w:p>
    <w:p w14:paraId="3F317282" w14:textId="77777777" w:rsidR="00C36A04" w:rsidRPr="005D19FF" w:rsidRDefault="00C36A04" w:rsidP="00067493">
      <w:pPr>
        <w:spacing w:after="240"/>
        <w:ind w:left="567" w:hanging="567"/>
        <w:rPr>
          <w:szCs w:val="24"/>
        </w:rPr>
      </w:pPr>
      <w:r w:rsidRPr="005D19FF">
        <w:rPr>
          <w:szCs w:val="24"/>
        </w:rPr>
        <w:t>123.</w:t>
      </w:r>
      <w:r w:rsidRPr="005D19FF">
        <w:rPr>
          <w:szCs w:val="24"/>
        </w:rPr>
        <w:tab/>
        <w:t>vyzývá Účetní dvůr, aby konkrétně přezkoumal financování sdělovacích prostředků;</w:t>
      </w:r>
    </w:p>
    <w:p w14:paraId="6702AD3B" w14:textId="77777777" w:rsidR="00C36A04" w:rsidRPr="005D19FF" w:rsidRDefault="00C36A04" w:rsidP="00067493">
      <w:pPr>
        <w:spacing w:after="240"/>
        <w:ind w:left="567" w:hanging="567"/>
        <w:rPr>
          <w:b/>
          <w:bCs/>
          <w:szCs w:val="24"/>
        </w:rPr>
      </w:pPr>
      <w:r w:rsidRPr="005D19FF">
        <w:rPr>
          <w:b/>
          <w:szCs w:val="24"/>
        </w:rPr>
        <w:t>Digitalizace, kybernetická bezpečnost a umělá inteligence</w:t>
      </w:r>
    </w:p>
    <w:p w14:paraId="6CBC9FA0" w14:textId="77777777" w:rsidR="00C36A04" w:rsidRPr="005D19FF" w:rsidRDefault="00C36A04" w:rsidP="00067493">
      <w:pPr>
        <w:spacing w:after="240"/>
        <w:ind w:left="567" w:hanging="567"/>
        <w:rPr>
          <w:b/>
          <w:bCs/>
          <w:szCs w:val="24"/>
        </w:rPr>
      </w:pPr>
      <w:r w:rsidRPr="005D19FF">
        <w:rPr>
          <w:szCs w:val="24"/>
        </w:rPr>
        <w:t>124.</w:t>
      </w:r>
      <w:r w:rsidRPr="005D19FF">
        <w:rPr>
          <w:szCs w:val="24"/>
        </w:rPr>
        <w:tab/>
        <w:t>vyzývá Parlament, aby nadále posiloval své úsilí a řešil konkrétní kritické výzvy, jako je kybernetická bezpečnost a umělá inteligence;</w:t>
      </w:r>
    </w:p>
    <w:p w14:paraId="1B44AC3F" w14:textId="77777777" w:rsidR="00C36A04" w:rsidRPr="005D19FF" w:rsidRDefault="00C36A04" w:rsidP="00067493">
      <w:pPr>
        <w:spacing w:after="240"/>
        <w:ind w:left="567" w:hanging="567"/>
        <w:rPr>
          <w:szCs w:val="24"/>
        </w:rPr>
      </w:pPr>
      <w:r w:rsidRPr="005D19FF">
        <w:rPr>
          <w:szCs w:val="24"/>
        </w:rPr>
        <w:t>125.</w:t>
      </w:r>
      <w:r w:rsidRPr="005D19FF">
        <w:rPr>
          <w:szCs w:val="24"/>
        </w:rPr>
        <w:tab/>
        <w:t>připomíná, že v březnu 2024 předsednictvo vytvořilo rámec pro správu umělé inteligence; zdůrazňuje, že je naléhavě nutné přijmout komplexní strategii a plán v oblasti umělé inteligence, včetně návrhu akčního plánu;</w:t>
      </w:r>
    </w:p>
    <w:p w14:paraId="3490AEC0" w14:textId="77777777" w:rsidR="00C36A04" w:rsidRPr="005D19FF" w:rsidRDefault="00C36A04" w:rsidP="00067493">
      <w:pPr>
        <w:pStyle w:val="NormalHanging12a"/>
        <w:rPr>
          <w:szCs w:val="24"/>
        </w:rPr>
      </w:pPr>
      <w:r w:rsidRPr="005D19FF">
        <w:rPr>
          <w:szCs w:val="24"/>
        </w:rPr>
        <w:t>126.</w:t>
      </w:r>
      <w:r w:rsidRPr="005D19FF">
        <w:rPr>
          <w:szCs w:val="24"/>
        </w:rPr>
        <w:tab/>
        <w:t>konstatuje, že pokračuje příprava interní platformy Parlamentu věnované generativní umělé inteligenci; opakuje, že tato platforma je klíčovým prvkem pro zabezpečené provádění projektů umělé inteligence v souladu s předpisy, zejména za účelem podpory poslanců v jejich činnosti;</w:t>
      </w:r>
    </w:p>
    <w:p w14:paraId="2D8CC8A1" w14:textId="77777777" w:rsidR="00C36A04" w:rsidRPr="005D19FF" w:rsidRDefault="00C36A04" w:rsidP="00067493">
      <w:pPr>
        <w:spacing w:after="240"/>
        <w:ind w:left="567" w:hanging="567"/>
        <w:rPr>
          <w:szCs w:val="24"/>
        </w:rPr>
      </w:pPr>
      <w:r w:rsidRPr="005D19FF">
        <w:rPr>
          <w:szCs w:val="24"/>
        </w:rPr>
        <w:t>127.</w:t>
      </w:r>
      <w:r w:rsidRPr="005D19FF">
        <w:rPr>
          <w:szCs w:val="24"/>
        </w:rPr>
        <w:tab/>
        <w:t>vyzývá správu Parlamentu, aby zajistila, že projekty v oblasti umělé inteligence budou prováděny v plném souladu s požadavky na správu a současně bude umožněn přístup způsobem, který ochrání citlivé údaje a zároveň umožní využití veřejně dostupných informací;</w:t>
      </w:r>
    </w:p>
    <w:p w14:paraId="0CF989E7" w14:textId="77777777" w:rsidR="00C36A04" w:rsidRPr="005D19FF" w:rsidRDefault="00C36A04" w:rsidP="00067493">
      <w:pPr>
        <w:pStyle w:val="NormalHanging12a"/>
        <w:rPr>
          <w:bCs/>
          <w:iCs/>
          <w:szCs w:val="24"/>
        </w:rPr>
      </w:pPr>
      <w:r w:rsidRPr="005D19FF">
        <w:rPr>
          <w:szCs w:val="24"/>
        </w:rPr>
        <w:t>128.</w:t>
      </w:r>
      <w:r w:rsidRPr="005D19FF">
        <w:rPr>
          <w:szCs w:val="24"/>
        </w:rPr>
        <w:tab/>
        <w:t xml:space="preserve">vyzývá správu Parlamentu, aby posílila transparentnost a přístupnost parlamentní činnosti tím, že bude využívat řešení umělé inteligence, která umožní systematickou dostupnost digitálních přepisů všech rozprav ve výborech, v nichž bude možné vyhledávat a jež budou opakovatelně použitelné, a to včetně výměn s komisaři, odborníky a zúčastněnými stranami; zdůrazňuje, že tyto přepisy by měly být k dispozici včas; zdůrazňuje, že lepší přístup k rozpravám ve výborech by posílil demokratickou kontrolu a institucionální paměť a zvýšil porozumění legislativní činnosti Parlamentu ze </w:t>
      </w:r>
      <w:r w:rsidRPr="005D19FF">
        <w:rPr>
          <w:szCs w:val="24"/>
        </w:rPr>
        <w:lastRenderedPageBreak/>
        <w:t>strany občanů;</w:t>
      </w:r>
    </w:p>
    <w:p w14:paraId="5C2C2C59" w14:textId="77777777" w:rsidR="00C36A04" w:rsidRPr="005D19FF" w:rsidRDefault="00C36A04" w:rsidP="00067493">
      <w:pPr>
        <w:pStyle w:val="NormalHanging12a"/>
        <w:rPr>
          <w:bCs/>
          <w:iCs/>
          <w:szCs w:val="24"/>
        </w:rPr>
      </w:pPr>
      <w:r w:rsidRPr="005D19FF">
        <w:rPr>
          <w:szCs w:val="24"/>
        </w:rPr>
        <w:t>129.</w:t>
      </w:r>
      <w:r w:rsidRPr="005D19FF">
        <w:rPr>
          <w:szCs w:val="24"/>
        </w:rPr>
        <w:tab/>
        <w:t>bere na vědomí významná zlepšení, která byla provedena na internetových stránkách plenárního zasedání, včetně lepší dostupnosti nástrojů pro ověřování jmenovitého hlasování, což přispívá k větší transparentnosti a přesnosti záznamů o hlasování v Parlamentu; vyzývá však k dalšímu zlepšení použitelnosti a prezentace informací souvisejících s hlasováním;</w:t>
      </w:r>
    </w:p>
    <w:p w14:paraId="25AE2C79" w14:textId="77777777" w:rsidR="00C36A04" w:rsidRPr="005D19FF" w:rsidRDefault="00C36A04" w:rsidP="00067493">
      <w:pPr>
        <w:spacing w:after="240"/>
        <w:ind w:left="567" w:hanging="567"/>
        <w:rPr>
          <w:b/>
          <w:bCs/>
          <w:szCs w:val="24"/>
        </w:rPr>
      </w:pPr>
      <w:r w:rsidRPr="005D19FF">
        <w:rPr>
          <w:b/>
          <w:szCs w:val="24"/>
        </w:rPr>
        <w:t>Dobrovolný důchodový systém</w:t>
      </w:r>
    </w:p>
    <w:p w14:paraId="25ECE524" w14:textId="77777777" w:rsidR="00C36A04" w:rsidRPr="005D19FF" w:rsidRDefault="00C36A04" w:rsidP="00067493">
      <w:pPr>
        <w:pStyle w:val="NormalHanging12a"/>
        <w:rPr>
          <w:szCs w:val="24"/>
        </w:rPr>
      </w:pPr>
      <w:r w:rsidRPr="005D19FF">
        <w:rPr>
          <w:szCs w:val="24"/>
        </w:rPr>
        <w:t>130.</w:t>
      </w:r>
      <w:r w:rsidRPr="005D19FF">
        <w:rPr>
          <w:szCs w:val="24"/>
        </w:rPr>
        <w:tab/>
        <w:t>bere na vědomí nedostatečné financování dobrovolného důchodového systému v důsledku schodku ve výši 105 milionů EUR na konci roku 2024 a omezených aktiv ve výši 23,17 milionu EUR, jejichž vyčerpání se předpokládá na konci roku 2026; upozorňuje, že závazky vyplývají ze zákonných platebních příslibů vůči více než 900 členů nejméně do roku 2074;</w:t>
      </w:r>
    </w:p>
    <w:p w14:paraId="0C1F5EFD" w14:textId="77777777" w:rsidR="00C36A04" w:rsidRPr="005D19FF" w:rsidRDefault="00C36A04" w:rsidP="00067493">
      <w:pPr>
        <w:spacing w:after="240"/>
        <w:ind w:left="567" w:hanging="567"/>
        <w:rPr>
          <w:szCs w:val="24"/>
        </w:rPr>
      </w:pPr>
      <w:r w:rsidRPr="005D19FF">
        <w:rPr>
          <w:szCs w:val="24"/>
        </w:rPr>
        <w:t>131.</w:t>
      </w:r>
      <w:r w:rsidRPr="005D19FF">
        <w:rPr>
          <w:szCs w:val="24"/>
        </w:rPr>
        <w:tab/>
        <w:t xml:space="preserve">konstatuje, že předsednictvo na své schůzi dne 12. června 2023 rozhodlo o řadě kombinovaných opatření, která mají změnit </w:t>
      </w:r>
      <w:r w:rsidRPr="005D19FF">
        <w:rPr>
          <w:szCs w:val="24"/>
          <w14:textOutline w14:w="0" w14:cap="flat" w14:cmpd="sng" w14:algn="ctr">
            <w14:noFill/>
            <w14:prstDash w14:val="solid"/>
            <w14:bevel/>
          </w14:textOutline>
        </w:rPr>
        <w:t>podmínky</w:t>
      </w:r>
      <w:r w:rsidRPr="005D19FF">
        <w:rPr>
          <w:szCs w:val="24"/>
        </w:rPr>
        <w:t xml:space="preserve"> dobrovolného důchodového systému s cílem řešit nastalou situaci; zdůrazňuje, že tato opatření zahrnovala snížení nominální výše důchodu o 50 % nejen pro budoucí příjemce, kteří jsou držiteli důchodových práv v procesu nabývání, ale také pro stávající příjemce, kterým nárok na důchod již vznikl, dále zmrazení roční valorizace výše důchodu a zvýšení věku odchodu do důchodu z 65 na 67 let u příjemců, kteří ještě nedosáhli důchodového věku; zdůrazňuje, že podle </w:t>
      </w:r>
      <w:proofErr w:type="spellStart"/>
      <w:r w:rsidRPr="005D19FF">
        <w:rPr>
          <w:szCs w:val="24"/>
        </w:rPr>
        <w:t>pojistněmatematických</w:t>
      </w:r>
      <w:proofErr w:type="spellEnd"/>
      <w:r w:rsidRPr="005D19FF">
        <w:rPr>
          <w:szCs w:val="24"/>
        </w:rPr>
        <w:t xml:space="preserve"> odhadů se penzijní povinnost dobrovolného důchodu sníží ode dne 1. července 2023 s </w:t>
      </w:r>
      <w:proofErr w:type="spellStart"/>
      <w:r w:rsidRPr="005D19FF">
        <w:rPr>
          <w:szCs w:val="24"/>
        </w:rPr>
        <w:t>pojistněmatematickým</w:t>
      </w:r>
      <w:proofErr w:type="spellEnd"/>
      <w:r w:rsidRPr="005D19FF">
        <w:rPr>
          <w:szCs w:val="24"/>
        </w:rPr>
        <w:t xml:space="preserve"> předpokladem ke dni 1. července 2023;</w:t>
      </w:r>
    </w:p>
    <w:p w14:paraId="2A8BB946" w14:textId="77777777" w:rsidR="00C36A04" w:rsidRPr="005D19FF" w:rsidRDefault="00C36A04" w:rsidP="00067493">
      <w:pPr>
        <w:spacing w:after="240"/>
        <w:ind w:left="567" w:hanging="567"/>
        <w:rPr>
          <w:szCs w:val="24"/>
        </w:rPr>
      </w:pPr>
      <w:r w:rsidRPr="005D19FF">
        <w:rPr>
          <w:szCs w:val="24"/>
        </w:rPr>
        <w:t>132.</w:t>
      </w:r>
      <w:r w:rsidRPr="005D19FF">
        <w:rPr>
          <w:szCs w:val="24"/>
        </w:rPr>
        <w:tab/>
        <w:t xml:space="preserve">konstatuje, že předsednictvo rovněž zavedlo „ustanovení o tíživé životní situaci“, které příjemcům umožňuje předložit kvestorům žádost o zvýšení výše důchodu v případech, kdy je snížení důchodu podstatné; </w:t>
      </w:r>
      <w:r w:rsidRPr="005D19FF">
        <w:rPr>
          <w:szCs w:val="24"/>
          <w14:textOutline w14:w="0" w14:cap="flat" w14:cmpd="sng" w14:algn="ctr">
            <w14:noFill/>
            <w14:prstDash w14:val="solid"/>
            <w14:bevel/>
          </w14:textOutline>
        </w:rPr>
        <w:t>konstatuje</w:t>
      </w:r>
      <w:r w:rsidRPr="005D19FF">
        <w:rPr>
          <w:szCs w:val="24"/>
        </w:rPr>
        <w:t>, že předsednictvo dále zavedlo možnost dobrovolného a definitivního odstoupení od dobrovolného důchodového systému ve formě jednorázové konečné částky;</w:t>
      </w:r>
    </w:p>
    <w:p w14:paraId="4D4F7018" w14:textId="77777777" w:rsidR="00C36A04" w:rsidRPr="005D19FF" w:rsidRDefault="00C36A04" w:rsidP="00067493">
      <w:pPr>
        <w:pStyle w:val="NormalHanging12a"/>
        <w:rPr>
          <w:szCs w:val="24"/>
        </w:rPr>
      </w:pPr>
      <w:r w:rsidRPr="005D19FF">
        <w:rPr>
          <w:szCs w:val="24"/>
        </w:rPr>
        <w:t>133.</w:t>
      </w:r>
      <w:r w:rsidRPr="005D19FF">
        <w:rPr>
          <w:szCs w:val="24"/>
        </w:rPr>
        <w:tab/>
        <w:t>konstatuje, že rozhodnutí předsednictva ze dne 12. června 2023</w:t>
      </w:r>
      <w:r w:rsidRPr="005D19FF">
        <w:rPr>
          <w:szCs w:val="24"/>
          <w:vertAlign w:val="superscript"/>
        </w:rPr>
        <w:footnoteReference w:id="11"/>
      </w:r>
      <w:r w:rsidRPr="005D19FF">
        <w:rPr>
          <w:szCs w:val="24"/>
        </w:rPr>
        <w:t xml:space="preserve"> zpochybnilo 405 příjemců dobrovolného důchodového systému u Tribunálu; připomíná poznámky generálního tajemníka, které pronesl při slyšení dne 8. prosince v očekávání rozhodnutí Tribunálu a možného postupu; konstatuje, že Tribunál rozhodl dne 17. prosince 2025 o zamítnutí žalob bývalých poslanců; žádá správu a předsednictvo, aby se touto záležitostí zabývaly a přijaly nezbytná opatření k provedení rozsudku Tribunálu;</w:t>
      </w:r>
    </w:p>
    <w:p w14:paraId="7B8C355D" w14:textId="77777777" w:rsidR="00C36A04" w:rsidRPr="005D19FF" w:rsidRDefault="00C36A04" w:rsidP="00067493">
      <w:pPr>
        <w:spacing w:after="240"/>
        <w:ind w:left="567" w:hanging="567"/>
        <w:rPr>
          <w:b/>
          <w:bCs/>
          <w:szCs w:val="24"/>
          <w14:textOutline w14:w="0" w14:cap="flat" w14:cmpd="sng" w14:algn="ctr">
            <w14:noFill/>
            <w14:prstDash w14:val="solid"/>
            <w14:bevel/>
          </w14:textOutline>
        </w:rPr>
      </w:pPr>
      <w:r w:rsidRPr="005D19FF">
        <w:rPr>
          <w:b/>
          <w:szCs w:val="24"/>
          <w14:textOutline w14:w="0" w14:cap="flat" w14:cmpd="sng" w14:algn="ctr">
            <w14:noFill/>
            <w14:prstDash w14:val="solid"/>
            <w14:bevel/>
          </w14:textOutline>
        </w:rPr>
        <w:t>Výroční zpráva o udělených zakázkách</w:t>
      </w:r>
    </w:p>
    <w:p w14:paraId="4CE81929" w14:textId="77777777" w:rsidR="00C36A04" w:rsidRPr="005D19FF" w:rsidRDefault="00C36A04" w:rsidP="00067493">
      <w:pPr>
        <w:spacing w:after="240"/>
        <w:ind w:left="567" w:hanging="567"/>
        <w:rPr>
          <w:szCs w:val="24"/>
        </w:rPr>
      </w:pPr>
      <w:r w:rsidRPr="005D19FF">
        <w:rPr>
          <w:szCs w:val="24"/>
        </w:rPr>
        <w:t>134.</w:t>
      </w:r>
      <w:r w:rsidRPr="005D19FF">
        <w:rPr>
          <w:szCs w:val="24"/>
        </w:rPr>
        <w:tab/>
        <w:t xml:space="preserve">připomíná, že ve finančním nařízení je upřesněno, jaké informace o zakázkách udělených Parlamentem je nutné poskytovat rozpočtovému orgánu a veřejnosti; konstatuje, že ve finančním nařízení je stanovena povinnost zveřejňovat udělené zakázky v hodnotě nad 15 000 EUR, tj. ve výši, která odpovídá prahové hodnotě, při jejímž překročení je nutno konat výběrové řízení s více nabídkami; konstatuje, že z celkového počtu 192 zakázek zadaných v roce 2024 bylo 95 zakázek (v hodnotě </w:t>
      </w:r>
      <w:r w:rsidRPr="005D19FF">
        <w:rPr>
          <w:szCs w:val="24"/>
        </w:rPr>
        <w:lastRenderedPageBreak/>
        <w:t>814,2 milionu EUR) zadáno v otevřeném řízení a jedna zakázka (v hodnotě 208 000 EUR) v užším řízení; konstatuje, že v rámci jednacích řízení bylo zadáno 81 zakázek v hodnotě 173 milionů EUR;</w:t>
      </w:r>
    </w:p>
    <w:p w14:paraId="7F1A14C7" w14:textId="77777777" w:rsidR="00C36A04" w:rsidRPr="005D19FF" w:rsidRDefault="00C36A04" w:rsidP="00067493">
      <w:pPr>
        <w:pStyle w:val="NormalHanging12a"/>
        <w:rPr>
          <w:bCs/>
          <w:iCs/>
          <w:szCs w:val="24"/>
        </w:rPr>
      </w:pPr>
      <w:r w:rsidRPr="005D19FF">
        <w:rPr>
          <w:szCs w:val="24"/>
        </w:rPr>
        <w:t>135.</w:t>
      </w:r>
      <w:r w:rsidRPr="005D19FF">
        <w:rPr>
          <w:szCs w:val="24"/>
        </w:rPr>
        <w:tab/>
        <w:t>vítá skutečnost, že Parlament zveřejňuje zakázky, jejichž hodnota přesahuje 15 000 EUR; vyzývá Parlament, aby zvýšil transparentnost svých postupů při zadávání veřejných zakázek, mimo jiné zveřejňováním strukturovaných strojově čitelných údajů, pokud je to právně a technicky možné, a tím, že do svých dodavatelských řetězců začlení – prostřednictvím řízení zakázek – jasná očekávání provádění náležité péče a mechanismů jejich vymáhání;</w:t>
      </w:r>
    </w:p>
    <w:p w14:paraId="269C2329" w14:textId="77777777" w:rsidR="00C36A04" w:rsidRPr="005D19FF" w:rsidRDefault="00C36A04" w:rsidP="00067493">
      <w:pPr>
        <w:spacing w:after="240"/>
        <w:ind w:left="567" w:hanging="567"/>
        <w:rPr>
          <w:szCs w:val="24"/>
        </w:rPr>
      </w:pPr>
      <w:r w:rsidRPr="005D19FF">
        <w:rPr>
          <w:szCs w:val="24"/>
        </w:rPr>
        <w:t>136.</w:t>
      </w:r>
      <w:r w:rsidRPr="005D19FF">
        <w:rPr>
          <w:szCs w:val="24"/>
        </w:rPr>
        <w:tab/>
        <w:t xml:space="preserve">konstatuje, že celkový počet a hodnota zadaných zakázek se v roce 2024 snížily (192) ve srovnání s rokem </w:t>
      </w:r>
      <w:r w:rsidRPr="005D19FF">
        <w:rPr>
          <w:szCs w:val="24"/>
          <w14:textOutline w14:w="0" w14:cap="flat" w14:cmpd="sng" w14:algn="ctr">
            <w14:noFill/>
            <w14:prstDash w14:val="solid"/>
            <w14:bevel/>
          </w14:textOutline>
        </w:rPr>
        <w:t>2023</w:t>
      </w:r>
      <w:r w:rsidRPr="005D19FF">
        <w:rPr>
          <w:szCs w:val="24"/>
        </w:rPr>
        <w:t xml:space="preserve"> (242); konstatuje, že v důsledku toho jsou počet a hodnota otevřených a jednacích řízení nižší než v roce 2023;</w:t>
      </w:r>
    </w:p>
    <w:p w14:paraId="4EFDA1F4" w14:textId="77777777" w:rsidR="00C36A04" w:rsidRPr="005D19FF" w:rsidRDefault="00C36A04" w:rsidP="00067493">
      <w:pPr>
        <w:spacing w:before="240" w:after="240"/>
        <w:ind w:left="567" w:hanging="567"/>
        <w:jc w:val="both"/>
        <w:rPr>
          <w:b/>
          <w:bCs/>
          <w:szCs w:val="24"/>
          <w14:textOutline w14:w="0" w14:cap="flat" w14:cmpd="sng" w14:algn="ctr">
            <w14:noFill/>
            <w14:prstDash w14:val="solid"/>
            <w14:bevel/>
          </w14:textOutline>
        </w:rPr>
      </w:pPr>
      <w:bookmarkStart w:id="13" w:name="_Hlk216793763"/>
      <w:r w:rsidRPr="005D19FF">
        <w:rPr>
          <w:b/>
          <w:szCs w:val="24"/>
          <w14:textOutline w14:w="0" w14:cap="flat" w14:cmpd="sng" w14:algn="ctr">
            <w14:noFill/>
            <w14:prstDash w14:val="solid"/>
            <w14:bevel/>
          </w14:textOutline>
        </w:rPr>
        <w:t>Politické skupiny (rozpočtová položka 400)</w:t>
      </w:r>
    </w:p>
    <w:p w14:paraId="733AE11C" w14:textId="77777777" w:rsidR="00C36A04" w:rsidRPr="005D19FF" w:rsidRDefault="00C36A04" w:rsidP="00067493">
      <w:pPr>
        <w:pStyle w:val="NormalHanging12a"/>
        <w:rPr>
          <w:szCs w:val="24"/>
        </w:rPr>
      </w:pPr>
      <w:r w:rsidRPr="005D19FF">
        <w:rPr>
          <w:szCs w:val="24"/>
        </w:rPr>
        <w:t>137.</w:t>
      </w:r>
      <w:r w:rsidRPr="005D19FF">
        <w:rPr>
          <w:szCs w:val="24"/>
        </w:rPr>
        <w:tab/>
        <w:t xml:space="preserve">konstatuje, že rok 2024 byl pro předložení výdajů vykázaných v rozpočtové položce 400 náročný ze dvou důvodů, jednak proto, že se jednalo o rok voleb do Evropského parlamentu, kdy byly výdaje rozděleny mezi první polovinu roku 2024 (deváté volební období) a druhou polovinu roku 2024 (desáté volební období), a jednak proto, že konečná účetní závěrka jedné z politických skupin (skupina ID), která byla za první polovinu roku 2024 podrobena auditu, obsahovala závažné nesrovnalosti; konstatuje, že místopředsedové při slyšení dne 8. prosince rovněž uvedli, že byly vyžádány další informace týkající se účetnictví za druhou polovinu roku 2024, na které předsednictvo stále čeká, než přijme rozhodnutí o poskytnutí informací orgánu příslušnému k udělení absolutoria; bere na vědomí dopis generálního tajemníka Parlamentu předsedovi Výboru pro rozpočtovou kontrolu Parlamentu ze dne 20. ledna 2026, v němž předkládá zprávy o auditu za druhou polovinu roku 2024 pro sedm z osmi politických skupin; bere na vědomí vydání výroku bez výhrad ke každé zprávě; konstatuje, že stále chybí zpráva skupiny </w:t>
      </w:r>
      <w:proofErr w:type="spellStart"/>
      <w:r w:rsidRPr="005D19FF">
        <w:rPr>
          <w:szCs w:val="24"/>
        </w:rPr>
        <w:t>PfE</w:t>
      </w:r>
      <w:proofErr w:type="spellEnd"/>
      <w:r w:rsidRPr="005D19FF">
        <w:rPr>
          <w:szCs w:val="24"/>
        </w:rPr>
        <w:t xml:space="preserve"> za druhou polovinu roku 2024 kvůli probíhajícím výměnám mezi touto politickou skupinou a příslušnými útvary Parlamentu; vyzývá skupinu </w:t>
      </w:r>
      <w:proofErr w:type="spellStart"/>
      <w:r w:rsidRPr="005D19FF">
        <w:rPr>
          <w:szCs w:val="24"/>
        </w:rPr>
        <w:t>PfE</w:t>
      </w:r>
      <w:proofErr w:type="spellEnd"/>
      <w:r w:rsidRPr="005D19FF">
        <w:rPr>
          <w:szCs w:val="24"/>
        </w:rPr>
        <w:t xml:space="preserve"> i příslušné útvary Parlamentu, aby otevřené otázky urychleně vyřešily a informovaly orgán příslušný k udělení absolutoria o výsledku;</w:t>
      </w:r>
    </w:p>
    <w:p w14:paraId="34DAD659" w14:textId="77777777" w:rsidR="00C36A04" w:rsidRPr="005D19FF" w:rsidRDefault="00C36A04" w:rsidP="00067493">
      <w:pPr>
        <w:pStyle w:val="NormalHanging12a"/>
        <w:rPr>
          <w:szCs w:val="24"/>
        </w:rPr>
      </w:pPr>
      <w:r w:rsidRPr="005D19FF">
        <w:rPr>
          <w:szCs w:val="24"/>
        </w:rPr>
        <w:t>138.</w:t>
      </w:r>
      <w:r w:rsidRPr="005D19FF">
        <w:rPr>
          <w:szCs w:val="24"/>
        </w:rPr>
        <w:tab/>
        <w:t xml:space="preserve">bere na vědomí zprávy ve sdělovacích prostředcích, které obviňují skupinu </w:t>
      </w:r>
      <w:proofErr w:type="spellStart"/>
      <w:r w:rsidRPr="005D19FF">
        <w:rPr>
          <w:szCs w:val="24"/>
        </w:rPr>
        <w:t>PfE</w:t>
      </w:r>
      <w:proofErr w:type="spellEnd"/>
      <w:r w:rsidRPr="005D19FF">
        <w:rPr>
          <w:szCs w:val="24"/>
        </w:rPr>
        <w:t xml:space="preserve"> ze zneužití finančních prostředků ve výši nejméně 171 644 EUR v druhé polovině roku 2024; konstatuje, že správa Parlamentu požádala skupinu </w:t>
      </w:r>
      <w:proofErr w:type="spellStart"/>
      <w:r w:rsidRPr="005D19FF">
        <w:rPr>
          <w:szCs w:val="24"/>
        </w:rPr>
        <w:t>PfE</w:t>
      </w:r>
      <w:proofErr w:type="spellEnd"/>
      <w:r w:rsidRPr="005D19FF">
        <w:rPr>
          <w:szCs w:val="24"/>
        </w:rPr>
        <w:t xml:space="preserve"> o vysvětlení; konstatuje, že orgán příslušný k udělení absolutoria dosud nebyl informován, ale očekává, že bude neprodleně informován o dalším vývoji a o výsledku následných správních opatření v této věci;</w:t>
      </w:r>
    </w:p>
    <w:p w14:paraId="4A5DF2D1" w14:textId="77777777" w:rsidR="00C36A04" w:rsidRPr="005D19FF" w:rsidRDefault="00C36A04" w:rsidP="00067493">
      <w:pPr>
        <w:pStyle w:val="NormalHanging12a"/>
        <w:rPr>
          <w:bCs/>
          <w:iCs/>
          <w:szCs w:val="24"/>
        </w:rPr>
      </w:pPr>
      <w:r w:rsidRPr="005D19FF">
        <w:rPr>
          <w:szCs w:val="24"/>
        </w:rPr>
        <w:t>139.</w:t>
      </w:r>
      <w:r w:rsidRPr="005D19FF">
        <w:rPr>
          <w:szCs w:val="24"/>
        </w:rPr>
        <w:tab/>
        <w:t>bere na vědomí zprávy německého zpravodajského časopisu Stern, podle kterých pořádal člen skupiny Evropa suverénních národů (ESN) kongres zaměstnanců a rodinných příslušníků této skupiny, přičemž potenciální náklady byly hrazeny z rozpočtu Parlamentu v rámci položky 400, a že během této akce byly údajně vybrány dary pro pravicovou síť žen napojenou na blízké rodinné příslušníky a zaměstnance členů skupiny ESN; připomíná, že výdaje v rámci rozpočtové položky 400 musí být přísně omezeny na parlamentní činnost politických skupin a být plně v souladu s platnými pravidly; naléhavě vyzývá GŘ FINS, aby tento případ prošetřilo a aby v případě zjištění jakéhokoli nesouladu neprodleně informovalo orgán příslušný k udělení absolutoria;</w:t>
      </w:r>
    </w:p>
    <w:p w14:paraId="113917A4" w14:textId="77777777" w:rsidR="00C36A04" w:rsidRPr="005D19FF" w:rsidRDefault="00C36A04" w:rsidP="00067493">
      <w:pPr>
        <w:pStyle w:val="NormalHanging12a"/>
        <w:rPr>
          <w:szCs w:val="24"/>
        </w:rPr>
      </w:pPr>
      <w:r w:rsidRPr="005D19FF">
        <w:rPr>
          <w:szCs w:val="24"/>
        </w:rPr>
        <w:lastRenderedPageBreak/>
        <w:t>140.</w:t>
      </w:r>
      <w:r w:rsidRPr="005D19FF">
        <w:rPr>
          <w:szCs w:val="24"/>
        </w:rPr>
        <w:tab/>
        <w:t>připomíná výlučnou finanční odpovědnost svěřenou politickým skupinám a jejich závazek zajistit řádné finanční řízení, účinné kontroly a plnou odpovědnost za veřejné prostředky; požaduje, aby byly v rámci GŘ FINS vytvořeny odpovídající mechanismy dohledu a aby bylo k dispozici více zdrojů;</w:t>
      </w:r>
    </w:p>
    <w:p w14:paraId="564CAEA4" w14:textId="77777777" w:rsidR="00C36A04" w:rsidRPr="005D19FF" w:rsidRDefault="00C36A04" w:rsidP="00067493">
      <w:pPr>
        <w:spacing w:after="240"/>
        <w:ind w:left="567" w:hanging="567"/>
        <w:rPr>
          <w:b/>
          <w:bCs/>
          <w:i/>
          <w:iCs/>
          <w:szCs w:val="24"/>
          <w14:textOutline w14:w="0" w14:cap="flat" w14:cmpd="sng" w14:algn="ctr">
            <w14:noFill/>
            <w14:prstDash w14:val="solid"/>
            <w14:bevel/>
          </w14:textOutline>
        </w:rPr>
      </w:pPr>
      <w:r w:rsidRPr="005D19FF">
        <w:rPr>
          <w:b/>
          <w:i/>
          <w:szCs w:val="24"/>
          <w14:textOutline w14:w="0" w14:cap="flat" w14:cmpd="sng" w14:algn="ctr">
            <w14:noFill/>
            <w14:prstDash w14:val="solid"/>
            <w14:bevel/>
          </w14:textOutline>
        </w:rPr>
        <w:t>Evropské politické strany a evropské politické nadace</w:t>
      </w:r>
    </w:p>
    <w:p w14:paraId="56D4AF08" w14:textId="77777777" w:rsidR="00C36A04" w:rsidRPr="005D19FF" w:rsidRDefault="00C36A04" w:rsidP="00067493">
      <w:pPr>
        <w:spacing w:after="240"/>
        <w:ind w:left="567" w:hanging="567"/>
        <w:rPr>
          <w:noProof/>
          <w:szCs w:val="24"/>
        </w:rPr>
      </w:pPr>
      <w:r w:rsidRPr="005D19FF">
        <w:rPr>
          <w:szCs w:val="24"/>
        </w:rPr>
        <w:t>141.</w:t>
      </w:r>
      <w:r w:rsidRPr="005D19FF">
        <w:rPr>
          <w:szCs w:val="24"/>
        </w:rPr>
        <w:tab/>
        <w:t>zdůrazňuje, že zachování demokratické integrity a vytvoření spravedlivého prostředí pro evropské politické strany a evropské politické nadace má zásadní význam pro účinné fungování a důvěryhodnost Unie; poznamenává, že Úřad pro evropské politické strany a evropské politické nadace (dále jen „úřad“), nezávislý subjekt Unie, se na tomto úsilí aktivně podílí od svého zřízení dne 1. září 2016 a dále od 1. ledna 2017, kdy byl uveden do plného provozu; poznamenává, že na základě pověření zákonodárného orgánu Unie provádí úřad registraci, sleduje dodržování předpisů a v případě potřeby ukládá sankce evropským politickým stranám a evropským politickým nadacím;</w:t>
      </w:r>
    </w:p>
    <w:p w14:paraId="384B9D80" w14:textId="77777777" w:rsidR="00C36A04" w:rsidRPr="005D19FF" w:rsidRDefault="00C36A04" w:rsidP="00067493">
      <w:pPr>
        <w:spacing w:after="240"/>
        <w:ind w:left="567" w:hanging="567"/>
        <w:rPr>
          <w:szCs w:val="24"/>
        </w:rPr>
      </w:pPr>
      <w:r w:rsidRPr="005D19FF">
        <w:rPr>
          <w:szCs w:val="24"/>
        </w:rPr>
        <w:t>142.</w:t>
      </w:r>
      <w:r w:rsidRPr="005D19FF">
        <w:rPr>
          <w:szCs w:val="24"/>
        </w:rPr>
        <w:tab/>
        <w:t>s </w:t>
      </w:r>
      <w:r w:rsidRPr="005D19FF">
        <w:rPr>
          <w:szCs w:val="24"/>
          <w14:textOutline w14:w="0" w14:cap="flat" w14:cmpd="sng" w14:algn="ctr">
            <w14:noFill/>
            <w14:prstDash w14:val="solid"/>
            <w14:bevel/>
          </w14:textOutline>
        </w:rPr>
        <w:t>uspokojením</w:t>
      </w:r>
      <w:r w:rsidRPr="005D19FF">
        <w:rPr>
          <w:szCs w:val="24"/>
        </w:rPr>
        <w:t xml:space="preserve"> konstatuje, že úřad aktivně oslovuje síť subjektů a institucí, které jsou důležité pro společnou obranu evropské demokracie, a zvyšuje jejich informovanost; zdůrazňuje zejména, že úřad spolupracoval s Parlamentem, který je odpovědný za sekretariát výboru nezávislých významných osobností, s cílem maximalizovat účinnost postupů; konstatuje, že byla rovněž posílena spolupráce na provozních aspektech s několika dalšími zúčastněnými stranami Unie, včetně Evropské služby pro vnější činnost a Evropského sboru pro ochranu osobních údajů; konstatuje, že úřad posílil spolupráci s Europolem, a to podepsáním memoranda o porozumění o strategické výměně informací o nezákonném vměšování do demokracie Unie kybernetickými prostředky;</w:t>
      </w:r>
    </w:p>
    <w:p w14:paraId="47E5F7F0" w14:textId="77777777" w:rsidR="00C36A04" w:rsidRPr="005D19FF" w:rsidRDefault="00C36A04" w:rsidP="00067493">
      <w:pPr>
        <w:spacing w:after="240"/>
        <w:ind w:left="567" w:hanging="567"/>
        <w:rPr>
          <w:szCs w:val="24"/>
        </w:rPr>
      </w:pPr>
      <w:r w:rsidRPr="005D19FF">
        <w:rPr>
          <w:szCs w:val="24"/>
        </w:rPr>
        <w:t>143.</w:t>
      </w:r>
      <w:r w:rsidRPr="005D19FF">
        <w:rPr>
          <w:szCs w:val="24"/>
        </w:rPr>
        <w:tab/>
        <w:t xml:space="preserve">konstatuje, </w:t>
      </w:r>
      <w:r w:rsidRPr="005D19FF">
        <w:rPr>
          <w:szCs w:val="24"/>
          <w14:textOutline w14:w="0" w14:cap="flat" w14:cmpd="sng" w14:algn="ctr">
            <w14:noFill/>
            <w14:prstDash w14:val="solid"/>
            <w14:bevel/>
          </w14:textOutline>
        </w:rPr>
        <w:t>že</w:t>
      </w:r>
      <w:r w:rsidRPr="005D19FF">
        <w:rPr>
          <w:szCs w:val="24"/>
        </w:rPr>
        <w:t xml:space="preserve"> v roce 2024 úřad vydal několik preventivních doporučení pro evropské politické strany a nadace, aby se zabývaly riziky dodržování předpisů dříve, než se naplní, zejména aby zlepšily své vnitřní postupy v oblasti darů, příspěvků a činností, které plánují uspořádat; vítá, že v 11 případech úřad rovněž poskytl pokyny na vyžádání;</w:t>
      </w:r>
    </w:p>
    <w:p w14:paraId="5C65941E" w14:textId="77777777" w:rsidR="00C36A04" w:rsidRPr="005D19FF" w:rsidRDefault="00C36A04" w:rsidP="00067493">
      <w:pPr>
        <w:spacing w:after="240"/>
        <w:ind w:left="567" w:hanging="567"/>
        <w:rPr>
          <w:szCs w:val="24"/>
        </w:rPr>
      </w:pPr>
      <w:r w:rsidRPr="005D19FF">
        <w:rPr>
          <w:szCs w:val="24"/>
        </w:rPr>
        <w:t>144.</w:t>
      </w:r>
      <w:r w:rsidRPr="005D19FF">
        <w:rPr>
          <w:szCs w:val="24"/>
        </w:rPr>
        <w:tab/>
        <w:t>konstatuje, že úřad v osmi případech umožnil evropským politickým stranám a evropským politickým nadacím přijmout nápravná opatření týkající se kontrol dodržování finančních předpisů v souvislosti se zakázanými dary a v případech financování jiných subjektů v rámci společných činností; vítá skutečnost, že úřad nadále sleduje, zda nápravná opatření s dlouhodobým účinkem zajišťují trvalé dodržování předpisů v dotyčných oblastech; konstatuje, že úřad přijal v průběhu roku 2024 jedno rozhodnutí o sankcích;</w:t>
      </w:r>
    </w:p>
    <w:p w14:paraId="3FF02C3F" w14:textId="77777777" w:rsidR="00C36A04" w:rsidRPr="005D19FF" w:rsidRDefault="00C36A04" w:rsidP="00067493">
      <w:pPr>
        <w:spacing w:after="240"/>
        <w:ind w:left="567" w:hanging="567"/>
        <w:rPr>
          <w:szCs w:val="24"/>
        </w:rPr>
      </w:pPr>
      <w:r w:rsidRPr="005D19FF">
        <w:rPr>
          <w:szCs w:val="24"/>
        </w:rPr>
        <w:t>145.</w:t>
      </w:r>
      <w:r w:rsidRPr="005D19FF">
        <w:rPr>
          <w:szCs w:val="24"/>
        </w:rPr>
        <w:tab/>
        <w:t>vítá skutečnost, že úřad na svých internetových stránkách rovněž pokračoval v uveřejňování rozsáhlých pokynů týkajících se nejčastějších rizikových oblastí a potenciálně problematických struktur v řízení evropských politických stran a evropských politických nadací; vítá skutečnost, že svá zjištění a pokyny obecného zájmu rovněž sdělil všem evropským politickým stranám a evropským politickým nadacím;</w:t>
      </w:r>
    </w:p>
    <w:p w14:paraId="7BDE558F" w14:textId="77777777" w:rsidR="00C36A04" w:rsidRPr="005D19FF" w:rsidRDefault="00C36A04" w:rsidP="00067493">
      <w:pPr>
        <w:spacing w:after="240"/>
        <w:ind w:left="567" w:hanging="567"/>
        <w:rPr>
          <w:szCs w:val="24"/>
        </w:rPr>
      </w:pPr>
      <w:r w:rsidRPr="005D19FF">
        <w:rPr>
          <w:szCs w:val="24"/>
        </w:rPr>
        <w:lastRenderedPageBreak/>
        <w:t>146.</w:t>
      </w:r>
      <w:r w:rsidRPr="005D19FF">
        <w:rPr>
          <w:szCs w:val="24"/>
        </w:rPr>
        <w:tab/>
        <w:t>vítá zveřejnění nařízení Evropského parlamentu a Rady (EU, Euratom) 2025/2445</w:t>
      </w:r>
      <w:r w:rsidRPr="005D19FF">
        <w:rPr>
          <w:rStyle w:val="FootnoteReference"/>
          <w:szCs w:val="24"/>
        </w:rPr>
        <w:footnoteReference w:id="12"/>
      </w:r>
      <w:r w:rsidRPr="005D19FF">
        <w:rPr>
          <w:szCs w:val="24"/>
        </w:rPr>
        <w:t>, které zavádí nové požadavky na evropské politické strany a evropské politické nadace s cílem posílit demokratickou integritu a odolnost; zdůrazňuje zejména, že evropské politické strany a evropské politické nadace musí nyní také zajistit, aby jejich členské strany, resp. členské organizace dodržovaly hodnoty, na nichž je Unie založena, jak je zakotveno v článku 2 Smlouvy o EU; dále konstatuje, že byly posíleny záruky proti zahraničnímu vměšování a že revidovaný systém sankcí vyžaduje, aby byly sankce za kvantifikovatelná porušení – jako je porušení pravidel týkajících se darů nebo zákaz poskytování finančních prostředků vnitrostátním stranám – ukládány bez poskytnutí možnosti přijmout nápravná opatření; v této souvislosti pozitivně hodnotí komplexní preventivní pokyny, které úřad nabízí v rámci svého akčního plánu pro dodržování právních předpisů („R-CAP“), aby usnadnil jeho hladké a účinné provádění;</w:t>
      </w:r>
      <w:r w:rsidRPr="005D19FF">
        <w:rPr>
          <w:b/>
          <w:szCs w:val="24"/>
          <w:u w:val="single"/>
        </w:rPr>
        <w:t xml:space="preserve"> </w:t>
      </w:r>
      <w:r w:rsidRPr="005D19FF">
        <w:rPr>
          <w:szCs w:val="24"/>
        </w:rPr>
        <w:t>podporuje rozhodnutí zavést kontroly způsobilosti i v rámci členských organizací, aby se zajistil plný soulad s hodnotami uvedenými v článku 2 Smlouvy o EU i u členských organizací a aby se dodržela demokratická integrita při financování evropských politických stran Parlamentem;</w:t>
      </w:r>
    </w:p>
    <w:p w14:paraId="1B8545A3" w14:textId="77777777" w:rsidR="00C36A04" w:rsidRPr="005D19FF" w:rsidRDefault="00C36A04" w:rsidP="00067493">
      <w:pPr>
        <w:spacing w:after="240"/>
        <w:ind w:left="567" w:hanging="567"/>
        <w:rPr>
          <w:szCs w:val="24"/>
        </w:rPr>
      </w:pPr>
      <w:r w:rsidRPr="005D19FF">
        <w:rPr>
          <w:szCs w:val="24"/>
        </w:rPr>
        <w:t>147.</w:t>
      </w:r>
      <w:r w:rsidRPr="005D19FF">
        <w:rPr>
          <w:szCs w:val="24"/>
        </w:rPr>
        <w:tab/>
        <w:t>konstatuje, že úřad může zahájit ověřování souladu s hodnotami, na nichž je Unie založena, pouze na žádost Parlamentu, Rady nebo Komise;</w:t>
      </w:r>
    </w:p>
    <w:p w14:paraId="62CD4D43" w14:textId="77777777" w:rsidR="00C36A04" w:rsidRPr="005D19FF" w:rsidRDefault="00C36A04" w:rsidP="00067493">
      <w:pPr>
        <w:spacing w:after="240"/>
        <w:ind w:left="567" w:hanging="567"/>
        <w:rPr>
          <w:szCs w:val="24"/>
          <w:u w:val="single"/>
        </w:rPr>
      </w:pPr>
      <w:r w:rsidRPr="005D19FF">
        <w:rPr>
          <w:szCs w:val="24"/>
        </w:rPr>
        <w:t>148.</w:t>
      </w:r>
      <w:r w:rsidRPr="005D19FF">
        <w:rPr>
          <w:szCs w:val="24"/>
        </w:rPr>
        <w:tab/>
        <w:t>zdůrazňuje, že s ohledem na rozšířenou působnost postupu ověřování hodnot, který se nyní vztahuje i na členské strany a členské organizace, a na další novinky v nařízení (EU, Euratom) 2025/2445, včetně vítaných aktualizací týkajících se ochrany evropské demokracie před zahraničním vměšováním, je nezbytné náležitě posílit lidské zdroje úřadu;</w:t>
      </w:r>
    </w:p>
    <w:bookmarkEnd w:id="13"/>
    <w:p w14:paraId="7919F561" w14:textId="77777777" w:rsidR="00C36A04" w:rsidRPr="005D19FF" w:rsidRDefault="00C36A04" w:rsidP="00067493">
      <w:pPr>
        <w:spacing w:after="240"/>
        <w:ind w:left="567" w:hanging="567"/>
        <w:rPr>
          <w:szCs w:val="24"/>
        </w:rPr>
      </w:pPr>
      <w:r w:rsidRPr="005D19FF">
        <w:rPr>
          <w:szCs w:val="24"/>
          <w14:textOutline w14:w="0" w14:cap="flat" w14:cmpd="sng" w14:algn="ctr">
            <w14:noFill/>
            <w14:prstDash w14:val="solid"/>
            <w14:bevel/>
          </w14:textOutline>
        </w:rPr>
        <w:t>149</w:t>
      </w:r>
      <w:r w:rsidRPr="005D19FF">
        <w:rPr>
          <w:szCs w:val="24"/>
        </w:rPr>
        <w:t>.</w:t>
      </w:r>
      <w:r w:rsidRPr="005D19FF">
        <w:rPr>
          <w:szCs w:val="24"/>
          <w14:textOutline w14:w="0" w14:cap="flat" w14:cmpd="sng" w14:algn="ctr">
            <w14:noFill/>
            <w14:prstDash w14:val="solid"/>
            <w14:bevel/>
          </w14:textOutline>
        </w:rPr>
        <w:tab/>
        <w:t>konstatuje, že prostředky zapsané do rozpočtové položky 402 byly v roce 2024 využity následovně</w:t>
      </w:r>
      <w:r w:rsidRPr="005D19FF">
        <w:rPr>
          <w:rStyle w:val="FootnoteReference"/>
          <w:szCs w:val="24"/>
        </w:rPr>
        <w:footnoteReference w:id="13"/>
      </w:r>
      <w:r w:rsidRPr="005D19FF">
        <w:rPr>
          <w:szCs w:val="24"/>
          <w14:textOutline w14:w="0" w14:cap="flat" w14:cmpd="sng" w14:algn="ctr">
            <w14:noFill/>
            <w14:prstDash w14:val="solid"/>
            <w14:bevel/>
          </w14:textOutline>
        </w:rPr>
        <w:t>:</w:t>
      </w:r>
    </w:p>
    <w:tbl>
      <w:tblPr>
        <w:tblW w:w="9096"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168"/>
        <w:gridCol w:w="1134"/>
        <w:gridCol w:w="1276"/>
        <w:gridCol w:w="1134"/>
        <w:gridCol w:w="1559"/>
        <w:gridCol w:w="1134"/>
      </w:tblGrid>
      <w:tr w:rsidR="00C36A04" w:rsidRPr="005D19FF" w14:paraId="51040EC5" w14:textId="77777777" w:rsidTr="00BC07A7">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3E7759C" w14:textId="77777777" w:rsidR="00C36A04" w:rsidRPr="005874E7" w:rsidRDefault="00C36A04" w:rsidP="005874E7">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Strana (2024)</w:t>
            </w:r>
          </w:p>
        </w:tc>
        <w:tc>
          <w:tcPr>
            <w:tcW w:w="116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197C6C1" w14:textId="77777777" w:rsidR="00C36A04" w:rsidRPr="005874E7" w:rsidRDefault="00C36A04" w:rsidP="005874E7">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Zkratka</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6B08EF1" w14:textId="77777777" w:rsidR="00C36A04" w:rsidRPr="005874E7" w:rsidRDefault="00C36A04" w:rsidP="005874E7">
            <w:pPr>
              <w:widowControl/>
              <w:ind w:left="343" w:hanging="343"/>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Vlastní zdroje</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E686933" w14:textId="77777777" w:rsidR="00C36A04" w:rsidRPr="005874E7" w:rsidRDefault="00C36A04" w:rsidP="005874E7">
            <w:pPr>
              <w:widowControl/>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Konečný příspěvek EP</w:t>
            </w:r>
            <w:r w:rsidRPr="005874E7">
              <w:rPr>
                <w:rStyle w:val="FootnoteReference"/>
                <w:sz w:val="20"/>
              </w:rPr>
              <w:footnoteReference w:id="14"/>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698A577" w14:textId="77777777" w:rsidR="00C36A04" w:rsidRPr="005874E7" w:rsidRDefault="00C36A04" w:rsidP="005874E7">
            <w:pPr>
              <w:widowControl/>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Příjmy celkem</w:t>
            </w:r>
          </w:p>
        </w:tc>
        <w:tc>
          <w:tcPr>
            <w:tcW w:w="155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9109B32" w14:textId="77777777" w:rsidR="00C36A04" w:rsidRPr="005874E7" w:rsidRDefault="00C36A04" w:rsidP="005874E7">
            <w:pPr>
              <w:widowControl/>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Příspěvek EP jako % nárokovatelných výdajů (max. 90 %)</w:t>
            </w:r>
          </w:p>
        </w:tc>
        <w:tc>
          <w:tcPr>
            <w:tcW w:w="1134"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3D1ECC9E" w14:textId="77777777" w:rsidR="00C36A04" w:rsidRPr="005874E7" w:rsidRDefault="00C36A04" w:rsidP="005874E7">
            <w:pPr>
              <w:widowControl/>
              <w:ind w:left="63" w:hanging="63"/>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Specifická rezerva po</w:t>
            </w:r>
          </w:p>
          <w:p w14:paraId="619CA21D" w14:textId="77777777" w:rsidR="00C36A04" w:rsidRPr="005874E7" w:rsidRDefault="00C36A04" w:rsidP="005874E7">
            <w:pPr>
              <w:widowControl/>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účetní uzávěrce za rok 2024</w:t>
            </w:r>
            <w:r w:rsidRPr="005874E7">
              <w:rPr>
                <w:rStyle w:val="FootnoteReference"/>
                <w:sz w:val="20"/>
              </w:rPr>
              <w:footnoteReference w:id="15"/>
            </w:r>
          </w:p>
        </w:tc>
      </w:tr>
      <w:tr w:rsidR="00C36A04" w:rsidRPr="005D19FF" w14:paraId="21911A1D" w14:textId="77777777" w:rsidTr="00BC07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hideMark/>
          </w:tcPr>
          <w:p w14:paraId="23B78C69"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Evropská lidová strana</w:t>
            </w:r>
          </w:p>
        </w:tc>
        <w:tc>
          <w:tcPr>
            <w:tcW w:w="1168"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539260C0"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1967FF7"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2 124 050</w:t>
            </w:r>
          </w:p>
        </w:tc>
        <w:tc>
          <w:tcPr>
            <w:tcW w:w="1276"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5B7F4E1"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11 655 962</w:t>
            </w:r>
          </w:p>
        </w:tc>
        <w:tc>
          <w:tcPr>
            <w:tcW w:w="11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D3A46E3"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13 780 012</w:t>
            </w:r>
          </w:p>
        </w:tc>
        <w:tc>
          <w:tcPr>
            <w:tcW w:w="1559"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FBE42B7"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90 %</w:t>
            </w:r>
          </w:p>
        </w:tc>
        <w:tc>
          <w:tcPr>
            <w:tcW w:w="1134" w:type="dxa"/>
            <w:tcBorders>
              <w:top w:val="single" w:sz="4" w:space="0" w:color="auto"/>
              <w:left w:val="single" w:sz="4" w:space="0" w:color="auto"/>
              <w:bottom w:val="single" w:sz="4" w:space="0" w:color="auto"/>
              <w:right w:val="single" w:sz="8" w:space="0" w:color="auto"/>
            </w:tcBorders>
            <w:tcMar>
              <w:top w:w="80" w:type="dxa"/>
              <w:left w:w="80" w:type="dxa"/>
              <w:bottom w:w="80" w:type="dxa"/>
              <w:right w:w="80" w:type="dxa"/>
            </w:tcMar>
            <w:vAlign w:val="center"/>
          </w:tcPr>
          <w:p w14:paraId="31122E90"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261 623</w:t>
            </w:r>
          </w:p>
        </w:tc>
      </w:tr>
      <w:tr w:rsidR="00C36A04" w:rsidRPr="005D19FF" w14:paraId="0AC2200C" w14:textId="77777777" w:rsidTr="00BC07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hideMark/>
          </w:tcPr>
          <w:p w14:paraId="56A38F2B"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Strana evropských socialistů</w:t>
            </w:r>
          </w:p>
        </w:tc>
        <w:tc>
          <w:tcPr>
            <w:tcW w:w="1168"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5BB84D25"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48746D31"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1 579 596</w:t>
            </w:r>
          </w:p>
        </w:tc>
        <w:tc>
          <w:tcPr>
            <w:tcW w:w="1276"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358DC818"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8 399 744</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1B420BA6"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9 979 340</w:t>
            </w:r>
          </w:p>
        </w:tc>
        <w:tc>
          <w:tcPr>
            <w:tcW w:w="1559"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4FC5AB5B"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90 %</w:t>
            </w:r>
          </w:p>
        </w:tc>
        <w:tc>
          <w:tcPr>
            <w:tcW w:w="1134" w:type="dxa"/>
            <w:tcBorders>
              <w:top w:val="nil"/>
              <w:left w:val="single" w:sz="4" w:space="0" w:color="auto"/>
              <w:bottom w:val="single" w:sz="4" w:space="0" w:color="auto"/>
              <w:right w:val="single" w:sz="8" w:space="0" w:color="auto"/>
            </w:tcBorders>
            <w:tcMar>
              <w:top w:w="80" w:type="dxa"/>
              <w:left w:w="80" w:type="dxa"/>
              <w:bottom w:w="80" w:type="dxa"/>
              <w:right w:w="80" w:type="dxa"/>
            </w:tcMar>
            <w:vAlign w:val="center"/>
          </w:tcPr>
          <w:p w14:paraId="6D4BA9E8"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987 745</w:t>
            </w:r>
          </w:p>
        </w:tc>
      </w:tr>
      <w:tr w:rsidR="00C36A04" w:rsidRPr="005D19FF" w14:paraId="429A0DCE" w14:textId="77777777" w:rsidTr="00BC07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4541C16"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 xml:space="preserve">Strana Aliance liberálů </w:t>
            </w:r>
            <w:r w:rsidRPr="005874E7">
              <w:rPr>
                <w:sz w:val="20"/>
                <w14:textOutline w14:w="0" w14:cap="flat" w14:cmpd="sng" w14:algn="ctr">
                  <w14:noFill/>
                  <w14:prstDash w14:val="solid"/>
                  <w14:bevel/>
                </w14:textOutline>
              </w:rPr>
              <w:lastRenderedPageBreak/>
              <w:t>a demokratů pro Evropu</w:t>
            </w:r>
          </w:p>
        </w:tc>
        <w:tc>
          <w:tcPr>
            <w:tcW w:w="1168"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39C66CE2"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lastRenderedPageBreak/>
              <w:t>ALDE</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0C4BDB5E"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766 992</w:t>
            </w:r>
          </w:p>
        </w:tc>
        <w:tc>
          <w:tcPr>
            <w:tcW w:w="1276"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552B60A4"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5 726 982</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7C2755F5"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6 493 974</w:t>
            </w:r>
          </w:p>
        </w:tc>
        <w:tc>
          <w:tcPr>
            <w:tcW w:w="1559"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0C1984CE"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90 %</w:t>
            </w:r>
          </w:p>
        </w:tc>
        <w:tc>
          <w:tcPr>
            <w:tcW w:w="1134" w:type="dxa"/>
            <w:tcBorders>
              <w:top w:val="nil"/>
              <w:left w:val="single" w:sz="4" w:space="0" w:color="auto"/>
              <w:bottom w:val="single" w:sz="4" w:space="0" w:color="auto"/>
              <w:right w:val="single" w:sz="8" w:space="0" w:color="auto"/>
            </w:tcBorders>
            <w:tcMar>
              <w:top w:w="80" w:type="dxa"/>
              <w:left w:w="80" w:type="dxa"/>
              <w:bottom w:w="80" w:type="dxa"/>
              <w:right w:w="80" w:type="dxa"/>
            </w:tcMar>
            <w:vAlign w:val="center"/>
          </w:tcPr>
          <w:p w14:paraId="4A087C6C"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414 768</w:t>
            </w:r>
          </w:p>
        </w:tc>
      </w:tr>
      <w:tr w:rsidR="00C36A04" w:rsidRPr="005D19FF" w14:paraId="266864E0" w14:textId="77777777" w:rsidTr="00BC07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2B10781F"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Evropská strana zelených</w:t>
            </w:r>
          </w:p>
        </w:tc>
        <w:tc>
          <w:tcPr>
            <w:tcW w:w="1168"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31DD0066"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0665194F"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713 874</w:t>
            </w:r>
          </w:p>
        </w:tc>
        <w:tc>
          <w:tcPr>
            <w:tcW w:w="1276"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6F888D6A"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6 020 217</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64A611AB"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6 734 091</w:t>
            </w:r>
          </w:p>
        </w:tc>
        <w:tc>
          <w:tcPr>
            <w:tcW w:w="1559"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5200B831"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90 %</w:t>
            </w:r>
          </w:p>
        </w:tc>
        <w:tc>
          <w:tcPr>
            <w:tcW w:w="1134" w:type="dxa"/>
            <w:tcBorders>
              <w:top w:val="nil"/>
              <w:left w:val="single" w:sz="4" w:space="0" w:color="auto"/>
              <w:bottom w:val="single" w:sz="4" w:space="0" w:color="auto"/>
              <w:right w:val="single" w:sz="8" w:space="0" w:color="auto"/>
            </w:tcBorders>
            <w:tcMar>
              <w:top w:w="80" w:type="dxa"/>
              <w:left w:w="80" w:type="dxa"/>
              <w:bottom w:w="80" w:type="dxa"/>
              <w:right w:w="80" w:type="dxa"/>
            </w:tcMar>
            <w:vAlign w:val="center"/>
          </w:tcPr>
          <w:p w14:paraId="00A71F4C"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993 646</w:t>
            </w:r>
          </w:p>
        </w:tc>
      </w:tr>
      <w:tr w:rsidR="00C36A04" w:rsidRPr="005D19FF" w14:paraId="602C9EF5" w14:textId="77777777" w:rsidTr="00BC07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DF2BD0C"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Strana evropských konzervativců a reformistů</w:t>
            </w:r>
          </w:p>
        </w:tc>
        <w:tc>
          <w:tcPr>
            <w:tcW w:w="1168"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344B21E8"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41608760"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780 974</w:t>
            </w:r>
          </w:p>
        </w:tc>
        <w:tc>
          <w:tcPr>
            <w:tcW w:w="1276"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2F365803"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3 430 937</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52DB3D10"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4 211 911</w:t>
            </w:r>
          </w:p>
        </w:tc>
        <w:tc>
          <w:tcPr>
            <w:tcW w:w="1559"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3FC25DB6"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90 %</w:t>
            </w:r>
          </w:p>
        </w:tc>
        <w:tc>
          <w:tcPr>
            <w:tcW w:w="1134" w:type="dxa"/>
            <w:tcBorders>
              <w:top w:val="nil"/>
              <w:left w:val="single" w:sz="4" w:space="0" w:color="auto"/>
              <w:bottom w:val="single" w:sz="4" w:space="0" w:color="auto"/>
              <w:right w:val="single" w:sz="8" w:space="0" w:color="auto"/>
            </w:tcBorders>
            <w:tcMar>
              <w:top w:w="80" w:type="dxa"/>
              <w:left w:w="80" w:type="dxa"/>
              <w:bottom w:w="80" w:type="dxa"/>
              <w:right w:w="80" w:type="dxa"/>
            </w:tcMar>
            <w:vAlign w:val="center"/>
          </w:tcPr>
          <w:p w14:paraId="1E91F339"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–273 939</w:t>
            </w:r>
          </w:p>
        </w:tc>
      </w:tr>
      <w:tr w:rsidR="00C36A04" w:rsidRPr="005D19FF" w14:paraId="3595F970" w14:textId="77777777" w:rsidTr="00BC07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2ADB0142"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Strana Identita a demokracie</w:t>
            </w:r>
            <w:r w:rsidRPr="005874E7">
              <w:rPr>
                <w:rStyle w:val="FootnoteReference"/>
                <w:sz w:val="20"/>
              </w:rPr>
              <w:footnoteReference w:id="16"/>
            </w:r>
          </w:p>
        </w:tc>
        <w:tc>
          <w:tcPr>
            <w:tcW w:w="1168"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2ECC1C2A"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ID</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67615345"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219 813</w:t>
            </w:r>
          </w:p>
        </w:tc>
        <w:tc>
          <w:tcPr>
            <w:tcW w:w="1276"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1BC45A02"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1 323 019</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56BDAD55"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1 542 832</w:t>
            </w:r>
          </w:p>
        </w:tc>
        <w:tc>
          <w:tcPr>
            <w:tcW w:w="1559"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45AF6EF8"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90 %</w:t>
            </w:r>
          </w:p>
        </w:tc>
        <w:tc>
          <w:tcPr>
            <w:tcW w:w="1134" w:type="dxa"/>
            <w:tcBorders>
              <w:top w:val="nil"/>
              <w:left w:val="single" w:sz="4" w:space="0" w:color="auto"/>
              <w:bottom w:val="single" w:sz="4" w:space="0" w:color="auto"/>
              <w:right w:val="single" w:sz="8" w:space="0" w:color="auto"/>
            </w:tcBorders>
            <w:tcMar>
              <w:top w:w="80" w:type="dxa"/>
              <w:left w:w="80" w:type="dxa"/>
              <w:bottom w:w="80" w:type="dxa"/>
              <w:right w:w="80" w:type="dxa"/>
            </w:tcMar>
            <w:vAlign w:val="center"/>
          </w:tcPr>
          <w:p w14:paraId="7640F8CE"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22 063</w:t>
            </w:r>
          </w:p>
        </w:tc>
      </w:tr>
      <w:tr w:rsidR="00C36A04" w:rsidRPr="005D19FF" w14:paraId="22DF1FBE" w14:textId="77777777" w:rsidTr="00BC07A7">
        <w:trPr>
          <w:trHeight w:val="339"/>
        </w:trPr>
        <w:tc>
          <w:tcPr>
            <w:tcW w:w="1691" w:type="dxa"/>
            <w:tcBorders>
              <w:top w:val="single" w:sz="4" w:space="0" w:color="000000" w:themeColor="text1"/>
              <w:left w:val="single" w:sz="8" w:space="0" w:color="000000" w:themeColor="text1"/>
              <w:bottom w:val="single" w:sz="4" w:space="0" w:color="auto"/>
              <w:right w:val="single" w:sz="4" w:space="0" w:color="000000" w:themeColor="text1"/>
            </w:tcBorders>
            <w:tcMar>
              <w:top w:w="80" w:type="dxa"/>
              <w:left w:w="80" w:type="dxa"/>
              <w:bottom w:w="80" w:type="dxa"/>
              <w:right w:w="80" w:type="dxa"/>
            </w:tcMar>
            <w:vAlign w:val="center"/>
          </w:tcPr>
          <w:p w14:paraId="558F083D"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Strana evropské levice</w:t>
            </w:r>
          </w:p>
        </w:tc>
        <w:tc>
          <w:tcPr>
            <w:tcW w:w="1168"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6B3C0218"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78294F2C"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211 643</w:t>
            </w:r>
          </w:p>
        </w:tc>
        <w:tc>
          <w:tcPr>
            <w:tcW w:w="1276"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63CF3FF2"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2 095 650</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20D51596"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2 307 293</w:t>
            </w:r>
          </w:p>
        </w:tc>
        <w:tc>
          <w:tcPr>
            <w:tcW w:w="1559"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29A9D9D6"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90 %</w:t>
            </w:r>
          </w:p>
        </w:tc>
        <w:tc>
          <w:tcPr>
            <w:tcW w:w="1134" w:type="dxa"/>
            <w:tcBorders>
              <w:top w:val="nil"/>
              <w:left w:val="single" w:sz="4" w:space="0" w:color="auto"/>
              <w:bottom w:val="single" w:sz="4" w:space="0" w:color="auto"/>
              <w:right w:val="single" w:sz="8" w:space="0" w:color="auto"/>
            </w:tcBorders>
            <w:tcMar>
              <w:top w:w="80" w:type="dxa"/>
              <w:left w:w="80" w:type="dxa"/>
              <w:bottom w:w="80" w:type="dxa"/>
              <w:right w:w="80" w:type="dxa"/>
            </w:tcMar>
            <w:vAlign w:val="center"/>
          </w:tcPr>
          <w:p w14:paraId="74169F03"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–42 833</w:t>
            </w:r>
          </w:p>
        </w:tc>
      </w:tr>
      <w:tr w:rsidR="00C36A04" w:rsidRPr="005D19FF" w14:paraId="18391A09" w14:textId="77777777" w:rsidTr="00BC07A7">
        <w:trPr>
          <w:trHeight w:val="339"/>
        </w:trPr>
        <w:tc>
          <w:tcPr>
            <w:tcW w:w="1691" w:type="dxa"/>
            <w:tcBorders>
              <w:top w:val="single" w:sz="4" w:space="0" w:color="auto"/>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4D173FE"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Evropská demokratická strana</w:t>
            </w:r>
          </w:p>
        </w:tc>
        <w:tc>
          <w:tcPr>
            <w:tcW w:w="1168"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525BCB69"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PDE</w:t>
            </w:r>
          </w:p>
        </w:tc>
        <w:tc>
          <w:tcPr>
            <w:tcW w:w="11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69769D1"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204 400</w:t>
            </w:r>
          </w:p>
        </w:tc>
        <w:tc>
          <w:tcPr>
            <w:tcW w:w="1276"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9C33545"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1 650 075</w:t>
            </w:r>
          </w:p>
        </w:tc>
        <w:tc>
          <w:tcPr>
            <w:tcW w:w="113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0DF5056"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1 854 475</w:t>
            </w:r>
          </w:p>
        </w:tc>
        <w:tc>
          <w:tcPr>
            <w:tcW w:w="1559"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4219DCE4"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90 %</w:t>
            </w:r>
          </w:p>
        </w:tc>
        <w:tc>
          <w:tcPr>
            <w:tcW w:w="1134" w:type="dxa"/>
            <w:tcBorders>
              <w:top w:val="single" w:sz="4" w:space="0" w:color="auto"/>
              <w:left w:val="single" w:sz="4" w:space="0" w:color="auto"/>
              <w:bottom w:val="single" w:sz="4" w:space="0" w:color="auto"/>
              <w:right w:val="single" w:sz="8" w:space="0" w:color="auto"/>
            </w:tcBorders>
            <w:tcMar>
              <w:top w:w="80" w:type="dxa"/>
              <w:left w:w="80" w:type="dxa"/>
              <w:bottom w:w="80" w:type="dxa"/>
              <w:right w:w="80" w:type="dxa"/>
            </w:tcMar>
            <w:vAlign w:val="center"/>
          </w:tcPr>
          <w:p w14:paraId="753BF529"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154 132</w:t>
            </w:r>
          </w:p>
        </w:tc>
      </w:tr>
      <w:tr w:rsidR="00C36A04" w:rsidRPr="005D19FF" w14:paraId="6B84A68A" w14:textId="77777777" w:rsidTr="00BC07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hideMark/>
          </w:tcPr>
          <w:p w14:paraId="61A893B9"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Evropská svobodná aliance</w:t>
            </w:r>
          </w:p>
        </w:tc>
        <w:tc>
          <w:tcPr>
            <w:tcW w:w="1168"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1B3812DA"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EFA</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5137E539"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232 056</w:t>
            </w:r>
          </w:p>
        </w:tc>
        <w:tc>
          <w:tcPr>
            <w:tcW w:w="1276"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6861A61A"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1 056 844</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052E30F4"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1 288 899</w:t>
            </w:r>
          </w:p>
        </w:tc>
        <w:tc>
          <w:tcPr>
            <w:tcW w:w="1559"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5818BDA2"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90 %</w:t>
            </w:r>
          </w:p>
        </w:tc>
        <w:tc>
          <w:tcPr>
            <w:tcW w:w="1134" w:type="dxa"/>
            <w:tcBorders>
              <w:top w:val="nil"/>
              <w:left w:val="single" w:sz="4" w:space="0" w:color="auto"/>
              <w:bottom w:val="single" w:sz="4" w:space="0" w:color="auto"/>
              <w:right w:val="single" w:sz="8" w:space="0" w:color="auto"/>
            </w:tcBorders>
            <w:tcMar>
              <w:top w:w="80" w:type="dxa"/>
              <w:left w:w="80" w:type="dxa"/>
              <w:bottom w:w="80" w:type="dxa"/>
              <w:right w:w="80" w:type="dxa"/>
            </w:tcMar>
            <w:vAlign w:val="center"/>
          </w:tcPr>
          <w:p w14:paraId="482FC425"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–7 391</w:t>
            </w:r>
          </w:p>
        </w:tc>
      </w:tr>
      <w:tr w:rsidR="00C36A04" w:rsidRPr="005D19FF" w14:paraId="431B8D13" w14:textId="77777777" w:rsidTr="00BC07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hideMark/>
          </w:tcPr>
          <w:p w14:paraId="5AF5F9F0"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Evropské křesťanské politické hnutí</w:t>
            </w:r>
            <w:r w:rsidRPr="005874E7">
              <w:rPr>
                <w:rStyle w:val="FootnoteReference"/>
                <w:sz w:val="20"/>
              </w:rPr>
              <w:footnoteReference w:id="17"/>
            </w:r>
          </w:p>
        </w:tc>
        <w:tc>
          <w:tcPr>
            <w:tcW w:w="1168"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29824521"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05A2CDC5"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100 896</w:t>
            </w:r>
          </w:p>
        </w:tc>
        <w:tc>
          <w:tcPr>
            <w:tcW w:w="1276"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51BCBCAE"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985 861</w:t>
            </w:r>
          </w:p>
        </w:tc>
        <w:tc>
          <w:tcPr>
            <w:tcW w:w="113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509F4F4E"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1 086 757</w:t>
            </w:r>
          </w:p>
        </w:tc>
        <w:tc>
          <w:tcPr>
            <w:tcW w:w="1559"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0AB232FD"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90 %</w:t>
            </w:r>
          </w:p>
        </w:tc>
        <w:tc>
          <w:tcPr>
            <w:tcW w:w="1134" w:type="dxa"/>
            <w:tcBorders>
              <w:top w:val="nil"/>
              <w:left w:val="single" w:sz="4" w:space="0" w:color="auto"/>
              <w:bottom w:val="single" w:sz="4" w:space="0" w:color="auto"/>
              <w:right w:val="single" w:sz="8" w:space="0" w:color="auto"/>
            </w:tcBorders>
            <w:tcMar>
              <w:top w:w="80" w:type="dxa"/>
              <w:left w:w="80" w:type="dxa"/>
              <w:bottom w:w="80" w:type="dxa"/>
              <w:right w:w="80" w:type="dxa"/>
            </w:tcMar>
            <w:vAlign w:val="center"/>
          </w:tcPr>
          <w:p w14:paraId="715ACA9B"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–59 624</w:t>
            </w:r>
          </w:p>
        </w:tc>
      </w:tr>
      <w:tr w:rsidR="00C36A04" w:rsidRPr="005D19FF" w14:paraId="56B5C973" w14:textId="77777777" w:rsidTr="00BC07A7">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2FFF9FB"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b/>
                <w:sz w:val="20"/>
                <w14:textOutline w14:w="0" w14:cap="flat" w14:cmpd="sng" w14:algn="ctr">
                  <w14:noFill/>
                  <w14:prstDash w14:val="solid"/>
                  <w14:bevel/>
                </w14:textOutline>
              </w:rPr>
              <w:t>CELKEM</w:t>
            </w:r>
          </w:p>
        </w:tc>
        <w:tc>
          <w:tcPr>
            <w:tcW w:w="116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125D121" w14:textId="77777777" w:rsidR="00C36A04" w:rsidRPr="005874E7" w:rsidRDefault="00C36A04" w:rsidP="00067493">
            <w:pPr>
              <w:widowControl/>
              <w:ind w:left="567" w:hanging="567"/>
              <w:jc w:val="center"/>
              <w:rPr>
                <w:b/>
                <w:sz w:val="20"/>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22D48248" w14:textId="77777777" w:rsidR="00C36A04" w:rsidRPr="005874E7" w:rsidRDefault="00C36A04" w:rsidP="00067493">
            <w:pPr>
              <w:ind w:left="567" w:hanging="567"/>
              <w:jc w:val="center"/>
              <w:rPr>
                <w:b/>
                <w:bCs/>
                <w:sz w:val="20"/>
              </w:rPr>
            </w:pPr>
            <w:r w:rsidRPr="005874E7">
              <w:rPr>
                <w:b/>
                <w:sz w:val="20"/>
              </w:rPr>
              <w:t>6 934 294</w:t>
            </w:r>
          </w:p>
        </w:tc>
        <w:tc>
          <w:tcPr>
            <w:tcW w:w="1276"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4D96CCD6" w14:textId="77777777" w:rsidR="00C36A04" w:rsidRPr="005874E7" w:rsidRDefault="00C36A04" w:rsidP="00067493">
            <w:pPr>
              <w:ind w:left="567" w:hanging="567"/>
              <w:jc w:val="center"/>
              <w:rPr>
                <w:b/>
                <w:bCs/>
                <w:sz w:val="20"/>
              </w:rPr>
            </w:pPr>
            <w:r w:rsidRPr="005874E7">
              <w:rPr>
                <w:b/>
                <w:sz w:val="20"/>
              </w:rPr>
              <w:t>42 345 292</w:t>
            </w:r>
          </w:p>
        </w:tc>
        <w:tc>
          <w:tcPr>
            <w:tcW w:w="1134"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D3D1A6D" w14:textId="77777777" w:rsidR="00C36A04" w:rsidRPr="005874E7" w:rsidRDefault="00C36A04" w:rsidP="00067493">
            <w:pPr>
              <w:ind w:left="567" w:hanging="567"/>
              <w:jc w:val="center"/>
              <w:rPr>
                <w:b/>
                <w:bCs/>
                <w:sz w:val="20"/>
              </w:rPr>
            </w:pPr>
            <w:r w:rsidRPr="005874E7">
              <w:rPr>
                <w:b/>
                <w:sz w:val="20"/>
              </w:rPr>
              <w:t>49 279 586</w:t>
            </w:r>
          </w:p>
        </w:tc>
        <w:tc>
          <w:tcPr>
            <w:tcW w:w="1559"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1C2BA051" w14:textId="77777777" w:rsidR="00C36A04" w:rsidRPr="005874E7" w:rsidRDefault="00C36A04" w:rsidP="00067493">
            <w:pPr>
              <w:ind w:left="567" w:hanging="567"/>
              <w:jc w:val="center"/>
              <w:rPr>
                <w:b/>
                <w:bCs/>
                <w:sz w:val="20"/>
              </w:rPr>
            </w:pPr>
          </w:p>
        </w:tc>
        <w:tc>
          <w:tcPr>
            <w:tcW w:w="1134"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50B1F94C" w14:textId="77777777" w:rsidR="00C36A04" w:rsidRPr="005874E7" w:rsidRDefault="00C36A04" w:rsidP="00067493">
            <w:pPr>
              <w:ind w:left="567" w:hanging="567"/>
              <w:jc w:val="center"/>
              <w:rPr>
                <w:b/>
                <w:sz w:val="20"/>
              </w:rPr>
            </w:pPr>
            <w:r w:rsidRPr="005874E7">
              <w:rPr>
                <w:b/>
                <w:sz w:val="20"/>
              </w:rPr>
              <w:t>2 450 191</w:t>
            </w:r>
          </w:p>
        </w:tc>
      </w:tr>
    </w:tbl>
    <w:p w14:paraId="16FE2FC0" w14:textId="77777777" w:rsidR="00C36A04" w:rsidRPr="005D19FF" w:rsidRDefault="00C36A04" w:rsidP="00067493">
      <w:pPr>
        <w:ind w:left="567" w:hanging="567"/>
        <w:rPr>
          <w:noProof/>
          <w:szCs w:val="24"/>
        </w:rPr>
      </w:pPr>
    </w:p>
    <w:p w14:paraId="307A8C9A" w14:textId="77777777" w:rsidR="00C36A04" w:rsidRPr="005D19FF" w:rsidRDefault="00C36A04" w:rsidP="00067493">
      <w:pPr>
        <w:spacing w:after="240"/>
        <w:ind w:left="567" w:hanging="567"/>
        <w:rPr>
          <w:szCs w:val="24"/>
          <w14:textOutline w14:w="0" w14:cap="flat" w14:cmpd="sng" w14:algn="ctr">
            <w14:noFill/>
            <w14:prstDash w14:val="solid"/>
            <w14:bevel/>
          </w14:textOutline>
        </w:rPr>
      </w:pPr>
      <w:r w:rsidRPr="005D19FF">
        <w:rPr>
          <w:szCs w:val="24"/>
          <w14:textOutline w14:w="0" w14:cap="flat" w14:cmpd="sng" w14:algn="ctr">
            <w14:noFill/>
            <w14:prstDash w14:val="solid"/>
            <w14:bevel/>
          </w14:textOutline>
        </w:rPr>
        <w:t>150</w:t>
      </w:r>
      <w:r w:rsidRPr="005D19FF">
        <w:rPr>
          <w:szCs w:val="24"/>
        </w:rPr>
        <w:t>.</w:t>
      </w:r>
      <w:r w:rsidRPr="005D19FF">
        <w:rPr>
          <w:szCs w:val="24"/>
          <w14:textOutline w14:w="0" w14:cap="flat" w14:cmpd="sng" w14:algn="ctr">
            <w14:noFill/>
            <w14:prstDash w14:val="solid"/>
            <w14:bevel/>
          </w14:textOutline>
        </w:rPr>
        <w:tab/>
        <w:t>konstatuje, že prostředky zapsané do rozpočtové položky 403 byly v roce 2024 využity následovně</w:t>
      </w:r>
      <w:r w:rsidRPr="005D19FF">
        <w:rPr>
          <w:rStyle w:val="FootnoteReference"/>
          <w:szCs w:val="24"/>
        </w:rPr>
        <w:footnoteReference w:id="18"/>
      </w:r>
      <w:r w:rsidRPr="005D19FF">
        <w:rPr>
          <w:szCs w:val="24"/>
        </w:rPr>
        <w:t>:</w:t>
      </w:r>
    </w:p>
    <w:tbl>
      <w:tblPr>
        <w:tblW w:w="923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583"/>
        <w:gridCol w:w="974"/>
        <w:gridCol w:w="1153"/>
        <w:gridCol w:w="964"/>
        <w:gridCol w:w="1162"/>
        <w:gridCol w:w="992"/>
        <w:gridCol w:w="1260"/>
        <w:gridCol w:w="1150"/>
      </w:tblGrid>
      <w:tr w:rsidR="00C36A04" w:rsidRPr="005D19FF" w14:paraId="7CB9038B" w14:textId="77777777" w:rsidTr="00BC07A7">
        <w:trPr>
          <w:trHeight w:val="1327"/>
        </w:trPr>
        <w:tc>
          <w:tcPr>
            <w:tcW w:w="1583"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870BE18"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Nadace (2024)</w:t>
            </w:r>
          </w:p>
        </w:tc>
        <w:tc>
          <w:tcPr>
            <w:tcW w:w="97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83989DE"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Zkratka</w:t>
            </w:r>
          </w:p>
        </w:tc>
        <w:tc>
          <w:tcPr>
            <w:tcW w:w="115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26AD9BF" w14:textId="77777777" w:rsidR="00C36A04" w:rsidRPr="005874E7" w:rsidRDefault="00C36A04" w:rsidP="005874E7">
            <w:pPr>
              <w:widowControl/>
              <w:ind w:left="521" w:hanging="522"/>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Příslušnost ke straně</w:t>
            </w:r>
          </w:p>
        </w:tc>
        <w:tc>
          <w:tcPr>
            <w:tcW w:w="96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83054E5" w14:textId="77777777" w:rsidR="00C36A04" w:rsidRPr="005874E7" w:rsidRDefault="00C36A04" w:rsidP="005874E7">
            <w:pPr>
              <w:widowControl/>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Vlastní zdroje</w:t>
            </w:r>
          </w:p>
        </w:tc>
        <w:tc>
          <w:tcPr>
            <w:tcW w:w="1162"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135AD3C" w14:textId="77777777" w:rsidR="00C36A04" w:rsidRPr="005874E7" w:rsidRDefault="00C36A04" w:rsidP="005874E7">
            <w:pPr>
              <w:widowControl/>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Konečná výše grantu EP</w:t>
            </w:r>
          </w:p>
        </w:tc>
        <w:tc>
          <w:tcPr>
            <w:tcW w:w="992"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3439AAE" w14:textId="77777777" w:rsidR="00C36A04" w:rsidRPr="005874E7" w:rsidRDefault="00C36A04" w:rsidP="005874E7">
            <w:pPr>
              <w:widowControl/>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Příjmy celkem</w:t>
            </w:r>
          </w:p>
        </w:tc>
        <w:tc>
          <w:tcPr>
            <w:tcW w:w="126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391F4C8" w14:textId="77777777" w:rsidR="00C36A04" w:rsidRPr="005874E7" w:rsidRDefault="00C36A04" w:rsidP="005874E7">
            <w:pPr>
              <w:widowControl/>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Grant EP jako % způsobilých výdajů (max. 95 %)</w:t>
            </w:r>
          </w:p>
        </w:tc>
        <w:tc>
          <w:tcPr>
            <w:tcW w:w="1150"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116861F8" w14:textId="77777777" w:rsidR="00C36A04" w:rsidRPr="005874E7" w:rsidRDefault="00C36A04" w:rsidP="005874E7">
            <w:pPr>
              <w:widowControl/>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Specifická rezerva po</w:t>
            </w:r>
          </w:p>
          <w:p w14:paraId="6C831B3E" w14:textId="77777777" w:rsidR="00C36A04" w:rsidRPr="005874E7" w:rsidRDefault="00C36A04" w:rsidP="005874E7">
            <w:pPr>
              <w:widowControl/>
              <w:jc w:val="center"/>
              <w:rPr>
                <w:sz w:val="20"/>
                <w14:textOutline w14:w="0" w14:cap="flat" w14:cmpd="sng" w14:algn="ctr">
                  <w14:noFill/>
                  <w14:prstDash w14:val="solid"/>
                  <w14:bevel/>
                </w14:textOutline>
              </w:rPr>
            </w:pPr>
            <w:r w:rsidRPr="005874E7">
              <w:rPr>
                <w:sz w:val="20"/>
                <w14:textOutline w14:w="0" w14:cap="flat" w14:cmpd="sng" w14:algn="ctr">
                  <w14:noFill/>
                  <w14:prstDash w14:val="solid"/>
                  <w14:bevel/>
                </w14:textOutline>
              </w:rPr>
              <w:t>účetní uzávěrce za rok 2024</w:t>
            </w:r>
            <w:r w:rsidRPr="005874E7">
              <w:rPr>
                <w:rStyle w:val="FootnoteReference"/>
                <w:sz w:val="20"/>
              </w:rPr>
              <w:footnoteReference w:id="19"/>
            </w:r>
          </w:p>
        </w:tc>
      </w:tr>
      <w:tr w:rsidR="00C36A04" w:rsidRPr="005D19FF" w14:paraId="402D51DD" w14:textId="77777777" w:rsidTr="00BC07A7">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0C9EC99" w14:textId="77777777" w:rsidR="00C36A04" w:rsidRPr="005874E7" w:rsidRDefault="00C36A04" w:rsidP="005874E7">
            <w:pPr>
              <w:widowControl/>
              <w:ind w:left="605" w:hanging="600"/>
              <w:jc w:val="center"/>
              <w:rPr>
                <w:sz w:val="20"/>
                <w14:textOutline w14:w="0" w14:cap="flat" w14:cmpd="sng" w14:algn="ctr">
                  <w14:noFill/>
                  <w14:prstDash w14:val="solid"/>
                  <w14:bevel/>
                </w14:textOutline>
              </w:rPr>
            </w:pPr>
            <w:r w:rsidRPr="005874E7">
              <w:rPr>
                <w:sz w:val="20"/>
              </w:rPr>
              <w:t xml:space="preserve">Centrum Wilfrieda </w:t>
            </w:r>
            <w:proofErr w:type="spellStart"/>
            <w:r w:rsidRPr="005874E7">
              <w:rPr>
                <w:sz w:val="20"/>
              </w:rPr>
              <w:t>Martense</w:t>
            </w:r>
            <w:proofErr w:type="spellEnd"/>
            <w:r w:rsidRPr="005874E7">
              <w:rPr>
                <w:sz w:val="20"/>
              </w:rPr>
              <w:t xml:space="preserve"> pro evropská studia</w:t>
            </w:r>
          </w:p>
        </w:tc>
        <w:tc>
          <w:tcPr>
            <w:tcW w:w="97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D868239" w14:textId="77777777" w:rsidR="00C36A04" w:rsidRPr="005874E7" w:rsidRDefault="00C36A04" w:rsidP="00067493">
            <w:pPr>
              <w:ind w:left="567" w:hanging="567"/>
              <w:jc w:val="center"/>
              <w:rPr>
                <w:sz w:val="20"/>
              </w:rPr>
            </w:pPr>
            <w:r w:rsidRPr="005874E7">
              <w:rPr>
                <w:sz w:val="20"/>
              </w:rPr>
              <w:t>WMCES</w:t>
            </w:r>
          </w:p>
        </w:tc>
        <w:tc>
          <w:tcPr>
            <w:tcW w:w="1153"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6C3E99F9" w14:textId="77777777" w:rsidR="00C36A04" w:rsidRPr="005874E7" w:rsidRDefault="00C36A04" w:rsidP="00067493">
            <w:pPr>
              <w:ind w:left="567" w:hanging="567"/>
              <w:jc w:val="center"/>
              <w:rPr>
                <w:sz w:val="20"/>
              </w:rPr>
            </w:pPr>
            <w:r w:rsidRPr="005874E7">
              <w:rPr>
                <w:sz w:val="20"/>
              </w:rPr>
              <w:t>EPP</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8A5DA6C" w14:textId="77777777" w:rsidR="00C36A04" w:rsidRPr="005874E7" w:rsidRDefault="00C36A04" w:rsidP="00067493">
            <w:pPr>
              <w:ind w:left="567" w:hanging="567"/>
              <w:jc w:val="center"/>
              <w:rPr>
                <w:sz w:val="20"/>
              </w:rPr>
            </w:pPr>
            <w:r w:rsidRPr="005874E7">
              <w:rPr>
                <w:sz w:val="20"/>
              </w:rPr>
              <w:t>808 035</w:t>
            </w:r>
          </w:p>
        </w:tc>
        <w:tc>
          <w:tcPr>
            <w:tcW w:w="116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4DB9298A" w14:textId="77777777" w:rsidR="00C36A04" w:rsidRPr="005874E7" w:rsidRDefault="00C36A04" w:rsidP="00067493">
            <w:pPr>
              <w:ind w:left="567" w:hanging="567"/>
              <w:jc w:val="center"/>
              <w:rPr>
                <w:sz w:val="20"/>
              </w:rPr>
            </w:pPr>
            <w:r w:rsidRPr="005874E7">
              <w:rPr>
                <w:sz w:val="20"/>
              </w:rPr>
              <w:t>6 378 510</w:t>
            </w:r>
          </w:p>
        </w:tc>
        <w:tc>
          <w:tcPr>
            <w:tcW w:w="99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537B77D6" w14:textId="77777777" w:rsidR="00C36A04" w:rsidRPr="005874E7" w:rsidRDefault="00C36A04" w:rsidP="00067493">
            <w:pPr>
              <w:ind w:left="567" w:hanging="567"/>
              <w:jc w:val="center"/>
              <w:rPr>
                <w:sz w:val="20"/>
              </w:rPr>
            </w:pPr>
            <w:r w:rsidRPr="005874E7">
              <w:rPr>
                <w:sz w:val="20"/>
              </w:rPr>
              <w:t>7 186 545</w:t>
            </w:r>
          </w:p>
        </w:tc>
        <w:tc>
          <w:tcPr>
            <w:tcW w:w="1260"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42B12B60" w14:textId="77777777" w:rsidR="00C36A04" w:rsidRPr="005874E7" w:rsidRDefault="00C36A04" w:rsidP="00067493">
            <w:pPr>
              <w:ind w:left="567" w:hanging="567"/>
              <w:jc w:val="center"/>
              <w:rPr>
                <w:sz w:val="20"/>
              </w:rPr>
            </w:pPr>
            <w:r w:rsidRPr="005874E7">
              <w:rPr>
                <w:sz w:val="20"/>
              </w:rPr>
              <w:t>95 %</w:t>
            </w:r>
          </w:p>
        </w:tc>
        <w:tc>
          <w:tcPr>
            <w:tcW w:w="1150" w:type="dxa"/>
            <w:tcBorders>
              <w:top w:val="single" w:sz="4" w:space="0" w:color="auto"/>
              <w:left w:val="nil"/>
              <w:bottom w:val="single" w:sz="4" w:space="0" w:color="auto"/>
              <w:right w:val="single" w:sz="8" w:space="0" w:color="auto"/>
            </w:tcBorders>
            <w:tcMar>
              <w:top w:w="80" w:type="dxa"/>
              <w:left w:w="80" w:type="dxa"/>
              <w:bottom w:w="80" w:type="dxa"/>
              <w:right w:w="80" w:type="dxa"/>
            </w:tcMar>
            <w:vAlign w:val="center"/>
          </w:tcPr>
          <w:p w14:paraId="21D9EB87" w14:textId="77777777" w:rsidR="00C36A04" w:rsidRPr="005874E7" w:rsidRDefault="00C36A04" w:rsidP="00067493">
            <w:pPr>
              <w:ind w:left="567" w:hanging="567"/>
              <w:jc w:val="center"/>
              <w:rPr>
                <w:sz w:val="20"/>
              </w:rPr>
            </w:pPr>
            <w:r w:rsidRPr="005874E7">
              <w:rPr>
                <w:sz w:val="20"/>
              </w:rPr>
              <w:t>1 320 717</w:t>
            </w:r>
          </w:p>
        </w:tc>
      </w:tr>
      <w:tr w:rsidR="00C36A04" w:rsidRPr="005D19FF" w14:paraId="1F877A31" w14:textId="77777777" w:rsidTr="00BC07A7">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25AA717D"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Evropská nadace pokrokových studií</w:t>
            </w:r>
          </w:p>
        </w:tc>
        <w:tc>
          <w:tcPr>
            <w:tcW w:w="97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6D098F6" w14:textId="77777777" w:rsidR="00C36A04" w:rsidRPr="005874E7" w:rsidRDefault="00C36A04" w:rsidP="00067493">
            <w:pPr>
              <w:ind w:left="567" w:hanging="567"/>
              <w:jc w:val="center"/>
              <w:rPr>
                <w:sz w:val="20"/>
              </w:rPr>
            </w:pPr>
            <w:r w:rsidRPr="005874E7">
              <w:rPr>
                <w:sz w:val="20"/>
              </w:rPr>
              <w:t>FEPS</w:t>
            </w:r>
          </w:p>
        </w:tc>
        <w:tc>
          <w:tcPr>
            <w:tcW w:w="1153"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5B88D2F5" w14:textId="77777777" w:rsidR="00C36A04" w:rsidRPr="005874E7" w:rsidRDefault="00C36A04" w:rsidP="00067493">
            <w:pPr>
              <w:ind w:left="567" w:hanging="567"/>
              <w:jc w:val="center"/>
              <w:rPr>
                <w:sz w:val="20"/>
              </w:rPr>
            </w:pPr>
            <w:r w:rsidRPr="005874E7">
              <w:rPr>
                <w:sz w:val="20"/>
              </w:rPr>
              <w:t>PES</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B11E6AF" w14:textId="77777777" w:rsidR="00C36A04" w:rsidRPr="005874E7" w:rsidRDefault="00C36A04" w:rsidP="00067493">
            <w:pPr>
              <w:ind w:left="567" w:hanging="567"/>
              <w:jc w:val="center"/>
              <w:rPr>
                <w:sz w:val="20"/>
              </w:rPr>
            </w:pPr>
            <w:r w:rsidRPr="005874E7">
              <w:rPr>
                <w:sz w:val="20"/>
              </w:rPr>
              <w:t>663 502</w:t>
            </w:r>
          </w:p>
        </w:tc>
        <w:tc>
          <w:tcPr>
            <w:tcW w:w="116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68CB8DB4" w14:textId="77777777" w:rsidR="00C36A04" w:rsidRPr="005874E7" w:rsidRDefault="00C36A04" w:rsidP="00067493">
            <w:pPr>
              <w:ind w:left="567" w:hanging="567"/>
              <w:jc w:val="center"/>
              <w:rPr>
                <w:sz w:val="20"/>
              </w:rPr>
            </w:pPr>
            <w:r w:rsidRPr="005874E7">
              <w:rPr>
                <w:sz w:val="20"/>
              </w:rPr>
              <w:t>5 204 666</w:t>
            </w:r>
          </w:p>
        </w:tc>
        <w:tc>
          <w:tcPr>
            <w:tcW w:w="99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64083331" w14:textId="77777777" w:rsidR="00C36A04" w:rsidRPr="005874E7" w:rsidRDefault="00C36A04" w:rsidP="00067493">
            <w:pPr>
              <w:ind w:left="567" w:hanging="567"/>
              <w:jc w:val="center"/>
              <w:rPr>
                <w:sz w:val="20"/>
              </w:rPr>
            </w:pPr>
            <w:r w:rsidRPr="005874E7">
              <w:rPr>
                <w:sz w:val="20"/>
              </w:rPr>
              <w:t>5 868 168</w:t>
            </w:r>
          </w:p>
        </w:tc>
        <w:tc>
          <w:tcPr>
            <w:tcW w:w="1260"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29A0C1DC" w14:textId="77777777" w:rsidR="00C36A04" w:rsidRPr="005874E7" w:rsidRDefault="00C36A04" w:rsidP="00067493">
            <w:pPr>
              <w:ind w:left="567" w:hanging="567"/>
              <w:jc w:val="center"/>
              <w:rPr>
                <w:sz w:val="20"/>
              </w:rPr>
            </w:pPr>
            <w:r w:rsidRPr="005874E7">
              <w:rPr>
                <w:sz w:val="20"/>
              </w:rPr>
              <w:t>93 %</w:t>
            </w:r>
          </w:p>
        </w:tc>
        <w:tc>
          <w:tcPr>
            <w:tcW w:w="1150" w:type="dxa"/>
            <w:tcBorders>
              <w:top w:val="single" w:sz="4" w:space="0" w:color="auto"/>
              <w:left w:val="nil"/>
              <w:bottom w:val="single" w:sz="4" w:space="0" w:color="auto"/>
              <w:right w:val="single" w:sz="8" w:space="0" w:color="auto"/>
            </w:tcBorders>
            <w:tcMar>
              <w:top w:w="80" w:type="dxa"/>
              <w:left w:w="80" w:type="dxa"/>
              <w:bottom w:w="80" w:type="dxa"/>
              <w:right w:w="80" w:type="dxa"/>
            </w:tcMar>
            <w:vAlign w:val="center"/>
          </w:tcPr>
          <w:p w14:paraId="1739CD58" w14:textId="77777777" w:rsidR="00C36A04" w:rsidRPr="005874E7" w:rsidRDefault="00C36A04" w:rsidP="00067493">
            <w:pPr>
              <w:ind w:left="567" w:hanging="567"/>
              <w:jc w:val="center"/>
              <w:rPr>
                <w:sz w:val="20"/>
              </w:rPr>
            </w:pPr>
            <w:r w:rsidRPr="005874E7">
              <w:rPr>
                <w:sz w:val="20"/>
              </w:rPr>
              <w:t>251 466</w:t>
            </w:r>
          </w:p>
        </w:tc>
      </w:tr>
      <w:tr w:rsidR="00C36A04" w:rsidRPr="005D19FF" w14:paraId="3E5F20F3" w14:textId="77777777" w:rsidTr="00BC07A7">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2B677FBF"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lastRenderedPageBreak/>
              <w:t>Evropské liberální fórum</w:t>
            </w:r>
          </w:p>
        </w:tc>
        <w:tc>
          <w:tcPr>
            <w:tcW w:w="97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C9C82FA" w14:textId="77777777" w:rsidR="00C36A04" w:rsidRPr="005874E7" w:rsidRDefault="00C36A04" w:rsidP="00067493">
            <w:pPr>
              <w:ind w:left="567" w:hanging="567"/>
              <w:jc w:val="center"/>
              <w:rPr>
                <w:sz w:val="20"/>
              </w:rPr>
            </w:pPr>
            <w:r w:rsidRPr="005874E7">
              <w:rPr>
                <w:sz w:val="20"/>
              </w:rPr>
              <w:t>ELF</w:t>
            </w:r>
          </w:p>
        </w:tc>
        <w:tc>
          <w:tcPr>
            <w:tcW w:w="1153"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5B597A53" w14:textId="77777777" w:rsidR="00C36A04" w:rsidRPr="005874E7" w:rsidRDefault="00C36A04" w:rsidP="00067493">
            <w:pPr>
              <w:ind w:left="567" w:hanging="567"/>
              <w:jc w:val="center"/>
              <w:rPr>
                <w:sz w:val="20"/>
              </w:rPr>
            </w:pPr>
            <w:r w:rsidRPr="005874E7">
              <w:rPr>
                <w:sz w:val="20"/>
              </w:rPr>
              <w:t>ALDE</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2B6A343" w14:textId="77777777" w:rsidR="00C36A04" w:rsidRPr="005874E7" w:rsidRDefault="00C36A04" w:rsidP="00067493">
            <w:pPr>
              <w:ind w:left="567" w:hanging="567"/>
              <w:jc w:val="center"/>
              <w:rPr>
                <w:sz w:val="20"/>
              </w:rPr>
            </w:pPr>
            <w:r w:rsidRPr="005874E7">
              <w:rPr>
                <w:sz w:val="20"/>
              </w:rPr>
              <w:t>373 621</w:t>
            </w:r>
          </w:p>
        </w:tc>
        <w:tc>
          <w:tcPr>
            <w:tcW w:w="116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03A20468" w14:textId="77777777" w:rsidR="00C36A04" w:rsidRPr="005874E7" w:rsidRDefault="00C36A04" w:rsidP="00067493">
            <w:pPr>
              <w:ind w:left="567" w:hanging="567"/>
              <w:jc w:val="center"/>
              <w:rPr>
                <w:sz w:val="20"/>
              </w:rPr>
            </w:pPr>
            <w:r w:rsidRPr="005874E7">
              <w:rPr>
                <w:sz w:val="20"/>
              </w:rPr>
              <w:t>2 722 333</w:t>
            </w:r>
          </w:p>
        </w:tc>
        <w:tc>
          <w:tcPr>
            <w:tcW w:w="99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798FACB2" w14:textId="77777777" w:rsidR="00C36A04" w:rsidRPr="005874E7" w:rsidRDefault="00C36A04" w:rsidP="00067493">
            <w:pPr>
              <w:ind w:left="567" w:hanging="567"/>
              <w:jc w:val="center"/>
              <w:rPr>
                <w:sz w:val="20"/>
              </w:rPr>
            </w:pPr>
            <w:r w:rsidRPr="005874E7">
              <w:rPr>
                <w:sz w:val="20"/>
              </w:rPr>
              <w:t>3 095 954</w:t>
            </w:r>
          </w:p>
        </w:tc>
        <w:tc>
          <w:tcPr>
            <w:tcW w:w="1260"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17E11B3B" w14:textId="77777777" w:rsidR="00C36A04" w:rsidRPr="005874E7" w:rsidRDefault="00C36A04" w:rsidP="00067493">
            <w:pPr>
              <w:ind w:left="567" w:hanging="567"/>
              <w:jc w:val="center"/>
              <w:rPr>
                <w:sz w:val="20"/>
              </w:rPr>
            </w:pPr>
            <w:r w:rsidRPr="005874E7">
              <w:rPr>
                <w:sz w:val="20"/>
              </w:rPr>
              <w:t>89 %</w:t>
            </w:r>
          </w:p>
        </w:tc>
        <w:tc>
          <w:tcPr>
            <w:tcW w:w="1150" w:type="dxa"/>
            <w:tcBorders>
              <w:top w:val="single" w:sz="4" w:space="0" w:color="auto"/>
              <w:left w:val="nil"/>
              <w:bottom w:val="single" w:sz="4" w:space="0" w:color="auto"/>
              <w:right w:val="single" w:sz="8" w:space="0" w:color="auto"/>
            </w:tcBorders>
            <w:tcMar>
              <w:top w:w="80" w:type="dxa"/>
              <w:left w:w="80" w:type="dxa"/>
              <w:bottom w:w="80" w:type="dxa"/>
              <w:right w:w="80" w:type="dxa"/>
            </w:tcMar>
            <w:vAlign w:val="center"/>
          </w:tcPr>
          <w:p w14:paraId="31DE75EF" w14:textId="77777777" w:rsidR="00C36A04" w:rsidRPr="005874E7" w:rsidRDefault="00C36A04" w:rsidP="00067493">
            <w:pPr>
              <w:ind w:left="567" w:hanging="567"/>
              <w:jc w:val="center"/>
              <w:rPr>
                <w:sz w:val="20"/>
              </w:rPr>
            </w:pPr>
            <w:r w:rsidRPr="005874E7">
              <w:rPr>
                <w:sz w:val="20"/>
              </w:rPr>
              <w:t>638 880</w:t>
            </w:r>
          </w:p>
        </w:tc>
      </w:tr>
      <w:tr w:rsidR="00C36A04" w:rsidRPr="005D19FF" w14:paraId="168D3EA6" w14:textId="77777777" w:rsidTr="00BC07A7">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27FDCEC"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Zelená evropská nadace</w:t>
            </w:r>
          </w:p>
        </w:tc>
        <w:tc>
          <w:tcPr>
            <w:tcW w:w="97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5E4B30FC" w14:textId="77777777" w:rsidR="00C36A04" w:rsidRPr="005874E7" w:rsidRDefault="00C36A04" w:rsidP="00067493">
            <w:pPr>
              <w:ind w:left="567" w:hanging="567"/>
              <w:jc w:val="center"/>
              <w:rPr>
                <w:sz w:val="20"/>
              </w:rPr>
            </w:pPr>
            <w:r w:rsidRPr="005874E7">
              <w:rPr>
                <w:sz w:val="20"/>
              </w:rPr>
              <w:t>GEF</w:t>
            </w:r>
          </w:p>
        </w:tc>
        <w:tc>
          <w:tcPr>
            <w:tcW w:w="1153"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05A318EE" w14:textId="77777777" w:rsidR="00C36A04" w:rsidRPr="005874E7" w:rsidRDefault="00C36A04" w:rsidP="00067493">
            <w:pPr>
              <w:ind w:left="567" w:hanging="567"/>
              <w:jc w:val="center"/>
              <w:rPr>
                <w:sz w:val="20"/>
              </w:rPr>
            </w:pPr>
            <w:r w:rsidRPr="005874E7">
              <w:rPr>
                <w:sz w:val="20"/>
              </w:rPr>
              <w:t>EGP</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5D000CB8" w14:textId="77777777" w:rsidR="00C36A04" w:rsidRPr="005874E7" w:rsidRDefault="00C36A04" w:rsidP="00067493">
            <w:pPr>
              <w:ind w:left="567" w:hanging="567"/>
              <w:jc w:val="center"/>
              <w:rPr>
                <w:sz w:val="20"/>
              </w:rPr>
            </w:pPr>
            <w:r w:rsidRPr="005874E7">
              <w:rPr>
                <w:sz w:val="20"/>
              </w:rPr>
              <w:t>170 098</w:t>
            </w:r>
          </w:p>
        </w:tc>
        <w:tc>
          <w:tcPr>
            <w:tcW w:w="116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65F4D9C4" w14:textId="77777777" w:rsidR="00C36A04" w:rsidRPr="005874E7" w:rsidRDefault="00C36A04" w:rsidP="00067493">
            <w:pPr>
              <w:ind w:left="567" w:hanging="567"/>
              <w:jc w:val="center"/>
              <w:rPr>
                <w:sz w:val="20"/>
              </w:rPr>
            </w:pPr>
            <w:r w:rsidRPr="005874E7">
              <w:rPr>
                <w:sz w:val="20"/>
              </w:rPr>
              <w:t>2 317 344</w:t>
            </w:r>
          </w:p>
        </w:tc>
        <w:tc>
          <w:tcPr>
            <w:tcW w:w="99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7D5315C2" w14:textId="77777777" w:rsidR="00C36A04" w:rsidRPr="005874E7" w:rsidRDefault="00C36A04" w:rsidP="00067493">
            <w:pPr>
              <w:ind w:left="567" w:hanging="567"/>
              <w:jc w:val="center"/>
              <w:rPr>
                <w:sz w:val="20"/>
              </w:rPr>
            </w:pPr>
            <w:r w:rsidRPr="005874E7">
              <w:rPr>
                <w:sz w:val="20"/>
              </w:rPr>
              <w:t>2 487 442</w:t>
            </w:r>
          </w:p>
        </w:tc>
        <w:tc>
          <w:tcPr>
            <w:tcW w:w="1260"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7776A058" w14:textId="77777777" w:rsidR="00C36A04" w:rsidRPr="005874E7" w:rsidRDefault="00C36A04" w:rsidP="00067493">
            <w:pPr>
              <w:ind w:left="567" w:hanging="567"/>
              <w:jc w:val="center"/>
              <w:rPr>
                <w:sz w:val="20"/>
              </w:rPr>
            </w:pPr>
            <w:r w:rsidRPr="005874E7">
              <w:rPr>
                <w:sz w:val="20"/>
              </w:rPr>
              <w:t>95 %</w:t>
            </w:r>
          </w:p>
        </w:tc>
        <w:tc>
          <w:tcPr>
            <w:tcW w:w="1150" w:type="dxa"/>
            <w:tcBorders>
              <w:top w:val="single" w:sz="4" w:space="0" w:color="auto"/>
              <w:left w:val="nil"/>
              <w:bottom w:val="single" w:sz="4" w:space="0" w:color="auto"/>
              <w:right w:val="single" w:sz="8" w:space="0" w:color="auto"/>
            </w:tcBorders>
            <w:tcMar>
              <w:top w:w="80" w:type="dxa"/>
              <w:left w:w="80" w:type="dxa"/>
              <w:bottom w:w="80" w:type="dxa"/>
              <w:right w:w="80" w:type="dxa"/>
            </w:tcMar>
            <w:vAlign w:val="center"/>
          </w:tcPr>
          <w:p w14:paraId="1CF24D54" w14:textId="77777777" w:rsidR="00C36A04" w:rsidRPr="005874E7" w:rsidRDefault="00C36A04" w:rsidP="00067493">
            <w:pPr>
              <w:ind w:left="567" w:hanging="567"/>
              <w:jc w:val="center"/>
              <w:rPr>
                <w:sz w:val="20"/>
              </w:rPr>
            </w:pPr>
            <w:r w:rsidRPr="005874E7">
              <w:rPr>
                <w:sz w:val="20"/>
              </w:rPr>
              <w:t>40 821</w:t>
            </w:r>
          </w:p>
        </w:tc>
      </w:tr>
      <w:tr w:rsidR="00C36A04" w:rsidRPr="005D19FF" w14:paraId="1E8246F2" w14:textId="77777777" w:rsidTr="00BC07A7">
        <w:trPr>
          <w:trHeight w:val="339"/>
        </w:trPr>
        <w:tc>
          <w:tcPr>
            <w:tcW w:w="1583" w:type="dxa"/>
            <w:tcBorders>
              <w:top w:val="single" w:sz="4" w:space="0" w:color="000000" w:themeColor="text1"/>
              <w:left w:val="single" w:sz="8" w:space="0" w:color="000000" w:themeColor="text1"/>
              <w:bottom w:val="single" w:sz="4" w:space="0" w:color="auto"/>
              <w:right w:val="single" w:sz="4" w:space="0" w:color="000000" w:themeColor="text1"/>
            </w:tcBorders>
            <w:tcMar>
              <w:top w:w="80" w:type="dxa"/>
              <w:left w:w="80" w:type="dxa"/>
              <w:bottom w:w="80" w:type="dxa"/>
              <w:right w:w="80" w:type="dxa"/>
            </w:tcMar>
            <w:vAlign w:val="center"/>
          </w:tcPr>
          <w:p w14:paraId="43A92372"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Nový směr – Nadace pro evropskou reformu (ND)</w:t>
            </w:r>
            <w:r w:rsidRPr="005874E7">
              <w:rPr>
                <w:rStyle w:val="FootnoteReference"/>
                <w:sz w:val="20"/>
              </w:rPr>
              <w:footnoteReference w:id="20"/>
            </w:r>
          </w:p>
        </w:tc>
        <w:tc>
          <w:tcPr>
            <w:tcW w:w="97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4AC1AEA5" w14:textId="77777777" w:rsidR="00C36A04" w:rsidRPr="005874E7" w:rsidRDefault="00C36A04" w:rsidP="00067493">
            <w:pPr>
              <w:ind w:left="567" w:hanging="567"/>
              <w:jc w:val="center"/>
              <w:rPr>
                <w:sz w:val="20"/>
              </w:rPr>
            </w:pPr>
            <w:r w:rsidRPr="005874E7">
              <w:rPr>
                <w:sz w:val="20"/>
              </w:rPr>
              <w:t>ND</w:t>
            </w:r>
          </w:p>
        </w:tc>
        <w:tc>
          <w:tcPr>
            <w:tcW w:w="1153"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0355CECE" w14:textId="77777777" w:rsidR="00C36A04" w:rsidRPr="005874E7" w:rsidRDefault="00C36A04" w:rsidP="00067493">
            <w:pPr>
              <w:ind w:left="567" w:hanging="567"/>
              <w:jc w:val="center"/>
              <w:rPr>
                <w:sz w:val="20"/>
              </w:rPr>
            </w:pPr>
            <w:r w:rsidRPr="005874E7">
              <w:rPr>
                <w:sz w:val="20"/>
              </w:rPr>
              <w:t>ECR</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DEB66AB" w14:textId="77777777" w:rsidR="00C36A04" w:rsidRPr="005874E7" w:rsidRDefault="00C36A04" w:rsidP="00067493">
            <w:pPr>
              <w:ind w:left="567" w:hanging="567"/>
              <w:jc w:val="center"/>
              <w:rPr>
                <w:sz w:val="20"/>
              </w:rPr>
            </w:pPr>
            <w:r w:rsidRPr="005874E7">
              <w:rPr>
                <w:sz w:val="20"/>
              </w:rPr>
              <w:t>200 408</w:t>
            </w:r>
          </w:p>
        </w:tc>
        <w:tc>
          <w:tcPr>
            <w:tcW w:w="116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1ACE5995" w14:textId="77777777" w:rsidR="00C36A04" w:rsidRPr="005874E7" w:rsidRDefault="00C36A04" w:rsidP="00067493">
            <w:pPr>
              <w:ind w:left="567" w:hanging="567"/>
              <w:jc w:val="center"/>
              <w:rPr>
                <w:sz w:val="20"/>
              </w:rPr>
            </w:pPr>
            <w:r w:rsidRPr="005874E7">
              <w:rPr>
                <w:sz w:val="20"/>
              </w:rPr>
              <w:t>1 894 279</w:t>
            </w:r>
          </w:p>
        </w:tc>
        <w:tc>
          <w:tcPr>
            <w:tcW w:w="99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794F6A17" w14:textId="77777777" w:rsidR="00C36A04" w:rsidRPr="005874E7" w:rsidRDefault="00C36A04" w:rsidP="00067493">
            <w:pPr>
              <w:ind w:left="567" w:hanging="567"/>
              <w:jc w:val="center"/>
              <w:rPr>
                <w:sz w:val="20"/>
              </w:rPr>
            </w:pPr>
            <w:r w:rsidRPr="005874E7">
              <w:rPr>
                <w:sz w:val="20"/>
              </w:rPr>
              <w:t>2 094 686</w:t>
            </w:r>
          </w:p>
        </w:tc>
        <w:tc>
          <w:tcPr>
            <w:tcW w:w="1260"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76A5E0B3" w14:textId="77777777" w:rsidR="00C36A04" w:rsidRPr="005874E7" w:rsidRDefault="00C36A04" w:rsidP="00067493">
            <w:pPr>
              <w:ind w:left="567" w:hanging="567"/>
              <w:jc w:val="center"/>
              <w:rPr>
                <w:sz w:val="20"/>
              </w:rPr>
            </w:pPr>
            <w:r w:rsidRPr="005874E7">
              <w:rPr>
                <w:sz w:val="20"/>
              </w:rPr>
              <w:t>95 %</w:t>
            </w:r>
          </w:p>
        </w:tc>
        <w:tc>
          <w:tcPr>
            <w:tcW w:w="1150" w:type="dxa"/>
            <w:tcBorders>
              <w:top w:val="single" w:sz="4" w:space="0" w:color="auto"/>
              <w:left w:val="nil"/>
              <w:bottom w:val="single" w:sz="4" w:space="0" w:color="auto"/>
              <w:right w:val="single" w:sz="8" w:space="0" w:color="auto"/>
            </w:tcBorders>
            <w:tcMar>
              <w:top w:w="80" w:type="dxa"/>
              <w:left w:w="80" w:type="dxa"/>
              <w:bottom w:w="80" w:type="dxa"/>
              <w:right w:w="80" w:type="dxa"/>
            </w:tcMar>
            <w:vAlign w:val="center"/>
          </w:tcPr>
          <w:p w14:paraId="54AA260B" w14:textId="77777777" w:rsidR="00C36A04" w:rsidRPr="005874E7" w:rsidRDefault="00C36A04" w:rsidP="00067493">
            <w:pPr>
              <w:ind w:left="567" w:hanging="567"/>
              <w:jc w:val="center"/>
              <w:rPr>
                <w:sz w:val="20"/>
              </w:rPr>
            </w:pPr>
            <w:r w:rsidRPr="005874E7">
              <w:rPr>
                <w:sz w:val="20"/>
              </w:rPr>
              <w:t>134 704</w:t>
            </w:r>
          </w:p>
        </w:tc>
      </w:tr>
      <w:tr w:rsidR="00C36A04" w:rsidRPr="005D19FF" w14:paraId="6DA9EA6E" w14:textId="77777777" w:rsidTr="00BC07A7">
        <w:trPr>
          <w:trHeight w:val="339"/>
        </w:trPr>
        <w:tc>
          <w:tcPr>
            <w:tcW w:w="1583" w:type="dxa"/>
            <w:tcBorders>
              <w:top w:val="single" w:sz="4" w:space="0" w:color="auto"/>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6E86851"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proofErr w:type="spellStart"/>
            <w:r w:rsidRPr="005874E7">
              <w:rPr>
                <w:sz w:val="20"/>
              </w:rPr>
              <w:t>Identité</w:t>
            </w:r>
            <w:proofErr w:type="spellEnd"/>
            <w:r w:rsidRPr="005874E7">
              <w:rPr>
                <w:sz w:val="20"/>
              </w:rPr>
              <w:t xml:space="preserve"> et Démocratie </w:t>
            </w:r>
            <w:proofErr w:type="spellStart"/>
            <w:r w:rsidRPr="005874E7">
              <w:rPr>
                <w:sz w:val="20"/>
              </w:rPr>
              <w:t>Fondation</w:t>
            </w:r>
            <w:proofErr w:type="spellEnd"/>
            <w:r w:rsidRPr="005874E7">
              <w:rPr>
                <w:rStyle w:val="FootnoteReference"/>
                <w:sz w:val="20"/>
              </w:rPr>
              <w:footnoteReference w:id="21"/>
            </w:r>
          </w:p>
        </w:tc>
        <w:tc>
          <w:tcPr>
            <w:tcW w:w="97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CF699F5" w14:textId="77777777" w:rsidR="00C36A04" w:rsidRPr="005874E7" w:rsidRDefault="00C36A04" w:rsidP="00067493">
            <w:pPr>
              <w:ind w:left="567" w:hanging="567"/>
              <w:jc w:val="center"/>
              <w:rPr>
                <w:sz w:val="20"/>
              </w:rPr>
            </w:pPr>
            <w:r w:rsidRPr="005874E7">
              <w:rPr>
                <w:sz w:val="20"/>
              </w:rPr>
              <w:t>nadace ID</w:t>
            </w:r>
          </w:p>
        </w:tc>
        <w:tc>
          <w:tcPr>
            <w:tcW w:w="1153"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3B7D1E20" w14:textId="77777777" w:rsidR="00C36A04" w:rsidRPr="005874E7" w:rsidRDefault="00C36A04" w:rsidP="00067493">
            <w:pPr>
              <w:ind w:left="567" w:hanging="567"/>
              <w:jc w:val="center"/>
              <w:rPr>
                <w:sz w:val="20"/>
              </w:rPr>
            </w:pPr>
            <w:r w:rsidRPr="005874E7">
              <w:rPr>
                <w:sz w:val="20"/>
              </w:rPr>
              <w:t>ID</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49F98E76" w14:textId="77777777" w:rsidR="00C36A04" w:rsidRPr="005874E7" w:rsidRDefault="00C36A04" w:rsidP="00067493">
            <w:pPr>
              <w:ind w:left="567" w:hanging="567"/>
              <w:jc w:val="center"/>
              <w:rPr>
                <w:sz w:val="20"/>
              </w:rPr>
            </w:pPr>
            <w:r w:rsidRPr="005874E7">
              <w:rPr>
                <w:sz w:val="20"/>
              </w:rPr>
              <w:t>114 557</w:t>
            </w:r>
          </w:p>
        </w:tc>
        <w:tc>
          <w:tcPr>
            <w:tcW w:w="116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05DB20BC" w14:textId="77777777" w:rsidR="00C36A04" w:rsidRPr="005874E7" w:rsidRDefault="00C36A04" w:rsidP="00067493">
            <w:pPr>
              <w:ind w:left="567" w:hanging="567"/>
              <w:jc w:val="center"/>
              <w:rPr>
                <w:sz w:val="20"/>
              </w:rPr>
            </w:pPr>
            <w:r w:rsidRPr="005874E7">
              <w:rPr>
                <w:sz w:val="20"/>
              </w:rPr>
              <w:t>531 757</w:t>
            </w:r>
          </w:p>
        </w:tc>
        <w:tc>
          <w:tcPr>
            <w:tcW w:w="99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428373EF" w14:textId="77777777" w:rsidR="00C36A04" w:rsidRPr="005874E7" w:rsidRDefault="00C36A04" w:rsidP="00067493">
            <w:pPr>
              <w:ind w:left="567" w:hanging="567"/>
              <w:jc w:val="center"/>
              <w:rPr>
                <w:sz w:val="20"/>
              </w:rPr>
            </w:pPr>
            <w:r w:rsidRPr="005874E7">
              <w:rPr>
                <w:sz w:val="20"/>
              </w:rPr>
              <w:t>646 313</w:t>
            </w:r>
          </w:p>
        </w:tc>
        <w:tc>
          <w:tcPr>
            <w:tcW w:w="1260"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48037509" w14:textId="77777777" w:rsidR="00C36A04" w:rsidRPr="005874E7" w:rsidRDefault="00C36A04" w:rsidP="00067493">
            <w:pPr>
              <w:ind w:left="567" w:hanging="567"/>
              <w:jc w:val="center"/>
              <w:rPr>
                <w:sz w:val="20"/>
              </w:rPr>
            </w:pPr>
            <w:r w:rsidRPr="005874E7">
              <w:rPr>
                <w:sz w:val="20"/>
              </w:rPr>
              <w:t>95 %</w:t>
            </w:r>
          </w:p>
        </w:tc>
        <w:tc>
          <w:tcPr>
            <w:tcW w:w="1150" w:type="dxa"/>
            <w:tcBorders>
              <w:top w:val="single" w:sz="4" w:space="0" w:color="auto"/>
              <w:left w:val="nil"/>
              <w:bottom w:val="single" w:sz="4" w:space="0" w:color="auto"/>
              <w:right w:val="single" w:sz="8" w:space="0" w:color="auto"/>
            </w:tcBorders>
            <w:tcMar>
              <w:top w:w="80" w:type="dxa"/>
              <w:left w:w="80" w:type="dxa"/>
              <w:bottom w:w="80" w:type="dxa"/>
              <w:right w:w="80" w:type="dxa"/>
            </w:tcMar>
            <w:vAlign w:val="center"/>
          </w:tcPr>
          <w:p w14:paraId="47ADB29C" w14:textId="77777777" w:rsidR="00C36A04" w:rsidRPr="005874E7" w:rsidRDefault="00C36A04" w:rsidP="00067493">
            <w:pPr>
              <w:ind w:left="567" w:hanging="567"/>
              <w:jc w:val="center"/>
              <w:rPr>
                <w:sz w:val="20"/>
              </w:rPr>
            </w:pPr>
            <w:r w:rsidRPr="005874E7">
              <w:rPr>
                <w:sz w:val="20"/>
              </w:rPr>
              <w:t>–62 575</w:t>
            </w:r>
          </w:p>
        </w:tc>
      </w:tr>
      <w:tr w:rsidR="00C36A04" w:rsidRPr="005D19FF" w14:paraId="54857732" w14:textId="77777777" w:rsidTr="00BC07A7">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2A935D0C"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 xml:space="preserve">Nadace </w:t>
            </w:r>
            <w:proofErr w:type="spellStart"/>
            <w:r w:rsidRPr="005874E7">
              <w:rPr>
                <w:sz w:val="20"/>
              </w:rPr>
              <w:t>Transform</w:t>
            </w:r>
            <w:proofErr w:type="spellEnd"/>
            <w:r w:rsidRPr="005874E7">
              <w:rPr>
                <w:sz w:val="20"/>
              </w:rPr>
              <w:t xml:space="preserve"> </w:t>
            </w:r>
            <w:proofErr w:type="spellStart"/>
            <w:r w:rsidRPr="005874E7">
              <w:rPr>
                <w:sz w:val="20"/>
              </w:rPr>
              <w:t>Europe</w:t>
            </w:r>
            <w:proofErr w:type="spellEnd"/>
          </w:p>
        </w:tc>
        <w:tc>
          <w:tcPr>
            <w:tcW w:w="97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2655C2A" w14:textId="77777777" w:rsidR="00C36A04" w:rsidRPr="005874E7" w:rsidRDefault="00C36A04" w:rsidP="00067493">
            <w:pPr>
              <w:ind w:left="567" w:hanging="567"/>
              <w:jc w:val="center"/>
              <w:rPr>
                <w:sz w:val="20"/>
              </w:rPr>
            </w:pPr>
            <w:r w:rsidRPr="005874E7">
              <w:rPr>
                <w:sz w:val="20"/>
              </w:rPr>
              <w:t>TE</w:t>
            </w:r>
          </w:p>
        </w:tc>
        <w:tc>
          <w:tcPr>
            <w:tcW w:w="1153"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358DAA0D" w14:textId="77777777" w:rsidR="00C36A04" w:rsidRPr="005874E7" w:rsidRDefault="00C36A04" w:rsidP="00067493">
            <w:pPr>
              <w:ind w:left="567" w:hanging="567"/>
              <w:jc w:val="center"/>
              <w:rPr>
                <w:sz w:val="20"/>
              </w:rPr>
            </w:pPr>
            <w:r w:rsidRPr="005874E7">
              <w:rPr>
                <w:sz w:val="20"/>
              </w:rPr>
              <w:t>EL</w:t>
            </w:r>
          </w:p>
        </w:tc>
        <w:tc>
          <w:tcPr>
            <w:tcW w:w="96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6C172B1" w14:textId="77777777" w:rsidR="00C36A04" w:rsidRPr="005874E7" w:rsidRDefault="00C36A04" w:rsidP="00067493">
            <w:pPr>
              <w:ind w:left="567" w:hanging="567"/>
              <w:jc w:val="center"/>
              <w:rPr>
                <w:sz w:val="20"/>
              </w:rPr>
            </w:pPr>
            <w:r w:rsidRPr="005874E7">
              <w:rPr>
                <w:sz w:val="20"/>
              </w:rPr>
              <w:t>82 852</w:t>
            </w:r>
          </w:p>
        </w:tc>
        <w:tc>
          <w:tcPr>
            <w:tcW w:w="116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1659AC19" w14:textId="77777777" w:rsidR="00C36A04" w:rsidRPr="005874E7" w:rsidRDefault="00C36A04" w:rsidP="00067493">
            <w:pPr>
              <w:ind w:left="567" w:hanging="567"/>
              <w:jc w:val="center"/>
              <w:rPr>
                <w:sz w:val="20"/>
              </w:rPr>
            </w:pPr>
            <w:r w:rsidRPr="005874E7">
              <w:rPr>
                <w:sz w:val="20"/>
              </w:rPr>
              <w:t>1 234 833</w:t>
            </w:r>
          </w:p>
        </w:tc>
        <w:tc>
          <w:tcPr>
            <w:tcW w:w="992"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092BEC9D" w14:textId="77777777" w:rsidR="00C36A04" w:rsidRPr="005874E7" w:rsidRDefault="00C36A04" w:rsidP="00067493">
            <w:pPr>
              <w:ind w:left="567" w:hanging="567"/>
              <w:jc w:val="center"/>
              <w:rPr>
                <w:sz w:val="20"/>
              </w:rPr>
            </w:pPr>
            <w:r w:rsidRPr="005874E7">
              <w:rPr>
                <w:sz w:val="20"/>
              </w:rPr>
              <w:t>1 317 685</w:t>
            </w:r>
          </w:p>
        </w:tc>
        <w:tc>
          <w:tcPr>
            <w:tcW w:w="1260" w:type="dxa"/>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7520F8FB" w14:textId="77777777" w:rsidR="00C36A04" w:rsidRPr="005874E7" w:rsidRDefault="00C36A04" w:rsidP="00067493">
            <w:pPr>
              <w:ind w:left="567" w:hanging="567"/>
              <w:jc w:val="center"/>
              <w:rPr>
                <w:sz w:val="20"/>
              </w:rPr>
            </w:pPr>
            <w:r w:rsidRPr="005874E7">
              <w:rPr>
                <w:sz w:val="20"/>
              </w:rPr>
              <w:t>95 %</w:t>
            </w:r>
          </w:p>
        </w:tc>
        <w:tc>
          <w:tcPr>
            <w:tcW w:w="1150" w:type="dxa"/>
            <w:tcBorders>
              <w:top w:val="single" w:sz="4" w:space="0" w:color="auto"/>
              <w:left w:val="nil"/>
              <w:bottom w:val="single" w:sz="4" w:space="0" w:color="auto"/>
              <w:right w:val="single" w:sz="8" w:space="0" w:color="auto"/>
            </w:tcBorders>
            <w:tcMar>
              <w:top w:w="80" w:type="dxa"/>
              <w:left w:w="80" w:type="dxa"/>
              <w:bottom w:w="80" w:type="dxa"/>
              <w:right w:w="80" w:type="dxa"/>
            </w:tcMar>
            <w:vAlign w:val="center"/>
          </w:tcPr>
          <w:p w14:paraId="0CFCACFF" w14:textId="77777777" w:rsidR="00C36A04" w:rsidRPr="005874E7" w:rsidRDefault="00C36A04" w:rsidP="00067493">
            <w:pPr>
              <w:ind w:left="567" w:hanging="567"/>
              <w:jc w:val="center"/>
              <w:rPr>
                <w:sz w:val="20"/>
              </w:rPr>
            </w:pPr>
            <w:r w:rsidRPr="005874E7">
              <w:rPr>
                <w:sz w:val="20"/>
              </w:rPr>
              <w:t>69 496</w:t>
            </w:r>
          </w:p>
        </w:tc>
      </w:tr>
      <w:tr w:rsidR="00C36A04" w:rsidRPr="005D19FF" w14:paraId="05A3853C" w14:textId="77777777" w:rsidTr="00BC07A7">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F3A9AB9"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Institut evropských demokratů</w:t>
            </w:r>
          </w:p>
        </w:tc>
        <w:tc>
          <w:tcPr>
            <w:tcW w:w="97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264E71B7" w14:textId="77777777" w:rsidR="00C36A04" w:rsidRPr="005874E7" w:rsidRDefault="00C36A04" w:rsidP="00067493">
            <w:pPr>
              <w:ind w:left="567" w:hanging="567"/>
              <w:jc w:val="center"/>
              <w:rPr>
                <w:sz w:val="20"/>
              </w:rPr>
            </w:pPr>
            <w:r w:rsidRPr="005874E7">
              <w:rPr>
                <w:sz w:val="20"/>
              </w:rPr>
              <w:t>IED</w:t>
            </w:r>
          </w:p>
        </w:tc>
        <w:tc>
          <w:tcPr>
            <w:tcW w:w="1153" w:type="dxa"/>
            <w:tcBorders>
              <w:top w:val="nil"/>
              <w:left w:val="nil"/>
              <w:bottom w:val="single" w:sz="4" w:space="0" w:color="auto"/>
              <w:right w:val="single" w:sz="4" w:space="0" w:color="auto"/>
            </w:tcBorders>
            <w:tcMar>
              <w:top w:w="80" w:type="dxa"/>
              <w:left w:w="80" w:type="dxa"/>
              <w:bottom w:w="80" w:type="dxa"/>
              <w:right w:w="80" w:type="dxa"/>
            </w:tcMar>
            <w:vAlign w:val="center"/>
          </w:tcPr>
          <w:p w14:paraId="2A6D5066" w14:textId="77777777" w:rsidR="00C36A04" w:rsidRPr="005874E7" w:rsidRDefault="00C36A04" w:rsidP="00067493">
            <w:pPr>
              <w:ind w:left="567" w:hanging="567"/>
              <w:jc w:val="center"/>
              <w:rPr>
                <w:sz w:val="20"/>
              </w:rPr>
            </w:pPr>
            <w:r w:rsidRPr="005874E7">
              <w:rPr>
                <w:sz w:val="20"/>
              </w:rPr>
              <w:t>PDE</w:t>
            </w:r>
          </w:p>
        </w:tc>
        <w:tc>
          <w:tcPr>
            <w:tcW w:w="96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3EB22781" w14:textId="77777777" w:rsidR="00C36A04" w:rsidRPr="005874E7" w:rsidRDefault="00C36A04" w:rsidP="00067493">
            <w:pPr>
              <w:ind w:left="567" w:hanging="567"/>
              <w:jc w:val="center"/>
              <w:rPr>
                <w:sz w:val="20"/>
              </w:rPr>
            </w:pPr>
            <w:r w:rsidRPr="005874E7">
              <w:rPr>
                <w:sz w:val="20"/>
              </w:rPr>
              <w:t>39 000</w:t>
            </w:r>
          </w:p>
        </w:tc>
        <w:tc>
          <w:tcPr>
            <w:tcW w:w="1162" w:type="dxa"/>
            <w:tcBorders>
              <w:top w:val="nil"/>
              <w:left w:val="nil"/>
              <w:bottom w:val="single" w:sz="4" w:space="0" w:color="auto"/>
              <w:right w:val="single" w:sz="4" w:space="0" w:color="auto"/>
            </w:tcBorders>
            <w:tcMar>
              <w:top w:w="80" w:type="dxa"/>
              <w:left w:w="80" w:type="dxa"/>
              <w:bottom w:w="80" w:type="dxa"/>
              <w:right w:w="80" w:type="dxa"/>
            </w:tcMar>
            <w:vAlign w:val="center"/>
          </w:tcPr>
          <w:p w14:paraId="53A26085" w14:textId="77777777" w:rsidR="00C36A04" w:rsidRPr="005874E7" w:rsidRDefault="00C36A04" w:rsidP="00067493">
            <w:pPr>
              <w:ind w:left="567" w:hanging="567"/>
              <w:jc w:val="center"/>
              <w:rPr>
                <w:sz w:val="20"/>
              </w:rPr>
            </w:pPr>
            <w:r w:rsidRPr="005874E7">
              <w:rPr>
                <w:sz w:val="20"/>
              </w:rPr>
              <w:t>530 090</w:t>
            </w:r>
          </w:p>
        </w:tc>
        <w:tc>
          <w:tcPr>
            <w:tcW w:w="992" w:type="dxa"/>
            <w:tcBorders>
              <w:top w:val="nil"/>
              <w:left w:val="nil"/>
              <w:bottom w:val="single" w:sz="4" w:space="0" w:color="auto"/>
              <w:right w:val="single" w:sz="4" w:space="0" w:color="auto"/>
            </w:tcBorders>
            <w:tcMar>
              <w:top w:w="80" w:type="dxa"/>
              <w:left w:w="80" w:type="dxa"/>
              <w:bottom w:w="80" w:type="dxa"/>
              <w:right w:w="80" w:type="dxa"/>
            </w:tcMar>
            <w:vAlign w:val="center"/>
          </w:tcPr>
          <w:p w14:paraId="175DB44C" w14:textId="77777777" w:rsidR="00C36A04" w:rsidRPr="005874E7" w:rsidRDefault="00C36A04" w:rsidP="00067493">
            <w:pPr>
              <w:ind w:left="567" w:hanging="567"/>
              <w:jc w:val="center"/>
              <w:rPr>
                <w:sz w:val="20"/>
              </w:rPr>
            </w:pPr>
            <w:r w:rsidRPr="005874E7">
              <w:rPr>
                <w:sz w:val="20"/>
              </w:rPr>
              <w:t>569 090</w:t>
            </w:r>
          </w:p>
        </w:tc>
        <w:tc>
          <w:tcPr>
            <w:tcW w:w="1260" w:type="dxa"/>
            <w:tcBorders>
              <w:top w:val="nil"/>
              <w:left w:val="nil"/>
              <w:bottom w:val="single" w:sz="4" w:space="0" w:color="auto"/>
              <w:right w:val="single" w:sz="4" w:space="0" w:color="auto"/>
            </w:tcBorders>
            <w:tcMar>
              <w:top w:w="80" w:type="dxa"/>
              <w:left w:w="80" w:type="dxa"/>
              <w:bottom w:w="80" w:type="dxa"/>
              <w:right w:w="80" w:type="dxa"/>
            </w:tcMar>
            <w:vAlign w:val="center"/>
          </w:tcPr>
          <w:p w14:paraId="00DA8342" w14:textId="77777777" w:rsidR="00C36A04" w:rsidRPr="005874E7" w:rsidRDefault="00C36A04" w:rsidP="00067493">
            <w:pPr>
              <w:ind w:left="567" w:hanging="567"/>
              <w:jc w:val="center"/>
              <w:rPr>
                <w:sz w:val="20"/>
              </w:rPr>
            </w:pPr>
            <w:r w:rsidRPr="005874E7">
              <w:rPr>
                <w:sz w:val="20"/>
              </w:rPr>
              <w:t>87 %</w:t>
            </w:r>
          </w:p>
        </w:tc>
        <w:tc>
          <w:tcPr>
            <w:tcW w:w="1150" w:type="dxa"/>
            <w:tcBorders>
              <w:top w:val="nil"/>
              <w:left w:val="nil"/>
              <w:bottom w:val="single" w:sz="4" w:space="0" w:color="auto"/>
              <w:right w:val="single" w:sz="8" w:space="0" w:color="auto"/>
            </w:tcBorders>
            <w:tcMar>
              <w:top w:w="80" w:type="dxa"/>
              <w:left w:w="80" w:type="dxa"/>
              <w:bottom w:w="80" w:type="dxa"/>
              <w:right w:w="80" w:type="dxa"/>
            </w:tcMar>
            <w:vAlign w:val="center"/>
          </w:tcPr>
          <w:p w14:paraId="59EA1E91" w14:textId="77777777" w:rsidR="00C36A04" w:rsidRPr="005874E7" w:rsidRDefault="00C36A04" w:rsidP="00067493">
            <w:pPr>
              <w:ind w:left="567" w:hanging="567"/>
              <w:jc w:val="center"/>
              <w:rPr>
                <w:sz w:val="20"/>
              </w:rPr>
            </w:pPr>
            <w:r w:rsidRPr="005874E7">
              <w:rPr>
                <w:sz w:val="20"/>
              </w:rPr>
              <w:t>–113 763</w:t>
            </w:r>
          </w:p>
        </w:tc>
      </w:tr>
      <w:tr w:rsidR="00C36A04" w:rsidRPr="005D19FF" w14:paraId="1CBFB635" w14:textId="77777777" w:rsidTr="00BC07A7">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D3B0498"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r w:rsidRPr="005874E7">
              <w:rPr>
                <w:sz w:val="20"/>
              </w:rPr>
              <w:t xml:space="preserve">Nadace </w:t>
            </w:r>
            <w:proofErr w:type="spellStart"/>
            <w:r w:rsidRPr="005874E7">
              <w:rPr>
                <w:sz w:val="20"/>
              </w:rPr>
              <w:t>Coppieters</w:t>
            </w:r>
            <w:proofErr w:type="spellEnd"/>
          </w:p>
        </w:tc>
        <w:tc>
          <w:tcPr>
            <w:tcW w:w="97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0C2C2519" w14:textId="77777777" w:rsidR="00C36A04" w:rsidRPr="005874E7" w:rsidRDefault="00C36A04" w:rsidP="00067493">
            <w:pPr>
              <w:ind w:left="567" w:hanging="567"/>
              <w:jc w:val="center"/>
              <w:rPr>
                <w:sz w:val="20"/>
              </w:rPr>
            </w:pPr>
            <w:proofErr w:type="spellStart"/>
            <w:r w:rsidRPr="005874E7">
              <w:rPr>
                <w:sz w:val="20"/>
              </w:rPr>
              <w:t>Coppieters</w:t>
            </w:r>
            <w:proofErr w:type="spellEnd"/>
          </w:p>
        </w:tc>
        <w:tc>
          <w:tcPr>
            <w:tcW w:w="1153" w:type="dxa"/>
            <w:tcBorders>
              <w:top w:val="nil"/>
              <w:left w:val="nil"/>
              <w:bottom w:val="single" w:sz="4" w:space="0" w:color="auto"/>
              <w:right w:val="single" w:sz="4" w:space="0" w:color="auto"/>
            </w:tcBorders>
            <w:tcMar>
              <w:top w:w="80" w:type="dxa"/>
              <w:left w:w="80" w:type="dxa"/>
              <w:bottom w:w="80" w:type="dxa"/>
              <w:right w:w="80" w:type="dxa"/>
            </w:tcMar>
            <w:vAlign w:val="center"/>
          </w:tcPr>
          <w:p w14:paraId="1497D686" w14:textId="77777777" w:rsidR="00C36A04" w:rsidRPr="005874E7" w:rsidRDefault="00C36A04" w:rsidP="00067493">
            <w:pPr>
              <w:ind w:left="567" w:hanging="567"/>
              <w:jc w:val="center"/>
              <w:rPr>
                <w:sz w:val="20"/>
              </w:rPr>
            </w:pPr>
            <w:r w:rsidRPr="005874E7">
              <w:rPr>
                <w:sz w:val="20"/>
              </w:rPr>
              <w:t>EFA</w:t>
            </w:r>
          </w:p>
        </w:tc>
        <w:tc>
          <w:tcPr>
            <w:tcW w:w="96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200D8D20" w14:textId="77777777" w:rsidR="00C36A04" w:rsidRPr="005874E7" w:rsidRDefault="00C36A04" w:rsidP="00067493">
            <w:pPr>
              <w:ind w:left="567" w:hanging="567"/>
              <w:jc w:val="center"/>
              <w:rPr>
                <w:sz w:val="20"/>
              </w:rPr>
            </w:pPr>
            <w:r w:rsidRPr="005874E7">
              <w:rPr>
                <w:sz w:val="20"/>
              </w:rPr>
              <w:t>102 481</w:t>
            </w:r>
          </w:p>
        </w:tc>
        <w:tc>
          <w:tcPr>
            <w:tcW w:w="1162" w:type="dxa"/>
            <w:tcBorders>
              <w:top w:val="nil"/>
              <w:left w:val="nil"/>
              <w:bottom w:val="single" w:sz="4" w:space="0" w:color="auto"/>
              <w:right w:val="single" w:sz="4" w:space="0" w:color="auto"/>
            </w:tcBorders>
            <w:tcMar>
              <w:top w:w="80" w:type="dxa"/>
              <w:left w:w="80" w:type="dxa"/>
              <w:bottom w:w="80" w:type="dxa"/>
              <w:right w:w="80" w:type="dxa"/>
            </w:tcMar>
            <w:vAlign w:val="center"/>
          </w:tcPr>
          <w:p w14:paraId="42EBD22D" w14:textId="77777777" w:rsidR="00C36A04" w:rsidRPr="005874E7" w:rsidRDefault="00C36A04" w:rsidP="00067493">
            <w:pPr>
              <w:ind w:left="567" w:hanging="567"/>
              <w:jc w:val="center"/>
              <w:rPr>
                <w:sz w:val="20"/>
              </w:rPr>
            </w:pPr>
            <w:r w:rsidRPr="005874E7">
              <w:rPr>
                <w:sz w:val="20"/>
              </w:rPr>
              <w:t>536 397</w:t>
            </w:r>
          </w:p>
        </w:tc>
        <w:tc>
          <w:tcPr>
            <w:tcW w:w="992" w:type="dxa"/>
            <w:tcBorders>
              <w:top w:val="nil"/>
              <w:left w:val="nil"/>
              <w:bottom w:val="single" w:sz="4" w:space="0" w:color="auto"/>
              <w:right w:val="single" w:sz="4" w:space="0" w:color="auto"/>
            </w:tcBorders>
            <w:tcMar>
              <w:top w:w="80" w:type="dxa"/>
              <w:left w:w="80" w:type="dxa"/>
              <w:bottom w:w="80" w:type="dxa"/>
              <w:right w:w="80" w:type="dxa"/>
            </w:tcMar>
            <w:vAlign w:val="center"/>
          </w:tcPr>
          <w:p w14:paraId="6BEAE21C" w14:textId="77777777" w:rsidR="00C36A04" w:rsidRPr="005874E7" w:rsidRDefault="00C36A04" w:rsidP="00067493">
            <w:pPr>
              <w:ind w:left="567" w:hanging="567"/>
              <w:jc w:val="center"/>
              <w:rPr>
                <w:sz w:val="20"/>
              </w:rPr>
            </w:pPr>
            <w:r w:rsidRPr="005874E7">
              <w:rPr>
                <w:sz w:val="20"/>
              </w:rPr>
              <w:t>638 878</w:t>
            </w:r>
          </w:p>
        </w:tc>
        <w:tc>
          <w:tcPr>
            <w:tcW w:w="1260" w:type="dxa"/>
            <w:tcBorders>
              <w:top w:val="nil"/>
              <w:left w:val="nil"/>
              <w:bottom w:val="single" w:sz="4" w:space="0" w:color="auto"/>
              <w:right w:val="single" w:sz="4" w:space="0" w:color="auto"/>
            </w:tcBorders>
            <w:tcMar>
              <w:top w:w="80" w:type="dxa"/>
              <w:left w:w="80" w:type="dxa"/>
              <w:bottom w:w="80" w:type="dxa"/>
              <w:right w:w="80" w:type="dxa"/>
            </w:tcMar>
            <w:vAlign w:val="center"/>
          </w:tcPr>
          <w:p w14:paraId="2CF13D3D" w14:textId="77777777" w:rsidR="00C36A04" w:rsidRPr="005874E7" w:rsidRDefault="00C36A04" w:rsidP="00067493">
            <w:pPr>
              <w:ind w:left="567" w:hanging="567"/>
              <w:jc w:val="center"/>
              <w:rPr>
                <w:sz w:val="20"/>
              </w:rPr>
            </w:pPr>
            <w:r w:rsidRPr="005874E7">
              <w:rPr>
                <w:sz w:val="20"/>
              </w:rPr>
              <w:t>95 %</w:t>
            </w:r>
          </w:p>
        </w:tc>
        <w:tc>
          <w:tcPr>
            <w:tcW w:w="1150" w:type="dxa"/>
            <w:tcBorders>
              <w:top w:val="nil"/>
              <w:left w:val="nil"/>
              <w:bottom w:val="single" w:sz="4" w:space="0" w:color="auto"/>
              <w:right w:val="single" w:sz="8" w:space="0" w:color="auto"/>
            </w:tcBorders>
            <w:tcMar>
              <w:top w:w="80" w:type="dxa"/>
              <w:left w:w="80" w:type="dxa"/>
              <w:bottom w:w="80" w:type="dxa"/>
              <w:right w:w="80" w:type="dxa"/>
            </w:tcMar>
            <w:vAlign w:val="center"/>
          </w:tcPr>
          <w:p w14:paraId="3DC72ABF" w14:textId="77777777" w:rsidR="00C36A04" w:rsidRPr="005874E7" w:rsidRDefault="00C36A04" w:rsidP="00067493">
            <w:pPr>
              <w:ind w:left="567" w:hanging="567"/>
              <w:jc w:val="center"/>
              <w:rPr>
                <w:sz w:val="20"/>
              </w:rPr>
            </w:pPr>
            <w:r w:rsidRPr="005874E7">
              <w:rPr>
                <w:sz w:val="20"/>
              </w:rPr>
              <w:t>288 315</w:t>
            </w:r>
          </w:p>
        </w:tc>
      </w:tr>
      <w:tr w:rsidR="00C36A04" w:rsidRPr="005D19FF" w14:paraId="669988D3" w14:textId="77777777" w:rsidTr="00BC07A7">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1BDDA69" w14:textId="77777777" w:rsidR="00C36A04" w:rsidRPr="005874E7" w:rsidRDefault="00C36A04" w:rsidP="00067493">
            <w:pPr>
              <w:widowControl/>
              <w:ind w:left="567" w:hanging="567"/>
              <w:jc w:val="center"/>
              <w:rPr>
                <w:sz w:val="20"/>
                <w14:textOutline w14:w="0" w14:cap="flat" w14:cmpd="sng" w14:algn="ctr">
                  <w14:noFill/>
                  <w14:prstDash w14:val="solid"/>
                  <w14:bevel/>
                </w14:textOutline>
              </w:rPr>
            </w:pPr>
            <w:proofErr w:type="spellStart"/>
            <w:r w:rsidRPr="005874E7">
              <w:rPr>
                <w:sz w:val="20"/>
              </w:rPr>
              <w:t>Sallux</w:t>
            </w:r>
            <w:proofErr w:type="spellEnd"/>
          </w:p>
        </w:tc>
        <w:tc>
          <w:tcPr>
            <w:tcW w:w="97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6B70A8BC" w14:textId="77777777" w:rsidR="00C36A04" w:rsidRPr="005874E7" w:rsidRDefault="00C36A04" w:rsidP="00067493">
            <w:pPr>
              <w:ind w:left="567" w:hanging="567"/>
              <w:jc w:val="center"/>
              <w:rPr>
                <w:sz w:val="20"/>
              </w:rPr>
            </w:pPr>
            <w:r w:rsidRPr="005874E7">
              <w:rPr>
                <w:sz w:val="20"/>
              </w:rPr>
              <w:t>SALLUX</w:t>
            </w:r>
          </w:p>
        </w:tc>
        <w:tc>
          <w:tcPr>
            <w:tcW w:w="1153" w:type="dxa"/>
            <w:tcBorders>
              <w:top w:val="nil"/>
              <w:left w:val="nil"/>
              <w:bottom w:val="single" w:sz="4" w:space="0" w:color="auto"/>
              <w:right w:val="single" w:sz="4" w:space="0" w:color="auto"/>
            </w:tcBorders>
            <w:tcMar>
              <w:top w:w="80" w:type="dxa"/>
              <w:left w:w="80" w:type="dxa"/>
              <w:bottom w:w="80" w:type="dxa"/>
              <w:right w:w="80" w:type="dxa"/>
            </w:tcMar>
            <w:vAlign w:val="center"/>
          </w:tcPr>
          <w:p w14:paraId="5C063626" w14:textId="77777777" w:rsidR="00C36A04" w:rsidRPr="005874E7" w:rsidRDefault="00C36A04" w:rsidP="00067493">
            <w:pPr>
              <w:ind w:left="567" w:hanging="567"/>
              <w:jc w:val="center"/>
              <w:rPr>
                <w:sz w:val="20"/>
              </w:rPr>
            </w:pPr>
            <w:r w:rsidRPr="005874E7">
              <w:rPr>
                <w:sz w:val="20"/>
              </w:rPr>
              <w:t>ECPM</w:t>
            </w:r>
          </w:p>
        </w:tc>
        <w:tc>
          <w:tcPr>
            <w:tcW w:w="964" w:type="dxa"/>
            <w:tcBorders>
              <w:top w:val="nil"/>
              <w:left w:val="single" w:sz="4" w:space="0" w:color="auto"/>
              <w:bottom w:val="single" w:sz="4" w:space="0" w:color="auto"/>
              <w:right w:val="single" w:sz="4" w:space="0" w:color="auto"/>
            </w:tcBorders>
            <w:tcMar>
              <w:top w:w="80" w:type="dxa"/>
              <w:left w:w="80" w:type="dxa"/>
              <w:bottom w:w="80" w:type="dxa"/>
              <w:right w:w="80" w:type="dxa"/>
            </w:tcMar>
            <w:vAlign w:val="center"/>
          </w:tcPr>
          <w:p w14:paraId="75583854" w14:textId="77777777" w:rsidR="00C36A04" w:rsidRPr="005874E7" w:rsidRDefault="00C36A04" w:rsidP="00067493">
            <w:pPr>
              <w:ind w:left="567" w:hanging="567"/>
              <w:jc w:val="center"/>
              <w:rPr>
                <w:sz w:val="20"/>
              </w:rPr>
            </w:pPr>
            <w:r w:rsidRPr="005874E7">
              <w:rPr>
                <w:sz w:val="20"/>
              </w:rPr>
              <w:t>28 952</w:t>
            </w:r>
          </w:p>
        </w:tc>
        <w:tc>
          <w:tcPr>
            <w:tcW w:w="1162" w:type="dxa"/>
            <w:tcBorders>
              <w:top w:val="nil"/>
              <w:left w:val="nil"/>
              <w:bottom w:val="single" w:sz="4" w:space="0" w:color="auto"/>
              <w:right w:val="single" w:sz="4" w:space="0" w:color="auto"/>
            </w:tcBorders>
            <w:tcMar>
              <w:top w:w="80" w:type="dxa"/>
              <w:left w:w="80" w:type="dxa"/>
              <w:bottom w:w="80" w:type="dxa"/>
              <w:right w:w="80" w:type="dxa"/>
            </w:tcMar>
            <w:vAlign w:val="center"/>
          </w:tcPr>
          <w:p w14:paraId="5475D744" w14:textId="77777777" w:rsidR="00C36A04" w:rsidRPr="005874E7" w:rsidRDefault="00C36A04" w:rsidP="00067493">
            <w:pPr>
              <w:ind w:left="567" w:hanging="567"/>
              <w:jc w:val="center"/>
              <w:rPr>
                <w:sz w:val="20"/>
              </w:rPr>
            </w:pPr>
            <w:r w:rsidRPr="005874E7">
              <w:rPr>
                <w:sz w:val="20"/>
              </w:rPr>
              <w:t>420 000</w:t>
            </w:r>
          </w:p>
        </w:tc>
        <w:tc>
          <w:tcPr>
            <w:tcW w:w="992" w:type="dxa"/>
            <w:tcBorders>
              <w:top w:val="nil"/>
              <w:left w:val="nil"/>
              <w:bottom w:val="single" w:sz="4" w:space="0" w:color="auto"/>
              <w:right w:val="single" w:sz="4" w:space="0" w:color="auto"/>
            </w:tcBorders>
            <w:tcMar>
              <w:top w:w="80" w:type="dxa"/>
              <w:left w:w="80" w:type="dxa"/>
              <w:bottom w:w="80" w:type="dxa"/>
              <w:right w:w="80" w:type="dxa"/>
            </w:tcMar>
            <w:vAlign w:val="center"/>
          </w:tcPr>
          <w:p w14:paraId="47D02325" w14:textId="77777777" w:rsidR="00C36A04" w:rsidRPr="005874E7" w:rsidRDefault="00C36A04" w:rsidP="00067493">
            <w:pPr>
              <w:ind w:left="567" w:hanging="567"/>
              <w:jc w:val="center"/>
              <w:rPr>
                <w:sz w:val="20"/>
              </w:rPr>
            </w:pPr>
            <w:r w:rsidRPr="005874E7">
              <w:rPr>
                <w:sz w:val="20"/>
              </w:rPr>
              <w:t>448 952</w:t>
            </w:r>
          </w:p>
        </w:tc>
        <w:tc>
          <w:tcPr>
            <w:tcW w:w="1260" w:type="dxa"/>
            <w:tcBorders>
              <w:top w:val="nil"/>
              <w:left w:val="nil"/>
              <w:bottom w:val="single" w:sz="4" w:space="0" w:color="auto"/>
              <w:right w:val="single" w:sz="4" w:space="0" w:color="auto"/>
            </w:tcBorders>
            <w:tcMar>
              <w:top w:w="80" w:type="dxa"/>
              <w:left w:w="80" w:type="dxa"/>
              <w:bottom w:w="80" w:type="dxa"/>
              <w:right w:w="80" w:type="dxa"/>
            </w:tcMar>
            <w:vAlign w:val="center"/>
          </w:tcPr>
          <w:p w14:paraId="16E11B4F" w14:textId="77777777" w:rsidR="00C36A04" w:rsidRPr="005874E7" w:rsidRDefault="00C36A04" w:rsidP="00067493">
            <w:pPr>
              <w:ind w:left="567" w:hanging="567"/>
              <w:jc w:val="center"/>
              <w:rPr>
                <w:sz w:val="20"/>
              </w:rPr>
            </w:pPr>
            <w:r w:rsidRPr="005874E7">
              <w:rPr>
                <w:sz w:val="20"/>
              </w:rPr>
              <w:t>93 %</w:t>
            </w:r>
          </w:p>
        </w:tc>
        <w:tc>
          <w:tcPr>
            <w:tcW w:w="1150" w:type="dxa"/>
            <w:tcBorders>
              <w:top w:val="nil"/>
              <w:left w:val="nil"/>
              <w:bottom w:val="single" w:sz="4" w:space="0" w:color="auto"/>
              <w:right w:val="single" w:sz="8" w:space="0" w:color="auto"/>
            </w:tcBorders>
            <w:tcMar>
              <w:top w:w="80" w:type="dxa"/>
              <w:left w:w="80" w:type="dxa"/>
              <w:bottom w:w="80" w:type="dxa"/>
              <w:right w:w="80" w:type="dxa"/>
            </w:tcMar>
            <w:vAlign w:val="center"/>
            <w:hideMark/>
          </w:tcPr>
          <w:p w14:paraId="54E16982" w14:textId="77777777" w:rsidR="00C36A04" w:rsidRPr="005874E7" w:rsidRDefault="00C36A04" w:rsidP="00067493">
            <w:pPr>
              <w:ind w:left="567" w:hanging="567"/>
              <w:jc w:val="center"/>
              <w:rPr>
                <w:sz w:val="20"/>
              </w:rPr>
            </w:pPr>
            <w:r w:rsidRPr="005874E7">
              <w:rPr>
                <w:sz w:val="20"/>
              </w:rPr>
              <w:t>8 781</w:t>
            </w:r>
          </w:p>
        </w:tc>
      </w:tr>
      <w:tr w:rsidR="00C36A04" w:rsidRPr="005D19FF" w14:paraId="5C8EB12D" w14:textId="77777777" w:rsidTr="00BC07A7">
        <w:trPr>
          <w:trHeight w:val="339"/>
        </w:trPr>
        <w:tc>
          <w:tcPr>
            <w:tcW w:w="1583"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B22F65F" w14:textId="77777777" w:rsidR="00C36A04" w:rsidRPr="005874E7" w:rsidRDefault="00C36A04" w:rsidP="00067493">
            <w:pPr>
              <w:ind w:left="567" w:hanging="567"/>
              <w:jc w:val="center"/>
              <w:rPr>
                <w:b/>
                <w:bCs/>
                <w:sz w:val="20"/>
                <w14:textOutline w14:w="0" w14:cap="flat" w14:cmpd="sng" w14:algn="ctr">
                  <w14:noFill/>
                  <w14:prstDash w14:val="solid"/>
                  <w14:bevel/>
                </w14:textOutline>
              </w:rPr>
            </w:pPr>
            <w:r w:rsidRPr="005874E7">
              <w:rPr>
                <w:b/>
                <w:sz w:val="20"/>
                <w14:textOutline w14:w="0" w14:cap="flat" w14:cmpd="sng" w14:algn="ctr">
                  <w14:noFill/>
                  <w14:prstDash w14:val="solid"/>
                  <w14:bevel/>
                </w14:textOutline>
              </w:rPr>
              <w:t>CELKEM</w:t>
            </w:r>
          </w:p>
        </w:tc>
        <w:tc>
          <w:tcPr>
            <w:tcW w:w="97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7526DAE" w14:textId="77777777" w:rsidR="00C36A04" w:rsidRPr="005874E7" w:rsidRDefault="00C36A04" w:rsidP="00067493">
            <w:pPr>
              <w:ind w:left="567" w:hanging="567"/>
              <w:jc w:val="center"/>
              <w:rPr>
                <w:b/>
                <w:bCs/>
                <w:sz w:val="20"/>
                <w14:textOutline w14:w="0" w14:cap="flat" w14:cmpd="sng" w14:algn="ctr">
                  <w14:noFill/>
                  <w14:prstDash w14:val="solid"/>
                  <w14:bevel/>
                </w14:textOutline>
              </w:rPr>
            </w:pPr>
          </w:p>
        </w:tc>
        <w:tc>
          <w:tcPr>
            <w:tcW w:w="1153"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0469DE1" w14:textId="77777777" w:rsidR="00C36A04" w:rsidRPr="005874E7" w:rsidRDefault="00C36A04" w:rsidP="00067493">
            <w:pPr>
              <w:ind w:left="567" w:hanging="567"/>
              <w:jc w:val="center"/>
              <w:rPr>
                <w:b/>
                <w:bCs/>
                <w:sz w:val="20"/>
                <w14:textOutline w14:w="0" w14:cap="flat" w14:cmpd="sng" w14:algn="ctr">
                  <w14:noFill/>
                  <w14:prstDash w14:val="solid"/>
                  <w14:bevel/>
                </w14:textOutline>
              </w:rPr>
            </w:pPr>
          </w:p>
        </w:tc>
        <w:tc>
          <w:tcPr>
            <w:tcW w:w="964"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20238959" w14:textId="77777777" w:rsidR="00C36A04" w:rsidRPr="005874E7" w:rsidRDefault="00C36A04" w:rsidP="00067493">
            <w:pPr>
              <w:ind w:left="567" w:hanging="567"/>
              <w:jc w:val="center"/>
              <w:rPr>
                <w:b/>
                <w:bCs/>
                <w:sz w:val="20"/>
              </w:rPr>
            </w:pPr>
            <w:r w:rsidRPr="005874E7">
              <w:rPr>
                <w:b/>
                <w:sz w:val="20"/>
              </w:rPr>
              <w:t>2 583 505</w:t>
            </w:r>
          </w:p>
        </w:tc>
        <w:tc>
          <w:tcPr>
            <w:tcW w:w="1162"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0E58CF30" w14:textId="77777777" w:rsidR="00C36A04" w:rsidRPr="005874E7" w:rsidRDefault="00C36A04" w:rsidP="00067493">
            <w:pPr>
              <w:ind w:left="567" w:hanging="567"/>
              <w:jc w:val="center"/>
              <w:rPr>
                <w:b/>
                <w:bCs/>
                <w:sz w:val="20"/>
              </w:rPr>
            </w:pPr>
            <w:r w:rsidRPr="005874E7">
              <w:rPr>
                <w:b/>
                <w:sz w:val="20"/>
              </w:rPr>
              <w:t>21 770 208</w:t>
            </w:r>
          </w:p>
        </w:tc>
        <w:tc>
          <w:tcPr>
            <w:tcW w:w="992"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00110C3B" w14:textId="77777777" w:rsidR="00C36A04" w:rsidRPr="005874E7" w:rsidRDefault="00C36A04" w:rsidP="00067493">
            <w:pPr>
              <w:ind w:left="567" w:hanging="567"/>
              <w:jc w:val="center"/>
              <w:rPr>
                <w:b/>
                <w:bCs/>
                <w:sz w:val="20"/>
              </w:rPr>
            </w:pPr>
            <w:r w:rsidRPr="005874E7">
              <w:rPr>
                <w:b/>
                <w:sz w:val="20"/>
              </w:rPr>
              <w:t>24 353 713</w:t>
            </w:r>
          </w:p>
        </w:tc>
        <w:tc>
          <w:tcPr>
            <w:tcW w:w="126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90ED1DB" w14:textId="77777777" w:rsidR="00C36A04" w:rsidRPr="005874E7" w:rsidRDefault="00C36A04" w:rsidP="00067493">
            <w:pPr>
              <w:ind w:left="567" w:hanging="567"/>
              <w:jc w:val="center"/>
              <w:rPr>
                <w:b/>
                <w:bCs/>
                <w:sz w:val="20"/>
              </w:rPr>
            </w:pPr>
          </w:p>
        </w:tc>
        <w:tc>
          <w:tcPr>
            <w:tcW w:w="1150"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38958EA9" w14:textId="77777777" w:rsidR="00C36A04" w:rsidRPr="005874E7" w:rsidRDefault="00C36A04" w:rsidP="00067493">
            <w:pPr>
              <w:ind w:left="567" w:hanging="567"/>
              <w:jc w:val="center"/>
              <w:rPr>
                <w:b/>
                <w:bCs/>
                <w:sz w:val="20"/>
              </w:rPr>
            </w:pPr>
            <w:r w:rsidRPr="005874E7">
              <w:rPr>
                <w:b/>
                <w:sz w:val="20"/>
              </w:rPr>
              <w:t>2 576 842</w:t>
            </w:r>
          </w:p>
        </w:tc>
      </w:tr>
    </w:tbl>
    <w:p w14:paraId="61703091" w14:textId="021676AF" w:rsidR="00E365E1" w:rsidRPr="005D19FF" w:rsidRDefault="00E365E1" w:rsidP="00067493">
      <w:pPr>
        <w:ind w:left="567" w:hanging="567"/>
        <w:rPr>
          <w:szCs w:val="24"/>
        </w:rPr>
      </w:pPr>
    </w:p>
    <w:sectPr w:rsidR="00E365E1" w:rsidRPr="005D19FF" w:rsidSect="0006749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7FAB3" w14:textId="77777777" w:rsidR="00CD2206" w:rsidRPr="006A155C" w:rsidRDefault="00CD2206">
      <w:r w:rsidRPr="006A155C">
        <w:separator/>
      </w:r>
    </w:p>
  </w:endnote>
  <w:endnote w:type="continuationSeparator" w:id="0">
    <w:p w14:paraId="1BEFA984" w14:textId="77777777" w:rsidR="00CD2206" w:rsidRPr="006A155C" w:rsidRDefault="00CD2206">
      <w:r w:rsidRPr="006A15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DokChampa">
    <w:altName w:val="Leelawadee UI"/>
    <w:charset w:val="DE"/>
    <w:family w:val="swiss"/>
    <w:pitch w:val="variable"/>
    <w:sig w:usb0="83000003" w:usb1="00000000" w:usb2="00000000" w:usb3="00000000" w:csb0="00010001"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FBE6" w14:textId="77777777" w:rsidR="00C36A04" w:rsidRPr="006A155C" w:rsidRDefault="00C36A04" w:rsidP="00D82959">
    <w:pPr>
      <w:pStyle w:val="EPFooter"/>
    </w:pPr>
    <w:r w:rsidRPr="006A155C">
      <w:t>PE</w:t>
    </w:r>
    <w:r w:rsidRPr="006A155C">
      <w:rPr>
        <w:rStyle w:val="HideTWBExt"/>
      </w:rPr>
      <w:t>&lt;</w:t>
    </w:r>
    <w:proofErr w:type="spellStart"/>
    <w:r w:rsidRPr="006A155C">
      <w:rPr>
        <w:rStyle w:val="HideTWBExt"/>
      </w:rPr>
      <w:t>NoPE</w:t>
    </w:r>
    <w:proofErr w:type="spellEnd"/>
    <w:r w:rsidRPr="006A155C">
      <w:rPr>
        <w:rStyle w:val="HideTWBExt"/>
      </w:rPr>
      <w:t>&gt;</w:t>
    </w:r>
    <w:r w:rsidRPr="006A155C">
      <w:t>776.734</w:t>
    </w:r>
    <w:r w:rsidRPr="006A155C">
      <w:rPr>
        <w:rStyle w:val="HideTWBExt"/>
      </w:rPr>
      <w:t>&lt;/</w:t>
    </w:r>
    <w:proofErr w:type="spellStart"/>
    <w:r w:rsidRPr="006A155C">
      <w:rPr>
        <w:rStyle w:val="HideTWBExt"/>
      </w:rPr>
      <w:t>NoPE</w:t>
    </w:r>
    <w:proofErr w:type="spellEnd"/>
    <w:r w:rsidRPr="006A155C">
      <w:rPr>
        <w:rStyle w:val="HideTWBExt"/>
      </w:rPr>
      <w:t>&gt;&lt;Version&gt;</w:t>
    </w:r>
    <w:r w:rsidRPr="006A155C">
      <w:t>v02-00</w:t>
    </w:r>
    <w:r w:rsidRPr="006A155C">
      <w:rPr>
        <w:rStyle w:val="HideTWBExt"/>
      </w:rPr>
      <w:t>&lt;/</w:t>
    </w:r>
    <w:proofErr w:type="spellStart"/>
    <w:r w:rsidRPr="006A155C">
      <w:rPr>
        <w:rStyle w:val="HideTWBExt"/>
      </w:rPr>
      <w:t>Version</w:t>
    </w:r>
    <w:proofErr w:type="spellEnd"/>
    <w:r w:rsidRPr="006A155C">
      <w:rPr>
        <w:rStyle w:val="HideTWBExt"/>
      </w:rPr>
      <w:t>&gt;</w:t>
    </w:r>
    <w:r w:rsidRPr="006A155C">
      <w:tab/>
    </w:r>
    <w:r w:rsidRPr="006A155C">
      <w:fldChar w:fldCharType="begin"/>
    </w:r>
    <w:r w:rsidRPr="006A155C">
      <w:instrText xml:space="preserve"> PAGE  \* MERGEFORMAT </w:instrText>
    </w:r>
    <w:r w:rsidRPr="006A155C">
      <w:fldChar w:fldCharType="separate"/>
    </w:r>
    <w:r w:rsidRPr="006A155C">
      <w:rPr>
        <w:noProof/>
      </w:rPr>
      <w:t>2</w:t>
    </w:r>
    <w:r w:rsidRPr="006A155C">
      <w:fldChar w:fldCharType="end"/>
    </w:r>
    <w:r w:rsidRPr="006A155C">
      <w:t>/</w:t>
    </w:r>
    <w:fldSimple w:instr=" NUMPAGES  \* MERGEFORMAT ">
      <w:r w:rsidRPr="006A155C">
        <w:rPr>
          <w:noProof/>
        </w:rPr>
        <w:t>6</w:t>
      </w:r>
    </w:fldSimple>
    <w:r w:rsidRPr="006A155C">
      <w:tab/>
    </w:r>
    <w:r w:rsidRPr="006A155C">
      <w:rPr>
        <w:rStyle w:val="HideTWBExt"/>
      </w:rPr>
      <w:t>&lt;PathFdR&gt;</w:t>
    </w:r>
    <w:r w:rsidRPr="006A155C">
      <w:t>RR\1340476CS.docx</w:t>
    </w:r>
    <w:r w:rsidRPr="006A155C">
      <w:rPr>
        <w:rStyle w:val="HideTWBExt"/>
      </w:rPr>
      <w:t>&lt;/</w:t>
    </w:r>
    <w:proofErr w:type="spellStart"/>
    <w:r w:rsidRPr="006A155C">
      <w:rPr>
        <w:rStyle w:val="HideTWBExt"/>
      </w:rPr>
      <w:t>PathFdR</w:t>
    </w:r>
    <w:proofErr w:type="spellEnd"/>
    <w:r w:rsidRPr="006A155C">
      <w:rPr>
        <w:rStyle w:val="HideTWBExt"/>
      </w:rPr>
      <w:t>&gt;</w:t>
    </w:r>
  </w:p>
  <w:p w14:paraId="123871B6" w14:textId="77777777" w:rsidR="00C36A04" w:rsidRPr="006A155C" w:rsidRDefault="00C36A04" w:rsidP="00D82959">
    <w:pPr>
      <w:pStyle w:val="EPFooter2"/>
    </w:pPr>
    <w:r w:rsidRPr="006A155C">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17BC4" w14:textId="77777777" w:rsidR="00C36A04" w:rsidRPr="006A155C" w:rsidRDefault="00C36A04" w:rsidP="00D82959">
    <w:pPr>
      <w:pStyle w:val="EPFooter"/>
    </w:pPr>
    <w:r w:rsidRPr="006A155C">
      <w:rPr>
        <w:rStyle w:val="HideTWBExt"/>
      </w:rPr>
      <w:t>&lt;PathFdR&gt;</w:t>
    </w:r>
    <w:r w:rsidRPr="006A155C">
      <w:t>RR\1340476CS.docx</w:t>
    </w:r>
    <w:r w:rsidRPr="006A155C">
      <w:rPr>
        <w:rStyle w:val="HideTWBExt"/>
      </w:rPr>
      <w:t>&lt;/</w:t>
    </w:r>
    <w:proofErr w:type="spellStart"/>
    <w:r w:rsidRPr="006A155C">
      <w:rPr>
        <w:rStyle w:val="HideTWBExt"/>
      </w:rPr>
      <w:t>PathFdR</w:t>
    </w:r>
    <w:proofErr w:type="spellEnd"/>
    <w:r w:rsidRPr="006A155C">
      <w:rPr>
        <w:rStyle w:val="HideTWBExt"/>
      </w:rPr>
      <w:t>&gt;</w:t>
    </w:r>
    <w:r w:rsidRPr="006A155C">
      <w:tab/>
    </w:r>
    <w:r w:rsidRPr="006A155C">
      <w:tab/>
      <w:t>PE</w:t>
    </w:r>
    <w:r w:rsidRPr="006A155C">
      <w:rPr>
        <w:rStyle w:val="HideTWBExt"/>
      </w:rPr>
      <w:t>&lt;</w:t>
    </w:r>
    <w:proofErr w:type="spellStart"/>
    <w:r w:rsidRPr="006A155C">
      <w:rPr>
        <w:rStyle w:val="HideTWBExt"/>
      </w:rPr>
      <w:t>NoPE</w:t>
    </w:r>
    <w:proofErr w:type="spellEnd"/>
    <w:r w:rsidRPr="006A155C">
      <w:rPr>
        <w:rStyle w:val="HideTWBExt"/>
      </w:rPr>
      <w:t>&gt;</w:t>
    </w:r>
    <w:r w:rsidRPr="006A155C">
      <w:t>776.734</w:t>
    </w:r>
    <w:r w:rsidRPr="006A155C">
      <w:rPr>
        <w:rStyle w:val="HideTWBExt"/>
      </w:rPr>
      <w:t>&lt;/</w:t>
    </w:r>
    <w:proofErr w:type="spellStart"/>
    <w:r w:rsidRPr="006A155C">
      <w:rPr>
        <w:rStyle w:val="HideTWBExt"/>
      </w:rPr>
      <w:t>NoPE</w:t>
    </w:r>
    <w:proofErr w:type="spellEnd"/>
    <w:r w:rsidRPr="006A155C">
      <w:rPr>
        <w:rStyle w:val="HideTWBExt"/>
      </w:rPr>
      <w:t>&gt;&lt;Version&gt;</w:t>
    </w:r>
    <w:r w:rsidRPr="006A155C">
      <w:t>v02-00</w:t>
    </w:r>
    <w:r w:rsidRPr="006A155C">
      <w:rPr>
        <w:rStyle w:val="HideTWBExt"/>
      </w:rPr>
      <w:t>&lt;/</w:t>
    </w:r>
    <w:proofErr w:type="spellStart"/>
    <w:r w:rsidRPr="006A155C">
      <w:rPr>
        <w:rStyle w:val="HideTWBExt"/>
      </w:rPr>
      <w:t>Version</w:t>
    </w:r>
    <w:proofErr w:type="spellEnd"/>
    <w:r w:rsidRPr="006A155C">
      <w:rPr>
        <w:rStyle w:val="HideTWBExt"/>
      </w:rPr>
      <w:t>&gt;</w:t>
    </w:r>
  </w:p>
  <w:p w14:paraId="46E5CB92" w14:textId="77777777" w:rsidR="00C36A04" w:rsidRPr="006A155C" w:rsidRDefault="00C36A04" w:rsidP="00D82959">
    <w:pPr>
      <w:pStyle w:val="EPFooter2"/>
    </w:pPr>
    <w:r w:rsidRPr="006A155C">
      <w:t>CS</w:t>
    </w:r>
    <w:r w:rsidRPr="006A155C">
      <w:tab/>
    </w:r>
    <w:r w:rsidRPr="006A155C">
      <w:rPr>
        <w:b w:val="0"/>
        <w:i/>
        <w:color w:val="C0C0C0"/>
        <w:sz w:val="22"/>
      </w:rPr>
      <w:t>Jednotná v rozmanitosti</w:t>
    </w:r>
    <w:r w:rsidRPr="006A155C">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F3175" w14:textId="77777777" w:rsidR="00064002" w:rsidRPr="006A155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B9EA8" w14:textId="77777777" w:rsidR="00064002" w:rsidRPr="006A155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B7FBC" w14:textId="77777777" w:rsidR="00064002" w:rsidRPr="006A15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97400" w14:textId="77777777" w:rsidR="00CD2206" w:rsidRPr="006A155C" w:rsidRDefault="00CD2206">
      <w:r w:rsidRPr="006A155C">
        <w:separator/>
      </w:r>
    </w:p>
  </w:footnote>
  <w:footnote w:type="continuationSeparator" w:id="0">
    <w:p w14:paraId="235428C0" w14:textId="77777777" w:rsidR="00CD2206" w:rsidRPr="006A155C" w:rsidRDefault="00CD2206">
      <w:r w:rsidRPr="006A155C">
        <w:continuationSeparator/>
      </w:r>
    </w:p>
  </w:footnote>
  <w:footnote w:id="1">
    <w:p w14:paraId="4EEC17A2" w14:textId="02263B93"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proofErr w:type="spellStart"/>
      <w:r w:rsidRPr="006A155C">
        <w:rPr>
          <w:sz w:val="24"/>
          <w:lang w:val="cs-CZ"/>
        </w:rPr>
        <w:t>Úř</w:t>
      </w:r>
      <w:proofErr w:type="spellEnd"/>
      <w:r w:rsidRPr="006A155C">
        <w:rPr>
          <w:sz w:val="24"/>
          <w:lang w:val="cs-CZ"/>
        </w:rPr>
        <w:t xml:space="preserve">. </w:t>
      </w:r>
      <w:proofErr w:type="spellStart"/>
      <w:r w:rsidRPr="006A155C">
        <w:rPr>
          <w:sz w:val="24"/>
          <w:lang w:val="cs-CZ"/>
        </w:rPr>
        <w:t>věst</w:t>
      </w:r>
      <w:proofErr w:type="spellEnd"/>
      <w:r w:rsidRPr="006A155C">
        <w:rPr>
          <w:sz w:val="24"/>
          <w:lang w:val="cs-CZ"/>
        </w:rPr>
        <w:t>. L</w:t>
      </w:r>
      <w:r w:rsidR="00466115">
        <w:rPr>
          <w:sz w:val="24"/>
          <w:lang w:val="cs-CZ"/>
        </w:rPr>
        <w:t>,</w:t>
      </w:r>
      <w:r w:rsidRPr="006A155C">
        <w:rPr>
          <w:sz w:val="24"/>
          <w:lang w:val="cs-CZ"/>
        </w:rPr>
        <w:t xml:space="preserve"> </w:t>
      </w:r>
      <w:r w:rsidR="00466115">
        <w:rPr>
          <w:sz w:val="24"/>
          <w:lang w:val="cs-CZ"/>
        </w:rPr>
        <w:t>20</w:t>
      </w:r>
      <w:r w:rsidR="00AA7A67">
        <w:rPr>
          <w:sz w:val="24"/>
          <w:lang w:val="cs-CZ"/>
        </w:rPr>
        <w:t>2</w:t>
      </w:r>
      <w:r w:rsidR="00466115">
        <w:rPr>
          <w:sz w:val="24"/>
          <w:lang w:val="cs-CZ"/>
        </w:rPr>
        <w:t>4/</w:t>
      </w:r>
      <w:r w:rsidRPr="006A155C">
        <w:rPr>
          <w:sz w:val="24"/>
          <w:lang w:val="cs-CZ"/>
        </w:rPr>
        <w:t xml:space="preserve">207, 22.2.2024, ELI: </w:t>
      </w:r>
      <w:r>
        <w:fldChar w:fldCharType="begin"/>
      </w:r>
      <w:r w:rsidRPr="00AA7A67">
        <w:rPr>
          <w:lang w:val="fi-FI"/>
        </w:rPr>
        <w:instrText>HYPERLINK "http://data.europa.eu/eli/budget/2024/207/oj"</w:instrText>
      </w:r>
      <w:r>
        <w:fldChar w:fldCharType="separate"/>
      </w:r>
      <w:r w:rsidRPr="006A155C">
        <w:rPr>
          <w:rStyle w:val="Hyperlink"/>
          <w:color w:val="0563C1"/>
          <w:sz w:val="24"/>
          <w:lang w:val="cs-CZ"/>
        </w:rPr>
        <w:t>http://data.europa.eu/eli/budget/2024/207/oj</w:t>
      </w:r>
      <w:r>
        <w:fldChar w:fldCharType="end"/>
      </w:r>
      <w:r w:rsidRPr="006A155C">
        <w:rPr>
          <w:sz w:val="24"/>
          <w:lang w:val="cs-CZ"/>
        </w:rPr>
        <w:t>.</w:t>
      </w:r>
    </w:p>
  </w:footnote>
  <w:footnote w:id="2">
    <w:p w14:paraId="52537D7D" w14:textId="135F82C9"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proofErr w:type="spellStart"/>
      <w:r w:rsidRPr="006A155C">
        <w:rPr>
          <w:sz w:val="24"/>
          <w:lang w:val="cs-CZ"/>
        </w:rPr>
        <w:t>Úř</w:t>
      </w:r>
      <w:proofErr w:type="spellEnd"/>
      <w:r w:rsidRPr="006A155C">
        <w:rPr>
          <w:sz w:val="24"/>
          <w:lang w:val="cs-CZ"/>
        </w:rPr>
        <w:t xml:space="preserve">. </w:t>
      </w:r>
      <w:proofErr w:type="spellStart"/>
      <w:r w:rsidRPr="006A155C">
        <w:rPr>
          <w:sz w:val="24"/>
          <w:lang w:val="cs-CZ"/>
        </w:rPr>
        <w:t>věst</w:t>
      </w:r>
      <w:proofErr w:type="spellEnd"/>
      <w:r w:rsidRPr="006A155C">
        <w:rPr>
          <w:sz w:val="24"/>
          <w:lang w:val="cs-CZ"/>
        </w:rPr>
        <w:t xml:space="preserve">. C, C/2025/4944, 13.10.2025, ELI: </w:t>
      </w:r>
      <w:hyperlink r:id="rId1" w:history="1">
        <w:r w:rsidRPr="006A155C">
          <w:rPr>
            <w:rStyle w:val="Hyperlink"/>
            <w:sz w:val="24"/>
            <w:lang w:val="cs-CZ"/>
          </w:rPr>
          <w:t>http://data.europa.eu/eli/C/2025/4944/oj</w:t>
        </w:r>
      </w:hyperlink>
      <w:r w:rsidRPr="006A155C">
        <w:rPr>
          <w:sz w:val="24"/>
          <w:lang w:val="cs-CZ"/>
        </w:rPr>
        <w:t xml:space="preserve">. </w:t>
      </w:r>
    </w:p>
  </w:footnote>
  <w:footnote w:id="3">
    <w:p w14:paraId="680203DE" w14:textId="0C7ACE2F"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proofErr w:type="spellStart"/>
      <w:r w:rsidRPr="006A155C">
        <w:rPr>
          <w:sz w:val="24"/>
          <w:lang w:val="cs-CZ"/>
        </w:rPr>
        <w:t>Úř</w:t>
      </w:r>
      <w:proofErr w:type="spellEnd"/>
      <w:r w:rsidRPr="006A155C">
        <w:rPr>
          <w:sz w:val="24"/>
          <w:lang w:val="cs-CZ"/>
        </w:rPr>
        <w:t xml:space="preserve">. </w:t>
      </w:r>
      <w:proofErr w:type="spellStart"/>
      <w:r w:rsidRPr="006A155C">
        <w:rPr>
          <w:sz w:val="24"/>
          <w:lang w:val="cs-CZ"/>
        </w:rPr>
        <w:t>věst</w:t>
      </w:r>
      <w:proofErr w:type="spellEnd"/>
      <w:r w:rsidRPr="006A155C">
        <w:rPr>
          <w:sz w:val="24"/>
          <w:lang w:val="cs-CZ"/>
        </w:rPr>
        <w:t xml:space="preserve">. C, C/2025/2817, 6.6.2025, ELI: </w:t>
      </w:r>
      <w:hyperlink r:id="rId2" w:history="1">
        <w:r w:rsidRPr="006A155C">
          <w:rPr>
            <w:rStyle w:val="Hyperlink"/>
            <w:sz w:val="24"/>
            <w:lang w:val="cs-CZ"/>
          </w:rPr>
          <w:t>http://data.europa.eu/eli/C/2025/2817/oj</w:t>
        </w:r>
      </w:hyperlink>
      <w:r w:rsidRPr="006A155C">
        <w:rPr>
          <w:sz w:val="24"/>
          <w:lang w:val="cs-CZ"/>
        </w:rPr>
        <w:t>.</w:t>
      </w:r>
    </w:p>
  </w:footnote>
  <w:footnote w:id="4">
    <w:p w14:paraId="305B4539" w14:textId="06012E0C"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proofErr w:type="spellStart"/>
      <w:r w:rsidRPr="006A155C">
        <w:rPr>
          <w:sz w:val="24"/>
          <w:lang w:val="cs-CZ"/>
        </w:rPr>
        <w:t>Úř</w:t>
      </w:r>
      <w:proofErr w:type="spellEnd"/>
      <w:r w:rsidRPr="006A155C">
        <w:rPr>
          <w:sz w:val="24"/>
          <w:lang w:val="cs-CZ"/>
        </w:rPr>
        <w:t xml:space="preserve">. </w:t>
      </w:r>
      <w:proofErr w:type="spellStart"/>
      <w:r w:rsidRPr="006A155C">
        <w:rPr>
          <w:sz w:val="24"/>
          <w:lang w:val="cs-CZ"/>
        </w:rPr>
        <w:t>věst</w:t>
      </w:r>
      <w:proofErr w:type="spellEnd"/>
      <w:r w:rsidRPr="006A155C">
        <w:rPr>
          <w:sz w:val="24"/>
          <w:lang w:val="cs-CZ"/>
        </w:rPr>
        <w:t xml:space="preserve">. C, C/2025/5409, 8.10.2025, ELI: </w:t>
      </w:r>
      <w:hyperlink r:id="rId3" w:history="1">
        <w:r w:rsidRPr="006A155C">
          <w:rPr>
            <w:rStyle w:val="Hyperlink"/>
            <w:sz w:val="24"/>
            <w:lang w:val="cs-CZ"/>
          </w:rPr>
          <w:t>http://data.europa.eu/eli/C/2025/5409/oj</w:t>
        </w:r>
      </w:hyperlink>
      <w:r w:rsidRPr="006A155C">
        <w:rPr>
          <w:sz w:val="24"/>
          <w:lang w:val="cs-CZ"/>
        </w:rPr>
        <w:t>.</w:t>
      </w:r>
    </w:p>
  </w:footnote>
  <w:footnote w:id="5">
    <w:p w14:paraId="387B72ED" w14:textId="7F6D360E"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proofErr w:type="spellStart"/>
      <w:r w:rsidRPr="006A155C">
        <w:rPr>
          <w:sz w:val="24"/>
          <w:lang w:val="cs-CZ"/>
        </w:rPr>
        <w:t>Úř</w:t>
      </w:r>
      <w:proofErr w:type="spellEnd"/>
      <w:r w:rsidRPr="006A155C">
        <w:rPr>
          <w:sz w:val="24"/>
          <w:lang w:val="cs-CZ"/>
        </w:rPr>
        <w:t xml:space="preserve">. </w:t>
      </w:r>
      <w:proofErr w:type="spellStart"/>
      <w:r w:rsidRPr="006A155C">
        <w:rPr>
          <w:sz w:val="24"/>
          <w:lang w:val="cs-CZ"/>
        </w:rPr>
        <w:t>věst</w:t>
      </w:r>
      <w:proofErr w:type="spellEnd"/>
      <w:r w:rsidRPr="006A155C">
        <w:rPr>
          <w:sz w:val="24"/>
          <w:lang w:val="cs-CZ"/>
        </w:rPr>
        <w:t xml:space="preserve">. C, C/2025/5407, 13.10.2025, ELI: </w:t>
      </w:r>
      <w:hyperlink r:id="rId4" w:history="1">
        <w:r w:rsidRPr="006A155C">
          <w:rPr>
            <w:rStyle w:val="Hyperlink"/>
            <w:sz w:val="24"/>
            <w:lang w:val="cs-CZ"/>
          </w:rPr>
          <w:t>http://data.europa.eu/eli/C/2025/5407/oj</w:t>
        </w:r>
      </w:hyperlink>
      <w:r w:rsidRPr="006A155C">
        <w:rPr>
          <w:sz w:val="24"/>
          <w:lang w:val="cs-CZ"/>
        </w:rPr>
        <w:t xml:space="preserve">. </w:t>
      </w:r>
    </w:p>
  </w:footnote>
  <w:footnote w:id="6">
    <w:p w14:paraId="72F4B20E" w14:textId="25491F3C"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proofErr w:type="spellStart"/>
      <w:r w:rsidRPr="006A155C">
        <w:rPr>
          <w:sz w:val="24"/>
          <w:lang w:val="cs-CZ"/>
        </w:rPr>
        <w:t>Úř</w:t>
      </w:r>
      <w:proofErr w:type="spellEnd"/>
      <w:r w:rsidRPr="006A155C">
        <w:rPr>
          <w:sz w:val="24"/>
          <w:lang w:val="cs-CZ"/>
        </w:rPr>
        <w:t xml:space="preserve">. </w:t>
      </w:r>
      <w:proofErr w:type="spellStart"/>
      <w:r w:rsidRPr="006A155C">
        <w:rPr>
          <w:sz w:val="24"/>
          <w:lang w:val="cs-CZ"/>
        </w:rPr>
        <w:t>věst</w:t>
      </w:r>
      <w:proofErr w:type="spellEnd"/>
      <w:r w:rsidRPr="006A155C">
        <w:rPr>
          <w:sz w:val="24"/>
          <w:lang w:val="cs-CZ"/>
        </w:rPr>
        <w:t xml:space="preserve">. L 193, 30.7.2018, s. 1, ELI: </w:t>
      </w:r>
      <w:hyperlink r:id="rId5" w:history="1">
        <w:r w:rsidRPr="006A155C">
          <w:rPr>
            <w:rStyle w:val="Hyperlink"/>
            <w:sz w:val="24"/>
            <w:lang w:val="cs-CZ"/>
          </w:rPr>
          <w:t>http://data.europa.eu/eli/reg/2018/1046/oj</w:t>
        </w:r>
      </w:hyperlink>
      <w:r w:rsidRPr="006A155C">
        <w:rPr>
          <w:sz w:val="24"/>
          <w:lang w:val="cs-CZ"/>
        </w:rPr>
        <w:t>.</w:t>
      </w:r>
    </w:p>
  </w:footnote>
  <w:footnote w:id="7">
    <w:p w14:paraId="305FB9A0" w14:textId="1084B0D5"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proofErr w:type="spellStart"/>
      <w:r w:rsidRPr="006A155C">
        <w:rPr>
          <w:sz w:val="24"/>
          <w:lang w:val="cs-CZ"/>
        </w:rPr>
        <w:t>Úř</w:t>
      </w:r>
      <w:proofErr w:type="spellEnd"/>
      <w:r w:rsidRPr="006A155C">
        <w:rPr>
          <w:sz w:val="24"/>
          <w:lang w:val="cs-CZ"/>
        </w:rPr>
        <w:t xml:space="preserve">. </w:t>
      </w:r>
      <w:proofErr w:type="spellStart"/>
      <w:r w:rsidRPr="006A155C">
        <w:rPr>
          <w:sz w:val="24"/>
          <w:lang w:val="cs-CZ"/>
        </w:rPr>
        <w:t>věst</w:t>
      </w:r>
      <w:proofErr w:type="spellEnd"/>
      <w:r w:rsidRPr="006A155C">
        <w:rPr>
          <w:sz w:val="24"/>
          <w:lang w:val="cs-CZ"/>
        </w:rPr>
        <w:t xml:space="preserve">. L, 2024/2509, 26.9.2024, ELI: </w:t>
      </w:r>
      <w:hyperlink r:id="rId6" w:history="1">
        <w:r w:rsidRPr="006A155C">
          <w:rPr>
            <w:rStyle w:val="Hyperlink"/>
            <w:sz w:val="24"/>
            <w:lang w:val="cs-CZ"/>
          </w:rPr>
          <w:t>http://data.europa.eu/eli/reg/2024/2509/oj</w:t>
        </w:r>
      </w:hyperlink>
      <w:r w:rsidRPr="006A155C">
        <w:rPr>
          <w:sz w:val="24"/>
          <w:lang w:val="cs-CZ"/>
        </w:rPr>
        <w:t>.</w:t>
      </w:r>
    </w:p>
  </w:footnote>
  <w:footnote w:id="8">
    <w:p w14:paraId="6360F063" w14:textId="5AF4C233"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Nařízení Rady (EU, Euratom) 2020/2093 ze dne 17. prosince 2020, kterým se stanoví víceletý finanční rámec na období 2021–2027 (</w:t>
      </w:r>
      <w:proofErr w:type="spellStart"/>
      <w:r w:rsidRPr="006A155C">
        <w:rPr>
          <w:sz w:val="24"/>
          <w:lang w:val="cs-CZ"/>
        </w:rPr>
        <w:t>Úř</w:t>
      </w:r>
      <w:proofErr w:type="spellEnd"/>
      <w:r w:rsidRPr="006A155C">
        <w:rPr>
          <w:sz w:val="24"/>
          <w:lang w:val="cs-CZ"/>
        </w:rPr>
        <w:t xml:space="preserve">. </w:t>
      </w:r>
      <w:proofErr w:type="spellStart"/>
      <w:r w:rsidRPr="006A155C">
        <w:rPr>
          <w:sz w:val="24"/>
          <w:lang w:val="cs-CZ"/>
        </w:rPr>
        <w:t>věst</w:t>
      </w:r>
      <w:proofErr w:type="spellEnd"/>
      <w:r w:rsidRPr="006A155C">
        <w:rPr>
          <w:sz w:val="24"/>
          <w:lang w:val="cs-CZ"/>
        </w:rPr>
        <w:t xml:space="preserve">. L 433 I, 22.12.2020, s. 11, </w:t>
      </w:r>
      <w:r w:rsidRPr="006A155C">
        <w:rPr>
          <w:color w:val="333333"/>
          <w:sz w:val="24"/>
          <w:shd w:val="clear" w:color="auto" w:fill="FFFFFF"/>
          <w:lang w:val="cs-CZ"/>
        </w:rPr>
        <w:t xml:space="preserve">ELI: </w:t>
      </w:r>
      <w:hyperlink r:id="rId7" w:history="1">
        <w:r w:rsidRPr="006A155C">
          <w:rPr>
            <w:rStyle w:val="Hyperlink"/>
            <w:sz w:val="24"/>
            <w:shd w:val="clear" w:color="auto" w:fill="FFFFFF"/>
            <w:lang w:val="cs-CZ"/>
          </w:rPr>
          <w:t>http://data.europa.eu/eli/reg/2020/2093/oj</w:t>
        </w:r>
      </w:hyperlink>
      <w:r w:rsidRPr="006A155C">
        <w:rPr>
          <w:sz w:val="24"/>
          <w:lang w:val="cs-CZ"/>
        </w:rPr>
        <w:t>).</w:t>
      </w:r>
    </w:p>
  </w:footnote>
  <w:footnote w:id="9">
    <w:p w14:paraId="18F2E7D3" w14:textId="5B9DB22B"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Nařízení Evropského parlamentu a Rady (EU, Euratom) 2023/2841 ze dne 13. prosince 2023, kterým se stanoví opatření k zajištění vysoké společné úrovně kybernetické bezpečnosti v orgánech, institucích a jiných subjektech Unie (</w:t>
      </w:r>
      <w:proofErr w:type="spellStart"/>
      <w:r w:rsidRPr="006A155C">
        <w:rPr>
          <w:sz w:val="24"/>
          <w:lang w:val="cs-CZ"/>
        </w:rPr>
        <w:t>Úř</w:t>
      </w:r>
      <w:proofErr w:type="spellEnd"/>
      <w:r w:rsidRPr="006A155C">
        <w:rPr>
          <w:sz w:val="24"/>
          <w:lang w:val="cs-CZ"/>
        </w:rPr>
        <w:t xml:space="preserve">. </w:t>
      </w:r>
      <w:proofErr w:type="spellStart"/>
      <w:r w:rsidRPr="006A155C">
        <w:rPr>
          <w:sz w:val="24"/>
          <w:lang w:val="cs-CZ"/>
        </w:rPr>
        <w:t>věst</w:t>
      </w:r>
      <w:proofErr w:type="spellEnd"/>
      <w:r w:rsidRPr="006A155C">
        <w:rPr>
          <w:sz w:val="24"/>
          <w:lang w:val="cs-CZ"/>
        </w:rPr>
        <w:t xml:space="preserve">. L, 2023/2841, 18.12.2023, ELI: </w:t>
      </w:r>
      <w:hyperlink r:id="rId8" w:history="1">
        <w:r w:rsidRPr="006A155C">
          <w:rPr>
            <w:rStyle w:val="Hyperlink"/>
            <w:sz w:val="24"/>
            <w:lang w:val="cs-CZ"/>
          </w:rPr>
          <w:t>http://data.europa.eu/eli/reg/2023/2841/oj</w:t>
        </w:r>
      </w:hyperlink>
      <w:r w:rsidRPr="006A155C">
        <w:rPr>
          <w:sz w:val="24"/>
          <w:lang w:val="cs-CZ"/>
        </w:rPr>
        <w:t>).</w:t>
      </w:r>
    </w:p>
  </w:footnote>
  <w:footnote w:id="10">
    <w:p w14:paraId="39B445AC" w14:textId="77E4FCE1"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w:t>
      </w:r>
      <w:proofErr w:type="spellStart"/>
      <w:r w:rsidRPr="006A155C">
        <w:rPr>
          <w:sz w:val="24"/>
          <w:lang w:val="cs-CZ"/>
        </w:rPr>
        <w:t>Úř</w:t>
      </w:r>
      <w:proofErr w:type="spellEnd"/>
      <w:r w:rsidRPr="006A155C">
        <w:rPr>
          <w:sz w:val="24"/>
          <w:lang w:val="cs-CZ"/>
        </w:rPr>
        <w:t xml:space="preserve">. </w:t>
      </w:r>
      <w:proofErr w:type="spellStart"/>
      <w:r w:rsidRPr="006A155C">
        <w:rPr>
          <w:sz w:val="24"/>
          <w:lang w:val="cs-CZ"/>
        </w:rPr>
        <w:t>věst</w:t>
      </w:r>
      <w:proofErr w:type="spellEnd"/>
      <w:r w:rsidRPr="006A155C">
        <w:rPr>
          <w:sz w:val="24"/>
          <w:lang w:val="cs-CZ"/>
        </w:rPr>
        <w:t xml:space="preserve">. L, 2024/1689, 12.7.2024, ELI: </w:t>
      </w:r>
      <w:hyperlink r:id="rId9" w:history="1">
        <w:r w:rsidRPr="006A155C">
          <w:rPr>
            <w:rStyle w:val="Hyperlink"/>
            <w:sz w:val="24"/>
            <w:lang w:val="cs-CZ"/>
          </w:rPr>
          <w:t>http://data.europa.eu/eli/reg/2024/1689/oj</w:t>
        </w:r>
      </w:hyperlink>
      <w:r w:rsidRPr="006A155C">
        <w:rPr>
          <w:sz w:val="24"/>
          <w:lang w:val="cs-CZ"/>
        </w:rPr>
        <w:t>).</w:t>
      </w:r>
    </w:p>
  </w:footnote>
  <w:footnote w:id="11">
    <w:p w14:paraId="53E19DEB" w14:textId="1FDB7E48"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Rozhodnutí předsednictva Evropského parlamentu ze dne 12. června 2023, kterým se mění prováděcí opatření ke statutu poslanců Evropského parlamentu (</w:t>
      </w:r>
      <w:proofErr w:type="spellStart"/>
      <w:r w:rsidRPr="006A155C">
        <w:rPr>
          <w:sz w:val="24"/>
          <w:lang w:val="cs-CZ"/>
        </w:rPr>
        <w:t>Úř</w:t>
      </w:r>
      <w:proofErr w:type="spellEnd"/>
      <w:r w:rsidRPr="006A155C">
        <w:rPr>
          <w:sz w:val="24"/>
          <w:lang w:val="cs-CZ"/>
        </w:rPr>
        <w:t>. </w:t>
      </w:r>
      <w:proofErr w:type="spellStart"/>
      <w:r w:rsidRPr="006A155C">
        <w:rPr>
          <w:sz w:val="24"/>
          <w:lang w:val="cs-CZ"/>
        </w:rPr>
        <w:t>věst</w:t>
      </w:r>
      <w:proofErr w:type="spellEnd"/>
      <w:r w:rsidRPr="006A155C">
        <w:rPr>
          <w:sz w:val="24"/>
          <w:lang w:val="cs-CZ"/>
        </w:rPr>
        <w:t>. C 227, 29.6.2023, s. 5).</w:t>
      </w:r>
    </w:p>
  </w:footnote>
  <w:footnote w:id="12">
    <w:p w14:paraId="11741053" w14:textId="0385ADC6"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Nařízení Evropského parlamentu a Rady (EU, Euratom) 2025/2445 ze dne 26. listopadu 2025 o statusu a financování evropských politických stran a evropských politických nadací (</w:t>
      </w:r>
      <w:proofErr w:type="spellStart"/>
      <w:r w:rsidRPr="006A155C">
        <w:rPr>
          <w:sz w:val="24"/>
          <w:lang w:val="cs-CZ"/>
        </w:rPr>
        <w:t>Úř</w:t>
      </w:r>
      <w:proofErr w:type="spellEnd"/>
      <w:r w:rsidRPr="006A155C">
        <w:rPr>
          <w:sz w:val="24"/>
          <w:lang w:val="cs-CZ"/>
        </w:rPr>
        <w:t xml:space="preserve">. </w:t>
      </w:r>
      <w:proofErr w:type="spellStart"/>
      <w:r w:rsidRPr="006A155C">
        <w:rPr>
          <w:sz w:val="24"/>
          <w:lang w:val="cs-CZ"/>
        </w:rPr>
        <w:t>věst</w:t>
      </w:r>
      <w:proofErr w:type="spellEnd"/>
      <w:r w:rsidRPr="006A155C">
        <w:rPr>
          <w:sz w:val="24"/>
          <w:lang w:val="cs-CZ"/>
        </w:rPr>
        <w:t xml:space="preserve">. L, 2025/2445, 8.12.2025, ELI: </w:t>
      </w:r>
      <w:hyperlink r:id="rId10" w:history="1">
        <w:r w:rsidRPr="006A155C">
          <w:rPr>
            <w:rStyle w:val="Hyperlink"/>
            <w:sz w:val="24"/>
            <w:lang w:val="cs-CZ"/>
          </w:rPr>
          <w:t>http://data.europa.eu/eli/reg/2025/2445/oj</w:t>
        </w:r>
      </w:hyperlink>
      <w:r w:rsidRPr="006A155C">
        <w:rPr>
          <w:sz w:val="24"/>
          <w:lang w:val="cs-CZ"/>
        </w:rPr>
        <w:t>).</w:t>
      </w:r>
    </w:p>
  </w:footnote>
  <w:footnote w:id="13">
    <w:p w14:paraId="2CA2EC5D" w14:textId="4B00E2B0"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 xml:space="preserve">Všechny částky jsou uvedeny v EUR. </w:t>
      </w:r>
    </w:p>
  </w:footnote>
  <w:footnote w:id="14">
    <w:p w14:paraId="015265B5" w14:textId="718BC08F"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Údaj je složen z druhé části konečného financování za rok 2023 a z první části konečného financování za rok 2024 podle rozhodnutí předsednictva ze dne 9. března 2026.</w:t>
      </w:r>
    </w:p>
  </w:footnote>
  <w:footnote w:id="15">
    <w:p w14:paraId="511493E4" w14:textId="25FAE493"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 xml:space="preserve">Účetní závěrka za rok 2024 podle obecně uznávaných účetních postupů upravená o dopad </w:t>
      </w:r>
      <w:proofErr w:type="spellStart"/>
      <w:r w:rsidRPr="006A155C">
        <w:rPr>
          <w:sz w:val="24"/>
          <w:lang w:val="cs-CZ"/>
        </w:rPr>
        <w:t>reklasifikací</w:t>
      </w:r>
      <w:proofErr w:type="spellEnd"/>
      <w:r w:rsidRPr="006A155C">
        <w:rPr>
          <w:sz w:val="24"/>
          <w:lang w:val="cs-CZ"/>
        </w:rPr>
        <w:t xml:space="preserve"> z účetní uzávěrky za rok 2024.</w:t>
      </w:r>
    </w:p>
  </w:footnote>
  <w:footnote w:id="16">
    <w:p w14:paraId="1D7A6214" w14:textId="1F15FC80"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Od července 2024 „Patriots.eu“</w:t>
      </w:r>
      <w:r w:rsidR="00DC0B24">
        <w:rPr>
          <w:sz w:val="24"/>
          <w:lang w:val="cs-CZ"/>
        </w:rPr>
        <w:t>.</w:t>
      </w:r>
    </w:p>
  </w:footnote>
  <w:footnote w:id="17">
    <w:p w14:paraId="7B116CCF" w14:textId="4587C1D9"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Od března 2025 „Evropská křesťanská politická strana“.</w:t>
      </w:r>
    </w:p>
  </w:footnote>
  <w:footnote w:id="18">
    <w:p w14:paraId="66882F57" w14:textId="06084E67" w:rsidR="00C36A04" w:rsidRPr="006A155C" w:rsidRDefault="00C36A04" w:rsidP="006A155C">
      <w:pPr>
        <w:pStyle w:val="FootnoteText"/>
        <w:ind w:left="567" w:hanging="567"/>
        <w:rPr>
          <w:sz w:val="24"/>
          <w:szCs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 xml:space="preserve">Všechny částky jsou uvedeny v EUR. </w:t>
      </w:r>
    </w:p>
  </w:footnote>
  <w:footnote w:id="19">
    <w:p w14:paraId="118D1D69" w14:textId="31947A9B"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 xml:space="preserve">Účetní závěrka za rok 2024 podle obecně uznávaných účetních postupů upravená o dopad </w:t>
      </w:r>
      <w:proofErr w:type="spellStart"/>
      <w:r w:rsidRPr="006A155C">
        <w:rPr>
          <w:sz w:val="24"/>
          <w:lang w:val="cs-CZ"/>
        </w:rPr>
        <w:t>reklasifikací</w:t>
      </w:r>
      <w:proofErr w:type="spellEnd"/>
      <w:r w:rsidRPr="006A155C">
        <w:rPr>
          <w:sz w:val="24"/>
          <w:lang w:val="cs-CZ"/>
        </w:rPr>
        <w:t xml:space="preserve"> z účetní uzávěrky za rok 2024.</w:t>
      </w:r>
    </w:p>
  </w:footnote>
  <w:footnote w:id="20">
    <w:p w14:paraId="6DAE01D6" w14:textId="627E207A"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 xml:space="preserve">Od července 2025 „New </w:t>
      </w:r>
      <w:proofErr w:type="spellStart"/>
      <w:r w:rsidRPr="006A155C">
        <w:rPr>
          <w:sz w:val="24"/>
          <w:lang w:val="cs-CZ"/>
        </w:rPr>
        <w:t>Direction</w:t>
      </w:r>
      <w:proofErr w:type="spellEnd"/>
      <w:r w:rsidRPr="006A155C">
        <w:rPr>
          <w:sz w:val="24"/>
          <w:lang w:val="cs-CZ"/>
        </w:rPr>
        <w:t xml:space="preserve"> – </w:t>
      </w:r>
      <w:proofErr w:type="spellStart"/>
      <w:r w:rsidRPr="006A155C">
        <w:rPr>
          <w:sz w:val="24"/>
          <w:lang w:val="cs-CZ"/>
        </w:rPr>
        <w:t>The</w:t>
      </w:r>
      <w:proofErr w:type="spellEnd"/>
      <w:r w:rsidRPr="006A155C">
        <w:rPr>
          <w:sz w:val="24"/>
          <w:lang w:val="cs-CZ"/>
        </w:rPr>
        <w:t xml:space="preserve"> </w:t>
      </w:r>
      <w:proofErr w:type="spellStart"/>
      <w:r w:rsidRPr="006A155C">
        <w:rPr>
          <w:sz w:val="24"/>
          <w:lang w:val="cs-CZ"/>
        </w:rPr>
        <w:t>Foundation</w:t>
      </w:r>
      <w:proofErr w:type="spellEnd"/>
      <w:r w:rsidRPr="006A155C">
        <w:rPr>
          <w:sz w:val="24"/>
          <w:lang w:val="cs-CZ"/>
        </w:rPr>
        <w:t xml:space="preserve"> </w:t>
      </w:r>
      <w:proofErr w:type="spellStart"/>
      <w:r w:rsidRPr="006A155C">
        <w:rPr>
          <w:sz w:val="24"/>
          <w:lang w:val="cs-CZ"/>
        </w:rPr>
        <w:t>for</w:t>
      </w:r>
      <w:proofErr w:type="spellEnd"/>
      <w:r w:rsidRPr="006A155C">
        <w:rPr>
          <w:sz w:val="24"/>
          <w:lang w:val="cs-CZ"/>
        </w:rPr>
        <w:t xml:space="preserve"> </w:t>
      </w:r>
      <w:proofErr w:type="spellStart"/>
      <w:r w:rsidRPr="006A155C">
        <w:rPr>
          <w:sz w:val="24"/>
          <w:lang w:val="cs-CZ"/>
        </w:rPr>
        <w:t>European</w:t>
      </w:r>
      <w:proofErr w:type="spellEnd"/>
      <w:r w:rsidRPr="006A155C">
        <w:rPr>
          <w:sz w:val="24"/>
          <w:lang w:val="cs-CZ"/>
        </w:rPr>
        <w:t xml:space="preserve"> </w:t>
      </w:r>
      <w:proofErr w:type="spellStart"/>
      <w:r w:rsidRPr="006A155C">
        <w:rPr>
          <w:sz w:val="24"/>
          <w:lang w:val="cs-CZ"/>
        </w:rPr>
        <w:t>Conservatism</w:t>
      </w:r>
      <w:proofErr w:type="spellEnd"/>
      <w:r w:rsidRPr="006A155C">
        <w:rPr>
          <w:sz w:val="24"/>
          <w:lang w:val="cs-CZ"/>
        </w:rPr>
        <w:t>“.</w:t>
      </w:r>
    </w:p>
  </w:footnote>
  <w:footnote w:id="21">
    <w:p w14:paraId="47894D87" w14:textId="69AA92D2" w:rsidR="00C36A04" w:rsidRPr="006A155C" w:rsidRDefault="00C36A04" w:rsidP="006A155C">
      <w:pPr>
        <w:pStyle w:val="FootnoteText"/>
        <w:ind w:left="567" w:hanging="567"/>
        <w:rPr>
          <w:sz w:val="24"/>
          <w:lang w:val="cs-CZ"/>
        </w:rPr>
      </w:pPr>
      <w:r w:rsidRPr="006A155C">
        <w:rPr>
          <w:rStyle w:val="FootnoteReference"/>
          <w:sz w:val="24"/>
          <w:lang w:val="cs-CZ"/>
        </w:rPr>
        <w:footnoteRef/>
      </w:r>
      <w:r w:rsidR="006A155C" w:rsidRPr="006A155C">
        <w:rPr>
          <w:sz w:val="24"/>
          <w:lang w:val="cs-CZ"/>
        </w:rPr>
        <w:t xml:space="preserve"> </w:t>
      </w:r>
      <w:r w:rsidR="006A155C" w:rsidRPr="006A155C">
        <w:rPr>
          <w:sz w:val="24"/>
          <w:lang w:val="cs-CZ"/>
        </w:rPr>
        <w:tab/>
      </w:r>
      <w:r w:rsidRPr="006A155C">
        <w:rPr>
          <w:sz w:val="24"/>
          <w:lang w:val="cs-CZ"/>
        </w:rPr>
        <w:t>Od října 2024 „</w:t>
      </w:r>
      <w:proofErr w:type="spellStart"/>
      <w:r w:rsidRPr="006A155C">
        <w:rPr>
          <w:sz w:val="24"/>
          <w:lang w:val="cs-CZ"/>
        </w:rPr>
        <w:t>Patriots</w:t>
      </w:r>
      <w:proofErr w:type="spellEnd"/>
      <w:r w:rsidRPr="006A155C">
        <w:rPr>
          <w:sz w:val="24"/>
          <w:lang w:val="cs-CZ"/>
        </w:rPr>
        <w:t xml:space="preserve"> </w:t>
      </w:r>
      <w:proofErr w:type="spellStart"/>
      <w:r w:rsidRPr="006A155C">
        <w:rPr>
          <w:sz w:val="24"/>
          <w:lang w:val="cs-CZ"/>
        </w:rPr>
        <w:t>for</w:t>
      </w:r>
      <w:proofErr w:type="spellEnd"/>
      <w:r w:rsidRPr="006A155C">
        <w:rPr>
          <w:sz w:val="24"/>
          <w:lang w:val="cs-CZ"/>
        </w:rPr>
        <w:t xml:space="preserve"> </w:t>
      </w:r>
      <w:proofErr w:type="spellStart"/>
      <w:r w:rsidRPr="006A155C">
        <w:rPr>
          <w:sz w:val="24"/>
          <w:lang w:val="cs-CZ"/>
        </w:rPr>
        <w:t>Europe</w:t>
      </w:r>
      <w:proofErr w:type="spellEnd"/>
      <w:r w:rsidRPr="006A155C">
        <w:rPr>
          <w:sz w:val="24"/>
          <w:lang w:val="cs-CZ"/>
        </w:rPr>
        <w:t xml:space="preserve"> </w:t>
      </w:r>
      <w:proofErr w:type="spellStart"/>
      <w:r w:rsidRPr="006A155C">
        <w:rPr>
          <w:sz w:val="24"/>
          <w:lang w:val="cs-CZ"/>
        </w:rPr>
        <w:t>Foundation</w:t>
      </w:r>
      <w:proofErr w:type="spellEnd"/>
      <w:r w:rsidRPr="006A155C">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C3141" w14:textId="77777777" w:rsidR="00064002" w:rsidRPr="006A15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6C813" w14:textId="77777777" w:rsidR="00064002" w:rsidRPr="006A15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146F7" w14:textId="77777777" w:rsidR="00064002" w:rsidRPr="006A15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8706090">
      <w:start w:val="1"/>
      <w:numFmt w:val="upperLetter"/>
      <w:lvlText w:val="%1."/>
      <w:lvlJc w:val="left"/>
      <w:pPr>
        <w:tabs>
          <w:tab w:val="num" w:pos="360"/>
        </w:tabs>
        <w:ind w:left="360" w:hanging="360"/>
      </w:pPr>
      <w:rPr>
        <w:rFonts w:hint="default"/>
      </w:rPr>
    </w:lvl>
    <w:lvl w:ilvl="1" w:tplc="F4DAE192" w:tentative="1">
      <w:start w:val="1"/>
      <w:numFmt w:val="lowerLetter"/>
      <w:lvlText w:val="%2."/>
      <w:lvlJc w:val="left"/>
      <w:pPr>
        <w:tabs>
          <w:tab w:val="num" w:pos="1080"/>
        </w:tabs>
        <w:ind w:left="1080" w:hanging="360"/>
      </w:pPr>
    </w:lvl>
    <w:lvl w:ilvl="2" w:tplc="6442D8BE" w:tentative="1">
      <w:start w:val="1"/>
      <w:numFmt w:val="lowerRoman"/>
      <w:lvlText w:val="%3."/>
      <w:lvlJc w:val="right"/>
      <w:pPr>
        <w:tabs>
          <w:tab w:val="num" w:pos="1800"/>
        </w:tabs>
        <w:ind w:left="1800" w:hanging="180"/>
      </w:pPr>
    </w:lvl>
    <w:lvl w:ilvl="3" w:tplc="75FEF374" w:tentative="1">
      <w:start w:val="1"/>
      <w:numFmt w:val="decimal"/>
      <w:lvlText w:val="%4."/>
      <w:lvlJc w:val="left"/>
      <w:pPr>
        <w:tabs>
          <w:tab w:val="num" w:pos="2520"/>
        </w:tabs>
        <w:ind w:left="2520" w:hanging="360"/>
      </w:pPr>
    </w:lvl>
    <w:lvl w:ilvl="4" w:tplc="319A25F8" w:tentative="1">
      <w:start w:val="1"/>
      <w:numFmt w:val="lowerLetter"/>
      <w:lvlText w:val="%5."/>
      <w:lvlJc w:val="left"/>
      <w:pPr>
        <w:tabs>
          <w:tab w:val="num" w:pos="3240"/>
        </w:tabs>
        <w:ind w:left="3240" w:hanging="360"/>
      </w:pPr>
    </w:lvl>
    <w:lvl w:ilvl="5" w:tplc="1ADA6AAE" w:tentative="1">
      <w:start w:val="1"/>
      <w:numFmt w:val="lowerRoman"/>
      <w:lvlText w:val="%6."/>
      <w:lvlJc w:val="right"/>
      <w:pPr>
        <w:tabs>
          <w:tab w:val="num" w:pos="3960"/>
        </w:tabs>
        <w:ind w:left="3960" w:hanging="180"/>
      </w:pPr>
    </w:lvl>
    <w:lvl w:ilvl="6" w:tplc="1A2C74A0" w:tentative="1">
      <w:start w:val="1"/>
      <w:numFmt w:val="decimal"/>
      <w:lvlText w:val="%7."/>
      <w:lvlJc w:val="left"/>
      <w:pPr>
        <w:tabs>
          <w:tab w:val="num" w:pos="4680"/>
        </w:tabs>
        <w:ind w:left="4680" w:hanging="360"/>
      </w:pPr>
    </w:lvl>
    <w:lvl w:ilvl="7" w:tplc="82F68678" w:tentative="1">
      <w:start w:val="1"/>
      <w:numFmt w:val="lowerLetter"/>
      <w:lvlText w:val="%8."/>
      <w:lvlJc w:val="left"/>
      <w:pPr>
        <w:tabs>
          <w:tab w:val="num" w:pos="5400"/>
        </w:tabs>
        <w:ind w:left="5400" w:hanging="360"/>
      </w:pPr>
    </w:lvl>
    <w:lvl w:ilvl="8" w:tplc="0A04755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853AA162">
      <w:start w:val="1"/>
      <w:numFmt w:val="decimal"/>
      <w:lvlText w:val="%1."/>
      <w:lvlJc w:val="left"/>
      <w:pPr>
        <w:tabs>
          <w:tab w:val="num" w:pos="720"/>
        </w:tabs>
        <w:ind w:left="720" w:hanging="360"/>
      </w:pPr>
    </w:lvl>
    <w:lvl w:ilvl="1" w:tplc="9E84B3B6" w:tentative="1">
      <w:start w:val="1"/>
      <w:numFmt w:val="lowerLetter"/>
      <w:lvlText w:val="%2."/>
      <w:lvlJc w:val="left"/>
      <w:pPr>
        <w:tabs>
          <w:tab w:val="num" w:pos="1440"/>
        </w:tabs>
        <w:ind w:left="1440" w:hanging="360"/>
      </w:pPr>
    </w:lvl>
    <w:lvl w:ilvl="2" w:tplc="CE121938" w:tentative="1">
      <w:start w:val="1"/>
      <w:numFmt w:val="lowerRoman"/>
      <w:lvlText w:val="%3."/>
      <w:lvlJc w:val="right"/>
      <w:pPr>
        <w:tabs>
          <w:tab w:val="num" w:pos="2160"/>
        </w:tabs>
        <w:ind w:left="2160" w:hanging="180"/>
      </w:pPr>
    </w:lvl>
    <w:lvl w:ilvl="3" w:tplc="F77CD6E4" w:tentative="1">
      <w:start w:val="1"/>
      <w:numFmt w:val="decimal"/>
      <w:lvlText w:val="%4."/>
      <w:lvlJc w:val="left"/>
      <w:pPr>
        <w:tabs>
          <w:tab w:val="num" w:pos="2880"/>
        </w:tabs>
        <w:ind w:left="2880" w:hanging="360"/>
      </w:pPr>
    </w:lvl>
    <w:lvl w:ilvl="4" w:tplc="8040AE2E" w:tentative="1">
      <w:start w:val="1"/>
      <w:numFmt w:val="lowerLetter"/>
      <w:lvlText w:val="%5."/>
      <w:lvlJc w:val="left"/>
      <w:pPr>
        <w:tabs>
          <w:tab w:val="num" w:pos="3600"/>
        </w:tabs>
        <w:ind w:left="3600" w:hanging="360"/>
      </w:pPr>
    </w:lvl>
    <w:lvl w:ilvl="5" w:tplc="ADBA648E" w:tentative="1">
      <w:start w:val="1"/>
      <w:numFmt w:val="lowerRoman"/>
      <w:lvlText w:val="%6."/>
      <w:lvlJc w:val="right"/>
      <w:pPr>
        <w:tabs>
          <w:tab w:val="num" w:pos="4320"/>
        </w:tabs>
        <w:ind w:left="4320" w:hanging="180"/>
      </w:pPr>
    </w:lvl>
    <w:lvl w:ilvl="6" w:tplc="373C57F4" w:tentative="1">
      <w:start w:val="1"/>
      <w:numFmt w:val="decimal"/>
      <w:lvlText w:val="%7."/>
      <w:lvlJc w:val="left"/>
      <w:pPr>
        <w:tabs>
          <w:tab w:val="num" w:pos="5040"/>
        </w:tabs>
        <w:ind w:left="5040" w:hanging="360"/>
      </w:pPr>
    </w:lvl>
    <w:lvl w:ilvl="7" w:tplc="8E04B326" w:tentative="1">
      <w:start w:val="1"/>
      <w:numFmt w:val="lowerLetter"/>
      <w:lvlText w:val="%8."/>
      <w:lvlJc w:val="left"/>
      <w:pPr>
        <w:tabs>
          <w:tab w:val="num" w:pos="5760"/>
        </w:tabs>
        <w:ind w:left="5760" w:hanging="360"/>
      </w:pPr>
    </w:lvl>
    <w:lvl w:ilvl="8" w:tplc="2A80EE76" w:tentative="1">
      <w:start w:val="1"/>
      <w:numFmt w:val="lowerRoman"/>
      <w:lvlText w:val="%9."/>
      <w:lvlJc w:val="right"/>
      <w:pPr>
        <w:tabs>
          <w:tab w:val="num" w:pos="6480"/>
        </w:tabs>
        <w:ind w:left="6480" w:hanging="180"/>
      </w:pPr>
    </w:lvl>
  </w:abstractNum>
  <w:num w:numId="1" w16cid:durableId="389423303">
    <w:abstractNumId w:val="9"/>
  </w:num>
  <w:num w:numId="2" w16cid:durableId="862281214">
    <w:abstractNumId w:val="9"/>
  </w:num>
  <w:num w:numId="3" w16cid:durableId="1766611488">
    <w:abstractNumId w:val="7"/>
  </w:num>
  <w:num w:numId="4" w16cid:durableId="854687232">
    <w:abstractNumId w:val="7"/>
  </w:num>
  <w:num w:numId="5" w16cid:durableId="1052582296">
    <w:abstractNumId w:val="6"/>
  </w:num>
  <w:num w:numId="6" w16cid:durableId="287974251">
    <w:abstractNumId w:val="6"/>
  </w:num>
  <w:num w:numId="7" w16cid:durableId="509754731">
    <w:abstractNumId w:val="5"/>
  </w:num>
  <w:num w:numId="8" w16cid:durableId="594753504">
    <w:abstractNumId w:val="5"/>
  </w:num>
  <w:num w:numId="9" w16cid:durableId="935600587">
    <w:abstractNumId w:val="4"/>
  </w:num>
  <w:num w:numId="10" w16cid:durableId="1257784831">
    <w:abstractNumId w:val="4"/>
  </w:num>
  <w:num w:numId="11" w16cid:durableId="1623000144">
    <w:abstractNumId w:val="8"/>
  </w:num>
  <w:num w:numId="12" w16cid:durableId="1282565573">
    <w:abstractNumId w:val="8"/>
  </w:num>
  <w:num w:numId="13" w16cid:durableId="1175724431">
    <w:abstractNumId w:val="3"/>
  </w:num>
  <w:num w:numId="14" w16cid:durableId="1947106430">
    <w:abstractNumId w:val="3"/>
  </w:num>
  <w:num w:numId="15" w16cid:durableId="1768844177">
    <w:abstractNumId w:val="2"/>
  </w:num>
  <w:num w:numId="16" w16cid:durableId="2046322044">
    <w:abstractNumId w:val="2"/>
  </w:num>
  <w:num w:numId="17" w16cid:durableId="1705014708">
    <w:abstractNumId w:val="1"/>
  </w:num>
  <w:num w:numId="18" w16cid:durableId="1412659473">
    <w:abstractNumId w:val="1"/>
  </w:num>
  <w:num w:numId="19" w16cid:durableId="1331324691">
    <w:abstractNumId w:val="0"/>
  </w:num>
  <w:num w:numId="20" w16cid:durableId="701130357">
    <w:abstractNumId w:val="0"/>
  </w:num>
  <w:num w:numId="21" w16cid:durableId="801190193">
    <w:abstractNumId w:val="9"/>
  </w:num>
  <w:num w:numId="22" w16cid:durableId="43139884">
    <w:abstractNumId w:val="7"/>
  </w:num>
  <w:num w:numId="23" w16cid:durableId="345518566">
    <w:abstractNumId w:val="6"/>
  </w:num>
  <w:num w:numId="24" w16cid:durableId="279148997">
    <w:abstractNumId w:val="5"/>
  </w:num>
  <w:num w:numId="25" w16cid:durableId="718407309">
    <w:abstractNumId w:val="4"/>
  </w:num>
  <w:num w:numId="26" w16cid:durableId="1140538988">
    <w:abstractNumId w:val="8"/>
  </w:num>
  <w:num w:numId="27" w16cid:durableId="526068084">
    <w:abstractNumId w:val="3"/>
  </w:num>
  <w:num w:numId="28" w16cid:durableId="1840734901">
    <w:abstractNumId w:val="2"/>
  </w:num>
  <w:num w:numId="29" w16cid:durableId="666520812">
    <w:abstractNumId w:val="1"/>
  </w:num>
  <w:num w:numId="30" w16cid:durableId="464129561">
    <w:abstractNumId w:val="0"/>
  </w:num>
  <w:num w:numId="31" w16cid:durableId="1111895367">
    <w:abstractNumId w:val="9"/>
  </w:num>
  <w:num w:numId="32" w16cid:durableId="918715981">
    <w:abstractNumId w:val="7"/>
  </w:num>
  <w:num w:numId="33" w16cid:durableId="1369793917">
    <w:abstractNumId w:val="6"/>
  </w:num>
  <w:num w:numId="34" w16cid:durableId="558635164">
    <w:abstractNumId w:val="5"/>
  </w:num>
  <w:num w:numId="35" w16cid:durableId="1481337673">
    <w:abstractNumId w:val="4"/>
  </w:num>
  <w:num w:numId="36" w16cid:durableId="1381630763">
    <w:abstractNumId w:val="8"/>
  </w:num>
  <w:num w:numId="37" w16cid:durableId="1780028757">
    <w:abstractNumId w:val="3"/>
  </w:num>
  <w:num w:numId="38" w16cid:durableId="542056366">
    <w:abstractNumId w:val="2"/>
  </w:num>
  <w:num w:numId="39" w16cid:durableId="279342513">
    <w:abstractNumId w:val="1"/>
  </w:num>
  <w:num w:numId="40" w16cid:durableId="1381587835">
    <w:abstractNumId w:val="0"/>
  </w:num>
  <w:num w:numId="41" w16cid:durableId="1086268658">
    <w:abstractNumId w:val="10"/>
  </w:num>
  <w:num w:numId="42" w16cid:durableId="1612198840">
    <w:abstractNumId w:val="10"/>
  </w:num>
  <w:num w:numId="43" w16cid:durableId="1863780212">
    <w:abstractNumId w:val="10"/>
  </w:num>
  <w:num w:numId="44" w16cid:durableId="767770862">
    <w:abstractNumId w:val="12"/>
  </w:num>
  <w:num w:numId="45" w16cid:durableId="1914662935">
    <w:abstractNumId w:val="13"/>
  </w:num>
  <w:num w:numId="46" w16cid:durableId="3394324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CS"/>
    <w:docVar w:name="dvnumam" w:val="0"/>
    <w:docVar w:name="dvpe" w:val="776.734"/>
    <w:docVar w:name="dvrapporteur" w:val="Zpravodaj: "/>
    <w:docVar w:name="dvtitre" w:val="Rozhodnutí Evropského parlamentu ze dne 29. dubna 2026 o udělení absolutoria za plnění souhrnného rozpočtu Evropské unie na rozpočtový rok 2024, oddíl I – Evropský parlament(2025/2146(DEC))"/>
  </w:docVars>
  <w:rsids>
    <w:rsidRoot w:val="00CD2206"/>
    <w:rsid w:val="00002272"/>
    <w:rsid w:val="00006E96"/>
    <w:rsid w:val="00064002"/>
    <w:rsid w:val="00067493"/>
    <w:rsid w:val="000677B9"/>
    <w:rsid w:val="000831BA"/>
    <w:rsid w:val="000A42CC"/>
    <w:rsid w:val="000E7DD9"/>
    <w:rsid w:val="0010095E"/>
    <w:rsid w:val="00113A31"/>
    <w:rsid w:val="00125B37"/>
    <w:rsid w:val="00187494"/>
    <w:rsid w:val="001F32AE"/>
    <w:rsid w:val="002767FF"/>
    <w:rsid w:val="002A6ABB"/>
    <w:rsid w:val="002B18FE"/>
    <w:rsid w:val="002B5493"/>
    <w:rsid w:val="002B6D91"/>
    <w:rsid w:val="00343214"/>
    <w:rsid w:val="00361C00"/>
    <w:rsid w:val="00395FA1"/>
    <w:rsid w:val="003E15D4"/>
    <w:rsid w:val="00411CCE"/>
    <w:rsid w:val="0041666E"/>
    <w:rsid w:val="00421060"/>
    <w:rsid w:val="00466115"/>
    <w:rsid w:val="00471C19"/>
    <w:rsid w:val="004867E3"/>
    <w:rsid w:val="00494A28"/>
    <w:rsid w:val="004A7996"/>
    <w:rsid w:val="004C0004"/>
    <w:rsid w:val="004C5D52"/>
    <w:rsid w:val="0050519A"/>
    <w:rsid w:val="005072A1"/>
    <w:rsid w:val="00514517"/>
    <w:rsid w:val="00545827"/>
    <w:rsid w:val="00560270"/>
    <w:rsid w:val="005625B5"/>
    <w:rsid w:val="005874E7"/>
    <w:rsid w:val="005C2568"/>
    <w:rsid w:val="005D19FF"/>
    <w:rsid w:val="005F1B17"/>
    <w:rsid w:val="006037C0"/>
    <w:rsid w:val="006631B6"/>
    <w:rsid w:val="00674455"/>
    <w:rsid w:val="00680577"/>
    <w:rsid w:val="006A155C"/>
    <w:rsid w:val="006F74FA"/>
    <w:rsid w:val="00731ADD"/>
    <w:rsid w:val="00734777"/>
    <w:rsid w:val="00747932"/>
    <w:rsid w:val="00751A4A"/>
    <w:rsid w:val="00756632"/>
    <w:rsid w:val="00761BC5"/>
    <w:rsid w:val="00762C74"/>
    <w:rsid w:val="00786EC0"/>
    <w:rsid w:val="007D1690"/>
    <w:rsid w:val="007E22AD"/>
    <w:rsid w:val="00817416"/>
    <w:rsid w:val="00842779"/>
    <w:rsid w:val="00865F67"/>
    <w:rsid w:val="00876508"/>
    <w:rsid w:val="00881A7B"/>
    <w:rsid w:val="008840E5"/>
    <w:rsid w:val="00887B3E"/>
    <w:rsid w:val="008B0A17"/>
    <w:rsid w:val="008B62CA"/>
    <w:rsid w:val="008C2AC6"/>
    <w:rsid w:val="00930C23"/>
    <w:rsid w:val="0093193B"/>
    <w:rsid w:val="009509D8"/>
    <w:rsid w:val="00950B64"/>
    <w:rsid w:val="00965661"/>
    <w:rsid w:val="00981893"/>
    <w:rsid w:val="00A1687D"/>
    <w:rsid w:val="00A43E52"/>
    <w:rsid w:val="00A4678D"/>
    <w:rsid w:val="00A778C7"/>
    <w:rsid w:val="00AA7A67"/>
    <w:rsid w:val="00AB441E"/>
    <w:rsid w:val="00AB6293"/>
    <w:rsid w:val="00AD2E1E"/>
    <w:rsid w:val="00AE0928"/>
    <w:rsid w:val="00AE36D6"/>
    <w:rsid w:val="00AF3B82"/>
    <w:rsid w:val="00B12E95"/>
    <w:rsid w:val="00B22876"/>
    <w:rsid w:val="00B558F0"/>
    <w:rsid w:val="00BD48FE"/>
    <w:rsid w:val="00BD7BD8"/>
    <w:rsid w:val="00BE6ADC"/>
    <w:rsid w:val="00C05BFE"/>
    <w:rsid w:val="00C23CD4"/>
    <w:rsid w:val="00C36A04"/>
    <w:rsid w:val="00C61C0C"/>
    <w:rsid w:val="00C941CB"/>
    <w:rsid w:val="00CC2357"/>
    <w:rsid w:val="00CD2206"/>
    <w:rsid w:val="00CF071A"/>
    <w:rsid w:val="00D058B8"/>
    <w:rsid w:val="00D515E0"/>
    <w:rsid w:val="00D56C11"/>
    <w:rsid w:val="00D834A0"/>
    <w:rsid w:val="00D872DF"/>
    <w:rsid w:val="00D91E21"/>
    <w:rsid w:val="00DA7FCD"/>
    <w:rsid w:val="00DC0B24"/>
    <w:rsid w:val="00E365E1"/>
    <w:rsid w:val="00E820A4"/>
    <w:rsid w:val="00EB006A"/>
    <w:rsid w:val="00EB4772"/>
    <w:rsid w:val="00ED169E"/>
    <w:rsid w:val="00ED4235"/>
    <w:rsid w:val="00F04346"/>
    <w:rsid w:val="00F075DC"/>
    <w:rsid w:val="00F149E9"/>
    <w:rsid w:val="00F44069"/>
    <w:rsid w:val="00F5089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11EB8"/>
  <w15:chartTrackingRefBased/>
  <w15:docId w15:val="{22E62A0A-8597-46DD-881E-1089456EF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36A04"/>
    <w:rPr>
      <w:b/>
      <w:kern w:val="28"/>
      <w:sz w:val="28"/>
      <w:lang w:val="fr-FR" w:eastAsia="fr-FR"/>
    </w:rPr>
  </w:style>
  <w:style w:type="character" w:customStyle="1" w:styleId="Heading2Char">
    <w:name w:val="Heading 2 Char"/>
    <w:basedOn w:val="DefaultParagraphFont"/>
    <w:link w:val="Heading2"/>
    <w:semiHidden/>
    <w:rsid w:val="00C36A04"/>
    <w:rPr>
      <w:sz w:val="24"/>
      <w:lang w:val="fr-FR" w:eastAsia="fr-FR"/>
    </w:rPr>
  </w:style>
  <w:style w:type="character" w:customStyle="1" w:styleId="Heading3Char">
    <w:name w:val="Heading 3 Char"/>
    <w:basedOn w:val="DefaultParagraphFont"/>
    <w:link w:val="Heading3"/>
    <w:semiHidden/>
    <w:rsid w:val="00C36A04"/>
    <w:rPr>
      <w:rFonts w:ascii="Arial" w:hAnsi="Arial"/>
      <w:sz w:val="24"/>
      <w:lang w:val="fr-FR" w:eastAsia="fr-FR"/>
    </w:rPr>
  </w:style>
  <w:style w:type="character" w:customStyle="1" w:styleId="Heading4Char">
    <w:name w:val="Heading 4 Char"/>
    <w:basedOn w:val="DefaultParagraphFont"/>
    <w:link w:val="Heading4"/>
    <w:semiHidden/>
    <w:rsid w:val="00C36A04"/>
    <w:rPr>
      <w:sz w:val="24"/>
      <w:lang w:val="en-US" w:eastAsia="fr-FR"/>
    </w:rPr>
  </w:style>
  <w:style w:type="character" w:customStyle="1" w:styleId="Heading5Char">
    <w:name w:val="Heading 5 Char"/>
    <w:basedOn w:val="DefaultParagraphFont"/>
    <w:link w:val="Heading5"/>
    <w:semiHidden/>
    <w:rsid w:val="00C36A04"/>
    <w:rPr>
      <w:sz w:val="24"/>
      <w:lang w:val="en-US" w:eastAsia="fr-FR"/>
    </w:rPr>
  </w:style>
  <w:style w:type="character" w:customStyle="1" w:styleId="Heading6Char">
    <w:name w:val="Heading 6 Char"/>
    <w:basedOn w:val="DefaultParagraphFont"/>
    <w:link w:val="Heading6"/>
    <w:semiHidden/>
    <w:rsid w:val="00C36A04"/>
    <w:rPr>
      <w:i/>
      <w:sz w:val="22"/>
      <w:lang w:val="cs-CZ"/>
    </w:rPr>
  </w:style>
  <w:style w:type="character" w:customStyle="1" w:styleId="Heading7Char">
    <w:name w:val="Heading 7 Char"/>
    <w:basedOn w:val="DefaultParagraphFont"/>
    <w:link w:val="Heading7"/>
    <w:semiHidden/>
    <w:rsid w:val="00C36A04"/>
    <w:rPr>
      <w:rFonts w:ascii="Arial" w:hAnsi="Arial"/>
      <w:sz w:val="24"/>
      <w:lang w:val="cs-CZ"/>
    </w:rPr>
  </w:style>
  <w:style w:type="character" w:customStyle="1" w:styleId="Heading8Char">
    <w:name w:val="Heading 8 Char"/>
    <w:basedOn w:val="DefaultParagraphFont"/>
    <w:link w:val="Heading8"/>
    <w:semiHidden/>
    <w:rsid w:val="00C36A04"/>
    <w:rPr>
      <w:rFonts w:ascii="Arial" w:hAnsi="Arial"/>
      <w:i/>
      <w:sz w:val="24"/>
      <w:lang w:val="cs-CZ"/>
    </w:rPr>
  </w:style>
  <w:style w:type="character" w:customStyle="1" w:styleId="Heading9Char">
    <w:name w:val="Heading 9 Char"/>
    <w:basedOn w:val="DefaultParagraphFont"/>
    <w:link w:val="Heading9"/>
    <w:semiHidden/>
    <w:rsid w:val="00C36A04"/>
    <w:rPr>
      <w:rFonts w:ascii="Arial" w:hAnsi="Arial"/>
      <w:b/>
      <w:i/>
      <w:sz w:val="18"/>
      <w:lang w:val="cs-CZ"/>
    </w:rPr>
  </w:style>
  <w:style w:type="paragraph" w:styleId="TOCHeading">
    <w:name w:val="TOC Heading"/>
    <w:basedOn w:val="Normal"/>
    <w:next w:val="Normal"/>
    <w:unhideWhenUsed/>
    <w:qFormat/>
    <w:rsid w:val="00C36A04"/>
    <w:pPr>
      <w:widowControl/>
      <w:spacing w:after="240"/>
    </w:pPr>
    <w:rPr>
      <w:lang w:val="en-GB"/>
    </w:rPr>
  </w:style>
  <w:style w:type="paragraph" w:customStyle="1" w:styleId="EPFooter2">
    <w:name w:val="EPFooter2"/>
    <w:basedOn w:val="Normal"/>
    <w:next w:val="Normal"/>
    <w:rsid w:val="00C36A0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36A04"/>
    <w:pPr>
      <w:spacing w:before="480" w:after="240"/>
    </w:pPr>
  </w:style>
  <w:style w:type="paragraph" w:customStyle="1" w:styleId="TOCPage">
    <w:name w:val="TOC Page"/>
    <w:basedOn w:val="Normal"/>
    <w:next w:val="TOC1"/>
    <w:rsid w:val="00C36A04"/>
    <w:pPr>
      <w:keepNext/>
      <w:spacing w:after="240"/>
      <w:jc w:val="right"/>
    </w:pPr>
    <w:rPr>
      <w:rFonts w:ascii="Arial" w:hAnsi="Arial"/>
      <w:b/>
    </w:rPr>
  </w:style>
  <w:style w:type="paragraph" w:customStyle="1" w:styleId="PageHeading">
    <w:name w:val="PageHeading"/>
    <w:basedOn w:val="Normal"/>
    <w:rsid w:val="00C36A04"/>
    <w:pPr>
      <w:keepNext/>
      <w:spacing w:after="480"/>
      <w:jc w:val="center"/>
    </w:pPr>
    <w:rPr>
      <w:rFonts w:ascii="Arial" w:hAnsi="Arial" w:cs="Arial"/>
      <w:b/>
    </w:rPr>
  </w:style>
  <w:style w:type="paragraph" w:customStyle="1" w:styleId="NormalBold">
    <w:name w:val="NormalBold"/>
    <w:basedOn w:val="Normal"/>
    <w:rsid w:val="00C36A04"/>
    <w:rPr>
      <w:b/>
    </w:rPr>
  </w:style>
  <w:style w:type="paragraph" w:customStyle="1" w:styleId="NormalHanging12a">
    <w:name w:val="NormalHanging12a"/>
    <w:basedOn w:val="Normal"/>
    <w:link w:val="NormalHanging12aChar"/>
    <w:rsid w:val="00C36A04"/>
    <w:pPr>
      <w:spacing w:after="240"/>
      <w:ind w:left="567" w:hanging="567"/>
    </w:pPr>
  </w:style>
  <w:style w:type="paragraph" w:customStyle="1" w:styleId="CoverNormal24a">
    <w:name w:val="CoverNormal24a"/>
    <w:basedOn w:val="Normal"/>
    <w:rsid w:val="00C36A04"/>
    <w:pPr>
      <w:spacing w:after="480"/>
      <w:ind w:left="1417"/>
    </w:pPr>
  </w:style>
  <w:style w:type="paragraph" w:customStyle="1" w:styleId="CoverNormal">
    <w:name w:val="CoverNormal"/>
    <w:basedOn w:val="Normal"/>
    <w:rsid w:val="00C36A04"/>
    <w:pPr>
      <w:ind w:left="1418"/>
    </w:pPr>
  </w:style>
  <w:style w:type="paragraph" w:customStyle="1" w:styleId="CoverReference">
    <w:name w:val="CoverReference"/>
    <w:basedOn w:val="Normal"/>
    <w:rsid w:val="00C36A04"/>
    <w:pPr>
      <w:spacing w:before="1080"/>
      <w:jc w:val="right"/>
    </w:pPr>
    <w:rPr>
      <w:rFonts w:ascii="Arial" w:hAnsi="Arial" w:cs="Arial"/>
      <w:b/>
    </w:rPr>
  </w:style>
  <w:style w:type="paragraph" w:customStyle="1" w:styleId="CoverDocType24a">
    <w:name w:val="CoverDocType24a"/>
    <w:basedOn w:val="Normal"/>
    <w:rsid w:val="00C36A04"/>
    <w:pPr>
      <w:spacing w:after="480"/>
      <w:ind w:left="1418"/>
    </w:pPr>
    <w:rPr>
      <w:rFonts w:ascii="Arial" w:hAnsi="Arial"/>
      <w:b/>
      <w:sz w:val="48"/>
    </w:rPr>
  </w:style>
  <w:style w:type="paragraph" w:customStyle="1" w:styleId="CoverDate">
    <w:name w:val="CoverDate"/>
    <w:basedOn w:val="Normal"/>
    <w:rsid w:val="00C36A04"/>
    <w:pPr>
      <w:spacing w:before="240" w:after="1200"/>
    </w:pPr>
  </w:style>
  <w:style w:type="paragraph" w:customStyle="1" w:styleId="EPBody">
    <w:name w:val="EPBody"/>
    <w:basedOn w:val="Normal"/>
    <w:rsid w:val="00C36A04"/>
    <w:pPr>
      <w:jc w:val="center"/>
    </w:pPr>
    <w:rPr>
      <w:rFonts w:ascii="Arial" w:hAnsi="Arial" w:cs="Arial"/>
      <w:i/>
      <w:sz w:val="22"/>
      <w:szCs w:val="22"/>
    </w:rPr>
  </w:style>
  <w:style w:type="paragraph" w:customStyle="1" w:styleId="EPFooter">
    <w:name w:val="EPFooter"/>
    <w:basedOn w:val="Normal"/>
    <w:rsid w:val="00C36A04"/>
    <w:pPr>
      <w:tabs>
        <w:tab w:val="center" w:pos="4535"/>
        <w:tab w:val="right" w:pos="9071"/>
      </w:tabs>
      <w:spacing w:before="240" w:after="240"/>
    </w:pPr>
    <w:rPr>
      <w:color w:val="010000"/>
      <w:sz w:val="22"/>
    </w:rPr>
  </w:style>
  <w:style w:type="paragraph" w:styleId="Header">
    <w:name w:val="header"/>
    <w:basedOn w:val="Normal"/>
    <w:link w:val="HeaderChar"/>
    <w:rsid w:val="00C36A04"/>
    <w:pPr>
      <w:tabs>
        <w:tab w:val="center" w:pos="4513"/>
        <w:tab w:val="right" w:pos="9026"/>
      </w:tabs>
    </w:pPr>
  </w:style>
  <w:style w:type="character" w:customStyle="1" w:styleId="HeaderChar">
    <w:name w:val="Header Char"/>
    <w:basedOn w:val="DefaultParagraphFont"/>
    <w:link w:val="Header"/>
    <w:rsid w:val="00C36A04"/>
    <w:rPr>
      <w:sz w:val="24"/>
      <w:lang w:val="cs-CZ"/>
    </w:rPr>
  </w:style>
  <w:style w:type="character" w:styleId="Hyperlink">
    <w:name w:val="Hyperlink"/>
    <w:basedOn w:val="DefaultParagraphFont"/>
    <w:rsid w:val="00C36A04"/>
    <w:rPr>
      <w:color w:val="0563C1" w:themeColor="hyperlink"/>
      <w:u w:val="single"/>
    </w:rPr>
  </w:style>
  <w:style w:type="character" w:styleId="UnresolvedMention">
    <w:name w:val="Unresolved Mention"/>
    <w:basedOn w:val="DefaultParagraphFont"/>
    <w:uiPriority w:val="99"/>
    <w:semiHidden/>
    <w:unhideWhenUsed/>
    <w:rsid w:val="00C36A04"/>
    <w:rPr>
      <w:color w:val="605E5C"/>
      <w:shd w:val="clear" w:color="auto" w:fill="E1DFDD"/>
    </w:rPr>
  </w:style>
  <w:style w:type="character" w:styleId="FollowedHyperlink">
    <w:name w:val="FollowedHyperlink"/>
    <w:basedOn w:val="DefaultParagraphFont"/>
    <w:rsid w:val="00C36A04"/>
    <w:rPr>
      <w:color w:val="954F72" w:themeColor="followedHyperlink"/>
      <w:u w:val="single"/>
    </w:rPr>
  </w:style>
  <w:style w:type="paragraph" w:styleId="Revision">
    <w:name w:val="Revision"/>
    <w:hidden/>
    <w:uiPriority w:val="99"/>
    <w:semiHidden/>
    <w:rsid w:val="00C36A04"/>
    <w:rPr>
      <w:sz w:val="24"/>
      <w:lang w:val="cs-CZ"/>
    </w:rPr>
  </w:style>
  <w:style w:type="character" w:customStyle="1" w:styleId="s1">
    <w:name w:val="s1"/>
    <w:basedOn w:val="DefaultParagraphFont"/>
    <w:rsid w:val="00C36A04"/>
  </w:style>
  <w:style w:type="character" w:customStyle="1" w:styleId="rynqvb">
    <w:name w:val="rynqvb"/>
    <w:basedOn w:val="DefaultParagraphFont"/>
    <w:rsid w:val="00C36A04"/>
  </w:style>
  <w:style w:type="paragraph" w:styleId="Footer">
    <w:name w:val="footer"/>
    <w:basedOn w:val="Normal"/>
    <w:link w:val="FooterChar"/>
    <w:rsid w:val="00C36A04"/>
    <w:pPr>
      <w:tabs>
        <w:tab w:val="center" w:pos="4513"/>
        <w:tab w:val="right" w:pos="9026"/>
      </w:tabs>
    </w:pPr>
  </w:style>
  <w:style w:type="character" w:customStyle="1" w:styleId="FooterChar">
    <w:name w:val="Footer Char"/>
    <w:basedOn w:val="DefaultParagraphFont"/>
    <w:link w:val="Footer"/>
    <w:rsid w:val="00C36A04"/>
    <w:rPr>
      <w:sz w:val="24"/>
      <w:lang w:val="cs-CZ"/>
    </w:rPr>
  </w:style>
  <w:style w:type="character" w:styleId="CommentReference">
    <w:name w:val="annotation reference"/>
    <w:basedOn w:val="DefaultParagraphFont"/>
    <w:rsid w:val="00C36A04"/>
    <w:rPr>
      <w:sz w:val="16"/>
      <w:szCs w:val="16"/>
    </w:rPr>
  </w:style>
  <w:style w:type="paragraph" w:styleId="CommentText">
    <w:name w:val="annotation text"/>
    <w:basedOn w:val="Normal"/>
    <w:link w:val="CommentTextChar"/>
    <w:rsid w:val="00C36A04"/>
    <w:rPr>
      <w:sz w:val="20"/>
    </w:rPr>
  </w:style>
  <w:style w:type="character" w:customStyle="1" w:styleId="CommentTextChar">
    <w:name w:val="Comment Text Char"/>
    <w:basedOn w:val="DefaultParagraphFont"/>
    <w:link w:val="CommentText"/>
    <w:rsid w:val="00C36A04"/>
    <w:rPr>
      <w:lang w:val="cs-CZ"/>
    </w:rPr>
  </w:style>
  <w:style w:type="paragraph" w:styleId="CommentSubject">
    <w:name w:val="annotation subject"/>
    <w:basedOn w:val="CommentText"/>
    <w:next w:val="CommentText"/>
    <w:link w:val="CommentSubjectChar"/>
    <w:unhideWhenUsed/>
    <w:rsid w:val="00C36A04"/>
    <w:rPr>
      <w:b/>
      <w:bCs/>
    </w:rPr>
  </w:style>
  <w:style w:type="character" w:customStyle="1" w:styleId="CommentSubjectChar">
    <w:name w:val="Comment Subject Char"/>
    <w:basedOn w:val="CommentTextChar"/>
    <w:link w:val="CommentSubject"/>
    <w:rsid w:val="00C36A04"/>
    <w:rPr>
      <w:b/>
      <w:bCs/>
      <w:lang w:val="cs-CZ"/>
    </w:rPr>
  </w:style>
  <w:style w:type="character" w:customStyle="1" w:styleId="NormalHanging12aChar">
    <w:name w:val="NormalHanging12a Char"/>
    <w:basedOn w:val="DefaultParagraphFont"/>
    <w:link w:val="NormalHanging12a"/>
    <w:rsid w:val="00C36A04"/>
    <w:rPr>
      <w:sz w:val="24"/>
      <w:lang w:val="cs-CZ"/>
    </w:rPr>
  </w:style>
  <w:style w:type="paragraph" w:customStyle="1" w:styleId="Normal12a">
    <w:name w:val="Normal12a"/>
    <w:basedOn w:val="Normal"/>
    <w:rsid w:val="00C36A04"/>
    <w:pPr>
      <w:spacing w:after="240"/>
    </w:pPr>
  </w:style>
  <w:style w:type="paragraph" w:customStyle="1" w:styleId="PageHeadingNotTOC">
    <w:name w:val="PageHeadingNotTOC"/>
    <w:basedOn w:val="Normal"/>
    <w:rsid w:val="00C36A04"/>
    <w:pPr>
      <w:keepNext/>
      <w:spacing w:after="480"/>
      <w:jc w:val="center"/>
    </w:pPr>
    <w:rPr>
      <w:rFonts w:ascii="Arial" w:hAnsi="Arial" w:cs="Arial"/>
      <w:b/>
    </w:rPr>
  </w:style>
  <w:style w:type="paragraph" w:customStyle="1" w:styleId="Normal24a">
    <w:name w:val="Normal24a"/>
    <w:basedOn w:val="Normal"/>
    <w:rsid w:val="00C36A04"/>
    <w:pPr>
      <w:spacing w:after="480"/>
    </w:pPr>
    <w:rPr>
      <w:szCs w:val="24"/>
    </w:rPr>
  </w:style>
  <w:style w:type="paragraph" w:customStyle="1" w:styleId="RollCallSymbols14pt">
    <w:name w:val="RollCallSymbols14pt"/>
    <w:basedOn w:val="Normal"/>
    <w:rsid w:val="00C36A0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36A04"/>
    <w:pPr>
      <w:tabs>
        <w:tab w:val="center" w:pos="284"/>
        <w:tab w:val="left" w:pos="426"/>
      </w:tabs>
    </w:pPr>
    <w:rPr>
      <w:snapToGrid w:val="0"/>
      <w:lang w:eastAsia="en-US"/>
    </w:rPr>
  </w:style>
  <w:style w:type="paragraph" w:customStyle="1" w:styleId="RollCallVotes">
    <w:name w:val="RollCallVotes"/>
    <w:basedOn w:val="Normal"/>
    <w:rsid w:val="00C36A04"/>
    <w:pPr>
      <w:spacing w:before="120" w:after="120"/>
      <w:jc w:val="center"/>
    </w:pPr>
    <w:rPr>
      <w:b/>
      <w:bCs/>
      <w:snapToGrid w:val="0"/>
      <w:sz w:val="16"/>
      <w:lang w:eastAsia="en-US"/>
    </w:rPr>
  </w:style>
  <w:style w:type="paragraph" w:customStyle="1" w:styleId="RollCallTable">
    <w:name w:val="RollCallTable"/>
    <w:basedOn w:val="Normal"/>
    <w:rsid w:val="00C36A04"/>
    <w:pPr>
      <w:spacing w:before="120" w:after="120"/>
    </w:pPr>
    <w:rPr>
      <w:snapToGrid w:val="0"/>
      <w:sz w:val="16"/>
      <w:lang w:eastAsia="en-US"/>
    </w:rPr>
  </w:style>
  <w:style w:type="paragraph" w:customStyle="1" w:styleId="Footprint12b">
    <w:name w:val="Footprint12b"/>
    <w:basedOn w:val="Normal"/>
    <w:rsid w:val="00C36A04"/>
    <w:pPr>
      <w:spacing w:before="24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28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0/2093/oj" TargetMode="External"/><Relationship Id="rId2" Type="http://schemas.openxmlformats.org/officeDocument/2006/relationships/hyperlink" Target="http://data.europa.eu/eli/C/2025/2817/oj" TargetMode="External"/><Relationship Id="rId1" Type="http://schemas.openxmlformats.org/officeDocument/2006/relationships/hyperlink" Target="http://data.europa.eu/eli/C/2025/4944/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244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13037</Words>
  <Characters>78719</Characters>
  <Application>Microsoft Office Word</Application>
  <DocSecurity>0</DocSecurity>
  <Lines>655</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2026-05-05T14:07:00Z</dcterms:created>
  <dcterms:modified xsi:type="dcterms:W3CDTF">2026-05-05T14:07:00Z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P10_TA(2026)0126_</vt:lpwstr>
  </property>
  <property fmtid="{D5CDD505-2E9C-101B-9397-08002B2CF9AE}" pid="4" name="&lt;Type&gt;">
    <vt:lpwstr>RR</vt:lpwstr>
  </property>
</Properties>
</file>