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862" w14:paraId="758CB4B3" w14:textId="77777777" w:rsidTr="0010095E">
        <w:trPr>
          <w:trHeight w:hRule="exact" w:val="1418"/>
        </w:trPr>
        <w:tc>
          <w:tcPr>
            <w:tcW w:w="6804" w:type="dxa"/>
            <w:shd w:val="clear" w:color="auto" w:fill="auto"/>
            <w:vAlign w:val="center"/>
          </w:tcPr>
          <w:p w14:paraId="7BEB219D" w14:textId="77777777" w:rsidR="00751A4A" w:rsidRPr="00D37862" w:rsidRDefault="003F20B4" w:rsidP="0010095E">
            <w:pPr>
              <w:pStyle w:val="EPName"/>
            </w:pPr>
            <w:r w:rsidRPr="00D37862">
              <w:t>Ευρωπαϊκό Κοινοβούλιο</w:t>
            </w:r>
          </w:p>
          <w:p w14:paraId="06758225" w14:textId="77777777" w:rsidR="00751A4A" w:rsidRPr="00D37862" w:rsidRDefault="005F1B17" w:rsidP="005F1B17">
            <w:pPr>
              <w:pStyle w:val="EPTerm"/>
              <w:rPr>
                <w:rStyle w:val="HideTWBExt"/>
                <w:noProof w:val="0"/>
                <w:vanish w:val="0"/>
                <w:color w:val="auto"/>
              </w:rPr>
            </w:pPr>
            <w:r w:rsidRPr="00D37862">
              <w:t>2024</w:t>
            </w:r>
            <w:r w:rsidR="00817416" w:rsidRPr="00D37862">
              <w:t>-202</w:t>
            </w:r>
            <w:r w:rsidRPr="00D37862">
              <w:t>9</w:t>
            </w:r>
          </w:p>
        </w:tc>
        <w:tc>
          <w:tcPr>
            <w:tcW w:w="2268" w:type="dxa"/>
            <w:shd w:val="clear" w:color="auto" w:fill="auto"/>
          </w:tcPr>
          <w:p w14:paraId="650E6D87" w14:textId="77777777" w:rsidR="00751A4A" w:rsidRPr="00D37862" w:rsidRDefault="00187494" w:rsidP="0010095E">
            <w:pPr>
              <w:pStyle w:val="EPLogo"/>
            </w:pPr>
            <w:r w:rsidRPr="00D37862">
              <w:rPr>
                <w:noProof/>
                <w:lang w:eastAsia="ja-JP"/>
              </w:rPr>
              <w:drawing>
                <wp:inline distT="0" distB="0" distL="0" distR="0" wp14:anchorId="610A72C0" wp14:editId="68E119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FD1D02" w14:textId="77777777" w:rsidR="00D058B8" w:rsidRPr="00D37862" w:rsidRDefault="00D058B8" w:rsidP="004C5D52">
      <w:pPr>
        <w:pStyle w:val="LineTop"/>
      </w:pPr>
    </w:p>
    <w:p w14:paraId="564E9172" w14:textId="77777777" w:rsidR="00680577" w:rsidRPr="00D37862" w:rsidRDefault="003F20B4" w:rsidP="00680577">
      <w:pPr>
        <w:pStyle w:val="EPBodyTA1"/>
      </w:pPr>
      <w:r w:rsidRPr="00D37862">
        <w:t>ΚΕΙΜΕΝΑ ΠΟΥ ΕΓΚΡΙΘΗΚΑΝ</w:t>
      </w:r>
    </w:p>
    <w:p w14:paraId="1F2E9357" w14:textId="77777777" w:rsidR="00D058B8" w:rsidRPr="00D37862" w:rsidRDefault="00D058B8" w:rsidP="00D058B8">
      <w:pPr>
        <w:pStyle w:val="LineBottom"/>
      </w:pPr>
    </w:p>
    <w:p w14:paraId="58D72AAC" w14:textId="75E386FC" w:rsidR="003F20B4" w:rsidRPr="00D37862" w:rsidRDefault="003F20B4" w:rsidP="003F20B4">
      <w:pPr>
        <w:pStyle w:val="ATHeading1"/>
      </w:pPr>
      <w:bookmarkStart w:id="0" w:name="TANumber"/>
      <w:r w:rsidRPr="00D37862">
        <w:t>P10_TA(2026)0</w:t>
      </w:r>
      <w:r w:rsidR="00E34A88" w:rsidRPr="00D37862">
        <w:t>126</w:t>
      </w:r>
      <w:bookmarkEnd w:id="0"/>
    </w:p>
    <w:p w14:paraId="518CFFEB" w14:textId="5E85B528" w:rsidR="003F20B4" w:rsidRPr="00D37862" w:rsidRDefault="003F20B4" w:rsidP="003F20B4">
      <w:pPr>
        <w:pStyle w:val="ATHeading2"/>
      </w:pPr>
      <w:bookmarkStart w:id="1" w:name="title"/>
      <w:r w:rsidRPr="00D37862">
        <w:t xml:space="preserve">Απαλλαγή 2024: Γενικός προϋπολογισμός της ΕΕ </w:t>
      </w:r>
      <w:r w:rsidR="00E2012B" w:rsidRPr="00D37862">
        <w:t>–</w:t>
      </w:r>
      <w:r w:rsidRPr="00D37862">
        <w:t xml:space="preserve"> Ευρωπαϊκό Κοινοβούλιο</w:t>
      </w:r>
      <w:bookmarkEnd w:id="1"/>
    </w:p>
    <w:p w14:paraId="2942C8BE" w14:textId="77777777" w:rsidR="003F20B4" w:rsidRPr="00D37862" w:rsidRDefault="003F20B4" w:rsidP="003F20B4">
      <w:pPr>
        <w:rPr>
          <w:i/>
          <w:vanish/>
        </w:rPr>
      </w:pPr>
      <w:r w:rsidRPr="00D37862">
        <w:rPr>
          <w:i/>
        </w:rPr>
        <w:fldChar w:fldCharType="begin"/>
      </w:r>
      <w:r w:rsidRPr="00D37862">
        <w:rPr>
          <w:i/>
        </w:rPr>
        <w:instrText xml:space="preserve"> TC"(</w:instrText>
      </w:r>
      <w:bookmarkStart w:id="2" w:name="DocNumber"/>
      <w:r w:rsidRPr="00D37862">
        <w:rPr>
          <w:i/>
        </w:rPr>
        <w:instrText>A10-0081/2026</w:instrText>
      </w:r>
      <w:bookmarkEnd w:id="2"/>
      <w:r w:rsidRPr="00D37862">
        <w:rPr>
          <w:i/>
        </w:rPr>
        <w:instrText xml:space="preserve"> - Εισηγητής: Gerben-Jan Gerbrandy)"\l3 \n&gt; \* MERGEFORMAT </w:instrText>
      </w:r>
      <w:r w:rsidRPr="00D37862">
        <w:rPr>
          <w:i/>
        </w:rPr>
        <w:fldChar w:fldCharType="end"/>
      </w:r>
    </w:p>
    <w:p w14:paraId="021BE9DC" w14:textId="77777777" w:rsidR="003F20B4" w:rsidRPr="00D37862" w:rsidRDefault="003F20B4" w:rsidP="003F20B4">
      <w:pPr>
        <w:rPr>
          <w:vanish/>
        </w:rPr>
      </w:pPr>
      <w:bookmarkStart w:id="3" w:name="Commission"/>
      <w:r w:rsidRPr="00D37862">
        <w:rPr>
          <w:vanish/>
        </w:rPr>
        <w:t>Επιτροπή Ελέγχου του Προϋπολογισμού</w:t>
      </w:r>
      <w:bookmarkEnd w:id="3"/>
    </w:p>
    <w:p w14:paraId="03E73F51" w14:textId="77777777" w:rsidR="003F20B4" w:rsidRPr="00D37862" w:rsidRDefault="003F20B4" w:rsidP="003F20B4">
      <w:pPr>
        <w:rPr>
          <w:vanish/>
        </w:rPr>
      </w:pPr>
      <w:bookmarkStart w:id="4" w:name="PE"/>
      <w:r w:rsidRPr="00D37862">
        <w:rPr>
          <w:vanish/>
        </w:rPr>
        <w:t>PE776.734</w:t>
      </w:r>
      <w:bookmarkEnd w:id="4"/>
    </w:p>
    <w:p w14:paraId="5974C837" w14:textId="41A81265" w:rsidR="003F20B4" w:rsidRPr="00D37862" w:rsidRDefault="00BA4673" w:rsidP="003F20B4">
      <w:pPr>
        <w:pStyle w:val="ATHeading3"/>
      </w:pPr>
      <w:bookmarkStart w:id="5" w:name="Sujet"/>
      <w:r w:rsidRPr="00D37862">
        <w:t xml:space="preserve">1. </w:t>
      </w:r>
      <w:r w:rsidR="003F20B4" w:rsidRPr="00D37862">
        <w:t xml:space="preserve">Απόφαση του Ευρωπαϊκού Κοινοβουλίου της </w:t>
      </w:r>
      <w:r w:rsidRPr="00D37862">
        <w:t>29ης Απριλίου</w:t>
      </w:r>
      <w:r w:rsidR="003F20B4" w:rsidRPr="00D37862">
        <w:t xml:space="preserve"> 2026 σχετικά με την απαλλαγή όσον αφορά την εκτέλεση του γενικού προϋπολογισμού της Ευρωπαϊκής Ένωσης για το οικονομικό έτος 2024, Τμήμα I – Ευρωπαϊκό Κοινοβούλιο</w:t>
      </w:r>
      <w:bookmarkEnd w:id="5"/>
      <w:r w:rsidR="003F20B4" w:rsidRPr="00D37862">
        <w:t xml:space="preserve"> </w:t>
      </w:r>
      <w:bookmarkStart w:id="6" w:name="References"/>
      <w:r w:rsidR="003F20B4" w:rsidRPr="00D37862">
        <w:t>(2025/2146(DEC))</w:t>
      </w:r>
      <w:bookmarkEnd w:id="6"/>
    </w:p>
    <w:p w14:paraId="7AF67111" w14:textId="77777777" w:rsidR="00BE322E" w:rsidRPr="00D37862" w:rsidRDefault="00BE322E" w:rsidP="00BE322E">
      <w:pPr>
        <w:pStyle w:val="EPComma"/>
        <w:rPr>
          <w:noProof/>
        </w:rPr>
      </w:pPr>
      <w:bookmarkStart w:id="7" w:name="TextBodyBegin"/>
      <w:bookmarkEnd w:id="7"/>
      <w:r w:rsidRPr="00D37862">
        <w:rPr>
          <w:i/>
        </w:rPr>
        <w:t>Το Ευρωπαϊκό Κοινοβούλιο</w:t>
      </w:r>
      <w:r w:rsidRPr="00D37862">
        <w:t>,</w:t>
      </w:r>
    </w:p>
    <w:p w14:paraId="5B5C80BA" w14:textId="77777777" w:rsidR="00BE322E" w:rsidRPr="00D37862" w:rsidRDefault="00BE322E" w:rsidP="00BE322E">
      <w:pPr>
        <w:pStyle w:val="NormalHanging12a"/>
        <w:rPr>
          <w:noProof/>
        </w:rPr>
      </w:pPr>
      <w:r w:rsidRPr="00D37862">
        <w:t>–</w:t>
      </w:r>
      <w:r w:rsidRPr="00D37862">
        <w:tab/>
        <w:t>έχοντας υπόψη τον γενικό προϋπολογισμό της Ευρωπαϊκής Ένωσης για το οικονομικό έτος 2024</w:t>
      </w:r>
      <w:r w:rsidRPr="00D37862">
        <w:rPr>
          <w:rStyle w:val="FootnoteReference"/>
          <w:noProof/>
        </w:rPr>
        <w:footnoteReference w:id="1"/>
      </w:r>
      <w:r w:rsidRPr="00D37862">
        <w:t>,</w:t>
      </w:r>
    </w:p>
    <w:p w14:paraId="06C33A9D" w14:textId="77777777" w:rsidR="00BE322E" w:rsidRPr="00D37862" w:rsidRDefault="00BE322E" w:rsidP="00BE322E">
      <w:pPr>
        <w:pStyle w:val="NormalHanging12a"/>
        <w:rPr>
          <w:noProof/>
        </w:rPr>
      </w:pPr>
      <w:r w:rsidRPr="00D37862">
        <w:t>–</w:t>
      </w:r>
      <w:r w:rsidRPr="00D37862">
        <w:tab/>
        <w:t>έχοντας υπόψη τους ενοποιημένους ετήσιους λογαριασμούς της Ευρωπαϊκής Ένωσης για το οικονομικό έτος 2024 (COM(2025)0359 – C10</w:t>
      </w:r>
      <w:r w:rsidRPr="00D37862">
        <w:noBreakHyphen/>
        <w:t>0146/2025)</w:t>
      </w:r>
      <w:r w:rsidRPr="00D37862">
        <w:rPr>
          <w:rStyle w:val="FootnoteReference"/>
          <w:noProof/>
        </w:rPr>
        <w:footnoteReference w:id="2"/>
      </w:r>
      <w:r w:rsidRPr="00D37862">
        <w:t>,</w:t>
      </w:r>
    </w:p>
    <w:p w14:paraId="0AAC40C0" w14:textId="77777777" w:rsidR="00BE322E" w:rsidRPr="00D37862" w:rsidRDefault="00BE322E" w:rsidP="00BE322E">
      <w:pPr>
        <w:pStyle w:val="NormalHanging12a"/>
        <w:rPr>
          <w:noProof/>
        </w:rPr>
      </w:pPr>
      <w:r w:rsidRPr="00D37862">
        <w:t>–</w:t>
      </w:r>
      <w:r w:rsidRPr="00D37862">
        <w:tab/>
        <w:t>έχοντας υπόψη την έκθεση για τη δημοσιονομική και χρηματοοικονομική διαχείριση για το οικονομικό έτος 2024, ενότητα I – Ευρωπαϊκό Κοινοβούλιο</w:t>
      </w:r>
      <w:r w:rsidRPr="00D37862">
        <w:rPr>
          <w:rStyle w:val="FootnoteReference"/>
          <w:noProof/>
        </w:rPr>
        <w:footnoteReference w:id="3"/>
      </w:r>
      <w:r w:rsidRPr="00D37862">
        <w:t>,</w:t>
      </w:r>
    </w:p>
    <w:p w14:paraId="0D3CC392" w14:textId="77777777" w:rsidR="00BE322E" w:rsidRPr="00D37862" w:rsidRDefault="00BE322E" w:rsidP="00BE322E">
      <w:pPr>
        <w:pStyle w:val="NormalHanging12a"/>
        <w:rPr>
          <w:noProof/>
        </w:rPr>
      </w:pPr>
      <w:r w:rsidRPr="00D37862">
        <w:t>–</w:t>
      </w:r>
      <w:r w:rsidRPr="00D37862">
        <w:tab/>
        <w:t>έχοντας υπόψη την ετήσια έκθεση του εσωτερικού ελεγκτή για το οικονομικό έτος 2024,</w:t>
      </w:r>
    </w:p>
    <w:p w14:paraId="6F2765E5" w14:textId="77777777" w:rsidR="00BE322E" w:rsidRPr="00D37862" w:rsidRDefault="00BE322E" w:rsidP="00BE322E">
      <w:pPr>
        <w:pStyle w:val="NormalHanging12a"/>
        <w:rPr>
          <w:noProof/>
        </w:rPr>
      </w:pPr>
      <w:r w:rsidRPr="00D37862">
        <w:t>–</w:t>
      </w:r>
      <w:r w:rsidRPr="00D37862">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θεσμικών οργάνων</w:t>
      </w:r>
      <w:r w:rsidRPr="00D37862">
        <w:rPr>
          <w:rStyle w:val="FootnoteReference"/>
          <w:noProof/>
        </w:rPr>
        <w:footnoteReference w:id="4"/>
      </w:r>
      <w:r w:rsidRPr="00D37862">
        <w:t>,</w:t>
      </w:r>
    </w:p>
    <w:p w14:paraId="557CE253" w14:textId="77777777" w:rsidR="00BE322E" w:rsidRPr="00D37862" w:rsidRDefault="00BE322E" w:rsidP="00BE322E">
      <w:pPr>
        <w:pStyle w:val="NormalHanging12a"/>
        <w:rPr>
          <w:noProof/>
        </w:rPr>
      </w:pPr>
      <w:r w:rsidRPr="00D37862">
        <w:t>–</w:t>
      </w:r>
      <w:r w:rsidRPr="00D37862">
        <w:tab/>
        <w:t>έχοντας υπόψη τη δήλωση διασφάλισης</w:t>
      </w:r>
      <w:r w:rsidRPr="00D37862">
        <w:rPr>
          <w:rStyle w:val="FootnoteReference"/>
          <w:noProof/>
        </w:rPr>
        <w:footnoteReference w:id="5"/>
      </w:r>
      <w:r w:rsidRPr="00D37862">
        <w:t xml:space="preserve"> σχετικά με την αξιοπιστία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30365CA" w14:textId="77777777" w:rsidR="00BE322E" w:rsidRPr="00D37862" w:rsidRDefault="00BE322E" w:rsidP="00BE322E">
      <w:pPr>
        <w:pStyle w:val="NormalHanging12a"/>
        <w:rPr>
          <w:noProof/>
        </w:rPr>
      </w:pPr>
      <w:r w:rsidRPr="00D37862">
        <w:t>–</w:t>
      </w:r>
      <w:r w:rsidRPr="00D37862">
        <w:tab/>
        <w:t xml:space="preserve">έχοντας υπόψη το άρθρο 314 παράγραφος 10 και το άρθρο 318 της Συνθήκης για τη </w:t>
      </w:r>
      <w:r w:rsidRPr="00D37862">
        <w:lastRenderedPageBreak/>
        <w:t>λειτουργία της Ευρωπαϊκής Ένωσης,</w:t>
      </w:r>
    </w:p>
    <w:p w14:paraId="2464D5D8" w14:textId="77777777" w:rsidR="00BE322E" w:rsidRPr="00D37862" w:rsidRDefault="00BE322E" w:rsidP="00BE322E">
      <w:pPr>
        <w:pStyle w:val="NormalHanging12a"/>
        <w:rPr>
          <w:noProof/>
        </w:rPr>
      </w:pPr>
      <w:r w:rsidRPr="00D37862">
        <w:t>–</w:t>
      </w:r>
      <w:r w:rsidRPr="00D37862">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37862">
        <w:rPr>
          <w:rStyle w:val="FootnoteReference"/>
          <w:noProof/>
        </w:rPr>
        <w:footnoteReference w:id="6"/>
      </w:r>
      <w:r w:rsidRPr="00D37862">
        <w:t>, και ιδίως τα άρθρα 260, 261 και 262,</w:t>
      </w:r>
    </w:p>
    <w:p w14:paraId="4B6C82AE" w14:textId="77777777" w:rsidR="00BE322E" w:rsidRPr="00D37862" w:rsidRDefault="00BE322E" w:rsidP="00BE322E">
      <w:pPr>
        <w:pStyle w:val="NormalHanging12a"/>
        <w:rPr>
          <w:noProof/>
        </w:rPr>
      </w:pPr>
      <w:r w:rsidRPr="00D37862">
        <w:t>–</w:t>
      </w:r>
      <w:r w:rsidRPr="00D37862">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37862">
        <w:rPr>
          <w:rStyle w:val="FootnoteReference"/>
          <w:noProof/>
        </w:rPr>
        <w:footnoteReference w:id="7"/>
      </w:r>
      <w:r w:rsidRPr="00D37862">
        <w:t>, και ιδίως τα άρθρα 266, 267 και 268,</w:t>
      </w:r>
    </w:p>
    <w:p w14:paraId="1CDE246E" w14:textId="77777777" w:rsidR="00BE322E" w:rsidRPr="00D37862" w:rsidRDefault="00BE322E" w:rsidP="00BE322E">
      <w:pPr>
        <w:pStyle w:val="NormalHanging12a"/>
        <w:rPr>
          <w:noProof/>
        </w:rPr>
      </w:pPr>
      <w:r w:rsidRPr="00D37862">
        <w:t>–</w:t>
      </w:r>
      <w:r w:rsidRPr="00D37862">
        <w:tab/>
        <w:t>έχοντας υπόψη την απόφαση του Προεδρείου, της 10ης Δεκεμβρίου 2018, σχετικά με τους εσωτερικούς κανόνες για την εκτέλεση του προϋπολογισμού του Ευρωπαϊκού Κοινοβουλίου, και ιδίως το άρθρο 34,</w:t>
      </w:r>
    </w:p>
    <w:p w14:paraId="112853ED" w14:textId="77777777" w:rsidR="00BE322E" w:rsidRPr="00D37862" w:rsidRDefault="00BE322E" w:rsidP="00BE322E">
      <w:pPr>
        <w:pStyle w:val="NormalHanging12a"/>
        <w:rPr>
          <w:noProof/>
        </w:rPr>
      </w:pPr>
      <w:r w:rsidRPr="00D37862">
        <w:t>–</w:t>
      </w:r>
      <w:r w:rsidRPr="00D37862">
        <w:tab/>
        <w:t>έχοντας υπόψη το άρθρο 102, το άρθρο 106 παράγραφος 3 και το παράρτημα V του Κανονισμού του,</w:t>
      </w:r>
    </w:p>
    <w:p w14:paraId="532854E8" w14:textId="77777777" w:rsidR="00BE322E" w:rsidRPr="00D37862" w:rsidRDefault="00BE322E" w:rsidP="00BE322E">
      <w:pPr>
        <w:pStyle w:val="NormalHanging12a"/>
      </w:pPr>
      <w:r w:rsidRPr="00D37862">
        <w:t>–</w:t>
      </w:r>
      <w:r w:rsidRPr="00D37862">
        <w:tab/>
        <w:t>έχοντας υπόψη τη γνωμοδότηση της Επιτροπής Δικαιωμάτων των Γυναικών και Ισότητας των Φύλων,</w:t>
      </w:r>
    </w:p>
    <w:p w14:paraId="4D4E2FC2" w14:textId="77777777" w:rsidR="00BE322E" w:rsidRPr="00D37862" w:rsidRDefault="00BE322E" w:rsidP="00BE322E">
      <w:pPr>
        <w:pStyle w:val="NormalHanging12a"/>
      </w:pPr>
      <w:r w:rsidRPr="00D37862">
        <w:t>–</w:t>
      </w:r>
      <w:r w:rsidRPr="00D37862">
        <w:tab/>
        <w:t>έχοντας υπόψη την έκθεση της Επιτροπής Ελέγχου του Προϋπολογισμού (A10-0081/2026),</w:t>
      </w:r>
    </w:p>
    <w:p w14:paraId="4B8AF965" w14:textId="77777777" w:rsidR="00BE322E" w:rsidRPr="00D37862" w:rsidRDefault="00BE322E" w:rsidP="00BE322E">
      <w:pPr>
        <w:pStyle w:val="NormalHanging12a"/>
        <w:rPr>
          <w:noProof/>
        </w:rPr>
      </w:pPr>
      <w:r w:rsidRPr="00D37862">
        <w:t>1.</w:t>
      </w:r>
      <w:r w:rsidRPr="00D37862">
        <w:tab/>
        <w:t>χορηγεί απαλλαγή στην Πρόεδρό του όσον αφορά την εκτέλεση του προϋπολογισμού του Ευρωπαϊκού Κοινοβουλίου για το οικονομικό έτος 2024·</w:t>
      </w:r>
    </w:p>
    <w:p w14:paraId="2D8E8251" w14:textId="77777777" w:rsidR="00BE322E" w:rsidRPr="00D37862" w:rsidRDefault="00BE322E" w:rsidP="00BE322E">
      <w:pPr>
        <w:pStyle w:val="NormalHanging12a"/>
        <w:rPr>
          <w:noProof/>
        </w:rPr>
      </w:pPr>
      <w:r w:rsidRPr="00D37862">
        <w:t>2.</w:t>
      </w:r>
      <w:r w:rsidRPr="00D37862">
        <w:tab/>
        <w:t>εκθέτει τις παρατηρήσεις του στο ψήφισμα που ακολουθεί·</w:t>
      </w:r>
    </w:p>
    <w:p w14:paraId="4F2A231C" w14:textId="77777777" w:rsidR="00BE322E" w:rsidRPr="00D37862" w:rsidRDefault="00BE322E" w:rsidP="00BE322E">
      <w:pPr>
        <w:pStyle w:val="NormalHanging12a"/>
        <w:rPr>
          <w:noProof/>
        </w:rPr>
      </w:pPr>
      <w:r w:rsidRPr="00D37862">
        <w:t>3.</w:t>
      </w:r>
      <w:r w:rsidRPr="00D37862">
        <w:tab/>
        <w:t xml:space="preserve">αναθέτει στην Πρόεδρό του να διαβιβάσει την παρούσα απόφαση και το ψήφισμα που αποτελεί αναπόσπαστο μέρος της στο Συμβούλιο, στην Επιτροπή και στο Ελεγκτικό Συνέδριο, και να μεριμνήσει για τη δημοσίευσή τους στην </w:t>
      </w:r>
      <w:r w:rsidRPr="00D37862">
        <w:rPr>
          <w:i/>
          <w:iCs/>
        </w:rPr>
        <w:t>Επίσημη Εφημερίδα της Ευρωπαϊκής Ένωσης</w:t>
      </w:r>
      <w:r w:rsidRPr="00D37862">
        <w:t xml:space="preserve"> (σειρά L).</w:t>
      </w:r>
    </w:p>
    <w:p w14:paraId="1E91C02A" w14:textId="77777777" w:rsidR="00BE322E" w:rsidRPr="00D37862" w:rsidRDefault="00BE322E" w:rsidP="00BE322E"/>
    <w:p w14:paraId="5885E0AD" w14:textId="77777777" w:rsidR="00BE322E" w:rsidRPr="00D37862" w:rsidRDefault="00BE322E" w:rsidP="00BE322E">
      <w:pPr>
        <w:pStyle w:val="PageHeading"/>
        <w:sectPr w:rsidR="00BE322E" w:rsidRPr="00D37862" w:rsidSect="00D45667">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CAC11F" w14:textId="5408B9CC" w:rsidR="00BE322E" w:rsidRPr="00D37862" w:rsidRDefault="00AE28F5" w:rsidP="00E34A88">
      <w:pPr>
        <w:pStyle w:val="ATHeading3"/>
        <w:rPr>
          <w:noProof/>
        </w:rPr>
      </w:pPr>
      <w:bookmarkStart w:id="8" w:name="_Toc227318311"/>
      <w:r w:rsidRPr="00D37862">
        <w:lastRenderedPageBreak/>
        <w:t>2. Ψήφισμα του Ευρωπαϊκού Κοινοβουλίου της 29ης Απριλίου 2026 με τις παρατηρήσεις οι οποίες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I – Ευρωπαϊκό Κοινοβούλιο (2025/2146(DEC))</w:t>
      </w:r>
      <w:bookmarkEnd w:id="8"/>
    </w:p>
    <w:p w14:paraId="455FC456" w14:textId="77777777" w:rsidR="00BE322E" w:rsidRPr="00D37862" w:rsidRDefault="00BE322E" w:rsidP="00BE322E">
      <w:pPr>
        <w:pStyle w:val="EPComma"/>
        <w:rPr>
          <w:noProof/>
        </w:rPr>
      </w:pPr>
      <w:r w:rsidRPr="00D37862">
        <w:rPr>
          <w:i/>
        </w:rPr>
        <w:t>Το Ευρωπαϊκό Κοινοβούλιο</w:t>
      </w:r>
      <w:r w:rsidRPr="00D37862">
        <w:t>,</w:t>
      </w:r>
    </w:p>
    <w:p w14:paraId="05FBFDAC" w14:textId="77777777" w:rsidR="00BE322E" w:rsidRPr="00D37862" w:rsidRDefault="00BE322E" w:rsidP="00BE322E">
      <w:pPr>
        <w:pStyle w:val="NormalHanging12a"/>
        <w:rPr>
          <w:noProof/>
        </w:rPr>
      </w:pPr>
      <w:r w:rsidRPr="00D37862">
        <w:t>–</w:t>
      </w:r>
      <w:r w:rsidRPr="00D37862">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I – Ευρωπαϊκό Κοινοβούλιο,</w:t>
      </w:r>
    </w:p>
    <w:p w14:paraId="2F3F6E93" w14:textId="77777777" w:rsidR="00BE322E" w:rsidRPr="00D37862" w:rsidRDefault="00BE322E" w:rsidP="00BE322E">
      <w:pPr>
        <w:pStyle w:val="NormalHanging12a"/>
        <w:rPr>
          <w:noProof/>
        </w:rPr>
      </w:pPr>
      <w:r w:rsidRPr="00D37862">
        <w:t>–</w:t>
      </w:r>
      <w:r w:rsidRPr="00D37862">
        <w:tab/>
        <w:t>έχοντας υπόψη το άρθρο 102, το άρθρο 106 παράγραφος 3 και το παράρτημα V του Κανονισμού του,</w:t>
      </w:r>
    </w:p>
    <w:p w14:paraId="2F81D4FF" w14:textId="77777777" w:rsidR="00BE322E" w:rsidRPr="00D37862" w:rsidRDefault="00BE322E" w:rsidP="00BE322E">
      <w:pPr>
        <w:pStyle w:val="NormalHanging12a"/>
      </w:pPr>
      <w:r w:rsidRPr="00D37862">
        <w:t>–</w:t>
      </w:r>
      <w:r w:rsidRPr="00D37862">
        <w:tab/>
        <w:t>έχοντας υπόψη τη γνωμοδότηση της Επιτροπής Δικαιωμάτων των Γυναικών και Ισότητας των Φύλων,</w:t>
      </w:r>
    </w:p>
    <w:p w14:paraId="22D4FB14" w14:textId="77777777" w:rsidR="00BE322E" w:rsidRPr="00D37862" w:rsidRDefault="00BE322E" w:rsidP="00BE322E">
      <w:pPr>
        <w:pStyle w:val="NormalHanging12a"/>
      </w:pPr>
      <w:r w:rsidRPr="00D37862">
        <w:t>–</w:t>
      </w:r>
      <w:r w:rsidRPr="00D37862">
        <w:tab/>
        <w:t>έχοντας υπόψη την έκθεση της Επιτροπής Ελέγχου του Προϋπολογισμού (A10-0081/2026),</w:t>
      </w:r>
    </w:p>
    <w:p w14:paraId="5FB0E9D5" w14:textId="77777777" w:rsidR="00BE322E" w:rsidRPr="00D37862" w:rsidRDefault="00BE322E" w:rsidP="00BE322E">
      <w:pPr>
        <w:pStyle w:val="NormalHanging12a"/>
        <w:rPr>
          <w:noProof/>
        </w:rPr>
      </w:pPr>
      <w:r w:rsidRPr="00D37862">
        <w:t>Α.</w:t>
      </w:r>
      <w:r w:rsidRPr="00D37862">
        <w:tab/>
        <w:t>λαμβάνοντας υπόψη ότι, στην πιστοποίηση των οριστικών λογαριασμών, ο υπόλογος του Ευρωπαϊκού Κοινοβουλίου («το Κοινοβούλιο») δηλώνει την εύλογη βεβαιότητά του ότι οι λογαριασμοί παρέχουν ακριβοδίκαιη εικόνα, από κάθε ουσιώδη πλευρά, της οικονομικής κατάστασης, των αποτελεσμάτων των πράξεων και των ταμειακών ροών του Κοινοβουλίου·</w:t>
      </w:r>
    </w:p>
    <w:p w14:paraId="210779BB" w14:textId="77777777" w:rsidR="00BE322E" w:rsidRPr="00D37862" w:rsidRDefault="00BE322E" w:rsidP="00BE322E">
      <w:pPr>
        <w:pStyle w:val="NormalHanging12a"/>
        <w:rPr>
          <w:noProof/>
        </w:rPr>
      </w:pPr>
      <w:r w:rsidRPr="00D37862">
        <w:t>Β.</w:t>
      </w:r>
      <w:r w:rsidRPr="00D37862">
        <w:tab/>
        <w:t>λαμβάνοντας υπόψη ότι, σύμφωνα με τη συνήθη διαδικασία, στη διοίκηση του Κοινοβουλίου εστάλησαν 55 ερωτήσεις και ελήφθησαν γραπτές απαντήσεις οι οποίες συζητήθηκαν δημόσια από την Επιτροπή Ελέγχου του Προϋπολογισμού του Κοινοβουλίου στις 8 Δεκεμβρίου 2025, παρουσία του Γενικού Γραμματέα, των αρμόδιων για τον προϋπολογισμό Αντιπροέδρων, του εσωτερικού ελεγκτή, και του διευθυντή της Αρχής για τα ευρωπαϊκά πολιτικά κόμματα και τα ευρωπαϊκά πολιτικά ιδρύματα·</w:t>
      </w:r>
    </w:p>
    <w:p w14:paraId="36D5BD3F" w14:textId="77777777" w:rsidR="00BE322E" w:rsidRPr="00D37862" w:rsidRDefault="00BE322E" w:rsidP="00BE322E">
      <w:pPr>
        <w:pStyle w:val="NormalHanging12a"/>
      </w:pPr>
      <w:r w:rsidRPr="00D37862">
        <w:t>Γ.</w:t>
      </w:r>
      <w:r w:rsidRPr="00D37862">
        <w:tab/>
        <w:t>λαμβάνοντας υπόψη ότι υπάρχει πάντα περιθώριο βελτίωσης και ότι ο έλεγχος είναι αναγκαίος προκειμένου να διασφαλίζεται ότι η πολιτική ηγεσία, οι βουλευτές και η διοίκηση του Κοινοβουλίου χαρακτηρίζονται από διαφάνεια και ακεραιότητα και, συνεπώς, λογοδοτούν στους πολίτες της Ένωσης, και επιπλέον συμβάλλει στη βελτίωση της ποιότητας, της αποδοτικότητας και της αποτελεσματικότητας της διαχείρισης των δημόσιων οικονομικών, μεταξύ άλλων στη δημοσιονομική πειθαρχία, στη διαφύλαξη της αξιοπιστίας του Κοινοβουλίου κατά την άσκηση των καθηκόντων του όσον αφορά την απαλλαγή έναντι των άλλων θεσμικών οργάνων·</w:t>
      </w:r>
    </w:p>
    <w:p w14:paraId="40C9EA36" w14:textId="77777777" w:rsidR="00BE322E" w:rsidRPr="00D37862" w:rsidRDefault="00BE322E" w:rsidP="00BE322E">
      <w:pPr>
        <w:pStyle w:val="NormalHanging12a"/>
      </w:pPr>
      <w:r w:rsidRPr="00D37862">
        <w:t>Δ.</w:t>
      </w:r>
      <w:r w:rsidRPr="00D37862">
        <w:tab/>
        <w:t xml:space="preserve">λαμβάνοντας υπόψη ότι η ασφάλεια δικαίου αποτελεί μία από τις κατευθυντήριες αρχές για την υλοποίηση των διοικητικών αποφάσεων· λαμβάνοντας υπόψη ότι ο διαρκώς αυξανόμενος αριθμός κανόνων και υποχρεώσεων μπορεί να οδηγήσει σε σύγχυση και ασάφεια όπου απαιτείται ασφάλεια δικαίου για τους βουλευτές και τα γραφεία τους, γεγονός που υποχρεώνει τη διοίκηση να προβαίνει σε σαφή, ολοκληρωμένη και νομικά ορθή επικοινωνία· </w:t>
      </w:r>
    </w:p>
    <w:p w14:paraId="1D2AE8AB" w14:textId="77777777" w:rsidR="00BE322E" w:rsidRPr="00D37862" w:rsidRDefault="00BE322E" w:rsidP="00BE322E">
      <w:pPr>
        <w:pStyle w:val="NormalHanging12a"/>
      </w:pPr>
      <w:r w:rsidRPr="00D37862">
        <w:lastRenderedPageBreak/>
        <w:t>Ε.</w:t>
      </w:r>
      <w:r w:rsidRPr="00D37862">
        <w:tab/>
        <w:t>λαμβάνοντας υπόψη ότι οι βουλευτές λαμβάνουν οικονομική και υλικοτεχνική υποστήριξη από τη διοίκηση για την πλήρη εκτέλεση της εντολής τους· λαμβάνοντας υπόψη ότι οι σχέσεις μεταξύ των βουλευτών, των γραφείων τους και της διοίκησης βασίζονται στην αμοιβαία εμπιστοσύνη, η οποία θα πρέπει να αποτελεί κατευθυντήρια αρχή για τη διάθεση οικονομικής υποστήριξης στους βουλευτές· λαμβάνοντας υπόψη ότι αυτό θα πρέπει να αντικατοπτρίζεται στο επίπεδο των ελέγχων και των επανεξετάσεων που διενεργούνται εκ των προτέρων και εκ των υστέρων από τη διοίκηση· λαμβάνοντας υπόψη ότι είναι προφανές πως οι σαφείς, αναλογικές, στοχευμένες, τυποποιημένες και απλουστευμένες διαδικασίες είναι ο βέλτιστος και αποτελεσματικότερος τρόπος για τη διενέργεια επανεξετάσεων και ελέγχων των οικονομικών δικαιωμάτων, με απώτερο στόχο την παροχή του υψηλότερου δυνατού επιπέδου διαφάνειας και λογοδοσίας ώστε να ενισχυθεί η δημοκρατική νομιμοποίηση και, κατά συνέπεια, η εμπιστοσύνη των πολιτών της Ένωσης·</w:t>
      </w:r>
    </w:p>
    <w:p w14:paraId="122CB3CD" w14:textId="77777777" w:rsidR="00BE322E" w:rsidRPr="00D37862" w:rsidRDefault="00BE322E" w:rsidP="00BE322E">
      <w:pPr>
        <w:pStyle w:val="NormalHanging12a"/>
      </w:pPr>
      <w:r w:rsidRPr="00D37862">
        <w:t>ΣΤ.</w:t>
      </w:r>
      <w:r w:rsidRPr="00D37862">
        <w:tab/>
        <w:t xml:space="preserve">λαμβάνοντας υπόψη ότι η εμπιστοσύνη στην ακεραιότητα του Κοινοβουλίου και στο κράτος δικαίου είναι υψίστης σημασίας στοιχείο για τη λειτουργία της ευρωπαϊκής δημοκρατίας, παράλληλα με τον πλήρη σεβασμό προς τα δικαιώματα των πολιτών· </w:t>
      </w:r>
    </w:p>
    <w:p w14:paraId="57FA847B" w14:textId="77777777" w:rsidR="00BE322E" w:rsidRPr="00D37862" w:rsidRDefault="00BE322E" w:rsidP="00BE322E">
      <w:pPr>
        <w:pStyle w:val="NormalHanging12a"/>
      </w:pPr>
      <w:r w:rsidRPr="00D37862">
        <w:t>Ζ.</w:t>
      </w:r>
      <w:r w:rsidRPr="00D37862">
        <w:tab/>
        <w:t>λαμβάνοντας υπόψη ότι οι βουλευτές προστατεύονται δυνάμει των διατάξεων για το ανεύθυνο των βουλευτών όσον αφορά τις ψήφους και τις γνώμες που εκφράζονται κατά την άσκηση των καθηκόντων τους και το ακαταδίωκτο των βουλευτών, βάσει του οποίου προστατεύονται από περιορισμούς της προσωπικής τους ελευθερίας κατά την άσκηση των καθηκόντων τους στο Κοινοβούλιο·</w:t>
      </w:r>
    </w:p>
    <w:p w14:paraId="40B947B0" w14:textId="77777777" w:rsidR="00BE322E" w:rsidRPr="00D37862" w:rsidRDefault="00BE322E" w:rsidP="00BE322E">
      <w:pPr>
        <w:pStyle w:val="NormalHanging12a"/>
      </w:pPr>
      <w:r w:rsidRPr="00D37862">
        <w:t>Η.</w:t>
      </w:r>
      <w:r w:rsidRPr="00D37862">
        <w:tab/>
        <w:t> λαμβάνοντας υπόψη ότι η ισότητα των φύλων και η εξάλειψη των ανισοτήτων αποτελούν βασικές αξίες της Ένωσης, όπως κατοχυρώνονται στο άρθρο 2 της Συνθήκης για την Ευρωπαϊκή Ένωση (ΣΕΕ)· λαμβάνοντας υπόψη ότι η Ένωση έχει δεσμευτεί να προωθεί την ισότητα των φύλων σε όλες τις δραστηριότητές της, σύμφωνα με το άρθρο 8 της Συνθήκης για τη λειτουργία της Ευρωπαϊκής Ένωσης, θεσπίζοντας κατ’ αυτό τον τρόπο την αρχή της ενσωμάτωσης της ισότητας των φύλων και της συνεκτίμησης της διάστασης του φύλου στον προϋπολογισμό·</w:t>
      </w:r>
    </w:p>
    <w:p w14:paraId="1EFFFF16" w14:textId="77777777" w:rsidR="00BE322E" w:rsidRPr="00D37862" w:rsidRDefault="00BE322E" w:rsidP="00BE322E">
      <w:pPr>
        <w:pStyle w:val="NormalHanging12a"/>
      </w:pPr>
      <w:r w:rsidRPr="00D37862">
        <w:t>Θ.</w:t>
      </w:r>
      <w:r w:rsidRPr="00D37862">
        <w:tab/>
        <w:t>λαμβάνοντας υπόψη ότι, σύμφωνα με το άρθρο 249 του Κανονισμού, το Προεδρείο εγκρίνει σχέδιο δράσης για την ισότητα των φύλων με στόχο την ενσωμάτωση της διάστασης του φύλου στο σύνολο των δραστηριοτήτων του Κοινοβουλίου·</w:t>
      </w:r>
    </w:p>
    <w:p w14:paraId="5DE9A1CB"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Δημοσιονομική και χρηματοοικονομική διαχείριση του Κοινοβουλίου</w:t>
      </w:r>
    </w:p>
    <w:p w14:paraId="66F0C86D" w14:textId="735A0636"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1.</w:t>
      </w:r>
      <w:r w:rsidRPr="00D37862">
        <w:rPr>
          <w:szCs w:val="24"/>
          <w14:textOutline w14:w="0" w14:cap="flat" w14:cmpd="sng" w14:algn="ctr">
            <w14:noFill/>
            <w14:prstDash w14:val="solid"/>
            <w14:bevel/>
          </w14:textOutline>
        </w:rPr>
        <w:tab/>
      </w:r>
      <w:r w:rsidR="00BE322E" w:rsidRPr="00D37862">
        <w:t>σημειώνει ότι οι οριστικές πιστώσεις του Κοινοβουλίου για το 2024 ανήλθαν σε 2 383 εκατ</w:t>
      </w:r>
      <w:r w:rsidR="00D32450" w:rsidRPr="00D37862">
        <w:t>ομμύρια</w:t>
      </w:r>
      <w:r w:rsidR="00BE322E" w:rsidRPr="00D37862">
        <w:t> EUR, ή 20,2 % του τομέα 7 του πολυετούς δημοσιονομικού πλαισίου</w:t>
      </w:r>
      <w:r w:rsidR="00BE322E" w:rsidRPr="00D37862">
        <w:rPr>
          <w:rStyle w:val="FootnoteReference"/>
        </w:rPr>
        <w:footnoteReference w:id="8"/>
      </w:r>
      <w:r w:rsidR="00BE322E" w:rsidRPr="00D37862">
        <w:t xml:space="preserve"> για τις διοικητικές δαπάνες των θεσμικών οργάνων της Ένωσης συνολικά για το 2024, ποσό που συνιστά αύξηση κατά 6,05 % σε σύγκριση με τον προϋπολογισμό του 2023 (2 247 εκατ</w:t>
      </w:r>
      <w:r w:rsidR="00D32450" w:rsidRPr="00D37862">
        <w:t>ομμύρια</w:t>
      </w:r>
      <w:r w:rsidR="00BE322E" w:rsidRPr="00D37862">
        <w:t> EUR)·</w:t>
      </w:r>
    </w:p>
    <w:p w14:paraId="3E45FC14" w14:textId="2AEF980A"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2.</w:t>
      </w:r>
      <w:r w:rsidRPr="00D37862">
        <w:rPr>
          <w:szCs w:val="24"/>
          <w14:textOutline w14:w="0" w14:cap="flat" w14:cmpd="sng" w14:algn="ctr">
            <w14:noFill/>
            <w14:prstDash w14:val="solid"/>
            <w14:bevel/>
          </w14:textOutline>
        </w:rPr>
        <w:tab/>
      </w:r>
      <w:r w:rsidR="00BE322E" w:rsidRPr="00D37862">
        <w:t>σημειώνει ότι τα συνολικά έσοδα που ήταν εγγεγραμμένα στους λογαριασμούς στις 31</w:t>
      </w:r>
      <w:r w:rsidR="00E2012B" w:rsidRPr="00D37862">
        <w:t> </w:t>
      </w:r>
      <w:r w:rsidR="00BE322E" w:rsidRPr="00D37862">
        <w:t>Δεκεμβρίου 2024 ανέρχονταν σε 281 517 001 EUR (έναντι 255 205 473 EUR το 2023)·</w:t>
      </w:r>
      <w:r w:rsidR="00BE322E" w:rsidRPr="00D37862">
        <w:rPr>
          <w14:textOutline w14:w="0" w14:cap="flat" w14:cmpd="sng" w14:algn="ctr">
            <w14:noFill/>
            <w14:prstDash w14:val="solid"/>
            <w14:bevel/>
          </w14:textOutline>
        </w:rPr>
        <w:t xml:space="preserve"> </w:t>
      </w:r>
      <w:r w:rsidR="00BE322E" w:rsidRPr="00D37862">
        <w:t xml:space="preserve">σημειώνει ότι τα έσοδα με ειδικό προορισμό που διατέθηκαν το 2024 ανήλθαν </w:t>
      </w:r>
      <w:r w:rsidR="00BE322E" w:rsidRPr="00D37862">
        <w:lastRenderedPageBreak/>
        <w:t>σε 40 277 555 EUR (έναντι 50 186 995 EUR το 2023)·</w:t>
      </w:r>
    </w:p>
    <w:p w14:paraId="1DE4561F" w14:textId="11C99C50"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3.</w:t>
      </w:r>
      <w:r w:rsidRPr="00D37862">
        <w:rPr>
          <w:szCs w:val="24"/>
          <w14:textOutline w14:w="0" w14:cap="flat" w14:cmpd="sng" w14:algn="ctr">
            <w14:noFill/>
            <w14:prstDash w14:val="solid"/>
            <w14:bevel/>
          </w14:textOutline>
        </w:rPr>
        <w:tab/>
      </w:r>
      <w:r w:rsidR="00BE322E" w:rsidRPr="00D37862">
        <w:t>σημειώνει ότι τα κάτωθι έξι κεφάλαια αντιπροσωπεύουν το 85,7 % των συνολικών αναλήψεων υποχρεώσεων:</w:t>
      </w:r>
      <w:r w:rsidR="00BE322E" w:rsidRPr="00D37862">
        <w:rPr>
          <w14:textOutline w14:w="0" w14:cap="flat" w14:cmpd="sng" w14:algn="ctr">
            <w14:noFill/>
            <w14:prstDash w14:val="solid"/>
            <w14:bevel/>
          </w14:textOutline>
        </w:rPr>
        <w:t xml:space="preserve"> </w:t>
      </w:r>
      <w:r w:rsidR="00BE322E" w:rsidRPr="00D37862">
        <w:t xml:space="preserve">Κεφάλαιο 1 0 «Βουλευτές του οργάνου»· Κεφάλαιο 1 2 «Μόνιμοι και έκτακτοι υπάλληλοι»· Κεφάλαιο 1 4 «Λοιπό προσωπικό και παροχή υπηρεσιών από εξωτερικούς συνεργάτες»· Κεφάλαιο 2 0 «Ακίνητα και παρεπόμενα έξοδα»· Κεφάλαιο 2 1 «Επεξεργασία δεδομένων, εξοπλισμός και κινητή περιουσία» και κεφάλαιο 4 2 «Δαπάνες σχετικές με την </w:t>
      </w:r>
      <w:proofErr w:type="spellStart"/>
      <w:r w:rsidR="00BE322E" w:rsidRPr="00D37862">
        <w:t>επικούρηση</w:t>
      </w:r>
      <w:proofErr w:type="spellEnd"/>
      <w:r w:rsidR="00BE322E" w:rsidRPr="00D37862">
        <w:t xml:space="preserve"> των βουλευτών»·</w:t>
      </w:r>
    </w:p>
    <w:p w14:paraId="5BC8A858" w14:textId="6303DBB9"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4.</w:t>
      </w:r>
      <w:r w:rsidRPr="00D37862">
        <w:rPr>
          <w:szCs w:val="24"/>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σημειώνει τα αριθμητικά στοιχεία βάσει των οποίων έκλεισαν οι λογαριασμοί του Κοινοβουλίου για το οικονομικό έτος 2024 και τα οποία περιλαμβάνονται στους ετήσιους λογαριασμούς του Ευρωπαϊκού Κοινοβουλίου για το οικονομικό έτος 2024, στην έκθεση σχετικά με τη δημοσιονομική και χρηματοοικονομική διαχείριση για το Τμήμα I: Ευρωπαϊκό Κοινοβούλιο, και στην έκθεση σχετικά με τις συμβάσεις και τις παραχωρήσεις που ανέθεσε το Ευρωπαϊκό Κοινοβούλιο·</w:t>
      </w:r>
    </w:p>
    <w:p w14:paraId="3BEF23F1" w14:textId="2EEA7390"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5.</w:t>
      </w:r>
      <w:r w:rsidRPr="00D37862">
        <w:rPr>
          <w:szCs w:val="24"/>
          <w14:textOutline w14:w="0" w14:cap="flat" w14:cmpd="sng" w14:algn="ctr">
            <w14:noFill/>
            <w14:prstDash w14:val="solid"/>
            <w14:bevel/>
          </w14:textOutline>
        </w:rPr>
        <w:tab/>
      </w:r>
      <w:r w:rsidR="00BE322E" w:rsidRPr="00D37862">
        <w:t>σημειώνει ότι το οικονομικό έτος 2024 η Επιτροπή Προϋπολογισμών του Κοινοβουλίου ενέκρινε 12 μεταφορές πιστώσεων («μεταφορές πιστώσεων C») σύμφωνα με τα άρθρα 31 και 49 του δημοσιονομικού κανονισμού, συνολικού ύψους 82 768 000 EUR, ήτοι το 3,47 % των οριστικών πιστώσεων·</w:t>
      </w:r>
      <w:r w:rsidR="00BE322E" w:rsidRPr="00D37862">
        <w:rPr>
          <w14:textOutline w14:w="0" w14:cap="flat" w14:cmpd="sng" w14:algn="ctr">
            <w14:noFill/>
            <w14:prstDash w14:val="solid"/>
            <w14:bevel/>
          </w14:textOutline>
        </w:rPr>
        <w:t xml:space="preserve"> </w:t>
      </w:r>
      <w:r w:rsidR="00BE322E" w:rsidRPr="00D37862">
        <w:t>σημειώνει ότι η Πρόεδρος ενέκρινε 9 μεταφορές («μεταφορές πιστώσεων P»), σύμφωνα με το άρθρο 29 του δημοσιονομικού κανονισμού, συνολικού ύψους 11 479 000 EUR, ήτοι το 0,4 % του προϋπολογισμού του 2024·</w:t>
      </w:r>
    </w:p>
    <w:p w14:paraId="6042A493" w14:textId="6A3960B4" w:rsidR="00BE322E" w:rsidRPr="00D37862" w:rsidRDefault="00D37862" w:rsidP="00D37862">
      <w:pPr>
        <w:spacing w:after="240"/>
        <w:ind w:left="567" w:hanging="573"/>
      </w:pPr>
      <w:r w:rsidRPr="00D37862">
        <w:t>6.</w:t>
      </w:r>
      <w:r w:rsidRPr="00D37862">
        <w:tab/>
      </w:r>
      <w:r w:rsidR="00BE322E" w:rsidRPr="00D37862">
        <w:t>εκφράζει την ικανοποίησή του για τη δέσμευση του Γενικού Γραμματέα για απλούστευση, χρηστή διοίκηση και ενίσχυση των καθηκόντων ελέγχου του Κοινοβουλίου· σημειώνει με ικανοποίηση ότι η απλούστευση δεν γίνεται δεκτή απλώς ως στόχος που πρέπει να επιτευχθεί, αλλά ως κατευθυντήρια αρχή που πρέπει να εφαρμόζεται συστηματικά σε όλους τους τομείς του έργου του Κοινοβουλίου, ώστε να διασφαλίζονται αποτελεσματικότερες και πιο προσβάσιμες (διοικητικές) διαδικασίες· εκφράζει την ικανοποίησή του για τη συνεχιζόμενη έμφαση που δίνεται στις βασικές εργασίες του Κοινοβουλίου, στις νομοθετικές, δημοσιονομικές και ελεγκτικές δραστηριότητές του, και ιδίως στη δημιουργία τεσσάρων θεματικών γενικών διευθύνσεων, συμπεριλαμβανομένης της Γενικής Διεύθυνσης Δημοσιονομικών Υποθέσεων·</w:t>
      </w:r>
    </w:p>
    <w:p w14:paraId="77B074F0"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Οι γνώμες του Ευρωπαϊκού Ελεγκτικού Συνεδρίου σχετικά με την αξιοπιστία των λογαριασμών του 2024 και τη νομιμότητα και κανονικότητα των πράξεων στις οποίες βασίζονται αυτοί οι λογαριασμοί</w:t>
      </w:r>
    </w:p>
    <w:p w14:paraId="47831DB6" w14:textId="4EBC0A9C"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7.</w:t>
      </w:r>
      <w:r w:rsidRPr="00D37862">
        <w:rPr>
          <w:szCs w:val="24"/>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 xml:space="preserve">υπενθυμίζει ότι το Ευρωπαϊκό Ελεγκτικό Συνέδριο διενεργεί ενιαία ειδική αποτίμηση των διοικητικών και λοιπών δαπανών για όλα τα θεσμικά όργανα της Ένωσης· </w:t>
      </w:r>
      <w:r w:rsidR="00BE322E" w:rsidRPr="00D37862">
        <w:t>επισημαίνει ότι οι διοικητικές δαπάνες συνίστανται στις δαπάνες για τους ανθρώπινους πόρους, περιλαμβανομένων των συντάξεων, οι οποίες το 2024 αντιστοιχούσαν στο 69 % περίπου του συνόλου των διοικητικών δαπανών, καθώς και στις δαπάνες που συνδέονται με τα κτίρια, τον εξοπλισμό, την ενέργεια, τις επικοινωνίες και την τεχνολογία των πληροφοριών·</w:t>
      </w:r>
      <w:r w:rsidR="00BE322E" w:rsidRPr="00D37862">
        <w:rPr>
          <w14:textOutline w14:w="0" w14:cap="flat" w14:cmpd="sng" w14:algn="ctr">
            <w14:noFill/>
            <w14:prstDash w14:val="solid"/>
            <w14:bevel/>
          </w14:textOutline>
        </w:rPr>
        <w:t xml:space="preserve"> επισημαίνει ότι το έργο του Ελεγκτικού Συνεδρίου επί σειρά ετών δείχνει ότι, συνολικά, οι δαπάνες αυτές είναι χαμηλού κινδύνου·</w:t>
      </w:r>
    </w:p>
    <w:p w14:paraId="0C17B925" w14:textId="38DEE7CF"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8.</w:t>
      </w:r>
      <w:r w:rsidRPr="00D37862">
        <w:rPr>
          <w:szCs w:val="24"/>
          <w14:textOutline w14:w="0" w14:cap="flat" w14:cmpd="sng" w14:algn="ctr">
            <w14:noFill/>
            <w14:prstDash w14:val="solid"/>
            <w14:bevel/>
          </w14:textOutline>
        </w:rPr>
        <w:tab/>
      </w:r>
      <w:r w:rsidR="00BE322E" w:rsidRPr="00D37862">
        <w:t>σημειώνει ότι το 2024 ο τομέας 7 του πολυετούς δημοσιονομικού πλαισίου «Ευρωπαϊκή δημόσια διοίκηση» ανήλθε σε 13,3 δισ</w:t>
      </w:r>
      <w:r w:rsidR="00D32450" w:rsidRPr="00D37862">
        <w:t>εκατομμύρια</w:t>
      </w:r>
      <w:r w:rsidR="00BE322E" w:rsidRPr="00D37862">
        <w:t xml:space="preserve"> EUR, ήτοι το 6,9 % </w:t>
      </w:r>
      <w:r w:rsidR="00BE322E" w:rsidRPr="00D37862">
        <w:lastRenderedPageBreak/>
        <w:t>του προϋπολογισμού της Ένωσης, εκ των οποίων το ποσό που αντιστοιχεί στο Κοινοβούλιο ανέρχεται σε 2,4 δισ</w:t>
      </w:r>
      <w:r w:rsidR="00D32450" w:rsidRPr="00D37862">
        <w:t>εκατομμύρια</w:t>
      </w:r>
      <w:r w:rsidR="00BE322E" w:rsidRPr="00D37862">
        <w:t xml:space="preserve"> EUR, ήτοι το 18,1 %· </w:t>
      </w:r>
      <w:r w:rsidR="00BE322E" w:rsidRPr="00D37862">
        <w:rPr>
          <w14:textOutline w14:w="0" w14:cap="flat" w14:cmpd="sng" w14:algn="ctr">
            <w14:noFill/>
            <w14:prstDash w14:val="solid"/>
            <w14:bevel/>
          </w14:textOutline>
        </w:rPr>
        <w:t>τονίζει το γεγονός ότι το Ελεγκτικό Συνέδριο διαπίστωσε πως το επίπεδο σφάλματος στις δαπάνες που αφορούσαν τον τομέα «Ευρωπαϊκή δημόσια διοίκηση» δεν ήταν σημαντικό·</w:t>
      </w:r>
    </w:p>
    <w:p w14:paraId="052674BF" w14:textId="4B37A0E5" w:rsidR="00BE322E" w:rsidRPr="00D37862" w:rsidRDefault="00D37862" w:rsidP="00D37862">
      <w:pPr>
        <w:spacing w:after="240"/>
        <w:ind w:left="567" w:hanging="573"/>
      </w:pPr>
      <w:r w:rsidRPr="00D37862">
        <w:t>9.</w:t>
      </w:r>
      <w:r w:rsidRPr="00D37862">
        <w:tab/>
      </w:r>
      <w:r w:rsidR="00BE322E" w:rsidRPr="00D37862">
        <w:t>σημειώνει ότι στην ετήσια έκθεση του Ελεγκτικού Συνεδρίου σχετικά με την εκτέλεση του προϋπολογισμού για το οικονομικό έτος 2024 εξετάστηκαν ειδικότερα τα συστήματα εποπτείας και ελέγχου του Κοινοβουλίου, ιδίως η εφαρμογή των προτύπων εσωτερικού ελέγχου, η διαχείριση κινδύνων και η λειτουργία των βασικών ελέγχων που ορίζονται στον δημοσιονομικό κανονισμό, συμπεριλαμβανομένων των προληπτικών και των κατασταλτικών ελέγχων των πληρωμών, καθώς και ένα στατιστικά αντιπροσωπευτικό δείγμα 70 πράξεων που καλύπτει το πλήρες φάσμα των δαπανών στο πλαίσιο αυτού του τομέα του πολυετούς δημοσιονομικού πλαισίου και τις πληροφορίες σχετικά με τη συμμόρφωση με τους κανόνες και τους κανονισμούς που παρέχονται στις ετήσιες εκθέσεις δραστηριοτήτων όλων των θεσμικών οργάνων και οργανισμών της Ένωσης·</w:t>
      </w:r>
    </w:p>
    <w:p w14:paraId="2F596E9F" w14:textId="22709D4D" w:rsidR="00BE322E" w:rsidRPr="00D37862" w:rsidRDefault="00D37862" w:rsidP="00D37862">
      <w:pPr>
        <w:pStyle w:val="NormalHanging12a"/>
        <w:ind w:hanging="573"/>
      </w:pPr>
      <w:r w:rsidRPr="00D37862">
        <w:t>10.</w:t>
      </w:r>
      <w:r w:rsidRPr="00D37862">
        <w:tab/>
      </w:r>
      <w:r w:rsidR="00BE322E" w:rsidRPr="00D37862">
        <w:t>λαμβάνει υπόψη τις παρατηρήσεις του Ελεγκτικού Συνεδρίου σχετικά με τους εσωτερικούς κανόνες του Κοινοβουλίου· επισημαίνει ότι η διοίκηση του Κοινοβουλίου υπόκειται στον δημοσιονομικό κανονισμό και στους κανόνες του για τις δημόσιες συμβάσεις· σημειώνει, ωστόσο, ότι για τις πολιτικές ομάδες το Προεδρείο έχει εγκρίνει κανονιστικές ρυθμίσεις σχετικά με τη χρησιμοποίηση των πιστώσεων της θέσης του προϋπολογισμού 400, που περιέχουν ειδικές διατάξεις για ορισμένες διαδικασίες σύναψης συμβάσεων· υπενθυμίζει ότι οι πολιτικές ομάδες διαχειρίζονται τα κονδύλια που τους διατίθενται σύμφωνα με τις αρχές της έμμεσης διαχείρισης των κονδυλίων κατ’ αναλογική εφαρμογή του άρθρου 62 παράγραφος 1 στοιχείο γ) του δημοσιονομικού κανονισμού· θεωρεί ότι οι κανόνες αυτοί αντικαθιστούν με τη σειρά τους τις «συμφωνίες συνεισφοράς» που αναφέρονται στο άρθρο 158 παράγραφος 7 του δημοσιονομικού κανονισμού· τονίζει ότι ένας εξωτερικός ελεγκτής για κάθε ομάδα, ο οποίος επιλέγεται από κατάλογο ελεγκτικών εταιρειών που έχει καταρτίσει η διοίκηση του Κοινοβουλίου, πιστοποιεί τους αντίστοιχους ετήσιους λογαριασμούς τους, ώστε να εξασφαλίζεται η συμμόρφωση, η οποία διασφαλίζει ουδέτερο επίπεδο ελέγχου· τονίζει ότι το Ελεγκτικό Συνέδριο εξετάζει επίσης τις δραστηριότητες των πολιτικών ομάδων στην ετήσια έκθεσή του·</w:t>
      </w:r>
    </w:p>
    <w:p w14:paraId="14F59C30" w14:textId="22D00C32" w:rsidR="00BE322E" w:rsidRPr="00D37862" w:rsidRDefault="00D37862" w:rsidP="00D37862">
      <w:pPr>
        <w:pStyle w:val="NormalHanging12a"/>
        <w:ind w:hanging="573"/>
      </w:pPr>
      <w:r w:rsidRPr="00D37862">
        <w:t>11.</w:t>
      </w:r>
      <w:r w:rsidRPr="00D37862">
        <w:tab/>
      </w:r>
      <w:r w:rsidR="00BE322E" w:rsidRPr="00D37862">
        <w:t xml:space="preserve">σημειώνει ότι μόνο τρεις ελεγκτές περιλαμβάνονταν στον κατάλογο των ελεγκτικών εταιρειών που επιλέχθηκαν για τον έλεγχο των λογαριασμών των πολιτικών ομάδων, εκφράζοντας τη λύπη του για τις περιορισμένες διαθέσιμες επιλογές· καλεί τη Γενική Διεύθυνση Οικονομικών (ΓΔ FINS) να προσπαθήσει να συμπεριλάβει περισσότερες εξωτερικές ελεγκτικές εταιρείες στον κατάλογο, καλώντας ενεργά όλους τους εξουσιοδοτημένους Ευρωπαίους ελεγκτές, συμπεριλαμβανομένων εκείνων με έδρα εκτός Βελγίου, προκειμένου ο αριθμός των παρεχόμενων εναλλακτικών επιλογών να είναι επαρκής και οι πολιτικές ομάδες να έχουν περισσότερες επιλογές για την επιλογή ελεγκτή που συμμορφώνεται με το Διεθνές Συμβούλιο Προτύπων Ελέγχου και Διασφάλισης (IAASB)· θεωρεί περαιτέρω ότι τα κονδύλια που διατίθενται από τις πολιτικές ομάδες για τη διενέργεια λογιστικών ελέγχων θα πρέπει να αυξηθούν, ώστε να διασφαλιστεί διεξοδικότερος έλεγχος της χρηστής δημοσιονομικής διαχείρισης και να προσελκυσθεί ευρύτερο φάσμα ελεγκτικής εμπειρογνωμοσύνης· σημειώνει την κατεύθυνση και την καθοδήγηση που έχει ήδη παρασχεθεί στους εξωτερικούς ελεγκτές και ενθαρρύνει τη ΓΔ FINS να διασφαλίσει την ποιότητα των εξωτερικών ελέγχων που πιστοποιούν τους λογαριασμούς των πολιτικών ομάδων· </w:t>
      </w:r>
    </w:p>
    <w:p w14:paraId="2D75896C" w14:textId="0D7A2AFE" w:rsidR="00BE322E" w:rsidRPr="00D37862" w:rsidRDefault="00D37862" w:rsidP="00D37862">
      <w:pPr>
        <w:spacing w:after="240"/>
        <w:ind w:left="567" w:hanging="573"/>
      </w:pPr>
      <w:r w:rsidRPr="00D37862">
        <w:lastRenderedPageBreak/>
        <w:t>12.</w:t>
      </w:r>
      <w:r w:rsidRPr="00D37862">
        <w:tab/>
      </w:r>
      <w:r w:rsidR="00BE322E" w:rsidRPr="00D37862">
        <w:t>σημειώνει ότι, σύμφωνα με το άρθρο 1 παράγραφος 4 των κανονιστικών ρυθμίσεων σχετικά με τη χρησιμοποίηση των πιστώσεων της θέσης του προϋπολογισμού 400, οι πολιτικές ομάδες είναι υπεύθυνες έναντι του θεσμικού οργάνου για τη χρησιμοποίηση των πιστώσεων, εντός των ορίων των αρμοδιοτήτων που τους ανατίθενται από το Προεδρείο· παρατηρεί ότι οφείλουν να διασφαλίζουν ότι οι πιστώσεις χρησιμοποιούνται σύμφωνα με τις εν λόγω κανονιστικές ρυθμίσεις· επικροτεί τις προσπάθειες της διοίκησης του Κοινοβουλίου να συνδράμει τις πολιτικές ομάδες με στόχο την καθοδήγηση των γνώσεων και ικανοτήτων τους όσον αφορά τη δημοσιονομική διαχείριση·</w:t>
      </w:r>
    </w:p>
    <w:p w14:paraId="1125BF9E" w14:textId="4953012E" w:rsidR="00BE322E" w:rsidRPr="00D37862" w:rsidRDefault="00D37862" w:rsidP="00D37862">
      <w:pPr>
        <w:spacing w:after="240"/>
        <w:ind w:left="567" w:hanging="573"/>
      </w:pPr>
      <w:r w:rsidRPr="00D37862">
        <w:t>13.</w:t>
      </w:r>
      <w:r w:rsidRPr="00D37862">
        <w:tab/>
      </w:r>
      <w:r w:rsidR="00BE322E" w:rsidRPr="00D37862">
        <w:t>υπενθυμίζει ότι είναι δυνατό να χορηγούνται κονδύλια από τον προϋπολογισμό της Ένωσης στα ευρωπαϊκά πολιτικά κόμματα λόγω της συμβολής τους στη διαμόρφωση της ευρωπαϊκής πολιτικής συνείδησης και στην έκφραση της πολιτικής βούλησης των πολιτών της Ένωσης· σημειώνει ότι το Ελεγκτικό Συνέδριο έλεγξε μία πράξη, όπου έκρινε τις δαπάνες μη επιλέξιμες, και διαπίστωσε ότι η διοίκηση του Κοινοβουλίου ήταν της ίδιας γνώμης και είχε λάβει μέτρα για την ανάκτηση των σχετικών δαπανών· εκφράζει την ικανοποίησή του για τη στάση της διοίκησης του Κοινοβουλίου εν προκειμένω, και ιδίως για τη δέσμευσή του να εφαρμόσει μια οριζόντια προσέγγιση, διασφαλίζοντας την ίση μεταχείριση όλων των πολιτικών κομμάτων·</w:t>
      </w:r>
    </w:p>
    <w:p w14:paraId="7034B988"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Ετήσια έκθεση του εσωτερικού ελεγκτή</w:t>
      </w:r>
    </w:p>
    <w:p w14:paraId="31BE8BE5" w14:textId="491145B5" w:rsidR="00BE322E" w:rsidRPr="00D37862" w:rsidRDefault="00D37862" w:rsidP="00D37862">
      <w:pPr>
        <w:spacing w:after="240"/>
        <w:ind w:left="567" w:hanging="573"/>
      </w:pPr>
      <w:r w:rsidRPr="00D37862">
        <w:t>14.</w:t>
      </w:r>
      <w:r w:rsidRPr="00D37862">
        <w:tab/>
      </w:r>
      <w:r w:rsidR="00BE322E" w:rsidRPr="00D37862">
        <w:t>σημειώνει ότι, κατά τη συνεδρίαση που πραγματοποιήθηκε στις 8 Δεκεμβρίου 2025 μεταξύ της αρμόδιας επιτροπής και του εσωτερικού ελεγκτή, ο εσωτερικός ελεγκτής παρουσίασε την ετήσια έκθεσή του·</w:t>
      </w:r>
    </w:p>
    <w:p w14:paraId="7609A2D6" w14:textId="35590FFB" w:rsidR="00BE322E" w:rsidRPr="00D37862" w:rsidRDefault="00D37862" w:rsidP="00D37862">
      <w:pPr>
        <w:spacing w:after="240"/>
        <w:ind w:left="567" w:hanging="573"/>
      </w:pPr>
      <w:r w:rsidRPr="00D37862">
        <w:t>15.</w:t>
      </w:r>
      <w:r w:rsidRPr="00D37862">
        <w:tab/>
      </w:r>
      <w:r w:rsidR="00BE322E" w:rsidRPr="00D37862">
        <w:t>επικροτεί και στηρίζει τις ενέργειες επί των οποίων συμφώνησαν ο εσωτερικός ελεγκτής και οι αρμόδιες γενικές διευθύνσεις, ως αποτέλεσμα των ελέγχων αξιοπιστίας της Υπηρεσίας Εσωτερικού Λογιστικού Ελέγχου (IAS): σημειώνει ότι η συνέχεια που έχει δοθεί σε αυτές τις συστάσεις υποβάλλεται συστηματικά σε λογιστικό έλεγχο·</w:t>
      </w:r>
    </w:p>
    <w:p w14:paraId="6AB8D2FE" w14:textId="1911DBBA"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16.</w:t>
      </w:r>
      <w:r w:rsidRPr="00D37862">
        <w:rPr>
          <w:szCs w:val="24"/>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σημειώνει ότι η διαδικασία με την οποία δόθηκε συνέχεια το 2024 είχε ως αποτέλεσμα να θεωρηθεί ότι 24 από τις 57 ενέργειες εφαρμόστηκαν αποτελεσματικά και επικυρώθηκαν συνεπώς από την IAS· σημειώνει ότι το προφίλ υπολειπόμενου κινδύνου 33 καθυστερημένων ενεργειών αφορούσε 24 ενέργειες με σημαντικό κίνδυνο, κυρίως σε σχέση με την κυβερνοασφάλεια και τη διαχείριση ταυτότητας και πρόσβασης· σημειώνει την ενισχυμένη συνεργασία με τη Γενική Διεύθυνση Τεχνολογιών Πληροφοριών και Κυβερνοασφάλειας (ΓΔ ITEC) για την παρακολούθηση της εφαρμογής και του υπολειπόμενου κινδύνου·</w:t>
      </w:r>
    </w:p>
    <w:p w14:paraId="4F833FCD" w14:textId="52BB9C9F" w:rsidR="00BE322E" w:rsidRPr="00D37862" w:rsidRDefault="00D37862" w:rsidP="00D37862">
      <w:pPr>
        <w:pStyle w:val="NormalHanging12a"/>
        <w:ind w:hanging="573"/>
      </w:pPr>
      <w:r w:rsidRPr="00D37862">
        <w:t>17.</w:t>
      </w:r>
      <w:r w:rsidRPr="00D37862">
        <w:tab/>
      </w:r>
      <w:r w:rsidR="00BE322E" w:rsidRPr="00D37862">
        <w:t xml:space="preserve">αναγνωρίζει ότι, σύμφωνα με το άρθρο 118 παράγραφος 9 του δημοσιονομικού κανονισμού, οι εκθέσεις και οι διαπιστώσεις του εσωτερικού ελεγκτή, καθώς και η έκθεση του οικείου θεσμικού οργάνου της Ένωσης, καθίστανται προσιτές στο κοινό, ενώ παράλληλα διασφαλίζεται η τήρηση των κανόνων περί προστασίας δεδομένων και εμπιστευτικότητας, μόλις ο εσωτερικός ελεγκτής επικυρώσει τις ενέργειες· σημειώνει ότι, στην πράξη, οι εκθέσεις δημοσιεύονται μετά την εφαρμογή όλων των συστάσεων· σημειώνει ότι τα μέλη της Επιτροπής Ελέγχου του Προϋπολογισμού του Κοινοβουλίου έχουν το δικαίωμα να ζητήσουν εμπιστευτική πρόσβαση στην έκθεση εσωτερικού ελέγχου στο πλαίσιο της διαδικασίας απαλλαγής και εκφράζει την ικανοποίησή του για το γεγονός ότι ο εσωτερικός ελεγκτής υποβάλλει έκθεση στην Επιτροπή Ελέγχου του Προϋπολογισμού του Κοινοβουλίου σχετικά με τις αναληφθείσες ετήσιες </w:t>
      </w:r>
      <w:r w:rsidR="00BE322E" w:rsidRPr="00D37862">
        <w:lastRenderedPageBreak/>
        <w:t>δραστηριότητες λογιστικού ελέγχου·</w:t>
      </w:r>
    </w:p>
    <w:p w14:paraId="79337A07" w14:textId="742BE34B"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18.</w:t>
      </w:r>
      <w:r w:rsidRPr="00D37862">
        <w:rPr>
          <w:szCs w:val="24"/>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εκφράζει την ικανοποίησή του για το συνεχιζόμενο πρόγραμμα διασφάλισης και βελτίωσης της ποιότητας της IAS, το οποίο προετοιμάζει πρωτίστως την εισαγωγή των νέων παγκόσμιων προτύπων εσωτερικού ελέγχου που επρόκειτο να τεθούν σε ισχύ τον Ιανουάριο του 2025· εκφράζει, ειδικότερα, την ικανοποίησή του για την έγκριση του επικαιροποιημένου χάρτη λογιστικού ελέγχου από το Προεδρείο και την προετοιμασία μιας στρατηγικής για την περίοδο 2025-2029 όσον αφορά τη λειτουργία εσωτερικού ελέγχου, η οποία αντικατοπτρίζει σε μεγάλο βαθμό την ανάγκη για θετικές αλλαγές και για μια προσέγγιση με γνώμονα τη δεοντολογία· θεωρεί ότι το γεγονός ότι το 70 % των μελών του προσωπικού της IAS έχουν περάσει επιτυχώς τις εξετάσεις πιστοποίησης για να γίνουν εσωτερικοί ελεγκτές αποτελεί περαιτέρω ένδειξη για τη βελτίωση της ποιότητας·</w:t>
      </w:r>
    </w:p>
    <w:p w14:paraId="46DD6796" w14:textId="77777777" w:rsidR="00BE322E" w:rsidRPr="00D37862" w:rsidRDefault="00BE322E" w:rsidP="00BE322E">
      <w:pPr>
        <w:spacing w:after="240"/>
        <w:ind w:left="567" w:hanging="567"/>
        <w:rPr>
          <w:szCs w:val="24"/>
          <w14:textOutline w14:w="0" w14:cap="flat" w14:cmpd="sng" w14:algn="ctr">
            <w14:noFill/>
            <w14:prstDash w14:val="solid"/>
            <w14:bevel/>
          </w14:textOutline>
        </w:rPr>
      </w:pPr>
      <w:r w:rsidRPr="00D37862">
        <w:rPr>
          <w:b/>
          <w:i/>
          <w14:textOutline w14:w="0" w14:cap="flat" w14:cmpd="sng" w14:algn="ctr">
            <w14:noFill/>
            <w14:prstDash w14:val="solid"/>
            <w14:bevel/>
          </w14:textOutline>
        </w:rPr>
        <w:t>Πολιτικές προτεραιότητες</w:t>
      </w:r>
    </w:p>
    <w:p w14:paraId="36DBC7E0" w14:textId="155F8482" w:rsidR="00BE322E" w:rsidRPr="00D37862" w:rsidRDefault="00D37862" w:rsidP="00D37862">
      <w:pPr>
        <w:pStyle w:val="NormalHanging12a"/>
        <w:ind w:hanging="570"/>
      </w:pPr>
      <w:r w:rsidRPr="00D37862">
        <w:t>19.</w:t>
      </w:r>
      <w:r w:rsidRPr="00D37862">
        <w:tab/>
      </w:r>
      <w:r w:rsidR="00BE322E" w:rsidRPr="00D37862">
        <w:t>υπενθυμίζει ότι, σύμφωνα με τα άρθρα 1.3.2, 2.7.1 και 2.7.2 των κανονιστικών ρυθμίσεων σχετικά με τη χρησιμοποίηση των πιστώσεων της θέσης του προϋπολογισμού 400, η πρώην πολιτική ομάδα Ταυτότητας και Δημοκρατίας (ομάδα ID) υπέβαλε την τελική δημοσιονομική έκθεσή της στις 8 Οκτωβρίου 2024, για την περίοδο από 1η Ιανουαρίου έως 15 Ιουλίου 2024· υπενθυμίζει ότι η διοίκηση του Κοινοβουλίου έλαβε το πλήρες οικονομικό αρχείο της ομάδας ID τόσο σε ηλεκτρονική όσο και σε έντυπη μορφή και διενήργησε εκ των υστέρων επαλήθευση βάσει κινδύνου των λογαριασμών του 2024, εστιάζοντας σε ελέγχους συνέπειας και δειγματοληπτικές δοκιμές σε δωρεές και συμβάσεις υψηλού κινδύνου· υπενθυμίζει τα πορίσματα της διοίκησης του Κοινοβουλίου, σύμφωνα με τα οποία τουλάχιστον 4 333 635,78 EUR των πιστώσεων της θέσης 400 του προϋπολογισμού δαπανήθηκαν αδικαιολόγητα από την ομάδα κατά την περίοδο 2019-2024, γεγονός που εκθέτει το Κοινοβούλιο σε σημαντικό δημοσιονομικό κίνδυνο και κίνδυνο για τη φήμη του· εντοπίστηκαν ελλείψεις στις διαδικασίες σύναψης δημόσιων συμβάσεων, οι οποίες δημιουργούν σημαντικούς κινδύνους για τη φήμη του Κοινοβουλίου·</w:t>
      </w:r>
    </w:p>
    <w:p w14:paraId="288FA2CF" w14:textId="34434FF7" w:rsidR="00BE322E" w:rsidRPr="00D37862" w:rsidRDefault="00D37862" w:rsidP="00D37862">
      <w:pPr>
        <w:pStyle w:val="NormalHanging12a"/>
        <w:ind w:hanging="570"/>
      </w:pPr>
      <w:r w:rsidRPr="00D37862">
        <w:t>20.</w:t>
      </w:r>
      <w:r w:rsidRPr="00D37862">
        <w:tab/>
      </w:r>
      <w:r w:rsidR="00BE322E" w:rsidRPr="00D37862">
        <w:t>σημειώνει ότι η Ευρωπαϊκή Εισαγγελία (EPPO) ανακοίνωσε τον Ιούλιο του 2025 ότι είχε κινήσει έρευνα σχετικά με την εικαζόμενη κατάχρηση κονδυλίων της Ένωσης από την ομάδα ID στο διάστημα από το 2019 έως το 2024·</w:t>
      </w:r>
    </w:p>
    <w:p w14:paraId="2965AF26" w14:textId="32B3BC15" w:rsidR="00BE322E" w:rsidRPr="00D37862" w:rsidRDefault="00D37862" w:rsidP="00D37862">
      <w:pPr>
        <w:pStyle w:val="NormalHanging12a"/>
        <w:ind w:hanging="570"/>
      </w:pPr>
      <w:r w:rsidRPr="00D37862">
        <w:t>21.</w:t>
      </w:r>
      <w:r w:rsidRPr="00D37862">
        <w:tab/>
      </w:r>
      <w:r w:rsidR="00BE322E" w:rsidRPr="00D37862">
        <w:t xml:space="preserve">τονίζει ότι η διοίκηση του Κοινοβουλίου έχει διαβιβάσει τον φάκελο της υπόθεσης και συνεργάζεται πλήρως με την Ευρωπαϊκή Εισαγγελία στην έρευνά της· σημειώνει ότι το Προεδρείο αναμένει να μάθει το αποτέλεσμα της έρευνας της Ευρωπαϊκής Εισαγγελίας πριν από την ανάληψη οποιασδήποτε ενέργειας ανάκτησης· καλεί το Προεδρείο να παράσχει στην Επιτροπή Ελέγχου του Προϋπολογισμού του Κοινοβουλίου γραπτή ενημέρωση σχετικά με την τρέχουσα κατάσταση πριν από την έναρξη του επόμενου κύκλου απαλλαγής· καλεί τη διοίκηση του Κοινοβουλίου να λάβει όλα τα αναγκαία μέτρα παράλληλα με την ποινική έρευνα της Ευρωπαϊκής Εισαγγελίας, τα διοικητικά προσωρινά μέτρα προστασίας (συμπεριλαμβανομένων των προληπτικών αντισταθμιστικών μέτρων και/ή αποθεματικών, όπου είναι νομικά εφικτό) για την προστασία των οικονομικών συμφερόντων της Ένωσης και της φήμης του Κοινοβουλίου· θεωρεί ότι, σύμφωνα με το άρθρο 3 παράγραφος 3 της συμφωνίας συνεργασίας μεταξύ του Ευρωπαϊκού Κοινοβουλίου και της Ευρωπαϊκής Εισαγγελίας, η Ευρωπαϊκή Εισαγγελία θα ενημερώνει το Κοινοβούλιο σχετικά με εν εξελίξει ή περατωθείσες έρευνες στις οποίες το Κοινοβούλιο φαίνεται να είναι σε θέση να λάβει </w:t>
      </w:r>
      <w:r w:rsidR="00BE322E" w:rsidRPr="00D37862">
        <w:lastRenderedPageBreak/>
        <w:t xml:space="preserve">προληπτικά μέτρα για την προστασία των οικονομικών συμφερόντων της Ένωσης, μεταξύ άλλων πειθαρχικές διαδικασίες ή διαδικασίες ανάκτησης εντός των εφαρμοστέων προθεσμιών· σημειώνει ότι οι ποινικές διαδικασίες δεν θα πρέπει να χρησιμοποιούνται αυτόματα ως γενικευμένη αιτιολόγηση για πιθανή μη ανάληψη ενεργειών· </w:t>
      </w:r>
    </w:p>
    <w:p w14:paraId="3CFD1760" w14:textId="5D341919" w:rsidR="00BE322E" w:rsidRPr="00D37862" w:rsidRDefault="00D37862" w:rsidP="00D37862">
      <w:pPr>
        <w:pStyle w:val="NormalHanging12a"/>
        <w:ind w:hanging="570"/>
      </w:pPr>
      <w:r w:rsidRPr="00D37862">
        <w:t>22.</w:t>
      </w:r>
      <w:r w:rsidRPr="00D37862">
        <w:tab/>
      </w:r>
      <w:r w:rsidR="00BE322E" w:rsidRPr="00D37862">
        <w:t>καλεί το Προεδρείο να διασφαλίσει ότι οι εξωτερικοί ελεγκτές συμμορφώνονται πλήρως με την επιστολή ανάθεσης καθηκόντων και να διασφαλίσει για τους μελλοντικούς ελέγχους επαρκή εποπτεία των ομάδων από εξωτερικούς ελεγκτές, διαθέτοντας περισσότερες ώρες στους εξωτερικούς ελεγκτές για την επιτέλεση του εποπτικού τους ρόλου· καλεί τη ΓΔ FINS να διασφαλίσει επαρκές προσωπικό εντός της ΓΔ FINS που θα είναι αρμόδιο για τη θέση 400 του προϋπολογισμού προκειμένου να παράσχει σαφέστερη καθοδήγηση σχετικά με την ορθή ερμηνεία των κανόνων για τη θέση 400 του προϋπολογισμού, ώστε να αποφευχθούν αποκλίσεις μεταξύ των εκτιμήσεων των εξωτερικών ελεγκτών και της ΓΔ FINS, με πλήρη σεβασμό της ανεξαρτησίας των ελεγκτών, ιδίως όσον αφορά τις δημόσιες συμβάσεις, και να παράσχει περισσότερη κατάρτιση και στήριξη σχετικά με τις δημόσιες συμβάσεις στις ομάδες·</w:t>
      </w:r>
    </w:p>
    <w:p w14:paraId="54769E28" w14:textId="1EFFFA5A" w:rsidR="00BE322E" w:rsidRPr="00D37862" w:rsidRDefault="00D37862" w:rsidP="00D37862">
      <w:pPr>
        <w:pStyle w:val="NormalHanging12a"/>
        <w:ind w:hanging="570"/>
        <w:rPr>
          <w:bCs/>
          <w:iCs/>
        </w:rPr>
      </w:pPr>
      <w:r w:rsidRPr="00D37862">
        <w:rPr>
          <w:iCs/>
        </w:rPr>
        <w:t>23.</w:t>
      </w:r>
      <w:r w:rsidRPr="00D37862">
        <w:rPr>
          <w:iCs/>
        </w:rPr>
        <w:tab/>
      </w:r>
      <w:r w:rsidR="00BE322E" w:rsidRPr="00D37862">
        <w:t>καλεί τον Γενικό Γραμματέα να θέσει προς εξέταση το σύστημα εξωτερικού ελέγχου που εφαρμόζεται για τη θέση 400 του προϋπολογισμού·</w:t>
      </w:r>
    </w:p>
    <w:p w14:paraId="659E4E07" w14:textId="63FDE9D2" w:rsidR="00BE322E" w:rsidRPr="00D37862" w:rsidRDefault="00D37862" w:rsidP="00D37862">
      <w:pPr>
        <w:pStyle w:val="NormalHanging12a"/>
        <w:ind w:hanging="570"/>
        <w:rPr>
          <w:bCs/>
          <w:iCs/>
        </w:rPr>
      </w:pPr>
      <w:r w:rsidRPr="00D37862">
        <w:rPr>
          <w:iCs/>
        </w:rPr>
        <w:t>24.</w:t>
      </w:r>
      <w:r w:rsidRPr="00D37862">
        <w:rPr>
          <w:iCs/>
        </w:rPr>
        <w:tab/>
      </w:r>
      <w:r w:rsidR="00BE322E" w:rsidRPr="00D37862">
        <w:t>εκφράζει την ικανοποίησή του για τη χρήση του Κοινοβουλίου ως πλατφόρμας για την ευαισθητοποίηση σχετικά με την έμφυλη βία και την ενδοοικογενειακή βία, τονίζει τη σημασία των αποστολών της Ένωσης και του Κοινοβουλίου που συμβάλλουν στην προώθηση της ισότητας των φύλων, συμπεριλαμβανομένων των αποστολών που παρέχουν στήριξη, προστασία και βασικές υπηρεσίες σε γυναίκες και κορίτσια που υφίστανται σεξουαλική βία σε συγκρουσιακές και μετασυγκρουσιακές καταστάσεις·</w:t>
      </w:r>
    </w:p>
    <w:p w14:paraId="05245929" w14:textId="3702081C" w:rsidR="00BE322E" w:rsidRPr="00D37862" w:rsidRDefault="00D37862" w:rsidP="00D37862">
      <w:pPr>
        <w:pStyle w:val="NormalHanging12a"/>
        <w:ind w:hanging="570"/>
        <w:rPr>
          <w:bCs/>
          <w:iCs/>
        </w:rPr>
      </w:pPr>
      <w:r w:rsidRPr="00D37862">
        <w:rPr>
          <w:iCs/>
        </w:rPr>
        <w:t>25.</w:t>
      </w:r>
      <w:r w:rsidRPr="00D37862">
        <w:rPr>
          <w:iCs/>
        </w:rPr>
        <w:tab/>
      </w:r>
      <w:r w:rsidR="00BE322E" w:rsidRPr="00D37862">
        <w:t>υπενθυμίζει τη γνωμοδότηση της Επιτροπής Ελέγχου του Προϋπολογισμού του Κοινοβουλίου για το Προεδρείο σχετικά με την πολιτική ομάδα Ταυτότητας και Δημοκρατίας — Διάλυση και τελική οικονομική έκθεση 2024, όπως εγκρίθηκε στις 4</w:t>
      </w:r>
      <w:r w:rsidR="00E2012B" w:rsidRPr="00D37862">
        <w:t> </w:t>
      </w:r>
      <w:r w:rsidR="00BE322E" w:rsidRPr="00D37862">
        <w:t>Σεπτεμβρίου 2025, με την οποία ζητείται να διερευνηθεί η δυνατότητα να κινηθούν χωρίς καθυστέρηση οι απαιτούμενες διαδικασίες με σκοπό την ανάκτηση του ποσού των μη επιλέξιμων δαπανών το συντομότερο δυνατόν και να αξιολογηθεί η πιθανή ευθύνη των αρμόδιων (πρώην) βουλευτών και της ιεραρχίας για την εκ προθέσεως ή εξ βαρείας αμελείας έγκριση παράτυπων δαπανών· συνιστά στο Προεδρείο να θέσει σε αναστολή, ενόσω διαρκεί η έρευνα, τον εξωτερικό ελεγκτή που πιστοποίησε τους λογαριασμούς της ομάδας ID από τον κατάλογο των εγκεκριμένων εξωτερικών ελεγκτικών εταιρειών που τέθηκαν στη διάθεση των πολιτικών ομάδων, να αντικαταστήσει αμέσως τον ελεγκτή που τέθηκε σε αναστολή και να διασφαλίσει ότι διατίθεται επαρκής αριθμός εναλλακτικών επιλογών στις πολιτικές ομάδες· αναμένει την ανάλυση της διοίκησης του Κοινοβουλίου σχετικά με τους λογαριασμούς της ομάδας «Πατριώτες για την Ευρώπη» (</w:t>
      </w:r>
      <w:proofErr w:type="spellStart"/>
      <w:r w:rsidR="00BE322E" w:rsidRPr="00D37862">
        <w:t>PfE</w:t>
      </w:r>
      <w:proofErr w:type="spellEnd"/>
      <w:r w:rsidR="00BE322E" w:rsidRPr="00D37862">
        <w:t>) για το 2024·</w:t>
      </w:r>
    </w:p>
    <w:p w14:paraId="009925D7" w14:textId="3ECF6FD5" w:rsidR="00BE322E" w:rsidRPr="00D37862" w:rsidRDefault="00D37862" w:rsidP="00D37862">
      <w:pPr>
        <w:pStyle w:val="NormalHanging12a"/>
        <w:ind w:hanging="570"/>
      </w:pPr>
      <w:r w:rsidRPr="00D37862">
        <w:t>26.</w:t>
      </w:r>
      <w:r w:rsidRPr="00D37862">
        <w:tab/>
      </w:r>
      <w:r w:rsidR="00BE322E" w:rsidRPr="00D37862">
        <w:t xml:space="preserve">σημειώνει ότι οι πολιτικές ομάδες διαθέτουν σημαντική αυτονομία όσον αφορά τις οικείες υπηρεσίες ΤΠ, οι οποίες χρησιμοποιούνται για την αποθήκευση πληροφοριών που σχετίζονται με τις δραστηριότητές τους· σημειώνει ότι, σε μια περίοδο γεωπολιτικής ταραχής, τα δεδομένα αυτά θα πρέπει να αποθηκεύονται σε ευρωπαϊκούς διακομιστές από Ευρωπαίους παρόχους, ώστε να αποφεύγονται εξωτερικές εξαρτήσεις και κίνδυνοι· χαιρετίζει, ως εκ τούτου, την πρόσφατη ανακοίνωση για τη δημιουργία </w:t>
      </w:r>
      <w:r w:rsidR="00BE322E" w:rsidRPr="00D37862">
        <w:lastRenderedPageBreak/>
        <w:t>μιας ασφαλούς, κυρίαρχης υποδομής υπολογιστικού νέφους με στόχο την εξάλειψη αυτής της εξάρτησης·</w:t>
      </w:r>
    </w:p>
    <w:p w14:paraId="0E4D4761" w14:textId="53960F22" w:rsidR="00BE322E" w:rsidRPr="00D37862" w:rsidRDefault="00D37862" w:rsidP="00D37862">
      <w:pPr>
        <w:pStyle w:val="NormalHanging12a"/>
        <w:ind w:hanging="570"/>
      </w:pPr>
      <w:r w:rsidRPr="00D37862">
        <w:t>27.</w:t>
      </w:r>
      <w:r w:rsidRPr="00D37862">
        <w:tab/>
      </w:r>
      <w:r w:rsidR="00BE322E" w:rsidRPr="00D37862">
        <w:t>τονίζει ότι είναι σημαντικό να διατηρείται η θεσμική ακεραιότητα και να προλαμβάνονται αδικαιολόγητες εξωτερικές παρεμβάσεις· καταδικάζει κάθε ανάρμοστη απόπειρα επηρεασμού των νομοθετικών δραστηριοτήτων του Ευρωπαϊκού Κοινοβουλίου·</w:t>
      </w:r>
    </w:p>
    <w:p w14:paraId="45B81667" w14:textId="305BFA17" w:rsidR="00BE322E" w:rsidRPr="00D37862" w:rsidRDefault="00D37862" w:rsidP="00D37862">
      <w:pPr>
        <w:pStyle w:val="NormalHanging12a"/>
        <w:ind w:hanging="570"/>
        <w:rPr>
          <w:bCs/>
          <w:iCs/>
        </w:rPr>
      </w:pPr>
      <w:r w:rsidRPr="00D37862">
        <w:rPr>
          <w:iCs/>
        </w:rPr>
        <w:t>28.</w:t>
      </w:r>
      <w:r w:rsidRPr="00D37862">
        <w:rPr>
          <w:iCs/>
        </w:rPr>
        <w:tab/>
      </w:r>
      <w:r w:rsidR="00BE322E" w:rsidRPr="00D37862">
        <w:t>σημειώνει ότι η Επιτροπή έχει αναγνωρίσει ισχυρισμούς σχετικά με τη χρήση κονδυλίων της Ένωσης για δραστηριότητες υπεράσπισης που στοχεύουν το Κοινοβούλιο από διάφορες οντότητες, αλλά έχει δηλώσει ότι οι εν λόγω δραστηριότητες εμπίπτουν στο πεδίο εφαρμογής του ισχύοντος κανονισμού· αναγνωρίζει, ωστόσο, ότι αυτό θα μπορούσε, παρά ταύτα, να συνεπάγεται κινδύνους για τη φήμη·</w:t>
      </w:r>
    </w:p>
    <w:p w14:paraId="42403B4E" w14:textId="28BE875E" w:rsidR="00BE322E" w:rsidRPr="00D37862" w:rsidRDefault="00D37862" w:rsidP="00D37862">
      <w:pPr>
        <w:pStyle w:val="NormalHanging12a"/>
        <w:ind w:hanging="570"/>
      </w:pPr>
      <w:r w:rsidRPr="00D37862">
        <w:t>29.</w:t>
      </w:r>
      <w:r w:rsidRPr="00D37862">
        <w:tab/>
      </w:r>
      <w:r w:rsidR="00BE322E" w:rsidRPr="00D37862">
        <w:t>υπενθυμίζει ότι οι ισχυρισμοί περί ρωσικής επιρροής στο Κοινοβούλιο ενέχουν σοβαρούς κινδύνους για τη δημοκρατική ακεραιότητα, επισημαίνοντας ότι ορισμένοι βουλευτές υποστήριξαν ανοιχτά τη Ρωσία, μεταξύ άλλων στις παράλληλες δραστηριότητές τους, γεγονός που υπογραμμίζει την ανάγκη για ισχυρότερες διασφαλίσεις· σημειώνει ότι η αντίδραση του Κοινοβουλίου στις εξωτερικές παρεμβάσεις έχει γίνει πιο προσεκτική, ωστόσο, θα πρέπει να ληφθούν ισχυρότερα μέτρα για να διασφαλιστεί η αποτελεσματική προστασία από αθέμιτες εξωτερικές επιρροές· υπογραμμίζει, στο πλαίσιο αυτό, την ουσιαστική ευθύνη της Ευρωπαϊκής Υπηρεσίας Καταπολέμησης της Απάτης (OLAF) να διενεργεί όλες τις αναγκαίες διεξοδικές έρευνες·</w:t>
      </w:r>
    </w:p>
    <w:p w14:paraId="3530053D" w14:textId="1963E7C1" w:rsidR="00BE322E" w:rsidRPr="00D37862" w:rsidRDefault="00D37862" w:rsidP="00D37862">
      <w:pPr>
        <w:pStyle w:val="NormalHanging12a"/>
        <w:ind w:hanging="570"/>
        <w:rPr>
          <w:bCs/>
          <w:iCs/>
        </w:rPr>
      </w:pPr>
      <w:r w:rsidRPr="00D37862">
        <w:rPr>
          <w:iCs/>
        </w:rPr>
        <w:t>30.</w:t>
      </w:r>
      <w:r w:rsidRPr="00D37862">
        <w:rPr>
          <w:iCs/>
        </w:rPr>
        <w:tab/>
      </w:r>
      <w:r w:rsidR="00BE322E" w:rsidRPr="00D37862">
        <w:t>σημειώνει ότι το 2024, μεταξύ άλλων κατά την προετοιμασία για τις ευρωπαϊκές εκλογές, χαρακτηρίστηκε από αυξημένους κινδύνους εξωτερικών παρεμβάσεων και επιχειρήσεων επιρροής που στοχεύουν δημοκρατικούς θεσμούς και εκλεγμένους εκπροσώπους· υπενθυμίζει ότι οι δημόσιοι ισχυρισμοί και έρευνες σχετικά με απόπειρες επηρεασμού των πολιτικών θέσεων και της συμπεριφοράς κατά την ψηφοφορία υπογραμμίζουν την ανάγκη για ισχυρούς μηχανισμούς πρόληψης και εντοπισμού εντός του Κοινοβουλίου· καλεί, συνεπώς, το Κοινοβούλιο να εξασφαλίσει εσωτερικές δικλείδες ασφαλείας και απαιτήσεις διαφάνειας και να μεριμνήσει για τη συνεργασία με τα αρμόδια όργανα της Ένωσης, προκειμένου να προστατευθεί η ακεραιότητα του Κοινοβουλίου και του προϋπολογισμού της Ένωσης·</w:t>
      </w:r>
    </w:p>
    <w:p w14:paraId="0E45D034" w14:textId="65EB9299" w:rsidR="00BE322E" w:rsidRPr="00D37862" w:rsidRDefault="00D37862" w:rsidP="00D37862">
      <w:pPr>
        <w:pStyle w:val="NormalHanging12a"/>
        <w:ind w:hanging="570"/>
      </w:pPr>
      <w:r w:rsidRPr="00D37862">
        <w:t>31.</w:t>
      </w:r>
      <w:r w:rsidRPr="00D37862">
        <w:tab/>
      </w:r>
      <w:r w:rsidR="00BE322E" w:rsidRPr="00D37862">
        <w:t>υπενθυμίζει ότι σύμφωνα με το άρθρο 4 του κώδικα δεοντολογίας για τους βουλευτές του Ευρωπαϊκού Κοινοβουλίου σχετικά με την ακεραιότητα και τη διαφάνεια απαιτούνται ακριβείς δηλώσεις οικονομικών συμφερόντων από τους βουλευτές· ζητεί να παρέχονται σε δηλώσεις επαρκείς λεπτομέρειες όσον αφορά τις αμειβόμενες ή μη αμειβόμενες εξωτερικές δραστηριότητες, προκειμένου να αποφεύγονται τυχόν ανησυχίες για την ποιότητα των ελέγχων σχετικά με τις συγκρούσεις συμφερόντων, οι οποίοι είναι αναγκαίοι ώστε να διασφαλιστεί η αποτελεσματική προστασία, ο εντοπισμός και η διαχείριση συγκρούσεων συμφερόντων·</w:t>
      </w:r>
    </w:p>
    <w:p w14:paraId="2751029B" w14:textId="1CD6579B" w:rsidR="00BE322E" w:rsidRPr="00D37862" w:rsidRDefault="00D37862" w:rsidP="00D37862">
      <w:pPr>
        <w:pStyle w:val="NormalHanging12a"/>
        <w:ind w:hanging="570"/>
        <w:rPr>
          <w:bCs/>
          <w:iCs/>
        </w:rPr>
      </w:pPr>
      <w:r w:rsidRPr="00D37862">
        <w:rPr>
          <w:iCs/>
        </w:rPr>
        <w:t>32.</w:t>
      </w:r>
      <w:r w:rsidRPr="00D37862">
        <w:rPr>
          <w:iCs/>
        </w:rPr>
        <w:tab/>
      </w:r>
      <w:r w:rsidR="00BE322E" w:rsidRPr="00D37862">
        <w:t xml:space="preserve">λαμβάνει υπόψη την υποχρεωτική δημοσίευση των συνεδριάσεων και των δηλώσεων ιδιωτικών συμφερόντων για λόγους διαφάνειας, ιδίως των δηλώσεων υλικής και οικονομικής στήριξης· σημειώνει, ωστόσο, ότι το ισχύον πλαίσιο πάσχει από προβλήματα που επανεμφανίζονται όσον αφορά την πληρότητα και τη σαφήνεια, γεγονός που μπορεί να μειώσει τη συνολική αποτελεσματικότητά του· θεωρεί ότι η </w:t>
      </w:r>
      <w:r w:rsidR="00BE322E" w:rsidRPr="00D37862">
        <w:lastRenderedPageBreak/>
        <w:t>βελτιωμένη καθοδήγηση προς τους βουλευτές, καθώς και η αναλογική και συνεπής παρακολούθηση από τη διοίκηση όταν οι δηλώσεις φαίνονται ανακριβείς ή ασυνεπείς, χρήζουν ιδιαίτερης προσοχής, ιδίως λαμβανομένων υπόψη των ανησυχιών που σχετίζονται με εξωτερικές παρεμβάσεις·</w:t>
      </w:r>
    </w:p>
    <w:p w14:paraId="69DDB21F" w14:textId="601B92A9" w:rsidR="00BE322E" w:rsidRPr="00D37862" w:rsidRDefault="00D37862" w:rsidP="00D37862">
      <w:pPr>
        <w:pStyle w:val="NormalHanging12a"/>
        <w:ind w:hanging="570"/>
      </w:pPr>
      <w:r w:rsidRPr="00D37862">
        <w:t>33.</w:t>
      </w:r>
      <w:r w:rsidRPr="00D37862">
        <w:tab/>
      </w:r>
      <w:r w:rsidR="00BE322E" w:rsidRPr="00D37862">
        <w:t>εκφράζει σοβαρή ανησυχία σχετικά με ισχυρισμούς σύμφωνα με τους οποίους κράτη μέλη έχουν εμπλακεί σε κατασκοπεία και έχουν στοχεύσει το Κοινοβούλιο· σημειώνει ότι η Επιτροπή έχει συγκροτήσει εσωτερική ομάδα για τη διερεύνηση αυτών των ισχυρισμών· ζητεί επιτακτικά στενή συνεργασία μεταξύ του Κοινοβουλίου και της Επιτροπής και παροτρύνει την Επιτροπή να κοινοποιήσει τα πορίσματα της ομάδας εργασίας στο Κοινοβούλιο, υπό την προϋπόθεση ότι η εν λόγω κοινοποίηση δεν θέτει σε κίνδυνο τυχόν εν εξελίξει ή δυνητικές νομικές διαδικασίες·</w:t>
      </w:r>
    </w:p>
    <w:p w14:paraId="790749D7" w14:textId="22D85402" w:rsidR="00BE322E" w:rsidRPr="00D37862" w:rsidRDefault="00D37862" w:rsidP="00D37862">
      <w:pPr>
        <w:pStyle w:val="NormalHanging12a"/>
        <w:ind w:hanging="570"/>
        <w:rPr>
          <w:bCs/>
          <w:iCs/>
        </w:rPr>
      </w:pPr>
      <w:r w:rsidRPr="00D37862">
        <w:rPr>
          <w:iCs/>
        </w:rPr>
        <w:t>34.</w:t>
      </w:r>
      <w:r w:rsidRPr="00D37862">
        <w:rPr>
          <w:iCs/>
        </w:rPr>
        <w:tab/>
      </w:r>
      <w:r w:rsidR="00BE322E" w:rsidRPr="00D37862">
        <w:t>καλεί το Κοινοβούλιο να ενισχύσει τα προστατευτικά μέτρα, συμπεριλαμβανομένης της ασφαλούς διαχείρισης συσκευών, των διαύλων ταχείας αναφοράς περιστατικών για τους βουλευτές και το προσωπικό, και των τακτικών ενημερώσεων σχετικά με απειλές σε συνεργασία με τη CERT-ΕΕ και τα αρμόδια όργανα της Ένωσης, διασφαλίζοντας παράλληλα τον πλήρη σεβασμό των θεμελιωδών δικαιωμάτων και της προστασίας των δεδομένων·</w:t>
      </w:r>
    </w:p>
    <w:p w14:paraId="27A8C39B" w14:textId="1696661E" w:rsidR="00BE322E" w:rsidRPr="00D37862" w:rsidRDefault="00D37862" w:rsidP="00D37862">
      <w:pPr>
        <w:pStyle w:val="NormalHanging12a"/>
        <w:ind w:hanging="570"/>
      </w:pPr>
      <w:r w:rsidRPr="00D37862">
        <w:t>35.</w:t>
      </w:r>
      <w:r w:rsidRPr="00D37862">
        <w:tab/>
      </w:r>
      <w:r w:rsidR="00BE322E" w:rsidRPr="00D37862">
        <w:t>σημειώνει τις δυνατότητες της τεχνητής νοημοσύνης (ΤΝ) για τη διασφάλιση ακριβούς και διαφανούς πληροφόρησης εντός της Ένωσης και των θεσμικών και λοιπών οργάνων και οργανισμών της, καθώς τα κατάλληλα σχεδιασμένα συστήματα ΤΝ με κατάλληλη διακυβέρνηση μπορούν να συμβάλουν στον εντοπισμό και τον μετριασμό της εσφαλμένης πληροφόρησης και της παραπληροφόρησης, προωθούν τη λογοδοσία και τηρούν υψηλά πρότυπα διαφάνειας προκειμένου να διατηρηθεί η εμπιστοσύνη του κοινού και να ενισχυθεί η δημοκρατική διακυβέρνηση· εκφράζει την ανησυχία του για την κυριαρχία των εργαλείων ΤΝ από εταιρείες σε τρίτες χώρες και για τα ζητήματα προστασίας των δεδομένων και εμπιστευτικότητας που εγείρονται κατά τη χρήση εργαλείων ΤΝ τρίτων· ζητεί πλήρη διαφάνεια όσον αφορά τη χρήση συστημάτων ΤΝ στις αποφάσεις και τις διαδικασίες του Κοινοβουλίου, συμπεριλαμβανομένης της δημοσίευσης λεπτομερών πληροφοριών σχετικά με τους αλγόριθμους, καθώς και τη διενέργεια εκτιμήσεων επιπτώσεων· καλεί τη διοίκηση του Κοινοβουλίου να θέσει στη διάθεση τόσο των βουλευτών όσο και του προσωπικού του Κοινοβουλίου μια σειρά εργαλείων ΤΝ προσαρμοσμένων στις ανάγκες κάθε κατηγορίας που ανταποκρίνονται στις επιχειρησιακές ανάγκες των βουλευτών και εγγυώνται την εμπιστευτικότητα, την ακεραιότητα και τη διαθεσιμότητα των δεδομένων που επεξεργάζονται χρησιμοποιώντας υποδομές εντός των εγκαταστάσεων για την πρόληψη διαρροών δεδομένων, και δεν αποκαλύπτουν πληροφορίες σε τρίτους, σύμφωνα με τις τρέχουσες πολιτικές σχετικά με τη χρήση της ΤΝ·</w:t>
      </w:r>
    </w:p>
    <w:p w14:paraId="1064C696" w14:textId="6A09D752" w:rsidR="00BE322E" w:rsidRPr="00D37862" w:rsidRDefault="00D37862" w:rsidP="00D37862">
      <w:pPr>
        <w:pStyle w:val="NormalHanging12a"/>
        <w:ind w:hanging="570"/>
        <w:rPr>
          <w:bCs/>
          <w:iCs/>
        </w:rPr>
      </w:pPr>
      <w:r w:rsidRPr="00D37862">
        <w:rPr>
          <w:iCs/>
        </w:rPr>
        <w:t>36.</w:t>
      </w:r>
      <w:r w:rsidRPr="00D37862">
        <w:rPr>
          <w:iCs/>
        </w:rPr>
        <w:tab/>
      </w:r>
      <w:r w:rsidR="00BE322E" w:rsidRPr="00D37862">
        <w:t>σημειώνει την αυξανόμενη χρήση εργαλείων ΤΝ και μεγάλων γλωσσικών μοντέλων στη διαχείριση των ανθρώπινων πόρων και αναγνωρίζει τις δυνατότητες που έχει για βελτίωση της αποδοτικότητας, οι οποίες θα πρέπει να διερευνηθούν περαιτέρω· τονίζει ταυτόχρονα την ανάγκη για σαφή διακυβέρνηση, ανθρώπινη εποπτεία, διαφάνεια και ισχυρές διασφαλίσεις για την προστασία των δεδομένων· καλεί τη διοίκηση να ενημερώσει την αρμόδια για την απαλλαγή αρχή σχετικά με το πεδίο εφαρμογής, την εκτίμηση κινδύνου και τις δεοντολογικές διασφαλίσεις των εν λόγω εργαλείων·</w:t>
      </w:r>
    </w:p>
    <w:p w14:paraId="05232197" w14:textId="053F576E" w:rsidR="00BE322E" w:rsidRPr="00D37862" w:rsidRDefault="00D37862" w:rsidP="00D37862">
      <w:pPr>
        <w:pStyle w:val="NormalHanging12a"/>
        <w:ind w:hanging="570"/>
      </w:pPr>
      <w:r w:rsidRPr="00D37862">
        <w:t>37.</w:t>
      </w:r>
      <w:r w:rsidRPr="00D37862">
        <w:tab/>
      </w:r>
      <w:r w:rsidR="00BE322E" w:rsidRPr="00D37862">
        <w:t xml:space="preserve">σημειώνει ότι, σύμφωνα με τον Κανονισμό του Κοινοβουλίου, οι μυστικές ψηφοφορίες χρησιμοποιούνται γενικά για τις εκλογές και για τις ψηφοφορίες που αφορούν </w:t>
      </w:r>
      <w:r w:rsidR="00BE322E" w:rsidRPr="00D37862">
        <w:lastRenderedPageBreak/>
        <w:t>μεμονωμένα άτομα· σημειώνει περαιτέρω ότι διεξάγεται επίσης μυστική ψηφοφορία, εάν αυτό ζητηθεί από βουλευτές ή πολιτική ομάδα ή πολιτικές ομάδες που συμπληρώνουν τουλάχιστον το υψηλό ελάχιστο όριο· σημειώνει, στο πλαίσιο αυτό, ότι η Επιτροπή Συνταγματικών Υποθέσεων έχει επιφορτιστεί με την αξιολόγηση της χρήσης της ως άνω τελευταίας εναλλακτικής, και αναμένει τα συμπεράσματα και τις προτάσεις της επιτροπής· θεωρεί ότι οι ψηφοφορίες με ονομαστική κλήση αποτελούν βασικό μέσο για τη διασφάλιση της διαφάνειας και της λογοδοσίας έναντι των πολιτών της Ένωσης· καλεί το Κοινοβούλιο να παρουσιάσει μέτρα για την αποφυγή της κατάχρησης της ψηφοφορίας με μυστική ψηφοφορία·</w:t>
      </w:r>
    </w:p>
    <w:p w14:paraId="2FCC6111" w14:textId="549C24DF" w:rsidR="00BE322E" w:rsidRPr="00D37862" w:rsidRDefault="00D37862" w:rsidP="00D37862">
      <w:pPr>
        <w:pStyle w:val="NormalHanging12a"/>
        <w:ind w:hanging="570"/>
        <w:rPr>
          <w:bCs/>
          <w:iCs/>
        </w:rPr>
      </w:pPr>
      <w:r w:rsidRPr="00D37862">
        <w:rPr>
          <w:iCs/>
        </w:rPr>
        <w:t>38.</w:t>
      </w:r>
      <w:r w:rsidRPr="00D37862">
        <w:rPr>
          <w:iCs/>
        </w:rPr>
        <w:tab/>
      </w:r>
      <w:r w:rsidR="00BE322E" w:rsidRPr="00D37862">
        <w:t xml:space="preserve">εκφράζει την ικανοποίησή του για την πρόοδο που έχει σημειωθεί όσον αφορά την ενσωμάτωση της διάστασης του φύλου και τη συνεκτίμηση της διάστασης του φύλου στον προϋπολογισμό, καθώς και για την έγκριση του σχεδίου δράσης του 2025 για την ισότητα των φύλων· ζητεί να δημοσιοποιηθεί το εν λόγω σχέδιο δράσης, να υλοποιηθεί ταχέως μέσω του χάρτη πορείας του σχεδίου δράσης του για την ισότητα των φύλων και να αξιολογείται διεξοδικά με τακτικές εκθέσεις προκειμένου να παρακολουθείται η πρόοδος που σημειώνεται· επικροτεί το έργο του δικτύου για την ενσωμάτωση της διάστασης του φύλου στο Κοινοβούλιο· </w:t>
      </w:r>
    </w:p>
    <w:p w14:paraId="4EB4A064"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Γενική Διεύθυνση Προεδρίας</w:t>
      </w:r>
    </w:p>
    <w:p w14:paraId="027A06A8" w14:textId="30AF6AAC"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39.</w:t>
      </w:r>
      <w:r w:rsidRPr="00D37862">
        <w:rPr>
          <w:szCs w:val="24"/>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 xml:space="preserve">υπενθυμίζει ότι η Γενική Διεύθυνση Προεδρίας (ΓΔ PRES) παρέχει εμπειρογνωμοσύνη και διευκολύνει το νομοθετικό και κοινοβουλευτικό έργο της Προέδρου, της Ολομέλειας και των διοικητικών οργάνων και των βουλευτών του Κοινοβουλίου σε κάθε στάδιο της κοινοβουλευτικής και νομοθετικής διαδικασίας· </w:t>
      </w:r>
      <w:r w:rsidR="00BE322E" w:rsidRPr="00D37862">
        <w:t>υπενθυμίζει ότι είναι επίσης αρμόδια για τις διοργανικές σχέσεις, την υποστήριξη ως προς την εθιμοτυπία σε επίσημες επισκέψεις και εκδηλώσεις υπό την αιγίδα της Προέδρου, τη διαχείριση διαβαθμισμένων πληροφοριών της Ένωσης, καθώς και τη διαχείριση της επίσημης και συστημένης αλληλογραφίας·</w:t>
      </w:r>
      <w:r w:rsidR="00BE322E" w:rsidRPr="00D37862">
        <w:rPr>
          <w14:textOutline w14:w="0" w14:cap="flat" w14:cmpd="sng" w14:algn="ctr">
            <w14:noFill/>
            <w14:prstDash w14:val="solid"/>
            <w14:bevel/>
          </w14:textOutline>
        </w:rPr>
        <w:t xml:space="preserve"> </w:t>
      </w:r>
      <w:r w:rsidR="00BE322E" w:rsidRPr="00D37862">
        <w:t>σημειώνει ότι, έως τις 31 Δεκεμβρίου 2024, απασχολούνταν 406 υπάλληλοι, εκ των οποίων 320 ήταν μόνιμοι υπάλληλοι, 29 έκτακτοι υπάλληλοι, 55 συμβασιούχοι υπάλληλοι, 1 αποσπασμένος εθνικός εμπειρογνώμονας και 1 προσωρινά απασχολούμενος υπάλληλος·</w:t>
      </w:r>
    </w:p>
    <w:p w14:paraId="1E5E04D8" w14:textId="524E7738"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40.</w:t>
      </w:r>
      <w:r w:rsidRPr="00D37862">
        <w:rPr>
          <w:szCs w:val="24"/>
          <w14:textOutline w14:w="0" w14:cap="flat" w14:cmpd="sng" w14:algn="ctr">
            <w14:noFill/>
            <w14:prstDash w14:val="solid"/>
            <w14:bevel/>
          </w14:textOutline>
        </w:rPr>
        <w:tab/>
      </w:r>
      <w:r w:rsidR="00BE322E" w:rsidRPr="00D37862">
        <w:t>σημειώνει ότι το 2024 οι οριστικές πιστώσεις της ΓΔ PRES ανήλθαν σε 2 970 957 EUR, ποσό που αντιστοιχεί στο 0,2 % του προϋπολογισμού του Κοινοβουλίου·</w:t>
      </w:r>
      <w:r w:rsidR="00BE322E" w:rsidRPr="00D37862">
        <w:rPr>
          <w14:textOutline w14:w="0" w14:cap="flat" w14:cmpd="sng" w14:algn="ctr">
            <w14:noFill/>
            <w14:prstDash w14:val="solid"/>
            <w14:bevel/>
          </w14:textOutline>
        </w:rPr>
        <w:t xml:space="preserve"> </w:t>
      </w:r>
      <w:r w:rsidR="00BE322E" w:rsidRPr="00D37862">
        <w:t>επισημαίνει ότι, από το ποσό αυτό, δεσμεύτηκαν συνολικά 2 930 107 EUR·</w:t>
      </w:r>
      <w:r w:rsidR="00BE322E" w:rsidRPr="00D37862">
        <w:rPr>
          <w14:textOutline w14:w="0" w14:cap="flat" w14:cmpd="sng" w14:algn="ctr">
            <w14:noFill/>
            <w14:prstDash w14:val="solid"/>
            <w14:bevel/>
          </w14:textOutline>
        </w:rPr>
        <w:t xml:space="preserve"> εκφράζει την ικανοποίησή του για την υψηλή απορρόφηση των πιστώσεων·</w:t>
      </w:r>
    </w:p>
    <w:p w14:paraId="17EC9396" w14:textId="4423CC71" w:rsidR="00BE322E" w:rsidRPr="00D37862" w:rsidRDefault="00D37862" w:rsidP="00D37862">
      <w:pPr>
        <w:spacing w:after="240"/>
        <w:ind w:left="567" w:hanging="573"/>
      </w:pPr>
      <w:r w:rsidRPr="00D37862">
        <w:t>41.</w:t>
      </w:r>
      <w:r w:rsidRPr="00D37862">
        <w:tab/>
      </w:r>
      <w:r w:rsidR="00BE322E" w:rsidRPr="00D37862">
        <w:t xml:space="preserve">σημειώνει ότι οι δραστηριότητες της ΓΔ PRES επηρεάστηκαν από το τέλος της ένατης και την έναρξη της δέκατης κοινοβουλευτικής περιόδου, γεγονός που δημιούργησε προκλήσεις όσον αφορά την ικανότητα προγραμματισμού και οριστικοποίησης της ολομέλειας στο τέλος της ένατης κοινοβουλευτικής περιόδου, δεδομένου του πολύ υψηλού αριθμού φακέλων συνήθους νομοθετικής διαδικασίας που συμφωνήθηκαν κατά τους τελευταίους μήνες της κοινοβουλευτικής περιόδου, και τη συγκρότηση του νέου Κοινοβουλίου στην αρχή της δέκατης κοινοβουλευτικής περιόδου με την εκλογή της Προέδρου και του Προεδρείου· </w:t>
      </w:r>
    </w:p>
    <w:p w14:paraId="69E6A60D" w14:textId="2EC4E547" w:rsidR="00BE322E" w:rsidRPr="00D37862" w:rsidRDefault="00D37862" w:rsidP="00D37862">
      <w:pPr>
        <w:pStyle w:val="NormalHanging12a"/>
        <w:ind w:hanging="573"/>
      </w:pPr>
      <w:bookmarkStart w:id="9" w:name="_Hlk216613698"/>
      <w:r w:rsidRPr="00D37862">
        <w:t>42.</w:t>
      </w:r>
      <w:r w:rsidRPr="00D37862">
        <w:tab/>
      </w:r>
      <w:r w:rsidR="00BE322E" w:rsidRPr="00D37862">
        <w:t xml:space="preserve">συγχαίρει τη ΓΔ PRES για τις δραστηριότητές της σχετικά με την εφαρμογή και την παρακολούθηση των νέων κανόνων για την ακεραιότητα και τη διαφάνεια, οι οποίες περιλάμβαναν μια πρώτη συνολική αξιολόγηση της τεχνικής εφαρμογής της </w:t>
      </w:r>
      <w:r w:rsidR="00BE322E" w:rsidRPr="00D37862">
        <w:lastRenderedPageBreak/>
        <w:t>μεταρρύθμισης, καθώς και δραστηριότητες ευαισθητοποίησης και παροχή τεχνικής εμπειρογνωσίας και υπηρεσιών σε θέματα διαφάνειας, ακεραιότητας και λογοδοσίας· εκφράζει επίσης την ικανοποίησή του για τον ρόλο της συμβουλευτικής επιτροπής δεοντολογίας των βουλευτών στην παρακολούθηση της συμμόρφωσης των βουλευτών με τον κώδικα δεοντολογίας και τα μέτρα εφαρμογής του·</w:t>
      </w:r>
    </w:p>
    <w:bookmarkEnd w:id="9"/>
    <w:p w14:paraId="507D2247" w14:textId="52840BC8" w:rsidR="00BE322E" w:rsidRPr="00D37862" w:rsidRDefault="00D37862" w:rsidP="00D37862">
      <w:pPr>
        <w:pStyle w:val="NormalHanging12a"/>
        <w:ind w:hanging="573"/>
      </w:pPr>
      <w:r w:rsidRPr="00D37862">
        <w:t>43.</w:t>
      </w:r>
      <w:r w:rsidRPr="00D37862">
        <w:tab/>
      </w:r>
      <w:r w:rsidR="00BE322E" w:rsidRPr="00D37862">
        <w:t>ζητεί τη συνέχιση της διοργανικής συνεργασίας και του διαλόγου σχετικά με την ακεραιότητα και τη διαφάνεια εντός των θεσμικών οργάνων της Ένωσης·</w:t>
      </w:r>
      <w:r w:rsidR="00E34A88" w:rsidRPr="00D37862">
        <w:t xml:space="preserve"> υπενθυμίζει ότι το Κοινοβούλιο εξακολουθεί να δεσμεύεται από τη συμφωνία για τη σύσταση διοργανικού φορέα προτύπων δεοντολογίας για τα μέλη των θεσμικών και των συμβουλευτικών οργάνων που αναφέρονται στο άρθρο 13 της Συνθήκης για την Ευρωπαϊκή Ένωση· υπενθυμίζει ότι, ως εκ τούτου, το Κοινοβούλιο υποχρεούται να συμμορφωθεί με τις διατάξεις του χωρίς περαιτέρω καθυστέρηση·</w:t>
      </w:r>
    </w:p>
    <w:p w14:paraId="6B98EAA9" w14:textId="3F1CE4D8" w:rsidR="00BE322E" w:rsidRPr="00D37862" w:rsidRDefault="00D37862" w:rsidP="00D37862">
      <w:pPr>
        <w:pStyle w:val="NormalHanging12a"/>
        <w:ind w:hanging="573"/>
        <w:rPr>
          <w:bCs/>
          <w:iCs/>
        </w:rPr>
      </w:pPr>
      <w:r w:rsidRPr="00D37862">
        <w:rPr>
          <w:iCs/>
        </w:rPr>
        <w:t>44.</w:t>
      </w:r>
      <w:r w:rsidRPr="00D37862">
        <w:rPr>
          <w:iCs/>
        </w:rPr>
        <w:tab/>
      </w:r>
      <w:r w:rsidR="00BE322E" w:rsidRPr="00D37862">
        <w:t>εκφράζει την ικανοποίησή του για το γεγονός ότι η ΓΔ PRES συνέχισε επίσης την αποτελεσματική συνεργασία της με το Συμβούλιο και την Επιτροπή όσον αφορά όλα τα στοιχεία που αφορούν τη διοργανική γραμματεία του μητρώου διαφάνειας, με σκοπό να συνεχίσει να ενισχύει τη λειτουργία του μητρώου·</w:t>
      </w:r>
    </w:p>
    <w:p w14:paraId="646F52AC" w14:textId="5E71642C" w:rsidR="00BE322E" w:rsidRPr="00D37862" w:rsidRDefault="00D37862" w:rsidP="00D37862">
      <w:pPr>
        <w:pStyle w:val="NormalHanging12a"/>
        <w:ind w:hanging="573"/>
      </w:pPr>
      <w:r w:rsidRPr="00D37862">
        <w:t>45.</w:t>
      </w:r>
      <w:r w:rsidRPr="00D37862">
        <w:tab/>
      </w:r>
      <w:r w:rsidR="00BE322E" w:rsidRPr="00D37862">
        <w:t>επισημαίνει τις καθυστερήσεις που εξακολουθούν να παρατηρούνται στον τρόπο που διαχειρίζεται η Επιτροπή τις κοινοβουλευτικές ερωτήσεις με αίτημα γραπτής απάντησης τα τελευταία χρόνια· εκφράζει τη λύπη του για το γεγονός ότι η διαδικασία γίνεται όλο και πιο γραφειοκρατική και αργή, με αποτέλεσμα τη συστηματική μη τήρηση των προθεσμιών που ορίζονται στο άρθρο 144 του Κανονισμού του Κοινοβουλίου· σημειώνει με ανησυχία ότι το 2024 η Επιτροπή απάντησε εντός των προθεσμιών που ορίζονται στον Κανονισμό του Κοινοβουλίου μόνο σε περιορισμένο ποσοστό ερωτήσεων με αίτημα γραπτής απάντησης, συμπεριλαμβανομένου ενός ιδιαίτερα χαμηλού ποσοστού για τις ερωτήσεις προτεραιότητας, και σε πολλές περιπτώσεις μετά τη λήξη της προθεσμίας· τονίζει ότι ο μεγαλύτερος χρόνος απάντησης ήταν 475 ημέρες· υπενθυμίζει ότι οι έγκαιρες απαντήσεις αποτελούν ουσιαστικό στοιχείο του κοινοβουλευτικού ελέγχου και της δημοκρατικής λογοδοσίας· επικροτεί τις προσπάθειες που έχει καταβάλει η ΓΔ PRES τα τελευταία χρόνια για την τήρηση των καθορισμένων προθεσμιών· καλεί τη ΓΔ PRES να εργαστεί για να διασφαλίσει την πλήρη συμμόρφωση με τις προθεσμίες που έχει ορίσει το Κοινοβούλιο και να επιδιώξει, μεταξύ άλλων σε πολιτικό επίπεδο, πιο δεσμευτικές ρυθμίσεις με την Επιτροπή σχετικά με την απάντηση σε ερωτήσεις με αίτημα γραπτής απάντησης εντός των προθεσμιών και να υποβάλει έκθεση στην αρμόδια για την απαλλαγή αρχή σχετικά με την πρόοδο που σημειώνεται, ώστε να αποκατασταθούν ως αποτελεσματικό μέσο εποπτείας οι κοινοβουλευτικές ερωτήσεις με αίτημα γραπτής απάντησης·</w:t>
      </w:r>
    </w:p>
    <w:p w14:paraId="1DC3854D" w14:textId="4507FC93" w:rsidR="00BE322E" w:rsidRPr="00D37862" w:rsidRDefault="00D37862" w:rsidP="00D37862">
      <w:pPr>
        <w:pStyle w:val="NormalHanging12a"/>
        <w:ind w:hanging="573"/>
        <w:rPr>
          <w:bCs/>
          <w:iCs/>
        </w:rPr>
      </w:pPr>
      <w:r w:rsidRPr="00D37862">
        <w:rPr>
          <w:iCs/>
        </w:rPr>
        <w:t>46.</w:t>
      </w:r>
      <w:r w:rsidRPr="00D37862">
        <w:rPr>
          <w:iCs/>
        </w:rPr>
        <w:tab/>
      </w:r>
      <w:r w:rsidR="00BE322E" w:rsidRPr="00D37862">
        <w:t>σημειώνει ότι η εσωτερική επεξεργασία, συμπεριλαμβανομένων της επιμέλειας, της μετάφρασης και των ελέγχων παραδεκτού, συμβάλλει στον συνολικό χρόνο διαβίβασης των ερωτήσεων με αίτημα γραπτής απάντησης· καλεί τη διοίκηση να συνεχίσει τον εξορθολογισμό αυτών των διαδικασιών, με πλήρη σεβασμό της γλωσσικής ποιότητας και των απαιτήσεων προστασίας των δεδομένων, προκειμένου να στηρίξει αποτελεσματικότερα τις εργασίες ελέγχου των βουλευτών·</w:t>
      </w:r>
    </w:p>
    <w:p w14:paraId="70DD9544" w14:textId="4F993EB8" w:rsidR="00BE322E" w:rsidRPr="00D37862" w:rsidRDefault="00D37862" w:rsidP="00D37862">
      <w:pPr>
        <w:spacing w:after="240"/>
        <w:ind w:left="567" w:hanging="573"/>
      </w:pPr>
      <w:r w:rsidRPr="00D37862">
        <w:t>47.</w:t>
      </w:r>
      <w:r w:rsidRPr="00D37862">
        <w:tab/>
      </w:r>
      <w:r w:rsidR="00BE322E" w:rsidRPr="00D37862">
        <w:t xml:space="preserve">καλεί τη ΓΔ PRES να συνεργαστεί ενεργά με τα κοινοβούλια άλλων κρατών μελών και τρίτων χωρών για την εκπόνηση προτάσεων σε σχέση με αποτελεσματικούς μηχανισμούς ελέγχου και την εξεύρεση τρόπων βελτίωσης της ποιότητας και της συμμετοχής στις συζητήσεις της ολομέλειας εντός του Κοινοβουλίου· καλεί τη ΓΔ </w:t>
      </w:r>
      <w:r w:rsidR="00BE322E" w:rsidRPr="00D37862">
        <w:lastRenderedPageBreak/>
        <w:t>PRES να αντλήσει διδάγματα από τη δομή των ακροάσεων του Κογκρέσου·</w:t>
      </w:r>
    </w:p>
    <w:p w14:paraId="7FB437AD" w14:textId="2795D57D" w:rsidR="00BE322E" w:rsidRPr="00D37862" w:rsidRDefault="00D37862" w:rsidP="00D37862">
      <w:pPr>
        <w:pStyle w:val="NormalHanging12a"/>
        <w:ind w:hanging="573"/>
        <w:rPr>
          <w:bCs/>
          <w:iCs/>
        </w:rPr>
      </w:pPr>
      <w:r w:rsidRPr="00D37862">
        <w:rPr>
          <w:iCs/>
        </w:rPr>
        <w:t>48.</w:t>
      </w:r>
      <w:r w:rsidRPr="00D37862">
        <w:rPr>
          <w:iCs/>
        </w:rPr>
        <w:tab/>
      </w:r>
      <w:r w:rsidR="00BE322E" w:rsidRPr="00D37862">
        <w:t>εκφράζει την ικανοποίησή του για το γεγονός ότι το Κοινοβούλιο κίνησε πρόσφατα τη νομοθετική διαδικασία για την τροποποίηση του εκλογικού νόμου της Ένωσης, προκειμένου να θεσπιστεί μια νέα προσωρινή επιλογή ψηφοφορίας διά πληρεξουσίου για τις βουλευτές του Ευρωπαϊκού Κοινοβουλίου κατά την προχωρημένη κύηση και την πρώιμη μητρότητα· εκφράζει την ικανοποίησή του για το γεγονός ότι, με την ψηφοφορία του στις 13 Νοεμβρίου 2025 στην Ολομέλεια, το Κοινοβούλιο δεσμεύτηκε για την ισότητα των φύλων, τη συμπεριληπτικότητα και την ισορροπία μεταξύ επαγγελματικής και ιδιωτικής ζωής, παρόλο που η ευρύτερη γονική άδεια δεν καλύπτεται από την πράξη·</w:t>
      </w:r>
    </w:p>
    <w:p w14:paraId="3FC8F04B" w14:textId="6C70345D" w:rsidR="00BE322E" w:rsidRPr="00D37862" w:rsidRDefault="00D37862" w:rsidP="00D37862">
      <w:pPr>
        <w:pStyle w:val="NormalHanging12a"/>
        <w:ind w:hanging="573"/>
        <w:rPr>
          <w:bCs/>
          <w:iCs/>
        </w:rPr>
      </w:pPr>
      <w:r w:rsidRPr="00D37862">
        <w:rPr>
          <w:iCs/>
        </w:rPr>
        <w:t>49.</w:t>
      </w:r>
      <w:r w:rsidRPr="00D37862">
        <w:rPr>
          <w:iCs/>
        </w:rPr>
        <w:tab/>
      </w:r>
      <w:r w:rsidR="00BE322E" w:rsidRPr="00D37862">
        <w:t>σημειώνει ότι επί του παρόντος δεν υπάρχουν διαθέσιμα επικαιροποιημένα δεδομένα όσον αφορά τη συμμετοχή σε επίπεδο επιτροπής· καλεί τις υπηρεσίες του Κοινοβουλίου να δημοσιεύουν αυτά τα στοιχεία συμμετοχής σε επίπεδο επιτροπής ετησίως και αναλυτικά ανά επιτροπή·</w:t>
      </w:r>
    </w:p>
    <w:p w14:paraId="1AB73E3F"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Γενική Διεύθυνση Επικοινωνίας</w:t>
      </w:r>
    </w:p>
    <w:p w14:paraId="02DBB7EE" w14:textId="3705969F"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50.</w:t>
      </w:r>
      <w:r w:rsidRPr="00D37862">
        <w:rPr>
          <w:szCs w:val="24"/>
          <w14:textOutline w14:w="0" w14:cap="flat" w14:cmpd="sng" w14:algn="ctr">
            <w14:noFill/>
            <w14:prstDash w14:val="solid"/>
            <w14:bevel/>
          </w14:textOutline>
        </w:rPr>
        <w:tab/>
      </w:r>
      <w:r w:rsidR="00BE322E" w:rsidRPr="00D37862">
        <w:t>σημειώνει ότι αποστολή της Γενικής Διεύθυνσης Επικοινωνίας (ΓΔ COMM) είναι να διασφαλίσει ότι οι πολίτες κατανοούν τη σημασία του Κοινοβουλίου, ώστε να μπορούν να βελτιώσουν τη συμμετοχή τους στην ευρωπαϊκή δημοκρατική διαδικασία·</w:t>
      </w:r>
      <w:r w:rsidR="00BE322E" w:rsidRPr="00D37862">
        <w:rPr>
          <w14:textOutline w14:w="0" w14:cap="flat" w14:cmpd="sng" w14:algn="ctr">
            <w14:noFill/>
            <w14:prstDash w14:val="solid"/>
            <w14:bevel/>
          </w14:textOutline>
        </w:rPr>
        <w:t xml:space="preserve"> τονίζει ότι τα βασικά καθήκοντά της είναι να συνεργάζεται με τα μέσα ενημέρωσης, να ενημερώνει, να εξηγεί και να ενισχύει την προβολή του έργου του Κοινοβουλίου, να ενισχύει την ευαισθητοποίηση των πολιτών σε όλα τα κράτη μέλη, των ενδιαφερόμενων μερών και των διαμορφωτών της κοινής γνώμης σχετικά με το Κοινοβούλιο μέσω των Γραφείων Συνδέσμου του Ευρωπαϊκού Κοινοβουλίου που βρίσκονται στα κράτη μέλη, να προωθεί την αλληλεπίδραση με τους πολίτες μέσω ενισχυμένων έργων, εκδηλώσεων και ενημερωτικών εκστρατειών για τους επισκέπτες και την παρουσία του στα μέσα κοινωνικής δικτύωσης, και να παρέχει εμπειρογνωμοσύνη στους βουλευτές και τις πολιτικές ομάδες σε θέματα όπως οι πληροφορίες για τα μέσα ενημέρωσης και η παρακολούθηση της κοινής γνώμης·</w:t>
      </w:r>
    </w:p>
    <w:p w14:paraId="422BCC0D" w14:textId="0BE54A78"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51.</w:t>
      </w:r>
      <w:r w:rsidRPr="00D37862">
        <w:rPr>
          <w:szCs w:val="24"/>
          <w14:textOutline w14:w="0" w14:cap="flat" w14:cmpd="sng" w14:algn="ctr">
            <w14:noFill/>
            <w14:prstDash w14:val="solid"/>
            <w14:bevel/>
          </w14:textOutline>
        </w:rPr>
        <w:tab/>
      </w:r>
      <w:r w:rsidR="00BE322E" w:rsidRPr="00D37862">
        <w:t>σημειώνει ότι το 2024 οι οριστικές πιστώσεις της ΓΔ COMM ανήλθαν σε 137 463 777 EUR, ποσό που αντιστοιχεί στο 5,8 % του προϋπολογισμού του Κοινοβουλίου·</w:t>
      </w:r>
      <w:r w:rsidR="00BE322E" w:rsidRPr="00D37862">
        <w:rPr>
          <w14:textOutline w14:w="0" w14:cap="flat" w14:cmpd="sng" w14:algn="ctr">
            <w14:noFill/>
            <w14:prstDash w14:val="solid"/>
            <w14:bevel/>
          </w14:textOutline>
        </w:rPr>
        <w:t xml:space="preserve"> </w:t>
      </w:r>
      <w:r w:rsidR="00BE322E" w:rsidRPr="00D37862">
        <w:t>επισημαίνει ότι, από το ποσό αυτό, δεσμεύτηκαν συνολικά 137 467 355 EUR·</w:t>
      </w:r>
      <w:r w:rsidR="00BE322E" w:rsidRPr="00D37862">
        <w:rPr>
          <w14:textOutline w14:w="0" w14:cap="flat" w14:cmpd="sng" w14:algn="ctr">
            <w14:noFill/>
            <w14:prstDash w14:val="solid"/>
            <w14:bevel/>
          </w14:textOutline>
        </w:rPr>
        <w:t xml:space="preserve"> εκφράζει την ικανοποίησή του για την υψηλή απορρόφηση των πιστώσεων·</w:t>
      </w:r>
    </w:p>
    <w:p w14:paraId="253FD71C" w14:textId="0D9D8E5D" w:rsidR="00BE322E" w:rsidRPr="00D37862" w:rsidRDefault="00D37862" w:rsidP="00D37862">
      <w:pPr>
        <w:spacing w:after="240"/>
        <w:ind w:left="567" w:hanging="573"/>
      </w:pPr>
      <w:r w:rsidRPr="00D37862">
        <w:t>52.</w:t>
      </w:r>
      <w:r w:rsidRPr="00D37862">
        <w:tab/>
      </w:r>
      <w:r w:rsidR="00BE322E" w:rsidRPr="00D37862">
        <w:t>αναγνωρίζει ότι το 2024 η επικοινωνία σχετικά με τις ευρωπαϊκές εκλογές βρισκόταν στο επίκεντρο των δραστηριοτήτων της ΓΔ COMM, ιδίως με την επιτυχή επικοινωνιακή εκστρατεία προώθησης της προσέλευσης στις κάλπες, τις συνεργασίες με περισσότερες από 300 οργανώσεις της κοινωνίας των πολιτών και την ενημέρωση περισσότερων από 18 000 δημοσιογράφων· σημειώνει ότι όλα τα στρατηγικά έργα της ΓΔ COMM το 2024, με ποσοστό ολοκλήρωσης 94 %, είχαν ως στόχο τις ευρωπαϊκές εκλογές, ενώ το υπόλοιπο 6 % αφορούσε την υλοποίηση της νέας δομής του ιστοτόπου·</w:t>
      </w:r>
    </w:p>
    <w:p w14:paraId="1D2C031F" w14:textId="2F89BE72" w:rsidR="00BE322E" w:rsidRPr="00D37862" w:rsidRDefault="00D37862" w:rsidP="00D37862">
      <w:pPr>
        <w:spacing w:after="240"/>
        <w:ind w:left="567" w:hanging="573"/>
      </w:pPr>
      <w:r w:rsidRPr="00D37862">
        <w:t>53.</w:t>
      </w:r>
      <w:r w:rsidRPr="00D37862">
        <w:tab/>
      </w:r>
      <w:r w:rsidR="00BE322E" w:rsidRPr="00D37862">
        <w:t xml:space="preserve">σημειώνει ότι η ΓΔ COMM διευκόλυνε την κάλυψη των ευρωπαϊκών εκλογών, οι οποίες έφτασαν σε πρωτοφανή όγκο δημοσιεύσεων (αύξηση κατά 18 % σε σύγκριση με τις προηγούμενες εκλογές), τις οποίες η ΓΔ COMM αναφέρει ως ιδιαίτερα αξιοσημείωτες τις τελευταίες στιγμές του εκλογικού κύκλου, με τη νύχτα των εκλογών </w:t>
      </w:r>
      <w:r w:rsidR="00BE322E" w:rsidRPr="00D37862">
        <w:lastRenderedPageBreak/>
        <w:t>(στις 9 Ιουνίου 2024) να καλύπτεται από 149 τηλεοπτικά κανάλια σε 51 χώρες, ενώ σημειωτέα είναι και η κάλυψη από την πλειονότητα των διαδικτυακών μέσων·</w:t>
      </w:r>
    </w:p>
    <w:p w14:paraId="3C808DB6" w14:textId="59FD0FC2" w:rsidR="00BE322E" w:rsidRPr="00D37862" w:rsidRDefault="00D37862" w:rsidP="00D37862">
      <w:pPr>
        <w:spacing w:after="240"/>
        <w:ind w:left="567" w:hanging="573"/>
      </w:pPr>
      <w:r w:rsidRPr="00D37862">
        <w:t>54.</w:t>
      </w:r>
      <w:r w:rsidRPr="00D37862">
        <w:tab/>
      </w:r>
      <w:r w:rsidR="00BE322E" w:rsidRPr="00D37862">
        <w:t>επισημαίνει τον ρόλο που διαδραματίζουν τα Γραφεία Συνδέσμου του Ευρωπαϊκού Κοινοβουλίου ως προς τη σύνδεση μεταξύ του Κοινοβουλίου και του κοινού και των ενδιαφερόμενων μερών στα κράτη μέλη εν γένει, καθώς και ως προς την επικοινωνία σχετικά με τις ευρωπαϊκές εκλογές·</w:t>
      </w:r>
      <w:r w:rsidR="00BE322E" w:rsidRPr="00D37862">
        <w:rPr>
          <w14:textOutline w14:w="0" w14:cap="flat" w14:cmpd="sng" w14:algn="ctr">
            <w14:noFill/>
            <w14:prstDash w14:val="solid"/>
            <w14:bevel/>
          </w14:textOutline>
        </w:rPr>
        <w:t xml:space="preserve"> </w:t>
      </w:r>
      <w:r w:rsidR="00BE322E" w:rsidRPr="00D37862">
        <w:t xml:space="preserve">σημειώνει ότι όλα τα Γραφεία Συνδέσμου του Ευρωπαϊκού Κοινοβουλίου έχουν εξοπλιστεί με οπτικοακουστικές υπηρεσίες που μπορούν να χρησιμοποιηθούν από βουλευτές, πολιτικές ομάδες και τρίτους στα κράτη μέλη· </w:t>
      </w:r>
    </w:p>
    <w:p w14:paraId="2AC9439A" w14:textId="7AC66B63" w:rsidR="00BE322E" w:rsidRPr="00D37862" w:rsidRDefault="00D37862" w:rsidP="00D37862">
      <w:pPr>
        <w:pStyle w:val="NormalHanging12a"/>
        <w:ind w:hanging="573"/>
        <w:rPr>
          <w:bCs/>
          <w:iCs/>
        </w:rPr>
      </w:pPr>
      <w:r w:rsidRPr="00D37862">
        <w:rPr>
          <w:iCs/>
        </w:rPr>
        <w:t>55.</w:t>
      </w:r>
      <w:r w:rsidRPr="00D37862">
        <w:rPr>
          <w:iCs/>
        </w:rPr>
        <w:tab/>
      </w:r>
      <w:r w:rsidR="00BE322E" w:rsidRPr="00D37862">
        <w:t>ζητεί επαρκή παρακολούθηση των δαπανών των Γραφείων Συνδέσμου του Ευρωπαϊκού Κοινοβουλίου και των κέντρων Europa Experience·</w:t>
      </w:r>
    </w:p>
    <w:p w14:paraId="0633458A" w14:textId="6F03AB10" w:rsidR="00BE322E" w:rsidRPr="00D37862" w:rsidRDefault="00D37862" w:rsidP="00D37862">
      <w:pPr>
        <w:pStyle w:val="NormalHanging12a"/>
        <w:ind w:hanging="573"/>
        <w:rPr>
          <w:bCs/>
          <w:iCs/>
        </w:rPr>
      </w:pPr>
      <w:r w:rsidRPr="00D37862">
        <w:rPr>
          <w:iCs/>
        </w:rPr>
        <w:t>56.</w:t>
      </w:r>
      <w:r w:rsidRPr="00D37862">
        <w:rPr>
          <w:iCs/>
        </w:rPr>
        <w:tab/>
      </w:r>
      <w:r w:rsidR="00BE322E" w:rsidRPr="00D37862">
        <w:t>τονίζει τον καίριο ρόλο που διαδραματίζει το Γραφείο Συνδέσμου του Ευρωπαϊκού Κοινοβουλίου στην Ουάσιγκτον για την προώθηση των διατλαντικών σχέσεων και την ενίσχυση της σύνδεσης μεταξύ του Κογκρέσου των ΗΠΑ και των κοινοβουλίων των χωρών της Ένωσης· επισημαίνει ότι, λαμβανομένων υπόψη του σχηματισμού της νέας κυβέρνησης των ΗΠΑ και των αναδυόμενων παγκόσμιων προκλήσεων, ο ρόλος του Γραφείου Συνδέσμου του Ευρωπαϊκού Κοινοβουλίου στην Ουάσιγκτον είναι ακόμη πιο σημαντικός· ζητεί επαρκή κονδύλια και στελέχωση για τη στήριξη των δραστηριοτήτων του Γραφείου Συνδέσμου του Ευρωπαϊκού Κοινοβουλίου στην Ουάσιγκτον·</w:t>
      </w:r>
    </w:p>
    <w:p w14:paraId="77FF6365" w14:textId="7B791410" w:rsidR="00BE322E" w:rsidRPr="00D37862" w:rsidRDefault="00D37862" w:rsidP="00D37862">
      <w:pPr>
        <w:pStyle w:val="NormalHanging12a"/>
        <w:ind w:hanging="573"/>
      </w:pPr>
      <w:r w:rsidRPr="00D37862">
        <w:t>57.</w:t>
      </w:r>
      <w:r w:rsidRPr="00D37862">
        <w:tab/>
      </w:r>
      <w:r w:rsidR="00BE322E" w:rsidRPr="00D37862">
        <w:t>σημειώνει ότι το 2024 άνοιξαν 14 κέντρα Europa Experience, τα οποία προσέλκυσαν συνολικά 957 209 επισκέπτες, οι δε αριθμοί επισκεπτών κυμαίνονται ευρέως, με το Στρασβούργο (381 687) και το Βερολίνο (122 672) συγκεκριμένα να προσελκύουν τον υψηλότερο αριθμό επισκεπτών, και την Κοπεγχάγη (18 182) και το Δουβλίνο (8 312) να προσελκύουν τον χαμηλότερο αριθμό επισκεπτών, αν και το κέντρο στο Δουβλίνο άνοιξε μόλις τον Οκτώβριο του 2024· σημειώνει την παρατήρηση ότι τα κέντρα Europa Experience χρησιμοποιούνται ως κόμβος της Ένωσης για τη δημοκρατική συμμετοχή από τα Γραφεία Συνδέσμου του Ευρωπαϊκού Κοινοβουλίου στα αντίστοιχα κράτη μέλη, και ότι προσφέρουν ευκαιρίες για να διαδοθούν τα μηνύματα του Κοινοβουλίου σε ευρύτερο κοινό·</w:t>
      </w:r>
    </w:p>
    <w:p w14:paraId="1B951699" w14:textId="72CE9D65" w:rsidR="00BE322E" w:rsidRPr="00D37862" w:rsidRDefault="00D37862" w:rsidP="00D37862">
      <w:pPr>
        <w:spacing w:after="240"/>
        <w:ind w:left="567" w:hanging="573"/>
      </w:pPr>
      <w:r w:rsidRPr="00D37862">
        <w:t>58.</w:t>
      </w:r>
      <w:r w:rsidRPr="00D37862">
        <w:tab/>
      </w:r>
      <w:r w:rsidR="00BE322E" w:rsidRPr="00D37862">
        <w:t>υπογραμμίζει ότι είναι σημαντικό να αξιολογηθούν διεξοδικά τα διδάγματα που έχουν αντληθεί μέχρι στιγμής από τα κέντρα Europa Experience, ιδίως σε σχέση με την αναζήτηση κατάλληλων κτιρίων και τον τρόπο αποτελεσματικής προσέγγισης των στοχευόμενων ομάδων, με σκοπό τον εντοπισμό βέλτιστων πρακτικών και την προσαρμογή των μελλοντικών κέντρων Europa Experience στις τοπικές ανάγκες και με βάση τον αποδεδειγμένο αντίκτυπο· τονίζει ότι αυτή η επαναξιολόγηση θα πρέπει να καθοδηγεί τις μελλοντικές προσαρμογές ή τις επανεκτιμήσεις περί περαιτέρω επέκτασης, διασφαλίζοντας ότι όλες οι μελλοντικές επενδύσεις είναι αποδοτικότερες όσον αφορά την εξυπηρέτηση του επιδιωκόμενου σκοπού τους, δηλαδή την προσέγγιση του Κοινοβουλίου στους πολίτες και τη βελτίωση της κατανόησης των δημοκρατικών διαδικασιών από τους πολίτες της Ένωσης·</w:t>
      </w:r>
    </w:p>
    <w:p w14:paraId="4190BDA1" w14:textId="2BD59A86" w:rsidR="00BE322E" w:rsidRPr="00D37862" w:rsidRDefault="00D37862" w:rsidP="00D37862">
      <w:pPr>
        <w:pStyle w:val="NormalHanging12a"/>
        <w:ind w:hanging="573"/>
      </w:pPr>
      <w:r w:rsidRPr="00D37862">
        <w:t>59.</w:t>
      </w:r>
      <w:r w:rsidRPr="00D37862">
        <w:tab/>
      </w:r>
      <w:r w:rsidR="00BE322E" w:rsidRPr="00D37862">
        <w:t xml:space="preserve">υπενθυμίζει ότι οι νέοι κανόνες σχετικά με την καταβολή επιδοτήσεων για τις επιδοτούμενες ομάδες επισκεπτών εγκρίθηκαν από το Προεδρείο στις 11 Σεπτεμβρίου 2023, με ημερομηνία έναρξης ισχύος την 1η Ιανουαρίου 2024· σημειώνει ότι το 2024 300 000 επιδοτούμενοι και μη επιδοτούμενοι επισκέπτες έλαβαν πρόσκληση από βουλευτές στις Βρυξέλλες και το Στρασβούργο· σημειώνει ότι οι επιδοτήσεις για τις εν </w:t>
      </w:r>
      <w:r w:rsidR="00BE322E" w:rsidRPr="00D37862">
        <w:lastRenderedPageBreak/>
        <w:t>λόγω ομάδες επισκεπτών ανήλθαν στο 17 % των δαπανών της ΓΔ COMM το 2024· σημειώνει τις πρόσθετες προσπάθειες που καταβάλλουν οι πολιτικές ομάδες για τη στήριξη των βουλευτών τους στην αλληλεπίδραση με τους πολίτες, συμπεριλαμβανομένων των νέων, προκειμένου να διασφαλιστεί επαρκής ενημέρωση σχετικά με το έργο των βουλευτών στο Στρασβούργο και τις Βρυξέλλες με χρηματοδότηση από κονδύλια της θέσης 400 του προϋπολογισμού·</w:t>
      </w:r>
    </w:p>
    <w:p w14:paraId="68C79F5B" w14:textId="3A10A6A3" w:rsidR="00BE322E" w:rsidRPr="00D37862" w:rsidRDefault="00D37862" w:rsidP="00D37862">
      <w:pPr>
        <w:spacing w:after="240"/>
        <w:ind w:left="567" w:hanging="573"/>
      </w:pPr>
      <w:r w:rsidRPr="00D37862">
        <w:t>60.</w:t>
      </w:r>
      <w:r w:rsidRPr="00D37862">
        <w:tab/>
      </w:r>
      <w:r w:rsidR="00BE322E" w:rsidRPr="00D37862">
        <w:t>επισημαίνει τον διαρκή αγώνα της Ένωσης για τη διαφύλαξη των ενωσιακών αξιών και της ακεραιότητας των δημοκρατικών διαδικασιών· αναγνωρίζει τις αυξανόμενες προσπάθειες ξένων παραγόντων να επηρεάσουν το έργο του Κοινοβουλίου και τονίζει την ανάγκη επαγρύπνησης για την αντιμετώπιση της παραπληροφόρησης από χώρες εκτός της Ένωσης· υπενθυμίζει, εν προκειμένω, τα ψηφίσματα του Ευρωπαϊκού Κοινοβουλίου της 1ης Ιουνίου 2023 σχετικά με τις εξωτερικές παρεμβάσεις, συμπεριλαμβανομένης της παραπληροφόρησης, σε όλες τις δημοκρατικές διαδικασίες στην Ευρωπαϊκή Ένωση (2022/2075(INI)), και της 23ης Ιανουαρίου 2025 σχετικά με την παραπληροφόρηση και την παραχάραξη της ιστορίας από τη Ρωσία για να δικαιολογήσει τον επιθετικό της πόλεμο κατά της Ουκρανίας (2024/2988(RSP))· εκφράζει την ικανοποίησή του για τα μέτρα που έλαβε το Κοινοβούλιο με σκοπό την πρόληψη και την καταπολέμηση της παραπληροφόρησης· μολονότι αναγνωρίζει ότι δεν έχει συμβεί ακόμη κανένα σημαντικό περιστατικό, τονίζει ότι είναι σημαντικό να συνεχίσουν να εφαρμόζονται προληπτικά μέτρα για την προστασία της ακεραιότητας του δημόσιου διαλόγου και των ψηφοφοριών του Κοινοβουλίου· επισημαίνει την προστιθέμενη αξία πρωτοβουλιών όπως οι συνεδριάσεις ελέγχου γεγονότων και οι σχετικές σύνοδοι κορυφής, οι οποίες διαδραματίζουν καίριο ρόλο στην προώθηση της διαφάνειας, στον εφοδιασμό των ενδιαφερόμενων μερών με εργαλεία για την αντιμετώπιση της παραπληροφόρησης και στην ενίσχυση της συνεργασίας μεταξύ των οργανισμών ελέγχου γεγονότων εντός και εκτός της Ένωσης·</w:t>
      </w:r>
    </w:p>
    <w:p w14:paraId="4D39460B"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Γενική Διεύθυνση Προσωπικού</w:t>
      </w:r>
    </w:p>
    <w:p w14:paraId="2940E1A0" w14:textId="1013D9FC"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61.</w:t>
      </w:r>
      <w:r w:rsidRPr="00D37862">
        <w:rPr>
          <w:szCs w:val="24"/>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 xml:space="preserve">υπενθυμίζει ότι η Γενική Διεύθυνση Προσωπικού (ΓΔ PERS) είναι αρμόδια για την κατάλληλη και αποδοτική διαχείριση των ανθρώπινων πόρων εντός του Κοινοβουλίου και διασφαλίζει ότι οι βουλευτές υποστηρίζονται από εργαζομένους υψηλής ειδίκευσης ώστε να μπορούν να εκπληρώνουν δεόντως την εντολή τους· </w:t>
      </w:r>
      <w:r w:rsidR="00BE322E" w:rsidRPr="00D37862">
        <w:t>σημειώνει ότι στις 31</w:t>
      </w:r>
      <w:r w:rsidR="00E2012B" w:rsidRPr="00D37862">
        <w:t> </w:t>
      </w:r>
      <w:r w:rsidR="00BE322E" w:rsidRPr="00D37862">
        <w:t>Δεκεμβρίου 2024, απασχολούνταν 499 υπάλληλοι, εκ των οποίων 290 ήταν μόνιμοι υπάλληλοι, 82 έκτακτοι υπάλληλοι, 120 συμβασιούχοι υπάλληλοι, 2 αποσπασμένοι εθνικοί εμπειρογνώμονες και 5 προσωρινά απασχολούμενοι υπάλληλοι·</w:t>
      </w:r>
    </w:p>
    <w:p w14:paraId="391C717F" w14:textId="39A6156A"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62.</w:t>
      </w:r>
      <w:r w:rsidRPr="00D37862">
        <w:rPr>
          <w:szCs w:val="24"/>
          <w14:textOutline w14:w="0" w14:cap="flat" w14:cmpd="sng" w14:algn="ctr">
            <w14:noFill/>
            <w14:prstDash w14:val="solid"/>
            <w14:bevel/>
          </w14:textOutline>
        </w:rPr>
        <w:tab/>
      </w:r>
      <w:r w:rsidR="00BE322E" w:rsidRPr="00D37862">
        <w:t>σημειώνει ότι το 2024 οι οριστικές πιστώσεις της ΓΔ PERS ανήλθαν σε 1 225 341 375 EUR (έναντι 1 163 329 780 EUR το 2023), ποσό που αντιστοιχεί στο 51,4 % του προϋπολογισμού του Κοινοβουλίου·</w:t>
      </w:r>
      <w:r w:rsidR="00BE322E" w:rsidRPr="00D37862">
        <w:rPr>
          <w14:textOutline w14:w="0" w14:cap="flat" w14:cmpd="sng" w14:algn="ctr">
            <w14:noFill/>
            <w14:prstDash w14:val="solid"/>
            <w14:bevel/>
          </w14:textOutline>
        </w:rPr>
        <w:t xml:space="preserve"> </w:t>
      </w:r>
      <w:r w:rsidR="00BE322E" w:rsidRPr="00D37862">
        <w:t>επισημαίνει ότι, από το ποσό αυτό, δεσμεύτηκαν συνολικά 1 160 835 147 EUR·</w:t>
      </w:r>
      <w:r w:rsidR="00BE322E" w:rsidRPr="00D37862">
        <w:rPr>
          <w14:textOutline w14:w="0" w14:cap="flat" w14:cmpd="sng" w14:algn="ctr">
            <w14:noFill/>
            <w14:prstDash w14:val="solid"/>
            <w14:bevel/>
          </w14:textOutline>
        </w:rPr>
        <w:t xml:space="preserve"> εκφράζει την ικανοποίησή του για την υψηλή απορρόφηση των πιστώσεων·</w:t>
      </w:r>
    </w:p>
    <w:p w14:paraId="133ADBB9" w14:textId="4A6F9182" w:rsidR="00BE322E" w:rsidRPr="00D37862" w:rsidRDefault="00D37862" w:rsidP="00D37862">
      <w:pPr>
        <w:pStyle w:val="NormalHanging12a"/>
        <w:ind w:hanging="573"/>
      </w:pPr>
      <w:r w:rsidRPr="00D37862">
        <w:t>63.</w:t>
      </w:r>
      <w:r w:rsidRPr="00D37862">
        <w:tab/>
      </w:r>
      <w:r w:rsidR="00BE322E" w:rsidRPr="00D37862">
        <w:t xml:space="preserve">εκφράζει την ικανοποίησή του για το γεγονός ότι το 2024 η ΓΔ PERS συνέχισε να διοργανώνει διαγωνισμούς και διαδικασίες επιλογής, διαχειριζόμενη μια αυξανόμενη δεξαμενή υποψηφίων, ενώ διοργάνωσε επίσης τέσσερις διαγωνισμούς για συγκεκριμένες εθνικότητες· εκφράζει την ικανοποίησή του για τις προσπάθειες που καταβάλλει η ΓΔ PERS όσον αφορά τη διοργάνωση διαγωνισμών, διασφαλίζοντας την έγκαιρη ολοκλήρωσή τους και τηρώντας τα αναγκαία πρότυπα ποιότητας· εκφράζει την ικανοποίησή του για το γεγονός ότι περισσότεροι από 441 υποψήφιοι εγγράφηκαν </w:t>
      </w:r>
      <w:r w:rsidR="00BE322E" w:rsidRPr="00D37862">
        <w:lastRenderedPageBreak/>
        <w:t>επιτυχώς στους εφεδρικούς πίνακες προσλήψεων· εκφράζει, ωστόσο, τη λύπη του για το γεγονός ότι η Ευρωπαϊκή Υπηρεσία Επιλογής Προσωπικού (EPSO) αντιμετωπίζει συστηματικά προβλήματα σε σχέση με τη διοργάνωση διαγωνισμών και την έλλειψη επαρκούς αριθμού διαθέσιμων υποψηφίων κατάλληλων για τις ανάγκες του Κοινοβουλίου· εκφράζει τη λύπη του για το γεγονός ότι η μέση διάρκεια μεταξύ της δημοσίευσης της προκήρυξης του διαγωνισμού και της τελικής συνέντευξης για κάθε διαγωνισμό υπερβαίνει το ένα έτος· αναγνωρίζει τις γενικές δυσκολίες που αντιμετωπίζουν η ΓΔ PERS και άλλες γενικές διευθύνσεις όσον αφορά την προσέλκυση και τη διατήρηση ταλέντων, γεγονός που έχει αντίκτυπο στις επιδόσεις του εργατικού δυναμικού του Κοινοβουλίου· ζητεί αποδοτικότερες, καλύτερα στοχευμένες και συντομότερες διαδικασίες επιλογής που θα έχουν ως αποτέλεσμα την ενίσχυση της ελκυστικότητας του Κοινοβουλίου ως εργοδότη και θα επιτρέπουν στις γενικές διευθύνσεις να προσλαμβάνουν ταχέως τις ειδικότητες που απαιτούνται για τη στήριξη του έργου τους· τονίζει ότι οι διαδικασίες επιλογής πρέπει να διεξάγονται με πλήρη σεβασμό των αρχών της ίσης μεταχείρισης και της γεωγραφικής ισορροπίας, διασφαλίζοντας τη δίκαιη εκπροσώπηση όλων των κρατών μελών·</w:t>
      </w:r>
    </w:p>
    <w:p w14:paraId="540BFFBA" w14:textId="78D2CF81" w:rsidR="00BE322E" w:rsidRPr="00D37862" w:rsidRDefault="00D37862" w:rsidP="00D37862">
      <w:pPr>
        <w:spacing w:after="240"/>
        <w:ind w:left="567" w:hanging="573"/>
      </w:pPr>
      <w:r w:rsidRPr="00D37862">
        <w:t>64.</w:t>
      </w:r>
      <w:r w:rsidRPr="00D37862">
        <w:tab/>
      </w:r>
      <w:r w:rsidR="00BE322E" w:rsidRPr="00D37862">
        <w:t xml:space="preserve">εκφράζει την ικανοποίησή του για τους διαγωνισμούς του Κοινοβουλίου για συγκεκριμένη εθνικότητα, με στόχο τη βελτίωση της γεωγραφικής ισορροπίας στο προσωπικό του Κοινοβουλίου, με τη δημιουργία μιας ευρύτερης δεξαμενής υποψηφίων από υποεκπροσωπούμενα κράτη μέλη· σημειώνει, ωστόσο, ότι η ανάλυση των δεδομένων όσον αφορά το προσωπικό του Κοινοβουλίου ανά εθνικότητα και ομάδα καθηκόντων αποκαλύπτει μια συνεχιζόμενη ανισορροπία στην επαγγελματική ανέλιξη, με αποτέλεσμα το προσωπικό από ορισμένα κράτη μέλη, παρότι εκπροσωπείται επαρκώς στη διοίκηση, να εξακολουθεί να </w:t>
      </w:r>
      <w:proofErr w:type="spellStart"/>
      <w:r w:rsidR="00BE322E" w:rsidRPr="00D37862">
        <w:t>υποεκπροσωπείται</w:t>
      </w:r>
      <w:proofErr w:type="spellEnd"/>
      <w:r w:rsidR="00BE322E" w:rsidRPr="00D37862">
        <w:t xml:space="preserve"> σε ομάδες καθηκόντων υψηλότερα στην ιεραρχία και θέσεις λήψης αποφάσεων· εκφράζει τη δυσαρέσκειά του για τη μη ισόρροπη γεωγραφική εκπροσώπηση στις ανώτερες και μεσαίες διοικητικές θέσεις στο Κοινοβούλιο· επισημαίνει ότι οι προσλήψεις πρέπει πάντα να βασίζονται σε αξιοκρατικά κριτήρια και να τηρούν απαρεγκλίτως θεμελιώδεις αρχές όπως η ισότητα, η απαγόρευση των διακρίσεων και η αναλογικότητα· τονίζει ότι απαιτείται βελτίωση και καλεί τον Γενικό Γραμματέα, σε συνεργασία με τη ΓΔ PERS, να παρουσιάσει συγκεκριμένα, μετρήσιμα και χρονικά προσδιορισμένα μέτρα για την αντιμετώπιση αυτών των ανισορροπιών και να υποβάλλει τακτικά εκθέσεις στην Επιτροπή Ελέγχου του Προϋπολογισμού του Κοινοβουλίου και στην αρμόδια για την απαλλαγή αρχή σχετικά με την πρόοδο που έχει επιτευχθεί όσον αφορά τη διόρθωση της γεωγραφικής ανισορροπίας εντός του προσωπικού του Κοινοβουλίου· καλεί τον Γενικό Γραμματέα και τη ΓΔ PERS, κατά την τακτική υποβολή εκθέσεων προς την Επιτροπή Ελέγχου του Προϋπολογισμού του Κοινοβουλίου, να συμπεριλαμβάνουν πληροφορίες πέραν του συνολικού αριθμού υπαλλήλων και να περιλαμβάνουν δεδομένα, ιδίως, σχετικά με την εξέλιξη της σταδιοδρομίας και τις προαγωγές ανά εθνικότητα και ομάδα καθηκόντων, τον διορισμό υπαλλήλων σε διοικητικές και ανώτερες θέσεις, τη συμμετοχή σε προγράμματα διαχείρισης ταλέντων και ηγεσίας και τη χρήση προσωρινών διορισμών και ανάληψης καθηκόντων στο πλαίσιο των σταδιοδρομιών επαγγελματικής εξέλιξης·</w:t>
      </w:r>
    </w:p>
    <w:p w14:paraId="6B5E7343" w14:textId="6F534EF0" w:rsidR="00BE322E" w:rsidRPr="00D37862" w:rsidRDefault="00D37862" w:rsidP="00D37862">
      <w:pPr>
        <w:spacing w:after="240"/>
        <w:ind w:left="567" w:hanging="573"/>
        <w:rPr>
          <w:noProof/>
        </w:rPr>
      </w:pPr>
      <w:r w:rsidRPr="00D37862">
        <w:rPr>
          <w:noProof/>
        </w:rPr>
        <w:t>65.</w:t>
      </w:r>
      <w:r w:rsidRPr="00D37862">
        <w:rPr>
          <w:noProof/>
        </w:rPr>
        <w:tab/>
      </w:r>
      <w:r w:rsidR="00BE322E" w:rsidRPr="00D37862">
        <w:t xml:space="preserve">σημειώνει το βασικό επίτευγμα της ΓΔ PERS, ήτοι την αποδοτική πρόσληψη του πρωτοφανούς αριθμού των 1 339 διαπιστευμένων κοινοβουλευτικών βοηθών (ΔΚΒ) έως τη σύνοδο συγκρότησης σε σώμα του Ιουλίου, με τον συνολικό αριθμό των ΔΚΒ που κατέχουν πραγματικές συμβάσεις να αυξάνεται σε 2 024 έως το τέλος του έτους, και την αποχώρηση περίπου 800 ΔΚΒ· θεωρεί ότι οι ΔΚΒ αποτελούν σημαντικό πλεονέκτημα για το θεσμικό όργανο και συγχαίρει τη ΓΔ PERS για τις προσπάθειές της να στηρίξει την αποδοτική και αποτελεσματική πρόσληψή τους από τους βουλευτές· </w:t>
      </w:r>
    </w:p>
    <w:p w14:paraId="2178B260" w14:textId="47C68F38" w:rsidR="00BE322E" w:rsidRPr="00D37862" w:rsidRDefault="00D37862" w:rsidP="00D37862">
      <w:pPr>
        <w:pStyle w:val="NormalHanging12a"/>
        <w:ind w:hanging="573"/>
      </w:pPr>
      <w:r w:rsidRPr="00D37862">
        <w:lastRenderedPageBreak/>
        <w:t>66.</w:t>
      </w:r>
      <w:r w:rsidRPr="00D37862">
        <w:tab/>
      </w:r>
      <w:r w:rsidR="00BE322E" w:rsidRPr="00D37862">
        <w:t>αναγνωρίζει ότι το έργο των ΔΚΒ αποτελεί αναπόσπαστο μέρος του έργου των βουλευτών και, ως εκ τούτου, του Κοινοβουλίου· σημειώνει ότι από τότε που εγκρίθηκε το καταστατικό των ΔΚΒ το 2009, το καθεστώς τους προστατεύεται από τους κανόνες· σημειώνει τις προσπάθειες που καταβάλλει το Κοινοβούλιο για τη δημιουργία ενός πλαισίου με στόχο την παροχή στήριξης στους ΔΚΒ· ζητεί τη δέουσα τήρηση των ισχυόντων κανόνων· σημειώνει ότι έκτοτε οι ΔΚΒ συμμετέχουν σε επίσημες αποστολές στους τρεις τόπους εργασίας του Κοινοβουλίου· εκφράζει την ικανοποίησή του για το γεγονός ότι οι κανόνες σχετικά με την επιστροφή των εξόδων των αποστολών των ΔΚΒ μεταξύ των τριών τόπων εργασίας έχουν ευθυγραμμιστεί με τους κανόνες που ισχύουν για τους υπαλλήλους, ώστε να διασφαλίζεται η ίση μεταχείριση των ΔΚΒ· καλεί το Προεδρείο και τη διοίκηση του Κοινοβουλίου να συμβουλεύονται επίσημα την επιτροπή ΔΚΒ σχετικά με αναθεωρήσεις και μεταρρυθμίσεις που επηρεάζουν άμεσα τα δικαιώματα των ΔΚΒ· καλεί τη διοίκηση του Κοινοβουλίου να διερευνήσει τη σκοπιμότητα καθιέρωσης προθεσμίας καταγγελίας στις συμβάσεις των ΔΚΒ σε περίπτωση απροσδόκητης αποχώρησης ενός βουλευτή· επαναλαμβάνει το αίτημά του προς τη Διάσκεψη των Προέδρων και το Προεδρείο για αναθεώρηση των διατάξεων εφαρμογής που διέπουν τις εργασίες των αντιπροσωπειών και των αποστολών εκτός Ένωσης· υπογραμμίζει ότι μια τέτοια αναθεώρηση θα πρέπει να εξετάσει τη δυνατότητα των ΔΚΒ, υπό ορισμένες προϋποθέσεις, να συνοδεύουν βουλευτές σε επίσημες αντιπροσωπείες και αποστολές του Κοινοβουλίου· επισημαίνει ότι η αλλαγή αυτή δεν θα επιφέρει καμία μεταβολή του κονδυλίου και θα είναι δημοσιονομικά ουδέτερη·</w:t>
      </w:r>
    </w:p>
    <w:p w14:paraId="2DA02735" w14:textId="34B2BB41" w:rsidR="00E34A88" w:rsidRPr="00D37862" w:rsidRDefault="00D37862" w:rsidP="00D37862">
      <w:pPr>
        <w:pStyle w:val="NormalHanging12a"/>
        <w:ind w:hanging="573"/>
      </w:pPr>
      <w:r w:rsidRPr="00D37862">
        <w:t>67.</w:t>
      </w:r>
      <w:r w:rsidRPr="00D37862">
        <w:tab/>
      </w:r>
      <w:r w:rsidR="00E34A88" w:rsidRPr="00D37862">
        <w:t>τονίζει ότι η υγεία και η ασφάλεια στην εργασία, συμπεριλαμβανομένων των ψυχοκοινωνικών κινδύνων (άγχος, επαγγελματική εξουθένωση, παρενόχληση), αποτελούν προτεραιότητα· καλεί το Προεδρείο να αναγνωρίσει επίσημα τους ψυχοκοινωνικούς κινδύνους ως επαγγελματικούς κινδύνους και να εγκρίνει ένα σχέδιο πρόληψης σε επίπεδο Κοινοβουλίου με μετρήσιμους στόχους· ζητεί τη θέσπιση εκτιμήσεων κινδύνου που θα καλύπτουν την τηλεργασία, τις αποστολές και τις αυστηρές προθεσμίες, καθώς και εμπιστευτικούς διαύλους αναφοράς, παροχή κατάρτισης για τα διοικητικά στελέχη και τακτικό κοινωνικό διάλογο· επιμένει ότι πρέπει να επιβάλλεται το δικαίωμα στην αποσύνδεση·</w:t>
      </w:r>
    </w:p>
    <w:p w14:paraId="2E5FC90B" w14:textId="4689EF6B" w:rsidR="00BE322E" w:rsidRPr="00D37862" w:rsidRDefault="00D37862" w:rsidP="00D37862">
      <w:pPr>
        <w:pStyle w:val="NormalHanging12a"/>
        <w:ind w:hanging="573"/>
        <w:rPr>
          <w:bCs/>
          <w:iCs/>
        </w:rPr>
      </w:pPr>
      <w:r w:rsidRPr="00D37862">
        <w:rPr>
          <w:iCs/>
        </w:rPr>
        <w:t>68.</w:t>
      </w:r>
      <w:r w:rsidRPr="00D37862">
        <w:rPr>
          <w:iCs/>
        </w:rPr>
        <w:tab/>
      </w:r>
      <w:r w:rsidR="00BE322E" w:rsidRPr="00D37862">
        <w:t>υπενθυμίζει ότι οι ΔΚΒ δεν μπορούν να συμμετέχουν στους εσωτερικούς διαγωνισμούς του Κοινοβουλίου· καλεί το Προεδρείο να διερευνήσει τη δυνατότητα να επιτραπεί στους ΔΚΒ, υπό όρους που πρέπει να καθοριστούν, να συμμετέχουν σε εσωτερικούς διαγωνισμούς με παρόμοιο τρόπο όπως και το προσωπικό του Κοινοβουλίου· τονίζει ότι η ισχυρότερη συμμετοχή των ΔΚΒ στις εσωτερικές δομές του Κοινοβουλίου θα μπορούσε να συμβάλει στην εξασφάλιση πιο συμπεριληπτικού, ποικιλόμορφου και γεωγραφικά ισορροπημένου εργατικού δυναμικού· επισημαίνει τη σημασία της διατήρησης και της μεταφοράς γνώσεων εντός του Κοινοβουλίου όσον αφορά τις εσωτερικές μεθόδους εργασίας·</w:t>
      </w:r>
    </w:p>
    <w:p w14:paraId="2BB07F5E" w14:textId="3065A579" w:rsidR="00BE322E" w:rsidRPr="00D37862" w:rsidRDefault="00D37862" w:rsidP="00D37862">
      <w:pPr>
        <w:pStyle w:val="NormalHanging12a"/>
        <w:ind w:hanging="573"/>
      </w:pPr>
      <w:r w:rsidRPr="00D37862">
        <w:t>69.</w:t>
      </w:r>
      <w:r w:rsidRPr="00D37862">
        <w:tab/>
      </w:r>
      <w:r w:rsidR="00BE322E" w:rsidRPr="00D37862">
        <w:t xml:space="preserve">σημειώνει με μεγάλη ανησυχία τις αναφορές για παραβίαση δεδομένων που εστιάζουν στην εφαρμογή προσλήψεων PEOPLE του Κοινοβουλίου, η οποία αφορά κυρίως μη μόνιμους υπαλλήλους του Κοινοβουλίου, συμπεριλαμβανομένων των ΔΚΒ· εκφράζει τη λύπη του για το γεγονός ότι η παραβίαση δεδομένων περιλάμβανε στοιχεία ταυτότητας, πιστοποιητικά γέννησης, διπλώματα, προϋπηρεσία, ιατρικά αρχεία, δικαιώματα για επιδόματα, ασφάλιση και έγγραφα σχετικά με την απόδειξη εργασίας, σε ορισμένες δε περιπτώσεις αφορούσε διάστημα 10 ετών· εκφράζει την ικανοποίησή του για το σύστημα επιστροφής δαπανών που θέσπισε ο Γενικός Γραμματέας, σύμφωνα </w:t>
      </w:r>
      <w:r w:rsidR="00BE322E" w:rsidRPr="00D37862">
        <w:lastRenderedPageBreak/>
        <w:t>με το καθήκον μέριμνας του Κοινοβουλίου, για την κάλυψη του κόστους αντικατάστασης των δελτίων ταυτότητας και/ή των διαβατηρίων των επηρεαζόμενων χρηστών της εφαρμογής PEOPLE, με την καταβολή 51 874 EUR μέχρι σήμερα· εκφράζει τη λύπη του για το γεγονός ότι δεν καλύφθηκε το κόστος ταξιδιού στη χώρα καταγωγής για τις εν λόγω διοικητικές διαδικασίες· καλεί τη διοίκηση να διασφαλίσει ότι τα μέτρα στήριξης είναι αποτελεσματικά και δίκαια, και περιλαμβάνουν σαφή καθοδήγηση σε υπηρεσίες μίας στάσης, στήριξη για την προστασία της ταυτότητας και επιστροφή δαπανών χωρίς να επιβαρύνονται τα θιγόμενα πρόσωπα με αναπόφευκτες διοικητικές δαπάνες που συνδέονται με διαδικασίες αντικατάστασης εγγράφων· σημειώνει ότι η διοίκηση διαβίβασε στην αρμόδια για την απαλλαγή αρχή την ανάλυσή της σχετικά με τους λόγους της παραβίασης· καλεί τη διοίκηση να παράσχει στο θιγόμενο προσωπικό, συμπεριλαμβανομένων των πρώην μελών του προσωπικού, σαφή ανάλυση των λόγων της παραβίασης και των μέτρων που ελήφθησαν για την ανάκτηση του σχετικού συστήματος· έχει πλήρη επίγνωση του γεγονότος ότι το Κοινοβούλιο θα παραμείνει στόχος κυβερνοεπιθέσεων στο μέλλον και ότι απαιτείται μέγιστη επαγρύπνηση· εκφράζει την ικανοποίησή του για τα μέτρα που έλαβε η διοίκηση για την περαιτέρω ενίσχυση της ωριμότητας της κυβερνοασφάλειας και της διακυβέρνησης του οικείου περιβάλλοντος ΤΠ·</w:t>
      </w:r>
    </w:p>
    <w:p w14:paraId="2D1300DB" w14:textId="5CBF4277" w:rsidR="00BE322E" w:rsidRPr="00D37862" w:rsidRDefault="00D37862" w:rsidP="00D37862">
      <w:pPr>
        <w:spacing w:after="240"/>
        <w:ind w:left="567" w:hanging="573"/>
        <w:rPr>
          <w:noProof/>
        </w:rPr>
      </w:pPr>
      <w:r w:rsidRPr="00D37862">
        <w:rPr>
          <w:noProof/>
        </w:rPr>
        <w:t>70.</w:t>
      </w:r>
      <w:r w:rsidRPr="00D37862">
        <w:rPr>
          <w:noProof/>
        </w:rPr>
        <w:tab/>
      </w:r>
      <w:r w:rsidR="00BE322E" w:rsidRPr="00D37862">
        <w:t>σημειώνει ότι η ΓΔ PERS έχει εφαρμόσει ένα νέο σύστημα ΤΠ για τις προσλήψεις των ΔΚΒ (APA-PEOPLE), το οποίο βελτιώνει τη διαδικασία προσλήψεων με τη συγκέντρωση της διαχείρισης των συμβάσεων και τη διευκόλυνση της πρόσβασης των βουλευτών, σε συνδυασμό με μια πλήρως ψηφιοποιημένη διαδικασία για τις ιατρικές εξετάσεις πρόσληψης· καλεί τη ΓΔ PERS, σε συνεργασία με τη ΓΔ ITEC, να διασφαλίσει ότι η κυβερνοασφάλεια του συστήματος αυτού ανταποκρίνεται στα κατάλληλα πρότυπα, ώστε να αποτρέπονται οι διαρροές προσωπικών δεδομένων· θεωρεί ότι η κυβερνοασφάλεια των συστημάτων ΤΠ που περιέχουν τα προσωπικά δεδομένα όλων των μελών του προσωπικού είναι υψίστης σημασίας και καλεί τη ΓΔ PERS να συνεργαστεί στενά με τη ΓΔ ITEC προς αυτή την κατεύθυνση·</w:t>
      </w:r>
    </w:p>
    <w:p w14:paraId="4D14A4E1" w14:textId="34681ECE" w:rsidR="00BE322E" w:rsidRPr="00D37862" w:rsidRDefault="00D37862" w:rsidP="00D37862">
      <w:pPr>
        <w:spacing w:after="240"/>
        <w:ind w:left="567" w:hanging="573"/>
      </w:pPr>
      <w:r w:rsidRPr="00D37862">
        <w:t>71.</w:t>
      </w:r>
      <w:r w:rsidRPr="00D37862">
        <w:tab/>
      </w:r>
      <w:r w:rsidR="00BE322E" w:rsidRPr="00D37862">
        <w:t>σημειώνει ότι το 2024 η ΓΔ PERS υποστήριξε την εφαρμογή χαρτών πορείας για την ισότητα των φύλων και τη διαφορετικότητα και παρείχε επιμορφωτικά προγράμματα σχετικά με τη διαφορετικότητα και τη συμπερίληψη για όλα τα μέλη του προσωπικού· εκφράζει την ικανοποίησή του για το γεγονός ότι το 2024 η Μονάδα Ισότητας, Ένταξης και Διαφορετικότητας της ΓΔ PERS εξορθολόγισε την εσωτερική της διαδικασία εύλογων προσαρμογών, προωθώντας την ισότητα, την ένταξη και τη διαφορετικότητα, και παρείχε επίσης συμβουλές στη Μονάδα Μάθησης και Επιμόρφωσης σχετικά με τις εύλογες προσαρμογές για τα προγράμματα κατάρτισης· εκφράζει την ικανοποίησή του για το γεγονός ότι η μονάδα διοργάνωσε επίσης 20 προγράμματα κατάρτισης και εκδηλώσεις ευαισθητοποίησης για 2 334 συμμετέχοντες, συμπεριλαμβανομένου ενός νέου μαθήματος διαφορετικότητας και συμπερίληψης για όλα τα μέλη του προσωπικού, και διοργάνωσε επίσης εκδηλώσεις για την ισότητα των φύλων, την αναπηρία και την ένταξη των ΛΟΑΤΚΙ+ ατόμων·</w:t>
      </w:r>
    </w:p>
    <w:p w14:paraId="2C0624FB" w14:textId="54CF05F5" w:rsidR="00BE322E" w:rsidRPr="00D37862" w:rsidRDefault="00D37862" w:rsidP="00D37862">
      <w:pPr>
        <w:pStyle w:val="NormalHanging12a"/>
        <w:ind w:hanging="573"/>
      </w:pPr>
      <w:r w:rsidRPr="00D37862">
        <w:t>72.</w:t>
      </w:r>
      <w:r w:rsidRPr="00D37862">
        <w:tab/>
      </w:r>
      <w:r w:rsidR="00BE322E" w:rsidRPr="00D37862">
        <w:t xml:space="preserve">εκφράζει την ικανοποίησή του για την έγκριση κοινής διοργανικής απόφασης σχετικά με τη χορήγηση επιδόματος στέγασης για το προσωπικό χαμηλότερων βαθμίδων που ζει στο Λουξεμβούργο· θεωρεί ότι αποτελεί αναγκαίο μέσο για τη στήριξη του προσωπικού χαμηλότερων βαθμίδων ώστε να εξισορροπηθεί το δυσανάλογα υψηλό κόστος στέγασης, καθώς και απαραίτητο εργαλείο για την ενίσχυση της ελκυστικότητας του Λουξεμβούργου ως τόπου εργασίας του Κοινοβουλίου· σημειώνει ότι το εν λόγω μέσο είναι προσωρινό και καλεί το Κοινοβούλιο να μεριμνήσει για </w:t>
      </w:r>
      <w:r w:rsidR="00BE322E" w:rsidRPr="00D37862">
        <w:lastRenderedPageBreak/>
        <w:t>μακροπρόθεσμη προβλεψιμότητα για το ενδιαφερόμενο προσωπικό·</w:t>
      </w:r>
    </w:p>
    <w:p w14:paraId="02C5717A" w14:textId="3462FEA0" w:rsidR="00BE322E" w:rsidRPr="00D37862" w:rsidRDefault="00D37862" w:rsidP="00D37862">
      <w:pPr>
        <w:pStyle w:val="NormalHanging12a"/>
        <w:ind w:hanging="573"/>
      </w:pPr>
      <w:r w:rsidRPr="00D37862">
        <w:t>73.</w:t>
      </w:r>
      <w:r w:rsidRPr="00D37862">
        <w:tab/>
      </w:r>
      <w:r w:rsidR="00BE322E" w:rsidRPr="00D37862">
        <w:t xml:space="preserve">υπενθυμίζει την έναρξη της εσωτερικής εκστρατείας του Κοινοβουλίου κατά της παρενόχλησης «United </w:t>
      </w:r>
      <w:proofErr w:type="spellStart"/>
      <w:r w:rsidR="00BE322E" w:rsidRPr="00D37862">
        <w:t>against</w:t>
      </w:r>
      <w:proofErr w:type="spellEnd"/>
      <w:r w:rsidR="00BE322E" w:rsidRPr="00D37862">
        <w:t xml:space="preserve"> </w:t>
      </w:r>
      <w:proofErr w:type="spellStart"/>
      <w:r w:rsidR="00BE322E" w:rsidRPr="00D37862">
        <w:t>Harassment</w:t>
      </w:r>
      <w:proofErr w:type="spellEnd"/>
      <w:r w:rsidR="00BE322E" w:rsidRPr="00D37862">
        <w:t>» (Ενωμένοι κατά της παρενόχλησης) στις 22 Οκτωβρίου 2024, που συμβάλλει σε ένα ασφαλές εργασιακό περιβάλλον· εκφράζει την ικανοποίησή του για το γεγονός ότι, εκτός από την ενημερωτική εκστρατεία, το πρόγραμμα κατάρτισης «Σεβασμός και αξιοπρέπεια στην εργασία — Πρόληψη των συγκρούσεων και της παρενόχλησης στον χώρο εργασίας» για τους βουλευτές ήταν υποχρεωτικό και ολοκληρώθηκε από τους βουλευτές κατά το πρώτο έτος της κοινοβουλευτικής περιόδου· επισημαίνει ότι θα πρέπει να αξιολογηθεί η αποτελεσματικότητα αυτών των μέτρων·</w:t>
      </w:r>
    </w:p>
    <w:p w14:paraId="6B9F02F3" w14:textId="68F905DE" w:rsidR="00BE322E" w:rsidRPr="00D37862" w:rsidRDefault="00D37862" w:rsidP="00D37862">
      <w:pPr>
        <w:pStyle w:val="NormalHanging12a"/>
        <w:ind w:hanging="573"/>
      </w:pPr>
      <w:r w:rsidRPr="00D37862">
        <w:t>74.</w:t>
      </w:r>
      <w:r w:rsidRPr="00D37862">
        <w:tab/>
      </w:r>
      <w:r w:rsidR="00BE322E" w:rsidRPr="00D37862">
        <w:t>εκφράζει την ικανοποίησή του για τη δυνατότητα τηλεργασίας του προσωπικού μακριά από τον τόπο εργασίας· σημειώνει ότι τα μέλη του προσωπικού του Κοινοβουλίου μπορούν να χρησιμοποιούν αυτή τη μορφή τηλεργασίας για πέντε ημέρες ετησίως· σημειώνει ότι άλλα θεσμικά όργανα της Ένωσης παρέχουν κατά μέσο όρο 15 ημέρες ετησίως· ζητεί την προορατική παρακολούθηση και αξιολόγηση των νέων τρόπων εργασίας· υπενθυμίζει τη σημασία του γνήσιου διαλόγου με τα μέλη του προσωπικού για κρίσιμα ζητήματα που σχετίζονται με τους νέους τρόπους εργασίας·</w:t>
      </w:r>
    </w:p>
    <w:p w14:paraId="4E4115DF" w14:textId="2422E006" w:rsidR="00BE322E" w:rsidRPr="00D37862" w:rsidRDefault="00D37862" w:rsidP="00D37862">
      <w:pPr>
        <w:pStyle w:val="NormalHanging12a"/>
        <w:ind w:hanging="573"/>
        <w:rPr>
          <w:bCs/>
          <w:iCs/>
        </w:rPr>
      </w:pPr>
      <w:r w:rsidRPr="00D37862">
        <w:rPr>
          <w:iCs/>
        </w:rPr>
        <w:t>75.</w:t>
      </w:r>
      <w:r w:rsidRPr="00D37862">
        <w:rPr>
          <w:iCs/>
        </w:rPr>
        <w:tab/>
      </w:r>
      <w:r w:rsidR="00BE322E" w:rsidRPr="00D37862">
        <w:t xml:space="preserve">τονίζει ότι οι ποιοτικές υπηρεσίες παιδικής φροντίδας που παρέχονται στους βουλευτές και στο προσωπικό συνιστούν κρίσιμα μέτρα για τη διασφάλιση της αποτελεσματικής εφαρμογής της πολιτικής για την ισορροπία μεταξύ επαγγελματικής και ιδιωτικής ζωής· εφιστά την προσοχή στο γεγονός ότι η ποιότητα των υπηρεσιών που παρέχονται για παιδιά προσχολικής ηλικίας από τις εγκαταστάσεις παιδικής φροντίδας </w:t>
      </w:r>
      <w:proofErr w:type="spellStart"/>
      <w:r w:rsidR="00BE322E" w:rsidRPr="00D37862">
        <w:t>Wayenberg</w:t>
      </w:r>
      <w:proofErr w:type="spellEnd"/>
      <w:r w:rsidR="00BE322E" w:rsidRPr="00D37862">
        <w:t xml:space="preserve"> στις Βρυξέλλες πάσχει λόγω της συχνής αλλαγής παρόχου υπηρεσιών από το 2020· ζητεί, εν προκειμένω, να εξεταστεί η ανάγκη να υιοθετηθούν πρότυπα υψηλής ποιότητας·</w:t>
      </w:r>
    </w:p>
    <w:p w14:paraId="31F0E4A7" w14:textId="156992EE" w:rsidR="00BE322E" w:rsidRPr="00D37862" w:rsidRDefault="00D37862" w:rsidP="00D37862">
      <w:pPr>
        <w:pStyle w:val="NormalHanging12a"/>
        <w:ind w:hanging="573"/>
        <w:rPr>
          <w:bCs/>
          <w:iCs/>
        </w:rPr>
      </w:pPr>
      <w:r w:rsidRPr="00D37862">
        <w:rPr>
          <w:iCs/>
        </w:rPr>
        <w:t>76.</w:t>
      </w:r>
      <w:r w:rsidRPr="00D37862">
        <w:rPr>
          <w:iCs/>
        </w:rPr>
        <w:tab/>
      </w:r>
      <w:r w:rsidR="00BE322E" w:rsidRPr="00D37862">
        <w:t>υπενθυμίζει τη σύσταση του Κοινοβουλίου προς την Επιτροπή στο ψήφισμα του Ευρωπαϊκού Κοινοβουλίου της 18ης Απριλίου 2018 σχετικά με την πολιτική ακεραιότητας της Επιτροπής, ιδίως όσον αφορά τον διορισμό του Γενικού Γραμματέα της Ευρωπαϊκής Επιτροπής (2018/2624(RSP)) «να επανεξετάσει τη διοικητική της διαδικασία για τον διορισμό υψηλόβαθμων υπαλλήλων με στόχο να διασφαλιστεί πλήρως ότι θα επιλέγονται οι καλύτεροι υποψήφιοι σε ένα πλαίσιο μέγιστης διαφάνειας και ίσων ευκαιριών»· είναι της άποψης ότι το Κοινοβούλιο, όσον αφορά τις διαδικασίες διορισμών, θα πρέπει πάντα να πληροί τα υψηλότερα πρότυπα όσον αφορά τη διαφάνεια, τη λογοδοσία και τη χρηστή διαχείριση·</w:t>
      </w:r>
    </w:p>
    <w:p w14:paraId="0180AFF1" w14:textId="3817215C" w:rsidR="00BE322E" w:rsidRPr="00D37862" w:rsidRDefault="00D37862" w:rsidP="00D37862">
      <w:pPr>
        <w:pStyle w:val="NormalHanging12a"/>
        <w:ind w:hanging="573"/>
        <w:rPr>
          <w:bCs/>
          <w:iCs/>
        </w:rPr>
      </w:pPr>
      <w:r w:rsidRPr="00D37862">
        <w:rPr>
          <w:iCs/>
        </w:rPr>
        <w:t>77.</w:t>
      </w:r>
      <w:r w:rsidRPr="00D37862">
        <w:rPr>
          <w:iCs/>
        </w:rPr>
        <w:tab/>
      </w:r>
      <w:r w:rsidR="00BE322E" w:rsidRPr="00D37862">
        <w:t xml:space="preserve">καλεί το Κοινοβούλιο να βελτιστοποιήσει τη χρήση των ανθρώπινων πόρων του, μεταξύ άλλων μέσω της εφαρμογής κατάλληλων μέτρων συνεχούς κατάρτισης, με στόχο την ενίσχυση της αποτελεσματικότητας και της αποδοτικότητας των εσωτερικών υπηρεσιών· ζητεί να παρέχεται τακτικά κατάρτιση για την παροχή πρώτων βοηθειών σε επίπεδο αρχαρίων και σε ενδιάμεσο επίπεδο, καθώς και να καταστεί η κατάρτιση για την παροχή πρώτων βοηθειών εθελοντικό μέρος του προγράμματος ένταξης για το νέο προσωπικό· καλεί τη διοίκηση να διερευνήσει τη δυνατότητα εγκατάστασης πρόσθετων </w:t>
      </w:r>
      <w:proofErr w:type="spellStart"/>
      <w:r w:rsidR="00BE322E" w:rsidRPr="00D37862">
        <w:t>απινιδωτών</w:t>
      </w:r>
      <w:proofErr w:type="spellEnd"/>
      <w:r w:rsidR="00BE322E" w:rsidRPr="00D37862">
        <w:t xml:space="preserve"> με σκοπό την ενίσχυση της υγείας και της ασφάλειας των βουλευτών και του προσωπικού, συμπεριλαμβανομένης της παροχής κατάρτισης·</w:t>
      </w:r>
    </w:p>
    <w:p w14:paraId="40EA58CA" w14:textId="77777777" w:rsidR="00BE322E" w:rsidRPr="00D37862" w:rsidRDefault="00BE322E" w:rsidP="00BE322E">
      <w:pPr>
        <w:spacing w:after="240"/>
        <w:rPr>
          <w:b/>
          <w:bCs/>
          <w:i/>
          <w:iCs/>
        </w:rPr>
      </w:pPr>
      <w:r w:rsidRPr="00D37862">
        <w:rPr>
          <w:b/>
          <w:i/>
        </w:rPr>
        <w:t>Γενική Διεύθυνση Υποδομών και Υλικοτεχνικής Υποστήριξης</w:t>
      </w:r>
    </w:p>
    <w:p w14:paraId="795D059D" w14:textId="5C40AC19" w:rsidR="00BE322E" w:rsidRPr="00D37862" w:rsidRDefault="00D37862" w:rsidP="00D37862">
      <w:pPr>
        <w:spacing w:after="240"/>
        <w:ind w:left="567" w:hanging="573"/>
      </w:pPr>
      <w:r w:rsidRPr="00D37862">
        <w:t>78.</w:t>
      </w:r>
      <w:r w:rsidRPr="00D37862">
        <w:tab/>
      </w:r>
      <w:r w:rsidR="00BE322E" w:rsidRPr="00D37862">
        <w:t xml:space="preserve">υπενθυμίζει ότι η Γενική Διεύθυνση Υποδομών και Υλικοτεχνικής Υποστήριξης (ΓΔ </w:t>
      </w:r>
      <w:r w:rsidR="00BE322E" w:rsidRPr="00D37862">
        <w:lastRenderedPageBreak/>
        <w:t>INLO) είναι αρμόδια για τα κτίρια, τις εργασίες, τη διαχείριση εγκαταστάσεων και την υλικοτεχνική υποστήριξη του Κοινοβουλίου· σημειώνει ότι η ΓΔ INLO παρέχει επίσης υπηρεσίες τροφοδοσίας και μεταφοράς, και διαχειρίζεται και εξοπλίζει τα γραφεία και τους χώρους συνεδριάσεων του Κοινοβουλίου· υπενθυμίζει ότι η ΓΔ INLO διαχειρίστηκε κυρίως το χαρτοφυλάκιο κτιρίων του Κοινοβουλίου, που καλύπτουν περίπου 1,3 εκατ</w:t>
      </w:r>
      <w:r w:rsidR="00D32450" w:rsidRPr="00D37862">
        <w:t>ομμύρια</w:t>
      </w:r>
      <w:r w:rsidR="00BE322E" w:rsidRPr="00D37862">
        <w:t> τ.μ., στις Βρυξέλλες, το Λουξεμβούργο και το Στρασβούργο, τα Γραφεία Συνδέσμου και τις εγκαταστάσεις Europa Experience στα κράτη μέλη· σημειώνει ότι στις 31 Δεκεμβρίου 2024, η ΓΔ INLO απαρτιζόταν από 635 υπαλλήλους, εκ των οποίων 311 ήταν μόνιμοι υπάλληλοι, 20 ήταν έκτακτοι υπάλληλοι και 326 ήταν συμβασιούχοι υπάλληλοι·</w:t>
      </w:r>
    </w:p>
    <w:p w14:paraId="00AD413D" w14:textId="1D5D877E" w:rsidR="00BE322E" w:rsidRPr="00D37862" w:rsidRDefault="00D37862" w:rsidP="00D37862">
      <w:pPr>
        <w:pStyle w:val="NormalHanging12a"/>
        <w:ind w:hanging="573"/>
      </w:pPr>
      <w:r w:rsidRPr="00D37862">
        <w:t>79.</w:t>
      </w:r>
      <w:r w:rsidRPr="00D37862">
        <w:tab/>
      </w:r>
      <w:r w:rsidR="00BE322E" w:rsidRPr="00D37862">
        <w:t>σημειώνει ότι το 2024 οι τελικές πιστώσεις της ΓΔ INLO ανήλθαν σε 258 638 966 EUR, ποσό που αντιστοιχεί στο 10,9 % του προϋπολογισμού του Κοινοβουλίου· επισημαίνει ότι, από το ποσό αυτό, δεσμεύτηκαν συνολικά 256 935 431 EUR· σημειώνει την υψηλή απορρόφηση των πιστώσεων·</w:t>
      </w:r>
    </w:p>
    <w:p w14:paraId="11AC758A" w14:textId="685198BD" w:rsidR="00BE322E" w:rsidRPr="00D37862" w:rsidRDefault="00D37862" w:rsidP="00D37862">
      <w:pPr>
        <w:spacing w:after="240"/>
        <w:ind w:left="567" w:hanging="573"/>
      </w:pPr>
      <w:r w:rsidRPr="00D37862">
        <w:t>80.</w:t>
      </w:r>
      <w:r w:rsidRPr="00D37862">
        <w:tab/>
      </w:r>
      <w:r w:rsidR="00BE322E" w:rsidRPr="00D37862">
        <w:t>υπενθυμίζει τη στήριξη που έχει εκφράσει το Κοινοβούλιο, με συντριπτική πλειοψηφία, υπέρ ενιαίας έδρας· υπενθυμίζει ότι, σύμφωνα με τη ΣΕΕ, το Κοινοβούλιο έχει την έδρα του στο Στρασβούργο, όπου λαμβάνουν χώρα οι δώδεκα μηνιαίες περίοδοι συνόδου της Ολομέλειας, και ότι οποιαδήποτε τροποποίηση των Συνθηκών απαιτεί ομοφωνία των κρατών μελών· σημειώνει ότι, εντός του ισχύοντος πλαισίου της Συνθήκης, μπορεί να επιτευχθεί εξοικονόμηση πόρων μέσω της βελτιστοποίησης των εργασιών· ζητεί τον καθορισμό συγκεκριμένων οροσήμων και την εκπόνηση σχεδίου δράσης για την επίτευξη μειώσεων δαπανών που έχουν εντοπιστεί·</w:t>
      </w:r>
    </w:p>
    <w:p w14:paraId="2025E157" w14:textId="23BF306A" w:rsidR="00BE322E" w:rsidRPr="00D37862" w:rsidRDefault="00D37862" w:rsidP="00D37862">
      <w:pPr>
        <w:pStyle w:val="NormalHanging12a"/>
        <w:ind w:hanging="573"/>
        <w:rPr>
          <w:bCs/>
          <w:iCs/>
        </w:rPr>
      </w:pPr>
      <w:r w:rsidRPr="00D37862">
        <w:rPr>
          <w:iCs/>
        </w:rPr>
        <w:t>81.</w:t>
      </w:r>
      <w:r w:rsidRPr="00D37862">
        <w:rPr>
          <w:iCs/>
        </w:rPr>
        <w:tab/>
      </w:r>
      <w:r w:rsidR="00BE322E" w:rsidRPr="00D37862">
        <w:t>ενθαρρύνει τη διοίκηση να συνεχίσει να αξιολογεί την ποιότητα, την τιμολόγηση και το φάσμα των υπηρεσιών εστίασης που προσφέρονται εντός του Κοινοβουλίου, προκειμένου να διασφαλιστεί ότι τα κριτήρια σύναψης συμβάσεων εξισορροπούν επαρκώς τις παραμέτρους της τιμής και της ποιότητας· καλεί τη ΓΔ INLO να διερευνήσει επιλογές για την ενίσχυση του ανταγωνισμού μεταξύ των παρόχων υπηρεσιών εστίασης, προκειμένου να βελτιωθούν τα πρότυπα υπηρεσιών, η επιλογή και η σχέση κόστους-αποτελεσματικότητας, ιδίως στο πλαίσιο επίσημων εκδηλώσεων και υπηρεσιών επισκεπτών· καλεί τη διοίκηση του Κοινοβουλίου να υποβάλει έκθεση στην Επιτροπή Ελέγχου του Προϋπολογισμού του Κοινοβουλίου σχετικά με το αποτέλεσμα·</w:t>
      </w:r>
    </w:p>
    <w:p w14:paraId="68427A0B" w14:textId="18B2F073" w:rsidR="00BE322E" w:rsidRPr="00D37862" w:rsidRDefault="00D37862" w:rsidP="00D37862">
      <w:pPr>
        <w:pStyle w:val="NormalHanging12a"/>
        <w:ind w:hanging="573"/>
      </w:pPr>
      <w:r w:rsidRPr="00D37862">
        <w:t>82.</w:t>
      </w:r>
      <w:r w:rsidRPr="00D37862">
        <w:tab/>
      </w:r>
      <w:r w:rsidR="00BE322E" w:rsidRPr="00D37862">
        <w:t>εκφράζει την ικανοποίησή του για το γεγονός ότι το 2024 η διοίκηση εφάρμοσε την «κτιριακή στρατηγική του Κοινοβουλίου για την περίοδο μετά το 2019» και πέτυχε τους κύριους στόχους της· σημειώνει με ικανοποίηση ότι η ΓΔ INLO, μετά από χρόνια επέκτασης που επέφερε η αύξηση των θεσμικών εξουσιών του Κοινοβουλίου, επικεντρώνεται πλέον στην ενοποίηση του κτιριακού δυναμικού του Κοινοβουλίου και στην ανακαίνιση των υφιστάμενων χώρων, επικροτεί τη δέσμευση της ΓΔ INLO να αναπτύξει περαιτέρω τον ρόλο του Κοινοβουλίου στις πόλεις του Στρασβούργου, των Βρυξελλών και του Λουξεμβούργου, προωθώντας έργα κοινού ενδιαφέροντος και συνδέοντας τους χώρους του Κοινοβουλίου με τις γύρω περιοχές·</w:t>
      </w:r>
    </w:p>
    <w:p w14:paraId="5950D95D" w14:textId="2E128CDE" w:rsidR="00BE322E" w:rsidRPr="00D37862" w:rsidRDefault="00D37862" w:rsidP="00D37862">
      <w:pPr>
        <w:pStyle w:val="NormalHanging12a"/>
        <w:ind w:hanging="573"/>
        <w:rPr>
          <w:bCs/>
          <w:iCs/>
        </w:rPr>
      </w:pPr>
      <w:r w:rsidRPr="00D37862">
        <w:rPr>
          <w:iCs/>
        </w:rPr>
        <w:t>83.</w:t>
      </w:r>
      <w:r w:rsidRPr="00D37862">
        <w:rPr>
          <w:iCs/>
        </w:rPr>
        <w:tab/>
      </w:r>
      <w:r w:rsidR="00BE322E" w:rsidRPr="00D37862">
        <w:t xml:space="preserve">καλεί τη διοίκηση του Κοινοβουλίου να συνεχίσει να εφαρμόζει μια ενεργό κτιριακή στρατηγική, η οποία θα ενσωματώνει τις ανάγκες σε υποδομές και υλικοτεχνική υποστήριξη, θα επανεξετάζει τα μέτρα εξοικονόμησης κόστους, όπως η χρήση τεχνολογιών υβριδικών συνεδριάσεων και η ενοποίηση των κοινοβουλευτικών δραστηριοτήτων· καλεί το Κοινοβούλιο να διασφαλίσει ότι οι στόχοι του για την ενσωμάτωση της βιοποικιλότητας λαμβάνονται επίσης υπόψη στα έργα διαχείρισης και </w:t>
      </w:r>
      <w:r w:rsidR="00BE322E" w:rsidRPr="00D37862">
        <w:lastRenderedPageBreak/>
        <w:t>ανακαίνισης κτιρίων, συμπεριλαμβανομένης εκτίμησης του σχετικού κόστους· σημειώνει ότι τα μεγάλα κατασκευαστικά έργα συνεπάγονται πολύπλοκες διαπραγματεύσεις και σημαντικό νομικό έλεγχο· καλεί τη διοίκηση του Κοινοβουλίου να διασφαλίσει διαρθρωμένη εκ των υστέρων υποβολή εκθέσεων στην αρμόδια για την απαλλαγή αρχή σχετικά με τα εν λόγω έργα, συμπεριλαμβανομένων των διαδικασιών διαπραγμάτευσης, των μέτρων μετριασμού του κινδύνου και των νομικών αξιολογήσεων, προκειμένου να ενισχυθεί η διαφάνεια και η θεσμική μάθηση·</w:t>
      </w:r>
    </w:p>
    <w:p w14:paraId="0DAFB362" w14:textId="4F0FD95C" w:rsidR="00BE322E" w:rsidRPr="00D37862" w:rsidRDefault="00D37862" w:rsidP="00D37862">
      <w:pPr>
        <w:pStyle w:val="NormalHanging12a"/>
        <w:ind w:hanging="573"/>
      </w:pPr>
      <w:r w:rsidRPr="00D37862">
        <w:t>84.</w:t>
      </w:r>
      <w:r w:rsidRPr="00D37862">
        <w:tab/>
      </w:r>
      <w:r w:rsidR="00BE322E" w:rsidRPr="00D37862">
        <w:t>σημειώνει με ανησυχία τη συνεχιζόμενη έλλειψη αιθουσών συνεδριάσεων και σεμιναρίων εντός του Κοινοβουλίου, η οποία καθιστά ολοένα και πιο δύσκολη την κράτηση χώρων και απαιτεί πολύ έγκαιρο σχεδιασμό· εκφράζει τη λύπη του για το γεγονός ότι αυτή η κατάσταση εμποδίζει την αποδοτική οργάνωση του κοινοβουλευτικού έργου και περιορίζει την ευελιξία των βουλευτών και των μελών του προσωπικού· λαμβάνει υπόψη την επικείμενη ανακαίνιση του κτιρίου SPAAK, η οποία συνάδει με τις απαιτήσεις ενεργειακής απόδοσης της Ένωσης· καλεί τη διοίκηση του Κοινοβουλίου να εφαρμόσει μέτρα για τον μετριασμό των επιπτώσεων της ανακαίνισης και να διασφαλίσει ότι διατίθενται επαρκείς εγκαταστάσεις για την υποστήριξη των επιχειρησιακών αναγκών του Κοινοβουλίου·</w:t>
      </w:r>
    </w:p>
    <w:p w14:paraId="28816DFA" w14:textId="4F42C1C1" w:rsidR="00BE322E" w:rsidRPr="00D37862" w:rsidRDefault="00D37862" w:rsidP="00D37862">
      <w:pPr>
        <w:pStyle w:val="NormalHanging12a"/>
        <w:ind w:hanging="573"/>
      </w:pPr>
      <w:r w:rsidRPr="00D37862">
        <w:t>85.</w:t>
      </w:r>
      <w:r w:rsidRPr="00D37862">
        <w:tab/>
      </w:r>
      <w:r w:rsidR="00BE322E" w:rsidRPr="00D37862">
        <w:t>λαμβάνει υπόψη τα κατασκευαστικά έργα το 2024, και ιδίως την ολοκλήρωση της δυτικής πτέρυγας του κτιρίου ADENAUER II στο Λουξεμβούργο, με αποτέλεσμα πλέον να στεγάζεται στο ίδιο κτίριο το σύνολο του προσωπικού και των υπηρεσιών του Κοινοβουλίου· σημειώνει ότι το νέο περίπτερο ασφάλειας και υποδοχής επισκεπτών στο κτίριο WEISS στο Στρασβούργο ολοκληρώθηκε εγκαίρως για την έναρξη της νέας κοινοβουλευτικής περιόδου τον Ιούλιο του 2024· σημειώνει την αγορά του κτιρίου TRÈVES II στις Βρυξέλλες, με αποτέλεσμα να ενοποιηθεί περαιτέρω το κτιριακό δυναμικό του Κοινοβουλίου στην ευρωπαϊκή συνοικία της πόλης· ζητεί να του παρασχεθεί ένα επικαιροποιημένο χρονοδιάγραμμα για τη διασύνδεση των κτιρίων TRÈVES I και TRÈVES II με τα κύρια κεντρικά κτίρια στις Βρυξέλλες· ζητεί να αντιμετωπιστούν ορισμένα διαρθρωτικά προβλήματα που εξακολουθούν να εκκρεμούν στο κτίριο TRÈVES I, όπως το ασταθές σύστημα θέρμανσης, η έλλειψη κλιματισμού και εγκαταστάσεων τουαλέτας για άτομα με μειωμένη κινητικότητα, η κακή ηχομόνωση, καθώς και το πρόβλημα της αποχέτευσης· ενθαρρύνει τον συχνότερο καθαρισμό των εξαεριστήρων θέρμανσης στο κτίριο SPINELLI για την πρόληψη της συσσώρευσης σκόνης και μούχλας στα γραφεία και τη βελτίωση της υγείας του προσωπικού στην εργασία·</w:t>
      </w:r>
    </w:p>
    <w:p w14:paraId="0864CC37" w14:textId="742F2246" w:rsidR="00BE322E" w:rsidRPr="00D37862" w:rsidRDefault="00D37862" w:rsidP="00D37862">
      <w:pPr>
        <w:pStyle w:val="NormalHanging12a"/>
        <w:ind w:hanging="573"/>
      </w:pPr>
      <w:r w:rsidRPr="00D37862">
        <w:t>86.</w:t>
      </w:r>
      <w:r w:rsidRPr="00D37862">
        <w:tab/>
      </w:r>
      <w:r w:rsidR="00BE322E" w:rsidRPr="00D37862">
        <w:t>υπενθυμίζει ότι κατά τη συνεδρίασή του στις 12 Ιουνίου 2023 το Προεδρείο συζήτησε τα βήματα για την ανακαίνιση του κτιρίου SPAAK· σημειώνει ότι το Προεδρείο εξέφρασε την προτίμησή του για μια ολοκληρωμένη περιβαλλοντική ανακαίνιση και ενέκρινε το έργο στις 11 Δεκεμβρίου 2023· σημειώνει ότι η ΓΔ INLO έχει σημειώσει πρόοδο όσον αφορά τα προκαταρκτικά έργα για την ανακαίνιση του κτιρίου SPAAK, καθώς δρομολόγησε την εκπόνηση μελετών σε σχέση με τη νέα κεντρική τεχνική αίθουσα της Γενικής Διεύθυνσης Υποστήριξης και Διερμηνείας Συνεδριάσεων (ΓΔ LINC), την αναδιοργάνωση του τυπογραφείου, τη μετακίνηση των ιδιαίτερων γραφείων και τον χώρο των μέσων ενημέρωσης και του Τύπου·</w:t>
      </w:r>
    </w:p>
    <w:p w14:paraId="1DFB1CE5" w14:textId="7778E67C" w:rsidR="00BE322E" w:rsidRPr="00D37862" w:rsidRDefault="00D37862" w:rsidP="00D37862">
      <w:pPr>
        <w:pStyle w:val="NormalHanging12a"/>
        <w:ind w:hanging="573"/>
        <w:rPr>
          <w:bCs/>
          <w:iCs/>
        </w:rPr>
      </w:pPr>
      <w:r w:rsidRPr="00D37862">
        <w:rPr>
          <w:iCs/>
        </w:rPr>
        <w:t>87.</w:t>
      </w:r>
      <w:r w:rsidRPr="00D37862">
        <w:rPr>
          <w:iCs/>
        </w:rPr>
        <w:tab/>
      </w:r>
      <w:r w:rsidR="00BE322E" w:rsidRPr="00D37862">
        <w:t>σημειώνει ότι στις εκτιμήσεις του 2026 για τις μελέτες και τις προπαρασκευαστικές εργασίες του αναδόχου σχετικά με την ανακαίνιση του κτιρίου SPAAK περιλαμβάνονται 4 εκατ</w:t>
      </w:r>
      <w:r w:rsidR="00D32450" w:rsidRPr="00D37862">
        <w:t>ομμύρια</w:t>
      </w:r>
      <w:r w:rsidR="00BE322E" w:rsidRPr="00D37862">
        <w:t> EUR, ενώ το συνολικό κόστος εκτιμάται σε 36 εκατ</w:t>
      </w:r>
      <w:r w:rsidR="00D32450" w:rsidRPr="00D37862">
        <w:t>ομμύρια</w:t>
      </w:r>
      <w:r w:rsidR="00BE322E" w:rsidRPr="00D37862">
        <w:t> EUR· σημειώνει, συνεπώς, ότι δαπάνες ύψους 32 </w:t>
      </w:r>
      <w:r w:rsidR="00E2012B" w:rsidRPr="00D37862">
        <w:t>εκατομμυρίων</w:t>
      </w:r>
      <w:r w:rsidR="00BE322E" w:rsidRPr="00D37862">
        <w:t xml:space="preserve"> EUR </w:t>
      </w:r>
      <w:r w:rsidR="00BE322E" w:rsidRPr="00D37862">
        <w:lastRenderedPageBreak/>
        <w:t>που σχετίζονται με την ανακαίνιση του κτιρίου SPAAK δεν περιλαμβάνονται στις εκτιμήσεις του 2026· σημειώνει ότι ο Γενικός Γραμματέας προτίθεται να καλύψει τις εν λόγω δαπάνες με συγκεντρωτική μεταφορά υπολοίπων ή με τη χρήση δανείου· ζητεί από τον Γενικό Γραμματέα να παράσχει στην Επιτροπή Ελέγχου του Προϋπολογισμού του Κοινοβουλίου λεπτομερείς πληροφορίες σχετικά με πιθανό δάνειο για την κάλυψη αυτών των δαπανών το συντομότερο δυνατόν· σημειώνει ότι, τον Δεκέμβριο του 2024, οι άμεσες δαπάνες του έργου SPAAK ανέρχονταν σε 14,12 εκατ</w:t>
      </w:r>
      <w:r w:rsidR="00D32450" w:rsidRPr="00D37862">
        <w:t>ομμύρια</w:t>
      </w:r>
      <w:r w:rsidR="00BE322E" w:rsidRPr="00D37862">
        <w:t> EUR· είναι της άποψης ότι η εξέλιξη του κόστους της ανακαίνισης του κτιρίου SPAAK πρέπει να παρακολουθείται στενά και προσεκτικά·</w:t>
      </w:r>
    </w:p>
    <w:p w14:paraId="45903889" w14:textId="59F3C27C" w:rsidR="00BE322E" w:rsidRPr="00D37862" w:rsidRDefault="00D37862" w:rsidP="00D37862">
      <w:pPr>
        <w:pStyle w:val="NormalHanging12a"/>
        <w:ind w:hanging="573"/>
      </w:pPr>
      <w:r w:rsidRPr="00D37862">
        <w:t>88.</w:t>
      </w:r>
      <w:r w:rsidRPr="00D37862">
        <w:tab/>
      </w:r>
      <w:r w:rsidR="00BE322E" w:rsidRPr="00D37862">
        <w:t>σημειώνει ότι η ΓΔ INLO αναπτύσσει μια ιδέα για τη βελτιστοποίηση των χώρων γραφείων με στόχο τη χρήση των υφιστάμενων γραφείων κατά τρόπο που να αξιοποιεί πλήρως τις δυνατότητες των μελών του προσωπικού του Κοινοβουλίου και να ευνοεί την κοινωνική τους ένταξη εντός του Κοινοβουλίου· σημειώνει ότι, για την ιδέα αυτή, τα κτίρια MARTENS, TRÈVES II και ARENDT στις Βρυξέλλες χρησιμοποιούνται ως πηγή έμπνευσης, εστιάζοντας στον «χώρο εργασίας βάσει δραστηριοτήτων», όπου προβλέπονται μεταξύ άλλων κοινωνικοί χώροι για συνεδριάσεις, άτυπες συγκεντρώσεις και ανταλλαγές· σημειώνει ότι εξετάστηκε επίσης μια γενική ιδέα για το κτίριο KOHL, λαμβανομένων υπόψη των δομικών και δημοσιονομικών περιορισμών του· καλεί τη ΓΔ INLO να θέσει τη σκοπιά των χρηστών στο επίκεντρο της ανάπτυξης αυτής της ιδέας και να δώσει προτεραιότητα στην εφαρμογή της σε κτίρια όπου η βελτιστοποίηση είναι περισσότερο αναγκαία, και πάντα σε συνεννόηση με τους εκπροσώπους του προσωπικού·</w:t>
      </w:r>
    </w:p>
    <w:p w14:paraId="48D5B437" w14:textId="724B9DDB" w:rsidR="00BE322E" w:rsidRPr="00D37862" w:rsidRDefault="00D37862" w:rsidP="00D37862">
      <w:pPr>
        <w:pStyle w:val="NormalHanging12a"/>
        <w:ind w:hanging="573"/>
        <w:rPr>
          <w:bCs/>
          <w:iCs/>
        </w:rPr>
      </w:pPr>
      <w:r w:rsidRPr="00D37862">
        <w:rPr>
          <w:iCs/>
        </w:rPr>
        <w:t>89.</w:t>
      </w:r>
      <w:r w:rsidRPr="00D37862">
        <w:rPr>
          <w:iCs/>
        </w:rPr>
        <w:tab/>
      </w:r>
      <w:r w:rsidR="00BE322E" w:rsidRPr="00D37862">
        <w:t>επισημαίνει ότι το 2024 υψηλό ποσοστό των διαθέσιμων θέσεων στον στόλο οχημάτων που μετακινούνται μεταξύ Βρυξελλών και Στρασβούργου για τις συνόδους Ολομέλειας παρέμειναν κενές· καλεί τη διοίκηση του Κοινοβουλίου να εξετάσει το ενδεχόμενο να διευρυνθεί η ομάδα χρηστών ώστε να γίνεται αποδοτικότερη χρήση του στόλου υπηρεσιακών οχημάτων, εφόσον εξασφαλίζονται οι θέσεις των βουλευτών·</w:t>
      </w:r>
    </w:p>
    <w:p w14:paraId="496F70A8" w14:textId="0D759115" w:rsidR="00BE322E" w:rsidRPr="00D37862" w:rsidRDefault="00D37862" w:rsidP="00D37862">
      <w:pPr>
        <w:pStyle w:val="NormalHanging12a"/>
        <w:ind w:hanging="573"/>
        <w:rPr>
          <w:bCs/>
          <w:iCs/>
        </w:rPr>
      </w:pPr>
      <w:r w:rsidRPr="00D37862">
        <w:rPr>
          <w:iCs/>
        </w:rPr>
        <w:t>90.</w:t>
      </w:r>
      <w:r w:rsidRPr="00D37862">
        <w:rPr>
          <w:iCs/>
        </w:rPr>
        <w:tab/>
      </w:r>
      <w:r w:rsidR="00BE322E" w:rsidRPr="00D37862">
        <w:t>ενθαρρύνει το γυμναστήριο να προσφέρει περισσότερα προγράμματα που υποστηρίζουν τη σωματική και ψυχική ευεξία, προκειμένου να προσεγγίσει ευρύτερο φάσμα προσωπικού·</w:t>
      </w:r>
    </w:p>
    <w:p w14:paraId="5341AC3B"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Γενική Διεύθυνση Οικονομικών</w:t>
      </w:r>
    </w:p>
    <w:p w14:paraId="19792D0D" w14:textId="3BCEF40E"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91.</w:t>
      </w:r>
      <w:r w:rsidRPr="00D37862">
        <w:rPr>
          <w:szCs w:val="24"/>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υπενθυμίζει ότι η Γενική Διεύθυνση Οικονομικών (ΓΔ FINS) είναι το διοικητικό όργανο που είναι αρμόδιο για τις δημοσιονομικές και οικονομικές υποθέσεις του Κοινοβουλίου· σημειώνει ότι στις 31 Δεκεμβρίου 2024 απασχολούνταν 262 υπάλληλοι, εκ των οποίων 134 ήταν μόνιμοι υπάλληλοι, 51 ήταν έκτακτοι υπάλληλοι, 77 ήταν συμβασιούχοι υπάλληλοι, και δεν υπήρχαν προσωρινά απασχολούμενοι υπάλληλοι·</w:t>
      </w:r>
    </w:p>
    <w:p w14:paraId="58C2087D" w14:textId="179BC294" w:rsidR="00BE322E" w:rsidRPr="00D37862" w:rsidRDefault="00D37862" w:rsidP="00D37862">
      <w:pPr>
        <w:spacing w:after="240"/>
        <w:ind w:left="567" w:hanging="573"/>
        <w:rPr>
          <w14:textOutline w14:w="0" w14:cap="flat" w14:cmpd="sng" w14:algn="ctr">
            <w14:noFill/>
            <w14:prstDash w14:val="solid"/>
            <w14:bevel/>
          </w14:textOutline>
        </w:rPr>
      </w:pPr>
      <w:r w:rsidRPr="00D37862">
        <w:rPr>
          <w14:textOutline w14:w="0" w14:cap="flat" w14:cmpd="sng" w14:algn="ctr">
            <w14:noFill/>
            <w14:prstDash w14:val="solid"/>
            <w14:bevel/>
          </w14:textOutline>
        </w:rPr>
        <w:t>92.</w:t>
      </w:r>
      <w:r w:rsidRPr="00D37862">
        <w:rPr>
          <w14:textOutline w14:w="0" w14:cap="flat" w14:cmpd="sng" w14:algn="ctr">
            <w14:noFill/>
            <w14:prstDash w14:val="solid"/>
            <w14:bevel/>
          </w14:textOutline>
        </w:rPr>
        <w:tab/>
      </w:r>
      <w:r w:rsidR="00BE322E" w:rsidRPr="00D37862">
        <w:t>σημειώνει ότι το 2024 οι τελικές πιστώσεις της ΓΔ FINS ανήλθαν σε 442 954 175 EUR, ποσό που αντιστοιχεί στο 18,6 % του προϋπολογισμού του Κοινοβουλίου·</w:t>
      </w:r>
      <w:r w:rsidR="00BE322E" w:rsidRPr="00D37862">
        <w:rPr>
          <w14:textOutline w14:w="0" w14:cap="flat" w14:cmpd="sng" w14:algn="ctr">
            <w14:noFill/>
            <w14:prstDash w14:val="solid"/>
            <w14:bevel/>
          </w14:textOutline>
        </w:rPr>
        <w:t xml:space="preserve"> </w:t>
      </w:r>
      <w:r w:rsidR="00BE322E" w:rsidRPr="00D37862">
        <w:t>επισημαίνει ότι, από το ποσό αυτό, δεσμεύτηκαν συνολικά 441 848 935 EUR (99,75 %)·</w:t>
      </w:r>
      <w:r w:rsidR="00BE322E" w:rsidRPr="00D37862">
        <w:rPr>
          <w14:textOutline w14:w="0" w14:cap="flat" w14:cmpd="sng" w14:algn="ctr">
            <w14:noFill/>
            <w14:prstDash w14:val="solid"/>
            <w14:bevel/>
          </w14:textOutline>
        </w:rPr>
        <w:t xml:space="preserve"> εκφράζει την ικανοποίησή του για την υψηλή απορρόφηση των πιστώσεων·</w:t>
      </w:r>
    </w:p>
    <w:p w14:paraId="26CC892A" w14:textId="42EB1F19" w:rsidR="00BE322E" w:rsidRPr="00D37862" w:rsidRDefault="00D37862" w:rsidP="00D37862">
      <w:pPr>
        <w:spacing w:after="240"/>
        <w:ind w:left="567" w:hanging="573"/>
        <w:rPr>
          <w14:textOutline w14:w="0" w14:cap="flat" w14:cmpd="sng" w14:algn="ctr">
            <w14:noFill/>
            <w14:prstDash w14:val="solid"/>
            <w14:bevel/>
          </w14:textOutline>
        </w:rPr>
      </w:pPr>
      <w:r w:rsidRPr="00D37862">
        <w:rPr>
          <w14:textOutline w14:w="0" w14:cap="flat" w14:cmpd="sng" w14:algn="ctr">
            <w14:noFill/>
            <w14:prstDash w14:val="solid"/>
            <w14:bevel/>
          </w14:textOutline>
        </w:rPr>
        <w:t>93.</w:t>
      </w:r>
      <w:r w:rsidRPr="00D37862">
        <w:rPr>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 xml:space="preserve">καλεί τη ΓΔ FINS να επιδοθεί ενεργά στην εφαρμογή των συστάσεων του ΟΟΣΑ σχετικά με τις βέλτιστες πρακτικές για τα κοινοβούλια κατά την κατάρτιση του προϋπολογισμού (2022-2023) και να ενισχύσει την εφαρμογή της κατάρτισης προϋπολογισμού βάσει επιδόσεων· υπενθυμίζει ότι πολλά κράτη μέλη έχουν ήδη </w:t>
      </w:r>
      <w:r w:rsidR="00BE322E" w:rsidRPr="00D37862">
        <w:rPr>
          <w14:textOutline w14:w="0" w14:cap="flat" w14:cmpd="sng" w14:algn="ctr">
            <w14:noFill/>
            <w14:prstDash w14:val="solid"/>
            <w14:bevel/>
          </w14:textOutline>
        </w:rPr>
        <w:lastRenderedPageBreak/>
        <w:t>υιοθετήσει την κατάρτιση προϋπολογισμού βάσει επιδόσεων και έχουν αναφέρει σημαντικές εξοικονομήσεις·</w:t>
      </w:r>
    </w:p>
    <w:p w14:paraId="0FB6DD5D" w14:textId="586F5BF1" w:rsidR="00BE322E" w:rsidRPr="00D37862" w:rsidRDefault="00D37862" w:rsidP="00D37862">
      <w:pPr>
        <w:pStyle w:val="NormalHanging12a"/>
        <w:ind w:hanging="573"/>
        <w:rPr>
          <w:bCs/>
          <w:iCs/>
        </w:rPr>
      </w:pPr>
      <w:r w:rsidRPr="00D37862">
        <w:rPr>
          <w:iCs/>
        </w:rPr>
        <w:t>94.</w:t>
      </w:r>
      <w:r w:rsidRPr="00D37862">
        <w:rPr>
          <w:iCs/>
        </w:rPr>
        <w:tab/>
      </w:r>
      <w:r w:rsidR="00BE322E" w:rsidRPr="00D37862">
        <w:t>σημειώνει ότι η τρέχουσα δημοσιονομική πίεση απαιτεί δημοσιονομική σύνεση και αποδοτικότητα, μεταξύ άλλων στο πλαίσιο του διοικητικού προϋπολογισμού του Κοινοβουλίου, προκειμένου να επιδεικνύεται θεσμική ευθύνη, κατά περίπτωση και χωρίς να τίθενται σε κίνδυνο ο ρόλος του στο θεσμικό πλαίσιο της Ένωσης και οι βασικές λειτουργίες του· καλεί τη διοίκηση του Κοινοβουλίου να διερευνήσει καινοτόμα εργαλεία κατάρτισης του προϋπολογισμού, συμπεριλαμβανομένης της κατάρτισης προϋπολογισμού βάσει επιδόσεων, τα οποία θα μπορούσαν να ενισχύσουν τη διαφάνεια, τη λογοδοσία και την αποδοτικότητα της διαδικασίας κατάρτισης του προϋπολογισμού, ώστε να διασφαλίζεται ότι οι δημόσιοι πόροι δαπανώνται υπεύθυνα· σημειώνει ότι οι επιλογές αυτές δεν θα πρέπει να αποβαίνουν εις βάρος των οικονομικών δεσμεύσεων που έχουν ήδη προγραμματιστεί ή αναληφθεί και δεν θα πρέπει να επηρεάζουν κατ’ ουδένα τρόπο την ποιότητα των υπηρεσιών που παρέχονται στους βουλευτές και το προσωπικό ούτε τις οικονομικές υποχρεώσεις που απορρέουν από τους ισχύοντες κανόνες·</w:t>
      </w:r>
    </w:p>
    <w:p w14:paraId="7556E8BD" w14:textId="360AD3E2" w:rsidR="00BE322E" w:rsidRPr="00D37862" w:rsidRDefault="00D37862" w:rsidP="00D37862">
      <w:pPr>
        <w:spacing w:after="240"/>
        <w:ind w:left="567" w:hanging="573"/>
      </w:pPr>
      <w:r w:rsidRPr="00D37862">
        <w:t>95.</w:t>
      </w:r>
      <w:r w:rsidRPr="00D37862">
        <w:tab/>
      </w:r>
      <w:r w:rsidR="00BE322E" w:rsidRPr="00D37862">
        <w:t xml:space="preserve">σημειώνει ότι το 2024 ήταν ένα ιδιαίτερο έτος για τη ΓΔ FINS, καθώς ήταν το έτος των ευρωπαϊκών εκλογών, οι οποίες πραγματοποιήθηκαν τον Ιούνιο του 2024· σημειώνει ότι οι δραστηριότητες υποστήριξης των βουλευτών αυξήθηκαν σημαντικά το 2024, με τη διαχείριση των δικαιωμάτων και των υποχρεώσεων τόσο των απερχόμενων όσο και των </w:t>
      </w:r>
      <w:proofErr w:type="spellStart"/>
      <w:r w:rsidR="00BE322E" w:rsidRPr="00D37862">
        <w:t>νεοεκλεγέντων</w:t>
      </w:r>
      <w:proofErr w:type="spellEnd"/>
      <w:r w:rsidR="00BE322E" w:rsidRPr="00D37862">
        <w:t xml:space="preserve"> βουλευτών·</w:t>
      </w:r>
    </w:p>
    <w:p w14:paraId="222B7E18" w14:textId="7AFF0CF8" w:rsidR="00BE322E" w:rsidRPr="00D37862" w:rsidRDefault="00D37862" w:rsidP="00D37862">
      <w:pPr>
        <w:pStyle w:val="NormalHanging12a"/>
        <w:ind w:hanging="573"/>
      </w:pPr>
      <w:r w:rsidRPr="00D37862">
        <w:t>96.</w:t>
      </w:r>
      <w:r w:rsidRPr="00D37862">
        <w:tab/>
      </w:r>
      <w:r w:rsidR="00BE322E" w:rsidRPr="00D37862">
        <w:t>συνιστά στη ΓΔ FINS να υιοθετήσει προσέγγιση βάσει κινδύνου για την εποπτεία και τον έλεγχο των δαπανών και των διαδικασιών των βουλευτών, η οποία θα ευθυγραμμίζεται με τις αρχές της χρηστής διακυβέρνησης, ιδίως της διαφάνειας, της λογοδοσίας, της ανταπόκρισης και της ισότητας· αναγνωρίζει ότι είναι ουσιαστικό να υπάρχει ένα βασικό επίπεδο ελέγχου (βάσει δείγματος) για τη διασφάλιση της συμμόρφωσης με τους κανόνες· εκφράζει την ικανοποίησή του για το γεγονός ότι, σε περίπτωση μεγαλύτερου κινδύνου παράτυπων δαπανών από βουλευτή, η διοίκηση μπορεί να ασκήσει το δικαίωμά της να ελέγξει τα σχετικά κονδύλια· τονίζει ότι, ενώ οι έλεγχοι αυτοί είναι ευπρόσδεκτοι, η αποτελεσματικότητά τους εξαρτάται από το κατά πόσο δίνεται έγκαιρα συνέχεια μετά τον εντοπισμό παράτυπων δαπανών·</w:t>
      </w:r>
    </w:p>
    <w:p w14:paraId="799113B1" w14:textId="24F8E1E6" w:rsidR="00BE322E" w:rsidRPr="00D37862" w:rsidRDefault="00D37862" w:rsidP="00D37862">
      <w:pPr>
        <w:spacing w:after="240"/>
        <w:ind w:left="567" w:hanging="573"/>
      </w:pPr>
      <w:r w:rsidRPr="00D37862">
        <w:t>97.</w:t>
      </w:r>
      <w:r w:rsidRPr="00D37862">
        <w:tab/>
      </w:r>
      <w:r w:rsidR="00BE322E" w:rsidRPr="00D37862">
        <w:t xml:space="preserve">αναγνωρίζει το πρόβλημα της προσέλκυσης προσωπικού στη ΓΔ FINS, το οποίο οφείλεται στην έλλειψη υποψηφίων στους καταλόγους της EPSO στους τομείς των οικονομικών και της ΤΠ, αλλά και στις δυσκολίες προσέλκυσης προσωπικού στο Λουξεμβούργο, όπου βρίσκεται το 45 % των θέσεων της ΓΔ FINS· σημειώνει τη δυσκολία προσέλκυσης μελών του προσωπικού στο Λουξεμβούργο, διότι οι αποδοχές στην τοπική αγορά εργασίας είναι ίσες ή καλύτερες από ό,τι στο Κοινοβούλιο, και το κόστος ζωής είναι υψηλό, ιδίως όσον αφορά τη στέγαση· </w:t>
      </w:r>
    </w:p>
    <w:p w14:paraId="4DAD5740" w14:textId="1F3223D5" w:rsidR="00BE322E" w:rsidRPr="00D37862" w:rsidRDefault="00D37862" w:rsidP="00D37862">
      <w:pPr>
        <w:spacing w:after="240"/>
        <w:ind w:left="567" w:hanging="573"/>
      </w:pPr>
      <w:r w:rsidRPr="00D37862">
        <w:t>98.</w:t>
      </w:r>
      <w:r w:rsidRPr="00D37862">
        <w:tab/>
      </w:r>
      <w:r w:rsidR="00BE322E" w:rsidRPr="00D37862">
        <w:t xml:space="preserve">λαμβάνει υπόψη την πρωτοβουλία «Ψηφιακός και κεφαλαιακός μετασχηματισμός της ΓΔ FINS 2024», τα δύο πρώτα προγράμματα της οποίας («Ψηφιακός μετασχηματισμός για βελτιωμένες χρηματοπιστωτικές υπηρεσίες για τους βουλευτές» και «Ψηφιακός μετασχηματισμός για βελτιωμένες υπηρεσίες για τη διοίκηση του Κοινοβουλίου») επιδιώκουν να προωθήσουν τον ψηφιακό μετασχηματισμό των υπηρεσιών που προσφέρει η ΓΔ FINS, είτε πρόκειται για βουλευτές είτε για τους δημοσιονομικούς παράγοντες του θεσμικού οργάνου· σημειώνει ότι το τρίτο στρατηγικό πρόγραμμα («Κεφαλαιακός μετασχηματισμός για έναν πιο παραγωγικό και συνεκτικό χώρο </w:t>
      </w:r>
      <w:r w:rsidR="00BE322E" w:rsidRPr="00D37862">
        <w:lastRenderedPageBreak/>
        <w:t>εργασίας») αποσκοπεί στη δημιουργία ενός πιο παραγωγικού και συνεκτικού εργασιακού περιβάλλοντος·</w:t>
      </w:r>
    </w:p>
    <w:p w14:paraId="0DF90619" w14:textId="14B1572F" w:rsidR="00BE322E" w:rsidRPr="00D37862" w:rsidRDefault="00D37862" w:rsidP="00D37862">
      <w:pPr>
        <w:spacing w:after="240"/>
        <w:ind w:left="567" w:hanging="573"/>
      </w:pPr>
      <w:r w:rsidRPr="00D37862">
        <w:t>99.</w:t>
      </w:r>
      <w:r w:rsidRPr="00D37862">
        <w:tab/>
      </w:r>
      <w:r w:rsidR="00BE322E" w:rsidRPr="00D37862">
        <w:t>εκφράζει την ικανοποίησή του για το έργο που επιτέλεσε η ΓΔ FINS μετά τις ευρωπαϊκές εκλογές του 2024, όσον αφορά την αποχώρηση των απερχόμενων βουλευτών και την υποδοχή νέων βουλευτών και τις σχετικές διοικητικές διαδικασίες· υπενθυμίζει το επιτυχημένο «χωριό υποδοχής» και τις πληροφορίες που συγκεντρώθηκαν από διάφορες υπηρεσίες ώστε να μπορέσουν οι βουλευτές να επωφεληθούν από την επιλογή της μίας στάσης για να ενημερωθούν και να προβούν στις αναγκαίες δηλώσεις κατά την έναρξη της θητείας τους· συγχαίρει τη ΓΔ FINS για την προετοιμασία 705 ατομικών φακέλων, συμπεριλαμβανομένων των προσομοιώσεων του καθεστώτος των κοινωνικών και οικονομικών δικαιωμάτων τους, και για την κατάρτιση των τεσσάρων ανακοινώσεων των Κοσμητόρων με στόχο την ενημέρωση των βουλευτών σχετικά με τα δικαιώματα και τις υποχρεώσεις τους στο τέλος της κοινοβουλευτικής περιόδου·</w:t>
      </w:r>
    </w:p>
    <w:p w14:paraId="256BAA60" w14:textId="2613B20E" w:rsidR="00BE322E" w:rsidRPr="00D37862" w:rsidRDefault="00D37862" w:rsidP="00D37862">
      <w:pPr>
        <w:pStyle w:val="NormalHanging12a"/>
        <w:ind w:hanging="573"/>
      </w:pPr>
      <w:r w:rsidRPr="00D37862">
        <w:t>100.</w:t>
      </w:r>
      <w:r w:rsidRPr="00D37862">
        <w:tab/>
      </w:r>
      <w:r w:rsidR="00BE322E" w:rsidRPr="00D37862">
        <w:t xml:space="preserve">λαμβάνει υπόψη τη δήλωση διασφάλισης που υπέγραψε ο Γενικός Διευθυντής της ΓΔ FINS· σημειώνει την παρατήρηση που διατυπώνεται στη δήλωση διασφάλισης σχετικά με τον υπολειπόμενο κίνδυνο σφαλμάτων ή παρατυπιών στην επιστροφή ορισμένων εξόδων ταξιδίου για τους βουλευτές, κυρίως όσον αφορά τις αιτήσεις επιστροφής εξόδων ταξιδίου με αυτοκίνητο και την καταβολή αποζημίωσης απόστασης και διάρκειας· σημειώνει τα μέτρα μετριασμού που πρότεινε η ΓΔ FINS και ζητεί την ταχεία εφαρμογή μέτρων μείωσης κινδύνου· ζητεί να υποβληθεί έκθεση στην αρμόδια για την απαλλαγή αρχή σχετικά με τον δημοσιονομικό αντίκτυπο και την αποτελεσματικότητα των ληφθέντων μέτρων, </w:t>
      </w:r>
      <w:bookmarkStart w:id="10" w:name="_Hlk225523167"/>
      <w:r w:rsidR="00BE322E" w:rsidRPr="00D37862">
        <w:t>στην οποία θα εκτίθενται οι δαπάνες ελέγχου διαφορετικών εναλλακτικών επιλογών βάσει στοιχείων</w:t>
      </w:r>
      <w:bookmarkEnd w:id="10"/>
      <w:r w:rsidR="00BE322E" w:rsidRPr="00D37862">
        <w:t>·</w:t>
      </w:r>
    </w:p>
    <w:p w14:paraId="2E73EEAE" w14:textId="6E35EEB6" w:rsidR="00BE322E" w:rsidRPr="00D37862" w:rsidRDefault="00D37862" w:rsidP="00D37862">
      <w:pPr>
        <w:pStyle w:val="NormalHanging12a"/>
        <w:ind w:hanging="573"/>
        <w:rPr>
          <w:bCs/>
          <w:iCs/>
        </w:rPr>
      </w:pPr>
      <w:r w:rsidRPr="00D37862">
        <w:rPr>
          <w:iCs/>
        </w:rPr>
        <w:t>101.</w:t>
      </w:r>
      <w:r w:rsidRPr="00D37862">
        <w:rPr>
          <w:iCs/>
        </w:rPr>
        <w:tab/>
      </w:r>
      <w:r w:rsidR="00BE322E" w:rsidRPr="00D37862">
        <w:t>σημειώνει με ανησυχία ότι η επιστροφή των εξόδων ταξιδίου για τους βουλευτές συχνά υπερβαίνει τους τρεις μήνες· καλεί τη διοίκηση και τη ΓΔ FINS να επιταχύνουν σημαντικά τις διαδικασίες επιστροφής εξόδων, μεταξύ άλλων μέσω περαιτέρω ψηφιοποίησης, απλουστευμένων διαδικασιών επαλήθευσης και σαφέστερων εσωτερικών προθεσμιών, με πλήρη σεβασμό των απαιτήσεων δημοσιονομικού ελέγχου·</w:t>
      </w:r>
    </w:p>
    <w:p w14:paraId="30985FD4" w14:textId="2DA0003D"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102.</w:t>
      </w:r>
      <w:r w:rsidRPr="00D37862">
        <w:rPr>
          <w:szCs w:val="24"/>
          <w14:textOutline w14:w="0" w14:cap="flat" w14:cmpd="sng" w14:algn="ctr">
            <w14:noFill/>
            <w14:prstDash w14:val="solid"/>
            <w14:bevel/>
          </w14:textOutline>
        </w:rPr>
        <w:tab/>
      </w:r>
      <w:r w:rsidR="00BE322E" w:rsidRPr="00D37862">
        <w:t>εκφράζει την ικανοποίησή του για την εντατικοποίηση των εργασιών σχετικά με την «Ακαδημία Χρηματοδότησης του ΕΚ από τη ΓΔ FINS», οι οποίες αφορούσαν την παροχή δώδεκα διαδικτυακών εκπαιδευτικών βίντεο, επιπλέον της υπάρχουσας προσφοράς προγραμμάτων κατάρτισης με φυσική παρουσία και υβριδικών προγραμμάτων κατάρτισης· υπογραμμίζει τη σημασία της κατάρτισης σε οικονομικά θέματα για τα μέλη του προσωπικού σε ολόκληρο το Κοινοβούλιο, και εκφράζει την ικανοποίησή του για τα σεμινάρια κατάρτισης σχετικά με τις δημόσιες συμβάσεις για τα μέλη του προσωπικού των πολιτικών ομάδων, και καλεί τη ΓΔ FINS να παράσχει ενισχυμένη στήριξη στις πολιτικές ομάδες στο πλαίσιο των διαδικασιών σύναψης δημόσιων συμβάσεων, ιδίως λαμβανομένων υπόψη των πορισμάτων του Ελεγκτικού Συνεδρίου· προτείνει στη ΓΔ FINS να ευθυγραμμίσει τις πρακτικές που εφαρμόζουν οι διάφορες πολιτικές ομάδες στον τομέα των δημόσιων συμβάσεων·</w:t>
      </w:r>
    </w:p>
    <w:p w14:paraId="60A120F4" w14:textId="6D64692A" w:rsidR="00BE322E" w:rsidRPr="00D37862" w:rsidRDefault="00D37862" w:rsidP="00D37862">
      <w:pPr>
        <w:pStyle w:val="NormalHanging12a"/>
        <w:ind w:hanging="573"/>
      </w:pPr>
      <w:r w:rsidRPr="00D37862">
        <w:t>103.</w:t>
      </w:r>
      <w:r w:rsidRPr="00D37862">
        <w:tab/>
      </w:r>
      <w:r w:rsidR="00BE322E" w:rsidRPr="00D37862">
        <w:t xml:space="preserve">επισημαίνει ότι οι βουλευτές είναι ελεύθεροι να τεκμηριώνουν τη χρήση των κονδυλίων στο πλαίσιο της αποζημίωσης γενικών εξόδων (ΑΓΕ)· τονίζει ότι μπορούν οικειοθελώς να τεκμηριώνουν τη χρήση των κονδυλίων στο πλαίσιο της ΑΓΕ λεπτομερώς ή ανά είδος δαπάνης, είτε μόνοι τους είτε με την υποστήριξη εξωτερικού ελεγκτή, και ότι μπορούν να προβαίνουν στη δημοσίευση των πληροφοριών αυτών, εν </w:t>
      </w:r>
      <w:proofErr w:type="spellStart"/>
      <w:r w:rsidR="00BE322E" w:rsidRPr="00D37862">
        <w:t>όλω</w:t>
      </w:r>
      <w:proofErr w:type="spellEnd"/>
      <w:r w:rsidR="00BE322E" w:rsidRPr="00D37862">
        <w:t xml:space="preserve"> ή εν μέρει, </w:t>
      </w:r>
      <w:r w:rsidR="00BE322E" w:rsidRPr="00D37862">
        <w:lastRenderedPageBreak/>
        <w:t>στην ιστοσελίδα τους στον ιστότοπο του Κοινοβουλίου, σύμφωνα με το άρθρο 11 παράγραφος 2 του Κανονισμού του Κοινοβουλίου· εκφράζει την ικανοποίησή του για το γεγονός ότι στα μέτρα εφαρμογής του καθεστώτος των βουλευτών του Ευρωπαϊκού Κοινοβουλίου ενσωματώνεται απλουστευμένος κατάλογος των τύπων δαπανών και για το γεγονός ότι έχει εγκριθεί τροποποίηση που αποσαφηνίζει τη δυνατότητα των βουλευτών να χρησιμοποιούν την ΑΓΕ σε περίπτωση εξάντλησης άλλων αποζημιώσεων· σημειώνει ότι όλοι οι βουλευτές έχουν ενημερωθεί σχετικά με τις ιδιαιτερότητες της εν λόγω αποζημίωσης· θεωρεί ότι η μέγιστη διαφάνεια αποτελεί ορθή πρακτική·</w:t>
      </w:r>
    </w:p>
    <w:p w14:paraId="207A21C9" w14:textId="7D10178D" w:rsidR="00BE322E" w:rsidRPr="00D37862" w:rsidRDefault="00D37862" w:rsidP="00D37862">
      <w:pPr>
        <w:pStyle w:val="NormalHanging12a"/>
        <w:ind w:hanging="573"/>
      </w:pPr>
      <w:r w:rsidRPr="00D37862">
        <w:t>104.</w:t>
      </w:r>
      <w:r w:rsidRPr="00D37862">
        <w:tab/>
      </w:r>
      <w:r w:rsidR="00BE322E" w:rsidRPr="00D37862">
        <w:t>σημειώνει ότι η ΑΓΕ ανήλθε σε 4 950 EUR μηνιαίως το 2024 και αντιπροσωπεύει περίπου 40 εκατ</w:t>
      </w:r>
      <w:r w:rsidR="00D32450" w:rsidRPr="00D37862">
        <w:t>ομμύρια</w:t>
      </w:r>
      <w:r w:rsidR="00BE322E" w:rsidRPr="00D37862">
        <w:t> EUR ετησίως· υπενθυμίζει ότι δεν πραγματοποιήθηκε τιμαριθμική αναπροσαρμογή της αποζημίωσης το 2022 ή το 2024· σημειώνει ότι το Κοινοβούλιο συμμορφώνεται με τους ισχύοντες κανόνες σχετικά με την ΑΓΕ· υπενθυμίζει την ανάγκη να αποφευχθεί ο περιττός διοικητικός φόρτος για τους βουλευτές·</w:t>
      </w:r>
    </w:p>
    <w:p w14:paraId="1FB33A72" w14:textId="57F8C0FA" w:rsidR="00BE322E" w:rsidRPr="00D37862" w:rsidRDefault="00D37862" w:rsidP="00D37862">
      <w:pPr>
        <w:pStyle w:val="NormalHanging12a"/>
        <w:ind w:hanging="573"/>
      </w:pPr>
      <w:r w:rsidRPr="00D37862">
        <w:t>105.</w:t>
      </w:r>
      <w:r w:rsidRPr="00D37862">
        <w:tab/>
      </w:r>
      <w:r w:rsidR="00BE322E" w:rsidRPr="00D37862">
        <w:t>σημειώνει ότι τα ισχύοντα μέτρα εφαρμογής του καθεστώτος των βουλευτών θεσπίζουν απαιτήσεις διαφάνειας για τη δημοσιονομική διαχείριση της ΑΓΕ· σημειώνει ότι, κατά τη συνεδρίασή του στις 17 Οκτωβρίου 2022, το Προεδρείο ενέκρινε την απόφαση αυτή·</w:t>
      </w:r>
    </w:p>
    <w:p w14:paraId="39D5F710"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Γενική Διεύθυνση Τεχνολογιών Πληροφοριών και Κυβερνοασφάλειας</w:t>
      </w:r>
    </w:p>
    <w:p w14:paraId="6073FDDF" w14:textId="6BD4A632"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106.</w:t>
      </w:r>
      <w:r w:rsidRPr="00D37862">
        <w:rPr>
          <w:szCs w:val="24"/>
          <w14:textOutline w14:w="0" w14:cap="flat" w14:cmpd="sng" w14:algn="ctr">
            <w14:noFill/>
            <w14:prstDash w14:val="solid"/>
            <w14:bevel/>
          </w14:textOutline>
        </w:rPr>
        <w:tab/>
      </w:r>
      <w:r w:rsidR="00BE322E" w:rsidRPr="00D37862">
        <w:rPr>
          <w14:textOutline w14:w="0" w14:cap="flat" w14:cmpd="sng" w14:algn="ctr">
            <w14:noFill/>
            <w14:prstDash w14:val="solid"/>
            <w14:bevel/>
          </w14:textOutline>
        </w:rPr>
        <w:t xml:space="preserve">υπενθυμίζει ότι η ΓΔ ITEC παρέχει στο Κοινοβούλιο υπηρεσίες και εξοπλισμό τεχνολογίας πληροφοριών και επικοινωνιών (ΤΠΕ), υπηρεσίες βιντεοδιάσκεψης και πολυμέσων, καθώς και υπηρεσίες εκδόσεων και εκτυπώσεων· </w:t>
      </w:r>
      <w:r w:rsidR="00BE322E" w:rsidRPr="00D37862">
        <w:t>σημειώνει ότι έως τις 31</w:t>
      </w:r>
      <w:r w:rsidRPr="00D37862">
        <w:t> </w:t>
      </w:r>
      <w:r w:rsidR="00BE322E" w:rsidRPr="00D37862">
        <w:t>Δεκεμβρίου 2024 υπήρχαν 579 υπάλληλοι στη ΓΔ ITEC, εκ των οποίων 369 ήταν μόνιμοι υπάλληλοι, 70 ήταν έκτακτοι υπάλληλοι και 140 ήταν συμβασιούχοι υπάλληλοι·</w:t>
      </w:r>
    </w:p>
    <w:p w14:paraId="5CDF44C7" w14:textId="0F342D9E" w:rsidR="00BE322E" w:rsidRPr="00D37862" w:rsidRDefault="00D37862" w:rsidP="00D37862">
      <w:pPr>
        <w:pStyle w:val="NormalHanging12a"/>
        <w:ind w:hanging="573"/>
        <w:rPr>
          <w:bCs/>
          <w:iCs/>
        </w:rPr>
      </w:pPr>
      <w:r w:rsidRPr="00D37862">
        <w:rPr>
          <w:iCs/>
        </w:rPr>
        <w:t>107.</w:t>
      </w:r>
      <w:r w:rsidRPr="00D37862">
        <w:rPr>
          <w:iCs/>
        </w:rPr>
        <w:tab/>
      </w:r>
      <w:r w:rsidR="00BE322E" w:rsidRPr="00D37862">
        <w:t>καλεί το Κοινοβούλιο να εγκρίνει μια ολοκληρωμένη στρατηγική ψηφιακού μετασχηματισμού, ενσωματώνοντας τεχνικές λύσεις για τη διαχείριση των εγγράφων, και την επικοινωνία, προκειμένου να διασφαλιστεί η διαφάνεια, να βελτιωθεί η αποδοτικότητα, να διασφαλιστεί η ασφάλεια και να γίνουν βήματα στην κατεύθυνση μιας διοίκησης χωρίς χαρτί· ζητεί την ανάπτυξη φιλικών προς τον χρήστη ψηφιακών πλατφορμών για την ενίσχυση της ηλεκτρονικής συμμετοχής, ώστε να έχουν τη δυνατότητα οι πολίτες της Ένωσης να παρέχουν ανατροφοδότηση σχετικά με την προτεινόμενη νομοθεσία και να έχουν πρόσβαση στις δραστηριότητες του Κοινοβουλίου σε πραγματικό χρόνο·</w:t>
      </w:r>
    </w:p>
    <w:p w14:paraId="7C5E6E4A" w14:textId="23C672F0"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108.</w:t>
      </w:r>
      <w:r w:rsidRPr="00D37862">
        <w:rPr>
          <w:szCs w:val="24"/>
          <w14:textOutline w14:w="0" w14:cap="flat" w14:cmpd="sng" w14:algn="ctr">
            <w14:noFill/>
            <w14:prstDash w14:val="solid"/>
            <w14:bevel/>
          </w14:textOutline>
        </w:rPr>
        <w:tab/>
      </w:r>
      <w:r w:rsidR="00BE322E" w:rsidRPr="00D37862">
        <w:t>σημειώνει ότι το 2024 οι οριστικές πιστώσεις της ΓΔ ITEC ανήλθαν σε 179 396 522 EUR, ποσό που αντιστοιχεί στο 7,5 % του προϋπολογισμού του Κοινοβουλίου·</w:t>
      </w:r>
      <w:r w:rsidR="00BE322E" w:rsidRPr="00D37862">
        <w:rPr>
          <w14:textOutline w14:w="0" w14:cap="flat" w14:cmpd="sng" w14:algn="ctr">
            <w14:noFill/>
            <w14:prstDash w14:val="solid"/>
            <w14:bevel/>
          </w14:textOutline>
        </w:rPr>
        <w:t xml:space="preserve"> </w:t>
      </w:r>
      <w:r w:rsidR="00BE322E" w:rsidRPr="00D37862">
        <w:t>επισημαίνει ότι από το ποσό αυτό δεσμεύτηκαν συνολικά 179 349 479 EUR·</w:t>
      </w:r>
      <w:r w:rsidR="00BE322E" w:rsidRPr="00D37862">
        <w:rPr>
          <w14:textOutline w14:w="0" w14:cap="flat" w14:cmpd="sng" w14:algn="ctr">
            <w14:noFill/>
            <w14:prstDash w14:val="solid"/>
            <w14:bevel/>
          </w14:textOutline>
        </w:rPr>
        <w:t xml:space="preserve"> εκφράζει την ικανοποίησή του για την υψηλή απορρόφηση των πιστώσεων·</w:t>
      </w:r>
    </w:p>
    <w:p w14:paraId="4DBA1195" w14:textId="4BD71EE3" w:rsidR="00BE322E" w:rsidRPr="00D37862" w:rsidRDefault="00D37862" w:rsidP="00D37862">
      <w:pPr>
        <w:spacing w:after="240"/>
        <w:ind w:left="567" w:hanging="573"/>
      </w:pPr>
      <w:r w:rsidRPr="00D37862">
        <w:t>109.</w:t>
      </w:r>
      <w:r w:rsidRPr="00D37862">
        <w:tab/>
      </w:r>
      <w:r w:rsidR="00BE322E" w:rsidRPr="00D37862">
        <w:t xml:space="preserve">λαμβάνει υπόψη τις συνεχιζόμενες προσπάθειες της ΓΔ ITEC για την παροχή κυβερνοασφάλειας, δεδομένου του τοπίου διαρκώς αυξανόμενων απειλών και κινδύνων που επηρεάζουν το Κοινοβούλιο· σημειώνει την έναρξη ισχύος του κανονισμού (ΕΕ, </w:t>
      </w:r>
      <w:r w:rsidR="00BE322E" w:rsidRPr="00D37862">
        <w:lastRenderedPageBreak/>
        <w:t>Ευρατόμ) 2023/2841 του Ευρωπαϊκού Κοινοβουλίου και του Συμβουλίου</w:t>
      </w:r>
      <w:r w:rsidR="00BE322E" w:rsidRPr="00D37862">
        <w:rPr>
          <w:rStyle w:val="FootnoteReference"/>
          <w:noProof/>
        </w:rPr>
        <w:footnoteReference w:id="9"/>
      </w:r>
      <w:r w:rsidR="00BE322E" w:rsidRPr="00D37862">
        <w:t>, ο οποίος επισημοποίησε την αποστολή της CERT-ΕΕ ως Υπηρεσίας Κυβερνοασφάλειας για τις οντότητες της Ένωσης· σημειώνει ότι με τον κανονισμό (ΕΕ, Ευρατόμ) 2023/2841 συγκροτείται επίσης διοργανικό συμβούλιο κυβερνοασφάλειας (ΔΣΚ), αρμόδιο για την παρακολούθηση και την υποστήριξη της εφαρμογής του εν λόγω κανονισμού από όλες τις οντότητες της Ένωσης· σημειώνει ότι το Κοινοβούλιο ασκεί την προεδρία του εν λόγω συμβουλίου από το 2024·</w:t>
      </w:r>
    </w:p>
    <w:p w14:paraId="76414EFA" w14:textId="763D9207" w:rsidR="00BE322E" w:rsidRPr="00D37862" w:rsidRDefault="00D37862" w:rsidP="00D37862">
      <w:pPr>
        <w:spacing w:after="240"/>
        <w:ind w:left="567" w:hanging="573"/>
        <w:rPr>
          <w:b/>
          <w:bCs/>
        </w:rPr>
      </w:pPr>
      <w:r w:rsidRPr="00D37862">
        <w:t>110.</w:t>
      </w:r>
      <w:r w:rsidRPr="00D37862">
        <w:tab/>
      </w:r>
      <w:r w:rsidR="00BE322E" w:rsidRPr="00D37862">
        <w:t>σημειώνει ότι σε συνέχεια της απόφασης του Προεδρείου, του Φεβρουαρίου του 2021 σχετικά με την ανάγκη να στεγαστεί το κέντρο δεδομένων του Κοινοβουλίου σε κτίριο με το υψηλότερο διαθέσιμο πρότυπο στον εν λόγω τομέα (βαθμίδα IV), η ΓΔ ITEC ανέθεσε τη σχετική σύμβαση το 2022, επιτρέποντας τη δημιουργία και την έναρξη λειτουργίας του κέντρου δεδομένων το 2023· επισημαίνει ότι η σημαντική αυτή επένδυση διασφαλίζει μια υποδομή ανθεκτική στις μελλοντικές εξελίξεις για το επόμενο διάστημα και συμβάλλει καθοριστικά στη διατήρηση ενός ισχυρού υβριδικού εργασιακού περιβάλλοντος για το Κοινοβούλιο·</w:t>
      </w:r>
    </w:p>
    <w:p w14:paraId="427FC275" w14:textId="525B4B80" w:rsidR="00BE322E" w:rsidRPr="00D37862" w:rsidRDefault="00D37862" w:rsidP="00D37862">
      <w:pPr>
        <w:spacing w:after="240"/>
        <w:ind w:left="567" w:hanging="573"/>
      </w:pPr>
      <w:r w:rsidRPr="00D37862">
        <w:t>111.</w:t>
      </w:r>
      <w:r w:rsidRPr="00D37862">
        <w:tab/>
      </w:r>
      <w:r w:rsidR="00BE322E" w:rsidRPr="00D37862">
        <w:t>υπογραμμίζει ότι η κυβερνοασφάλεια πρέπει να θεωρείται αναπόσπαστο στοιχείο και συνεχής προτεραιότητα σε όλα τα στάδια των επιχειρήσεων, και όχι απλώς ως στόχος· επισημαίνει ότι η κυβερνοασφάλεια απαιτεί μια ολοκληρωμένη στρατηγική που θα περιλαμβάνει όλες τις πτυχές της ψηφιακής διακυβέρνησης εντός του Κοινοβουλίου· ζητεί την επανεξέταση των δομών διακυβέρνησης ΤΠ του Κοινοβουλίου, υποστηρίζοντας μια πιο ισχυρή και προσαρμόσιμη προσέγγιση όσον αφορά την κυβερνοασφάλεια, η οποία λαμβάνει υπόψη τον πλήρη κύκλο ζωής των συστημάτων πληροφοριών, δεδομένου του αυξανόμενου αριθμού εφαρμογών —επί του παρόντος άνω των 20— που είναι άμεσα προσβάσιμες μέσω του διαδικτύου· επισημαίνει ότι η κατάσταση αυτή απαιτεί ενισχυμένη εποπτεία για την ελαχιστοποίηση των τρωτών σημείων και την προστασία των θεσμικών δεδομένων από εξωτερικές απειλές·</w:t>
      </w:r>
    </w:p>
    <w:p w14:paraId="3A53E33D" w14:textId="749FA154" w:rsidR="00BE322E" w:rsidRPr="00D37862" w:rsidRDefault="00D37862" w:rsidP="00D37862">
      <w:pPr>
        <w:spacing w:after="240"/>
        <w:ind w:left="567" w:hanging="573"/>
      </w:pPr>
      <w:r w:rsidRPr="00D37862">
        <w:t>112.</w:t>
      </w:r>
      <w:r w:rsidRPr="00D37862">
        <w:tab/>
      </w:r>
      <w:r w:rsidR="00BE322E" w:rsidRPr="00D37862">
        <w:t xml:space="preserve">ζητεί να συνεχιστούν οι επενδύσεις σε υποδομές κυβερνοασφάλειας, και να παρέχονται συνεχής εκπαίδευση και πόροι για τα μέλη του προσωπικού, ώστε να ενισχυθεί μια νοοτροπία </w:t>
      </w:r>
      <w:proofErr w:type="spellStart"/>
      <w:r w:rsidR="00BE322E" w:rsidRPr="00D37862">
        <w:t>συνειδητότητας</w:t>
      </w:r>
      <w:proofErr w:type="spellEnd"/>
      <w:r w:rsidR="00BE322E" w:rsidRPr="00D37862">
        <w:t xml:space="preserve"> όσον αφορά την ασφάλεια που δυναμώνει την ανθεκτικότητα του Κοινοβουλίου έναντι πιθανών ψηφιακών απειλών·</w:t>
      </w:r>
    </w:p>
    <w:p w14:paraId="3F4161BE" w14:textId="4D70BE13" w:rsidR="00BE322E" w:rsidRPr="00D37862" w:rsidRDefault="00D37862" w:rsidP="00D37862">
      <w:pPr>
        <w:spacing w:after="240"/>
        <w:ind w:left="567" w:hanging="573"/>
      </w:pPr>
      <w:r w:rsidRPr="00D37862">
        <w:t>113.</w:t>
      </w:r>
      <w:r w:rsidRPr="00D37862">
        <w:tab/>
      </w:r>
      <w:r w:rsidR="00BE322E" w:rsidRPr="00D37862">
        <w:t>σημειώνει την έμφαση που δίνεται στην ευαισθητοποίηση όλων των βουλευτών και των υπαλλήλων σχετικά με την κυβερνοασφάλεια· εκφράζει την ικανοποίησή του για την προσφερόμενη κατάρτιση που παρείχαν η ΓΔ ITEC και η ΓΔ PERS· σημειώνει τον υψηλό αριθμό συμμετεχόντων στα προγράμματα κατάρτισης σχετικά με την κυβερνοασφάλεια, οι οποίοι ανήλθαν σε 33 συμμετέχοντες όσον αφορά τα προγράμματα κατάρτισης και σε τουλάχιστον 1 800 συμμετέχοντες όσον αφορά τις δραστηριότητες ευαισθητοποίησης·</w:t>
      </w:r>
    </w:p>
    <w:p w14:paraId="4A4F93E9" w14:textId="42E5AC36" w:rsidR="00BE322E" w:rsidRPr="00D37862" w:rsidRDefault="00D37862" w:rsidP="00D37862">
      <w:pPr>
        <w:spacing w:after="240"/>
        <w:ind w:left="567" w:hanging="573"/>
      </w:pPr>
      <w:r w:rsidRPr="00D37862">
        <w:t>114.</w:t>
      </w:r>
      <w:r w:rsidRPr="00D37862">
        <w:tab/>
      </w:r>
      <w:r w:rsidR="00BE322E" w:rsidRPr="00D37862">
        <w:t xml:space="preserve">σημειώνει ότι το ισχύον σύστημα διαχείρισης ανθρώπινων πόρων (δικτυακή πύλη HRM) εξακολουθεί να μην έχει ενσωματωθεί επαρκώς σε άλλα συστήματα του Κοινοβουλίου· σημειώνει ότι απλές διαδικασίες, όπως οι αιτήσεις άδειας, </w:t>
      </w:r>
      <w:r w:rsidR="00BE322E" w:rsidRPr="00D37862">
        <w:lastRenderedPageBreak/>
        <w:t>εξακολουθούν να απαιτούν από τους ΔΚΒ να τηλεφορτώνουν, να εκτυπώνουν, να σαρώνουν και να διαβιβάζουν έγγραφα με το χέρι, ενώ τα υπόλοιπα αδειών πρέπει να ελέγχονται σε χωριστή πλατφόρμα· τονίζει ότι αυτές οι κατακερματισμένες διαδικασίες δημιουργούν περιττό διοικητικό φόρτο και ανεπάρκειες στις ροές εργασίας· καλεί τη διοίκηση να εκσυγχρονίσει και να εξορθολογίσει τις διαδικασίες αυτές και να διασφαλίσει την πλήρη διαλειτουργικότητα μεταξύ των εργαλείων διαχείρισης ανθρώπινων πόρων και άλλων συστημάτων του Κοινοβουλίου·</w:t>
      </w:r>
    </w:p>
    <w:p w14:paraId="69EA1BF9" w14:textId="0E5EB19E" w:rsidR="00BE322E" w:rsidRPr="00D37862" w:rsidRDefault="00D37862" w:rsidP="00D37862">
      <w:pPr>
        <w:spacing w:after="240"/>
        <w:ind w:left="567" w:hanging="573"/>
      </w:pPr>
      <w:r w:rsidRPr="00D37862">
        <w:t>115.</w:t>
      </w:r>
      <w:r w:rsidRPr="00D37862">
        <w:tab/>
      </w:r>
      <w:r w:rsidR="00BE322E" w:rsidRPr="00D37862">
        <w:t xml:space="preserve">επισημαίνει ότι η στήριξη προς τους βουλευτές έχει επεκταθεί ώστε να περιλαμβάνει τις ώρες εκτός εργασίας και τις ημέρες κατά τις οποίες τα γραφεία παραμένουν κλειστά· σημειώνει ότι, για να καλυφθεί η εξέλιξη των αναγκών και των εργασιακών πρακτικών των βουλευτών, με βάση έρευνες χρηστών και τα άμεσα αιτήματα των διοικητικών οργάνων, αναπτύχθηκε ένα νέο σύνολο ειδικών υπηρεσιών υποστήριξης ΤΠ για τις προσωπικές συσκευές </w:t>
      </w:r>
      <w:proofErr w:type="spellStart"/>
      <w:r w:rsidR="00BE322E" w:rsidRPr="00D37862">
        <w:t>MacOS</w:t>
      </w:r>
      <w:proofErr w:type="spellEnd"/>
      <w:r w:rsidR="00BE322E" w:rsidRPr="00D37862">
        <w:t xml:space="preserve"> και </w:t>
      </w:r>
      <w:proofErr w:type="spellStart"/>
      <w:r w:rsidR="00BE322E" w:rsidRPr="00D37862">
        <w:t>iOS</w:t>
      </w:r>
      <w:proofErr w:type="spellEnd"/>
      <w:r w:rsidR="00BE322E" w:rsidRPr="00D37862">
        <w:t xml:space="preserve"> των βουλευτών· επισημαίνει ότι προωθείται η τεχνική βοήθεια για τα μέσα κοινωνικής δικτύωσης, μαζί με ένα πλήρες φάσμα υπηρεσιών που σχετίζονται με τις τεχνικές πτυχές της οπτικοακουστικής δημιουργίας·</w:t>
      </w:r>
    </w:p>
    <w:p w14:paraId="5540007D" w14:textId="1CEE20A3" w:rsidR="00BE322E" w:rsidRPr="00D37862" w:rsidRDefault="00D37862" w:rsidP="00D37862">
      <w:pPr>
        <w:pStyle w:val="NormalHanging12a"/>
        <w:ind w:hanging="573"/>
      </w:pPr>
      <w:r w:rsidRPr="00D37862">
        <w:t>116.</w:t>
      </w:r>
      <w:r w:rsidRPr="00D37862">
        <w:tab/>
      </w:r>
      <w:r w:rsidR="00BE322E" w:rsidRPr="00D37862">
        <w:t>εκφράζει την ικανοποίησή του για τη θέσπιση ενός νέου πλαισίου διακυβέρνησης για την ΤΝ, με ένα συμβούλιο διακυβέρνησης της ΤΝ που θα επιβλέπει τη στρατηγική και τον χάρτη πορείας του Κοινοβουλίου για την ΤΝ και θα διασφαλίζει την κανονιστική συμμόρφωση και τη δεοντολογική εποπτεία, μια διυπηρεσιακή ομάδα καθοδήγησης για την ΤΝ που θα είναι υπεύθυνη για την κατάρτιση στρατηγικών ΤΝ, την ανάπτυξη βασικών ικανοτήτων και τη διασφάλιση μακροπρόθεσμης ασφάλειας και βιωσιμότητας, και ένα κέντρο ικανοτήτων ΤΝ εντός της ΓΔ ITEC, το οποίο θα διέπει, θα προωθεί και θα παρακολουθεί πρωτοβουλίες ΤΝ σε ολόκληρο το Κοινοβούλιο· σημειώνει ότι αυτό το πλαίσιο διακυβέρνησης θα διασφαλίσει τη διαφάνεια και τη συμμόρφωση με τον κανονισμό (ΕΕ) 2024/1689 του Ευρωπαϊκού Κοινοβουλίου και του Συμβουλίου</w:t>
      </w:r>
      <w:r w:rsidR="00BE322E" w:rsidRPr="00D37862">
        <w:rPr>
          <w:vertAlign w:val="superscript"/>
        </w:rPr>
        <w:footnoteReference w:id="10"/>
      </w:r>
      <w:r w:rsidR="00BE322E" w:rsidRPr="00D37862">
        <w:t>, ο οποίος τέθηκε σε ισχύ την 1η Αυγούστου 2024 και οι διατάξεις του εφαρμόζονται από το 2025 και μετά· σημειώνει ότι τα μέλη του προσωπικού του Κοινοβουλίου μπορούν να χρησιμοποιούν δημόσια διαθέσιμα εργαλεία παραγωγικής ΤΝ τρίτων, εάν τηρούν τις κατευθυντήριες γραμμές σχετικά με τη χρήση δημόσια διαθέσιμων εργαλείων ΤΝ για τα μέλη του προσωπικού του Κοινοβουλίου, οι οποίες εγκρίθηκαν από τον Γενικό Γραμματέα στις 16 Απριλίου 2024, υπό την αυστηρή προϋπόθεση ότι υποστηρίζουν μόνο επαγγελματικά καθήκοντα· καλεί τη διοίκηση να εντείνει τις προσπάθειές της για την κατάρτιση του προσωπικού στην αποτελεσματική και ασφαλή χρήση νέων τεχνολογιών όπως η ΤΝ·</w:t>
      </w:r>
    </w:p>
    <w:p w14:paraId="135F9DDE"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 xml:space="preserve">Οριζόντια ζητήματα με επιπτώσεις στον προϋπολογισμό του Κοινοβουλίου για το οικονομικό έτος 2024 </w:t>
      </w:r>
    </w:p>
    <w:p w14:paraId="56381B0C" w14:textId="77777777" w:rsidR="00BE322E" w:rsidRPr="00D37862" w:rsidRDefault="00BE322E" w:rsidP="00BE322E">
      <w:pPr>
        <w:spacing w:after="240"/>
        <w:rPr>
          <w:b/>
          <w:bCs/>
        </w:rPr>
      </w:pPr>
      <w:bookmarkStart w:id="11" w:name="_Hlk216615789"/>
      <w:r w:rsidRPr="00D37862">
        <w:rPr>
          <w:b/>
        </w:rPr>
        <w:t>Διαφάνεια και δεοντολογία</w:t>
      </w:r>
    </w:p>
    <w:p w14:paraId="41728D8D" w14:textId="4CC782B4" w:rsidR="00BE322E" w:rsidRPr="00D37862" w:rsidRDefault="00D37862" w:rsidP="00D37862">
      <w:pPr>
        <w:spacing w:after="240"/>
        <w:ind w:left="567" w:hanging="573"/>
        <w:rPr>
          <w:b/>
          <w:bCs/>
        </w:rPr>
      </w:pPr>
      <w:r w:rsidRPr="00D37862">
        <w:t>117.</w:t>
      </w:r>
      <w:r w:rsidRPr="00D37862">
        <w:tab/>
      </w:r>
      <w:r w:rsidR="00BE322E" w:rsidRPr="00D37862">
        <w:t xml:space="preserve">σημειώνει ότι το 2024 ελήφθησαν έξι αναφορές υποθέσεων καταγγελίας </w:t>
      </w:r>
      <w:r w:rsidR="00BE322E" w:rsidRPr="00D37862">
        <w:lastRenderedPageBreak/>
        <w:t>δυσλειτουργιών σύμφωνα με τους εσωτερικούς κανόνες εφαρμογής του άρθρου 22 στοιχείο γ) του κανονισμού υπηρεσιακής κατάστασης, πέντε μέσω επίσημων διαύλων και μία από άλλο θεσμικό όργανο της Ένωσης· σημειώνει ότι μία υπόθεση παραπέμφθηκε στην Ευρωπαϊκή Εισαγγελία, δύο οδήγησαν σε διοικητικές έρευνες και μία εστάλη στη συμβουλευτική επιτροπή για τον κώδικα δεοντολογίας των βουλευτών, ενώ η εξωτερική έκθεση επίσης οδήγησε σε έρευνα·</w:t>
      </w:r>
      <w:r w:rsidR="00E34A88" w:rsidRPr="00D37862">
        <w:t xml:space="preserve"> εκφράζει την ανησυχία του για το γεγονός ότι το 2024 το Δικαστήριο αποφάνθηκε στην υπόθεση T-793/22 ότι το Κοινοβούλιο δεν είχε λάβει όλα τα αναγκαία μέτρα για να διασφαλίσει ότι ένας πληροφοριοδότης είχε ισορροπημένη και αποτελεσματική προστασία από κάθε μορφή αντιποίνων· σημειώνει ότι το Δικαστήριο διαπίστωσε επίσης ότι το Κοινοβούλιο δεν προστάτευσε επαρκώς την εμπιστευτικότητα του πληροφοριοδότη· παροτρύνει το Κοινοβούλιο να ευθυγραμμίσει πλήρως τους εσωτερικούς κανόνες του με την οδηγία (ΕΕ) 2019/1937</w:t>
      </w:r>
      <w:r w:rsidRPr="00D37862">
        <w:t>·</w:t>
      </w:r>
    </w:p>
    <w:bookmarkEnd w:id="11"/>
    <w:p w14:paraId="62AD2D2B" w14:textId="31229A8E" w:rsidR="00BE322E" w:rsidRPr="00D37862" w:rsidRDefault="00D37862" w:rsidP="00D37862">
      <w:pPr>
        <w:pStyle w:val="NormalHanging12a"/>
        <w:ind w:hanging="573"/>
      </w:pPr>
      <w:r w:rsidRPr="00D37862">
        <w:t>118.</w:t>
      </w:r>
      <w:r w:rsidRPr="00D37862">
        <w:tab/>
      </w:r>
      <w:r w:rsidR="00BE322E" w:rsidRPr="00D37862">
        <w:t>εκφράζει την ικανοποίησή του για το γεγονός ότι η κατάρτιση σε θέματα δεοντολογίας παρέμεινε προτεραιότητα και για το γεγονός ότι μόλις με 13 συνεδρίες με τίτλο «</w:t>
      </w:r>
      <w:proofErr w:type="spellStart"/>
      <w:r w:rsidR="00BE322E" w:rsidRPr="00D37862">
        <w:t>Let’s</w:t>
      </w:r>
      <w:proofErr w:type="spellEnd"/>
      <w:r w:rsidR="00BE322E" w:rsidRPr="00D37862">
        <w:t xml:space="preserve"> </w:t>
      </w:r>
      <w:proofErr w:type="spellStart"/>
      <w:r w:rsidR="00BE322E" w:rsidRPr="00D37862">
        <w:t>Talk</w:t>
      </w:r>
      <w:proofErr w:type="spellEnd"/>
      <w:r w:rsidR="00BE322E" w:rsidRPr="00D37862">
        <w:t xml:space="preserve"> </w:t>
      </w:r>
      <w:proofErr w:type="spellStart"/>
      <w:r w:rsidR="00BE322E" w:rsidRPr="00D37862">
        <w:t>Ethics</w:t>
      </w:r>
      <w:proofErr w:type="spellEnd"/>
      <w:r w:rsidR="00BE322E" w:rsidRPr="00D37862">
        <w:t>» (Ας μιλήσουμε για τη δεοντολογία) εκπαιδεύτηκαν 178 υπάλληλοι, ενώ στα ειδικά προσαρμοσμένα προγράμματα συμμετείχαν 109 άτομα, και για την υποχρεωτική εισαγωγική κατάρτιση για τους ΔΚΒ επιτεύχθηκε ποσοστό ολοκλήρωσης 72 %· εκφράζει την ικανοποίησή του για το γεγονός ότι το νέο πρόγραμμα για διευθυντικά στελέχη σχετικά με τη δεοντολογική ηγεσία και την πρόληψη της παρενόχλησης παρείχε εκπαίδευση σε 320 διευθυντικά στελέχη σε 33 συνεδρίες·</w:t>
      </w:r>
    </w:p>
    <w:p w14:paraId="28AAA762" w14:textId="71A71020" w:rsidR="00BE322E" w:rsidRPr="00D37862" w:rsidRDefault="00D37862" w:rsidP="00D37862">
      <w:pPr>
        <w:pStyle w:val="NormalHanging12a"/>
        <w:ind w:hanging="573"/>
      </w:pPr>
      <w:r w:rsidRPr="00D37862">
        <w:t>119.</w:t>
      </w:r>
      <w:r w:rsidRPr="00D37862">
        <w:tab/>
      </w:r>
      <w:r w:rsidR="00BE322E" w:rsidRPr="00D37862">
        <w:t>επιμένει ότι πρέπει να ενισχυθούν τα μέτρα διαφάνειας, λογοδοσίας και δεοντολογικής διακυβέρνησης· θεωρεί ότι το Κοινοβούλιο πρέπει να μεριμνήσει για την προώθηση νοοτροπίας ακεραιότητας, ενσωματώνοντας δεοντολογικά πρότυπα στις καθημερινές λειτουργίες ώστε να αποφευχθεί η βλάβη στην εμπιστοσύνη των πολιτών και να ενισχυθεί η νομιμοποίησή του σε θέματα εποπτείας· ζητεί τη συνέχιση και την ενίσχυση της συνεργασίας και του διαλόγου σχετικά με την ακεραιότητα, τη διαφάνεια και τους κανόνες συμπεριφοράς εντός των θεσμικών οργάνων της Ένωσης·</w:t>
      </w:r>
    </w:p>
    <w:p w14:paraId="35E42F7F" w14:textId="5A906CB4" w:rsidR="00BE322E" w:rsidRPr="00D37862" w:rsidRDefault="00D37862" w:rsidP="00D37862">
      <w:pPr>
        <w:pStyle w:val="NormalHanging12a"/>
        <w:ind w:hanging="573"/>
        <w:rPr>
          <w:bCs/>
          <w:iCs/>
        </w:rPr>
      </w:pPr>
      <w:r w:rsidRPr="00D37862">
        <w:rPr>
          <w:iCs/>
        </w:rPr>
        <w:t>120.</w:t>
      </w:r>
      <w:r w:rsidRPr="00D37862">
        <w:rPr>
          <w:iCs/>
        </w:rPr>
        <w:tab/>
      </w:r>
      <w:r w:rsidR="00BE322E" w:rsidRPr="00D37862">
        <w:t>αναγνωρίζει τη θετική αξιολόγηση της τεχνικής εφαρμογής του κώδικα δεοντολογίας για τους βουλευτές του Ευρωπαϊκού Κοινοβουλίου όσον αφορά την ακεραιότητα και τη διαφάνεια, όπως αναφέρθηκε στο Προεδρείο· ζητεί να καταβληθούν πρόσθετες προσπάθειες για την ενίσχυση της διαφάνειας σε όλους τους τομείς και τις υπηρεσίες του Κοινοβουλίου, με ιδιαίτερη έμφαση στη νομοθετική παραγωγή· καλεί, εν προκειμένω, τη διοίκηση του Κοινοβουλίου να μην περιορίσει την εισαγωγή απαιτήσεων διαφάνειας σε διοικητικό επίπεδο·</w:t>
      </w:r>
    </w:p>
    <w:p w14:paraId="1AC8A921" w14:textId="72705597" w:rsidR="00E34A88" w:rsidRPr="00D37862" w:rsidRDefault="00D37862" w:rsidP="00D37862">
      <w:pPr>
        <w:pStyle w:val="NormalHanging12a"/>
        <w:ind w:hanging="573"/>
        <w:rPr>
          <w:bCs/>
          <w:iCs/>
        </w:rPr>
      </w:pPr>
      <w:r w:rsidRPr="00D37862">
        <w:rPr>
          <w:iCs/>
        </w:rPr>
        <w:t>121.</w:t>
      </w:r>
      <w:r w:rsidRPr="00D37862">
        <w:rPr>
          <w:iCs/>
        </w:rPr>
        <w:tab/>
      </w:r>
      <w:r w:rsidR="00E34A88" w:rsidRPr="00D37862">
        <w:rPr>
          <w:bCs/>
          <w:iCs/>
        </w:rPr>
        <w:t>υπενθυμίζει ότι οι κανόνες απαγορεύουν στους βουλευτές να συμμετέχουν σε αμειβόμενες δραστηριότητες άσκησης πίεσης από ομάδες συμφερόντων που συνδέονται άμεσα με τη διαδικασία λήψης αποφάσεων της Ένωσης· υπογραμμίζει ότι η κατοχή αμειβόμενων θέσεων σε οντότητες που εμπίπτουν στο πεδίο εφαρμογής του μητρώου διαφάνειας, ενώ ταυτόχρονα ασκούν κοινοβουλευτικά καθήκοντα στον ίδιο τομέα πολιτικής ή συμμετέχουν σε σχετικές επαφές με την Επιτροπή ή το Συμβούλιο, δεν συνάδει με τους εν λόγω κανόνες· ζητεί να εξετάζονται δεόντως οι καταστάσεις αυτές και, σε περίπτωση που διαπιστώνονται παραβιάσεις, να επιβάλλονται αναλογικές κυρώσεις·</w:t>
      </w:r>
    </w:p>
    <w:p w14:paraId="0DFEED43" w14:textId="2ED66869" w:rsidR="00BE322E" w:rsidRPr="00D37862" w:rsidRDefault="00D37862" w:rsidP="00D37862">
      <w:pPr>
        <w:pStyle w:val="NormalHanging12a"/>
        <w:ind w:hanging="573"/>
        <w:rPr>
          <w:bCs/>
          <w:iCs/>
        </w:rPr>
      </w:pPr>
      <w:r w:rsidRPr="00D37862">
        <w:rPr>
          <w:iCs/>
        </w:rPr>
        <w:t>122.</w:t>
      </w:r>
      <w:r w:rsidRPr="00D37862">
        <w:rPr>
          <w:iCs/>
        </w:rPr>
        <w:tab/>
      </w:r>
      <w:r w:rsidR="00BE322E" w:rsidRPr="00D37862">
        <w:t xml:space="preserve">εκφράζει την ικανοποίησή του για την αυξημένη χρήση του μητρώου διαφάνειας ως εργαλείου πληροφόρησης και αναφοράς για δραστηριότητες εκπροσώπησης </w:t>
      </w:r>
      <w:r w:rsidR="00BE322E" w:rsidRPr="00D37862">
        <w:lastRenderedPageBreak/>
        <w:t xml:space="preserve">συμφερόντων σε επίπεδο Ένωσης· εκφράζει την ικανοποίησή του για την ανάπτυξη λύσεων ΤΠ για τη βελτίωση του μητρώου διαφάνειας, αλλά σημειώνει ότι η γραμματεία του εξακολουθεί να είναι </w:t>
      </w:r>
      <w:proofErr w:type="spellStart"/>
      <w:r w:rsidR="00BE322E" w:rsidRPr="00D37862">
        <w:t>υποχρηματοδοτούμενη</w:t>
      </w:r>
      <w:proofErr w:type="spellEnd"/>
      <w:r w:rsidR="00BE322E" w:rsidRPr="00D37862">
        <w:t xml:space="preserve"> και </w:t>
      </w:r>
      <w:proofErr w:type="spellStart"/>
      <w:r w:rsidR="00BE322E" w:rsidRPr="00D37862">
        <w:t>υποστελεχωμένη</w:t>
      </w:r>
      <w:proofErr w:type="spellEnd"/>
      <w:r w:rsidR="00BE322E" w:rsidRPr="00D37862">
        <w:t>· σημειώνει ότι η ποιότητα των καταχωρίσεων στο μητρώο διαφάνειας έχει βελτιωθεί και υπενθυμίζει την ανάγκη να συνεχιστεί η ενίσχυση των ελέγχων ποιότητας των δεδομένων των νέων αιτούντων· εκφράζει την ικανοποίησή του για τη θέσπιση αυστηρών προτύπων στο Κοινοβούλιο όσον αφορά τη διαφάνεια και την πρόσβαση σε θεσμικά όργανα για τις οντότητες που είναι καταχωρισμένες στο μητρώο διαφάνειας· ζητεί τη διασύνδεση του μητρώου διαφάνειας και του συστήματος δημοσιονομικής διαφάνειας, προκειμένου να καταστούν δυνατοί οι διασταυρούμενοι έλεγχοι των οντοτήτων που είναι καταχωρισμένες στο μητρώο διαφάνειας και να επαληθεύεται η επάρκεια των υποβαλλόμενων δεδομένων· επαναλαμβάνει, εν προκειμένω, την ανάγκη για ολοκληρωμένο προκαταρκτικό οικονομικό έλεγχο των οντοτήτων πριν από την καταχώρισή τους στο μητρώο διαφάνειας και ζητεί, στο πλαίσιο αυτό, να παρασχεθούν στο μητρώο επαρκείς πόροι για τη λειτουργία του και για την αποτελεσματική επιβολή των οικείων εσωτερικών κανόνων· καλεί περαιτέρω τη διοίκηση του Κοινοβουλίου να διασφαλίσει σε διοργανικό επίπεδο διαφάνεια των μέσων ενημέρωσης και να αποκαλύψει όλα τα μέσα ενημέρωσης που λαμβάνουν κονδύλια της Ένωσης·</w:t>
      </w:r>
    </w:p>
    <w:p w14:paraId="07E0D9D1" w14:textId="2ACDA8ED" w:rsidR="00BE322E" w:rsidRPr="00D37862" w:rsidRDefault="00D37862" w:rsidP="00D37862">
      <w:pPr>
        <w:spacing w:after="240"/>
        <w:ind w:left="567" w:hanging="573"/>
      </w:pPr>
      <w:r w:rsidRPr="00D37862">
        <w:t>123.</w:t>
      </w:r>
      <w:r w:rsidRPr="00D37862">
        <w:tab/>
      </w:r>
      <w:r w:rsidR="00BE322E" w:rsidRPr="00D37862">
        <w:t>καλεί το Ελεγκτικό Συνέδριο να εξετάσει συγκεκριμένα τη χρηματοδότηση των μέσων ενημέρωσης·</w:t>
      </w:r>
    </w:p>
    <w:p w14:paraId="5810DC6C" w14:textId="77777777" w:rsidR="00BE322E" w:rsidRPr="00D37862" w:rsidRDefault="00BE322E" w:rsidP="00BE322E">
      <w:pPr>
        <w:spacing w:after="240"/>
        <w:rPr>
          <w:b/>
          <w:bCs/>
        </w:rPr>
      </w:pPr>
      <w:r w:rsidRPr="00D37862">
        <w:rPr>
          <w:b/>
        </w:rPr>
        <w:t>Ψηφιοποίηση, κυβερνοασφάλεια και ΤΝ</w:t>
      </w:r>
    </w:p>
    <w:p w14:paraId="19E50F9A" w14:textId="644444FC" w:rsidR="00BE322E" w:rsidRPr="00D37862" w:rsidRDefault="00D37862" w:rsidP="00D37862">
      <w:pPr>
        <w:spacing w:after="240"/>
        <w:ind w:left="567" w:hanging="573"/>
        <w:rPr>
          <w:b/>
          <w:bCs/>
        </w:rPr>
      </w:pPr>
      <w:r w:rsidRPr="00D37862">
        <w:t>124.</w:t>
      </w:r>
      <w:r w:rsidRPr="00D37862">
        <w:tab/>
      </w:r>
      <w:r w:rsidR="00BE322E" w:rsidRPr="00D37862">
        <w:t>καλεί το Κοινοβούλιο να συνεχίσει να εντείνει τις προσπάθειές του και να αντιμετωπίσει συγκεκριμένες κρίσιμες προκλήσεις, όπως η κυβερνοασφάλεια και η ΤΝ·</w:t>
      </w:r>
    </w:p>
    <w:p w14:paraId="03943DCC" w14:textId="76AD7966" w:rsidR="00BE322E" w:rsidRPr="00D37862" w:rsidRDefault="00D37862" w:rsidP="00D37862">
      <w:pPr>
        <w:spacing w:after="240"/>
        <w:ind w:left="567" w:hanging="573"/>
      </w:pPr>
      <w:r w:rsidRPr="00D37862">
        <w:t>125.</w:t>
      </w:r>
      <w:r w:rsidRPr="00D37862">
        <w:tab/>
      </w:r>
      <w:r w:rsidR="00BE322E" w:rsidRPr="00D37862">
        <w:t>υπενθυμίζει ότι το πλαίσιο διακυβέρνησης για την ΤΝ θεσπίστηκε από το Προεδρείο τον Μάρτιο του 2024· υπογραμμίζει την επείγουσα ανάγκη να εγκριθεί μια ολοκληρωμένη στρατηγική και ένας χάρτης πορείας για την ΤΝ, συμπεριλαμβανομένης πρότασης για σχέδιο δράσης·</w:t>
      </w:r>
    </w:p>
    <w:p w14:paraId="69136D16" w14:textId="0740B797" w:rsidR="00BE322E" w:rsidRPr="00D37862" w:rsidRDefault="00D37862" w:rsidP="00D37862">
      <w:pPr>
        <w:pStyle w:val="NormalHanging12a"/>
        <w:ind w:hanging="573"/>
      </w:pPr>
      <w:r w:rsidRPr="00D37862">
        <w:t>126.</w:t>
      </w:r>
      <w:r w:rsidRPr="00D37862">
        <w:tab/>
      </w:r>
      <w:r w:rsidR="00BE322E" w:rsidRPr="00D37862">
        <w:t>σημειώνει ότι συνεχίζονται οι εργασίες στην εσωτερική πλατφόρμα του Κοινοβουλίου που προορίζεται ειδικά για την παραγωγική ΤΝ· επαναλαμβάνει ότι η πλατφόρμα αυτή αποτελεί βασικό στοιχείο για τη συμβατή και ασφαλή υλοποίηση έργων ΤΝ, ιδίως για τη στήριξη των βουλευτών στις δραστηριότητές τους·</w:t>
      </w:r>
    </w:p>
    <w:p w14:paraId="294CC4C1" w14:textId="1BFE5648" w:rsidR="00BE322E" w:rsidRPr="00D37862" w:rsidRDefault="00D37862" w:rsidP="00D37862">
      <w:pPr>
        <w:spacing w:after="240"/>
        <w:ind w:left="567" w:hanging="573"/>
      </w:pPr>
      <w:r w:rsidRPr="00D37862">
        <w:t>127.</w:t>
      </w:r>
      <w:r w:rsidRPr="00D37862">
        <w:tab/>
      </w:r>
      <w:r w:rsidR="00BE322E" w:rsidRPr="00D37862">
        <w:t>καλεί τη διοίκηση του Κοινοβουλίου να διασφαλίσει ότι τα έργα ΤΝ εκτελούνται σε πλήρη συμμόρφωση με τις απαιτήσεις διακυβέρνησης, παρέχοντας παράλληλα πρόσβαση κατά τρόπο που αφενός διαφυλάσσει τα ευαίσθητα δεδομένα και αφετέρου επιτρέπει τη χρήση δημόσια διαθέσιμων πληροφοριών·</w:t>
      </w:r>
    </w:p>
    <w:p w14:paraId="0124D8D7" w14:textId="00185EA0" w:rsidR="00BE322E" w:rsidRPr="00D37862" w:rsidRDefault="00D37862" w:rsidP="00D37862">
      <w:pPr>
        <w:pStyle w:val="NormalHanging12a"/>
        <w:ind w:hanging="573"/>
        <w:rPr>
          <w:bCs/>
          <w:iCs/>
        </w:rPr>
      </w:pPr>
      <w:r w:rsidRPr="00D37862">
        <w:rPr>
          <w:iCs/>
        </w:rPr>
        <w:t>128.</w:t>
      </w:r>
      <w:r w:rsidRPr="00D37862">
        <w:rPr>
          <w:iCs/>
        </w:rPr>
        <w:tab/>
      </w:r>
      <w:r w:rsidR="00BE322E" w:rsidRPr="00D37862">
        <w:t>καλεί τη διοίκηση του Κοινοβουλίου να ενισχύσει τη διαφάνεια και την προσβασιμότητα του κοινοβουλευτικού έργου, μέσω της χρήσης λύσεων ΤΝ ώστε να καταστεί δυνατή η συστηματική διαθεσιμότητα ψηφιακών και επαναχρησιμοποιήσιμων απομαγνητοφωνήσεων όλων των συζητήσεων των επιτροπών με δυνατότητα αναζήτησης, συμπεριλαμβανομένων των ανταλλαγών απόψεων με Επιτρόπους, ειδικούς και ενδιαφερόμενα μέρη· τονίζει ότι οι εν λόγω απομαγνητοφωνήσεις θα πρέπει να διατίθενται εγκαίρως· υπογραμμίζει ότι η βελτίωση της πρόσβασης στις συζητήσεις των επιτροπών θα ενισχύσει τον δημοκρατικό έλεγχο, τη θεσμική μνήμη και την κατανόηση του νομοθετικού έργου του Κοινοβουλίου από τους πολίτες·</w:t>
      </w:r>
    </w:p>
    <w:p w14:paraId="7D9F5079" w14:textId="4C19427C" w:rsidR="00BE322E" w:rsidRPr="00D37862" w:rsidRDefault="00D37862" w:rsidP="00D37862">
      <w:pPr>
        <w:pStyle w:val="NormalHanging12a"/>
        <w:ind w:hanging="573"/>
        <w:rPr>
          <w:bCs/>
          <w:iCs/>
        </w:rPr>
      </w:pPr>
      <w:r w:rsidRPr="00D37862">
        <w:rPr>
          <w:iCs/>
        </w:rPr>
        <w:lastRenderedPageBreak/>
        <w:t>129.</w:t>
      </w:r>
      <w:r w:rsidRPr="00D37862">
        <w:rPr>
          <w:iCs/>
        </w:rPr>
        <w:tab/>
      </w:r>
      <w:r w:rsidR="00BE322E" w:rsidRPr="00D37862">
        <w:t>αναγνωρίζει τις σημαντικές βελτιώσεις που έχουν επέλθει στον ιστότοπο της Ολομέλειας, συμπεριλαμβανομένης της ενισχυμένης προσβασιμότητας των εργαλείων επαλήθευσης των ψηφοφοριών με ονομαστική κλήση, οι οποίες έχουν συμβάλει σε ενισχυμένη διαφάνεια και ακρίβεια στα πρακτικά των κοινοβουλευτικών ψηφοφοριών· ζητεί, ωστόσο, να γίνουν περαιτέρω βελτιώσεις στη χρηστικότητα και την παρουσίαση των πληροφοριών σχετικά με τις ψηφοφορίες·</w:t>
      </w:r>
    </w:p>
    <w:p w14:paraId="63DF1DC7" w14:textId="77777777" w:rsidR="00BE322E" w:rsidRPr="00D37862" w:rsidRDefault="00BE322E" w:rsidP="00BE322E">
      <w:pPr>
        <w:spacing w:after="240"/>
        <w:rPr>
          <w:b/>
          <w:bCs/>
        </w:rPr>
      </w:pPr>
      <w:r w:rsidRPr="00D37862">
        <w:rPr>
          <w:b/>
        </w:rPr>
        <w:t>Προαιρετικό συνταξιοδοτικό καθεστώς</w:t>
      </w:r>
    </w:p>
    <w:p w14:paraId="01864F5C" w14:textId="46A53CC6" w:rsidR="00BE322E" w:rsidRPr="00D37862" w:rsidRDefault="00D37862" w:rsidP="00D37862">
      <w:pPr>
        <w:pStyle w:val="NormalHanging12a"/>
        <w:ind w:hanging="573"/>
      </w:pPr>
      <w:r w:rsidRPr="00D37862">
        <w:t>130.</w:t>
      </w:r>
      <w:r w:rsidRPr="00D37862">
        <w:tab/>
      </w:r>
      <w:r w:rsidR="00BE322E" w:rsidRPr="00D37862">
        <w:t>σημειώνει την υποχρηματοδότηση του προαιρετικού συνταξιοδοτικού καθεστώτος, μέσω ελλείμματος ύψους 105 εκατ</w:t>
      </w:r>
      <w:r w:rsidR="00D32450" w:rsidRPr="00D37862">
        <w:t>ομμυρίων</w:t>
      </w:r>
      <w:r w:rsidR="00BE322E" w:rsidRPr="00D37862">
        <w:t> EUR στο τέλος του 2024 και περιορισμένων στοιχείων ενεργητικού ύψους 23,17 εκατ</w:t>
      </w:r>
      <w:r w:rsidR="00D32450" w:rsidRPr="00D37862">
        <w:t>ομμυρίων</w:t>
      </w:r>
      <w:r w:rsidR="00BE322E" w:rsidRPr="00D37862">
        <w:t> EUR που προβλέπεται να εξαντληθούν έως τα τέλη του 2026· σημειώνει ότι οι υποχρεώσεις απορρέουν από τις νομικές δεσμεύσεις πληρωμών σε περισσότερα από 900 μέλη του προσωπικού έως τουλάχιστον το 2074·</w:t>
      </w:r>
    </w:p>
    <w:p w14:paraId="189F3DC3" w14:textId="2ABD990C" w:rsidR="00BE322E" w:rsidRPr="00D37862" w:rsidRDefault="00D37862" w:rsidP="00D37862">
      <w:pPr>
        <w:spacing w:after="240"/>
        <w:ind w:left="567" w:hanging="573"/>
      </w:pPr>
      <w:r w:rsidRPr="00D37862">
        <w:t>131.</w:t>
      </w:r>
      <w:r w:rsidRPr="00D37862">
        <w:tab/>
      </w:r>
      <w:r w:rsidR="00BE322E" w:rsidRPr="00D37862">
        <w:t>σημειώνει ότι, κατά τη συνεδρίασή του στις 12 Ιουνίου 2023, το Προεδρείο αποφάσισε να λάβει έναν συνδυασμό μέτρων προκειμένου να αλλάξει τους όρους του προαιρετικού συνταξιοδοτικού καθεστώτος ώστε να αντιμετωπιστεί η κατάσταση· επισημαίνει ότι τα μέτρα αυτά περιλάμβαναν τη μείωση της ονομαστικής σύνταξης κατά 50 % όχι μόνο για τους μελλοντικούς δικαιούχους, που συγκεντρώνουν ακόμα συνταξιοδοτικά δικαιώματα, αλλά και για τους τρέχοντες δικαιούχους, που κατέχουν ήδη κεκτημένα συνταξιοδοτικά δικαιώματα, το πάγωμα της ετήσιας τιμαριθμικής αναπροσαρμογής των ποσών των συντάξεων, και την αύξηση της ηλικίας συνταξιοδότησης από τα 65 στα 67 έτη για τους δικαιούχους που δεν είναι ακόμη σε ηλικία συνταξιοδότησης· επισημαίνει ότι σύμφωνα με εκτιμήσεις των αναλογιστών τα αποτελέσματα μειώνουν την υποχρέωση καταβολής σύνταξης στο πλαίσιο του καθεστώτος προαιρετικής σύνταξης από την 1η Ιουλίου 2023 με αναλογιστική παραδοχή την 1η Ιουλίου 2023·</w:t>
      </w:r>
    </w:p>
    <w:p w14:paraId="3011244E" w14:textId="46B3758C" w:rsidR="00BE322E" w:rsidRPr="00D37862" w:rsidRDefault="00D37862" w:rsidP="00D37862">
      <w:pPr>
        <w:spacing w:after="240"/>
        <w:ind w:left="567" w:hanging="573"/>
      </w:pPr>
      <w:r w:rsidRPr="00D37862">
        <w:t>132.</w:t>
      </w:r>
      <w:r w:rsidRPr="00D37862">
        <w:tab/>
      </w:r>
      <w:r w:rsidR="00BE322E" w:rsidRPr="00D37862">
        <w:t>σημειώνει ότι το Προεδρείο εισήγαγε επίσης μια «ρήτρα επιείκειας», που επιτρέπει στους δικαιούχους να υποβάλουν αίτηση στους Κοσμήτορες για αύξηση του ποσού της σύνταξης σε περιπτώσεις όπου η μείωση είναι σημαντική· σημειώνει ότι το Προεδρείο εισήγαγε περαιτέρω τη δυνατότητα οικειοθελούς και οριστικής αποχώρησης από το προαιρετικό συνταξιοδοτικό καθεστώς με τη μορφή καταβολής εφάπαξ τελικού ποσού·</w:t>
      </w:r>
    </w:p>
    <w:p w14:paraId="1CAA87BD" w14:textId="0B7706A6" w:rsidR="00BE322E" w:rsidRPr="00D37862" w:rsidRDefault="00D37862" w:rsidP="00D37862">
      <w:pPr>
        <w:pStyle w:val="NormalHanging12a"/>
        <w:ind w:hanging="573"/>
      </w:pPr>
      <w:r w:rsidRPr="00D37862">
        <w:t>133.</w:t>
      </w:r>
      <w:r w:rsidRPr="00D37862">
        <w:tab/>
      </w:r>
      <w:r w:rsidR="00BE322E" w:rsidRPr="00D37862">
        <w:t>σημειώνει ότι η απόφαση του Προεδρείου της 12ης Ιουνίου 2023</w:t>
      </w:r>
      <w:r w:rsidR="00BE322E" w:rsidRPr="00D37862">
        <w:rPr>
          <w:vertAlign w:val="superscript"/>
        </w:rPr>
        <w:footnoteReference w:id="11"/>
      </w:r>
      <w:r w:rsidR="00BE322E" w:rsidRPr="00D37862">
        <w:t xml:space="preserve"> έχει προσβληθεί από 405 δικαιούχους του προαιρετικού συνταξιοδοτικού καθεστώτος ενώπιον του Γενικού Δικαστηρίου· υπενθυμίζει τις παρατηρήσεις που διατύπωσε ο Γενικός Γραμματέας κατά την ακρόαση της 8ης Δεκεμβρίου εν αναμονή της απόφασης του Γενικού Δικαστηρίου και των πιθανών τρόπων δράσης· σημειώνει ότι το Γενικό Δικαστήριο αποφάσισε, στις 17 Δεκεμβρίου 2025, να απορρίψει τις προσφυγές των πρώην βουλευτών· ζητεί από τη διοίκηση και το Προεδρείο να εξετάσουν το ζήτημα και να λάβουν τα αναγκαία μέτρα για να συμμορφωθούν με την απόφαση του Γενικού Δικαστηρίου·</w:t>
      </w:r>
    </w:p>
    <w:p w14:paraId="55260CC0" w14:textId="77777777" w:rsidR="00BE322E" w:rsidRPr="00D37862" w:rsidRDefault="00BE322E" w:rsidP="00BE322E">
      <w:pPr>
        <w:spacing w:after="240"/>
        <w:ind w:left="567" w:hanging="567"/>
        <w:rPr>
          <w:b/>
          <w:bCs/>
          <w14:textOutline w14:w="0" w14:cap="flat" w14:cmpd="sng" w14:algn="ctr">
            <w14:noFill/>
            <w14:prstDash w14:val="solid"/>
            <w14:bevel/>
          </w14:textOutline>
        </w:rPr>
      </w:pPr>
      <w:r w:rsidRPr="00D37862">
        <w:rPr>
          <w:b/>
          <w14:textOutline w14:w="0" w14:cap="flat" w14:cmpd="sng" w14:algn="ctr">
            <w14:noFill/>
            <w14:prstDash w14:val="solid"/>
            <w14:bevel/>
          </w14:textOutline>
        </w:rPr>
        <w:lastRenderedPageBreak/>
        <w:t>Ετήσια έκθεση για τις ανατεθείσες συμβάσεις</w:t>
      </w:r>
    </w:p>
    <w:p w14:paraId="2FC414F4" w14:textId="4BE0D5CD" w:rsidR="00BE322E" w:rsidRPr="00D37862" w:rsidRDefault="00D37862" w:rsidP="00D37862">
      <w:pPr>
        <w:spacing w:after="240"/>
        <w:ind w:left="567" w:hanging="573"/>
      </w:pPr>
      <w:r w:rsidRPr="00D37862">
        <w:t>134.</w:t>
      </w:r>
      <w:r w:rsidRPr="00D37862">
        <w:tab/>
      </w:r>
      <w:r w:rsidR="00BE322E" w:rsidRPr="00D37862">
        <w:t>υπενθυμίζει ότι ο δημοσιονομικός κανονισμός προσδιορίζει τις πληροφορίες που πρέπει να παρέχονται στην αρμόδια για τον προϋπολογισμό αρχή και στο κοινό σχετικά με την ανάθεση συμβάσεων από το Κοινοβούλιο· σημειώνει ότι, σύμφωνα με τον δημοσιονομικό κανονισμό, είναι υποχρεωτική η δημοσιοποίηση των συμβάσεων που έχουν ανατεθεί με αξία άνω των 15 000 EUR, αξία που αντιστοιχεί στο όριο πάνω από το οποίο καθίσταται υποχρεωτική η ανταγωνιστική διαδικασία υποβολής προσφορών· σημειώνει ότι από τις 192 συμβάσεις που ανατέθηκαν συνολικά το 2024, οι 95 βασίστηκαν σε ανοικτή διαδικασία, με αξία 814,2 εκατ</w:t>
      </w:r>
      <w:r w:rsidR="00D32450" w:rsidRPr="00D37862">
        <w:t>ομμύρια</w:t>
      </w:r>
      <w:r w:rsidR="00BE322E" w:rsidRPr="00D37862">
        <w:t> EUR, και μία βασίστηκε σε κλειστή διαδικασία, με αξία 208 000 EUR· σημειώνει ότι 81 συμβάσεις ανατέθηκαν μέσω διαδικασιών με διαπραγμάτευση, με αξία 173 εκατ</w:t>
      </w:r>
      <w:r w:rsidR="00D32450" w:rsidRPr="00D37862">
        <w:t>ομμύρια</w:t>
      </w:r>
      <w:r w:rsidR="00BE322E" w:rsidRPr="00D37862">
        <w:t> EUR·</w:t>
      </w:r>
    </w:p>
    <w:p w14:paraId="1064A5B7" w14:textId="6C7DCF1B" w:rsidR="00BE322E" w:rsidRPr="00D37862" w:rsidRDefault="00D37862" w:rsidP="00D37862">
      <w:pPr>
        <w:pStyle w:val="NormalHanging12a"/>
        <w:ind w:hanging="573"/>
        <w:rPr>
          <w:bCs/>
          <w:iCs/>
        </w:rPr>
      </w:pPr>
      <w:r w:rsidRPr="00D37862">
        <w:rPr>
          <w:iCs/>
        </w:rPr>
        <w:t>135.</w:t>
      </w:r>
      <w:r w:rsidRPr="00D37862">
        <w:rPr>
          <w:iCs/>
        </w:rPr>
        <w:tab/>
      </w:r>
      <w:r w:rsidR="00BE322E" w:rsidRPr="00D37862">
        <w:t>εκφράζει την ικανοποίησή του για τη δημοσίευση από το Κοινοβούλιο συμβάσεων αξίας άνω των 15 000 EUR· καλεί το Κοινοβούλιο να ενισχύσει τη διαφάνεια των οικείων διαδικασιών σύναψης συμβάσεων, μεταξύ άλλων με τη δημοσίευση δομημένων μηχαναγνώσιμων δεδομένων, όπου αυτό είναι νομικά και τεχνικά εφικτό, και με την ενσωμάτωση σαφών προσδοκιών δέουσας επιμέλειας και μηχανισμών επιβολής στις αλυσίδες εφοδιασμού του μέσω της διαχείρισης συμβάσεων·</w:t>
      </w:r>
    </w:p>
    <w:p w14:paraId="0036257E" w14:textId="3E58B753" w:rsidR="00BE322E" w:rsidRPr="00D37862" w:rsidRDefault="00D37862" w:rsidP="00D37862">
      <w:pPr>
        <w:spacing w:after="240"/>
        <w:ind w:left="567" w:hanging="573"/>
      </w:pPr>
      <w:r w:rsidRPr="00D37862">
        <w:t>136.</w:t>
      </w:r>
      <w:r w:rsidRPr="00D37862">
        <w:tab/>
      </w:r>
      <w:r w:rsidR="00BE322E" w:rsidRPr="00D37862">
        <w:t>σημειώνει ότι το 2024 το συνολικό ποσό και η αξία των συμβάσεων που ανατέθηκαν μειώθηκαν (192) σε σύγκριση με το 2023 (242)· σημειώνει ότι, κατά συνέπεια, ο αριθμός και η αξία των ανοικτών διαδικασιών και των διαδικασιών με διαπραγμάτευση είναι χαμηλότερα από ό,τι το 2023·</w:t>
      </w:r>
    </w:p>
    <w:p w14:paraId="3848F53E" w14:textId="77777777" w:rsidR="00BE322E" w:rsidRPr="00D37862" w:rsidRDefault="00BE322E" w:rsidP="00BE322E">
      <w:pPr>
        <w:spacing w:before="240" w:after="240"/>
        <w:jc w:val="both"/>
        <w:rPr>
          <w:b/>
          <w:bCs/>
          <w14:textOutline w14:w="0" w14:cap="flat" w14:cmpd="sng" w14:algn="ctr">
            <w14:noFill/>
            <w14:prstDash w14:val="solid"/>
            <w14:bevel/>
          </w14:textOutline>
        </w:rPr>
      </w:pPr>
      <w:bookmarkStart w:id="12" w:name="_Hlk216793763"/>
      <w:r w:rsidRPr="00D37862">
        <w:rPr>
          <w:b/>
          <w14:textOutline w14:w="0" w14:cap="flat" w14:cmpd="sng" w14:algn="ctr">
            <w14:noFill/>
            <w14:prstDash w14:val="solid"/>
            <w14:bevel/>
          </w14:textOutline>
        </w:rPr>
        <w:t>Πολιτικές ομάδες (γραμμή 400 του προϋπολογισμού)</w:t>
      </w:r>
    </w:p>
    <w:p w14:paraId="61F51447" w14:textId="097CA0E0" w:rsidR="00BE322E" w:rsidRPr="00D37862" w:rsidRDefault="00D37862" w:rsidP="00D37862">
      <w:pPr>
        <w:pStyle w:val="NormalHanging12a"/>
        <w:ind w:hanging="570"/>
      </w:pPr>
      <w:r w:rsidRPr="00D37862">
        <w:t>137.</w:t>
      </w:r>
      <w:r w:rsidRPr="00D37862">
        <w:tab/>
      </w:r>
      <w:r w:rsidR="00BE322E" w:rsidRPr="00D37862">
        <w:t xml:space="preserve">σημειώνει ότι το 2024 ήταν ένα δύσκολο έτος για την παρουσίαση των δαπανών που καταλογίστηκαν στη θέση 400 του προϋπολογισμού για δύο λόγους: ο πρώτος ήταν ότι επρόκειτο για έτος ευρωπαϊκών εκλογών, με τις δαπάνες να κατανέμονται μεταξύ του πρώτου εξαμήνου του 2024 (ένατη κοινοβουλευτική περίοδος) και του δεύτερου εξαμήνου του 2024 (δέκατη κοινοβουλευτική περίοδος), και ο δεύτερος ότι οι τελικοί λογαριασμοί μίας εκ των πολιτικών ομάδων (ομάδα ID) που ελέγχθηκαν για το πρώτο εξάμηνο του 2024 περιείχαν σοβαρές παρατυπίες· σημειώνει ότι οι Αντιπρόεδροι, κατά την ακρόαση της 8ης Δεκεμβρίου, ανέφεραν επίσης ότι ζητήθηκαν πρόσθετες πληροφορίες σχετικά με τους λογαριασμούς για το δεύτερο εξάμηνο του 2024, οι οποίες αναμένονταν ακόμη από το Προεδρείο πριν από τη λήψη απόφασης σχετικά με την παροχή των πληροφοριών στην αρμόδια για την απαλλαγή αρχή· σημειώνει την επιστολή του Γενικού Γραμματέα του Κοινοβουλίου προς τον πρόεδρο της Επιτροπής Ελέγχου του Προϋπολογισμού του Κοινοβουλίου, της 20ής Ιανουαρίου 2026, με την οποία υποβάλλονται οι εκθέσεις ελέγχου για το δεύτερο εξάμηνο του 2024 για επτά από τις οκτώ πολιτικές ομάδες· σημειώνει την ανεπιφύλακτη γνώμη για κάθε έκθεση· σημειώνει ότι η έκθεση της Ομάδας </w:t>
      </w:r>
      <w:proofErr w:type="spellStart"/>
      <w:r w:rsidR="00BE322E" w:rsidRPr="00D37862">
        <w:t>PfE</w:t>
      </w:r>
      <w:proofErr w:type="spellEnd"/>
      <w:r w:rsidR="00BE322E" w:rsidRPr="00D37862">
        <w:t xml:space="preserve"> για το δεύτερο εξάμηνο του 2024 εξακολουθεί να απουσιάζει λόγω των συνεχιζόμενων ανταλλαγών μεταξύ της εν λόγω πολιτικής ομάδας και των αρμόδιων υπηρεσιών του Κοινοβουλίου· καλεί τόσο την Ομάδα </w:t>
      </w:r>
      <w:proofErr w:type="spellStart"/>
      <w:r w:rsidR="00BE322E" w:rsidRPr="00D37862">
        <w:t>PfE</w:t>
      </w:r>
      <w:proofErr w:type="spellEnd"/>
      <w:r w:rsidR="00BE322E" w:rsidRPr="00D37862">
        <w:t xml:space="preserve"> όσο και τις αρμόδιες υπηρεσίες του Κοινοβουλίου να επιλύσουν ταχέως τα εκκρεμή ζητήματα και να ενημερώσουν την αρμόδια για την απαλλαγή αρχή σχετικά με το αποτέλεσμα·</w:t>
      </w:r>
    </w:p>
    <w:p w14:paraId="1217DE55" w14:textId="439014D9" w:rsidR="00BE322E" w:rsidRPr="00D37862" w:rsidRDefault="00D37862" w:rsidP="00D37862">
      <w:pPr>
        <w:pStyle w:val="NormalHanging12a"/>
        <w:ind w:hanging="570"/>
      </w:pPr>
      <w:r w:rsidRPr="00D37862">
        <w:t>138.</w:t>
      </w:r>
      <w:r w:rsidRPr="00D37862">
        <w:tab/>
      </w:r>
      <w:r w:rsidR="00BE322E" w:rsidRPr="00D37862">
        <w:t xml:space="preserve">σημειώνει δημοσιεύματα των μέσων ενημέρωσης στα οποία η Ομάδα </w:t>
      </w:r>
      <w:proofErr w:type="spellStart"/>
      <w:r w:rsidR="00BE322E" w:rsidRPr="00D37862">
        <w:t>PfE</w:t>
      </w:r>
      <w:proofErr w:type="spellEnd"/>
      <w:r w:rsidR="00BE322E" w:rsidRPr="00D37862">
        <w:t xml:space="preserve"> κατηγορείται για κατάχρηση κονδυλίων ύψους τουλάχιστον 171 644 EUR κατά το δεύτερο εξάμηνο </w:t>
      </w:r>
      <w:r w:rsidR="00BE322E" w:rsidRPr="00D37862">
        <w:lastRenderedPageBreak/>
        <w:t xml:space="preserve">του 2024· σημειώνει ότι η διοίκηση του Κοινοβουλίου έχει ζητήσει διευκρινίσεις από την Ομάδα </w:t>
      </w:r>
      <w:proofErr w:type="spellStart"/>
      <w:r w:rsidR="00BE322E" w:rsidRPr="00D37862">
        <w:t>PfE</w:t>
      </w:r>
      <w:proofErr w:type="spellEnd"/>
      <w:r w:rsidR="00BE322E" w:rsidRPr="00D37862">
        <w:t>· σημειώνει ότι η αρμόδια για την απαλλαγή αρχή δεν έχει ακόμη ενημερωθεί αλλά αναμένει να ενημερωθεί χωρίς καθυστέρηση για τυχόν περαιτέρω εξελίξεις και για την έκβαση της συνέχειας που θα δοθεί από τη διοίκηση στο θέμα αυτό·</w:t>
      </w:r>
    </w:p>
    <w:p w14:paraId="38B923FE" w14:textId="78E35064" w:rsidR="00BE322E" w:rsidRPr="00D37862" w:rsidRDefault="00D37862" w:rsidP="00D37862">
      <w:pPr>
        <w:pStyle w:val="NormalHanging12a"/>
        <w:ind w:hanging="570"/>
        <w:rPr>
          <w:bCs/>
          <w:iCs/>
        </w:rPr>
      </w:pPr>
      <w:r w:rsidRPr="00D37862">
        <w:rPr>
          <w:iCs/>
        </w:rPr>
        <w:t>139.</w:t>
      </w:r>
      <w:r w:rsidRPr="00D37862">
        <w:rPr>
          <w:iCs/>
        </w:rPr>
        <w:tab/>
      </w:r>
      <w:r w:rsidR="00BE322E" w:rsidRPr="00D37862">
        <w:t xml:space="preserve">σημειώνει δημοσιεύματα του γερμανικού ειδησεογραφικού περιοδικού </w:t>
      </w:r>
      <w:proofErr w:type="spellStart"/>
      <w:r w:rsidR="00BE322E" w:rsidRPr="00D37862">
        <w:t>Stern</w:t>
      </w:r>
      <w:proofErr w:type="spellEnd"/>
      <w:r w:rsidR="00BE322E" w:rsidRPr="00D37862">
        <w:t xml:space="preserve"> σύμφωνα με τα οποία βουλευτής της Ομάδας «H Ευρώπη των Κυρίαρχων Εθνών» (ESN) διοργάνωσε συνέδριο της ομάδας στο οποίο συμμετείχαν μέλη του προσωπικού, καθώς και μέλη της οικογένειας, με πιθανό κόστος που χρεώθηκε στον προϋπολογισμό του Κοινοβουλίου στη θέση 400, και ότι εικάζεται ότι συλλέχθηκαν δωρεές κατά τη διάρκεια αυτής της εκδήλωσης για ένα δίκτυο γυναικών δεξιάς ιδεολογίας που συνδέεται με στενούς συγγενείς και μέλη του προσωπικού των μελών της Ομάδας ESN· υπενθυμίζει ότι οι δαπάνες της θέσης 400 του προϋπολογισμού πρέπει να περιορίζονται αυστηρά στις κοινοβουλευτικές δραστηριότητες των πολιτικών ομάδων και να συμμορφώνονται πλήρως με τους ισχύοντες κανόνες· παροτρύνει τη ΓΔ FINS να διερευνήσει την υπόθεση· και να ενημερώσει χωρίς καθυστέρηση την αρμόδια για την απαλλαγή αρχή σε περίπτωση που διαπιστωθεί μη συμμόρφωση·</w:t>
      </w:r>
    </w:p>
    <w:p w14:paraId="31A69B32" w14:textId="67711945" w:rsidR="00BE322E" w:rsidRPr="00D37862" w:rsidRDefault="00D37862" w:rsidP="00D37862">
      <w:pPr>
        <w:pStyle w:val="NormalHanging12a"/>
        <w:ind w:hanging="570"/>
      </w:pPr>
      <w:r w:rsidRPr="00D37862">
        <w:t>140.</w:t>
      </w:r>
      <w:r w:rsidRPr="00D37862">
        <w:tab/>
      </w:r>
      <w:r w:rsidR="00BE322E" w:rsidRPr="00D37862">
        <w:t>υπενθυμίζει την αποκλειστική οικονομική ευθύνη που ανατίθεται στις πολιτικές ομάδες και τη δέσμευσή τους για τη διασφάλιση της χρηστής δημοσιονομικής διαχείρισης, της αποτελεσματικότητας των ελέγχων και της πλήρους λογοδοσίας για τους δημόσιους πόρους· ζητεί επαρκείς μηχανισμούς εποπτείας εντός της ΓΔ FINS με τη διάθεση περισσότερων πόρων·</w:t>
      </w:r>
    </w:p>
    <w:p w14:paraId="5F9C916C" w14:textId="77777777" w:rsidR="00BE322E" w:rsidRPr="00D37862" w:rsidRDefault="00BE322E" w:rsidP="00BE322E">
      <w:pPr>
        <w:spacing w:after="240"/>
        <w:rPr>
          <w:b/>
          <w:bCs/>
          <w:i/>
          <w:iCs/>
          <w14:textOutline w14:w="0" w14:cap="flat" w14:cmpd="sng" w14:algn="ctr">
            <w14:noFill/>
            <w14:prstDash w14:val="solid"/>
            <w14:bevel/>
          </w14:textOutline>
        </w:rPr>
      </w:pPr>
      <w:r w:rsidRPr="00D37862">
        <w:rPr>
          <w:b/>
          <w:i/>
          <w14:textOutline w14:w="0" w14:cap="flat" w14:cmpd="sng" w14:algn="ctr">
            <w14:noFill/>
            <w14:prstDash w14:val="solid"/>
            <w14:bevel/>
          </w14:textOutline>
        </w:rPr>
        <w:t>Ευρωπαϊκά πολιτικά κόμματα και ευρωπαϊκά πολιτικά ιδρύματα</w:t>
      </w:r>
    </w:p>
    <w:p w14:paraId="1483C849" w14:textId="442C02B8" w:rsidR="00BE322E" w:rsidRPr="00D37862" w:rsidRDefault="00D37862" w:rsidP="00D37862">
      <w:pPr>
        <w:spacing w:after="240"/>
        <w:ind w:left="567" w:hanging="573"/>
        <w:rPr>
          <w:noProof/>
        </w:rPr>
      </w:pPr>
      <w:r w:rsidRPr="00D37862">
        <w:rPr>
          <w:noProof/>
        </w:rPr>
        <w:t>141.</w:t>
      </w:r>
      <w:r w:rsidRPr="00D37862">
        <w:rPr>
          <w:noProof/>
        </w:rPr>
        <w:tab/>
      </w:r>
      <w:r w:rsidR="00BE322E" w:rsidRPr="00D37862">
        <w:t>επισημαίνει ότι η διατήρηση της δημοκρατικής ακεραιότητας και η διαμόρφωση δίκαιου περιβάλλοντος για τα ευρωπαϊκά πολιτικά κόμματα και τα ευρωπαϊκά πολιτικά ιδρύματα είναι ζωτικής σημασίας για την εύρυθμη λειτουργία και την αξιοπιστία της Ένωσης· παρατηρεί ότι η Αρχή για τα ευρωπαϊκά πολιτικά κόμματα και τα ευρωπαϊκά πολιτικά ιδρύματα («η Αρχή»), ένα ανεξάρτητο όργανο της Ένωσης, συμμετέχει ενεργά στην προσπάθεια αυτή από τη σύστασή της την 1η Σεπτεμβρίου 2016 καθώς και από την 1η Ιανουαρίου 2017, όταν εισήλθε στην πλήρη επιχειρησιακή φάση της· παρατηρεί ότι ο νομοθέτης της Ένωσης αναθέτει στην Αρχή να καταχωρίζει, να παρακολουθεί τη συμμόρφωση και, όπου απαιτείται, να επιβάλλει κυρώσεις σε ευρωπαϊκά πολιτικά κόμματα και ευρωπαϊκά πολιτικά ιδρύματα·</w:t>
      </w:r>
    </w:p>
    <w:p w14:paraId="1EA74926" w14:textId="3514C04C" w:rsidR="00BE322E" w:rsidRPr="00D37862" w:rsidRDefault="00D37862" w:rsidP="00D37862">
      <w:pPr>
        <w:spacing w:after="240"/>
        <w:ind w:left="567" w:hanging="573"/>
      </w:pPr>
      <w:r w:rsidRPr="00D37862">
        <w:t>142.</w:t>
      </w:r>
      <w:r w:rsidRPr="00D37862">
        <w:tab/>
      </w:r>
      <w:r w:rsidR="00BE322E" w:rsidRPr="00D37862">
        <w:t>σημειώνει με ικανοποίηση ότι η Αρχή προσεγγίζει προορατικά και ευαισθητοποιεί ένα δίκτυο φορέων και θεσμικών οργάνων που σχετίζονται με την κοινή προάσπιση της ευρωπαϊκής δημοκρατίας· επισημαίνει ότι, ειδικότερα, η Αρχή συνεργάστηκε με το Κοινοβούλιο, το οποίο είναι υπεύθυνο για τη γραμματεία της επιτροπής ανεξάρτητων διακεκριμένων προσωπικοτήτων, με σκοπό τη μεγιστοποίηση της διαδικαστικής αποδοτικότητας· σημειώνει ότι η συνεργασία όσον αφορά τις επιχειρησιακές πτυχές ενισχύθηκε επίσης με άλλα ενδιαφερόμενα μέρη της Ένωσης, συμπεριλαμβανομένων της Ευρωπαϊκής Υπηρεσίας Εξωτερικής Δράσης και του Ευρωπαϊκού Συμβουλίου Προστασίας Δεδομένων· σημειώνει ότι η Αρχή έχει ενισχύσει τη συνεργασία της με την Ευρωπόλ, υπογράφοντας μνημόνιο συνεννόησης για τη στρατηγική ανταλλαγή πληροφοριών σχετικά με παράνομες παρεμβάσεις μέσω κυβερνοχώρου στη δημοκρατία της Ένωσης·</w:t>
      </w:r>
    </w:p>
    <w:p w14:paraId="12AE0C3A" w14:textId="5D3D877A" w:rsidR="00BE322E" w:rsidRPr="00D37862" w:rsidRDefault="00D37862" w:rsidP="00D37862">
      <w:pPr>
        <w:spacing w:after="240"/>
        <w:ind w:left="567" w:hanging="573"/>
      </w:pPr>
      <w:r w:rsidRPr="00D37862">
        <w:lastRenderedPageBreak/>
        <w:t>143.</w:t>
      </w:r>
      <w:r w:rsidRPr="00D37862">
        <w:tab/>
      </w:r>
      <w:r w:rsidR="00BE322E" w:rsidRPr="00D37862">
        <w:t>σημειώνει ότι το 2024 η Αρχή εξέδωσε αρκετές συστάσεις προληπτικής συμμόρφωσης προς τα ευρωπαϊκά πολιτικά κόμματα και τα ευρωπαϊκά πολιτικά ιδρύματα για την αντιμετώπιση των κινδύνων συμμόρφωσης πριν από την εμφάνισή τους, ιδίως με σκοπό τη βελτίωση των εσωτερικών διαδικασιών τους στον τομέα των δωρεών, των συνεισφορών και των δραστηριοτήτων που σχεδιάζουν· εκφράζει την ικανοποίησή του για το γεγονός ότι η Αρχή παρείχε επίσης καθοδήγηση κατόπιν αιτήματος σε 11 περιπτώσεις·</w:t>
      </w:r>
    </w:p>
    <w:p w14:paraId="3A17C33F" w14:textId="63B86776" w:rsidR="00BE322E" w:rsidRPr="00D37862" w:rsidRDefault="00D37862" w:rsidP="00D37862">
      <w:pPr>
        <w:spacing w:after="240"/>
        <w:ind w:left="567" w:hanging="573"/>
      </w:pPr>
      <w:r w:rsidRPr="00D37862">
        <w:t>144.</w:t>
      </w:r>
      <w:r w:rsidRPr="00D37862">
        <w:tab/>
      </w:r>
      <w:r w:rsidR="00BE322E" w:rsidRPr="00D37862">
        <w:t>σημειώνει ότι σε οκτώ περιπτώσεις η Αρχή έδωσε στα ευρωπαϊκά πολιτικά κόμματα και τα ευρωπαϊκά πολιτικά ιδρύματα τη δυνατότητα λήψης διορθωτικών μέτρων σχετικά με τους ελέγχους δημοσιονομικής συμμόρφωσης όσον αφορά απαγορευμένες δωρεές και περιπτώσεις χρηματοδότησης άλλων οντοτήτων στο πλαίσιο κοινών δραστηριοτήτων· εκφράζει την ικανοποίησή του για το γεγονός ότι η Αρχή εξακολουθεί να παρακολουθεί εάν τα διορθωτικά μέτρα με μακροπρόθεσμο αντίκτυπο διασφαλίζουν τη διαρκή συμμόρφωση στους σχετικούς τομείς· σημειώνει ότι το 2024 η Αρχή εξέδωσε μία απόφαση για επιβολή κυρώσεων·</w:t>
      </w:r>
    </w:p>
    <w:p w14:paraId="3CAA07E0" w14:textId="606E842A" w:rsidR="00BE322E" w:rsidRPr="00D37862" w:rsidRDefault="00D37862" w:rsidP="00D37862">
      <w:pPr>
        <w:spacing w:after="240"/>
        <w:ind w:left="567" w:hanging="573"/>
      </w:pPr>
      <w:r w:rsidRPr="00D37862">
        <w:t>145.</w:t>
      </w:r>
      <w:r w:rsidRPr="00D37862">
        <w:tab/>
      </w:r>
      <w:r w:rsidR="00BE322E" w:rsidRPr="00D37862">
        <w:t xml:space="preserve">εκφράζει την ικανοποίησή του για το γεγονός ότι η Αρχή συνέχισε επίσης να δημοσιεύει εκτενείς κατευθυντήριες γραμμές στον </w:t>
      </w:r>
      <w:proofErr w:type="spellStart"/>
      <w:r w:rsidR="00BE322E" w:rsidRPr="00D37862">
        <w:t>ιστότοπό</w:t>
      </w:r>
      <w:proofErr w:type="spellEnd"/>
      <w:r w:rsidR="00BE322E" w:rsidRPr="00D37862">
        <w:t xml:space="preserve"> της σχετικά με τους συνηθέστερα εντοπισθέντες τομείς κινδύνου και τις δυνητικά προβληματικές δομές στη διακυβέρνηση των ευρωπαϊκών πολιτικών κομμάτων και των ευρωπαϊκών πολιτικών ιδρυμάτων· εκφράζει την ικανοποίησή του για το γεγονός ότι κοινοποίησε επίσης τα πορίσματά της και καθοδήγηση γενικού ενδιαφέροντος σε όλα τα ευρωπαϊκά πολιτικά κόμματα και τα ευρωπαϊκά πολιτικά ιδρύματα·</w:t>
      </w:r>
    </w:p>
    <w:p w14:paraId="61FCFADC" w14:textId="14A7A5DE" w:rsidR="00BE322E" w:rsidRPr="00D37862" w:rsidRDefault="00D37862" w:rsidP="00D37862">
      <w:pPr>
        <w:spacing w:after="240"/>
        <w:ind w:left="567" w:hanging="573"/>
      </w:pPr>
      <w:r w:rsidRPr="00D37862">
        <w:t>146.</w:t>
      </w:r>
      <w:r w:rsidRPr="00D37862">
        <w:tab/>
      </w:r>
      <w:r w:rsidR="00BE322E" w:rsidRPr="00D37862">
        <w:t>εκφράζει την ικανοποίησή του για τη δημοσίευση του κανονισμού (ΕΕ, Ευρατόμ) 2025/2445 του Ευρωπαϊκού Κοινοβουλίου και του Συμβουλίου</w:t>
      </w:r>
      <w:r w:rsidR="00BE322E" w:rsidRPr="00D37862">
        <w:rPr>
          <w:rStyle w:val="FootnoteReference"/>
        </w:rPr>
        <w:footnoteReference w:id="12"/>
      </w:r>
      <w:r w:rsidR="00BE322E" w:rsidRPr="00D37862">
        <w:t>, ο οποίος εισάγει νέες απαιτήσεις για τα ευρωπαϊκά πολιτικά κόμματα και τα ευρωπαϊκά πολιτικά ιδρύματα με στόχο την ενίσχυση της δημοκρατικής ακεραιότητας και ανθεκτικότητας· υπογραμμίζει ειδικότερα ότι τα ευρωπαϊκά πολιτικά κόμματα πρέπει πλέον να διασφαλίζουν επίσης τη συμμόρφωση των κομμάτων-μελών τους, και αντίστοιχα τα ευρωπαϊκά πολιτικά ιδρύματα των οργανώσεων-μελών τους, με τις αξίες στις οποίες βασίζεται η Ένωση, όπως κατοχυρώνονται στο άρθρο 2 ΣΕΕ· σημειώνει περαιτέρω ότι έχουν ενισχυθεί οι διασφαλίσεις κατά των εξωτερικών παρεμβάσεων, και ότι το αναθεωρημένο σύστημα κυρώσεων απαιτεί την επιβολή κυρώσεων για παραβάσεις που μπορούν να προσδιοριστούν ποσοτικά —όπως παραβιάσεις των κανόνων για τις δωρεές ή απαγόρευση χρηματοδότησης των εθνικών κομμάτων— χωρίς να παρέχεται η δυνατότητα λήψης διορθωτικών μέτρων· σημειώνει εν προκειμένω με θετικό πρόσημο την ολοκληρωμένη προληπτική καθοδήγηση που προσφέρει η Αρχή με το σχέδιο δράσης της για την κανονιστική συμμόρφωση («R-CAP»), ώστε να διευκολυνθεί η ομαλή και αποτελεσματική εφαρμογή·</w:t>
      </w:r>
      <w:r w:rsidR="00BE322E" w:rsidRPr="00D37862">
        <w:rPr>
          <w:b/>
          <w:u w:val="single"/>
        </w:rPr>
        <w:t xml:space="preserve"> </w:t>
      </w:r>
      <w:r w:rsidR="00BE322E" w:rsidRPr="00D37862">
        <w:t>ενθαρρύνει την απόφαση να θεσπιστούν έλεγχοι επιλεξιμότητας μεταξύ άλλων και εντός των οργανώσεων-μελών, προκειμένου να διασφαλίζεται η πλήρης συνεκτικότητα και των οργανώσεων-μελών με τις αξίες του άρθρου 2 ΣΕΕ και να διατηρείται η δημοκρατική ακεραιότητα κατά τη χρηματοδότηση των ευρωπαϊκών πολιτικών κομμάτων από το Κοινοβούλιο·</w:t>
      </w:r>
    </w:p>
    <w:p w14:paraId="4130A5A2" w14:textId="79DC3C1F" w:rsidR="00BE322E" w:rsidRPr="00D37862" w:rsidRDefault="00D37862" w:rsidP="00D37862">
      <w:pPr>
        <w:spacing w:after="240"/>
        <w:ind w:left="567" w:hanging="573"/>
      </w:pPr>
      <w:r w:rsidRPr="00D37862">
        <w:lastRenderedPageBreak/>
        <w:t>147.</w:t>
      </w:r>
      <w:r w:rsidRPr="00D37862">
        <w:tab/>
      </w:r>
      <w:r w:rsidR="00BE322E" w:rsidRPr="00D37862">
        <w:t>σημειώνει ότι η Αρχή μπορεί να προβαίνει σε επαλήθευση της συμμόρφωσης με τις αξίες στις οποίες βασίζεται η Ένωση μόνο κατόπιν αιτήματος που υποβάλλεται από το Κοινοβούλιο, το Συμβούλιο ή την Επιτροπή·</w:t>
      </w:r>
    </w:p>
    <w:p w14:paraId="024F1E48" w14:textId="1B3A455A" w:rsidR="00BE322E" w:rsidRPr="00D37862" w:rsidRDefault="00D37862" w:rsidP="00D37862">
      <w:pPr>
        <w:spacing w:after="240"/>
        <w:ind w:left="567" w:hanging="573"/>
        <w:rPr>
          <w:u w:val="single"/>
        </w:rPr>
      </w:pPr>
      <w:r w:rsidRPr="00D37862">
        <w:t>148.</w:t>
      </w:r>
      <w:r w:rsidRPr="00D37862">
        <w:tab/>
      </w:r>
      <w:r w:rsidR="00BE322E" w:rsidRPr="00D37862">
        <w:t>τονίζει ότι, δεδομένου του διευρυμένου πεδίου εφαρμογής της διαδικασίας επαλήθευσης συμμόρφωσης με τις αξίες, η οποία ισχύει πλέον και για τα κόμματα-μέλη και τις οργανώσεις-μέλη, και άλλων καινοτομιών στον κανονισμό (ΕΕ, Ευρατόμ) 2025/2445, συμπεριλαμβανομένων των ευπρόσδεκτων επικαιροποιήσεων για την προστασία της ευρωπαϊκής δημοκρατίας από εξωτερικές παρεμβάσεις, είναι σημαντικό να ενισχυθούν επαρκώς οι ανθρώπινοι πόροι της Αρχής·</w:t>
      </w:r>
    </w:p>
    <w:bookmarkEnd w:id="12"/>
    <w:p w14:paraId="30496F3F" w14:textId="495F7577" w:rsidR="00BE322E" w:rsidRPr="00D37862" w:rsidRDefault="00D37862" w:rsidP="00D37862">
      <w:pPr>
        <w:spacing w:after="240"/>
        <w:ind w:left="567" w:hanging="573"/>
      </w:pPr>
      <w:r w:rsidRPr="00D37862">
        <w:t>149.</w:t>
      </w:r>
      <w:r w:rsidRPr="00D37862">
        <w:tab/>
      </w:r>
      <w:r w:rsidR="00BE322E" w:rsidRPr="00D37862">
        <w:t>σημειώνει ότι το 2024 οι πιστώσεις που είχαν εγγραφεί στη θέση 402 του προϋπολογισμού χρησιμοποιήθηκαν ως εξής</w:t>
      </w:r>
      <w:r w:rsidR="00BE322E" w:rsidRPr="00D37862">
        <w:rPr>
          <w:rStyle w:val="FootnoteReference"/>
        </w:rPr>
        <w:footnoteReference w:id="13"/>
      </w:r>
      <w:r w:rsidR="00BE322E" w:rsidRPr="00D37862">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BE322E" w:rsidRPr="00D37862" w14:paraId="227357F0" w14:textId="77777777" w:rsidTr="00951786">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C3D9B7C"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Κόμμα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2829520"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Συντομογραφία</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69FC57D"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Ίδιοι πόροι</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A683695"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Τελική συνεισφορά του ΕΚ</w:t>
            </w:r>
            <w:r w:rsidRPr="00D37862">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B02DABB"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Συνολικά έσοδα</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78E014A"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Συνεισφορά του ΕΚ ως ποσοστό % των επιστρεπτέων δαπανών (μέγιστο ποσοστό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7DD4470D"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Ειδικό αποθεματικό μετά το 2024</w:t>
            </w:r>
          </w:p>
          <w:p w14:paraId="53B6AF63"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κλείσιμο</w:t>
            </w:r>
            <w:r w:rsidRPr="00D37862">
              <w:rPr>
                <w:rStyle w:val="FootnoteReference"/>
                <w:sz w:val="20"/>
              </w:rPr>
              <w:footnoteReference w:id="15"/>
            </w:r>
          </w:p>
        </w:tc>
      </w:tr>
      <w:tr w:rsidR="00BE322E" w:rsidRPr="00D37862" w14:paraId="5AD8BAF7"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E01460A"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Ευρωπαϊκό Λαϊκό Κόμμα</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1E8BBC8"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78D2CD"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3BF8EE"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C9C955"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3D99EC"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346B69E"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261 623</w:t>
            </w:r>
          </w:p>
        </w:tc>
      </w:tr>
      <w:tr w:rsidR="00BE322E" w:rsidRPr="00D37862" w14:paraId="3B8CC561"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7898154"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Ευρωπαϊκό Σοσιαλιστικό Κόμμα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133471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39F898"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602B98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9390D8"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28A42E"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32F604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987 745</w:t>
            </w:r>
          </w:p>
        </w:tc>
      </w:tr>
      <w:tr w:rsidR="00BE322E" w:rsidRPr="00D37862" w14:paraId="72E5521E"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27CE85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Κόμμα της Συμμαχίας Φιλελευθέρων και Δημοκρατών για την Ευρώπη</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E9293E"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E003BF"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FC7028"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678A17"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299336"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30145F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414 768</w:t>
            </w:r>
          </w:p>
        </w:tc>
      </w:tr>
      <w:tr w:rsidR="00BE322E" w:rsidRPr="00D37862" w14:paraId="112A34B1"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28C36BE"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Ευρωπαϊκό Πράσινο Κόμμα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1CFBF4"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FA8CD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F90B37"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2FF5ED"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FA60BD"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F5DEBC2"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993 646</w:t>
            </w:r>
          </w:p>
        </w:tc>
      </w:tr>
      <w:tr w:rsidR="00BE322E" w:rsidRPr="00D37862" w14:paraId="2B7B9F92"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B341B28"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Κόμμα των Ευρωπαίων Συντηρητικών και Μεταρρυθμιστών</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02917E"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Κόμμα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945EF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0B5165"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3E3D40"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C0848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4A866C6"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-273 939</w:t>
            </w:r>
          </w:p>
        </w:tc>
      </w:tr>
      <w:tr w:rsidR="00BE322E" w:rsidRPr="00D37862" w14:paraId="2A54EF3A"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0A579E8"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Κόμμα Ταυτότητας και Δημοκρατίας</w:t>
            </w:r>
            <w:r w:rsidRPr="00D37862">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429944"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Κόμμα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FE9354"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66DE4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6903D5"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C4E04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8DC667F"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22 063</w:t>
            </w:r>
          </w:p>
        </w:tc>
      </w:tr>
      <w:tr w:rsidR="00BE322E" w:rsidRPr="00D37862" w14:paraId="7839A6AB"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76A5CCA"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lastRenderedPageBreak/>
              <w:t>Κόμμα της Ευρωπαϊκής Αριστεράς</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76674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641974"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31661D"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271A6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2C161D"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15941AF"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-42 833</w:t>
            </w:r>
          </w:p>
        </w:tc>
      </w:tr>
      <w:tr w:rsidR="00BE322E" w:rsidRPr="00D37862" w14:paraId="0625C594"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6BBF4FE"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Ευρωπαϊκό Δημοκρατικό Κόμμα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B28C5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BDC34F"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FA9D44"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70256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56AE6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36CF5FE"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154 132</w:t>
            </w:r>
          </w:p>
        </w:tc>
      </w:tr>
      <w:tr w:rsidR="00BE322E" w:rsidRPr="00D37862" w14:paraId="5C8B6106"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21969FF"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Ευρωπαϊκή Ελεύθερη Συμμαχία</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404546C"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EFA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278595"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3C7082"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B4FAB9"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0380B1"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C6CFF4F"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-7 391</w:t>
            </w:r>
          </w:p>
        </w:tc>
      </w:tr>
      <w:tr w:rsidR="00BE322E" w:rsidRPr="00D37862" w14:paraId="127251D3" w14:textId="77777777" w:rsidTr="0095178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A160F86"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Ευρωπαϊκό Χριστιανικό Πολιτικό Κίνημα</w:t>
            </w:r>
            <w:r w:rsidRPr="00D37862">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B5E7A8B"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9011CC"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0776C9"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64AEED"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976C86"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62B33E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-59 624</w:t>
            </w:r>
          </w:p>
        </w:tc>
      </w:tr>
      <w:tr w:rsidR="00BE322E" w:rsidRPr="00D37862" w14:paraId="793AE70A" w14:textId="77777777" w:rsidTr="00951786">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6B9D4A2"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b/>
                <w:sz w:val="20"/>
                <w14:textOutline w14:w="0" w14:cap="flat" w14:cmpd="sng" w14:algn="ctr">
                  <w14:noFill/>
                  <w14:prstDash w14:val="solid"/>
                  <w14:bevel/>
                </w14:textOutline>
              </w:rPr>
              <w:t>ΣΥΝΟΛΟ</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21F218B" w14:textId="77777777" w:rsidR="00BE322E" w:rsidRPr="00D37862" w:rsidRDefault="00BE322E" w:rsidP="00951786">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5F56B167" w14:textId="77777777" w:rsidR="00BE322E" w:rsidRPr="00D37862" w:rsidRDefault="00BE322E" w:rsidP="00951786">
            <w:pPr>
              <w:jc w:val="center"/>
              <w:rPr>
                <w:b/>
                <w:bCs/>
                <w:sz w:val="22"/>
                <w:szCs w:val="22"/>
              </w:rPr>
            </w:pPr>
            <w:r w:rsidRPr="00D37862">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BE0A971" w14:textId="77777777" w:rsidR="00BE322E" w:rsidRPr="00D37862" w:rsidRDefault="00BE322E" w:rsidP="00951786">
            <w:pPr>
              <w:jc w:val="center"/>
              <w:rPr>
                <w:b/>
                <w:bCs/>
                <w:sz w:val="22"/>
                <w:szCs w:val="22"/>
              </w:rPr>
            </w:pPr>
            <w:r w:rsidRPr="00D37862">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4D1128B" w14:textId="77777777" w:rsidR="00BE322E" w:rsidRPr="00D37862" w:rsidRDefault="00BE322E" w:rsidP="00951786">
            <w:pPr>
              <w:jc w:val="center"/>
              <w:rPr>
                <w:b/>
                <w:bCs/>
                <w:sz w:val="22"/>
                <w:szCs w:val="22"/>
              </w:rPr>
            </w:pPr>
            <w:r w:rsidRPr="00D37862">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33C124B4" w14:textId="77777777" w:rsidR="00BE322E" w:rsidRPr="00D37862" w:rsidRDefault="00BE322E" w:rsidP="00951786">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13A9EECD" w14:textId="77777777" w:rsidR="00BE322E" w:rsidRPr="00D37862" w:rsidRDefault="00BE322E" w:rsidP="00951786">
            <w:pPr>
              <w:jc w:val="center"/>
              <w:rPr>
                <w:b/>
              </w:rPr>
            </w:pPr>
            <w:r w:rsidRPr="00D37862">
              <w:rPr>
                <w:b/>
                <w:sz w:val="20"/>
              </w:rPr>
              <w:t>2 450 191</w:t>
            </w:r>
          </w:p>
        </w:tc>
      </w:tr>
    </w:tbl>
    <w:p w14:paraId="63BE7027" w14:textId="77777777" w:rsidR="00BE322E" w:rsidRPr="00D37862" w:rsidRDefault="00BE322E" w:rsidP="00BE322E">
      <w:pPr>
        <w:rPr>
          <w:noProof/>
        </w:rPr>
      </w:pPr>
    </w:p>
    <w:p w14:paraId="1BE17C62" w14:textId="6AF0D72D" w:rsidR="00BE322E" w:rsidRPr="00D37862" w:rsidRDefault="00D37862" w:rsidP="00D37862">
      <w:pPr>
        <w:spacing w:after="240"/>
        <w:ind w:left="567" w:hanging="573"/>
        <w:rPr>
          <w:szCs w:val="24"/>
          <w14:textOutline w14:w="0" w14:cap="flat" w14:cmpd="sng" w14:algn="ctr">
            <w14:noFill/>
            <w14:prstDash w14:val="solid"/>
            <w14:bevel/>
          </w14:textOutline>
        </w:rPr>
      </w:pPr>
      <w:r w:rsidRPr="00D37862">
        <w:rPr>
          <w:szCs w:val="24"/>
          <w14:textOutline w14:w="0" w14:cap="flat" w14:cmpd="sng" w14:algn="ctr">
            <w14:noFill/>
            <w14:prstDash w14:val="solid"/>
            <w14:bevel/>
          </w14:textOutline>
        </w:rPr>
        <w:t>150.</w:t>
      </w:r>
      <w:r w:rsidRPr="00D37862">
        <w:rPr>
          <w:szCs w:val="24"/>
          <w14:textOutline w14:w="0" w14:cap="flat" w14:cmpd="sng" w14:algn="ctr">
            <w14:noFill/>
            <w14:prstDash w14:val="solid"/>
            <w14:bevel/>
          </w14:textOutline>
        </w:rPr>
        <w:tab/>
      </w:r>
      <w:r w:rsidR="00BE322E" w:rsidRPr="00D37862">
        <w:t>σημειώνει ότι το 2024 οι πιστώσεις που είχαν εγγραφεί στη θέση 403 του προϋπολογισμού χρησιμοποιήθηκαν ως εξής</w:t>
      </w:r>
      <w:r w:rsidR="00BE322E" w:rsidRPr="00D37862">
        <w:rPr>
          <w:rStyle w:val="FootnoteReference"/>
        </w:rPr>
        <w:footnoteReference w:id="18"/>
      </w:r>
      <w:r w:rsidR="00BE322E" w:rsidRPr="00D37862">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BE322E" w:rsidRPr="00D37862" w14:paraId="41E6C5F8" w14:textId="77777777" w:rsidTr="00951786">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46D8AE0"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Ίδρυμα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97593F5"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Συντομογραφία</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EB9FD03"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Συνδεδεμένο με το κόμμα</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02C4238"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Ίδιοι πόροι</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CF527EC"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Τελική επιχορήγηση του ΕΚ</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40970CF"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Συνολικά έσοδα</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9399A81"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Επιχορήγηση του ΕΚ ως ποσοστό % των επιλέξιμων δαπανών (μέγιστο ποσοστό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71E91084"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14:textOutline w14:w="0" w14:cap="flat" w14:cmpd="sng" w14:algn="ctr">
                  <w14:noFill/>
                  <w14:prstDash w14:val="solid"/>
                  <w14:bevel/>
                </w14:textOutline>
              </w:rPr>
              <w:t>Ειδικό αποθεματικό μετά το 2024</w:t>
            </w:r>
          </w:p>
          <w:p w14:paraId="152B8700" w14:textId="77777777" w:rsidR="00BE322E" w:rsidRPr="00D37862" w:rsidRDefault="00BE322E" w:rsidP="00951786">
            <w:pPr>
              <w:widowControl/>
              <w:jc w:val="center"/>
              <w:rPr>
                <w:szCs w:val="24"/>
                <w14:textOutline w14:w="0" w14:cap="flat" w14:cmpd="sng" w14:algn="ctr">
                  <w14:noFill/>
                  <w14:prstDash w14:val="solid"/>
                  <w14:bevel/>
                </w14:textOutline>
              </w:rPr>
            </w:pPr>
            <w:r w:rsidRPr="00D37862">
              <w:rPr>
                <w:sz w:val="20"/>
                <w14:textOutline w14:w="0" w14:cap="flat" w14:cmpd="sng" w14:algn="ctr">
                  <w14:noFill/>
                  <w14:prstDash w14:val="solid"/>
                  <w14:bevel/>
                </w14:textOutline>
              </w:rPr>
              <w:t>κλείσιμο</w:t>
            </w:r>
            <w:r w:rsidRPr="00D37862">
              <w:rPr>
                <w:rStyle w:val="FootnoteReference"/>
                <w:sz w:val="20"/>
              </w:rPr>
              <w:footnoteReference w:id="19"/>
            </w:r>
          </w:p>
        </w:tc>
      </w:tr>
      <w:tr w:rsidR="00BE322E" w:rsidRPr="00D37862" w14:paraId="099C5D3F"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D45930F"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 xml:space="preserve">Κέντρο Ευρωπαϊκών Σπουδών </w:t>
            </w:r>
            <w:proofErr w:type="spellStart"/>
            <w:r w:rsidRPr="00D37862">
              <w:rPr>
                <w:sz w:val="20"/>
              </w:rPr>
              <w:t>Wilfried</w:t>
            </w:r>
            <w:proofErr w:type="spellEnd"/>
            <w:r w:rsidRPr="00D37862">
              <w:rPr>
                <w:sz w:val="20"/>
              </w:rPr>
              <w:t xml:space="preserve"> </w:t>
            </w:r>
            <w:proofErr w:type="spellStart"/>
            <w:r w:rsidRPr="00D37862">
              <w:rPr>
                <w:sz w:val="20"/>
              </w:rPr>
              <w:t>Martens</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2789BC" w14:textId="77777777" w:rsidR="00BE322E" w:rsidRPr="00D37862" w:rsidRDefault="00BE322E" w:rsidP="00951786">
            <w:pPr>
              <w:jc w:val="center"/>
              <w:rPr>
                <w:sz w:val="20"/>
              </w:rPr>
            </w:pPr>
            <w:r w:rsidRPr="00D37862">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DB9842" w14:textId="77777777" w:rsidR="00BE322E" w:rsidRPr="00D37862" w:rsidRDefault="00BE322E" w:rsidP="00951786">
            <w:pPr>
              <w:jc w:val="center"/>
              <w:rPr>
                <w:sz w:val="20"/>
              </w:rPr>
            </w:pPr>
            <w:r w:rsidRPr="00D37862">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6D0733" w14:textId="77777777" w:rsidR="00BE322E" w:rsidRPr="00D37862" w:rsidRDefault="00BE322E" w:rsidP="00951786">
            <w:pPr>
              <w:jc w:val="center"/>
              <w:rPr>
                <w:sz w:val="20"/>
              </w:rPr>
            </w:pPr>
            <w:r w:rsidRPr="00D37862">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BA1210" w14:textId="77777777" w:rsidR="00BE322E" w:rsidRPr="00D37862" w:rsidRDefault="00BE322E" w:rsidP="00951786">
            <w:pPr>
              <w:jc w:val="center"/>
              <w:rPr>
                <w:sz w:val="20"/>
              </w:rPr>
            </w:pPr>
            <w:r w:rsidRPr="00D37862">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9539DD1" w14:textId="77777777" w:rsidR="00BE322E" w:rsidRPr="00D37862" w:rsidRDefault="00BE322E" w:rsidP="00951786">
            <w:pPr>
              <w:jc w:val="center"/>
              <w:rPr>
                <w:sz w:val="20"/>
              </w:rPr>
            </w:pPr>
            <w:r w:rsidRPr="00D37862">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DA48FE" w14:textId="77777777" w:rsidR="00BE322E" w:rsidRPr="00D37862" w:rsidRDefault="00BE322E" w:rsidP="00951786">
            <w:pPr>
              <w:jc w:val="center"/>
              <w:rPr>
                <w:sz w:val="20"/>
              </w:rPr>
            </w:pPr>
            <w:r w:rsidRPr="00D3786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C2F31F6" w14:textId="77777777" w:rsidR="00BE322E" w:rsidRPr="00D37862" w:rsidRDefault="00BE322E" w:rsidP="00951786">
            <w:pPr>
              <w:jc w:val="center"/>
              <w:rPr>
                <w:sz w:val="20"/>
              </w:rPr>
            </w:pPr>
            <w:r w:rsidRPr="00D37862">
              <w:rPr>
                <w:sz w:val="20"/>
              </w:rPr>
              <w:t>1 320 717</w:t>
            </w:r>
          </w:p>
        </w:tc>
      </w:tr>
      <w:tr w:rsidR="00BE322E" w:rsidRPr="00D37862" w14:paraId="08E06D3C"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EB1FA2D"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Ίδρυμα Ευρωπαϊκών Προοδευτικών Σπουδών</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D76458" w14:textId="77777777" w:rsidR="00BE322E" w:rsidRPr="00D37862" w:rsidRDefault="00BE322E" w:rsidP="00951786">
            <w:pPr>
              <w:jc w:val="center"/>
              <w:rPr>
                <w:sz w:val="20"/>
              </w:rPr>
            </w:pPr>
            <w:r w:rsidRPr="00D37862">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314F33" w14:textId="77777777" w:rsidR="00BE322E" w:rsidRPr="00D37862" w:rsidRDefault="00BE322E" w:rsidP="00951786">
            <w:pPr>
              <w:jc w:val="center"/>
              <w:rPr>
                <w:sz w:val="20"/>
              </w:rPr>
            </w:pPr>
            <w:r w:rsidRPr="00D37862">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B81918" w14:textId="77777777" w:rsidR="00BE322E" w:rsidRPr="00D37862" w:rsidRDefault="00BE322E" w:rsidP="00951786">
            <w:pPr>
              <w:jc w:val="center"/>
              <w:rPr>
                <w:sz w:val="20"/>
              </w:rPr>
            </w:pPr>
            <w:r w:rsidRPr="00D37862">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5A75EB8" w14:textId="77777777" w:rsidR="00BE322E" w:rsidRPr="00D37862" w:rsidRDefault="00BE322E" w:rsidP="00951786">
            <w:pPr>
              <w:jc w:val="center"/>
              <w:rPr>
                <w:sz w:val="20"/>
              </w:rPr>
            </w:pPr>
            <w:r w:rsidRPr="00D37862">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0E9B11B" w14:textId="77777777" w:rsidR="00BE322E" w:rsidRPr="00D37862" w:rsidRDefault="00BE322E" w:rsidP="00951786">
            <w:pPr>
              <w:jc w:val="center"/>
              <w:rPr>
                <w:sz w:val="20"/>
              </w:rPr>
            </w:pPr>
            <w:r w:rsidRPr="00D37862">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3C20D1" w14:textId="77777777" w:rsidR="00BE322E" w:rsidRPr="00D37862" w:rsidRDefault="00BE322E" w:rsidP="00951786">
            <w:pPr>
              <w:jc w:val="center"/>
              <w:rPr>
                <w:sz w:val="20"/>
              </w:rPr>
            </w:pPr>
            <w:r w:rsidRPr="00D37862">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DC3BAC1" w14:textId="77777777" w:rsidR="00BE322E" w:rsidRPr="00D37862" w:rsidRDefault="00BE322E" w:rsidP="00951786">
            <w:pPr>
              <w:jc w:val="center"/>
              <w:rPr>
                <w:sz w:val="20"/>
              </w:rPr>
            </w:pPr>
            <w:r w:rsidRPr="00D37862">
              <w:rPr>
                <w:sz w:val="20"/>
              </w:rPr>
              <w:t>251 466</w:t>
            </w:r>
          </w:p>
        </w:tc>
      </w:tr>
      <w:tr w:rsidR="00BE322E" w:rsidRPr="00D37862" w14:paraId="2A91E3A2"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4CB58A9"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Ευρωπαϊκό Φιλελεύθερο Φόρουμ</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151846" w14:textId="77777777" w:rsidR="00BE322E" w:rsidRPr="00D37862" w:rsidRDefault="00BE322E" w:rsidP="00951786">
            <w:pPr>
              <w:jc w:val="center"/>
              <w:rPr>
                <w:sz w:val="20"/>
              </w:rPr>
            </w:pPr>
            <w:r w:rsidRPr="00D37862">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50F6D7" w14:textId="77777777" w:rsidR="00BE322E" w:rsidRPr="00D37862" w:rsidRDefault="00BE322E" w:rsidP="00951786">
            <w:pPr>
              <w:jc w:val="center"/>
              <w:rPr>
                <w:sz w:val="20"/>
              </w:rPr>
            </w:pPr>
            <w:r w:rsidRPr="00D37862">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1A85E6" w14:textId="77777777" w:rsidR="00BE322E" w:rsidRPr="00D37862" w:rsidRDefault="00BE322E" w:rsidP="00951786">
            <w:pPr>
              <w:jc w:val="center"/>
              <w:rPr>
                <w:sz w:val="20"/>
              </w:rPr>
            </w:pPr>
            <w:r w:rsidRPr="00D37862">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98FA2B1" w14:textId="77777777" w:rsidR="00BE322E" w:rsidRPr="00D37862" w:rsidRDefault="00BE322E" w:rsidP="00951786">
            <w:pPr>
              <w:jc w:val="center"/>
              <w:rPr>
                <w:sz w:val="20"/>
              </w:rPr>
            </w:pPr>
            <w:r w:rsidRPr="00D37862">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6614DD9" w14:textId="77777777" w:rsidR="00BE322E" w:rsidRPr="00D37862" w:rsidRDefault="00BE322E" w:rsidP="00951786">
            <w:pPr>
              <w:jc w:val="center"/>
              <w:rPr>
                <w:sz w:val="20"/>
              </w:rPr>
            </w:pPr>
            <w:r w:rsidRPr="00D37862">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F446BD" w14:textId="77777777" w:rsidR="00BE322E" w:rsidRPr="00D37862" w:rsidRDefault="00BE322E" w:rsidP="00951786">
            <w:pPr>
              <w:jc w:val="center"/>
              <w:rPr>
                <w:sz w:val="20"/>
              </w:rPr>
            </w:pPr>
            <w:r w:rsidRPr="00D37862">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F4A9062" w14:textId="77777777" w:rsidR="00BE322E" w:rsidRPr="00D37862" w:rsidRDefault="00BE322E" w:rsidP="00951786">
            <w:pPr>
              <w:jc w:val="center"/>
              <w:rPr>
                <w:sz w:val="20"/>
              </w:rPr>
            </w:pPr>
            <w:r w:rsidRPr="00D37862">
              <w:rPr>
                <w:sz w:val="20"/>
              </w:rPr>
              <w:t>638 880</w:t>
            </w:r>
          </w:p>
        </w:tc>
      </w:tr>
      <w:tr w:rsidR="00BE322E" w:rsidRPr="00D37862" w14:paraId="32D03982"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9D68423"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Πράσινο Ευρωπαϊκό Ίδρυμα</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97F4B9" w14:textId="77777777" w:rsidR="00BE322E" w:rsidRPr="00D37862" w:rsidRDefault="00BE322E" w:rsidP="00951786">
            <w:pPr>
              <w:jc w:val="center"/>
              <w:rPr>
                <w:sz w:val="20"/>
              </w:rPr>
            </w:pPr>
            <w:r w:rsidRPr="00D37862">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1945E62" w14:textId="77777777" w:rsidR="00BE322E" w:rsidRPr="00D37862" w:rsidRDefault="00BE322E" w:rsidP="00951786">
            <w:pPr>
              <w:jc w:val="center"/>
              <w:rPr>
                <w:sz w:val="20"/>
              </w:rPr>
            </w:pPr>
            <w:r w:rsidRPr="00D37862">
              <w:rPr>
                <w:sz w:val="20"/>
              </w:rPr>
              <w:t>EGP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F5B523" w14:textId="77777777" w:rsidR="00BE322E" w:rsidRPr="00D37862" w:rsidRDefault="00BE322E" w:rsidP="00951786">
            <w:pPr>
              <w:jc w:val="center"/>
              <w:rPr>
                <w:sz w:val="20"/>
              </w:rPr>
            </w:pPr>
            <w:r w:rsidRPr="00D37862">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32C9E5" w14:textId="77777777" w:rsidR="00BE322E" w:rsidRPr="00D37862" w:rsidRDefault="00BE322E" w:rsidP="00951786">
            <w:pPr>
              <w:jc w:val="center"/>
              <w:rPr>
                <w:sz w:val="20"/>
              </w:rPr>
            </w:pPr>
            <w:r w:rsidRPr="00D37862">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B78294A" w14:textId="77777777" w:rsidR="00BE322E" w:rsidRPr="00D37862" w:rsidRDefault="00BE322E" w:rsidP="00951786">
            <w:pPr>
              <w:jc w:val="center"/>
              <w:rPr>
                <w:sz w:val="20"/>
              </w:rPr>
            </w:pPr>
            <w:r w:rsidRPr="00D37862">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BD4C039" w14:textId="77777777" w:rsidR="00BE322E" w:rsidRPr="00D37862" w:rsidRDefault="00BE322E" w:rsidP="00951786">
            <w:pPr>
              <w:jc w:val="center"/>
              <w:rPr>
                <w:sz w:val="20"/>
              </w:rPr>
            </w:pPr>
            <w:r w:rsidRPr="00D3786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BDEF0FE" w14:textId="77777777" w:rsidR="00BE322E" w:rsidRPr="00D37862" w:rsidRDefault="00BE322E" w:rsidP="00951786">
            <w:pPr>
              <w:jc w:val="center"/>
              <w:rPr>
                <w:sz w:val="20"/>
              </w:rPr>
            </w:pPr>
            <w:r w:rsidRPr="00D37862">
              <w:rPr>
                <w:sz w:val="20"/>
              </w:rPr>
              <w:t>40 821</w:t>
            </w:r>
          </w:p>
        </w:tc>
      </w:tr>
      <w:tr w:rsidR="00BE322E" w:rsidRPr="00D37862" w14:paraId="0EE123D0"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93B062B"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 xml:space="preserve">Νέα κατεύθυνση – </w:t>
            </w:r>
            <w:r w:rsidRPr="00D37862">
              <w:rPr>
                <w:sz w:val="20"/>
              </w:rPr>
              <w:lastRenderedPageBreak/>
              <w:t>Ίδρυμα για την Ευρωπαϊκή Μεταρρύθμιση</w:t>
            </w:r>
            <w:r w:rsidRPr="00D37862">
              <w:rPr>
                <w:rStyle w:val="FootnoteReference"/>
                <w:sz w:val="20"/>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688692" w14:textId="77777777" w:rsidR="00BE322E" w:rsidRPr="00D37862" w:rsidRDefault="00BE322E" w:rsidP="00951786">
            <w:pPr>
              <w:jc w:val="center"/>
              <w:rPr>
                <w:sz w:val="20"/>
              </w:rPr>
            </w:pPr>
            <w:r w:rsidRPr="00D37862">
              <w:rPr>
                <w:sz w:val="20"/>
              </w:rPr>
              <w:lastRenderedPageBreak/>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FF7F0F" w14:textId="77777777" w:rsidR="00BE322E" w:rsidRPr="00D37862" w:rsidRDefault="00BE322E" w:rsidP="00951786">
            <w:pPr>
              <w:jc w:val="center"/>
              <w:rPr>
                <w:sz w:val="20"/>
              </w:rPr>
            </w:pPr>
            <w:r w:rsidRPr="00D37862">
              <w:rPr>
                <w:sz w:val="20"/>
              </w:rPr>
              <w:t>Κόμμα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BA2B21" w14:textId="77777777" w:rsidR="00BE322E" w:rsidRPr="00D37862" w:rsidRDefault="00BE322E" w:rsidP="00951786">
            <w:pPr>
              <w:jc w:val="center"/>
              <w:rPr>
                <w:sz w:val="20"/>
              </w:rPr>
            </w:pPr>
            <w:r w:rsidRPr="00D37862">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115722C" w14:textId="77777777" w:rsidR="00BE322E" w:rsidRPr="00D37862" w:rsidRDefault="00BE322E" w:rsidP="00951786">
            <w:pPr>
              <w:jc w:val="center"/>
              <w:rPr>
                <w:sz w:val="20"/>
              </w:rPr>
            </w:pPr>
            <w:r w:rsidRPr="00D37862">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C9CC03" w14:textId="77777777" w:rsidR="00BE322E" w:rsidRPr="00D37862" w:rsidRDefault="00BE322E" w:rsidP="00951786">
            <w:pPr>
              <w:jc w:val="center"/>
              <w:rPr>
                <w:sz w:val="20"/>
              </w:rPr>
            </w:pPr>
            <w:r w:rsidRPr="00D37862">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EA47A9D" w14:textId="77777777" w:rsidR="00BE322E" w:rsidRPr="00D37862" w:rsidRDefault="00BE322E" w:rsidP="00951786">
            <w:pPr>
              <w:jc w:val="center"/>
              <w:rPr>
                <w:sz w:val="20"/>
              </w:rPr>
            </w:pPr>
            <w:r w:rsidRPr="00D3786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700A5B1" w14:textId="77777777" w:rsidR="00BE322E" w:rsidRPr="00D37862" w:rsidRDefault="00BE322E" w:rsidP="00951786">
            <w:pPr>
              <w:jc w:val="center"/>
              <w:rPr>
                <w:sz w:val="20"/>
              </w:rPr>
            </w:pPr>
            <w:r w:rsidRPr="00D37862">
              <w:rPr>
                <w:sz w:val="20"/>
              </w:rPr>
              <w:t>134 704</w:t>
            </w:r>
          </w:p>
        </w:tc>
      </w:tr>
      <w:tr w:rsidR="00BE322E" w:rsidRPr="00D37862" w14:paraId="267131E8"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E2791FD" w14:textId="77777777" w:rsidR="00BE322E" w:rsidRPr="00D37862" w:rsidRDefault="00BE322E" w:rsidP="00951786">
            <w:pPr>
              <w:widowControl/>
              <w:jc w:val="center"/>
              <w:rPr>
                <w:sz w:val="20"/>
                <w14:textOutline w14:w="0" w14:cap="flat" w14:cmpd="sng" w14:algn="ctr">
                  <w14:noFill/>
                  <w14:prstDash w14:val="solid"/>
                  <w14:bevel/>
                </w14:textOutline>
              </w:rPr>
            </w:pPr>
            <w:proofErr w:type="spellStart"/>
            <w:r w:rsidRPr="00D37862">
              <w:rPr>
                <w:sz w:val="20"/>
              </w:rPr>
              <w:t>Identité</w:t>
            </w:r>
            <w:proofErr w:type="spellEnd"/>
            <w:r w:rsidRPr="00D37862">
              <w:rPr>
                <w:sz w:val="20"/>
              </w:rPr>
              <w:t xml:space="preserve"> </w:t>
            </w:r>
            <w:proofErr w:type="spellStart"/>
            <w:r w:rsidRPr="00D37862">
              <w:rPr>
                <w:sz w:val="20"/>
              </w:rPr>
              <w:t>et</w:t>
            </w:r>
            <w:proofErr w:type="spellEnd"/>
            <w:r w:rsidRPr="00D37862">
              <w:rPr>
                <w:sz w:val="20"/>
              </w:rPr>
              <w:t xml:space="preserve"> </w:t>
            </w:r>
            <w:proofErr w:type="spellStart"/>
            <w:r w:rsidRPr="00D37862">
              <w:rPr>
                <w:sz w:val="20"/>
              </w:rPr>
              <w:t>Démocratie</w:t>
            </w:r>
            <w:proofErr w:type="spellEnd"/>
            <w:r w:rsidRPr="00D37862">
              <w:rPr>
                <w:sz w:val="20"/>
              </w:rPr>
              <w:t xml:space="preserve"> </w:t>
            </w:r>
            <w:proofErr w:type="spellStart"/>
            <w:r w:rsidRPr="00D37862">
              <w:rPr>
                <w:sz w:val="20"/>
              </w:rPr>
              <w:t>Fondation</w:t>
            </w:r>
            <w:proofErr w:type="spellEnd"/>
            <w:r w:rsidRPr="00D37862">
              <w:rPr>
                <w:rStyle w:val="FootnoteReference"/>
                <w:sz w:val="20"/>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189649" w14:textId="77777777" w:rsidR="00BE322E" w:rsidRPr="00D37862" w:rsidRDefault="00BE322E" w:rsidP="00951786">
            <w:pPr>
              <w:jc w:val="center"/>
              <w:rPr>
                <w:sz w:val="20"/>
              </w:rPr>
            </w:pPr>
            <w:r w:rsidRPr="00D37862">
              <w:rPr>
                <w:sz w:val="20"/>
              </w:rPr>
              <w:t>Ίδρυμα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4A66A1" w14:textId="77777777" w:rsidR="00BE322E" w:rsidRPr="00D37862" w:rsidRDefault="00BE322E" w:rsidP="00951786">
            <w:pPr>
              <w:jc w:val="center"/>
              <w:rPr>
                <w:sz w:val="20"/>
              </w:rPr>
            </w:pPr>
            <w:r w:rsidRPr="00D37862">
              <w:rPr>
                <w:sz w:val="20"/>
              </w:rPr>
              <w:t>Κόμμα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500EEB" w14:textId="77777777" w:rsidR="00BE322E" w:rsidRPr="00D37862" w:rsidRDefault="00BE322E" w:rsidP="00951786">
            <w:pPr>
              <w:jc w:val="center"/>
              <w:rPr>
                <w:sz w:val="20"/>
              </w:rPr>
            </w:pPr>
            <w:r w:rsidRPr="00D37862">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5944E2" w14:textId="77777777" w:rsidR="00BE322E" w:rsidRPr="00D37862" w:rsidRDefault="00BE322E" w:rsidP="00951786">
            <w:pPr>
              <w:jc w:val="center"/>
              <w:rPr>
                <w:sz w:val="20"/>
              </w:rPr>
            </w:pPr>
            <w:r w:rsidRPr="00D37862">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B46114" w14:textId="77777777" w:rsidR="00BE322E" w:rsidRPr="00D37862" w:rsidRDefault="00BE322E" w:rsidP="00951786">
            <w:pPr>
              <w:jc w:val="center"/>
              <w:rPr>
                <w:sz w:val="20"/>
              </w:rPr>
            </w:pPr>
            <w:r w:rsidRPr="00D37862">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FD00F9" w14:textId="77777777" w:rsidR="00BE322E" w:rsidRPr="00D37862" w:rsidRDefault="00BE322E" w:rsidP="00951786">
            <w:pPr>
              <w:jc w:val="center"/>
              <w:rPr>
                <w:sz w:val="20"/>
              </w:rPr>
            </w:pPr>
            <w:r w:rsidRPr="00D3786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E1B3FF3" w14:textId="77777777" w:rsidR="00BE322E" w:rsidRPr="00D37862" w:rsidRDefault="00BE322E" w:rsidP="00951786">
            <w:pPr>
              <w:jc w:val="center"/>
              <w:rPr>
                <w:sz w:val="20"/>
              </w:rPr>
            </w:pPr>
            <w:r w:rsidRPr="00D37862">
              <w:rPr>
                <w:sz w:val="20"/>
              </w:rPr>
              <w:t>-62 575</w:t>
            </w:r>
          </w:p>
        </w:tc>
      </w:tr>
      <w:tr w:rsidR="00BE322E" w:rsidRPr="00D37862" w14:paraId="1B1B64C5"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F946905"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Για τη Μεταμόρφωση της Ευρώπης</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8DD98E" w14:textId="77777777" w:rsidR="00BE322E" w:rsidRPr="00D37862" w:rsidRDefault="00BE322E" w:rsidP="00951786">
            <w:pPr>
              <w:jc w:val="center"/>
              <w:rPr>
                <w:sz w:val="20"/>
              </w:rPr>
            </w:pPr>
            <w:r w:rsidRPr="00D37862">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BDFF646" w14:textId="77777777" w:rsidR="00BE322E" w:rsidRPr="00D37862" w:rsidRDefault="00BE322E" w:rsidP="00951786">
            <w:pPr>
              <w:jc w:val="center"/>
              <w:rPr>
                <w:sz w:val="20"/>
              </w:rPr>
            </w:pPr>
            <w:r w:rsidRPr="00D37862">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F7C588" w14:textId="77777777" w:rsidR="00BE322E" w:rsidRPr="00D37862" w:rsidRDefault="00BE322E" w:rsidP="00951786">
            <w:pPr>
              <w:jc w:val="center"/>
              <w:rPr>
                <w:sz w:val="20"/>
              </w:rPr>
            </w:pPr>
            <w:r w:rsidRPr="00D37862">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161ADAE" w14:textId="77777777" w:rsidR="00BE322E" w:rsidRPr="00D37862" w:rsidRDefault="00BE322E" w:rsidP="00951786">
            <w:pPr>
              <w:jc w:val="center"/>
              <w:rPr>
                <w:sz w:val="20"/>
              </w:rPr>
            </w:pPr>
            <w:r w:rsidRPr="00D37862">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B509353" w14:textId="77777777" w:rsidR="00BE322E" w:rsidRPr="00D37862" w:rsidRDefault="00BE322E" w:rsidP="00951786">
            <w:pPr>
              <w:jc w:val="center"/>
              <w:rPr>
                <w:sz w:val="20"/>
              </w:rPr>
            </w:pPr>
            <w:r w:rsidRPr="00D37862">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30A9F2" w14:textId="77777777" w:rsidR="00BE322E" w:rsidRPr="00D37862" w:rsidRDefault="00BE322E" w:rsidP="00951786">
            <w:pPr>
              <w:jc w:val="center"/>
              <w:rPr>
                <w:sz w:val="20"/>
              </w:rPr>
            </w:pPr>
            <w:r w:rsidRPr="00D37862">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EF4A99A" w14:textId="77777777" w:rsidR="00BE322E" w:rsidRPr="00D37862" w:rsidRDefault="00BE322E" w:rsidP="00951786">
            <w:pPr>
              <w:jc w:val="center"/>
              <w:rPr>
                <w:sz w:val="20"/>
              </w:rPr>
            </w:pPr>
            <w:r w:rsidRPr="00D37862">
              <w:rPr>
                <w:sz w:val="20"/>
              </w:rPr>
              <w:t>69 496</w:t>
            </w:r>
          </w:p>
        </w:tc>
      </w:tr>
      <w:tr w:rsidR="00BE322E" w:rsidRPr="00D37862" w14:paraId="2EB0A24A"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4F59BA8"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Ινστιτούτο Ευρωπαίων Δημοκρατών</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613773" w14:textId="77777777" w:rsidR="00BE322E" w:rsidRPr="00D37862" w:rsidRDefault="00BE322E" w:rsidP="00951786">
            <w:pPr>
              <w:jc w:val="center"/>
              <w:rPr>
                <w:sz w:val="20"/>
              </w:rPr>
            </w:pPr>
            <w:r w:rsidRPr="00D37862">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5991230" w14:textId="77777777" w:rsidR="00BE322E" w:rsidRPr="00D37862" w:rsidRDefault="00BE322E" w:rsidP="00951786">
            <w:pPr>
              <w:jc w:val="center"/>
              <w:rPr>
                <w:sz w:val="20"/>
              </w:rPr>
            </w:pPr>
            <w:r w:rsidRPr="00D37862">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5BAC5C" w14:textId="77777777" w:rsidR="00BE322E" w:rsidRPr="00D37862" w:rsidRDefault="00BE322E" w:rsidP="00951786">
            <w:pPr>
              <w:jc w:val="center"/>
              <w:rPr>
                <w:sz w:val="20"/>
              </w:rPr>
            </w:pPr>
            <w:r w:rsidRPr="00D37862">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EFEEB5" w14:textId="77777777" w:rsidR="00BE322E" w:rsidRPr="00D37862" w:rsidRDefault="00BE322E" w:rsidP="00951786">
            <w:pPr>
              <w:jc w:val="center"/>
              <w:rPr>
                <w:sz w:val="20"/>
              </w:rPr>
            </w:pPr>
            <w:r w:rsidRPr="00D37862">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A572D1" w14:textId="77777777" w:rsidR="00BE322E" w:rsidRPr="00D37862" w:rsidRDefault="00BE322E" w:rsidP="00951786">
            <w:pPr>
              <w:jc w:val="center"/>
              <w:rPr>
                <w:sz w:val="20"/>
              </w:rPr>
            </w:pPr>
            <w:r w:rsidRPr="00D37862">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328654" w14:textId="77777777" w:rsidR="00BE322E" w:rsidRPr="00D37862" w:rsidRDefault="00BE322E" w:rsidP="00951786">
            <w:pPr>
              <w:jc w:val="center"/>
              <w:rPr>
                <w:sz w:val="20"/>
              </w:rPr>
            </w:pPr>
            <w:r w:rsidRPr="00D37862">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1582C85" w14:textId="77777777" w:rsidR="00BE322E" w:rsidRPr="00D37862" w:rsidRDefault="00BE322E" w:rsidP="00951786">
            <w:pPr>
              <w:jc w:val="center"/>
              <w:rPr>
                <w:sz w:val="20"/>
              </w:rPr>
            </w:pPr>
            <w:r w:rsidRPr="00D37862">
              <w:rPr>
                <w:sz w:val="20"/>
              </w:rPr>
              <w:t>-113 763</w:t>
            </w:r>
          </w:p>
        </w:tc>
      </w:tr>
      <w:tr w:rsidR="00BE322E" w:rsidRPr="00D37862" w14:paraId="003FCEFD"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94EBEA9" w14:textId="77777777" w:rsidR="00BE322E" w:rsidRPr="00D37862" w:rsidRDefault="00BE322E" w:rsidP="00951786">
            <w:pPr>
              <w:widowControl/>
              <w:jc w:val="center"/>
              <w:rPr>
                <w:sz w:val="20"/>
                <w14:textOutline w14:w="0" w14:cap="flat" w14:cmpd="sng" w14:algn="ctr">
                  <w14:noFill/>
                  <w14:prstDash w14:val="solid"/>
                  <w14:bevel/>
                </w14:textOutline>
              </w:rPr>
            </w:pPr>
            <w:r w:rsidRPr="00D37862">
              <w:rPr>
                <w:sz w:val="20"/>
              </w:rPr>
              <w:t xml:space="preserve">Ίδρυμα </w:t>
            </w:r>
            <w:proofErr w:type="spellStart"/>
            <w:r w:rsidRPr="00D37862">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F52D33" w14:textId="77777777" w:rsidR="00BE322E" w:rsidRPr="00D37862" w:rsidRDefault="00BE322E" w:rsidP="00951786">
            <w:pPr>
              <w:jc w:val="center"/>
              <w:rPr>
                <w:sz w:val="20"/>
              </w:rPr>
            </w:pPr>
            <w:proofErr w:type="spellStart"/>
            <w:r w:rsidRPr="00D37862">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4D3F0EB" w14:textId="77777777" w:rsidR="00BE322E" w:rsidRPr="00D37862" w:rsidRDefault="00BE322E" w:rsidP="00951786">
            <w:pPr>
              <w:jc w:val="center"/>
              <w:rPr>
                <w:sz w:val="20"/>
              </w:rPr>
            </w:pPr>
            <w:r w:rsidRPr="00D37862">
              <w:rPr>
                <w:sz w:val="20"/>
              </w:rPr>
              <w:t>EFA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CE36B9" w14:textId="77777777" w:rsidR="00BE322E" w:rsidRPr="00D37862" w:rsidRDefault="00BE322E" w:rsidP="00951786">
            <w:pPr>
              <w:jc w:val="center"/>
              <w:rPr>
                <w:sz w:val="20"/>
              </w:rPr>
            </w:pPr>
            <w:r w:rsidRPr="00D37862">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161864" w14:textId="77777777" w:rsidR="00BE322E" w:rsidRPr="00D37862" w:rsidRDefault="00BE322E" w:rsidP="00951786">
            <w:pPr>
              <w:jc w:val="center"/>
              <w:rPr>
                <w:sz w:val="20"/>
              </w:rPr>
            </w:pPr>
            <w:r w:rsidRPr="00D37862">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B2B595" w14:textId="77777777" w:rsidR="00BE322E" w:rsidRPr="00D37862" w:rsidRDefault="00BE322E" w:rsidP="00951786">
            <w:pPr>
              <w:jc w:val="center"/>
              <w:rPr>
                <w:sz w:val="20"/>
              </w:rPr>
            </w:pPr>
            <w:r w:rsidRPr="00D37862">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BECD558" w14:textId="77777777" w:rsidR="00BE322E" w:rsidRPr="00D37862" w:rsidRDefault="00BE322E" w:rsidP="00951786">
            <w:pPr>
              <w:jc w:val="center"/>
              <w:rPr>
                <w:sz w:val="20"/>
              </w:rPr>
            </w:pPr>
            <w:r w:rsidRPr="00D37862">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7C15DFE" w14:textId="77777777" w:rsidR="00BE322E" w:rsidRPr="00D37862" w:rsidRDefault="00BE322E" w:rsidP="00951786">
            <w:pPr>
              <w:jc w:val="center"/>
              <w:rPr>
                <w:sz w:val="20"/>
              </w:rPr>
            </w:pPr>
            <w:r w:rsidRPr="00D37862">
              <w:rPr>
                <w:sz w:val="20"/>
              </w:rPr>
              <w:t>288 315</w:t>
            </w:r>
          </w:p>
        </w:tc>
      </w:tr>
      <w:tr w:rsidR="00BE322E" w:rsidRPr="00D37862" w14:paraId="7DA9D7AB" w14:textId="77777777" w:rsidTr="0095178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AF48119" w14:textId="77777777" w:rsidR="00BE322E" w:rsidRPr="00D37862" w:rsidRDefault="00BE322E" w:rsidP="00951786">
            <w:pPr>
              <w:widowControl/>
              <w:jc w:val="center"/>
              <w:rPr>
                <w:sz w:val="20"/>
                <w14:textOutline w14:w="0" w14:cap="flat" w14:cmpd="sng" w14:algn="ctr">
                  <w14:noFill/>
                  <w14:prstDash w14:val="solid"/>
                  <w14:bevel/>
                </w14:textOutline>
              </w:rPr>
            </w:pPr>
            <w:proofErr w:type="spellStart"/>
            <w:r w:rsidRPr="00D37862">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0976FA" w14:textId="77777777" w:rsidR="00BE322E" w:rsidRPr="00D37862" w:rsidRDefault="00BE322E" w:rsidP="00951786">
            <w:pPr>
              <w:jc w:val="center"/>
              <w:rPr>
                <w:sz w:val="20"/>
              </w:rPr>
            </w:pPr>
            <w:r w:rsidRPr="00D37862">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325FCFB" w14:textId="77777777" w:rsidR="00BE322E" w:rsidRPr="00D37862" w:rsidRDefault="00BE322E" w:rsidP="00951786">
            <w:pPr>
              <w:jc w:val="center"/>
              <w:rPr>
                <w:sz w:val="20"/>
              </w:rPr>
            </w:pPr>
            <w:r w:rsidRPr="00D37862">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6710D0" w14:textId="77777777" w:rsidR="00BE322E" w:rsidRPr="00D37862" w:rsidRDefault="00BE322E" w:rsidP="00951786">
            <w:pPr>
              <w:jc w:val="center"/>
              <w:rPr>
                <w:sz w:val="20"/>
              </w:rPr>
            </w:pPr>
            <w:r w:rsidRPr="00D37862">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3FCC285" w14:textId="77777777" w:rsidR="00BE322E" w:rsidRPr="00D37862" w:rsidRDefault="00BE322E" w:rsidP="00951786">
            <w:pPr>
              <w:jc w:val="center"/>
              <w:rPr>
                <w:sz w:val="20"/>
              </w:rPr>
            </w:pPr>
            <w:r w:rsidRPr="00D37862">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BF42AD" w14:textId="77777777" w:rsidR="00BE322E" w:rsidRPr="00D37862" w:rsidRDefault="00BE322E" w:rsidP="00951786">
            <w:pPr>
              <w:jc w:val="center"/>
              <w:rPr>
                <w:sz w:val="20"/>
              </w:rPr>
            </w:pPr>
            <w:r w:rsidRPr="00D37862">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E6DE94D" w14:textId="77777777" w:rsidR="00BE322E" w:rsidRPr="00D37862" w:rsidRDefault="00BE322E" w:rsidP="00951786">
            <w:pPr>
              <w:jc w:val="center"/>
              <w:rPr>
                <w:sz w:val="20"/>
              </w:rPr>
            </w:pPr>
            <w:r w:rsidRPr="00D37862">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499BEB97" w14:textId="77777777" w:rsidR="00BE322E" w:rsidRPr="00D37862" w:rsidRDefault="00BE322E" w:rsidP="00951786">
            <w:pPr>
              <w:jc w:val="center"/>
              <w:rPr>
                <w:sz w:val="20"/>
              </w:rPr>
            </w:pPr>
            <w:r w:rsidRPr="00D37862">
              <w:rPr>
                <w:sz w:val="20"/>
              </w:rPr>
              <w:t>8 781</w:t>
            </w:r>
          </w:p>
        </w:tc>
      </w:tr>
      <w:tr w:rsidR="00BE322E" w:rsidRPr="00D37862" w14:paraId="236E0CB4" w14:textId="77777777" w:rsidTr="00951786">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7C3B6D3" w14:textId="77777777" w:rsidR="00BE322E" w:rsidRPr="00D37862" w:rsidRDefault="00BE322E" w:rsidP="00951786">
            <w:pPr>
              <w:jc w:val="center"/>
              <w:rPr>
                <w:b/>
                <w:bCs/>
                <w:sz w:val="20"/>
                <w14:textOutline w14:w="0" w14:cap="flat" w14:cmpd="sng" w14:algn="ctr">
                  <w14:noFill/>
                  <w14:prstDash w14:val="solid"/>
                  <w14:bevel/>
                </w14:textOutline>
              </w:rPr>
            </w:pPr>
            <w:r w:rsidRPr="00D37862">
              <w:rPr>
                <w:b/>
                <w:sz w:val="20"/>
                <w14:textOutline w14:w="0" w14:cap="flat" w14:cmpd="sng" w14:algn="ctr">
                  <w14:noFill/>
                  <w14:prstDash w14:val="solid"/>
                  <w14:bevel/>
                </w14:textOutline>
              </w:rPr>
              <w:t>ΣΥΝΟΛΟ</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A49B8A9" w14:textId="77777777" w:rsidR="00BE322E" w:rsidRPr="00D37862" w:rsidRDefault="00BE322E" w:rsidP="00951786">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93DF68C" w14:textId="77777777" w:rsidR="00BE322E" w:rsidRPr="00D37862" w:rsidRDefault="00BE322E" w:rsidP="00951786">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092839D2" w14:textId="77777777" w:rsidR="00BE322E" w:rsidRPr="00D37862" w:rsidRDefault="00BE322E" w:rsidP="00951786">
            <w:pPr>
              <w:jc w:val="center"/>
              <w:rPr>
                <w:b/>
                <w:bCs/>
                <w:sz w:val="20"/>
              </w:rPr>
            </w:pPr>
            <w:r w:rsidRPr="00D37862">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73EE269" w14:textId="77777777" w:rsidR="00BE322E" w:rsidRPr="00D37862" w:rsidRDefault="00BE322E" w:rsidP="00951786">
            <w:pPr>
              <w:jc w:val="center"/>
              <w:rPr>
                <w:b/>
                <w:bCs/>
                <w:sz w:val="20"/>
              </w:rPr>
            </w:pPr>
            <w:r w:rsidRPr="00D37862">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280CE07" w14:textId="77777777" w:rsidR="00BE322E" w:rsidRPr="00D37862" w:rsidRDefault="00BE322E" w:rsidP="00951786">
            <w:pPr>
              <w:jc w:val="center"/>
              <w:rPr>
                <w:b/>
                <w:bCs/>
                <w:sz w:val="20"/>
              </w:rPr>
            </w:pPr>
            <w:r w:rsidRPr="00D37862">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26CD45C" w14:textId="77777777" w:rsidR="00BE322E" w:rsidRPr="00D37862" w:rsidRDefault="00BE322E" w:rsidP="00951786">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341BA3F7" w14:textId="77777777" w:rsidR="00BE322E" w:rsidRPr="00D37862" w:rsidRDefault="00BE322E" w:rsidP="00951786">
            <w:pPr>
              <w:jc w:val="center"/>
              <w:rPr>
                <w:b/>
                <w:bCs/>
                <w:sz w:val="20"/>
              </w:rPr>
            </w:pPr>
            <w:r w:rsidRPr="00D37862">
              <w:rPr>
                <w:b/>
                <w:sz w:val="20"/>
              </w:rPr>
              <w:t>2 576 842</w:t>
            </w:r>
          </w:p>
        </w:tc>
      </w:tr>
    </w:tbl>
    <w:p w14:paraId="7AAD4728" w14:textId="0DA045E6" w:rsidR="00E365E1" w:rsidRPr="00D37862" w:rsidRDefault="00E365E1" w:rsidP="003F20B4"/>
    <w:sectPr w:rsidR="00E365E1" w:rsidRPr="00D37862" w:rsidSect="00D4566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D47D0" w14:textId="77777777" w:rsidR="003F20B4" w:rsidRPr="00D45667" w:rsidRDefault="003F20B4">
      <w:r w:rsidRPr="00D45667">
        <w:separator/>
      </w:r>
    </w:p>
  </w:endnote>
  <w:endnote w:type="continuationSeparator" w:id="0">
    <w:p w14:paraId="7CE91EBD" w14:textId="77777777" w:rsidR="003F20B4" w:rsidRPr="00D45667" w:rsidRDefault="003F20B4">
      <w:r w:rsidRPr="00D456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BDB7" w14:textId="77777777" w:rsidR="00BE322E" w:rsidRPr="00D45667" w:rsidRDefault="00BE322E" w:rsidP="001B3812">
    <w:pPr>
      <w:pStyle w:val="EPFooter"/>
    </w:pPr>
    <w:r w:rsidRPr="00D45667">
      <w:t>PE</w:t>
    </w:r>
    <w:r w:rsidRPr="00D45667">
      <w:rPr>
        <w:rStyle w:val="HideTWBExt"/>
      </w:rPr>
      <w:t>&lt;NoPE&gt;</w:t>
    </w:r>
    <w:r w:rsidRPr="00D45667">
      <w:t>776.734</w:t>
    </w:r>
    <w:r w:rsidRPr="00D45667">
      <w:rPr>
        <w:rStyle w:val="HideTWBExt"/>
      </w:rPr>
      <w:t>&lt;/NoPE&gt;&lt;Version&gt;</w:t>
    </w:r>
    <w:r w:rsidRPr="00D45667">
      <w:t>v02-00</w:t>
    </w:r>
    <w:r w:rsidRPr="00D45667">
      <w:rPr>
        <w:rStyle w:val="HideTWBExt"/>
      </w:rPr>
      <w:t>&lt;/Version&gt;</w:t>
    </w:r>
    <w:r w:rsidRPr="00D45667">
      <w:tab/>
    </w:r>
    <w:r w:rsidRPr="00D45667">
      <w:fldChar w:fldCharType="begin"/>
    </w:r>
    <w:r w:rsidRPr="00D45667">
      <w:instrText xml:space="preserve"> PAGE  \* MERGEFORMAT </w:instrText>
    </w:r>
    <w:r w:rsidRPr="00D45667">
      <w:fldChar w:fldCharType="separate"/>
    </w:r>
    <w:r w:rsidRPr="00D45667">
      <w:rPr>
        <w:noProof/>
      </w:rPr>
      <w:t>1</w:t>
    </w:r>
    <w:r w:rsidRPr="00D45667">
      <w:fldChar w:fldCharType="end"/>
    </w:r>
    <w:r w:rsidRPr="00D45667">
      <w:t>/</w:t>
    </w:r>
    <w:fldSimple w:instr=" NUMPAGES  \* MERGEFORMAT ">
      <w:r w:rsidRPr="00D45667">
        <w:rPr>
          <w:noProof/>
        </w:rPr>
        <w:t>1</w:t>
      </w:r>
    </w:fldSimple>
    <w:r w:rsidRPr="00D45667">
      <w:tab/>
    </w:r>
    <w:r w:rsidRPr="00D45667">
      <w:rPr>
        <w:rStyle w:val="HideTWBExt"/>
      </w:rPr>
      <w:t>&lt;PathFdR&gt;</w:t>
    </w:r>
    <w:r w:rsidRPr="00D45667">
      <w:t>RR\1340476EL.docx</w:t>
    </w:r>
    <w:r w:rsidRPr="00D45667">
      <w:rPr>
        <w:rStyle w:val="HideTWBExt"/>
      </w:rPr>
      <w:t>&lt;/PathFdR&gt;</w:t>
    </w:r>
  </w:p>
  <w:p w14:paraId="53680798" w14:textId="77777777" w:rsidR="00BE322E" w:rsidRPr="00D45667" w:rsidRDefault="00BE322E" w:rsidP="001B3812">
    <w:pPr>
      <w:pStyle w:val="EPFooter2"/>
    </w:pPr>
    <w:r w:rsidRPr="00D4566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79E5" w14:textId="70DB5E76" w:rsidR="00BE322E" w:rsidRPr="004A0724" w:rsidRDefault="00BE322E" w:rsidP="00E34A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E621B" w14:textId="77777777" w:rsidR="00BE322E" w:rsidRPr="00D45667" w:rsidRDefault="00BE322E" w:rsidP="001B3812">
    <w:pPr>
      <w:pStyle w:val="EPFooter"/>
    </w:pPr>
    <w:r w:rsidRPr="00D45667">
      <w:rPr>
        <w:rStyle w:val="HideTWBExt"/>
      </w:rPr>
      <w:t>&lt;PathFdR&gt;</w:t>
    </w:r>
    <w:r w:rsidRPr="00D45667">
      <w:t>RR\1340476EL.docx</w:t>
    </w:r>
    <w:r w:rsidRPr="00D45667">
      <w:rPr>
        <w:rStyle w:val="HideTWBExt"/>
      </w:rPr>
      <w:t>&lt;/PathFdR&gt;</w:t>
    </w:r>
    <w:r w:rsidRPr="00D45667">
      <w:tab/>
    </w:r>
    <w:r w:rsidRPr="00D45667">
      <w:tab/>
      <w:t>PE</w:t>
    </w:r>
    <w:r w:rsidRPr="00D45667">
      <w:rPr>
        <w:rStyle w:val="HideTWBExt"/>
      </w:rPr>
      <w:t>&lt;NoPE&gt;</w:t>
    </w:r>
    <w:r w:rsidRPr="00D45667">
      <w:t>776.734</w:t>
    </w:r>
    <w:r w:rsidRPr="00D45667">
      <w:rPr>
        <w:rStyle w:val="HideTWBExt"/>
      </w:rPr>
      <w:t>&lt;/NoPE&gt;&lt;Version&gt;</w:t>
    </w:r>
    <w:r w:rsidRPr="00D45667">
      <w:t>v02-00</w:t>
    </w:r>
    <w:r w:rsidRPr="00D45667">
      <w:rPr>
        <w:rStyle w:val="HideTWBExt"/>
      </w:rPr>
      <w:t>&lt;/Version&gt;</w:t>
    </w:r>
  </w:p>
  <w:p w14:paraId="0EB69DB2" w14:textId="77777777" w:rsidR="00BE322E" w:rsidRPr="00D45667" w:rsidRDefault="00BE322E" w:rsidP="001B3812">
    <w:pPr>
      <w:pStyle w:val="EPFooter2"/>
    </w:pPr>
    <w:r w:rsidRPr="00D45667">
      <w:t>EL</w:t>
    </w:r>
    <w:r w:rsidRPr="00D45667">
      <w:tab/>
    </w:r>
    <w:r w:rsidRPr="00D45667">
      <w:rPr>
        <w:b w:val="0"/>
        <w:i/>
        <w:color w:val="C0C0C0"/>
        <w:sz w:val="22"/>
      </w:rPr>
      <w:t>Ενωμένη στην πολυμορφία</w:t>
    </w:r>
    <w:r w:rsidRPr="00D45667">
      <w:tab/>
      <w:t>EL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B9D00" w14:textId="77777777" w:rsidR="00064002" w:rsidRPr="00D4566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42B06" w14:textId="77777777" w:rsidR="00064002" w:rsidRPr="00D4566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13749" w14:textId="77777777" w:rsidR="00064002" w:rsidRPr="00D456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BC4E9" w14:textId="77777777" w:rsidR="003F20B4" w:rsidRPr="00D45667" w:rsidRDefault="003F20B4">
      <w:r w:rsidRPr="00D45667">
        <w:separator/>
      </w:r>
    </w:p>
  </w:footnote>
  <w:footnote w:type="continuationSeparator" w:id="0">
    <w:p w14:paraId="46B631FD" w14:textId="77777777" w:rsidR="003F20B4" w:rsidRPr="00D45667" w:rsidRDefault="003F20B4">
      <w:r w:rsidRPr="00D45667">
        <w:continuationSeparator/>
      </w:r>
    </w:p>
  </w:footnote>
  <w:footnote w:id="1">
    <w:p w14:paraId="796ECD28" w14:textId="06747993" w:rsidR="00BE322E" w:rsidRPr="00E34A88" w:rsidRDefault="00BE322E" w:rsidP="00D45667">
      <w:pPr>
        <w:pStyle w:val="FootnoteText"/>
        <w:ind w:left="567" w:hanging="567"/>
        <w:rPr>
          <w:sz w:val="24"/>
          <w:lang w:val="fi-FI"/>
        </w:rPr>
      </w:pPr>
      <w:r w:rsidRPr="00D45667">
        <w:rPr>
          <w:rStyle w:val="FootnoteReference"/>
          <w:sz w:val="24"/>
          <w:lang w:val="el-GR"/>
        </w:rPr>
        <w:footnoteRef/>
      </w:r>
      <w:r w:rsidR="00D45667" w:rsidRPr="00E34A88">
        <w:rPr>
          <w:sz w:val="24"/>
          <w:lang w:val="fi-FI"/>
        </w:rPr>
        <w:t xml:space="preserve"> </w:t>
      </w:r>
      <w:r w:rsidR="00D45667" w:rsidRPr="00E34A88">
        <w:rPr>
          <w:sz w:val="24"/>
          <w:lang w:val="fi-FI"/>
        </w:rPr>
        <w:tab/>
      </w:r>
      <w:r w:rsidRPr="00D45667">
        <w:rPr>
          <w:sz w:val="24"/>
          <w:lang w:val="el-GR"/>
        </w:rPr>
        <w:t>ΕΕ</w:t>
      </w:r>
      <w:r w:rsidRPr="00E34A88">
        <w:rPr>
          <w:sz w:val="24"/>
          <w:lang w:val="fi-FI"/>
        </w:rPr>
        <w:t xml:space="preserve"> L</w:t>
      </w:r>
      <w:r w:rsidR="00E2012B" w:rsidRPr="00E34A88">
        <w:rPr>
          <w:sz w:val="24"/>
          <w:lang w:val="fi-FI"/>
        </w:rPr>
        <w:t>,</w:t>
      </w:r>
      <w:r w:rsidRPr="00E34A88">
        <w:rPr>
          <w:sz w:val="24"/>
          <w:lang w:val="fi-FI"/>
        </w:rPr>
        <w:t xml:space="preserve"> </w:t>
      </w:r>
      <w:r w:rsidR="007672B3">
        <w:rPr>
          <w:sz w:val="24"/>
          <w:lang w:val="fi-FI"/>
        </w:rPr>
        <w:t>2024/</w:t>
      </w:r>
      <w:r w:rsidRPr="00E34A88">
        <w:rPr>
          <w:sz w:val="24"/>
          <w:lang w:val="fi-FI"/>
        </w:rPr>
        <w:t xml:space="preserve">207, 22.2.2024, ELI: </w:t>
      </w:r>
      <w:hyperlink r:id="rId1" w:history="1">
        <w:r w:rsidRPr="00E34A88">
          <w:rPr>
            <w:rStyle w:val="Hyperlink"/>
            <w:color w:val="0563C1"/>
            <w:sz w:val="24"/>
            <w:lang w:val="fi-FI"/>
          </w:rPr>
          <w:t>http://data.europa.eu/eli/budget/2024/207/oj</w:t>
        </w:r>
      </w:hyperlink>
      <w:r w:rsidRPr="00E34A88">
        <w:rPr>
          <w:sz w:val="24"/>
          <w:lang w:val="fi-FI"/>
        </w:rPr>
        <w:t>.</w:t>
      </w:r>
    </w:p>
  </w:footnote>
  <w:footnote w:id="2">
    <w:p w14:paraId="2AC18226" w14:textId="7EE0BE65" w:rsidR="00BE322E" w:rsidRPr="00E34A88" w:rsidRDefault="00BE322E" w:rsidP="00D45667">
      <w:pPr>
        <w:pStyle w:val="FootnoteText"/>
        <w:ind w:left="567" w:hanging="567"/>
        <w:rPr>
          <w:sz w:val="24"/>
          <w:lang w:val="fi-FI"/>
        </w:rPr>
      </w:pPr>
      <w:r w:rsidRPr="00D45667">
        <w:rPr>
          <w:rStyle w:val="FootnoteReference"/>
          <w:sz w:val="24"/>
          <w:lang w:val="el-GR"/>
        </w:rPr>
        <w:footnoteRef/>
      </w:r>
      <w:r w:rsidR="00D45667" w:rsidRPr="00E34A88">
        <w:rPr>
          <w:sz w:val="24"/>
          <w:lang w:val="fi-FI"/>
        </w:rPr>
        <w:t xml:space="preserve"> </w:t>
      </w:r>
      <w:r w:rsidR="00D45667" w:rsidRPr="00E34A88">
        <w:rPr>
          <w:sz w:val="24"/>
          <w:lang w:val="fi-FI"/>
        </w:rPr>
        <w:tab/>
      </w:r>
      <w:r w:rsidRPr="00D45667">
        <w:rPr>
          <w:sz w:val="24"/>
          <w:lang w:val="el-GR"/>
        </w:rPr>
        <w:t>ΕΕ</w:t>
      </w:r>
      <w:r w:rsidRPr="00E34A88">
        <w:rPr>
          <w:sz w:val="24"/>
          <w:lang w:val="fi-FI"/>
        </w:rPr>
        <w:t xml:space="preserve"> C, C/2025/4944, 13.10.2025, ELI: </w:t>
      </w:r>
      <w:r>
        <w:fldChar w:fldCharType="begin"/>
      </w:r>
      <w:r w:rsidRPr="00BF4916">
        <w:rPr>
          <w:lang w:val="fi-FI"/>
        </w:rPr>
        <w:instrText>HYPERLINK "http://data.europa.eu/eli/C/2025/4944/oj"</w:instrText>
      </w:r>
      <w:r>
        <w:fldChar w:fldCharType="separate"/>
      </w:r>
      <w:r w:rsidRPr="00E34A88">
        <w:rPr>
          <w:rStyle w:val="Hyperlink"/>
          <w:sz w:val="24"/>
          <w:lang w:val="fi-FI"/>
        </w:rPr>
        <w:t>http://data.europa.eu/eli/C/2025/4944/oj</w:t>
      </w:r>
      <w:r>
        <w:fldChar w:fldCharType="end"/>
      </w:r>
      <w:r w:rsidRPr="00E34A88">
        <w:rPr>
          <w:sz w:val="24"/>
          <w:lang w:val="fi-FI"/>
        </w:rPr>
        <w:t xml:space="preserve">. </w:t>
      </w:r>
    </w:p>
  </w:footnote>
  <w:footnote w:id="3">
    <w:p w14:paraId="5CAAC724" w14:textId="70147501" w:rsidR="00BE322E" w:rsidRPr="00E34A88" w:rsidRDefault="00BE322E" w:rsidP="00D45667">
      <w:pPr>
        <w:pStyle w:val="FootnoteText"/>
        <w:ind w:left="567" w:hanging="567"/>
        <w:rPr>
          <w:sz w:val="24"/>
          <w:lang w:val="fi-FI"/>
        </w:rPr>
      </w:pPr>
      <w:r w:rsidRPr="00D45667">
        <w:rPr>
          <w:rStyle w:val="FootnoteReference"/>
          <w:sz w:val="24"/>
          <w:lang w:val="el-GR"/>
        </w:rPr>
        <w:footnoteRef/>
      </w:r>
      <w:r w:rsidR="00D45667" w:rsidRPr="00E34A88">
        <w:rPr>
          <w:sz w:val="24"/>
          <w:lang w:val="fi-FI"/>
        </w:rPr>
        <w:t xml:space="preserve"> </w:t>
      </w:r>
      <w:r w:rsidR="00D45667" w:rsidRPr="00E34A88">
        <w:rPr>
          <w:sz w:val="24"/>
          <w:lang w:val="fi-FI"/>
        </w:rPr>
        <w:tab/>
      </w:r>
      <w:r w:rsidRPr="00D45667">
        <w:rPr>
          <w:sz w:val="24"/>
          <w:lang w:val="el-GR"/>
        </w:rPr>
        <w:t>ΕΕ</w:t>
      </w:r>
      <w:r w:rsidRPr="00E34A88">
        <w:rPr>
          <w:sz w:val="24"/>
          <w:lang w:val="fi-FI"/>
        </w:rPr>
        <w:t xml:space="preserve"> C, C/2025/2817, 6.6.2025, ELI: </w:t>
      </w:r>
      <w:r>
        <w:fldChar w:fldCharType="begin"/>
      </w:r>
      <w:r w:rsidRPr="00BF4916">
        <w:rPr>
          <w:lang w:val="fi-FI"/>
        </w:rPr>
        <w:instrText>HYPERLINK "http://data.europa.eu/eli/C/2025/2817/oj"</w:instrText>
      </w:r>
      <w:r>
        <w:fldChar w:fldCharType="separate"/>
      </w:r>
      <w:r w:rsidRPr="00E34A88">
        <w:rPr>
          <w:rStyle w:val="Hyperlink"/>
          <w:sz w:val="24"/>
          <w:lang w:val="fi-FI"/>
        </w:rPr>
        <w:t>http://data.europa.eu/eli/C/2025/2817/oj</w:t>
      </w:r>
      <w:r>
        <w:fldChar w:fldCharType="end"/>
      </w:r>
      <w:r w:rsidRPr="00E34A88">
        <w:rPr>
          <w:sz w:val="24"/>
          <w:lang w:val="fi-FI"/>
        </w:rPr>
        <w:t>.</w:t>
      </w:r>
    </w:p>
  </w:footnote>
  <w:footnote w:id="4">
    <w:p w14:paraId="1EA69A07" w14:textId="4709E27D" w:rsidR="00BE322E" w:rsidRPr="00E34A88" w:rsidRDefault="00BE322E" w:rsidP="00D45667">
      <w:pPr>
        <w:pStyle w:val="FootnoteText"/>
        <w:ind w:left="567" w:hanging="567"/>
        <w:rPr>
          <w:sz w:val="24"/>
          <w:lang w:val="fi-FI"/>
        </w:rPr>
      </w:pPr>
      <w:r w:rsidRPr="00D45667">
        <w:rPr>
          <w:rStyle w:val="FootnoteReference"/>
          <w:sz w:val="24"/>
          <w:lang w:val="el-GR"/>
        </w:rPr>
        <w:footnoteRef/>
      </w:r>
      <w:r w:rsidR="00D45667" w:rsidRPr="00E34A88">
        <w:rPr>
          <w:sz w:val="24"/>
          <w:lang w:val="fi-FI"/>
        </w:rPr>
        <w:t xml:space="preserve"> </w:t>
      </w:r>
      <w:r w:rsidR="00D45667" w:rsidRPr="00E34A88">
        <w:rPr>
          <w:sz w:val="24"/>
          <w:lang w:val="fi-FI"/>
        </w:rPr>
        <w:tab/>
      </w:r>
      <w:r w:rsidRPr="00D45667">
        <w:rPr>
          <w:sz w:val="24"/>
          <w:lang w:val="el-GR"/>
        </w:rPr>
        <w:t>ΕΕ</w:t>
      </w:r>
      <w:r w:rsidRPr="00E34A88">
        <w:rPr>
          <w:sz w:val="24"/>
          <w:lang w:val="fi-FI"/>
        </w:rPr>
        <w:t xml:space="preserve"> C, C/2025/5409, 8.10.2025, ELI: </w:t>
      </w:r>
      <w:r>
        <w:fldChar w:fldCharType="begin"/>
      </w:r>
      <w:r w:rsidRPr="00BF4916">
        <w:rPr>
          <w:lang w:val="fi-FI"/>
        </w:rPr>
        <w:instrText>HYPERLINK "http://data.europa.eu/eli/C/2025/5409/oj"</w:instrText>
      </w:r>
      <w:r>
        <w:fldChar w:fldCharType="separate"/>
      </w:r>
      <w:r w:rsidRPr="00E34A88">
        <w:rPr>
          <w:rStyle w:val="Hyperlink"/>
          <w:sz w:val="24"/>
          <w:lang w:val="fi-FI"/>
        </w:rPr>
        <w:t>http://data.europa.eu/eli/C/2025/5409/oj</w:t>
      </w:r>
      <w:r>
        <w:fldChar w:fldCharType="end"/>
      </w:r>
      <w:r w:rsidRPr="00E34A88">
        <w:rPr>
          <w:sz w:val="24"/>
          <w:lang w:val="fi-FI"/>
        </w:rPr>
        <w:t>.</w:t>
      </w:r>
    </w:p>
  </w:footnote>
  <w:footnote w:id="5">
    <w:p w14:paraId="786FD23C" w14:textId="590FFBFA" w:rsidR="00BE322E" w:rsidRPr="00E34A88" w:rsidRDefault="00BE322E" w:rsidP="00D45667">
      <w:pPr>
        <w:pStyle w:val="FootnoteText"/>
        <w:ind w:left="567" w:hanging="567"/>
        <w:rPr>
          <w:sz w:val="24"/>
          <w:lang w:val="fi-FI"/>
        </w:rPr>
      </w:pPr>
      <w:r w:rsidRPr="00D45667">
        <w:rPr>
          <w:rStyle w:val="FootnoteReference"/>
          <w:sz w:val="24"/>
          <w:lang w:val="el-GR"/>
        </w:rPr>
        <w:footnoteRef/>
      </w:r>
      <w:r w:rsidR="00D45667" w:rsidRPr="00E34A88">
        <w:rPr>
          <w:sz w:val="24"/>
          <w:lang w:val="fi-FI"/>
        </w:rPr>
        <w:t xml:space="preserve"> </w:t>
      </w:r>
      <w:r w:rsidR="00D45667" w:rsidRPr="00E34A88">
        <w:rPr>
          <w:sz w:val="24"/>
          <w:lang w:val="fi-FI"/>
        </w:rPr>
        <w:tab/>
      </w:r>
      <w:r w:rsidRPr="00D45667">
        <w:rPr>
          <w:sz w:val="24"/>
          <w:lang w:val="el-GR"/>
        </w:rPr>
        <w:t>ΕΕ</w:t>
      </w:r>
      <w:r w:rsidRPr="00E34A88">
        <w:rPr>
          <w:sz w:val="24"/>
          <w:lang w:val="fi-FI"/>
        </w:rPr>
        <w:t xml:space="preserve"> C, C/2025/5407, 13.10.2025, ELI: </w:t>
      </w:r>
      <w:r>
        <w:fldChar w:fldCharType="begin"/>
      </w:r>
      <w:r w:rsidRPr="00BF4916">
        <w:rPr>
          <w:lang w:val="fi-FI"/>
        </w:rPr>
        <w:instrText>HYPERLINK "http://data.europa.eu/eli/C/2025/5407/oj"</w:instrText>
      </w:r>
      <w:r>
        <w:fldChar w:fldCharType="separate"/>
      </w:r>
      <w:r w:rsidRPr="00E34A88">
        <w:rPr>
          <w:rStyle w:val="Hyperlink"/>
          <w:sz w:val="24"/>
          <w:lang w:val="fi-FI"/>
        </w:rPr>
        <w:t>http://data.europa.eu/eli/C/2025/5407/oj</w:t>
      </w:r>
      <w:r>
        <w:fldChar w:fldCharType="end"/>
      </w:r>
      <w:r w:rsidRPr="00E34A88">
        <w:rPr>
          <w:sz w:val="24"/>
          <w:lang w:val="fi-FI"/>
        </w:rPr>
        <w:t xml:space="preserve">. </w:t>
      </w:r>
    </w:p>
  </w:footnote>
  <w:footnote w:id="6">
    <w:p w14:paraId="74E143E0" w14:textId="75C609EE"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 xml:space="preserve">ΕΕ L 193 της 30.7.2018, σ. 1, ELI: </w:t>
      </w:r>
      <w:r>
        <w:fldChar w:fldCharType="begin"/>
      </w:r>
      <w:r>
        <w:instrText>HYPERLINK</w:instrText>
      </w:r>
      <w:r w:rsidRPr="00BF4916">
        <w:rPr>
          <w:lang w:val="el-GR"/>
        </w:rPr>
        <w:instrText xml:space="preserve"> "</w:instrText>
      </w:r>
      <w:r>
        <w:instrText>http</w:instrText>
      </w:r>
      <w:r w:rsidRPr="00BF4916">
        <w:rPr>
          <w:lang w:val="el-GR"/>
        </w:rPr>
        <w:instrText>://</w:instrText>
      </w:r>
      <w:r>
        <w:instrText>data</w:instrText>
      </w:r>
      <w:r w:rsidRPr="00BF4916">
        <w:rPr>
          <w:lang w:val="el-GR"/>
        </w:rPr>
        <w:instrText>.</w:instrText>
      </w:r>
      <w:r>
        <w:instrText>europa</w:instrText>
      </w:r>
      <w:r w:rsidRPr="00BF4916">
        <w:rPr>
          <w:lang w:val="el-GR"/>
        </w:rPr>
        <w:instrText>.</w:instrText>
      </w:r>
      <w:r>
        <w:instrText>eu</w:instrText>
      </w:r>
      <w:r w:rsidRPr="00BF4916">
        <w:rPr>
          <w:lang w:val="el-GR"/>
        </w:rPr>
        <w:instrText>/</w:instrText>
      </w:r>
      <w:r>
        <w:instrText>eli</w:instrText>
      </w:r>
      <w:r w:rsidRPr="00BF4916">
        <w:rPr>
          <w:lang w:val="el-GR"/>
        </w:rPr>
        <w:instrText>/</w:instrText>
      </w:r>
      <w:r>
        <w:instrText>reg</w:instrText>
      </w:r>
      <w:r w:rsidRPr="00BF4916">
        <w:rPr>
          <w:lang w:val="el-GR"/>
        </w:rPr>
        <w:instrText>/2018/1046/</w:instrText>
      </w:r>
      <w:r>
        <w:instrText>oj</w:instrText>
      </w:r>
      <w:r w:rsidRPr="00BF4916">
        <w:rPr>
          <w:lang w:val="el-GR"/>
        </w:rPr>
        <w:instrText>"</w:instrText>
      </w:r>
      <w:r>
        <w:fldChar w:fldCharType="separate"/>
      </w:r>
      <w:r w:rsidRPr="00D45667">
        <w:rPr>
          <w:rStyle w:val="Hyperlink"/>
          <w:sz w:val="24"/>
          <w:lang w:val="el-GR"/>
        </w:rPr>
        <w:t>http://data.europa.eu/eli/reg/2018/1046/oj</w:t>
      </w:r>
      <w:r>
        <w:fldChar w:fldCharType="end"/>
      </w:r>
      <w:r w:rsidRPr="00D45667">
        <w:rPr>
          <w:sz w:val="24"/>
          <w:lang w:val="el-GR"/>
        </w:rPr>
        <w:t>.</w:t>
      </w:r>
    </w:p>
  </w:footnote>
  <w:footnote w:id="7">
    <w:p w14:paraId="00F5E0CA" w14:textId="18F5C14C" w:rsidR="00BE322E" w:rsidRPr="00E34A88" w:rsidRDefault="00BE322E" w:rsidP="00D45667">
      <w:pPr>
        <w:pStyle w:val="FootnoteText"/>
        <w:ind w:left="567" w:hanging="567"/>
        <w:rPr>
          <w:sz w:val="24"/>
          <w:lang w:val="fi-FI"/>
        </w:rPr>
      </w:pPr>
      <w:r w:rsidRPr="00D45667">
        <w:rPr>
          <w:rStyle w:val="FootnoteReference"/>
          <w:sz w:val="24"/>
          <w:lang w:val="el-GR"/>
        </w:rPr>
        <w:footnoteRef/>
      </w:r>
      <w:r w:rsidR="00D45667" w:rsidRPr="00E34A88">
        <w:rPr>
          <w:sz w:val="24"/>
          <w:lang w:val="fi-FI"/>
        </w:rPr>
        <w:t xml:space="preserve"> </w:t>
      </w:r>
      <w:r w:rsidR="00D45667" w:rsidRPr="00E34A88">
        <w:rPr>
          <w:sz w:val="24"/>
          <w:lang w:val="fi-FI"/>
        </w:rPr>
        <w:tab/>
      </w:r>
      <w:r w:rsidRPr="00D45667">
        <w:rPr>
          <w:sz w:val="24"/>
          <w:lang w:val="el-GR"/>
        </w:rPr>
        <w:t>ΕΕ</w:t>
      </w:r>
      <w:r w:rsidRPr="00E34A88">
        <w:rPr>
          <w:sz w:val="24"/>
          <w:lang w:val="fi-FI"/>
        </w:rPr>
        <w:t xml:space="preserve"> L, 2024/2509, 26.9.2024, ELI: </w:t>
      </w:r>
      <w:r>
        <w:fldChar w:fldCharType="begin"/>
      </w:r>
      <w:r w:rsidRPr="00BF4916">
        <w:rPr>
          <w:lang w:val="fi-FI"/>
        </w:rPr>
        <w:instrText>HYPERLINK "http://data.europa.eu/eli/reg/2024/2509/oj"</w:instrText>
      </w:r>
      <w:r>
        <w:fldChar w:fldCharType="separate"/>
      </w:r>
      <w:r w:rsidRPr="00E34A88">
        <w:rPr>
          <w:rStyle w:val="Hyperlink"/>
          <w:sz w:val="24"/>
          <w:lang w:val="fi-FI"/>
        </w:rPr>
        <w:t>http://data.europa.eu/eli/reg/2024/2509/oj</w:t>
      </w:r>
      <w:r>
        <w:fldChar w:fldCharType="end"/>
      </w:r>
      <w:r w:rsidRPr="00E34A88">
        <w:rPr>
          <w:sz w:val="24"/>
          <w:lang w:val="fi-FI"/>
        </w:rPr>
        <w:t>.</w:t>
      </w:r>
    </w:p>
  </w:footnote>
  <w:footnote w:id="8">
    <w:p w14:paraId="73BD54F6" w14:textId="1129F972"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 xml:space="preserve">Κανονισμός (ΕΕ, Ευρατόμ) 2020/2093 του Συμβουλίου, της 17ης Δεκεμβρίου 2020, για τον καθορισμό του πολυετούς δημοσιονομικού πλαισίου για τα έτη 2021 έως 2027 (ΕΕ L 433 I της 22.12.2020, σ. 11, </w:t>
      </w:r>
      <w:r w:rsidRPr="00D45667">
        <w:rPr>
          <w:color w:val="333333"/>
          <w:sz w:val="24"/>
          <w:shd w:val="clear" w:color="auto" w:fill="FFFFFF"/>
          <w:lang w:val="el-GR"/>
        </w:rPr>
        <w:t xml:space="preserve">ELI: </w:t>
      </w:r>
      <w:r>
        <w:fldChar w:fldCharType="begin"/>
      </w:r>
      <w:r>
        <w:instrText>HYPERLINK</w:instrText>
      </w:r>
      <w:r w:rsidRPr="00BF4916">
        <w:rPr>
          <w:lang w:val="el-GR"/>
        </w:rPr>
        <w:instrText xml:space="preserve"> "</w:instrText>
      </w:r>
      <w:r>
        <w:instrText>http</w:instrText>
      </w:r>
      <w:r w:rsidRPr="00BF4916">
        <w:rPr>
          <w:lang w:val="el-GR"/>
        </w:rPr>
        <w:instrText>://</w:instrText>
      </w:r>
      <w:r>
        <w:instrText>data</w:instrText>
      </w:r>
      <w:r w:rsidRPr="00BF4916">
        <w:rPr>
          <w:lang w:val="el-GR"/>
        </w:rPr>
        <w:instrText>.</w:instrText>
      </w:r>
      <w:r>
        <w:instrText>europa</w:instrText>
      </w:r>
      <w:r w:rsidRPr="00BF4916">
        <w:rPr>
          <w:lang w:val="el-GR"/>
        </w:rPr>
        <w:instrText>.</w:instrText>
      </w:r>
      <w:r>
        <w:instrText>eu</w:instrText>
      </w:r>
      <w:r w:rsidRPr="00BF4916">
        <w:rPr>
          <w:lang w:val="el-GR"/>
        </w:rPr>
        <w:instrText>/</w:instrText>
      </w:r>
      <w:r>
        <w:instrText>eli</w:instrText>
      </w:r>
      <w:r w:rsidRPr="00BF4916">
        <w:rPr>
          <w:lang w:val="el-GR"/>
        </w:rPr>
        <w:instrText>/</w:instrText>
      </w:r>
      <w:r>
        <w:instrText>reg</w:instrText>
      </w:r>
      <w:r w:rsidRPr="00BF4916">
        <w:rPr>
          <w:lang w:val="el-GR"/>
        </w:rPr>
        <w:instrText>/2020/2093/</w:instrText>
      </w:r>
      <w:r>
        <w:instrText>oj</w:instrText>
      </w:r>
      <w:r w:rsidRPr="00BF4916">
        <w:rPr>
          <w:lang w:val="el-GR"/>
        </w:rPr>
        <w:instrText>"</w:instrText>
      </w:r>
      <w:r>
        <w:fldChar w:fldCharType="separate"/>
      </w:r>
      <w:r w:rsidRPr="00D45667">
        <w:rPr>
          <w:rStyle w:val="Hyperlink"/>
          <w:sz w:val="24"/>
          <w:shd w:val="clear" w:color="auto" w:fill="FFFFFF"/>
          <w:lang w:val="el-GR"/>
        </w:rPr>
        <w:t>http://data.europa.eu/eli/reg/2020/2093/oj</w:t>
      </w:r>
      <w:r>
        <w:fldChar w:fldCharType="end"/>
      </w:r>
      <w:r w:rsidRPr="00D45667">
        <w:rPr>
          <w:sz w:val="24"/>
          <w:lang w:val="el-GR"/>
        </w:rPr>
        <w:t>).</w:t>
      </w:r>
    </w:p>
  </w:footnote>
  <w:footnote w:id="9">
    <w:p w14:paraId="41714852" w14:textId="3D68C10A"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w:t>
      </w:r>
      <w:r w:rsidR="00E2012B">
        <w:rPr>
          <w:sz w:val="24"/>
          <w:lang w:val="el-GR"/>
        </w:rPr>
        <w:t>,</w:t>
      </w:r>
      <w:r w:rsidRPr="00D45667">
        <w:rPr>
          <w:sz w:val="24"/>
          <w:lang w:val="el-GR"/>
        </w:rPr>
        <w:t xml:space="preserve"> 18.12.2023, ELI: </w:t>
      </w:r>
      <w:r>
        <w:fldChar w:fldCharType="begin"/>
      </w:r>
      <w:r>
        <w:instrText>HYPERLINK</w:instrText>
      </w:r>
      <w:r w:rsidRPr="00BF4916">
        <w:rPr>
          <w:lang w:val="el-GR"/>
        </w:rPr>
        <w:instrText xml:space="preserve"> "</w:instrText>
      </w:r>
      <w:r>
        <w:instrText>http</w:instrText>
      </w:r>
      <w:r w:rsidRPr="00BF4916">
        <w:rPr>
          <w:lang w:val="el-GR"/>
        </w:rPr>
        <w:instrText>://</w:instrText>
      </w:r>
      <w:r>
        <w:instrText>data</w:instrText>
      </w:r>
      <w:r w:rsidRPr="00BF4916">
        <w:rPr>
          <w:lang w:val="el-GR"/>
        </w:rPr>
        <w:instrText>.</w:instrText>
      </w:r>
      <w:r>
        <w:instrText>europa</w:instrText>
      </w:r>
      <w:r w:rsidRPr="00BF4916">
        <w:rPr>
          <w:lang w:val="el-GR"/>
        </w:rPr>
        <w:instrText>.</w:instrText>
      </w:r>
      <w:r>
        <w:instrText>eu</w:instrText>
      </w:r>
      <w:r w:rsidRPr="00BF4916">
        <w:rPr>
          <w:lang w:val="el-GR"/>
        </w:rPr>
        <w:instrText>/</w:instrText>
      </w:r>
      <w:r>
        <w:instrText>eli</w:instrText>
      </w:r>
      <w:r w:rsidRPr="00BF4916">
        <w:rPr>
          <w:lang w:val="el-GR"/>
        </w:rPr>
        <w:instrText>/</w:instrText>
      </w:r>
      <w:r>
        <w:instrText>reg</w:instrText>
      </w:r>
      <w:r w:rsidRPr="00BF4916">
        <w:rPr>
          <w:lang w:val="el-GR"/>
        </w:rPr>
        <w:instrText>/2023/2841/</w:instrText>
      </w:r>
      <w:r>
        <w:instrText>oj</w:instrText>
      </w:r>
      <w:r w:rsidRPr="00BF4916">
        <w:rPr>
          <w:lang w:val="el-GR"/>
        </w:rPr>
        <w:instrText>"</w:instrText>
      </w:r>
      <w:r>
        <w:fldChar w:fldCharType="separate"/>
      </w:r>
      <w:r w:rsidRPr="00D45667">
        <w:rPr>
          <w:rStyle w:val="Hyperlink"/>
          <w:sz w:val="24"/>
          <w:lang w:val="el-GR"/>
        </w:rPr>
        <w:t>http://data.europa.eu/eli/reg/2023/2841/oj</w:t>
      </w:r>
      <w:r>
        <w:fldChar w:fldCharType="end"/>
      </w:r>
      <w:r w:rsidRPr="00D45667">
        <w:rPr>
          <w:sz w:val="24"/>
          <w:lang w:val="el-GR"/>
        </w:rPr>
        <w:t>).</w:t>
      </w:r>
    </w:p>
  </w:footnote>
  <w:footnote w:id="10">
    <w:p w14:paraId="31F046D5" w14:textId="409C9D46"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w:t>
      </w:r>
      <w:r>
        <w:fldChar w:fldCharType="begin"/>
      </w:r>
      <w:r>
        <w:instrText>HYPERLINK</w:instrText>
      </w:r>
      <w:r w:rsidRPr="00BF4916">
        <w:rPr>
          <w:lang w:val="el-GR"/>
        </w:rPr>
        <w:instrText xml:space="preserve"> "</w:instrText>
      </w:r>
      <w:r>
        <w:instrText>http</w:instrText>
      </w:r>
      <w:r w:rsidRPr="00BF4916">
        <w:rPr>
          <w:lang w:val="el-GR"/>
        </w:rPr>
        <w:instrText>://</w:instrText>
      </w:r>
      <w:r>
        <w:instrText>data</w:instrText>
      </w:r>
      <w:r w:rsidRPr="00BF4916">
        <w:rPr>
          <w:lang w:val="el-GR"/>
        </w:rPr>
        <w:instrText>.</w:instrText>
      </w:r>
      <w:r>
        <w:instrText>europa</w:instrText>
      </w:r>
      <w:r w:rsidRPr="00BF4916">
        <w:rPr>
          <w:lang w:val="el-GR"/>
        </w:rPr>
        <w:instrText>.</w:instrText>
      </w:r>
      <w:r>
        <w:instrText>eu</w:instrText>
      </w:r>
      <w:r w:rsidRPr="00BF4916">
        <w:rPr>
          <w:lang w:val="el-GR"/>
        </w:rPr>
        <w:instrText>/</w:instrText>
      </w:r>
      <w:r>
        <w:instrText>eli</w:instrText>
      </w:r>
      <w:r w:rsidRPr="00BF4916">
        <w:rPr>
          <w:lang w:val="el-GR"/>
        </w:rPr>
        <w:instrText>/</w:instrText>
      </w:r>
      <w:r>
        <w:instrText>reg</w:instrText>
      </w:r>
      <w:r w:rsidRPr="00BF4916">
        <w:rPr>
          <w:lang w:val="el-GR"/>
        </w:rPr>
        <w:instrText>/2024/1689/</w:instrText>
      </w:r>
      <w:r>
        <w:instrText>oj</w:instrText>
      </w:r>
      <w:r w:rsidRPr="00BF4916">
        <w:rPr>
          <w:lang w:val="el-GR"/>
        </w:rPr>
        <w:instrText>"</w:instrText>
      </w:r>
      <w:r>
        <w:fldChar w:fldCharType="separate"/>
      </w:r>
      <w:r w:rsidRPr="00D45667">
        <w:rPr>
          <w:rStyle w:val="Hyperlink"/>
          <w:sz w:val="24"/>
          <w:lang w:val="el-GR"/>
        </w:rPr>
        <w:t>http://data.europa.eu/eli/reg/2024/1689/oj</w:t>
      </w:r>
      <w:r>
        <w:fldChar w:fldCharType="end"/>
      </w:r>
      <w:r w:rsidRPr="00D45667">
        <w:rPr>
          <w:sz w:val="24"/>
          <w:lang w:val="el-GR"/>
        </w:rPr>
        <w:t>).</w:t>
      </w:r>
    </w:p>
  </w:footnote>
  <w:footnote w:id="11">
    <w:p w14:paraId="69DA396F" w14:textId="697B504B"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Απόφαση του Προεδρείου του Ευρωπαϊκού Κοινοβουλίου, της 12ης Ιουνίου 2023, για την τροποποίηση των μέτρων εφαρμογής του καθεστώτος των βουλευτών του Ευρωπαϊκού Κοινοβουλίου (ΕΕ C 227 της 29.6.2023, σ. 5).</w:t>
      </w:r>
    </w:p>
  </w:footnote>
  <w:footnote w:id="12">
    <w:p w14:paraId="73DA5247" w14:textId="160D3B46"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 xml:space="preserve">Κανονισμός (ΕΕ, Ευρατόμ) 2025/2445 του Ευρωπαϊκού Κοινοβουλίου και του Συμβουλίου, της 26ης Νοεμβρίου 2025, σχετικά με το καθεστώς και τη χρηματοδότηση των ευρωπαϊκών πολιτικών κομμάτων και των ευρωπαϊκών πολιτικών ιδρυμάτων (ΕΕ L, 2025/2445, 8.12.2025, ELI: </w:t>
      </w:r>
      <w:r>
        <w:fldChar w:fldCharType="begin"/>
      </w:r>
      <w:r>
        <w:instrText>HYPERLINK</w:instrText>
      </w:r>
      <w:r w:rsidRPr="00BF4916">
        <w:rPr>
          <w:lang w:val="el-GR"/>
        </w:rPr>
        <w:instrText xml:space="preserve"> "</w:instrText>
      </w:r>
      <w:r>
        <w:instrText>http</w:instrText>
      </w:r>
      <w:r w:rsidRPr="00BF4916">
        <w:rPr>
          <w:lang w:val="el-GR"/>
        </w:rPr>
        <w:instrText>://</w:instrText>
      </w:r>
      <w:r>
        <w:instrText>data</w:instrText>
      </w:r>
      <w:r w:rsidRPr="00BF4916">
        <w:rPr>
          <w:lang w:val="el-GR"/>
        </w:rPr>
        <w:instrText>.</w:instrText>
      </w:r>
      <w:r>
        <w:instrText>europa</w:instrText>
      </w:r>
      <w:r w:rsidRPr="00BF4916">
        <w:rPr>
          <w:lang w:val="el-GR"/>
        </w:rPr>
        <w:instrText>.</w:instrText>
      </w:r>
      <w:r>
        <w:instrText>eu</w:instrText>
      </w:r>
      <w:r w:rsidRPr="00BF4916">
        <w:rPr>
          <w:lang w:val="el-GR"/>
        </w:rPr>
        <w:instrText>/</w:instrText>
      </w:r>
      <w:r>
        <w:instrText>eli</w:instrText>
      </w:r>
      <w:r w:rsidRPr="00BF4916">
        <w:rPr>
          <w:lang w:val="el-GR"/>
        </w:rPr>
        <w:instrText>/</w:instrText>
      </w:r>
      <w:r>
        <w:instrText>reg</w:instrText>
      </w:r>
      <w:r w:rsidRPr="00BF4916">
        <w:rPr>
          <w:lang w:val="el-GR"/>
        </w:rPr>
        <w:instrText>/2025/2445/</w:instrText>
      </w:r>
      <w:r>
        <w:instrText>oj</w:instrText>
      </w:r>
      <w:r w:rsidRPr="00BF4916">
        <w:rPr>
          <w:lang w:val="el-GR"/>
        </w:rPr>
        <w:instrText>"</w:instrText>
      </w:r>
      <w:r>
        <w:fldChar w:fldCharType="separate"/>
      </w:r>
      <w:r w:rsidRPr="00D45667">
        <w:rPr>
          <w:rStyle w:val="Hyperlink"/>
          <w:sz w:val="24"/>
          <w:lang w:val="el-GR"/>
        </w:rPr>
        <w:t>http://data.europa.eu/eli/reg/2025/2445/oj</w:t>
      </w:r>
      <w:r>
        <w:fldChar w:fldCharType="end"/>
      </w:r>
      <w:r w:rsidRPr="00D45667">
        <w:rPr>
          <w:sz w:val="24"/>
          <w:lang w:val="el-GR"/>
        </w:rPr>
        <w:t>).</w:t>
      </w:r>
    </w:p>
  </w:footnote>
  <w:footnote w:id="13">
    <w:p w14:paraId="199370C5" w14:textId="7F4F2633"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 xml:space="preserve">Όλα τα ποσά είναι σε EUR. </w:t>
      </w:r>
    </w:p>
  </w:footnote>
  <w:footnote w:id="14">
    <w:p w14:paraId="4859FC86" w14:textId="3CD208AF"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Απαρτίζεται από το δεύτερο μέρος της οριστικής χρηματοδότησης του 2023 και το πρώτο μέρος της οριστικής χρηματοδότησης του 2024 σύμφωνα με την απόφαση του Προεδρείου της 9ης Μαρτίου 2026.</w:t>
      </w:r>
    </w:p>
  </w:footnote>
  <w:footnote w:id="15">
    <w:p w14:paraId="3F397B0B" w14:textId="0C221801"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Οι λογαριασμοί ΓΑΛΑ 2024 προσαρμόστηκαν με βάση τον αντίκτυπο των αναταξινομήσεων από το κλείσιμο του 2024.</w:t>
      </w:r>
    </w:p>
  </w:footnote>
  <w:footnote w:id="16">
    <w:p w14:paraId="1B323116" w14:textId="732B8406"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«Patriots.eu» από τον Ιούλιο του 2024.</w:t>
      </w:r>
    </w:p>
  </w:footnote>
  <w:footnote w:id="17">
    <w:p w14:paraId="6F91D588" w14:textId="05897A5B"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«Ευρωπαϊκό Χριστιανικό Πολιτικό Κόμμα» από τον Μάρτιο του 2025.</w:t>
      </w:r>
    </w:p>
  </w:footnote>
  <w:footnote w:id="18">
    <w:p w14:paraId="48B9B99E" w14:textId="38AA9643" w:rsidR="00BE322E" w:rsidRPr="00D45667" w:rsidRDefault="00BE322E" w:rsidP="00D45667">
      <w:pPr>
        <w:pStyle w:val="FootnoteText"/>
        <w:ind w:left="567" w:hanging="567"/>
        <w:rPr>
          <w:sz w:val="24"/>
          <w:szCs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 xml:space="preserve">Όλα τα ποσά είναι σε EUR. </w:t>
      </w:r>
    </w:p>
  </w:footnote>
  <w:footnote w:id="19">
    <w:p w14:paraId="1812BBF1" w14:textId="328B1DA2"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Οι λογαριασμοί ΓΑΛΑ 2024 προσαρμόστηκαν με βάση τον αντίκτυπο των αναταξινομήσεων από το κλείσιμο του 2024.</w:t>
      </w:r>
    </w:p>
  </w:footnote>
  <w:footnote w:id="20">
    <w:p w14:paraId="21C0C25A" w14:textId="7DA59AE6"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«Νέα κατεύθυνση – Το Ίδρυμα για τον Ευρωπαϊκό Συντηρητισμό» από τον Ιούλιο του 2025.</w:t>
      </w:r>
    </w:p>
  </w:footnote>
  <w:footnote w:id="21">
    <w:p w14:paraId="7AECBA34" w14:textId="57488388" w:rsidR="00BE322E" w:rsidRPr="00D45667" w:rsidRDefault="00BE322E" w:rsidP="00D45667">
      <w:pPr>
        <w:pStyle w:val="FootnoteText"/>
        <w:ind w:left="567" w:hanging="567"/>
        <w:rPr>
          <w:sz w:val="24"/>
          <w:lang w:val="el-GR"/>
        </w:rPr>
      </w:pPr>
      <w:r w:rsidRPr="00D45667">
        <w:rPr>
          <w:rStyle w:val="FootnoteReference"/>
          <w:sz w:val="24"/>
          <w:lang w:val="el-GR"/>
        </w:rPr>
        <w:footnoteRef/>
      </w:r>
      <w:r w:rsidR="00D45667" w:rsidRPr="00D45667">
        <w:rPr>
          <w:sz w:val="24"/>
          <w:lang w:val="el-GR"/>
        </w:rPr>
        <w:t xml:space="preserve"> </w:t>
      </w:r>
      <w:r w:rsidR="00D45667" w:rsidRPr="00D45667">
        <w:rPr>
          <w:sz w:val="24"/>
          <w:lang w:val="el-GR"/>
        </w:rPr>
        <w:tab/>
      </w:r>
      <w:r w:rsidRPr="00D45667">
        <w:rPr>
          <w:sz w:val="24"/>
          <w:lang w:val="el-GR"/>
        </w:rPr>
        <w:t>«Ίδρυμα Πατριώτες για την Ευρώπη» από τον Οκτώβριο του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2E09" w14:textId="77777777" w:rsidR="00064002" w:rsidRPr="00D456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4663" w14:textId="77777777" w:rsidR="00064002" w:rsidRPr="00D456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1672" w14:textId="77777777" w:rsidR="00064002" w:rsidRPr="00D456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F454EE"/>
    <w:multiLevelType w:val="hybridMultilevel"/>
    <w:tmpl w:val="93C2E21C"/>
    <w:lvl w:ilvl="0" w:tplc="B6B60FF4">
      <w:start w:val="1"/>
      <w:numFmt w:val="decimal"/>
      <w:lvlText w:val="%1."/>
      <w:lvlJc w:val="left"/>
      <w:pPr>
        <w:ind w:left="930" w:hanging="57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9068670">
    <w:abstractNumId w:val="0"/>
  </w:num>
  <w:num w:numId="2" w16cid:durableId="88087004">
    <w:abstractNumId w:val="1"/>
  </w:num>
  <w:num w:numId="3" w16cid:durableId="212745800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EL"/>
    <w:docVar w:name="dvnumam" w:val="0"/>
    <w:docVar w:name="dvpe" w:val="776.734"/>
    <w:docVar w:name="dvrapporteur" w:val="Εισηγητής: "/>
    <w:docVar w:name="dvtitre" w:val="Απόφαση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I – Ευρωπαϊκό Κοινοβούλιο(2025/2146(DEC))"/>
  </w:docVars>
  <w:rsids>
    <w:rsidRoot w:val="003F20B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20B4"/>
    <w:rsid w:val="00411CCE"/>
    <w:rsid w:val="0041666E"/>
    <w:rsid w:val="00421060"/>
    <w:rsid w:val="00471C19"/>
    <w:rsid w:val="004867E3"/>
    <w:rsid w:val="00494A28"/>
    <w:rsid w:val="004A0724"/>
    <w:rsid w:val="004C0004"/>
    <w:rsid w:val="004C5D52"/>
    <w:rsid w:val="004F3D66"/>
    <w:rsid w:val="0050519A"/>
    <w:rsid w:val="005072A1"/>
    <w:rsid w:val="00514517"/>
    <w:rsid w:val="00545827"/>
    <w:rsid w:val="00560270"/>
    <w:rsid w:val="005C2568"/>
    <w:rsid w:val="005F1B17"/>
    <w:rsid w:val="006037C0"/>
    <w:rsid w:val="006631B6"/>
    <w:rsid w:val="00680577"/>
    <w:rsid w:val="006B26EB"/>
    <w:rsid w:val="006E500A"/>
    <w:rsid w:val="006F74FA"/>
    <w:rsid w:val="00731ADD"/>
    <w:rsid w:val="00734777"/>
    <w:rsid w:val="00747932"/>
    <w:rsid w:val="00751A4A"/>
    <w:rsid w:val="00756632"/>
    <w:rsid w:val="00762C74"/>
    <w:rsid w:val="007672B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0D6"/>
    <w:rsid w:val="00A778C7"/>
    <w:rsid w:val="00AB441E"/>
    <w:rsid w:val="00AB6293"/>
    <w:rsid w:val="00AE0928"/>
    <w:rsid w:val="00AE28F5"/>
    <w:rsid w:val="00AF3B82"/>
    <w:rsid w:val="00B12E95"/>
    <w:rsid w:val="00B22876"/>
    <w:rsid w:val="00B558F0"/>
    <w:rsid w:val="00BA4673"/>
    <w:rsid w:val="00BA5FAA"/>
    <w:rsid w:val="00BD48FE"/>
    <w:rsid w:val="00BD7BD8"/>
    <w:rsid w:val="00BE322E"/>
    <w:rsid w:val="00BE6ADC"/>
    <w:rsid w:val="00BF4916"/>
    <w:rsid w:val="00C05BFE"/>
    <w:rsid w:val="00C210FB"/>
    <w:rsid w:val="00C23CD4"/>
    <w:rsid w:val="00C61C0C"/>
    <w:rsid w:val="00C941CB"/>
    <w:rsid w:val="00CC2357"/>
    <w:rsid w:val="00CF071A"/>
    <w:rsid w:val="00D058B8"/>
    <w:rsid w:val="00D32450"/>
    <w:rsid w:val="00D37862"/>
    <w:rsid w:val="00D45667"/>
    <w:rsid w:val="00D56C11"/>
    <w:rsid w:val="00D834A0"/>
    <w:rsid w:val="00D872DF"/>
    <w:rsid w:val="00D91E21"/>
    <w:rsid w:val="00DA7FCD"/>
    <w:rsid w:val="00DB0178"/>
    <w:rsid w:val="00E2012B"/>
    <w:rsid w:val="00E34A8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3ABC4"/>
  <w15:chartTrackingRefBased/>
  <w15:docId w15:val="{27353E74-DB5C-413A-B9D5-8C9CDF0F5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E322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E322E"/>
    <w:pPr>
      <w:spacing w:before="480" w:after="240"/>
    </w:pPr>
  </w:style>
  <w:style w:type="paragraph" w:customStyle="1" w:styleId="PageHeading">
    <w:name w:val="PageHeading"/>
    <w:basedOn w:val="Normal"/>
    <w:rsid w:val="00BE322E"/>
    <w:pPr>
      <w:keepNext/>
      <w:spacing w:after="480"/>
      <w:jc w:val="center"/>
    </w:pPr>
    <w:rPr>
      <w:rFonts w:ascii="Arial" w:hAnsi="Arial" w:cs="Arial"/>
      <w:b/>
    </w:rPr>
  </w:style>
  <w:style w:type="paragraph" w:customStyle="1" w:styleId="NormalBold">
    <w:name w:val="NormalBold"/>
    <w:basedOn w:val="Normal"/>
    <w:rsid w:val="00BE322E"/>
    <w:rPr>
      <w:b/>
    </w:rPr>
  </w:style>
  <w:style w:type="paragraph" w:customStyle="1" w:styleId="NormalHanging12a">
    <w:name w:val="NormalHanging12a"/>
    <w:basedOn w:val="Normal"/>
    <w:link w:val="NormalHanging12aChar"/>
    <w:rsid w:val="00BE322E"/>
    <w:pPr>
      <w:spacing w:after="240"/>
      <w:ind w:left="567" w:hanging="567"/>
    </w:pPr>
  </w:style>
  <w:style w:type="paragraph" w:customStyle="1" w:styleId="EPFooter">
    <w:name w:val="EPFooter"/>
    <w:basedOn w:val="Normal"/>
    <w:rsid w:val="00BE322E"/>
    <w:pPr>
      <w:tabs>
        <w:tab w:val="center" w:pos="4535"/>
        <w:tab w:val="right" w:pos="9071"/>
      </w:tabs>
      <w:spacing w:before="240" w:after="240"/>
    </w:pPr>
    <w:rPr>
      <w:color w:val="010000"/>
      <w:sz w:val="22"/>
    </w:rPr>
  </w:style>
  <w:style w:type="paragraph" w:styleId="Header">
    <w:name w:val="header"/>
    <w:basedOn w:val="Normal"/>
    <w:link w:val="HeaderChar"/>
    <w:rsid w:val="00BE322E"/>
    <w:pPr>
      <w:tabs>
        <w:tab w:val="center" w:pos="4513"/>
        <w:tab w:val="right" w:pos="9026"/>
      </w:tabs>
    </w:pPr>
  </w:style>
  <w:style w:type="character" w:customStyle="1" w:styleId="HeaderChar">
    <w:name w:val="Header Char"/>
    <w:basedOn w:val="DefaultParagraphFont"/>
    <w:link w:val="Header"/>
    <w:rsid w:val="00BE322E"/>
    <w:rPr>
      <w:sz w:val="24"/>
      <w:lang w:val="el-GR"/>
    </w:rPr>
  </w:style>
  <w:style w:type="character" w:styleId="Hyperlink">
    <w:name w:val="Hyperlink"/>
    <w:basedOn w:val="DefaultParagraphFont"/>
    <w:rsid w:val="00BE322E"/>
    <w:rPr>
      <w:color w:val="0563C1" w:themeColor="hyperlink"/>
      <w:u w:val="single"/>
    </w:rPr>
  </w:style>
  <w:style w:type="character" w:customStyle="1" w:styleId="NormalHanging12aChar">
    <w:name w:val="NormalHanging12a Char"/>
    <w:basedOn w:val="DefaultParagraphFont"/>
    <w:link w:val="NormalHanging12a"/>
    <w:rsid w:val="00BE322E"/>
    <w:rPr>
      <w:sz w:val="24"/>
      <w:lang w:val="el-GR"/>
    </w:rPr>
  </w:style>
  <w:style w:type="paragraph" w:styleId="Revision">
    <w:name w:val="Revision"/>
    <w:hidden/>
    <w:uiPriority w:val="99"/>
    <w:semiHidden/>
    <w:rsid w:val="00BA4673"/>
    <w:rPr>
      <w:sz w:val="24"/>
      <w:lang w:val="el-GR"/>
    </w:rPr>
  </w:style>
  <w:style w:type="paragraph" w:styleId="Footer">
    <w:name w:val="footer"/>
    <w:basedOn w:val="Normal"/>
    <w:link w:val="FooterChar"/>
    <w:rsid w:val="004A0724"/>
    <w:pPr>
      <w:tabs>
        <w:tab w:val="center" w:pos="4513"/>
        <w:tab w:val="right" w:pos="9026"/>
      </w:tabs>
    </w:pPr>
  </w:style>
  <w:style w:type="character" w:customStyle="1" w:styleId="FooterChar">
    <w:name w:val="Footer Char"/>
    <w:basedOn w:val="DefaultParagraphFont"/>
    <w:link w:val="Footer"/>
    <w:rsid w:val="004A0724"/>
    <w:rPr>
      <w:sz w:val="24"/>
      <w:lang w:val="el-GR"/>
    </w:rPr>
  </w:style>
  <w:style w:type="paragraph" w:styleId="ListParagraph">
    <w:name w:val="List Paragraph"/>
    <w:basedOn w:val="Normal"/>
    <w:uiPriority w:val="34"/>
    <w:qFormat/>
    <w:rsid w:val="00D324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15956</Words>
  <Characters>95572</Characters>
  <Application>Microsoft Office Word</Application>
  <DocSecurity>0</DocSecurity>
  <Lines>796</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2026-05-05T07:56:00Z</dcterms:created>
  <dcterms:modified xsi:type="dcterms:W3CDTF">2026-05-05T07:56:00Z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P10_TA(2026)0126_</vt:lpwstr>
  </property>
  <property fmtid="{D5CDD505-2E9C-101B-9397-08002B2CF9AE}" pid="4" name="&lt;Type&gt;">
    <vt:lpwstr>RR</vt:lpwstr>
  </property>
</Properties>
</file>