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2B6B" w14:paraId="76F7FC0D" w14:textId="77777777" w:rsidTr="0010095E">
        <w:trPr>
          <w:trHeight w:hRule="exact" w:val="1418"/>
        </w:trPr>
        <w:tc>
          <w:tcPr>
            <w:tcW w:w="6804" w:type="dxa"/>
            <w:shd w:val="clear" w:color="auto" w:fill="auto"/>
            <w:vAlign w:val="center"/>
          </w:tcPr>
          <w:p w14:paraId="7791D95F" w14:textId="77777777" w:rsidR="00751A4A" w:rsidRPr="000B2B6B" w:rsidRDefault="009527FE" w:rsidP="0010095E">
            <w:pPr>
              <w:pStyle w:val="EPName"/>
            </w:pPr>
            <w:r w:rsidRPr="000B2B6B">
              <w:t>Euroopan parlamentti</w:t>
            </w:r>
          </w:p>
          <w:p w14:paraId="314D14B6" w14:textId="77777777" w:rsidR="00751A4A" w:rsidRPr="000B2B6B" w:rsidRDefault="005F1B17" w:rsidP="005F1B17">
            <w:pPr>
              <w:pStyle w:val="EPTerm"/>
              <w:rPr>
                <w:rStyle w:val="HideTWBExt"/>
                <w:noProof w:val="0"/>
                <w:vanish w:val="0"/>
                <w:color w:val="auto"/>
              </w:rPr>
            </w:pPr>
            <w:r w:rsidRPr="000B2B6B">
              <w:t>2024</w:t>
            </w:r>
            <w:r w:rsidR="00817416" w:rsidRPr="000B2B6B">
              <w:t>-202</w:t>
            </w:r>
            <w:r w:rsidRPr="000B2B6B">
              <w:t>9</w:t>
            </w:r>
          </w:p>
        </w:tc>
        <w:tc>
          <w:tcPr>
            <w:tcW w:w="2268" w:type="dxa"/>
            <w:shd w:val="clear" w:color="auto" w:fill="auto"/>
          </w:tcPr>
          <w:p w14:paraId="7520660D" w14:textId="77777777" w:rsidR="00751A4A" w:rsidRPr="000B2B6B" w:rsidRDefault="00187494" w:rsidP="0010095E">
            <w:pPr>
              <w:pStyle w:val="EPLogo"/>
            </w:pPr>
            <w:r w:rsidRPr="000B2B6B">
              <w:rPr>
                <w:noProof/>
                <w:lang w:eastAsia="ja-JP"/>
              </w:rPr>
              <w:drawing>
                <wp:inline distT="0" distB="0" distL="0" distR="0" wp14:anchorId="2BCEF0BD" wp14:editId="3CF650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8D7E54" w14:textId="77777777" w:rsidR="00D058B8" w:rsidRPr="000B2B6B" w:rsidRDefault="00D058B8" w:rsidP="004C5D52">
      <w:pPr>
        <w:pStyle w:val="LineTop"/>
      </w:pPr>
    </w:p>
    <w:p w14:paraId="29341CE1" w14:textId="77777777" w:rsidR="00680577" w:rsidRPr="000B2B6B" w:rsidRDefault="009527FE" w:rsidP="00680577">
      <w:pPr>
        <w:pStyle w:val="EPBodyTA1"/>
      </w:pPr>
      <w:r w:rsidRPr="000B2B6B">
        <w:t>HYVÄKSYTYT TEKSTIT</w:t>
      </w:r>
    </w:p>
    <w:p w14:paraId="4F44BEB3" w14:textId="77777777" w:rsidR="00D058B8" w:rsidRPr="000B2B6B" w:rsidRDefault="00D058B8" w:rsidP="00D058B8">
      <w:pPr>
        <w:pStyle w:val="LineBottom"/>
      </w:pPr>
    </w:p>
    <w:p w14:paraId="1B54C680" w14:textId="3226A0A0" w:rsidR="009527FE" w:rsidRPr="000B2B6B" w:rsidRDefault="009527FE" w:rsidP="009527FE">
      <w:pPr>
        <w:pStyle w:val="ATHeading1"/>
      </w:pPr>
      <w:bookmarkStart w:id="0" w:name="TANumber"/>
      <w:r w:rsidRPr="000B2B6B">
        <w:t>P10_TA(2026)0</w:t>
      </w:r>
      <w:r w:rsidR="002F1CE2" w:rsidRPr="000B2B6B">
        <w:t>126</w:t>
      </w:r>
      <w:bookmarkEnd w:id="0"/>
    </w:p>
    <w:p w14:paraId="1E4FDE70" w14:textId="64050D2B" w:rsidR="009527FE" w:rsidRPr="000B2B6B" w:rsidRDefault="009527FE" w:rsidP="009527FE">
      <w:pPr>
        <w:pStyle w:val="ATHeading2"/>
      </w:pPr>
      <w:bookmarkStart w:id="1" w:name="title"/>
      <w:r w:rsidRPr="000B2B6B">
        <w:t>Vastuuvapaus 2024</w:t>
      </w:r>
      <w:r w:rsidR="00994BCF" w:rsidRPr="000B2B6B">
        <w:t>: EU:n yleinen talousarvio</w:t>
      </w:r>
      <w:r w:rsidRPr="000B2B6B">
        <w:t xml:space="preserve"> – Euroopan parlamentti</w:t>
      </w:r>
      <w:bookmarkEnd w:id="1"/>
    </w:p>
    <w:p w14:paraId="79154287" w14:textId="77777777" w:rsidR="009527FE" w:rsidRPr="000B2B6B" w:rsidRDefault="009527FE" w:rsidP="009527FE">
      <w:pPr>
        <w:rPr>
          <w:i/>
          <w:vanish/>
        </w:rPr>
      </w:pPr>
      <w:r w:rsidRPr="000B2B6B">
        <w:rPr>
          <w:i/>
        </w:rPr>
        <w:fldChar w:fldCharType="begin"/>
      </w:r>
      <w:r w:rsidRPr="000B2B6B">
        <w:rPr>
          <w:i/>
        </w:rPr>
        <w:instrText xml:space="preserve"> TC"(</w:instrText>
      </w:r>
      <w:bookmarkStart w:id="2" w:name="DocNumber"/>
      <w:r w:rsidRPr="000B2B6B">
        <w:rPr>
          <w:i/>
        </w:rPr>
        <w:instrText>A10-0081/2026</w:instrText>
      </w:r>
      <w:bookmarkEnd w:id="2"/>
      <w:r w:rsidRPr="000B2B6B">
        <w:rPr>
          <w:i/>
        </w:rPr>
        <w:instrText xml:space="preserve"> - Esittelijä: </w:instrText>
      </w:r>
      <w:proofErr w:type="spellStart"/>
      <w:r w:rsidRPr="000B2B6B">
        <w:rPr>
          <w:i/>
        </w:rPr>
        <w:instrText>Gerben</w:instrText>
      </w:r>
      <w:proofErr w:type="spellEnd"/>
      <w:r w:rsidRPr="000B2B6B">
        <w:rPr>
          <w:i/>
        </w:rPr>
        <w:instrText xml:space="preserve">-Jan </w:instrText>
      </w:r>
      <w:proofErr w:type="spellStart"/>
      <w:r w:rsidRPr="000B2B6B">
        <w:rPr>
          <w:i/>
        </w:rPr>
        <w:instrText>Gerbrandy</w:instrText>
      </w:r>
      <w:proofErr w:type="spellEnd"/>
      <w:r w:rsidRPr="000B2B6B">
        <w:rPr>
          <w:i/>
        </w:rPr>
        <w:instrText xml:space="preserve">)"\l3 \n&gt; \* MERGEFORMAT </w:instrText>
      </w:r>
      <w:r w:rsidRPr="000B2B6B">
        <w:rPr>
          <w:i/>
        </w:rPr>
        <w:fldChar w:fldCharType="end"/>
      </w:r>
    </w:p>
    <w:p w14:paraId="3FA63F10" w14:textId="77777777" w:rsidR="009527FE" w:rsidRPr="000B2B6B" w:rsidRDefault="009527FE" w:rsidP="009527FE">
      <w:pPr>
        <w:rPr>
          <w:vanish/>
        </w:rPr>
      </w:pPr>
      <w:bookmarkStart w:id="3" w:name="Commission"/>
      <w:r w:rsidRPr="000B2B6B">
        <w:rPr>
          <w:vanish/>
        </w:rPr>
        <w:t>Talousarvion valvontavaliokunta</w:t>
      </w:r>
      <w:bookmarkEnd w:id="3"/>
    </w:p>
    <w:p w14:paraId="67CE12C4" w14:textId="77777777" w:rsidR="009527FE" w:rsidRPr="000B2B6B" w:rsidRDefault="009527FE" w:rsidP="009527FE">
      <w:pPr>
        <w:rPr>
          <w:vanish/>
        </w:rPr>
      </w:pPr>
      <w:bookmarkStart w:id="4" w:name="PE"/>
      <w:r w:rsidRPr="000B2B6B">
        <w:rPr>
          <w:vanish/>
        </w:rPr>
        <w:t>PE776.734</w:t>
      </w:r>
      <w:bookmarkEnd w:id="4"/>
    </w:p>
    <w:p w14:paraId="67B2CDC1" w14:textId="557FD665" w:rsidR="009527FE" w:rsidRPr="000B2B6B" w:rsidRDefault="009527FE" w:rsidP="009527FE">
      <w:pPr>
        <w:pStyle w:val="ATHeading3"/>
      </w:pPr>
      <w:bookmarkStart w:id="5" w:name="Sujet"/>
      <w:r w:rsidRPr="000B2B6B">
        <w:t>1. Euroopan parlamentin päätös 29. huhtikuuta 2026 vastuuvapauden myöntämisestä Euroopan unionin yleisen talousarvion toteuttamisesta varainhoitovuonna 2024, pääluokka I – Euroopan parlamentti</w:t>
      </w:r>
      <w:bookmarkEnd w:id="5"/>
      <w:r w:rsidRPr="000B2B6B">
        <w:t xml:space="preserve"> </w:t>
      </w:r>
      <w:bookmarkStart w:id="6" w:name="References"/>
      <w:r w:rsidRPr="000B2B6B">
        <w:t>(2025/2146(DEC))</w:t>
      </w:r>
      <w:bookmarkEnd w:id="6"/>
    </w:p>
    <w:p w14:paraId="18DD24F0" w14:textId="77777777" w:rsidR="00053BD5" w:rsidRPr="000B2B6B" w:rsidRDefault="00053BD5" w:rsidP="00053BD5">
      <w:pPr>
        <w:pStyle w:val="EPComma"/>
        <w:widowControl/>
        <w:rPr>
          <w:noProof/>
        </w:rPr>
      </w:pPr>
      <w:bookmarkStart w:id="7" w:name="TextBodyBegin"/>
      <w:bookmarkEnd w:id="7"/>
      <w:r w:rsidRPr="000B2B6B">
        <w:rPr>
          <w:i/>
        </w:rPr>
        <w:t>Euroopan parlamentti</w:t>
      </w:r>
      <w:r w:rsidRPr="000B2B6B">
        <w:t>, joka</w:t>
      </w:r>
    </w:p>
    <w:p w14:paraId="76DEC567" w14:textId="77777777" w:rsidR="00053BD5" w:rsidRPr="000B2B6B" w:rsidRDefault="00053BD5" w:rsidP="00053BD5">
      <w:pPr>
        <w:pStyle w:val="NormalHanging12a"/>
        <w:widowControl/>
        <w:rPr>
          <w:noProof/>
        </w:rPr>
      </w:pPr>
      <w:r w:rsidRPr="000B2B6B">
        <w:t>–</w:t>
      </w:r>
      <w:r w:rsidRPr="000B2B6B">
        <w:tab/>
        <w:t>ottaa huomioon Euroopan unionin yleisen talousarvion varainhoitovuodeksi 2024</w:t>
      </w:r>
      <w:r w:rsidRPr="000B2B6B">
        <w:rPr>
          <w:rStyle w:val="FootnoteReference"/>
          <w:noProof/>
        </w:rPr>
        <w:footnoteReference w:id="1"/>
      </w:r>
      <w:r w:rsidRPr="000B2B6B">
        <w:t>,</w:t>
      </w:r>
    </w:p>
    <w:p w14:paraId="5B4805CA" w14:textId="77777777" w:rsidR="00053BD5" w:rsidRPr="000B2B6B" w:rsidRDefault="00053BD5" w:rsidP="00053BD5">
      <w:pPr>
        <w:pStyle w:val="NormalHanging12a"/>
        <w:widowControl/>
        <w:rPr>
          <w:noProof/>
        </w:rPr>
      </w:pPr>
      <w:r w:rsidRPr="000B2B6B">
        <w:t>–</w:t>
      </w:r>
      <w:r w:rsidRPr="000B2B6B">
        <w:tab/>
        <w:t>ottaa huomioon Euroopan unionin konsolidoidun tilinpäätöksen varainhoitovuodelta 2024 (COM(2025)0359 – C10</w:t>
      </w:r>
      <w:r w:rsidRPr="000B2B6B">
        <w:noBreakHyphen/>
        <w:t>0146/2025)</w:t>
      </w:r>
      <w:r w:rsidRPr="000B2B6B">
        <w:rPr>
          <w:rStyle w:val="FootnoteReference"/>
          <w:noProof/>
        </w:rPr>
        <w:footnoteReference w:id="2"/>
      </w:r>
      <w:r w:rsidRPr="000B2B6B">
        <w:t>,</w:t>
      </w:r>
    </w:p>
    <w:p w14:paraId="7512FC82" w14:textId="77777777" w:rsidR="00053BD5" w:rsidRPr="000B2B6B" w:rsidRDefault="00053BD5" w:rsidP="00053BD5">
      <w:pPr>
        <w:pStyle w:val="NormalHanging12a"/>
        <w:widowControl/>
        <w:rPr>
          <w:noProof/>
        </w:rPr>
      </w:pPr>
      <w:r w:rsidRPr="000B2B6B">
        <w:t>–</w:t>
      </w:r>
      <w:r w:rsidRPr="000B2B6B">
        <w:tab/>
        <w:t>ottaa huomioon selvityksen talousarvio- ja varainhallinnosta varainhoitovuonna 2024, pääluokka I – Euroopan parlamentti</w:t>
      </w:r>
      <w:r w:rsidRPr="000B2B6B">
        <w:rPr>
          <w:rStyle w:val="FootnoteReference"/>
          <w:noProof/>
        </w:rPr>
        <w:footnoteReference w:id="3"/>
      </w:r>
      <w:r w:rsidRPr="000B2B6B">
        <w:t>,</w:t>
      </w:r>
    </w:p>
    <w:p w14:paraId="746DF72B" w14:textId="77777777" w:rsidR="00053BD5" w:rsidRPr="000B2B6B" w:rsidRDefault="00053BD5" w:rsidP="00053BD5">
      <w:pPr>
        <w:pStyle w:val="NormalHanging12a"/>
        <w:widowControl/>
        <w:rPr>
          <w:noProof/>
        </w:rPr>
      </w:pPr>
      <w:r w:rsidRPr="000B2B6B">
        <w:t>–</w:t>
      </w:r>
      <w:r w:rsidRPr="000B2B6B">
        <w:tab/>
        <w:t>ottaa huomioon sisäisen tarkastajan vuosikertomuksen varainhoitovuodelta 2024,</w:t>
      </w:r>
    </w:p>
    <w:p w14:paraId="39B014D9" w14:textId="77777777" w:rsidR="00053BD5" w:rsidRPr="000B2B6B" w:rsidRDefault="00053BD5" w:rsidP="00053BD5">
      <w:pPr>
        <w:pStyle w:val="NormalHanging12a"/>
        <w:widowControl/>
        <w:rPr>
          <w:noProof/>
        </w:rPr>
      </w:pPr>
      <w:r w:rsidRPr="000B2B6B">
        <w:t>–</w:t>
      </w:r>
      <w:r w:rsidRPr="000B2B6B">
        <w:tab/>
        <w:t>ottaa huomioon tilintarkastustuomioistuimen vuosikertomuksen talousarvion toteuttamisesta varainhoitovuonna 2024 sekä toimielinten vastaukset</w:t>
      </w:r>
      <w:r w:rsidRPr="000B2B6B">
        <w:rPr>
          <w:rStyle w:val="FootnoteReference"/>
          <w:noProof/>
        </w:rPr>
        <w:footnoteReference w:id="4"/>
      </w:r>
      <w:r w:rsidRPr="000B2B6B">
        <w:t>,</w:t>
      </w:r>
    </w:p>
    <w:p w14:paraId="331C95C9" w14:textId="77777777" w:rsidR="00053BD5" w:rsidRPr="000B2B6B" w:rsidRDefault="00053BD5" w:rsidP="00053BD5">
      <w:pPr>
        <w:pStyle w:val="NormalHanging12a"/>
        <w:widowControl/>
        <w:rPr>
          <w:noProof/>
        </w:rPr>
      </w:pPr>
      <w:r w:rsidRPr="000B2B6B">
        <w:t>–</w:t>
      </w:r>
      <w:r w:rsidRPr="000B2B6B">
        <w:tab/>
        <w:t>ottaa huomioon tilintarkastustuomioistuimen Euroopan unionin toiminnasta tehdyn sopimuksen 287 artiklan mukaisesti antaman varainhoitovuotta 2024 koskevan lausuman</w:t>
      </w:r>
      <w:r w:rsidRPr="000B2B6B">
        <w:rPr>
          <w:rStyle w:val="FootnoteReference"/>
          <w:noProof/>
        </w:rPr>
        <w:footnoteReference w:id="5"/>
      </w:r>
      <w:r w:rsidRPr="000B2B6B">
        <w:t xml:space="preserve"> tilien luotettavuudesta sekä tilien perustana olevien toimien laillisuudesta ja asianmukaisuudesta (sääntöjenmukaisuudesta),</w:t>
      </w:r>
    </w:p>
    <w:p w14:paraId="6AAB0866" w14:textId="77777777" w:rsidR="00053BD5" w:rsidRPr="000B2B6B" w:rsidRDefault="00053BD5" w:rsidP="00053BD5">
      <w:pPr>
        <w:pStyle w:val="NormalHanging12a"/>
        <w:widowControl/>
        <w:rPr>
          <w:noProof/>
        </w:rPr>
      </w:pPr>
      <w:r w:rsidRPr="000B2B6B">
        <w:t>–</w:t>
      </w:r>
      <w:r w:rsidRPr="000B2B6B">
        <w:tab/>
        <w:t>ottaa huomioon Euroopan unionin toiminnasta tehdyn sopimuksen 314 artiklan 10 kohdan ja 318 artiklan,</w:t>
      </w:r>
    </w:p>
    <w:p w14:paraId="3E6E1CBA" w14:textId="77777777" w:rsidR="00053BD5" w:rsidRPr="000B2B6B" w:rsidRDefault="00053BD5" w:rsidP="00053BD5">
      <w:pPr>
        <w:pStyle w:val="NormalHanging12a"/>
        <w:widowControl/>
        <w:rPr>
          <w:noProof/>
        </w:rPr>
      </w:pPr>
      <w:r w:rsidRPr="000B2B6B">
        <w:t>–</w:t>
      </w:r>
      <w:r w:rsidRPr="000B2B6B">
        <w:tab/>
        <w:t xml:space="preserve">ottaa huomioon unionin yleiseen talousarvioon sovellettavista varainhoitosäännöistä, asetusten (EU) N:o 1296/2013, (EU) N:o 1301/2013, (EU) N:o 1303/2013, (EU) N:o 1304/2013, (EU) N:o 1309/2013, (EU) N:o 1316/2013, (EU) N:o 223/2014, </w:t>
      </w:r>
      <w:r w:rsidRPr="000B2B6B">
        <w:lastRenderedPageBreak/>
        <w:t>(EU) N:o 283/2014 ja päätöksen N:o 541/2014/EU muuttamisesta sekä asetuksen (EU, Euratom) N:o 966/2012 kumoamisesta 18. heinäkuuta 2018 annetun Euroopan parlamentin ja neuvoston asetuksen (EU, Euratom) 2018/1046</w:t>
      </w:r>
      <w:r w:rsidRPr="000B2B6B">
        <w:rPr>
          <w:rStyle w:val="FootnoteReference"/>
          <w:noProof/>
        </w:rPr>
        <w:footnoteReference w:id="6"/>
      </w:r>
      <w:r w:rsidRPr="000B2B6B">
        <w:t xml:space="preserve"> ja erityisesti sen 260, 261 ja 262 artiklan,</w:t>
      </w:r>
    </w:p>
    <w:p w14:paraId="2150E616" w14:textId="77777777" w:rsidR="00053BD5" w:rsidRPr="000B2B6B" w:rsidRDefault="00053BD5" w:rsidP="00053BD5">
      <w:pPr>
        <w:pStyle w:val="NormalHanging12a"/>
        <w:widowControl/>
        <w:rPr>
          <w:noProof/>
        </w:rPr>
      </w:pPr>
      <w:r w:rsidRPr="000B2B6B">
        <w:t>–</w:t>
      </w:r>
      <w:r w:rsidRPr="000B2B6B">
        <w:tab/>
        <w:t>ottaa huomioon unionin yleiseen talousarvioon sovellettavista varainhoitosäännöistä 23. syyskuuta 2024 annetun Euroopan parlamentin ja neuvoston asetuksen (EU, Euratom) 2024/2509</w:t>
      </w:r>
      <w:r w:rsidRPr="000B2B6B">
        <w:rPr>
          <w:rStyle w:val="FootnoteReference"/>
          <w:noProof/>
        </w:rPr>
        <w:footnoteReference w:id="7"/>
      </w:r>
      <w:r w:rsidRPr="000B2B6B">
        <w:t xml:space="preserve"> ja erityisesti sen 266, 267 ja 268 artiklan,</w:t>
      </w:r>
    </w:p>
    <w:p w14:paraId="37979DA7" w14:textId="77777777" w:rsidR="00053BD5" w:rsidRPr="000B2B6B" w:rsidRDefault="00053BD5" w:rsidP="00053BD5">
      <w:pPr>
        <w:pStyle w:val="NormalHanging12a"/>
        <w:widowControl/>
        <w:rPr>
          <w:noProof/>
        </w:rPr>
      </w:pPr>
      <w:r w:rsidRPr="000B2B6B">
        <w:t>–</w:t>
      </w:r>
      <w:r w:rsidRPr="000B2B6B">
        <w:tab/>
        <w:t>ottaa huomioon Euroopan parlamentin talousarvion toteuttamista koskevista sisäisistä säännöistä 10. joulukuuta 2018 tehdyn puhemiehistön päätöksen ja erityisesti sen 34 artiklan,</w:t>
      </w:r>
    </w:p>
    <w:p w14:paraId="4E87EA55" w14:textId="77777777" w:rsidR="00053BD5" w:rsidRPr="000B2B6B" w:rsidRDefault="00053BD5" w:rsidP="00053BD5">
      <w:pPr>
        <w:pStyle w:val="NormalHanging12a"/>
        <w:widowControl/>
        <w:rPr>
          <w:noProof/>
        </w:rPr>
      </w:pPr>
      <w:r w:rsidRPr="000B2B6B">
        <w:t>–</w:t>
      </w:r>
      <w:r w:rsidRPr="000B2B6B">
        <w:tab/>
        <w:t>ottaa huomioon työjärjestyksen 102 artiklan, 106 artiklan 3 kohdan ja liitteen V,</w:t>
      </w:r>
    </w:p>
    <w:p w14:paraId="4F35907A" w14:textId="77777777" w:rsidR="00053BD5" w:rsidRPr="000B2B6B" w:rsidRDefault="00053BD5" w:rsidP="00053BD5">
      <w:pPr>
        <w:pStyle w:val="NormalHanging12a"/>
        <w:widowControl/>
      </w:pPr>
      <w:r w:rsidRPr="000B2B6B">
        <w:t>–</w:t>
      </w:r>
      <w:r w:rsidRPr="000B2B6B">
        <w:tab/>
        <w:t>ottaa huomioon naisten oikeuksien ja sukupuolten tasa-arvon valiokunnan lausunnon,</w:t>
      </w:r>
    </w:p>
    <w:p w14:paraId="54F46ABE" w14:textId="77777777" w:rsidR="00053BD5" w:rsidRPr="000B2B6B" w:rsidRDefault="00053BD5" w:rsidP="00053BD5">
      <w:pPr>
        <w:pStyle w:val="NormalHanging12a"/>
        <w:widowControl/>
      </w:pPr>
      <w:r w:rsidRPr="000B2B6B">
        <w:t>–</w:t>
      </w:r>
      <w:r w:rsidRPr="000B2B6B">
        <w:tab/>
        <w:t>ottaa huomioon talousarvion valvontavaliokunnan mietinnön (A10-0081/2026),</w:t>
      </w:r>
    </w:p>
    <w:p w14:paraId="3FAFCD5F" w14:textId="77777777" w:rsidR="00053BD5" w:rsidRPr="000B2B6B" w:rsidRDefault="00053BD5" w:rsidP="00053BD5">
      <w:pPr>
        <w:pStyle w:val="NormalHanging12a"/>
        <w:widowControl/>
        <w:rPr>
          <w:noProof/>
        </w:rPr>
      </w:pPr>
      <w:r w:rsidRPr="000B2B6B">
        <w:t>1.</w:t>
      </w:r>
      <w:r w:rsidRPr="000B2B6B">
        <w:tab/>
        <w:t>myöntää puhemiehelle vastuuvapauden Euroopan parlamentin talousarvion toteuttamisesta varainhoitovuonna 2024;</w:t>
      </w:r>
    </w:p>
    <w:p w14:paraId="566680E3" w14:textId="77777777" w:rsidR="00053BD5" w:rsidRPr="000B2B6B" w:rsidRDefault="00053BD5" w:rsidP="00053BD5">
      <w:pPr>
        <w:pStyle w:val="NormalHanging12a"/>
        <w:widowControl/>
        <w:rPr>
          <w:noProof/>
        </w:rPr>
      </w:pPr>
      <w:r w:rsidRPr="000B2B6B">
        <w:t>2.</w:t>
      </w:r>
      <w:r w:rsidRPr="000B2B6B">
        <w:tab/>
        <w:t>esittää huomautuksensa oheisessa päätöslauselmassa;</w:t>
      </w:r>
    </w:p>
    <w:p w14:paraId="356B7A54" w14:textId="77777777" w:rsidR="00053BD5" w:rsidRPr="000B2B6B" w:rsidRDefault="00053BD5" w:rsidP="00053BD5">
      <w:pPr>
        <w:pStyle w:val="NormalHanging12a"/>
        <w:widowControl/>
        <w:rPr>
          <w:noProof/>
        </w:rPr>
      </w:pPr>
      <w:r w:rsidRPr="000B2B6B">
        <w:t>3.</w:t>
      </w:r>
      <w:r w:rsidRPr="000B2B6B">
        <w:tab/>
        <w:t xml:space="preserve">kehottaa puhemiestä välittämään tämän päätöksen ja siihen erottamattomasti kuuluvan päätöslauselman neuvostolle, komissiolle ja tilintarkastustuomioistuimelle sekä huolehtimaan niiden julkaisemisesta </w:t>
      </w:r>
      <w:r w:rsidRPr="000B2B6B">
        <w:rPr>
          <w:i/>
          <w:iCs/>
        </w:rPr>
        <w:t>Euroopan unionin virallisessa lehdessä</w:t>
      </w:r>
      <w:r w:rsidRPr="000B2B6B">
        <w:t xml:space="preserve"> (L-sarja).</w:t>
      </w:r>
    </w:p>
    <w:p w14:paraId="7740B7A3" w14:textId="77777777" w:rsidR="00053BD5" w:rsidRPr="000B2B6B" w:rsidRDefault="00053BD5" w:rsidP="00053BD5">
      <w:pPr>
        <w:widowControl/>
      </w:pPr>
    </w:p>
    <w:p w14:paraId="08D1E13A" w14:textId="77777777" w:rsidR="00053BD5" w:rsidRPr="000B2B6B" w:rsidRDefault="00053BD5" w:rsidP="00053BD5">
      <w:pPr>
        <w:pStyle w:val="PageHeading"/>
        <w:widowControl/>
        <w:sectPr w:rsidR="00053BD5" w:rsidRPr="000B2B6B" w:rsidSect="00007BE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B3B444" w14:textId="1296DC1C" w:rsidR="00053BD5" w:rsidRPr="000B2B6B" w:rsidRDefault="00DC0FD8" w:rsidP="00DC0FD8">
      <w:pPr>
        <w:pStyle w:val="ATHeading3"/>
        <w:rPr>
          <w:noProof/>
        </w:rPr>
      </w:pPr>
      <w:r w:rsidRPr="000B2B6B">
        <w:lastRenderedPageBreak/>
        <w:t xml:space="preserve">2. Euroopan parlamentin päätöslauselma 29. huhtikuuta 2026, </w:t>
      </w:r>
      <w:r w:rsidR="00053BD5" w:rsidRPr="000B2B6B">
        <w:t>joka sisältää huomautuks</w:t>
      </w:r>
      <w:r w:rsidR="000A634B" w:rsidRPr="000B2B6B">
        <w:t>et</w:t>
      </w:r>
      <w:r w:rsidR="00053BD5" w:rsidRPr="000B2B6B">
        <w:t>, jotka ovat erottamaton osa päätöstä vastuuvapauden myöntämisestä Euroopan unionin yleisen talousarvion toteuttamisesta varainhoitovuonna 2024, pääluokka I – Euroopan parlamentti</w:t>
      </w:r>
      <w:r w:rsidRPr="000B2B6B">
        <w:t xml:space="preserve"> </w:t>
      </w:r>
      <w:r w:rsidR="00053BD5" w:rsidRPr="000B2B6B">
        <w:t>(2025/2146(DEC))</w:t>
      </w:r>
    </w:p>
    <w:p w14:paraId="1A176794" w14:textId="77777777" w:rsidR="00053BD5" w:rsidRPr="000B2B6B" w:rsidRDefault="00053BD5" w:rsidP="00053BD5">
      <w:pPr>
        <w:pStyle w:val="EPComma"/>
        <w:widowControl/>
        <w:rPr>
          <w:noProof/>
        </w:rPr>
      </w:pPr>
      <w:r w:rsidRPr="000B2B6B">
        <w:rPr>
          <w:i/>
        </w:rPr>
        <w:t>Euroopan parlamentti</w:t>
      </w:r>
      <w:r w:rsidRPr="000B2B6B">
        <w:t>, joka</w:t>
      </w:r>
    </w:p>
    <w:p w14:paraId="0EED4833" w14:textId="77777777" w:rsidR="00053BD5" w:rsidRPr="000B2B6B" w:rsidRDefault="00053BD5" w:rsidP="00053BD5">
      <w:pPr>
        <w:pStyle w:val="NormalHanging12a"/>
        <w:widowControl/>
        <w:rPr>
          <w:noProof/>
        </w:rPr>
      </w:pPr>
      <w:r w:rsidRPr="000B2B6B">
        <w:t>–</w:t>
      </w:r>
      <w:r w:rsidRPr="000B2B6B">
        <w:tab/>
        <w:t>ottaa huomioon päätöksensä vastuuvapauden myöntämisestä Euroopan unionin yleisen talousarvion toteuttamisesta varainhoitovuonna 2024, pääluokka I – Euroopan parlamentti,</w:t>
      </w:r>
    </w:p>
    <w:p w14:paraId="3FF77F2E" w14:textId="77777777" w:rsidR="00053BD5" w:rsidRPr="000B2B6B" w:rsidRDefault="00053BD5" w:rsidP="00053BD5">
      <w:pPr>
        <w:pStyle w:val="NormalHanging12a"/>
        <w:widowControl/>
        <w:rPr>
          <w:noProof/>
        </w:rPr>
      </w:pPr>
      <w:r w:rsidRPr="000B2B6B">
        <w:t>–</w:t>
      </w:r>
      <w:r w:rsidRPr="000B2B6B">
        <w:tab/>
        <w:t>ottaa huomioon työjärjestyksen 102 artiklan, 106 artiklan 3 kohdan ja liitteen V,</w:t>
      </w:r>
    </w:p>
    <w:p w14:paraId="14D6D976" w14:textId="77777777" w:rsidR="00053BD5" w:rsidRPr="000B2B6B" w:rsidRDefault="00053BD5" w:rsidP="00053BD5">
      <w:pPr>
        <w:pStyle w:val="NormalHanging12a"/>
        <w:widowControl/>
      </w:pPr>
      <w:r w:rsidRPr="000B2B6B">
        <w:t>–</w:t>
      </w:r>
      <w:r w:rsidRPr="000B2B6B">
        <w:tab/>
        <w:t>ottaa huomioon naisten oikeuksien ja sukupuolten tasa-arvon valiokunnan lausunnon,</w:t>
      </w:r>
    </w:p>
    <w:p w14:paraId="11613DDD" w14:textId="77777777" w:rsidR="00053BD5" w:rsidRPr="000B2B6B" w:rsidRDefault="00053BD5" w:rsidP="00053BD5">
      <w:pPr>
        <w:pStyle w:val="NormalHanging12a"/>
        <w:widowControl/>
      </w:pPr>
      <w:r w:rsidRPr="000B2B6B">
        <w:t>–</w:t>
      </w:r>
      <w:r w:rsidRPr="000B2B6B">
        <w:tab/>
        <w:t>ottaa huomioon talousarvion valvontavaliokunnan mietinnön (A10-0081/2026),</w:t>
      </w:r>
    </w:p>
    <w:p w14:paraId="5A8F1163" w14:textId="77777777" w:rsidR="00053BD5" w:rsidRPr="000B2B6B" w:rsidRDefault="00053BD5" w:rsidP="00053BD5">
      <w:pPr>
        <w:pStyle w:val="NormalHanging12a"/>
        <w:widowControl/>
        <w:rPr>
          <w:noProof/>
        </w:rPr>
      </w:pPr>
      <w:r w:rsidRPr="000B2B6B">
        <w:t>A.</w:t>
      </w:r>
      <w:r w:rsidRPr="000B2B6B">
        <w:tab/>
        <w:t>panee merkille, että Euroopan parlamentin tilinpitäjä vakuutti lopullista tilinpäätöstä varmentaessaan saaneensa kohtuullisen varmuuden siitä, että tilinpäätös antaa kaikilta olennaisilta osiltaan oikeat ja riittävät tiedot parlamentin taloudellisesta asemasta, toimien tuloksista ja rahavirroista;</w:t>
      </w:r>
    </w:p>
    <w:p w14:paraId="3D9AF575" w14:textId="77777777" w:rsidR="00053BD5" w:rsidRPr="000B2B6B" w:rsidRDefault="00053BD5" w:rsidP="00053BD5">
      <w:pPr>
        <w:pStyle w:val="NormalHanging12a"/>
        <w:widowControl/>
        <w:rPr>
          <w:noProof/>
        </w:rPr>
      </w:pPr>
      <w:r w:rsidRPr="000B2B6B">
        <w:t>B.</w:t>
      </w:r>
      <w:r w:rsidRPr="000B2B6B">
        <w:tab/>
        <w:t>ottaa huomioon, että parlamentin hallinnolle lähetettiin tavanomaista menettelyä noudattaen 55 kysymystä ja saaduista kirjallisista vastauksista keskusteltiin talousarvion valvontavaliokunnan avoimessa kokouksessa 8. joulukuuta 2025 pääsihteerin, talousarviosta vastaavien parlamentin varapuhemiesten, sisäisen tarkastajan sekä Euroopan tason poliittisista puolueista ja Euroopan tason poliittisista säätiöistä vastaavan viranomaisen johtajan läsnä ollessa;</w:t>
      </w:r>
    </w:p>
    <w:p w14:paraId="7CC751F5" w14:textId="77777777" w:rsidR="00053BD5" w:rsidRPr="000B2B6B" w:rsidRDefault="00053BD5" w:rsidP="00053BD5">
      <w:pPr>
        <w:pStyle w:val="NormalHanging12a"/>
        <w:widowControl/>
      </w:pPr>
      <w:r w:rsidRPr="000B2B6B">
        <w:t>C.</w:t>
      </w:r>
      <w:r w:rsidRPr="000B2B6B">
        <w:tab/>
        <w:t>toteaa, että parantamisen varaa on aina ja valvontaa tarvitaan poliittisen johdon, jäsenten ja parlamentin hallinnon avoimuuden ja lahjomattomuuden varmistamiseksi ja siten sen takaamiseksi, että ne ovat vastuuvelvollisia unionin kansalaisille, ja sillä edistetään julkisen varainhoidon laadun, tehokkuuden ja vaikuttavuuden parantamista, julkisen talouden kurinalaisuus mukaan lukien, ja turvataan parlamentin uskottavuus sen hoitaessa vastuuvapaustehtäväänsä muihin toimielimiin nähden;</w:t>
      </w:r>
    </w:p>
    <w:p w14:paraId="05A016A6" w14:textId="77777777" w:rsidR="00053BD5" w:rsidRPr="000B2B6B" w:rsidRDefault="00053BD5" w:rsidP="00053BD5">
      <w:pPr>
        <w:pStyle w:val="NormalHanging12a"/>
        <w:widowControl/>
      </w:pPr>
      <w:r w:rsidRPr="000B2B6B">
        <w:t>D.</w:t>
      </w:r>
      <w:r w:rsidRPr="000B2B6B">
        <w:tab/>
        <w:t xml:space="preserve">toteaa, että oikeusvarmuus on yksi hallinnollisten päätösten täytäntöönpanoa ohjaavista periaatteista; katsoo, että sääntöjen ja velvoitteiden määrän jatkuva kasvu voi aiheuttaa hämmennystä ja monitulkintaisuutta ja että jäsenet ja heidän toimistonsa tarvitsevat oikeusvarmuutta, minkä vuoksi hallinnon viestinnän on oltava selkeää, ymmärrettävää ja oikeudellisesti luotettavaa; </w:t>
      </w:r>
    </w:p>
    <w:p w14:paraId="69918E7B" w14:textId="77777777" w:rsidR="00053BD5" w:rsidRPr="000B2B6B" w:rsidRDefault="00053BD5" w:rsidP="00053BD5">
      <w:pPr>
        <w:pStyle w:val="NormalHanging12a"/>
        <w:widowControl/>
      </w:pPr>
      <w:r w:rsidRPr="000B2B6B">
        <w:t>E.</w:t>
      </w:r>
      <w:r w:rsidRPr="000B2B6B">
        <w:tab/>
        <w:t>toteaa, että jäsenten on saatava hallinnolta taloudellista ja logistista tukea voidakseen hoitaa edustajantoimensa kaikilta osin; toteaa, että jäsenten, heidän toimistojensa ja hallinnon väliset suhteet perustuvat keskinäiseen luottamukseen, minkä olisi oltava ohjaava periaate, kun jäsenille annetaan taloudellista tukea; katsoo, että tämän olisi heijastuttava hallinnon suorittamien ennakko- ja jälkitarkastusten tasoon; pitää selvänä, että selkeät, oikeasuhteiset, kohdennetut, vakioidut ja yksinkertaistetut menettelyt ovat paras ja vaikuttavin tapa tarkastella ja valvoa taloudellisia etuuksia ja että perimmäisenä tavoitteena on taata mahdollisimman suuri avoimuus ja vastuuvelvollisuus, parantaa demokraattista legitimiteettiä ja siten lisätä unionin kansalaisten luottamusta;</w:t>
      </w:r>
    </w:p>
    <w:p w14:paraId="1013FD06" w14:textId="77777777" w:rsidR="00053BD5" w:rsidRPr="000B2B6B" w:rsidRDefault="00053BD5" w:rsidP="00053BD5">
      <w:pPr>
        <w:pStyle w:val="NormalHanging12a"/>
        <w:widowControl/>
      </w:pPr>
      <w:r w:rsidRPr="000B2B6B">
        <w:lastRenderedPageBreak/>
        <w:t>F.</w:t>
      </w:r>
      <w:r w:rsidRPr="000B2B6B">
        <w:tab/>
        <w:t xml:space="preserve">toteaa, että luottamus parlamentin lahjomattomuuteen ja oikeusvaltioon on eurooppalaisen demokratian toiminnan kannalta ensiarvoisen tärkeää ja että samalla kansalaisten oikeuksia on kunnioitettava kaikilta osin; </w:t>
      </w:r>
    </w:p>
    <w:p w14:paraId="69DE77B7" w14:textId="77777777" w:rsidR="00053BD5" w:rsidRPr="000B2B6B" w:rsidRDefault="00053BD5" w:rsidP="00053BD5">
      <w:pPr>
        <w:pStyle w:val="NormalHanging12a"/>
        <w:widowControl/>
      </w:pPr>
      <w:r w:rsidRPr="000B2B6B">
        <w:t>G.</w:t>
      </w:r>
      <w:r w:rsidRPr="000B2B6B">
        <w:tab/>
        <w:t>toteaa, että jäsenten suojaamiseksi heidät on vapautettu vastuusta annettujen äänten ja tehtävien hoidon yhteydessä ilmaistujen mielipiteiden osalta ja heidät on suojattu syytetoimilta ja heidän henkilökohtaisen vapautensa rajoittamiselta heidän hoitaessaan tehtäviään parlamentissa;</w:t>
      </w:r>
    </w:p>
    <w:p w14:paraId="16A38B96" w14:textId="6A7AE546" w:rsidR="00053BD5" w:rsidRPr="000B2B6B" w:rsidRDefault="00053BD5" w:rsidP="00053BD5">
      <w:pPr>
        <w:pStyle w:val="NormalHanging12a"/>
        <w:widowControl/>
      </w:pPr>
      <w:r w:rsidRPr="000B2B6B">
        <w:t>H.</w:t>
      </w:r>
      <w:r w:rsidRPr="000B2B6B">
        <w:tab/>
        <w:t>ottaa huomioon, että sukupuolten tasa-arvo ja epätasa-arvon poistaminen ovat unionin keskeisiä arvoja, jotka on vahvistettu Euroopan unionista tehdyn sopimuksen (SEU) 2 artiklassa; ottaa huomioon, että unioni on sitoutunut edistämään sukupuolten tasa</w:t>
      </w:r>
      <w:r w:rsidRPr="000B2B6B">
        <w:noBreakHyphen/>
        <w:t>arvoa kaikissa toimissaan Euroopan unionin toiminnasta tehdyn sopimuksen 8 artiklan mukaisesti, jonka nojalla vahvistetaan sukupuolten tasa-arvon valtavirtaistamisen ja sukupuolitietoisen budjetoinnin periaate;</w:t>
      </w:r>
    </w:p>
    <w:p w14:paraId="1B2EC6BF" w14:textId="77777777" w:rsidR="00053BD5" w:rsidRPr="000B2B6B" w:rsidRDefault="00053BD5" w:rsidP="00053BD5">
      <w:pPr>
        <w:pStyle w:val="NormalHanging12a"/>
        <w:widowControl/>
      </w:pPr>
      <w:r w:rsidRPr="000B2B6B">
        <w:t>I.</w:t>
      </w:r>
      <w:r w:rsidRPr="000B2B6B">
        <w:tab/>
        <w:t>ottaa huomioon, että puhemiehistö hyväksyy työjärjestyksen 249 artiklan mukaisesti sukupuolten tasa-arvon edistämistä koskevan toimintasuunnitelman, jolla pyritään sisällyttämään sukupuolinäkökulma kaikkeen parlamentin toimintaan;</w:t>
      </w:r>
    </w:p>
    <w:p w14:paraId="6C8B4B46" w14:textId="77777777" w:rsidR="00053BD5" w:rsidRPr="000B2B6B" w:rsidRDefault="00053BD5" w:rsidP="00DC0FD8">
      <w:pPr>
        <w:keepNext/>
        <w:widowControl/>
        <w:spacing w:after="240"/>
        <w:rPr>
          <w:b/>
          <w:bCs/>
          <w:i/>
          <w:iCs/>
          <w14:textOutline w14:w="0" w14:cap="flat" w14:cmpd="sng" w14:algn="ctr">
            <w14:noFill/>
            <w14:prstDash w14:val="solid"/>
            <w14:bevel/>
          </w14:textOutline>
        </w:rPr>
      </w:pPr>
      <w:r w:rsidRPr="000B2B6B">
        <w:rPr>
          <w:b/>
          <w:i/>
          <w14:textOutline w14:w="0" w14:cap="flat" w14:cmpd="sng" w14:algn="ctr">
            <w14:noFill/>
            <w14:prstDash w14:val="solid"/>
            <w14:bevel/>
          </w14:textOutline>
        </w:rPr>
        <w:t>Parlamentin talousarvio- ja varainhallinto</w:t>
      </w:r>
    </w:p>
    <w:p w14:paraId="36D3BDFB" w14:textId="77777777"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1</w:t>
      </w:r>
      <w:r w:rsidRPr="000B2B6B">
        <w:t>.</w:t>
      </w:r>
      <w:r w:rsidRPr="000B2B6B">
        <w:rPr>
          <w14:textOutline w14:w="0" w14:cap="flat" w14:cmpd="sng" w14:algn="ctr">
            <w14:noFill/>
            <w14:prstDash w14:val="solid"/>
            <w14:bevel/>
          </w14:textOutline>
        </w:rPr>
        <w:tab/>
      </w:r>
      <w:r w:rsidRPr="000B2B6B">
        <w:t>panee merkille, että parlamentin lopullinen talousarvio vuodeksi 2024 oli yhteensä 2 383 miljoonaa euroa eli 20,2 prosenttia monivuotisen rahoituskehyksen</w:t>
      </w:r>
      <w:r w:rsidRPr="000B2B6B">
        <w:rPr>
          <w:rStyle w:val="FootnoteReference"/>
        </w:rPr>
        <w:footnoteReference w:id="8"/>
      </w:r>
      <w:r w:rsidRPr="000B2B6B">
        <w:t xml:space="preserve"> otsakkeesta 7, johon sisältyivät kaikki unionin toimielinten hallintomenot vuonna 2024, ja toteaa, että kasvua vuoden 2023 talousarvioon verrattuna (2 247 miljoonaa euroa) oli 6,05 prosenttia;</w:t>
      </w:r>
    </w:p>
    <w:p w14:paraId="742C2245" w14:textId="77777777"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2</w:t>
      </w:r>
      <w:r w:rsidRPr="000B2B6B">
        <w:t>.</w:t>
      </w:r>
      <w:r w:rsidRPr="000B2B6B">
        <w:rPr>
          <w14:textOutline w14:w="0" w14:cap="flat" w14:cmpd="sng" w14:algn="ctr">
            <w14:noFill/>
            <w14:prstDash w14:val="solid"/>
            <w14:bevel/>
          </w14:textOutline>
        </w:rPr>
        <w:tab/>
      </w:r>
      <w:r w:rsidRPr="000B2B6B">
        <w:t>ottaa huomioon, että tileihin kirjattuja tuloja oli 31. joulukuuta 2024 yhteensä 281 517 001 euroa (255 205 473 euroa vuonna 2023);</w:t>
      </w:r>
      <w:r w:rsidRPr="000B2B6B">
        <w:rPr>
          <w14:textOutline w14:w="0" w14:cap="flat" w14:cmpd="sng" w14:algn="ctr">
            <w14:noFill/>
            <w14:prstDash w14:val="solid"/>
            <w14:bevel/>
          </w14:textOutline>
        </w:rPr>
        <w:t xml:space="preserve"> </w:t>
      </w:r>
      <w:r w:rsidRPr="000B2B6B">
        <w:t>ottaa huomioon, että vuonna 2024 käyttötarkoitukseensa sidottuja tuloja oli 40 277 555 euroa (50 186 995 euroa vuonna 2023);</w:t>
      </w:r>
    </w:p>
    <w:p w14:paraId="5C2B93F8" w14:textId="77777777"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3</w:t>
      </w:r>
      <w:r w:rsidRPr="000B2B6B">
        <w:t>.</w:t>
      </w:r>
      <w:r w:rsidRPr="000B2B6B">
        <w:rPr>
          <w14:textOutline w14:w="0" w14:cap="flat" w14:cmpd="sng" w14:algn="ctr">
            <w14:noFill/>
            <w14:prstDash w14:val="solid"/>
            <w14:bevel/>
          </w14:textOutline>
        </w:rPr>
        <w:tab/>
      </w:r>
      <w:r w:rsidRPr="000B2B6B">
        <w:t>toteaa, että seuraavat talousarvion kuusi lukua muodostivat 85,7 prosenttia kaikista maksusitoumuksista:</w:t>
      </w:r>
      <w:r w:rsidRPr="000B2B6B">
        <w:rPr>
          <w14:textOutline w14:w="0" w14:cap="flat" w14:cmpd="sng" w14:algn="ctr">
            <w14:noFill/>
            <w14:prstDash w14:val="solid"/>
            <w14:bevel/>
          </w14:textOutline>
        </w:rPr>
        <w:t xml:space="preserve"> </w:t>
      </w:r>
      <w:r w:rsidRPr="000B2B6B">
        <w:t>luku 1 0 – Toimielimen jäsenet, luku 1 2 – Virkamiehet ja väliaikaiset toimihenkilöt, luku 1 4 – Muu henkilöstö ja ulkoiset palvelut, luku 2 0 – Kiinteistöt ja niiden liitännäiskulut, luku 2 1 – Tietojenkäsittely, laitteet ja irtain omaisuus ja luku 4 2 – Parlamentin jäsenten avustajiin liittyvät menot;</w:t>
      </w:r>
    </w:p>
    <w:p w14:paraId="0ED8884F" w14:textId="77777777"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4.</w:t>
      </w:r>
      <w:r w:rsidRPr="000B2B6B">
        <w:rPr>
          <w14:textOutline w14:w="0" w14:cap="flat" w14:cmpd="sng" w14:algn="ctr">
            <w14:noFill/>
            <w14:prstDash w14:val="solid"/>
            <w14:bevel/>
          </w14:textOutline>
        </w:rPr>
        <w:tab/>
        <w:t>panee merkille numerotiedot, joiden perusteella parlamentin tilit varainhoitovuodelta 2024 päätettiin ja joista raportoidaan Euroopan parlamentin tilinpäätöksessä varainhoitovuodelta 2024, selvityksessä talousarvio- ja varainhallinnosta, pääluokka I: Euroopan parlamentti ja kertomuksessa Euroopan parlamentin tekemistä hankintasopimuksista ja käyttöoikeussopimuksista;</w:t>
      </w:r>
    </w:p>
    <w:p w14:paraId="23F1F1CD" w14:textId="77777777"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5</w:t>
      </w:r>
      <w:r w:rsidRPr="000B2B6B">
        <w:t>.</w:t>
      </w:r>
      <w:r w:rsidRPr="000B2B6B">
        <w:rPr>
          <w14:textOutline w14:w="0" w14:cap="flat" w14:cmpd="sng" w14:algn="ctr">
            <w14:noFill/>
            <w14:prstDash w14:val="solid"/>
            <w14:bevel/>
          </w14:textOutline>
        </w:rPr>
        <w:tab/>
      </w:r>
      <w:r w:rsidRPr="000B2B6B">
        <w:t>toteaa, että varainhoitovuonna 2024 parlamentin budjettivaliokunta hyväksyi 12 varainhoitoasetuksen 31 ja 49 artiklan mukaista siirtoa (niin sanotut C-siirrot), joiden kokonaismäärä oli 82 768 000 euroa eli 3,47 prosenttia lopullisista määrärahoista;</w:t>
      </w:r>
      <w:r w:rsidRPr="000B2B6B">
        <w:rPr>
          <w14:textOutline w14:w="0" w14:cap="flat" w14:cmpd="sng" w14:algn="ctr">
            <w14:noFill/>
            <w14:prstDash w14:val="solid"/>
            <w14:bevel/>
          </w14:textOutline>
        </w:rPr>
        <w:t xml:space="preserve"> </w:t>
      </w:r>
      <w:r w:rsidRPr="000B2B6B">
        <w:t xml:space="preserve">panee merkille, että puhemies hyväksyi 9 varainhoitoasetuksen 29 artiklan mukaista siirtoa </w:t>
      </w:r>
      <w:r w:rsidRPr="000B2B6B">
        <w:lastRenderedPageBreak/>
        <w:t>(niin sanotut P-siirrot), joiden kokonaismäärä oli 11 479 000 euroa eli 0,4 prosenttia vuoden 2024 talousarviosta;</w:t>
      </w:r>
    </w:p>
    <w:p w14:paraId="13D61AAB" w14:textId="77777777" w:rsidR="00053BD5" w:rsidRPr="000B2B6B" w:rsidRDefault="00053BD5" w:rsidP="00053BD5">
      <w:pPr>
        <w:widowControl/>
        <w:spacing w:after="240"/>
        <w:ind w:left="567" w:hanging="567"/>
      </w:pPr>
      <w:r w:rsidRPr="000B2B6B">
        <w:rPr>
          <w14:textOutline w14:w="0" w14:cap="flat" w14:cmpd="sng" w14:algn="ctr">
            <w14:noFill/>
            <w14:prstDash w14:val="solid"/>
            <w14:bevel/>
          </w14:textOutline>
        </w:rPr>
        <w:t>6</w:t>
      </w:r>
      <w:r w:rsidRPr="000B2B6B">
        <w:t>.</w:t>
      </w:r>
      <w:r w:rsidRPr="000B2B6B">
        <w:rPr>
          <w14:textOutline w14:w="0" w14:cap="flat" w14:cmpd="sng" w14:algn="ctr">
            <w14:noFill/>
            <w14:prstDash w14:val="solid"/>
            <w14:bevel/>
          </w14:textOutline>
        </w:rPr>
        <w:tab/>
      </w:r>
      <w:r w:rsidRPr="000B2B6B">
        <w:t>pitää myönteisenä, että pääsihteeri on sitoutunut yksinkertaistamiseen, hyvään hallintoon ja parlamentin valvontatehtävän vahvistamiseen; panee tyytyväisenä merkille, että yksinkertaistamista ei pidetä yksinomaan saavutettavana tavoitteena vaan ohjaavana periaatteena, jota on sovellettava järjestelmällisesti kaikilla parlamentin toiminnan aloilla ja jolla varmistetaan vaikuttavammat ja saavutettavammat (hallinnolliset) prosessit; pitää myönteisenä sitä, että painopiste on edelleen parlamentin ydintoiminnassa eli sen lainsäädäntö-, talousarvio- ja valvontatoimissa, sekä erityisesti sitä, että on perustettu neljä temaattista pääosastoa, mukaan lukien talousarvioasioiden pääosasto;</w:t>
      </w:r>
    </w:p>
    <w:p w14:paraId="17C9D9C1" w14:textId="77777777" w:rsidR="00053BD5" w:rsidRPr="000B2B6B" w:rsidRDefault="00053BD5" w:rsidP="00DC0FD8">
      <w:pPr>
        <w:keepNext/>
        <w:widowControl/>
        <w:spacing w:after="240"/>
        <w:rPr>
          <w:b/>
          <w:bCs/>
          <w:i/>
          <w:iCs/>
          <w14:textOutline w14:w="0" w14:cap="flat" w14:cmpd="sng" w14:algn="ctr">
            <w14:noFill/>
            <w14:prstDash w14:val="solid"/>
            <w14:bevel/>
          </w14:textOutline>
        </w:rPr>
      </w:pPr>
      <w:r w:rsidRPr="000B2B6B">
        <w:rPr>
          <w:b/>
          <w:i/>
          <w14:textOutline w14:w="0" w14:cap="flat" w14:cmpd="sng" w14:algn="ctr">
            <w14:noFill/>
            <w14:prstDash w14:val="solid"/>
            <w14:bevel/>
          </w14:textOutline>
        </w:rPr>
        <w:t>Tilintarkastustuomioistuimen lausunnot vuoden 2024 tilien luotettavuudesta sekä tilien perustana olevien toimien laillisuudesta ja asianmukaisuudesta (sääntöjenmukaisuudesta)</w:t>
      </w:r>
    </w:p>
    <w:p w14:paraId="35B38D77" w14:textId="77777777"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7</w:t>
      </w:r>
      <w:r w:rsidRPr="000B2B6B">
        <w:t>.</w:t>
      </w:r>
      <w:r w:rsidRPr="000B2B6B">
        <w:rPr>
          <w14:textOutline w14:w="0" w14:cap="flat" w14:cmpd="sng" w14:algn="ctr">
            <w14:noFill/>
            <w14:prstDash w14:val="solid"/>
            <w14:bevel/>
          </w14:textOutline>
        </w:rPr>
        <w:tab/>
        <w:t xml:space="preserve">palauttaa mieliin, että tilintarkastustuomioistuin arvioi kaikkien unionin toimielinten hallintomenot ja muut menot erikseen yhtenä toimintalohkoryhmänä; </w:t>
      </w:r>
      <w:r w:rsidRPr="000B2B6B">
        <w:t>korostaa, että hallintomenoihin kuuluvat henkilöstömenot, eläkemenot mukaan luettuina, joiden osuus hallintomenojen kokonaismäärästä oli vuonna 2024 noin 69 prosenttia, sekä kiinteistöihin, laitteisiin, energiaan, viestintään ja tietotekniikkaan liittyvät menot;</w:t>
      </w:r>
      <w:r w:rsidRPr="000B2B6B">
        <w:rPr>
          <w14:textOutline w14:w="0" w14:cap="flat" w14:cmpd="sng" w14:algn="ctr">
            <w14:noFill/>
            <w14:prstDash w14:val="solid"/>
            <w14:bevel/>
          </w14:textOutline>
        </w:rPr>
        <w:t xml:space="preserve"> panee merkille, että tilintarkastustuomioistuimen useiden vuosien aikana tekemästä työstä käy ilmi, että näiden menojen riski on yleisesti ottaen alhainen;</w:t>
      </w:r>
    </w:p>
    <w:p w14:paraId="4446EB97" w14:textId="77777777"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8</w:t>
      </w:r>
      <w:r w:rsidRPr="000B2B6B">
        <w:t>.</w:t>
      </w:r>
      <w:r w:rsidRPr="000B2B6B">
        <w:rPr>
          <w14:textOutline w14:w="0" w14:cap="flat" w14:cmpd="sng" w14:algn="ctr">
            <w14:noFill/>
            <w14:prstDash w14:val="solid"/>
            <w14:bevel/>
          </w14:textOutline>
        </w:rPr>
        <w:tab/>
      </w:r>
      <w:r w:rsidRPr="000B2B6B">
        <w:t xml:space="preserve">panee merkille, että monivuotisen rahoituskehyksen otsakkeen 7 ”EU:n yleinen hallinto” osuus unionin talousarviosta vuonna 2024 oli 13,3 miljardia euroa eli 6,9 prosenttia, josta parlamentin osuus oli 2,4 miljardia euroa eli 18,1 prosenttia; </w:t>
      </w:r>
      <w:r w:rsidRPr="000B2B6B">
        <w:rPr>
          <w14:textOutline w14:w="0" w14:cap="flat" w14:cmpd="sng" w14:algn="ctr">
            <w14:noFill/>
            <w14:prstDash w14:val="solid"/>
            <w14:bevel/>
          </w14:textOutline>
        </w:rPr>
        <w:t>korostaa, että tilintarkastustuomioistuimen havainnon mukaan EU:n yleiseen hallintoon liittyvien menojen virhetaso ei ollut olennainen;</w:t>
      </w:r>
    </w:p>
    <w:p w14:paraId="6FC8E621" w14:textId="77777777" w:rsidR="00053BD5" w:rsidRPr="000B2B6B" w:rsidRDefault="00053BD5" w:rsidP="00053BD5">
      <w:pPr>
        <w:widowControl/>
        <w:spacing w:after="240"/>
        <w:ind w:left="567" w:hanging="567"/>
      </w:pPr>
      <w:r w:rsidRPr="000B2B6B">
        <w:rPr>
          <w14:textOutline w14:w="0" w14:cap="flat" w14:cmpd="sng" w14:algn="ctr">
            <w14:noFill/>
            <w14:prstDash w14:val="solid"/>
            <w14:bevel/>
          </w14:textOutline>
        </w:rPr>
        <w:t>9</w:t>
      </w:r>
      <w:r w:rsidRPr="000B2B6B">
        <w:t>.</w:t>
      </w:r>
      <w:r w:rsidRPr="000B2B6B">
        <w:rPr>
          <w14:textOutline w14:w="0" w14:cap="flat" w14:cmpd="sng" w14:algn="ctr">
            <w14:noFill/>
            <w14:prstDash w14:val="solid"/>
            <w14:bevel/>
          </w14:textOutline>
        </w:rPr>
        <w:tab/>
      </w:r>
      <w:r w:rsidRPr="000B2B6B">
        <w:t>panee merkille, että tilintarkastustuomioistuimen vuosikertomuksessa talousarvion toteuttamisesta varainhoitovuodelta 2024 tarkasteltiin erityisesti parlamentin valvontajärjestelmiä, etenkin sisäisen valvonnan standardien täytäntöönpanoa, riskienhallintaa ja varainhoitoasetuksessa määriteltyjen keskeisten valvontamenettelyjen toimintaa, mukaan lukien maksuihin kohdistettavat ennakko- ja jälkitarkastukset, ja tilastollisesti edustavaa 70 tapahtuman otosta, joka kattoi kaikki monivuotisen rahoituskehyksen tämän otsakkeen menot, sekä kaikkien unionin toimielinten ja elinten vuotuisissa toimintakertomuksissa esitettyjä sääntöjen- ja säännöstenmukaisuutta koskevia tietoja;</w:t>
      </w:r>
    </w:p>
    <w:p w14:paraId="09317DDF" w14:textId="77777777" w:rsidR="00053BD5" w:rsidRPr="000B2B6B" w:rsidRDefault="00053BD5" w:rsidP="00053BD5">
      <w:pPr>
        <w:pStyle w:val="NormalHanging12a"/>
        <w:widowControl/>
      </w:pPr>
      <w:r w:rsidRPr="000B2B6B">
        <w:t>10.</w:t>
      </w:r>
      <w:r w:rsidRPr="000B2B6B">
        <w:tab/>
        <w:t xml:space="preserve">panee merkille tilintarkastustuomioistuimen huomautukset parlamentin sisäisistä säännöistä; toteaa, että parlamentin hallintoon sovelletaan varainhoitoasetusta ja siihen sisältyviä julkisia hankintoja koskevia sääntöjä; panee kuitenkin merkille, että poliittisten ryhmien osalta puhemiehistö on hyväksynyt talousarvion momentin 400 määrärahojen käyttöä koskevat säännöt, jotka sisältävät tiettyjä hankintamenettelyjä koskevia erityismääräyksiä; muistuttaa, että poliittiset ryhmät hallinnoivat niille osoitettuja varoja välillisen varainhoidon periaatteiden mukaisesti soveltaen vastaavasti varainhoitoasetuksen 62 artiklan 1 kohdan c alakohtaa; toteaa, että näillä säännöillä korvataan varainhoitoasetuksen 158 artiklan 7 kohdassa tarkoitetut rahoitusosuussopimukset; painottaa, että parlamentin hallinnon laatimasta tilintarkastusyritysten luettelosta kullekin ryhmälle osoitettu ulkoinen tilintarkastaja varmentaa ryhmän tilinpäätöksen sääntöjen noudattamisen varmistamiseksi ja että tällä </w:t>
      </w:r>
      <w:r w:rsidRPr="000B2B6B">
        <w:lastRenderedPageBreak/>
        <w:t>tavoin varmistetaan, että valvonta on neutraalilla tasolla; täsmentää, että tilintarkastustuomioistuin tarkastelee vuosikertomuksessaan myös poliittisten ryhmien toimintaa;</w:t>
      </w:r>
    </w:p>
    <w:p w14:paraId="4AB68D7B" w14:textId="77777777" w:rsidR="00053BD5" w:rsidRPr="000B2B6B" w:rsidRDefault="00053BD5" w:rsidP="00053BD5">
      <w:pPr>
        <w:pStyle w:val="NormalHanging12a"/>
        <w:widowControl/>
      </w:pPr>
      <w:r w:rsidRPr="000B2B6B">
        <w:t>11.</w:t>
      </w:r>
      <w:r w:rsidRPr="000B2B6B">
        <w:tab/>
        <w:t xml:space="preserve">panee merkille, että poliittisten ryhmien tilien tarkastamiseen valittujen tilintarkastusyritysten luetteloon oli valittu vain kolme tilintarkastajaa, ja pitää valitettavana, että valinnanvaraa on vain vähän; kehottaa varainhoidon pääosastoa (PO FINS) pyrkimään lisäämään luetteloon useampia ulkoisia tilintarkastusyrityksiä kutsumalla aktiivisesti mukaan kaikki pätevät eurooppalaiset tilintarkastajat, myös ne, jotka ovat sijoittautuneet Belgian ulkopuolelle, ja tarjoamaan riittävän määrän vaihtoehtoja, jotta poliittisilla ryhmillä on enemmän valinnanvaraa valita tilintarkastaja, joka noudattaa kansainvälisen tilintarkastus- ja varmennusstandardilautakunnan (IAASB) vaatimuksia; katsoo lisäksi, että poliittisten ryhmien tarkastuksiin osoittamia määrärahoja olisi lisättävä, jotta varmistetaan perusteellisempi moitteettoman varainhoidon tarkastus ja saadaan houkuteltua mukaan laajempaa tilintarkastuksen asiantuntemusta; panee merkille ulkoisille tarkastajille jo annetun ohjeistuksen ja kannustaa varainhoidon pääosastoa varmistamaan poliittisten ryhmien tilien varmentamiseen käytettävien ulkoisten tarkastusten laadun; </w:t>
      </w:r>
    </w:p>
    <w:p w14:paraId="585E8DBC" w14:textId="77777777" w:rsidR="00053BD5" w:rsidRPr="000B2B6B" w:rsidRDefault="00053BD5" w:rsidP="00053BD5">
      <w:pPr>
        <w:widowControl/>
        <w:spacing w:after="240"/>
        <w:ind w:left="567" w:hanging="567"/>
      </w:pPr>
      <w:r w:rsidRPr="000B2B6B">
        <w:rPr>
          <w14:textOutline w14:w="0" w14:cap="flat" w14:cmpd="sng" w14:algn="ctr">
            <w14:noFill/>
            <w14:prstDash w14:val="solid"/>
            <w14:bevel/>
          </w14:textOutline>
        </w:rPr>
        <w:t>12</w:t>
      </w:r>
      <w:r w:rsidRPr="000B2B6B">
        <w:t>.</w:t>
      </w:r>
      <w:r w:rsidRPr="000B2B6B">
        <w:rPr>
          <w14:textOutline w14:w="0" w14:cap="flat" w14:cmpd="sng" w14:algn="ctr">
            <w14:noFill/>
            <w14:prstDash w14:val="solid"/>
            <w14:bevel/>
          </w14:textOutline>
        </w:rPr>
        <w:tab/>
      </w:r>
      <w:r w:rsidRPr="000B2B6B">
        <w:t>toteaa, että talousarvion momentin 400 määrärahojen käyttöä koskevien sääntöjen 1.4 kohdan mukaisesti poliittiset ryhmät ovat vastuussa parlamentille määrärahojen käytöstä sen toimivallan rajoissa, jonka puhemiehistö on niille antanut; toteaa, että niiden on huolehdittava siitä, että määrärahat käytetään näiden sääntöjen mukaisesti; pitää myönteisinä parlamentin hallinnon pyrkimyksiä avustaa poliittisia ryhmiä niiden varainhoitoa koskevan tietämyksen ja valmiuksien ohjaamiseksi;</w:t>
      </w:r>
    </w:p>
    <w:p w14:paraId="3E704E46" w14:textId="77777777" w:rsidR="00053BD5" w:rsidRPr="000B2B6B" w:rsidRDefault="00053BD5" w:rsidP="00053BD5">
      <w:pPr>
        <w:widowControl/>
        <w:spacing w:after="240"/>
        <w:ind w:left="567" w:hanging="567"/>
      </w:pPr>
      <w:r w:rsidRPr="000B2B6B">
        <w:t>13.</w:t>
      </w:r>
      <w:r w:rsidRPr="000B2B6B">
        <w:tab/>
        <w:t>palauttaa mieliin, että EU:n talousarviosta voidaan rahoittaa Euroopan tason poliittisia puolueita, koska ne myötävaikuttavat eurooppalaisen poliittisen tietoisuuden muodostumiseen ja unionin kansalaisten poliittisen tahdon ilmaisemiseen; panee merkille, että tilintarkastustuomioistuin tarkasti yhden tapahtuman, jossa se katsoi, että menot eivät olleet tukikelpoisia, ja totesi, että parlamentin hallinto oli asiasta samaa mieltä ja oli ryhtynyt toimiin asiaankuuluvan menon perimiseksi takaisin; on tyytyväinen parlamentin hallinnon toimintaan tässä asiassa ja erityisesti siihen, että se on sitoutunut soveltamaan horisontaalista lähestymistapaa ja takaamaan kaikkien poliittisten puolueiden yhdenvertaisen kohtelun;</w:t>
      </w:r>
    </w:p>
    <w:p w14:paraId="75779943" w14:textId="77777777" w:rsidR="00053BD5" w:rsidRPr="000B2B6B" w:rsidRDefault="00053BD5" w:rsidP="00DC0FD8">
      <w:pPr>
        <w:keepNext/>
        <w:widowControl/>
        <w:spacing w:after="240"/>
        <w:rPr>
          <w:b/>
          <w:bCs/>
          <w:i/>
          <w:iCs/>
          <w14:textOutline w14:w="0" w14:cap="flat" w14:cmpd="sng" w14:algn="ctr">
            <w14:noFill/>
            <w14:prstDash w14:val="solid"/>
            <w14:bevel/>
          </w14:textOutline>
        </w:rPr>
      </w:pPr>
      <w:r w:rsidRPr="000B2B6B">
        <w:rPr>
          <w:b/>
          <w:i/>
          <w14:textOutline w14:w="0" w14:cap="flat" w14:cmpd="sng" w14:algn="ctr">
            <w14:noFill/>
            <w14:prstDash w14:val="solid"/>
            <w14:bevel/>
          </w14:textOutline>
        </w:rPr>
        <w:t>Sisäisen tarkastajan vuosikertomus</w:t>
      </w:r>
    </w:p>
    <w:p w14:paraId="083F8446" w14:textId="77777777" w:rsidR="00053BD5" w:rsidRPr="000B2B6B" w:rsidRDefault="00053BD5" w:rsidP="00053BD5">
      <w:pPr>
        <w:widowControl/>
        <w:spacing w:after="240"/>
        <w:ind w:left="567" w:hanging="567"/>
      </w:pPr>
      <w:r w:rsidRPr="000B2B6B">
        <w:rPr>
          <w14:textOutline w14:w="0" w14:cap="flat" w14:cmpd="sng" w14:algn="ctr">
            <w14:noFill/>
            <w14:prstDash w14:val="solid"/>
            <w14:bevel/>
          </w14:textOutline>
        </w:rPr>
        <w:t>14.</w:t>
      </w:r>
      <w:r w:rsidRPr="000B2B6B">
        <w:rPr>
          <w14:textOutline w14:w="0" w14:cap="flat" w14:cmpd="sng" w14:algn="ctr">
            <w14:noFill/>
            <w14:prstDash w14:val="solid"/>
            <w14:bevel/>
          </w14:textOutline>
        </w:rPr>
        <w:tab/>
      </w:r>
      <w:r w:rsidRPr="000B2B6B">
        <w:t>panee merkille, että sisäinen tarkastaja esitteli vuosikertomuksensa asiasta vastaavan valiokunnan ja sisäisen tarkastajan välisessä kokouksessa 8. joulukuuta 2025;</w:t>
      </w:r>
    </w:p>
    <w:p w14:paraId="07C21852" w14:textId="77777777" w:rsidR="00053BD5" w:rsidRPr="000B2B6B" w:rsidRDefault="00053BD5" w:rsidP="00053BD5">
      <w:pPr>
        <w:widowControl/>
        <w:spacing w:after="240"/>
        <w:ind w:left="567" w:hanging="567"/>
      </w:pPr>
      <w:r w:rsidRPr="000B2B6B">
        <w:rPr>
          <w14:textOutline w14:w="0" w14:cap="flat" w14:cmpd="sng" w14:algn="ctr">
            <w14:noFill/>
            <w14:prstDash w14:val="solid"/>
            <w14:bevel/>
          </w14:textOutline>
        </w:rPr>
        <w:t>15.</w:t>
      </w:r>
      <w:r w:rsidRPr="000B2B6B">
        <w:rPr>
          <w14:textOutline w14:w="0" w14:cap="flat" w14:cmpd="sng" w14:algn="ctr">
            <w14:noFill/>
            <w14:prstDash w14:val="solid"/>
            <w14:bevel/>
          </w14:textOutline>
        </w:rPr>
        <w:tab/>
      </w:r>
      <w:r w:rsidRPr="000B2B6B">
        <w:t>pitää myönteisinä ja tukee toimia, joista sisäinen tarkastaja on sopinut asiasta vastaavien pääosastojen kanssa sisäisen tarkastuksen varmennustoimeksiantojen perusteella; panee merkille, että näihin suosituksiin perustuvat jatkotoimenpiteet tarkastetaan järjestelmällisesti;</w:t>
      </w:r>
    </w:p>
    <w:p w14:paraId="3C2BBFAE" w14:textId="77777777"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16.</w:t>
      </w:r>
      <w:r w:rsidRPr="000B2B6B">
        <w:rPr>
          <w14:textOutline w14:w="0" w14:cap="flat" w14:cmpd="sng" w14:algn="ctr">
            <w14:noFill/>
            <w14:prstDash w14:val="solid"/>
            <w14:bevel/>
          </w14:textOutline>
        </w:rPr>
        <w:tab/>
        <w:t xml:space="preserve">panee merkille, että vuoden 2024 jatkotoimenpiteiden seurantaprosessin tuloksena todettiin, että 57 toimesta 24 toimea oli pantu vaikuttavasti täytäntöön, ja näin ollen sisäinen tarkastus validoi kyseiset toimet; panee merkille, että 33:n myöhässä olleen toimen jäännösriskiprofiili osoitti, että 24 toimeen liittyi merkittävä riski, joka koski pääasiassa kyberturvallisuutta sekä identiteetin- ja pääsynhallintaa; panee merkille </w:t>
      </w:r>
      <w:r w:rsidRPr="000B2B6B">
        <w:rPr>
          <w14:textOutline w14:w="0" w14:cap="flat" w14:cmpd="sng" w14:algn="ctr">
            <w14:noFill/>
            <w14:prstDash w14:val="solid"/>
            <w14:bevel/>
          </w14:textOutline>
        </w:rPr>
        <w:lastRenderedPageBreak/>
        <w:t>tehostetun yhteistyön, jota on tehty täytäntöönpanon ja jäännösriskin seuraamiseksi tietotekniikka- ja kyberturvallisuuspääosaston (PO ITEC) kanssa;</w:t>
      </w:r>
    </w:p>
    <w:p w14:paraId="75655165" w14:textId="77777777" w:rsidR="00053BD5" w:rsidRPr="000B2B6B" w:rsidRDefault="00053BD5" w:rsidP="00053BD5">
      <w:pPr>
        <w:pStyle w:val="NormalHanging12a"/>
        <w:widowControl/>
      </w:pPr>
      <w:r w:rsidRPr="000B2B6B">
        <w:t>17.</w:t>
      </w:r>
      <w:r w:rsidRPr="000B2B6B">
        <w:tab/>
        <w:t>toteaa, että sisäisen tarkastajan kertomukset ja havainnot sekä asianomaisen unionin toimielimen kertomus asetetaan varainhoitoasetuksen 118 artiklan 9 kohdan mukaisesti yleisön saataville heti, kun sisäinen tarkastaja on vahvistanut toimet, ja että tietosuoja- ja luottamuksellisuussääntöjen noudattaminen varmistetaan; toteaa, että käytännössä kertomukset julkaistaan vasta, kun kaikki suositukset on pantu täytäntöön; panee merkille, että talousarvion valvontavaliokunnan jäsenillä on oikeus pyytää mahdollisuutta tutustua luottamuksellisesti sisäisen tarkastuksen kertomukseen vastuuvapausmenettelyä varten, ja pitää myönteisenä, että sisäinen tarkastaja raportoi vuotuisista tarkastustoimista parlamentin talousarvion valvontavaliokunnalle;</w:t>
      </w:r>
    </w:p>
    <w:p w14:paraId="4AF09211" w14:textId="77777777"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18.</w:t>
      </w:r>
      <w:r w:rsidRPr="000B2B6B">
        <w:rPr>
          <w14:textOutline w14:w="0" w14:cap="flat" w14:cmpd="sng" w14:algn="ctr">
            <w14:noFill/>
            <w14:prstDash w14:val="solid"/>
            <w14:bevel/>
          </w14:textOutline>
        </w:rPr>
        <w:tab/>
        <w:t>suhtautuu myönteisesti sisäisen tarkastuksen jatkuvan laadunvarmistuksen ja laadunparannuksen ohjelmaan, jonka avulla pääasiassa valmistaudutaan ottamaan käyttöön uudet kansainväliset sisäisen tarkastuksen standardit, joiden oli määrä tulla voimaan tammikuussa 2025; pitää erityisen myönteisenä, että puhemiehistö hyväksyi päivitetyt tarkastusohjeet ja että laadittiin sisäisen tarkastuksen toimintoa koskeva vuosien 2025–2029 strategia, jossa tuodaan selkeästi esille myönteisen muutoksen tarve ja tarve soveltaa eettistä lähestymistapaa; panee merkille, että 70 prosenttia sisäisen tarkastuksen henkilöstöstä on suorittanut hyväksytysti sisäisen tarkastajan kokeen, ja toteaa senkin olevan osoitus laadun parantumisesta;</w:t>
      </w:r>
    </w:p>
    <w:p w14:paraId="0A20721E" w14:textId="77777777" w:rsidR="00053BD5" w:rsidRPr="000B2B6B" w:rsidRDefault="00053BD5" w:rsidP="00DC0FD8">
      <w:pPr>
        <w:keepNext/>
        <w:widowControl/>
        <w:spacing w:after="240"/>
        <w:rPr>
          <w:szCs w:val="24"/>
          <w14:textOutline w14:w="0" w14:cap="flat" w14:cmpd="sng" w14:algn="ctr">
            <w14:noFill/>
            <w14:prstDash w14:val="solid"/>
            <w14:bevel/>
          </w14:textOutline>
        </w:rPr>
      </w:pPr>
      <w:r w:rsidRPr="000B2B6B">
        <w:rPr>
          <w:b/>
          <w:i/>
          <w14:textOutline w14:w="0" w14:cap="flat" w14:cmpd="sng" w14:algn="ctr">
            <w14:noFill/>
            <w14:prstDash w14:val="solid"/>
            <w14:bevel/>
          </w14:textOutline>
        </w:rPr>
        <w:t>Poliittiset painopisteet</w:t>
      </w:r>
    </w:p>
    <w:p w14:paraId="19C69782" w14:textId="77777777" w:rsidR="00053BD5" w:rsidRPr="000B2B6B" w:rsidRDefault="00053BD5" w:rsidP="00053BD5">
      <w:pPr>
        <w:pStyle w:val="NormalHanging12a"/>
        <w:widowControl/>
      </w:pPr>
      <w:r w:rsidRPr="000B2B6B">
        <w:t>19.</w:t>
      </w:r>
      <w:r w:rsidRPr="000B2B6B">
        <w:tab/>
        <w:t>palauttaa mieliin, että talousarvion momentin 400 määrärahojen käyttöä koskevien sääntöjen 1.3.2, 2.7.1 ja 2.7.2 kohdan mukaisesti entinen poliittinen ryhmä Identiteetti ja demokratia (ID-ryhmä) toimitti 8. lokakuuta 2024 lopullisen tilinpäätöksensä 1. tammikuuta ja 15. heinäkuuta 2024 väliseltä ajalta; palauttaa mieliin, että parlamentin hallinto sai ID-ryhmältä sen kaikki tilinpäätösasiakirjat sekä sähköisesti että paperimuodossa ja suoritti vuoden 2024 tilinpäätöksestä riskiperusteisen jälkitarkastuksen, joka koski johdonmukaisuuden tarkastamista sekä suuririskisten sopimusten ja lahjoitusten tarkastamista otantaan perustuneilla testeillä; palauttaa mieliin parlamentin hallinnon tekemät havainnot, joiden mukaan ryhmä käytti vaalikaudella 2019–2024 perusteettomasti vähintään 4 333 635,78 euroa talousarvion momentin 400 määrärahoja, mikä altistaa parlamentin merkittävälle taloudelliselle ja maineriskille; toteaa, että julkisissa hankintamenettelyissä havaittiin puutteita, jotka muodostavat merkittävän maineriskin parlamentille;</w:t>
      </w:r>
    </w:p>
    <w:p w14:paraId="72AF08F3" w14:textId="77777777" w:rsidR="00053BD5" w:rsidRPr="000B2B6B" w:rsidRDefault="00053BD5" w:rsidP="00053BD5">
      <w:pPr>
        <w:pStyle w:val="NormalHanging12a"/>
        <w:widowControl/>
      </w:pPr>
      <w:r w:rsidRPr="000B2B6B">
        <w:t>20.</w:t>
      </w:r>
      <w:r w:rsidRPr="000B2B6B">
        <w:tab/>
        <w:t>panee merkille, että Euroopan syyttäjänvirasto (EPPO) ilmoitti heinäkuussa 2025 aloittaneensa tutkinnan ID-ryhmän väitetystä unionin varojen väärinkäytöstä vuosina 2019–2024;</w:t>
      </w:r>
    </w:p>
    <w:p w14:paraId="3FF7515B" w14:textId="77777777" w:rsidR="00053BD5" w:rsidRPr="000B2B6B" w:rsidRDefault="00053BD5" w:rsidP="00053BD5">
      <w:pPr>
        <w:pStyle w:val="NormalHanging12a"/>
        <w:widowControl/>
      </w:pPr>
      <w:r w:rsidRPr="000B2B6B">
        <w:t>21.</w:t>
      </w:r>
      <w:r w:rsidRPr="000B2B6B">
        <w:tab/>
        <w:t xml:space="preserve">toteaa, että parlamentin hallinto on toimittanut asiakirja-aineiston ja toimii täydessä yhteistyössä </w:t>
      </w:r>
      <w:proofErr w:type="spellStart"/>
      <w:r w:rsidRPr="000B2B6B">
        <w:t>EPPOn</w:t>
      </w:r>
      <w:proofErr w:type="spellEnd"/>
      <w:r w:rsidRPr="000B2B6B">
        <w:t xml:space="preserve"> tutkinnassa; panee merkille, että puhemiehistö odottaa tietoa </w:t>
      </w:r>
      <w:proofErr w:type="spellStart"/>
      <w:r w:rsidRPr="000B2B6B">
        <w:t>EPPOn</w:t>
      </w:r>
      <w:proofErr w:type="spellEnd"/>
      <w:r w:rsidRPr="000B2B6B">
        <w:t xml:space="preserve"> tutkinnan tuloksista ennen kuin se ryhtyy perimään varoja takaisin; kehottaa puhemiehistöä toimittamaan talousarvion valvontavaliokunnalle kirjallisen tilannekatsauksen ennen seuraavan vastuuvapauskierroksen alkamista; kehottaa parlamentin hallintoa toteuttamaan </w:t>
      </w:r>
      <w:proofErr w:type="spellStart"/>
      <w:r w:rsidRPr="000B2B6B">
        <w:t>EPPOn</w:t>
      </w:r>
      <w:proofErr w:type="spellEnd"/>
      <w:r w:rsidRPr="000B2B6B">
        <w:t xml:space="preserve"> suorittaman rikostutkinnan rinnalla kaikki tarvittavat toimenpiteet ja väliaikaiset hallinnolliset suojatoimenpiteet (mukaan lukien varotoimena tehtävät kuittaukset ja/tai varaukset, jos se on oikeudellisesti mahdollista) unionin taloudellisten etujen ja parlamentin maineen suojelemiseksi; panee lisäksi </w:t>
      </w:r>
      <w:r w:rsidRPr="000B2B6B">
        <w:lastRenderedPageBreak/>
        <w:t xml:space="preserve">merkille, että Euroopan parlamentin ja Euroopan syyttäjänviraston välisen työjärjestelyn 3 artiklan 3 kohdan mukaan EPPO ilmoittaa Euroopan parlamentille meneillään olevista tai päätökseen saatetuista tutkinnoista, joissa Euroopan parlamentti näyttää pystyvän toteuttamaan varotoimenpiteitä unionin taloudellisten etujen suojaamiseksi, myös kurinpito- tai takaisinperintämenettelyjä sovellettavien määräaikojen kuluessa; toteaa, että rikosoikeudellisia menettelyjä ei pitäisi automaattisesti käyttää yleispätevänä perusteluna toimien mahdolliselle suorittamatta jättämiselle; </w:t>
      </w:r>
    </w:p>
    <w:p w14:paraId="0DF8EC4C" w14:textId="77777777" w:rsidR="00053BD5" w:rsidRPr="000B2B6B" w:rsidRDefault="00053BD5" w:rsidP="00053BD5">
      <w:pPr>
        <w:pStyle w:val="NormalHanging12a"/>
        <w:widowControl/>
      </w:pPr>
      <w:r w:rsidRPr="000B2B6B">
        <w:t>22.</w:t>
      </w:r>
      <w:r w:rsidRPr="000B2B6B">
        <w:tab/>
        <w:t>kehottaa puhemiehistöä huolehtimaan siitä, että ulkoiset tarkastajat noudattavat kaikilta osin toimeksiantoaan, sekä varmistamaan tulevissa tarkastuksissa ulkoisten tarkastajien suorittaman ryhmien asiaankuuluvan valvonnan antamalla ulkoisten tarkastajien käyttöön enemmän työtunteja valvontatehtävänsä hoitamiseen; kehottaa varainhoidon pääosastoa varmistamaan pääosastossaan riittävät henkilöresurssit vastaamaan momentista 400, jotta pääosasto voi antaa selkeämpää ohjeistusta momentin 400 määrärahojen käyttöä koskevien sääntöjen asianmukaisesta tulkinnasta niin, että vältetään ristiriita ulkoisten tarkastajien ja varainhoidon pääosaston näkökantojen välillä, ja kunnioittamaan täysin tarkastajien riippumattomuutta erityisesti hankintojen osalta ja tarjoamaan ryhmille enemmän koulutusta ja tukea hankinnoissa;</w:t>
      </w:r>
    </w:p>
    <w:p w14:paraId="218DEA17" w14:textId="77777777" w:rsidR="00053BD5" w:rsidRPr="000B2B6B" w:rsidRDefault="00053BD5" w:rsidP="00053BD5">
      <w:pPr>
        <w:pStyle w:val="NormalHanging12a"/>
        <w:widowControl/>
        <w:rPr>
          <w:bCs/>
          <w:iCs/>
        </w:rPr>
      </w:pPr>
      <w:r w:rsidRPr="000B2B6B">
        <w:t>23.</w:t>
      </w:r>
      <w:r w:rsidRPr="000B2B6B">
        <w:tab/>
        <w:t>kehottaa pääsihteeriä käynnistämään pohdinnan momenttia 400 varten käytössä olevasta ulkoisesta tarkastusjärjestelmästä;</w:t>
      </w:r>
    </w:p>
    <w:p w14:paraId="5C5A3CF6" w14:textId="77777777" w:rsidR="00053BD5" w:rsidRPr="000B2B6B" w:rsidRDefault="00053BD5" w:rsidP="00053BD5">
      <w:pPr>
        <w:pStyle w:val="NormalHanging12a"/>
        <w:widowControl/>
        <w:rPr>
          <w:bCs/>
          <w:iCs/>
        </w:rPr>
      </w:pPr>
      <w:r w:rsidRPr="000B2B6B">
        <w:t>24.</w:t>
      </w:r>
      <w:r w:rsidRPr="000B2B6B">
        <w:tab/>
        <w:t xml:space="preserve">pitää myönteisenä, että parlamentti toimii foorumina, jossa pyritään lisäämään ymmärrystä </w:t>
      </w:r>
      <w:proofErr w:type="spellStart"/>
      <w:r w:rsidRPr="000B2B6B">
        <w:t>sukupuolistuneesta</w:t>
      </w:r>
      <w:proofErr w:type="spellEnd"/>
      <w:r w:rsidRPr="000B2B6B">
        <w:t xml:space="preserve"> väkivallasta ja lähisuhdeväkivallasta, ja pitää tärkeinä unionin ja parlamentin toimia, joilla edistetään sukupuolten tasa-arvoa muun muassa tarjoamalla tukea, suojelua ja keskeisiä palveluja naisille ja tytöille, jotka ovat seksuaalisen väkivallan uhreja konflikteissa ja konfliktien jälkeisissä tilanteissa;</w:t>
      </w:r>
    </w:p>
    <w:p w14:paraId="4281B947" w14:textId="1D8C4529" w:rsidR="00053BD5" w:rsidRPr="000B2B6B" w:rsidRDefault="00053BD5" w:rsidP="00053BD5">
      <w:pPr>
        <w:pStyle w:val="NormalHanging12a"/>
        <w:widowControl/>
      </w:pPr>
      <w:r w:rsidRPr="000B2B6B">
        <w:t>25.</w:t>
      </w:r>
      <w:r w:rsidRPr="000B2B6B">
        <w:tab/>
        <w:t xml:space="preserve">palauttaa mieliin talousarvion valvontavaliokunnan puhemiehistölle antaman, 4. syyskuuta 2025 hyväksytyn lausunnon, joka koskee poliittisen ryhmän ”Identiteetti ja demokratia” lakkauttamista ja vuoden 2024 lopullista tilinpäätöstä, ja toteaa, että lausunnossa kehotettiin selvittämään mahdollisuutta toteuttaa viipymättä tarvittavat menettelyt tukeen oikeuttamattomien menojen perimiseksi takaisin mahdollisimman pian sekä arvioimaan vastuussa olevien (entisten) jäsenten ja ryhmän johdon mahdollista vastuuta tahallisesta tai törkeän huolimattomasta sääntöjenvastaisten menojen hyväksymisestä; suosittaa puhemiehistölle, että ID-ryhmän tilit vahvistanut ulkoinen tarkastaja poistetaan tutkinnan ajaksi poliittisten ryhmien käytettävissä olevasta hyväksyttyjen ulkoisten tilintarkastusyritysten luettelosta ja korvataan viipymättä sekä varmistetaan, että poliittisilla ryhmillä on käytettävissään riittävä määrä muita vaihtoehtoja; odottaa parlamentin hallinnon analyysia Euroopan patriootit </w:t>
      </w:r>
      <w:r w:rsidRPr="000B2B6B">
        <w:noBreakHyphen/>
        <w:t>ryhmän (</w:t>
      </w:r>
      <w:proofErr w:type="spellStart"/>
      <w:r w:rsidRPr="000B2B6B">
        <w:t>PfE</w:t>
      </w:r>
      <w:proofErr w:type="spellEnd"/>
      <w:r w:rsidRPr="000B2B6B">
        <w:t>) vuoden 2024 tilinpäätöksestä;</w:t>
      </w:r>
    </w:p>
    <w:p w14:paraId="05ADC3F2" w14:textId="1227E223" w:rsidR="00053BD5" w:rsidRPr="000B2B6B" w:rsidRDefault="00053BD5" w:rsidP="00053BD5">
      <w:pPr>
        <w:pStyle w:val="NormalHanging12a"/>
        <w:widowControl/>
      </w:pPr>
      <w:r w:rsidRPr="000B2B6B">
        <w:t>2</w:t>
      </w:r>
      <w:r w:rsidR="002A4A2F" w:rsidRPr="000B2B6B">
        <w:t>6</w:t>
      </w:r>
      <w:r w:rsidRPr="000B2B6B">
        <w:t>.</w:t>
      </w:r>
      <w:r w:rsidRPr="000B2B6B">
        <w:tab/>
        <w:t>panee merkille, että poliittisilla ryhmillä on laajat valtuudet päättää niiden toimintaan liittyvien tietojen tallentamiseen käyttämistään tietoteknisistä palveluista; toteaa, että geopoliittisesti epävakaassa maailmassa tällaiset tiedot olisi tallennettava eurooppalaisten palveluntarjoajien eurooppalaisille palvelimille, jotta vältetään ulkoiset riippuvuudet ja riskit; pitää siksi myönteisenä äskettäistä ilmoitusta turvallisen ja suvereenin pilvi-infrastruktuurin luomisesta kyseisen riippuvuuden poistamiseksi;</w:t>
      </w:r>
    </w:p>
    <w:p w14:paraId="7642C4A5" w14:textId="0BFE49F0" w:rsidR="00053BD5" w:rsidRPr="000B2B6B" w:rsidRDefault="00053BD5" w:rsidP="00053BD5">
      <w:pPr>
        <w:pStyle w:val="NormalHanging12a"/>
        <w:widowControl/>
      </w:pPr>
      <w:r w:rsidRPr="000B2B6B">
        <w:t>2</w:t>
      </w:r>
      <w:r w:rsidR="002A4A2F" w:rsidRPr="000B2B6B">
        <w:t>7</w:t>
      </w:r>
      <w:r w:rsidRPr="000B2B6B">
        <w:t>.</w:t>
      </w:r>
      <w:r w:rsidRPr="000B2B6B">
        <w:tab/>
        <w:t>korostaa, että on tärkeää säilyttää institutionaalinen koskemattomuus ja ehkäistä epäasianmukaista ulkomaista sekaantumista; tuomitsee kaikki asiattomat pyrkimykset vaikuttaa parlamentin lainsäädäntötoimintaan;</w:t>
      </w:r>
    </w:p>
    <w:p w14:paraId="7A7EF4CF" w14:textId="40B11AB9" w:rsidR="00053BD5" w:rsidRPr="000B2B6B" w:rsidRDefault="00053BD5" w:rsidP="00053BD5">
      <w:pPr>
        <w:pStyle w:val="NormalHanging12a"/>
        <w:widowControl/>
        <w:rPr>
          <w:bCs/>
          <w:iCs/>
        </w:rPr>
      </w:pPr>
      <w:r w:rsidRPr="000B2B6B">
        <w:lastRenderedPageBreak/>
        <w:t>2</w:t>
      </w:r>
      <w:r w:rsidR="002A4A2F" w:rsidRPr="000B2B6B">
        <w:t>8</w:t>
      </w:r>
      <w:r w:rsidRPr="000B2B6B">
        <w:t>.</w:t>
      </w:r>
      <w:r w:rsidRPr="000B2B6B">
        <w:tab/>
        <w:t>panee merkille, että komissio on myöntänyt todenperäisiksi väitteet, joiden mukaan useat tahot käyttävät unionin varoja parlamenttiin suunnattuihin edunvalvontatoimiin, mutta on todennut, että tällaiset toimet kuuluvat sovellettavien sääntöjen soveltamisalaan; katsoo kuitenkin, että asia on tästä huolimatta voinut aiheuttaa maineriskin;</w:t>
      </w:r>
    </w:p>
    <w:p w14:paraId="7382A79A" w14:textId="3F80A719" w:rsidR="00053BD5" w:rsidRPr="000B2B6B" w:rsidRDefault="002A4A2F" w:rsidP="00053BD5">
      <w:pPr>
        <w:pStyle w:val="NormalHanging12a"/>
        <w:widowControl/>
      </w:pPr>
      <w:r w:rsidRPr="000B2B6B">
        <w:t>29</w:t>
      </w:r>
      <w:r w:rsidR="00053BD5" w:rsidRPr="000B2B6B">
        <w:t>.</w:t>
      </w:r>
      <w:r w:rsidR="00053BD5" w:rsidRPr="000B2B6B">
        <w:tab/>
        <w:t>muistuttaa, että väitteet Venäjän vaikuttamisesta parlamentissa ovat aiheuttaneet vakavia riskejä demokratian loukkaamattomuudelle, ja toteaa, että jotkut jäsenet ovat avoimesti tukeneet Venäjää, myös sivutoimissaan, mikä korostaa tarvetta vahvistaa suojatoimia; toteaa, että parlamentti reagoi ulkomaiseen sekaantumiseen nykyään valppaammin mutta olisi toteutettava järeämpiä toimenpiteitä, jotta voidaan varmistaa tehokas suojelu asiattomalta ulkoiselta vaikuttamiselta; korostaa tässä yhteydessä Euroopan petostentorjuntaviraston (OLAF) keskeistä vastuuta suorittaa kaikki tarvittavat perusteelliset tutkimukset;</w:t>
      </w:r>
    </w:p>
    <w:p w14:paraId="7664A944" w14:textId="75C9925E" w:rsidR="00053BD5" w:rsidRPr="000B2B6B" w:rsidRDefault="00053BD5" w:rsidP="00053BD5">
      <w:pPr>
        <w:pStyle w:val="NormalHanging12a"/>
        <w:widowControl/>
        <w:rPr>
          <w:bCs/>
          <w:iCs/>
        </w:rPr>
      </w:pPr>
      <w:r w:rsidRPr="000B2B6B">
        <w:t>3</w:t>
      </w:r>
      <w:r w:rsidR="002A4A2F" w:rsidRPr="000B2B6B">
        <w:t>0</w:t>
      </w:r>
      <w:r w:rsidRPr="000B2B6B">
        <w:t>.</w:t>
      </w:r>
      <w:r w:rsidRPr="000B2B6B">
        <w:tab/>
        <w:t>panee merkille, että vuotta 2024, mukaan lukien ajanjakso ennen Euroopan parlamentin vaaleja, leimasi kasvanut riski demokraattisiin instituutioihin ja vaaleilla valittuihin edustajiin kohdistuvasta ulkomaisesta puuttumisesta ja vaikutusoperaatioista; muistuttaa, että yrityksiä vaikuttaa poliittisiin kantoihin ja äänestyskäyttäytymiseen koskevissa julkisuudessa esitetyissä väitteissä ja tutkimuksissa korostetaan, että parlamentissa tarvitaan tehokkaita ennaltaehkäisy- ja havaitsemismekanismeja; kehottaa siksi parlamenttia varmistamaan sisäiset suojatoimet, avoimuusvaatimukset ja yhteistyön asiaankuuluvien unionin elinten kanssa, jotta voidaan suojella parlamentin koskemattomuutta ja unionin talousarviota;</w:t>
      </w:r>
    </w:p>
    <w:p w14:paraId="0EBE8C51" w14:textId="334ECD1D" w:rsidR="00053BD5" w:rsidRPr="000B2B6B" w:rsidRDefault="00053BD5" w:rsidP="00053BD5">
      <w:pPr>
        <w:pStyle w:val="NormalHanging12a"/>
        <w:widowControl/>
      </w:pPr>
      <w:r w:rsidRPr="000B2B6B">
        <w:t>3</w:t>
      </w:r>
      <w:r w:rsidR="002A4A2F" w:rsidRPr="000B2B6B">
        <w:t>1</w:t>
      </w:r>
      <w:r w:rsidRPr="000B2B6B">
        <w:t>.</w:t>
      </w:r>
      <w:r w:rsidRPr="000B2B6B">
        <w:tab/>
        <w:t>muistuttaa, että nuhteettomuutta ja avoimuutta koskevien Euroopan parlamentin jäsenten menettelysääntöjen 4 artiklassa edellytetään, että jäsenet ilmoittavat taloudelliset sidonnaisuutensa täsmällisesti; kehottaa antamaan riittävästi tietoja vastikkeellista tai vastikkeetonta ulkopuolista toimintaa koskevissa ilmoituksissa, jotta voidaan välttää eturistiriitoja koskevien tarkastusten laatuun liittyvät ongelmat, ja toteaa, että tarkastukset ovat hyvin tärkeitä eturistiriitojen tehokkaan ehkäisemisen, tunnistamisen ja ratkaisemisen varmistamiseksi;</w:t>
      </w:r>
    </w:p>
    <w:p w14:paraId="3F19C795" w14:textId="3A5ED0B7" w:rsidR="00053BD5" w:rsidRPr="000B2B6B" w:rsidRDefault="00053BD5" w:rsidP="00053BD5">
      <w:pPr>
        <w:pStyle w:val="NormalHanging12a"/>
        <w:widowControl/>
        <w:rPr>
          <w:bCs/>
          <w:iCs/>
        </w:rPr>
      </w:pPr>
      <w:r w:rsidRPr="000B2B6B">
        <w:t>3</w:t>
      </w:r>
      <w:r w:rsidR="002A4A2F" w:rsidRPr="000B2B6B">
        <w:t>2</w:t>
      </w:r>
      <w:r w:rsidRPr="000B2B6B">
        <w:t>.</w:t>
      </w:r>
      <w:r w:rsidRPr="000B2B6B">
        <w:tab/>
        <w:t>panee avoimuuden nimissä merkille, että tapaamisia koskevien tietojen ja yksityisiä sidonnaisuuksia koskevien ilmoitusten, erityisesti aineellista ja taloudellista tukea koskevien ilmoitusten, julkaiseminen on pakollista; panee kuitenkin merkille, että nykyisen kehyksen yhteydessä on ollut toistuvia täsmällisyyteen ja selkeyteen liittyviä ongelmia, jotka voivat heikentää kehyksen yleistä vaikuttavuutta; katsoo, että on huolellisesti tarkasteltava jäsenille annettavan ohjeistuksen parantamista sekä hallinnon oikeasuhteisia ja johdonmukaisia jatkotoimia, jos ilmoitukset vaikuttavat epätarkoilta tai epäjohdonmukaisilta, etenkin kun otetaan huomioon ulkomaiseen sekaantumiseen liittyvät huolenaiheet;</w:t>
      </w:r>
    </w:p>
    <w:p w14:paraId="5B0A75E5" w14:textId="667ADA95" w:rsidR="00053BD5" w:rsidRPr="000B2B6B" w:rsidRDefault="00053BD5" w:rsidP="00053BD5">
      <w:pPr>
        <w:pStyle w:val="NormalHanging12a"/>
        <w:widowControl/>
      </w:pPr>
      <w:r w:rsidRPr="000B2B6B">
        <w:t>3</w:t>
      </w:r>
      <w:r w:rsidR="002A4A2F" w:rsidRPr="000B2B6B">
        <w:t>3</w:t>
      </w:r>
      <w:r w:rsidRPr="000B2B6B">
        <w:t>.</w:t>
      </w:r>
      <w:r w:rsidRPr="000B2B6B">
        <w:tab/>
        <w:t>on erittäin huolestunut väitteistä, joiden mukaan jotkin jäsenvaltiot ovat vakoilleet parlamenttia ja ottaneet sen kohteekseen; panee merkille, että komissio on perustanut sisäisen työryhmän tutkimaan näitä väitteitä; kehottaa parlamenttia ja komissiota tekemään tiivistä yhteistyötä ja komissiota ilmoittamaan työryhmän havainnoista parlamentille edellyttäen, että siten ei vaaranneta vireillä olevia tai mahdollisesti vireille pantavia oikeusprosesseja;</w:t>
      </w:r>
    </w:p>
    <w:p w14:paraId="3B59B912" w14:textId="657BA896" w:rsidR="00053BD5" w:rsidRPr="000B2B6B" w:rsidRDefault="00053BD5" w:rsidP="00053BD5">
      <w:pPr>
        <w:pStyle w:val="NormalHanging12a"/>
        <w:widowControl/>
        <w:rPr>
          <w:bCs/>
          <w:iCs/>
        </w:rPr>
      </w:pPr>
      <w:r w:rsidRPr="000B2B6B">
        <w:t>3</w:t>
      </w:r>
      <w:r w:rsidR="002A4A2F" w:rsidRPr="000B2B6B">
        <w:t>4</w:t>
      </w:r>
      <w:r w:rsidRPr="000B2B6B">
        <w:t>.</w:t>
      </w:r>
      <w:r w:rsidRPr="000B2B6B">
        <w:tab/>
        <w:t xml:space="preserve">kehottaa parlamenttia vahvistamaan suojatoimenpiteitä, joihin kuuluvat turvallinen laitehallinta, nopeat häiriöiden raportointikanavat jäsenille ja henkilöstölle sekä </w:t>
      </w:r>
      <w:r w:rsidRPr="000B2B6B">
        <w:lastRenderedPageBreak/>
        <w:t>säännölliset uhkaselvitykset yhteistyössä CERT-EU:n ja asiaankuuluvien unionin elinten kanssa, varmistaen samalla perusoikeuksien ja tietosuojan kunnioittamisen kaikilta osin;</w:t>
      </w:r>
    </w:p>
    <w:p w14:paraId="7C1DAA12" w14:textId="492BC764" w:rsidR="00053BD5" w:rsidRPr="000B2B6B" w:rsidRDefault="00053BD5" w:rsidP="00053BD5">
      <w:pPr>
        <w:pStyle w:val="NormalHanging12a"/>
        <w:widowControl/>
      </w:pPr>
      <w:r w:rsidRPr="000B2B6B">
        <w:t>3</w:t>
      </w:r>
      <w:r w:rsidR="002A4A2F" w:rsidRPr="000B2B6B">
        <w:t>5</w:t>
      </w:r>
      <w:r w:rsidRPr="000B2B6B">
        <w:t>.</w:t>
      </w:r>
      <w:r w:rsidRPr="000B2B6B">
        <w:tab/>
        <w:t>panee merkille tekoälyn potentiaalin täsmällisen ja avoimen tiedon varmistamisessa unionissa ja sen toimielimissä, elimissä, toimistoissa ja virastoissa, sillä asianmukaisesti suunnitellut ja hallinnoidut tekoälyjärjestelmät voivat auttaa havaitsemaan ja ehkäisemään väärää tietoa ja disinformaatiota, edistämään vastuuvelvollisuutta ja ylläpitämään tiukkoja avoimuutta koskevia vaatimuksia, jotta voidaan säilyttää kansalaisten luottamus ja vahvistaa demokraattista hallintoa; on huolestunut kolmansien maiden yritysten luomien tekoälyvälineiden hallitsevasta asemasta sekä kolmannen osapuolen luomien tekoälyvälineiden käyttöön liittyvistä tietosuojaa ja luottamuksellisuutta koskevista näkökohdista; kehottaa olemaan täysin avoin tekoälyjärjestelmien käytöstä parlamentin päätöksissä ja menettelyissä, mukaan lukien algoritmeja koskevien yksityiskohtaisten tietojen ja vaikutustenarviointien julkaiseminen; kehottaa parlamentin hallintoa asettamaan sekä jäsenten että parlamentin henkilöstön saataville tekoälyvälineitä, jotka on mukautettu kunkin käyttäjäryhmän omiin tarpeisiin ja joilla vastataan jäsenten edustajantyön tarpeisiin ja taataan tekoälyllä käsiteltyjen tietojen luottamuksellisuus, eheys ja saatavuus käyttämällä tietovuotojen ehkäisemiseksi paikan päällä olevaa infrastruktuuria ja jonka kautta kolmannet osapuolet eivät saa tietoja käyttöönsä, noudattaen tässä tekoälyn käyttöön sovellettavia toimintaperiaatteita;</w:t>
      </w:r>
    </w:p>
    <w:p w14:paraId="19128022" w14:textId="058381BE" w:rsidR="00053BD5" w:rsidRPr="000B2B6B" w:rsidRDefault="00053BD5" w:rsidP="00053BD5">
      <w:pPr>
        <w:pStyle w:val="NormalHanging12a"/>
        <w:widowControl/>
        <w:rPr>
          <w:bCs/>
          <w:iCs/>
        </w:rPr>
      </w:pPr>
      <w:r w:rsidRPr="000B2B6B">
        <w:t>3</w:t>
      </w:r>
      <w:r w:rsidR="002A4A2F" w:rsidRPr="000B2B6B">
        <w:t>6</w:t>
      </w:r>
      <w:r w:rsidRPr="000B2B6B">
        <w:t>.</w:t>
      </w:r>
      <w:r w:rsidRPr="000B2B6B">
        <w:tab/>
        <w:t>panee merkille tekoälyn ja laajoihin kielimalleihin perustuvien työkalujen lisääntyvän käytön henkilöstöhallinnossa ja tunnustaa näiden välineiden tehokkuushyötypotentiaalin ja toteaa, että sitä pitäisi selvittää tarkemmin; korostaa samalla, että tarvitaan selkeää hallintoa, ihmisen suorittamaa valvontaa, avoimuutta ja tehokkaita tietosuojatakeita; kehottaa hallintoa tiedottamaan vastuuvapauden myöntävälle viranomaiselle tällaisten välineiden soveltamisalasta, riskinarvioinnista ja eettisistä suojatoimista;</w:t>
      </w:r>
    </w:p>
    <w:p w14:paraId="75CA5B1C" w14:textId="5B7CCF96" w:rsidR="00053BD5" w:rsidRPr="000B2B6B" w:rsidRDefault="00053BD5" w:rsidP="00053BD5">
      <w:pPr>
        <w:pStyle w:val="NormalHanging12a"/>
        <w:widowControl/>
      </w:pPr>
      <w:r w:rsidRPr="000B2B6B">
        <w:t>3</w:t>
      </w:r>
      <w:r w:rsidR="002A4A2F" w:rsidRPr="000B2B6B">
        <w:t>7</w:t>
      </w:r>
      <w:r w:rsidRPr="000B2B6B">
        <w:t>.</w:t>
      </w:r>
      <w:r w:rsidRPr="000B2B6B">
        <w:tab/>
        <w:t>panee merkille, että parlamentin työjärjestyksen mukaan salaista äänestystä käytetään yleensä vaaleissa ja yksittäisiä henkilöitä koskevissa äänestyksissä; panee lisäksi merkille, että äänestys toimitetaan salaisena äänestyksenä myös, jos vähintään korkean vähimmäismäärän saavuttamiseksi tarvittava määrä jäseniä tai yksi tai useampi poliittinen ryhmä sitä pyytää; panee tässä yhteydessä merkille, että perussopimus-, työjärjestys- ja toimielinasioiden valiokunnalle on annettu tehtäväksi arvioida jälkimmäisen vaihtoehdon käyttöä, ja odottaa valiokunnan päätelmiä ja ehdotuksia; pitää nimenhuutoäänestystä keskeisenä välineenä, jolla varmistetaan avoimuus ja vastuuvelvollisuus unionin kansalaisia kohtaan; kehottaa parlamenttia esittämään toimenpiteitä, joilla estetään salaista äänestystä koskevan menettelyn väärinkäyttö;</w:t>
      </w:r>
    </w:p>
    <w:p w14:paraId="6F163B4D" w14:textId="7C00F85C" w:rsidR="00053BD5" w:rsidRPr="000B2B6B" w:rsidRDefault="00053BD5" w:rsidP="00053BD5">
      <w:pPr>
        <w:pStyle w:val="NormalHanging12a"/>
        <w:widowControl/>
        <w:rPr>
          <w:bCs/>
          <w:iCs/>
        </w:rPr>
      </w:pPr>
      <w:r w:rsidRPr="000B2B6B">
        <w:t>3</w:t>
      </w:r>
      <w:r w:rsidR="002A4A2F" w:rsidRPr="000B2B6B">
        <w:t>8</w:t>
      </w:r>
      <w:r w:rsidRPr="000B2B6B">
        <w:t>.</w:t>
      </w:r>
      <w:r w:rsidRPr="000B2B6B">
        <w:tab/>
        <w:t>panee tyytyväisenä merkille edistymisen sukupuolten tasa-arvon valtavirtaistamisessa ja sukupuolitietoisessa budjetoinnissa sekä tasa-arvon edistämistä koskevan vuoden 2025 toimintasuunnitelman hyväksymisen; kehottaa julkaisemaan tämän toimintasuunnitelman, panemaan sen nopeasti täytäntöön siihen kuuluvan etenemissuunnitelman avulla, arvioimaan toimintasuunnitelmaa perusteellisesti ja laatimaan säännöllisesti raportteja, joissa seurataan saavutettua edistystä; suhtautuu myönteisesti sukupuolten tasa-arvon valtavirtaistamisesta vastaavan verkoston työhön parlamentissa;</w:t>
      </w:r>
    </w:p>
    <w:p w14:paraId="42EDFC2C" w14:textId="77777777" w:rsidR="00053BD5" w:rsidRPr="000B2B6B" w:rsidRDefault="00053BD5" w:rsidP="00DC0FD8">
      <w:pPr>
        <w:keepNext/>
        <w:widowControl/>
        <w:spacing w:after="240"/>
        <w:rPr>
          <w:b/>
          <w:bCs/>
          <w:i/>
          <w:iCs/>
          <w14:textOutline w14:w="0" w14:cap="flat" w14:cmpd="sng" w14:algn="ctr">
            <w14:noFill/>
            <w14:prstDash w14:val="solid"/>
            <w14:bevel/>
          </w14:textOutline>
        </w:rPr>
      </w:pPr>
      <w:r w:rsidRPr="000B2B6B">
        <w:rPr>
          <w:b/>
          <w:i/>
          <w14:textOutline w14:w="0" w14:cap="flat" w14:cmpd="sng" w14:algn="ctr">
            <w14:noFill/>
            <w14:prstDash w14:val="solid"/>
            <w14:bevel/>
          </w14:textOutline>
        </w:rPr>
        <w:lastRenderedPageBreak/>
        <w:t>Johdon pääosasto</w:t>
      </w:r>
    </w:p>
    <w:p w14:paraId="3EEFFFEC" w14:textId="64BDD74E" w:rsidR="00053BD5" w:rsidRPr="000B2B6B" w:rsidRDefault="002A4A2F"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39</w:t>
      </w:r>
      <w:r w:rsidR="00053BD5" w:rsidRPr="000B2B6B">
        <w:t>.</w:t>
      </w:r>
      <w:r w:rsidR="00053BD5" w:rsidRPr="000B2B6B">
        <w:rPr>
          <w14:textOutline w14:w="0" w14:cap="flat" w14:cmpd="sng" w14:algn="ctr">
            <w14:noFill/>
            <w14:prstDash w14:val="solid"/>
            <w14:bevel/>
          </w14:textOutline>
        </w:rPr>
        <w:tab/>
        <w:t xml:space="preserve">muistuttaa, että johdon pääosasto (PO PRES) tarjoaa asiantuntemusta ja helpottaa puhemiehen, täysistunnon sekä parlamentin päättävien elinten ja jäsenten lainsäädäntö- ja parlamentaarista työtä parlamentaarisen prosessin ja lainsäädäntöprosessin kaikissa vaiheissa; </w:t>
      </w:r>
      <w:r w:rsidR="00053BD5" w:rsidRPr="000B2B6B">
        <w:t>muistuttaa, että se vastaa myös toimielinten välisistä suhteista, puhemiehen tukemien virallisten vierailujen ja tapahtumien protokollatuesta, unionin turvallisuusluokiteltujen tietojen hallinnoinnista sekä virallisen ja kirjatun postin hallinnoinnista;</w:t>
      </w:r>
      <w:r w:rsidR="00053BD5" w:rsidRPr="000B2B6B">
        <w:rPr>
          <w14:textOutline w14:w="0" w14:cap="flat" w14:cmpd="sng" w14:algn="ctr">
            <w14:noFill/>
            <w14:prstDash w14:val="solid"/>
            <w14:bevel/>
          </w14:textOutline>
        </w:rPr>
        <w:t xml:space="preserve"> </w:t>
      </w:r>
      <w:r w:rsidR="00053BD5" w:rsidRPr="000B2B6B">
        <w:t>panee merkille, että 31. joulukuuta 2024 pääosastossa oli 406 henkilöstön jäsentä, joista 320 oli virkamiehiä, 29 väliaikaisia toimihenkilöitä, 55 sopimussuhteisia toimihenkilöitä, yksi kansallinen asiantuntija ja yksi vuokratyöntekijä;</w:t>
      </w:r>
    </w:p>
    <w:p w14:paraId="1839D5B5" w14:textId="32C70461"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4</w:t>
      </w:r>
      <w:r w:rsidR="002A4A2F" w:rsidRPr="000B2B6B">
        <w:rPr>
          <w14:textOutline w14:w="0" w14:cap="flat" w14:cmpd="sng" w14:algn="ctr">
            <w14:noFill/>
            <w14:prstDash w14:val="solid"/>
            <w14:bevel/>
          </w14:textOutline>
        </w:rPr>
        <w:t>0</w:t>
      </w:r>
      <w:r w:rsidRPr="000B2B6B">
        <w:t>.</w:t>
      </w:r>
      <w:r w:rsidRPr="000B2B6B">
        <w:rPr>
          <w14:textOutline w14:w="0" w14:cap="flat" w14:cmpd="sng" w14:algn="ctr">
            <w14:noFill/>
            <w14:prstDash w14:val="solid"/>
            <w14:bevel/>
          </w14:textOutline>
        </w:rPr>
        <w:tab/>
      </w:r>
      <w:r w:rsidRPr="000B2B6B">
        <w:t>panee merkille, että vuonna 2024 johdon pääosaston lopulliset määrärahat olivat 2 970 957 euroa, mikä on 0,2 prosenttia parlamentin talousarviosta;</w:t>
      </w:r>
      <w:r w:rsidRPr="000B2B6B">
        <w:rPr>
          <w14:textOutline w14:w="0" w14:cap="flat" w14:cmpd="sng" w14:algn="ctr">
            <w14:noFill/>
            <w14:prstDash w14:val="solid"/>
            <w14:bevel/>
          </w14:textOutline>
        </w:rPr>
        <w:t xml:space="preserve"> </w:t>
      </w:r>
      <w:r w:rsidRPr="000B2B6B">
        <w:t>korostaa, että tästä määrästä sidottiin yhteensä 2 930 107 euroa;</w:t>
      </w:r>
      <w:r w:rsidRPr="000B2B6B">
        <w:rPr>
          <w14:textOutline w14:w="0" w14:cap="flat" w14:cmpd="sng" w14:algn="ctr">
            <w14:noFill/>
            <w14:prstDash w14:val="solid"/>
            <w14:bevel/>
          </w14:textOutline>
        </w:rPr>
        <w:t xml:space="preserve"> pitää määrärahojen korkeaa käyttöastetta myönteisenä;</w:t>
      </w:r>
    </w:p>
    <w:p w14:paraId="7DC8337A" w14:textId="1C50FCF6" w:rsidR="00053BD5" w:rsidRPr="000B2B6B" w:rsidRDefault="00053BD5" w:rsidP="00053BD5">
      <w:pPr>
        <w:widowControl/>
        <w:spacing w:after="240"/>
        <w:ind w:left="567" w:hanging="567"/>
      </w:pPr>
      <w:r w:rsidRPr="000B2B6B">
        <w:t>4</w:t>
      </w:r>
      <w:r w:rsidR="002A4A2F" w:rsidRPr="000B2B6B">
        <w:t>1</w:t>
      </w:r>
      <w:r w:rsidRPr="000B2B6B">
        <w:t>.</w:t>
      </w:r>
      <w:r w:rsidRPr="000B2B6B">
        <w:tab/>
        <w:t>panee merkille, että johdon pääosaston toimintaan vaikuttivat yhdeksännen vaalikauden päättyminen ja kymmenennen vaalikauden alkaminen, mikä asetti haasteita täysistunnon suunnittelun ja päätökseen saattamisen valmiuksille yhdeksännen vaalikauden lopussa, kun otetaan huomioon vaalikauden viimeisten kuukausien aikana hyväksyttyjen tavallisen lainsäätämisjärjestyksen mukaisten menettelyjen erittäin suuri määrä ja uuden parlamentin muodostaminen kymmenennen vaalikauden alussa puhemiehen ja puhemiehistön valinnan myötä;</w:t>
      </w:r>
    </w:p>
    <w:p w14:paraId="046BCE67" w14:textId="33F20CDD" w:rsidR="00053BD5" w:rsidRPr="000B2B6B" w:rsidRDefault="00053BD5" w:rsidP="00053BD5">
      <w:pPr>
        <w:pStyle w:val="NormalHanging12a"/>
        <w:widowControl/>
      </w:pPr>
      <w:bookmarkStart w:id="8" w:name="_Hlk216613698"/>
      <w:r w:rsidRPr="000B2B6B">
        <w:t>4</w:t>
      </w:r>
      <w:r w:rsidR="002A4A2F" w:rsidRPr="000B2B6B">
        <w:t>2</w:t>
      </w:r>
      <w:r w:rsidRPr="000B2B6B">
        <w:t>.</w:t>
      </w:r>
      <w:r w:rsidRPr="000B2B6B">
        <w:tab/>
        <w:t>kiittää johdon pääosastoa sen toimista nuhteettomuutta ja avoimuutta koskevien uusien sääntöjen täytäntöönpanossa ja seurannassa ja toteaa, että toimiin sisältyi ensimmäinen kokonaisarviointi uudistuksen teknisestä täytäntöönpanosta ja tiedottamista sekä teknisen asiantuntemuksen ja palvelujen tarjoamista avoimuuteen, nuhteettomuuteen ja vastuuvelvollisuuteen liittyvissä kysymyksissä; pitää lisäksi myönteisenä jäsenten toimintaa käsittelevän neuvoa-antavan komitean roolia sen valvonnassa, miten jäsenet noudattavat menettelysääntöjä ja niiden täytäntöönpanotoimenpiteitä;</w:t>
      </w:r>
    </w:p>
    <w:bookmarkEnd w:id="8"/>
    <w:p w14:paraId="36D9FB4B" w14:textId="0BF918FE" w:rsidR="00053BD5" w:rsidRPr="000B2B6B" w:rsidRDefault="00053BD5" w:rsidP="00053BD5">
      <w:pPr>
        <w:pStyle w:val="NormalHanging12a"/>
        <w:widowControl/>
      </w:pPr>
      <w:r w:rsidRPr="000B2B6B">
        <w:t>4</w:t>
      </w:r>
      <w:r w:rsidR="002A4A2F" w:rsidRPr="000B2B6B">
        <w:t>3</w:t>
      </w:r>
      <w:r w:rsidRPr="000B2B6B">
        <w:t>.</w:t>
      </w:r>
      <w:r w:rsidRPr="000B2B6B">
        <w:tab/>
        <w:t xml:space="preserve">kehottaa jatkamaan toimielinten välistä yhteistyötä ja vuoropuhelua nuhteettomuudesta ja avoimuudesta unionin </w:t>
      </w:r>
      <w:r w:rsidR="00190EB5" w:rsidRPr="000B2B6B">
        <w:t>toimielinten kesken; muistuttaa, että parlamenttia velvoittaa edelleen sopimus, joka koskee Euroopan unionista tehdyn sopimuksen 13 artiklassa tarkoitettujen toimielinten ja neuvoa-antavien elinten jäsenten eettisiä normeja käsittelevän toimielinten välisen elimen perustamista; muistuttaa, että parlamentin edellytetään näin ollen noudattavan sen määräyksiä viipymättä</w:t>
      </w:r>
      <w:r w:rsidRPr="000B2B6B">
        <w:t>;</w:t>
      </w:r>
    </w:p>
    <w:p w14:paraId="638A36B9" w14:textId="2CC6AFBD" w:rsidR="00053BD5" w:rsidRPr="000B2B6B" w:rsidRDefault="00053BD5" w:rsidP="00053BD5">
      <w:pPr>
        <w:pStyle w:val="NormalHanging12a"/>
        <w:widowControl/>
        <w:rPr>
          <w:bCs/>
          <w:iCs/>
        </w:rPr>
      </w:pPr>
      <w:r w:rsidRPr="000B2B6B">
        <w:t>4</w:t>
      </w:r>
      <w:r w:rsidR="002A4A2F" w:rsidRPr="000B2B6B">
        <w:t>4</w:t>
      </w:r>
      <w:r w:rsidRPr="000B2B6B">
        <w:t>.</w:t>
      </w:r>
      <w:r w:rsidRPr="000B2B6B">
        <w:tab/>
        <w:t>panee tyytyväisenä merkille, että johdon pääosasto jatkoi tehokasta yhteistyötään neuvoston ja komission kanssa kaikissa avoimuusrekisterin toimielinten välistä sihteeristöä koskevissa asioissa rekisterin toiminnan tehostamiseksi edelleen;</w:t>
      </w:r>
    </w:p>
    <w:p w14:paraId="4862462D" w14:textId="11975908" w:rsidR="00053BD5" w:rsidRPr="000B2B6B" w:rsidRDefault="00053BD5" w:rsidP="00053BD5">
      <w:pPr>
        <w:pStyle w:val="NormalHanging12a"/>
        <w:widowControl/>
      </w:pPr>
      <w:r w:rsidRPr="000B2B6B">
        <w:t>4</w:t>
      </w:r>
      <w:r w:rsidR="002A4A2F" w:rsidRPr="000B2B6B">
        <w:t>5</w:t>
      </w:r>
      <w:r w:rsidRPr="000B2B6B">
        <w:t>.</w:t>
      </w:r>
      <w:r w:rsidRPr="000B2B6B">
        <w:tab/>
        <w:t xml:space="preserve">tuo esiin jatkuvat viivästykset, joita komissiolla on viime vuosina ollut parlamentin sille esittämien kirjallisesti vastattavien kysymysten käsittelyssä; pitää valitettavana, että prosessi on entistä byrokraattisempi ja hitaampi, minkä vuoksi parlamentin työjärjestyksen 144 artiklassa vahvistettujen määräaikojen noudattamisessa on järjestelmällisesti puutteita; panee huolestuneena merkille, että vuonna 2024 komissio vastasi vain pieneen osaan kirjallisista kysymyksistä parlamentin työjärjestyksessä asetetuissa määräajoissa ja ensisijaisten kysymysten kohdalla osuus oli erityisen </w:t>
      </w:r>
      <w:r w:rsidRPr="000B2B6B">
        <w:lastRenderedPageBreak/>
        <w:t>alhainen ja että monissa tapauksissa se vastasi vasta määräajan jälkeen; toteaa, että pisin vastausaika oli 475 päivää; muistuttaa, että oikea-aikaiset vastaukset ovat olennainen osa parlamentaarista valvontaa ja demokraattista vastuuvelvollisuutta; panee tyytyväisenä merkille johdon pääosaston viime vuosina toteuttamat toimet, joilla pyritään varmistamaan asetettujen määräaikojen noudattaminen; kehottaa johdon pääosastoa suorittamaan toimia, joilla varmistetaan, että parlamentin asettamia määräaikoja noudatetaan kaikilta osin, ja pyrkimään komission kanssa, myös poliittisella tasolla, sitovampiin järjestelyihin vastaamisessa kirjallisiin kysymyksiin määräajassa ja tiedottamaan vastuuvapauden myöntävälle viranomaiselle saavutetusta edistyksestä, pyrkien tällä siihen, että parlamentin esittämien kirjallisesti vastattavien kysymysten järjestelmästä saataisiin jälleen tehokas valvonnan väline;</w:t>
      </w:r>
    </w:p>
    <w:p w14:paraId="7D2B068F" w14:textId="5EA7D449" w:rsidR="00053BD5" w:rsidRPr="000B2B6B" w:rsidRDefault="00053BD5" w:rsidP="00053BD5">
      <w:pPr>
        <w:pStyle w:val="NormalHanging12a"/>
        <w:widowControl/>
        <w:rPr>
          <w:bCs/>
          <w:iCs/>
        </w:rPr>
      </w:pPr>
      <w:r w:rsidRPr="000B2B6B">
        <w:t>4</w:t>
      </w:r>
      <w:r w:rsidR="002A4A2F" w:rsidRPr="000B2B6B">
        <w:t>6</w:t>
      </w:r>
      <w:r w:rsidRPr="000B2B6B">
        <w:t>.</w:t>
      </w:r>
      <w:r w:rsidRPr="000B2B6B">
        <w:tab/>
        <w:t>panee merkille, että sisäinen käsittely, mukaan lukien editointi, kääntäminen ja käsiteltäväksi ottamisen tarkistukset, vaikuttaa kirjallisten kysymysten toimittamiseen yhteensä kuluvaan aikaan; kehottaa hallintoa jatkamaan näiden menettelyjen virtaviivaistamista noudattaen samalla kaikilta osin kielellistä laatuja ja tietosuojaa koskevia vaatimuksia, jotta jäsenten valvontatyötä voidaan tukea tehokkaammin;</w:t>
      </w:r>
    </w:p>
    <w:p w14:paraId="76A79076" w14:textId="76E7C954" w:rsidR="00053BD5" w:rsidRPr="000B2B6B" w:rsidRDefault="00053BD5" w:rsidP="00053BD5">
      <w:pPr>
        <w:widowControl/>
        <w:spacing w:after="240"/>
        <w:ind w:left="567" w:hanging="567"/>
      </w:pPr>
      <w:r w:rsidRPr="000B2B6B">
        <w:t>4</w:t>
      </w:r>
      <w:r w:rsidR="002A4A2F" w:rsidRPr="000B2B6B">
        <w:t>7</w:t>
      </w:r>
      <w:r w:rsidRPr="000B2B6B">
        <w:t>.</w:t>
      </w:r>
      <w:r w:rsidRPr="000B2B6B">
        <w:tab/>
        <w:t>kehottaa johdon pääosastoa tekemään aktiivisesti yhteistyötä muiden jäsenvaltioiden ja kolmansien maiden parlamenttien kanssa tehokkaita valvontamekanismeja koskevien ehdotusten laatimiseksi sekä sellaisten keinojen löytämiseksi, joilla parannetaan parlamentin täysistuntokeskustelujen laatua ja lisätään niihin osallistumista; kehottaa johdon pääosastoa hyödyntämään tässä kongressin kuulemisten rakennetta;</w:t>
      </w:r>
    </w:p>
    <w:p w14:paraId="155DEA18" w14:textId="4B675457" w:rsidR="00053BD5" w:rsidRPr="000B2B6B" w:rsidRDefault="00053BD5" w:rsidP="00053BD5">
      <w:pPr>
        <w:pStyle w:val="NormalHanging12a"/>
        <w:widowControl/>
        <w:rPr>
          <w:bCs/>
          <w:iCs/>
        </w:rPr>
      </w:pPr>
      <w:r w:rsidRPr="000B2B6B">
        <w:t>4</w:t>
      </w:r>
      <w:r w:rsidR="002A4A2F" w:rsidRPr="000B2B6B">
        <w:t>8</w:t>
      </w:r>
      <w:r w:rsidRPr="000B2B6B">
        <w:t>.</w:t>
      </w:r>
      <w:r w:rsidRPr="000B2B6B">
        <w:tab/>
        <w:t>pitää myönteisenä, että parlamentti käynnisti äskettäin lainsäädäntömenettelyn unionin vaalilainsäädännön muuttamiseksi siten, että otetaan käyttöön uusi väliaikainen valtakirjaäänestysmahdollisuus Euroopan parlamentin jäsenille raskauden loppuvaiheessa ja äitiyden alkuvaiheessa; panee tyytyväisenä merkille, että täysistunnossa 13. marraskuuta 2025 pidetyssä äänestyksessä parlamentti sitoutui sukupuolten tasa-arvoon, osallisuuteen sekä työ- ja yksityiselämän tasapainoon, vaikka laajempi vanhempainvapaa ei kuulu säädöksen soveltamisalaan;</w:t>
      </w:r>
    </w:p>
    <w:p w14:paraId="4EEA4B7F" w14:textId="09DDD176" w:rsidR="00053BD5" w:rsidRPr="000B2B6B" w:rsidRDefault="002A4A2F" w:rsidP="00053BD5">
      <w:pPr>
        <w:pStyle w:val="NormalHanging12a"/>
        <w:widowControl/>
        <w:rPr>
          <w:bCs/>
          <w:iCs/>
        </w:rPr>
      </w:pPr>
      <w:r w:rsidRPr="000B2B6B">
        <w:t>49</w:t>
      </w:r>
      <w:r w:rsidR="00053BD5" w:rsidRPr="000B2B6B">
        <w:t>.</w:t>
      </w:r>
      <w:r w:rsidR="00053BD5" w:rsidRPr="000B2B6B">
        <w:tab/>
        <w:t>panee merkille, että valiokuntien ajantasaisia läsnäolotietoja ei tällä hetkellä ole saatavilla; kehottaa parlamentin yksiköitä julkistamaan valiokuntien vuotuiset valiokuntakohtaisesti jaotellut läsnäolotiedot;</w:t>
      </w:r>
    </w:p>
    <w:p w14:paraId="0D5F2A7F" w14:textId="77777777" w:rsidR="00053BD5" w:rsidRPr="000B2B6B" w:rsidRDefault="00053BD5" w:rsidP="00DC0FD8">
      <w:pPr>
        <w:keepNext/>
        <w:widowControl/>
        <w:spacing w:after="240"/>
        <w:rPr>
          <w:b/>
          <w:bCs/>
          <w:i/>
          <w:iCs/>
          <w14:textOutline w14:w="0" w14:cap="flat" w14:cmpd="sng" w14:algn="ctr">
            <w14:noFill/>
            <w14:prstDash w14:val="solid"/>
            <w14:bevel/>
          </w14:textOutline>
        </w:rPr>
      </w:pPr>
      <w:r w:rsidRPr="000B2B6B">
        <w:rPr>
          <w:b/>
          <w:i/>
          <w14:textOutline w14:w="0" w14:cap="flat" w14:cmpd="sng" w14:algn="ctr">
            <w14:noFill/>
            <w14:prstDash w14:val="solid"/>
            <w14:bevel/>
          </w14:textOutline>
        </w:rPr>
        <w:t>Viestinnän pääosasto</w:t>
      </w:r>
    </w:p>
    <w:p w14:paraId="16EDF812" w14:textId="13F07AF7"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5</w:t>
      </w:r>
      <w:r w:rsidR="002A4A2F" w:rsidRPr="000B2B6B">
        <w:rPr>
          <w14:textOutline w14:w="0" w14:cap="flat" w14:cmpd="sng" w14:algn="ctr">
            <w14:noFill/>
            <w14:prstDash w14:val="solid"/>
            <w14:bevel/>
          </w14:textOutline>
        </w:rPr>
        <w:t>0</w:t>
      </w:r>
      <w:r w:rsidRPr="000B2B6B">
        <w:t>.</w:t>
      </w:r>
      <w:r w:rsidRPr="000B2B6B">
        <w:rPr>
          <w14:textOutline w14:w="0" w14:cap="flat" w14:cmpd="sng" w14:algn="ctr">
            <w14:noFill/>
            <w14:prstDash w14:val="solid"/>
            <w14:bevel/>
          </w14:textOutline>
        </w:rPr>
        <w:tab/>
      </w:r>
      <w:r w:rsidRPr="000B2B6B">
        <w:t>panee merkille, että viestinnän pääosaston (PO COMM) tehtävänä on varmistaa, että kansalaiset ymmärtävät parlamentin merkityksen, jotta he voivat osallistua tehokkaammin EU:n demokraattiseen prosessiin;</w:t>
      </w:r>
      <w:r w:rsidRPr="000B2B6B">
        <w:rPr>
          <w14:textOutline w14:w="0" w14:cap="flat" w14:cmpd="sng" w14:algn="ctr">
            <w14:noFill/>
            <w14:prstDash w14:val="solid"/>
            <w14:bevel/>
          </w14:textOutline>
        </w:rPr>
        <w:t xml:space="preserve"> korostaa, että sen keskeisiin tehtäviin kuuluu tehdä yhteistyötä tiedotusvälineiden kanssa, tiedottaa parlamentin työstä ja selittää sitä ja lisätä sen näkyvyyttä, lisätä kaikkien jäsenvaltioiden kansalaisten, sidosryhmien ja mielipidevaikuttajien tietoisuutta parlamentista jäsenvaltioissa sijaitsevien Euroopan parlamentin yhteystoimistojen kautta, edistää vuorovaikutusta kansalaisten kanssa kehittämällä vierailuhankkeita, tapahtumia ja tiedotuskampanjoita ja lisäämällä parlamentin läsnäoloa sosiaalisessa mediassa sekä tarjota jäsenille ja poliittisille ryhmille asiantuntemusta muun muassa mediaseurannan ja yleisen mielipiteen seurannan aloilla;</w:t>
      </w:r>
    </w:p>
    <w:p w14:paraId="42528B47" w14:textId="343A911F"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5</w:t>
      </w:r>
      <w:r w:rsidR="002A4A2F" w:rsidRPr="000B2B6B">
        <w:rPr>
          <w14:textOutline w14:w="0" w14:cap="flat" w14:cmpd="sng" w14:algn="ctr">
            <w14:noFill/>
            <w14:prstDash w14:val="solid"/>
            <w14:bevel/>
          </w14:textOutline>
        </w:rPr>
        <w:t>1</w:t>
      </w:r>
      <w:r w:rsidRPr="000B2B6B">
        <w:t>.</w:t>
      </w:r>
      <w:r w:rsidRPr="000B2B6B">
        <w:rPr>
          <w14:textOutline w14:w="0" w14:cap="flat" w14:cmpd="sng" w14:algn="ctr">
            <w14:noFill/>
            <w14:prstDash w14:val="solid"/>
            <w14:bevel/>
          </w14:textOutline>
        </w:rPr>
        <w:tab/>
      </w:r>
      <w:r w:rsidRPr="000B2B6B">
        <w:t>panee merkille, että vuonna 2024 viestinnän pääosaston lopulliset määrärahat olivat 137 463 777 euroa, mikä on 5,8 prosenttia parlamentin talousarviosta;</w:t>
      </w:r>
      <w:r w:rsidRPr="000B2B6B">
        <w:rPr>
          <w14:textOutline w14:w="0" w14:cap="flat" w14:cmpd="sng" w14:algn="ctr">
            <w14:noFill/>
            <w14:prstDash w14:val="solid"/>
            <w14:bevel/>
          </w14:textOutline>
        </w:rPr>
        <w:t xml:space="preserve"> </w:t>
      </w:r>
      <w:r w:rsidRPr="000B2B6B">
        <w:t xml:space="preserve">korostaa, että </w:t>
      </w:r>
      <w:r w:rsidRPr="000B2B6B">
        <w:lastRenderedPageBreak/>
        <w:t>tästä määrästä sidottiin yhteensä 137 467 355 euroa;</w:t>
      </w:r>
      <w:r w:rsidRPr="000B2B6B">
        <w:rPr>
          <w14:textOutline w14:w="0" w14:cap="flat" w14:cmpd="sng" w14:algn="ctr">
            <w14:noFill/>
            <w14:prstDash w14:val="solid"/>
            <w14:bevel/>
          </w14:textOutline>
        </w:rPr>
        <w:t xml:space="preserve"> pitää määrärahojen korkeaa käyttöastetta myönteisenä;</w:t>
      </w:r>
    </w:p>
    <w:p w14:paraId="73B5FA3B" w14:textId="722F63E8" w:rsidR="00053BD5" w:rsidRPr="000B2B6B" w:rsidRDefault="00053BD5" w:rsidP="00053BD5">
      <w:pPr>
        <w:widowControl/>
        <w:spacing w:after="240"/>
        <w:ind w:left="567" w:hanging="567"/>
      </w:pPr>
      <w:r w:rsidRPr="000B2B6B">
        <w:t>5</w:t>
      </w:r>
      <w:r w:rsidR="002A4A2F" w:rsidRPr="000B2B6B">
        <w:t>2</w:t>
      </w:r>
      <w:r w:rsidRPr="000B2B6B">
        <w:t>.</w:t>
      </w:r>
      <w:r w:rsidRPr="000B2B6B">
        <w:tab/>
        <w:t>toteaa, että viestinnän pääosaston vuoden 2024 toiminnassa oli keskeisessä asemassa EU-vaaleja koskenut viestintä, josta mainittakoon erityisesti onnistunut äänestämiseen kannustanut viestintäkampanja, kumppanuudet yli 300 kansalaisjärjestön kanssa ja tiedon jakaminen yli 18 000 toimittajalle; panee merkille, että kaikki viestinnän pääosaston vuonna 2024 toteuttamat strategiset hankkeet koskivat EU-vaaleja ja että niiden toteutusaste oli 94 prosenttia ja että muut hankkeet, joiden osuus oli kuusi prosenttia, liittyivät uuden verkkosivustorakenteen toteuttamiseen;</w:t>
      </w:r>
    </w:p>
    <w:p w14:paraId="274DA8AA" w14:textId="1E5F3248" w:rsidR="00053BD5" w:rsidRPr="000B2B6B" w:rsidRDefault="00053BD5" w:rsidP="00053BD5">
      <w:pPr>
        <w:widowControl/>
        <w:spacing w:after="240"/>
        <w:ind w:left="567" w:hanging="567"/>
      </w:pPr>
      <w:r w:rsidRPr="000B2B6B">
        <w:t>5</w:t>
      </w:r>
      <w:r w:rsidR="002A4A2F" w:rsidRPr="000B2B6B">
        <w:t>3</w:t>
      </w:r>
      <w:r w:rsidRPr="000B2B6B">
        <w:t>.</w:t>
      </w:r>
      <w:r w:rsidRPr="000B2B6B">
        <w:tab/>
        <w:t>panee merkille, että viestinnän pääosasto edisti uutisointia EU-vaaleista, joista uutisoitiin ennätyksellisen paljon (edellisiin vaaleihin verrattuna 18 prosenttia enemmän), ja toteaa, että viestinnän pääosaston mukaan uutisointi oli erityisen huomattavaa vaalisyklin loppuvaiheessa, jolloin 149 televisiokanavaa 51 maassa välitti uutisia vaali-illasta 9. kesäkuuta 2024, ja että vaaleista uutisoitiin enimmäkseen verkossa;</w:t>
      </w:r>
    </w:p>
    <w:p w14:paraId="694C45B7" w14:textId="18CAEEC2" w:rsidR="00053BD5" w:rsidRPr="000B2B6B" w:rsidRDefault="00053BD5" w:rsidP="00053BD5">
      <w:pPr>
        <w:widowControl/>
        <w:spacing w:after="240"/>
        <w:ind w:left="567" w:hanging="567"/>
      </w:pPr>
      <w:r w:rsidRPr="000B2B6B">
        <w:rPr>
          <w14:textOutline w14:w="0" w14:cap="flat" w14:cmpd="sng" w14:algn="ctr">
            <w14:noFill/>
            <w14:prstDash w14:val="solid"/>
            <w14:bevel/>
          </w14:textOutline>
        </w:rPr>
        <w:t>5</w:t>
      </w:r>
      <w:r w:rsidR="002A4A2F" w:rsidRPr="000B2B6B">
        <w:rPr>
          <w14:textOutline w14:w="0" w14:cap="flat" w14:cmpd="sng" w14:algn="ctr">
            <w14:noFill/>
            <w14:prstDash w14:val="solid"/>
            <w14:bevel/>
          </w14:textOutline>
        </w:rPr>
        <w:t>4</w:t>
      </w:r>
      <w:r w:rsidRPr="000B2B6B">
        <w:t>.</w:t>
      </w:r>
      <w:r w:rsidRPr="000B2B6B">
        <w:rPr>
          <w14:textOutline w14:w="0" w14:cap="flat" w14:cmpd="sng" w14:algn="ctr">
            <w14:noFill/>
            <w14:prstDash w14:val="solid"/>
            <w14:bevel/>
          </w14:textOutline>
        </w:rPr>
        <w:tab/>
      </w:r>
      <w:r w:rsidRPr="000B2B6B">
        <w:t>panee merkille yhteystoimistojen roolin yhteyksissä parlamentin ja kansalaisten välillä sekä yleisesti yhteyksissä sidosryhmiin jäsenvaltioissa sekä EU-vaaleista tiedottamisessa;</w:t>
      </w:r>
      <w:r w:rsidRPr="000B2B6B">
        <w:rPr>
          <w14:textOutline w14:w="0" w14:cap="flat" w14:cmpd="sng" w14:algn="ctr">
            <w14:noFill/>
            <w14:prstDash w14:val="solid"/>
            <w14:bevel/>
          </w14:textOutline>
        </w:rPr>
        <w:t xml:space="preserve"> </w:t>
      </w:r>
      <w:r w:rsidRPr="000B2B6B">
        <w:t xml:space="preserve">toteaa, että kaikki yhteystoimistot tarjoavat jäsenille, poliittisille ryhmille ja kolmansille osapuolille jäsenvaltioissa käytettäviksi tarkoitettuja audiovisuaalisia palveluja; </w:t>
      </w:r>
    </w:p>
    <w:p w14:paraId="2E1B7405" w14:textId="64BDB51A" w:rsidR="00053BD5" w:rsidRPr="000B2B6B" w:rsidRDefault="00053BD5" w:rsidP="00053BD5">
      <w:pPr>
        <w:pStyle w:val="NormalHanging12a"/>
        <w:widowControl/>
        <w:rPr>
          <w:bCs/>
          <w:iCs/>
        </w:rPr>
      </w:pPr>
      <w:r w:rsidRPr="000B2B6B">
        <w:t>5</w:t>
      </w:r>
      <w:r w:rsidR="002A4A2F" w:rsidRPr="000B2B6B">
        <w:t>5</w:t>
      </w:r>
      <w:r w:rsidRPr="000B2B6B">
        <w:t>.</w:t>
      </w:r>
      <w:r w:rsidRPr="000B2B6B">
        <w:tab/>
        <w:t xml:space="preserve">pyytää, että yhteystoimistojen ja Europa </w:t>
      </w:r>
      <w:proofErr w:type="spellStart"/>
      <w:r w:rsidRPr="000B2B6B">
        <w:t>Experience</w:t>
      </w:r>
      <w:proofErr w:type="spellEnd"/>
      <w:r w:rsidRPr="000B2B6B">
        <w:t xml:space="preserve"> -keskusten menoja seurataan asianmukaisesti;</w:t>
      </w:r>
    </w:p>
    <w:p w14:paraId="6E3EA4ED" w14:textId="01905A81" w:rsidR="00053BD5" w:rsidRPr="000B2B6B" w:rsidRDefault="00053BD5" w:rsidP="00053BD5">
      <w:pPr>
        <w:pStyle w:val="NormalHanging12a"/>
        <w:widowControl/>
        <w:rPr>
          <w:bCs/>
          <w:iCs/>
        </w:rPr>
      </w:pPr>
      <w:r w:rsidRPr="000B2B6B">
        <w:t>5</w:t>
      </w:r>
      <w:r w:rsidR="002A4A2F" w:rsidRPr="000B2B6B">
        <w:t>6</w:t>
      </w:r>
      <w:r w:rsidRPr="000B2B6B">
        <w:t>.</w:t>
      </w:r>
      <w:r w:rsidRPr="000B2B6B">
        <w:tab/>
        <w:t>korostaa Euroopan parlamentin Washingtonissa sijaitsevan yhteystoimiston ratkaisevaa roolia transatlanttisten suhteiden edistämisessä ja Yhdysvaltain parlamentin ja Euroopan parlamentin välisten yhteyksien parantamisessa; korostaa, että ottaen huomioon Yhdysvaltojen uusi hallinto ja uudet maailmanlaajuiset haasteet yhteystoimiston rooli Washingtonissa on entistäkin ratkaisevampi; kehottaa varmistamaan riittävät määrärahat ja henkilöresurssit, jotta Washingtonin-yhteystoimiston toimintaa voidaan tukea;</w:t>
      </w:r>
    </w:p>
    <w:p w14:paraId="744A1261" w14:textId="40E98F56" w:rsidR="00053BD5" w:rsidRPr="000B2B6B" w:rsidRDefault="00053BD5" w:rsidP="00053BD5">
      <w:pPr>
        <w:pStyle w:val="NormalHanging12a"/>
        <w:widowControl/>
      </w:pPr>
      <w:r w:rsidRPr="000B2B6B">
        <w:t>5</w:t>
      </w:r>
      <w:r w:rsidR="002A4A2F" w:rsidRPr="000B2B6B">
        <w:t>7</w:t>
      </w:r>
      <w:r w:rsidRPr="000B2B6B">
        <w:t>.</w:t>
      </w:r>
      <w:r w:rsidRPr="000B2B6B">
        <w:tab/>
        <w:t xml:space="preserve">panee merkille, että vuonna 2024 toiminnassa oli 14 Europa </w:t>
      </w:r>
      <w:proofErr w:type="spellStart"/>
      <w:r w:rsidRPr="000B2B6B">
        <w:t>Experience</w:t>
      </w:r>
      <w:proofErr w:type="spellEnd"/>
      <w:r w:rsidRPr="000B2B6B">
        <w:t xml:space="preserve"> -keskusta, joiden kävijämäärä oli yhteensä 957 209, ja toteaa, että keskusten kävijämäärät vaihtelivat suuresti: kävijöitä oli eniten Strasbourgissa (381 687) ja Berliinissä (122 672) ja vähiten Kööpenhaminassa (18 182) ja Dublinissa (8 312), jossa keskus tosin avattiin vasta lokakuussa 2024; panee merkille, että yhteystoimistot hyödyntävät Europa </w:t>
      </w:r>
      <w:proofErr w:type="spellStart"/>
      <w:r w:rsidRPr="000B2B6B">
        <w:t>Experience</w:t>
      </w:r>
      <w:proofErr w:type="spellEnd"/>
      <w:r w:rsidRPr="000B2B6B">
        <w:t xml:space="preserve"> -keskuksia asiaankuuluvissa jäsenvaltioissa demokraattisen osallistumisen unionin keskuksena, joka tarjoaa mahdollisuuksia houkutella parlamentin viestinnälle laajempaa yleisöä;</w:t>
      </w:r>
    </w:p>
    <w:p w14:paraId="58AFFDDC" w14:textId="720D7D7A" w:rsidR="00053BD5" w:rsidRPr="000B2B6B" w:rsidRDefault="00053BD5" w:rsidP="00053BD5">
      <w:pPr>
        <w:widowControl/>
        <w:spacing w:after="240"/>
        <w:ind w:left="567" w:hanging="567"/>
      </w:pPr>
      <w:r w:rsidRPr="000B2B6B">
        <w:rPr>
          <w14:textOutline w14:w="0" w14:cap="flat" w14:cmpd="sng" w14:algn="ctr">
            <w14:noFill/>
            <w14:prstDash w14:val="solid"/>
            <w14:bevel/>
          </w14:textOutline>
        </w:rPr>
        <w:t>5</w:t>
      </w:r>
      <w:r w:rsidR="002A4A2F" w:rsidRPr="000B2B6B">
        <w:rPr>
          <w14:textOutline w14:w="0" w14:cap="flat" w14:cmpd="sng" w14:algn="ctr">
            <w14:noFill/>
            <w14:prstDash w14:val="solid"/>
            <w14:bevel/>
          </w14:textOutline>
        </w:rPr>
        <w:t>8</w:t>
      </w:r>
      <w:r w:rsidRPr="000B2B6B">
        <w:t>.</w:t>
      </w:r>
      <w:r w:rsidRPr="000B2B6B">
        <w:rPr>
          <w14:textOutline w14:w="0" w14:cap="flat" w14:cmpd="sng" w14:algn="ctr">
            <w14:noFill/>
            <w14:prstDash w14:val="solid"/>
            <w14:bevel/>
          </w14:textOutline>
        </w:rPr>
        <w:tab/>
      </w:r>
      <w:r w:rsidRPr="000B2B6B">
        <w:t xml:space="preserve">painottaa, että on tärkeää arvioida perusteellisesti Europa </w:t>
      </w:r>
      <w:proofErr w:type="spellStart"/>
      <w:r w:rsidRPr="000B2B6B">
        <w:t>Experience</w:t>
      </w:r>
      <w:proofErr w:type="spellEnd"/>
      <w:r w:rsidRPr="000B2B6B">
        <w:t xml:space="preserve"> -keskuksista tähän mennessä saatuja kokemuksia, erityisesti kun on kyse sopivien kiinteistöjen etsimisestä ja siitä, miten kohderyhmät voidaan saavuttaa tehokkaasti, parhaiden käytäntöjen määrittämisestä ja Europa </w:t>
      </w:r>
      <w:proofErr w:type="spellStart"/>
      <w:r w:rsidRPr="000B2B6B">
        <w:t>Experience</w:t>
      </w:r>
      <w:proofErr w:type="spellEnd"/>
      <w:r w:rsidRPr="000B2B6B">
        <w:t xml:space="preserve"> -keskusten tulevan kehittämisen mukauttamisesta paikallisiin tarpeisiin ja osoitetun vaikutuksen mukaisesti; korostaa, että tulevien mukautusten taikka laajennusten jatkamista koskevien uudelleentarkastelujen olisi perustuttava tähän uudelleenarviointiin ja olisi varmistettava, että mahdolliset tulevat investoinnit edistävät tehokkaammin niille asetettua tavoitetta tuoda parlamentti lähemmäs kansalaisia ja parantaa näiden käsitystä unionin demokraattisesta prosessista;</w:t>
      </w:r>
    </w:p>
    <w:p w14:paraId="72AACD0A" w14:textId="110A8994" w:rsidR="00053BD5" w:rsidRPr="000B2B6B" w:rsidRDefault="002A4A2F" w:rsidP="00053BD5">
      <w:pPr>
        <w:pStyle w:val="NormalHanging12a"/>
        <w:widowControl/>
      </w:pPr>
      <w:r w:rsidRPr="000B2B6B">
        <w:lastRenderedPageBreak/>
        <w:t>59</w:t>
      </w:r>
      <w:r w:rsidR="00053BD5" w:rsidRPr="000B2B6B">
        <w:t>.</w:t>
      </w:r>
      <w:r w:rsidR="00053BD5" w:rsidRPr="000B2B6B">
        <w:tab/>
        <w:t>panee merkille, että puhemiehistö hyväksyi 11. syyskuuta 2023 virallisesti kutsuttujen vierailijaryhmien tukien maksamista koskevat uudet säännöt, jotka tulivat voimaan 1. tammikuuta 2024; panee merkille, että jäsenten Brysseliin ja Strasbourgiin kutsumien vierailijoiden määrä vuonna 2024 oli 300 000 vierailijaa (virallisesti kutsutut ja muut vierailijat); panee merkille, että tällaisille vierailijaryhmille myönnettyjen tukien osuus oli 17 prosenttia viestinnän pääosaston vuoden 2024 menoista; panee merkille poliittisten ryhmien toteuttamat lisätoimet, joilla tuetaan niiden jäsenten vuorovaikutusta kansalaisten, myös nuorten, kanssa, jotta varmistetaan riittävä tiedottaminen jäsenten työstä Strasbourgissa ja Brysselissä hyödyntäen tässä talousarvion momentin 400 varoja;</w:t>
      </w:r>
    </w:p>
    <w:p w14:paraId="1D88FCF5" w14:textId="33C1DA89" w:rsidR="00053BD5" w:rsidRPr="000B2B6B" w:rsidRDefault="00053BD5" w:rsidP="00053BD5">
      <w:pPr>
        <w:widowControl/>
        <w:spacing w:after="240"/>
        <w:ind w:left="567" w:hanging="567"/>
      </w:pPr>
      <w:r w:rsidRPr="000B2B6B">
        <w:t>6</w:t>
      </w:r>
      <w:r w:rsidR="002A4A2F" w:rsidRPr="000B2B6B">
        <w:t>0</w:t>
      </w:r>
      <w:r w:rsidRPr="000B2B6B">
        <w:t>.</w:t>
      </w:r>
      <w:r w:rsidRPr="000B2B6B">
        <w:tab/>
        <w:t>panee merkille, että unioni kamppailee jatkuvasti turvatakseen unionin arvot ja demokraattisten prosessien loukkaamattomuuden; panee merkille ulkomaisten toimijoiden lisääntyvät pyrkimykset vaikuttaa parlamentin työhön ja korostaa, että unionin ulkopuolelta lähtöisin olevan disinformaation torjunnassa tarvitaan valppautta; palauttaa tässä yhteydessä mieliin 1. kesäkuuta 2023 antamansa päätöslauselman ulkomaisesta sekaantumisesta kaikkiin Euroopan unionin demokraattisiin prosesseihin ja siihen sisältyvästä disinformaatiosta (2022/2075(INI)) ja 23. tammikuuta 2025 antamansa päätöslauselman disinformaatiosta ja historian vääristelystä Venäjän keinoina oikeuttaa hyökkäyssotansa Ukrainaa vastaan (2024/2988(RSP)); suhtautuu myönteisesti toimiin, joita parlamentti on toteuttanut disinformaation ehkäisemiseksi ja siihen reagoimiseksi; toteaa, että vaikka merkittäviä häiriötilanteita ei ole vielä syntynyt, on tärkeää jatkaa ennakoivia toimenpiteitä parlamentin julkisen keskustelun ja äänestysten integriteetin säilyttämiseksi; korostaa sellaisten aloitteiden kuin faktantarkistuskokousten ja -huippukokousten lisäarvoa, sillä niillä on ratkaiseva rooli avoimuuden edistämisessä, väärän tiedon torjumisvälineiden tarjoamisessa sidosryhmille ja faktantarkistusorganisaatioiden välisen yhteistyön vahvistamisessa unionissa ja sen ulkopuolella;</w:t>
      </w:r>
    </w:p>
    <w:p w14:paraId="2B5D1474" w14:textId="77777777" w:rsidR="00053BD5" w:rsidRPr="000B2B6B" w:rsidRDefault="00053BD5" w:rsidP="00DC0FD8">
      <w:pPr>
        <w:keepNext/>
        <w:widowControl/>
        <w:spacing w:after="240"/>
        <w:rPr>
          <w:b/>
          <w:bCs/>
          <w:i/>
          <w:iCs/>
          <w14:textOutline w14:w="0" w14:cap="flat" w14:cmpd="sng" w14:algn="ctr">
            <w14:noFill/>
            <w14:prstDash w14:val="solid"/>
            <w14:bevel/>
          </w14:textOutline>
        </w:rPr>
      </w:pPr>
      <w:r w:rsidRPr="000B2B6B">
        <w:rPr>
          <w:b/>
          <w:i/>
          <w14:textOutline w14:w="0" w14:cap="flat" w14:cmpd="sng" w14:algn="ctr">
            <w14:noFill/>
            <w14:prstDash w14:val="solid"/>
            <w14:bevel/>
          </w14:textOutline>
        </w:rPr>
        <w:t>Henkilöstöasioiden pääosasto</w:t>
      </w:r>
    </w:p>
    <w:p w14:paraId="2CE66AA0" w14:textId="1A582C23"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6</w:t>
      </w:r>
      <w:r w:rsidR="002A4A2F" w:rsidRPr="000B2B6B">
        <w:rPr>
          <w14:textOutline w14:w="0" w14:cap="flat" w14:cmpd="sng" w14:algn="ctr">
            <w14:noFill/>
            <w14:prstDash w14:val="solid"/>
            <w14:bevel/>
          </w14:textOutline>
        </w:rPr>
        <w:t>1</w:t>
      </w:r>
      <w:r w:rsidRPr="000B2B6B">
        <w:t>.</w:t>
      </w:r>
      <w:r w:rsidRPr="000B2B6B">
        <w:rPr>
          <w14:textOutline w14:w="0" w14:cap="flat" w14:cmpd="sng" w14:algn="ctr">
            <w14:noFill/>
            <w14:prstDash w14:val="solid"/>
            <w14:bevel/>
          </w14:textOutline>
        </w:rPr>
        <w:tab/>
        <w:t xml:space="preserve">muistuttaa, että henkilöstöasioiden pääosasto (PO PERS) vastaa parlamentin henkilöresurssien asianmukaisesta ja tehokkaasta hallinnoinnista ja varmistaa, että jäsenten tukena on erittäin ammattitaitoista työvoimaa, jotta he voivat hoitaa edustajantoimensa asianmukaisesti; </w:t>
      </w:r>
      <w:r w:rsidRPr="000B2B6B">
        <w:t>panee merkille, että 31. joulukuuta 2024 pääosastossa oli 499 henkilöstön jäsentä, joista 290 oli virkamiehiä, 82 väliaikaisia toimihenkilöitä, 120 sopimussuhteisia toimihenkilöitä, kaksi kansallisia asiantuntijoita ja viisi vuokratyöntekijöitä;</w:t>
      </w:r>
    </w:p>
    <w:p w14:paraId="1E9556B7" w14:textId="382BC580"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6</w:t>
      </w:r>
      <w:r w:rsidR="002A4A2F" w:rsidRPr="000B2B6B">
        <w:rPr>
          <w14:textOutline w14:w="0" w14:cap="flat" w14:cmpd="sng" w14:algn="ctr">
            <w14:noFill/>
            <w14:prstDash w14:val="solid"/>
            <w14:bevel/>
          </w14:textOutline>
        </w:rPr>
        <w:t>2</w:t>
      </w:r>
      <w:r w:rsidRPr="000B2B6B">
        <w:t>.</w:t>
      </w:r>
      <w:r w:rsidRPr="000B2B6B">
        <w:rPr>
          <w14:textOutline w14:w="0" w14:cap="flat" w14:cmpd="sng" w14:algn="ctr">
            <w14:noFill/>
            <w14:prstDash w14:val="solid"/>
            <w14:bevel/>
          </w14:textOutline>
        </w:rPr>
        <w:tab/>
      </w:r>
      <w:r w:rsidRPr="000B2B6B">
        <w:t>panee merkille, että vuonna 2024 henkilöstöasioiden pääosaston lopulliset määrärahat olivat 1 225 341 375 euroa (1 163 329 780 euroa vuonna 2023), mikä on 51,4 prosenttia parlamentin talousarviosta;</w:t>
      </w:r>
      <w:r w:rsidRPr="000B2B6B">
        <w:rPr>
          <w14:textOutline w14:w="0" w14:cap="flat" w14:cmpd="sng" w14:algn="ctr">
            <w14:noFill/>
            <w14:prstDash w14:val="solid"/>
            <w14:bevel/>
          </w14:textOutline>
        </w:rPr>
        <w:t xml:space="preserve"> </w:t>
      </w:r>
      <w:r w:rsidRPr="000B2B6B">
        <w:t>korostaa, että tästä määrästä sidottiin yhteensä 1 160 835 147 euroa;</w:t>
      </w:r>
      <w:r w:rsidRPr="000B2B6B">
        <w:rPr>
          <w14:textOutline w14:w="0" w14:cap="flat" w14:cmpd="sng" w14:algn="ctr">
            <w14:noFill/>
            <w14:prstDash w14:val="solid"/>
            <w14:bevel/>
          </w14:textOutline>
        </w:rPr>
        <w:t xml:space="preserve"> pitää määrärahojen korkeaa käyttöastetta myönteisenä;</w:t>
      </w:r>
    </w:p>
    <w:p w14:paraId="622C751B" w14:textId="55B1E964" w:rsidR="00053BD5" w:rsidRPr="000B2B6B" w:rsidRDefault="00053BD5" w:rsidP="00053BD5">
      <w:pPr>
        <w:pStyle w:val="NormalHanging12a"/>
        <w:widowControl/>
      </w:pPr>
      <w:r w:rsidRPr="000B2B6B">
        <w:t>6</w:t>
      </w:r>
      <w:r w:rsidR="002A4A2F" w:rsidRPr="000B2B6B">
        <w:t>3</w:t>
      </w:r>
      <w:r w:rsidRPr="000B2B6B">
        <w:t>.</w:t>
      </w:r>
      <w:r w:rsidRPr="000B2B6B">
        <w:tab/>
        <w:t xml:space="preserve">panee tyytyväisenä merkille, että vuonna 2024 henkilöstöasioiden pääosasto jatkoi kilpailujen ja valintamenettelyjen järjestämistä ja hallinnoi niiden yhteydessä yhä suurempaa hakijamäärää ja että se järjesti myös neljä kansalaisuuden perusteella kohdistettua kilpailua; pitää myönteisinä henkilöstöasioiden pääosaston toimia kilpailujen järjestämiseksi, niiden saattamiseksi päätökseen ajoissa ja tarvittavien laatustandardien ylläpitämiseksi; panee tyytyväisenä merkille, että varallaololuetteloihin otettiin yli 441 hakijaa; pitää kuitenkin valitettavana, että Euroopan unionin henkilöstövalintatoimisto (EPSO) on kohdannut järjestelmällisiä ongelmia kilpailujen </w:t>
      </w:r>
      <w:r w:rsidRPr="000B2B6B">
        <w:lastRenderedPageBreak/>
        <w:t>järjestämisessä ja että käytettävissä ei ole parlamentin tarpeisiin soveltuvaa hakijareserviä; pitää valitettavana, että kilpailuilmoituksen julkaisemisesta kuluu keskimäärin yli vuosi siihen, kun kunkin kilpailun viimeinen haastattelu on tehty; panee merkille, että henkilöstöasioiden pääosastolla ja muilla pääosastoilla on ollut yleisiä vaikeuksia houkutella osaajia ja saada heidät pysymään palveluksessa, ja toteaa tämän vaikuttavan parlamentin henkilöstön suorituskykyyn; vaatii tehokkaampia, paremmin kohdennettuja ja lyhyempiä valintamenettelyjä, jotka lisäisivät parlamentin houkuttelevuutta työnantajana ja antaisivat pääosastoille mahdollisuuden rekrytoida nopeasti työnsä tueksi tarvittavat asiantuntijaprofiilit; korostaa, että valintamenettelyt on toteutettava noudattaen kaikilta osin yhdenvertaisen kohtelun ja maantieteellisen tasapainon periaatteita sekä varmistaen kaikkien jäsenvaltioiden tasapuolisen edustuksen;</w:t>
      </w:r>
    </w:p>
    <w:p w14:paraId="5E9589B6" w14:textId="465C73F3" w:rsidR="00053BD5" w:rsidRPr="000B2B6B" w:rsidRDefault="00053BD5" w:rsidP="00053BD5">
      <w:pPr>
        <w:widowControl/>
        <w:spacing w:after="240"/>
        <w:ind w:left="567" w:hanging="567"/>
      </w:pPr>
      <w:r w:rsidRPr="000B2B6B">
        <w:t>6</w:t>
      </w:r>
      <w:r w:rsidR="002A4A2F" w:rsidRPr="000B2B6B">
        <w:t>4</w:t>
      </w:r>
      <w:r w:rsidRPr="000B2B6B">
        <w:t>.</w:t>
      </w:r>
      <w:r w:rsidRPr="000B2B6B">
        <w:tab/>
        <w:t>suhtautuu myönteisesti siihen, että parlamentti järjestää kansalaisuuden perusteella kohdistettuja kilpailuja, joiden tavoitteena on parantaa maantieteellistä tasapainoa parlamentin henkilöstön keskuudessa luomalla aliedustettujen jäsenvaltioiden hakijoista laajempi hakijareservi; panee kuitenkin merkille, että kansallisuuden ja tehtäväryhmän mukaan eriteltyjen parlamentin henkilöstöä koskevien tietojen analyysi paljastaa urakehityksen jatkuvan epätasapainon, jonka vuoksi tietyistä jäsenvaltioista tulevat henkilöstön jäsenet ovat aliedustettuina korkeammissa tehtäväryhmissä ja päätöksentekotehtävissä, vaikka he ovat hyvin edustettuina hallinnossa; pitää valitettavana maantieteellistä epätasapainoa parlamentin ylemmässä ja keskijohdossa; katsoo, että palvelukseen ottamisen olisi aina perustuttava ansioihin ja että siinä olisi aina noudatettava perusperiaatteita, kuten tasa-arvoa, syrjimättömyyttä ja suhteellisuutta; painottaa, että tarvitaan parannuksia, ja pyytää pääsihteeriä esittämään yhteistyössä henkilöstöasioiden pääosaston kanssa konkreettisia, mitattavissa olevia ja aikasidonnaisia toimenpiteitä, joilla epätasapainoon pyritään puuttumaan, ja raportoimaan säännöllisesti talousarvion valvontavaliokunnalle ja vastuuvapauden myöntävälle viranomaiselle parlamentin henkilöstön keskuudessa vallitsevan maantieteellisen epätasapainon korjaamisessa saavutetusta edistyksestä; kehottaa pääsihteeriä ja henkilöstöasioiden pääosastoa sisällyttämään talousarvion valvontavaliokunnalle tehtävään raportointiin henkilöstön kokonaismäärää tarkempia tietoja erityisesti urakehityksestä ja ylennyksistä kansalaisuuden ja tehtäväryhmän mukaan, johdon ja ylempien tehtävien täyttämisestä, osallistumisesta osaamisen johtamista koskeviin ja johtamisohjelmiin sekä väliaikaisten nimitysten ja tehtävien käytöstä osana urakehityspolkuja;</w:t>
      </w:r>
    </w:p>
    <w:p w14:paraId="29D10374" w14:textId="15FAF060" w:rsidR="00053BD5" w:rsidRPr="000B2B6B" w:rsidRDefault="00053BD5" w:rsidP="00053BD5">
      <w:pPr>
        <w:widowControl/>
        <w:spacing w:after="240"/>
        <w:ind w:left="567" w:hanging="567"/>
        <w:rPr>
          <w:noProof/>
        </w:rPr>
      </w:pPr>
      <w:r w:rsidRPr="000B2B6B">
        <w:t>6</w:t>
      </w:r>
      <w:r w:rsidR="002A4A2F" w:rsidRPr="000B2B6B">
        <w:t>5</w:t>
      </w:r>
      <w:r w:rsidRPr="000B2B6B">
        <w:t>.</w:t>
      </w:r>
      <w:r w:rsidRPr="000B2B6B">
        <w:tab/>
        <w:t xml:space="preserve">panee merkille henkilöstöasioiden pääosaston keskeisen saavutuksen, kun se rekrytoi heinäkuun järjestäytymisistuntoon mennessä 1 339 valtuutettua avustajaa, mikä on ennennäkemättömän suuri määrä, ja sen, että vuoden loppuun mennessä sopimuksen tehneiden valtuutettujen avustajien kokonaismäärä kasvoi 2 024:ään, ja toteaa, että tämän lisäksi se huolehti noin 800 valtuutetun avustajan sopimuksen päättymiseen liittyneistä tehtävistä; katsoo, että valtuutetut avustajat ovat merkittävä voimavara toimielimelle, ja antaa henkilöstöasioiden pääosastolle tunnustusta sen pyrkimyksistä tukea jäseniä näiden henkilöstön tehokkaassa ja tuloksekkaassa rekrytoinnissa; </w:t>
      </w:r>
    </w:p>
    <w:p w14:paraId="527E480A" w14:textId="3B3F2287" w:rsidR="00053BD5" w:rsidRPr="000B2B6B" w:rsidRDefault="00053BD5" w:rsidP="00053BD5">
      <w:pPr>
        <w:pStyle w:val="NormalHanging12a"/>
        <w:widowControl/>
      </w:pPr>
      <w:r w:rsidRPr="000B2B6B">
        <w:t>6</w:t>
      </w:r>
      <w:r w:rsidR="002A4A2F" w:rsidRPr="000B2B6B">
        <w:t>6</w:t>
      </w:r>
      <w:r w:rsidRPr="000B2B6B">
        <w:t>.</w:t>
      </w:r>
      <w:r w:rsidRPr="000B2B6B">
        <w:tab/>
        <w:t xml:space="preserve">toteaa, että valtuutettujen avustajien työ on olennainen osa jäsenten ja siten parlamentin työtä; panee merkille, että sen jälkeen, kun valtuutettujen avustajien asemaa koskevat säännöt hyväksyttiin vuonna 2009, heidän asemansa on vuosien mittaan suojattu säännöillä; panee merkille parlamentin pyrkimykset luoda puitteet valtuutettujen avustajien tukemiseksi; kehottaa noudattamaan asianmukaisesti voimassa olevia sääntöjä; toteaa, että valtuutetut avustajat ovat siitä lähtien osallistuneet virallisiin </w:t>
      </w:r>
      <w:r w:rsidRPr="000B2B6B">
        <w:lastRenderedPageBreak/>
        <w:t>virkamatkoihin parlamentin kolmelle toimipaikkakunnalle; pitää myönteisenä, että säännöt, jotka koskevat valtuutettujen avustajien kolmen toimipaikan välillä tekemien virkamatkojen korvaamista, on mukautettu virkamiehiin sovellettaviin sääntöihin, millä varmistetaan valtuutettujen avustajien yhdenvertainen kohtelu; kehottaa puhemiehistöä ja parlamentin hallintoa kuulemaan virallisesti valtuutettujen avustajien komiteaa tarkistuksista ja uudistuksista, joilla on välitön vaikutus valtuutettujen avustajien oikeuksiin; kehottaa parlamentin hallintoa tutkimaan mahdollisuutta ottaa valtuutettujen avustajien sopimuksissa käyttöön irtisanomisaika, jos jäsen odottamatta jättää tehtävänsä; kehottaa jälleen puheenjohtajakokousta ja puhemiehistöä tarkistamaan valtuuskuntien tehtävien suorittamista ja valtuuskuntamatkoja unionin ulkopuolelle koskevia täytäntöönpanomääräyksiä; painottaa, että tarkistamisen yhteydessä olisi tarkasteltava valtuutettujen avustajien mahdollisuutta osallistua jäsenten mukana tietyin edellytyksin parlamentin virallisille valtuuskunta- ja virkamatkoille; korostaa, että tämä muutos ei aiheuttaisi minkäänlaista muutosta kokonaismäärärahoihin eikä vaikuttaisi talousarvioon;</w:t>
      </w:r>
    </w:p>
    <w:p w14:paraId="62FE207E" w14:textId="17AB282E" w:rsidR="006E2CB8" w:rsidRPr="000B2B6B" w:rsidRDefault="006E2CB8" w:rsidP="00053BD5">
      <w:pPr>
        <w:pStyle w:val="NormalHanging12a"/>
        <w:widowControl/>
        <w:rPr>
          <w:bCs/>
          <w:iCs/>
        </w:rPr>
      </w:pPr>
      <w:r w:rsidRPr="000B2B6B">
        <w:rPr>
          <w:bCs/>
          <w:iCs/>
        </w:rPr>
        <w:t>67.</w:t>
      </w:r>
      <w:r w:rsidRPr="000B2B6B">
        <w:rPr>
          <w:bCs/>
          <w:iCs/>
        </w:rPr>
        <w:tab/>
        <w:t>korostaa, että etusijalla o</w:t>
      </w:r>
      <w:r w:rsidR="007D54BF" w:rsidRPr="000B2B6B">
        <w:rPr>
          <w:bCs/>
          <w:iCs/>
        </w:rPr>
        <w:t>vat</w:t>
      </w:r>
      <w:r w:rsidRPr="000B2B6B">
        <w:rPr>
          <w:bCs/>
          <w:iCs/>
        </w:rPr>
        <w:t xml:space="preserve"> työterveys ja -turvallisuus, mukaan lukien psykososiaaliset riskit (stressi, työuupumus, häirintä); pyytää puhemiehistöä tunnustamaan virallisesti psykososiaaliset riskit työperäisiksi riskeiksi ja hyväksymään parlamentin laajuisen ennaltaehkäisysuunnitelman, joka sisältää mitattavissa olevia tavoitteita; kehottaa ottamaan käyttöön riskinarviointeja, jotka kattavat etätyön, virkamatkat ja tiukat määräajat, sekä luottamukselliset raportointikanavat, johtajien koulutuksen ja säännöllisen työmarkkinaosapuolten vuoropuhelun; edellyttää, että oikeus olla tavoittamattomissa pannaan täytäntöön;</w:t>
      </w:r>
    </w:p>
    <w:p w14:paraId="519E8BBC" w14:textId="77777777" w:rsidR="00053BD5" w:rsidRPr="000B2B6B" w:rsidRDefault="00053BD5" w:rsidP="00053BD5">
      <w:pPr>
        <w:pStyle w:val="NormalHanging12a"/>
        <w:widowControl/>
        <w:rPr>
          <w:bCs/>
          <w:iCs/>
        </w:rPr>
      </w:pPr>
      <w:r w:rsidRPr="000B2B6B">
        <w:t>68.</w:t>
      </w:r>
      <w:r w:rsidRPr="000B2B6B">
        <w:tab/>
        <w:t>palauttaa mieliin, että valtuutetut avustajat eivät voi osallistua parlamentin sisäisiin kilpailuihin; kehottaa puhemiehistöä tutkimaan mahdollisuutta sallia valtuutettujen avustajien osallistua parlamentin henkilöstön tavoin sisäisiin kilpailuihin myöhemmin määritettävin edellytyksin; korostaa, että valtuutettujen avustajien vahvempi osallistuminen parlamentin sisäisiin rakenteisiin voisi auttaa lisäämään henkilöstön osallistamista, monimuotoisuutta ja maantieteellistä tasapainoa; korostaa sisäisiin työskentelymenetelmiin liittyvän tietämyksen säilyttämisen ja siirron merkitystä parlamentissa;</w:t>
      </w:r>
    </w:p>
    <w:p w14:paraId="4A639EE9" w14:textId="77777777" w:rsidR="00053BD5" w:rsidRPr="000B2B6B" w:rsidRDefault="00053BD5" w:rsidP="00053BD5">
      <w:pPr>
        <w:pStyle w:val="NormalHanging12a"/>
        <w:widowControl/>
      </w:pPr>
      <w:r w:rsidRPr="000B2B6B">
        <w:t>69.</w:t>
      </w:r>
      <w:r w:rsidRPr="000B2B6B">
        <w:tab/>
        <w:t xml:space="preserve">panee erittäin huolestuneena merkille esille tulleet tiedot tietoturvaloukkauksesta, jonka kohteena oli parlamentin </w:t>
      </w:r>
      <w:proofErr w:type="spellStart"/>
      <w:r w:rsidRPr="000B2B6B">
        <w:t>palvelukseenottosovellus</w:t>
      </w:r>
      <w:proofErr w:type="spellEnd"/>
      <w:r w:rsidRPr="000B2B6B">
        <w:t xml:space="preserve"> PEOPLE ja josta aiheutui haittaa pääasiassa parlamentin tilapäiselle henkilöstölle, myös valtuutetuille avustajille; pitää valitettavana, että tietoturvaloukkauksen kohteeksi joutui henkilökorttitietoja, syntymätodistuksia, tutkintotodistuksia, työhistoriatietoja, potilastietoja, etuusoikeuksia koskevia tietoja sekä vakuutus- ja työtodistusasiakirjoja joissakin tapauksissa jopa kymmenen vuoden ajalta; panee tyytyväisenä merkille, että pääsihteeri otti parlamentin huolellisuusvelvollisuuden mukaisesti käyttöön korvausjärjestelmän, jolla katetaan asianomaisten PEOPLE-sovelluksen käyttäjien henkilökorttien ja/tai passien korvaamisesta aiheutuvat kulut ja josta on tähän mennessä maksettu 51 874 euroa; pitää valitettavana, että lähtömaahan näiden hallinnollisten menettelyjen vuoksi tehdyn matkan kustannuksia ei katettu; kehottaa hallintoa varmistamaan, että tukitoimenpiteet ovat tehokkaita ja tasapuolisia ja käsittävät selkeän keskitetyn neuvonnan, henkilöllisyyden suojaamiseen liittyvän tuen ja korvaukset, joilla varmistetaan, etteivät asianomaiset henkilöt joudu vastaamaan asiakirjojen korvaamisesta väistämättä aiheutuvista hallinnollisista kustannuksista; toteaa, että hallinto on toimittanut vastuuvapauden myöntävälle viranomaiselle analyysinsä loukkauksen syistä; kehottaa hallintoa antamaan asianomaiselle henkilöstölle sekä asianomaisille entisille </w:t>
      </w:r>
      <w:r w:rsidRPr="000B2B6B">
        <w:lastRenderedPageBreak/>
        <w:t>työntekijöille selkeän analyysin loukkauksen syistä ja kyseisen järjestelmän käyttökuntoon palauttamiseksi toteutetuista toimenpiteistä; on täysin tietoinen siitä, että parlamenttiin kohdistetaan jatkossakin kyberhyökkäyksiä ja että äärimmäinen valppaus on olennaisen tärkeää; suhtautuu myönteisesti hallinnon toteuttamiin toimenpiteisiin, joilla vahvistetaan entisestään sen tietoteknisen ympäristön kyberturvallisuuden kypsyyttä ja hallinnointia;</w:t>
      </w:r>
    </w:p>
    <w:p w14:paraId="6AD434E5" w14:textId="77777777" w:rsidR="00053BD5" w:rsidRPr="000B2B6B" w:rsidRDefault="00053BD5" w:rsidP="00053BD5">
      <w:pPr>
        <w:widowControl/>
        <w:spacing w:after="240"/>
        <w:ind w:left="567" w:hanging="567"/>
        <w:rPr>
          <w:noProof/>
        </w:rPr>
      </w:pPr>
      <w:r w:rsidRPr="000B2B6B">
        <w:t>70.</w:t>
      </w:r>
      <w:r w:rsidRPr="000B2B6B">
        <w:tab/>
        <w:t>panee merkille, että henkilöstöasioiden pääosasto on ottanut käyttöön uuden APA</w:t>
      </w:r>
      <w:r w:rsidRPr="000B2B6B">
        <w:noBreakHyphen/>
        <w:t xml:space="preserve">People-tietojärjestelmän, jolla tehostetaan </w:t>
      </w:r>
      <w:proofErr w:type="spellStart"/>
      <w:r w:rsidRPr="000B2B6B">
        <w:t>palvelukseenottoprosessia</w:t>
      </w:r>
      <w:proofErr w:type="spellEnd"/>
      <w:r w:rsidRPr="000B2B6B">
        <w:t xml:space="preserve"> keskittämällä sopimusten hallinnointi ja mahdollistamalla jäsenten pääsy järjestelmään, sekä täysin digitalisoidun menettelyn </w:t>
      </w:r>
      <w:proofErr w:type="spellStart"/>
      <w:r w:rsidRPr="000B2B6B">
        <w:t>palvelukseenoton</w:t>
      </w:r>
      <w:proofErr w:type="spellEnd"/>
      <w:r w:rsidRPr="000B2B6B">
        <w:t xml:space="preserve"> yhteydessä tehtäviä lääkärintarkastuksia varten; kehottaa henkilöstöasioiden pääosastoa varmistamaan yhteistyössä tietotekniikka- ja kyberturvallisuuspääosaston kanssa, että järjestelmän kyberturvallisuus on vaatimusten mukainen, jotta estetään henkilötietojen vuotaminen; katsoo, että kaikkien henkilöstön jäsenten henkilötietoja sisältävien tietojärjestelmien kyberturvallisuus on ehdottoman tärkeää, ja kehottaa henkilöstöasioiden pääosastoa tekemään tiivistä yhteistyötä tietotekniikka- ja kyberturvallisuuspääosaston kanssa tämän varmistamiseksi;</w:t>
      </w:r>
    </w:p>
    <w:p w14:paraId="69FE36BD" w14:textId="77777777" w:rsidR="00053BD5" w:rsidRPr="000B2B6B" w:rsidRDefault="00053BD5" w:rsidP="00053BD5">
      <w:pPr>
        <w:widowControl/>
        <w:spacing w:after="240"/>
        <w:ind w:left="567" w:hanging="567"/>
      </w:pPr>
      <w:r w:rsidRPr="000B2B6B">
        <w:t>71.</w:t>
      </w:r>
      <w:r w:rsidRPr="000B2B6B">
        <w:tab/>
        <w:t>panee merkille, että henkilöstöasioiden pääosasto tuki vuonna 2024 sukupuolten tasa</w:t>
      </w:r>
      <w:r w:rsidRPr="000B2B6B">
        <w:noBreakHyphen/>
        <w:t xml:space="preserve">arvon ja monimuotoisuuden edistämistä koskevien etenemissuunnitelmien täytäntöönpanoa ja kehitti monimuotoisuutta ja osallisuutta käsitteleviä kursseja, jotka on tarkoitettu kaikille henkilöstön jäsenille; panee tyytyväisenä merkille, että henkilöstöasioiden pääosaston tasa-arvoisuuden, osallisuuden ja monimuotoisuuden yksikkö virtaviivaisti vuonna 2024 sisäistä kohtuullisen mukauttamisen menettelyään, jolla edistetään tasa-arvoa, osallisuutta ja monimuotoisuutta, ja antoi koulutus- ja täydennyskoulutusyksikölle neuvontaa koulutuskursseihin tehtävistä kohtuullisista mukautuksista; pitää myönteisenä, että yksikkö myös järjesti 20 koulutuskurssia ja tiedotustapahtumaa, joissa oli mukana 2 334 osallistujaa, mukaan lukien uusi monimuotoisuutta ja osallisuutta käsittelevä kaikille henkilöstön jäsenille tarkoitettu kurssi, ja isännöi tapahtumia, joissa käsiteltiin sukupuolten tasa-arvoa, vammaisuutta ja </w:t>
      </w:r>
      <w:proofErr w:type="spellStart"/>
      <w:r w:rsidRPr="000B2B6B">
        <w:t>hlbtiq</w:t>
      </w:r>
      <w:proofErr w:type="spellEnd"/>
      <w:r w:rsidRPr="000B2B6B">
        <w:t>+-henkilöiden osallisuutta;</w:t>
      </w:r>
    </w:p>
    <w:p w14:paraId="5886F31C" w14:textId="77777777" w:rsidR="00053BD5" w:rsidRPr="000B2B6B" w:rsidRDefault="00053BD5" w:rsidP="00053BD5">
      <w:pPr>
        <w:pStyle w:val="NormalHanging12a"/>
        <w:widowControl/>
      </w:pPr>
      <w:r w:rsidRPr="000B2B6B">
        <w:t>72.</w:t>
      </w:r>
      <w:r w:rsidRPr="000B2B6B">
        <w:tab/>
        <w:t>pitää myönteisenä toimielinten yhteistä päätöstä Luxemburgissa asuvien alempien palkkaluokkien henkilöstölle myönnettävästä asumistuesta; pitää sitä tarpeellisena välineenä, jolla tuetaan alempien palkkaluokkien henkilöstöä suhteettoman korkeiden asumiskustannusten tasapainottamisessa ja parannetaan parlamentin Luxemburgin toimipaikan houkuttelevuutta; toteaa ratkaisun olevan väliaikainen ja kehottaa parlamenttia varmistamaan pitkän aikavälin ennustettavuuden asianomaiselle henkilöstölle;</w:t>
      </w:r>
    </w:p>
    <w:p w14:paraId="4C295C14" w14:textId="77777777" w:rsidR="00053BD5" w:rsidRPr="000B2B6B" w:rsidRDefault="00053BD5" w:rsidP="00053BD5">
      <w:pPr>
        <w:pStyle w:val="NormalHanging12a"/>
        <w:widowControl/>
      </w:pPr>
      <w:r w:rsidRPr="000B2B6B">
        <w:t>73.</w:t>
      </w:r>
      <w:r w:rsidRPr="000B2B6B">
        <w:tab/>
        <w:t>palauttaa mieliin, että 22. lokakuuta 2024 käynnistettiin koko parlamentissa toteutettava häirinnän vastainen kampanja ”Yhdessä häirintää vastaan”, jolla edistetään turvallista työympäristöä; pitää myönteisenä, että tiedotuskampanjan lisäksi järjestettiin jäsenille pakollinen koulutuskurssi ”Kunnioitus ja ihmisarvo työssä – konfliktien ja häirinnän ehkäiseminen työpaikalla”, joka jäsenten oli suoritettava vaalikauden ensimmäisen vuoden aikana; korostaa, että näiden toimenpiteiden tehokkuutta olisi arvioitava;</w:t>
      </w:r>
    </w:p>
    <w:p w14:paraId="69BE3C1C" w14:textId="77777777" w:rsidR="00053BD5" w:rsidRPr="000B2B6B" w:rsidRDefault="00053BD5" w:rsidP="00053BD5">
      <w:pPr>
        <w:pStyle w:val="NormalHanging12a"/>
        <w:widowControl/>
      </w:pPr>
      <w:r w:rsidRPr="000B2B6B">
        <w:t>74.</w:t>
      </w:r>
      <w:r w:rsidRPr="000B2B6B">
        <w:tab/>
        <w:t xml:space="preserve">panee tyytyväisenä merkille, että henkilöstön jäsenille on annettu mahdollisuus tehdä etätyötä asemapaikan ulkopuolella; panee merkille, että parlamentin henkilöstön jäsenet voivat hyödyntää tätä etätyömahdollisuutta viitenä päivänä vuodessa; toteaa, että unionin muut toimielimet sallivat tässä yhteydessä keskimäärin 15 etätyöpäivää </w:t>
      </w:r>
      <w:r w:rsidRPr="000B2B6B">
        <w:lastRenderedPageBreak/>
        <w:t>vuodessa; kehottaa seuraamaan ja arvioimaan uusia työskentelytapoja ennakoivasti; muistuttaa, että on tärkeää käydä aitoa vuoropuhelua henkilöstön jäsenten kanssa uusiin työskentelytapoihin liittyvistä keskeisistä kysymyksistä;</w:t>
      </w:r>
    </w:p>
    <w:p w14:paraId="4214FE00" w14:textId="77777777" w:rsidR="00053BD5" w:rsidRPr="000B2B6B" w:rsidRDefault="00053BD5" w:rsidP="00053BD5">
      <w:pPr>
        <w:pStyle w:val="NormalHanging12a"/>
        <w:widowControl/>
        <w:rPr>
          <w:bCs/>
          <w:iCs/>
        </w:rPr>
      </w:pPr>
      <w:r w:rsidRPr="000B2B6B">
        <w:t>75.</w:t>
      </w:r>
      <w:r w:rsidRPr="000B2B6B">
        <w:tab/>
        <w:t xml:space="preserve">korostaa, että jäsenille ja henkilöstölle tarjottavat laadukkaat lastenhoitopalvelut ovat keskeisiä toimenpiteitä, joilla varmistetaan työ- ja yksityiselämän tasapainottamispolitiikan tehokas täytäntöönpano; kehottaa kiinnittämään huomiota siihen, että Brysselin </w:t>
      </w:r>
      <w:proofErr w:type="spellStart"/>
      <w:r w:rsidRPr="000B2B6B">
        <w:t>Wayenbergin</w:t>
      </w:r>
      <w:proofErr w:type="spellEnd"/>
      <w:r w:rsidRPr="000B2B6B">
        <w:t xml:space="preserve"> päiväkodin alle kouluikäisille lapsille tarjoamien palvelujen laatu on kärsinyt, koska palveluntarjoaja on vaihtunut usein vuodesta 2020 lähtien; kehottaa tässä yhteydessä harkitsemaan tarvetta ottaa käyttöön korkean laadun standardeja;</w:t>
      </w:r>
    </w:p>
    <w:p w14:paraId="3A611B32" w14:textId="595894AB" w:rsidR="00053BD5" w:rsidRPr="000B2B6B" w:rsidRDefault="00053BD5" w:rsidP="00053BD5">
      <w:pPr>
        <w:pStyle w:val="NormalHanging12a"/>
        <w:widowControl/>
        <w:rPr>
          <w:bCs/>
          <w:iCs/>
        </w:rPr>
      </w:pPr>
      <w:r w:rsidRPr="000B2B6B">
        <w:t>76.</w:t>
      </w:r>
      <w:r w:rsidRPr="000B2B6B">
        <w:tab/>
        <w:t xml:space="preserve">palauttaa mieliin 18. huhtikuuta 2018 komission eettisistä periaatteista ja erityisesti Euroopan komission pääsihteerin nimittämisestä antamassaan päätöslauselmassa </w:t>
      </w:r>
      <w:r w:rsidR="00773466">
        <w:rPr>
          <w:rFonts w:eastAsiaTheme="minorEastAsia"/>
        </w:rPr>
        <w:t>2018/2624(RSP)</w:t>
      </w:r>
      <w:r w:rsidR="00773466" w:rsidRPr="000B2B6B">
        <w:t xml:space="preserve"> </w:t>
      </w:r>
      <w:r w:rsidRPr="000B2B6B">
        <w:t>komissiolle antamansa suosituksen</w:t>
      </w:r>
      <w:r w:rsidR="00A67C18">
        <w:t xml:space="preserve"> </w:t>
      </w:r>
      <w:r w:rsidRPr="000B2B6B">
        <w:t>tarkistaa ”ylemmän johdon nimittämistä koskevan hallinnollisen menettelynsä, jotta voidaan varmistaa parhaiden ehdokkaiden valinta siten, että noudatetaan suurinta mahdollista avoimuutta ja yhtäläisiä mahdollisuuksia”; katsoo, että parlamentin olisi täytettävä nimitysmenettelyissä aina tiukimmat avoimuutta, vastuuvelvollisuutta ja hyvää hallintoa koskevat vaatimukset;</w:t>
      </w:r>
    </w:p>
    <w:p w14:paraId="3A5D14CC" w14:textId="77777777" w:rsidR="00053BD5" w:rsidRPr="000B2B6B" w:rsidRDefault="00053BD5" w:rsidP="00053BD5">
      <w:pPr>
        <w:pStyle w:val="NormalHanging12a"/>
        <w:widowControl/>
        <w:rPr>
          <w:bCs/>
          <w:iCs/>
        </w:rPr>
      </w:pPr>
      <w:r w:rsidRPr="000B2B6B">
        <w:t>77.</w:t>
      </w:r>
      <w:r w:rsidRPr="000B2B6B">
        <w:tab/>
        <w:t xml:space="preserve">kehottaa parlamenttia optimoimaan henkilöresurssiensa käytön muun muassa toteuttamalla asianmukaisia jatkuvia koulutustoimia, joilla pyritään parantamaan sisäisten palvelujen vaikuttavuutta ja tehokkuutta; kehottaa tarjoamaan säännöllisesti perus- ja keskitason ensiapukoulutusta ja tekemään ensiapukoulutuksesta vapaaehtoisen osan uusien työntekijöiden perehdytysohjelmaa; kehottaa hallintoa selvittämään mahdollisuutta asentaa lisää </w:t>
      </w:r>
      <w:proofErr w:type="spellStart"/>
      <w:r w:rsidRPr="000B2B6B">
        <w:t>defibrillaattoreita</w:t>
      </w:r>
      <w:proofErr w:type="spellEnd"/>
      <w:r w:rsidRPr="000B2B6B">
        <w:t>, jotta edistetään jäsenten ja henkilöstön terveyttä ja turvallisuutta, ja huolehtimaan koulutuksen järjestämisestä;</w:t>
      </w:r>
    </w:p>
    <w:p w14:paraId="1FF3A277" w14:textId="77777777" w:rsidR="00053BD5" w:rsidRPr="000B2B6B" w:rsidRDefault="00053BD5" w:rsidP="00DC0FD8">
      <w:pPr>
        <w:keepNext/>
        <w:widowControl/>
        <w:spacing w:after="240"/>
        <w:rPr>
          <w:b/>
          <w:bCs/>
          <w:i/>
          <w:iCs/>
        </w:rPr>
      </w:pPr>
      <w:r w:rsidRPr="000B2B6B">
        <w:rPr>
          <w:b/>
          <w:i/>
        </w:rPr>
        <w:t>Infrastruktuurin ja logistiikan pääosasto</w:t>
      </w:r>
    </w:p>
    <w:p w14:paraId="60AC663A" w14:textId="77777777" w:rsidR="00053BD5" w:rsidRPr="000B2B6B" w:rsidRDefault="00053BD5" w:rsidP="00053BD5">
      <w:pPr>
        <w:widowControl/>
        <w:spacing w:after="240"/>
        <w:ind w:left="567" w:hanging="567"/>
      </w:pPr>
      <w:r w:rsidRPr="000B2B6B">
        <w:t>78.</w:t>
      </w:r>
      <w:r w:rsidRPr="000B2B6B">
        <w:tab/>
        <w:t xml:space="preserve">palauttaa mieliin, että infrastruktuurin ja logistiikan pääosasto (DG INLO) vastaa parlamentin kiinteistöistä, työurakoista, tilahallinnasta ja logistiikasta; toteaa, että lisäksi infrastruktuurin ja logistiikan pääosasto hoitaa ateriapalvelu- ja kuljetustoimintaa sekä hallinnoi ja varustaa parlamentin toimisto- ja kokoustiloja; palauttaa mieliin, että infrastruktuurin ja logistiikan pääosasto hallinnoi erityisesti parlamentin noin 1,3 miljoonan neliömetrin kiinteistökantaa, johon kuuluvat kiinteistöt Brysselissä, Luxemburgissa ja Strasbourgissa sekä yhteystoimistot ja Europa </w:t>
      </w:r>
      <w:proofErr w:type="spellStart"/>
      <w:r w:rsidRPr="000B2B6B">
        <w:t>Experience</w:t>
      </w:r>
      <w:proofErr w:type="spellEnd"/>
      <w:r w:rsidRPr="000B2B6B">
        <w:t xml:space="preserve"> -keskukset jäsenvaltioissa; panee merkille, että 31. joulukuuta 2024 infrastruktuurin ja logistiikan pääosastossa oli 635 henkilöstön jäsentä, joista 311 oli virkamiehiä, 20 väliaikaisia toimihenkilöitä ja 326 sopimussuhteisia toimihenkilöitä;</w:t>
      </w:r>
    </w:p>
    <w:p w14:paraId="50DAA559" w14:textId="77777777" w:rsidR="00053BD5" w:rsidRPr="000B2B6B" w:rsidRDefault="00053BD5" w:rsidP="00053BD5">
      <w:pPr>
        <w:pStyle w:val="NormalHanging12a"/>
        <w:widowControl/>
      </w:pPr>
      <w:r w:rsidRPr="000B2B6B">
        <w:t>79.</w:t>
      </w:r>
      <w:r w:rsidRPr="000B2B6B">
        <w:tab/>
        <w:t>panee merkille, että vuonna 2024 infrastruktuurin ja logistiikan pääosaston lopulliset määrärahat olivat 258 638 966 euroa, mikä on 10,9 prosenttia parlamentin talousarviosta; korostaa, että tästä määrästä sidottiin yhteensä 256 935 431 euroa; panee merkille määrärahojen korkean käyttöasteen;</w:t>
      </w:r>
    </w:p>
    <w:p w14:paraId="6F061ED9" w14:textId="77777777" w:rsidR="00053BD5" w:rsidRPr="000B2B6B" w:rsidRDefault="00053BD5" w:rsidP="00053BD5">
      <w:pPr>
        <w:widowControl/>
        <w:spacing w:after="240"/>
        <w:ind w:left="567" w:hanging="567"/>
      </w:pPr>
      <w:r w:rsidRPr="000B2B6B">
        <w:t>80.</w:t>
      </w:r>
      <w:r w:rsidRPr="000B2B6B">
        <w:tab/>
        <w:t xml:space="preserve">muistuttaa, että parlamentin suuri enemmistö tukee yhden toimipaikan ratkaisua; toteaa, että SEU-sopimuksen mukaan parlamentin kotipaikka on Strasbourgissa, jossa pidetään kaksitoista kuukausittaista täysistuntoa, ja että perussopimusten muuttaminen edellyttää jäsenvaltioiden yksimielisyyttä; toteaa, että nykyisten perussopimusten puitteissa on mahdollista tehdä säästöjä optimoimalla toimintaa; kehottaa asettamaan konkreettisia </w:t>
      </w:r>
      <w:r w:rsidRPr="000B2B6B">
        <w:lastRenderedPageBreak/>
        <w:t>välitavoitteita ja laatimaan toimintasuunnitelman määritettyjen kustannussäästöjen saavuttamiseksi;</w:t>
      </w:r>
    </w:p>
    <w:p w14:paraId="58DA4AAA" w14:textId="77777777" w:rsidR="00053BD5" w:rsidRPr="000B2B6B" w:rsidRDefault="00053BD5" w:rsidP="00053BD5">
      <w:pPr>
        <w:pStyle w:val="NormalHanging12a"/>
        <w:widowControl/>
        <w:rPr>
          <w:bCs/>
          <w:iCs/>
        </w:rPr>
      </w:pPr>
      <w:r w:rsidRPr="000B2B6B">
        <w:t>81.</w:t>
      </w:r>
      <w:r w:rsidRPr="000B2B6B">
        <w:tab/>
        <w:t>kannustaa hallintoa arvioimaan edelleen parlamentissa tarjottavien ateriapalvelujen laatua, hinnoittelua ja valikoimaa ja varmistamaan näin, että hankintakriteereissä hinta- ja laatunäkökohdat ovat asianmukaisesti tasapainossa; kehottaa infrastruktuurin ja logistiikan pääosastoa selvittämään vaihtoehtoja ateriapalvelujen tarjoajien välisen kilpailun lisäämiseksi, jotta voidaan parantaa palvelustandardeja, valinnanvaraa ja kustannustehokkuutta, erityisesti virallisten tapahtumien ja vierailupalvelujen yhteydessä; kehottaa parlamentin hallintoa raportoimaan talousarvion valvontavaliokunnalle tässä yhteydessä saavutetuista tuloksista;</w:t>
      </w:r>
    </w:p>
    <w:p w14:paraId="496F41E3" w14:textId="77777777" w:rsidR="00053BD5" w:rsidRPr="000B2B6B" w:rsidRDefault="00053BD5" w:rsidP="00053BD5">
      <w:pPr>
        <w:pStyle w:val="NormalHanging12a"/>
        <w:widowControl/>
      </w:pPr>
      <w:r w:rsidRPr="000B2B6B">
        <w:t>82.</w:t>
      </w:r>
      <w:r w:rsidRPr="000B2B6B">
        <w:tab/>
        <w:t>pitää myönteisenä, että hallinto pani vuonna 2024 vuoden 2019 jälkeistä aikaa koskevan parlamentin kiinteistöstrategian täytäntöön ja saavutti sen päätavoitteet; panee tyytyväisenä merkille, että infrastruktuurin ja logistiikan pääosasto keskittyy vastedes parlamentin rakennuskannan vakiinnuttamiseen ja olemassa olevien toimitilojen kunnostamiseen, kun parlamentin lisääntyneen toimivallan seurauksena rakennuskanta laajeni vuosien ajan; pitää myönteisenä infrastruktuurin ja logistiikan pääosaston sitoumusta kehittää edelleen parlamentin roolia Strasbourgin, Brysselin ja Luxemburgin kaupungeissa, edistää yhteistä etua koskevia hankkeita ja kytkeä kohteet ympäröiviin alueisiin;</w:t>
      </w:r>
    </w:p>
    <w:p w14:paraId="4C3F6B0B" w14:textId="77777777" w:rsidR="00053BD5" w:rsidRPr="000B2B6B" w:rsidRDefault="00053BD5" w:rsidP="00053BD5">
      <w:pPr>
        <w:pStyle w:val="NormalHanging12a"/>
        <w:widowControl/>
        <w:rPr>
          <w:bCs/>
          <w:iCs/>
        </w:rPr>
      </w:pPr>
      <w:r w:rsidRPr="000B2B6B">
        <w:t>83.</w:t>
      </w:r>
      <w:r w:rsidRPr="000B2B6B">
        <w:tab/>
        <w:t>kehottaa parlamentin hallintoa jatkamaan aktiivisen kiinteistöstrategian toteuttamista ja yhdistämään infrastruktuuri- ja logistiikkatarpeet, tarkastelemaan kustannussäästötoimia, kuten hybridikokousteknologian käyttöä, ja keskittämään parlamentin toimintaa; kehottaa parlamenttia varmistamaan, että rakennusten hallinta- ja peruskorjaushankkeissa otetaan myös huomioon sen biologisen monimuotoisuuden valtavirtaistamista koskevat tavoitteet sekä arvio liitännäiskuluista; panee merkille, että suuriin kiinteistöhankkeisiin liittyy monimutkaisia neuvotteluja ja merkittävää oikeudellista valvontaa; kehottaa parlamentin hallintoa varmistamaan jäsennellyn jälkiraportoinnin vastuuvapauden myöntävälle viranomaiselle tällaisista hankkeista, neuvotteluprosessit, riskien vähentämistoimenpiteet ja oikeudelliset arvioinnit mukaan lukien, jotta parannetaan avoimuutta ja institutionaalista oppimista;</w:t>
      </w:r>
    </w:p>
    <w:p w14:paraId="37FA6D13" w14:textId="77777777" w:rsidR="00053BD5" w:rsidRPr="000B2B6B" w:rsidRDefault="00053BD5" w:rsidP="00053BD5">
      <w:pPr>
        <w:pStyle w:val="NormalHanging12a"/>
        <w:widowControl/>
      </w:pPr>
      <w:r w:rsidRPr="000B2B6B">
        <w:t>84.</w:t>
      </w:r>
      <w:r w:rsidRPr="000B2B6B">
        <w:tab/>
        <w:t>panee huolestuneena merkille, että parlamentin kokous- ja seminaarihuoneista on jatkuvasti pulaa, mikä tekee tilojen varaamisesta entistä vaikeampaa ja edellyttää hyvissä ajoin tehtävää suunnittelua; pitää valitettavana, että tilanne haittaa parlamentin työn tehokasta organisointia ja rajoittaa jäsenten ja henkilöstön mahdollisuutta joustavuuteen; panee merkille SPAAK-rakennuksen tulevan, unionin energiatehokkuusvaatimusten mukaisen peruskorjauksen; kehottaa parlamentin hallintoa toteuttamaan toimenpiteitä peruskorjauksen vaikutusten lieventämiseksi ja varmistamaan, että käytettävissä on riittävästi tiloja parlamentin toiminnallisten tarpeiden tukemiseksi;</w:t>
      </w:r>
    </w:p>
    <w:p w14:paraId="1D3730D8" w14:textId="77777777" w:rsidR="00053BD5" w:rsidRPr="000B2B6B" w:rsidRDefault="00053BD5" w:rsidP="00053BD5">
      <w:pPr>
        <w:pStyle w:val="NormalHanging12a"/>
        <w:widowControl/>
      </w:pPr>
      <w:r w:rsidRPr="000B2B6B">
        <w:t>85.</w:t>
      </w:r>
      <w:r w:rsidRPr="000B2B6B">
        <w:tab/>
        <w:t xml:space="preserve">panee merkille vuoden 2024 kiinteistöhankkeet ja erityisesti ADENAUER II </w:t>
      </w:r>
      <w:r w:rsidRPr="000B2B6B">
        <w:noBreakHyphen/>
        <w:t xml:space="preserve">rakennuksen länsisiiven valmistumisen Luxemburgissa ja toteaa, että sen myötä kaikki parlamentin henkilöstön jäsenet ja yksiköt on saatu saman katon alle; panee merkille, että Strasbourgissa sijaitsevan WEISS-rakennuksen uusi paviljonki turvatoimia ja vierailijoiden vastaanottoa varten saatiin valmiiksi hyvissä ajoin ennen uuden vaalikauden alkua heinäkuussa 2024; panee merkille Brysselissä sijaitsevan TRÈVES II -rakennuksen hankinnan, joka vahvistaa entisestään parlamentin rakennuskantaa kaupungin EU-korttelissa; pyytää ajantasaista aikataulua TRÈVES I- ja </w:t>
      </w:r>
      <w:r w:rsidRPr="000B2B6B">
        <w:lastRenderedPageBreak/>
        <w:t>TRÈVES II -rakennusten liittämiselle tärkeimpiin Brysselin keskeisiin rakennuksiin; pyytää puuttumaan joihinkin TRÈVES I -rakennuksessa vielä hoitamattomiin rakenteellisiin ongelmiin, kuten lämmitysjärjestelmän epävakauteen, ilmastoinnin ja liikuntarajoitteisten henkilöiden wc-tilojen puutteeseen, huonoon äänieristykseen sekä viemäriongelmaan; kannustaa puhdistamaan SPINELLI-rakennuksen lämmitysilman tuuletusaukkoja useammin, jotta estetään pölyn ja homeen kertyminen toimistoihin ja parannetaan henkilöstön työterveyttä;</w:t>
      </w:r>
    </w:p>
    <w:p w14:paraId="6959981F" w14:textId="77777777" w:rsidR="00053BD5" w:rsidRPr="000B2B6B" w:rsidRDefault="00053BD5" w:rsidP="00053BD5">
      <w:pPr>
        <w:pStyle w:val="NormalHanging12a"/>
        <w:widowControl/>
      </w:pPr>
      <w:r w:rsidRPr="000B2B6B">
        <w:t>86.</w:t>
      </w:r>
      <w:r w:rsidRPr="000B2B6B">
        <w:tab/>
        <w:t>palauttaa mieliin, että puhemiehistö keskusteli 12. kesäkuuta 2023 pitämässään kokouksessa SPAAK-rakennuksen peruskorjauksen vaiheista; toteaa, että puhemiehistö ilmaisi pitävänsä parhaimpana kattavaa, ympäristön huomioon ottavaa peruskorjausta ja hyväksyi hankkeen 11. joulukuuta 2023; panee merkille, että infrastruktuurin ja logistiikan pääosasto on edistynyt SPAAK-rakennuksen peruskorjaukseen liittyvissä alustavissa hankkeissa ja on käynnistänyt selvityksiä, jotka liittyvät konferenssilogistiikan ja -tulkkauksen pääosaston (PO LINC) uuteen keskitettyyn tekniseen tilaan, painopalvelujen uudelleenorganisointiin sekä tulkkauskoppien ja media- ja lehdistötilojen muuttoon;</w:t>
      </w:r>
    </w:p>
    <w:p w14:paraId="2D2DCC4F" w14:textId="77777777" w:rsidR="00053BD5" w:rsidRPr="000B2B6B" w:rsidRDefault="00053BD5" w:rsidP="00053BD5">
      <w:pPr>
        <w:pStyle w:val="NormalHanging12a"/>
        <w:widowControl/>
        <w:rPr>
          <w:bCs/>
          <w:iCs/>
        </w:rPr>
      </w:pPr>
      <w:r w:rsidRPr="000B2B6B">
        <w:t>87.</w:t>
      </w:r>
      <w:r w:rsidRPr="000B2B6B">
        <w:tab/>
        <w:t>panee merkille, että vuoden 2026 ennakkoarvioon sisältyy neljä miljoonaa euroa SPAAK-rakennuksen peruskorjaukseen liittyviin selvityksiin ja toimeksisaajan valmistelutöihin, ja toteaa, että kokonaiskustannuksiksi on arvioitu 36 miljoonaa euroa; toteaa siten, että vuoden 2026 ennakkoarvioon ei ole otettu SPAAK-rakennuksen peruskorjauskustannuksiin liittyvää 32:ta miljoonaa euroa; toteaa, että pääsihteeri aikoo kattaa nämä kustannukset keräilysiirrolla tai käyttämällä lainarahoitusta; pyytää pääsihteeriä toimittamaan talousarvion valvontavaliokunnalle mahdollisimman pian yksityiskohtaiset tiedot mahdollisesta lainasta näiden kustannusten kattamiseksi; panee merkille, että joulukuussa 2024 SPAAK-hankkeen välittömät kustannukset olivat 14,12 miljoonaa euroa; katsoo, että SPAAK-rakennuksen peruskorjauksen kustannusten kehitystä on seurattava tiiviisti ja huolellisesti;</w:t>
      </w:r>
    </w:p>
    <w:p w14:paraId="5103AD84" w14:textId="77777777" w:rsidR="00053BD5" w:rsidRPr="000B2B6B" w:rsidRDefault="00053BD5" w:rsidP="00053BD5">
      <w:pPr>
        <w:pStyle w:val="NormalHanging12a"/>
        <w:widowControl/>
      </w:pPr>
      <w:r w:rsidRPr="000B2B6B">
        <w:t>88.</w:t>
      </w:r>
      <w:r w:rsidRPr="000B2B6B">
        <w:tab/>
        <w:t>panee merkille, että infrastruktuurin ja logistiikan pääosasto kehittää parhaillaan toimistotilojen optimoinnin konseptia, jonka tavoitteena on käyttää nykyisiä tiloja siten, että hyödynnetään parlamentin henkilöstön jäsenten koko potentiaali ja annetaan heille mahdollisuus sosiaaliseen vuorovaikutukseen parlamentissa; toteaa, että konseptia varten on otettu vaikutteita Brysselissä sijaitsevista MARTENS-, TRÈVES II- ja ARENDT-rakennuksista ja että siinä on keskeistä ajatus toimintopohjaisista työtiloista, joissa on yhteisiä tiloja kokouksia ja epävirallisia tapaamisia varten; panee merkille, että myös KOHL-rakennusta varten tarkasteltiin yleistä konseptia ottaen huomioon rakenteelliset rajoitteet ja budjettirajoitteet; kehottaa infrastruktuurin ja logistiikan pääosastoa asettamaan käyttäjänäkökulman keskeiseen asemaan tämän konseptin kehittämisessä ja panemaan sen täytäntöön ensisijaisesti rakennuksissa, joissa optimointia tarvitaan eniten, ja aina henkilöstön edustajia kuullen;</w:t>
      </w:r>
    </w:p>
    <w:p w14:paraId="15249159" w14:textId="77777777" w:rsidR="00053BD5" w:rsidRPr="000B2B6B" w:rsidRDefault="00053BD5" w:rsidP="00053BD5">
      <w:pPr>
        <w:pStyle w:val="NormalHanging12a"/>
        <w:widowControl/>
        <w:rPr>
          <w:bCs/>
          <w:iCs/>
        </w:rPr>
      </w:pPr>
      <w:r w:rsidRPr="000B2B6B">
        <w:t>89.</w:t>
      </w:r>
      <w:r w:rsidRPr="000B2B6B">
        <w:tab/>
        <w:t>huomauttaa, että suuri osa Brysselin ja Strasbourgin välisillä täysistuntomatkoilla käytettävien kulkuneuvojen paikoista jäi käyttämättä vuonna 2024; kehottaa parlamentin hallintoa tarkastelemaan käyttäjäryhmän laajentamista, jotta virka-autoja käytettäisiin tehokkaammin, ja varmistamaan samalla, että jäsenille taataan paikka kulkuneuvoissa;</w:t>
      </w:r>
    </w:p>
    <w:p w14:paraId="36E8C87E" w14:textId="77777777" w:rsidR="00053BD5" w:rsidRPr="000B2B6B" w:rsidRDefault="00053BD5" w:rsidP="00053BD5">
      <w:pPr>
        <w:pStyle w:val="NormalHanging12a"/>
        <w:widowControl/>
        <w:rPr>
          <w:bCs/>
          <w:iCs/>
        </w:rPr>
      </w:pPr>
      <w:r w:rsidRPr="000B2B6B">
        <w:t>90.</w:t>
      </w:r>
      <w:r w:rsidRPr="000B2B6B">
        <w:tab/>
        <w:t>kannustaa kuntokeskusta tarjoamaan enemmän kursseja, joilla tuetaan fyysistä ja henkistä hyvinvointia, jotta mukaan saadaan enemmän työntekijöitä;</w:t>
      </w:r>
    </w:p>
    <w:p w14:paraId="1B60565A" w14:textId="77777777" w:rsidR="00053BD5" w:rsidRPr="000B2B6B" w:rsidRDefault="00053BD5" w:rsidP="00DC0FD8">
      <w:pPr>
        <w:keepNext/>
        <w:widowControl/>
        <w:spacing w:after="240"/>
        <w:rPr>
          <w:b/>
          <w:bCs/>
          <w:i/>
          <w:iCs/>
          <w14:textOutline w14:w="0" w14:cap="flat" w14:cmpd="sng" w14:algn="ctr">
            <w14:noFill/>
            <w14:prstDash w14:val="solid"/>
            <w14:bevel/>
          </w14:textOutline>
        </w:rPr>
      </w:pPr>
      <w:r w:rsidRPr="000B2B6B">
        <w:rPr>
          <w:b/>
          <w:i/>
          <w14:textOutline w14:w="0" w14:cap="flat" w14:cmpd="sng" w14:algn="ctr">
            <w14:noFill/>
            <w14:prstDash w14:val="solid"/>
            <w14:bevel/>
          </w14:textOutline>
        </w:rPr>
        <w:lastRenderedPageBreak/>
        <w:t>Varainhoidon pääosasto</w:t>
      </w:r>
    </w:p>
    <w:p w14:paraId="59DD8699" w14:textId="77777777"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91</w:t>
      </w:r>
      <w:r w:rsidRPr="000B2B6B">
        <w:t>.</w:t>
      </w:r>
      <w:r w:rsidRPr="000B2B6B">
        <w:rPr>
          <w14:textOutline w14:w="0" w14:cap="flat" w14:cmpd="sng" w14:algn="ctr">
            <w14:noFill/>
            <w14:prstDash w14:val="solid"/>
            <w14:bevel/>
          </w14:textOutline>
        </w:rPr>
        <w:tab/>
        <w:t>muistuttaa, että varainhoidon pääosasto (PO FINS) on parlamentin talousarvio- ja varainhoitoasioista vastaava hallintoelin; panee merkille, että 31. joulukuuta 2024 pääosastossa oli 262 henkilöstön jäsentä, joista 134 oli virkamiehiä, 51 väliaikaisia toimihenkilöitä ja 77 sopimussuhteisia toimihenkilöitä, ja että vuokratyöntekijöitä ei ollut yhtään;</w:t>
      </w:r>
    </w:p>
    <w:p w14:paraId="22817580" w14:textId="77777777" w:rsidR="00053BD5" w:rsidRPr="000B2B6B" w:rsidRDefault="00053BD5" w:rsidP="00053BD5">
      <w:pPr>
        <w:widowControl/>
        <w:spacing w:after="240"/>
        <w:ind w:left="567" w:hanging="567"/>
        <w:rPr>
          <w14:textOutline w14:w="0" w14:cap="flat" w14:cmpd="sng" w14:algn="ctr">
            <w14:noFill/>
            <w14:prstDash w14:val="solid"/>
            <w14:bevel/>
          </w14:textOutline>
        </w:rPr>
      </w:pPr>
      <w:r w:rsidRPr="000B2B6B">
        <w:rPr>
          <w14:textOutline w14:w="0" w14:cap="flat" w14:cmpd="sng" w14:algn="ctr">
            <w14:noFill/>
            <w14:prstDash w14:val="solid"/>
            <w14:bevel/>
          </w14:textOutline>
        </w:rPr>
        <w:t>92</w:t>
      </w:r>
      <w:r w:rsidRPr="000B2B6B">
        <w:t>.</w:t>
      </w:r>
      <w:r w:rsidRPr="000B2B6B">
        <w:rPr>
          <w14:textOutline w14:w="0" w14:cap="flat" w14:cmpd="sng" w14:algn="ctr">
            <w14:noFill/>
            <w14:prstDash w14:val="solid"/>
            <w14:bevel/>
          </w14:textOutline>
        </w:rPr>
        <w:tab/>
      </w:r>
      <w:r w:rsidRPr="000B2B6B">
        <w:t>panee merkille, että vuonna 2024 varainhoidon pääosaston lopulliset määrärahat olivat 442 954 175 euroa, mikä on 18,6 prosenttia parlamentin talousarviosta;</w:t>
      </w:r>
      <w:r w:rsidRPr="000B2B6B">
        <w:rPr>
          <w14:textOutline w14:w="0" w14:cap="flat" w14:cmpd="sng" w14:algn="ctr">
            <w14:noFill/>
            <w14:prstDash w14:val="solid"/>
            <w14:bevel/>
          </w14:textOutline>
        </w:rPr>
        <w:t xml:space="preserve"> </w:t>
      </w:r>
      <w:r w:rsidRPr="000B2B6B">
        <w:t>korostaa, että tästä määrästä sidottiin yhteensä 441 848 935 euroa (99,75 %);</w:t>
      </w:r>
      <w:r w:rsidRPr="000B2B6B">
        <w:rPr>
          <w14:textOutline w14:w="0" w14:cap="flat" w14:cmpd="sng" w14:algn="ctr">
            <w14:noFill/>
            <w14:prstDash w14:val="solid"/>
            <w14:bevel/>
          </w14:textOutline>
        </w:rPr>
        <w:t xml:space="preserve"> pitää määrärahojen korkeaa käyttöastetta myönteisenä;</w:t>
      </w:r>
    </w:p>
    <w:p w14:paraId="5B8561C7" w14:textId="77777777" w:rsidR="00053BD5" w:rsidRPr="000B2B6B" w:rsidRDefault="00053BD5" w:rsidP="00053BD5">
      <w:pPr>
        <w:widowControl/>
        <w:spacing w:after="240"/>
        <w:ind w:left="567" w:hanging="567"/>
        <w:rPr>
          <w14:textOutline w14:w="0" w14:cap="flat" w14:cmpd="sng" w14:algn="ctr">
            <w14:noFill/>
            <w14:prstDash w14:val="solid"/>
            <w14:bevel/>
          </w14:textOutline>
        </w:rPr>
      </w:pPr>
      <w:r w:rsidRPr="000B2B6B">
        <w:rPr>
          <w14:textOutline w14:w="0" w14:cap="flat" w14:cmpd="sng" w14:algn="ctr">
            <w14:noFill/>
            <w14:prstDash w14:val="solid"/>
            <w14:bevel/>
          </w14:textOutline>
        </w:rPr>
        <w:t>93.</w:t>
      </w:r>
      <w:r w:rsidRPr="000B2B6B">
        <w:rPr>
          <w14:textOutline w14:w="0" w14:cap="flat" w14:cmpd="sng" w14:algn="ctr">
            <w14:noFill/>
            <w14:prstDash w14:val="solid"/>
            <w14:bevel/>
          </w14:textOutline>
        </w:rPr>
        <w:tab/>
        <w:t>kehottaa varainhoidon pääosastoa soveltamaan aktiivisesti OECD:n suosituksia parlamenteille parhaista budjetoinnin käytännöistä (2022–2023) ja vahvistamaan tulosbudjetoinnin täytäntöönpanoa; muistuttaa, että monet jäsenvaltiot ovat jo ottaneet käyttöön tulosbudjetoinnin ja ovat ilmoittaneet saaneensa aikaan merkittäviä säästöjä;</w:t>
      </w:r>
    </w:p>
    <w:p w14:paraId="2704E490" w14:textId="77777777" w:rsidR="00053BD5" w:rsidRPr="000B2B6B" w:rsidRDefault="00053BD5" w:rsidP="00053BD5">
      <w:pPr>
        <w:pStyle w:val="NormalHanging12a"/>
        <w:widowControl/>
        <w:rPr>
          <w:bCs/>
          <w:iCs/>
        </w:rPr>
      </w:pPr>
      <w:r w:rsidRPr="000B2B6B">
        <w:t>94.</w:t>
      </w:r>
      <w:r w:rsidRPr="000B2B6B">
        <w:tab/>
        <w:t>toteaa, että nykyinen finanssipoliittinen paine edellyttää, että institutionaalisen vastuunkannon osoittamiseksi noudatetaan tarpeen mukaan ja parlamentin asemaa unionin toimielinrakenteessa ja parlamentin keskeisiä toimintoja vaarantamatta varovaista ja tehokasta varainkäyttöä, myös parlamentin hallinnollisen talousarvion puitteissa; kehottaa parlamentin hallintoa selvittämään innovatiivisten budjetointivälineiden, kuten tulosbudjetoinnin, käyttöönottoa, sillä niiden avulla voitaisiin lisätä talousarvioprosessin avoimuutta, vastuuvelvollisuutta ja tehokkuutta ja varmistaa, että julkisia varoja käytetään vastuullisesti; toteaa, että näihin vaihtoehtoihin ei pidä turvautua jo suunniteltujen tai toteutettujen rahoitussitoumusten kustannuksella eikä niistä pidä kohdistua mitään vaikutuksia jäsenille ja henkilöstölle tarjottavien palvelujen laatuun eikä sovellettavien sääntöjen mukaisiin taloudellisiin velvoitteisiin;</w:t>
      </w:r>
    </w:p>
    <w:p w14:paraId="01C136EB" w14:textId="77777777" w:rsidR="00053BD5" w:rsidRPr="000B2B6B" w:rsidRDefault="00053BD5" w:rsidP="00053BD5">
      <w:pPr>
        <w:widowControl/>
        <w:spacing w:after="240"/>
        <w:ind w:left="567" w:hanging="567"/>
      </w:pPr>
      <w:r w:rsidRPr="000B2B6B">
        <w:rPr>
          <w14:textOutline w14:w="0" w14:cap="flat" w14:cmpd="sng" w14:algn="ctr">
            <w14:noFill/>
            <w14:prstDash w14:val="solid"/>
            <w14:bevel/>
          </w14:textOutline>
        </w:rPr>
        <w:t>95</w:t>
      </w:r>
      <w:r w:rsidRPr="000B2B6B">
        <w:t>.</w:t>
      </w:r>
      <w:r w:rsidRPr="000B2B6B">
        <w:rPr>
          <w14:textOutline w14:w="0" w14:cap="flat" w14:cmpd="sng" w14:algn="ctr">
            <w14:noFill/>
            <w14:prstDash w14:val="solid"/>
            <w14:bevel/>
          </w14:textOutline>
        </w:rPr>
        <w:tab/>
      </w:r>
      <w:r w:rsidRPr="000B2B6B">
        <w:t>panee merkille, että vuosi 2024 oli kesäkuussa pidettyjen EU-vaalien vuoksi varainhoidon pääosastolle erityinen vuosi; toteaa, että jäsenten tukitoimissa oli vuonna 2024 huomattavaa kasvua, sillä niiden piirissä hallinnoidaan sekä toimikautensa päättävien että vastavalittujen jäsenten oikeuksia ja velvollisuuksia;</w:t>
      </w:r>
    </w:p>
    <w:p w14:paraId="6C64773C" w14:textId="77777777" w:rsidR="00053BD5" w:rsidRPr="000B2B6B" w:rsidRDefault="00053BD5" w:rsidP="00053BD5">
      <w:pPr>
        <w:pStyle w:val="NormalHanging12a"/>
        <w:widowControl/>
      </w:pPr>
      <w:r w:rsidRPr="000B2B6B">
        <w:t>96.</w:t>
      </w:r>
      <w:r w:rsidRPr="000B2B6B">
        <w:tab/>
        <w:t>suosittaa, että varainhoidon pääosasto ottaa käyttöön riskiperusteisen lähestymistavan jäsenten menojen valvontaan ja tarkastamiseen sekä prosesseja, jotka ovat hyvän hallintotavan ja erityisesti avoimuuden, vastuuvelvollisuuden, reagointikyvyn ja oikeudenmukaisuuden periaatteiden mukaisia; toteaa, että sääntöjen noudattamisen varmistamiseksi on olennaisen tärkeää, että suoritetaan (otoksiin perustuvaa) perustason valvontaa; pitää myönteisenä, että jos jonkun jäsenen osalta on olemassa suurempi sääntöjenvastaisten menojen riski, hallinto voi käyttää oikeuttaan tarkastaa asiaankuuluvat varat; korostaa, että vaikka tällaiset tarkastukset ovat tervetulleita, niiden tehokkuus riippuu havaittuja sääntöjenvastaisia menoja koskevien jatkotoimien toteuttamisesta oikea-aikaisesti;</w:t>
      </w:r>
    </w:p>
    <w:p w14:paraId="653F3CE5" w14:textId="77777777" w:rsidR="00053BD5" w:rsidRPr="000B2B6B" w:rsidRDefault="00053BD5" w:rsidP="00053BD5">
      <w:pPr>
        <w:widowControl/>
        <w:spacing w:after="240"/>
        <w:ind w:left="567" w:hanging="567"/>
      </w:pPr>
      <w:r w:rsidRPr="000B2B6B">
        <w:rPr>
          <w14:textOutline w14:w="0" w14:cap="flat" w14:cmpd="sng" w14:algn="ctr">
            <w14:noFill/>
            <w14:prstDash w14:val="solid"/>
            <w14:bevel/>
          </w14:textOutline>
        </w:rPr>
        <w:t>97</w:t>
      </w:r>
      <w:r w:rsidRPr="000B2B6B">
        <w:t>.</w:t>
      </w:r>
      <w:r w:rsidRPr="000B2B6B">
        <w:rPr>
          <w14:textOutline w14:w="0" w14:cap="flat" w14:cmpd="sng" w14:algn="ctr">
            <w14:noFill/>
            <w14:prstDash w14:val="solid"/>
            <w14:bevel/>
          </w14:textOutline>
        </w:rPr>
        <w:tab/>
      </w:r>
      <w:r w:rsidRPr="000B2B6B">
        <w:t xml:space="preserve">panee merkille henkilöstön houkuttelemiseen varainhoidon pääosastoon liittyvän ongelman, joka johtuu siitä, että </w:t>
      </w:r>
      <w:proofErr w:type="spellStart"/>
      <w:r w:rsidRPr="000B2B6B">
        <w:t>EPSOn</w:t>
      </w:r>
      <w:proofErr w:type="spellEnd"/>
      <w:r w:rsidRPr="000B2B6B">
        <w:t xml:space="preserve"> listoilla ei ole rahoituksen ja tietotekniikan aloilla riittävästi hakijoita, sekä vaikeudet henkilöstön houkuttelemisessa Luxemburgiin, jonne on sijoitettu 45 prosenttia varainhoidon pääosaston toimista; toteaa, että henkilöstöä on vaikea houkutella Luxemburgiin, koska palkat ovat paikallisilla </w:t>
      </w:r>
      <w:r w:rsidRPr="000B2B6B">
        <w:lastRenderedPageBreak/>
        <w:t xml:space="preserve">työmarkkinoilla yhtä suuret tai korkeammat kuin parlamentissa ja elinkustannukset ja erityisesti asuinkustannukset ovat korkeat; </w:t>
      </w:r>
    </w:p>
    <w:p w14:paraId="461016F3" w14:textId="77777777" w:rsidR="00053BD5" w:rsidRPr="000B2B6B" w:rsidRDefault="00053BD5" w:rsidP="00053BD5">
      <w:pPr>
        <w:widowControl/>
        <w:spacing w:after="240"/>
        <w:ind w:left="567" w:hanging="567"/>
      </w:pPr>
      <w:r w:rsidRPr="000B2B6B">
        <w:t>98.</w:t>
      </w:r>
      <w:r w:rsidRPr="000B2B6B">
        <w:tab/>
        <w:t xml:space="preserve">panee merkille varainhoidon pääosaston digitaalista ja pääomamuutosta (”Digital and Capital </w:t>
      </w:r>
      <w:proofErr w:type="spellStart"/>
      <w:r w:rsidRPr="000B2B6B">
        <w:t>Transformation</w:t>
      </w:r>
      <w:proofErr w:type="spellEnd"/>
      <w:r w:rsidRPr="000B2B6B">
        <w:t>”) vuonna 2024 koskevan aloitteen, jonka kahdella ensimmäisellä ohjelmalla (digitaalinen muutos jäsenten rahoituspalvelujen parantamiseksi ja digitaalinen muutos parlamentin hallinnon palvelujen parantamiseksi) pyritään edistämään varainhoidon pääosaston asiakkailleen tarjoamien palvelujen digitalisaatiota riippumatta siitä, ovatko nämä jäseniä vai parlamentin taloushallinnon toimijoita; panee merkille, että kolmannella strategisella ohjelmalla (pääomamuutos tuottavamman ja yhtenäisemmän työpaikan luomiseksi) pyritään luomaan tuottavampi ja yhtenäisempi työskentely-ympäristö;</w:t>
      </w:r>
    </w:p>
    <w:p w14:paraId="724D487C" w14:textId="77777777" w:rsidR="00053BD5" w:rsidRPr="000B2B6B" w:rsidRDefault="00053BD5" w:rsidP="00053BD5">
      <w:pPr>
        <w:widowControl/>
        <w:spacing w:after="240"/>
        <w:ind w:left="567" w:hanging="567"/>
      </w:pPr>
      <w:r w:rsidRPr="000B2B6B">
        <w:t xml:space="preserve">99. </w:t>
      </w:r>
      <w:r w:rsidRPr="000B2B6B">
        <w:tab/>
        <w:t xml:space="preserve">pitää myönteisenä varainhoidon pääosaston vuoden 2024 EU-vaalien jälkeen tekemää työtä, joka liittyi toimikautensa päättäviin jäseniin ja uusien jäsenten vastaanottamiseen sekä tähän liittyviin hallinnollisiin menettelyihin; palauttaa mieliin onnistuneesti järjestetyn </w:t>
      </w:r>
      <w:proofErr w:type="spellStart"/>
      <w:r w:rsidRPr="000B2B6B">
        <w:t>Welcome</w:t>
      </w:r>
      <w:proofErr w:type="spellEnd"/>
      <w:r w:rsidRPr="000B2B6B">
        <w:t xml:space="preserve"> </w:t>
      </w:r>
      <w:proofErr w:type="spellStart"/>
      <w:r w:rsidRPr="000B2B6B">
        <w:t>Village</w:t>
      </w:r>
      <w:proofErr w:type="spellEnd"/>
      <w:r w:rsidRPr="000B2B6B">
        <w:t xml:space="preserve"> -alueen, johon koottiin tietoa eri yksiköistä ja josta sitä jaettiin jäsenille keskitetysti ja jossa heidän oli mahdollista tehdä tarvittavat ilmoitukset toimikautensa alussa; antaa varainhoidon pääosastolle kiitosta siitä, että se laati 705 jäsenkohtaista asiakirjakokonaisuutta, mukaan lukien simulaatiot kunkin jäsenen taloudellisista ja sosiaalietuuksista, ja neljä kvestorien ilmoitusta, joissa jäsenille tiedotettiin heidän oikeuksistaan ja velvollisuuksistaan vaalikauden lopussa;</w:t>
      </w:r>
    </w:p>
    <w:p w14:paraId="19E29F95" w14:textId="77777777" w:rsidR="00053BD5" w:rsidRPr="000B2B6B" w:rsidRDefault="00053BD5" w:rsidP="00053BD5">
      <w:pPr>
        <w:pStyle w:val="NormalHanging12a"/>
        <w:widowControl/>
      </w:pPr>
      <w:r w:rsidRPr="000B2B6B">
        <w:t>100.</w:t>
      </w:r>
      <w:r w:rsidRPr="000B2B6B">
        <w:tab/>
        <w:t xml:space="preserve">panee merkille varainhoidon pääosaston pääjohtajan allekirjoittaman tarkastuslausuman; panee merkille tarkastuslausumassa esitetyn huomautuksen, joka koskee virheiden tai sääntöjenvastaisuuksien jäännösriskiä jäsenten tiettyjen matkakulujen korvaamisessa, kun on kyse pääasiassa yksityisautolla tehtyjen matkojen korvaushakemuksista sekä välimatkakorvauksen ja matkan kestosta johtuvan korvauksen maksamisesta; panee merkille varainhoidon pääosaston ehdottamat lieventävät toimet ja kehottaa panemaan nopeasti täytäntöön toimenpiteitä riskien vähentämiseksi; pyytää toimittamaan vastuuvapauden myöntävälle viranomaiselle kertomuksen toteutettujen toimenpiteiden taloudellisista vaikutuksista ja vaikuttavuudesta ja </w:t>
      </w:r>
      <w:bookmarkStart w:id="9" w:name="_Hlk225523167"/>
      <w:r w:rsidRPr="000B2B6B">
        <w:t>tekemään siinä selkoa vaihtoehtoisten näyttöön perustuvien menetelmien valvontakustannuksista</w:t>
      </w:r>
      <w:bookmarkEnd w:id="9"/>
      <w:r w:rsidRPr="000B2B6B">
        <w:t>;</w:t>
      </w:r>
    </w:p>
    <w:p w14:paraId="2610C536" w14:textId="77777777" w:rsidR="00053BD5" w:rsidRPr="000B2B6B" w:rsidRDefault="00053BD5" w:rsidP="00053BD5">
      <w:pPr>
        <w:pStyle w:val="NormalHanging12a"/>
        <w:widowControl/>
        <w:rPr>
          <w:bCs/>
          <w:iCs/>
        </w:rPr>
      </w:pPr>
      <w:r w:rsidRPr="000B2B6B">
        <w:t>101.</w:t>
      </w:r>
      <w:r w:rsidRPr="000B2B6B">
        <w:tab/>
        <w:t>panee huolestuneena merkille, että jäsenten matkakulujen korvaaminen kestää usein yli kolme kuukautta; kehottaa hallintoa ja varainhoidon pääosastoa nopeuttamaan merkittävästi korvausmenettelyjä muun muassa jatkamalla digitalisointia, yksinkertaistamalla tarkastusprosesseja ja selkeyttämällä sisäisiä määräaikoja noudattaen samalla kaikilta osin varainhoidon valvontaa koskevia vaatimuksia;</w:t>
      </w:r>
    </w:p>
    <w:p w14:paraId="6C6A774A" w14:textId="77777777"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t>102.</w:t>
      </w:r>
      <w:r w:rsidRPr="000B2B6B">
        <w:tab/>
        <w:t xml:space="preserve">pitää myönteisenä varainhoidon pääosaston huomattavaa työtä ”EP Finance Academy </w:t>
      </w:r>
      <w:proofErr w:type="spellStart"/>
      <w:r w:rsidRPr="000B2B6B">
        <w:t>by</w:t>
      </w:r>
      <w:proofErr w:type="spellEnd"/>
      <w:r w:rsidRPr="000B2B6B">
        <w:t xml:space="preserve"> DG FINS” -hankkeessa, joka koski kahdentoista verkkokoulutusvideon luomista, pääosaston tarjoaman lähi- ja hybridikoulutuksen lisäksi; painottaa koko parlamentin henkilöstölle annettavan varainhoitokoulutuksen merkitystä ja pitää myönteisinä hankinnoista järjestettäviä koulutuskursseja, jotka on tarkoitettu poliittisten ryhmien henkilöstölle, ja kehottaa varainhoidon pääosastoa antamaan poliittisille ryhmille tehostettua tukea julkisissa hankintamenettelyissä, erityisesti tilintarkastustuomioistuimen havainnot huomioon ottaen; ehdottaa, että varainhoidon pääosasto yhdenmukaistaa eri poliittisten ryhmien julkisten hankintojen alalla soveltamia käytäntöjä;</w:t>
      </w:r>
    </w:p>
    <w:p w14:paraId="4B6F4772" w14:textId="77777777" w:rsidR="00053BD5" w:rsidRPr="000B2B6B" w:rsidRDefault="00053BD5" w:rsidP="00053BD5">
      <w:pPr>
        <w:pStyle w:val="NormalHanging12a"/>
        <w:widowControl/>
      </w:pPr>
      <w:r w:rsidRPr="000B2B6B">
        <w:lastRenderedPageBreak/>
        <w:t>103.</w:t>
      </w:r>
      <w:r w:rsidRPr="000B2B6B">
        <w:tab/>
        <w:t>korostaa, että jäsenet voivat vapaasti dokumentoida yleisen kulukorvauksen varojen käyttöään; korostaa, että jäsenet voivat vapaaehtoisesti dokumentoida näiden varojen käyttöään yksityiskohtaisesti tai kustannustyypeittäin, joko itse tai ulkopuolisen tarkastajan tuella, ja julkistaa nämä tiedot kokonaan tai osittain omalla verkkosivullaan parlamentin verkkosivustolla parlamentin työjärjestyksen 11 artiklan 2 kohdan mukaisesti; pitää myönteisenä, että jäsenten asemaa koskevien sääntöjen soveltamisohjeisiin on sisällytetty yksinkertaistettu luettelo kustannustyypeistä ja että on myös hyväksytty tarkistus, jolla selvennetään jäsenten mahdollisuutta käyttää yleistä kulukorvausta, jos muut korvaukset on käytetty loppuun; panee merkille, että kaikille jäsenille on ilmoitettu tämän korvauksen yksityiskohdista; pitää mahdollisimman suurta avoimuutta hyvänä käytäntönä;</w:t>
      </w:r>
    </w:p>
    <w:p w14:paraId="0714BA1B" w14:textId="77777777" w:rsidR="00053BD5" w:rsidRPr="000B2B6B" w:rsidRDefault="00053BD5" w:rsidP="00053BD5">
      <w:pPr>
        <w:pStyle w:val="NormalHanging12a"/>
        <w:widowControl/>
      </w:pPr>
      <w:r w:rsidRPr="000B2B6B">
        <w:t>104.</w:t>
      </w:r>
      <w:r w:rsidRPr="000B2B6B">
        <w:tab/>
        <w:t>panee merkille, että vuonna 2024 yleisen kulukorvauksen suuruus oli 4 950 euroa kuukaudessa, ja toteaa, että korvauksia on maksettu noin 40 miljoonaa euroa vuodessa; palauttaa mieliin, ettei korvausta indeksoitu vuosina 2022 ja 2024; toteaa, että parlamentti noudattaa yleistä kulukorvausta koskevia voimassa olevia sääntöjä; muistuttaa, että on vältettävä tarpeettomien hallinnollisten rasitteiden aiheuttamista jäsenille;</w:t>
      </w:r>
    </w:p>
    <w:p w14:paraId="118EF321" w14:textId="7D2C23DF" w:rsidR="00053BD5" w:rsidRPr="000B2B6B" w:rsidRDefault="00053BD5" w:rsidP="00C00CA1">
      <w:pPr>
        <w:pStyle w:val="NormalHanging12a"/>
        <w:widowControl/>
      </w:pPr>
      <w:r w:rsidRPr="000B2B6B">
        <w:t>105.</w:t>
      </w:r>
      <w:r w:rsidRPr="000B2B6B">
        <w:tab/>
        <w:t xml:space="preserve">panee merkille, että nykyisissä jäsenten asemaa koskevien sääntöjen soveltamisohjeissa </w:t>
      </w:r>
      <w:r w:rsidR="00FB3BD4" w:rsidRPr="000B2B6B">
        <w:t>asetetaan</w:t>
      </w:r>
      <w:r w:rsidRPr="000B2B6B">
        <w:t xml:space="preserve"> yleisen kulukorvauksen varainhallinnalle avoimuuteen liittyviä vaatimuksia; toteaa, että puhemiehistö hyväksyi 17. lokakuuta 2022 pitämässään kokouksessa tämän päätöksen;</w:t>
      </w:r>
    </w:p>
    <w:p w14:paraId="34120677" w14:textId="77777777" w:rsidR="00053BD5" w:rsidRPr="000B2B6B" w:rsidRDefault="00053BD5" w:rsidP="00DC0FD8">
      <w:pPr>
        <w:keepNext/>
        <w:widowControl/>
        <w:spacing w:after="240"/>
        <w:rPr>
          <w:b/>
          <w:bCs/>
          <w:i/>
          <w:iCs/>
          <w14:textOutline w14:w="0" w14:cap="flat" w14:cmpd="sng" w14:algn="ctr">
            <w14:noFill/>
            <w14:prstDash w14:val="solid"/>
            <w14:bevel/>
          </w14:textOutline>
        </w:rPr>
      </w:pPr>
      <w:r w:rsidRPr="000B2B6B">
        <w:rPr>
          <w:b/>
          <w:i/>
          <w14:textOutline w14:w="0" w14:cap="flat" w14:cmpd="sng" w14:algn="ctr">
            <w14:noFill/>
            <w14:prstDash w14:val="solid"/>
            <w14:bevel/>
          </w14:textOutline>
        </w:rPr>
        <w:t>Tietotekniikka- ja kyberturvallisuuspääosasto</w:t>
      </w:r>
    </w:p>
    <w:p w14:paraId="328ED607" w14:textId="39C38EBC"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10</w:t>
      </w:r>
      <w:r w:rsidR="004B0F82" w:rsidRPr="000B2B6B">
        <w:rPr>
          <w14:textOutline w14:w="0" w14:cap="flat" w14:cmpd="sng" w14:algn="ctr">
            <w14:noFill/>
            <w14:prstDash w14:val="solid"/>
            <w14:bevel/>
          </w14:textOutline>
        </w:rPr>
        <w:t>6</w:t>
      </w:r>
      <w:r w:rsidRPr="000B2B6B">
        <w:t>.</w:t>
      </w:r>
      <w:r w:rsidRPr="000B2B6B">
        <w:rPr>
          <w14:textOutline w14:w="0" w14:cap="flat" w14:cmpd="sng" w14:algn="ctr">
            <w14:noFill/>
            <w14:prstDash w14:val="solid"/>
            <w14:bevel/>
          </w14:textOutline>
        </w:rPr>
        <w:tab/>
        <w:t xml:space="preserve">palauttaa mieliin, että tietotekniikka- ja kyberturvallisuuspääosasto tarjoaa parlamentille tieto- ja viestintätekniikkapalveluja ja -laitteita, videoneuvottelu- ja multimediapalveluja sekä julkaisu- ja painatuspalveluja; </w:t>
      </w:r>
      <w:r w:rsidRPr="000B2B6B">
        <w:t>panee merkille, että 31. joulukuuta 2024 tietotekniikka- ja kyberturvallisuuspääosastossa oli 579 henkilöstön jäsentä, joista 369 oli virkamiehiä, 70 väliaikaisia toimihenkilöitä ja 140 sopimussuhteisia toimihenkilöitä;</w:t>
      </w:r>
    </w:p>
    <w:p w14:paraId="2CB5995E" w14:textId="486A220A" w:rsidR="00053BD5" w:rsidRPr="000B2B6B" w:rsidRDefault="00053BD5" w:rsidP="00053BD5">
      <w:pPr>
        <w:pStyle w:val="NormalHanging12a"/>
        <w:widowControl/>
        <w:rPr>
          <w:bCs/>
          <w:iCs/>
        </w:rPr>
      </w:pPr>
      <w:r w:rsidRPr="000B2B6B">
        <w:t>10</w:t>
      </w:r>
      <w:r w:rsidR="004B0F82" w:rsidRPr="000B2B6B">
        <w:t>7</w:t>
      </w:r>
      <w:r w:rsidRPr="000B2B6B">
        <w:t>.</w:t>
      </w:r>
      <w:r w:rsidRPr="000B2B6B">
        <w:tab/>
        <w:t>kehottaa parlamenttia hyväksymään kattavan digitalisaatiostrategian, joka sisältää teknisiä ratkaisuja asiakirjojen hallintaa ja viestintää varten, jotta varmistetaan avoimuus, parannetaan tehokkuutta, taataan turvallisuus ja siirrytään kohti paperitonta hallintoa; kehottaa kehittämään käyttäjäystävällisiä digitaalisia alustoja sähköisen osallistumisen edistämiseksi, jotta EU:n kansalaiset voivat antaa palautetta ehdotetusta lainsäädännöstä ja saada tietoa parlamentin toiminnasta reaaliaikaisesti;</w:t>
      </w:r>
    </w:p>
    <w:p w14:paraId="4DC98849" w14:textId="4BF45B9F"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10</w:t>
      </w:r>
      <w:r w:rsidR="004B0F82" w:rsidRPr="000B2B6B">
        <w:rPr>
          <w14:textOutline w14:w="0" w14:cap="flat" w14:cmpd="sng" w14:algn="ctr">
            <w14:noFill/>
            <w14:prstDash w14:val="solid"/>
            <w14:bevel/>
          </w14:textOutline>
        </w:rPr>
        <w:t>8</w:t>
      </w:r>
      <w:r w:rsidRPr="000B2B6B">
        <w:t>.</w:t>
      </w:r>
      <w:r w:rsidRPr="000B2B6B">
        <w:rPr>
          <w14:textOutline w14:w="0" w14:cap="flat" w14:cmpd="sng" w14:algn="ctr">
            <w14:noFill/>
            <w14:prstDash w14:val="solid"/>
            <w14:bevel/>
          </w14:textOutline>
        </w:rPr>
        <w:tab/>
      </w:r>
      <w:r w:rsidRPr="000B2B6B">
        <w:t>panee merkille, että vuonna 2024 tietotekniikka- ja kyberturvallisuuspääosaston lopulliset määrärahat olivat 179 396 522 euroa, mikä on 7,5 prosenttia parlamentin talousarviosta;</w:t>
      </w:r>
      <w:r w:rsidRPr="000B2B6B">
        <w:rPr>
          <w14:textOutline w14:w="0" w14:cap="flat" w14:cmpd="sng" w14:algn="ctr">
            <w14:noFill/>
            <w14:prstDash w14:val="solid"/>
            <w14:bevel/>
          </w14:textOutline>
        </w:rPr>
        <w:t xml:space="preserve"> </w:t>
      </w:r>
      <w:r w:rsidRPr="000B2B6B">
        <w:t>korostaa, että tästä määrästä sidottiin yhteensä 179 349 479 euroa;</w:t>
      </w:r>
      <w:r w:rsidRPr="000B2B6B">
        <w:rPr>
          <w14:textOutline w14:w="0" w14:cap="flat" w14:cmpd="sng" w14:algn="ctr">
            <w14:noFill/>
            <w14:prstDash w14:val="solid"/>
            <w14:bevel/>
          </w14:textOutline>
        </w:rPr>
        <w:t xml:space="preserve"> pitää määrärahojen korkeaa käyttöastetta myönteisenä;</w:t>
      </w:r>
    </w:p>
    <w:p w14:paraId="477E29E4" w14:textId="46D2B916" w:rsidR="00053BD5" w:rsidRPr="000B2B6B" w:rsidRDefault="00053BD5" w:rsidP="00053BD5">
      <w:pPr>
        <w:widowControl/>
        <w:spacing w:after="240"/>
        <w:ind w:left="567" w:hanging="567"/>
      </w:pPr>
      <w:r w:rsidRPr="000B2B6B">
        <w:t>1</w:t>
      </w:r>
      <w:r w:rsidR="004B0F82" w:rsidRPr="000B2B6B">
        <w:t>09</w:t>
      </w:r>
      <w:r w:rsidRPr="000B2B6B">
        <w:t>.</w:t>
      </w:r>
      <w:r w:rsidRPr="000B2B6B">
        <w:tab/>
        <w:t xml:space="preserve">panee merkille tietotekniikka- ja kyberturvallisuuspääosaston jatkuvat pyrkimykset kyberturvallisuuden varmistamiseksi parlamentin jatkuvasti pahenevan uhka- ja riskiympäristön vuoksi; panee merkille, että Euroopan parlamentin ja neuvoston asetus </w:t>
      </w:r>
      <w:r w:rsidRPr="000B2B6B">
        <w:lastRenderedPageBreak/>
        <w:t>(EU, Euratom) 2023/2841</w:t>
      </w:r>
      <w:r w:rsidRPr="000B2B6B">
        <w:rPr>
          <w:rStyle w:val="FootnoteReference"/>
          <w:noProof/>
        </w:rPr>
        <w:footnoteReference w:id="9"/>
      </w:r>
      <w:r w:rsidRPr="000B2B6B">
        <w:t>, jolla virallistettiin CERT-EU:n tehtävä unionin toimijoiden kyberturvallisuuspalveluna, on tullut voimaan; panee merkille, että asetuksella (EU, Euratom) 2023/2841 perustetaan myös toimielinten välinen kyberturvallisuuslautakunta (IICB), joka vastaa kyseisen asetuksen täytäntöönpanon seurannasta ja tukemisesta kaikkien unionin toimijoiden toiminnassa; panee merkille, että parlamentti on toiminut tämän lautakunnan puheenjohtajana vuodesta 2024 lähtien;</w:t>
      </w:r>
    </w:p>
    <w:p w14:paraId="4E19F3B5" w14:textId="6AF90C37" w:rsidR="00053BD5" w:rsidRPr="000B2B6B" w:rsidRDefault="00053BD5" w:rsidP="00053BD5">
      <w:pPr>
        <w:widowControl/>
        <w:spacing w:after="240"/>
        <w:ind w:left="567" w:hanging="567"/>
        <w:rPr>
          <w:b/>
          <w:bCs/>
        </w:rPr>
      </w:pPr>
      <w:r w:rsidRPr="000B2B6B">
        <w:t>11</w:t>
      </w:r>
      <w:r w:rsidR="004B0F82" w:rsidRPr="000B2B6B">
        <w:t>0</w:t>
      </w:r>
      <w:r w:rsidRPr="000B2B6B">
        <w:t>.</w:t>
      </w:r>
      <w:r w:rsidRPr="000B2B6B">
        <w:tab/>
        <w:t>panee merkille, että puhemiehistön helmikuussa 2021 tekemän päätöksen, jonka mukaan parlamentin datakeskuksen on vastattava alan ylintä saatavilla olevaa standardia (taso IV), mukaisesti tietotekniikka- ja kyberturvallisuuspääosasto teki vuonna 2022 sopimuksen, joka mahdollisti datakeskuksen perustamisen ja käyttöönoton vuonna 2023; korostaa, että tällä merkittävällä investoinnilla varmistetaan tulevaisuuden vaatimukset huomioon ottava infrastruktuuri tulevina vuosina ja että se on keskeisessä asemassa parlamentin vankan hybridityöympäristön ylläpitämisessä;</w:t>
      </w:r>
    </w:p>
    <w:p w14:paraId="54A74576" w14:textId="432924B2" w:rsidR="00053BD5" w:rsidRPr="000B2B6B" w:rsidRDefault="00053BD5" w:rsidP="00053BD5">
      <w:pPr>
        <w:widowControl/>
        <w:spacing w:after="240"/>
        <w:ind w:left="567" w:hanging="567"/>
      </w:pPr>
      <w:r w:rsidRPr="000B2B6B">
        <w:rPr>
          <w14:textOutline w14:w="0" w14:cap="flat" w14:cmpd="sng" w14:algn="ctr">
            <w14:noFill/>
            <w14:prstDash w14:val="solid"/>
            <w14:bevel/>
          </w14:textOutline>
        </w:rPr>
        <w:t>11</w:t>
      </w:r>
      <w:r w:rsidR="004B0F82" w:rsidRPr="000B2B6B">
        <w:rPr>
          <w14:textOutline w14:w="0" w14:cap="flat" w14:cmpd="sng" w14:algn="ctr">
            <w14:noFill/>
            <w14:prstDash w14:val="solid"/>
            <w14:bevel/>
          </w14:textOutline>
        </w:rPr>
        <w:t>1</w:t>
      </w:r>
      <w:r w:rsidRPr="000B2B6B">
        <w:t>.</w:t>
      </w:r>
      <w:r w:rsidRPr="000B2B6B">
        <w:rPr>
          <w14:textOutline w14:w="0" w14:cap="flat" w14:cmpd="sng" w14:algn="ctr">
            <w14:noFill/>
            <w14:prstDash w14:val="solid"/>
            <w14:bevel/>
          </w14:textOutline>
        </w:rPr>
        <w:tab/>
      </w:r>
      <w:r w:rsidRPr="000B2B6B">
        <w:t>korostaa, että kyberturvallisuus on nähtävä olennaisena ja jatkuvana painopisteenä toiminnan kaikissa vaiheissa eikä pelkästään tavoitteena; painottaa kyberturvallisuuden edellyttävän laajaa strategiaa, joka kattaa kaikki parlamentin digitaalisen hallinnon näkökohdat; kehottaa tarkastelemaan parlamentin tietotekniikkahallinnon rakenteita ja edistämään vakaampaa ja mukautuvampaa kyberturvallisuuden lähestymistapaa, jossa tarkastellaan tietojärjestelmien koko elinkaarta, ottaen huomioon internetin kautta suoraan saatavilla olevien sovellusten määrän lisääntymisen (niitä on tällä hetkellä yli 20); korostaa, että tämä tilanne edellyttää tehostettua valvontaa haavoittuvuuksien minimoimiseksi ja toimielimen tietojen suojaamiseksi ulkoisilta uhkilta;</w:t>
      </w:r>
    </w:p>
    <w:p w14:paraId="3020B07C" w14:textId="7BFCC53F" w:rsidR="00053BD5" w:rsidRPr="000B2B6B" w:rsidRDefault="00053BD5" w:rsidP="00053BD5">
      <w:pPr>
        <w:widowControl/>
        <w:spacing w:after="240"/>
        <w:ind w:left="567" w:hanging="567"/>
      </w:pPr>
      <w:r w:rsidRPr="000B2B6B">
        <w:t>11</w:t>
      </w:r>
      <w:r w:rsidR="004B0F82" w:rsidRPr="000B2B6B">
        <w:t>2</w:t>
      </w:r>
      <w:r w:rsidRPr="000B2B6B">
        <w:t>.</w:t>
      </w:r>
      <w:r w:rsidRPr="000B2B6B">
        <w:tab/>
        <w:t>kehottaa jatkamaan investointeja kyberturvallisuusinfrastruktuuriin sekä jatkuvaan koulutukseen ja henkilöstön jäsenille tarvittaviin resursseihin, jotta voidaan lujittaa turvallisuustietoisuuden kulttuuria, joka vahvistaa parlamentin kykyä selviytyä mahdollisista digitaalisista uhkista;</w:t>
      </w:r>
    </w:p>
    <w:p w14:paraId="711F5F1C" w14:textId="57F55A75" w:rsidR="00053BD5" w:rsidRPr="000B2B6B" w:rsidRDefault="00053BD5" w:rsidP="00053BD5">
      <w:pPr>
        <w:widowControl/>
        <w:spacing w:after="240"/>
        <w:ind w:left="567" w:hanging="567"/>
      </w:pPr>
      <w:r w:rsidRPr="000B2B6B">
        <w:t>11</w:t>
      </w:r>
      <w:r w:rsidR="004B0F82" w:rsidRPr="000B2B6B">
        <w:t>3</w:t>
      </w:r>
      <w:r w:rsidRPr="000B2B6B">
        <w:t>.</w:t>
      </w:r>
      <w:r w:rsidRPr="000B2B6B">
        <w:tab/>
        <w:t>panee merkille, että painopisteenä on pyrkimys parantaa tietoisuutta kyberturvallisuudesta kaikkien jäsenten ja henkilöstön keskuudessa; panee tyytyväisenä merkille tietotekniikka- ja kyberturvallisuuspääosaston ja henkilöstöasioiden pääosaston koulutustarjonnan; panee merkille kyberturvallisuuskoulutukseen osallistuneiden suuren määrän ja toteaa, että koulutuskursseille osallistui 33 henkilöä ja tiedotustoimiin vähintään 1 800 henkilöä;</w:t>
      </w:r>
    </w:p>
    <w:p w14:paraId="5B909BBF" w14:textId="34EA672C" w:rsidR="00053BD5" w:rsidRPr="000B2B6B" w:rsidRDefault="00053BD5" w:rsidP="00053BD5">
      <w:pPr>
        <w:widowControl/>
        <w:spacing w:after="240"/>
        <w:ind w:left="567" w:hanging="567"/>
      </w:pPr>
      <w:r w:rsidRPr="000B2B6B">
        <w:t>11</w:t>
      </w:r>
      <w:r w:rsidR="004B0F82" w:rsidRPr="000B2B6B">
        <w:t>4</w:t>
      </w:r>
      <w:r w:rsidRPr="000B2B6B">
        <w:t>.</w:t>
      </w:r>
      <w:r w:rsidRPr="000B2B6B">
        <w:tab/>
        <w:t xml:space="preserve">panee merkille, että nykyistä henkilöstöhallintojärjestelmää (HRM </w:t>
      </w:r>
      <w:proofErr w:type="spellStart"/>
      <w:r w:rsidRPr="000B2B6B">
        <w:t>Portal</w:t>
      </w:r>
      <w:proofErr w:type="spellEnd"/>
      <w:r w:rsidRPr="000B2B6B">
        <w:t xml:space="preserve">) ei ole edelleenkään integroitu riittävästi muihin parlamentin järjestelmiin; toteaa, että yksinkertaisissa menettelyissä, kuten lomapyynnöissä, valtuutetuilta avustajilta edellytetään edelleen, että he lataavat, tulostavat, skannaavat ja lähettävät asiakirjoja manuaalisesti, ja heidän lomasaldonsa on tarkistettava erilliseltä alustalta; korostaa, että tällaiset hajanaiset prosessit aiheuttavat tarpeetonta hallinnollista rasitetta ja hankaloittavat työnkulkua; kehottaa hallintoa nykyaikaistamaan ja virtaviivaistamaan kyseisiä menettelyjä ja varmistamaan, että henkilöstöhallinnon välineet ja muut parlamentin järjestelmät ovat täysin </w:t>
      </w:r>
      <w:proofErr w:type="spellStart"/>
      <w:r w:rsidRPr="000B2B6B">
        <w:t>yhteentoimivat</w:t>
      </w:r>
      <w:proofErr w:type="spellEnd"/>
      <w:r w:rsidRPr="000B2B6B">
        <w:t>;</w:t>
      </w:r>
    </w:p>
    <w:p w14:paraId="55B3E1DA" w14:textId="0691E213" w:rsidR="00053BD5" w:rsidRPr="000B2B6B" w:rsidRDefault="00053BD5" w:rsidP="00053BD5">
      <w:pPr>
        <w:widowControl/>
        <w:spacing w:after="240"/>
        <w:ind w:left="567" w:hanging="567"/>
      </w:pPr>
      <w:r w:rsidRPr="000B2B6B">
        <w:rPr>
          <w14:textOutline w14:w="0" w14:cap="flat" w14:cmpd="sng" w14:algn="ctr">
            <w14:noFill/>
            <w14:prstDash w14:val="solid"/>
            <w14:bevel/>
          </w14:textOutline>
        </w:rPr>
        <w:lastRenderedPageBreak/>
        <w:t>11</w:t>
      </w:r>
      <w:r w:rsidR="004B0F82" w:rsidRPr="000B2B6B">
        <w:rPr>
          <w14:textOutline w14:w="0" w14:cap="flat" w14:cmpd="sng" w14:algn="ctr">
            <w14:noFill/>
            <w14:prstDash w14:val="solid"/>
            <w14:bevel/>
          </w14:textOutline>
        </w:rPr>
        <w:t>5</w:t>
      </w:r>
      <w:r w:rsidRPr="000B2B6B">
        <w:t>.</w:t>
      </w:r>
      <w:r w:rsidRPr="000B2B6B">
        <w:rPr>
          <w14:textOutline w14:w="0" w14:cap="flat" w14:cmpd="sng" w14:algn="ctr">
            <w14:noFill/>
            <w14:prstDash w14:val="solid"/>
            <w14:bevel/>
          </w14:textOutline>
        </w:rPr>
        <w:tab/>
      </w:r>
      <w:r w:rsidRPr="000B2B6B">
        <w:t xml:space="preserve">korostaa, että jäsenille annettavaa tukea on laajennettu työajan ulkopuolelle ja parlamentin vapaapäiviin; panee merkille, että jäsenten yksityisiä </w:t>
      </w:r>
      <w:proofErr w:type="spellStart"/>
      <w:r w:rsidRPr="000B2B6B">
        <w:t>MacOS</w:t>
      </w:r>
      <w:proofErr w:type="spellEnd"/>
      <w:r w:rsidRPr="000B2B6B">
        <w:t>- ja iOS</w:t>
      </w:r>
      <w:r w:rsidRPr="000B2B6B">
        <w:noBreakHyphen/>
        <w:t>laitteita varten on otettu käyttöön uusia tietoteknisiä tukipalveluita, joissa otetaan huomioon jäsenten tarpeiden ja työkäytäntöjen kehitys sekä käyttäjäkyselyt ja päättävien elinten suorat pyynnöt; korostaa, että sosiaalista mediaa koskevaa teknistä tukea sekä audiovisuaalisen luomistyön teknisiin näkökohtiin liittyviä kattavia palveluja edistetään;</w:t>
      </w:r>
    </w:p>
    <w:p w14:paraId="70EC3E83" w14:textId="57C6A11E" w:rsidR="00053BD5" w:rsidRPr="000B2B6B" w:rsidRDefault="00053BD5" w:rsidP="00053BD5">
      <w:pPr>
        <w:pStyle w:val="NormalHanging12a"/>
        <w:widowControl/>
      </w:pPr>
      <w:r w:rsidRPr="000B2B6B">
        <w:t>11</w:t>
      </w:r>
      <w:r w:rsidR="004B0F82" w:rsidRPr="000B2B6B">
        <w:t>6</w:t>
      </w:r>
      <w:r w:rsidRPr="000B2B6B">
        <w:t>.</w:t>
      </w:r>
      <w:r w:rsidRPr="000B2B6B">
        <w:tab/>
        <w:t xml:space="preserve">pitää myönteisenä, että on perustettu uusi tekoälyn hallintokehys, johon kuuluu tekoälyä käsittelevä hallintoneuvosto, joka huolehtii parlamentin tekoälystrategian ja </w:t>
      </w:r>
      <w:r w:rsidRPr="000B2B6B">
        <w:noBreakHyphen/>
        <w:t>etenemissuunnitelman seurannasta ja varmistaa säännösten noudattamisen ja eettisen valvonnan, pääosastojen välinen tekoälyä käsittelevä ohjausryhmä, joka vastaa tekoälystrategioiden laatimisesta, kehittää keskeisiä valmiuksia ja varmistaa pitkän aikavälin turvallisuuden ja kestävyyden, sekä tietotekniikka- ja kyberturvallisuuspääosastoon kuuluva tekoälyn osaamiskeskus, joka ohjaa, edistää ja seuraa tekoälyaloitteita parlamentissa; toteaa, että tällä hallintokehyksellä varmistetaan avoimuus ja se, että noudatetaan Euroopan parlamentin ja neuvoston asetusta (EU) 2024/1689</w:t>
      </w:r>
      <w:r w:rsidRPr="000B2B6B">
        <w:rPr>
          <w:rStyle w:val="FootnoteReference"/>
        </w:rPr>
        <w:footnoteReference w:id="10"/>
      </w:r>
      <w:r w:rsidRPr="000B2B6B">
        <w:t>, joka tuli voimaan 1. elokuuta 2024 ja jonka säännöksiä sovelletaan vuodesta 2025 alkaen; panee merkille, että parlamentin henkilöstön jäsenet voivat käyttää kolmannen osapuolen julkisesti saatavilla olevia, generatiiviseen tekoälyyn pohjautuvia välineitä, jos he noudattavat pääsihteerin 16. huhtikuuta 2024 hyväksymiä ohjeita parlamentin henkilöstön jäsenille julkisesti saatavilla olevien tekoälyvälineiden käytöstä sillä ehdottomalla edellytyksellä, että niitä käytetään ainoastaan työhön liittyvissä tehtävissä; kehottaa hallintoa tehostamaan toimiaan henkilöstön kouluttamiseksi uuden teknologian, kuten tekoälyn, tehokkaaseen ja turvalliseen käyttöön;</w:t>
      </w:r>
    </w:p>
    <w:p w14:paraId="32270B05" w14:textId="77777777" w:rsidR="00053BD5" w:rsidRPr="000B2B6B" w:rsidRDefault="00053BD5" w:rsidP="00DC0FD8">
      <w:pPr>
        <w:keepNext/>
        <w:widowControl/>
        <w:spacing w:after="240"/>
        <w:rPr>
          <w:b/>
          <w:bCs/>
          <w:i/>
          <w:iCs/>
          <w14:textOutline w14:w="0" w14:cap="flat" w14:cmpd="sng" w14:algn="ctr">
            <w14:noFill/>
            <w14:prstDash w14:val="solid"/>
            <w14:bevel/>
          </w14:textOutline>
        </w:rPr>
      </w:pPr>
      <w:r w:rsidRPr="000B2B6B">
        <w:rPr>
          <w:b/>
          <w:i/>
          <w14:textOutline w14:w="0" w14:cap="flat" w14:cmpd="sng" w14:algn="ctr">
            <w14:noFill/>
            <w14:prstDash w14:val="solid"/>
            <w14:bevel/>
          </w14:textOutline>
        </w:rPr>
        <w:t xml:space="preserve">Parlamentin talousarvioon varainhoitovuonna 2024 vaikuttavat monialaiset kysymykset </w:t>
      </w:r>
    </w:p>
    <w:p w14:paraId="1EDE9A28" w14:textId="77777777" w:rsidR="00053BD5" w:rsidRPr="000B2B6B" w:rsidRDefault="00053BD5" w:rsidP="00DC0FD8">
      <w:pPr>
        <w:keepNext/>
        <w:widowControl/>
        <w:spacing w:after="240"/>
        <w:rPr>
          <w:b/>
          <w:bCs/>
        </w:rPr>
      </w:pPr>
      <w:bookmarkStart w:id="10" w:name="_Hlk216615789"/>
      <w:r w:rsidRPr="000B2B6B">
        <w:rPr>
          <w:b/>
        </w:rPr>
        <w:t>Avoimuus ja eettisyys</w:t>
      </w:r>
    </w:p>
    <w:p w14:paraId="5CCCB41D" w14:textId="48AC1E0F" w:rsidR="00053BD5" w:rsidRPr="000B2B6B" w:rsidRDefault="00053BD5" w:rsidP="00053BD5">
      <w:pPr>
        <w:widowControl/>
        <w:spacing w:after="240"/>
        <w:ind w:left="567" w:hanging="567"/>
        <w:rPr>
          <w:b/>
          <w:bCs/>
        </w:rPr>
      </w:pPr>
      <w:r w:rsidRPr="000B2B6B">
        <w:t>11</w:t>
      </w:r>
      <w:r w:rsidR="004B0F82" w:rsidRPr="000B2B6B">
        <w:t>7</w:t>
      </w:r>
      <w:r w:rsidRPr="000B2B6B">
        <w:t>.</w:t>
      </w:r>
      <w:r w:rsidRPr="000B2B6B">
        <w:tab/>
        <w:t xml:space="preserve">panee merkille, että vuonna 2024 vastaanotettiin henkilöstösääntöjen 22 c artiklan täytäntöönpanoa koskevien sisäisten sääntöjen mukaisesti kuusi väärinkäytösten paljastamiseen liittyvää ilmoitusta, joista viisi virallisten kanavien kautta ja yksi toiselta unionin toimielimeltä; toteaa, että yksi tapaus siirrettiin </w:t>
      </w:r>
      <w:proofErr w:type="spellStart"/>
      <w:r w:rsidRPr="000B2B6B">
        <w:t>EPPOn</w:t>
      </w:r>
      <w:proofErr w:type="spellEnd"/>
      <w:r w:rsidRPr="000B2B6B">
        <w:t xml:space="preserve"> käsiteltäväksi, kaksi johti hallinnollisiin tutkimuksiin ja yksi välitettiin jäsenten menettelysääntöjä käsittelevälle neuvoa-antavalle komitealle ja että myös tapauksesta, josta ilmoitettiin parlamentin ulkopuolelta, käynnistettiin tutkimus;</w:t>
      </w:r>
      <w:r w:rsidR="00F31EEC" w:rsidRPr="000B2B6B">
        <w:t xml:space="preserve"> </w:t>
      </w:r>
      <w:r w:rsidR="00F31EEC" w:rsidRPr="000B2B6B">
        <w:rPr>
          <w:bCs/>
          <w:iCs/>
        </w:rPr>
        <w:t>ilmaisee huolensa siitä, että unionin tuomioistuin päätti vuonna 2024 asiassa T-793/22, ettei parlamentti ollut toteuttanut kaikkia tarvittavia toimenpiteitä sen varmistamiseksi, että väärinkäytösten ilmoittajaa suojellaan tasapuolisesti ja tehokkaasti kaikenlaisilta vastatoimilta; panee merkille, että tuomioistuin katsoi myös, ettei parlamentti pitänyt asianmukaisesti salassa väärinkäytösten ilmoittajan henkilöllisyyttä; kehottaa parlamenttia saattamaan sisäiset sääntönsä täysin direktiivin (EU) 2019/1937 mukaisiksi;</w:t>
      </w:r>
    </w:p>
    <w:bookmarkEnd w:id="10"/>
    <w:p w14:paraId="3426B698" w14:textId="50F0ABBE" w:rsidR="00053BD5" w:rsidRPr="000B2B6B" w:rsidRDefault="00053BD5" w:rsidP="00053BD5">
      <w:pPr>
        <w:pStyle w:val="NormalHanging12a"/>
        <w:widowControl/>
      </w:pPr>
      <w:r w:rsidRPr="000B2B6B">
        <w:lastRenderedPageBreak/>
        <w:t>11</w:t>
      </w:r>
      <w:r w:rsidR="004B0F82" w:rsidRPr="000B2B6B">
        <w:t>8</w:t>
      </w:r>
      <w:r w:rsidRPr="000B2B6B">
        <w:t>.</w:t>
      </w:r>
      <w:r w:rsidRPr="000B2B6B">
        <w:tab/>
        <w:t>on tyytyväinen siihen, että painopisteenä oli edelleen etiikkaa käsittelevä koulutus ja että vaikka ”</w:t>
      </w:r>
      <w:proofErr w:type="spellStart"/>
      <w:r w:rsidRPr="000B2B6B">
        <w:t>Let’s</w:t>
      </w:r>
      <w:proofErr w:type="spellEnd"/>
      <w:r w:rsidRPr="000B2B6B">
        <w:t xml:space="preserve"> </w:t>
      </w:r>
      <w:proofErr w:type="spellStart"/>
      <w:r w:rsidRPr="000B2B6B">
        <w:t>Talk</w:t>
      </w:r>
      <w:proofErr w:type="spellEnd"/>
      <w:r w:rsidRPr="000B2B6B">
        <w:t xml:space="preserve"> </w:t>
      </w:r>
      <w:proofErr w:type="spellStart"/>
      <w:r w:rsidRPr="000B2B6B">
        <w:t>Ethics</w:t>
      </w:r>
      <w:proofErr w:type="spellEnd"/>
      <w:r w:rsidRPr="000B2B6B">
        <w:t>” -kursseja oli vain 13, niille osallistui 178 henkilöstön jäsentä, että räätälöidyillä kursseilla oli 109 osallistujaa ja että valtuutettujen avustajien pakollisen perehdytyksen loppuun suorittaneita oli 72 prosenttia perehdytykseen osallistuneista; pitää myönteisenä, että johtajille suunnattuun uuteen eettistä johtamista ja häirinnän ehkäisemistä käsittelevään koulutukseen, joka järjestettiin 33 kertaa, osallistui 320 johtajaa;</w:t>
      </w:r>
    </w:p>
    <w:p w14:paraId="4C37BAF0" w14:textId="4CF6B3D5" w:rsidR="00053BD5" w:rsidRPr="000B2B6B" w:rsidRDefault="00053BD5" w:rsidP="00053BD5">
      <w:pPr>
        <w:pStyle w:val="NormalHanging12a"/>
        <w:widowControl/>
      </w:pPr>
      <w:r w:rsidRPr="000B2B6B">
        <w:t>1</w:t>
      </w:r>
      <w:r w:rsidR="004B0F82" w:rsidRPr="000B2B6B">
        <w:t>19</w:t>
      </w:r>
      <w:r w:rsidRPr="000B2B6B">
        <w:t>.</w:t>
      </w:r>
      <w:r w:rsidRPr="000B2B6B">
        <w:tab/>
        <w:t>vaatii, että avoimuuteen, vastuuvelvollisuuteen ja eettiseen hallintoon liittyviä toimenpiteitä on vahvistettava; katsoo, että parlamentin on taattava nuhteettomuuden kulttuuri, jossa eettiset normit sisällytetään päivittäiseen toimintaan, jotta kansalaisten osoittamaa luottamusta ei heikennetä ja jotta vahvistetaan valvontaan liittyvää parlamentin legitimiteettiä; kehottaa jatkamaan ja vahvistamaan yhteistyötä ja vuoropuhelua nuhteettomuudesta, avoimuudesta ja käyttäytymissäännöistä unionin toimielimissä;</w:t>
      </w:r>
    </w:p>
    <w:p w14:paraId="110B5B3D" w14:textId="328CC9B8" w:rsidR="00053BD5" w:rsidRPr="000B2B6B" w:rsidRDefault="00053BD5" w:rsidP="00053BD5">
      <w:pPr>
        <w:pStyle w:val="NormalHanging12a"/>
        <w:widowControl/>
      </w:pPr>
      <w:r w:rsidRPr="000B2B6B">
        <w:t>12</w:t>
      </w:r>
      <w:r w:rsidR="004B0F82" w:rsidRPr="000B2B6B">
        <w:t>0</w:t>
      </w:r>
      <w:r w:rsidRPr="000B2B6B">
        <w:t>.</w:t>
      </w:r>
      <w:r w:rsidRPr="000B2B6B">
        <w:tab/>
        <w:t xml:space="preserve">panee merkille puhemiehistölle raportoidun myönteisen arvion nuhteettomuutta ja avoimuutta koskevien Euroopan parlamentin jäsenten menettelysääntöjen teknisestä täytäntöönpanosta; kehottaa toteuttamaan lisätoimia avoimuuden lisäämiseksi kaikilla parlamentin toiminta-aloilla ja kaikissa yksiköissä painottaen erityisesti lainsäädännön laatimista; kehottaa tässä yhteydessä parlamentin hallintoa ottamaan avoimuusvaatimukset käyttöön </w:t>
      </w:r>
      <w:proofErr w:type="gramStart"/>
      <w:r w:rsidRPr="000B2B6B">
        <w:t>myös muillakin</w:t>
      </w:r>
      <w:proofErr w:type="gramEnd"/>
      <w:r w:rsidRPr="000B2B6B">
        <w:t xml:space="preserve"> tasoilla kuin johdon tasolla;</w:t>
      </w:r>
    </w:p>
    <w:p w14:paraId="4C8CD33A" w14:textId="30FFE195" w:rsidR="00EE0C4A" w:rsidRPr="000B2B6B" w:rsidRDefault="00EE0C4A" w:rsidP="00053BD5">
      <w:pPr>
        <w:pStyle w:val="NormalHanging12a"/>
        <w:widowControl/>
      </w:pPr>
      <w:r w:rsidRPr="000B2B6B">
        <w:t>121.</w:t>
      </w:r>
      <w:r w:rsidRPr="000B2B6B">
        <w:tab/>
        <w:t>muistuttaa, että säännöissä kielletään jäseniä harjoittamasta unionin päätöksentekoprosessiin suoraan liittyvää vastikkeellista edunvalvontatoimintaa; korostaa, ettei ole näiden sääntöjen mukaista hoitaa samaan aikaan palkallisia tehtäviä avoimuusrekisterin soveltamisalaan kuuluvissa yhteisöissä ja parlamentaarisia tehtäviä samalla toimintapolitiikan alalla tai olla asiaan liittyen yhteydessä komissioon tai neuvostoon; kehottaa tutkimaan tällaiset tilanteet asianmukaisesti ja, jos rikkomisia todetaan, soveltamaan oikeasuhteisia seuraamuksia;</w:t>
      </w:r>
    </w:p>
    <w:p w14:paraId="7BB7E2A9" w14:textId="77777777" w:rsidR="00053BD5" w:rsidRPr="000B2B6B" w:rsidRDefault="00053BD5" w:rsidP="00053BD5">
      <w:pPr>
        <w:pStyle w:val="NormalHanging12a"/>
        <w:widowControl/>
        <w:rPr>
          <w:bCs/>
          <w:iCs/>
        </w:rPr>
      </w:pPr>
      <w:r w:rsidRPr="000B2B6B">
        <w:t>122.</w:t>
      </w:r>
      <w:r w:rsidRPr="000B2B6B">
        <w:tab/>
        <w:t xml:space="preserve">pitää myönteisenä, että avoimuusrekisteriä käytetään yhä enemmän unionin tason edunvalvontatoimiin liittyvään tiedonsaantiin ja konsultointiin; pitää myönteisenä, että avoimuusrekisterin parantamiseksi on kehitetty tietoteknisiä ratkaisuja, mutta panee merkille, että sen sihteeristölle on edelleen osoitettu liian vähän rahoitusta ja henkilöstöä; panee merkille, että avoimuusrekisterin tietojen laatu on parantunut, ja muistuttaa, että uusien hakijoiden tietojen laaduntarkastuksia on edelleen tehostettava; panee tyytyväisenä merkille, että parlamentissa on vahvistettu avoimuutta ja toimielinten tiloihin pääsyä koskevat tiukat säännöt, joita sovelletaan avoimuusrekisteriin rekisteröityihin yhteisöihin; kehottaa kytkemään yhteen avoimuusrekisterin ja varainhoidon avoimuuden järjestelmän, jotta voidaan suorittaa avoimuusrekisteriin merkittyjen yhteisöjen </w:t>
      </w:r>
      <w:proofErr w:type="spellStart"/>
      <w:r w:rsidRPr="000B2B6B">
        <w:t>ristiintarkastuksia</w:t>
      </w:r>
      <w:proofErr w:type="spellEnd"/>
      <w:r w:rsidRPr="000B2B6B">
        <w:t xml:space="preserve"> ja varmistaa toimitettujen tietojen riittävyys; muistuttaa tässä yhteydessä, että kaikille yhteisöille on tehtävä kattava taloudellinen ennakkotarkastus ennen kuin ne merkitään avoimuusrekisteriin, ja kehottaa tähän liittyen antamaan rekisterin toimintaa varten riittävät resurssit ja varmistamaan sen sisäisten sääntöjen tehokkaan täytäntöönpanon; kehottaa lisäksi parlamentin hallintoa varmistamaan tiedotusvälineisiin liittyvän toimielinten avoimuuden ja julkistamaan tiedot kaikista tiedotusvälineistä, jotka saavat unionin rahoitusta;</w:t>
      </w:r>
    </w:p>
    <w:p w14:paraId="587F73BD" w14:textId="77777777" w:rsidR="00053BD5" w:rsidRPr="000B2B6B" w:rsidRDefault="00053BD5" w:rsidP="00053BD5">
      <w:pPr>
        <w:widowControl/>
        <w:spacing w:after="240"/>
        <w:ind w:left="567" w:hanging="567"/>
      </w:pPr>
      <w:r w:rsidRPr="000B2B6B">
        <w:t>123.</w:t>
      </w:r>
      <w:r w:rsidRPr="000B2B6B">
        <w:tab/>
        <w:t>kehottaa tilintarkastustuomioistuinta tarkastelemaan erityisesti tiedotusvälineiden rahoitusta;</w:t>
      </w:r>
    </w:p>
    <w:p w14:paraId="2C880DBA" w14:textId="77777777" w:rsidR="00053BD5" w:rsidRPr="000B2B6B" w:rsidRDefault="00053BD5" w:rsidP="00DC0FD8">
      <w:pPr>
        <w:keepNext/>
        <w:widowControl/>
        <w:spacing w:after="240"/>
        <w:rPr>
          <w:b/>
          <w:bCs/>
        </w:rPr>
      </w:pPr>
      <w:r w:rsidRPr="000B2B6B">
        <w:rPr>
          <w:b/>
        </w:rPr>
        <w:lastRenderedPageBreak/>
        <w:t>Digitalisaatio, kyberturvallisuus ja tekoäly</w:t>
      </w:r>
    </w:p>
    <w:p w14:paraId="7A8359E8" w14:textId="77777777" w:rsidR="00053BD5" w:rsidRPr="000B2B6B" w:rsidRDefault="00053BD5" w:rsidP="00053BD5">
      <w:pPr>
        <w:widowControl/>
        <w:spacing w:after="240"/>
        <w:ind w:left="567" w:hanging="567"/>
        <w:rPr>
          <w:b/>
          <w:bCs/>
        </w:rPr>
      </w:pPr>
      <w:r w:rsidRPr="000B2B6B">
        <w:t>124.</w:t>
      </w:r>
      <w:r w:rsidRPr="000B2B6B">
        <w:tab/>
        <w:t>kehottaa parlamenttia tehostamaan edelleen toimiaan ja vastaamaan konkreettisiin kriittisiin haasteisiin, kuten kyberturvallisuus ja tekoäly;</w:t>
      </w:r>
    </w:p>
    <w:p w14:paraId="1C1D021C" w14:textId="77777777" w:rsidR="00053BD5" w:rsidRPr="000B2B6B" w:rsidRDefault="00053BD5" w:rsidP="00053BD5">
      <w:pPr>
        <w:widowControl/>
        <w:spacing w:after="240"/>
        <w:ind w:left="567" w:hanging="567"/>
      </w:pPr>
      <w:r w:rsidRPr="000B2B6B">
        <w:t>125.</w:t>
      </w:r>
      <w:r w:rsidRPr="000B2B6B">
        <w:tab/>
        <w:t xml:space="preserve">palauttaa mieliin, että puhemiehistö päätti tekoälyn hallintokehyksestä maaliskuussa 2024; korostaa, että on kiireellisesti hyväksyttävä kattava tekoälystrategia ja </w:t>
      </w:r>
      <w:r w:rsidRPr="000B2B6B">
        <w:noBreakHyphen/>
        <w:t>etenemissuunnitelma, mukaan lukien ehdotus toimintasuunnitelmaksi;</w:t>
      </w:r>
    </w:p>
    <w:p w14:paraId="1FE6A425" w14:textId="77777777" w:rsidR="00053BD5" w:rsidRPr="000B2B6B" w:rsidRDefault="00053BD5" w:rsidP="00053BD5">
      <w:pPr>
        <w:pStyle w:val="NormalHanging12a"/>
        <w:widowControl/>
      </w:pPr>
      <w:r w:rsidRPr="000B2B6B">
        <w:t>126.</w:t>
      </w:r>
      <w:r w:rsidRPr="000B2B6B">
        <w:tab/>
        <w:t>panee merkille, että parlamentin sisäiseen generatiivisen tekoälyn alustaan liittyvä työ etenee; muistuttaa, että kyseinen alusta on keskeinen osatekijä tekoälyhankkeiden vaatimustenmukaisessa ja turvallisessa täytäntöönpanossa ja erityisesti jäsenten tukemisessa heidän toiminnassaan;</w:t>
      </w:r>
    </w:p>
    <w:p w14:paraId="6E33ED37" w14:textId="77777777" w:rsidR="00053BD5" w:rsidRPr="000B2B6B" w:rsidRDefault="00053BD5" w:rsidP="00053BD5">
      <w:pPr>
        <w:widowControl/>
        <w:spacing w:after="240"/>
        <w:ind w:left="567" w:hanging="567"/>
      </w:pPr>
      <w:r w:rsidRPr="000B2B6B">
        <w:t>127.</w:t>
      </w:r>
      <w:r w:rsidRPr="000B2B6B">
        <w:tab/>
        <w:t>kehottaa parlamentin hallintoa varmistamaan, että tekoälyhankkeet toteutetaan kaikilta osin hallintoon liittyvien vaatimusten mukaisesti, ja tarjoamaan mahdollisuuden käyttää sitä siten, että arkaluonteiset tiedot on turvattu ja että mahdollistetaan julkisesti saatavilla olevien tietojen käyttö;</w:t>
      </w:r>
    </w:p>
    <w:p w14:paraId="592045A6" w14:textId="77777777" w:rsidR="00053BD5" w:rsidRPr="000B2B6B" w:rsidRDefault="00053BD5" w:rsidP="00053BD5">
      <w:pPr>
        <w:pStyle w:val="NormalHanging12a"/>
        <w:widowControl/>
        <w:rPr>
          <w:bCs/>
          <w:iCs/>
        </w:rPr>
      </w:pPr>
      <w:r w:rsidRPr="000B2B6B">
        <w:t>128.</w:t>
      </w:r>
      <w:r w:rsidRPr="000B2B6B">
        <w:tab/>
        <w:t>kehottaa parlamentin hallintoa vahvistamaan parlamentin työn avoimuutta ja saavutettavuutta hyödyntämällä tekoälyratkaisuja sen mahdollistamiseksi, että kaikista valiokuntakeskusteluista ja muun muassa keskusteluista komission jäsenten, asiantuntijoiden ja sidosryhmien kanssa on järjestelmällisesti saatavilla digitaaliset transkriptiot, joista on mahdollista tehdä hakuja ja joita voi käyttää uudelleen; korostaa, että tällaiset transkriptiot olisi asetettava saataville oikea-aikaisesti; painottaa, että paremmat mahdollisuudet seurata valiokuntien keskusteluja parantaisivat demokraattista valvontaa, institutionaalista muistia ja kansalaisten ymmärrystä parlamentin lainsäädäntötyöstä;</w:t>
      </w:r>
    </w:p>
    <w:p w14:paraId="461CD615" w14:textId="77777777" w:rsidR="00053BD5" w:rsidRPr="000B2B6B" w:rsidRDefault="00053BD5" w:rsidP="00053BD5">
      <w:pPr>
        <w:pStyle w:val="NormalHanging12a"/>
        <w:widowControl/>
        <w:rPr>
          <w:bCs/>
          <w:iCs/>
        </w:rPr>
      </w:pPr>
      <w:r w:rsidRPr="000B2B6B">
        <w:t>129.</w:t>
      </w:r>
      <w:r w:rsidRPr="000B2B6B">
        <w:tab/>
        <w:t>panee merkille täysistunnon verkkosivustoon tehdyt merkittävät parannukset, joihin kuuluvat paremmat mahdollisuudet käyttää nimenhuutoäänestyksen tarkastusvälineitä, jotka ovat osaltaan parantaneet parlamentin äänestystietojen avoimuutta ja tarkkuutta; kehottaa kuitenkin parantamaan edelleen äänestämiseen liittyvien tietojen käytettävyyttä ja esitystapaa;</w:t>
      </w:r>
    </w:p>
    <w:p w14:paraId="5B4DC93B" w14:textId="77777777" w:rsidR="00053BD5" w:rsidRPr="000B2B6B" w:rsidRDefault="00053BD5" w:rsidP="00DC0FD8">
      <w:pPr>
        <w:keepNext/>
        <w:widowControl/>
        <w:spacing w:after="240"/>
        <w:rPr>
          <w:b/>
          <w:bCs/>
        </w:rPr>
      </w:pPr>
      <w:r w:rsidRPr="000B2B6B">
        <w:rPr>
          <w:b/>
        </w:rPr>
        <w:t>Vapaaehtoinen eläkejärjestelmä</w:t>
      </w:r>
    </w:p>
    <w:p w14:paraId="522DC1F6" w14:textId="77777777" w:rsidR="00053BD5" w:rsidRPr="000B2B6B" w:rsidRDefault="00053BD5" w:rsidP="00053BD5">
      <w:pPr>
        <w:pStyle w:val="NormalHanging12a"/>
        <w:widowControl/>
      </w:pPr>
      <w:r w:rsidRPr="000B2B6B">
        <w:t>130.</w:t>
      </w:r>
      <w:r w:rsidRPr="000B2B6B">
        <w:tab/>
        <w:t>panee merkille vapaaehtoisen eläkejärjestelmän rahoitusvajeen, sillä vuoden 2024 lopussa järjestelmä oli 105 miljoonaa euroa alijäämäinen ja varojen määrä järjestelmässä, 23,17 miljoonaa euroa, on riittämätön ja niiden ennakoidaan ehtyvän vuoden 2026 loppuun mennessä; panee merkille, että velvoitteet johtuvat ainakin vuoteen 2074 asti ulottuvista oikeudellisista maksusitoumuksista, jotka koskevat yli 900:aa jäsentä;</w:t>
      </w:r>
    </w:p>
    <w:p w14:paraId="4076D8ED" w14:textId="77777777" w:rsidR="00053BD5" w:rsidRPr="000B2B6B" w:rsidRDefault="00053BD5" w:rsidP="00053BD5">
      <w:pPr>
        <w:widowControl/>
        <w:spacing w:after="240"/>
        <w:ind w:left="567" w:hanging="567"/>
      </w:pPr>
      <w:r w:rsidRPr="000B2B6B">
        <w:t>131.</w:t>
      </w:r>
      <w:r w:rsidRPr="000B2B6B">
        <w:tab/>
        <w:t xml:space="preserve">panee merkille, että puhemiehistö päätti 12. kesäkuuta 2023 pitämässään kokouksessa toimenpidepaketista, jolla muutetaan vapaaehtoisen eläkejärjestelmän ehtoja tilanteen korjaamiseksi; toteaa, että näihin toimenpiteisiin kuului nimelliseläkkeen pienentäminen 50 prosentilla ei ainoastaan niiltä tulevilta edunsaajilta, jotka ovat saamassa eläkeoikeuksia, vaan myös niiltä nykyisiltä edunsaajilta, joilla on jo hankittuja eläkeoikeuksia, että eläkkeisiin sovellettava vuotuinen indeksointi jäädytetään ja että eläkeikää korotetaan 65 vuodesta 67 vuoteen niiden edunsaajien osalta, jotka eivät vielä ole saavuttaneet eläkeikää; toteaa, että vakuutusmatemaatikoiden arvioiden mukaan </w:t>
      </w:r>
      <w:r w:rsidRPr="000B2B6B">
        <w:lastRenderedPageBreak/>
        <w:t>vapaaehtoisen eläkkeen eläkesitoumus pienenisi tämän seurauksena 1. heinäkuuta 2023 alkaen, kun vakuutusmatemaattisena oletuksena on 1. heinäkuuta 2023;</w:t>
      </w:r>
    </w:p>
    <w:p w14:paraId="2A6CDEC8" w14:textId="77777777" w:rsidR="00053BD5" w:rsidRPr="000B2B6B" w:rsidRDefault="00053BD5" w:rsidP="00053BD5">
      <w:pPr>
        <w:widowControl/>
        <w:spacing w:after="240"/>
        <w:ind w:left="567" w:hanging="567"/>
      </w:pPr>
      <w:r w:rsidRPr="000B2B6B">
        <w:t>132.</w:t>
      </w:r>
      <w:r w:rsidRPr="000B2B6B">
        <w:tab/>
        <w:t>panee merkille, että puhemiehistö otti myös käyttöön ”kohtuullistamislausekkeen”, jonka nojalla edunsaajat voivat esittää kvestoreille pyynnön eläkkeen määrän korottamisesta tapauksissa, joissa vähennys on huomattava; panee merkille, että lisäksi puhemiehistö otti käyttöön mahdollisuuden vetäytyä vapaaehtoisesti ja lopullisesti vapaaehtoisesta eläkejärjestelmästä ja saada kertaluonteinen loppumaksu;</w:t>
      </w:r>
    </w:p>
    <w:p w14:paraId="2DAB5A9A" w14:textId="77777777" w:rsidR="00053BD5" w:rsidRPr="000B2B6B" w:rsidRDefault="00053BD5" w:rsidP="00053BD5">
      <w:pPr>
        <w:pStyle w:val="NormalHanging12a"/>
        <w:widowControl/>
      </w:pPr>
      <w:r w:rsidRPr="000B2B6B">
        <w:t>133.</w:t>
      </w:r>
      <w:r w:rsidRPr="000B2B6B">
        <w:tab/>
        <w:t>panee merkille, että 405 vapaaehtoisen eläkejärjestelmän edunsaajaa on riitauttanut puhemiehistön 12. kesäkuuta 2023 tekemän päätöksen</w:t>
      </w:r>
      <w:r w:rsidRPr="000B2B6B">
        <w:rPr>
          <w:rStyle w:val="FootnoteReference"/>
        </w:rPr>
        <w:footnoteReference w:id="11"/>
      </w:r>
      <w:r w:rsidRPr="000B2B6B">
        <w:t xml:space="preserve"> unionin yleisessä tuomioistuimessa; palauttaa mieliin pääsihteerin 8. joulukuuta pidetyssä kuulemisessa unionin yleisen tuomioistuimen päätöstä ja mahdollisia toimintalinjoja ennakoiden esittämät huomautukset; panee merkille, että unionin yleinen tuomioistuin päätti 17. joulukuuta 2025 hylätä entisten jäsenten kanteet; pyytää hallintoa ja puhemiehistöä käsittelemään asiaa ja toteuttamaan tarvittavat toimenpiteet unionin yleisen tuomioistuimen tuomion noudattamiseksi;</w:t>
      </w:r>
    </w:p>
    <w:p w14:paraId="21BF8569" w14:textId="77777777" w:rsidR="00053BD5" w:rsidRPr="000B2B6B" w:rsidRDefault="00053BD5" w:rsidP="00DC0FD8">
      <w:pPr>
        <w:keepNext/>
        <w:widowControl/>
        <w:spacing w:after="240"/>
        <w:rPr>
          <w:b/>
          <w:bCs/>
          <w14:textOutline w14:w="0" w14:cap="flat" w14:cmpd="sng" w14:algn="ctr">
            <w14:noFill/>
            <w14:prstDash w14:val="solid"/>
            <w14:bevel/>
          </w14:textOutline>
        </w:rPr>
      </w:pPr>
      <w:r w:rsidRPr="000B2B6B">
        <w:rPr>
          <w:b/>
          <w14:textOutline w14:w="0" w14:cap="flat" w14:cmpd="sng" w14:algn="ctr">
            <w14:noFill/>
            <w14:prstDash w14:val="solid"/>
            <w14:bevel/>
          </w14:textOutline>
        </w:rPr>
        <w:t>Vuosikertomus tehdyistä hankintasopimuksista</w:t>
      </w:r>
    </w:p>
    <w:p w14:paraId="4B6DE137" w14:textId="77777777" w:rsidR="00053BD5" w:rsidRPr="000B2B6B" w:rsidRDefault="00053BD5" w:rsidP="00053BD5">
      <w:pPr>
        <w:widowControl/>
        <w:spacing w:after="240"/>
        <w:ind w:left="567" w:hanging="567"/>
      </w:pPr>
      <w:r w:rsidRPr="000B2B6B">
        <w:t>134.</w:t>
      </w:r>
      <w:r w:rsidRPr="000B2B6B">
        <w:tab/>
        <w:t>palauttaa mieliin, että varainhoitoasetuksessa määritetään tiedot, jotka parlamentin tekemistä sopimuksista on toimitettava budjettivallan käyttäjälle ja kansalaisille; toteaa, että varainhoitoasetuksessa vaaditaan julkistamaan tehdyt sopimukset, joiden arvo on yli 15 000 euroa, ja että kyseessä on raja-arvo, jonka ylittyessä tarjouskilpailumenettely on pakollinen; panee merkille, että vuonna 2024 tehtiin yhteensä 192 hankintasopimusta ja että 95 perustui avoimeen menettelyyn ja niiden arvo oli 814,2 miljoonaa euroa ja yksi perustui rajoitettuun menettelyyn ja sen arvo oli 208 000 euroa; panee merkille, että neuvottelumenettelyissä tehtiin 81 sopimusta, joiden arvo oli 173 miljoonaa euroa;</w:t>
      </w:r>
    </w:p>
    <w:p w14:paraId="5165CD2D" w14:textId="77777777" w:rsidR="00053BD5" w:rsidRPr="000B2B6B" w:rsidRDefault="00053BD5" w:rsidP="00053BD5">
      <w:pPr>
        <w:pStyle w:val="NormalHanging12a"/>
        <w:widowControl/>
        <w:rPr>
          <w:bCs/>
          <w:iCs/>
        </w:rPr>
      </w:pPr>
      <w:r w:rsidRPr="000B2B6B">
        <w:t>135.</w:t>
      </w:r>
      <w:r w:rsidRPr="000B2B6B">
        <w:tab/>
        <w:t>pitää myönteisenä, että parlamentti julkistaa sopimukset, joiden arvo on yli 15 000 euroa; kehottaa parlamenttia parantamaan hankintamenettelyjensä avoimuutta muun muassa julkaisemalla koneellisesti luettavaa jäsenneltyä tietoa silloin kun se on oikeudellisesti ja teknisesti mahdollista sekä sisällyttämällä toimitusketjuihinsa sopimusten hallinnoinnin kautta yritysten huolellisuusvelvoitetta koskevia selkeitä odotuksia ja täytäntöönpanomekanismeja;</w:t>
      </w:r>
    </w:p>
    <w:p w14:paraId="497D1B27" w14:textId="77777777" w:rsidR="00053BD5" w:rsidRPr="000B2B6B" w:rsidRDefault="00053BD5" w:rsidP="00053BD5">
      <w:pPr>
        <w:widowControl/>
        <w:spacing w:after="240"/>
        <w:ind w:left="567" w:hanging="567"/>
      </w:pPr>
      <w:r w:rsidRPr="000B2B6B">
        <w:t>136.</w:t>
      </w:r>
      <w:r w:rsidRPr="000B2B6B">
        <w:tab/>
        <w:t>panee merkille, että tehtyjen sopimusten kokonaismäärä ja -arvo pienenivät vuonna 2024 (192) vuoteen 2023 verrattuna (242); panee merkille, että avointen menettelyjen ja neuvottelumenettelyjen määrä ja niiden arvot olivat vastaavasti pienemmät kuin vuonna 2023;</w:t>
      </w:r>
    </w:p>
    <w:p w14:paraId="5F877EE8" w14:textId="77777777" w:rsidR="00053BD5" w:rsidRPr="000B2B6B" w:rsidRDefault="00053BD5" w:rsidP="00DC0FD8">
      <w:pPr>
        <w:keepNext/>
        <w:widowControl/>
        <w:spacing w:after="240"/>
        <w:rPr>
          <w:b/>
          <w:bCs/>
          <w14:textOutline w14:w="0" w14:cap="flat" w14:cmpd="sng" w14:algn="ctr">
            <w14:noFill/>
            <w14:prstDash w14:val="solid"/>
            <w14:bevel/>
          </w14:textOutline>
        </w:rPr>
      </w:pPr>
      <w:bookmarkStart w:id="11" w:name="_Hlk216793763"/>
      <w:r w:rsidRPr="000B2B6B">
        <w:rPr>
          <w:b/>
          <w14:textOutline w14:w="0" w14:cap="flat" w14:cmpd="sng" w14:algn="ctr">
            <w14:noFill/>
            <w14:prstDash w14:val="solid"/>
            <w14:bevel/>
          </w14:textOutline>
        </w:rPr>
        <w:t>Poliittiset ryhmät (momentti 400)</w:t>
      </w:r>
    </w:p>
    <w:p w14:paraId="6C1C7F04" w14:textId="77777777" w:rsidR="00053BD5" w:rsidRPr="000B2B6B" w:rsidRDefault="00053BD5" w:rsidP="00053BD5">
      <w:pPr>
        <w:pStyle w:val="NormalHanging12a"/>
        <w:widowControl/>
      </w:pPr>
      <w:r w:rsidRPr="000B2B6B">
        <w:t>137.</w:t>
      </w:r>
      <w:r w:rsidRPr="000B2B6B">
        <w:tab/>
        <w:t>panee merkille, että vuosi 2024 oli talousarvion momentin 400 menojen esittämisen kannalta haastava kahdesta syystä eli ensinnäkin siksi, että oli EU-vaalien vuosi, jolloin menot jakautuivat vuoden 2024 ensimmäiselle puoliskolle (yhdeksäs vaalikausi) ja toiselle puoliskolle (kymmenes vaalikausi), ja siksi, että yhden poliittisen ryhmän (ID</w:t>
      </w:r>
      <w:r w:rsidRPr="000B2B6B">
        <w:noBreakHyphen/>
        <w:t xml:space="preserve">ryhmä) vuoden 2024 ensimmäiseltä puoliskolta tarkastetussa lopullisessa </w:t>
      </w:r>
      <w:r w:rsidRPr="000B2B6B">
        <w:lastRenderedPageBreak/>
        <w:t xml:space="preserve">tilinpäätöksessä havaittiin vakavia sääntöjenvastaisuuksia; panee merkille, että tämän lisäksi varapuhemiehet ilmoittivat 8. joulukuuta pidetyssä kuulemisessa, että vuoden 2024 jälkipuoliskon tilinpäätöksestä oli pyydetty lisätietoja, joita puhemiehistö odotti edelleen, joten se ei voinut vielä tehdä päätöstä tietojen toimittamisesta vastuuvapauden myöntävälle viranomaiselle; panee merkille parlamentin pääsihteerin talousarvion valvontavaliokunnan puheenjohtajalle 20. tammikuuta 2026 lähettämän kirjeen, joka sisälsi kahdeksasta poliittisesta ryhmästä seitsemän ryhmän vuoden 2024 jälkipuoliskoa koskevat tilintarkastuskertomukset; panee merkille kutakin kertomusta koskevan vakiomuotoisen lausunnon; panee merkille, että </w:t>
      </w:r>
      <w:proofErr w:type="spellStart"/>
      <w:r w:rsidRPr="000B2B6B">
        <w:t>PfE</w:t>
      </w:r>
      <w:proofErr w:type="spellEnd"/>
      <w:r w:rsidRPr="000B2B6B">
        <w:t xml:space="preserve">-ryhmän kertomus vuoden 2024 jälkipuoliskolta puuttuu edelleen, koska kyseisen poliittisen ryhmän ja parlamentin asiasta vastaavien yksiköiden välillä käydään aiheesta edelleen keskustelua; kehottaa sekä </w:t>
      </w:r>
      <w:proofErr w:type="spellStart"/>
      <w:r w:rsidRPr="000B2B6B">
        <w:t>PfE</w:t>
      </w:r>
      <w:proofErr w:type="spellEnd"/>
      <w:r w:rsidRPr="000B2B6B">
        <w:t>-ryhmää että parlamentin asiasta vastaavia yksiköitä ratkaisemaan nopeasti avoimet kysymykset ja tiedottamaan vastuuvapauden myöntävälle viranomaiselle niiden tuloksista;</w:t>
      </w:r>
    </w:p>
    <w:p w14:paraId="1C41BC82" w14:textId="77777777" w:rsidR="00053BD5" w:rsidRPr="000B2B6B" w:rsidRDefault="00053BD5" w:rsidP="00053BD5">
      <w:pPr>
        <w:pStyle w:val="NormalHanging12a"/>
        <w:widowControl/>
      </w:pPr>
      <w:r w:rsidRPr="000B2B6B">
        <w:t>138.</w:t>
      </w:r>
      <w:r w:rsidRPr="000B2B6B">
        <w:tab/>
        <w:t xml:space="preserve">panee merkille tiedotusvälineiden uutisoinnin, jonka mukaan </w:t>
      </w:r>
      <w:proofErr w:type="spellStart"/>
      <w:r w:rsidRPr="000B2B6B">
        <w:t>PfE</w:t>
      </w:r>
      <w:proofErr w:type="spellEnd"/>
      <w:r w:rsidRPr="000B2B6B">
        <w:t xml:space="preserve">-ryhmä on vuoden 2024 jälkipuoliskolla käyttänyt varoja väärin vähintään 171 644 euron arvosta; panee merkille, että parlamentin hallinto on pyytänyt asiaan selvennystä </w:t>
      </w:r>
      <w:proofErr w:type="spellStart"/>
      <w:r w:rsidRPr="000B2B6B">
        <w:t>PfE</w:t>
      </w:r>
      <w:proofErr w:type="spellEnd"/>
      <w:r w:rsidRPr="000B2B6B">
        <w:t>-ryhmältä; toteaa, että vastuuvapauden myöntävälle viranomaiselle ei vielä ole ilmoitettu asian kehittymisestä ja hallinnollisten jatkotoimien tuloksista mutta että se odottaa saavansa tästä tiedon viipymättä;</w:t>
      </w:r>
    </w:p>
    <w:p w14:paraId="20E98B0A" w14:textId="77777777" w:rsidR="00053BD5" w:rsidRPr="000B2B6B" w:rsidRDefault="00053BD5" w:rsidP="00053BD5">
      <w:pPr>
        <w:pStyle w:val="NormalHanging12a"/>
        <w:widowControl/>
        <w:rPr>
          <w:bCs/>
          <w:iCs/>
        </w:rPr>
      </w:pPr>
      <w:r w:rsidRPr="000B2B6B">
        <w:t>139.</w:t>
      </w:r>
      <w:r w:rsidRPr="000B2B6B">
        <w:tab/>
        <w:t>panee merkille saksalaisen Stern-aikakauslehden tiedot, joissa väitetään, että Suvereenien kansakuntien Eurooppa -ryhmän (ENS) jäsen isännöi ryhmäkokousta, johon osallistui henkilöstöä ja perheenjäseniä ja jonka kustannukset mahdollisesti veloitettiin parlamentin talousarvion momentista 400, ja että tämän tapahtuman aikana väitetysti kerättiin lahjoituksia oikeistoa edustavien naisten verkostolle, jolla on yhteyksiä ESN-ryhmän jäsenten lähisukulaisiin ja henkilöstöön; muistuttaa, että talousarvion momentin 400 menot on rajattava tiukasti poliittisten ryhmien parlamentaariseen toimintaan ja niiden on oltava täysin sovellettavien sääntöjen mukaisia; kehottaa varainhoidon pääosastoa tutkimaan asiaa ja ilmoittamaan vastuuvapauden myöntävälle viranomaiselle viipymättä, jos sääntöjenvastaisuuksia havaitaan;</w:t>
      </w:r>
    </w:p>
    <w:p w14:paraId="3A87C0DF" w14:textId="77777777" w:rsidR="00053BD5" w:rsidRPr="000B2B6B" w:rsidRDefault="00053BD5" w:rsidP="00053BD5">
      <w:pPr>
        <w:pStyle w:val="NormalHanging12a"/>
        <w:widowControl/>
      </w:pPr>
      <w:r w:rsidRPr="000B2B6B">
        <w:t>140.</w:t>
      </w:r>
      <w:r w:rsidRPr="000B2B6B">
        <w:tab/>
        <w:t>muistuttaa poliittisille ryhmille annetusta yksinomaisesta taloudellisesta vastuusta ja niiden sitoutumisesta julkisten varojen moitteettoman varainhoidon, tehokkaan valvonnan ja niitä koskevan täyden vastuuvelvollisuuden varmistamiseen; kehottaa ottamaan varainhoidon pääosastossa käyttöön asianmukaiset valvontamekanismit ja lisäämään tätä varten resursseja;</w:t>
      </w:r>
    </w:p>
    <w:p w14:paraId="04FEF45F" w14:textId="77777777" w:rsidR="00053BD5" w:rsidRPr="000B2B6B" w:rsidRDefault="00053BD5" w:rsidP="00DC0FD8">
      <w:pPr>
        <w:keepNext/>
        <w:widowControl/>
        <w:spacing w:after="240"/>
        <w:rPr>
          <w:b/>
          <w:bCs/>
          <w:i/>
          <w:iCs/>
          <w14:textOutline w14:w="0" w14:cap="flat" w14:cmpd="sng" w14:algn="ctr">
            <w14:noFill/>
            <w14:prstDash w14:val="solid"/>
            <w14:bevel/>
          </w14:textOutline>
        </w:rPr>
      </w:pPr>
      <w:r w:rsidRPr="000B2B6B">
        <w:rPr>
          <w:b/>
          <w:i/>
          <w14:textOutline w14:w="0" w14:cap="flat" w14:cmpd="sng" w14:algn="ctr">
            <w14:noFill/>
            <w14:prstDash w14:val="solid"/>
            <w14:bevel/>
          </w14:textOutline>
        </w:rPr>
        <w:t>Euroopan tason poliittiset puolueet ja Euroopan tason poliittiset säätiöt</w:t>
      </w:r>
    </w:p>
    <w:p w14:paraId="43F18D52" w14:textId="77777777" w:rsidR="00053BD5" w:rsidRPr="000B2B6B" w:rsidRDefault="00053BD5" w:rsidP="00053BD5">
      <w:pPr>
        <w:widowControl/>
        <w:spacing w:after="240"/>
        <w:ind w:left="567" w:hanging="567"/>
        <w:rPr>
          <w:noProof/>
        </w:rPr>
      </w:pPr>
      <w:r w:rsidRPr="000B2B6B">
        <w:t>141.</w:t>
      </w:r>
      <w:r w:rsidRPr="000B2B6B">
        <w:tab/>
        <w:t xml:space="preserve">korostaa, että demokratian loukkaamattomuuden säilyttäminen ja oikeudenmukaisen toimintaympäristön luominen Euroopan tason poliittisille puolueille ja Euroopan tason poliittisille säätiöille ovat ratkaisevan tärkeitä unionin tehokkaan toiminnan ja uskottavuuden kannalta; panee merkille, että Euroopan tason poliittisista puolueista ja Euroopan tason poliittisista säätiöistä vastaava viranomainen (jäljempänä ’vastuuviranomainen’) on unionin riippumaton elin, joka on osallistunut aktiivisesti näihin pyrkimyksiin siitä lähtien, kun se perustettiin 1. syyskuuta 2016 ja kun se saavutti täyden toimintavalmiutensa 1. tammikuuta 2017; toteaa, että unionin lainsäätäjä on antanut vastuuviranomaiselle tehtäväksi rekisteröidä Euroopan tason poliittiset </w:t>
      </w:r>
      <w:r w:rsidRPr="000B2B6B">
        <w:lastRenderedPageBreak/>
        <w:t>puolueet ja Euroopan tason poliittiset säätiöt, valvoa niiden velvoitteiden noudattamista ja tarvittaessa määrätä niille seuraamuksia;</w:t>
      </w:r>
    </w:p>
    <w:p w14:paraId="24C74E18" w14:textId="77777777" w:rsidR="00053BD5" w:rsidRPr="000B2B6B" w:rsidRDefault="00053BD5" w:rsidP="00053BD5">
      <w:pPr>
        <w:widowControl/>
        <w:spacing w:after="240"/>
        <w:ind w:left="567" w:hanging="567"/>
      </w:pPr>
      <w:r w:rsidRPr="000B2B6B">
        <w:t>142.</w:t>
      </w:r>
      <w:r w:rsidRPr="000B2B6B">
        <w:tab/>
        <w:t>panee tyytyväisenä merkille, että vastuuviranomainen on aloitteellisesti luonut yhteyksiä eurooppalaisen demokratian yhteisen puolustuksen kannalta tärkeiden elinten ja instituutioiden muodostaman verkoston kanssa ja huolehtinut verkostolle tiedottamisesta; korostaa, että menettelyjen tehokkuuden maksimoimiseksi vastuuviranomainen on erityisesti tehnyt yhteistyötä parlamentin kanssa, joka huolehtii riippumattomista merkittävistä henkilöistä koostuvan komitean sihteeristöstä; panee merkille, että yhteistyötä toimintaan liittyvissä näkökohdissa vahvistettiin myös useiden muiden unionin sidosryhmien, kuten Euroopan ulkosuhdehallinnon ja Euroopan tietosuojaneuvoston, kanssa; toteaa, että vastuuviranomainen on vahvistanut yhteistyötään Europolin kanssa allekirjoittamalla yhteisymmärryspöytäkirjan strategisesta tietojenvaihdosta, joka koskee kyberympäristöä hyväksi käyttäen tapahtuvaa laitonta sekaantumista unionin demokratiaan;</w:t>
      </w:r>
    </w:p>
    <w:p w14:paraId="0D0BB741" w14:textId="77777777" w:rsidR="00053BD5" w:rsidRPr="000B2B6B" w:rsidRDefault="00053BD5" w:rsidP="00053BD5">
      <w:pPr>
        <w:widowControl/>
        <w:spacing w:after="240"/>
        <w:ind w:left="567" w:hanging="567"/>
      </w:pPr>
      <w:r w:rsidRPr="000B2B6B">
        <w:t>143.</w:t>
      </w:r>
      <w:r w:rsidRPr="000B2B6B">
        <w:tab/>
        <w:t>panee merkille, että vastuuviranomainen antoi vuonna 2024 Euroopan tason poliittisille puolueille ja säätiöille useita vaatimusten noudattamista koskevia ennaltaehkäiseviä suosituksia velvoitteiden noudattamiseen liittyviin riskeihin puuttumiseksi ennen niiden toteutumista ja erityisesti niiden sisäisten prosessien parantamiseksi lahjoitusten ja rahoituksen sekä niillä suunnitteilla olevan toiminnan aloilla; panee tyytyväisenä merkille, että vastuuviranomainen antoi myös pyynnöstä ohjeita 11 tapauksessa;</w:t>
      </w:r>
    </w:p>
    <w:p w14:paraId="1581E580" w14:textId="77777777" w:rsidR="00053BD5" w:rsidRPr="000B2B6B" w:rsidRDefault="00053BD5" w:rsidP="00053BD5">
      <w:pPr>
        <w:widowControl/>
        <w:spacing w:after="240"/>
        <w:ind w:left="567" w:hanging="567"/>
      </w:pPr>
      <w:r w:rsidRPr="000B2B6B">
        <w:t>144.</w:t>
      </w:r>
      <w:r w:rsidRPr="000B2B6B">
        <w:tab/>
        <w:t>toteaa, että vastuuviranomainen on kahdeksassa tapauksessa antanut Euroopan tason poliittisille puolueille ja Euroopan tason poliittisille säätiöille mahdollisuuden toteuttaa korjaavia toimenpiteitä, kun on ollut kyse kiellettyjä lahjoituksia koskevista varainhoidon vaatimustenmukaisuuden valvontaan liittyvistä tarkastuksista ja muiden yhteisöjen rahoittamisesta yhteisen toiminnan yhteydessä; panee tyytyväisenä merkille, että vastuuviranomainen seuraa edelleen, varmistetaanko korjaavilla toimenpiteillä, joilla on pitkäkestoinen vaikutus, velvoitteiden jatkuva noudattaminen kyseisillä aloilla; panee merkille, että vastuuviranomainen teki vuoden 2024 aikana yhden seuraamuspäätöksen;</w:t>
      </w:r>
    </w:p>
    <w:p w14:paraId="334E0B69" w14:textId="77777777" w:rsidR="00053BD5" w:rsidRPr="000B2B6B" w:rsidRDefault="00053BD5" w:rsidP="00053BD5">
      <w:pPr>
        <w:widowControl/>
        <w:spacing w:after="240"/>
        <w:ind w:left="567" w:hanging="567"/>
      </w:pPr>
      <w:r w:rsidRPr="000B2B6B">
        <w:t>145.</w:t>
      </w:r>
      <w:r w:rsidRPr="000B2B6B">
        <w:tab/>
        <w:t>pitää myönteisenä, että vastuuviranomainen myös julkaisi edelleen verkkosivustollaan kattavia ohjeita, joissa käsitellään Euroopan tason poliittisten puolueiden ja Euroopan tason poliittisten säätiöiden hallinnossa havaittuja yleisimpiä riskien osa-alueita ja mahdollisesti ongelmallisia rakenteita; pitää myönteisenä, että se myös tiedotti havainnoistaan ja yleisesti hyödyllisistä ohjeista kaikille Euroopan tason poliittisille puolueille ja Euroopan tason poliittisille säätiöille;</w:t>
      </w:r>
    </w:p>
    <w:p w14:paraId="54187F8E" w14:textId="65B0E057" w:rsidR="00053BD5" w:rsidRPr="000B2B6B" w:rsidRDefault="00053BD5" w:rsidP="00053BD5">
      <w:pPr>
        <w:widowControl/>
        <w:spacing w:after="240"/>
        <w:ind w:left="567" w:hanging="567"/>
      </w:pPr>
      <w:r w:rsidRPr="000B2B6B">
        <w:t>146.</w:t>
      </w:r>
      <w:r w:rsidRPr="000B2B6B">
        <w:tab/>
        <w:t>pitää myönteisenä Euroopan parlamentin ja neuvoston asetuksen (EU, Euratom) 2025/2445</w:t>
      </w:r>
      <w:r w:rsidRPr="000B2B6B">
        <w:rPr>
          <w:rStyle w:val="FootnoteReference"/>
        </w:rPr>
        <w:footnoteReference w:id="12"/>
      </w:r>
      <w:r w:rsidRPr="000B2B6B">
        <w:t xml:space="preserve"> julkaisemista ja toteaa, että asetuksella otetaan käyttöön Euroopan tason poliittisia puolueita ja Euroopan tason poliittisia säätiöitä koskevia uusia vaatimuksia, joilla pyritään vahvistamaan demokratian loukkaamattomuutta ja demokratioiden selviytymiskykyä; korostaa erityisesti, että Euroopan tason poliittisten puolueiden on nyt myös varmistettava jäsenpuolueidensa osalta ja Euroopan tason poliittisten säätiöiden niiden jäsenjärjestöjen osalta, että nämä noudattavat SEU 2 artiklassa </w:t>
      </w:r>
      <w:r w:rsidRPr="000B2B6B">
        <w:lastRenderedPageBreak/>
        <w:t>vahvistettuja unionin perustana olevia arvoja; panee lisäksi merkille, että suojatoimia ulkomaista sekaantumista vastaan on vahvistettu ja että tarkistetussa seuraamusjärjestelmässä edellytetään, että määrällisesti ilmaistavissa olevista rikkomuksista, kuten lahjoitussääntöjen rikkomisesta tai rahoituksen tarjoamista kansallisille puolueille koskevan kiellon rikkomisesta, määrätään seuraamuksia antamatta mahdollisuutta toteuttaa korjaavia toimenpiteitä; panee tässä yhteydessä tyytyväisenä merkille vastuuviranomaisen sääntelyn noudattamista koskevassa toimintasuunnitelmassaan (R-CAP) antaman kattavan ennaltaehkäisevän ohjeistuksen, jolla pyritään varmistamaan sujuva ja tehokas täytäntöönpano;</w:t>
      </w:r>
      <w:r w:rsidR="00DC0FD8" w:rsidRPr="000B2B6B">
        <w:t xml:space="preserve"> </w:t>
      </w:r>
      <w:r w:rsidRPr="000B2B6B">
        <w:t>kehottaa tekemään päätöksen tukikelpoisuustarkastusten ottamisesta käyttöön myös jäsenjärjestöissä sen varmistamiseksi, että myös ne noudattavat kaikilta osin SEU 2 artiklassa vahvistettuja arvoja ja että parlamentin Euroopan tason poliittisille puolueille myöntämällä rahoituksella ylläpidetään demokratian loukkaamattomuutta;</w:t>
      </w:r>
    </w:p>
    <w:p w14:paraId="4AE23E35" w14:textId="77777777" w:rsidR="00053BD5" w:rsidRPr="000B2B6B" w:rsidRDefault="00053BD5" w:rsidP="00053BD5">
      <w:pPr>
        <w:widowControl/>
        <w:spacing w:after="240"/>
        <w:ind w:left="567" w:hanging="567"/>
      </w:pPr>
      <w:r w:rsidRPr="000B2B6B">
        <w:t>147.</w:t>
      </w:r>
      <w:r w:rsidRPr="000B2B6B">
        <w:tab/>
        <w:t>toteaa, että vastuuviranomainen voi käynnistää unionin perustana olevien arvojen noudattamisen tarkistamisen ainoastaan parlamentin, neuvoston tai komission pyynnöstä;</w:t>
      </w:r>
    </w:p>
    <w:p w14:paraId="64794600" w14:textId="77777777" w:rsidR="00053BD5" w:rsidRPr="000B2B6B" w:rsidRDefault="00053BD5" w:rsidP="00053BD5">
      <w:pPr>
        <w:widowControl/>
        <w:spacing w:after="240"/>
        <w:ind w:left="567" w:hanging="567"/>
        <w:rPr>
          <w:u w:val="single"/>
        </w:rPr>
      </w:pPr>
      <w:r w:rsidRPr="000B2B6B">
        <w:t>148.</w:t>
      </w:r>
      <w:r w:rsidRPr="000B2B6B">
        <w:tab/>
        <w:t>korostaa, että kun otetaan huomioon arvoja koskevan tarkastusmenettelyn laajennettu soveltamisala ja se, että menettelyä sovelletaan nyt myös jäsenpuolueisiin ja jäsenjärjestöihin, ja muut asetuksessa (EU, Euratom) 2025/2445 vahvistetut uudet säännökset, mukaan lukien tervetulleet päivitykset eurooppalaisen demokratian suojelemiseksi ulkomaiselta sekaantumiselta, on olennaisen tärkeää, että vastuuviranomaisen henkilöresursseja lisätään asianmukaisesti;</w:t>
      </w:r>
    </w:p>
    <w:bookmarkEnd w:id="11"/>
    <w:p w14:paraId="1B7F6A89" w14:textId="77777777" w:rsidR="00053BD5" w:rsidRPr="000B2B6B" w:rsidRDefault="00053BD5" w:rsidP="00053BD5">
      <w:pPr>
        <w:widowControl/>
        <w:spacing w:after="240"/>
        <w:ind w:left="567" w:hanging="567"/>
      </w:pPr>
      <w:r w:rsidRPr="000B2B6B">
        <w:rPr>
          <w14:textOutline w14:w="0" w14:cap="flat" w14:cmpd="sng" w14:algn="ctr">
            <w14:noFill/>
            <w14:prstDash w14:val="solid"/>
            <w14:bevel/>
          </w14:textOutline>
        </w:rPr>
        <w:t>149</w:t>
      </w:r>
      <w:r w:rsidRPr="000B2B6B">
        <w:t>.</w:t>
      </w:r>
      <w:r w:rsidRPr="000B2B6B">
        <w:rPr>
          <w14:textOutline w14:w="0" w14:cap="flat" w14:cmpd="sng" w14:algn="ctr">
            <w14:noFill/>
            <w14:prstDash w14:val="solid"/>
            <w14:bevel/>
          </w14:textOutline>
        </w:rPr>
        <w:tab/>
      </w:r>
      <w:r w:rsidRPr="000B2B6B">
        <w:t>toteaa, että vuonna 2024 momentin 402 määrärahat käytettiin seuraavasti</w:t>
      </w:r>
      <w:r w:rsidRPr="000B2B6B">
        <w:rPr>
          <w:rStyle w:val="FootnoteReference"/>
        </w:rPr>
        <w:footnoteReference w:id="13"/>
      </w:r>
      <w:r w:rsidRPr="000B2B6B">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053BD5" w:rsidRPr="000B2B6B" w14:paraId="31921D20" w14:textId="77777777" w:rsidTr="00FA1C7A">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226B8E7"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sz w:val="20"/>
                <w14:textOutline w14:w="0" w14:cap="flat" w14:cmpd="sng" w14:algn="ctr">
                  <w14:noFill/>
                  <w14:prstDash w14:val="solid"/>
                  <w14:bevel/>
                </w14:textOutline>
              </w:rPr>
              <w:t>Puolue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2903310"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sz w:val="20"/>
                <w14:textOutline w14:w="0" w14:cap="flat" w14:cmpd="sng" w14:algn="ctr">
                  <w14:noFill/>
                  <w14:prstDash w14:val="solid"/>
                  <w14:bevel/>
                </w14:textOutline>
              </w:rPr>
              <w:t>Lyhenne</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103A8B0"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sz w:val="20"/>
                <w14:textOutline w14:w="0" w14:cap="flat" w14:cmpd="sng" w14:algn="ctr">
                  <w14:noFill/>
                  <w14:prstDash w14:val="solid"/>
                  <w14:bevel/>
                </w14:textOutline>
              </w:rPr>
              <w:t>Omat varat</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46B1112"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sz w:val="20"/>
                <w14:textOutline w14:w="0" w14:cap="flat" w14:cmpd="sng" w14:algn="ctr">
                  <w14:noFill/>
                  <w14:prstDash w14:val="solid"/>
                  <w14:bevel/>
                </w14:textOutline>
              </w:rPr>
              <w:t>EP:n lopullinen maksuosuus</w:t>
            </w:r>
            <w:r w:rsidRPr="000B2B6B">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A7AD507"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sz w:val="20"/>
                <w14:textOutline w14:w="0" w14:cap="flat" w14:cmpd="sng" w14:algn="ctr">
                  <w14:noFill/>
                  <w14:prstDash w14:val="solid"/>
                  <w14:bevel/>
                </w14:textOutline>
              </w:rPr>
              <w:t>Tulot yhteensä</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54B4030"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sz w:val="20"/>
                <w14:textOutline w14:w="0" w14:cap="flat" w14:cmpd="sng" w14:algn="ctr">
                  <w14:noFill/>
                  <w14:prstDash w14:val="solid"/>
                  <w14:bevel/>
                </w14:textOutline>
              </w:rPr>
              <w:t xml:space="preserve">EP:n </w:t>
            </w:r>
            <w:proofErr w:type="gramStart"/>
            <w:r w:rsidRPr="000B2B6B">
              <w:rPr>
                <w:sz w:val="20"/>
                <w14:textOutline w14:w="0" w14:cap="flat" w14:cmpd="sng" w14:algn="ctr">
                  <w14:noFill/>
                  <w14:prstDash w14:val="solid"/>
                  <w14:bevel/>
                </w14:textOutline>
              </w:rPr>
              <w:t>maksu-osuuden</w:t>
            </w:r>
            <w:proofErr w:type="gramEnd"/>
            <w:r w:rsidRPr="000B2B6B">
              <w:rPr>
                <w:sz w:val="20"/>
                <w14:textOutline w14:w="0" w14:cap="flat" w14:cmpd="sng" w14:algn="ctr">
                  <w14:noFill/>
                  <w14:prstDash w14:val="solid"/>
                  <w14:bevel/>
                </w14:textOutline>
              </w:rPr>
              <w:t xml:space="preserve"> osuus tuki-kelpoisista menoista (enintään 90 %)</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72EA58B0"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Erityis-varaus vuoden 2024</w:t>
            </w:r>
          </w:p>
          <w:p w14:paraId="23593D51" w14:textId="77777777" w:rsidR="00053BD5" w:rsidRPr="000B2B6B" w:rsidRDefault="00053BD5" w:rsidP="00FA1C7A">
            <w:pPr>
              <w:widowControl/>
              <w:jc w:val="center"/>
              <w:rPr>
                <w:szCs w:val="24"/>
                <w14:textOutline w14:w="0" w14:cap="flat" w14:cmpd="sng" w14:algn="ctr">
                  <w14:noFill/>
                  <w14:prstDash w14:val="solid"/>
                  <w14:bevel/>
                </w14:textOutline>
              </w:rPr>
            </w:pPr>
            <w:proofErr w:type="gramStart"/>
            <w:r w:rsidRPr="000B2B6B">
              <w:rPr>
                <w:sz w:val="20"/>
                <w14:textOutline w14:w="0" w14:cap="flat" w14:cmpd="sng" w14:algn="ctr">
                  <w14:noFill/>
                  <w14:prstDash w14:val="solid"/>
                  <w14:bevel/>
                </w14:textOutline>
              </w:rPr>
              <w:t>tilin-päätöksen</w:t>
            </w:r>
            <w:proofErr w:type="gramEnd"/>
            <w:r w:rsidRPr="000B2B6B">
              <w:rPr>
                <w:sz w:val="20"/>
                <w14:textOutline w14:w="0" w14:cap="flat" w14:cmpd="sng" w14:algn="ctr">
                  <w14:noFill/>
                  <w14:prstDash w14:val="solid"/>
                  <w14:bevel/>
                </w14:textOutline>
              </w:rPr>
              <w:t xml:space="preserve"> jälkeen</w:t>
            </w:r>
            <w:r w:rsidRPr="000B2B6B">
              <w:rPr>
                <w:rStyle w:val="FootnoteReference"/>
                <w:sz w:val="20"/>
              </w:rPr>
              <w:footnoteReference w:id="15"/>
            </w:r>
          </w:p>
        </w:tc>
      </w:tr>
      <w:tr w:rsidR="00053BD5" w:rsidRPr="000B2B6B" w14:paraId="65DE6097" w14:textId="77777777" w:rsidTr="00FA1C7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D742027"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Euroopan kansanpuolue</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B02559A"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9AE231"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E44559"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B452F1D"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82D45D4"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BDC84C5"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261 623</w:t>
            </w:r>
          </w:p>
        </w:tc>
      </w:tr>
      <w:tr w:rsidR="00053BD5" w:rsidRPr="000B2B6B" w14:paraId="6C42F53F" w14:textId="77777777" w:rsidTr="00FA1C7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1F2C77B2"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 xml:space="preserve">Euroopan </w:t>
            </w:r>
            <w:proofErr w:type="gramStart"/>
            <w:r w:rsidRPr="000B2B6B">
              <w:rPr>
                <w:sz w:val="20"/>
                <w14:textOutline w14:w="0" w14:cap="flat" w14:cmpd="sng" w14:algn="ctr">
                  <w14:noFill/>
                  <w14:prstDash w14:val="solid"/>
                  <w14:bevel/>
                </w14:textOutline>
              </w:rPr>
              <w:t>sosiaali-demokraattinen</w:t>
            </w:r>
            <w:proofErr w:type="gramEnd"/>
            <w:r w:rsidRPr="000B2B6B">
              <w:rPr>
                <w:sz w:val="20"/>
                <w14:textOutline w14:w="0" w14:cap="flat" w14:cmpd="sng" w14:algn="ctr">
                  <w14:noFill/>
                  <w14:prstDash w14:val="solid"/>
                  <w14:bevel/>
                </w14:textOutline>
              </w:rPr>
              <w:t xml:space="preserve"> puolue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7F89E4A"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DD4051"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DF94F8C"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6D8BD2"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99C897"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7B0FF67"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987 745</w:t>
            </w:r>
          </w:p>
        </w:tc>
      </w:tr>
      <w:tr w:rsidR="00053BD5" w:rsidRPr="000B2B6B" w14:paraId="0B61F0B9" w14:textId="77777777" w:rsidTr="00FA1C7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FC76221"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 xml:space="preserve">Euroopan </w:t>
            </w:r>
            <w:proofErr w:type="gramStart"/>
            <w:r w:rsidRPr="000B2B6B">
              <w:rPr>
                <w:sz w:val="20"/>
                <w14:textOutline w14:w="0" w14:cap="flat" w14:cmpd="sng" w14:algn="ctr">
                  <w14:noFill/>
                  <w14:prstDash w14:val="solid"/>
                  <w14:bevel/>
                </w14:textOutline>
              </w:rPr>
              <w:t>liberaali-demokraattinen</w:t>
            </w:r>
            <w:proofErr w:type="gramEnd"/>
            <w:r w:rsidRPr="000B2B6B">
              <w:rPr>
                <w:sz w:val="20"/>
                <w14:textOutline w14:w="0" w14:cap="flat" w14:cmpd="sng" w14:algn="ctr">
                  <w14:noFill/>
                  <w14:prstDash w14:val="solid"/>
                  <w14:bevel/>
                </w14:textOutline>
              </w:rPr>
              <w:t xml:space="preserve"> puolue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F0C69B8"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A40C0F7"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3786CB"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A3AE308"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244FC0"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C1421CF"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414 768</w:t>
            </w:r>
          </w:p>
        </w:tc>
      </w:tr>
      <w:tr w:rsidR="00053BD5" w:rsidRPr="000B2B6B" w14:paraId="21E336C9" w14:textId="77777777" w:rsidTr="00FA1C7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75C999C"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Euroopan vihreät</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7DDC8C"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Vihreät</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82CFC2"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692AB4"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B982470"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BACFDA"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7C4BF15"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993 646</w:t>
            </w:r>
          </w:p>
        </w:tc>
      </w:tr>
      <w:tr w:rsidR="00053BD5" w:rsidRPr="000B2B6B" w14:paraId="67EA7520" w14:textId="77777777" w:rsidTr="00FA1C7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4B992AA"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lastRenderedPageBreak/>
              <w:t>Euroopan konservatiivien ja reformistien puolue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3C4ED5"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A941BB"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A4B829D"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DEBF84"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565F5CF"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393CB48"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−273 939</w:t>
            </w:r>
          </w:p>
        </w:tc>
      </w:tr>
      <w:tr w:rsidR="00053BD5" w:rsidRPr="000B2B6B" w14:paraId="5F7269DE" w14:textId="77777777" w:rsidTr="00FA1C7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89C4303"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Identiteetti ja demokratia -puolue</w:t>
            </w:r>
            <w:r w:rsidRPr="000B2B6B">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C3A3A2"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ID-puolue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56933A7"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EF512D"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0A1E70"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E3E8887"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00874B8"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22 063</w:t>
            </w:r>
          </w:p>
        </w:tc>
      </w:tr>
      <w:tr w:rsidR="00053BD5" w:rsidRPr="000B2B6B" w14:paraId="435FA548" w14:textId="77777777" w:rsidTr="00FA1C7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3545E3D"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Euroopan vasemmistopuolue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6B0238D"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50A672"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0E5587"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F40E75"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CDB866E"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CC10166"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−42 833</w:t>
            </w:r>
          </w:p>
        </w:tc>
      </w:tr>
      <w:tr w:rsidR="00053BD5" w:rsidRPr="000B2B6B" w14:paraId="25D3B269" w14:textId="77777777" w:rsidTr="00FA1C7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754A57B"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Euroopan demokraattipuolue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5D2FDC"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301CC09"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FD4930"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EDA110"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48A87F"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E74E721"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154 132</w:t>
            </w:r>
          </w:p>
        </w:tc>
      </w:tr>
      <w:tr w:rsidR="00053BD5" w:rsidRPr="000B2B6B" w14:paraId="7F5F810C" w14:textId="77777777" w:rsidTr="00FA1C7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5701C51"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Euroopan vapaa allianssi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8FB35C6"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EFA</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84AF1C7"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2A3B14"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295BA9"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AE43BA"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E690E89"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−7 391</w:t>
            </w:r>
          </w:p>
        </w:tc>
      </w:tr>
      <w:tr w:rsidR="00053BD5" w:rsidRPr="000B2B6B" w14:paraId="10420844" w14:textId="77777777" w:rsidTr="00FA1C7A">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0DE69D0D"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Euroopan kristillinen poliittinen liike</w:t>
            </w:r>
            <w:r w:rsidRPr="000B2B6B">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323C094"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D9FEB31"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B0EB98D"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F12EB6"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599E9D0"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CABA767"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rPr>
                <w:sz w:val="20"/>
              </w:rPr>
              <w:t>−59 624</w:t>
            </w:r>
          </w:p>
        </w:tc>
      </w:tr>
      <w:tr w:rsidR="00053BD5" w:rsidRPr="000B2B6B" w14:paraId="359217CD" w14:textId="77777777" w:rsidTr="00FA1C7A">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043D745"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b/>
                <w:sz w:val="20"/>
                <w14:textOutline w14:w="0" w14:cap="flat" w14:cmpd="sng" w14:algn="ctr">
                  <w14:noFill/>
                  <w14:prstDash w14:val="solid"/>
                  <w14:bevel/>
                </w14:textOutline>
              </w:rPr>
              <w:t>YHTEENSÄ</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5A63F3E" w14:textId="77777777" w:rsidR="00053BD5" w:rsidRPr="000B2B6B" w:rsidRDefault="00053BD5" w:rsidP="00FA1C7A">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65D50ACF" w14:textId="77777777" w:rsidR="00053BD5" w:rsidRPr="000B2B6B" w:rsidRDefault="00053BD5" w:rsidP="00FA1C7A">
            <w:pPr>
              <w:widowControl/>
              <w:jc w:val="center"/>
              <w:rPr>
                <w:b/>
                <w:bCs/>
                <w:sz w:val="22"/>
                <w:szCs w:val="22"/>
              </w:rPr>
            </w:pPr>
            <w:r w:rsidRPr="000B2B6B">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390C8682" w14:textId="77777777" w:rsidR="00053BD5" w:rsidRPr="000B2B6B" w:rsidRDefault="00053BD5" w:rsidP="00FA1C7A">
            <w:pPr>
              <w:widowControl/>
              <w:jc w:val="center"/>
              <w:rPr>
                <w:b/>
                <w:bCs/>
                <w:sz w:val="22"/>
                <w:szCs w:val="22"/>
              </w:rPr>
            </w:pPr>
            <w:r w:rsidRPr="000B2B6B">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309104DD" w14:textId="77777777" w:rsidR="00053BD5" w:rsidRPr="000B2B6B" w:rsidRDefault="00053BD5" w:rsidP="00FA1C7A">
            <w:pPr>
              <w:widowControl/>
              <w:jc w:val="center"/>
              <w:rPr>
                <w:b/>
                <w:bCs/>
                <w:sz w:val="22"/>
                <w:szCs w:val="22"/>
              </w:rPr>
            </w:pPr>
            <w:r w:rsidRPr="000B2B6B">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467471BE" w14:textId="77777777" w:rsidR="00053BD5" w:rsidRPr="000B2B6B" w:rsidRDefault="00053BD5" w:rsidP="00FA1C7A">
            <w:pPr>
              <w:widowControl/>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7C3C6F98" w14:textId="77777777" w:rsidR="00053BD5" w:rsidRPr="000B2B6B" w:rsidRDefault="00053BD5" w:rsidP="00FA1C7A">
            <w:pPr>
              <w:widowControl/>
              <w:jc w:val="center"/>
              <w:rPr>
                <w:b/>
              </w:rPr>
            </w:pPr>
            <w:r w:rsidRPr="000B2B6B">
              <w:rPr>
                <w:b/>
                <w:sz w:val="20"/>
              </w:rPr>
              <w:t>2 450 191</w:t>
            </w:r>
          </w:p>
        </w:tc>
      </w:tr>
    </w:tbl>
    <w:p w14:paraId="40A7D76F" w14:textId="77777777" w:rsidR="00053BD5" w:rsidRPr="000B2B6B" w:rsidRDefault="00053BD5" w:rsidP="00053BD5">
      <w:pPr>
        <w:widowControl/>
        <w:rPr>
          <w:noProof/>
        </w:rPr>
      </w:pPr>
    </w:p>
    <w:p w14:paraId="02008D80" w14:textId="77777777" w:rsidR="00053BD5" w:rsidRPr="000B2B6B" w:rsidRDefault="00053BD5" w:rsidP="00053BD5">
      <w:pPr>
        <w:widowControl/>
        <w:spacing w:after="240"/>
        <w:ind w:left="567" w:hanging="567"/>
        <w:rPr>
          <w:szCs w:val="24"/>
          <w14:textOutline w14:w="0" w14:cap="flat" w14:cmpd="sng" w14:algn="ctr">
            <w14:noFill/>
            <w14:prstDash w14:val="solid"/>
            <w14:bevel/>
          </w14:textOutline>
        </w:rPr>
      </w:pPr>
      <w:r w:rsidRPr="000B2B6B">
        <w:rPr>
          <w14:textOutline w14:w="0" w14:cap="flat" w14:cmpd="sng" w14:algn="ctr">
            <w14:noFill/>
            <w14:prstDash w14:val="solid"/>
            <w14:bevel/>
          </w14:textOutline>
        </w:rPr>
        <w:t>150</w:t>
      </w:r>
      <w:r w:rsidRPr="000B2B6B">
        <w:t>.</w:t>
      </w:r>
      <w:r w:rsidRPr="000B2B6B">
        <w:rPr>
          <w14:textOutline w14:w="0" w14:cap="flat" w14:cmpd="sng" w14:algn="ctr">
            <w14:noFill/>
            <w14:prstDash w14:val="solid"/>
            <w14:bevel/>
          </w14:textOutline>
        </w:rPr>
        <w:tab/>
      </w:r>
      <w:r w:rsidRPr="000B2B6B">
        <w:t>toteaa, että vuonna 2024 momentin 403 määrärahat käytettiin seuraavasti</w:t>
      </w:r>
      <w:r w:rsidRPr="000B2B6B">
        <w:rPr>
          <w:rStyle w:val="FootnoteReference"/>
        </w:rPr>
        <w:footnoteReference w:id="18"/>
      </w:r>
      <w:r w:rsidRPr="000B2B6B">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442"/>
        <w:gridCol w:w="1115"/>
        <w:gridCol w:w="869"/>
        <w:gridCol w:w="992"/>
        <w:gridCol w:w="1134"/>
        <w:gridCol w:w="1134"/>
        <w:gridCol w:w="1402"/>
        <w:gridCol w:w="961"/>
      </w:tblGrid>
      <w:tr w:rsidR="00053BD5" w:rsidRPr="000B2B6B" w14:paraId="42977A46" w14:textId="77777777" w:rsidTr="00FA1C7A">
        <w:trPr>
          <w:trHeight w:val="1327"/>
        </w:trPr>
        <w:tc>
          <w:tcPr>
            <w:tcW w:w="1442"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A41289C"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sz w:val="20"/>
                <w14:textOutline w14:w="0" w14:cap="flat" w14:cmpd="sng" w14:algn="ctr">
                  <w14:noFill/>
                  <w14:prstDash w14:val="solid"/>
                  <w14:bevel/>
                </w14:textOutline>
              </w:rPr>
              <w:t>Säätiö (2024)</w:t>
            </w:r>
          </w:p>
        </w:tc>
        <w:tc>
          <w:tcPr>
            <w:tcW w:w="1115"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0BFE2F5"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sz w:val="20"/>
                <w14:textOutline w14:w="0" w14:cap="flat" w14:cmpd="sng" w14:algn="ctr">
                  <w14:noFill/>
                  <w14:prstDash w14:val="solid"/>
                  <w14:bevel/>
                </w14:textOutline>
              </w:rPr>
              <w:t>Lyhenne</w:t>
            </w:r>
          </w:p>
        </w:tc>
        <w:tc>
          <w:tcPr>
            <w:tcW w:w="86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C72AC44"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sz w:val="20"/>
                <w14:textOutline w14:w="0" w14:cap="flat" w14:cmpd="sng" w14:algn="ctr">
                  <w14:noFill/>
                  <w14:prstDash w14:val="solid"/>
                  <w14:bevel/>
                </w14:textOutline>
              </w:rPr>
              <w:t xml:space="preserve">Liittyy </w:t>
            </w:r>
            <w:proofErr w:type="spellStart"/>
            <w:r w:rsidRPr="000B2B6B">
              <w:rPr>
                <w:sz w:val="20"/>
                <w14:textOutline w14:w="0" w14:cap="flat" w14:cmpd="sng" w14:algn="ctr">
                  <w14:noFill/>
                  <w14:prstDash w14:val="solid"/>
                  <w14:bevel/>
                </w14:textOutline>
              </w:rPr>
              <w:t>puoluee-seen</w:t>
            </w:r>
            <w:proofErr w:type="spellEnd"/>
          </w:p>
        </w:tc>
        <w:tc>
          <w:tcPr>
            <w:tcW w:w="992"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6478FB0"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sz w:val="20"/>
                <w14:textOutline w14:w="0" w14:cap="flat" w14:cmpd="sng" w14:algn="ctr">
                  <w14:noFill/>
                  <w14:prstDash w14:val="solid"/>
                  <w14:bevel/>
                </w14:textOutline>
              </w:rPr>
              <w:t>Omat varat</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2600464"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sz w:val="20"/>
                <w14:textOutline w14:w="0" w14:cap="flat" w14:cmpd="sng" w14:algn="ctr">
                  <w14:noFill/>
                  <w14:prstDash w14:val="solid"/>
                  <w14:bevel/>
                </w14:textOutline>
              </w:rPr>
              <w:t>EP:n lopullinen avustus</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89545AC"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sz w:val="20"/>
                <w14:textOutline w14:w="0" w14:cap="flat" w14:cmpd="sng" w14:algn="ctr">
                  <w14:noFill/>
                  <w14:prstDash w14:val="solid"/>
                  <w14:bevel/>
                </w14:textOutline>
              </w:rPr>
              <w:t>Tulot yhteensä</w:t>
            </w:r>
          </w:p>
        </w:tc>
        <w:tc>
          <w:tcPr>
            <w:tcW w:w="1402"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19EAD0E"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sz w:val="20"/>
                <w14:textOutline w14:w="0" w14:cap="flat" w14:cmpd="sng" w14:algn="ctr">
                  <w14:noFill/>
                  <w14:prstDash w14:val="solid"/>
                  <w14:bevel/>
                </w14:textOutline>
              </w:rPr>
              <w:t>EP:n avustuksen osuus tukikelpoisista kustannuksista (enintään 95 %)</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5F61B632" w14:textId="77777777" w:rsidR="00053BD5" w:rsidRPr="000B2B6B" w:rsidRDefault="00053BD5" w:rsidP="00FA1C7A">
            <w:pPr>
              <w:widowControl/>
              <w:jc w:val="center"/>
              <w:rPr>
                <w:szCs w:val="24"/>
                <w14:textOutline w14:w="0" w14:cap="flat" w14:cmpd="sng" w14:algn="ctr">
                  <w14:noFill/>
                  <w14:prstDash w14:val="solid"/>
                  <w14:bevel/>
                </w14:textOutline>
              </w:rPr>
            </w:pPr>
            <w:r w:rsidRPr="000B2B6B">
              <w:rPr>
                <w:sz w:val="20"/>
                <w14:textOutline w14:w="0" w14:cap="flat" w14:cmpd="sng" w14:algn="ctr">
                  <w14:noFill/>
                  <w14:prstDash w14:val="solid"/>
                  <w14:bevel/>
                </w14:textOutline>
              </w:rPr>
              <w:t xml:space="preserve">Erityis-varaus vuoden 2024 </w:t>
            </w:r>
            <w:proofErr w:type="gramStart"/>
            <w:r w:rsidRPr="000B2B6B">
              <w:rPr>
                <w:sz w:val="20"/>
                <w14:textOutline w14:w="0" w14:cap="flat" w14:cmpd="sng" w14:algn="ctr">
                  <w14:noFill/>
                  <w14:prstDash w14:val="solid"/>
                  <w14:bevel/>
                </w14:textOutline>
              </w:rPr>
              <w:t>tilin-päätöksen</w:t>
            </w:r>
            <w:proofErr w:type="gramEnd"/>
            <w:r w:rsidRPr="000B2B6B">
              <w:rPr>
                <w:sz w:val="20"/>
                <w14:textOutline w14:w="0" w14:cap="flat" w14:cmpd="sng" w14:algn="ctr">
                  <w14:noFill/>
                  <w14:prstDash w14:val="solid"/>
                  <w14:bevel/>
                </w14:textOutline>
              </w:rPr>
              <w:t xml:space="preserve"> jälkeen</w:t>
            </w:r>
            <w:r w:rsidRPr="000B2B6B">
              <w:rPr>
                <w:rStyle w:val="FootnoteReference"/>
                <w:sz w:val="20"/>
              </w:rPr>
              <w:footnoteReference w:id="19"/>
            </w:r>
          </w:p>
        </w:tc>
      </w:tr>
      <w:tr w:rsidR="00053BD5" w:rsidRPr="000B2B6B" w14:paraId="5C634096" w14:textId="77777777" w:rsidTr="00FA1C7A">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83AAEAA"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t xml:space="preserve">Eurooppa-tutkimuksen </w:t>
            </w:r>
            <w:proofErr w:type="spellStart"/>
            <w:r w:rsidRPr="000B2B6B">
              <w:t>Wilfried</w:t>
            </w:r>
            <w:proofErr w:type="spellEnd"/>
            <w:r w:rsidRPr="000B2B6B">
              <w:t xml:space="preserve"> Martens -keskus</w:t>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4B846E" w14:textId="77777777" w:rsidR="00053BD5" w:rsidRPr="000B2B6B" w:rsidRDefault="00053BD5" w:rsidP="00FA1C7A">
            <w:pPr>
              <w:widowControl/>
              <w:jc w:val="center"/>
              <w:rPr>
                <w:sz w:val="20"/>
              </w:rPr>
            </w:pPr>
            <w:r w:rsidRPr="000B2B6B">
              <w:rPr>
                <w:sz w:val="20"/>
              </w:rPr>
              <w:t>WMCES</w:t>
            </w:r>
          </w:p>
        </w:tc>
        <w:tc>
          <w:tcPr>
            <w:tcW w:w="86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242D2E" w14:textId="77777777" w:rsidR="00053BD5" w:rsidRPr="000B2B6B" w:rsidRDefault="00053BD5" w:rsidP="00FA1C7A">
            <w:pPr>
              <w:widowControl/>
              <w:jc w:val="center"/>
              <w:rPr>
                <w:sz w:val="20"/>
              </w:rPr>
            </w:pPr>
            <w:r w:rsidRPr="000B2B6B">
              <w:rPr>
                <w:sz w:val="20"/>
              </w:rPr>
              <w:t>PPE</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E6008C" w14:textId="77777777" w:rsidR="00053BD5" w:rsidRPr="000B2B6B" w:rsidRDefault="00053BD5" w:rsidP="00FA1C7A">
            <w:pPr>
              <w:widowControl/>
              <w:jc w:val="center"/>
              <w:rPr>
                <w:sz w:val="20"/>
              </w:rPr>
            </w:pPr>
            <w:r w:rsidRPr="000B2B6B">
              <w:rPr>
                <w:sz w:val="20"/>
              </w:rPr>
              <w:t>808 035</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2AFD599" w14:textId="77777777" w:rsidR="00053BD5" w:rsidRPr="000B2B6B" w:rsidRDefault="00053BD5" w:rsidP="00FA1C7A">
            <w:pPr>
              <w:widowControl/>
              <w:jc w:val="center"/>
              <w:rPr>
                <w:sz w:val="20"/>
              </w:rPr>
            </w:pPr>
            <w:r w:rsidRPr="000B2B6B">
              <w:rPr>
                <w:sz w:val="20"/>
              </w:rPr>
              <w:t>6 378 510</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EA23E27" w14:textId="77777777" w:rsidR="00053BD5" w:rsidRPr="000B2B6B" w:rsidRDefault="00053BD5" w:rsidP="00FA1C7A">
            <w:pPr>
              <w:widowControl/>
              <w:jc w:val="center"/>
              <w:rPr>
                <w:sz w:val="20"/>
              </w:rPr>
            </w:pPr>
            <w:r w:rsidRPr="000B2B6B">
              <w:rPr>
                <w:sz w:val="20"/>
              </w:rPr>
              <w:t>7 186 545</w:t>
            </w:r>
          </w:p>
        </w:tc>
        <w:tc>
          <w:tcPr>
            <w:tcW w:w="1402"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1372366" w14:textId="77777777" w:rsidR="00053BD5" w:rsidRPr="000B2B6B" w:rsidRDefault="00053BD5" w:rsidP="00FA1C7A">
            <w:pPr>
              <w:widowControl/>
              <w:jc w:val="center"/>
              <w:rPr>
                <w:sz w:val="20"/>
              </w:rPr>
            </w:pPr>
            <w:r w:rsidRPr="000B2B6B">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B55F9F6" w14:textId="77777777" w:rsidR="00053BD5" w:rsidRPr="000B2B6B" w:rsidRDefault="00053BD5" w:rsidP="00FA1C7A">
            <w:pPr>
              <w:widowControl/>
              <w:jc w:val="center"/>
              <w:rPr>
                <w:sz w:val="20"/>
              </w:rPr>
            </w:pPr>
            <w:r w:rsidRPr="000B2B6B">
              <w:rPr>
                <w:sz w:val="20"/>
              </w:rPr>
              <w:t>1 320 717</w:t>
            </w:r>
          </w:p>
        </w:tc>
      </w:tr>
      <w:tr w:rsidR="00053BD5" w:rsidRPr="000B2B6B" w14:paraId="39B789AA" w14:textId="77777777" w:rsidTr="00FA1C7A">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6B19BD2" w14:textId="77777777" w:rsidR="00053BD5" w:rsidRPr="000B2B6B" w:rsidRDefault="00053BD5" w:rsidP="00FA1C7A">
            <w:pPr>
              <w:widowControl/>
              <w:jc w:val="center"/>
              <w:rPr>
                <w:sz w:val="20"/>
                <w:lang w:val="en-GB"/>
                <w14:textOutline w14:w="0" w14:cap="flat" w14:cmpd="sng" w14:algn="ctr">
                  <w14:noFill/>
                  <w14:prstDash w14:val="solid"/>
                  <w14:bevel/>
                </w14:textOutline>
              </w:rPr>
            </w:pPr>
            <w:r w:rsidRPr="000B2B6B">
              <w:rPr>
                <w:lang w:val="en-GB"/>
              </w:rPr>
              <w:t>Foundation for European Progressive Studies</w:t>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B3C59E" w14:textId="77777777" w:rsidR="00053BD5" w:rsidRPr="000B2B6B" w:rsidRDefault="00053BD5" w:rsidP="00FA1C7A">
            <w:pPr>
              <w:widowControl/>
              <w:jc w:val="center"/>
              <w:rPr>
                <w:sz w:val="20"/>
              </w:rPr>
            </w:pPr>
            <w:r w:rsidRPr="000B2B6B">
              <w:rPr>
                <w:sz w:val="20"/>
              </w:rPr>
              <w:t>FEPS</w:t>
            </w:r>
          </w:p>
        </w:tc>
        <w:tc>
          <w:tcPr>
            <w:tcW w:w="86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B121AD" w14:textId="77777777" w:rsidR="00053BD5" w:rsidRPr="000B2B6B" w:rsidRDefault="00053BD5" w:rsidP="00FA1C7A">
            <w:pPr>
              <w:widowControl/>
              <w:jc w:val="center"/>
              <w:rPr>
                <w:sz w:val="20"/>
              </w:rPr>
            </w:pPr>
            <w:r w:rsidRPr="000B2B6B">
              <w:rPr>
                <w:sz w:val="20"/>
              </w:rPr>
              <w:t>PSE</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B65DD8A" w14:textId="77777777" w:rsidR="00053BD5" w:rsidRPr="000B2B6B" w:rsidRDefault="00053BD5" w:rsidP="00FA1C7A">
            <w:pPr>
              <w:widowControl/>
              <w:jc w:val="center"/>
              <w:rPr>
                <w:sz w:val="20"/>
              </w:rPr>
            </w:pPr>
            <w:r w:rsidRPr="000B2B6B">
              <w:rPr>
                <w:sz w:val="20"/>
              </w:rPr>
              <w:t>663 502</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DF0BBFE" w14:textId="77777777" w:rsidR="00053BD5" w:rsidRPr="000B2B6B" w:rsidRDefault="00053BD5" w:rsidP="00FA1C7A">
            <w:pPr>
              <w:widowControl/>
              <w:jc w:val="center"/>
              <w:rPr>
                <w:sz w:val="20"/>
              </w:rPr>
            </w:pPr>
            <w:r w:rsidRPr="000B2B6B">
              <w:rPr>
                <w:sz w:val="20"/>
              </w:rPr>
              <w:t>5 204 666</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768D658" w14:textId="77777777" w:rsidR="00053BD5" w:rsidRPr="000B2B6B" w:rsidRDefault="00053BD5" w:rsidP="00FA1C7A">
            <w:pPr>
              <w:widowControl/>
              <w:jc w:val="center"/>
              <w:rPr>
                <w:sz w:val="20"/>
              </w:rPr>
            </w:pPr>
            <w:r w:rsidRPr="000B2B6B">
              <w:rPr>
                <w:sz w:val="20"/>
              </w:rPr>
              <w:t>5 868 168</w:t>
            </w:r>
          </w:p>
        </w:tc>
        <w:tc>
          <w:tcPr>
            <w:tcW w:w="1402"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BF3A3FE" w14:textId="77777777" w:rsidR="00053BD5" w:rsidRPr="000B2B6B" w:rsidRDefault="00053BD5" w:rsidP="00FA1C7A">
            <w:pPr>
              <w:widowControl/>
              <w:jc w:val="center"/>
              <w:rPr>
                <w:sz w:val="20"/>
              </w:rPr>
            </w:pPr>
            <w:r w:rsidRPr="000B2B6B">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CE71FB1" w14:textId="77777777" w:rsidR="00053BD5" w:rsidRPr="000B2B6B" w:rsidRDefault="00053BD5" w:rsidP="00FA1C7A">
            <w:pPr>
              <w:widowControl/>
              <w:jc w:val="center"/>
              <w:rPr>
                <w:sz w:val="20"/>
              </w:rPr>
            </w:pPr>
            <w:r w:rsidRPr="000B2B6B">
              <w:rPr>
                <w:sz w:val="20"/>
              </w:rPr>
              <w:t>251 466</w:t>
            </w:r>
          </w:p>
        </w:tc>
      </w:tr>
      <w:tr w:rsidR="00053BD5" w:rsidRPr="000B2B6B" w14:paraId="2746CB9E" w14:textId="77777777" w:rsidTr="00FA1C7A">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12919B8"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t xml:space="preserve">Euroopan </w:t>
            </w:r>
            <w:proofErr w:type="gramStart"/>
            <w:r w:rsidRPr="000B2B6B">
              <w:t>liberaali-foorumi</w:t>
            </w:r>
            <w:proofErr w:type="gramEnd"/>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CC9551" w14:textId="77777777" w:rsidR="00053BD5" w:rsidRPr="000B2B6B" w:rsidRDefault="00053BD5" w:rsidP="00FA1C7A">
            <w:pPr>
              <w:widowControl/>
              <w:jc w:val="center"/>
              <w:rPr>
                <w:sz w:val="20"/>
              </w:rPr>
            </w:pPr>
            <w:r w:rsidRPr="000B2B6B">
              <w:rPr>
                <w:sz w:val="20"/>
              </w:rPr>
              <w:t>ELF</w:t>
            </w:r>
          </w:p>
        </w:tc>
        <w:tc>
          <w:tcPr>
            <w:tcW w:w="86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389065D" w14:textId="77777777" w:rsidR="00053BD5" w:rsidRPr="000B2B6B" w:rsidRDefault="00053BD5" w:rsidP="00FA1C7A">
            <w:pPr>
              <w:widowControl/>
              <w:jc w:val="center"/>
              <w:rPr>
                <w:sz w:val="20"/>
              </w:rPr>
            </w:pPr>
            <w:r w:rsidRPr="000B2B6B">
              <w:rPr>
                <w:sz w:val="20"/>
              </w:rPr>
              <w:t>ALDE</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AC5F1A2" w14:textId="77777777" w:rsidR="00053BD5" w:rsidRPr="000B2B6B" w:rsidRDefault="00053BD5" w:rsidP="00FA1C7A">
            <w:pPr>
              <w:widowControl/>
              <w:jc w:val="center"/>
              <w:rPr>
                <w:sz w:val="20"/>
              </w:rPr>
            </w:pPr>
            <w:r w:rsidRPr="000B2B6B">
              <w:rPr>
                <w:sz w:val="20"/>
              </w:rPr>
              <w:t>373 621</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6D39126" w14:textId="77777777" w:rsidR="00053BD5" w:rsidRPr="000B2B6B" w:rsidRDefault="00053BD5" w:rsidP="00FA1C7A">
            <w:pPr>
              <w:widowControl/>
              <w:jc w:val="center"/>
              <w:rPr>
                <w:sz w:val="20"/>
              </w:rPr>
            </w:pPr>
            <w:r w:rsidRPr="000B2B6B">
              <w:rPr>
                <w:sz w:val="20"/>
              </w:rPr>
              <w:t>2 722 333</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D74023E" w14:textId="77777777" w:rsidR="00053BD5" w:rsidRPr="000B2B6B" w:rsidRDefault="00053BD5" w:rsidP="00FA1C7A">
            <w:pPr>
              <w:widowControl/>
              <w:jc w:val="center"/>
              <w:rPr>
                <w:sz w:val="20"/>
              </w:rPr>
            </w:pPr>
            <w:r w:rsidRPr="000B2B6B">
              <w:rPr>
                <w:sz w:val="20"/>
              </w:rPr>
              <w:t>3 095 954</w:t>
            </w:r>
          </w:p>
        </w:tc>
        <w:tc>
          <w:tcPr>
            <w:tcW w:w="1402"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6870180" w14:textId="77777777" w:rsidR="00053BD5" w:rsidRPr="000B2B6B" w:rsidRDefault="00053BD5" w:rsidP="00FA1C7A">
            <w:pPr>
              <w:widowControl/>
              <w:jc w:val="center"/>
              <w:rPr>
                <w:sz w:val="20"/>
              </w:rPr>
            </w:pPr>
            <w:r w:rsidRPr="000B2B6B">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4518ACD" w14:textId="77777777" w:rsidR="00053BD5" w:rsidRPr="000B2B6B" w:rsidRDefault="00053BD5" w:rsidP="00FA1C7A">
            <w:pPr>
              <w:widowControl/>
              <w:jc w:val="center"/>
              <w:rPr>
                <w:sz w:val="20"/>
              </w:rPr>
            </w:pPr>
            <w:r w:rsidRPr="000B2B6B">
              <w:rPr>
                <w:sz w:val="20"/>
              </w:rPr>
              <w:t>638 880</w:t>
            </w:r>
          </w:p>
        </w:tc>
      </w:tr>
      <w:tr w:rsidR="00053BD5" w:rsidRPr="000B2B6B" w14:paraId="68D5F463" w14:textId="77777777" w:rsidTr="00FA1C7A">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1FE2A83"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t>Green European Foundation</w:t>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B1D3AE" w14:textId="77777777" w:rsidR="00053BD5" w:rsidRPr="000B2B6B" w:rsidRDefault="00053BD5" w:rsidP="00FA1C7A">
            <w:pPr>
              <w:widowControl/>
              <w:jc w:val="center"/>
              <w:rPr>
                <w:sz w:val="20"/>
              </w:rPr>
            </w:pPr>
            <w:r w:rsidRPr="000B2B6B">
              <w:rPr>
                <w:sz w:val="20"/>
              </w:rPr>
              <w:t>GEF</w:t>
            </w:r>
          </w:p>
        </w:tc>
        <w:tc>
          <w:tcPr>
            <w:tcW w:w="86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712B039" w14:textId="77777777" w:rsidR="00053BD5" w:rsidRPr="000B2B6B" w:rsidRDefault="00053BD5" w:rsidP="00FA1C7A">
            <w:pPr>
              <w:widowControl/>
              <w:jc w:val="center"/>
              <w:rPr>
                <w:sz w:val="20"/>
              </w:rPr>
            </w:pPr>
            <w:r w:rsidRPr="000B2B6B">
              <w:rPr>
                <w:sz w:val="20"/>
              </w:rPr>
              <w:t>Vihreät</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FF57D7" w14:textId="77777777" w:rsidR="00053BD5" w:rsidRPr="000B2B6B" w:rsidRDefault="00053BD5" w:rsidP="00FA1C7A">
            <w:pPr>
              <w:widowControl/>
              <w:jc w:val="center"/>
              <w:rPr>
                <w:sz w:val="20"/>
              </w:rPr>
            </w:pPr>
            <w:r w:rsidRPr="000B2B6B">
              <w:rPr>
                <w:sz w:val="20"/>
              </w:rPr>
              <w:t>170 098</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8D9CAD6" w14:textId="77777777" w:rsidR="00053BD5" w:rsidRPr="000B2B6B" w:rsidRDefault="00053BD5" w:rsidP="00FA1C7A">
            <w:pPr>
              <w:widowControl/>
              <w:jc w:val="center"/>
              <w:rPr>
                <w:sz w:val="20"/>
              </w:rPr>
            </w:pPr>
            <w:r w:rsidRPr="000B2B6B">
              <w:rPr>
                <w:sz w:val="20"/>
              </w:rPr>
              <w:t>2 317 344</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6477DFC" w14:textId="77777777" w:rsidR="00053BD5" w:rsidRPr="000B2B6B" w:rsidRDefault="00053BD5" w:rsidP="00FA1C7A">
            <w:pPr>
              <w:widowControl/>
              <w:jc w:val="center"/>
              <w:rPr>
                <w:sz w:val="20"/>
              </w:rPr>
            </w:pPr>
            <w:r w:rsidRPr="000B2B6B">
              <w:rPr>
                <w:sz w:val="20"/>
              </w:rPr>
              <w:t>2 487 442</w:t>
            </w:r>
          </w:p>
        </w:tc>
        <w:tc>
          <w:tcPr>
            <w:tcW w:w="1402"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FB90B56" w14:textId="77777777" w:rsidR="00053BD5" w:rsidRPr="000B2B6B" w:rsidRDefault="00053BD5" w:rsidP="00FA1C7A">
            <w:pPr>
              <w:widowControl/>
              <w:jc w:val="center"/>
              <w:rPr>
                <w:sz w:val="20"/>
              </w:rPr>
            </w:pPr>
            <w:r w:rsidRPr="000B2B6B">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8F48D1A" w14:textId="77777777" w:rsidR="00053BD5" w:rsidRPr="000B2B6B" w:rsidRDefault="00053BD5" w:rsidP="00FA1C7A">
            <w:pPr>
              <w:widowControl/>
              <w:jc w:val="center"/>
              <w:rPr>
                <w:sz w:val="20"/>
              </w:rPr>
            </w:pPr>
            <w:r w:rsidRPr="000B2B6B">
              <w:rPr>
                <w:sz w:val="20"/>
              </w:rPr>
              <w:t>40 821</w:t>
            </w:r>
          </w:p>
        </w:tc>
      </w:tr>
      <w:tr w:rsidR="00053BD5" w:rsidRPr="000B2B6B" w14:paraId="42A82FB3" w14:textId="77777777" w:rsidTr="00FA1C7A">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30D60EA" w14:textId="77777777" w:rsidR="00053BD5" w:rsidRPr="000B2B6B" w:rsidRDefault="00053BD5" w:rsidP="00FA1C7A">
            <w:pPr>
              <w:keepNext/>
              <w:widowControl/>
              <w:jc w:val="center"/>
              <w:rPr>
                <w:sz w:val="20"/>
                <w:lang w:val="en-GB"/>
                <w14:textOutline w14:w="0" w14:cap="flat" w14:cmpd="sng" w14:algn="ctr">
                  <w14:noFill/>
                  <w14:prstDash w14:val="solid"/>
                  <w14:bevel/>
                </w14:textOutline>
              </w:rPr>
            </w:pPr>
            <w:r w:rsidRPr="000B2B6B">
              <w:rPr>
                <w:lang w:val="en-GB"/>
              </w:rPr>
              <w:lastRenderedPageBreak/>
              <w:t>New Direction – Foundation for European Reform</w:t>
            </w:r>
            <w:r w:rsidRPr="000B2B6B">
              <w:rPr>
                <w:rStyle w:val="FootnoteReference"/>
              </w:rPr>
              <w:footnoteReference w:id="20"/>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4BE0E0" w14:textId="77777777" w:rsidR="00053BD5" w:rsidRPr="000B2B6B" w:rsidRDefault="00053BD5" w:rsidP="00FA1C7A">
            <w:pPr>
              <w:widowControl/>
              <w:jc w:val="center"/>
              <w:rPr>
                <w:sz w:val="20"/>
              </w:rPr>
            </w:pPr>
            <w:r w:rsidRPr="000B2B6B">
              <w:rPr>
                <w:sz w:val="20"/>
              </w:rPr>
              <w:t>ND</w:t>
            </w:r>
          </w:p>
        </w:tc>
        <w:tc>
          <w:tcPr>
            <w:tcW w:w="86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0FED28E" w14:textId="77777777" w:rsidR="00053BD5" w:rsidRPr="000B2B6B" w:rsidRDefault="00053BD5" w:rsidP="00FA1C7A">
            <w:pPr>
              <w:widowControl/>
              <w:jc w:val="center"/>
              <w:rPr>
                <w:sz w:val="20"/>
              </w:rPr>
            </w:pPr>
            <w:r w:rsidRPr="000B2B6B">
              <w:rPr>
                <w:sz w:val="20"/>
              </w:rPr>
              <w:t>ECR</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AE081FA" w14:textId="77777777" w:rsidR="00053BD5" w:rsidRPr="000B2B6B" w:rsidRDefault="00053BD5" w:rsidP="00FA1C7A">
            <w:pPr>
              <w:widowControl/>
              <w:jc w:val="center"/>
              <w:rPr>
                <w:sz w:val="20"/>
              </w:rPr>
            </w:pPr>
            <w:r w:rsidRPr="000B2B6B">
              <w:rPr>
                <w:sz w:val="20"/>
              </w:rPr>
              <w:t>200 408</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1E73F58" w14:textId="77777777" w:rsidR="00053BD5" w:rsidRPr="000B2B6B" w:rsidRDefault="00053BD5" w:rsidP="00FA1C7A">
            <w:pPr>
              <w:widowControl/>
              <w:jc w:val="center"/>
              <w:rPr>
                <w:sz w:val="20"/>
              </w:rPr>
            </w:pPr>
            <w:r w:rsidRPr="000B2B6B">
              <w:rPr>
                <w:sz w:val="20"/>
              </w:rPr>
              <w:t>1 894 279</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F75DF9E" w14:textId="77777777" w:rsidR="00053BD5" w:rsidRPr="000B2B6B" w:rsidRDefault="00053BD5" w:rsidP="00FA1C7A">
            <w:pPr>
              <w:widowControl/>
              <w:jc w:val="center"/>
              <w:rPr>
                <w:sz w:val="20"/>
              </w:rPr>
            </w:pPr>
            <w:r w:rsidRPr="000B2B6B">
              <w:rPr>
                <w:sz w:val="20"/>
              </w:rPr>
              <w:t>2 094 686</w:t>
            </w:r>
          </w:p>
        </w:tc>
        <w:tc>
          <w:tcPr>
            <w:tcW w:w="1402"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810A9A3" w14:textId="77777777" w:rsidR="00053BD5" w:rsidRPr="000B2B6B" w:rsidRDefault="00053BD5" w:rsidP="00FA1C7A">
            <w:pPr>
              <w:widowControl/>
              <w:jc w:val="center"/>
              <w:rPr>
                <w:sz w:val="20"/>
              </w:rPr>
            </w:pPr>
            <w:r w:rsidRPr="000B2B6B">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24881CB" w14:textId="77777777" w:rsidR="00053BD5" w:rsidRPr="000B2B6B" w:rsidRDefault="00053BD5" w:rsidP="00FA1C7A">
            <w:pPr>
              <w:widowControl/>
              <w:jc w:val="center"/>
              <w:rPr>
                <w:sz w:val="20"/>
              </w:rPr>
            </w:pPr>
            <w:r w:rsidRPr="000B2B6B">
              <w:rPr>
                <w:sz w:val="20"/>
              </w:rPr>
              <w:t>134 704</w:t>
            </w:r>
          </w:p>
        </w:tc>
      </w:tr>
      <w:tr w:rsidR="00053BD5" w:rsidRPr="000B2B6B" w14:paraId="2D595206" w14:textId="77777777" w:rsidTr="00FA1C7A">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93AAF88" w14:textId="77777777" w:rsidR="00053BD5" w:rsidRPr="000B2B6B" w:rsidRDefault="00053BD5" w:rsidP="00FA1C7A">
            <w:pPr>
              <w:widowControl/>
              <w:jc w:val="center"/>
              <w:rPr>
                <w:sz w:val="20"/>
                <w14:textOutline w14:w="0" w14:cap="flat" w14:cmpd="sng" w14:algn="ctr">
                  <w14:noFill/>
                  <w14:prstDash w14:val="solid"/>
                  <w14:bevel/>
                </w14:textOutline>
              </w:rPr>
            </w:pPr>
            <w:proofErr w:type="spellStart"/>
            <w:r w:rsidRPr="000B2B6B">
              <w:t>Identité</w:t>
            </w:r>
            <w:proofErr w:type="spellEnd"/>
            <w:r w:rsidRPr="000B2B6B">
              <w:t xml:space="preserve"> et </w:t>
            </w:r>
            <w:proofErr w:type="spellStart"/>
            <w:r w:rsidRPr="000B2B6B">
              <w:t>Démocratie</w:t>
            </w:r>
            <w:proofErr w:type="spellEnd"/>
            <w:r w:rsidRPr="000B2B6B">
              <w:t xml:space="preserve"> </w:t>
            </w:r>
            <w:proofErr w:type="spellStart"/>
            <w:r w:rsidRPr="000B2B6B">
              <w:t>Fondation</w:t>
            </w:r>
            <w:proofErr w:type="spellEnd"/>
            <w:r w:rsidRPr="000B2B6B">
              <w:rPr>
                <w:rStyle w:val="FootnoteReference"/>
              </w:rPr>
              <w:footnoteReference w:id="21"/>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B6CD583" w14:textId="77777777" w:rsidR="00053BD5" w:rsidRPr="000B2B6B" w:rsidRDefault="00053BD5" w:rsidP="00FA1C7A">
            <w:pPr>
              <w:widowControl/>
              <w:jc w:val="center"/>
              <w:rPr>
                <w:sz w:val="20"/>
              </w:rPr>
            </w:pPr>
            <w:r w:rsidRPr="000B2B6B">
              <w:rPr>
                <w:sz w:val="20"/>
              </w:rPr>
              <w:t>ID-säätiö</w:t>
            </w:r>
          </w:p>
        </w:tc>
        <w:tc>
          <w:tcPr>
            <w:tcW w:w="86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947EC04" w14:textId="77777777" w:rsidR="00053BD5" w:rsidRPr="000B2B6B" w:rsidRDefault="00053BD5" w:rsidP="00FA1C7A">
            <w:pPr>
              <w:widowControl/>
              <w:jc w:val="center"/>
              <w:rPr>
                <w:sz w:val="20"/>
              </w:rPr>
            </w:pPr>
            <w:r w:rsidRPr="000B2B6B">
              <w:rPr>
                <w:sz w:val="20"/>
              </w:rPr>
              <w:t>ID-puolue</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7361ECE" w14:textId="77777777" w:rsidR="00053BD5" w:rsidRPr="000B2B6B" w:rsidRDefault="00053BD5" w:rsidP="00FA1C7A">
            <w:pPr>
              <w:widowControl/>
              <w:jc w:val="center"/>
              <w:rPr>
                <w:sz w:val="20"/>
              </w:rPr>
            </w:pPr>
            <w:r w:rsidRPr="000B2B6B">
              <w:rPr>
                <w:sz w:val="20"/>
              </w:rPr>
              <w:t>114 557</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248BE5F" w14:textId="77777777" w:rsidR="00053BD5" w:rsidRPr="000B2B6B" w:rsidRDefault="00053BD5" w:rsidP="00FA1C7A">
            <w:pPr>
              <w:widowControl/>
              <w:jc w:val="center"/>
              <w:rPr>
                <w:sz w:val="20"/>
              </w:rPr>
            </w:pPr>
            <w:r w:rsidRPr="000B2B6B">
              <w:rPr>
                <w:sz w:val="20"/>
              </w:rPr>
              <w:t>531 757</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BBC0DD0" w14:textId="77777777" w:rsidR="00053BD5" w:rsidRPr="000B2B6B" w:rsidRDefault="00053BD5" w:rsidP="00FA1C7A">
            <w:pPr>
              <w:widowControl/>
              <w:jc w:val="center"/>
              <w:rPr>
                <w:sz w:val="20"/>
              </w:rPr>
            </w:pPr>
            <w:r w:rsidRPr="000B2B6B">
              <w:rPr>
                <w:sz w:val="20"/>
              </w:rPr>
              <w:t>646 313</w:t>
            </w:r>
          </w:p>
        </w:tc>
        <w:tc>
          <w:tcPr>
            <w:tcW w:w="1402"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86AD375" w14:textId="77777777" w:rsidR="00053BD5" w:rsidRPr="000B2B6B" w:rsidRDefault="00053BD5" w:rsidP="00FA1C7A">
            <w:pPr>
              <w:widowControl/>
              <w:jc w:val="center"/>
              <w:rPr>
                <w:sz w:val="20"/>
              </w:rPr>
            </w:pPr>
            <w:r w:rsidRPr="000B2B6B">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53F02C1" w14:textId="77777777" w:rsidR="00053BD5" w:rsidRPr="000B2B6B" w:rsidRDefault="00053BD5" w:rsidP="00FA1C7A">
            <w:pPr>
              <w:widowControl/>
              <w:jc w:val="center"/>
              <w:rPr>
                <w:sz w:val="20"/>
              </w:rPr>
            </w:pPr>
            <w:r w:rsidRPr="000B2B6B">
              <w:rPr>
                <w:sz w:val="20"/>
              </w:rPr>
              <w:t>−62 575</w:t>
            </w:r>
          </w:p>
        </w:tc>
      </w:tr>
      <w:tr w:rsidR="00053BD5" w:rsidRPr="000B2B6B" w14:paraId="63F62663" w14:textId="77777777" w:rsidTr="00FA1C7A">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6AC7497" w14:textId="77777777" w:rsidR="00053BD5" w:rsidRPr="000B2B6B" w:rsidRDefault="00053BD5" w:rsidP="00FA1C7A">
            <w:pPr>
              <w:widowControl/>
              <w:jc w:val="center"/>
              <w:rPr>
                <w:sz w:val="20"/>
                <w14:textOutline w14:w="0" w14:cap="flat" w14:cmpd="sng" w14:algn="ctr">
                  <w14:noFill/>
                  <w14:prstDash w14:val="solid"/>
                  <w14:bevel/>
                </w14:textOutline>
              </w:rPr>
            </w:pPr>
            <w:proofErr w:type="spellStart"/>
            <w:r w:rsidRPr="000B2B6B">
              <w:t>Transform</w:t>
            </w:r>
            <w:proofErr w:type="spellEnd"/>
            <w:r w:rsidRPr="000B2B6B">
              <w:t xml:space="preserve"> Europe</w:t>
            </w:r>
          </w:p>
        </w:tc>
        <w:tc>
          <w:tcPr>
            <w:tcW w:w="111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01987A" w14:textId="77777777" w:rsidR="00053BD5" w:rsidRPr="000B2B6B" w:rsidRDefault="00053BD5" w:rsidP="00FA1C7A">
            <w:pPr>
              <w:widowControl/>
              <w:jc w:val="center"/>
              <w:rPr>
                <w:sz w:val="20"/>
              </w:rPr>
            </w:pPr>
            <w:r w:rsidRPr="000B2B6B">
              <w:rPr>
                <w:sz w:val="20"/>
              </w:rPr>
              <w:t>TE</w:t>
            </w:r>
          </w:p>
        </w:tc>
        <w:tc>
          <w:tcPr>
            <w:tcW w:w="869"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434F12" w14:textId="77777777" w:rsidR="00053BD5" w:rsidRPr="000B2B6B" w:rsidRDefault="00053BD5" w:rsidP="00FA1C7A">
            <w:pPr>
              <w:widowControl/>
              <w:jc w:val="center"/>
              <w:rPr>
                <w:sz w:val="20"/>
              </w:rPr>
            </w:pPr>
            <w:r w:rsidRPr="000B2B6B">
              <w:rPr>
                <w:sz w:val="20"/>
              </w:rPr>
              <w:t>EL</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3D3BB5" w14:textId="77777777" w:rsidR="00053BD5" w:rsidRPr="000B2B6B" w:rsidRDefault="00053BD5" w:rsidP="00FA1C7A">
            <w:pPr>
              <w:widowControl/>
              <w:jc w:val="center"/>
              <w:rPr>
                <w:sz w:val="20"/>
              </w:rPr>
            </w:pPr>
            <w:r w:rsidRPr="000B2B6B">
              <w:rPr>
                <w:sz w:val="20"/>
              </w:rPr>
              <w:t>82 852</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2286440" w14:textId="77777777" w:rsidR="00053BD5" w:rsidRPr="000B2B6B" w:rsidRDefault="00053BD5" w:rsidP="00FA1C7A">
            <w:pPr>
              <w:widowControl/>
              <w:jc w:val="center"/>
              <w:rPr>
                <w:sz w:val="20"/>
              </w:rPr>
            </w:pPr>
            <w:r w:rsidRPr="000B2B6B">
              <w:rPr>
                <w:sz w:val="20"/>
              </w:rPr>
              <w:t>1 234 833</w:t>
            </w:r>
          </w:p>
        </w:tc>
        <w:tc>
          <w:tcPr>
            <w:tcW w:w="113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9AA865" w14:textId="77777777" w:rsidR="00053BD5" w:rsidRPr="000B2B6B" w:rsidRDefault="00053BD5" w:rsidP="00FA1C7A">
            <w:pPr>
              <w:widowControl/>
              <w:jc w:val="center"/>
              <w:rPr>
                <w:sz w:val="20"/>
              </w:rPr>
            </w:pPr>
            <w:r w:rsidRPr="000B2B6B">
              <w:rPr>
                <w:sz w:val="20"/>
              </w:rPr>
              <w:t>1 317 685</w:t>
            </w:r>
          </w:p>
        </w:tc>
        <w:tc>
          <w:tcPr>
            <w:tcW w:w="1402"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3AE690" w14:textId="77777777" w:rsidR="00053BD5" w:rsidRPr="000B2B6B" w:rsidRDefault="00053BD5" w:rsidP="00FA1C7A">
            <w:pPr>
              <w:widowControl/>
              <w:jc w:val="center"/>
              <w:rPr>
                <w:sz w:val="20"/>
              </w:rPr>
            </w:pPr>
            <w:r w:rsidRPr="000B2B6B">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8ABDAD0" w14:textId="77777777" w:rsidR="00053BD5" w:rsidRPr="000B2B6B" w:rsidRDefault="00053BD5" w:rsidP="00FA1C7A">
            <w:pPr>
              <w:widowControl/>
              <w:jc w:val="center"/>
              <w:rPr>
                <w:sz w:val="20"/>
              </w:rPr>
            </w:pPr>
            <w:r w:rsidRPr="000B2B6B">
              <w:rPr>
                <w:sz w:val="20"/>
              </w:rPr>
              <w:t>69 496</w:t>
            </w:r>
          </w:p>
        </w:tc>
      </w:tr>
      <w:tr w:rsidR="00053BD5" w:rsidRPr="000B2B6B" w14:paraId="51341255" w14:textId="77777777" w:rsidTr="00FA1C7A">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52B8B70" w14:textId="77777777" w:rsidR="00053BD5" w:rsidRPr="000B2B6B" w:rsidRDefault="00053BD5" w:rsidP="00FA1C7A">
            <w:pPr>
              <w:widowControl/>
              <w:jc w:val="center"/>
              <w:rPr>
                <w:sz w:val="20"/>
                <w14:textOutline w14:w="0" w14:cap="flat" w14:cmpd="sng" w14:algn="ctr">
                  <w14:noFill/>
                  <w14:prstDash w14:val="solid"/>
                  <w14:bevel/>
                </w14:textOutline>
              </w:rPr>
            </w:pPr>
            <w:r w:rsidRPr="000B2B6B">
              <w:t xml:space="preserve">Institute of European </w:t>
            </w:r>
            <w:proofErr w:type="spellStart"/>
            <w:r w:rsidRPr="000B2B6B">
              <w:t>Democrats</w:t>
            </w:r>
            <w:proofErr w:type="spellEnd"/>
          </w:p>
        </w:tc>
        <w:tc>
          <w:tcPr>
            <w:tcW w:w="1115"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9141F9" w14:textId="77777777" w:rsidR="00053BD5" w:rsidRPr="000B2B6B" w:rsidRDefault="00053BD5" w:rsidP="00FA1C7A">
            <w:pPr>
              <w:widowControl/>
              <w:jc w:val="center"/>
              <w:rPr>
                <w:sz w:val="20"/>
              </w:rPr>
            </w:pPr>
            <w:r w:rsidRPr="000B2B6B">
              <w:rPr>
                <w:sz w:val="20"/>
              </w:rPr>
              <w:t>IED</w:t>
            </w:r>
          </w:p>
        </w:tc>
        <w:tc>
          <w:tcPr>
            <w:tcW w:w="86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99CB1B8" w14:textId="77777777" w:rsidR="00053BD5" w:rsidRPr="000B2B6B" w:rsidRDefault="00053BD5" w:rsidP="00FA1C7A">
            <w:pPr>
              <w:widowControl/>
              <w:jc w:val="center"/>
              <w:rPr>
                <w:sz w:val="20"/>
              </w:rPr>
            </w:pPr>
            <w:r w:rsidRPr="000B2B6B">
              <w:rPr>
                <w:sz w:val="20"/>
              </w:rPr>
              <w:t>EDP</w:t>
            </w:r>
          </w:p>
        </w:tc>
        <w:tc>
          <w:tcPr>
            <w:tcW w:w="992"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B5AA587" w14:textId="77777777" w:rsidR="00053BD5" w:rsidRPr="000B2B6B" w:rsidRDefault="00053BD5" w:rsidP="00FA1C7A">
            <w:pPr>
              <w:widowControl/>
              <w:jc w:val="center"/>
              <w:rPr>
                <w:sz w:val="20"/>
              </w:rPr>
            </w:pPr>
            <w:r w:rsidRPr="000B2B6B">
              <w:rPr>
                <w:sz w:val="20"/>
              </w:rPr>
              <w:t>39 000</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F8D0308" w14:textId="77777777" w:rsidR="00053BD5" w:rsidRPr="000B2B6B" w:rsidRDefault="00053BD5" w:rsidP="00FA1C7A">
            <w:pPr>
              <w:widowControl/>
              <w:jc w:val="center"/>
              <w:rPr>
                <w:sz w:val="20"/>
              </w:rPr>
            </w:pPr>
            <w:r w:rsidRPr="000B2B6B">
              <w:rPr>
                <w:sz w:val="20"/>
              </w:rPr>
              <w:t>530 090</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FBA45B1" w14:textId="77777777" w:rsidR="00053BD5" w:rsidRPr="000B2B6B" w:rsidRDefault="00053BD5" w:rsidP="00FA1C7A">
            <w:pPr>
              <w:widowControl/>
              <w:jc w:val="center"/>
              <w:rPr>
                <w:sz w:val="20"/>
              </w:rPr>
            </w:pPr>
            <w:r w:rsidRPr="000B2B6B">
              <w:rPr>
                <w:sz w:val="20"/>
              </w:rPr>
              <w:t>569 090</w:t>
            </w:r>
          </w:p>
        </w:tc>
        <w:tc>
          <w:tcPr>
            <w:tcW w:w="14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8104D79" w14:textId="77777777" w:rsidR="00053BD5" w:rsidRPr="000B2B6B" w:rsidRDefault="00053BD5" w:rsidP="00FA1C7A">
            <w:pPr>
              <w:widowControl/>
              <w:jc w:val="center"/>
              <w:rPr>
                <w:sz w:val="20"/>
              </w:rPr>
            </w:pPr>
            <w:r w:rsidRPr="000B2B6B">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4790150" w14:textId="77777777" w:rsidR="00053BD5" w:rsidRPr="000B2B6B" w:rsidRDefault="00053BD5" w:rsidP="00FA1C7A">
            <w:pPr>
              <w:widowControl/>
              <w:jc w:val="center"/>
              <w:rPr>
                <w:sz w:val="20"/>
              </w:rPr>
            </w:pPr>
            <w:r w:rsidRPr="000B2B6B">
              <w:rPr>
                <w:sz w:val="20"/>
              </w:rPr>
              <w:t>−113 763</w:t>
            </w:r>
          </w:p>
        </w:tc>
      </w:tr>
      <w:tr w:rsidR="00053BD5" w:rsidRPr="000B2B6B" w14:paraId="308C9FE4" w14:textId="77777777" w:rsidTr="00FA1C7A">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5B03087" w14:textId="77777777" w:rsidR="00053BD5" w:rsidRPr="000B2B6B" w:rsidRDefault="00053BD5" w:rsidP="00FA1C7A">
            <w:pPr>
              <w:widowControl/>
              <w:jc w:val="center"/>
              <w:rPr>
                <w:sz w:val="20"/>
                <w14:textOutline w14:w="0" w14:cap="flat" w14:cmpd="sng" w14:algn="ctr">
                  <w14:noFill/>
                  <w14:prstDash w14:val="solid"/>
                  <w14:bevel/>
                </w14:textOutline>
              </w:rPr>
            </w:pPr>
            <w:proofErr w:type="spellStart"/>
            <w:r w:rsidRPr="000B2B6B">
              <w:t>Coppieters</w:t>
            </w:r>
            <w:proofErr w:type="spellEnd"/>
            <w:r w:rsidRPr="000B2B6B">
              <w:t>-säätiö</w:t>
            </w:r>
          </w:p>
        </w:tc>
        <w:tc>
          <w:tcPr>
            <w:tcW w:w="1115"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42893A" w14:textId="77777777" w:rsidR="00053BD5" w:rsidRPr="000B2B6B" w:rsidRDefault="00053BD5" w:rsidP="00FA1C7A">
            <w:pPr>
              <w:widowControl/>
              <w:jc w:val="center"/>
              <w:rPr>
                <w:sz w:val="20"/>
              </w:rPr>
            </w:pPr>
            <w:proofErr w:type="spellStart"/>
            <w:r w:rsidRPr="000B2B6B">
              <w:rPr>
                <w:sz w:val="20"/>
              </w:rPr>
              <w:t>Coppieters</w:t>
            </w:r>
            <w:proofErr w:type="spellEnd"/>
          </w:p>
        </w:tc>
        <w:tc>
          <w:tcPr>
            <w:tcW w:w="86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A975C47" w14:textId="77777777" w:rsidR="00053BD5" w:rsidRPr="000B2B6B" w:rsidRDefault="00053BD5" w:rsidP="00FA1C7A">
            <w:pPr>
              <w:widowControl/>
              <w:jc w:val="center"/>
              <w:rPr>
                <w:sz w:val="20"/>
              </w:rPr>
            </w:pPr>
            <w:r w:rsidRPr="000B2B6B">
              <w:rPr>
                <w:sz w:val="20"/>
              </w:rPr>
              <w:t>EFA</w:t>
            </w:r>
          </w:p>
        </w:tc>
        <w:tc>
          <w:tcPr>
            <w:tcW w:w="992"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BBBB9FA" w14:textId="77777777" w:rsidR="00053BD5" w:rsidRPr="000B2B6B" w:rsidRDefault="00053BD5" w:rsidP="00FA1C7A">
            <w:pPr>
              <w:widowControl/>
              <w:jc w:val="center"/>
              <w:rPr>
                <w:sz w:val="20"/>
              </w:rPr>
            </w:pPr>
            <w:r w:rsidRPr="000B2B6B">
              <w:rPr>
                <w:sz w:val="20"/>
              </w:rPr>
              <w:t>102 481</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BDA8FC7" w14:textId="77777777" w:rsidR="00053BD5" w:rsidRPr="000B2B6B" w:rsidRDefault="00053BD5" w:rsidP="00FA1C7A">
            <w:pPr>
              <w:widowControl/>
              <w:jc w:val="center"/>
              <w:rPr>
                <w:sz w:val="20"/>
              </w:rPr>
            </w:pPr>
            <w:r w:rsidRPr="000B2B6B">
              <w:rPr>
                <w:sz w:val="20"/>
              </w:rPr>
              <w:t>536 397</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ACA84C2" w14:textId="77777777" w:rsidR="00053BD5" w:rsidRPr="000B2B6B" w:rsidRDefault="00053BD5" w:rsidP="00FA1C7A">
            <w:pPr>
              <w:widowControl/>
              <w:jc w:val="center"/>
              <w:rPr>
                <w:sz w:val="20"/>
              </w:rPr>
            </w:pPr>
            <w:r w:rsidRPr="000B2B6B">
              <w:rPr>
                <w:sz w:val="20"/>
              </w:rPr>
              <w:t>638 878</w:t>
            </w:r>
          </w:p>
        </w:tc>
        <w:tc>
          <w:tcPr>
            <w:tcW w:w="14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653DA8C" w14:textId="77777777" w:rsidR="00053BD5" w:rsidRPr="000B2B6B" w:rsidRDefault="00053BD5" w:rsidP="00FA1C7A">
            <w:pPr>
              <w:widowControl/>
              <w:jc w:val="center"/>
              <w:rPr>
                <w:sz w:val="20"/>
              </w:rPr>
            </w:pPr>
            <w:r w:rsidRPr="000B2B6B">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9F3FF0E" w14:textId="77777777" w:rsidR="00053BD5" w:rsidRPr="000B2B6B" w:rsidRDefault="00053BD5" w:rsidP="00FA1C7A">
            <w:pPr>
              <w:widowControl/>
              <w:jc w:val="center"/>
              <w:rPr>
                <w:sz w:val="20"/>
              </w:rPr>
            </w:pPr>
            <w:r w:rsidRPr="000B2B6B">
              <w:rPr>
                <w:sz w:val="20"/>
              </w:rPr>
              <w:t>288 315</w:t>
            </w:r>
          </w:p>
        </w:tc>
      </w:tr>
      <w:tr w:rsidR="00053BD5" w:rsidRPr="000B2B6B" w14:paraId="196CAAE1" w14:textId="77777777" w:rsidTr="00FA1C7A">
        <w:trPr>
          <w:trHeight w:val="339"/>
        </w:trPr>
        <w:tc>
          <w:tcPr>
            <w:tcW w:w="1442"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DDEC592" w14:textId="77777777" w:rsidR="00053BD5" w:rsidRPr="000B2B6B" w:rsidRDefault="00053BD5" w:rsidP="00FA1C7A">
            <w:pPr>
              <w:widowControl/>
              <w:jc w:val="center"/>
              <w:rPr>
                <w:sz w:val="20"/>
                <w14:textOutline w14:w="0" w14:cap="flat" w14:cmpd="sng" w14:algn="ctr">
                  <w14:noFill/>
                  <w14:prstDash w14:val="solid"/>
                  <w14:bevel/>
                </w14:textOutline>
              </w:rPr>
            </w:pPr>
            <w:proofErr w:type="spellStart"/>
            <w:r w:rsidRPr="000B2B6B">
              <w:t>Sallux</w:t>
            </w:r>
            <w:proofErr w:type="spellEnd"/>
          </w:p>
        </w:tc>
        <w:tc>
          <w:tcPr>
            <w:tcW w:w="1115"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64E406B" w14:textId="77777777" w:rsidR="00053BD5" w:rsidRPr="000B2B6B" w:rsidRDefault="00053BD5" w:rsidP="00FA1C7A">
            <w:pPr>
              <w:widowControl/>
              <w:jc w:val="center"/>
              <w:rPr>
                <w:sz w:val="20"/>
              </w:rPr>
            </w:pPr>
            <w:r w:rsidRPr="000B2B6B">
              <w:rPr>
                <w:sz w:val="20"/>
              </w:rPr>
              <w:t>SALLUX</w:t>
            </w:r>
          </w:p>
        </w:tc>
        <w:tc>
          <w:tcPr>
            <w:tcW w:w="869"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309FC33" w14:textId="77777777" w:rsidR="00053BD5" w:rsidRPr="000B2B6B" w:rsidRDefault="00053BD5" w:rsidP="00FA1C7A">
            <w:pPr>
              <w:widowControl/>
              <w:jc w:val="center"/>
              <w:rPr>
                <w:sz w:val="20"/>
              </w:rPr>
            </w:pPr>
            <w:r w:rsidRPr="000B2B6B">
              <w:rPr>
                <w:sz w:val="20"/>
              </w:rPr>
              <w:t>ECPM</w:t>
            </w:r>
          </w:p>
        </w:tc>
        <w:tc>
          <w:tcPr>
            <w:tcW w:w="992"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1CF444" w14:textId="77777777" w:rsidR="00053BD5" w:rsidRPr="000B2B6B" w:rsidRDefault="00053BD5" w:rsidP="00FA1C7A">
            <w:pPr>
              <w:widowControl/>
              <w:jc w:val="center"/>
              <w:rPr>
                <w:sz w:val="20"/>
              </w:rPr>
            </w:pPr>
            <w:r w:rsidRPr="000B2B6B">
              <w:rPr>
                <w:sz w:val="20"/>
              </w:rPr>
              <w:t>28 952</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ED38FF9" w14:textId="77777777" w:rsidR="00053BD5" w:rsidRPr="000B2B6B" w:rsidRDefault="00053BD5" w:rsidP="00FA1C7A">
            <w:pPr>
              <w:widowControl/>
              <w:jc w:val="center"/>
              <w:rPr>
                <w:sz w:val="20"/>
              </w:rPr>
            </w:pPr>
            <w:r w:rsidRPr="000B2B6B">
              <w:rPr>
                <w:sz w:val="20"/>
              </w:rPr>
              <w:t>420 000</w:t>
            </w:r>
          </w:p>
        </w:tc>
        <w:tc>
          <w:tcPr>
            <w:tcW w:w="113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4727EF" w14:textId="77777777" w:rsidR="00053BD5" w:rsidRPr="000B2B6B" w:rsidRDefault="00053BD5" w:rsidP="00FA1C7A">
            <w:pPr>
              <w:widowControl/>
              <w:jc w:val="center"/>
              <w:rPr>
                <w:sz w:val="20"/>
              </w:rPr>
            </w:pPr>
            <w:r w:rsidRPr="000B2B6B">
              <w:rPr>
                <w:sz w:val="20"/>
              </w:rPr>
              <w:t>448 952</w:t>
            </w:r>
          </w:p>
        </w:tc>
        <w:tc>
          <w:tcPr>
            <w:tcW w:w="1402"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D3EBEB" w14:textId="77777777" w:rsidR="00053BD5" w:rsidRPr="000B2B6B" w:rsidRDefault="00053BD5" w:rsidP="00FA1C7A">
            <w:pPr>
              <w:widowControl/>
              <w:jc w:val="center"/>
              <w:rPr>
                <w:sz w:val="20"/>
              </w:rPr>
            </w:pPr>
            <w:r w:rsidRPr="000B2B6B">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4E0E6605" w14:textId="77777777" w:rsidR="00053BD5" w:rsidRPr="000B2B6B" w:rsidRDefault="00053BD5" w:rsidP="00FA1C7A">
            <w:pPr>
              <w:widowControl/>
              <w:jc w:val="center"/>
              <w:rPr>
                <w:sz w:val="20"/>
              </w:rPr>
            </w:pPr>
            <w:r w:rsidRPr="000B2B6B">
              <w:rPr>
                <w:sz w:val="20"/>
              </w:rPr>
              <w:t>8 781</w:t>
            </w:r>
          </w:p>
        </w:tc>
      </w:tr>
      <w:tr w:rsidR="00053BD5" w:rsidRPr="000B2B6B" w14:paraId="7BDB4A25" w14:textId="77777777" w:rsidTr="00FA1C7A">
        <w:trPr>
          <w:trHeight w:val="339"/>
        </w:trPr>
        <w:tc>
          <w:tcPr>
            <w:tcW w:w="1442"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8E44424" w14:textId="77777777" w:rsidR="00053BD5" w:rsidRPr="000B2B6B" w:rsidRDefault="00053BD5" w:rsidP="00FA1C7A">
            <w:pPr>
              <w:widowControl/>
              <w:jc w:val="center"/>
              <w:rPr>
                <w:b/>
                <w:bCs/>
                <w:sz w:val="20"/>
                <w14:textOutline w14:w="0" w14:cap="flat" w14:cmpd="sng" w14:algn="ctr">
                  <w14:noFill/>
                  <w14:prstDash w14:val="solid"/>
                  <w14:bevel/>
                </w14:textOutline>
              </w:rPr>
            </w:pPr>
            <w:r w:rsidRPr="000B2B6B">
              <w:rPr>
                <w:b/>
                <w:sz w:val="20"/>
                <w14:textOutline w14:w="0" w14:cap="flat" w14:cmpd="sng" w14:algn="ctr">
                  <w14:noFill/>
                  <w14:prstDash w14:val="solid"/>
                  <w14:bevel/>
                </w14:textOutline>
              </w:rPr>
              <w:t>YHTEENSÄ</w:t>
            </w:r>
          </w:p>
        </w:tc>
        <w:tc>
          <w:tcPr>
            <w:tcW w:w="1115"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8170114" w14:textId="77777777" w:rsidR="00053BD5" w:rsidRPr="000B2B6B" w:rsidRDefault="00053BD5" w:rsidP="00FA1C7A">
            <w:pPr>
              <w:widowControl/>
              <w:jc w:val="center"/>
              <w:rPr>
                <w:b/>
                <w:bCs/>
                <w:sz w:val="20"/>
                <w14:textOutline w14:w="0" w14:cap="flat" w14:cmpd="sng" w14:algn="ctr">
                  <w14:noFill/>
                  <w14:prstDash w14:val="solid"/>
                  <w14:bevel/>
                </w14:textOutline>
              </w:rPr>
            </w:pPr>
          </w:p>
        </w:tc>
        <w:tc>
          <w:tcPr>
            <w:tcW w:w="869"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55913A99" w14:textId="77777777" w:rsidR="00053BD5" w:rsidRPr="000B2B6B" w:rsidRDefault="00053BD5" w:rsidP="00FA1C7A">
            <w:pPr>
              <w:widowControl/>
              <w:jc w:val="center"/>
              <w:rPr>
                <w:b/>
                <w:bCs/>
                <w:sz w:val="20"/>
                <w14:textOutline w14:w="0" w14:cap="flat" w14:cmpd="sng" w14:algn="ctr">
                  <w14:noFill/>
                  <w14:prstDash w14:val="solid"/>
                  <w14:bevel/>
                </w14:textOutline>
              </w:rPr>
            </w:pPr>
          </w:p>
        </w:tc>
        <w:tc>
          <w:tcPr>
            <w:tcW w:w="992"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3F81F3B9" w14:textId="77777777" w:rsidR="00053BD5" w:rsidRPr="000B2B6B" w:rsidRDefault="00053BD5" w:rsidP="00FA1C7A">
            <w:pPr>
              <w:widowControl/>
              <w:jc w:val="center"/>
              <w:rPr>
                <w:b/>
                <w:bCs/>
                <w:sz w:val="20"/>
              </w:rPr>
            </w:pPr>
            <w:r w:rsidRPr="000B2B6B">
              <w:rPr>
                <w:b/>
                <w:sz w:val="20"/>
              </w:rPr>
              <w:t>2 583 505</w:t>
            </w:r>
          </w:p>
        </w:tc>
        <w:tc>
          <w:tcPr>
            <w:tcW w:w="1134"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76FC883" w14:textId="77777777" w:rsidR="00053BD5" w:rsidRPr="000B2B6B" w:rsidRDefault="00053BD5" w:rsidP="00FA1C7A">
            <w:pPr>
              <w:widowControl/>
              <w:jc w:val="center"/>
              <w:rPr>
                <w:b/>
                <w:bCs/>
                <w:sz w:val="20"/>
              </w:rPr>
            </w:pPr>
            <w:r w:rsidRPr="000B2B6B">
              <w:rPr>
                <w:b/>
                <w:sz w:val="20"/>
              </w:rPr>
              <w:t>21 770 208</w:t>
            </w:r>
          </w:p>
        </w:tc>
        <w:tc>
          <w:tcPr>
            <w:tcW w:w="1134"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166C2E4C" w14:textId="77777777" w:rsidR="00053BD5" w:rsidRPr="000B2B6B" w:rsidRDefault="00053BD5" w:rsidP="00FA1C7A">
            <w:pPr>
              <w:widowControl/>
              <w:jc w:val="center"/>
              <w:rPr>
                <w:b/>
                <w:bCs/>
                <w:sz w:val="20"/>
              </w:rPr>
            </w:pPr>
            <w:r w:rsidRPr="000B2B6B">
              <w:rPr>
                <w:b/>
                <w:sz w:val="20"/>
              </w:rPr>
              <w:t>24 353 713</w:t>
            </w:r>
          </w:p>
        </w:tc>
        <w:tc>
          <w:tcPr>
            <w:tcW w:w="1402"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4F38D1E1" w14:textId="77777777" w:rsidR="00053BD5" w:rsidRPr="000B2B6B" w:rsidRDefault="00053BD5" w:rsidP="00FA1C7A">
            <w:pPr>
              <w:widowControl/>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51D88E63" w14:textId="77777777" w:rsidR="00053BD5" w:rsidRPr="000B2B6B" w:rsidRDefault="00053BD5" w:rsidP="00FA1C7A">
            <w:pPr>
              <w:widowControl/>
              <w:jc w:val="center"/>
              <w:rPr>
                <w:b/>
                <w:bCs/>
                <w:sz w:val="20"/>
              </w:rPr>
            </w:pPr>
            <w:r w:rsidRPr="000B2B6B">
              <w:rPr>
                <w:b/>
                <w:sz w:val="20"/>
              </w:rPr>
              <w:t>2 576 842</w:t>
            </w:r>
          </w:p>
        </w:tc>
      </w:tr>
    </w:tbl>
    <w:p w14:paraId="22BD6FD0" w14:textId="5012D4BF" w:rsidR="00E365E1" w:rsidRPr="000B2B6B" w:rsidRDefault="00E365E1" w:rsidP="00135201"/>
    <w:sectPr w:rsidR="00E365E1" w:rsidRPr="000B2B6B" w:rsidSect="00007BEF">
      <w:headerReference w:type="even"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4F8A6" w14:textId="77777777" w:rsidR="009527FE" w:rsidRPr="00007BEF" w:rsidRDefault="009527FE">
      <w:r w:rsidRPr="00007BEF">
        <w:separator/>
      </w:r>
    </w:p>
  </w:endnote>
  <w:endnote w:type="continuationSeparator" w:id="0">
    <w:p w14:paraId="72EDC855" w14:textId="77777777" w:rsidR="009527FE" w:rsidRPr="00007BEF" w:rsidRDefault="009527FE">
      <w:r w:rsidRPr="00007B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68947" w14:textId="77777777" w:rsidR="00053BD5" w:rsidRPr="00007BEF" w:rsidRDefault="00053BD5" w:rsidP="00D40573">
    <w:pPr>
      <w:pStyle w:val="EPFooter"/>
    </w:pPr>
    <w:r w:rsidRPr="00007BEF">
      <w:t>PE</w:t>
    </w:r>
    <w:r w:rsidRPr="00007BEF">
      <w:rPr>
        <w:rStyle w:val="HideTWBExt"/>
      </w:rPr>
      <w:t>&lt;</w:t>
    </w:r>
    <w:proofErr w:type="spellStart"/>
    <w:r w:rsidRPr="00007BEF">
      <w:rPr>
        <w:rStyle w:val="HideTWBExt"/>
      </w:rPr>
      <w:t>NoPE</w:t>
    </w:r>
    <w:proofErr w:type="spellEnd"/>
    <w:r w:rsidRPr="00007BEF">
      <w:rPr>
        <w:rStyle w:val="HideTWBExt"/>
      </w:rPr>
      <w:t>&gt;</w:t>
    </w:r>
    <w:r w:rsidRPr="00007BEF">
      <w:t>776.734</w:t>
    </w:r>
    <w:r w:rsidRPr="00007BEF">
      <w:rPr>
        <w:rStyle w:val="HideTWBExt"/>
      </w:rPr>
      <w:t>&lt;/</w:t>
    </w:r>
    <w:proofErr w:type="spellStart"/>
    <w:r w:rsidRPr="00007BEF">
      <w:rPr>
        <w:rStyle w:val="HideTWBExt"/>
      </w:rPr>
      <w:t>NoPE</w:t>
    </w:r>
    <w:proofErr w:type="spellEnd"/>
    <w:r w:rsidRPr="00007BEF">
      <w:rPr>
        <w:rStyle w:val="HideTWBExt"/>
      </w:rPr>
      <w:t>&gt;&lt;Version&gt;</w:t>
    </w:r>
    <w:r w:rsidRPr="00007BEF">
      <w:t>v02-00</w:t>
    </w:r>
    <w:r w:rsidRPr="00007BEF">
      <w:rPr>
        <w:rStyle w:val="HideTWBExt"/>
      </w:rPr>
      <w:t>&lt;/Version&gt;</w:t>
    </w:r>
    <w:r w:rsidRPr="00007BEF">
      <w:tab/>
    </w:r>
    <w:r w:rsidRPr="00007BEF">
      <w:fldChar w:fldCharType="begin"/>
    </w:r>
    <w:r w:rsidRPr="00007BEF">
      <w:instrText xml:space="preserve"> PAGE  \* MERGEFORMAT </w:instrText>
    </w:r>
    <w:r w:rsidRPr="00007BEF">
      <w:fldChar w:fldCharType="separate"/>
    </w:r>
    <w:r w:rsidRPr="00007BEF">
      <w:rPr>
        <w:noProof/>
      </w:rPr>
      <w:t>36</w:t>
    </w:r>
    <w:r w:rsidRPr="00007BEF">
      <w:fldChar w:fldCharType="end"/>
    </w:r>
    <w:r w:rsidRPr="00007BEF">
      <w:t>/</w:t>
    </w:r>
    <w:fldSimple w:instr=" NUMPAGES  \* MERGEFORMAT ">
      <w:r w:rsidRPr="00007BEF">
        <w:rPr>
          <w:noProof/>
        </w:rPr>
        <w:t>47</w:t>
      </w:r>
    </w:fldSimple>
    <w:r w:rsidRPr="00007BEF">
      <w:tab/>
    </w:r>
    <w:r w:rsidRPr="00007BEF">
      <w:rPr>
        <w:rStyle w:val="HideTWBExt"/>
      </w:rPr>
      <w:t>&lt;PathFdR&gt;</w:t>
    </w:r>
    <w:r w:rsidRPr="00007BEF">
      <w:t>RR\1340476FI.docx</w:t>
    </w:r>
    <w:r w:rsidRPr="00007BEF">
      <w:rPr>
        <w:rStyle w:val="HideTWBExt"/>
      </w:rPr>
      <w:t>&lt;/</w:t>
    </w:r>
    <w:proofErr w:type="spellStart"/>
    <w:r w:rsidRPr="00007BEF">
      <w:rPr>
        <w:rStyle w:val="HideTWBExt"/>
      </w:rPr>
      <w:t>PathFdR</w:t>
    </w:r>
    <w:proofErr w:type="spellEnd"/>
    <w:r w:rsidRPr="00007BEF">
      <w:rPr>
        <w:rStyle w:val="HideTWBExt"/>
      </w:rPr>
      <w:t>&gt;</w:t>
    </w:r>
  </w:p>
  <w:p w14:paraId="492D245C" w14:textId="77777777" w:rsidR="00053BD5" w:rsidRPr="00007BEF" w:rsidRDefault="00053BD5" w:rsidP="00D40573">
    <w:pPr>
      <w:pStyle w:val="EPFooter2"/>
    </w:pPr>
    <w:r w:rsidRPr="00007BEF">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0787" w14:textId="77777777" w:rsidR="00053BD5" w:rsidRPr="00007BEF" w:rsidRDefault="00053BD5" w:rsidP="00D40573">
    <w:pPr>
      <w:pStyle w:val="EPFooter"/>
    </w:pPr>
    <w:r w:rsidRPr="00007BEF">
      <w:rPr>
        <w:rStyle w:val="HideTWBExt"/>
      </w:rPr>
      <w:t>&lt;PathFdR&gt;</w:t>
    </w:r>
    <w:r w:rsidRPr="00007BEF">
      <w:t>RR\1340476FI.docx</w:t>
    </w:r>
    <w:r w:rsidRPr="00007BEF">
      <w:rPr>
        <w:rStyle w:val="HideTWBExt"/>
      </w:rPr>
      <w:t>&lt;/</w:t>
    </w:r>
    <w:proofErr w:type="spellStart"/>
    <w:r w:rsidRPr="00007BEF">
      <w:rPr>
        <w:rStyle w:val="HideTWBExt"/>
      </w:rPr>
      <w:t>PathFdR</w:t>
    </w:r>
    <w:proofErr w:type="spellEnd"/>
    <w:r w:rsidRPr="00007BEF">
      <w:rPr>
        <w:rStyle w:val="HideTWBExt"/>
      </w:rPr>
      <w:t>&gt;</w:t>
    </w:r>
    <w:r w:rsidRPr="00007BEF">
      <w:tab/>
    </w:r>
    <w:r w:rsidRPr="00007BEF">
      <w:tab/>
      <w:t>PE</w:t>
    </w:r>
    <w:r w:rsidRPr="00007BEF">
      <w:rPr>
        <w:rStyle w:val="HideTWBExt"/>
      </w:rPr>
      <w:t>&lt;</w:t>
    </w:r>
    <w:proofErr w:type="spellStart"/>
    <w:r w:rsidRPr="00007BEF">
      <w:rPr>
        <w:rStyle w:val="HideTWBExt"/>
      </w:rPr>
      <w:t>NoPE</w:t>
    </w:r>
    <w:proofErr w:type="spellEnd"/>
    <w:r w:rsidRPr="00007BEF">
      <w:rPr>
        <w:rStyle w:val="HideTWBExt"/>
      </w:rPr>
      <w:t>&gt;</w:t>
    </w:r>
    <w:r w:rsidRPr="00007BEF">
      <w:t>776.734</w:t>
    </w:r>
    <w:r w:rsidRPr="00007BEF">
      <w:rPr>
        <w:rStyle w:val="HideTWBExt"/>
      </w:rPr>
      <w:t>&lt;/</w:t>
    </w:r>
    <w:proofErr w:type="spellStart"/>
    <w:r w:rsidRPr="00007BEF">
      <w:rPr>
        <w:rStyle w:val="HideTWBExt"/>
      </w:rPr>
      <w:t>NoPE</w:t>
    </w:r>
    <w:proofErr w:type="spellEnd"/>
    <w:r w:rsidRPr="00007BEF">
      <w:rPr>
        <w:rStyle w:val="HideTWBExt"/>
      </w:rPr>
      <w:t>&gt;&lt;Version&gt;</w:t>
    </w:r>
    <w:r w:rsidRPr="00007BEF">
      <w:t>v02-00</w:t>
    </w:r>
    <w:r w:rsidRPr="00007BEF">
      <w:rPr>
        <w:rStyle w:val="HideTWBExt"/>
      </w:rPr>
      <w:t>&lt;/Version&gt;</w:t>
    </w:r>
  </w:p>
  <w:p w14:paraId="6B047013" w14:textId="77777777" w:rsidR="00053BD5" w:rsidRPr="00007BEF" w:rsidRDefault="00053BD5" w:rsidP="00D40573">
    <w:pPr>
      <w:pStyle w:val="EPFooter2"/>
    </w:pPr>
    <w:r w:rsidRPr="00007BEF">
      <w:t>FI</w:t>
    </w:r>
    <w:r w:rsidRPr="00007BEF">
      <w:tab/>
    </w:r>
    <w:r w:rsidRPr="00007BEF">
      <w:rPr>
        <w:b w:val="0"/>
        <w:i/>
        <w:color w:val="C0C0C0"/>
        <w:sz w:val="22"/>
      </w:rPr>
      <w:t>Moninaisuudessaan yhtenäinen</w:t>
    </w:r>
    <w:r w:rsidRPr="00007BEF">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05074" w14:textId="77777777" w:rsidR="00064002" w:rsidRPr="00007BE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7C22" w14:textId="77777777" w:rsidR="00064002" w:rsidRPr="00DC0FD8" w:rsidRDefault="00064002" w:rsidP="00DC0F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E4257" w14:textId="77777777" w:rsidR="00064002" w:rsidRPr="00007B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5266E" w14:textId="77777777" w:rsidR="009527FE" w:rsidRPr="00007BEF" w:rsidRDefault="009527FE">
      <w:r w:rsidRPr="00007BEF">
        <w:separator/>
      </w:r>
    </w:p>
  </w:footnote>
  <w:footnote w:type="continuationSeparator" w:id="0">
    <w:p w14:paraId="4AAA15A2" w14:textId="77777777" w:rsidR="009527FE" w:rsidRPr="00007BEF" w:rsidRDefault="009527FE">
      <w:r w:rsidRPr="00007BEF">
        <w:continuationSeparator/>
      </w:r>
    </w:p>
  </w:footnote>
  <w:footnote w:id="1">
    <w:p w14:paraId="689EF947" w14:textId="300EFD25"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EUVL L</w:t>
      </w:r>
      <w:r w:rsidR="0087025E">
        <w:rPr>
          <w:sz w:val="24"/>
          <w:lang w:val="fi-FI"/>
        </w:rPr>
        <w:t>,</w:t>
      </w:r>
      <w:r w:rsidRPr="00007BEF">
        <w:rPr>
          <w:sz w:val="24"/>
          <w:lang w:val="fi-FI"/>
        </w:rPr>
        <w:t xml:space="preserve"> </w:t>
      </w:r>
      <w:r w:rsidR="0087025E">
        <w:rPr>
          <w:sz w:val="24"/>
          <w:lang w:val="fi-FI"/>
        </w:rPr>
        <w:t>2024/</w:t>
      </w:r>
      <w:r w:rsidRPr="00007BEF">
        <w:rPr>
          <w:sz w:val="24"/>
          <w:lang w:val="fi-FI"/>
        </w:rPr>
        <w:t xml:space="preserve">207, 22.2.2024, ELI: </w:t>
      </w:r>
      <w:r>
        <w:fldChar w:fldCharType="begin"/>
      </w:r>
      <w:r w:rsidRPr="00A67C18">
        <w:rPr>
          <w:lang w:val="fi-FI"/>
        </w:rPr>
        <w:instrText>HYPERLINK "http://data.europa.eu/eli/budget/2024/207/oj"</w:instrText>
      </w:r>
      <w:r>
        <w:fldChar w:fldCharType="separate"/>
      </w:r>
      <w:r w:rsidRPr="00007BEF">
        <w:rPr>
          <w:rStyle w:val="Hyperlink"/>
          <w:color w:val="0563C1"/>
          <w:sz w:val="24"/>
          <w:lang w:val="fi-FI"/>
        </w:rPr>
        <w:t>http://data.europa.eu/eli/budget/2024/207/oj</w:t>
      </w:r>
      <w:r>
        <w:fldChar w:fldCharType="end"/>
      </w:r>
      <w:r w:rsidRPr="00007BEF">
        <w:rPr>
          <w:sz w:val="24"/>
          <w:lang w:val="fi-FI"/>
        </w:rPr>
        <w:t>.</w:t>
      </w:r>
    </w:p>
  </w:footnote>
  <w:footnote w:id="2">
    <w:p w14:paraId="35CE054B" w14:textId="621EF272"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 xml:space="preserve">EUVL C, C/2025/4944, 13.10.2025, ELI: </w:t>
      </w:r>
      <w:r>
        <w:fldChar w:fldCharType="begin"/>
      </w:r>
      <w:r w:rsidRPr="00A67C18">
        <w:rPr>
          <w:lang w:val="fi-FI"/>
        </w:rPr>
        <w:instrText>HYPERLINK "http://data.europa.eu/eli/C/2025/4944/oj"</w:instrText>
      </w:r>
      <w:r>
        <w:fldChar w:fldCharType="separate"/>
      </w:r>
      <w:r w:rsidRPr="00007BEF">
        <w:rPr>
          <w:rStyle w:val="Hyperlink"/>
          <w:sz w:val="24"/>
          <w:lang w:val="fi-FI"/>
        </w:rPr>
        <w:t>http://data.europa.eu/eli/C/2025/4944/oj</w:t>
      </w:r>
      <w:r>
        <w:fldChar w:fldCharType="end"/>
      </w:r>
      <w:r w:rsidRPr="00007BEF">
        <w:rPr>
          <w:sz w:val="24"/>
          <w:lang w:val="fi-FI"/>
        </w:rPr>
        <w:t xml:space="preserve">. </w:t>
      </w:r>
    </w:p>
  </w:footnote>
  <w:footnote w:id="3">
    <w:p w14:paraId="3BADCFF5" w14:textId="5885D75A"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 xml:space="preserve">EUVL C, C/2025/2817, 6.6.2025, ELI: </w:t>
      </w:r>
      <w:r>
        <w:fldChar w:fldCharType="begin"/>
      </w:r>
      <w:r w:rsidRPr="00A67C18">
        <w:rPr>
          <w:lang w:val="fi-FI"/>
        </w:rPr>
        <w:instrText>HYPERLINK "http://data.europa.eu/eli/C/2025/2817/oj"</w:instrText>
      </w:r>
      <w:r>
        <w:fldChar w:fldCharType="separate"/>
      </w:r>
      <w:r w:rsidRPr="00007BEF">
        <w:rPr>
          <w:rStyle w:val="Hyperlink"/>
          <w:sz w:val="24"/>
          <w:lang w:val="fi-FI"/>
        </w:rPr>
        <w:t>http://data.europa.eu/eli/C/2025/2817/oj</w:t>
      </w:r>
      <w:r>
        <w:fldChar w:fldCharType="end"/>
      </w:r>
      <w:r w:rsidRPr="00007BEF">
        <w:rPr>
          <w:sz w:val="24"/>
          <w:lang w:val="fi-FI"/>
        </w:rPr>
        <w:t>.</w:t>
      </w:r>
    </w:p>
  </w:footnote>
  <w:footnote w:id="4">
    <w:p w14:paraId="160FCF4F" w14:textId="17B19626"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 xml:space="preserve">EUVL C, C/2025/5409, 8.10.2025, ELI: </w:t>
      </w:r>
      <w:r>
        <w:fldChar w:fldCharType="begin"/>
      </w:r>
      <w:r w:rsidRPr="00A67C18">
        <w:rPr>
          <w:lang w:val="fi-FI"/>
        </w:rPr>
        <w:instrText>HYPERLINK "http://data.europa.eu/eli/C/2025/5409/oj"</w:instrText>
      </w:r>
      <w:r>
        <w:fldChar w:fldCharType="separate"/>
      </w:r>
      <w:r w:rsidRPr="00007BEF">
        <w:rPr>
          <w:rStyle w:val="Hyperlink"/>
          <w:sz w:val="24"/>
          <w:lang w:val="fi-FI"/>
        </w:rPr>
        <w:t>http://data.europa.eu/eli/C/2025/5409/oj</w:t>
      </w:r>
      <w:r>
        <w:fldChar w:fldCharType="end"/>
      </w:r>
      <w:r w:rsidRPr="00007BEF">
        <w:rPr>
          <w:sz w:val="24"/>
          <w:lang w:val="fi-FI"/>
        </w:rPr>
        <w:t>.</w:t>
      </w:r>
    </w:p>
  </w:footnote>
  <w:footnote w:id="5">
    <w:p w14:paraId="7790D35A" w14:textId="4E8BF4D3"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 xml:space="preserve">EUVL C, C/2025/5407, 13.10.2025, ELI: </w:t>
      </w:r>
      <w:r>
        <w:fldChar w:fldCharType="begin"/>
      </w:r>
      <w:r w:rsidRPr="00A67C18">
        <w:rPr>
          <w:lang w:val="fi-FI"/>
        </w:rPr>
        <w:instrText>HYPERLINK "http://data.europa.eu/eli/C/2025/5407/oj"</w:instrText>
      </w:r>
      <w:r>
        <w:fldChar w:fldCharType="separate"/>
      </w:r>
      <w:r w:rsidRPr="00007BEF">
        <w:rPr>
          <w:rStyle w:val="Hyperlink"/>
          <w:sz w:val="24"/>
          <w:lang w:val="fi-FI"/>
        </w:rPr>
        <w:t>http://data.europa.eu/eli/C/2025/5407/oj</w:t>
      </w:r>
      <w:r>
        <w:fldChar w:fldCharType="end"/>
      </w:r>
      <w:r w:rsidRPr="00007BEF">
        <w:rPr>
          <w:sz w:val="24"/>
          <w:lang w:val="fi-FI"/>
        </w:rPr>
        <w:t xml:space="preserve">. </w:t>
      </w:r>
    </w:p>
  </w:footnote>
  <w:footnote w:id="6">
    <w:p w14:paraId="0A0912BE" w14:textId="1F7F9B0D"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 xml:space="preserve">EUVL L 193, 30.7.2018, s. 1, ELI: </w:t>
      </w:r>
      <w:r>
        <w:fldChar w:fldCharType="begin"/>
      </w:r>
      <w:r w:rsidRPr="00A67C18">
        <w:rPr>
          <w:lang w:val="fi-FI"/>
        </w:rPr>
        <w:instrText>HYPERLINK "http://data.europa.eu/eli/reg/2018/1046/oj"</w:instrText>
      </w:r>
      <w:r>
        <w:fldChar w:fldCharType="separate"/>
      </w:r>
      <w:r w:rsidRPr="00007BEF">
        <w:rPr>
          <w:rStyle w:val="Hyperlink"/>
          <w:sz w:val="24"/>
          <w:lang w:val="fi-FI"/>
        </w:rPr>
        <w:t>http://data.europa.eu/eli/reg/2018/1046/oj</w:t>
      </w:r>
      <w:r>
        <w:fldChar w:fldCharType="end"/>
      </w:r>
      <w:r w:rsidRPr="00007BEF">
        <w:rPr>
          <w:sz w:val="24"/>
          <w:lang w:val="fi-FI"/>
        </w:rPr>
        <w:t>.</w:t>
      </w:r>
    </w:p>
  </w:footnote>
  <w:footnote w:id="7">
    <w:p w14:paraId="1920BDFF" w14:textId="3398E0F5"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 xml:space="preserve">EUVL L, 2024/2509, 26.9.2024, ELI: </w:t>
      </w:r>
      <w:r>
        <w:fldChar w:fldCharType="begin"/>
      </w:r>
      <w:r w:rsidRPr="00A67C18">
        <w:rPr>
          <w:lang w:val="fi-FI"/>
        </w:rPr>
        <w:instrText>HYPERLINK "http://data.europa.eu/eli/reg/2024/2509/oj"</w:instrText>
      </w:r>
      <w:r>
        <w:fldChar w:fldCharType="separate"/>
      </w:r>
      <w:r w:rsidRPr="00007BEF">
        <w:rPr>
          <w:rStyle w:val="Hyperlink"/>
          <w:sz w:val="24"/>
          <w:lang w:val="fi-FI"/>
        </w:rPr>
        <w:t>http://data.europa.eu/eli/reg/2024/2509/oj</w:t>
      </w:r>
      <w:r>
        <w:fldChar w:fldCharType="end"/>
      </w:r>
      <w:r w:rsidRPr="00007BEF">
        <w:rPr>
          <w:sz w:val="24"/>
          <w:lang w:val="fi-FI"/>
        </w:rPr>
        <w:t>.</w:t>
      </w:r>
    </w:p>
  </w:footnote>
  <w:footnote w:id="8">
    <w:p w14:paraId="1825913E" w14:textId="552D8036"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 xml:space="preserve">Neuvoston asetus (EU, Euratom) 2020/2093, annettu 17. joulukuuta 2020, vuosia 2021–2027 koskevan monivuotisen rahoituskehyksen vahvistamisesta (EUVL L 433 I, 22.12.2020, s. 11, </w:t>
      </w:r>
      <w:r w:rsidRPr="00007BEF">
        <w:rPr>
          <w:color w:val="333333"/>
          <w:sz w:val="24"/>
          <w:shd w:val="clear" w:color="auto" w:fill="FFFFFF"/>
          <w:lang w:val="fi-FI"/>
        </w:rPr>
        <w:t xml:space="preserve">ELI: </w:t>
      </w:r>
      <w:r>
        <w:fldChar w:fldCharType="begin"/>
      </w:r>
      <w:r w:rsidRPr="00A67C18">
        <w:rPr>
          <w:lang w:val="fi-FI"/>
        </w:rPr>
        <w:instrText>HYPERLINK "http://data.europa.eu/eli/reg/2020/2093/oj"</w:instrText>
      </w:r>
      <w:r>
        <w:fldChar w:fldCharType="separate"/>
      </w:r>
      <w:r w:rsidRPr="00007BEF">
        <w:rPr>
          <w:rStyle w:val="Hyperlink"/>
          <w:sz w:val="24"/>
          <w:shd w:val="clear" w:color="auto" w:fill="FFFFFF"/>
          <w:lang w:val="fi-FI"/>
        </w:rPr>
        <w:t>http://data.europa.eu/eli/reg/2020/2093/oj</w:t>
      </w:r>
      <w:r>
        <w:fldChar w:fldCharType="end"/>
      </w:r>
      <w:r w:rsidRPr="00007BEF">
        <w:rPr>
          <w:sz w:val="24"/>
          <w:lang w:val="fi-FI"/>
        </w:rPr>
        <w:t>).</w:t>
      </w:r>
    </w:p>
  </w:footnote>
  <w:footnote w:id="9">
    <w:p w14:paraId="7441B470" w14:textId="0956FD89"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 xml:space="preserve">Euroopan parlamentin ja neuvoston asetus (EU, Euratom) 2023/2841, annettu 13. joulukuuta 2023, toimenpiteistä kyberturvallisuuden yhteisen korkean tason varmistamiseksi unionin toimielimissä, elimissä, toimistoissa ja virastoissa (EUVL L, 2023/2841, 18.12.2023, ELI: </w:t>
      </w:r>
      <w:r>
        <w:fldChar w:fldCharType="begin"/>
      </w:r>
      <w:r w:rsidRPr="00A67C18">
        <w:rPr>
          <w:lang w:val="fi-FI"/>
        </w:rPr>
        <w:instrText>HYPERLINK "http://data.europa.eu/eli/reg/2023/2841/oj"</w:instrText>
      </w:r>
      <w:r>
        <w:fldChar w:fldCharType="separate"/>
      </w:r>
      <w:r w:rsidRPr="00007BEF">
        <w:rPr>
          <w:rStyle w:val="Hyperlink"/>
          <w:sz w:val="24"/>
          <w:lang w:val="fi-FI"/>
        </w:rPr>
        <w:t>http://data.europa.eu/eli/reg/2023/2841/oj</w:t>
      </w:r>
      <w:r>
        <w:fldChar w:fldCharType="end"/>
      </w:r>
      <w:r w:rsidRPr="00007BEF">
        <w:rPr>
          <w:sz w:val="24"/>
          <w:lang w:val="fi-FI"/>
        </w:rPr>
        <w:t>).</w:t>
      </w:r>
    </w:p>
  </w:footnote>
  <w:footnote w:id="10">
    <w:p w14:paraId="17B42061" w14:textId="384ABC2D"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 xml:space="preserve">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 2024/1689, 12.7.2024, ELI: </w:t>
      </w:r>
      <w:r>
        <w:fldChar w:fldCharType="begin"/>
      </w:r>
      <w:r w:rsidRPr="00A67C18">
        <w:rPr>
          <w:lang w:val="fi-FI"/>
        </w:rPr>
        <w:instrText>HYPERLINK "http://data.europa.eu/eli/reg/2024/1689/oj"</w:instrText>
      </w:r>
      <w:r>
        <w:fldChar w:fldCharType="separate"/>
      </w:r>
      <w:r w:rsidRPr="00007BEF">
        <w:rPr>
          <w:rStyle w:val="Hyperlink"/>
          <w:sz w:val="24"/>
          <w:lang w:val="fi-FI"/>
        </w:rPr>
        <w:t>http://data.europa.eu/eli/reg/2024/1689/oj</w:t>
      </w:r>
      <w:r>
        <w:fldChar w:fldCharType="end"/>
      </w:r>
      <w:r w:rsidRPr="00007BEF">
        <w:rPr>
          <w:sz w:val="24"/>
          <w:lang w:val="fi-FI"/>
        </w:rPr>
        <w:t>).</w:t>
      </w:r>
    </w:p>
  </w:footnote>
  <w:footnote w:id="11">
    <w:p w14:paraId="744AEE18" w14:textId="7DA91231"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Euroopan parlamentin puhemiehistön päätös, tehty 12. kesäkuuta 2023, Euroopan parlamentin jäsenten asemaa koskevien sääntöjen soveltamisohjeiden muuttamisesta (EUVL C 227, 29.6.2023, s. 5).</w:t>
      </w:r>
    </w:p>
  </w:footnote>
  <w:footnote w:id="12">
    <w:p w14:paraId="799D0C25" w14:textId="60001851"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 xml:space="preserve">Euroopan parlamentin ja neuvoston asetus (EU, Euratom) 2025/2445, annettu 26. marraskuuta 2025, Euroopan tason poliittisten puolueiden ja Euroopan tason poliittisten säätiöiden perussäännöstä ja rahoituksesta (EUVL L, 2025/2445, 8.12.2025, ELI: </w:t>
      </w:r>
      <w:r>
        <w:fldChar w:fldCharType="begin"/>
      </w:r>
      <w:r w:rsidRPr="00A67C18">
        <w:rPr>
          <w:lang w:val="fi-FI"/>
        </w:rPr>
        <w:instrText>HYPERLINK "http://data.europa.eu/eli/reg/2025/2445/oj"</w:instrText>
      </w:r>
      <w:r>
        <w:fldChar w:fldCharType="separate"/>
      </w:r>
      <w:r w:rsidRPr="00007BEF">
        <w:rPr>
          <w:rStyle w:val="Hyperlink"/>
          <w:sz w:val="24"/>
          <w:lang w:val="fi-FI"/>
        </w:rPr>
        <w:t>http://data.europa.eu/eli/reg/2025/2445/oj</w:t>
      </w:r>
      <w:r>
        <w:fldChar w:fldCharType="end"/>
      </w:r>
      <w:r w:rsidRPr="00007BEF">
        <w:rPr>
          <w:sz w:val="24"/>
          <w:lang w:val="fi-FI"/>
        </w:rPr>
        <w:t>).</w:t>
      </w:r>
    </w:p>
  </w:footnote>
  <w:footnote w:id="13">
    <w:p w14:paraId="18E7EA58" w14:textId="0463CDC8"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 xml:space="preserve">Kaikki määrät on ilmaistu euroina. </w:t>
      </w:r>
    </w:p>
  </w:footnote>
  <w:footnote w:id="14">
    <w:p w14:paraId="1415F209" w14:textId="631A17A9"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Koostuu vuoden 2023 lopullisen rahoituksen toisesta osasta ja vuoden 2024 lopullisen rahoituksen ensimmäisestä osasta puhemiehistön 9. maaliskuuta 2026 tekemän päätöksen mukaisesti.</w:t>
      </w:r>
    </w:p>
  </w:footnote>
  <w:footnote w:id="15">
    <w:p w14:paraId="28F3025C" w14:textId="5F38AA89"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Hyvän kirjanpitotavan periaatteiden mukaiset vuoden 2024 tilinpäätöstiedot, joita on mukautettu vuoden 2024 tilinpäätöksen uudelleenluokitusten vaikutusten mukaan.</w:t>
      </w:r>
    </w:p>
  </w:footnote>
  <w:footnote w:id="16">
    <w:p w14:paraId="0DAE5B04" w14:textId="5B19D8CA"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Heinäkuusta 2024 lähtien Euroopan patriootit eli Patriots.eu.</w:t>
      </w:r>
    </w:p>
  </w:footnote>
  <w:footnote w:id="17">
    <w:p w14:paraId="74E668E3" w14:textId="257AE79A"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Maaliskuusta 2025 lähtien Euroopan kristillinen poliittinen puolue.</w:t>
      </w:r>
    </w:p>
  </w:footnote>
  <w:footnote w:id="18">
    <w:p w14:paraId="4652D4C2" w14:textId="4EC3F073" w:rsidR="00053BD5" w:rsidRPr="00007BEF" w:rsidRDefault="00053BD5" w:rsidP="00007BEF">
      <w:pPr>
        <w:pStyle w:val="FootnoteText"/>
        <w:ind w:left="567" w:hanging="567"/>
        <w:rPr>
          <w:sz w:val="24"/>
          <w:szCs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 xml:space="preserve">Kaikki määrät on ilmaistu euroina. </w:t>
      </w:r>
    </w:p>
  </w:footnote>
  <w:footnote w:id="19">
    <w:p w14:paraId="72B8FFE6" w14:textId="7EBB7319" w:rsidR="00053BD5" w:rsidRPr="00007BEF" w:rsidRDefault="00053BD5" w:rsidP="00007BEF">
      <w:pPr>
        <w:pStyle w:val="FootnoteText"/>
        <w:ind w:left="567" w:hanging="567"/>
        <w:rPr>
          <w:sz w:val="24"/>
          <w:lang w:val="fi-FI"/>
        </w:rPr>
      </w:pPr>
      <w:r w:rsidRPr="00007BEF">
        <w:rPr>
          <w:rStyle w:val="FootnoteReference"/>
          <w:sz w:val="24"/>
          <w:lang w:val="fi-FI"/>
        </w:rPr>
        <w:footnoteRef/>
      </w:r>
      <w:r w:rsidR="00007BEF" w:rsidRPr="00007BEF">
        <w:rPr>
          <w:sz w:val="24"/>
          <w:lang w:val="fi-FI"/>
        </w:rPr>
        <w:t xml:space="preserve"> </w:t>
      </w:r>
      <w:r w:rsidR="00007BEF" w:rsidRPr="00007BEF">
        <w:rPr>
          <w:sz w:val="24"/>
          <w:lang w:val="fi-FI"/>
        </w:rPr>
        <w:tab/>
      </w:r>
      <w:r w:rsidRPr="00007BEF">
        <w:rPr>
          <w:sz w:val="24"/>
          <w:lang w:val="fi-FI"/>
        </w:rPr>
        <w:t>Hyvän kirjanpitotavan periaatteiden mukaiset vuoden 2024 tilinpäätöstiedot, joita on mukautettu vuoden 2024 tilinpäätöksen uudelleenluokitusten vaikutusten mukaan.</w:t>
      </w:r>
    </w:p>
  </w:footnote>
  <w:footnote w:id="20">
    <w:p w14:paraId="3E3E0A33" w14:textId="1E2E352F" w:rsidR="00053BD5" w:rsidRPr="00994BCF" w:rsidRDefault="00053BD5" w:rsidP="00007BEF">
      <w:pPr>
        <w:pStyle w:val="FootnoteText"/>
        <w:ind w:left="567" w:hanging="567"/>
        <w:rPr>
          <w:sz w:val="24"/>
          <w:lang w:val="en-GB"/>
        </w:rPr>
      </w:pPr>
      <w:r w:rsidRPr="00007BEF">
        <w:rPr>
          <w:rStyle w:val="FootnoteReference"/>
          <w:sz w:val="24"/>
          <w:lang w:val="fi-FI"/>
        </w:rPr>
        <w:footnoteRef/>
      </w:r>
      <w:r w:rsidR="00007BEF" w:rsidRPr="00994BCF">
        <w:rPr>
          <w:sz w:val="24"/>
          <w:lang w:val="en-GB"/>
        </w:rPr>
        <w:t xml:space="preserve"> </w:t>
      </w:r>
      <w:r w:rsidR="00007BEF" w:rsidRPr="00994BCF">
        <w:rPr>
          <w:sz w:val="24"/>
          <w:lang w:val="en-GB"/>
        </w:rPr>
        <w:tab/>
      </w:r>
      <w:proofErr w:type="spellStart"/>
      <w:r w:rsidRPr="00994BCF">
        <w:rPr>
          <w:sz w:val="24"/>
          <w:lang w:val="en-GB"/>
        </w:rPr>
        <w:t>Heinäkuusta</w:t>
      </w:r>
      <w:proofErr w:type="spellEnd"/>
      <w:r w:rsidRPr="00994BCF">
        <w:rPr>
          <w:sz w:val="24"/>
          <w:lang w:val="en-GB"/>
        </w:rPr>
        <w:t xml:space="preserve"> 2025 </w:t>
      </w:r>
      <w:proofErr w:type="spellStart"/>
      <w:r w:rsidRPr="00994BCF">
        <w:rPr>
          <w:sz w:val="24"/>
          <w:lang w:val="en-GB"/>
        </w:rPr>
        <w:t>lähtien</w:t>
      </w:r>
      <w:proofErr w:type="spellEnd"/>
      <w:r w:rsidRPr="00994BCF">
        <w:rPr>
          <w:sz w:val="24"/>
          <w:lang w:val="en-GB"/>
        </w:rPr>
        <w:t xml:space="preserve"> New Direction – The Foundation for European Conservatism.</w:t>
      </w:r>
    </w:p>
  </w:footnote>
  <w:footnote w:id="21">
    <w:p w14:paraId="6D1A12E0" w14:textId="3B604515" w:rsidR="00053BD5" w:rsidRPr="00994BCF" w:rsidRDefault="00053BD5" w:rsidP="00007BEF">
      <w:pPr>
        <w:pStyle w:val="FootnoteText"/>
        <w:ind w:left="567" w:hanging="567"/>
        <w:rPr>
          <w:sz w:val="24"/>
          <w:lang w:val="en-GB"/>
        </w:rPr>
      </w:pPr>
      <w:r w:rsidRPr="00007BEF">
        <w:rPr>
          <w:rStyle w:val="FootnoteReference"/>
          <w:sz w:val="24"/>
          <w:lang w:val="fi-FI"/>
        </w:rPr>
        <w:footnoteRef/>
      </w:r>
      <w:r w:rsidR="00007BEF" w:rsidRPr="00994BCF">
        <w:rPr>
          <w:sz w:val="24"/>
          <w:lang w:val="en-GB"/>
        </w:rPr>
        <w:t xml:space="preserve"> </w:t>
      </w:r>
      <w:r w:rsidR="00007BEF" w:rsidRPr="00994BCF">
        <w:rPr>
          <w:sz w:val="24"/>
          <w:lang w:val="en-GB"/>
        </w:rPr>
        <w:tab/>
      </w:r>
      <w:proofErr w:type="spellStart"/>
      <w:r w:rsidRPr="00994BCF">
        <w:rPr>
          <w:sz w:val="24"/>
          <w:lang w:val="en-GB"/>
        </w:rPr>
        <w:t>Lokakuusta</w:t>
      </w:r>
      <w:proofErr w:type="spellEnd"/>
      <w:r w:rsidRPr="00994BCF">
        <w:rPr>
          <w:sz w:val="24"/>
          <w:lang w:val="en-GB"/>
        </w:rPr>
        <w:t xml:space="preserve"> 2024 </w:t>
      </w:r>
      <w:proofErr w:type="spellStart"/>
      <w:r w:rsidRPr="00994BCF">
        <w:rPr>
          <w:sz w:val="24"/>
          <w:lang w:val="en-GB"/>
        </w:rPr>
        <w:t>lähtien</w:t>
      </w:r>
      <w:proofErr w:type="spellEnd"/>
      <w:r w:rsidRPr="00994BCF">
        <w:rPr>
          <w:sz w:val="24"/>
          <w:lang w:val="en-GB"/>
        </w:rPr>
        <w:t xml:space="preserve"> Patriots for Europe Foundation.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ECEA8" w14:textId="77777777" w:rsidR="00064002" w:rsidRPr="00007B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BB6E" w14:textId="77777777" w:rsidR="00064002" w:rsidRPr="00007B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0673015">
    <w:abstractNumId w:val="9"/>
  </w:num>
  <w:num w:numId="2" w16cid:durableId="2139758085">
    <w:abstractNumId w:val="9"/>
  </w:num>
  <w:num w:numId="3" w16cid:durableId="791897034">
    <w:abstractNumId w:val="7"/>
  </w:num>
  <w:num w:numId="4" w16cid:durableId="1433936995">
    <w:abstractNumId w:val="7"/>
  </w:num>
  <w:num w:numId="5" w16cid:durableId="1380394712">
    <w:abstractNumId w:val="6"/>
  </w:num>
  <w:num w:numId="6" w16cid:durableId="885874967">
    <w:abstractNumId w:val="6"/>
  </w:num>
  <w:num w:numId="7" w16cid:durableId="799111446">
    <w:abstractNumId w:val="5"/>
  </w:num>
  <w:num w:numId="8" w16cid:durableId="2071220863">
    <w:abstractNumId w:val="5"/>
  </w:num>
  <w:num w:numId="9" w16cid:durableId="348333857">
    <w:abstractNumId w:val="4"/>
  </w:num>
  <w:num w:numId="10" w16cid:durableId="398480101">
    <w:abstractNumId w:val="4"/>
  </w:num>
  <w:num w:numId="11" w16cid:durableId="834539624">
    <w:abstractNumId w:val="8"/>
  </w:num>
  <w:num w:numId="12" w16cid:durableId="942956799">
    <w:abstractNumId w:val="8"/>
  </w:num>
  <w:num w:numId="13" w16cid:durableId="594215196">
    <w:abstractNumId w:val="3"/>
  </w:num>
  <w:num w:numId="14" w16cid:durableId="1944455091">
    <w:abstractNumId w:val="3"/>
  </w:num>
  <w:num w:numId="15" w16cid:durableId="1578050889">
    <w:abstractNumId w:val="2"/>
  </w:num>
  <w:num w:numId="16" w16cid:durableId="346062604">
    <w:abstractNumId w:val="2"/>
  </w:num>
  <w:num w:numId="17" w16cid:durableId="1228951693">
    <w:abstractNumId w:val="1"/>
  </w:num>
  <w:num w:numId="18" w16cid:durableId="1712263245">
    <w:abstractNumId w:val="1"/>
  </w:num>
  <w:num w:numId="19" w16cid:durableId="941382451">
    <w:abstractNumId w:val="0"/>
  </w:num>
  <w:num w:numId="20" w16cid:durableId="1223247170">
    <w:abstractNumId w:val="0"/>
  </w:num>
  <w:num w:numId="21" w16cid:durableId="1267734525">
    <w:abstractNumId w:val="9"/>
  </w:num>
  <w:num w:numId="22" w16cid:durableId="1525054308">
    <w:abstractNumId w:val="7"/>
  </w:num>
  <w:num w:numId="23" w16cid:durableId="1107046447">
    <w:abstractNumId w:val="6"/>
  </w:num>
  <w:num w:numId="24" w16cid:durableId="486675952">
    <w:abstractNumId w:val="5"/>
  </w:num>
  <w:num w:numId="25" w16cid:durableId="1384017817">
    <w:abstractNumId w:val="4"/>
  </w:num>
  <w:num w:numId="26" w16cid:durableId="836919919">
    <w:abstractNumId w:val="8"/>
  </w:num>
  <w:num w:numId="27" w16cid:durableId="289675584">
    <w:abstractNumId w:val="3"/>
  </w:num>
  <w:num w:numId="28" w16cid:durableId="1750693482">
    <w:abstractNumId w:val="2"/>
  </w:num>
  <w:num w:numId="29" w16cid:durableId="2085564606">
    <w:abstractNumId w:val="1"/>
  </w:num>
  <w:num w:numId="30" w16cid:durableId="1761828685">
    <w:abstractNumId w:val="0"/>
  </w:num>
  <w:num w:numId="31" w16cid:durableId="301891563">
    <w:abstractNumId w:val="9"/>
  </w:num>
  <w:num w:numId="32" w16cid:durableId="6565222">
    <w:abstractNumId w:val="7"/>
  </w:num>
  <w:num w:numId="33" w16cid:durableId="1738435838">
    <w:abstractNumId w:val="6"/>
  </w:num>
  <w:num w:numId="34" w16cid:durableId="1438865288">
    <w:abstractNumId w:val="5"/>
  </w:num>
  <w:num w:numId="35" w16cid:durableId="1507163257">
    <w:abstractNumId w:val="4"/>
  </w:num>
  <w:num w:numId="36" w16cid:durableId="1118795353">
    <w:abstractNumId w:val="8"/>
  </w:num>
  <w:num w:numId="37" w16cid:durableId="1119449525">
    <w:abstractNumId w:val="3"/>
  </w:num>
  <w:num w:numId="38" w16cid:durableId="1017123265">
    <w:abstractNumId w:val="2"/>
  </w:num>
  <w:num w:numId="39" w16cid:durableId="208301446">
    <w:abstractNumId w:val="1"/>
  </w:num>
  <w:num w:numId="40" w16cid:durableId="1008287587">
    <w:abstractNumId w:val="0"/>
  </w:num>
  <w:num w:numId="41" w16cid:durableId="1937251270">
    <w:abstractNumId w:val="10"/>
  </w:num>
  <w:num w:numId="42" w16cid:durableId="610669874">
    <w:abstractNumId w:val="10"/>
  </w:num>
  <w:num w:numId="43" w16cid:durableId="741752547">
    <w:abstractNumId w:val="10"/>
  </w:num>
  <w:num w:numId="44" w16cid:durableId="5082990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FI"/>
    <w:docVar w:name="dvnumam" w:val="0"/>
    <w:docVar w:name="dvpe" w:val="776.734"/>
    <w:docVar w:name="dvrapporteur" w:val="Esittelijä: "/>
    <w:docVar w:name="dvtitre" w:val="1. Euroopan parlamentin päätös 29. huhtikuuta 2026 vastuuvapauden myöntämisestä Euroopan unionin yleisen talousarvion toteuttamisesta varainhoitovuonna 2024, pääluokka I – Euroopan parlamentti(2025/2146(DEC))"/>
  </w:docVars>
  <w:rsids>
    <w:rsidRoot w:val="009527FE"/>
    <w:rsid w:val="00002272"/>
    <w:rsid w:val="00007BEF"/>
    <w:rsid w:val="00041F26"/>
    <w:rsid w:val="00053BD5"/>
    <w:rsid w:val="00064002"/>
    <w:rsid w:val="000677B9"/>
    <w:rsid w:val="000831BA"/>
    <w:rsid w:val="000A42CC"/>
    <w:rsid w:val="000A634B"/>
    <w:rsid w:val="000B2B6B"/>
    <w:rsid w:val="000E7DD9"/>
    <w:rsid w:val="0010095E"/>
    <w:rsid w:val="00125B37"/>
    <w:rsid w:val="00135201"/>
    <w:rsid w:val="00172CC6"/>
    <w:rsid w:val="00187494"/>
    <w:rsid w:val="00190EB5"/>
    <w:rsid w:val="001A617F"/>
    <w:rsid w:val="001F32AE"/>
    <w:rsid w:val="002767FF"/>
    <w:rsid w:val="002A4A2F"/>
    <w:rsid w:val="002A5523"/>
    <w:rsid w:val="002B18FE"/>
    <w:rsid w:val="002B5493"/>
    <w:rsid w:val="002F1CE2"/>
    <w:rsid w:val="00343214"/>
    <w:rsid w:val="00361C00"/>
    <w:rsid w:val="00395FA1"/>
    <w:rsid w:val="003E15D4"/>
    <w:rsid w:val="00411CCE"/>
    <w:rsid w:val="0041666E"/>
    <w:rsid w:val="00421060"/>
    <w:rsid w:val="00471C19"/>
    <w:rsid w:val="004867E3"/>
    <w:rsid w:val="00494A28"/>
    <w:rsid w:val="004B0F82"/>
    <w:rsid w:val="004C0004"/>
    <w:rsid w:val="004C5D52"/>
    <w:rsid w:val="0050519A"/>
    <w:rsid w:val="005072A1"/>
    <w:rsid w:val="00514517"/>
    <w:rsid w:val="00545827"/>
    <w:rsid w:val="00560270"/>
    <w:rsid w:val="005C2568"/>
    <w:rsid w:val="005F1B17"/>
    <w:rsid w:val="006037C0"/>
    <w:rsid w:val="00606EFB"/>
    <w:rsid w:val="006631B6"/>
    <w:rsid w:val="00680577"/>
    <w:rsid w:val="006E2CB8"/>
    <w:rsid w:val="006F74FA"/>
    <w:rsid w:val="00731ADD"/>
    <w:rsid w:val="00734777"/>
    <w:rsid w:val="00747932"/>
    <w:rsid w:val="00751A4A"/>
    <w:rsid w:val="00756632"/>
    <w:rsid w:val="00762C74"/>
    <w:rsid w:val="00773466"/>
    <w:rsid w:val="00786EC0"/>
    <w:rsid w:val="007A385A"/>
    <w:rsid w:val="007D1690"/>
    <w:rsid w:val="007D54BF"/>
    <w:rsid w:val="007E22AD"/>
    <w:rsid w:val="00817416"/>
    <w:rsid w:val="00842779"/>
    <w:rsid w:val="00865F67"/>
    <w:rsid w:val="0087025E"/>
    <w:rsid w:val="00881A7B"/>
    <w:rsid w:val="008821C7"/>
    <w:rsid w:val="008840E5"/>
    <w:rsid w:val="00887B3E"/>
    <w:rsid w:val="008C2AC6"/>
    <w:rsid w:val="00916849"/>
    <w:rsid w:val="00930C23"/>
    <w:rsid w:val="0093193B"/>
    <w:rsid w:val="009509D8"/>
    <w:rsid w:val="00950B64"/>
    <w:rsid w:val="009527FE"/>
    <w:rsid w:val="00981893"/>
    <w:rsid w:val="00994BCF"/>
    <w:rsid w:val="00A1687D"/>
    <w:rsid w:val="00A43E52"/>
    <w:rsid w:val="00A4678D"/>
    <w:rsid w:val="00A67C18"/>
    <w:rsid w:val="00A778C7"/>
    <w:rsid w:val="00AB441E"/>
    <w:rsid w:val="00AB6293"/>
    <w:rsid w:val="00AE0928"/>
    <w:rsid w:val="00AF3B82"/>
    <w:rsid w:val="00B12E95"/>
    <w:rsid w:val="00B2234D"/>
    <w:rsid w:val="00B22876"/>
    <w:rsid w:val="00B558F0"/>
    <w:rsid w:val="00BD48FE"/>
    <w:rsid w:val="00BD7BD8"/>
    <w:rsid w:val="00BE6ADC"/>
    <w:rsid w:val="00C00CA1"/>
    <w:rsid w:val="00C05BFE"/>
    <w:rsid w:val="00C22F66"/>
    <w:rsid w:val="00C23CD4"/>
    <w:rsid w:val="00C33D50"/>
    <w:rsid w:val="00C56505"/>
    <w:rsid w:val="00C61C0C"/>
    <w:rsid w:val="00C941CB"/>
    <w:rsid w:val="00CC2357"/>
    <w:rsid w:val="00CF071A"/>
    <w:rsid w:val="00D058B8"/>
    <w:rsid w:val="00D171E7"/>
    <w:rsid w:val="00D56C11"/>
    <w:rsid w:val="00D834A0"/>
    <w:rsid w:val="00D872DF"/>
    <w:rsid w:val="00D91E21"/>
    <w:rsid w:val="00DA6BAD"/>
    <w:rsid w:val="00DA7FCD"/>
    <w:rsid w:val="00DC0FD8"/>
    <w:rsid w:val="00E365E1"/>
    <w:rsid w:val="00E820A4"/>
    <w:rsid w:val="00EB006A"/>
    <w:rsid w:val="00EB4772"/>
    <w:rsid w:val="00ED169E"/>
    <w:rsid w:val="00ED4235"/>
    <w:rsid w:val="00EE0C4A"/>
    <w:rsid w:val="00F04346"/>
    <w:rsid w:val="00F075DC"/>
    <w:rsid w:val="00F149E9"/>
    <w:rsid w:val="00F31EEC"/>
    <w:rsid w:val="00F44B8B"/>
    <w:rsid w:val="00F5134D"/>
    <w:rsid w:val="00F74202"/>
    <w:rsid w:val="00F87713"/>
    <w:rsid w:val="00FB3BD4"/>
    <w:rsid w:val="00FB4360"/>
    <w:rsid w:val="00FD0C70"/>
    <w:rsid w:val="00FF7D7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C6C87B"/>
  <w15:chartTrackingRefBased/>
  <w15:docId w15:val="{CFD5FEA9-77E1-431F-AF5F-52E849AE4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0FD8"/>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53BD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53BD5"/>
    <w:pPr>
      <w:spacing w:before="480" w:after="240"/>
    </w:pPr>
  </w:style>
  <w:style w:type="paragraph" w:customStyle="1" w:styleId="PageHeading">
    <w:name w:val="PageHeading"/>
    <w:basedOn w:val="Normal"/>
    <w:rsid w:val="00053BD5"/>
    <w:pPr>
      <w:keepNext/>
      <w:spacing w:after="480"/>
      <w:jc w:val="center"/>
    </w:pPr>
    <w:rPr>
      <w:rFonts w:ascii="Arial" w:hAnsi="Arial" w:cs="Arial"/>
      <w:b/>
    </w:rPr>
  </w:style>
  <w:style w:type="paragraph" w:customStyle="1" w:styleId="NormalBold">
    <w:name w:val="NormalBold"/>
    <w:basedOn w:val="Normal"/>
    <w:rsid w:val="00053BD5"/>
    <w:rPr>
      <w:b/>
    </w:rPr>
  </w:style>
  <w:style w:type="paragraph" w:customStyle="1" w:styleId="NormalHanging12a">
    <w:name w:val="NormalHanging12a"/>
    <w:basedOn w:val="Normal"/>
    <w:link w:val="NormalHanging12aChar"/>
    <w:rsid w:val="00053BD5"/>
    <w:pPr>
      <w:spacing w:after="240"/>
      <w:ind w:left="567" w:hanging="567"/>
    </w:pPr>
  </w:style>
  <w:style w:type="paragraph" w:customStyle="1" w:styleId="EPFooter">
    <w:name w:val="EPFooter"/>
    <w:basedOn w:val="Normal"/>
    <w:rsid w:val="00053BD5"/>
    <w:pPr>
      <w:tabs>
        <w:tab w:val="center" w:pos="4535"/>
        <w:tab w:val="right" w:pos="9071"/>
      </w:tabs>
      <w:spacing w:before="240" w:after="240"/>
    </w:pPr>
    <w:rPr>
      <w:color w:val="010000"/>
      <w:sz w:val="22"/>
    </w:rPr>
  </w:style>
  <w:style w:type="paragraph" w:styleId="Header">
    <w:name w:val="header"/>
    <w:basedOn w:val="Normal"/>
    <w:link w:val="HeaderChar"/>
    <w:rsid w:val="00053BD5"/>
    <w:pPr>
      <w:tabs>
        <w:tab w:val="center" w:pos="4513"/>
        <w:tab w:val="right" w:pos="9026"/>
      </w:tabs>
    </w:pPr>
  </w:style>
  <w:style w:type="character" w:customStyle="1" w:styleId="HeaderChar">
    <w:name w:val="Header Char"/>
    <w:basedOn w:val="DefaultParagraphFont"/>
    <w:link w:val="Header"/>
    <w:rsid w:val="00053BD5"/>
    <w:rPr>
      <w:sz w:val="24"/>
      <w:lang w:val="fi-FI"/>
    </w:rPr>
  </w:style>
  <w:style w:type="character" w:styleId="Hyperlink">
    <w:name w:val="Hyperlink"/>
    <w:basedOn w:val="DefaultParagraphFont"/>
    <w:rsid w:val="00053BD5"/>
    <w:rPr>
      <w:color w:val="0563C1" w:themeColor="hyperlink"/>
      <w:u w:val="single"/>
    </w:rPr>
  </w:style>
  <w:style w:type="character" w:customStyle="1" w:styleId="NormalHanging12aChar">
    <w:name w:val="NormalHanging12a Char"/>
    <w:basedOn w:val="DefaultParagraphFont"/>
    <w:link w:val="NormalHanging12a"/>
    <w:rsid w:val="00053BD5"/>
    <w:rPr>
      <w:sz w:val="24"/>
      <w:lang w:val="fi-FI"/>
    </w:rPr>
  </w:style>
  <w:style w:type="paragraph" w:styleId="Footer">
    <w:name w:val="footer"/>
    <w:basedOn w:val="Normal"/>
    <w:link w:val="FooterChar"/>
    <w:rsid w:val="00DC0FD8"/>
    <w:pPr>
      <w:tabs>
        <w:tab w:val="center" w:pos="4513"/>
        <w:tab w:val="right" w:pos="9026"/>
      </w:tabs>
    </w:pPr>
  </w:style>
  <w:style w:type="character" w:customStyle="1" w:styleId="FooterChar">
    <w:name w:val="Footer Char"/>
    <w:basedOn w:val="DefaultParagraphFont"/>
    <w:link w:val="Footer"/>
    <w:rsid w:val="00DC0FD8"/>
    <w:rPr>
      <w:sz w:val="24"/>
      <w:lang w:val="fi-FI"/>
    </w:rPr>
  </w:style>
  <w:style w:type="paragraph" w:styleId="Revision">
    <w:name w:val="Revision"/>
    <w:hidden/>
    <w:uiPriority w:val="99"/>
    <w:semiHidden/>
    <w:rsid w:val="00B2234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33</Pages>
  <Words>11015</Words>
  <Characters>93643</Characters>
  <Application>Microsoft Office Word</Application>
  <DocSecurity>0</DocSecurity>
  <Lines>780</Lines>
  <Paragraphs>208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2026-05-05T14:13:00Z</dcterms:created>
  <dcterms:modified xsi:type="dcterms:W3CDTF">2026-05-05T14:13:00Z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P10_TA(2026)0126_</vt:lpwstr>
  </property>
  <property fmtid="{D5CDD505-2E9C-101B-9397-08002B2CF9AE}" pid="4" name="&lt;Type&gt;">
    <vt:lpwstr>RR</vt:lpwstr>
  </property>
</Properties>
</file>