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3A7" w14:paraId="43735D35" w14:textId="77777777" w:rsidTr="0010095E">
        <w:trPr>
          <w:trHeight w:hRule="exact" w:val="1418"/>
        </w:trPr>
        <w:tc>
          <w:tcPr>
            <w:tcW w:w="6804" w:type="dxa"/>
            <w:shd w:val="clear" w:color="auto" w:fill="auto"/>
            <w:vAlign w:val="center"/>
          </w:tcPr>
          <w:p w14:paraId="1CC7C1AB" w14:textId="77777777" w:rsidR="00751A4A" w:rsidRPr="00B013A7" w:rsidRDefault="00B002E7" w:rsidP="0010095E">
            <w:pPr>
              <w:pStyle w:val="EPName"/>
            </w:pPr>
            <w:r w:rsidRPr="00B013A7">
              <w:t>Europski parlament</w:t>
            </w:r>
          </w:p>
          <w:p w14:paraId="365D6FC6" w14:textId="77777777" w:rsidR="00751A4A" w:rsidRPr="00B013A7" w:rsidRDefault="005F1B17" w:rsidP="005F1B17">
            <w:pPr>
              <w:pStyle w:val="EPTerm"/>
              <w:rPr>
                <w:rStyle w:val="HideTWBExt"/>
                <w:noProof w:val="0"/>
                <w:vanish w:val="0"/>
                <w:color w:val="auto"/>
              </w:rPr>
            </w:pPr>
            <w:r w:rsidRPr="00B013A7">
              <w:t>2024</w:t>
            </w:r>
            <w:r w:rsidR="00817416" w:rsidRPr="00B013A7">
              <w:t>-202</w:t>
            </w:r>
            <w:r w:rsidRPr="00B013A7">
              <w:t>9</w:t>
            </w:r>
          </w:p>
        </w:tc>
        <w:tc>
          <w:tcPr>
            <w:tcW w:w="2268" w:type="dxa"/>
            <w:shd w:val="clear" w:color="auto" w:fill="auto"/>
          </w:tcPr>
          <w:p w14:paraId="3995D0AD" w14:textId="77777777" w:rsidR="00751A4A" w:rsidRPr="00B013A7" w:rsidRDefault="00187494" w:rsidP="0010095E">
            <w:pPr>
              <w:pStyle w:val="EPLogo"/>
            </w:pPr>
            <w:r w:rsidRPr="00B013A7">
              <w:rPr>
                <w:noProof/>
                <w:lang w:eastAsia="ja-JP"/>
              </w:rPr>
              <w:drawing>
                <wp:inline distT="0" distB="0" distL="0" distR="0" wp14:anchorId="5AAF48FD" wp14:editId="118FFD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CB845C" w14:textId="77777777" w:rsidR="00D058B8" w:rsidRPr="00B013A7" w:rsidRDefault="00D058B8" w:rsidP="004C5D52">
      <w:pPr>
        <w:pStyle w:val="LineTop"/>
      </w:pPr>
    </w:p>
    <w:p w14:paraId="09A1898D" w14:textId="77777777" w:rsidR="00680577" w:rsidRPr="00B013A7" w:rsidRDefault="00B002E7" w:rsidP="00680577">
      <w:pPr>
        <w:pStyle w:val="EPBodyTA1"/>
      </w:pPr>
      <w:r w:rsidRPr="00B013A7">
        <w:t>USVOJENI TEKSTOVI</w:t>
      </w:r>
    </w:p>
    <w:p w14:paraId="1526AEAE" w14:textId="77777777" w:rsidR="00D058B8" w:rsidRPr="00B013A7" w:rsidRDefault="00D058B8" w:rsidP="00D058B8">
      <w:pPr>
        <w:pStyle w:val="LineBottom"/>
      </w:pPr>
    </w:p>
    <w:p w14:paraId="0808157E" w14:textId="7B717A8E" w:rsidR="00B002E7" w:rsidRPr="00B013A7" w:rsidRDefault="00B002E7" w:rsidP="00B002E7">
      <w:pPr>
        <w:pStyle w:val="ATHeading1"/>
      </w:pPr>
      <w:bookmarkStart w:id="0" w:name="TANumber"/>
      <w:r w:rsidRPr="00B013A7">
        <w:t>P10_TA(2026)0</w:t>
      </w:r>
      <w:r w:rsidR="00E27123">
        <w:t>126</w:t>
      </w:r>
      <w:bookmarkEnd w:id="0"/>
    </w:p>
    <w:p w14:paraId="392D32CE" w14:textId="77777777" w:rsidR="00B002E7" w:rsidRPr="00B013A7" w:rsidRDefault="00B002E7" w:rsidP="00B002E7">
      <w:pPr>
        <w:pStyle w:val="ATHeading2"/>
      </w:pPr>
      <w:bookmarkStart w:id="1" w:name="title"/>
      <w:r w:rsidRPr="00B013A7">
        <w:t>Razrješnica za 2024.: Opći proračun EU-a – Europski parlament</w:t>
      </w:r>
      <w:bookmarkEnd w:id="1"/>
    </w:p>
    <w:p w14:paraId="1602CCE0" w14:textId="77777777" w:rsidR="00B002E7" w:rsidRPr="00B013A7" w:rsidRDefault="00B002E7" w:rsidP="00B002E7">
      <w:pPr>
        <w:rPr>
          <w:i/>
          <w:vanish/>
        </w:rPr>
      </w:pPr>
      <w:r w:rsidRPr="00B013A7">
        <w:rPr>
          <w:i/>
        </w:rPr>
        <w:fldChar w:fldCharType="begin"/>
      </w:r>
      <w:r w:rsidRPr="00B013A7">
        <w:rPr>
          <w:i/>
        </w:rPr>
        <w:instrText xml:space="preserve"> TC"(</w:instrText>
      </w:r>
      <w:bookmarkStart w:id="2" w:name="DocNumber"/>
      <w:r w:rsidRPr="00B013A7">
        <w:rPr>
          <w:i/>
        </w:rPr>
        <w:instrText>A10-0081/2026</w:instrText>
      </w:r>
      <w:bookmarkEnd w:id="2"/>
      <w:r w:rsidRPr="00B013A7">
        <w:rPr>
          <w:i/>
        </w:rPr>
        <w:instrText xml:space="preserve"> - Izvjestitelj: </w:instrText>
      </w:r>
      <w:proofErr w:type="spellStart"/>
      <w:r w:rsidRPr="00B013A7">
        <w:rPr>
          <w:i/>
        </w:rPr>
        <w:instrText>Gerben</w:instrText>
      </w:r>
      <w:proofErr w:type="spellEnd"/>
      <w:r w:rsidRPr="00B013A7">
        <w:rPr>
          <w:i/>
        </w:rPr>
        <w:instrText xml:space="preserve">-Jan </w:instrText>
      </w:r>
      <w:proofErr w:type="spellStart"/>
      <w:r w:rsidRPr="00B013A7">
        <w:rPr>
          <w:i/>
        </w:rPr>
        <w:instrText>Gerbrandy</w:instrText>
      </w:r>
      <w:proofErr w:type="spellEnd"/>
      <w:r w:rsidRPr="00B013A7">
        <w:rPr>
          <w:i/>
        </w:rPr>
        <w:instrText xml:space="preserve">)"\l3 \n&gt; \* MERGEFORMAT </w:instrText>
      </w:r>
      <w:r w:rsidRPr="00B013A7">
        <w:rPr>
          <w:i/>
        </w:rPr>
        <w:fldChar w:fldCharType="end"/>
      </w:r>
    </w:p>
    <w:p w14:paraId="047A5E28" w14:textId="77777777" w:rsidR="00B002E7" w:rsidRPr="00B013A7" w:rsidRDefault="00B002E7" w:rsidP="00B002E7">
      <w:pPr>
        <w:rPr>
          <w:vanish/>
        </w:rPr>
      </w:pPr>
      <w:bookmarkStart w:id="3" w:name="Commission"/>
      <w:r w:rsidRPr="00B013A7">
        <w:rPr>
          <w:vanish/>
        </w:rPr>
        <w:t>Odbor za proračunski nadzor</w:t>
      </w:r>
      <w:bookmarkEnd w:id="3"/>
    </w:p>
    <w:p w14:paraId="657AE185" w14:textId="77777777" w:rsidR="00B002E7" w:rsidRPr="00B013A7" w:rsidRDefault="00B002E7" w:rsidP="00B002E7">
      <w:pPr>
        <w:rPr>
          <w:vanish/>
        </w:rPr>
      </w:pPr>
      <w:bookmarkStart w:id="4" w:name="PE"/>
      <w:r w:rsidRPr="00B013A7">
        <w:rPr>
          <w:vanish/>
        </w:rPr>
        <w:t>PE776.734</w:t>
      </w:r>
      <w:bookmarkEnd w:id="4"/>
    </w:p>
    <w:p w14:paraId="362AA5FA" w14:textId="4672DA5B" w:rsidR="00B002E7" w:rsidRPr="00B013A7" w:rsidRDefault="00B013A7" w:rsidP="00B002E7">
      <w:pPr>
        <w:pStyle w:val="ATHeading3"/>
      </w:pPr>
      <w:bookmarkStart w:id="5" w:name="Sujet"/>
      <w:r>
        <w:t xml:space="preserve">1. </w:t>
      </w:r>
      <w:r w:rsidR="00B002E7" w:rsidRPr="00B013A7">
        <w:t xml:space="preserve">Odluka Europskog parlamenta od </w:t>
      </w:r>
      <w:r>
        <w:t>29</w:t>
      </w:r>
      <w:r w:rsidR="00B002E7" w:rsidRPr="00B013A7">
        <w:t xml:space="preserve">. </w:t>
      </w:r>
      <w:r>
        <w:t xml:space="preserve">travnja </w:t>
      </w:r>
      <w:r w:rsidR="00B002E7" w:rsidRPr="00B013A7">
        <w:t>2026. o razrješnici za izvršenje općeg proračuna Europske unije za financijsku godinu 2024., dio I. – Europski parlament</w:t>
      </w:r>
      <w:bookmarkEnd w:id="5"/>
      <w:r w:rsidR="00B002E7" w:rsidRPr="00B013A7">
        <w:t xml:space="preserve"> </w:t>
      </w:r>
      <w:bookmarkStart w:id="6" w:name="References"/>
      <w:r w:rsidR="00B002E7" w:rsidRPr="00B013A7">
        <w:t>(2025/2146(DEC))</w:t>
      </w:r>
      <w:bookmarkEnd w:id="6"/>
    </w:p>
    <w:p w14:paraId="0EB04A0B" w14:textId="77777777" w:rsidR="001E4492" w:rsidRPr="00B013A7" w:rsidRDefault="001E4492" w:rsidP="001E4492">
      <w:pPr>
        <w:pStyle w:val="EPComma"/>
        <w:rPr>
          <w:noProof/>
        </w:rPr>
      </w:pPr>
      <w:bookmarkStart w:id="7" w:name="TextBodyBegin"/>
      <w:bookmarkEnd w:id="7"/>
      <w:r w:rsidRPr="00B013A7">
        <w:rPr>
          <w:i/>
        </w:rPr>
        <w:t>Europski parlament</w:t>
      </w:r>
      <w:r w:rsidRPr="00B013A7">
        <w:t>,</w:t>
      </w:r>
    </w:p>
    <w:p w14:paraId="1C1535C8" w14:textId="77777777" w:rsidR="001E4492" w:rsidRPr="00B013A7" w:rsidRDefault="001E4492" w:rsidP="001E4492">
      <w:pPr>
        <w:pStyle w:val="NormalHanging12a"/>
        <w:rPr>
          <w:noProof/>
        </w:rPr>
      </w:pPr>
      <w:r w:rsidRPr="00B013A7">
        <w:t>–</w:t>
      </w:r>
      <w:r w:rsidRPr="00B013A7">
        <w:tab/>
        <w:t>uzimajući u obzir opći proračun Europske unije za financijsku godinu 2024.</w:t>
      </w:r>
      <w:r w:rsidRPr="00B013A7">
        <w:rPr>
          <w:rStyle w:val="FootnoteReference"/>
          <w:noProof/>
        </w:rPr>
        <w:footnoteReference w:id="1"/>
      </w:r>
      <w:r w:rsidRPr="00B013A7">
        <w:t>,</w:t>
      </w:r>
    </w:p>
    <w:p w14:paraId="74BCEC74" w14:textId="77777777" w:rsidR="001E4492" w:rsidRPr="00B013A7" w:rsidRDefault="001E4492" w:rsidP="001E4492">
      <w:pPr>
        <w:pStyle w:val="NormalHanging12a"/>
        <w:rPr>
          <w:noProof/>
        </w:rPr>
      </w:pPr>
      <w:r w:rsidRPr="00B013A7">
        <w:t>–</w:t>
      </w:r>
      <w:r w:rsidRPr="00B013A7">
        <w:tab/>
        <w:t>uzimajući u obzir konsolidiranu godišnju računovodstvenu dokumentaciju Europske unije za financijsku godinu 2024. (COM(2025)0359 – C10</w:t>
      </w:r>
      <w:r w:rsidRPr="00B013A7">
        <w:noBreakHyphen/>
        <w:t>0146/2025)</w:t>
      </w:r>
      <w:r w:rsidRPr="00B013A7">
        <w:rPr>
          <w:rStyle w:val="FootnoteReference"/>
          <w:noProof/>
        </w:rPr>
        <w:footnoteReference w:id="2"/>
      </w:r>
      <w:r w:rsidRPr="00B013A7">
        <w:t>,</w:t>
      </w:r>
    </w:p>
    <w:p w14:paraId="0EC82431" w14:textId="77777777" w:rsidR="001E4492" w:rsidRPr="00B013A7" w:rsidRDefault="001E4492" w:rsidP="001E4492">
      <w:pPr>
        <w:pStyle w:val="NormalHanging12a"/>
        <w:rPr>
          <w:noProof/>
        </w:rPr>
      </w:pPr>
      <w:r w:rsidRPr="00B013A7">
        <w:t>–</w:t>
      </w:r>
      <w:r w:rsidRPr="00B013A7">
        <w:tab/>
        <w:t>uzimajući u obzir izvješće o proračunskom i financijskom upravljanju za financijsku godinu 2024., dio I. – Europski parlament</w:t>
      </w:r>
      <w:r w:rsidRPr="00B013A7">
        <w:rPr>
          <w:rStyle w:val="FootnoteReference"/>
          <w:noProof/>
        </w:rPr>
        <w:footnoteReference w:id="3"/>
      </w:r>
      <w:r w:rsidRPr="00B013A7">
        <w:t>,</w:t>
      </w:r>
    </w:p>
    <w:p w14:paraId="2F211DA1" w14:textId="77777777" w:rsidR="001E4492" w:rsidRPr="00B013A7" w:rsidRDefault="001E4492" w:rsidP="001E4492">
      <w:pPr>
        <w:pStyle w:val="NormalHanging12a"/>
        <w:rPr>
          <w:noProof/>
        </w:rPr>
      </w:pPr>
      <w:r w:rsidRPr="00B013A7">
        <w:t>–</w:t>
      </w:r>
      <w:r w:rsidRPr="00B013A7">
        <w:tab/>
        <w:t>uzimajući u obzir godišnje izvješće unutarnjeg revizora za financijsku godinu 2024.,</w:t>
      </w:r>
    </w:p>
    <w:p w14:paraId="247A7B50" w14:textId="77777777" w:rsidR="001E4492" w:rsidRPr="00B013A7" w:rsidRDefault="001E4492" w:rsidP="001E4492">
      <w:pPr>
        <w:pStyle w:val="NormalHanging12a"/>
        <w:rPr>
          <w:noProof/>
        </w:rPr>
      </w:pPr>
      <w:r w:rsidRPr="00B013A7">
        <w:t>–</w:t>
      </w:r>
      <w:r w:rsidRPr="00B013A7">
        <w:tab/>
        <w:t>uzimajući u obzir godišnje izvješće Revizorskog suda o izvršenju proračuna za financijsku godinu 2024., s odgovorima institucija</w:t>
      </w:r>
      <w:r w:rsidRPr="00B013A7">
        <w:rPr>
          <w:rStyle w:val="FootnoteReference"/>
          <w:noProof/>
        </w:rPr>
        <w:footnoteReference w:id="4"/>
      </w:r>
      <w:r w:rsidRPr="00B013A7">
        <w:t>,</w:t>
      </w:r>
    </w:p>
    <w:p w14:paraId="09D96D07" w14:textId="77777777" w:rsidR="001E4492" w:rsidRPr="00B013A7" w:rsidRDefault="001E4492" w:rsidP="001E4492">
      <w:pPr>
        <w:pStyle w:val="NormalHanging12a"/>
        <w:rPr>
          <w:noProof/>
        </w:rPr>
      </w:pPr>
      <w:r w:rsidRPr="00B013A7">
        <w:t>–</w:t>
      </w:r>
      <w:r w:rsidRPr="00B013A7">
        <w:tab/>
        <w:t>uzimajući u obzir izjavu o jamstvu</w:t>
      </w:r>
      <w:r w:rsidRPr="00B013A7">
        <w:rPr>
          <w:rStyle w:val="FootnoteReference"/>
          <w:noProof/>
        </w:rPr>
        <w:footnoteReference w:id="5"/>
      </w:r>
      <w:r w:rsidRPr="00B013A7">
        <w:t xml:space="preserve"> u pogledu pouzdanosti računovodstvene dokumentacije te zakonitosti i pravilnosti temeljnih transakcija, koju je u skladu s člankom 287. Ugovora o funkcioniranju Europske unije Revizorski sud podnio za financijsku godinu 2024.,</w:t>
      </w:r>
    </w:p>
    <w:p w14:paraId="75386B86" w14:textId="77777777" w:rsidR="001E4492" w:rsidRPr="00B013A7" w:rsidRDefault="001E4492" w:rsidP="001E4492">
      <w:pPr>
        <w:pStyle w:val="NormalHanging12a"/>
        <w:rPr>
          <w:noProof/>
        </w:rPr>
      </w:pPr>
      <w:r w:rsidRPr="00B013A7">
        <w:t>–</w:t>
      </w:r>
      <w:r w:rsidRPr="00B013A7">
        <w:tab/>
        <w:t>uzimajući u obzir članak 314. stavak 10. i članak 318. Ugovora o funkcioniranju Europske unije,</w:t>
      </w:r>
    </w:p>
    <w:p w14:paraId="1081E68C" w14:textId="77777777" w:rsidR="001E4492" w:rsidRPr="00B013A7" w:rsidRDefault="001E4492" w:rsidP="001E4492">
      <w:pPr>
        <w:pStyle w:val="NormalHanging12a"/>
        <w:rPr>
          <w:noProof/>
        </w:rPr>
      </w:pPr>
      <w:r w:rsidRPr="00B013A7">
        <w:t>–</w:t>
      </w:r>
      <w:r w:rsidRPr="00B013A7">
        <w:tab/>
        <w:t xml:space="preserve">uzimajući u obzir Uredbu (EU, Euratom) 2018/1046 Europskog Parlamenta i Vijeća od 18. srpnja 2018. o financijskim pravilima koja se primjenjuju na opći proračun Unije, o izmjeni uredaba (EU) br. 1296/2013, (EU) br. 1301/2013, (EU) br. 1303/2013, </w:t>
      </w:r>
      <w:r w:rsidRPr="00B013A7">
        <w:lastRenderedPageBreak/>
        <w:t>(EU) br. 1304/2013, (EU) br. 1309/2013, (EU) br. 1316/2013, (EU) br. 223/2014, (EU) br. 283/2014 i Odluke br. 541/2014/EU te o stavljanju izvan snage Uredbe (EU, Euratom) br. 966/2012</w:t>
      </w:r>
      <w:r w:rsidRPr="00B013A7">
        <w:rPr>
          <w:rStyle w:val="FootnoteReference"/>
          <w:noProof/>
        </w:rPr>
        <w:footnoteReference w:id="6"/>
      </w:r>
      <w:r w:rsidRPr="00B013A7">
        <w:t>, a posebno njezine članke 260., 261. i 262.,</w:t>
      </w:r>
    </w:p>
    <w:p w14:paraId="62764DDE" w14:textId="77777777" w:rsidR="001E4492" w:rsidRPr="00B013A7" w:rsidRDefault="001E4492" w:rsidP="001E4492">
      <w:pPr>
        <w:pStyle w:val="NormalHanging12a"/>
        <w:rPr>
          <w:noProof/>
        </w:rPr>
      </w:pPr>
      <w:r w:rsidRPr="00B013A7">
        <w:t>–</w:t>
      </w:r>
      <w:r w:rsidRPr="00B013A7">
        <w:tab/>
        <w:t>uzimajući u obzir Uredbu (EU, Euratom) 2024/2509 Europskog parlamenta i Vijeća od 23. rujna 2024. o financijskim pravilima koja se primjenjuju na opći proračun Unije</w:t>
      </w:r>
      <w:r w:rsidRPr="00B013A7">
        <w:rPr>
          <w:rStyle w:val="FootnoteReference"/>
          <w:noProof/>
        </w:rPr>
        <w:footnoteReference w:id="7"/>
      </w:r>
      <w:r w:rsidRPr="00B013A7">
        <w:t>, a posebno njezine članke 266., 267. i 268.,</w:t>
      </w:r>
    </w:p>
    <w:p w14:paraId="6F9622A6" w14:textId="77777777" w:rsidR="001E4492" w:rsidRPr="00B013A7" w:rsidRDefault="001E4492" w:rsidP="001E4492">
      <w:pPr>
        <w:pStyle w:val="NormalHanging12a"/>
        <w:rPr>
          <w:noProof/>
        </w:rPr>
      </w:pPr>
      <w:r w:rsidRPr="00B013A7">
        <w:t>–</w:t>
      </w:r>
      <w:r w:rsidRPr="00B013A7">
        <w:tab/>
        <w:t>uzimajući u obzir Odluku Predsjedništva od 10. prosinca 2018. o internom pravilniku o izvršenju proračuna Europskog parlamenta, a posebno njezin članak 34.,</w:t>
      </w:r>
    </w:p>
    <w:p w14:paraId="6DBC34CF" w14:textId="77777777" w:rsidR="001E4492" w:rsidRPr="00B013A7" w:rsidRDefault="001E4492" w:rsidP="001E4492">
      <w:pPr>
        <w:pStyle w:val="NormalHanging12a"/>
        <w:rPr>
          <w:noProof/>
        </w:rPr>
      </w:pPr>
      <w:r w:rsidRPr="00B013A7">
        <w:t>–</w:t>
      </w:r>
      <w:r w:rsidRPr="00B013A7">
        <w:tab/>
        <w:t>uzimajući u obzir članak 102. i članak 106. stavak 3. Poslovnika te Prilog V. Poslovniku,</w:t>
      </w:r>
    </w:p>
    <w:p w14:paraId="6842E8CD" w14:textId="77777777" w:rsidR="001E4492" w:rsidRPr="00B013A7" w:rsidRDefault="001E4492" w:rsidP="001E4492">
      <w:pPr>
        <w:pStyle w:val="NormalHanging12a"/>
      </w:pPr>
      <w:r w:rsidRPr="00B013A7">
        <w:t>–</w:t>
      </w:r>
      <w:r w:rsidRPr="00B013A7">
        <w:tab/>
        <w:t>uzimajući u obzir mišljenje Odbora za prava žena i rodnu ravnopravnost,</w:t>
      </w:r>
    </w:p>
    <w:p w14:paraId="69E9E732" w14:textId="77777777" w:rsidR="001E4492" w:rsidRPr="00B013A7" w:rsidRDefault="001E4492" w:rsidP="001E4492">
      <w:pPr>
        <w:pStyle w:val="NormalHanging12a"/>
      </w:pPr>
      <w:r w:rsidRPr="00B013A7">
        <w:t>–</w:t>
      </w:r>
      <w:r w:rsidRPr="00B013A7">
        <w:tab/>
        <w:t>uzimajući u obzir izvješće Odbora za proračunski nadzor (A10</w:t>
      </w:r>
      <w:r w:rsidRPr="00B013A7">
        <w:noBreakHyphen/>
        <w:t>0081/2026),</w:t>
      </w:r>
    </w:p>
    <w:p w14:paraId="4D576A7D" w14:textId="62961A16" w:rsidR="001E4492" w:rsidRPr="00B013A7" w:rsidRDefault="001E4492" w:rsidP="001E4492">
      <w:pPr>
        <w:pStyle w:val="NormalHanging12a"/>
        <w:rPr>
          <w:noProof/>
        </w:rPr>
      </w:pPr>
      <w:r w:rsidRPr="00B013A7">
        <w:t>1.</w:t>
      </w:r>
      <w:r w:rsidRPr="00B013A7">
        <w:tab/>
        <w:t>daje svojoj predsjednici razrješnicu za izvršenje proračuna Europskog parlamenta za financijsku godinu 2024.</w:t>
      </w:r>
      <w:r w:rsidR="00B013A7">
        <w:t>;</w:t>
      </w:r>
    </w:p>
    <w:p w14:paraId="2D9D2AE2" w14:textId="77777777" w:rsidR="001E4492" w:rsidRPr="00B013A7" w:rsidRDefault="001E4492" w:rsidP="001E4492">
      <w:pPr>
        <w:pStyle w:val="NormalHanging12a"/>
        <w:rPr>
          <w:noProof/>
        </w:rPr>
      </w:pPr>
      <w:r w:rsidRPr="00B013A7">
        <w:t>2.</w:t>
      </w:r>
      <w:r w:rsidRPr="00B013A7">
        <w:tab/>
        <w:t>iznosi svoje primjedbe u Rezoluciji u nastavku;</w:t>
      </w:r>
    </w:p>
    <w:p w14:paraId="0182E20B" w14:textId="77777777" w:rsidR="001E4492" w:rsidRPr="00B013A7" w:rsidRDefault="001E4492" w:rsidP="001E4492">
      <w:pPr>
        <w:pStyle w:val="NormalHanging12a"/>
        <w:rPr>
          <w:noProof/>
        </w:rPr>
      </w:pPr>
      <w:r w:rsidRPr="00B013A7">
        <w:t>3.</w:t>
      </w:r>
      <w:r w:rsidRPr="00B013A7">
        <w:tab/>
        <w:t xml:space="preserve">nalaže svojoj predsjednici da ovu Odluku i Rezoluciju, koja je njezin sastavni dio, proslijedi Vijeću, Komisiji i Revizorskom sudu te da ih da na objavu u </w:t>
      </w:r>
      <w:r w:rsidRPr="00B013A7">
        <w:rPr>
          <w:i/>
        </w:rPr>
        <w:t>Službenom listu Europske unije</w:t>
      </w:r>
      <w:r w:rsidRPr="00B013A7">
        <w:t xml:space="preserve"> (serija L).</w:t>
      </w:r>
    </w:p>
    <w:p w14:paraId="15266D7B" w14:textId="77777777" w:rsidR="001E4492" w:rsidRPr="00B013A7" w:rsidRDefault="001E4492" w:rsidP="001E4492"/>
    <w:p w14:paraId="7E42C4F9" w14:textId="77777777" w:rsidR="001E4492" w:rsidRPr="00B013A7" w:rsidRDefault="001E4492" w:rsidP="001E4492">
      <w:pPr>
        <w:pStyle w:val="PageHeading"/>
        <w:sectPr w:rsidR="001E4492" w:rsidRPr="00B013A7" w:rsidSect="00B91BA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C7C3FC" w14:textId="0263DE80" w:rsidR="001E4492" w:rsidRPr="00B013A7" w:rsidRDefault="001E4492" w:rsidP="00B013A7">
      <w:pPr>
        <w:pStyle w:val="PageHeading"/>
        <w:jc w:val="left"/>
        <w:rPr>
          <w:rFonts w:ascii="Times New Roman" w:hAnsi="Times New Roman" w:cs="Times New Roman"/>
          <w:noProof/>
        </w:rPr>
      </w:pPr>
      <w:bookmarkStart w:id="8" w:name="_Toc227316575"/>
      <w:r w:rsidRPr="00B013A7">
        <w:rPr>
          <w:rFonts w:ascii="Times New Roman" w:hAnsi="Times New Roman" w:cs="Times New Roman"/>
        </w:rPr>
        <w:lastRenderedPageBreak/>
        <w:t xml:space="preserve">2. </w:t>
      </w:r>
      <w:r w:rsidR="00B013A7">
        <w:rPr>
          <w:rFonts w:ascii="Times New Roman" w:hAnsi="Times New Roman" w:cs="Times New Roman"/>
        </w:rPr>
        <w:t>R</w:t>
      </w:r>
      <w:r w:rsidR="00B013A7" w:rsidRPr="00B013A7">
        <w:rPr>
          <w:rFonts w:ascii="Times New Roman" w:hAnsi="Times New Roman" w:cs="Times New Roman"/>
        </w:rPr>
        <w:t xml:space="preserve">ezolucija </w:t>
      </w:r>
      <w:r w:rsidR="00B013A7">
        <w:rPr>
          <w:rFonts w:ascii="Times New Roman" w:hAnsi="Times New Roman" w:cs="Times New Roman"/>
        </w:rPr>
        <w:t>E</w:t>
      </w:r>
      <w:r w:rsidR="00B013A7" w:rsidRPr="00B013A7">
        <w:rPr>
          <w:rFonts w:ascii="Times New Roman" w:hAnsi="Times New Roman" w:cs="Times New Roman"/>
        </w:rPr>
        <w:t>uropskog parlamenta</w:t>
      </w:r>
      <w:bookmarkEnd w:id="8"/>
      <w:r w:rsidR="00B013A7" w:rsidRPr="00B013A7">
        <w:rPr>
          <w:rFonts w:ascii="Times New Roman" w:hAnsi="Times New Roman" w:cs="Times New Roman"/>
        </w:rPr>
        <w:t xml:space="preserve"> </w:t>
      </w:r>
      <w:r w:rsidR="00B013A7">
        <w:rPr>
          <w:rFonts w:ascii="Times New Roman" w:hAnsi="Times New Roman" w:cs="Times New Roman"/>
        </w:rPr>
        <w:t xml:space="preserve">od 29. travnja 2026. </w:t>
      </w:r>
      <w:r w:rsidRPr="00B013A7">
        <w:rPr>
          <w:rFonts w:ascii="Times New Roman" w:hAnsi="Times New Roman" w:cs="Times New Roman"/>
        </w:rPr>
        <w:t>s primjedbama koje su sastavni dio Odluke o razrješnici za izvršenje općeg proračuna Europske unije za financijsku godinu 2024., dio I. – Europski parlament</w:t>
      </w:r>
      <w:r w:rsidR="00B013A7" w:rsidRPr="00B013A7">
        <w:rPr>
          <w:rFonts w:ascii="Times New Roman" w:hAnsi="Times New Roman" w:cs="Times New Roman"/>
        </w:rPr>
        <w:t xml:space="preserve"> </w:t>
      </w:r>
      <w:r w:rsidRPr="00B013A7">
        <w:rPr>
          <w:rFonts w:ascii="Times New Roman" w:hAnsi="Times New Roman" w:cs="Times New Roman"/>
        </w:rPr>
        <w:t>(2025/2146(DEC))</w:t>
      </w:r>
    </w:p>
    <w:p w14:paraId="23B68579" w14:textId="77777777" w:rsidR="001E4492" w:rsidRPr="00B013A7" w:rsidRDefault="001E4492" w:rsidP="001E4492">
      <w:pPr>
        <w:pStyle w:val="EPComma"/>
        <w:rPr>
          <w:noProof/>
        </w:rPr>
      </w:pPr>
      <w:r w:rsidRPr="00B013A7">
        <w:rPr>
          <w:i/>
        </w:rPr>
        <w:t>Europski parlament</w:t>
      </w:r>
      <w:r w:rsidRPr="00B013A7">
        <w:t>,</w:t>
      </w:r>
    </w:p>
    <w:p w14:paraId="2C2B2E3A" w14:textId="77777777" w:rsidR="001E4492" w:rsidRPr="00B013A7" w:rsidRDefault="001E4492" w:rsidP="001E4492">
      <w:pPr>
        <w:pStyle w:val="NormalHanging12a"/>
        <w:rPr>
          <w:noProof/>
        </w:rPr>
      </w:pPr>
      <w:r w:rsidRPr="00B013A7">
        <w:t>–</w:t>
      </w:r>
      <w:r w:rsidRPr="00B013A7">
        <w:tab/>
        <w:t>uzimajući u obzir svoju Odluku o razrješnici za izvršenje općeg proračuna Europske unije za financijsku godinu 2024., dio I – Europski parlament,</w:t>
      </w:r>
    </w:p>
    <w:p w14:paraId="0F99348D" w14:textId="77777777" w:rsidR="001E4492" w:rsidRPr="00B013A7" w:rsidRDefault="001E4492" w:rsidP="001E4492">
      <w:pPr>
        <w:pStyle w:val="NormalHanging12a"/>
        <w:rPr>
          <w:noProof/>
        </w:rPr>
      </w:pPr>
      <w:r w:rsidRPr="00B013A7">
        <w:t>–</w:t>
      </w:r>
      <w:r w:rsidRPr="00B013A7">
        <w:tab/>
        <w:t>uzimajući u obzir članak 102. i članak 106. stavak 3. Poslovnika te Prilog V. Poslovniku,</w:t>
      </w:r>
    </w:p>
    <w:p w14:paraId="0381B1A9" w14:textId="77777777" w:rsidR="001E4492" w:rsidRPr="00B013A7" w:rsidRDefault="001E4492" w:rsidP="001E4492">
      <w:pPr>
        <w:pStyle w:val="NormalHanging12a"/>
      </w:pPr>
      <w:r w:rsidRPr="00B013A7">
        <w:t>–</w:t>
      </w:r>
      <w:r w:rsidRPr="00B013A7">
        <w:tab/>
        <w:t>uzimajući u obzir mišljenje Odbora za prava žena i rodnu ravnopravnost,</w:t>
      </w:r>
    </w:p>
    <w:p w14:paraId="218948DC" w14:textId="77777777" w:rsidR="001E4492" w:rsidRPr="00B013A7" w:rsidRDefault="001E4492" w:rsidP="001E4492">
      <w:pPr>
        <w:pStyle w:val="NormalHanging12a"/>
      </w:pPr>
      <w:r w:rsidRPr="00B013A7">
        <w:t>–</w:t>
      </w:r>
      <w:r w:rsidRPr="00B013A7">
        <w:tab/>
        <w:t>uzimajući u obzir izvješće Odbora za proračunski nadzor (A10</w:t>
      </w:r>
      <w:r w:rsidRPr="00B013A7">
        <w:noBreakHyphen/>
        <w:t>0081/2026),</w:t>
      </w:r>
    </w:p>
    <w:p w14:paraId="2ABCD6B2" w14:textId="77777777" w:rsidR="001E4492" w:rsidRPr="00B013A7" w:rsidRDefault="001E4492" w:rsidP="001E4492">
      <w:pPr>
        <w:pStyle w:val="NormalHanging12a"/>
        <w:rPr>
          <w:noProof/>
        </w:rPr>
      </w:pPr>
      <w:r w:rsidRPr="00B013A7">
        <w:t>A.</w:t>
      </w:r>
      <w:r w:rsidRPr="00B013A7">
        <w:tab/>
        <w:t>budući da je računovodstveni službenik Europskog parlamenta („Parlament”) u potvrdi završne računovodstvene dokumentacije izrazio razumno jamstvo da dokumentacija u svim značajnim aspektima vjerno prikazuje financijsko stanje, rezultate poslovanja i novčane tokove Parlamenta;</w:t>
      </w:r>
    </w:p>
    <w:p w14:paraId="29853C0A" w14:textId="77777777" w:rsidR="001E4492" w:rsidRPr="00B013A7" w:rsidRDefault="001E4492" w:rsidP="001E4492">
      <w:pPr>
        <w:pStyle w:val="NormalHanging12a"/>
        <w:rPr>
          <w:noProof/>
        </w:rPr>
      </w:pPr>
      <w:r w:rsidRPr="00B013A7">
        <w:t>B.</w:t>
      </w:r>
      <w:r w:rsidRPr="00B013A7">
        <w:tab/>
        <w:t>budući da je, u skladu s uobičajenim postupkom, upravi Parlamenta poslan upitnik s 55 pitanja i da je Odbor Parlamenta za proračunski nadzor primio pisane odgovore i o njima javno raspravljao 8. prosinca 2025. u prisutnosti glavnog tajnika, potpredsjednikâ Parlamenta odgovornih za proračun, unutarnjeg revizora i ravnatelja Tijela za europske političke stranke i europske političke zaklade;</w:t>
      </w:r>
    </w:p>
    <w:p w14:paraId="775D0925" w14:textId="77777777" w:rsidR="001E4492" w:rsidRPr="00B013A7" w:rsidRDefault="001E4492" w:rsidP="001E4492">
      <w:pPr>
        <w:pStyle w:val="NormalHanging12a"/>
      </w:pPr>
      <w:r w:rsidRPr="00B013A7">
        <w:t>C.</w:t>
      </w:r>
      <w:r w:rsidRPr="00B013A7">
        <w:tab/>
        <w:t>budući da uvijek ima prostora za poboljšanje i da je potreban nadzor kako bi se osiguralo da političko vodstvo, zastupnici i uprava Parlamenta budu transparentni i da imaju integritet i odgovoran pristup u odnosu na građane Unije te da doprinose većoj kvaliteti, učinkovitosti i djelotvornosti upravljanja javnim financijama, uključujući fiskalnu disciplinu, te da Parlament očuva kredibilitet u izvršavanju svoje zadaće davanja razrješnice u odnosu na druge institucije;</w:t>
      </w:r>
    </w:p>
    <w:p w14:paraId="4734D584" w14:textId="77777777" w:rsidR="001E4492" w:rsidRPr="00B013A7" w:rsidRDefault="001E4492" w:rsidP="001E4492">
      <w:pPr>
        <w:pStyle w:val="NormalHanging12a"/>
      </w:pPr>
      <w:r w:rsidRPr="00B013A7">
        <w:t>D.</w:t>
      </w:r>
      <w:r w:rsidRPr="00B013A7">
        <w:tab/>
        <w:t xml:space="preserve">budući da je pravna sigurnost jedno od načela kojima se treba voditi u provedbi administrativnih odluka; budući da rastući broj pravila i obveza može dovesti do zbunjenosti i dvosmislenosti u slučajevima u kojima je potrebna pravna sigurnost za zastupnike i njihove suradnike, što upravu obvezuje na jasnu, sveobuhvatnu i pravno utemeljenu komunikaciju; </w:t>
      </w:r>
    </w:p>
    <w:p w14:paraId="50EFF335" w14:textId="77777777" w:rsidR="001E4492" w:rsidRPr="00B013A7" w:rsidRDefault="001E4492" w:rsidP="001E4492">
      <w:pPr>
        <w:pStyle w:val="NormalHanging12a"/>
      </w:pPr>
      <w:r w:rsidRPr="00B013A7">
        <w:t>E.</w:t>
      </w:r>
      <w:r w:rsidRPr="00B013A7">
        <w:tab/>
        <w:t xml:space="preserve">budući da zastupnici primaju financijsku i logističku potporu uprave kako bi u potpunosti izvršavali svoj mandat; budući da se odnosi između zastupnika, njihovih suradnika i uprave temelje na uzajamnom povjerenju, što bi trebalo biti načelo kojim se treba voditi kada se zastupnicima pruža financijska potpora; budući da bi se to trebalo odražavati u razini </w:t>
      </w:r>
      <w:r w:rsidRPr="00B013A7">
        <w:rPr>
          <w:i/>
          <w:iCs/>
        </w:rPr>
        <w:t xml:space="preserve">ex </w:t>
      </w:r>
      <w:proofErr w:type="spellStart"/>
      <w:r w:rsidRPr="00B013A7">
        <w:rPr>
          <w:i/>
          <w:iCs/>
        </w:rPr>
        <w:t>ante</w:t>
      </w:r>
      <w:proofErr w:type="spellEnd"/>
      <w:r w:rsidRPr="00B013A7">
        <w:t xml:space="preserve"> i </w:t>
      </w:r>
      <w:r w:rsidRPr="00B013A7">
        <w:rPr>
          <w:i/>
          <w:iCs/>
        </w:rPr>
        <w:t>ex post</w:t>
      </w:r>
      <w:r w:rsidRPr="00B013A7">
        <w:t xml:space="preserve"> provjera i pregleda koje uprava provodi; budući da je očito da su jasni, razmjerni, ciljani, standardizirani i pojednostavljeni postupci najbolji i najučinkovitiji način za provedbu provjera i kontrola financijskih prava, s krajnjim ciljem pružanja najviše razine transparentnosti i odgovornosti, čime se povećava demokratska legitimnost, a time i povjerenje građana </w:t>
      </w:r>
      <w:r w:rsidRPr="00E27123">
        <w:t>Unije</w:t>
      </w:r>
      <w:r w:rsidRPr="00B013A7">
        <w:t>;</w:t>
      </w:r>
    </w:p>
    <w:p w14:paraId="20521252" w14:textId="77777777" w:rsidR="001E4492" w:rsidRPr="00B013A7" w:rsidRDefault="001E4492" w:rsidP="001E4492">
      <w:pPr>
        <w:pStyle w:val="NormalHanging12a"/>
      </w:pPr>
      <w:r w:rsidRPr="00B013A7">
        <w:t>F.</w:t>
      </w:r>
      <w:r w:rsidRPr="00B013A7">
        <w:tab/>
        <w:t xml:space="preserve">budući da je povjerenje u integritet Parlamenta i vladavinu prava od presudne važnosti </w:t>
      </w:r>
      <w:r w:rsidRPr="00B013A7">
        <w:lastRenderedPageBreak/>
        <w:t xml:space="preserve">za funkcioniranje europske demokracije i da se prava građana moraju u potpunosti poštovati; </w:t>
      </w:r>
    </w:p>
    <w:p w14:paraId="07959402" w14:textId="77777777" w:rsidR="001E4492" w:rsidRPr="00B013A7" w:rsidRDefault="001E4492" w:rsidP="001E4492">
      <w:pPr>
        <w:pStyle w:val="NormalHanging12a"/>
      </w:pPr>
      <w:r w:rsidRPr="00B013A7">
        <w:t>G.</w:t>
      </w:r>
      <w:r w:rsidRPr="00B013A7">
        <w:tab/>
        <w:t>budući da su zastupnici zaštićeni izuzećem od odgovornosti za dane glasove i mišljenja izražena pri obnašanju svojih dužnosti i da su zaštićeni od kaznenog progona i ograničavanja njihove osobne slobode kada obavljaju svoje dužnosti u Parlamentu;</w:t>
      </w:r>
    </w:p>
    <w:p w14:paraId="105BB765" w14:textId="62BB5CB9" w:rsidR="001E4492" w:rsidRPr="00B013A7" w:rsidRDefault="001E4492" w:rsidP="001E4492">
      <w:pPr>
        <w:pStyle w:val="NormalHanging12a"/>
      </w:pPr>
      <w:r w:rsidRPr="00B013A7">
        <w:t>H.</w:t>
      </w:r>
      <w:r w:rsidRPr="00B013A7">
        <w:tab/>
        <w:t>budući da su rodna ravnopravnost i iskorjenjivanje neravnopravnosti temeljne vrijednosti Unije, u skladu s člankom 2. Ugovora o Europskoj uniji; budući da je Unija predana promicanju rodne ravnopravnosti u svim svojim aktivnostima u skladu s člankom 8. Ugovora o funkcioniranju Europske unije, čime se uspostavlja načelo rodno osviještene politike i donošenja rodno osjetljivog proračuna;</w:t>
      </w:r>
    </w:p>
    <w:p w14:paraId="299746AE" w14:textId="77777777" w:rsidR="001E4492" w:rsidRPr="00B013A7" w:rsidRDefault="001E4492" w:rsidP="001E4492">
      <w:pPr>
        <w:pStyle w:val="NormalHanging12a"/>
      </w:pPr>
      <w:r w:rsidRPr="00B013A7">
        <w:t>I.</w:t>
      </w:r>
      <w:r w:rsidRPr="00B013A7">
        <w:tab/>
        <w:t>budući da u skladu s člankom 249. Poslovnika Predsjedništvo donosi akcijski plan za rodnu ravnopravnost kako bi se rodna perspektiva uključila u sve aktivnosti Parlamenta;</w:t>
      </w:r>
    </w:p>
    <w:p w14:paraId="2B7F4266"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Upravljanje proračunom i financijama Parlamenta</w:t>
      </w:r>
    </w:p>
    <w:p w14:paraId="4C231DF1"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1</w:t>
      </w:r>
      <w:r w:rsidRPr="00B013A7">
        <w:t>.</w:t>
      </w:r>
      <w:r w:rsidRPr="00B013A7">
        <w:rPr>
          <w14:textOutline w14:w="0" w14:cap="flat" w14:cmpd="sng" w14:algn="ctr">
            <w14:noFill/>
            <w14:prstDash w14:val="solid"/>
            <w14:bevel/>
          </w14:textOutline>
        </w:rPr>
        <w:tab/>
      </w:r>
      <w:r w:rsidRPr="00B013A7">
        <w:t>konstatira da su konačna odobrena sredstva Europskog parlamenta za 2024. ukupno iznosila 2383 milijuna EUR, odnosno 20,2 % naslova 7. višegodišnjeg financijskog okvira</w:t>
      </w:r>
      <w:r w:rsidRPr="00B013A7">
        <w:rPr>
          <w:rStyle w:val="FootnoteReference"/>
        </w:rPr>
        <w:footnoteReference w:id="8"/>
      </w:r>
      <w:r w:rsidRPr="00B013A7">
        <w:t xml:space="preserve"> predviđenog za ukupne administrativne rashode institucija Unije za 2024. godinu, što je povećanje od 6,05 % u odnosu na proračun iz 2023. (2247 milijuna EUR);</w:t>
      </w:r>
    </w:p>
    <w:p w14:paraId="7A408D0D"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2</w:t>
      </w:r>
      <w:r w:rsidRPr="00B013A7">
        <w:t>.</w:t>
      </w:r>
      <w:r w:rsidRPr="00B013A7">
        <w:rPr>
          <w14:textOutline w14:w="0" w14:cap="flat" w14:cmpd="sng" w14:algn="ctr">
            <w14:noFill/>
            <w14:prstDash w14:val="solid"/>
            <w14:bevel/>
          </w14:textOutline>
        </w:rPr>
        <w:tab/>
      </w:r>
      <w:r w:rsidRPr="00B013A7">
        <w:t>napominje da su ukupni prihodi uneseni u računovodstvenu dokumentaciju do 31. prosinca 2024. iznosili 281 517 001 EUR (u usporedbi s 255 205 473 EUR za 2023. godinu);</w:t>
      </w:r>
      <w:r w:rsidRPr="00B013A7">
        <w:rPr>
          <w14:textOutline w14:w="0" w14:cap="flat" w14:cmpd="sng" w14:algn="ctr">
            <w14:noFill/>
            <w14:prstDash w14:val="solid"/>
            <w14:bevel/>
          </w14:textOutline>
        </w:rPr>
        <w:t xml:space="preserve"> </w:t>
      </w:r>
      <w:r w:rsidRPr="00B013A7">
        <w:t>napominje da su namjenski prihodi stavljeni na raspolaganje 2024. iznosili 40 277 555 EUR (u usporedbi s 50 186 995 EUR za 2023. godinu);</w:t>
      </w:r>
    </w:p>
    <w:p w14:paraId="19701826"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3</w:t>
      </w:r>
      <w:r w:rsidRPr="00B013A7">
        <w:t>.</w:t>
      </w:r>
      <w:r w:rsidRPr="00B013A7">
        <w:rPr>
          <w14:textOutline w14:w="0" w14:cap="flat" w14:cmpd="sng" w14:algn="ctr">
            <w14:noFill/>
            <w14:prstDash w14:val="solid"/>
            <w14:bevel/>
          </w14:textOutline>
        </w:rPr>
        <w:tab/>
      </w:r>
      <w:r w:rsidRPr="00B013A7">
        <w:t>konstatira da je udio sljedećih šest poglavlja iznosio 85,7 % ukupnih obveza:</w:t>
      </w:r>
      <w:r w:rsidRPr="00B013A7">
        <w:rPr>
          <w14:textOutline w14:w="0" w14:cap="flat" w14:cmpd="sng" w14:algn="ctr">
            <w14:noFill/>
            <w14:prstDash w14:val="solid"/>
            <w14:bevel/>
          </w14:textOutline>
        </w:rPr>
        <w:t xml:space="preserve"> </w:t>
      </w:r>
      <w:r w:rsidRPr="00B013A7">
        <w:t>poglavlje 1 0: „Članovi institucije”, poglavlje 1 2: „Dužnosnici i privremeno osoblje”, poglavlje 1 4: „Ostalo osoblje i vanjske službe”, poglavlje 2 0: „Zgrade i povezani troškovi”, poglavlje 2 1: „Obrada podataka, oprema i pokretnine” i poglavlje 4 2: „Rashodi za parlamentarnu pomoć”;</w:t>
      </w:r>
    </w:p>
    <w:p w14:paraId="7C5B16FC"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4.</w:t>
      </w:r>
      <w:r w:rsidRPr="00B013A7">
        <w:rPr>
          <w14:textOutline w14:w="0" w14:cap="flat" w14:cmpd="sng" w14:algn="ctr">
            <w14:noFill/>
            <w14:prstDash w14:val="solid"/>
            <w14:bevel/>
          </w14:textOutline>
        </w:rPr>
        <w:tab/>
        <w:t>prima na znanje brojke na temelju kojih je zaključena računovodstvena dokumentacija Parlamenta za financijsku godinu 2024. i koje su navedene u godišnjoj računovodstvenoj dokumentaciji Europskog parlamenta za financijsku godinu 2024., Izvješću o proračunskom i financijskom upravljanju za dio I.: Europski parlament, i Izvješću o ugovorima i koncesijama koje je dodijelio Europski parlament;</w:t>
      </w:r>
    </w:p>
    <w:p w14:paraId="4D8DAFB1"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5</w:t>
      </w:r>
      <w:r w:rsidRPr="00B013A7">
        <w:t>.</w:t>
      </w:r>
      <w:r w:rsidRPr="00B013A7">
        <w:rPr>
          <w14:textOutline w14:w="0" w14:cap="flat" w14:cmpd="sng" w14:algn="ctr">
            <w14:noFill/>
            <w14:prstDash w14:val="solid"/>
            <w14:bevel/>
          </w14:textOutline>
        </w:rPr>
        <w:tab/>
      </w:r>
      <w:r w:rsidRPr="00B013A7">
        <w:t>napominje da je Odbor za proračune Parlamenta u financijskoj godini 2024. odobrio 12 prijenosa („prijenosi kategorije C”) u skladu s člancima 31. i 49. Financijske uredbe s ukupnim iznosom od 82 768 000 EUR, odnosno 3,47 % konačnih odobrenih sredstava;</w:t>
      </w:r>
      <w:r w:rsidRPr="00B013A7">
        <w:rPr>
          <w14:textOutline w14:w="0" w14:cap="flat" w14:cmpd="sng" w14:algn="ctr">
            <w14:noFill/>
            <w14:prstDash w14:val="solid"/>
            <w14:bevel/>
          </w14:textOutline>
        </w:rPr>
        <w:t xml:space="preserve"> </w:t>
      </w:r>
      <w:r w:rsidRPr="00B013A7">
        <w:t>napominje da je predsjednica odobrila devet prijenosa („prijenosi kategorije P”), u skladu s člankom 29. Financijske uredbe, s iznosom od 11 479 000 EUR, odnosno 0,4 % proračuna za 2024.;</w:t>
      </w:r>
    </w:p>
    <w:p w14:paraId="4F99F3BD"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lastRenderedPageBreak/>
        <w:t>6</w:t>
      </w:r>
      <w:r w:rsidRPr="00B013A7">
        <w:t>.</w:t>
      </w:r>
      <w:r w:rsidRPr="00B013A7">
        <w:rPr>
          <w14:textOutline w14:w="0" w14:cap="flat" w14:cmpd="sng" w14:algn="ctr">
            <w14:noFill/>
            <w14:prstDash w14:val="solid"/>
            <w14:bevel/>
          </w14:textOutline>
        </w:rPr>
        <w:tab/>
      </w:r>
      <w:r w:rsidRPr="00B013A7">
        <w:t>pozdravlja predanost glavnog tajnika pojednostavljenju, dobrom upravljanju i jačanju nadzorne funkcije Parlamenta; sa zadovoljstvom primjećuje da je pojednostavljenje uvedeno ne samo kao cilj koji treba postići, nego i kao načelo kojim se treba voditi i koje treba sustavno primjenjivati u svim područjima rada Parlamenta, čime se osiguravaju bolja učinkovitost i dostupnost (administrativnih) postupaka; pozdravlja to što se naglasak kontinuirano stavlja na temeljne aktivnosti Parlamenta, njegovu zakonodavnu, proračunsku i nadzornu aktivnost, a posebno osnivanje četiriju tematskih glavnih uprava, uključujući Glavnu upravu za proračunska pitanja;</w:t>
      </w:r>
    </w:p>
    <w:p w14:paraId="60287CB7"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Mišljenja Europskog revizorskog suda o pouzdanosti računovodstvene dokumentacije iz 2024. i zakonitosti i pravilnosti transakcija na kojima se temelji računovodstvena dokumentacija</w:t>
      </w:r>
    </w:p>
    <w:p w14:paraId="0C455745"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7</w:t>
      </w:r>
      <w:r w:rsidRPr="00B013A7">
        <w:t>.</w:t>
      </w:r>
      <w:r w:rsidRPr="00B013A7">
        <w:rPr>
          <w14:textOutline w14:w="0" w14:cap="flat" w14:cmpd="sng" w14:algn="ctr">
            <w14:noFill/>
            <w14:prstDash w14:val="solid"/>
            <w14:bevel/>
          </w14:textOutline>
        </w:rPr>
        <w:tab/>
        <w:t xml:space="preserve">podsjeća da Europski revizorski sud obavlja posebnu procjenu administrativnih i drugih rashoda u okviru jedinstvene skupine politika za sve institucije Unije; </w:t>
      </w:r>
      <w:r w:rsidRPr="00B013A7">
        <w:t>ističe da administrativni rashodi obuhvaćaju rashode za ljudske resurse, među kojima su i rashodi za mirovine, čiji je udio u ukupnim administrativnim rashodima 2024. iznosio otprilike 69 %, kao i rashode za zgrade, opremu, energiju, komunikacije i informacijsku tehnologiju;</w:t>
      </w:r>
      <w:r w:rsidRPr="00B013A7">
        <w:rPr>
          <w14:textOutline w14:w="0" w14:cap="flat" w14:cmpd="sng" w14:algn="ctr">
            <w14:noFill/>
            <w14:prstDash w14:val="solid"/>
            <w14:bevel/>
          </w14:textOutline>
        </w:rPr>
        <w:t xml:space="preserve"> ističe da rad Revizorskog suda tijekom dugog niza godina upućuje na to da su ti rashodi općenito </w:t>
      </w:r>
      <w:proofErr w:type="spellStart"/>
      <w:r w:rsidRPr="00B013A7">
        <w:rPr>
          <w14:textOutline w14:w="0" w14:cap="flat" w14:cmpd="sng" w14:algn="ctr">
            <w14:noFill/>
            <w14:prstDash w14:val="solid"/>
            <w14:bevel/>
          </w14:textOutline>
        </w:rPr>
        <w:t>niskorizični</w:t>
      </w:r>
      <w:proofErr w:type="spellEnd"/>
      <w:r w:rsidRPr="00B013A7">
        <w:rPr>
          <w14:textOutline w14:w="0" w14:cap="flat" w14:cmpd="sng" w14:algn="ctr">
            <w14:noFill/>
            <w14:prstDash w14:val="solid"/>
            <w14:bevel/>
          </w14:textOutline>
        </w:rPr>
        <w:t>;</w:t>
      </w:r>
    </w:p>
    <w:p w14:paraId="5B319CED"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8</w:t>
      </w:r>
      <w:r w:rsidRPr="00B013A7">
        <w:t>.</w:t>
      </w:r>
      <w:r w:rsidRPr="00B013A7">
        <w:rPr>
          <w14:textOutline w14:w="0" w14:cap="flat" w14:cmpd="sng" w14:algn="ctr">
            <w14:noFill/>
            <w14:prstDash w14:val="solid"/>
            <w14:bevel/>
          </w14:textOutline>
        </w:rPr>
        <w:tab/>
      </w:r>
      <w:r w:rsidRPr="00B013A7">
        <w:t xml:space="preserve">konstatira da je naslov 7. višegodišnjeg financijskog okvira „Europska javna uprava” iznosio 13,3 milijardi EUR, odnosno 6,9 % proračuna Unije za 2024. i da je udio Parlamenta iznosio 2,4 milijarde EUR, odnosno 18,1 %; </w:t>
      </w:r>
      <w:r w:rsidRPr="00B013A7">
        <w:rPr>
          <w14:textOutline w14:w="0" w14:cap="flat" w14:cmpd="sng" w14:algn="ctr">
            <w14:noFill/>
            <w14:prstDash w14:val="solid"/>
            <w14:bevel/>
          </w14:textOutline>
        </w:rPr>
        <w:t>ističe činjenicu da je Revizorski sud utvrdio da stopa pogreške u rashodima za područje „Europska javna uprava” nije bila značajna;</w:t>
      </w:r>
    </w:p>
    <w:p w14:paraId="195E060B"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9</w:t>
      </w:r>
      <w:r w:rsidRPr="00B013A7">
        <w:t>.</w:t>
      </w:r>
      <w:r w:rsidRPr="00B013A7">
        <w:rPr>
          <w14:textOutline w14:w="0" w14:cap="flat" w14:cmpd="sng" w14:algn="ctr">
            <w14:noFill/>
            <w14:prstDash w14:val="solid"/>
            <w14:bevel/>
          </w14:textOutline>
        </w:rPr>
        <w:tab/>
      </w:r>
      <w:r w:rsidRPr="00B013A7">
        <w:t xml:space="preserve">konstatira da su u godišnjem izvješću Revizorskog suda o izvršenju proračuna za financijsku godinu 2024. posebno ispitani nadzorni i kontrolni sustavi Parlamenta, a posebno provedba standarda unutarnje kontrole, upravljanje rizicima i funkcioniranje ključnih kontrola definiranih u Financijskoj uredbi, uključujući </w:t>
      </w:r>
      <w:r w:rsidRPr="00B013A7">
        <w:rPr>
          <w:i/>
          <w:iCs/>
        </w:rPr>
        <w:t xml:space="preserve">ex </w:t>
      </w:r>
      <w:proofErr w:type="spellStart"/>
      <w:r w:rsidRPr="00B013A7">
        <w:rPr>
          <w:i/>
          <w:iCs/>
        </w:rPr>
        <w:t>ante</w:t>
      </w:r>
      <w:proofErr w:type="spellEnd"/>
      <w:r w:rsidRPr="00B013A7">
        <w:t xml:space="preserve"> i </w:t>
      </w:r>
      <w:r w:rsidRPr="00B013A7">
        <w:rPr>
          <w:i/>
          <w:iCs/>
        </w:rPr>
        <w:t>ex post</w:t>
      </w:r>
      <w:r w:rsidRPr="00B013A7">
        <w:t xml:space="preserve"> kontrole plaćanja, kao i statistički reprezentativan uzorak od 70 transakcija koji obuhvaća cijeli raspon rashoda u okviru tog naslova VFO-a i informacije o usklađenosti s pravilima i propisima navedene u godišnjim izvješćima o radu svih institucija i tijela Unije;</w:t>
      </w:r>
    </w:p>
    <w:p w14:paraId="471A9496" w14:textId="77777777" w:rsidR="001E4492" w:rsidRPr="00B013A7" w:rsidRDefault="001E4492" w:rsidP="001E4492">
      <w:pPr>
        <w:pStyle w:val="NormalHanging12a"/>
      </w:pPr>
      <w:r w:rsidRPr="00B013A7">
        <w:t>10.</w:t>
      </w:r>
      <w:r w:rsidRPr="00B013A7">
        <w:tab/>
        <w:t>prima na znanje primjedbe Revizorskog suda u pogledu internih pravila Parlamenta; konstatira da uprava Parlamenta podliježe Financijskoj uredbi i njezinim pravilima o javnoj nabavi; međutim, konstatira da je Predsjedništvo za klubove zastupnika usvojilo Pravila o uporabi odobrenih sredstava iz proračunske stavke 400, koja sadrže niz posebnih odredbi za određene postupke javne nabave; podsjeća da klubovi zastupnika upravljaju sredstvima koja su im dodijeljena u skladu s načelima neizravnog upravljanja sredstvima analognom primjenom članka 62. stavka 1. točke (c) Financijske uredbe; smatra da ta pravila zamjenjuju „sporazume o doprinosu” iz članka 158. stavka 7. Financijske uredbe; naglašava da jedan vanjski revizor za svaki klub, odabran s popisa revizorskih društava koji je sastavila uprava Parlamenta, potvrđuje svoju godišnju računovodstvenu dokumentaciju kako bi se osigurala usklađenost kojom se jamči neutralna razina kontrole; ističe da Revizorski sud u svojem godišnjem izvješću također pregledava aktivnosti klubova zastupnika;</w:t>
      </w:r>
    </w:p>
    <w:p w14:paraId="61C307FF" w14:textId="77777777" w:rsidR="001E4492" w:rsidRPr="00B013A7" w:rsidRDefault="001E4492" w:rsidP="001E4492">
      <w:pPr>
        <w:pStyle w:val="NormalHanging12a"/>
      </w:pPr>
      <w:r w:rsidRPr="00B013A7">
        <w:t>11.</w:t>
      </w:r>
      <w:r w:rsidRPr="00B013A7">
        <w:tab/>
        <w:t xml:space="preserve">napominje da su samo tri revizora uvrštena na popis revizorskih društava odabranih za </w:t>
      </w:r>
      <w:r w:rsidRPr="00B013A7">
        <w:lastRenderedPageBreak/>
        <w:t xml:space="preserve">reviziju računovodstvene dokumentacije klubova zastupnika te izražava žaljenje zbog ograničenog izbora; poziva Glavnu upravu za financije (DG FINS) da pokuša uključiti više vanjskih revizorskih društava na taj popis tako što će aktivno pozvati sve kvalificirane europske revizore, uključujući one sa sjedištem izvan Belgije, kako bi se osiguralo dovoljno mogućnosti da bi klubovi zastupnika imali veći izbor za odabir revizora koji postupa u skladu s Međunarodnim odborom za standarde revidiranja i izražavanja uvjerenja (IAASB); također smatra da bi se proračuni koji klubovi zastupnika izdvajaju za reviziju trebali povećati kako bi se osigurala temeljitija revizija dobrog financijskog upravljanja i privukao širi raspon stručnog znanja u području revizije; prima na znanje usmjerenje i upute koje su već pružene vanjskim revizorima i potiče DG FINS da osigura kvalitetu vanjskih revizija kojima se potvrđuju financijski izvještaji klubova zastupnika; </w:t>
      </w:r>
    </w:p>
    <w:p w14:paraId="1216A2BF"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12</w:t>
      </w:r>
      <w:r w:rsidRPr="00B013A7">
        <w:t>.</w:t>
      </w:r>
      <w:r w:rsidRPr="00B013A7">
        <w:rPr>
          <w14:textOutline w14:w="0" w14:cap="flat" w14:cmpd="sng" w14:algn="ctr">
            <w14:noFill/>
            <w14:prstDash w14:val="solid"/>
            <w14:bevel/>
          </w14:textOutline>
        </w:rPr>
        <w:tab/>
      </w:r>
      <w:r w:rsidRPr="00B013A7">
        <w:t xml:space="preserve">konstatira da su u skladu s člankom 1.4. Pravila </w:t>
      </w:r>
      <w:r w:rsidRPr="00B013A7">
        <w:rPr>
          <w:rStyle w:val="s1"/>
          <w:rFonts w:ascii="UICTFontTextStyleBody" w:hAnsi="UICTFontTextStyleBody"/>
        </w:rPr>
        <w:t>o uporabi odobrenih sredstava iz proračunske stavke</w:t>
      </w:r>
      <w:r w:rsidRPr="00B013A7">
        <w:t> 400 klubovi zastupnika odgovorni instituciji za korištenje odobrenih sredstava, u granicama ovlasti koje im je dodijelilo Predsjedništvo; konstatira da se moraju pobrinuti za to da se odobrena sredstva upotrebljavaju u skladu s tim Pravilima; pozdravlja napore uprave Parlamenta u pomaganju klubovima zastupnika u cilju usmjeravanja njihova znanja i kapaciteta u financijskom upravljanju;</w:t>
      </w:r>
    </w:p>
    <w:p w14:paraId="096E3C74" w14:textId="77777777" w:rsidR="001E4492" w:rsidRPr="00B013A7" w:rsidRDefault="001E4492" w:rsidP="001E4492">
      <w:pPr>
        <w:spacing w:after="240"/>
        <w:ind w:left="567" w:hanging="567"/>
      </w:pPr>
      <w:r w:rsidRPr="00B013A7">
        <w:t>13.</w:t>
      </w:r>
      <w:r w:rsidRPr="00B013A7">
        <w:tab/>
        <w:t>podsjeća da proračun Unije može biti dodijeljen europskim političkim strankama za njihov doprinos u stvaranju europske političke svijesti i izražavanju političke volje građana Unije; napominje da je Revizorski sud u reviziji jedne transakcije smatrao da su rashodi neprihvatljivi i da je utvrdio da uprava Parlamenta ima isto mišljenje i da je poduzela korake za povrat povezanih rashoda; pozdravlja postupanje uprave Parlamenta u tom pogledu, a posebno njezinu predanost primjeni horizontalnog pristupa kojim se jamči jednako postupanje prema svim političkim strankama;</w:t>
      </w:r>
    </w:p>
    <w:p w14:paraId="6511D10E"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Godišnje izvješće unutarnjeg revizora</w:t>
      </w:r>
    </w:p>
    <w:p w14:paraId="778DF8A6"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14.</w:t>
      </w:r>
      <w:r w:rsidRPr="00B013A7">
        <w:rPr>
          <w14:textOutline w14:w="0" w14:cap="flat" w14:cmpd="sng" w14:algn="ctr">
            <w14:noFill/>
            <w14:prstDash w14:val="solid"/>
            <w14:bevel/>
          </w14:textOutline>
        </w:rPr>
        <w:tab/>
      </w:r>
      <w:r w:rsidRPr="00B013A7">
        <w:t>napominje da je na sastanku nadležnog odbora i unutarnjeg revizora održanom 8. prosinca 2025. unutarnji revizor predstavio svoje godišnje izvješće;</w:t>
      </w:r>
    </w:p>
    <w:p w14:paraId="1C88EE18"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15.</w:t>
      </w:r>
      <w:r w:rsidRPr="00B013A7">
        <w:rPr>
          <w14:textOutline w14:w="0" w14:cap="flat" w14:cmpd="sng" w14:algn="ctr">
            <w14:noFill/>
            <w14:prstDash w14:val="solid"/>
            <w14:bevel/>
          </w14:textOutline>
        </w:rPr>
        <w:tab/>
      </w:r>
      <w:r w:rsidRPr="00B013A7">
        <w:t>pozdravlja i podržava mjere koje je unutarnji revizor dogovorio s nadležnim glavnim upravama kao rezultat dodijeljenih izjava o jamstvu Službe za unutarnju reviziju; napominje da se daljnje postupanje na temelju tih preporuka sustavno revidira;</w:t>
      </w:r>
    </w:p>
    <w:p w14:paraId="4C22D6E0"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16.</w:t>
      </w:r>
      <w:r w:rsidRPr="00B013A7">
        <w:rPr>
          <w14:textOutline w14:w="0" w14:cap="flat" w14:cmpd="sng" w14:algn="ctr">
            <w14:noFill/>
            <w14:prstDash w14:val="solid"/>
            <w14:bevel/>
          </w14:textOutline>
        </w:rPr>
        <w:tab/>
        <w:t>konstatira da je daljnje postupanje 2024. rezultiralo time da se 24 od 57 mjera smatra učinkovito provedenima te ih je stoga potvrdila Služba za unutarnju reviziju; napominje da se profil preostale rizičnosti za 33 zakašnjele mjere odnosio na 24 mjere sa znatnim rizikom, uglavnom povezane s kibernetičkom sigurnošću te upravljanjem identitetom i pristupom; prima na znanje pojačanu suradnju s Glavnom upravom za informacijske tehnologije i kibernetičku sigurnost (DG ITEC) radi praćenja provedbe i preostalog rizika;</w:t>
      </w:r>
    </w:p>
    <w:p w14:paraId="6F9A2624" w14:textId="77777777" w:rsidR="001E4492" w:rsidRPr="00B013A7" w:rsidRDefault="001E4492" w:rsidP="001E4492">
      <w:pPr>
        <w:pStyle w:val="NormalHanging12a"/>
      </w:pPr>
      <w:r w:rsidRPr="00B013A7">
        <w:t>17.</w:t>
      </w:r>
      <w:r w:rsidRPr="00B013A7">
        <w:tab/>
        <w:t xml:space="preserve">uviđa da u skladu s člankom 118. stavkom 9. Financijske uredbe izvješća i zaključci unutarnjeg revizora kao i izvješće dotične institucije Unije moraju biti dostupni javnosti čim unutarnji revizor potvrdi mjere i da se pritom moraju poštovati pravila zaštite podataka i povjerljivosti; konstatira da se izvješća u praksi objavljuju nakon što se provedu sve preporuke; prima na znanje da članovi Odbora Parlamenta za proračunski nadzor imaju pravo zatražiti povjerljiv pristup izvješću o unutarnjoj reviziji s obzirom </w:t>
      </w:r>
      <w:r w:rsidRPr="00B013A7">
        <w:lastRenderedPageBreak/>
        <w:t>na postupak davanja razrješnice te pozdravlja činjenicu da unutarnji revizor izvješćuje Odbor Parlamenta za proračunski nadzor o provedenim godišnjim revizijskim aktivnostima;</w:t>
      </w:r>
    </w:p>
    <w:p w14:paraId="07B619F5"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14:textOutline w14:w="0" w14:cap="flat" w14:cmpd="sng" w14:algn="ctr">
            <w14:noFill/>
            <w14:prstDash w14:val="solid"/>
            <w14:bevel/>
          </w14:textOutline>
        </w:rPr>
        <w:t>18.</w:t>
      </w:r>
      <w:r w:rsidRPr="00B013A7">
        <w:rPr>
          <w14:textOutline w14:w="0" w14:cap="flat" w14:cmpd="sng" w14:algn="ctr">
            <w14:noFill/>
            <w14:prstDash w14:val="solid"/>
            <w14:bevel/>
          </w14:textOutline>
        </w:rPr>
        <w:tab/>
        <w:t>pozdravlja kontinuirani program osiguranja i poboljšanja kvalitete koji provodi Služba za unutarnju reviziju, a prvenstveno pripremu za uvođenje novih globalnih standarda unutarnje revizije koji su trebali stupiti na snagu u siječnju 2025.; posebno pozdravlja činjenicu da je Predsjedništvo donijelo ažuriranu povelju o reviziji i da se priprema strategija za funkciju unutarnje revizije za razdoblje 2025. – 2029. koja snažno odražava potrebu za pozitivnim promjenama i pristupom koji se temelji na etici; uzima u obzir činjenicu da je 70 % članova osoblja Službe za unutarnju reviziju položilo certifikacijski ispit kako bi postali unutarnji revizori, što je dodatni pokazatelj poboljšanja kvalitete;</w:t>
      </w:r>
    </w:p>
    <w:p w14:paraId="700E8E9D" w14:textId="77777777" w:rsidR="001E4492" w:rsidRPr="00B013A7" w:rsidRDefault="001E4492" w:rsidP="001E4492">
      <w:pPr>
        <w:spacing w:after="240"/>
        <w:ind w:left="567" w:hanging="567"/>
        <w:rPr>
          <w:szCs w:val="24"/>
          <w14:textOutline w14:w="0" w14:cap="flat" w14:cmpd="sng" w14:algn="ctr">
            <w14:noFill/>
            <w14:prstDash w14:val="solid"/>
            <w14:bevel/>
          </w14:textOutline>
        </w:rPr>
      </w:pPr>
      <w:r w:rsidRPr="00B013A7">
        <w:rPr>
          <w:b/>
          <w:i/>
          <w14:textOutline w14:w="0" w14:cap="flat" w14:cmpd="sng" w14:algn="ctr">
            <w14:noFill/>
            <w14:prstDash w14:val="solid"/>
            <w14:bevel/>
          </w14:textOutline>
        </w:rPr>
        <w:t>Politički prioriteti</w:t>
      </w:r>
    </w:p>
    <w:p w14:paraId="7982093A" w14:textId="77777777" w:rsidR="001E4492" w:rsidRPr="00B013A7" w:rsidRDefault="001E4492" w:rsidP="001E4492">
      <w:pPr>
        <w:pStyle w:val="NormalHanging12a"/>
      </w:pPr>
      <w:r w:rsidRPr="00B013A7">
        <w:t>19.</w:t>
      </w:r>
      <w:r w:rsidRPr="00B013A7">
        <w:tab/>
        <w:t xml:space="preserve">podsjeća da je, u skladu s člancima 1.3.2., 2.7.1. i 2.7.2. Pravila o uporabi odobrenih sredstava iz proračunske stavke 400., bivši klub zastupnika Identitet i demokracija 8. listopada 2024. podnio svoje završno financijsko izvješće za razdoblje od 1. siječnja do 15. srpnja 2024.; podsjeća da je uprava Parlamenta primila cijeli financijski arhiv Kluba zastupnika Identitet i demokracija u elektroničkom i papirnatom obliku te da je provela </w:t>
      </w:r>
      <w:r w:rsidRPr="00B013A7">
        <w:rPr>
          <w:i/>
          <w:iCs/>
        </w:rPr>
        <w:t>ex post</w:t>
      </w:r>
      <w:r w:rsidRPr="00B013A7">
        <w:t xml:space="preserve"> provjeru na temelju rizika računovodstvene dokumentacije za 2024., s naglaskom na provjerama dosljednosti i ispitivanju uzoraka visokorizičnih ugovora i donacija; podsjeća na zaključke uprave Parlamenta da je klub zastupnika neopravdano potrošio najmanje 4 333 635,78 EUR odobrenih sredstava iz proračunske stavke 400 tijekom saziva 2019. – 2024., što je Parlament izložilo znatnom financijskom i reputacijskom riziku; utvrđeni su nedostaci u postupcima javne nabave i oni predstavljaju znatan reputacijski rizik za Parlament;</w:t>
      </w:r>
    </w:p>
    <w:p w14:paraId="0CA9015E" w14:textId="77777777" w:rsidR="001E4492" w:rsidRPr="00B013A7" w:rsidRDefault="001E4492" w:rsidP="001E4492">
      <w:pPr>
        <w:pStyle w:val="NormalHanging12a"/>
      </w:pPr>
      <w:r w:rsidRPr="00B013A7">
        <w:t>20.</w:t>
      </w:r>
      <w:r w:rsidRPr="00B013A7">
        <w:tab/>
        <w:t>napominje da je Ured europskog javnog tužitelja (EPPO) u srpnju 2025. najavio da je pokrenuo istragu navoda o zlouporabi sredstava Unije od strane Kluba zastupnika Identitet i demokracija u razdoblju od 2019. do 2024.;</w:t>
      </w:r>
    </w:p>
    <w:p w14:paraId="4AA61A09" w14:textId="77777777" w:rsidR="001E4492" w:rsidRPr="00B013A7" w:rsidRDefault="001E4492" w:rsidP="001E4492">
      <w:pPr>
        <w:pStyle w:val="NormalHanging12a"/>
      </w:pPr>
      <w:r w:rsidRPr="00B013A7">
        <w:t>21.</w:t>
      </w:r>
      <w:r w:rsidRPr="00B013A7">
        <w:tab/>
        <w:t xml:space="preserve">naglašava da je uprava Parlamenta proslijedila spis predmeta i da u potpunosti surađuje u istrazi EPPO-a; napominje da Predsjedništvo čeka ishod istrage EPPO-a prije poduzimanja bilo kakvih mjera s ciljem povrata; poziva Predsjedništvo da Odboru Parlamenta za proračunski nadzor dostavi najnovije informacije u pisanom obliku prije početka sljedećeg ciklusa davanja razrješnice; poziva upravu Parlamenta da usporedno s kaznenom istragom koju provodi EPPO poduzme sve potrebne mjere, privremene administrativne zaštitne mjere (uključujući preventivne prijeboje i/ili rezerve, ako je to pravno izvedivo) kako bi se zaštitili financijski interesi Unije i ugled Parlamenta; smatra da će EPPO u skladu s člankom 3. stavkom 3. radnog dogovora između Europskog parlamenta i Ureda europskog javnog tužitelja obavijestiti Parlament o aktualnim ili zaključenim istragama u kojima se čini da je Parlament u mogućnosti poduzeti mjere predostrožnosti kako bi se zaštitili financijski interesi Unije, uključujući stegovne postupke ili postupke za osiguranje povrata u primjenjivim rokovima; napominje da se kazneni postupci ne bi smjeli automatski koristiti kao opće opravdanje za eventualno nedjelovanje; </w:t>
      </w:r>
    </w:p>
    <w:p w14:paraId="6141AF86" w14:textId="77777777" w:rsidR="001E4492" w:rsidRPr="00B013A7" w:rsidRDefault="001E4492" w:rsidP="001E4492">
      <w:pPr>
        <w:pStyle w:val="NormalHanging12a"/>
      </w:pPr>
      <w:r w:rsidRPr="00B013A7">
        <w:t>22.</w:t>
      </w:r>
      <w:r w:rsidRPr="00B013A7">
        <w:tab/>
        <w:t xml:space="preserve">poziva Predsjedništvo da osigura da vanjski revizori u potpunosti poštuju pismo o preuzimanju obveze i da za buduće revizije predvidi odgovarajući nadzor vanjskih </w:t>
      </w:r>
      <w:r w:rsidRPr="00B013A7">
        <w:lastRenderedPageBreak/>
        <w:t>revizora nad klubovima tako što će vanjskim revizorima staviti na raspolaganje više sati za obavljanje nadzorne uloge; poziva DG FINS da unutar DG FINS-a osigura odgovarajuće osoblje zaduženo za proračunsku stavku 400 da se pruže jasnije smjernice o ispravnom tumačenju pravila za proračunsku stavku 400 kako bi se izbjegla neusklađenost između razmatranja vanjskih revizora i DG FINS-a, uz potpuno poštovanje neovisnosti revizora, posebno u pogledu javne nabave, te da klubovima zastupnika pruži više osposobljavanja i potpore u pogledu javne nabave;</w:t>
      </w:r>
    </w:p>
    <w:p w14:paraId="2FF782DE" w14:textId="77777777" w:rsidR="001E4492" w:rsidRPr="00B013A7" w:rsidRDefault="001E4492" w:rsidP="001E4492">
      <w:pPr>
        <w:pStyle w:val="NormalHanging12a"/>
        <w:rPr>
          <w:bCs/>
          <w:iCs/>
        </w:rPr>
      </w:pPr>
      <w:r w:rsidRPr="00B013A7">
        <w:t>23.</w:t>
      </w:r>
      <w:r w:rsidRPr="00B013A7">
        <w:tab/>
        <w:t>poziva glavnog tajnika da pokrene promišljanje o postojećem sustavu vanjske revizije za proračunsku stavku 400;</w:t>
      </w:r>
    </w:p>
    <w:p w14:paraId="45645AA9" w14:textId="77777777" w:rsidR="001E4492" w:rsidRPr="00B013A7" w:rsidRDefault="001E4492" w:rsidP="001E4492">
      <w:pPr>
        <w:pStyle w:val="NormalHanging12a"/>
        <w:rPr>
          <w:bCs/>
          <w:iCs/>
        </w:rPr>
      </w:pPr>
      <w:r w:rsidRPr="00B013A7">
        <w:t>24.</w:t>
      </w:r>
      <w:r w:rsidRPr="00B013A7">
        <w:tab/>
        <w:t>pozdravlja korištenje Parlamenta kao platforme za podizanje razine osviještenosti o rodno uvjetovanom nasilju i nasilju u kućanstvu; naglašava važnost misija Unije i Parlamenta koje doprinose promicanju rodne ravnopravnosti, uključujući one koje pružaju potporu, zaštitu i osnovne usluge ženama i djevojčicama koje su žrtve seksualnog nasilja u sukobima i nakon sukoba;</w:t>
      </w:r>
    </w:p>
    <w:p w14:paraId="35F6E155" w14:textId="77777777" w:rsidR="001E4492" w:rsidRPr="00B013A7" w:rsidRDefault="001E4492" w:rsidP="001E4492">
      <w:pPr>
        <w:pStyle w:val="NormalHanging12a"/>
        <w:rPr>
          <w:bCs/>
          <w:iCs/>
        </w:rPr>
      </w:pPr>
      <w:r w:rsidRPr="00B013A7">
        <w:t>25.</w:t>
      </w:r>
      <w:r w:rsidRPr="00B013A7">
        <w:tab/>
        <w:t>podsjeća na mišljenje Odbora Parlamenta za proračunski nadzor upućeno Predsjedništvu o Klubu zastupnika Identitet i demokracija – Raspuštanje i završno financijsko izvješće za 2024., kako je odobreno 4. rujna 2025., u kojem se poziva na to da se istraži mogućnost hitnog otvaranja nužnih postupaka kako bi se što prije osigurao povrat iznosa neprihvatljivih rashoda, kako bi se procijenile potencijalne obveze odgovornih (bivših) zastupnika i hijerarhije za namjerno odobravanje nepravilnih rashoda ili odobravanje nepravilnih rashoda iz krajnje nepažnje; preporučuje Predsjedništvu da vanjskog revizora koji je potvrdio financijske izvještaje Kluba zastupnika ID-a dok traje istraga nad njim suspendira s popisa odobrenih društava za vanjsku reviziju koji je stavljen na raspolaganje klubovima zastupnika, da suspendiranog revizora bez odgode zamijeni i da osigura dostupnost dovoljnog broja alternativnih opcija za klubove zastupnika; iščekuje analizu računovodstvene dokumentacije Kluba zastupnika Patrioti za Europu (</w:t>
      </w:r>
      <w:proofErr w:type="spellStart"/>
      <w:r w:rsidRPr="00B013A7">
        <w:t>PfE</w:t>
      </w:r>
      <w:proofErr w:type="spellEnd"/>
      <w:r w:rsidRPr="00B013A7">
        <w:t>) za 2024. koju je provela uprava Parlamenta;</w:t>
      </w:r>
    </w:p>
    <w:p w14:paraId="40F0B3EC" w14:textId="275A5D0E" w:rsidR="001E4492" w:rsidRPr="00B013A7" w:rsidRDefault="00AF3F3F" w:rsidP="001E4492">
      <w:pPr>
        <w:pStyle w:val="NormalHanging12a"/>
      </w:pPr>
      <w:r>
        <w:rPr>
          <w:color w:val="000000" w:themeColor="text1"/>
        </w:rPr>
        <w:t>26</w:t>
      </w:r>
      <w:r w:rsidR="001E4492" w:rsidRPr="00B013A7">
        <w:t>.</w:t>
      </w:r>
      <w:r w:rsidR="001E4492" w:rsidRPr="00B013A7">
        <w:tab/>
        <w:t>napominje da klubovi zastupnika imaju znatnu autonomiju u pogledu svojih informatičkih usluga, koje se koriste za pohranu informacija povezanih s njihovim aktivnostima; napominje da bi u geopolitički turbulentnom svijetu europski pružatelji usluga trebali pohranjivati takve podatke na europskim poslužiteljima kako bi se izbjegle vanjske ovisnosti i rizici; stoga pozdravlja nedavnu najavu uspostave sigurne i suverene infrastrukture u oblaku kako bi se uklonila ta ovisnost;</w:t>
      </w:r>
    </w:p>
    <w:p w14:paraId="6D333D72" w14:textId="50B0B688" w:rsidR="001E4492" w:rsidRPr="00B013A7" w:rsidRDefault="00AF3F3F" w:rsidP="001E4492">
      <w:pPr>
        <w:pStyle w:val="NormalHanging12a"/>
      </w:pPr>
      <w:r>
        <w:t>27</w:t>
      </w:r>
      <w:r w:rsidR="001E4492" w:rsidRPr="00B013A7">
        <w:t>.</w:t>
      </w:r>
      <w:r w:rsidR="001E4492" w:rsidRPr="00B013A7">
        <w:tab/>
        <w:t>naglašava važnost održavanja integriteta institucije i sprečavanja neopravdanog vanjskog upletanja; osuđuje svaki neprimjeren pokušaj vršenja utjecaja na zakonodavne aktivnosti Parlamenta;</w:t>
      </w:r>
    </w:p>
    <w:p w14:paraId="61C94103" w14:textId="26574E15" w:rsidR="001E4492" w:rsidRPr="00B013A7" w:rsidRDefault="00AF3F3F" w:rsidP="001E4492">
      <w:pPr>
        <w:pStyle w:val="NormalHanging12a"/>
        <w:rPr>
          <w:bCs/>
          <w:iCs/>
        </w:rPr>
      </w:pPr>
      <w:r>
        <w:t>28</w:t>
      </w:r>
      <w:r w:rsidR="001E4492" w:rsidRPr="00B013A7">
        <w:t>.</w:t>
      </w:r>
      <w:r w:rsidR="001E4492" w:rsidRPr="00B013A7">
        <w:tab/>
        <w:t>napominje da je Komisija priznala navode o tome da je nekoliko subjekata provodilo aktivnosti zagovaranja usmjerene na Parlament korištenjem sredstava Unije, ali je istaknula da su te aktivnosti obuhvaćene područjem primjene primjenjive uredbe; međutim, uviđa da je to svejedno moglo dovesti do reputacijskog rizika;</w:t>
      </w:r>
    </w:p>
    <w:p w14:paraId="00D00103" w14:textId="7E5B4AD3" w:rsidR="001E4492" w:rsidRPr="00B013A7" w:rsidRDefault="00AF3F3F" w:rsidP="001E4492">
      <w:pPr>
        <w:pStyle w:val="NormalHanging12a"/>
      </w:pPr>
      <w:r>
        <w:t>29</w:t>
      </w:r>
      <w:r w:rsidR="001E4492" w:rsidRPr="00B013A7">
        <w:t>.</w:t>
      </w:r>
      <w:r w:rsidR="001E4492" w:rsidRPr="00B013A7">
        <w:tab/>
        <w:t xml:space="preserve">podsjeća da su navodi o ruskom utjecaju na Parlament predstavljali ozbiljan rizik za demokratski integritet, napominje da su neki zastupnici otvoreno podupirali Rusiju u svojim popratnim aktivnostima te naglašava potrebu za jačim zaštitnim mjerama; </w:t>
      </w:r>
      <w:r w:rsidR="001E4492" w:rsidRPr="00B013A7">
        <w:lastRenderedPageBreak/>
        <w:t>napominje da je Parlament postao oprezniji u odgovoru na vanjsko upletanje, ali da bi trebalo poduzeti snažnije mjere kako bi se osigurala učinkovita zaštita od neprimjerenog vanjskog utjecaja; u tom kontekstu ističe ključnu odgovornost Europskog ureda za borbu protiv prijevara (OLAF) za provedbu svih nužnih temeljitih istraga;</w:t>
      </w:r>
    </w:p>
    <w:p w14:paraId="46C3794D" w14:textId="0F5280A2" w:rsidR="001E4492" w:rsidRPr="00B013A7" w:rsidRDefault="00AF3F3F" w:rsidP="001E4492">
      <w:pPr>
        <w:pStyle w:val="NormalHanging12a"/>
        <w:rPr>
          <w:bCs/>
          <w:iCs/>
        </w:rPr>
      </w:pPr>
      <w:r>
        <w:t>30</w:t>
      </w:r>
      <w:r w:rsidR="001E4492" w:rsidRPr="00B013A7">
        <w:t>.</w:t>
      </w:r>
      <w:r w:rsidR="001E4492" w:rsidRPr="00B013A7">
        <w:tab/>
        <w:t>napominje da je 2024. godinu, uključujući razdoblje uoči europskih izbora, obilježio povećani rizik od vanjskog upletanja i operacija utjecaja usmjerenih na demokratske institucije i izabrane predstavnike; podsjeća da javne optužbe i istrage o pokušajima utjecanja na politička stajališta i ponašanje glasača naglašavaju potrebu za snažnim mehanizmima prevencije i otkrivanja u Parlamentu; stoga poziva Parlament da osigura unutarnje zaštitne mjere, zahtjeve u pogledu transparentnosti i suradnju s relevantnim tijelima Unije kako bi se zaštitio integritet Parlamenta i proračuna Unije;</w:t>
      </w:r>
    </w:p>
    <w:p w14:paraId="54115511" w14:textId="6B1D839E" w:rsidR="001E4492" w:rsidRPr="00B013A7" w:rsidRDefault="00AF3F3F" w:rsidP="001E4492">
      <w:pPr>
        <w:pStyle w:val="NormalHanging12a"/>
      </w:pPr>
      <w:r>
        <w:t>31</w:t>
      </w:r>
      <w:r w:rsidR="001E4492" w:rsidRPr="00B013A7">
        <w:t>.</w:t>
      </w:r>
      <w:r w:rsidR="001E4492" w:rsidRPr="00B013A7">
        <w:tab/>
        <w:t>podsjeća da su u skladu s člankom 4. Kodeksa ponašanja zastupnika u Europskom parlamentu u pogledu integriteta i transparentnosti obvezne precizne izjave o financijskim interesima zastupnika; poziva da izjave o plaćenim ili neplaćenim vanjskim aktivnostima sadrže dovoljno pojedinosti kako bi se izbjegla zabrinutost u pogledu kvalitete provjera sukoba interesa, koje su ključne da bi se osigurala djelotvorna prevencija i identifikacija sukoba interesa te upravljanje njima;</w:t>
      </w:r>
    </w:p>
    <w:p w14:paraId="37F9472A" w14:textId="664F2A26" w:rsidR="001E4492" w:rsidRPr="00B013A7" w:rsidRDefault="00AF3F3F" w:rsidP="001E4492">
      <w:pPr>
        <w:pStyle w:val="NormalHanging12a"/>
        <w:rPr>
          <w:bCs/>
          <w:iCs/>
        </w:rPr>
      </w:pPr>
      <w:r>
        <w:t>32</w:t>
      </w:r>
      <w:r w:rsidR="001E4492" w:rsidRPr="00B013A7">
        <w:t>.</w:t>
      </w:r>
      <w:r w:rsidR="001E4492" w:rsidRPr="00B013A7">
        <w:tab/>
        <w:t>prima na znanje, u interesu transparentnosti, obvezno objavljivanje sastanaka i izjava o privatnim interesima, posebno izjava o materijalnoj i financijskoj potpori; napominje, međutim, da se u trenutačnom okviru ponavljaju problemi povezani s potpunošću i jasnoćom, što može smanjiti njegovu ukupnu učinkovitost; smatra da poboljšane smjernice za zastupnike, kao i proporcionalno i dosljedno daljnje postupanje uprave u slučajevima u kojima se izjave čine netočnima ili nedosljednima, zaslužuju posebnu pozornost, posebno s obzirom na problem vanjskog upletanja;</w:t>
      </w:r>
    </w:p>
    <w:p w14:paraId="712BF5DD" w14:textId="0610E76C" w:rsidR="001E4492" w:rsidRPr="00B013A7" w:rsidRDefault="00AF3F3F" w:rsidP="001E4492">
      <w:pPr>
        <w:pStyle w:val="NormalHanging12a"/>
      </w:pPr>
      <w:r>
        <w:t>33</w:t>
      </w:r>
      <w:r w:rsidR="001E4492" w:rsidRPr="00B013A7">
        <w:t>.</w:t>
      </w:r>
      <w:r w:rsidR="001E4492" w:rsidRPr="00B013A7">
        <w:tab/>
        <w:t>izražava ozbiljnu zabrinutost zbog navoda da su države članice sudjelovale u špijuniranju koje je bilo usmjereno na Parlament; napominje da je Komisija osnovala internu skupinu za istraživanje tih tvrdnji; potiče Parlament i Komisiju na blisku suradnju i odlučno poziva Komisiju da zaključke radne skupine podijeli s Parlamentom, pod uvjetom da se takvim dijeljenjem ne ugrožavaju bilo kakvi tekući ili potencijalni pravni postupci;</w:t>
      </w:r>
    </w:p>
    <w:p w14:paraId="3E8416CC" w14:textId="518AD820" w:rsidR="001E4492" w:rsidRPr="00B013A7" w:rsidRDefault="00AF3F3F" w:rsidP="001E4492">
      <w:pPr>
        <w:pStyle w:val="NormalHanging12a"/>
        <w:rPr>
          <w:bCs/>
          <w:iCs/>
        </w:rPr>
      </w:pPr>
      <w:r>
        <w:t>34</w:t>
      </w:r>
      <w:r w:rsidR="001E4492" w:rsidRPr="00B013A7">
        <w:t>.</w:t>
      </w:r>
      <w:r w:rsidR="001E4492" w:rsidRPr="00B013A7">
        <w:tab/>
        <w:t>potiče Parlament da ojača zaštitne mjere, uključujući sigurno upravljanje uređajima, kanale za brzo izvješćivanje o incidentima za zastupnike i osoblje te redovita izvješćivanja o prijetnjama u suradnji s CERT-EU-om i relevantnim tijelima Unije, uz istodobno osiguravanje potpunog poštovanja temeljnih prava i zaštite podataka;</w:t>
      </w:r>
    </w:p>
    <w:p w14:paraId="6C6B5F28" w14:textId="56921ED0" w:rsidR="001E4492" w:rsidRPr="00B013A7" w:rsidRDefault="00AF3F3F" w:rsidP="001E4492">
      <w:pPr>
        <w:pStyle w:val="NormalHanging12a"/>
      </w:pPr>
      <w:r>
        <w:t>35</w:t>
      </w:r>
      <w:r w:rsidR="001E4492" w:rsidRPr="00B013A7">
        <w:t>.</w:t>
      </w:r>
      <w:r w:rsidR="001E4492" w:rsidRPr="00B013A7">
        <w:tab/>
        <w:t xml:space="preserve">prima na znanje potencijal umjetne inteligencije za osiguravanje točnih i transparentnih informacija u Uniji i njezinim institucijama, tijelima, uredima i agencijama, dok primjereno osmišljeni sustavi umjetne inteligencije kojima se upravlja mogu pomoći u otkrivanju i suzbijanju pogrešnih informacija i dezinformacija, promiču odgovornost i poštuju visoke standarde transparentnosti kako bi se održalo povjerenje javnosti i ojačalo demokratsko upravljanje; zabrinut je zbog dominacije alata umjetne inteligencije poduzeća iz trećih zemalja te zbog pitanja zaštite podataka i povjerljivosti pri uporabi alata umjetne inteligencije u posjedu trećih strana; poziva na potpunu transparentnost u pogledu uporabe sustava umjetne inteligencije u odlukama i postupcima Parlamenta, uključujući objavljivanje detaljnih informacija o algoritmima i procjenama učinka; poziva upravu Parlamenta da zastupnicima i osoblju Parlamenta </w:t>
      </w:r>
      <w:r w:rsidR="001E4492" w:rsidRPr="00B013A7">
        <w:lastRenderedPageBreak/>
        <w:t>stavi na raspolaganje niz alata umjetne inteligencije, prilagođenih potrebama svake kategorije, koji će odgovarati poslovnim potrebama zastupnika i jamčiti povjerljivost, cjelovitost i dostupnost podataka koje obrađuju uporabom infrastrukture u prostoru Parlamenta kako bi se spriječilo curenje podataka te koji neće otkrivati informacije trećim stranama, u skladu s trenutačnim politikama o uporabi umjetne inteligencije;</w:t>
      </w:r>
    </w:p>
    <w:p w14:paraId="6E2E7392" w14:textId="3EB4ED93" w:rsidR="001E4492" w:rsidRPr="00B013A7" w:rsidRDefault="00AF3F3F" w:rsidP="001E4492">
      <w:pPr>
        <w:pStyle w:val="NormalHanging12a"/>
        <w:rPr>
          <w:bCs/>
          <w:iCs/>
        </w:rPr>
      </w:pPr>
      <w:r>
        <w:t>36</w:t>
      </w:r>
      <w:r w:rsidR="001E4492" w:rsidRPr="00B013A7">
        <w:t>.</w:t>
      </w:r>
      <w:r w:rsidR="001E4492" w:rsidRPr="00B013A7">
        <w:tab/>
        <w:t>prima na znanje sve veću upotrebu umjetne inteligencije i alata velikih jezičnog modela u upravljanju ljudskim resursima te prepoznaje njihov potencijal za povećanje učinkovitosti, što bi trebalo dodatno istražiti; istodobno naglašava potrebu za jasnim upravljanjem, ljudskim nadzorom, transparentnošću i čvrstim zaštitnim mjerama za zaštitu podataka; poziva upravu da obavijesti tijelo nadležno za davanje razrješnice o području primjene, procjeni rizika i etičkim zaštitnim mjerama takvih alata;</w:t>
      </w:r>
    </w:p>
    <w:p w14:paraId="07149391" w14:textId="3E0AFC57" w:rsidR="001E4492" w:rsidRPr="00B013A7" w:rsidRDefault="00AF3F3F" w:rsidP="001E4492">
      <w:pPr>
        <w:pStyle w:val="NormalHanging12a"/>
      </w:pPr>
      <w:r>
        <w:t>37</w:t>
      </w:r>
      <w:r w:rsidR="001E4492" w:rsidRPr="00B013A7">
        <w:t>.</w:t>
      </w:r>
      <w:r w:rsidR="001E4492" w:rsidRPr="00B013A7">
        <w:tab/>
        <w:t>napominje da se u skladu s Poslovnikom Parlamenta tajno glasovanje općenito koristi za izbore i glasovanja koja se odnose na pojedinačne osobe; nadalje primjećuje da se glasovanje također provodi tajno ako to zahtijevaju zastupnici ili klub/klubovi zastupnika koji dosežu barem visoki prag; u tom kontekstu prima na znanje da je Odbor Parlamenta za ustavna pitanja zadužen za procjenu korištenja potonje opcije i očekuje zaključke i prijedloge odbora; smatra da je poimenično glasovanje ključan instrument za osiguravanje transparentnost i odgovornost prema građanima Unije; poziva Parlament da predstavi mjere kojima se izbjegava zlouporaba glasovanja tajnim postupkom glasovanja;</w:t>
      </w:r>
    </w:p>
    <w:p w14:paraId="3B6DC7F7" w14:textId="22511BA6" w:rsidR="001E4492" w:rsidRPr="00B013A7" w:rsidRDefault="00AF3F3F" w:rsidP="001E4492">
      <w:pPr>
        <w:pStyle w:val="NormalHanging12a"/>
        <w:rPr>
          <w:bCs/>
          <w:iCs/>
        </w:rPr>
      </w:pPr>
      <w:r>
        <w:t>38</w:t>
      </w:r>
      <w:r w:rsidR="001E4492" w:rsidRPr="00B013A7">
        <w:t>.</w:t>
      </w:r>
      <w:r w:rsidR="001E4492" w:rsidRPr="00B013A7">
        <w:tab/>
        <w:t>pozdravlja ostvareni napredak u pogledu rodno osviještene politike i izrade proračuna te donošenje akcijskog plana za rodnu ravnopravnost za 2025.; poziva na javnu objavu tog akcijskog plana te na njegovu brzu provedbu putem plana provedbe, kao i na njegovu temeljitu procjenu uz redovita izvješća o praćenju postignutog napretka;</w:t>
      </w:r>
      <w:r w:rsidR="000F18C0">
        <w:t xml:space="preserve"> </w:t>
      </w:r>
      <w:r w:rsidR="001E4492" w:rsidRPr="00B013A7">
        <w:t>pozdravlja rad Mreže za rodno osviještenu politiku u Parlamentu;</w:t>
      </w:r>
    </w:p>
    <w:p w14:paraId="7D9D2199"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Glavna uprava Predsjedništva</w:t>
      </w:r>
    </w:p>
    <w:p w14:paraId="101EE6BE" w14:textId="1C9E79C9" w:rsidR="001E4492" w:rsidRPr="00B013A7" w:rsidRDefault="00AF3F3F" w:rsidP="001E4492">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39</w:t>
      </w:r>
      <w:r w:rsidR="001E4492" w:rsidRPr="00B013A7">
        <w:t>.</w:t>
      </w:r>
      <w:r w:rsidR="001E4492" w:rsidRPr="00B013A7">
        <w:rPr>
          <w14:textOutline w14:w="0" w14:cap="flat" w14:cmpd="sng" w14:algn="ctr">
            <w14:noFill/>
            <w14:prstDash w14:val="solid"/>
            <w14:bevel/>
          </w14:textOutline>
        </w:rPr>
        <w:tab/>
        <w:t xml:space="preserve">podsjeća da Glavna uprava Predsjedništva (DG PRES) pruža stručno znanje i olakšava zakonodavni i parlamentarni rad predsjednice, rad tijekom plenarne sjednice i rad upravljačkih tijela Parlamenta te zastupnika u svakoj fazi parlamentarnog i zakonodavnog postupka; </w:t>
      </w:r>
      <w:r w:rsidR="001E4492" w:rsidRPr="00B013A7">
        <w:t xml:space="preserve">podsjeća da je također odgovorna za </w:t>
      </w:r>
      <w:proofErr w:type="spellStart"/>
      <w:r w:rsidR="001E4492" w:rsidRPr="00B013A7">
        <w:t>međuinstitucijske</w:t>
      </w:r>
      <w:proofErr w:type="spellEnd"/>
      <w:r w:rsidR="001E4492" w:rsidRPr="00B013A7">
        <w:t xml:space="preserve"> odnose, za protokolarnu potporu službenim posjetima i događanjima koje sponzorira predsjednica, za upravljanje klasificiranim podacima Unije i za upravljanje službenom i preporučenom poštom;</w:t>
      </w:r>
      <w:r w:rsidR="001E4492" w:rsidRPr="00B013A7">
        <w:rPr>
          <w14:textOutline w14:w="0" w14:cap="flat" w14:cmpd="sng" w14:algn="ctr">
            <w14:noFill/>
            <w14:prstDash w14:val="solid"/>
            <w14:bevel/>
          </w14:textOutline>
        </w:rPr>
        <w:t xml:space="preserve"> </w:t>
      </w:r>
      <w:r w:rsidR="001E4492" w:rsidRPr="00B013A7">
        <w:t>napominje da je do 31. prosinca 2024. zapošljavala 406 članova osoblja, od čega 320 dužnosnika, 29 privremenih djelatnika, 55 ugovornih djelatnika, jednog upućenog nacionalnog stručnjaka i jednog člana osoblja agencije;</w:t>
      </w:r>
    </w:p>
    <w:p w14:paraId="0C86B9C1" w14:textId="06B2DCA1" w:rsidR="001E4492" w:rsidRPr="00B013A7" w:rsidRDefault="00AF3F3F" w:rsidP="001E4492">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1E4492" w:rsidRPr="00B013A7">
        <w:t>.</w:t>
      </w:r>
      <w:r w:rsidR="001E4492" w:rsidRPr="00B013A7">
        <w:rPr>
          <w14:textOutline w14:w="0" w14:cap="flat" w14:cmpd="sng" w14:algn="ctr">
            <w14:noFill/>
            <w14:prstDash w14:val="solid"/>
            <w14:bevel/>
          </w14:textOutline>
        </w:rPr>
        <w:tab/>
      </w:r>
      <w:r w:rsidR="001E4492" w:rsidRPr="00B013A7">
        <w:t>napominje da su konačna odobrena sredstva GU PRES-a 2024. iznosila 2 970 957 EUR, odnosno 0,2 % proračuna Parlamenta;</w:t>
      </w:r>
      <w:r w:rsidR="001E4492" w:rsidRPr="00B013A7">
        <w:rPr>
          <w14:textOutline w14:w="0" w14:cap="flat" w14:cmpd="sng" w14:algn="ctr">
            <w14:noFill/>
            <w14:prstDash w14:val="solid"/>
            <w14:bevel/>
          </w14:textOutline>
        </w:rPr>
        <w:t xml:space="preserve"> </w:t>
      </w:r>
      <w:r w:rsidR="001E4492" w:rsidRPr="00B013A7">
        <w:t>ističe da su od tog iznosa preuzete obveze u iznosu od 2 930 107 EUR;</w:t>
      </w:r>
      <w:r w:rsidR="001E4492" w:rsidRPr="00B013A7">
        <w:rPr>
          <w14:textOutline w14:w="0" w14:cap="flat" w14:cmpd="sng" w14:algn="ctr">
            <w14:noFill/>
            <w14:prstDash w14:val="solid"/>
            <w14:bevel/>
          </w14:textOutline>
        </w:rPr>
        <w:t xml:space="preserve"> pozdravlja veliku iskorištenost odobrenih sredstava;</w:t>
      </w:r>
    </w:p>
    <w:p w14:paraId="2790D378" w14:textId="16C6C057" w:rsidR="001E4492" w:rsidRPr="00B013A7" w:rsidRDefault="00AF3F3F" w:rsidP="001E4492">
      <w:pPr>
        <w:spacing w:after="240"/>
        <w:ind w:left="567" w:hanging="567"/>
      </w:pPr>
      <w:r>
        <w:t>41</w:t>
      </w:r>
      <w:r w:rsidR="001E4492" w:rsidRPr="00B013A7">
        <w:t>.</w:t>
      </w:r>
      <w:r w:rsidR="001E4492" w:rsidRPr="00B013A7">
        <w:tab/>
        <w:t xml:space="preserve">napominje da su na aktivnosti DG PRES-a utjecali kraj devetog i početak desetog parlamentarnog saziva, što je dovelo do izazova za kapacitete planiranja i finalizacije plenarnih sjednica na kraju devetog parlamentarnog saziva s obzirom na vrlo velik broj predmeta u redovnom zakonodavnom postupku o kojima je postignut dogovor u posljednjim mjesecima parlamentarnog saziva te uspostavu novog saziva Parlamenta na početku desetog parlamentarnog razdoblja izborom predsjednice i Predsjedništva; </w:t>
      </w:r>
    </w:p>
    <w:p w14:paraId="7A0D5877" w14:textId="61CD97C1" w:rsidR="001E4492" w:rsidRPr="00B013A7" w:rsidRDefault="00AF3F3F" w:rsidP="001E4492">
      <w:pPr>
        <w:pStyle w:val="NormalHanging12a"/>
      </w:pPr>
      <w:bookmarkStart w:id="9" w:name="_Hlk216613698"/>
      <w:r>
        <w:lastRenderedPageBreak/>
        <w:t>42</w:t>
      </w:r>
      <w:r w:rsidR="001E4492" w:rsidRPr="00B013A7">
        <w:t>.</w:t>
      </w:r>
      <w:r w:rsidR="001E4492" w:rsidRPr="00B013A7">
        <w:tab/>
        <w:t>pohvaljuje DG PRES za njegove aktivnosti u vezi s provedbom i daljnjim postupanjem u pogledu novih pravila o integritetu i transparentnosti koje su uključivale prvu ukupnu procjenu tehničke provedbe reforme te aktivnosti podizanja razine osviještenosti i pružanje tehničkog stručnog znanja i usluga o pitanjima transparentnosti, integriteta i odgovornosti; također pozdravlja ulogu Savjetodavnog odbora o ponašanju zastupnika u praćenju toga poštuju li zastupnici Kodeks ponašanja i njegove provedbene mjere;</w:t>
      </w:r>
    </w:p>
    <w:bookmarkEnd w:id="9"/>
    <w:p w14:paraId="6D07BE12" w14:textId="410B7F29" w:rsidR="001E4492" w:rsidRPr="00B013A7" w:rsidRDefault="00AF3F3F" w:rsidP="001E4492">
      <w:pPr>
        <w:pStyle w:val="NormalHanging12a"/>
      </w:pPr>
      <w:r>
        <w:t>43</w:t>
      </w:r>
      <w:r w:rsidR="001E4492" w:rsidRPr="00B013A7">
        <w:t>.</w:t>
      </w:r>
      <w:r w:rsidR="001E4492" w:rsidRPr="00B013A7">
        <w:tab/>
        <w:t xml:space="preserve">poziva na nastavak </w:t>
      </w:r>
      <w:proofErr w:type="spellStart"/>
      <w:r w:rsidR="001E4492" w:rsidRPr="00B013A7">
        <w:t>međuinstitucijske</w:t>
      </w:r>
      <w:proofErr w:type="spellEnd"/>
      <w:r w:rsidR="001E4492" w:rsidRPr="00B013A7">
        <w:t xml:space="preserve"> suradnje i dijaloga o integritetu i transparentnosti </w:t>
      </w:r>
      <w:r w:rsidR="00FD37F9">
        <w:t>među</w:t>
      </w:r>
      <w:r w:rsidR="001E4492" w:rsidRPr="00B013A7">
        <w:t xml:space="preserve"> institucijama Unije;</w:t>
      </w:r>
      <w:r w:rsidR="00FD37F9">
        <w:t xml:space="preserve"> </w:t>
      </w:r>
      <w:r w:rsidR="00FD37F9" w:rsidRPr="000F18C0">
        <w:rPr>
          <w:bCs/>
          <w:iCs/>
          <w:szCs w:val="24"/>
          <w:lang w:eastAsia="en-US"/>
        </w:rPr>
        <w:t xml:space="preserve">podsjeća da Parlament i dalje obvezuje Sporazum o osnivanju </w:t>
      </w:r>
      <w:proofErr w:type="spellStart"/>
      <w:r w:rsidR="00FD37F9" w:rsidRPr="000F18C0">
        <w:rPr>
          <w:bCs/>
          <w:iCs/>
          <w:szCs w:val="24"/>
          <w:lang w:eastAsia="en-US"/>
        </w:rPr>
        <w:t>međuinstitucijskog</w:t>
      </w:r>
      <w:proofErr w:type="spellEnd"/>
      <w:r w:rsidR="00FD37F9" w:rsidRPr="000F18C0">
        <w:rPr>
          <w:bCs/>
          <w:iCs/>
          <w:szCs w:val="24"/>
          <w:lang w:eastAsia="en-US"/>
        </w:rPr>
        <w:t xml:space="preserve"> tijela za etičke standarde za članove institucija i savjetodavnih tijela iz članka 13. Ugovora o Europskoj uniji; podsjeća da se Parlament stoga mora pridržavati njegovih odredbi bez daljnje odgode;</w:t>
      </w:r>
    </w:p>
    <w:p w14:paraId="5D13A7A8" w14:textId="711A0CFA" w:rsidR="001E4492" w:rsidRPr="00B013A7" w:rsidRDefault="00AF3F3F" w:rsidP="001E4492">
      <w:pPr>
        <w:pStyle w:val="NormalHanging12a"/>
        <w:rPr>
          <w:bCs/>
          <w:iCs/>
        </w:rPr>
      </w:pPr>
      <w:r>
        <w:t>44</w:t>
      </w:r>
      <w:r w:rsidR="001E4492" w:rsidRPr="00B013A7">
        <w:t>.</w:t>
      </w:r>
      <w:r w:rsidR="001E4492" w:rsidRPr="00B013A7">
        <w:tab/>
        <w:t xml:space="preserve">pozdravlja činjenicu da je DG PRES nastavio učinkovitu suradnju s Vijećem i Komisijom u pogledu svih elemenata koji se odnose na </w:t>
      </w:r>
      <w:proofErr w:type="spellStart"/>
      <w:r w:rsidR="001E4492" w:rsidRPr="00B013A7">
        <w:t>međuinstitucijsko</w:t>
      </w:r>
      <w:proofErr w:type="spellEnd"/>
      <w:r w:rsidR="001E4492" w:rsidRPr="00B013A7">
        <w:t xml:space="preserve"> tajništvo registra transparentnosti kako bi se nastavilo poboljšavati funkcioniranje registra;</w:t>
      </w:r>
    </w:p>
    <w:p w14:paraId="5613C041" w14:textId="0F70CA42" w:rsidR="001E4492" w:rsidRPr="00B013A7" w:rsidRDefault="00AF3F3F" w:rsidP="001E4492">
      <w:pPr>
        <w:pStyle w:val="NormalHanging12a"/>
      </w:pPr>
      <w:r>
        <w:t>45</w:t>
      </w:r>
      <w:r w:rsidR="001E4492" w:rsidRPr="00B013A7">
        <w:t>.</w:t>
      </w:r>
      <w:r w:rsidR="001E4492" w:rsidRPr="00B013A7">
        <w:tab/>
        <w:t>ističe stalna kašnjenja Komisije u obradi parlamentarnih pitanja za pisani odgovor posljednjih godina; žali zbog toga što je taj postupak postao sve birokratskiji i sporiji, što dovodi do sustavnog nepoštovanja rokova utvrđenih u članku 144. Poslovnika Parlamenta; sa zabrinutošću napominje da je Komisija 2024. odgovorila u rokovima utvrđenima u Poslovniku Parlamenta samo na ograničen broj pitanja za pisani odgovor, uključujući posebno nisku stopu za prioritetna pitanja, a u mnogim slučajevima i nakon roka; naglašava da je najduže vrijeme odgovora bilo 475 dana; podsjeća da su pravovremeni odgovori ključan element parlamentarnog nadzora i demokratske odgovornosti; pozdravlja napore koje je DG PRES uložio posljednjih godina u poštovanje zadanih rokova; poziva DG PRES da radi na tome da se osigura potpuno poštovanje rokova koje je Parlament odredio i da, među ostalim na političkoj razini, s Komisijom postigne više obvezujućih dogovora o odgovaranju na pisana pitanja u zadanim rokovima te da tijelo nadležno za davanje razrješnice bude izviješteno o postignutom napretku, s ciljem ponovne uspostave parlamentarnih pitanja za pisane odgovore kao učinkovitog instrumenta nadzora;</w:t>
      </w:r>
    </w:p>
    <w:p w14:paraId="4EC370DA" w14:textId="750C0E21" w:rsidR="001E4492" w:rsidRPr="00B013A7" w:rsidRDefault="00AF3F3F" w:rsidP="001E4492">
      <w:pPr>
        <w:pStyle w:val="NormalHanging12a"/>
        <w:rPr>
          <w:bCs/>
          <w:iCs/>
        </w:rPr>
      </w:pPr>
      <w:r>
        <w:t>46</w:t>
      </w:r>
      <w:r w:rsidR="001E4492" w:rsidRPr="00B013A7">
        <w:t>.</w:t>
      </w:r>
      <w:r w:rsidR="001E4492" w:rsidRPr="00B013A7">
        <w:tab/>
        <w:t>napominje da interna obrada, uključujući provjeru uređivanja, prijevoda i dopuštenosti, doprinosi ukupnom vremenu za slanje pitanja za pisani odgovor; poziva upravu da nastavi pojednostavnjivati te postupke, uz potpuno poštovanje zahtjeva u pogledu jezične kvalitete i zaštite podataka, kako bi se učinkovitije podržao rad zastupnika na nadzoru;</w:t>
      </w:r>
    </w:p>
    <w:p w14:paraId="3ACD42F9" w14:textId="6A87051E" w:rsidR="001E4492" w:rsidRPr="00B013A7" w:rsidRDefault="00AF3F3F" w:rsidP="001E4492">
      <w:pPr>
        <w:spacing w:after="240"/>
        <w:ind w:left="567" w:hanging="567"/>
      </w:pPr>
      <w:r>
        <w:t>47</w:t>
      </w:r>
      <w:r w:rsidR="001E4492" w:rsidRPr="00B013A7">
        <w:t xml:space="preserve">. </w:t>
      </w:r>
      <w:r w:rsidR="001E4492" w:rsidRPr="00B013A7">
        <w:tab/>
        <w:t>poziva DG PRES da aktivno surađuje s parlamentima drugih država članica i trećih zemalja kako bi se izradili prijedlozi za djelotvorne mehanizme nadzora i načini za poboljšanje kvalitete plenarnih rasprava u Parlamentu i sudjelovanja na njima; poziva DG PRES da izvuče pouke iz strukture kongresnih saslušanja;</w:t>
      </w:r>
    </w:p>
    <w:p w14:paraId="6F8F13E2" w14:textId="58DC36EC" w:rsidR="001E4492" w:rsidRPr="00B013A7" w:rsidRDefault="00AF3F3F" w:rsidP="001E4492">
      <w:pPr>
        <w:pStyle w:val="NormalHanging12a"/>
        <w:rPr>
          <w:bCs/>
          <w:iCs/>
        </w:rPr>
      </w:pPr>
      <w:r>
        <w:t>48</w:t>
      </w:r>
      <w:r w:rsidR="001E4492" w:rsidRPr="00B013A7">
        <w:t>.</w:t>
      </w:r>
      <w:r w:rsidR="001E4492" w:rsidRPr="00B013A7">
        <w:tab/>
        <w:t xml:space="preserve">pozdravlja činjenicu da je Parlament nedavno pokrenuo zakonodavni postupak za izmjenu izbornog zakona Unije kako bi se uvela nova privremena mogućnost glasovanja preko opunomoćenika za zastupnice tijekom kasne trudnoće i ranog majčinstva; pozdravlja činjenicu da se Parlament glasovanjem na plenarnoj sjednici 13. studenoga 2025. obvezao na rodnu ravnopravnost, </w:t>
      </w:r>
      <w:proofErr w:type="spellStart"/>
      <w:r w:rsidR="001E4492" w:rsidRPr="00B013A7">
        <w:t>uključivost</w:t>
      </w:r>
      <w:proofErr w:type="spellEnd"/>
      <w:r w:rsidR="001E4492" w:rsidRPr="00B013A7">
        <w:t xml:space="preserve"> i ravnotežu između poslovnog i privatnog života unatoč činjenici dao širi roditeljski dopust nije obuhvaćen tim aktom;</w:t>
      </w:r>
    </w:p>
    <w:p w14:paraId="5EFAC59A" w14:textId="1333F293" w:rsidR="001E4492" w:rsidRPr="00B013A7" w:rsidRDefault="00AF3F3F" w:rsidP="001E4492">
      <w:pPr>
        <w:pStyle w:val="NormalHanging12a"/>
        <w:rPr>
          <w:bCs/>
          <w:iCs/>
        </w:rPr>
      </w:pPr>
      <w:r>
        <w:lastRenderedPageBreak/>
        <w:t>49</w:t>
      </w:r>
      <w:r w:rsidR="001E4492" w:rsidRPr="00B013A7">
        <w:t>.</w:t>
      </w:r>
      <w:r w:rsidR="001E4492" w:rsidRPr="00B013A7">
        <w:tab/>
        <w:t>napominje da ažurirani podaci o nazočnosti na razini odbora trenutačno nisu dostupni; poziva službe Parlamenta da za svaki odbor objavljuju godišnje podatke o nazočnosti na razini odbora;</w:t>
      </w:r>
    </w:p>
    <w:p w14:paraId="557B9290"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Glavna uprava za komunikaciju</w:t>
      </w:r>
    </w:p>
    <w:p w14:paraId="00B2948E" w14:textId="4AEDA806" w:rsidR="001E4492" w:rsidRPr="00B013A7" w:rsidRDefault="00AF3F3F" w:rsidP="001E4492">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1E4492" w:rsidRPr="00B013A7">
        <w:t>.</w:t>
      </w:r>
      <w:r w:rsidR="001E4492" w:rsidRPr="00B013A7">
        <w:rPr>
          <w14:textOutline w14:w="0" w14:cap="flat" w14:cmpd="sng" w14:algn="ctr">
            <w14:noFill/>
            <w14:prstDash w14:val="solid"/>
            <w14:bevel/>
          </w14:textOutline>
        </w:rPr>
        <w:tab/>
      </w:r>
      <w:r w:rsidR="001E4492" w:rsidRPr="00B013A7">
        <w:t>napominje da je misija Glavne uprave za komunikaciju (DG COMM) osigurati da građani razumiju važnost Parlamenta kako bi mogli poboljšati sudjelovanje u europskom demokratskom procesu;</w:t>
      </w:r>
      <w:r w:rsidR="001E4492" w:rsidRPr="00B013A7">
        <w:rPr>
          <w14:textOutline w14:w="0" w14:cap="flat" w14:cmpd="sng" w14:algn="ctr">
            <w14:noFill/>
            <w14:prstDash w14:val="solid"/>
            <w14:bevel/>
          </w14:textOutline>
        </w:rPr>
        <w:t xml:space="preserve"> ističe da su njezine ključne zadaće suradnja s medijima, informiranje, objašnjavanje i povećanje vidljivosti rada Parlamenta, podizanje razine osviještenosti o Parlamentu u svim državama članicama, među građanima, dionicima i predvodnicima javnog mijenja putem ureda za vezu Europskog parlamenta koji se nalaze u državama članicama, poticanje interakcije s građanima poboljšanim projektima za posjetitelje, događanjima i informativnim kampanjama i njegovom prisutnošću na društvenim mrežama te pružanje stručnog znanja zastupnicima i klubovima zastupnika o temama kao što je praćenje i analiza medijskih sadržaja i javnog mijenja;</w:t>
      </w:r>
    </w:p>
    <w:p w14:paraId="5DF9B0D3" w14:textId="1A53D7FB" w:rsidR="001E4492" w:rsidRPr="00B013A7" w:rsidRDefault="00AF3F3F" w:rsidP="001E4492">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51</w:t>
      </w:r>
      <w:r w:rsidR="001E4492" w:rsidRPr="00B013A7">
        <w:t>.</w:t>
      </w:r>
      <w:r w:rsidR="001E4492" w:rsidRPr="00B013A7">
        <w:rPr>
          <w14:textOutline w14:w="0" w14:cap="flat" w14:cmpd="sng" w14:algn="ctr">
            <w14:noFill/>
            <w14:prstDash w14:val="solid"/>
            <w14:bevel/>
          </w14:textOutline>
        </w:rPr>
        <w:tab/>
      </w:r>
      <w:r w:rsidR="001E4492" w:rsidRPr="00B013A7">
        <w:t>konstatira da su konačna odobrena sredstva DG COMM-a za 2024. iznosila 137 463 777 EUR, odnosno 5,8 % proračuna Parlamenta;</w:t>
      </w:r>
      <w:r w:rsidR="001E4492" w:rsidRPr="00B013A7">
        <w:rPr>
          <w14:textOutline w14:w="0" w14:cap="flat" w14:cmpd="sng" w14:algn="ctr">
            <w14:noFill/>
            <w14:prstDash w14:val="solid"/>
            <w14:bevel/>
          </w14:textOutline>
        </w:rPr>
        <w:t xml:space="preserve"> </w:t>
      </w:r>
      <w:r w:rsidR="001E4492" w:rsidRPr="00B013A7">
        <w:t>ističe da su od tog iznosa preuzete obveze u iznosu od 137 467 355 EUR;</w:t>
      </w:r>
      <w:r w:rsidR="001E4492" w:rsidRPr="00B013A7">
        <w:rPr>
          <w14:textOutline w14:w="0" w14:cap="flat" w14:cmpd="sng" w14:algn="ctr">
            <w14:noFill/>
            <w14:prstDash w14:val="solid"/>
            <w14:bevel/>
          </w14:textOutline>
        </w:rPr>
        <w:t xml:space="preserve"> pozdravlja veliku iskorištenost odobrenih sredstava;</w:t>
      </w:r>
    </w:p>
    <w:p w14:paraId="4F01730F" w14:textId="1D917DF2" w:rsidR="001E4492" w:rsidRPr="00B013A7" w:rsidRDefault="00AF3F3F" w:rsidP="001E4492">
      <w:pPr>
        <w:spacing w:after="240"/>
        <w:ind w:left="567" w:hanging="567"/>
      </w:pPr>
      <w:r>
        <w:t>52</w:t>
      </w:r>
      <w:r w:rsidR="001E4492" w:rsidRPr="00B013A7">
        <w:t>.</w:t>
      </w:r>
      <w:r w:rsidR="001E4492" w:rsidRPr="00B013A7">
        <w:tab/>
        <w:t>uviđa da je priopćivanje o europskim izborima bilo u središtu aktivnosti DG COMM-a tijekom 2024., posebno s uspješnom komunikacijskom kampanjom „</w:t>
      </w:r>
      <w:proofErr w:type="spellStart"/>
      <w:r w:rsidR="001E4492" w:rsidRPr="00B013A7">
        <w:t>Go</w:t>
      </w:r>
      <w:proofErr w:type="spellEnd"/>
      <w:r w:rsidR="001E4492" w:rsidRPr="00B013A7">
        <w:t>-to-</w:t>
      </w:r>
      <w:proofErr w:type="spellStart"/>
      <w:r w:rsidR="001E4492" w:rsidRPr="00B013A7">
        <w:t>vote</w:t>
      </w:r>
      <w:proofErr w:type="spellEnd"/>
      <w:r w:rsidR="001E4492" w:rsidRPr="00B013A7">
        <w:t>” (Izađite na izbore), partnerstvima s više od 300 organizacija civilnog društva i više od 18‎ 000 izviještenih novinara; napominje da su svi strateški projekti DG COMM-a 2024., sa stopom dovršenosti od 94 %, bili usmjereni na europske izbore, dok se preostalih 6 % odnosilo na provedbu nove strukture internetskih stranica;</w:t>
      </w:r>
    </w:p>
    <w:p w14:paraId="05A7D4AE" w14:textId="71996482" w:rsidR="001E4492" w:rsidRPr="00B013A7" w:rsidRDefault="00AF3F3F" w:rsidP="001E4492">
      <w:pPr>
        <w:spacing w:after="240"/>
        <w:ind w:left="567" w:hanging="567"/>
      </w:pPr>
      <w:r>
        <w:t>53</w:t>
      </w:r>
      <w:r w:rsidR="001E4492" w:rsidRPr="00B013A7">
        <w:t xml:space="preserve">. </w:t>
      </w:r>
      <w:r w:rsidR="001E4492" w:rsidRPr="00B013A7">
        <w:tab/>
        <w:t>napominje da je DG COMM olakšao izvještavanje o europskim izborima, o kojima se rekordno izvještavalo (+ 18 % u usporedbi s prethodnim izborima), a DG COMM navodi da je posebno važno istaknuti posljednje trenutke izbornog ciklusa, pri čemu je o izbornoj noći (9. lipnja 2024.) izvještavalo 149 televizijskih kanala u 51 zemlji, a većinom se izvještavalo na internetu;</w:t>
      </w:r>
    </w:p>
    <w:p w14:paraId="1296BC9A" w14:textId="24B1C6E4" w:rsidR="001E4492" w:rsidRPr="00B013A7" w:rsidRDefault="00AF3F3F" w:rsidP="001E4492">
      <w:pPr>
        <w:spacing w:after="240"/>
        <w:ind w:left="567" w:hanging="567"/>
      </w:pPr>
      <w:r>
        <w:rPr>
          <w14:textOutline w14:w="0" w14:cap="flat" w14:cmpd="sng" w14:algn="ctr">
            <w14:noFill/>
            <w14:prstDash w14:val="solid"/>
            <w14:bevel/>
          </w14:textOutline>
        </w:rPr>
        <w:t>54</w:t>
      </w:r>
      <w:r w:rsidR="001E4492" w:rsidRPr="00B013A7">
        <w:t>.</w:t>
      </w:r>
      <w:r w:rsidR="001E4492" w:rsidRPr="00B013A7">
        <w:rPr>
          <w14:textOutline w14:w="0" w14:cap="flat" w14:cmpd="sng" w14:algn="ctr">
            <w14:noFill/>
            <w14:prstDash w14:val="solid"/>
            <w14:bevel/>
          </w14:textOutline>
        </w:rPr>
        <w:tab/>
      </w:r>
      <w:r w:rsidR="001E4492" w:rsidRPr="00B013A7">
        <w:t>prima na znanje ulogu ureda za vezu u povezivanju Parlamenta s javnošću i dionicima u državama članicama općenito te u komunikaciji o europskim izborima;</w:t>
      </w:r>
      <w:r w:rsidR="001E4492" w:rsidRPr="00B013A7">
        <w:rPr>
          <w14:textOutline w14:w="0" w14:cap="flat" w14:cmpd="sng" w14:algn="ctr">
            <w14:noFill/>
            <w14:prstDash w14:val="solid"/>
            <w14:bevel/>
          </w14:textOutline>
        </w:rPr>
        <w:t xml:space="preserve"> </w:t>
      </w:r>
      <w:r w:rsidR="001E4492" w:rsidRPr="00B013A7">
        <w:t xml:space="preserve">napominje da su svi ureda za vezu opremljeni audiovizualnim uslugama za zastupnike, klubove zastupnika i treće strane koje se mogu koristiti u državama članicama; </w:t>
      </w:r>
    </w:p>
    <w:p w14:paraId="3BCE2BEC" w14:textId="5327CF73" w:rsidR="001E4492" w:rsidRPr="00B013A7" w:rsidRDefault="00AF3F3F" w:rsidP="001E4492">
      <w:pPr>
        <w:pStyle w:val="NormalHanging12a"/>
        <w:rPr>
          <w:bCs/>
          <w:iCs/>
        </w:rPr>
      </w:pPr>
      <w:r>
        <w:t>55</w:t>
      </w:r>
      <w:r w:rsidR="001E4492" w:rsidRPr="00B013A7">
        <w:t>.</w:t>
      </w:r>
      <w:r w:rsidR="001E4492" w:rsidRPr="00B013A7">
        <w:tab/>
        <w:t xml:space="preserve">poziva na odgovarajuće praćenje rashoda ureda za vezu i centara </w:t>
      </w:r>
      <w:r w:rsidR="001E4492" w:rsidRPr="00B013A7">
        <w:rPr>
          <w:i/>
          <w:iCs/>
        </w:rPr>
        <w:t xml:space="preserve">Europa </w:t>
      </w:r>
      <w:proofErr w:type="spellStart"/>
      <w:r w:rsidR="001E4492" w:rsidRPr="00B013A7">
        <w:rPr>
          <w:i/>
          <w:iCs/>
        </w:rPr>
        <w:t>Experience</w:t>
      </w:r>
      <w:proofErr w:type="spellEnd"/>
      <w:r w:rsidR="001E4492" w:rsidRPr="00B013A7">
        <w:t>;</w:t>
      </w:r>
    </w:p>
    <w:p w14:paraId="6F77DD9D" w14:textId="394E5894" w:rsidR="001E4492" w:rsidRPr="00B013A7" w:rsidRDefault="00AF3F3F" w:rsidP="001E4492">
      <w:pPr>
        <w:pStyle w:val="NormalHanging12a"/>
        <w:rPr>
          <w:bCs/>
          <w:iCs/>
        </w:rPr>
      </w:pPr>
      <w:r>
        <w:t>56</w:t>
      </w:r>
      <w:r w:rsidR="001E4492" w:rsidRPr="00B013A7">
        <w:t>.</w:t>
      </w:r>
      <w:r w:rsidR="001E4492" w:rsidRPr="00B013A7">
        <w:tab/>
        <w:t>naglašava ključnu ulogu Ureda za vezu Europskog parlamenta u Washingtonu u poticanju transatlantskih odnosa i jačanju veze između parlamenata SAD-a i Unije; ističe da je, u svjetlu nove administracije SAD-a i novonastalih globalnih izazova, uloga Ureda za vezu u Washingtonu još važnija; poziva na odgovarajući proračun i osoblje za potporu aktivnostima Ureda za vezu u Washingtonu;</w:t>
      </w:r>
    </w:p>
    <w:p w14:paraId="647DCAEA" w14:textId="0DA8EB87" w:rsidR="001E4492" w:rsidRPr="00B013A7" w:rsidRDefault="00AF3F3F" w:rsidP="001E4492">
      <w:pPr>
        <w:pStyle w:val="NormalHanging12a"/>
      </w:pPr>
      <w:r>
        <w:t>57</w:t>
      </w:r>
      <w:r w:rsidR="001E4492" w:rsidRPr="00B013A7">
        <w:t>.</w:t>
      </w:r>
      <w:r w:rsidR="001E4492" w:rsidRPr="00B013A7">
        <w:tab/>
        <w:t xml:space="preserve">prima na znanje da je 2024. bilo otvoreno 14 centara </w:t>
      </w:r>
      <w:r w:rsidR="001E4492" w:rsidRPr="00B013A7">
        <w:rPr>
          <w:i/>
          <w:iCs/>
        </w:rPr>
        <w:t xml:space="preserve">Europa </w:t>
      </w:r>
      <w:proofErr w:type="spellStart"/>
      <w:r w:rsidR="001E4492" w:rsidRPr="00B013A7">
        <w:rPr>
          <w:i/>
          <w:iCs/>
        </w:rPr>
        <w:t>Experience</w:t>
      </w:r>
      <w:proofErr w:type="spellEnd"/>
      <w:r w:rsidR="001E4492" w:rsidRPr="00B013A7">
        <w:t xml:space="preserve">, koji su privukli ukupno 957 209 posjetitelja, pri čemu su brojevi posjetitelja varirali, sa </w:t>
      </w:r>
      <w:r w:rsidR="001E4492" w:rsidRPr="00B013A7">
        <w:lastRenderedPageBreak/>
        <w:t xml:space="preserve">Strasbourgom (381 687) i Berlinom (122 672), koji su privukli najveći broj posjetitelja, i Kopenhagenom (18 182) i Dublinom (8312), koji su privukli najmanji broj posjetitelja, s tim da je centar u Dublinu otvoren tek u listopadu 2024.; prima na znanje primjedbu da uredi za vezu koriste centre </w:t>
      </w:r>
      <w:r w:rsidR="001E4492" w:rsidRPr="00B013A7">
        <w:rPr>
          <w:i/>
          <w:iCs/>
        </w:rPr>
        <w:t xml:space="preserve">Europa </w:t>
      </w:r>
      <w:proofErr w:type="spellStart"/>
      <w:r w:rsidR="001E4492" w:rsidRPr="00B013A7">
        <w:rPr>
          <w:i/>
          <w:iCs/>
        </w:rPr>
        <w:t>Experience</w:t>
      </w:r>
      <w:proofErr w:type="spellEnd"/>
      <w:r w:rsidR="001E4492" w:rsidRPr="00B013A7">
        <w:t xml:space="preserve"> kao bazu EU-a za demokratski angažman u određenim državama članicama koja nudi mogućnosti za privlačenje veće publike za poruke Parlamenta;</w:t>
      </w:r>
    </w:p>
    <w:p w14:paraId="48DE6F04" w14:textId="246051A4" w:rsidR="001E4492" w:rsidRPr="00B013A7" w:rsidRDefault="00AF3F3F" w:rsidP="001E4492">
      <w:pPr>
        <w:spacing w:after="240"/>
        <w:ind w:left="567" w:hanging="567"/>
      </w:pPr>
      <w:r>
        <w:rPr>
          <w14:textOutline w14:w="0" w14:cap="flat" w14:cmpd="sng" w14:algn="ctr">
            <w14:noFill/>
            <w14:prstDash w14:val="solid"/>
            <w14:bevel/>
          </w14:textOutline>
        </w:rPr>
        <w:t>58</w:t>
      </w:r>
      <w:r w:rsidR="001E4492" w:rsidRPr="00B013A7">
        <w:t>.</w:t>
      </w:r>
      <w:r w:rsidR="001E4492" w:rsidRPr="00B013A7">
        <w:rPr>
          <w14:textOutline w14:w="0" w14:cap="flat" w14:cmpd="sng" w14:algn="ctr">
            <w14:noFill/>
            <w14:prstDash w14:val="solid"/>
            <w14:bevel/>
          </w14:textOutline>
        </w:rPr>
        <w:tab/>
      </w:r>
      <w:r w:rsidR="001E4492" w:rsidRPr="00B013A7">
        <w:t xml:space="preserve">naglašava važnost temeljite evaluacije dosadašnjeg iskustava stečenog s centrima </w:t>
      </w:r>
      <w:r w:rsidR="001E4492" w:rsidRPr="00B013A7">
        <w:rPr>
          <w:i/>
          <w:iCs/>
        </w:rPr>
        <w:t xml:space="preserve">Europa </w:t>
      </w:r>
      <w:proofErr w:type="spellStart"/>
      <w:r w:rsidR="001E4492" w:rsidRPr="00B013A7">
        <w:rPr>
          <w:i/>
          <w:iCs/>
        </w:rPr>
        <w:t>Experience</w:t>
      </w:r>
      <w:proofErr w:type="spellEnd"/>
      <w:r w:rsidR="001E4492" w:rsidRPr="00B013A7">
        <w:t xml:space="preserve">, posebno u pogledu potrage za odgovarajućim zgradama i načina na koji se može učinkovito doprijeti do ciljnih skupina, utvrđivanja najboljih praksi i prilagodbe budućeg razvoja centara </w:t>
      </w:r>
      <w:r w:rsidR="001E4492" w:rsidRPr="00B013A7">
        <w:rPr>
          <w:i/>
          <w:iCs/>
        </w:rPr>
        <w:t xml:space="preserve">Europa </w:t>
      </w:r>
      <w:proofErr w:type="spellStart"/>
      <w:r w:rsidR="001E4492" w:rsidRPr="00B013A7">
        <w:rPr>
          <w:i/>
          <w:iCs/>
        </w:rPr>
        <w:t>Experience</w:t>
      </w:r>
      <w:proofErr w:type="spellEnd"/>
      <w:r w:rsidR="001E4492" w:rsidRPr="00B013A7">
        <w:t xml:space="preserve"> lokalnim potrebama i dokazanom učinku; naglašava da bi ta ponovna evaluacija trebala usmjeravati buduće prilagodbe ili razmatranja u pogledu daljnjeg širenja, osiguravajući da se svim budućim ulaganjima učinkovitije ostvaruje predviđena svrha približavanja Parlamenta građanima i poboljšanja njihova razumijevanja demokratskog procesa Unije;</w:t>
      </w:r>
    </w:p>
    <w:p w14:paraId="1855B789" w14:textId="1E28D1E1" w:rsidR="001E4492" w:rsidRPr="00B013A7" w:rsidRDefault="00AF3F3F" w:rsidP="001E4492">
      <w:pPr>
        <w:pStyle w:val="NormalHanging12a"/>
      </w:pPr>
      <w:r>
        <w:t>59</w:t>
      </w:r>
      <w:r w:rsidR="001E4492" w:rsidRPr="00B013A7">
        <w:t>.</w:t>
      </w:r>
      <w:r w:rsidR="001E4492" w:rsidRPr="00B013A7">
        <w:tab/>
        <w:t xml:space="preserve">podsjeća da je Predsjedništvo 11. rujna 2023. donijelo nova pravila o plaćanju subvencija za sponzorirane skupine posjetitelja, koja su stupila na snagu 1. siječnja 2024.; napominje da su 2024. zastupnici u Bruxellesu i Strasbourgu pozvali 300 000 sponzoriranih i </w:t>
      </w:r>
      <w:proofErr w:type="spellStart"/>
      <w:r w:rsidR="001E4492" w:rsidRPr="00B013A7">
        <w:t>nesponzoriranih</w:t>
      </w:r>
      <w:proofErr w:type="spellEnd"/>
      <w:r w:rsidR="001E4492" w:rsidRPr="00B013A7">
        <w:t xml:space="preserve"> posjetitelja; napominje da su subvencije za takve skupine posjetitelja 2024. iznosile 17 % rashoda DG COMM-a; prima na znanje dodatne napore klubova zastupnika koji podupiru svoje zastupnike u interakciji s građanima, uključujući mlade, kako bi se osigurale odgovarajuće informacije o radu zastupnika u Strasbourgu i Bruxellesu uz financiranje iz sredstava u proračunskoj stavci 400;</w:t>
      </w:r>
    </w:p>
    <w:p w14:paraId="2B6EB666" w14:textId="1F085B4A" w:rsidR="001E4492" w:rsidRPr="00B013A7" w:rsidRDefault="00AF3F3F" w:rsidP="001E4492">
      <w:pPr>
        <w:spacing w:after="240"/>
        <w:ind w:left="567" w:hanging="567"/>
      </w:pPr>
      <w:r>
        <w:t>60</w:t>
      </w:r>
      <w:r w:rsidR="001E4492" w:rsidRPr="00B013A7">
        <w:t>.</w:t>
      </w:r>
      <w:r w:rsidR="001E4492" w:rsidRPr="00B013A7">
        <w:tab/>
        <w:t>prima na znanje stalnu borbu s kojom se Unija suočava u pogledu zaštite vrijednosti Unije i integriteta demokratskog procesa; prima na znanje sve učestalije pokušaje stranih aktera da utječu na rad Parlamenta i naglašava potrebu za pažljivim postupanjem kada je riječ o suzbijanju dezinformacija koje dolaze izvan Unije; u tom pogledu podsjeća na rezolucije Europskog parlamenta od 1. lipnja 2023. o vanjskom upletanju u sve demokratske procese u Europskoj uniji, uključujući dezinformiranje (2022/2075(INI)) i od 23. siječnja 2025. o ruskim dezinformacijama i krivotvorenju povijesti kako bi se opravdao agresivni rat protiv Ukrajine (2024/2988(RSP)); pozdravlja mjere koje je Parlament poduzeo kako bi spriječio dezinformacije i reagirao na njih; iako uviđa da dosad nije došlo do nekog značajnog incidenta, naglašava važnost primjene proaktivnih mjera za očuvanje integriteta javne rasprave i glasovanja u Parlamentu; ističe dodanu vrijednost inicijativa kao što su sastanci za provjeru istinitosti informacija i sastanci na vrhu, koji imaju ključnu ulogu u poticanju transparentnosti, opremanju dionika alatima za suzbijanje dezinformacija i jačanju suradnje među organizacijama koje se bave provjerom istinitosti informacija unutar i izvan Unije;</w:t>
      </w:r>
    </w:p>
    <w:p w14:paraId="5158204D"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Glavna uprava za kadrovske poslove</w:t>
      </w:r>
    </w:p>
    <w:p w14:paraId="3CDBFB1F" w14:textId="1EA2E25A" w:rsidR="001E4492" w:rsidRPr="00B013A7" w:rsidRDefault="00AF3F3F" w:rsidP="001E4492">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1E4492" w:rsidRPr="00B013A7">
        <w:t>.</w:t>
      </w:r>
      <w:r w:rsidR="001E4492" w:rsidRPr="00B013A7">
        <w:rPr>
          <w14:textOutline w14:w="0" w14:cap="flat" w14:cmpd="sng" w14:algn="ctr">
            <w14:noFill/>
            <w14:prstDash w14:val="solid"/>
            <w14:bevel/>
          </w14:textOutline>
        </w:rPr>
        <w:tab/>
        <w:t xml:space="preserve">podsjeća da je Glavna uprava za kadrovske poslove (DG PERS) odgovorna za odgovarajuće i učinkovito upravljanje ljudskim resursima u Parlamentu i da osigurava da zastupnici imaju potporu visokokvalificirane radne snage kako bi mogli propisno obavljati svoje dužnosti; </w:t>
      </w:r>
      <w:r w:rsidR="001E4492" w:rsidRPr="00B013A7">
        <w:t>napominje da je do 31. prosinca 2024. zapošljavala 499 članova osoblja, od čega 290 dužnosnika, 82 privremenih djelatnika, 120 ugovornih djelatnika, dva upućena nacionalna stručnjaka i pet članova osoblja agencije;</w:t>
      </w:r>
    </w:p>
    <w:p w14:paraId="5E3DA33C" w14:textId="69D26093" w:rsidR="001E4492" w:rsidRPr="00B013A7" w:rsidRDefault="00AF3F3F" w:rsidP="001E4492">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62</w:t>
      </w:r>
      <w:r w:rsidR="001E4492" w:rsidRPr="00B013A7">
        <w:t>.</w:t>
      </w:r>
      <w:r w:rsidR="001E4492" w:rsidRPr="00B013A7">
        <w:rPr>
          <w14:textOutline w14:w="0" w14:cap="flat" w14:cmpd="sng" w14:algn="ctr">
            <w14:noFill/>
            <w14:prstDash w14:val="solid"/>
            <w14:bevel/>
          </w14:textOutline>
        </w:rPr>
        <w:tab/>
      </w:r>
      <w:r w:rsidR="001E4492" w:rsidRPr="00B013A7">
        <w:t>napominje da su konačna odobrena sredstva DG PERS-a 2024. iznosila 1 225 341 375 EUR (1 163 329 780 EUR u 2023.), odnosno 51,4 % proračuna Parlamenta;</w:t>
      </w:r>
      <w:r w:rsidR="001E4492" w:rsidRPr="00B013A7">
        <w:rPr>
          <w14:textOutline w14:w="0" w14:cap="flat" w14:cmpd="sng" w14:algn="ctr">
            <w14:noFill/>
            <w14:prstDash w14:val="solid"/>
            <w14:bevel/>
          </w14:textOutline>
        </w:rPr>
        <w:t xml:space="preserve"> </w:t>
      </w:r>
      <w:r w:rsidR="001E4492" w:rsidRPr="00B013A7">
        <w:t>ističe da su od tog iznosa preuzete obveze u iznosu od 1 160 835 147 EUR;</w:t>
      </w:r>
      <w:r w:rsidR="001E4492" w:rsidRPr="00B013A7">
        <w:rPr>
          <w14:textOutline w14:w="0" w14:cap="flat" w14:cmpd="sng" w14:algn="ctr">
            <w14:noFill/>
            <w14:prstDash w14:val="solid"/>
            <w14:bevel/>
          </w14:textOutline>
        </w:rPr>
        <w:t xml:space="preserve"> pozdravlja veliku iskorištenost odobrenih sredstava;</w:t>
      </w:r>
    </w:p>
    <w:p w14:paraId="7DAC1FDE" w14:textId="46CFC4FD" w:rsidR="001E4492" w:rsidRPr="00B013A7" w:rsidRDefault="00AF3F3F" w:rsidP="001E4492">
      <w:pPr>
        <w:pStyle w:val="NormalHanging12a"/>
      </w:pPr>
      <w:r>
        <w:t>63</w:t>
      </w:r>
      <w:r w:rsidR="001E4492" w:rsidRPr="00B013A7">
        <w:t>.</w:t>
      </w:r>
      <w:r w:rsidR="001E4492" w:rsidRPr="00B013A7">
        <w:tab/>
        <w:t>pozdravlja činjenicu da je DG PERS 2024. nastavio organizirati natječaje i postupke odabira i obrađivati sve veću bazu prijavljenih te je organizirao četiri natječaja za osobe konkretnog državljanstva; pozdravlja napore koje je DG PERS uložio u organiziranje natječaja, osiguravanje njihova pravodobnog dovršenja i održavanje potrebnih standarda kvalitete; pozdravlja činjenicu da je više od 441 kandidata uspješno ušlo u uži izbor na popisima rezervnih kandidata; međutim, žali zbog toga što se Europski ured za odabir osoblja (EPSO) susretao sa sustavnim problemima u vezi s organizacijom natječaja i nepostojanjem baze kandidata koja bi bila dostupna i odgovarala potrebama Parlamenta; žali zbog toga što svaki natječaj u prosjeku traje više godinu dana od objave obavijesti o natječaju do završnog intervjua; prima na znanje opće poteškoće s kojima se suočavaju DG PERS i druge glavne uprave u privlačenju i zadržavanju talenata, što utječe na rezultate radne snage Parlamenta; traži učinkovitije, usmjerenije i kraće postupke odabira koji bi doveli do povećanja privlačnosti Parlamenta kao poslodavca i omogućili glavnim upravama da brzo zapošljavaju specijalizirane profile potrebne za potporu njihovu radu; naglašava da se postupci odabira moraju provoditi uz potpuno poštovanje načela jednakog postupanja i geografske ravnoteže, osiguravajući pravednu zastupljenost svih država članica;</w:t>
      </w:r>
    </w:p>
    <w:p w14:paraId="4F4F7724" w14:textId="2BC4F2BB" w:rsidR="001E4492" w:rsidRPr="00B013A7" w:rsidRDefault="00AF3F3F" w:rsidP="001E4492">
      <w:pPr>
        <w:spacing w:after="240"/>
        <w:ind w:left="567" w:hanging="567"/>
      </w:pPr>
      <w:r>
        <w:t>64</w:t>
      </w:r>
      <w:r w:rsidR="001E4492" w:rsidRPr="00B013A7">
        <w:t>.</w:t>
      </w:r>
      <w:r w:rsidR="001E4492" w:rsidRPr="00B013A7">
        <w:tab/>
        <w:t>pozdravlja natječaje Parlamenta za osobe konkretnog državljanstva s ciljem poboljšanja geografske ravnoteže među članovima osoblja Parlamenta osiguravanjem veće baze kandidata iz nedovoljno zastupljenih država članica; napominje, međutim, da analiza podataka o osoblju Parlamenta po državljanstvu i funkcijskoj skupini otkriva ukorijenjenu neravnotežu u napredovanju u karijeri, pri čemu je osoblje iz određenih država članica, iako dobro zastupljeno u upravi, i dalje nedovoljno zastupljeno u višim funkcijskim skupinama i na položajima na kojima se donose odluke; žali zbog geografske neravnoteže među višim i srednjim rukovodstvom Parlamenta; zapošljavanje se uvijek mora temeljiti na zaslugama i trebalo bi uvijek poštovati temeljna načela kao što su jednakost, nediskriminacija i proporcionalnost; naglašava da su potrebna poboljšanja i poziva glavnog tajnika da u suradnji s DG PERS-om predstavi konkretne, mjerljive i vremenski ograničene mjere za rješavanje tih neravnoteža te da redovito izvješćuje Odbor Parlamenta za proračunski nadzor i tijelo nadležno za davanje razrješnice o napretku postignutom u ispravljanju geografske neravnoteže među osobljem Parlamenta; poziva glavnog tajnika i DG PERS da u redovita izvješća koja šalju Odboru Parlamentu za proračunski nadzor uključe informacije koje nadilaze puki broj članova osoblja i da uključe, konkretno, podatke o napredovanju u karijeri i promaknućima prema državljanstvu i funkcijskoj skupini, imenovanju na rukovodeće i više položaje, sudjelovanju u programima upravljanja talentima i vodstva te o upotrebi privremenih imenovanja i dužnosti u okviru razvoja karijere;</w:t>
      </w:r>
    </w:p>
    <w:p w14:paraId="369A84B5" w14:textId="3DA0BB16" w:rsidR="001E4492" w:rsidRPr="00B013A7" w:rsidRDefault="00AF3F3F" w:rsidP="001E4492">
      <w:pPr>
        <w:spacing w:after="240"/>
        <w:ind w:left="567" w:hanging="567"/>
        <w:rPr>
          <w:noProof/>
        </w:rPr>
      </w:pPr>
      <w:r>
        <w:t>65</w:t>
      </w:r>
      <w:r w:rsidR="001E4492" w:rsidRPr="00B013A7">
        <w:t>.</w:t>
      </w:r>
      <w:r w:rsidR="001E4492" w:rsidRPr="00B013A7">
        <w:tab/>
        <w:t xml:space="preserve">prima na znanje ključno postignuće DG PERS-a u pogledu učinkovitog zapošljavanja dosad nezabilježenog broja od 1339 akreditiranih parlamentarnih asistenata do srpanjske konstituirajuće sjednice, pri čemu se ukupan broj akreditiranih parlamentarnih asistenata koji su sklopili stvarne ugovore do kraja godine povećao na 2024, te otpuštanja oko 800 akreditiranih parlamentarnih asistenata; smatra da akreditirani parlamentarni asistenti predstavljaju veliku prednost za instituciju i pohvaljuje DG PERS u njegovim naporima za podupiranje učinkovitog i djelotvornog </w:t>
      </w:r>
      <w:r w:rsidR="001E4492" w:rsidRPr="00B013A7">
        <w:lastRenderedPageBreak/>
        <w:t xml:space="preserve">zapošljavanja koje provode zastupnici; </w:t>
      </w:r>
    </w:p>
    <w:p w14:paraId="60E1EB6B" w14:textId="5A361BF3" w:rsidR="001E4492" w:rsidRDefault="00AF3F3F" w:rsidP="001E4492">
      <w:pPr>
        <w:pStyle w:val="NormalHanging12a"/>
      </w:pPr>
      <w:r>
        <w:t>66</w:t>
      </w:r>
      <w:r w:rsidR="001E4492" w:rsidRPr="00B013A7">
        <w:t>.</w:t>
      </w:r>
      <w:r w:rsidR="001E4492" w:rsidRPr="00B013A7">
        <w:tab/>
        <w:t>potvrđuje da je rad akreditiranih parlamentarnih asistenata sastavni dio rada zastupnika, a time i Parlamenta; napominje da je nakon usvajanja Statuta akreditiranih parlamentarnih asistenata 2009. godine njihov status tijekom godina zaštićen uspostavljenim pravilima; prima na znanje napore koje je Parlament uložio u stvaranje okvira za pružanje potpore akreditiranim parlamentarnim asistentima; traži propisno poštovanje postojećih pravila; napominje da akreditirani parlamentarni asistenti od tada sudjeluju u službenim putovanjima u tri mjesta rada Parlamenta; pozdravlja činjenicu da su pravila o povratu troškova za službena putovanja akreditiranih parlamentarnih asistenata između tri mjesta rada usklađena s pravilima koja se primjenjuju na dužnosnike, čime se osiguralo ravnopravno postupanje prema akreditiranim parlamentarnim asistentima; traži od Predsjedništva i uprave Parlamenta da se formalno savjetuju s Odborom akreditiranih parlamentarnih asistenata o revizijama i reformama koje izravno utječu na prava akreditiranih parlamentarnih asistenata; poziva upravu Parlamenta da istraži izvedivost uvođenja otkaznog roka u ugovore akreditiranih parlamentarnih asistenata u slučaju neočekivanog odlaska zastupnika; ponovno poziva Konferenciju predsjednika i Predsjedništvo da preispitaju provedbene odredbe kojima se uređuje djelovanje izaslanstava i službena putovanja izvan Unije; ističe da bi u okviru te revizije trebalo razmotriti mogućnost da akreditirani parlamentarni asistenti pod određenim uvjetima prate zastupnike na službenim putovanjima izaslanstava Parlamenta i ostalim službenim putovanjima; ističe da ta promjena ne bi dovela ni do kakve izmjene iznosa omotnice i da bi bila proračunski neutralna;</w:t>
      </w:r>
    </w:p>
    <w:p w14:paraId="479ADB96" w14:textId="75C34F78" w:rsidR="00FD37F9" w:rsidRPr="00FD37F9" w:rsidRDefault="00AF3F3F" w:rsidP="001E4492">
      <w:pPr>
        <w:pStyle w:val="NormalHanging12a"/>
        <w:rPr>
          <w:bCs/>
          <w:iCs/>
        </w:rPr>
      </w:pPr>
      <w:r>
        <w:rPr>
          <w:bCs/>
          <w:iCs/>
          <w:szCs w:val="24"/>
          <w:lang w:eastAsia="en-US"/>
        </w:rPr>
        <w:t>67</w:t>
      </w:r>
      <w:r w:rsidR="00FD37F9" w:rsidRPr="000F18C0">
        <w:rPr>
          <w:bCs/>
          <w:iCs/>
          <w:szCs w:val="24"/>
          <w:lang w:eastAsia="en-US"/>
        </w:rPr>
        <w:t>.</w:t>
      </w:r>
      <w:r w:rsidR="00FD37F9" w:rsidRPr="00FD37F9">
        <w:rPr>
          <w:bCs/>
          <w:iCs/>
          <w:szCs w:val="24"/>
          <w:lang w:eastAsia="en-US"/>
        </w:rPr>
        <w:tab/>
      </w:r>
      <w:r w:rsidR="00FD37F9" w:rsidRPr="000F18C0">
        <w:rPr>
          <w:bCs/>
          <w:iCs/>
          <w:szCs w:val="24"/>
          <w:lang w:eastAsia="en-US"/>
        </w:rPr>
        <w:t>naglašava da su zdravlje i sigurnost na radu, uključujući psihosocijalne rizike (stres, sindrom izgaranja na poslu, uznemiravanje), prioritet; poziva Predsjedništvo da službeno prizna psihosocijalne rizike kao profesionalne rizike i da donese plan prevencije s mjerljivim ciljevima na razini Parlamenta; traži uvođenje procjena rizika koje obuhvaćaju rad na daljinu, službena putovanja i kratke rokove, kao i povjerljive kanale izvješćivanja, osposobljavanje za rukovoditelje i redoviti socijalni dijalog; ustraje na provedbi prava na isključivanje;</w:t>
      </w:r>
    </w:p>
    <w:p w14:paraId="561155A4" w14:textId="77777777" w:rsidR="001E4492" w:rsidRPr="00B013A7" w:rsidRDefault="001E4492" w:rsidP="001E4492">
      <w:pPr>
        <w:pStyle w:val="NormalHanging12a"/>
        <w:rPr>
          <w:bCs/>
          <w:iCs/>
        </w:rPr>
      </w:pPr>
      <w:r w:rsidRPr="00B013A7">
        <w:t>68.</w:t>
      </w:r>
      <w:r w:rsidRPr="00B013A7">
        <w:tab/>
        <w:t xml:space="preserve">podsjeća da akreditirani parlamentarni asistenti ne mogu sudjelovati u internim natječajima Parlamenta; poziva Predsjedništvo da istraži mogućnost da se akreditiranim parlamentarnim asistentima, pod uvjetima koje tek treba utvrditi, omogući sudjelovanje u internim natječajima na sličan način kao i osoblju Parlamenta; ističe da bi veće uključivanje akreditiranih parlamentarnih asistenata u interne strukture Parlamenta moglo dovesti do </w:t>
      </w:r>
      <w:proofErr w:type="spellStart"/>
      <w:r w:rsidRPr="00B013A7">
        <w:t>uključivije</w:t>
      </w:r>
      <w:proofErr w:type="spellEnd"/>
      <w:r w:rsidRPr="00B013A7">
        <w:t>, raznolikije i geografski uravnoteženije radne snage; ističe važnost zadržavanja i prenošenja znanja unutar Parlamenta u vezi s internim metodama rada;</w:t>
      </w:r>
    </w:p>
    <w:p w14:paraId="720F5263" w14:textId="77777777" w:rsidR="001E4492" w:rsidRPr="00B013A7" w:rsidRDefault="001E4492" w:rsidP="001E4492">
      <w:pPr>
        <w:pStyle w:val="NormalHanging12a"/>
      </w:pPr>
      <w:r w:rsidRPr="00B013A7">
        <w:t>69.</w:t>
      </w:r>
      <w:r w:rsidRPr="00B013A7">
        <w:tab/>
        <w:t xml:space="preserve">s velikom zabrinutošću prima na znanje izvješća o povredi podataka na aplikaciji Parlamenta za zapošljavanje „PEOPLE”, koja je u prvom redu utjecala na privremene članove osoblja Parlamenta, uključujući akreditirane parlamentarne asistente; žali zbog toga što je ta povreda podataka uključivala podatke s osobnih iskaznica, rodne listove, diplome, povijest zaposlenja, medicinsku dokumentaciju, dodijeljena prava, osiguranje i dokumente povezane s dokazom o zaposlenju stare, u nekim slučajevima, i deset godina; pozdravlja sustav povrata troškova koji je glavni tajnik uveo, u skladu s dužnom pažnjom Parlamenta, za pokrivanje troškova zamjene osobnih iskaznica i/ili putovnica pogođenih korisnika aplikacije „PEOPLE”, pri čemu je dosad plaćeno 51 874 EUR; žali zbog toga što nisu pokriveni troškovi putovanja u zemlju podrijetla za te </w:t>
      </w:r>
      <w:r w:rsidRPr="00B013A7">
        <w:lastRenderedPageBreak/>
        <w:t>administrativne postupke; poziva upravu da osigura učinkovitost i pravednost mjera potpore, uključujući jasne smjernice „sve na jednom mjestu”, potporu za zaštitu identiteta i povrat troškova kako pogođene osobe ne bi snosile neizbježne administrativne troškove povezane s postupcima izdavanja novih dokumenata; napominje da je uprava tijelu nadležnom za davanje razrješnice dostavila svoju analizu razloga povrede; poziva upravu da pogođenom osoblju, uključujući bivše članove osoblja, pruži jasnu analizu razloga povrede i mjera poduzetih za oporavak predmetnog sustava; u potpunosti je svjestan da će Parlament i u budućnosti biti meta kibernetičkih napada i da je iznimno važan oprez; pozdravlja mjere koje je uprava poduzela kako bi dodatno ojačala zrelost kibernetičke sigurnosti i upravljanje svojim informatičkim okruženjem;</w:t>
      </w:r>
    </w:p>
    <w:p w14:paraId="50D889B0" w14:textId="77777777" w:rsidR="001E4492" w:rsidRPr="00B013A7" w:rsidRDefault="001E4492" w:rsidP="001E4492">
      <w:pPr>
        <w:spacing w:after="240"/>
        <w:ind w:left="567" w:hanging="567"/>
        <w:rPr>
          <w:noProof/>
        </w:rPr>
      </w:pPr>
      <w:r w:rsidRPr="00B013A7">
        <w:t>70.</w:t>
      </w:r>
      <w:r w:rsidRPr="00B013A7">
        <w:tab/>
        <w:t>napominje da je DG PERS uveo novi informatički sustav „APA-</w:t>
      </w:r>
      <w:proofErr w:type="spellStart"/>
      <w:r w:rsidRPr="00B013A7">
        <w:t>People</w:t>
      </w:r>
      <w:proofErr w:type="spellEnd"/>
      <w:r w:rsidRPr="00B013A7">
        <w:t>”, čime se poboljšava postupak zapošljavanja centraliziranjem upravljanja ugovorima i omogućavanjem pristupa zastupnicima, uz potpuno digitalizirani postupak za zdravstveni pregled za potrebe zapošljavanja; poziva DG PERS da u suradnji s DG ITEC-om osigura da je kibernetička sigurnost tog sustava u skladu sa standardima, čime će se spriječiti curenje osobnih podataka; smatra da je kibernetička sigurnost informatičkih sustava koji sadržavaju osobne podatke svih članova osoblja od iznimne važnosti i poziva DG PERS da blisko surađuje s DG ITEC-om kako bi se to postiglo;</w:t>
      </w:r>
    </w:p>
    <w:p w14:paraId="1E270A2B" w14:textId="77777777" w:rsidR="001E4492" w:rsidRPr="00B013A7" w:rsidRDefault="001E4492" w:rsidP="001E4492">
      <w:pPr>
        <w:spacing w:after="240"/>
        <w:ind w:left="567" w:hanging="567"/>
      </w:pPr>
      <w:r w:rsidRPr="00B013A7">
        <w:t>71.</w:t>
      </w:r>
      <w:r w:rsidRPr="00B013A7">
        <w:tab/>
        <w:t>napominje da je DG PERS 2024. podržao provedbu planova za rodnu ravnopravnost i raznolikost te razvio tečajeve osposobljavanja o raznolikosti i inkluziji za sve članove osoblja; pozdravlja činjenicu da je Odjel za ravnopravnost, inkluziju i raznolikost (EIDU) DG PERS-a 2024. pojednostavnio svoj interni postupak razumne prilagodbe, čime je potaknuo ravnopravnost, uključenost i raznolikost, te je također pružio savjete Odjelu za učenje i razvoj o razumnoj prilagodbi za tečajeve osposobljavanja; pozdravlja činjenicu da je Odjel organizirao i 20 tečajeva osposobljavanja i događanja za podizanje razine osviještenosti za 2334 sudionika, uključujući novi tečaj o raznolikosti i inkluziji za sve članove osoblja, te je organizirao događanja o rodnoj ravnopravnosti, invaliditetu i uključenosti pripadnika zajednice LGBTQI+;</w:t>
      </w:r>
    </w:p>
    <w:p w14:paraId="5ABDD64E" w14:textId="77777777" w:rsidR="001E4492" w:rsidRPr="00B013A7" w:rsidRDefault="001E4492" w:rsidP="001E4492">
      <w:pPr>
        <w:pStyle w:val="NormalHanging12a"/>
      </w:pPr>
      <w:r w:rsidRPr="00B013A7">
        <w:t>72.</w:t>
      </w:r>
      <w:r w:rsidRPr="00B013A7">
        <w:tab/>
        <w:t xml:space="preserve">pozdravlja donošenje zajedničke </w:t>
      </w:r>
      <w:proofErr w:type="spellStart"/>
      <w:r w:rsidRPr="00B013A7">
        <w:t>međuinstitucijske</w:t>
      </w:r>
      <w:proofErr w:type="spellEnd"/>
      <w:r w:rsidRPr="00B013A7">
        <w:t xml:space="preserve"> odluke o naknadi za troškove stanovanja za osoblje nižeg platnog razreda koje živi u Luksemburgu; smatra da je to nužan instrument za potporu osoblju nižeg platnog razreda kako bi se uravnotežili nerazmjerno visoki troškovi stanovanja, kao i nužan alat za povećanje privlačnosti sjedišta Parlamenta u Luxembourgu; napominje da je taj instrument privremen i poziva Parlament da osigura dugoročnu predvidljivost za predmetno osoblje;</w:t>
      </w:r>
    </w:p>
    <w:p w14:paraId="3FD36180" w14:textId="77777777" w:rsidR="001E4492" w:rsidRPr="00B013A7" w:rsidRDefault="001E4492" w:rsidP="001E4492">
      <w:pPr>
        <w:pStyle w:val="NormalHanging12a"/>
      </w:pPr>
      <w:r w:rsidRPr="00B013A7">
        <w:t>73.</w:t>
      </w:r>
      <w:r w:rsidRPr="00B013A7">
        <w:tab/>
        <w:t>podsjeća na pokretanje kampanje protiv uznemiravanja na razini Parlamenta pod nazivom „Ujedinjeni protiv uznemiravanja” 22. listopada 2024., što je doprinijelo sigurnom radnom okruženju; pozdravlja činjenicu da je, osim informativne kampanje, tečaj osposobljavanja naslovljen „Poštovanje i dostojanstvo na radnom mjestu – sprečavanje sukoba i uznemiravanja na radnom mjestu” bio obvezan za zastupnike i da su ga zastupnici završili u prvoj godini parlamentarnog saziva; ističe da bi trebalo ocijeniti učinkovitost tih mjera;</w:t>
      </w:r>
    </w:p>
    <w:p w14:paraId="2B504C4F" w14:textId="77777777" w:rsidR="001E4492" w:rsidRPr="00B013A7" w:rsidRDefault="001E4492" w:rsidP="001E4492">
      <w:pPr>
        <w:pStyle w:val="NormalHanging12a"/>
      </w:pPr>
      <w:r w:rsidRPr="00B013A7">
        <w:t>74.</w:t>
      </w:r>
      <w:r w:rsidRPr="00B013A7">
        <w:tab/>
        <w:t xml:space="preserve">pozdravlja mogućnost da članovi osoblja rade na daljinu izvan mjesta rada; napominje da članovi osoblja Parlamenta mogu koristiti taj oblik rada na daljinu pet dana godišnje; napominje da druge institucije Unije omogućuju u prosjeku 15 dana takvog rada na daljinu godišnje; poziva na proaktivno praćenje i evaluaciju novih načina rada; podsjeća </w:t>
      </w:r>
      <w:r w:rsidRPr="00B013A7">
        <w:lastRenderedPageBreak/>
        <w:t>na važnost stvarnog dijaloga s članovima osoblja o ključnim pitanjima povezanima s novim načinima rada;</w:t>
      </w:r>
    </w:p>
    <w:p w14:paraId="428C4040" w14:textId="77777777" w:rsidR="001E4492" w:rsidRPr="00B013A7" w:rsidRDefault="001E4492" w:rsidP="001E4492">
      <w:pPr>
        <w:pStyle w:val="NormalHanging12a"/>
        <w:rPr>
          <w:bCs/>
          <w:iCs/>
        </w:rPr>
      </w:pPr>
      <w:r w:rsidRPr="00B013A7">
        <w:t>75.</w:t>
      </w:r>
      <w:r w:rsidRPr="00B013A7">
        <w:tab/>
        <w:t xml:space="preserve">naglašava da su kvalitetne usluge skrbi za djecu koje su na raspolaganju zastupnicima i osoblju ključne mjere kojima se osigurava djelotvorna provedba politike ravnoteže između poslovnog i privatnog života; skreće pozornost na činjenicu da česte promjene pružatelja usluga u ustanovi za skrb o djeci predškolske dobi </w:t>
      </w:r>
      <w:proofErr w:type="spellStart"/>
      <w:r w:rsidRPr="00B013A7">
        <w:t>Wayenberg</w:t>
      </w:r>
      <w:proofErr w:type="spellEnd"/>
      <w:r w:rsidRPr="00B013A7">
        <w:t> u Bruxellesu od 2000. utječu na kvalitetu usluge koju pruža ta ustanova; u tom pogledu poziva da se razmotri potreba za donošenjem visokokvalitetnih standarda;</w:t>
      </w:r>
    </w:p>
    <w:p w14:paraId="1989B104" w14:textId="77777777" w:rsidR="001E4492" w:rsidRPr="00B013A7" w:rsidRDefault="001E4492" w:rsidP="001E4492">
      <w:pPr>
        <w:pStyle w:val="NormalHanging12a"/>
        <w:rPr>
          <w:bCs/>
          <w:iCs/>
        </w:rPr>
      </w:pPr>
      <w:r w:rsidRPr="00B013A7">
        <w:t>76.</w:t>
      </w:r>
      <w:r w:rsidRPr="00B013A7">
        <w:tab/>
        <w:t>podsjeća na preporuku Parlamenta Komisiji iz Rezolucije Europskog parlamenta od 18. travnja 2018. o politici integriteta Komisije, posebice o imenovanju glavnog tajnika Europske komisije (2018/2624(RSP)) „da preispita svoj upravni postupak za imenovanje visokih dužnosnika kako bi se u potpunosti osigurao odabir najboljih kandidata unutar okvira maksimalne transparentnosti i jednakih mogućnosti”; smatra da bi Parlament u okviru postupaka za imenovanje uvijek trebao primjenjivati najviše standarde u pogledu transparentnosti, odgovornosti i dobrog upravljanja;</w:t>
      </w:r>
    </w:p>
    <w:p w14:paraId="5258B128" w14:textId="77777777" w:rsidR="001E4492" w:rsidRPr="00B013A7" w:rsidRDefault="001E4492" w:rsidP="001E4492">
      <w:pPr>
        <w:pStyle w:val="NormalHanging12a"/>
        <w:rPr>
          <w:bCs/>
          <w:iCs/>
        </w:rPr>
      </w:pPr>
      <w:r w:rsidRPr="00B013A7">
        <w:t>77.</w:t>
      </w:r>
      <w:r w:rsidRPr="00B013A7">
        <w:tab/>
        <w:t>poziva Parlament da optimizira upotrebu svojih ljudskih resursa, među ostalim provedbom odgovarajućih mjera kontinuiranog osposobljavanja usmjerenih na poboljšanje djelotvornosti i učinkovitosti unutarnjih službi; poziva na redovito održavanje tečaja prve pomoći na početničkoj i srednjoj razini, kao i na to da tečaj prve pomoći postane dobrovoljni dio programa uvodnog osposobljavanja za novo osoblje; poziva upravu da istraži mogućnost postavljanja dodatnih defibrilatora kako bi se poboljšalo zdravlje i sigurnost zastupnika i osoblja te osposobljavanja;</w:t>
      </w:r>
    </w:p>
    <w:p w14:paraId="2F91290B" w14:textId="77777777" w:rsidR="001E4492" w:rsidRPr="00B013A7" w:rsidRDefault="001E4492" w:rsidP="001E4492">
      <w:pPr>
        <w:spacing w:after="240"/>
        <w:rPr>
          <w:b/>
          <w:bCs/>
          <w:i/>
          <w:iCs/>
        </w:rPr>
      </w:pPr>
      <w:r w:rsidRPr="00B013A7">
        <w:rPr>
          <w:b/>
          <w:i/>
        </w:rPr>
        <w:t>Glavna uprava za infrastrukturu i logistiku</w:t>
      </w:r>
    </w:p>
    <w:p w14:paraId="6EE058D8" w14:textId="77777777" w:rsidR="001E4492" w:rsidRPr="00B013A7" w:rsidRDefault="001E4492" w:rsidP="001E4492">
      <w:pPr>
        <w:spacing w:after="240"/>
        <w:ind w:left="567" w:hanging="567"/>
      </w:pPr>
      <w:r w:rsidRPr="00B013A7">
        <w:t>78.</w:t>
      </w:r>
      <w:r w:rsidRPr="00B013A7">
        <w:tab/>
        <w:t xml:space="preserve">podsjeća da je Glavna uprava za infrastrukturu i logistiku (DG INLO) odgovorna za zgrade, radove, upravljanje infrastrukturom i logistiku Parlamenta; napominje da DG INLO također pruža usluge pripreme i dostave hrane i prijevoza te upravlja uredima i prostorima Parlamenta za sastanke te ih oprema; podsjeća da je DG INLO prije svega upravljao portfeljem zgrada Parlamenta veličine od oko 1,3 milijuna m² u Bruxellesu, Luxembourgu, Strasbourgu, uredima za vezu i centrima „Europa </w:t>
      </w:r>
      <w:proofErr w:type="spellStart"/>
      <w:r w:rsidRPr="00B013A7">
        <w:t>Experience</w:t>
      </w:r>
      <w:proofErr w:type="spellEnd"/>
      <w:r w:rsidRPr="00B013A7">
        <w:t>” u državama članicama; konstatira da je DG INLO na dan 31. prosinca 2024. imao 635 članova osoblja, od čega 311 dužnosnika, 20 privremenih članova osoblja i 326 ugovornih djelatnika;</w:t>
      </w:r>
    </w:p>
    <w:p w14:paraId="2FBD4C1C" w14:textId="77777777" w:rsidR="001E4492" w:rsidRPr="00B013A7" w:rsidRDefault="001E4492" w:rsidP="001E4492">
      <w:pPr>
        <w:pStyle w:val="NormalHanging12a"/>
      </w:pPr>
      <w:r w:rsidRPr="00B013A7">
        <w:t>79.</w:t>
      </w:r>
      <w:r w:rsidRPr="00B013A7">
        <w:tab/>
        <w:t>napominje da su konačna odobrena sredstva DG INLO-a 2024. iznosila 258 638 966 EUR, što predstavlja 10,9 % proračuna Parlamenta; ističe da su od tog iznosa preuzete obveze u iznosu od 256 935 431 EUR; prima na znanje veliku iskorištenost odobrenih sredstava;</w:t>
      </w:r>
    </w:p>
    <w:p w14:paraId="0C1D888B" w14:textId="77777777" w:rsidR="001E4492" w:rsidRPr="00B013A7" w:rsidRDefault="001E4492" w:rsidP="001E4492">
      <w:pPr>
        <w:spacing w:after="240"/>
        <w:ind w:left="567" w:hanging="567"/>
      </w:pPr>
      <w:r w:rsidRPr="00B013A7">
        <w:t>80.</w:t>
      </w:r>
      <w:r w:rsidRPr="00B013A7">
        <w:tab/>
        <w:t>podsjeća da je velika većina Parlamenta iskazala podršku jedinstvenom sjedištu; napominje da se sjedište Parlamenta u skladu s UEU-om nalazi u Strasbourgu, gdje se održava 12 mjesečnih plenarnih sjednica, te da svaka izmjena Ugovora zahtijeva jednoglasnu odluku svih država članica; napominje da se unutar trenutačnog okvira Ugovora optimizacijom operacija mogu ostvariti uštede; poziva na uspostavu konkretnih ključnih etapa i akcijskog plana za postizanje utvrđenih smanjenja troškova;</w:t>
      </w:r>
    </w:p>
    <w:p w14:paraId="640C0314" w14:textId="77777777" w:rsidR="001E4492" w:rsidRPr="00B013A7" w:rsidRDefault="001E4492" w:rsidP="001E4492">
      <w:pPr>
        <w:pStyle w:val="NormalHanging12a"/>
        <w:rPr>
          <w:bCs/>
          <w:iCs/>
        </w:rPr>
      </w:pPr>
      <w:r w:rsidRPr="00B013A7">
        <w:t>81.</w:t>
      </w:r>
      <w:r w:rsidRPr="00B013A7">
        <w:tab/>
        <w:t xml:space="preserve">potiče upravu da nastavi procjenjivati kvalitetu, određivanje cijena i raspon usluga </w:t>
      </w:r>
      <w:r w:rsidRPr="00B013A7">
        <w:lastRenderedPageBreak/>
        <w:t>posluživanja hrane i pića koje se nude u Parlamentu kako bi se osiguralo da se kriterijima javne nabave na odgovarajući način uravnotežuju pitanja cijene i kvalitete; poziva DG INLO da istraži mogućnosti za poboljšanje tržišnog natjecanja među pružateljima ugostiteljskih usluga kako bi se poboljšali standardi usluga, izbor i troškovna učinkovitost, posebno u kontekstu službenih događanja i usluga za posjetitelje; poziva upravu Parlamenta da o ishodu izvijesti Odbor Parlamenta za proračunski nadzor;</w:t>
      </w:r>
    </w:p>
    <w:p w14:paraId="3BDEF427" w14:textId="77777777" w:rsidR="001E4492" w:rsidRPr="00B013A7" w:rsidRDefault="001E4492" w:rsidP="001E4492">
      <w:pPr>
        <w:pStyle w:val="NormalHanging12a"/>
      </w:pPr>
      <w:r w:rsidRPr="00B013A7">
        <w:t>82.</w:t>
      </w:r>
      <w:r w:rsidRPr="00B013A7">
        <w:tab/>
        <w:t>pozdravlja činjenicu da je uprava 2024. provela strategiju Parlamenta za upravljanje nekretninama nakon 2019. i ostvarila njezine glavne ciljeve; sa zadovoljstvom napominje da se DG INLO, nakon godina širenja potaknutog rastom institucionalnih ovlasti Parlamenta, sada usredotočuje na konsolidaciju fonda zgrada Parlamenta i obnovu postojećih prostora te pozdravlja predanost DG INLO-a daljnjem razvoju uloge Parlamenta u Strasbourgu, Bruxellesu i Luxembourgu, poticanju projekata od zajedničkog interesa i povezivanju lokacija s okolnim područjima;</w:t>
      </w:r>
    </w:p>
    <w:p w14:paraId="7349467E" w14:textId="77777777" w:rsidR="001E4492" w:rsidRPr="00B013A7" w:rsidRDefault="001E4492" w:rsidP="001E4492">
      <w:pPr>
        <w:pStyle w:val="NormalHanging12a"/>
        <w:rPr>
          <w:bCs/>
          <w:iCs/>
        </w:rPr>
      </w:pPr>
      <w:r w:rsidRPr="00B013A7">
        <w:t>83.</w:t>
      </w:r>
      <w:r w:rsidRPr="00B013A7">
        <w:tab/>
        <w:t xml:space="preserve">poziva upravu Parlamenta da nastavi provoditi aktivnu strategiju upravljanja nekretninama, integracijom infrastrukturnih i logističkih potreba, preispitivanjem mjera za smanjenje troškova, kao što je upotreba tehnologija koje omogućuju hibridne sastanke, i konsolidacijom parlamentarnih aktivnosti; poziva Parlament da osigura da se njegovi ciljevi uključivanja biološke raznolikosti uzmu u obzir i u projektima upravljanja zgradama i obnove, uključujući procjenu povezanih troškova; napominje da veliki građevinski projekti uključuju složene pregovore i znatan pravni nadzor; poziva upravu Parlamenta da osigura strukturirano </w:t>
      </w:r>
      <w:r w:rsidRPr="00B013A7">
        <w:rPr>
          <w:i/>
          <w:iCs/>
        </w:rPr>
        <w:t>ex post</w:t>
      </w:r>
      <w:r w:rsidRPr="00B013A7">
        <w:t xml:space="preserve"> izvješćivanje tijela nadležnog za davanje razrješnice o takvim projektima, uključujući pregovaračke procese, mjere za ublažavanje rizika i pravne procjene, kako bi se ojačala transparentnost i institucionalno učenje;</w:t>
      </w:r>
    </w:p>
    <w:p w14:paraId="5D22572B" w14:textId="77777777" w:rsidR="001E4492" w:rsidRPr="00B013A7" w:rsidRDefault="001E4492" w:rsidP="001E4492">
      <w:pPr>
        <w:pStyle w:val="NormalHanging12a"/>
      </w:pPr>
      <w:r w:rsidRPr="00B013A7">
        <w:t>84.</w:t>
      </w:r>
      <w:r w:rsidRPr="00B013A7">
        <w:tab/>
        <w:t>sa zabrinutošću primjećuje stalan manjak dvorana za sastanke i seminare u Parlamentu, zbog čega je sve teže rezervirati prostore i potrebno je planirati znatno unaprijed; žali zbog toga što ta situacija otežava učinkovitu organizaciju parlamentarnog rada i ograničava fleksibilnost za zastupnike i članove osoblja; prima na znanje predstojeću obnovu zgrade SPAAK, koja je u skladu sa zahtjevima energetske učinkovitosti Unije; poziva upravu Parlamenta da provede mjere za ublažavanje učinka obnove i da osigura dostupnost dostatnih objekata za potporu operativnim potrebama Parlamenta;</w:t>
      </w:r>
    </w:p>
    <w:p w14:paraId="0976EF28" w14:textId="77777777" w:rsidR="001E4492" w:rsidRPr="00B013A7" w:rsidRDefault="001E4492" w:rsidP="001E4492">
      <w:pPr>
        <w:pStyle w:val="NormalHanging12a"/>
      </w:pPr>
      <w:r w:rsidRPr="00B013A7">
        <w:t>85.</w:t>
      </w:r>
      <w:r w:rsidRPr="00B013A7">
        <w:tab/>
        <w:t xml:space="preserve">prima na znanje građevinske projekte u 2024., a posebno dovršetak zapadnog krila zgrade ADENAUER II u Luxembourgu, čime se pod istim krovom okupljaju svi članovi osoblja i službe Parlamenta; napominje da je novi sigurnosni paviljon i paviljon za prijem posjetitelja u zgradi WEISS u Strasbourgu dovršen na vrijeme za početak novog parlamentarnog saziva u srpnju 2024.; prima na znanje kupnju zgrade TRÈVES II u Bruxellesu, čime je dodatno konsolidiran fond zgrada Parlamenta u Europskoj četvrti grada; traži da mu se dostavi ažurirani vremenski raspored za međusobno povezivanje zgrada TRÈVES I </w:t>
      </w:r>
      <w:proofErr w:type="spellStart"/>
      <w:r w:rsidRPr="00B013A7">
        <w:t>i</w:t>
      </w:r>
      <w:proofErr w:type="spellEnd"/>
      <w:r w:rsidRPr="00B013A7">
        <w:t xml:space="preserve"> TRÈVES II s glavnim središnjim zgradama u Bruxellesu; traži rješavanje nekih strukturnih problema koji još nisu riješeni u zgradi TRÈVES I, kao što su nestabilan sustav grijanja, nedostatak klimatizacijskih uređaja i zahoda za osobe smanjene pokretljivosti, loša zvučna izolacija te problemi s kanalizacijom; potiče na češće čišćenje ventilacijskih otvora za grijanje u zgradi SPINELLI kako bi se spriječilo nakupljanje prašine i plijesni u uredima i poboljšalo zdravlje osoblja na radnom mjestu;</w:t>
      </w:r>
    </w:p>
    <w:p w14:paraId="32C17F8A" w14:textId="77777777" w:rsidR="001E4492" w:rsidRPr="00B013A7" w:rsidRDefault="001E4492" w:rsidP="001E4492">
      <w:pPr>
        <w:pStyle w:val="NormalHanging12a"/>
      </w:pPr>
      <w:r w:rsidRPr="00B013A7">
        <w:lastRenderedPageBreak/>
        <w:t>86.</w:t>
      </w:r>
      <w:r w:rsidRPr="00B013A7">
        <w:tab/>
        <w:t>prima na znanje da je Predsjedništvo na sastanku 12. lipnja 2023. raspravljalo o sljedećim koracima za obnovu zgrade SPAAK; konstatira da je Predsjedništvo izrazilo preferenciju za sveobuhvatnu ekološku obnovu i 11. prosinca 2023. odobrilo projekt; napominje da je DG INLO ostvario napredak u preliminarnim projektima povezanima s obnovom zgrade SPAAK pokretanjem studija povezanih s novom središnjom tehničkom dvoranom Glavne uprave za konferencijsku logistiku i usmeno prevođenje (DG LINC), reorganizacijom tiskare, preseljenjem kabineta te prostorom za medije i tisak;</w:t>
      </w:r>
    </w:p>
    <w:p w14:paraId="444698D7" w14:textId="77777777" w:rsidR="001E4492" w:rsidRPr="00B013A7" w:rsidRDefault="001E4492" w:rsidP="001E4492">
      <w:pPr>
        <w:pStyle w:val="NormalHanging12a"/>
        <w:rPr>
          <w:bCs/>
          <w:iCs/>
        </w:rPr>
      </w:pPr>
      <w:r w:rsidRPr="00B013A7">
        <w:t>87.</w:t>
      </w:r>
      <w:r w:rsidRPr="00B013A7">
        <w:tab/>
        <w:t>prima na znanje da je u procjene za 2026. za studije i pripremne radove izvođača povezane s obnovom zgrade SPAAK uključeno 4 milijuna EUR, dok se ukupni troškovi procjenjuju na 36 milijuna EUR; stoga napominje da 32 milijuna EUR troškova povezanih s obnovom zgrade SPAAK nije uključeno u procjene za 2026.; napominje da glavni tajnik namjerava pokriti te troškove prijenosom neiskorištenih sredstava ili korištenjem zajma; traži od glavnog tajnika da Odboru Parlamenta za proračunski nadzor što prije dostavi detaljne informacije o mogućem zajmu za pokrivanje tih troškova; napominje da su u prosincu 2024. izravni troškovi projekta SPAAK iznosili 14,12 milijuna EUR; smatra da se kretanje troškova obnove zgrade SPAAK mora pomno i pažljivo pratiti;</w:t>
      </w:r>
    </w:p>
    <w:p w14:paraId="6362436D" w14:textId="77777777" w:rsidR="001E4492" w:rsidRPr="00B013A7" w:rsidRDefault="001E4492" w:rsidP="001E4492">
      <w:pPr>
        <w:pStyle w:val="NormalHanging12a"/>
      </w:pPr>
      <w:r w:rsidRPr="00B013A7">
        <w:t>88.</w:t>
      </w:r>
      <w:r w:rsidRPr="00B013A7">
        <w:tab/>
        <w:t>napominje da DG INLO razvija koncept za optimizaciju uredskog prostora u cilju uporabe postojećih ureda na način kojim se iskorištava puni potencijal članova osoblja Parlamenta i osigurava njihova društvena uključenost u Parlamentu; napominje da su inspiracija za taj koncept zgrade MARTENS, TRÈVES II i ARENDT u Bruxellesu, s naglaskom na „radno mjesto koje se temelji na aktivnosti”, uključujući socijalna područja za sastanke, neformalna okupljanja i razmjene; napominje da je razmotren i opći koncept zgrade KOHL, uzimajući u obzir njezina strukturna i proračunska ograničenja; poziva DG INLO da u središte razvoja tog koncepta stavi perspektive korisnika i da prednost da njegovoj provedbi u zgradama u kojima je optimizacija najpotrebnija, uvijek uz savjetovanje s predstavnicima osoblja;</w:t>
      </w:r>
    </w:p>
    <w:p w14:paraId="4BC185D6" w14:textId="77777777" w:rsidR="001E4492" w:rsidRPr="00B013A7" w:rsidRDefault="001E4492" w:rsidP="001E4492">
      <w:pPr>
        <w:pStyle w:val="NormalHanging12a"/>
        <w:rPr>
          <w:bCs/>
          <w:iCs/>
        </w:rPr>
      </w:pPr>
      <w:r w:rsidRPr="00B013A7">
        <w:t>89.</w:t>
      </w:r>
      <w:r w:rsidRPr="00B013A7">
        <w:tab/>
        <w:t>ističe da je 2024. velik dio mjesta u voznom parku za prijevoz na sjednice između Bruxellesa i Strasbourga bio slobodan; poziva upravu Parlamenta da razmotri proširenje skupine korisnika i učinkovitije korištenje voznog parka, osiguravajući pritom da su zastupnička mjesta zaštićena;</w:t>
      </w:r>
    </w:p>
    <w:p w14:paraId="5A384965" w14:textId="77777777" w:rsidR="001E4492" w:rsidRPr="00B013A7" w:rsidRDefault="001E4492" w:rsidP="001E4492">
      <w:pPr>
        <w:pStyle w:val="NormalHanging12a"/>
        <w:rPr>
          <w:bCs/>
          <w:iCs/>
        </w:rPr>
      </w:pPr>
      <w:r w:rsidRPr="00B013A7">
        <w:t>90.</w:t>
      </w:r>
      <w:r w:rsidRPr="00B013A7">
        <w:tab/>
        <w:t>potiče na to da se u teretani ponudi više tečajeva kojima se podupiru fizička i mentalna dobrobit kako bi se doprlo do šireg spektra osoblja;</w:t>
      </w:r>
    </w:p>
    <w:p w14:paraId="3C647BB0"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Glavna uprava za financije</w:t>
      </w:r>
    </w:p>
    <w:p w14:paraId="75E9DA2A" w14:textId="77777777" w:rsidR="001E4492" w:rsidRPr="00B013A7" w:rsidRDefault="001E4492" w:rsidP="001E4492">
      <w:pPr>
        <w:spacing w:after="240"/>
        <w:ind w:left="567" w:hanging="567"/>
        <w:rPr>
          <w14:textOutline w14:w="0" w14:cap="flat" w14:cmpd="sng" w14:algn="ctr">
            <w14:noFill/>
            <w14:prstDash w14:val="solid"/>
            <w14:bevel/>
          </w14:textOutline>
        </w:rPr>
      </w:pPr>
      <w:r w:rsidRPr="00B013A7">
        <w:rPr>
          <w14:textOutline w14:w="0" w14:cap="flat" w14:cmpd="sng" w14:algn="ctr">
            <w14:noFill/>
            <w14:prstDash w14:val="solid"/>
            <w14:bevel/>
          </w14:textOutline>
        </w:rPr>
        <w:t>91</w:t>
      </w:r>
      <w:r w:rsidRPr="00B013A7">
        <w:t>.</w:t>
      </w:r>
      <w:r w:rsidRPr="00B013A7">
        <w:rPr>
          <w14:textOutline w14:w="0" w14:cap="flat" w14:cmpd="sng" w14:algn="ctr">
            <w14:noFill/>
            <w14:prstDash w14:val="solid"/>
            <w14:bevel/>
          </w14:textOutline>
        </w:rPr>
        <w:tab/>
        <w:t>podsjeća da je DG FINS administrativno tijelo odgovorno za proračun i financije Parlamenta; napominje da je ta glavna uprava na dan 31. prosinca 2024. brojila 262 člana osoblja, među kojima je bilo 134 dužnosnika, 51 privremeni djelatnik, 77 ugovornih djelatnika i ni jedan zaposlenik agencije;</w:t>
      </w:r>
    </w:p>
    <w:p w14:paraId="2763652F" w14:textId="77777777" w:rsidR="001E4492" w:rsidRPr="00B013A7" w:rsidRDefault="001E4492" w:rsidP="001E4492">
      <w:pPr>
        <w:spacing w:after="240"/>
        <w:ind w:left="567" w:hanging="567"/>
        <w:rPr>
          <w14:textOutline w14:w="0" w14:cap="flat" w14:cmpd="sng" w14:algn="ctr">
            <w14:noFill/>
            <w14:prstDash w14:val="solid"/>
            <w14:bevel/>
          </w14:textOutline>
        </w:rPr>
      </w:pPr>
      <w:r w:rsidRPr="00B013A7">
        <w:rPr>
          <w14:textOutline w14:w="0" w14:cap="flat" w14:cmpd="sng" w14:algn="ctr">
            <w14:noFill/>
            <w14:prstDash w14:val="solid"/>
            <w14:bevel/>
          </w14:textOutline>
        </w:rPr>
        <w:t>92</w:t>
      </w:r>
      <w:r w:rsidRPr="00B013A7">
        <w:t>.</w:t>
      </w:r>
      <w:r w:rsidRPr="00B013A7">
        <w:rPr>
          <w14:textOutline w14:w="0" w14:cap="flat" w14:cmpd="sng" w14:algn="ctr">
            <w14:noFill/>
            <w14:prstDash w14:val="solid"/>
            <w14:bevel/>
          </w14:textOutline>
        </w:rPr>
        <w:tab/>
      </w:r>
      <w:r w:rsidRPr="00B013A7">
        <w:t>napominje da su konačna odobrena sredstva DG FINS-a 2024. iznosila 442 954 175 EUR, odnosno 18,6 % proračuna Parlamenta;</w:t>
      </w:r>
      <w:r w:rsidRPr="00B013A7">
        <w:rPr>
          <w14:textOutline w14:w="0" w14:cap="flat" w14:cmpd="sng" w14:algn="ctr">
            <w14:noFill/>
            <w14:prstDash w14:val="solid"/>
            <w14:bevel/>
          </w14:textOutline>
        </w:rPr>
        <w:t xml:space="preserve"> </w:t>
      </w:r>
      <w:r w:rsidRPr="00B013A7">
        <w:t>ističe da su od tog iznosa preuzete obveze u iznosu od 441 848 935 EUR (99,75 %);</w:t>
      </w:r>
      <w:r w:rsidRPr="00B013A7">
        <w:rPr>
          <w14:textOutline w14:w="0" w14:cap="flat" w14:cmpd="sng" w14:algn="ctr">
            <w14:noFill/>
            <w14:prstDash w14:val="solid"/>
            <w14:bevel/>
          </w14:textOutline>
        </w:rPr>
        <w:t xml:space="preserve"> pozdravlja veliku iskorištenost odobrenih sredstava;</w:t>
      </w:r>
    </w:p>
    <w:p w14:paraId="2B2D9384" w14:textId="77777777" w:rsidR="001E4492" w:rsidRPr="00B013A7" w:rsidRDefault="001E4492" w:rsidP="001E4492">
      <w:pPr>
        <w:spacing w:after="240"/>
        <w:ind w:left="567" w:hanging="567"/>
        <w:rPr>
          <w14:textOutline w14:w="0" w14:cap="flat" w14:cmpd="sng" w14:algn="ctr">
            <w14:noFill/>
            <w14:prstDash w14:val="solid"/>
            <w14:bevel/>
          </w14:textOutline>
        </w:rPr>
      </w:pPr>
      <w:r w:rsidRPr="00B013A7">
        <w:rPr>
          <w14:textOutline w14:w="0" w14:cap="flat" w14:cmpd="sng" w14:algn="ctr">
            <w14:noFill/>
            <w14:prstDash w14:val="solid"/>
            <w14:bevel/>
          </w14:textOutline>
        </w:rPr>
        <w:lastRenderedPageBreak/>
        <w:t>93.</w:t>
      </w:r>
      <w:r w:rsidRPr="00B013A7">
        <w:rPr>
          <w14:textOutline w14:w="0" w14:cap="flat" w14:cmpd="sng" w14:algn="ctr">
            <w14:noFill/>
            <w14:prstDash w14:val="solid"/>
            <w14:bevel/>
          </w14:textOutline>
        </w:rPr>
        <w:tab/>
        <w:t>poziva DG FINS da aktivno primijeni preporuke OECD-a o najboljim praksama za parlamente u izradi proračuna (2022. – 2023.) i da ojača provedbu izrade proračuna na temelju uspješnosti; podsjeća da su mnoge države članice već usvojile izradu proračuna na temelju uspješnosti i izvijestile o znatnim uštedama;</w:t>
      </w:r>
    </w:p>
    <w:p w14:paraId="0E8107D2" w14:textId="77777777" w:rsidR="001E4492" w:rsidRPr="00B013A7" w:rsidRDefault="001E4492" w:rsidP="001E4492">
      <w:pPr>
        <w:pStyle w:val="NormalHanging12a"/>
        <w:rPr>
          <w:bCs/>
          <w:iCs/>
        </w:rPr>
      </w:pPr>
      <w:r w:rsidRPr="00B013A7">
        <w:t>94.</w:t>
      </w:r>
      <w:r w:rsidRPr="00B013A7">
        <w:tab/>
        <w:t>napominje da trenutačni fiskalni pritisak zahtijeva financijsku razboritost i učinkovitost, među ostalim i u okviru administrativnog proračuna Parlamenta, kako bi se pokazala institucionalna odgovornost, prema potrebi, bez ugrožavanja njegove uloge u institucionalnom okviru Unije i njegovih temeljnih funkcija; poziva upravu Parlamenta da istraži inovativne alate za izradu proračuna, uključujući izradu proračuna utemeljenu na uspješnosti, kojima bi se mogla povećati transparentnost, odgovornost i učinkovitost postupka izrade proračuna, osiguravajući odgovorno trošenje javnih sredstava; napominje da takve mogućnosti ne bi trebale biti na štetu već planiranih ili preuzetih financijskih obveza te da ni na koji način ne bi trebale utjecati na kvalitetu usluga koje se pružaju zastupnicima i osoblju, kao ni na financijske obveze nastale na temelju postojećih pravila koja su na snazi;</w:t>
      </w:r>
    </w:p>
    <w:p w14:paraId="0715C71A"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95</w:t>
      </w:r>
      <w:r w:rsidRPr="00B013A7">
        <w:t>.</w:t>
      </w:r>
      <w:r w:rsidRPr="00B013A7">
        <w:rPr>
          <w14:textOutline w14:w="0" w14:cap="flat" w14:cmpd="sng" w14:algn="ctr">
            <w14:noFill/>
            <w14:prstDash w14:val="solid"/>
            <w14:bevel/>
          </w14:textOutline>
        </w:rPr>
        <w:tab/>
      </w:r>
      <w:r w:rsidRPr="00B013A7">
        <w:t>napominje da je 2024. bila posebna godina za DG FINS jer je to bila godina europskih izbora, koji su se održali u lipnju 2024.; napominje da su se 2024. znatno povećale pomoćne aktivnosti za zastupnike, upravljanje pravima i obvezama zastupnika na odlasku i novoizabranih zastupnika;</w:t>
      </w:r>
    </w:p>
    <w:p w14:paraId="6983F2AE" w14:textId="77777777" w:rsidR="001E4492" w:rsidRPr="00B013A7" w:rsidRDefault="001E4492" w:rsidP="001E4492">
      <w:pPr>
        <w:pStyle w:val="NormalHanging12a"/>
      </w:pPr>
      <w:r w:rsidRPr="00B013A7">
        <w:t>96.</w:t>
      </w:r>
      <w:r w:rsidRPr="00B013A7">
        <w:tab/>
        <w:t>preporučuje da DG FINS u pogledu kontrole i revizije rashoda zastupnika te postupaka u skladu s načelima dobrog upravljanja, posebno transparentnosti, odgovornosti, sposobnosti reagiranja i pravednosti, uspostavi pristup koji se temelji na riziku; priznaje da je ključno imati osnovnu razinu kontrole (na temelju uzorka) kako bi se osigurala usklađenost s pravilima; pozdravlja činjenicu da, u slučaju većeg rizika od nepravilne potrošnje zastupnika, uprava može ostvariti svoje pravo na provjeru predmetnih sredstava; naglašava da, iako su takve kontrole dobrodošle, njihova učinkovitost ovisi o pravodobnoj provedbi daljnjih mjera u vezi s utvrđenom nepravilnom potrošnjom;</w:t>
      </w:r>
    </w:p>
    <w:p w14:paraId="0601ECEF"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97</w:t>
      </w:r>
      <w:r w:rsidRPr="00B013A7">
        <w:t>.</w:t>
      </w:r>
      <w:r w:rsidRPr="00B013A7">
        <w:rPr>
          <w14:textOutline w14:w="0" w14:cap="flat" w14:cmpd="sng" w14:algn="ctr">
            <w14:noFill/>
            <w14:prstDash w14:val="solid"/>
            <w14:bevel/>
          </w14:textOutline>
        </w:rPr>
        <w:tab/>
      </w:r>
      <w:r w:rsidRPr="00B013A7">
        <w:t xml:space="preserve">prima na znanje problem privlačenja članova osoblja u DG FINS zbog nedostatka kandidata na EPSO-ovim popisima u području financija i IT-a te poteškoće u privlačenju članova osoblja u Luksemburg, gdje se nalazi 45 % radnih mjesta DG FINS-a; prima na znanje poteškoće u privlačenju članova osoblja u Luksemburg jer su plaće na lokalnom tržištu rada jednake ili bolje nego u Parlamentu, a troškovi života su visoki, posebno u pogledu stanovanja; </w:t>
      </w:r>
    </w:p>
    <w:p w14:paraId="12EB39A2" w14:textId="77777777" w:rsidR="001E4492" w:rsidRPr="00B013A7" w:rsidRDefault="001E4492" w:rsidP="001E4492">
      <w:pPr>
        <w:spacing w:after="240"/>
        <w:ind w:left="567" w:hanging="567"/>
      </w:pPr>
      <w:r w:rsidRPr="00B013A7">
        <w:t>98.</w:t>
      </w:r>
      <w:r w:rsidRPr="00B013A7">
        <w:tab/>
        <w:t>prima na znanje inicijativu DG FINS-a za ostvarenje digitalne i kapitalne transformacije 2024., čijim se prvim dvama programima („digitalna transformacija za poboljšane financijske usluge za zastupnike” i „digitalna transformacija za poboljšane usluge za upravu Parlamenta”) nastoji unaprijediti digitalna transformacija usluga koje DG FINS nudi, bilo da je riječ o zastupnicima bilo o financijskim akterima institucije; napominje da je cilj trećeg strateškog programa („kapitalna transformacija za produktivnije i kohezivnije radno mjesto”) stvaranje produktivnijeg i kohezivnijeg radnog okruženja;</w:t>
      </w:r>
    </w:p>
    <w:p w14:paraId="650EC727" w14:textId="77777777" w:rsidR="001E4492" w:rsidRPr="00B013A7" w:rsidRDefault="001E4492" w:rsidP="001E4492">
      <w:pPr>
        <w:spacing w:after="240"/>
        <w:ind w:left="567" w:hanging="567"/>
      </w:pPr>
      <w:r w:rsidRPr="00B013A7">
        <w:t xml:space="preserve">99. </w:t>
      </w:r>
      <w:r w:rsidRPr="00B013A7">
        <w:tab/>
        <w:t xml:space="preserve">pozdravlja rad DG FINS-a nakon europskih izbora 2024., pri odlasku zastupnika na odlasku i dolasku novih zastupnika te u povezanim administrativnim postupcima; podsjeća na uspješan sajam dobrodošlice i informacije raznih službi koje su se okupile kako bi se zastupnicima omogućilo da iskoriste mogućnost „sve na jednom mjestu” za informiranje i davanje potrebnih izjava na početku mandata; pohvaljuje DG FINS za </w:t>
      </w:r>
      <w:r w:rsidRPr="00B013A7">
        <w:lastRenderedPageBreak/>
        <w:t>pripremu 705 pojedinačnih dosjea, uključujući simulacije statusa socijalnih i financijskih prava, te za pripremu četiriju obavijesti kvestora kako bi se zastupnike obavijestilo o njihovim pravima i obvezama na kraju parlamentarnog saziva;</w:t>
      </w:r>
    </w:p>
    <w:p w14:paraId="02FB1211" w14:textId="77777777" w:rsidR="001E4492" w:rsidRPr="00B013A7" w:rsidRDefault="001E4492" w:rsidP="001E4492">
      <w:pPr>
        <w:pStyle w:val="NormalHanging12a"/>
      </w:pPr>
      <w:r w:rsidRPr="00B013A7">
        <w:t>100.</w:t>
      </w:r>
      <w:r w:rsidRPr="00B013A7">
        <w:tab/>
        <w:t xml:space="preserve">prima na znanje izjavu o jamstvu koju je potpisao glavni direktor DG FINS-a; prima na znanje primjedbu iz izjave o jamstvu o preostalom riziku od pogrešaka ili nepravilnosti u povratu određenih putnih troškova za zastupnike, uglavnom u vezi sa zahtjevima za povrat troškova putovanja automobilom i isplatu naknade za udaljenost i trajanje putovanja; prima na znanje mjere ublažavanja koje je predložio DG FINS i poziva na brzu provedbu mjera za smanjenje rizika; traži da se tijelu nadležnom za davanje razrješnice dostavi izvješće o financijskom učinku i učinkovitosti poduzetih mjera </w:t>
      </w:r>
      <w:bookmarkStart w:id="10" w:name="_Hlk225523167"/>
      <w:r w:rsidRPr="00B013A7">
        <w:t>u kojem će biti predstavljeni troškovi kontrole različitih opcija utemeljenih na dokazima</w:t>
      </w:r>
      <w:bookmarkEnd w:id="10"/>
      <w:r w:rsidRPr="00B013A7">
        <w:t>;</w:t>
      </w:r>
    </w:p>
    <w:p w14:paraId="74F0C30E" w14:textId="77777777" w:rsidR="001E4492" w:rsidRPr="00B013A7" w:rsidRDefault="001E4492" w:rsidP="001E4492">
      <w:pPr>
        <w:pStyle w:val="NormalHanging12a"/>
        <w:rPr>
          <w:bCs/>
          <w:iCs/>
        </w:rPr>
      </w:pPr>
      <w:r w:rsidRPr="00B013A7">
        <w:t>101.</w:t>
      </w:r>
      <w:r w:rsidRPr="00B013A7">
        <w:tab/>
        <w:t>sa zabrinutošću napominje da povrat putnih troškova za zastupnike često traje dulje od tri mjeseca; poziva upravu i DG FINS da znatno ubrzaju postupke povrata troškova, među ostalim daljnjom digitalizacijom, pojednostavnjenim postupcima provjere i jasnijim unutarnjim rokovima, uz potpuno poštovanje zahtjeva u pogledu financijske kontrole;</w:t>
      </w:r>
    </w:p>
    <w:p w14:paraId="5377E8B9" w14:textId="77777777" w:rsidR="001E4492" w:rsidRPr="00B013A7" w:rsidRDefault="001E4492" w:rsidP="001E4492">
      <w:pPr>
        <w:spacing w:after="240"/>
        <w:ind w:left="567" w:hanging="567"/>
        <w:rPr>
          <w14:textOutline w14:w="0" w14:cap="flat" w14:cmpd="sng" w14:algn="ctr">
            <w14:noFill/>
            <w14:prstDash w14:val="solid"/>
            <w14:bevel/>
          </w14:textOutline>
        </w:rPr>
      </w:pPr>
      <w:r w:rsidRPr="00B013A7">
        <w:t>102.</w:t>
      </w:r>
      <w:r w:rsidRPr="00B013A7">
        <w:tab/>
        <w:t xml:space="preserve">pozdravlja pojačani rad DG FINS-a na „Akademiji za financije EP-a” koji se odnosio na dvanaest internetskih </w:t>
      </w:r>
      <w:proofErr w:type="spellStart"/>
      <w:r w:rsidRPr="00B013A7">
        <w:t>videouputa</w:t>
      </w:r>
      <w:proofErr w:type="spellEnd"/>
      <w:r w:rsidRPr="00B013A7">
        <w:t>, uz postojeću ponudu tečajeva osposobljavanja uživo i hibridnih tečajeva; naglašava važnost osposobljavanja o financijskim pitanjima za članove osoblja u cijelom Parlamentu i pozdravlja tečajeve osposobljavanja u području javne nabave za članove osoblja klubova zastupnika te poziva GU FINS da pruži pojačanu potporu klubovima zastupnika u postupcima javne nabave, posebno u svjetlu nalaza Revizorskog suda; predlaže da DG FINS da osigura usklađivanje praksi koje primjenjuju različiti klubovi zastupnika u području javne nabave;</w:t>
      </w:r>
    </w:p>
    <w:p w14:paraId="3A27DCB2" w14:textId="77777777" w:rsidR="001E4492" w:rsidRPr="00B013A7" w:rsidRDefault="001E4492" w:rsidP="001E4492">
      <w:pPr>
        <w:pStyle w:val="NormalHanging12a"/>
      </w:pPr>
      <w:r w:rsidRPr="00B013A7">
        <w:t>103.</w:t>
      </w:r>
      <w:r w:rsidRPr="00B013A7">
        <w:tab/>
        <w:t>ističe da zastupnici mogu dokumentirati uporabu sredstava u okviru naknade za opće troškove; ističe da to mogu učiniti dobrovoljno, detaljno ili prema vrsti troška, samostalno ili uz potporu vanjskog revizora, te da mogu odlučiti da se te informacije u cijelosti ili djelomično objave na njihovoj internetskoj stranici na web-stranici Parlamenta u skladu s člankom 11. stavkom 2. Poslovnika Parlamenta; pozdravlja činjenicu da je pojednostavnjeni popis vrsta troškova uključen u Provedbene mjere Statuta zastupnika te da je usvojen i amandman kojim se pojašnjava mogućnost da zastupnici koriste naknadu za opće troškove u slučaju iscrpljenja drugih naknada; napominje da su svi zastupnici obaviješteni o detaljima o toj naknadi; smatra da je maksimalna transparentnost dobra praksa;</w:t>
      </w:r>
    </w:p>
    <w:p w14:paraId="264A6A30" w14:textId="77777777" w:rsidR="001E4492" w:rsidRPr="00B013A7" w:rsidRDefault="001E4492" w:rsidP="001E4492">
      <w:pPr>
        <w:pStyle w:val="NormalHanging12a"/>
      </w:pPr>
      <w:r w:rsidRPr="00B013A7">
        <w:t>104.</w:t>
      </w:r>
      <w:r w:rsidRPr="00B013A7">
        <w:tab/>
        <w:t xml:space="preserve">napominje da je naknada za opće troškove 2024. iznosila 4 950 EUR mjesečno i da se za nju izdvaja otprilike 40 milijuna EUR godišnje; podsjeća da 2022. ni 2024. nije provedena </w:t>
      </w:r>
      <w:proofErr w:type="spellStart"/>
      <w:r w:rsidRPr="00B013A7">
        <w:t>indeksacija</w:t>
      </w:r>
      <w:proofErr w:type="spellEnd"/>
      <w:r w:rsidRPr="00B013A7">
        <w:t xml:space="preserve"> te naknade; napominje da Parlament poštuje postojeća pravila o naknadi za opće troškove; podsjeća da je potrebno izbjeći nepotrebno administrativno opterećenje za zastupnike;</w:t>
      </w:r>
    </w:p>
    <w:p w14:paraId="0FD87EE5" w14:textId="37B874BA" w:rsidR="001E4492" w:rsidRPr="00B013A7" w:rsidRDefault="001E4492" w:rsidP="001E4492">
      <w:pPr>
        <w:pStyle w:val="NormalHanging12a"/>
        <w:rPr>
          <w:bCs/>
          <w:iCs/>
        </w:rPr>
      </w:pPr>
      <w:r w:rsidRPr="000F18C0">
        <w:t>105.</w:t>
      </w:r>
      <w:r w:rsidRPr="000F18C0">
        <w:tab/>
        <w:t>napominje da se trenutačnim Provedbenim mjerama Statuta zastupnika u Europskom parlamentu utvrđuju zahtjevi u pogledu transparentnosti financijskog upravljanja naknadom za opće troškove; napominje da je Predsjedništvo na sastanku od 17. listopada 2022. donijelo tu odluku</w:t>
      </w:r>
      <w:r w:rsidRPr="00B013A7">
        <w:t>;</w:t>
      </w:r>
    </w:p>
    <w:p w14:paraId="3D52799D"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Glavna uprava za informacijske tehnologije i kibernetičku sigurnost</w:t>
      </w:r>
    </w:p>
    <w:p w14:paraId="20104F22" w14:textId="27646FCC" w:rsidR="001E4492" w:rsidRPr="00B013A7" w:rsidRDefault="00AF3F3F" w:rsidP="001E4492">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lastRenderedPageBreak/>
        <w:t>106</w:t>
      </w:r>
      <w:r w:rsidR="001E4492" w:rsidRPr="00B013A7">
        <w:t>.</w:t>
      </w:r>
      <w:r w:rsidR="001E4492" w:rsidRPr="00B013A7">
        <w:rPr>
          <w14:textOutline w14:w="0" w14:cap="flat" w14:cmpd="sng" w14:algn="ctr">
            <w14:noFill/>
            <w14:prstDash w14:val="solid"/>
            <w14:bevel/>
          </w14:textOutline>
        </w:rPr>
        <w:tab/>
        <w:t xml:space="preserve">podsjeća da DG ITEC Parlamentu pruža usluge i opremu informacijske i komunikacijske tehnologije (IKT), usluge videokonferencija i multimedijske usluge te usluge izdavaštva i tiskanja; </w:t>
      </w:r>
      <w:r w:rsidR="001E4492" w:rsidRPr="00B013A7">
        <w:t>napominje da je DG ITEC na dan 31. prosinca 2024. brojio 579 članova osoblja, od čega 369 dužnosnika, 70 privremenih djelatnika i 140 ugovornih djelatnika;</w:t>
      </w:r>
    </w:p>
    <w:p w14:paraId="2CB88FB0" w14:textId="5321A971" w:rsidR="001E4492" w:rsidRPr="00B013A7" w:rsidRDefault="00AF3F3F" w:rsidP="001E4492">
      <w:pPr>
        <w:pStyle w:val="NormalHanging12a"/>
        <w:rPr>
          <w:bCs/>
          <w:iCs/>
        </w:rPr>
      </w:pPr>
      <w:r>
        <w:t>107</w:t>
      </w:r>
      <w:r w:rsidR="001E4492" w:rsidRPr="00B013A7">
        <w:t>.</w:t>
      </w:r>
      <w:r w:rsidR="001E4492" w:rsidRPr="00B013A7">
        <w:tab/>
        <w:t>poziva Parlament da donese sveobuhvatnu strategiju digitalne transformacije koja uključuje tehnička rješenja za upravljanje dokumentima i komunikaciju, kako bi se osigurala transparentnost, poboljšala učinkovitost, zaštitila sigurnost i prešlo na administraciju bez papira; traži razvoj digitalnih platformi prilagođenih korisnicima kako bi se poboljšalo e-sudjelovanje, čime bi se građanima Unije omogućilo da daju povratne informacije o predloženom zakonodavstvu i pristupe aktivnostima Parlamenta u stvarnom vremenu;</w:t>
      </w:r>
    </w:p>
    <w:p w14:paraId="3F6D1F97" w14:textId="4D6E4711" w:rsidR="001E4492" w:rsidRPr="00B013A7" w:rsidRDefault="00AF3F3F" w:rsidP="001E4492">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108</w:t>
      </w:r>
      <w:r w:rsidR="001E4492" w:rsidRPr="00B013A7">
        <w:t>.</w:t>
      </w:r>
      <w:r w:rsidR="001E4492" w:rsidRPr="00B013A7">
        <w:rPr>
          <w14:textOutline w14:w="0" w14:cap="flat" w14:cmpd="sng" w14:algn="ctr">
            <w14:noFill/>
            <w14:prstDash w14:val="solid"/>
            <w14:bevel/>
          </w14:textOutline>
        </w:rPr>
        <w:tab/>
      </w:r>
      <w:r w:rsidR="001E4492" w:rsidRPr="00B013A7">
        <w:t>napominje da su konačna odobrena sredstva DG ITEC-a 2024. iznosila 179 396 522 EUR, odnosno 7,5 % proračuna Parlamenta;</w:t>
      </w:r>
      <w:r w:rsidR="001E4492" w:rsidRPr="00B013A7">
        <w:rPr>
          <w14:textOutline w14:w="0" w14:cap="flat" w14:cmpd="sng" w14:algn="ctr">
            <w14:noFill/>
            <w14:prstDash w14:val="solid"/>
            <w14:bevel/>
          </w14:textOutline>
        </w:rPr>
        <w:t xml:space="preserve"> </w:t>
      </w:r>
      <w:r w:rsidR="001E4492" w:rsidRPr="00B013A7">
        <w:t>ističe da su od tog iznosa preuzete obveze u iznosu od 179 349 479 EUR;</w:t>
      </w:r>
      <w:r w:rsidR="001E4492" w:rsidRPr="00B013A7">
        <w:rPr>
          <w14:textOutline w14:w="0" w14:cap="flat" w14:cmpd="sng" w14:algn="ctr">
            <w14:noFill/>
            <w14:prstDash w14:val="solid"/>
            <w14:bevel/>
          </w14:textOutline>
        </w:rPr>
        <w:t xml:space="preserve"> pozdravlja veliku iskorištenost odobrenih sredstava;</w:t>
      </w:r>
    </w:p>
    <w:p w14:paraId="5861B6BA" w14:textId="1AA92A0D" w:rsidR="001E4492" w:rsidRPr="00B013A7" w:rsidRDefault="00AF3F3F" w:rsidP="001E4492">
      <w:pPr>
        <w:spacing w:after="240"/>
        <w:ind w:left="567" w:hanging="567"/>
      </w:pPr>
      <w:r>
        <w:t>109</w:t>
      </w:r>
      <w:r w:rsidR="001E4492" w:rsidRPr="00B013A7">
        <w:t>.</w:t>
      </w:r>
      <w:r w:rsidR="001E4492" w:rsidRPr="00B013A7">
        <w:tab/>
        <w:t>prima na znanje stalne napore DG ITEC-a da osigura kibernetičku sigurnost s obzirom na sve veće prijetnje i rizike koji utječu na Parlament; prima na znanje stupanje na snagu Uredbe (EU, Euratom) 2023/2841 Europskog parlamenta i Vijeća</w:t>
      </w:r>
      <w:r w:rsidR="001E4492" w:rsidRPr="00B013A7">
        <w:rPr>
          <w:rStyle w:val="FootnoteReference"/>
          <w:noProof/>
        </w:rPr>
        <w:footnoteReference w:id="9"/>
      </w:r>
      <w:r w:rsidR="001E4492" w:rsidRPr="00B013A7">
        <w:t xml:space="preserve">, kojom je formalizirana misija CERT-EU-a kao službe za kibernetičku sigurnost subjekata Unije; napominje da se Uredbom (EU, Euratom) 2023/2841 osniva i </w:t>
      </w:r>
      <w:proofErr w:type="spellStart"/>
      <w:r w:rsidR="001E4492" w:rsidRPr="00B013A7">
        <w:t>Međuinstitucijski</w:t>
      </w:r>
      <w:proofErr w:type="spellEnd"/>
      <w:r w:rsidR="001E4492" w:rsidRPr="00B013A7">
        <w:t xml:space="preserve"> odbor za kibernetičku sigurnost (IICB), koji je odgovoran za praćenje i potporu provedbi te uredbe u svim subjektima Unije; napominje da Parlament predsjeda tim odborom od 2024.;</w:t>
      </w:r>
    </w:p>
    <w:p w14:paraId="37ABD35D" w14:textId="709490B6" w:rsidR="001E4492" w:rsidRPr="00B013A7" w:rsidRDefault="00AF3F3F" w:rsidP="001E4492">
      <w:pPr>
        <w:spacing w:after="240"/>
        <w:ind w:left="567" w:hanging="567"/>
        <w:rPr>
          <w:b/>
          <w:bCs/>
        </w:rPr>
      </w:pPr>
      <w:r>
        <w:t>110</w:t>
      </w:r>
      <w:r w:rsidR="001E4492" w:rsidRPr="00B013A7">
        <w:t>.</w:t>
      </w:r>
      <w:r w:rsidR="001E4492" w:rsidRPr="00B013A7">
        <w:tab/>
        <w:t>prima na znanje da je nakon odluke Predsjedništva iz veljače 2021. o potrebi da se podatkovni centar Parlamenta smjesti u skladu s najvišim industrijskim standardom u tom području (razina IV.), DG ITEC dodijelio ugovor 2022., čime je omogućena uspostava i otvaranje podatkovnog centra 2023.; ističe da se tim velikim ulaganjem osigurava infrastruktura otporna na promjene u nadolazećim godinama i da je ono ključno za održavanje snažnog hibridnog radnog okruženja za Parlament;</w:t>
      </w:r>
    </w:p>
    <w:p w14:paraId="55D86FCD" w14:textId="0E807BB9" w:rsidR="001E4492" w:rsidRPr="00B013A7" w:rsidRDefault="00AF3F3F" w:rsidP="001E4492">
      <w:pPr>
        <w:spacing w:after="240"/>
        <w:ind w:left="567" w:hanging="567"/>
      </w:pPr>
      <w:r>
        <w:rPr>
          <w14:textOutline w14:w="0" w14:cap="flat" w14:cmpd="sng" w14:algn="ctr">
            <w14:noFill/>
            <w14:prstDash w14:val="solid"/>
            <w14:bevel/>
          </w14:textOutline>
        </w:rPr>
        <w:t>111</w:t>
      </w:r>
      <w:r w:rsidR="001E4492" w:rsidRPr="00B013A7">
        <w:t>.</w:t>
      </w:r>
      <w:r w:rsidR="001E4492" w:rsidRPr="00B013A7">
        <w:rPr>
          <w14:textOutline w14:w="0" w14:cap="flat" w14:cmpd="sng" w14:algn="ctr">
            <w14:noFill/>
            <w14:prstDash w14:val="solid"/>
            <w14:bevel/>
          </w14:textOutline>
        </w:rPr>
        <w:tab/>
      </w:r>
      <w:r w:rsidR="001E4492" w:rsidRPr="00B013A7">
        <w:t>ističe da se kibernetička sigurnost mora smatrati integralnim i trajnim prioritetom u svim fazama operacija, a ne samo ciljem; ističe da kibernetička sigurnost zahtijeva sveobuhvatnu strategiju koja obuhvaća sve aspekte digitalnog upravljanja u Parlamentu; poziva na reviziju upravljačkih struktura Parlamenta u području IT-a i zalaže se za snažniji i prilagodljiviji pristup kibernetičkoj sigurnosti kojim se uzima u obzir cijeli životni ciklus informacijskih sustava, s obzirom na sve veći broj aplikacija, kojih trenutačno ima više od 20, kojima se može izravno pristupiti putem interneta; ističe da ta situacija zahtijeva pojačani nadzor kako bi se ranjivosti svele na najmanju moguću mjeru i kako bi se institucionalni podaci zaštitili od vanjskih prijetnji;</w:t>
      </w:r>
    </w:p>
    <w:p w14:paraId="6B45DD38" w14:textId="7217275E" w:rsidR="001E4492" w:rsidRPr="00B013A7" w:rsidRDefault="00AF3F3F" w:rsidP="001E4492">
      <w:pPr>
        <w:spacing w:after="240"/>
        <w:ind w:left="567" w:hanging="567"/>
      </w:pPr>
      <w:r>
        <w:t>112</w:t>
      </w:r>
      <w:r w:rsidR="001E4492" w:rsidRPr="00B013A7">
        <w:t>.</w:t>
      </w:r>
      <w:r w:rsidR="001E4492" w:rsidRPr="00B013A7">
        <w:tab/>
        <w:t xml:space="preserve">poziva na kontinuirana ulaganja u infrastrukturu za kibernetičku sigurnost, kao i na </w:t>
      </w:r>
      <w:r w:rsidR="001E4492" w:rsidRPr="00B013A7">
        <w:lastRenderedPageBreak/>
        <w:t>kontinuiranu dostupnost obrazovanja i resursa za članove osoblja, kako bi se ojačala kultura svijesti o sigurnosti kojom se jača otpornost Parlamenta na potencijalne digitalne prijetnje;</w:t>
      </w:r>
    </w:p>
    <w:p w14:paraId="72448DB3" w14:textId="7D4E4611" w:rsidR="001E4492" w:rsidRPr="00B013A7" w:rsidRDefault="00AF3F3F" w:rsidP="001E4492">
      <w:pPr>
        <w:spacing w:after="240"/>
        <w:ind w:left="567" w:hanging="567"/>
      </w:pPr>
      <w:r>
        <w:t>113</w:t>
      </w:r>
      <w:r w:rsidR="001E4492" w:rsidRPr="00B013A7">
        <w:t>.</w:t>
      </w:r>
      <w:r w:rsidR="001E4492" w:rsidRPr="00B013A7">
        <w:tab/>
        <w:t>prima na znanje naglasak na podizanju razine osviještenosti među svim zastupnicima i osobljem o kibernetičkoj sigurnosti; pozdravlja ponudu osposobljavanja koju pružaju DG ITEC i DG PERS; prima na znanje velik broj sudionika u tečajevima osposobljavanja o kibernetičkoj sigurnosti, koji je narastao do 33 sudionika u tečajevima osposobljavanja i najmanje 1800 sudionika u aktivnostima podizanja razine osviještenosti;</w:t>
      </w:r>
    </w:p>
    <w:p w14:paraId="4AFCFCA5" w14:textId="3EE3035F" w:rsidR="001E4492" w:rsidRPr="00B013A7" w:rsidRDefault="00AF3F3F" w:rsidP="001E4492">
      <w:pPr>
        <w:spacing w:after="240"/>
        <w:ind w:left="567" w:hanging="567"/>
      </w:pPr>
      <w:r>
        <w:t>114</w:t>
      </w:r>
      <w:r w:rsidR="001E4492" w:rsidRPr="00B013A7">
        <w:t>.</w:t>
      </w:r>
      <w:r w:rsidR="001E4492" w:rsidRPr="00B013A7">
        <w:tab/>
        <w:t>napominje da je trenutačni sustav upravljanja ljudskim resursima (portal HRM) i dalje nedovoljno integriran s drugim sustavima Parlamenta; prima na znanje da se za jednostavne postupke, kao što su zahtjevi za dopust, od akreditiranih parlamentarnih asistenata i dalje zahtijeva da preuzimaju, ispisuju, skeniraju i ručno prenose dokumente, dok se stanje preostalog dopusta mora provjeriti na zasebnoj platformi; naglašava da ti fragmentirani postupci stvaraju nepotrebno administrativno opterećenje i neučinkovitost radnih postupaka; poziva upravu da modernizira i pojednostavi te postupke te da osigura potpunu interoperabilnost između alata za upravljanje ljudskim resursima i drugih sustava Parlamenta;</w:t>
      </w:r>
    </w:p>
    <w:p w14:paraId="66752014" w14:textId="26051D78" w:rsidR="001E4492" w:rsidRPr="00B013A7" w:rsidRDefault="00AF3F3F" w:rsidP="001E4492">
      <w:pPr>
        <w:spacing w:after="240"/>
        <w:ind w:left="567" w:hanging="567"/>
      </w:pPr>
      <w:r>
        <w:rPr>
          <w14:textOutline w14:w="0" w14:cap="flat" w14:cmpd="sng" w14:algn="ctr">
            <w14:noFill/>
            <w14:prstDash w14:val="solid"/>
            <w14:bevel/>
          </w14:textOutline>
        </w:rPr>
        <w:t>115</w:t>
      </w:r>
      <w:r w:rsidR="001E4492" w:rsidRPr="00B013A7">
        <w:t>.</w:t>
      </w:r>
      <w:r w:rsidR="001E4492" w:rsidRPr="00B013A7">
        <w:rPr>
          <w14:textOutline w14:w="0" w14:cap="flat" w14:cmpd="sng" w14:algn="ctr">
            <w14:noFill/>
            <w14:prstDash w14:val="solid"/>
            <w14:bevel/>
          </w14:textOutline>
        </w:rPr>
        <w:tab/>
      </w:r>
      <w:r w:rsidR="001E4492" w:rsidRPr="00B013A7">
        <w:t xml:space="preserve">ističe da je potpora zastupnicima proširena kako bi uključivala vrijeme izvan radnog vremena i neradne dane; prima na znanje da je na temelju anketa među korisnicima i izravnih zahtjeva upravnih tijela uveden novi skup namjenskih usluga informatičke podrške za privatne uređaje zastupnika koji se koriste operativnim sustavima </w:t>
      </w:r>
      <w:proofErr w:type="spellStart"/>
      <w:r w:rsidR="001E4492" w:rsidRPr="00B013A7">
        <w:t>MacOS</w:t>
      </w:r>
      <w:proofErr w:type="spellEnd"/>
      <w:r w:rsidR="001E4492" w:rsidRPr="00B013A7">
        <w:t xml:space="preserve"> i </w:t>
      </w:r>
      <w:proofErr w:type="spellStart"/>
      <w:r w:rsidR="001E4492" w:rsidRPr="00B013A7">
        <w:t>iOS</w:t>
      </w:r>
      <w:proofErr w:type="spellEnd"/>
      <w:r w:rsidR="001E4492" w:rsidRPr="00B013A7">
        <w:t xml:space="preserve"> kako bi se odgovorilo na razvoj potreba zastupnika i radnih praksi; ističe da se promiče pružanje tehničke potpore za društvene medije, zajedno s cijelim nizom usluga povezanih s tehničkim aspektima audiovizualnog stvaralaštva;</w:t>
      </w:r>
    </w:p>
    <w:p w14:paraId="365C8CD0" w14:textId="2D4842C9" w:rsidR="001E4492" w:rsidRPr="00B013A7" w:rsidRDefault="00AF3F3F" w:rsidP="001E4492">
      <w:pPr>
        <w:pStyle w:val="NormalHanging12a"/>
      </w:pPr>
      <w:r>
        <w:t>116</w:t>
      </w:r>
      <w:r w:rsidR="001E4492" w:rsidRPr="00B013A7">
        <w:t>.</w:t>
      </w:r>
      <w:r w:rsidR="001E4492" w:rsidRPr="00B013A7">
        <w:tab/>
        <w:t>pozdravlja uspostavu novog okvira upravljanja umjetnom inteligencijom, s Upravnim odborom za umjetnu inteligenciju koji nadzire strategiju i plan Parlamenta za umjetnu inteligenciju te osigurava usklađenost s propisima i etički nadzor, upravljačkom skupinom među glavnim upravama za umjetnu inteligenciju odgovornom za izradu strategija umjetne inteligencije, razvoj ključnih sposobnosti i osiguravanje dugoročne sigurnosti i održivosti te Centrom stručnosti za umjetnu inteligenciju u okviru DG ITEC-a, koji vodi, promiče i prati inicijative u području umjetne inteligencije u cijelom Parlamentu; napominje da će se tim okvirom upravljanja osigurati transparentnost i usklađenost s Uredbom (EU) 2024/1689 Europskog parlamenta i Vijeća</w:t>
      </w:r>
      <w:r w:rsidR="001E4492" w:rsidRPr="00B013A7">
        <w:rPr>
          <w:vertAlign w:val="superscript"/>
        </w:rPr>
        <w:footnoteReference w:id="10"/>
      </w:r>
      <w:r w:rsidR="001E4492" w:rsidRPr="00B013A7">
        <w:t xml:space="preserve">, koja je stupila na snagu 1. kolovoza 2024., a njezine odredbe počet će se primjenjivati od 2025. nadalje; napominje da članovi osoblja Parlamenta mogu upotrebljavati javno dostupne alate generativne umjetne inteligencije trećih strana ako poštuju smjernice o uporabi javno dostupnih alata umjetne inteligencije za članove osoblja Parlamenta, koje je glavni tajnik odobrio 16. travnja 2024., pod strogim uvjetom da se upotrebljavaju samo za profesionalne dužnosti; poziva upravu da pojača napore u osposobljavanju osoblja za </w:t>
      </w:r>
      <w:r w:rsidR="001E4492" w:rsidRPr="00B013A7">
        <w:lastRenderedPageBreak/>
        <w:t>učinkovitu i sigurnu upotrebu novih tehnologija kao što je umjetna inteligencija;</w:t>
      </w:r>
    </w:p>
    <w:p w14:paraId="1792D078"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 xml:space="preserve">Horizontalna pitanja koja utječu na proračun Parlamenta za financijsku godinu 2024. </w:t>
      </w:r>
    </w:p>
    <w:p w14:paraId="76545B51" w14:textId="77777777" w:rsidR="001E4492" w:rsidRPr="00B013A7" w:rsidRDefault="001E4492" w:rsidP="001E4492">
      <w:pPr>
        <w:spacing w:after="240"/>
        <w:rPr>
          <w:b/>
          <w:bCs/>
        </w:rPr>
      </w:pPr>
      <w:bookmarkStart w:id="11" w:name="_Hlk216615789"/>
      <w:r w:rsidRPr="00B013A7">
        <w:rPr>
          <w:b/>
        </w:rPr>
        <w:t>Transparentnost i etika</w:t>
      </w:r>
    </w:p>
    <w:p w14:paraId="1D401675" w14:textId="4836E9B8" w:rsidR="001E4492" w:rsidRPr="000F18C0" w:rsidRDefault="00AF3F3F" w:rsidP="001E4492">
      <w:pPr>
        <w:spacing w:after="240"/>
        <w:ind w:left="567" w:hanging="567"/>
        <w:rPr>
          <w:bCs/>
          <w:iCs/>
        </w:rPr>
      </w:pPr>
      <w:r>
        <w:t>117</w:t>
      </w:r>
      <w:r w:rsidR="001E4492" w:rsidRPr="00B013A7">
        <w:t>.</w:t>
      </w:r>
      <w:r w:rsidR="001E4492" w:rsidRPr="00B013A7">
        <w:tab/>
        <w:t>napominje da je 2024. zaprimljeno šest prijava slučajeva od zviždača u skladu s internim pravilima o provedbi članka 22.c Pravilnika o osoblju, pet službenim kanalima i jedna od druge institucije Unije; napominje da je jedan predmet upućen EPPO-u, dva su dovela do administrativnih istraga, a jedan je poslan Savjetodavnom odboru za Kodeks ponašanja zastupnika, pri čemu je vanjskim izvješćem također pokrenuta istraga;</w:t>
      </w:r>
      <w:r w:rsidR="00FD37F9">
        <w:t xml:space="preserve"> </w:t>
      </w:r>
      <w:r w:rsidR="00FD37F9" w:rsidRPr="000F18C0">
        <w:rPr>
          <w:bCs/>
          <w:iCs/>
          <w:szCs w:val="24"/>
          <w:lang w:eastAsia="en-US"/>
        </w:rPr>
        <w:t>izražava zabrinutost zbog toga što je Sud 2024. u predmetu T-793/22 presudio da Europski parlament nije poduzeo sve potrebne mjere kako bi se osiguralo da zviždač ima uravnoteženu i učinkovitu zaštitu od svih oblika odmazde; napominje da je Sud također utvrdio da Parlament nije na odgovarajući način zaštitio tajnost identiteta zviždača; potiče Parlament da svoja interna pravila u potpunosti uskladi s Direktivom (EU) 2019/1937</w:t>
      </w:r>
      <w:r w:rsidR="00FD37F9">
        <w:rPr>
          <w:bCs/>
          <w:iCs/>
          <w:szCs w:val="24"/>
          <w:lang w:eastAsia="en-US"/>
        </w:rPr>
        <w:t>;</w:t>
      </w:r>
    </w:p>
    <w:bookmarkEnd w:id="11"/>
    <w:p w14:paraId="3EAA4CDD" w14:textId="0D70DCD1" w:rsidR="001E4492" w:rsidRPr="00B013A7" w:rsidRDefault="00AF3F3F" w:rsidP="001E4492">
      <w:pPr>
        <w:pStyle w:val="NormalHanging12a"/>
      </w:pPr>
      <w:r>
        <w:t>118</w:t>
      </w:r>
      <w:r w:rsidR="001E4492" w:rsidRPr="00B013A7">
        <w:t>.</w:t>
      </w:r>
      <w:r w:rsidR="001E4492" w:rsidRPr="00B013A7">
        <w:tab/>
        <w:t>pozdravlja činjenicu da je osposobljavanje u području etike i dalje prioritet i da je na samo 13 predavanja „</w:t>
      </w:r>
      <w:proofErr w:type="spellStart"/>
      <w:r w:rsidR="001E4492" w:rsidRPr="00B013A7">
        <w:t>Let’s</w:t>
      </w:r>
      <w:proofErr w:type="spellEnd"/>
      <w:r w:rsidR="001E4492" w:rsidRPr="00B013A7">
        <w:t xml:space="preserve"> Talk </w:t>
      </w:r>
      <w:proofErr w:type="spellStart"/>
      <w:r w:rsidR="001E4492" w:rsidRPr="00B013A7">
        <w:t>Ethics</w:t>
      </w:r>
      <w:proofErr w:type="spellEnd"/>
      <w:r w:rsidR="001E4492" w:rsidRPr="00B013A7">
        <w:t>” osposobljeno 178 članova osoblja, broj sudionika prilagođenih tečajeva dosegao je 109 sudionika, a stopa završetka obveznog uvoda za akreditirane parlamentarne asistente dosegla je 72 %; pozdravlja činjenicu da je novim tečajem za rukovoditelje o etičkom vodstvu i sprečavanju uznemiravanja pruženo osposobljavanje za 320 rukovoditelja na 33 tečaja;</w:t>
      </w:r>
    </w:p>
    <w:p w14:paraId="26538344" w14:textId="3DD3FC0B" w:rsidR="001E4492" w:rsidRPr="00B013A7" w:rsidRDefault="00AF3F3F" w:rsidP="001E4492">
      <w:pPr>
        <w:pStyle w:val="NormalHanging12a"/>
      </w:pPr>
      <w:r>
        <w:t>119</w:t>
      </w:r>
      <w:r w:rsidR="001E4492" w:rsidRPr="00B013A7">
        <w:t>.</w:t>
      </w:r>
      <w:r w:rsidR="001E4492" w:rsidRPr="00B013A7">
        <w:tab/>
        <w:t>ustraje u tome da se ojačaju mjere transparentnosti, odgovornosti i etičkog upravljanja; smatra da Parlament mora zajamčiti kulturu integriteta uključivanjem etičkih standarda u svakodnevne operacije kako se ne bi naškodilo povjerenju građana i kako bi se ojačala njegova legitimnost u području nadzora; poziva na nastavak i jačanje suradnje i dijaloga o integritetu, transparentnosti i pravilima ponašanja u institucijama Unije;</w:t>
      </w:r>
    </w:p>
    <w:p w14:paraId="6CDF9E65" w14:textId="0878FBBB" w:rsidR="001E4492" w:rsidRDefault="00AF3F3F" w:rsidP="001E4492">
      <w:pPr>
        <w:pStyle w:val="NormalHanging12a"/>
      </w:pPr>
      <w:r>
        <w:t>120</w:t>
      </w:r>
      <w:r w:rsidR="001E4492" w:rsidRPr="00B013A7">
        <w:t>.</w:t>
      </w:r>
      <w:r w:rsidR="001E4492" w:rsidRPr="00B013A7">
        <w:tab/>
        <w:t>prima na znanje pozitivnu ocjenu tehničke provedbe Kodeksa ponašanja zastupnika u Europskom parlamentu u pogledu integriteta i transparentnosti, kako je prijavljeno Predsjedništvu; poziva na ulaganje dodatnih napora u povećanje transparentnosti u svim sektorima i službama Parlamenta, s posebnim naglaskom na izradi zakonodavstva; u tom pogledu poziva upravu Parlamenta da uvođenje obveza transparentnosti ne ograničava na upravljačku razinu;</w:t>
      </w:r>
    </w:p>
    <w:p w14:paraId="54AD354F" w14:textId="03B0E9AE" w:rsidR="00FD37F9" w:rsidRPr="00FD37F9" w:rsidRDefault="00AF3F3F" w:rsidP="001E4492">
      <w:pPr>
        <w:pStyle w:val="NormalHanging12a"/>
        <w:rPr>
          <w:bCs/>
          <w:iCs/>
        </w:rPr>
      </w:pPr>
      <w:r>
        <w:rPr>
          <w:bCs/>
          <w:iCs/>
          <w:szCs w:val="24"/>
          <w:lang w:eastAsia="en-US"/>
        </w:rPr>
        <w:t>121</w:t>
      </w:r>
      <w:r w:rsidR="00FD37F9">
        <w:rPr>
          <w:bCs/>
          <w:iCs/>
          <w:szCs w:val="24"/>
          <w:lang w:eastAsia="en-US"/>
        </w:rPr>
        <w:t>.</w:t>
      </w:r>
      <w:r w:rsidR="00FD37F9" w:rsidRPr="00FD37F9">
        <w:rPr>
          <w:bCs/>
          <w:iCs/>
          <w:szCs w:val="24"/>
          <w:lang w:eastAsia="en-US"/>
        </w:rPr>
        <w:tab/>
      </w:r>
      <w:r w:rsidR="00FD37F9" w:rsidRPr="000F18C0">
        <w:rPr>
          <w:bCs/>
          <w:iCs/>
          <w:szCs w:val="24"/>
          <w:lang w:eastAsia="en-US"/>
        </w:rPr>
        <w:t>podsjeća da se pravilima zastupnicima zabranjuje sudjelovanje u plaćenim aktivnostima lobiranja koje su izravno povezane s postupkom donošenja odluka Unije; ističe da obnašanje plaćenih položaja u organizacijama obuhvaćenima područjem primjene registra transparentnosti, uz istodobno obnašanje parlamentarnih funkcija u istom području politike ili sudjelovanje u povezanim kontaktima s Komisijom ili Vijećem, nije u skladu s tim pravilima; poziva na propisno ispitivanje takvih situacija i, ako se utvrde kršenja, na primjenu proporcionalnih sankcija;</w:t>
      </w:r>
    </w:p>
    <w:p w14:paraId="59CC6899" w14:textId="77777777" w:rsidR="001E4492" w:rsidRPr="00B013A7" w:rsidRDefault="001E4492" w:rsidP="001E4492">
      <w:pPr>
        <w:pStyle w:val="NormalHanging12a"/>
        <w:rPr>
          <w:bCs/>
          <w:iCs/>
        </w:rPr>
      </w:pPr>
      <w:r w:rsidRPr="00B013A7">
        <w:t>122.</w:t>
      </w:r>
      <w:r w:rsidRPr="00B013A7">
        <w:tab/>
        <w:t xml:space="preserve">pozdravlja povećanu upotrebu registra transparentnosti kao informativnog i referentnog alata za aktivnosti zastupanja interesa na razini Unije; pozdravlja razvoj informatičkih rješenja za poboljšanje registra transparentnosti, ali napominje da njegovo tajništvo i dalje nema dovoljno sredstava i osoblja; konstatira da se kvaliteta unosa u registar transparentnosti poboljšala i podsjeća na potrebu za jačanjem provjera kvalitete </w:t>
      </w:r>
      <w:r w:rsidRPr="00B013A7">
        <w:lastRenderedPageBreak/>
        <w:t xml:space="preserve">podataka novih podnositelja; pozdravlja uspostavu čvrstih standarda Parlamenta o transparentnosti i pristupu institucijama za subjekte uvrštene u registar transparentnosti; poziva na međusobno povezivanje registra transparentnosti i sustava financijske transparentnosti kako bi se omogućile unakrsne provjere subjekata navedenih u registru transparentnosti i provjerila primjerenost dostavljenih podataka; u tom kontekstu ponavlja potrebu za sveobuhvatnom prethodnom financijskom provjerom svih subjekata prije njihova upisa u registar transparentnosti i u tom pogledu poziva da se osiguraju odgovarajuća sredstva za funkcioniranje registra transparentnosti te da se učinkovito provode unutarnja pravila povezana s registrom transparentnosti; nadalje, poziva upravu Parlamenta da osigura </w:t>
      </w:r>
      <w:proofErr w:type="spellStart"/>
      <w:r w:rsidRPr="00B013A7">
        <w:t>međuinstitucijsku</w:t>
      </w:r>
      <w:proofErr w:type="spellEnd"/>
      <w:r w:rsidRPr="00B013A7">
        <w:t xml:space="preserve"> transparentnost medija i da otkrije sve medijske kuće koje primaju sredstva Unije;</w:t>
      </w:r>
    </w:p>
    <w:p w14:paraId="11D5A29B" w14:textId="77777777" w:rsidR="001E4492" w:rsidRPr="00B013A7" w:rsidRDefault="001E4492" w:rsidP="001E4492">
      <w:pPr>
        <w:spacing w:after="240"/>
        <w:ind w:left="567" w:hanging="567"/>
      </w:pPr>
      <w:r w:rsidRPr="00B013A7">
        <w:t>123.</w:t>
      </w:r>
      <w:r w:rsidRPr="00B013A7">
        <w:tab/>
        <w:t>poziva Revizorski sud da posebno ispita financiranje medija;</w:t>
      </w:r>
    </w:p>
    <w:p w14:paraId="4BCBD2CC" w14:textId="77777777" w:rsidR="001E4492" w:rsidRPr="00B013A7" w:rsidRDefault="001E4492" w:rsidP="001E4492">
      <w:pPr>
        <w:spacing w:after="240"/>
        <w:rPr>
          <w:b/>
          <w:bCs/>
        </w:rPr>
      </w:pPr>
      <w:r w:rsidRPr="00B013A7">
        <w:rPr>
          <w:b/>
        </w:rPr>
        <w:t>Digitalizacija, kibernetička sigurnost i umjetna inteligencija</w:t>
      </w:r>
    </w:p>
    <w:p w14:paraId="6562C8AE" w14:textId="77777777" w:rsidR="001E4492" w:rsidRPr="00B013A7" w:rsidRDefault="001E4492" w:rsidP="001E4492">
      <w:pPr>
        <w:spacing w:after="240"/>
        <w:ind w:left="567" w:hanging="567"/>
        <w:rPr>
          <w:b/>
          <w:bCs/>
        </w:rPr>
      </w:pPr>
      <w:r w:rsidRPr="00B013A7">
        <w:t>124.</w:t>
      </w:r>
      <w:r w:rsidRPr="00B013A7">
        <w:tab/>
        <w:t>poziva Parlament da nastavi jačati svoje napore i rješavati konkretne ključne izazove kao što su kibernetička sigurnost i umjetna inteligencija;</w:t>
      </w:r>
    </w:p>
    <w:p w14:paraId="19B99C9F" w14:textId="77777777" w:rsidR="001E4492" w:rsidRPr="00B013A7" w:rsidRDefault="001E4492" w:rsidP="001E4492">
      <w:pPr>
        <w:spacing w:after="240"/>
        <w:ind w:left="567" w:hanging="567"/>
      </w:pPr>
      <w:r w:rsidRPr="00B013A7">
        <w:t>125.</w:t>
      </w:r>
      <w:r w:rsidRPr="00B013A7">
        <w:tab/>
        <w:t>podsjeća da je Predsjedništvo u ožujku 2024. uspostavilo okvir za upravljanje umjetnom inteligencijom; ističe hitnu potrebu za donošenjem sveobuhvatne strategije i plana za umjetnu inteligenciju, uključujući prijedlog akcijskog plana;</w:t>
      </w:r>
    </w:p>
    <w:p w14:paraId="00BA3856" w14:textId="77777777" w:rsidR="001E4492" w:rsidRPr="00B013A7" w:rsidRDefault="001E4492" w:rsidP="001E4492">
      <w:pPr>
        <w:pStyle w:val="NormalHanging12a"/>
      </w:pPr>
      <w:r w:rsidRPr="00B013A7">
        <w:t>126.</w:t>
      </w:r>
      <w:r w:rsidRPr="00B013A7">
        <w:tab/>
        <w:t>napominje da napreduje rad na internoj platformi Parlamenta posvećenoj generativnoj umjetnoj inteligenciji; ponavlja da je ta platforma ključan element za usklađenu i sigurnu provedbu projekata umjetne inteligencije, posebno za potporu zastupnicima u njihovim aktivnostima;</w:t>
      </w:r>
    </w:p>
    <w:p w14:paraId="030FF40B" w14:textId="77777777" w:rsidR="001E4492" w:rsidRPr="00B013A7" w:rsidRDefault="001E4492" w:rsidP="001E4492">
      <w:pPr>
        <w:spacing w:after="240"/>
        <w:ind w:left="567" w:hanging="567"/>
      </w:pPr>
      <w:r w:rsidRPr="00B013A7">
        <w:t>127.</w:t>
      </w:r>
      <w:r w:rsidRPr="00B013A7">
        <w:tab/>
        <w:t>poziva upravu Parlamenta da osigura da se projekti umjetne inteligencije provode u potpunosti u skladu sa zahtjevima upravljanja, uz istodobno pružanje pristupa na način kojim se štite osjetljivi podaci i omogućuje uporaba javno dostupnih informacija;</w:t>
      </w:r>
    </w:p>
    <w:p w14:paraId="1611F156" w14:textId="77777777" w:rsidR="001E4492" w:rsidRPr="00B013A7" w:rsidRDefault="001E4492" w:rsidP="001E4492">
      <w:pPr>
        <w:pStyle w:val="NormalHanging12a"/>
        <w:rPr>
          <w:bCs/>
          <w:iCs/>
        </w:rPr>
      </w:pPr>
      <w:r w:rsidRPr="00B013A7">
        <w:t>128.</w:t>
      </w:r>
      <w:r w:rsidRPr="00B013A7">
        <w:tab/>
        <w:t xml:space="preserve">poziva upravu Parlamenta da ojača transparentnost i dostupnost parlamentarnog rada osiguravanjem sustavne dostupnosti digitalnih, </w:t>
      </w:r>
      <w:proofErr w:type="spellStart"/>
      <w:r w:rsidRPr="00B013A7">
        <w:t>pretraživih</w:t>
      </w:r>
      <w:proofErr w:type="spellEnd"/>
      <w:r w:rsidRPr="00B013A7">
        <w:t xml:space="preserve"> i ponovno upotrebljivih prijepisa svih rasprava odbora, uključujući razmjene s povjerenicima, stručnjacima i dionicima; naglašava da bi takvi prijepisi trebali biti pravodobno dostupni; ističe da bi bolji pristup raspravama odbora poboljšao demokratski nadzor, institucionalno pamćenje i razumijevanje građana o zakonodavnom radu Parlamenta;</w:t>
      </w:r>
    </w:p>
    <w:p w14:paraId="49643D14" w14:textId="77777777" w:rsidR="001E4492" w:rsidRPr="00B013A7" w:rsidRDefault="001E4492" w:rsidP="001E4492">
      <w:pPr>
        <w:pStyle w:val="NormalHanging12a"/>
        <w:rPr>
          <w:bCs/>
          <w:iCs/>
        </w:rPr>
      </w:pPr>
      <w:r w:rsidRPr="00B013A7">
        <w:t>129.</w:t>
      </w:r>
      <w:r w:rsidRPr="00B013A7">
        <w:tab/>
        <w:t>prima na znanje znatna poboljšanja internetske stranice plenarne sjednice, uključujući poboljšanu dostupnost alata za provjeru poimeničnog glasovanja, koji su doprinijeli većoj transparentnosti i točnosti zapisnika o parlamentarnom glasovanju; ipak poziva na daljnja poboljšanja upotrebljivosti i prikaza informacija povezanih s glasovanjem;</w:t>
      </w:r>
    </w:p>
    <w:p w14:paraId="258808BD" w14:textId="77777777" w:rsidR="001E4492" w:rsidRPr="00B013A7" w:rsidRDefault="001E4492" w:rsidP="001E4492">
      <w:pPr>
        <w:spacing w:after="240"/>
        <w:rPr>
          <w:b/>
          <w:bCs/>
        </w:rPr>
      </w:pPr>
      <w:r w:rsidRPr="00B013A7">
        <w:rPr>
          <w:b/>
        </w:rPr>
        <w:t>Dobrovoljni mirovinski fond</w:t>
      </w:r>
    </w:p>
    <w:p w14:paraId="6EC3FBFF" w14:textId="77777777" w:rsidR="001E4492" w:rsidRPr="00B013A7" w:rsidRDefault="001E4492" w:rsidP="001E4492">
      <w:pPr>
        <w:pStyle w:val="NormalHanging12a"/>
      </w:pPr>
      <w:r w:rsidRPr="00B013A7">
        <w:t>130.</w:t>
      </w:r>
      <w:r w:rsidRPr="00B013A7">
        <w:tab/>
        <w:t>prima na znanje nedovoljno financiranje dobrovoljnog mirovinskog sustava, s deficitom od 105 milijuna EUR na kraju 2024. i ograničenom imovinom od 23,17 milijuna EUR za koju se predviđa da će biti iscrpljena do kraja 2026.; napominje da obveze proizlaze iz pravnih obveza plaćanja za više od 900 članova do najmanje 2074.;</w:t>
      </w:r>
    </w:p>
    <w:p w14:paraId="6FA74E75" w14:textId="77777777" w:rsidR="001E4492" w:rsidRPr="00B013A7" w:rsidRDefault="001E4492" w:rsidP="001E4492">
      <w:pPr>
        <w:spacing w:after="240"/>
        <w:ind w:left="567" w:hanging="567"/>
      </w:pPr>
      <w:r w:rsidRPr="00B013A7">
        <w:t>131.</w:t>
      </w:r>
      <w:r w:rsidRPr="00B013A7">
        <w:tab/>
        <w:t xml:space="preserve">napominje da je Predsjedništvo na svojoj sjednici 12. lipnja 2023. donijelo odluku o </w:t>
      </w:r>
      <w:r w:rsidRPr="00B013A7">
        <w:lastRenderedPageBreak/>
        <w:t xml:space="preserve">kombinaciji mjera u cilju izmjene uvjeta dobrovoljnog mirovinskog sustava kako bi se riješila situacija; ističe da te mjere uključuju 50-postotno smanjenje nominalne mirovine ne samo za buduće korisnike koji su u procesu stjecanja mirovinskih prava nego i za sadašnje korisnike koji su već stekli pravo na isplatu mirovine, zamrzavanje godišnje </w:t>
      </w:r>
      <w:proofErr w:type="spellStart"/>
      <w:r w:rsidRPr="00B013A7">
        <w:t>indeksacije</w:t>
      </w:r>
      <w:proofErr w:type="spellEnd"/>
      <w:r w:rsidRPr="00B013A7">
        <w:t xml:space="preserve"> iznosa mirovine i povećanje dobi za umirovljenje sa 65 na 67 godina za korisnike koji još nisu dosegnuli dob za umirovljenje; ističe da su aktuari procijenili učinke smanjenja mirovinske obveze u okviru dobrovoljne mirovine od 1. srpnja 2023., uz </w:t>
      </w:r>
      <w:proofErr w:type="spellStart"/>
      <w:r w:rsidRPr="00B013A7">
        <w:t>aktuarsku</w:t>
      </w:r>
      <w:proofErr w:type="spellEnd"/>
      <w:r w:rsidRPr="00B013A7">
        <w:t xml:space="preserve"> pretpostavku 1. srpnja 2023.;</w:t>
      </w:r>
    </w:p>
    <w:p w14:paraId="0079E335" w14:textId="77777777" w:rsidR="001E4492" w:rsidRPr="00B013A7" w:rsidRDefault="001E4492" w:rsidP="001E4492">
      <w:pPr>
        <w:spacing w:after="240"/>
        <w:ind w:left="567" w:hanging="567"/>
      </w:pPr>
      <w:r w:rsidRPr="00B013A7">
        <w:t>132.</w:t>
      </w:r>
      <w:r w:rsidRPr="00B013A7">
        <w:tab/>
        <w:t>napominje da je Predsjedništvo također uvelo „klauzulu za ublažavanje ekonomskih teškoća” zahvaljujući kojoj korisnici mogu kvestorima podnijeti zahtjev za povećanje iznosa mirovine u slučajevima kada je smanjenje veliko; napominje da je Predsjedništvo također uvelo mogućnost dobrovoljnog i konačnog povlačenja iz dobrovoljnog mirovinskog sustava uz isplatu jednokratnog konačnog paušalnog iznosa;</w:t>
      </w:r>
    </w:p>
    <w:p w14:paraId="5F0E0FBD" w14:textId="77777777" w:rsidR="001E4492" w:rsidRPr="00B013A7" w:rsidRDefault="001E4492" w:rsidP="001E4492">
      <w:pPr>
        <w:pStyle w:val="NormalHanging12a"/>
      </w:pPr>
      <w:r w:rsidRPr="00B013A7">
        <w:t>133.</w:t>
      </w:r>
      <w:r w:rsidRPr="00B013A7">
        <w:tab/>
        <w:t>napominje da je 405 korisnika dobrovoljnog mirovinskog sustava dovelo u pitanje odluku Predsjedništva od 12. lipnja 2023.</w:t>
      </w:r>
      <w:r w:rsidRPr="00B013A7">
        <w:rPr>
          <w:vertAlign w:val="superscript"/>
        </w:rPr>
        <w:footnoteReference w:id="11"/>
      </w:r>
      <w:r w:rsidRPr="00B013A7">
        <w:t xml:space="preserve"> pred Općim sudom; podsjeća na primjedbe koje je glavni tajnik iznio na saslušanju 8. prosinca u očekivanju presude Općeg suda Europske unije i mogućih smjerova djelovanja; napominje da je Opći sud 17. prosinca 2025. odlučio odbiti tužbe bivših zastupnika; traži od uprave i Predsjedništva da se pozabave tim pitanjem i poduzmu potrebne mjere kako bi postupili u skladu s presudom Općeg suda;</w:t>
      </w:r>
    </w:p>
    <w:p w14:paraId="397EBB4D" w14:textId="77777777" w:rsidR="001E4492" w:rsidRPr="00B013A7" w:rsidRDefault="001E4492" w:rsidP="001E4492">
      <w:pPr>
        <w:spacing w:after="240"/>
        <w:ind w:left="567" w:hanging="567"/>
        <w:rPr>
          <w:b/>
          <w:bCs/>
          <w14:textOutline w14:w="0" w14:cap="flat" w14:cmpd="sng" w14:algn="ctr">
            <w14:noFill/>
            <w14:prstDash w14:val="solid"/>
            <w14:bevel/>
          </w14:textOutline>
        </w:rPr>
      </w:pPr>
      <w:r w:rsidRPr="00B013A7">
        <w:rPr>
          <w:b/>
          <w14:textOutline w14:w="0" w14:cap="flat" w14:cmpd="sng" w14:algn="ctr">
            <w14:noFill/>
            <w14:prstDash w14:val="solid"/>
            <w14:bevel/>
          </w14:textOutline>
        </w:rPr>
        <w:t>Godišnja izvješća o dodijeljenim ugovorima</w:t>
      </w:r>
    </w:p>
    <w:p w14:paraId="4DE43EA8" w14:textId="77777777" w:rsidR="001E4492" w:rsidRPr="00B013A7" w:rsidRDefault="001E4492" w:rsidP="001E4492">
      <w:pPr>
        <w:spacing w:after="240"/>
        <w:ind w:left="567" w:hanging="567"/>
      </w:pPr>
      <w:r w:rsidRPr="00B013A7">
        <w:t>134.</w:t>
      </w:r>
      <w:r w:rsidRPr="00B013A7">
        <w:tab/>
        <w:t>podsjeća da su Financijskom uredbom utvrđene informacije o dodjeli ugovora od strane Parlamenta koje treba dostaviti proračunskom tijelu i dati na uvid javnosti; napominje da se dodijeljeni ugovori u vrijednosti većoj od 15 000 EUR, što je iznos koji odgovara pragu iznad kojeg postupak nadmetanja u javnoj nabavi postaje obvezan, u skladu s Financijskom uredbom moraju objaviti; napominje da su 2024. dodijeljena ukupno 192 ugovora, od čega 95 na temelju otvorenog postupka, u vrijednosti od 814,2 milijuna EUR, a tri na temelju ograničenog postupka, u vrijednosti od 208 000 EUR; napominje da je 81 ugovor dodijeljen na temelju pregovaračkog postupka, u vrijednosti od 173 milijuna EUR;</w:t>
      </w:r>
    </w:p>
    <w:p w14:paraId="48448A06" w14:textId="77777777" w:rsidR="001E4492" w:rsidRPr="00B013A7" w:rsidRDefault="001E4492" w:rsidP="001E4492">
      <w:pPr>
        <w:pStyle w:val="NormalHanging12a"/>
        <w:rPr>
          <w:bCs/>
          <w:iCs/>
        </w:rPr>
      </w:pPr>
      <w:r w:rsidRPr="00B013A7">
        <w:t>135.</w:t>
      </w:r>
      <w:r w:rsidRPr="00B013A7">
        <w:tab/>
        <w:t>pozdravlja činjenicu da je Parlament objavio ugovore u vrijednosti većoj od 15 000 EUR; poziva Parlament da poveća transparentnost svojih postupaka javne nabave, među ostalim objavljivanjem strukturiranih strojno čitljivih podataka kad god je to pravno i tehnički izvedivo te integriranjem jasnih očekivanja u pogledu dužne pažnje i provedbenih mehanizama u svoje lance opskrbe upravljanjem ugovorima;</w:t>
      </w:r>
    </w:p>
    <w:p w14:paraId="086FDD9A" w14:textId="77777777" w:rsidR="001E4492" w:rsidRPr="00B013A7" w:rsidRDefault="001E4492" w:rsidP="001E4492">
      <w:pPr>
        <w:spacing w:after="240"/>
        <w:ind w:left="567" w:hanging="567"/>
      </w:pPr>
      <w:r w:rsidRPr="00B013A7">
        <w:t>136.</w:t>
      </w:r>
      <w:r w:rsidRPr="00B013A7">
        <w:tab/>
        <w:t>napominje da se ukupni broj i vrijednost dodijeljenih ugovora 2024. smanjio (192 ugovora) u odnosu na 2023. (242 ugovora); napominje da su stoga broj otvorenih i pregovaračkih postupaka i njihove vrijednosti veći nego 2023.;</w:t>
      </w:r>
    </w:p>
    <w:p w14:paraId="4695131E" w14:textId="77777777" w:rsidR="001E4492" w:rsidRPr="00B013A7" w:rsidRDefault="001E4492" w:rsidP="001E4492">
      <w:pPr>
        <w:spacing w:before="240" w:after="240"/>
        <w:rPr>
          <w:b/>
          <w:bCs/>
          <w14:textOutline w14:w="0" w14:cap="flat" w14:cmpd="sng" w14:algn="ctr">
            <w14:noFill/>
            <w14:prstDash w14:val="solid"/>
            <w14:bevel/>
          </w14:textOutline>
        </w:rPr>
      </w:pPr>
      <w:bookmarkStart w:id="12" w:name="_Hlk216793763"/>
      <w:r w:rsidRPr="00B013A7">
        <w:rPr>
          <w:b/>
          <w14:textOutline w14:w="0" w14:cap="flat" w14:cmpd="sng" w14:algn="ctr">
            <w14:noFill/>
            <w14:prstDash w14:val="solid"/>
            <w14:bevel/>
          </w14:textOutline>
        </w:rPr>
        <w:t>Klubovi zastupnika (proračunska stavka 400)</w:t>
      </w:r>
    </w:p>
    <w:p w14:paraId="600B4C40" w14:textId="77777777" w:rsidR="001E4492" w:rsidRPr="00B013A7" w:rsidRDefault="001E4492" w:rsidP="001E4492">
      <w:pPr>
        <w:pStyle w:val="NormalHanging12a"/>
      </w:pPr>
      <w:r w:rsidRPr="00B013A7">
        <w:t>137.</w:t>
      </w:r>
      <w:r w:rsidRPr="00B013A7">
        <w:tab/>
        <w:t xml:space="preserve">napominje da je 2024. bila izazovna godina za prikazivanje rashoda iz proračunske </w:t>
      </w:r>
      <w:r w:rsidRPr="00B013A7">
        <w:lastRenderedPageBreak/>
        <w:t>stavke 400 zbog dvaju razloga, od kojih je prvi činjenica da je to bila godina europskih izbora, pri čemu su rashodi podijeljeni između prve polovice 2024. (deveti parlamentarni saziv) i druge polovice 2024. (deseti parlamentarni saziv), a drugi činjenica da je završna računovodstvena dokumentacija jednog od klubova zastupnika (Identitet i demokracija) koja je revidirana za prvu polovicu 2024. sadržavala ozbiljne nepravilnosti; napominje da su potpredsjednici na saslušanju 8. prosinca također naveli da su zatražene dodatne informacije u vezi s računovodstvenom dokumentacijom za drugu polovinu 2024., koje Predsjedništvo još uvijek čeka prije donošenja odluke o pružanju informacija tijelu nadležnom za davanje razrješnice; prima na znanje pismo glavnog tajnika Parlamenta od 20. siječnja 2026. upućeno predsjedniku Odbora Parlamenta za proračunski nadzor u kojem se podnose revizijska izvješća za drugu polovicu 2024. za sedam od osam klubova zastupnika; prima na znanje bezuvjetno mišljenje za svako izvješće; napominje da još uvijek nedostaje izvješće Kluba zastupnika Patrioti za Europu za drugu polovicu 2024. zbog tekućih razmjena između tog kluba zastupnika i nadležnih službi Parlamenta; poziva i Klub zastupnika Patrioti za Europu i nadležne službe Parlamenta da brzo riješe otvorena pitanja i o ishodu obavijeste tijelo nadležno za davanje razrješnice;</w:t>
      </w:r>
    </w:p>
    <w:p w14:paraId="2C7911BC" w14:textId="77777777" w:rsidR="001E4492" w:rsidRPr="00B013A7" w:rsidRDefault="001E4492" w:rsidP="001E4492">
      <w:pPr>
        <w:pStyle w:val="NormalHanging12a"/>
      </w:pPr>
      <w:r w:rsidRPr="00B013A7">
        <w:t>138.</w:t>
      </w:r>
      <w:r w:rsidRPr="00B013A7">
        <w:tab/>
        <w:t>prima na znanje medijska izvješća u kojima se Klub zastupnika Patrioti za Europu optužuje za zlouporabu sredstava u iznosu od najmanje 171 644 EUR tijekom druge polovine 2024.; napominje da je uprava Parlamenta zatražila pojašnjenje od Kluba zastupnika Patrioti za Europu; napominje da tijelo nadležno za davanje razrješnice još nije obaviješteno o tome, no očekuje da će bez odgode biti obaviješteno o svakom daljnjem razvoju događaja i ishodu administrativnog daljnjeg postupanja u vezi s tim pitanjem;</w:t>
      </w:r>
    </w:p>
    <w:p w14:paraId="3BAA3502" w14:textId="77777777" w:rsidR="001E4492" w:rsidRPr="00B013A7" w:rsidRDefault="001E4492" w:rsidP="001E4492">
      <w:pPr>
        <w:pStyle w:val="NormalHanging12a"/>
        <w:rPr>
          <w:bCs/>
          <w:iCs/>
        </w:rPr>
      </w:pPr>
      <w:r w:rsidRPr="00B013A7">
        <w:t>139.</w:t>
      </w:r>
      <w:r w:rsidRPr="00B013A7">
        <w:tab/>
        <w:t xml:space="preserve">prima na znanje navode njemačkog časopisa </w:t>
      </w:r>
      <w:r w:rsidRPr="00B013A7">
        <w:rPr>
          <w:i/>
          <w:iCs/>
        </w:rPr>
        <w:t>Stern</w:t>
      </w:r>
      <w:r w:rsidRPr="00B013A7">
        <w:t xml:space="preserve"> prema kojima je član Kluba zastupnika Europa suverenih nacija organizirao grupni kongres koji je uključivao osoblje i članove obitelji, s mogućim troškovima na teret proračuna Parlamenta pod stavkom 400, te da su tijekom tog događanja navodno prikupljane donacije za mrežu desničarki povezanu s članovima uže obitelji i osobljem članova Kluba zastupnika Europa suverenih nacija; podsjeća da rashodi u okviru proračunske stavke 400 moraju biti strogo ograničeni na parlamentarne aktivnosti klubova zastupnika i u potpunosti u skladu s primjenjivim pravilima; potiče DG FINS da istraži taj slučaj i bez odgode obavijesti tijelo nadležno za davanje razrješnice ako se otkrije bilo kakva neusklađenost;</w:t>
      </w:r>
    </w:p>
    <w:p w14:paraId="0BC07428" w14:textId="77777777" w:rsidR="001E4492" w:rsidRPr="00B013A7" w:rsidRDefault="001E4492" w:rsidP="001E4492">
      <w:pPr>
        <w:pStyle w:val="NormalHanging12a"/>
      </w:pPr>
      <w:r w:rsidRPr="00B013A7">
        <w:t>140.</w:t>
      </w:r>
      <w:r w:rsidRPr="00B013A7">
        <w:tab/>
        <w:t>podsjeća na isključivu financijsku odgovornost povjerenu klubovima zastupnika i njihovu predanost osiguravanju dobrog financijskog upravljanja, učinkovitih kontrola i potpune odgovornosti za javna sredstva; poziva na odgovarajuće mehanizme nadzora unutar DG FINS-a stavljanjem na raspolaganje više sredstava;</w:t>
      </w:r>
    </w:p>
    <w:p w14:paraId="7134E19E" w14:textId="77777777" w:rsidR="001E4492" w:rsidRPr="00B013A7" w:rsidRDefault="001E4492" w:rsidP="001E4492">
      <w:pPr>
        <w:spacing w:after="240"/>
        <w:rPr>
          <w:b/>
          <w:bCs/>
          <w:i/>
          <w:iCs/>
          <w14:textOutline w14:w="0" w14:cap="flat" w14:cmpd="sng" w14:algn="ctr">
            <w14:noFill/>
            <w14:prstDash w14:val="solid"/>
            <w14:bevel/>
          </w14:textOutline>
        </w:rPr>
      </w:pPr>
      <w:r w:rsidRPr="00B013A7">
        <w:rPr>
          <w:b/>
          <w:i/>
          <w14:textOutline w14:w="0" w14:cap="flat" w14:cmpd="sng" w14:algn="ctr">
            <w14:noFill/>
            <w14:prstDash w14:val="solid"/>
            <w14:bevel/>
          </w14:textOutline>
        </w:rPr>
        <w:t>Europske političke stranke i europske političke zaklade</w:t>
      </w:r>
    </w:p>
    <w:p w14:paraId="14C0685B" w14:textId="77777777" w:rsidR="001E4492" w:rsidRPr="00B013A7" w:rsidRDefault="001E4492" w:rsidP="001E4492">
      <w:pPr>
        <w:spacing w:after="240"/>
        <w:ind w:left="567" w:hanging="567"/>
        <w:rPr>
          <w:noProof/>
        </w:rPr>
      </w:pPr>
      <w:r w:rsidRPr="00B013A7">
        <w:t>141.</w:t>
      </w:r>
      <w:r w:rsidRPr="00B013A7">
        <w:tab/>
        <w:t>ističe da su očuvanje demokratskog integriteta i uspostava pravednog okruženja za europske političke stranke i europske političke zaklade ključni za uspješno funkcioniranje i vjerodostojnost Unije; napominje da je Tijelo za europske političke stranke i europske političke zaklade („Tijelo”), neovisno tijelo Unije, aktivno uključeno u taj pothvat od svojeg osnivanja 1. rujna 2016., odnosno od 1. siječnja 2017., kada je dostiglo svoj puni operativni status; napominje da je zakonodavac Unije zadužio Tijelo za registraciju, praćenje usklađenosti i, prema potrebi, izricanje sankcija europskim političkim strankama i europskim političkim zakladama;</w:t>
      </w:r>
    </w:p>
    <w:p w14:paraId="34702B93" w14:textId="77777777" w:rsidR="001E4492" w:rsidRPr="00B013A7" w:rsidRDefault="001E4492" w:rsidP="001E4492">
      <w:pPr>
        <w:spacing w:after="240"/>
        <w:ind w:left="567" w:hanging="567"/>
      </w:pPr>
      <w:r w:rsidRPr="00B013A7">
        <w:lastRenderedPageBreak/>
        <w:t>142.</w:t>
      </w:r>
      <w:r w:rsidRPr="00B013A7">
        <w:tab/>
        <w:t xml:space="preserve">sa zadovoljstvom primjećuje da Tijelo proaktivno komunicira i podiže razinu osviještenosti među mrežom tijela i institucija relevantnih za zajedničku obranu europske demokracije; posebno ističe da je Tijelo radilo s Parlamentom, koji je odgovoran za tajništvo Odbora neovisnih uglednih osoba, kako bi se maksimalno povećala </w:t>
      </w:r>
      <w:proofErr w:type="spellStart"/>
      <w:r w:rsidRPr="00B013A7">
        <w:t>postupovna</w:t>
      </w:r>
      <w:proofErr w:type="spellEnd"/>
      <w:r w:rsidRPr="00B013A7">
        <w:t xml:space="preserve"> učinkovitost; napominje da je suradnja u operativnim aspektima također ojačana s nekoliko drugih dionika Unije, uključujući Europsku službu za vanjsko djelovanje i Europski odbor za zaštitu podataka; napominje da je Tijelo ojačalo svoju suradnju s </w:t>
      </w:r>
      <w:proofErr w:type="spellStart"/>
      <w:r w:rsidRPr="00B013A7">
        <w:t>Europolom</w:t>
      </w:r>
      <w:proofErr w:type="spellEnd"/>
      <w:r w:rsidRPr="00B013A7">
        <w:t xml:space="preserve"> potpisivanjem Memoranduma o razumijevanju o strateškoj razmjeni informacija o nezakonitom uplitanju u demokraciju Unije omogućenom kibernetičkim tehnologijama;</w:t>
      </w:r>
    </w:p>
    <w:p w14:paraId="4E4468F0" w14:textId="77777777" w:rsidR="001E4492" w:rsidRPr="00B013A7" w:rsidRDefault="001E4492" w:rsidP="001E4492">
      <w:pPr>
        <w:spacing w:after="240"/>
        <w:ind w:left="567" w:hanging="567"/>
      </w:pPr>
      <w:r w:rsidRPr="00B013A7">
        <w:t>143.</w:t>
      </w:r>
      <w:r w:rsidRPr="00B013A7">
        <w:tab/>
        <w:t>napominje da je Tijelo 2024. europskim političkim strankama i zakladama izdalo nekoliko preventivnih preporuka o usklađenosti kako bi se uklonili rizici za usklađenost prije nego što se ostvare, posebno kako bi se poboljšali njihovi unutarnji procesi u području donacija, doprinosa i aktivnosti koje planiraju organizirati; pozdravlja činjenicu da je Tijelo na zahtjev pružilo smjernice u 11 slučajeva;</w:t>
      </w:r>
    </w:p>
    <w:p w14:paraId="317AA46B" w14:textId="77777777" w:rsidR="001E4492" w:rsidRPr="00B013A7" w:rsidRDefault="001E4492" w:rsidP="001E4492">
      <w:pPr>
        <w:spacing w:after="240"/>
        <w:ind w:left="567" w:hanging="567"/>
      </w:pPr>
      <w:r w:rsidRPr="00B013A7">
        <w:t>144.</w:t>
      </w:r>
      <w:r w:rsidRPr="00B013A7">
        <w:tab/>
        <w:t>napominje da je Tijelo u osam slučajeva europskim političkim strankama i europskim političkim zakladama pružilo priliku za korektivne mjere povezane s kontrolama financijske usklađenosti u pogledu zabranjenih donacija i slučajeva financiranja drugih subjekata u kontekstu zajedničkih aktivnosti; pozdravlja činjenicu da Tijelo nastavlja pratiti osigurava li se korektivnim mjerama s dugoročnim učincima trajna usklađenost u dotičnim područjima; napominje da je Tijelo tijekom 2024. donijelo jednu odluku o sankcijama;</w:t>
      </w:r>
    </w:p>
    <w:p w14:paraId="49025F8F" w14:textId="77777777" w:rsidR="001E4492" w:rsidRPr="00B013A7" w:rsidRDefault="001E4492" w:rsidP="001E4492">
      <w:pPr>
        <w:spacing w:after="240"/>
        <w:ind w:left="567" w:hanging="567"/>
      </w:pPr>
      <w:r w:rsidRPr="00B013A7">
        <w:t>145.</w:t>
      </w:r>
      <w:r w:rsidRPr="00B013A7">
        <w:tab/>
        <w:t>pozdravlja činjenicu da je Tijelo na svojim internetskim stranicama također nastavilo objavljivati opsežne smjernice koje se odnose na najčešće utvrđena rizična područja i potencijalno problematične strukture u upravljanju europskim političkim strankama i europskim političkim zakladama; pozdravlja činjenicu da je o svojim nalazima i smjernicama od općeg interesa također obavijestilo sve europske političke stranke i europske političke zaklade;</w:t>
      </w:r>
    </w:p>
    <w:p w14:paraId="7B18BDBF" w14:textId="77777777" w:rsidR="001E4492" w:rsidRPr="00B013A7" w:rsidRDefault="001E4492" w:rsidP="001E4492">
      <w:pPr>
        <w:spacing w:after="240"/>
        <w:ind w:left="567" w:hanging="567"/>
      </w:pPr>
      <w:r w:rsidRPr="00B013A7">
        <w:t>146.</w:t>
      </w:r>
      <w:r w:rsidRPr="00B013A7">
        <w:tab/>
        <w:t>pozdravlja objavu Uredbe (EU, Euratom) 2025/2445 Europskog parlamenta i Vijeća</w:t>
      </w:r>
      <w:r w:rsidRPr="00B013A7">
        <w:rPr>
          <w:rStyle w:val="FootnoteReference"/>
        </w:rPr>
        <w:footnoteReference w:id="12"/>
      </w:r>
      <w:r w:rsidRPr="00B013A7">
        <w:t>, kojom se uvode novi zahtjevi za europske političke stranke i europske političke zaklade u cilju jačanja demokratskog integriteta i otpornosti; posebno ističe da europske političke stranke sada također moraju osigurati da njihove stranke članice i europske političke zaklade njihovih organizacija članica poštuju vrijednosti na kojima se Unija temelji, kako je utvrđeno u članku 2. UEU-a; nadalje napominje da su ojačane zaštitne mjere protiv vanjskog upletanja i da se revidiranim sustavom sankcija zahtijeva da se sankcije za mjerljiva kršenja, kao što su kršenja pravila o donacijama ili zabrana pružanja financijskih sredstava nacionalnim strankama, izriču bez pružanja mogućnosti za korektivne mjere; u tom kontekstu s odobravanjem prima na znanje sveobuhvatne preventivne smjernice koje Tijelo nudi u svojem akcijskom planu za usklađenost s propisima („R-CAP”) kako bi se olakšala neometana i učinkovita provedba;</w:t>
      </w:r>
      <w:r w:rsidRPr="00E27123">
        <w:rPr>
          <w:bCs/>
        </w:rPr>
        <w:t xml:space="preserve"> </w:t>
      </w:r>
      <w:r w:rsidRPr="00B013A7">
        <w:t xml:space="preserve">potiče odluku o uvođenju provjera prihvatljivosti i unutar organizacija članica kako bi se osigurala potpuna usklađenost organizacija članica s vrijednostima iz članka 2. UEU-a i </w:t>
      </w:r>
      <w:r w:rsidRPr="00B013A7">
        <w:lastRenderedPageBreak/>
        <w:t>očuvao demokratski integritet u financiranju europskih političkih stranaka od strane Parlamenta;</w:t>
      </w:r>
    </w:p>
    <w:p w14:paraId="7F344F8E" w14:textId="77777777" w:rsidR="001E4492" w:rsidRPr="00B013A7" w:rsidRDefault="001E4492" w:rsidP="001E4492">
      <w:pPr>
        <w:spacing w:after="240"/>
        <w:ind w:left="567" w:hanging="567"/>
      </w:pPr>
      <w:r w:rsidRPr="00B013A7">
        <w:t>147.</w:t>
      </w:r>
      <w:r w:rsidRPr="00B013A7">
        <w:tab/>
        <w:t>napominje da Tijelo može pokrenuti provjeru usklađenosti s vrijednostima na kojima se temelji Unija samo na zahtjev Parlamenta, Vijeća ili Komisije;</w:t>
      </w:r>
    </w:p>
    <w:p w14:paraId="14DCEE81" w14:textId="77777777" w:rsidR="001E4492" w:rsidRPr="00B013A7" w:rsidRDefault="001E4492" w:rsidP="001E4492">
      <w:pPr>
        <w:spacing w:after="240"/>
        <w:ind w:left="567" w:hanging="567"/>
        <w:rPr>
          <w:u w:val="single"/>
        </w:rPr>
      </w:pPr>
      <w:r w:rsidRPr="00B013A7">
        <w:t>148.</w:t>
      </w:r>
      <w:r w:rsidRPr="00B013A7">
        <w:tab/>
        <w:t>naglašava da je, s obzirom na prošireni opseg postupka provjere vrijednosti, koji se sada primjenjuje i na stranke članice i organizacije članice, te druge novosti iz Uredbe (EU, Euratom) 2025/2445, uključujući ažuriranja dobrodošlice za zaštitu europske demokracije od vanjskog upletanja, ključno na odgovarajući način poboljšati ljudske resurse Nadzornog tijela;</w:t>
      </w:r>
    </w:p>
    <w:bookmarkEnd w:id="12"/>
    <w:p w14:paraId="7AB67E56" w14:textId="77777777" w:rsidR="001E4492" w:rsidRPr="00B013A7" w:rsidRDefault="001E4492" w:rsidP="001E4492">
      <w:pPr>
        <w:spacing w:after="240"/>
        <w:ind w:left="567" w:hanging="567"/>
      </w:pPr>
      <w:r w:rsidRPr="00B013A7">
        <w:rPr>
          <w14:textOutline w14:w="0" w14:cap="flat" w14:cmpd="sng" w14:algn="ctr">
            <w14:noFill/>
            <w14:prstDash w14:val="solid"/>
            <w14:bevel/>
          </w14:textOutline>
        </w:rPr>
        <w:t>149</w:t>
      </w:r>
      <w:r w:rsidRPr="00B013A7">
        <w:t>.</w:t>
      </w:r>
      <w:r w:rsidRPr="00B013A7">
        <w:rPr>
          <w14:textOutline w14:w="0" w14:cap="flat" w14:cmpd="sng" w14:algn="ctr">
            <w14:noFill/>
            <w14:prstDash w14:val="solid"/>
            <w14:bevel/>
          </w14:textOutline>
        </w:rPr>
        <w:tab/>
      </w:r>
      <w:r w:rsidRPr="00B013A7">
        <w:t>napominje da su odobrena sredstva unesena u proračunsku stavku 402 u 2024. korištena kako slijedi</w:t>
      </w:r>
      <w:r w:rsidRPr="00B013A7">
        <w:rPr>
          <w:rStyle w:val="FootnoteReference"/>
        </w:rPr>
        <w:footnoteReference w:id="13"/>
      </w:r>
      <w:r w:rsidRPr="00B013A7">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1E4492" w:rsidRPr="00B013A7" w14:paraId="06A350C5" w14:textId="77777777" w:rsidTr="009F7356">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619A147"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04CFA55"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Pokrata ili skraćeni naziv</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42C6B0B"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Vlastita sredstva</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7134882"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Konačni doprinos EP-a</w:t>
            </w:r>
            <w:r w:rsidRPr="00B013A7">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9D16FF3"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Ukupni prihodi</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2C0BD7A"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Doprinos EP-a izražen kao postotak nadoknadivih troškova (do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6731E96E"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Posebna pričuva nakon</w:t>
            </w:r>
          </w:p>
          <w:p w14:paraId="00D50166"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zaključenja 2024.</w:t>
            </w:r>
            <w:r w:rsidRPr="00B013A7">
              <w:rPr>
                <w:rStyle w:val="FootnoteReference"/>
                <w:sz w:val="20"/>
              </w:rPr>
              <w:footnoteReference w:id="15"/>
            </w:r>
          </w:p>
        </w:tc>
      </w:tr>
      <w:tr w:rsidR="001E4492" w:rsidRPr="00B013A7" w14:paraId="3003AD4B"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25E3736"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Europska pučka stranka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378E6F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EPP</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40A1B7"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88AE1E"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8C771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C0633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2AA72D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261 623</w:t>
            </w:r>
          </w:p>
        </w:tc>
      </w:tr>
      <w:tr w:rsidR="001E4492" w:rsidRPr="00B013A7" w14:paraId="4A435F75"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81BE94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europskih socijalista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1D0B97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66A819"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4B9994"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4FB31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96112F"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B1E08C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987 745</w:t>
            </w:r>
          </w:p>
        </w:tc>
      </w:tr>
      <w:tr w:rsidR="001E4492" w:rsidRPr="00B013A7" w14:paraId="5E3E91EF"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5B1E8F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Savez liberala i demokrata za Europu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422C6E"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AF71B8"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AA800E"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FF554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7672F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F25F54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414 768</w:t>
            </w:r>
          </w:p>
        </w:tc>
      </w:tr>
      <w:tr w:rsidR="001E4492" w:rsidRPr="00B013A7" w14:paraId="48CC6CF7"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171571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Europska stranka zelenih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25E778"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2D943A"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9C404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5B8B8A"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04DE24"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1CAB69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993 646</w:t>
            </w:r>
          </w:p>
        </w:tc>
      </w:tr>
      <w:tr w:rsidR="001E4492" w:rsidRPr="00B013A7" w14:paraId="2D224F75"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57D27F4"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Europskih konzervativaca i reformista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72AEE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ABD58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2AF26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A173B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E20747"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A3E251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-273 939</w:t>
            </w:r>
          </w:p>
        </w:tc>
      </w:tr>
      <w:tr w:rsidR="001E4492" w:rsidRPr="00B013A7" w14:paraId="1146417B"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84EFC6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Identitet i demokracija</w:t>
            </w:r>
            <w:r w:rsidRPr="00B013A7">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356DB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BE896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A912C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42FDA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0A66A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D0FC6B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22 063</w:t>
            </w:r>
          </w:p>
        </w:tc>
      </w:tr>
      <w:tr w:rsidR="001E4492" w:rsidRPr="00B013A7" w14:paraId="1906FD33"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F4AC2C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europske ljevice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1E535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70C3D1"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15092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0C56E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6E0DC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413072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-42 833</w:t>
            </w:r>
          </w:p>
        </w:tc>
      </w:tr>
      <w:tr w:rsidR="001E4492" w:rsidRPr="00B013A7" w14:paraId="7CF309DA"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C2C5BAE"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Europska demokratska stranka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C5E70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3B94B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C5D0CE"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E846E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F3E9A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B56687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154 132</w:t>
            </w:r>
          </w:p>
        </w:tc>
      </w:tr>
      <w:tr w:rsidR="001E4492" w:rsidRPr="00B013A7" w14:paraId="05CACF18"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2CDE1DD"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Europski slobodni savez</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F5EA3E3"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C23C0A"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86402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57B6AA"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076EE5"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33650E8"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-7 391</w:t>
            </w:r>
          </w:p>
        </w:tc>
      </w:tr>
      <w:tr w:rsidR="001E4492" w:rsidRPr="00B013A7" w14:paraId="09EE11E4" w14:textId="77777777" w:rsidTr="009F7356">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077741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lastRenderedPageBreak/>
              <w:t>Europski kršćanski politički pokret</w:t>
            </w:r>
            <w:r w:rsidRPr="00B013A7">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1AE05FB"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281D50"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F96992"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53C1E8"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42C023"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3D1FD44"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rPr>
              <w:t>-59 624</w:t>
            </w:r>
          </w:p>
        </w:tc>
      </w:tr>
      <w:tr w:rsidR="001E4492" w:rsidRPr="00B013A7" w14:paraId="7D78C309" w14:textId="77777777" w:rsidTr="009F7356">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D3118CB" w14:textId="77777777" w:rsidR="001E4492" w:rsidRPr="00B013A7" w:rsidRDefault="001E4492" w:rsidP="009F7356">
            <w:pPr>
              <w:jc w:val="center"/>
              <w:rPr>
                <w14:textOutline w14:w="0" w14:cap="flat" w14:cmpd="sng" w14:algn="ctr">
                  <w14:noFill/>
                  <w14:prstDash w14:val="solid"/>
                  <w14:bevel/>
                </w14:textOutline>
              </w:rPr>
            </w:pPr>
            <w:r w:rsidRPr="00B013A7">
              <w:rPr>
                <w:b/>
                <w:sz w:val="20"/>
                <w14:textOutline w14:w="0" w14:cap="flat" w14:cmpd="sng" w14:algn="ctr">
                  <w14:noFill/>
                  <w14:prstDash w14:val="solid"/>
                  <w14:bevel/>
                </w14:textOutline>
              </w:rPr>
              <w:t>UKUPNO</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F90E9BB" w14:textId="77777777" w:rsidR="001E4492" w:rsidRPr="00B013A7" w:rsidRDefault="001E4492" w:rsidP="009F7356">
            <w:pPr>
              <w:jc w:val="center"/>
              <w:rPr>
                <w:b/>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563776F" w14:textId="77777777" w:rsidR="001E4492" w:rsidRPr="00B013A7" w:rsidRDefault="001E4492" w:rsidP="009F7356">
            <w:pPr>
              <w:jc w:val="center"/>
              <w:rPr>
                <w:b/>
                <w:bCs/>
                <w:sz w:val="22"/>
                <w:szCs w:val="22"/>
              </w:rPr>
            </w:pPr>
            <w:r w:rsidRPr="00B013A7">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3E9C89F" w14:textId="77777777" w:rsidR="001E4492" w:rsidRPr="00B013A7" w:rsidRDefault="001E4492" w:rsidP="009F7356">
            <w:pPr>
              <w:jc w:val="center"/>
              <w:rPr>
                <w:b/>
                <w:bCs/>
                <w:sz w:val="22"/>
                <w:szCs w:val="22"/>
              </w:rPr>
            </w:pPr>
            <w:r w:rsidRPr="00B013A7">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AC259CC" w14:textId="77777777" w:rsidR="001E4492" w:rsidRPr="00B013A7" w:rsidRDefault="001E4492" w:rsidP="009F7356">
            <w:pPr>
              <w:jc w:val="center"/>
              <w:rPr>
                <w:b/>
                <w:bCs/>
                <w:sz w:val="22"/>
                <w:szCs w:val="22"/>
              </w:rPr>
            </w:pPr>
            <w:r w:rsidRPr="00B013A7">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7CFBBF5F" w14:textId="77777777" w:rsidR="001E4492" w:rsidRPr="00B013A7" w:rsidRDefault="001E4492" w:rsidP="009F7356">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60E99EAA" w14:textId="77777777" w:rsidR="001E4492" w:rsidRPr="00B013A7" w:rsidRDefault="001E4492" w:rsidP="009F7356">
            <w:pPr>
              <w:jc w:val="center"/>
              <w:rPr>
                <w:b/>
              </w:rPr>
            </w:pPr>
            <w:r w:rsidRPr="00B013A7">
              <w:rPr>
                <w:b/>
                <w:sz w:val="20"/>
              </w:rPr>
              <w:t>2 450 191</w:t>
            </w:r>
          </w:p>
        </w:tc>
      </w:tr>
    </w:tbl>
    <w:p w14:paraId="3773593A" w14:textId="77777777" w:rsidR="001E4492" w:rsidRPr="00B013A7" w:rsidRDefault="001E4492" w:rsidP="00B013A7">
      <w:pPr>
        <w:spacing w:before="240" w:after="240"/>
        <w:ind w:left="567" w:hanging="567"/>
        <w:rPr>
          <w14:textOutline w14:w="0" w14:cap="flat" w14:cmpd="sng" w14:algn="ctr">
            <w14:noFill/>
            <w14:prstDash w14:val="solid"/>
            <w14:bevel/>
          </w14:textOutline>
        </w:rPr>
      </w:pPr>
      <w:r w:rsidRPr="00B013A7">
        <w:rPr>
          <w14:textOutline w14:w="0" w14:cap="flat" w14:cmpd="sng" w14:algn="ctr">
            <w14:noFill/>
            <w14:prstDash w14:val="solid"/>
            <w14:bevel/>
          </w14:textOutline>
        </w:rPr>
        <w:t>150</w:t>
      </w:r>
      <w:r w:rsidRPr="00B013A7">
        <w:t>.</w:t>
      </w:r>
      <w:r w:rsidRPr="00B013A7">
        <w:rPr>
          <w14:textOutline w14:w="0" w14:cap="flat" w14:cmpd="sng" w14:algn="ctr">
            <w14:noFill/>
            <w14:prstDash w14:val="solid"/>
            <w14:bevel/>
          </w14:textOutline>
        </w:rPr>
        <w:tab/>
      </w:r>
      <w:r w:rsidRPr="00B013A7">
        <w:t>napominje da su odobrena sredstva unesena u proračunsku stavku 403 2024. korištena kako slijedi</w:t>
      </w:r>
      <w:r w:rsidRPr="00B013A7">
        <w:rPr>
          <w:rStyle w:val="FootnoteReference"/>
        </w:rPr>
        <w:footnoteReference w:id="18"/>
      </w:r>
      <w:r w:rsidRPr="00B013A7">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1E4492" w:rsidRPr="00B013A7" w14:paraId="2C282298" w14:textId="77777777" w:rsidTr="009F7356">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F32DD23"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Zaklada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D5A641A"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Pokrata ili skraćeni naziv</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FBF11DC"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Stranka kojoj je pridružena</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1D0BA5"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Vlastita sredstva</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554BA45"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Konačna bespovratna sredstva EP-a</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E7AB053"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Ukupni prihodi</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3CB3008"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Bespovratna sredstva EP-a izražena kao postotak prihvatljivih troškova (do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24FE4826" w14:textId="77777777" w:rsidR="001E4492" w:rsidRPr="00B013A7" w:rsidRDefault="001E4492" w:rsidP="009F7356">
            <w:pPr>
              <w:jc w:val="center"/>
              <w:rPr>
                <w:sz w:val="20"/>
                <w14:textOutline w14:w="0" w14:cap="flat" w14:cmpd="sng" w14:algn="ctr">
                  <w14:noFill/>
                  <w14:prstDash w14:val="solid"/>
                  <w14:bevel/>
                </w14:textOutline>
              </w:rPr>
            </w:pPr>
            <w:r w:rsidRPr="00B013A7">
              <w:rPr>
                <w:sz w:val="20"/>
                <w14:textOutline w14:w="0" w14:cap="flat" w14:cmpd="sng" w14:algn="ctr">
                  <w14:noFill/>
                  <w14:prstDash w14:val="solid"/>
                  <w14:bevel/>
                </w14:textOutline>
              </w:rPr>
              <w:t>Posebna pričuva nakon</w:t>
            </w:r>
          </w:p>
          <w:p w14:paraId="4A2297D8" w14:textId="77777777" w:rsidR="001E4492" w:rsidRPr="00B013A7" w:rsidRDefault="001E4492" w:rsidP="009F7356">
            <w:pPr>
              <w:jc w:val="center"/>
              <w:rPr>
                <w14:textOutline w14:w="0" w14:cap="flat" w14:cmpd="sng" w14:algn="ctr">
                  <w14:noFill/>
                  <w14:prstDash w14:val="solid"/>
                  <w14:bevel/>
                </w14:textOutline>
              </w:rPr>
            </w:pPr>
            <w:r w:rsidRPr="00B013A7">
              <w:rPr>
                <w:sz w:val="20"/>
                <w14:textOutline w14:w="0" w14:cap="flat" w14:cmpd="sng" w14:algn="ctr">
                  <w14:noFill/>
                  <w14:prstDash w14:val="solid"/>
                  <w14:bevel/>
                </w14:textOutline>
              </w:rPr>
              <w:t>zaključenja 2024.</w:t>
            </w:r>
            <w:r w:rsidRPr="00B013A7">
              <w:rPr>
                <w:rStyle w:val="FootnoteReference"/>
                <w:sz w:val="20"/>
              </w:rPr>
              <w:footnoteReference w:id="19"/>
            </w:r>
          </w:p>
        </w:tc>
      </w:tr>
      <w:tr w:rsidR="001E4492" w:rsidRPr="00B013A7" w14:paraId="02F29B50"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AC3F4FE" w14:textId="77777777" w:rsidR="001E4492" w:rsidRPr="00B013A7" w:rsidRDefault="001E4492" w:rsidP="009F7356">
            <w:pPr>
              <w:jc w:val="center"/>
              <w:rPr>
                <w:sz w:val="20"/>
                <w14:textOutline w14:w="0" w14:cap="flat" w14:cmpd="sng" w14:algn="ctr">
                  <w14:noFill/>
                  <w14:prstDash w14:val="solid"/>
                  <w14:bevel/>
                </w14:textOutline>
              </w:rPr>
            </w:pPr>
            <w:r w:rsidRPr="00B013A7">
              <w:t xml:space="preserve">Centar za europske studije </w:t>
            </w:r>
            <w:proofErr w:type="spellStart"/>
            <w:r w:rsidRPr="00B013A7">
              <w:t>Wilfried</w:t>
            </w:r>
            <w:proofErr w:type="spellEnd"/>
            <w:r w:rsidRPr="00B013A7">
              <w:t xml:space="preserve"> </w:t>
            </w:r>
            <w:proofErr w:type="spellStart"/>
            <w:r w:rsidRPr="00B013A7">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9A6A98" w14:textId="77777777" w:rsidR="001E4492" w:rsidRPr="00B013A7" w:rsidRDefault="001E4492" w:rsidP="009F7356">
            <w:pPr>
              <w:jc w:val="center"/>
              <w:rPr>
                <w:sz w:val="20"/>
              </w:rPr>
            </w:pPr>
            <w:r w:rsidRPr="00B013A7">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F83D82" w14:textId="77777777" w:rsidR="001E4492" w:rsidRPr="00B013A7" w:rsidRDefault="001E4492" w:rsidP="009F7356">
            <w:pPr>
              <w:jc w:val="center"/>
              <w:rPr>
                <w:sz w:val="20"/>
              </w:rPr>
            </w:pPr>
            <w:r w:rsidRPr="00B013A7">
              <w:rPr>
                <w:sz w:val="20"/>
              </w:rPr>
              <w:t>EPP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5C7A79" w14:textId="77777777" w:rsidR="001E4492" w:rsidRPr="00B013A7" w:rsidRDefault="001E4492" w:rsidP="009F7356">
            <w:pPr>
              <w:jc w:val="center"/>
              <w:rPr>
                <w:sz w:val="20"/>
              </w:rPr>
            </w:pPr>
            <w:r w:rsidRPr="00B013A7">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D32A0F" w14:textId="77777777" w:rsidR="001E4492" w:rsidRPr="00B013A7" w:rsidRDefault="001E4492" w:rsidP="009F7356">
            <w:pPr>
              <w:jc w:val="center"/>
              <w:rPr>
                <w:sz w:val="20"/>
              </w:rPr>
            </w:pPr>
            <w:r w:rsidRPr="00B013A7">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013A79" w14:textId="77777777" w:rsidR="001E4492" w:rsidRPr="00B013A7" w:rsidRDefault="001E4492" w:rsidP="009F7356">
            <w:pPr>
              <w:jc w:val="center"/>
              <w:rPr>
                <w:sz w:val="20"/>
              </w:rPr>
            </w:pPr>
            <w:r w:rsidRPr="00B013A7">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2CF032" w14:textId="77777777" w:rsidR="001E4492" w:rsidRPr="00B013A7" w:rsidRDefault="001E4492" w:rsidP="009F7356">
            <w:pPr>
              <w:jc w:val="center"/>
              <w:rPr>
                <w:sz w:val="20"/>
              </w:rPr>
            </w:pPr>
            <w:r w:rsidRPr="00B013A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507AFDE" w14:textId="77777777" w:rsidR="001E4492" w:rsidRPr="00B013A7" w:rsidRDefault="001E4492" w:rsidP="009F7356">
            <w:pPr>
              <w:jc w:val="center"/>
              <w:rPr>
                <w:sz w:val="20"/>
              </w:rPr>
            </w:pPr>
            <w:r w:rsidRPr="00B013A7">
              <w:rPr>
                <w:sz w:val="20"/>
              </w:rPr>
              <w:t>1 320 717</w:t>
            </w:r>
          </w:p>
        </w:tc>
      </w:tr>
      <w:tr w:rsidR="001E4492" w:rsidRPr="00B013A7" w14:paraId="6EDE3968"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03D005D" w14:textId="77777777" w:rsidR="001E4492" w:rsidRPr="00B013A7" w:rsidRDefault="001E4492" w:rsidP="009F7356">
            <w:pPr>
              <w:jc w:val="center"/>
              <w:rPr>
                <w:sz w:val="20"/>
                <w14:textOutline w14:w="0" w14:cap="flat" w14:cmpd="sng" w14:algn="ctr">
                  <w14:noFill/>
                  <w14:prstDash w14:val="solid"/>
                  <w14:bevel/>
                </w14:textOutline>
              </w:rPr>
            </w:pPr>
            <w:r w:rsidRPr="00B013A7">
              <w:t>Zaklada za europske napredne studije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43C163" w14:textId="77777777" w:rsidR="001E4492" w:rsidRPr="00B013A7" w:rsidRDefault="001E4492" w:rsidP="009F7356">
            <w:pPr>
              <w:jc w:val="center"/>
              <w:rPr>
                <w:sz w:val="20"/>
              </w:rPr>
            </w:pPr>
            <w:r w:rsidRPr="00B013A7">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5EB606" w14:textId="77777777" w:rsidR="001E4492" w:rsidRPr="00B013A7" w:rsidRDefault="001E4492" w:rsidP="009F7356">
            <w:pPr>
              <w:jc w:val="center"/>
              <w:rPr>
                <w:sz w:val="20"/>
              </w:rPr>
            </w:pPr>
            <w:r w:rsidRPr="00B013A7">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79F3D3" w14:textId="77777777" w:rsidR="001E4492" w:rsidRPr="00B013A7" w:rsidRDefault="001E4492" w:rsidP="009F7356">
            <w:pPr>
              <w:jc w:val="center"/>
              <w:rPr>
                <w:sz w:val="20"/>
              </w:rPr>
            </w:pPr>
            <w:r w:rsidRPr="00B013A7">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A8BB1DB" w14:textId="77777777" w:rsidR="001E4492" w:rsidRPr="00B013A7" w:rsidRDefault="001E4492" w:rsidP="009F7356">
            <w:pPr>
              <w:jc w:val="center"/>
              <w:rPr>
                <w:sz w:val="20"/>
              </w:rPr>
            </w:pPr>
            <w:r w:rsidRPr="00B013A7">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32EDFC" w14:textId="77777777" w:rsidR="001E4492" w:rsidRPr="00B013A7" w:rsidRDefault="001E4492" w:rsidP="009F7356">
            <w:pPr>
              <w:jc w:val="center"/>
              <w:rPr>
                <w:sz w:val="20"/>
              </w:rPr>
            </w:pPr>
            <w:r w:rsidRPr="00B013A7">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E0A4B3" w14:textId="77777777" w:rsidR="001E4492" w:rsidRPr="00B013A7" w:rsidRDefault="001E4492" w:rsidP="009F7356">
            <w:pPr>
              <w:jc w:val="center"/>
              <w:rPr>
                <w:sz w:val="20"/>
              </w:rPr>
            </w:pPr>
            <w:r w:rsidRPr="00B013A7">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D1B6429" w14:textId="77777777" w:rsidR="001E4492" w:rsidRPr="00B013A7" w:rsidRDefault="001E4492" w:rsidP="009F7356">
            <w:pPr>
              <w:jc w:val="center"/>
              <w:rPr>
                <w:sz w:val="20"/>
              </w:rPr>
            </w:pPr>
            <w:r w:rsidRPr="00B013A7">
              <w:rPr>
                <w:sz w:val="20"/>
              </w:rPr>
              <w:t>251 466</w:t>
            </w:r>
          </w:p>
        </w:tc>
      </w:tr>
      <w:tr w:rsidR="001E4492" w:rsidRPr="00B013A7" w14:paraId="70B22199"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E4D33AE" w14:textId="77777777" w:rsidR="001E4492" w:rsidRPr="00B013A7" w:rsidRDefault="001E4492" w:rsidP="009F7356">
            <w:pPr>
              <w:jc w:val="center"/>
              <w:rPr>
                <w:sz w:val="20"/>
                <w14:textOutline w14:w="0" w14:cap="flat" w14:cmpd="sng" w14:algn="ctr">
                  <w14:noFill/>
                  <w14:prstDash w14:val="solid"/>
                  <w14:bevel/>
                </w14:textOutline>
              </w:rPr>
            </w:pPr>
            <w:r w:rsidRPr="00B013A7">
              <w:t>Europski liberalni forum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C47F70" w14:textId="77777777" w:rsidR="001E4492" w:rsidRPr="00B013A7" w:rsidRDefault="001E4492" w:rsidP="009F7356">
            <w:pPr>
              <w:jc w:val="center"/>
              <w:rPr>
                <w:sz w:val="20"/>
              </w:rPr>
            </w:pPr>
            <w:r w:rsidRPr="00B013A7">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59D4BC" w14:textId="77777777" w:rsidR="001E4492" w:rsidRPr="00B013A7" w:rsidRDefault="001E4492" w:rsidP="009F7356">
            <w:pPr>
              <w:jc w:val="center"/>
              <w:rPr>
                <w:sz w:val="20"/>
              </w:rPr>
            </w:pPr>
            <w:r w:rsidRPr="00B013A7">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432377" w14:textId="77777777" w:rsidR="001E4492" w:rsidRPr="00B013A7" w:rsidRDefault="001E4492" w:rsidP="009F7356">
            <w:pPr>
              <w:jc w:val="center"/>
              <w:rPr>
                <w:sz w:val="20"/>
              </w:rPr>
            </w:pPr>
            <w:r w:rsidRPr="00B013A7">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B446AD" w14:textId="77777777" w:rsidR="001E4492" w:rsidRPr="00B013A7" w:rsidRDefault="001E4492" w:rsidP="009F7356">
            <w:pPr>
              <w:jc w:val="center"/>
              <w:rPr>
                <w:sz w:val="20"/>
              </w:rPr>
            </w:pPr>
            <w:r w:rsidRPr="00B013A7">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082865" w14:textId="77777777" w:rsidR="001E4492" w:rsidRPr="00B013A7" w:rsidRDefault="001E4492" w:rsidP="009F7356">
            <w:pPr>
              <w:jc w:val="center"/>
              <w:rPr>
                <w:sz w:val="20"/>
              </w:rPr>
            </w:pPr>
            <w:r w:rsidRPr="00B013A7">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02AAD1" w14:textId="77777777" w:rsidR="001E4492" w:rsidRPr="00B013A7" w:rsidRDefault="001E4492" w:rsidP="009F7356">
            <w:pPr>
              <w:jc w:val="center"/>
              <w:rPr>
                <w:sz w:val="20"/>
              </w:rPr>
            </w:pPr>
            <w:r w:rsidRPr="00B013A7">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A600525" w14:textId="77777777" w:rsidR="001E4492" w:rsidRPr="00B013A7" w:rsidRDefault="001E4492" w:rsidP="009F7356">
            <w:pPr>
              <w:jc w:val="center"/>
              <w:rPr>
                <w:sz w:val="20"/>
              </w:rPr>
            </w:pPr>
            <w:r w:rsidRPr="00B013A7">
              <w:rPr>
                <w:sz w:val="20"/>
              </w:rPr>
              <w:t>638 880</w:t>
            </w:r>
          </w:p>
        </w:tc>
      </w:tr>
      <w:tr w:rsidR="001E4492" w:rsidRPr="00B013A7" w14:paraId="00B41C92"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CBFDD85" w14:textId="77777777" w:rsidR="001E4492" w:rsidRPr="00B013A7" w:rsidRDefault="001E4492" w:rsidP="009F7356">
            <w:pPr>
              <w:jc w:val="center"/>
              <w:rPr>
                <w:sz w:val="20"/>
                <w14:textOutline w14:w="0" w14:cap="flat" w14:cmpd="sng" w14:algn="ctr">
                  <w14:noFill/>
                  <w14:prstDash w14:val="solid"/>
                  <w14:bevel/>
                </w14:textOutline>
              </w:rPr>
            </w:pPr>
            <w:r w:rsidRPr="00B013A7">
              <w:t>Zelena europska zaklada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A229BB" w14:textId="77777777" w:rsidR="001E4492" w:rsidRPr="00B013A7" w:rsidRDefault="001E4492" w:rsidP="009F7356">
            <w:pPr>
              <w:jc w:val="center"/>
              <w:rPr>
                <w:sz w:val="20"/>
              </w:rPr>
            </w:pPr>
            <w:r w:rsidRPr="00B013A7">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327D2DC" w14:textId="77777777" w:rsidR="001E4492" w:rsidRPr="00B013A7" w:rsidRDefault="001E4492" w:rsidP="009F7356">
            <w:pPr>
              <w:jc w:val="center"/>
              <w:rPr>
                <w:sz w:val="20"/>
              </w:rPr>
            </w:pPr>
            <w:r w:rsidRPr="00B013A7">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D1194A" w14:textId="77777777" w:rsidR="001E4492" w:rsidRPr="00B013A7" w:rsidRDefault="001E4492" w:rsidP="009F7356">
            <w:pPr>
              <w:jc w:val="center"/>
              <w:rPr>
                <w:sz w:val="20"/>
              </w:rPr>
            </w:pPr>
            <w:r w:rsidRPr="00B013A7">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C3FDC8" w14:textId="77777777" w:rsidR="001E4492" w:rsidRPr="00B013A7" w:rsidRDefault="001E4492" w:rsidP="009F7356">
            <w:pPr>
              <w:jc w:val="center"/>
              <w:rPr>
                <w:sz w:val="20"/>
              </w:rPr>
            </w:pPr>
            <w:r w:rsidRPr="00B013A7">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EBA996" w14:textId="77777777" w:rsidR="001E4492" w:rsidRPr="00B013A7" w:rsidRDefault="001E4492" w:rsidP="009F7356">
            <w:pPr>
              <w:jc w:val="center"/>
              <w:rPr>
                <w:sz w:val="20"/>
              </w:rPr>
            </w:pPr>
            <w:r w:rsidRPr="00B013A7">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D5C7B7" w14:textId="77777777" w:rsidR="001E4492" w:rsidRPr="00B013A7" w:rsidRDefault="001E4492" w:rsidP="009F7356">
            <w:pPr>
              <w:jc w:val="center"/>
              <w:rPr>
                <w:sz w:val="20"/>
              </w:rPr>
            </w:pPr>
            <w:r w:rsidRPr="00B013A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D5BAACC" w14:textId="77777777" w:rsidR="001E4492" w:rsidRPr="00B013A7" w:rsidRDefault="001E4492" w:rsidP="009F7356">
            <w:pPr>
              <w:jc w:val="center"/>
              <w:rPr>
                <w:sz w:val="20"/>
              </w:rPr>
            </w:pPr>
            <w:r w:rsidRPr="00B013A7">
              <w:rPr>
                <w:sz w:val="20"/>
              </w:rPr>
              <w:t>40 821</w:t>
            </w:r>
          </w:p>
        </w:tc>
      </w:tr>
      <w:tr w:rsidR="001E4492" w:rsidRPr="00B013A7" w14:paraId="53431908"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8B8B2F5" w14:textId="77777777" w:rsidR="001E4492" w:rsidRPr="00B013A7" w:rsidRDefault="001E4492" w:rsidP="009F7356">
            <w:pPr>
              <w:jc w:val="center"/>
              <w:rPr>
                <w:sz w:val="20"/>
                <w14:textOutline w14:w="0" w14:cap="flat" w14:cmpd="sng" w14:algn="ctr">
                  <w14:noFill/>
                  <w14:prstDash w14:val="solid"/>
                  <w14:bevel/>
                </w14:textOutline>
              </w:rPr>
            </w:pPr>
            <w:r w:rsidRPr="00B013A7">
              <w:t>Novi smjer – Zaklada za europsku reformu</w:t>
            </w:r>
            <w:r w:rsidRPr="00B013A7">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B6110A" w14:textId="77777777" w:rsidR="001E4492" w:rsidRPr="00B013A7" w:rsidRDefault="001E4492" w:rsidP="009F7356">
            <w:pPr>
              <w:jc w:val="center"/>
              <w:rPr>
                <w:sz w:val="20"/>
              </w:rPr>
            </w:pPr>
            <w:r w:rsidRPr="00B013A7">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B855CE" w14:textId="77777777" w:rsidR="001E4492" w:rsidRPr="00B013A7" w:rsidRDefault="001E4492" w:rsidP="009F7356">
            <w:pPr>
              <w:jc w:val="center"/>
              <w:rPr>
                <w:sz w:val="20"/>
              </w:rPr>
            </w:pPr>
            <w:r w:rsidRPr="00B013A7">
              <w:rPr>
                <w:sz w:val="20"/>
              </w:rPr>
              <w:t>Stranka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C0A5A1" w14:textId="77777777" w:rsidR="001E4492" w:rsidRPr="00B013A7" w:rsidRDefault="001E4492" w:rsidP="009F7356">
            <w:pPr>
              <w:jc w:val="center"/>
              <w:rPr>
                <w:sz w:val="20"/>
              </w:rPr>
            </w:pPr>
            <w:r w:rsidRPr="00B013A7">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69EDA65" w14:textId="77777777" w:rsidR="001E4492" w:rsidRPr="00B013A7" w:rsidRDefault="001E4492" w:rsidP="009F7356">
            <w:pPr>
              <w:jc w:val="center"/>
              <w:rPr>
                <w:sz w:val="20"/>
              </w:rPr>
            </w:pPr>
            <w:r w:rsidRPr="00B013A7">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2D246A" w14:textId="77777777" w:rsidR="001E4492" w:rsidRPr="00B013A7" w:rsidRDefault="001E4492" w:rsidP="009F7356">
            <w:pPr>
              <w:jc w:val="center"/>
              <w:rPr>
                <w:sz w:val="20"/>
              </w:rPr>
            </w:pPr>
            <w:r w:rsidRPr="00B013A7">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DADA89" w14:textId="77777777" w:rsidR="001E4492" w:rsidRPr="00B013A7" w:rsidRDefault="001E4492" w:rsidP="009F7356">
            <w:pPr>
              <w:jc w:val="center"/>
              <w:rPr>
                <w:sz w:val="20"/>
              </w:rPr>
            </w:pPr>
            <w:r w:rsidRPr="00B013A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BFEA66A" w14:textId="77777777" w:rsidR="001E4492" w:rsidRPr="00B013A7" w:rsidRDefault="001E4492" w:rsidP="009F7356">
            <w:pPr>
              <w:jc w:val="center"/>
              <w:rPr>
                <w:sz w:val="20"/>
              </w:rPr>
            </w:pPr>
            <w:r w:rsidRPr="00B013A7">
              <w:rPr>
                <w:sz w:val="20"/>
              </w:rPr>
              <w:t>134 704</w:t>
            </w:r>
          </w:p>
        </w:tc>
      </w:tr>
      <w:tr w:rsidR="001E4492" w:rsidRPr="00B013A7" w14:paraId="247367B9"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02430A8" w14:textId="77777777" w:rsidR="001E4492" w:rsidRPr="00B013A7" w:rsidRDefault="001E4492" w:rsidP="009F7356">
            <w:pPr>
              <w:jc w:val="center"/>
              <w:rPr>
                <w:sz w:val="20"/>
                <w14:textOutline w14:w="0" w14:cap="flat" w14:cmpd="sng" w14:algn="ctr">
                  <w14:noFill/>
                  <w14:prstDash w14:val="solid"/>
                  <w14:bevel/>
                </w14:textOutline>
              </w:rPr>
            </w:pPr>
            <w:r w:rsidRPr="00B013A7">
              <w:t xml:space="preserve">Zaklada </w:t>
            </w:r>
            <w:proofErr w:type="spellStart"/>
            <w:r w:rsidRPr="00B013A7">
              <w:t>Identité</w:t>
            </w:r>
            <w:proofErr w:type="spellEnd"/>
            <w:r w:rsidRPr="00B013A7">
              <w:t xml:space="preserve"> </w:t>
            </w:r>
            <w:proofErr w:type="spellStart"/>
            <w:r w:rsidRPr="00B013A7">
              <w:t>et</w:t>
            </w:r>
            <w:proofErr w:type="spellEnd"/>
            <w:r w:rsidRPr="00B013A7">
              <w:t xml:space="preserve"> </w:t>
            </w:r>
            <w:proofErr w:type="spellStart"/>
            <w:r w:rsidRPr="00B013A7">
              <w:lastRenderedPageBreak/>
              <w:t>Démocratie</w:t>
            </w:r>
            <w:proofErr w:type="spellEnd"/>
            <w:r w:rsidRPr="00B013A7">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6B7453" w14:textId="77777777" w:rsidR="001E4492" w:rsidRPr="00B013A7" w:rsidRDefault="001E4492" w:rsidP="009F7356">
            <w:pPr>
              <w:jc w:val="center"/>
              <w:rPr>
                <w:sz w:val="20"/>
              </w:rPr>
            </w:pPr>
            <w:r w:rsidRPr="00B013A7">
              <w:rPr>
                <w:sz w:val="20"/>
              </w:rPr>
              <w:lastRenderedPageBreak/>
              <w:t>Zaklada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5A5F15" w14:textId="77777777" w:rsidR="001E4492" w:rsidRPr="00B013A7" w:rsidRDefault="001E4492" w:rsidP="009F7356">
            <w:pPr>
              <w:jc w:val="center"/>
              <w:rPr>
                <w:sz w:val="20"/>
              </w:rPr>
            </w:pPr>
            <w:r w:rsidRPr="00B013A7">
              <w:rPr>
                <w:sz w:val="20"/>
              </w:rPr>
              <w:t>Stranka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FE74AE" w14:textId="77777777" w:rsidR="001E4492" w:rsidRPr="00B013A7" w:rsidRDefault="001E4492" w:rsidP="009F7356">
            <w:pPr>
              <w:jc w:val="center"/>
              <w:rPr>
                <w:sz w:val="20"/>
              </w:rPr>
            </w:pPr>
            <w:r w:rsidRPr="00B013A7">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CF1F10" w14:textId="77777777" w:rsidR="001E4492" w:rsidRPr="00B013A7" w:rsidRDefault="001E4492" w:rsidP="009F7356">
            <w:pPr>
              <w:jc w:val="center"/>
              <w:rPr>
                <w:sz w:val="20"/>
              </w:rPr>
            </w:pPr>
            <w:r w:rsidRPr="00B013A7">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E7795C" w14:textId="77777777" w:rsidR="001E4492" w:rsidRPr="00B013A7" w:rsidRDefault="001E4492" w:rsidP="009F7356">
            <w:pPr>
              <w:jc w:val="center"/>
              <w:rPr>
                <w:sz w:val="20"/>
              </w:rPr>
            </w:pPr>
            <w:r w:rsidRPr="00B013A7">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27A260" w14:textId="77777777" w:rsidR="001E4492" w:rsidRPr="00B013A7" w:rsidRDefault="001E4492" w:rsidP="009F7356">
            <w:pPr>
              <w:jc w:val="center"/>
              <w:rPr>
                <w:sz w:val="20"/>
              </w:rPr>
            </w:pPr>
            <w:r w:rsidRPr="00B013A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F8D228E" w14:textId="77777777" w:rsidR="001E4492" w:rsidRPr="00B013A7" w:rsidRDefault="001E4492" w:rsidP="009F7356">
            <w:pPr>
              <w:jc w:val="center"/>
              <w:rPr>
                <w:sz w:val="20"/>
              </w:rPr>
            </w:pPr>
            <w:r w:rsidRPr="00B013A7">
              <w:rPr>
                <w:sz w:val="20"/>
              </w:rPr>
              <w:t>-62 575</w:t>
            </w:r>
          </w:p>
        </w:tc>
      </w:tr>
      <w:tr w:rsidR="001E4492" w:rsidRPr="00B013A7" w14:paraId="4F93C02C"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A5ED847" w14:textId="77777777" w:rsidR="001E4492" w:rsidRPr="00B013A7" w:rsidRDefault="001E4492" w:rsidP="009F7356">
            <w:pPr>
              <w:jc w:val="center"/>
              <w:rPr>
                <w:sz w:val="20"/>
                <w14:textOutline w14:w="0" w14:cap="flat" w14:cmpd="sng" w14:algn="ctr">
                  <w14:noFill/>
                  <w14:prstDash w14:val="solid"/>
                  <w14:bevel/>
                </w14:textOutline>
              </w:rPr>
            </w:pPr>
            <w:r w:rsidRPr="00B013A7">
              <w:t>Preobrazimo Europu</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9C2537" w14:textId="77777777" w:rsidR="001E4492" w:rsidRPr="00B013A7" w:rsidRDefault="001E4492" w:rsidP="009F7356">
            <w:pPr>
              <w:jc w:val="center"/>
              <w:rPr>
                <w:sz w:val="20"/>
              </w:rPr>
            </w:pPr>
            <w:r w:rsidRPr="00B013A7">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4C678D" w14:textId="77777777" w:rsidR="001E4492" w:rsidRPr="00B013A7" w:rsidRDefault="001E4492" w:rsidP="009F7356">
            <w:pPr>
              <w:jc w:val="center"/>
              <w:rPr>
                <w:sz w:val="20"/>
              </w:rPr>
            </w:pPr>
            <w:r w:rsidRPr="00B013A7">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2D6B61" w14:textId="77777777" w:rsidR="001E4492" w:rsidRPr="00B013A7" w:rsidRDefault="001E4492" w:rsidP="009F7356">
            <w:pPr>
              <w:jc w:val="center"/>
              <w:rPr>
                <w:sz w:val="20"/>
              </w:rPr>
            </w:pPr>
            <w:r w:rsidRPr="00B013A7">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7D5C4D" w14:textId="77777777" w:rsidR="001E4492" w:rsidRPr="00B013A7" w:rsidRDefault="001E4492" w:rsidP="009F7356">
            <w:pPr>
              <w:jc w:val="center"/>
              <w:rPr>
                <w:sz w:val="20"/>
              </w:rPr>
            </w:pPr>
            <w:r w:rsidRPr="00B013A7">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4ADDAD" w14:textId="77777777" w:rsidR="001E4492" w:rsidRPr="00B013A7" w:rsidRDefault="001E4492" w:rsidP="009F7356">
            <w:pPr>
              <w:jc w:val="center"/>
              <w:rPr>
                <w:sz w:val="20"/>
              </w:rPr>
            </w:pPr>
            <w:r w:rsidRPr="00B013A7">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26F850" w14:textId="77777777" w:rsidR="001E4492" w:rsidRPr="00B013A7" w:rsidRDefault="001E4492" w:rsidP="009F7356">
            <w:pPr>
              <w:jc w:val="center"/>
              <w:rPr>
                <w:sz w:val="20"/>
              </w:rPr>
            </w:pPr>
            <w:r w:rsidRPr="00B013A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010CCF5" w14:textId="77777777" w:rsidR="001E4492" w:rsidRPr="00B013A7" w:rsidRDefault="001E4492" w:rsidP="009F7356">
            <w:pPr>
              <w:jc w:val="center"/>
              <w:rPr>
                <w:sz w:val="20"/>
              </w:rPr>
            </w:pPr>
            <w:r w:rsidRPr="00B013A7">
              <w:rPr>
                <w:sz w:val="20"/>
              </w:rPr>
              <w:t>69 496</w:t>
            </w:r>
          </w:p>
        </w:tc>
      </w:tr>
      <w:tr w:rsidR="001E4492" w:rsidRPr="00B013A7" w14:paraId="1E4F42CE"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2404AD9" w14:textId="77777777" w:rsidR="001E4492" w:rsidRPr="00B013A7" w:rsidRDefault="001E4492" w:rsidP="009F7356">
            <w:pPr>
              <w:jc w:val="center"/>
              <w:rPr>
                <w:sz w:val="20"/>
                <w14:textOutline w14:w="0" w14:cap="flat" w14:cmpd="sng" w14:algn="ctr">
                  <w14:noFill/>
                  <w14:prstDash w14:val="solid"/>
                  <w14:bevel/>
                </w14:textOutline>
              </w:rPr>
            </w:pPr>
            <w:r w:rsidRPr="00B013A7">
              <w:t>Institut europskih demokrata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845222" w14:textId="77777777" w:rsidR="001E4492" w:rsidRPr="00B013A7" w:rsidRDefault="001E4492" w:rsidP="009F7356">
            <w:pPr>
              <w:jc w:val="center"/>
              <w:rPr>
                <w:sz w:val="20"/>
              </w:rPr>
            </w:pPr>
            <w:r w:rsidRPr="00B013A7">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4F9A07" w14:textId="77777777" w:rsidR="001E4492" w:rsidRPr="00B013A7" w:rsidRDefault="001E4492" w:rsidP="009F7356">
            <w:pPr>
              <w:jc w:val="center"/>
              <w:rPr>
                <w:sz w:val="20"/>
              </w:rPr>
            </w:pPr>
            <w:r w:rsidRPr="00B013A7">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D4B071" w14:textId="77777777" w:rsidR="001E4492" w:rsidRPr="00B013A7" w:rsidRDefault="001E4492" w:rsidP="009F7356">
            <w:pPr>
              <w:jc w:val="center"/>
              <w:rPr>
                <w:sz w:val="20"/>
              </w:rPr>
            </w:pPr>
            <w:r w:rsidRPr="00B013A7">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81DE34" w14:textId="77777777" w:rsidR="001E4492" w:rsidRPr="00B013A7" w:rsidRDefault="001E4492" w:rsidP="009F7356">
            <w:pPr>
              <w:jc w:val="center"/>
              <w:rPr>
                <w:sz w:val="20"/>
              </w:rPr>
            </w:pPr>
            <w:r w:rsidRPr="00B013A7">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D36542C" w14:textId="77777777" w:rsidR="001E4492" w:rsidRPr="00B013A7" w:rsidRDefault="001E4492" w:rsidP="009F7356">
            <w:pPr>
              <w:jc w:val="center"/>
              <w:rPr>
                <w:sz w:val="20"/>
              </w:rPr>
            </w:pPr>
            <w:r w:rsidRPr="00B013A7">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47E950" w14:textId="77777777" w:rsidR="001E4492" w:rsidRPr="00B013A7" w:rsidRDefault="001E4492" w:rsidP="009F7356">
            <w:pPr>
              <w:jc w:val="center"/>
              <w:rPr>
                <w:sz w:val="20"/>
              </w:rPr>
            </w:pPr>
            <w:r w:rsidRPr="00B013A7">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9CE66ED" w14:textId="77777777" w:rsidR="001E4492" w:rsidRPr="00B013A7" w:rsidRDefault="001E4492" w:rsidP="009F7356">
            <w:pPr>
              <w:jc w:val="center"/>
              <w:rPr>
                <w:sz w:val="20"/>
              </w:rPr>
            </w:pPr>
            <w:r w:rsidRPr="00B013A7">
              <w:rPr>
                <w:sz w:val="20"/>
              </w:rPr>
              <w:t>-113 763</w:t>
            </w:r>
          </w:p>
        </w:tc>
      </w:tr>
      <w:tr w:rsidR="001E4492" w:rsidRPr="00B013A7" w14:paraId="0C554AC6"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1C28EDC" w14:textId="77777777" w:rsidR="001E4492" w:rsidRPr="00B013A7" w:rsidRDefault="001E4492" w:rsidP="009F7356">
            <w:pPr>
              <w:jc w:val="center"/>
              <w:rPr>
                <w:sz w:val="20"/>
                <w14:textOutline w14:w="0" w14:cap="flat" w14:cmpd="sng" w14:algn="ctr">
                  <w14:noFill/>
                  <w14:prstDash w14:val="solid"/>
                  <w14:bevel/>
                </w14:textOutline>
              </w:rPr>
            </w:pPr>
            <w:r w:rsidRPr="00B013A7">
              <w:t xml:space="preserve">Zaklada </w:t>
            </w:r>
            <w:proofErr w:type="spellStart"/>
            <w:r w:rsidRPr="00B013A7">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EF6655" w14:textId="77777777" w:rsidR="001E4492" w:rsidRPr="00B013A7" w:rsidRDefault="001E4492" w:rsidP="009F7356">
            <w:pPr>
              <w:jc w:val="center"/>
              <w:rPr>
                <w:sz w:val="20"/>
              </w:rPr>
            </w:pPr>
            <w:proofErr w:type="spellStart"/>
            <w:r w:rsidRPr="00B013A7">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35D7F9" w14:textId="77777777" w:rsidR="001E4492" w:rsidRPr="00B013A7" w:rsidRDefault="001E4492" w:rsidP="009F7356">
            <w:pPr>
              <w:jc w:val="center"/>
              <w:rPr>
                <w:sz w:val="20"/>
              </w:rPr>
            </w:pPr>
            <w:r w:rsidRPr="00B013A7">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AB2022" w14:textId="77777777" w:rsidR="001E4492" w:rsidRPr="00B013A7" w:rsidRDefault="001E4492" w:rsidP="009F7356">
            <w:pPr>
              <w:jc w:val="center"/>
              <w:rPr>
                <w:sz w:val="20"/>
              </w:rPr>
            </w:pPr>
            <w:r w:rsidRPr="00B013A7">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FC866D" w14:textId="77777777" w:rsidR="001E4492" w:rsidRPr="00B013A7" w:rsidRDefault="001E4492" w:rsidP="009F7356">
            <w:pPr>
              <w:jc w:val="center"/>
              <w:rPr>
                <w:sz w:val="20"/>
              </w:rPr>
            </w:pPr>
            <w:r w:rsidRPr="00B013A7">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BDE7C6" w14:textId="77777777" w:rsidR="001E4492" w:rsidRPr="00B013A7" w:rsidRDefault="001E4492" w:rsidP="009F7356">
            <w:pPr>
              <w:jc w:val="center"/>
              <w:rPr>
                <w:sz w:val="20"/>
              </w:rPr>
            </w:pPr>
            <w:r w:rsidRPr="00B013A7">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719183" w14:textId="77777777" w:rsidR="001E4492" w:rsidRPr="00B013A7" w:rsidRDefault="001E4492" w:rsidP="009F7356">
            <w:pPr>
              <w:jc w:val="center"/>
              <w:rPr>
                <w:sz w:val="20"/>
              </w:rPr>
            </w:pPr>
            <w:r w:rsidRPr="00B013A7">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EE82EB9" w14:textId="77777777" w:rsidR="001E4492" w:rsidRPr="00B013A7" w:rsidRDefault="001E4492" w:rsidP="009F7356">
            <w:pPr>
              <w:jc w:val="center"/>
              <w:rPr>
                <w:sz w:val="20"/>
              </w:rPr>
            </w:pPr>
            <w:r w:rsidRPr="00B013A7">
              <w:rPr>
                <w:sz w:val="20"/>
              </w:rPr>
              <w:t>288 315</w:t>
            </w:r>
          </w:p>
        </w:tc>
      </w:tr>
      <w:tr w:rsidR="001E4492" w:rsidRPr="00B013A7" w14:paraId="28657E79" w14:textId="77777777" w:rsidTr="009F7356">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F22400F" w14:textId="77777777" w:rsidR="001E4492" w:rsidRPr="00B013A7" w:rsidRDefault="001E4492" w:rsidP="009F7356">
            <w:pPr>
              <w:jc w:val="center"/>
              <w:rPr>
                <w:sz w:val="20"/>
                <w14:textOutline w14:w="0" w14:cap="flat" w14:cmpd="sng" w14:algn="ctr">
                  <w14:noFill/>
                  <w14:prstDash w14:val="solid"/>
                  <w14:bevel/>
                </w14:textOutline>
              </w:rPr>
            </w:pPr>
            <w:proofErr w:type="spellStart"/>
            <w:r w:rsidRPr="00B013A7">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0046C9" w14:textId="77777777" w:rsidR="001E4492" w:rsidRPr="00B013A7" w:rsidRDefault="001E4492" w:rsidP="009F7356">
            <w:pPr>
              <w:jc w:val="center"/>
              <w:rPr>
                <w:sz w:val="20"/>
              </w:rPr>
            </w:pPr>
            <w:r w:rsidRPr="00B013A7">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A83D80" w14:textId="77777777" w:rsidR="001E4492" w:rsidRPr="00B013A7" w:rsidRDefault="001E4492" w:rsidP="009F7356">
            <w:pPr>
              <w:jc w:val="center"/>
              <w:rPr>
                <w:sz w:val="20"/>
              </w:rPr>
            </w:pPr>
            <w:r w:rsidRPr="00B013A7">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4C1EFB" w14:textId="77777777" w:rsidR="001E4492" w:rsidRPr="00B013A7" w:rsidRDefault="001E4492" w:rsidP="009F7356">
            <w:pPr>
              <w:jc w:val="center"/>
              <w:rPr>
                <w:sz w:val="20"/>
              </w:rPr>
            </w:pPr>
            <w:r w:rsidRPr="00B013A7">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4D67F7" w14:textId="77777777" w:rsidR="001E4492" w:rsidRPr="00B013A7" w:rsidRDefault="001E4492" w:rsidP="009F7356">
            <w:pPr>
              <w:jc w:val="center"/>
              <w:rPr>
                <w:sz w:val="20"/>
              </w:rPr>
            </w:pPr>
            <w:r w:rsidRPr="00B013A7">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9A2DF8" w14:textId="77777777" w:rsidR="001E4492" w:rsidRPr="00B013A7" w:rsidRDefault="001E4492" w:rsidP="009F7356">
            <w:pPr>
              <w:jc w:val="center"/>
              <w:rPr>
                <w:sz w:val="20"/>
              </w:rPr>
            </w:pPr>
            <w:r w:rsidRPr="00B013A7">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EE2689F" w14:textId="77777777" w:rsidR="001E4492" w:rsidRPr="00B013A7" w:rsidRDefault="001E4492" w:rsidP="009F7356">
            <w:pPr>
              <w:jc w:val="center"/>
              <w:rPr>
                <w:sz w:val="20"/>
              </w:rPr>
            </w:pPr>
            <w:r w:rsidRPr="00B013A7">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2ED47A53" w14:textId="77777777" w:rsidR="001E4492" w:rsidRPr="00B013A7" w:rsidRDefault="001E4492" w:rsidP="009F7356">
            <w:pPr>
              <w:jc w:val="center"/>
              <w:rPr>
                <w:sz w:val="20"/>
              </w:rPr>
            </w:pPr>
            <w:r w:rsidRPr="00B013A7">
              <w:rPr>
                <w:sz w:val="20"/>
              </w:rPr>
              <w:t>8 781</w:t>
            </w:r>
          </w:p>
        </w:tc>
      </w:tr>
      <w:tr w:rsidR="001E4492" w:rsidRPr="00B013A7" w14:paraId="3AC20647" w14:textId="77777777" w:rsidTr="009F7356">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8B1A3E6" w14:textId="77777777" w:rsidR="001E4492" w:rsidRPr="00B013A7" w:rsidRDefault="001E4492" w:rsidP="009F7356">
            <w:pPr>
              <w:jc w:val="center"/>
              <w:rPr>
                <w:b/>
                <w:bCs/>
                <w:sz w:val="20"/>
                <w14:textOutline w14:w="0" w14:cap="flat" w14:cmpd="sng" w14:algn="ctr">
                  <w14:noFill/>
                  <w14:prstDash w14:val="solid"/>
                  <w14:bevel/>
                </w14:textOutline>
              </w:rPr>
            </w:pPr>
            <w:r w:rsidRPr="00B013A7">
              <w:rPr>
                <w:b/>
                <w:sz w:val="20"/>
                <w14:textOutline w14:w="0" w14:cap="flat" w14:cmpd="sng" w14:algn="ctr">
                  <w14:noFill/>
                  <w14:prstDash w14:val="solid"/>
                  <w14:bevel/>
                </w14:textOutline>
              </w:rPr>
              <w:t>UKUPNO</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1E99462" w14:textId="77777777" w:rsidR="001E4492" w:rsidRPr="00B013A7" w:rsidRDefault="001E4492" w:rsidP="009F7356">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8EE47AB" w14:textId="77777777" w:rsidR="001E4492" w:rsidRPr="00B013A7" w:rsidRDefault="001E4492" w:rsidP="009F7356">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84063AF" w14:textId="77777777" w:rsidR="001E4492" w:rsidRPr="00B013A7" w:rsidRDefault="001E4492" w:rsidP="009F7356">
            <w:pPr>
              <w:jc w:val="center"/>
              <w:rPr>
                <w:b/>
                <w:bCs/>
                <w:sz w:val="20"/>
              </w:rPr>
            </w:pPr>
            <w:r w:rsidRPr="00B013A7">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93CEE03" w14:textId="77777777" w:rsidR="001E4492" w:rsidRPr="00B013A7" w:rsidRDefault="001E4492" w:rsidP="009F7356">
            <w:pPr>
              <w:jc w:val="center"/>
              <w:rPr>
                <w:b/>
                <w:bCs/>
                <w:sz w:val="20"/>
              </w:rPr>
            </w:pPr>
            <w:r w:rsidRPr="00B013A7">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183E732" w14:textId="77777777" w:rsidR="001E4492" w:rsidRPr="00B013A7" w:rsidRDefault="001E4492" w:rsidP="009F7356">
            <w:pPr>
              <w:jc w:val="center"/>
              <w:rPr>
                <w:b/>
                <w:bCs/>
                <w:sz w:val="20"/>
              </w:rPr>
            </w:pPr>
            <w:r w:rsidRPr="00B013A7">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C49379E" w14:textId="77777777" w:rsidR="001E4492" w:rsidRPr="00B013A7" w:rsidRDefault="001E4492" w:rsidP="009F7356">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0FE762B2" w14:textId="77777777" w:rsidR="001E4492" w:rsidRPr="00B013A7" w:rsidRDefault="001E4492" w:rsidP="009F7356">
            <w:pPr>
              <w:jc w:val="center"/>
              <w:rPr>
                <w:b/>
                <w:bCs/>
                <w:sz w:val="20"/>
              </w:rPr>
            </w:pPr>
            <w:r w:rsidRPr="00B013A7">
              <w:rPr>
                <w:b/>
                <w:sz w:val="20"/>
              </w:rPr>
              <w:t>2 576 842</w:t>
            </w:r>
          </w:p>
        </w:tc>
      </w:tr>
    </w:tbl>
    <w:p w14:paraId="61924E31" w14:textId="2FA50327" w:rsidR="00E365E1" w:rsidRPr="00B013A7" w:rsidRDefault="00E365E1" w:rsidP="00B002E7"/>
    <w:sectPr w:rsidR="00E365E1" w:rsidRPr="00B013A7" w:rsidSect="00B91BA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5F34C" w14:textId="77777777" w:rsidR="00B002E7" w:rsidRPr="00B91BA5" w:rsidRDefault="00B002E7">
      <w:r w:rsidRPr="00B91BA5">
        <w:separator/>
      </w:r>
    </w:p>
  </w:endnote>
  <w:endnote w:type="continuationSeparator" w:id="0">
    <w:p w14:paraId="7BF5A736" w14:textId="77777777" w:rsidR="00B002E7" w:rsidRPr="00B91BA5" w:rsidRDefault="00B002E7">
      <w:r w:rsidRPr="00B91B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E30D" w14:textId="77777777" w:rsidR="001E4492" w:rsidRPr="00B91BA5" w:rsidRDefault="001E4492" w:rsidP="00345AAD">
    <w:pPr>
      <w:pStyle w:val="EPFooter"/>
    </w:pPr>
    <w:r w:rsidRPr="00B91BA5">
      <w:t>PE</w:t>
    </w:r>
    <w:r w:rsidRPr="00B91BA5">
      <w:rPr>
        <w:rStyle w:val="HideTWBExt"/>
      </w:rPr>
      <w:t>&lt;</w:t>
    </w:r>
    <w:proofErr w:type="spellStart"/>
    <w:r w:rsidRPr="00B91BA5">
      <w:rPr>
        <w:rStyle w:val="HideTWBExt"/>
      </w:rPr>
      <w:t>NoPE</w:t>
    </w:r>
    <w:proofErr w:type="spellEnd"/>
    <w:r w:rsidRPr="00B91BA5">
      <w:rPr>
        <w:rStyle w:val="HideTWBExt"/>
      </w:rPr>
      <w:t>&gt;</w:t>
    </w:r>
    <w:r w:rsidRPr="00B91BA5">
      <w:t>776.734</w:t>
    </w:r>
    <w:r w:rsidRPr="00B91BA5">
      <w:rPr>
        <w:rStyle w:val="HideTWBExt"/>
      </w:rPr>
      <w:t>&lt;/</w:t>
    </w:r>
    <w:proofErr w:type="spellStart"/>
    <w:r w:rsidRPr="00B91BA5">
      <w:rPr>
        <w:rStyle w:val="HideTWBExt"/>
      </w:rPr>
      <w:t>NoPE</w:t>
    </w:r>
    <w:proofErr w:type="spellEnd"/>
    <w:r w:rsidRPr="00B91BA5">
      <w:rPr>
        <w:rStyle w:val="HideTWBExt"/>
      </w:rPr>
      <w:t>&gt;&lt;Version&gt;</w:t>
    </w:r>
    <w:r w:rsidRPr="00B91BA5">
      <w:t>v02-00</w:t>
    </w:r>
    <w:r w:rsidRPr="00B91BA5">
      <w:rPr>
        <w:rStyle w:val="HideTWBExt"/>
      </w:rPr>
      <w:t>&lt;/</w:t>
    </w:r>
    <w:proofErr w:type="spellStart"/>
    <w:r w:rsidRPr="00B91BA5">
      <w:rPr>
        <w:rStyle w:val="HideTWBExt"/>
      </w:rPr>
      <w:t>Version</w:t>
    </w:r>
    <w:proofErr w:type="spellEnd"/>
    <w:r w:rsidRPr="00B91BA5">
      <w:rPr>
        <w:rStyle w:val="HideTWBExt"/>
      </w:rPr>
      <w:t>&gt;</w:t>
    </w:r>
    <w:r w:rsidRPr="00B91BA5">
      <w:tab/>
    </w:r>
    <w:r w:rsidRPr="00B91BA5">
      <w:fldChar w:fldCharType="begin"/>
    </w:r>
    <w:r w:rsidRPr="00B91BA5">
      <w:instrText xml:space="preserve"> PAGE  \* MERGEFORMAT </w:instrText>
    </w:r>
    <w:r w:rsidRPr="00B91BA5">
      <w:fldChar w:fldCharType="separate"/>
    </w:r>
    <w:r w:rsidRPr="00B91BA5">
      <w:rPr>
        <w:noProof/>
      </w:rPr>
      <w:t>48</w:t>
    </w:r>
    <w:r w:rsidRPr="00B91BA5">
      <w:fldChar w:fldCharType="end"/>
    </w:r>
    <w:r w:rsidRPr="00B91BA5">
      <w:t>/</w:t>
    </w:r>
    <w:fldSimple w:instr=" NUMPAGES  \* MERGEFORMAT ">
      <w:r w:rsidRPr="00B91BA5">
        <w:rPr>
          <w:noProof/>
        </w:rPr>
        <w:t>49</w:t>
      </w:r>
    </w:fldSimple>
    <w:r w:rsidRPr="00B91BA5">
      <w:tab/>
    </w:r>
    <w:r w:rsidRPr="00B91BA5">
      <w:rPr>
        <w:rStyle w:val="HideTWBExt"/>
      </w:rPr>
      <w:t>&lt;PathFdR&gt;</w:t>
    </w:r>
    <w:r w:rsidRPr="00B91BA5">
      <w:t>RR\1340476HR.docx</w:t>
    </w:r>
    <w:r w:rsidRPr="00B91BA5">
      <w:rPr>
        <w:rStyle w:val="HideTWBExt"/>
      </w:rPr>
      <w:t>&lt;/</w:t>
    </w:r>
    <w:proofErr w:type="spellStart"/>
    <w:r w:rsidRPr="00B91BA5">
      <w:rPr>
        <w:rStyle w:val="HideTWBExt"/>
      </w:rPr>
      <w:t>PathFdR</w:t>
    </w:r>
    <w:proofErr w:type="spellEnd"/>
    <w:r w:rsidRPr="00B91BA5">
      <w:rPr>
        <w:rStyle w:val="HideTWBExt"/>
      </w:rPr>
      <w:t>&gt;</w:t>
    </w:r>
  </w:p>
  <w:p w14:paraId="4973456F" w14:textId="77777777" w:rsidR="001E4492" w:rsidRPr="00B91BA5" w:rsidRDefault="001E4492" w:rsidP="00345AAD">
    <w:pPr>
      <w:pStyle w:val="EPFooter2"/>
    </w:pPr>
    <w:r w:rsidRPr="00B91BA5">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0B4C" w14:textId="77777777" w:rsidR="001E4492" w:rsidRPr="00B91BA5" w:rsidRDefault="001E4492" w:rsidP="00345AAD">
    <w:pPr>
      <w:pStyle w:val="EPFooter"/>
    </w:pPr>
    <w:r w:rsidRPr="00B91BA5">
      <w:rPr>
        <w:rStyle w:val="HideTWBExt"/>
      </w:rPr>
      <w:t>&lt;PathFdR&gt;</w:t>
    </w:r>
    <w:r w:rsidRPr="00B91BA5">
      <w:t>RR\1340476HR.docx</w:t>
    </w:r>
    <w:r w:rsidRPr="00B91BA5">
      <w:rPr>
        <w:rStyle w:val="HideTWBExt"/>
      </w:rPr>
      <w:t>&lt;/</w:t>
    </w:r>
    <w:proofErr w:type="spellStart"/>
    <w:r w:rsidRPr="00B91BA5">
      <w:rPr>
        <w:rStyle w:val="HideTWBExt"/>
      </w:rPr>
      <w:t>PathFdR</w:t>
    </w:r>
    <w:proofErr w:type="spellEnd"/>
    <w:r w:rsidRPr="00B91BA5">
      <w:rPr>
        <w:rStyle w:val="HideTWBExt"/>
      </w:rPr>
      <w:t>&gt;</w:t>
    </w:r>
    <w:r w:rsidRPr="00B91BA5">
      <w:tab/>
    </w:r>
    <w:r w:rsidRPr="00B91BA5">
      <w:tab/>
      <w:t>PE</w:t>
    </w:r>
    <w:r w:rsidRPr="00B91BA5">
      <w:rPr>
        <w:rStyle w:val="HideTWBExt"/>
      </w:rPr>
      <w:t>&lt;</w:t>
    </w:r>
    <w:proofErr w:type="spellStart"/>
    <w:r w:rsidRPr="00B91BA5">
      <w:rPr>
        <w:rStyle w:val="HideTWBExt"/>
      </w:rPr>
      <w:t>NoPE</w:t>
    </w:r>
    <w:proofErr w:type="spellEnd"/>
    <w:r w:rsidRPr="00B91BA5">
      <w:rPr>
        <w:rStyle w:val="HideTWBExt"/>
      </w:rPr>
      <w:t>&gt;</w:t>
    </w:r>
    <w:r w:rsidRPr="00B91BA5">
      <w:t>776.734</w:t>
    </w:r>
    <w:r w:rsidRPr="00B91BA5">
      <w:rPr>
        <w:rStyle w:val="HideTWBExt"/>
      </w:rPr>
      <w:t>&lt;/</w:t>
    </w:r>
    <w:proofErr w:type="spellStart"/>
    <w:r w:rsidRPr="00B91BA5">
      <w:rPr>
        <w:rStyle w:val="HideTWBExt"/>
      </w:rPr>
      <w:t>NoPE</w:t>
    </w:r>
    <w:proofErr w:type="spellEnd"/>
    <w:r w:rsidRPr="00B91BA5">
      <w:rPr>
        <w:rStyle w:val="HideTWBExt"/>
      </w:rPr>
      <w:t>&gt;&lt;Version&gt;</w:t>
    </w:r>
    <w:r w:rsidRPr="00B91BA5">
      <w:t>v02-00</w:t>
    </w:r>
    <w:r w:rsidRPr="00B91BA5">
      <w:rPr>
        <w:rStyle w:val="HideTWBExt"/>
      </w:rPr>
      <w:t>&lt;/</w:t>
    </w:r>
    <w:proofErr w:type="spellStart"/>
    <w:r w:rsidRPr="00B91BA5">
      <w:rPr>
        <w:rStyle w:val="HideTWBExt"/>
      </w:rPr>
      <w:t>Version</w:t>
    </w:r>
    <w:proofErr w:type="spellEnd"/>
    <w:r w:rsidRPr="00B91BA5">
      <w:rPr>
        <w:rStyle w:val="HideTWBExt"/>
      </w:rPr>
      <w:t>&gt;</w:t>
    </w:r>
  </w:p>
  <w:p w14:paraId="2EAC32EF" w14:textId="77777777" w:rsidR="001E4492" w:rsidRPr="00B91BA5" w:rsidRDefault="001E4492" w:rsidP="00345AAD">
    <w:pPr>
      <w:pStyle w:val="EPFooter2"/>
    </w:pPr>
    <w:r w:rsidRPr="00B91BA5">
      <w:t>HR</w:t>
    </w:r>
    <w:r w:rsidRPr="00B91BA5">
      <w:tab/>
    </w:r>
    <w:r w:rsidRPr="00B91BA5">
      <w:rPr>
        <w:b w:val="0"/>
        <w:i/>
        <w:color w:val="C0C0C0"/>
        <w:sz w:val="22"/>
      </w:rPr>
      <w:t>Ujedinjena u raznolikosti</w:t>
    </w:r>
    <w:r w:rsidRPr="00B91BA5">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A77A" w14:textId="77777777" w:rsidR="00064002" w:rsidRPr="00B91BA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07E1" w14:textId="77777777" w:rsidR="00064002" w:rsidRPr="00B91BA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DD8D" w14:textId="77777777" w:rsidR="00064002" w:rsidRPr="00B91B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1646" w14:textId="77777777" w:rsidR="00B002E7" w:rsidRPr="00B91BA5" w:rsidRDefault="00B002E7">
      <w:r w:rsidRPr="00B91BA5">
        <w:separator/>
      </w:r>
    </w:p>
  </w:footnote>
  <w:footnote w:type="continuationSeparator" w:id="0">
    <w:p w14:paraId="7418C65F" w14:textId="77777777" w:rsidR="00B002E7" w:rsidRPr="00B91BA5" w:rsidRDefault="00B002E7">
      <w:r w:rsidRPr="00B91BA5">
        <w:continuationSeparator/>
      </w:r>
    </w:p>
  </w:footnote>
  <w:footnote w:id="1">
    <w:p w14:paraId="7959FF26" w14:textId="48E1209D"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SL L</w:t>
      </w:r>
      <w:r w:rsidR="00053328">
        <w:rPr>
          <w:sz w:val="24"/>
          <w:lang w:val="hr-HR"/>
        </w:rPr>
        <w:t>,</w:t>
      </w:r>
      <w:r w:rsidRPr="00B91BA5">
        <w:rPr>
          <w:sz w:val="24"/>
          <w:lang w:val="hr-HR"/>
        </w:rPr>
        <w:t xml:space="preserve"> </w:t>
      </w:r>
      <w:r w:rsidR="00053328">
        <w:rPr>
          <w:sz w:val="24"/>
          <w:lang w:val="hr-HR"/>
        </w:rPr>
        <w:t>2024/</w:t>
      </w:r>
      <w:r w:rsidRPr="00B91BA5">
        <w:rPr>
          <w:sz w:val="24"/>
          <w:lang w:val="hr-HR"/>
        </w:rPr>
        <w:t xml:space="preserve">207, 22.2.2024., ELI: </w:t>
      </w:r>
      <w:hyperlink r:id="rId1" w:history="1">
        <w:r w:rsidRPr="00B91BA5">
          <w:rPr>
            <w:rStyle w:val="Hyperlink"/>
            <w:color w:val="0563C1"/>
            <w:sz w:val="24"/>
            <w:lang w:val="hr-HR"/>
          </w:rPr>
          <w:t>http://data.europa.eu/eli/budget/2024/207/oj</w:t>
        </w:r>
      </w:hyperlink>
      <w:r w:rsidRPr="00B91BA5">
        <w:rPr>
          <w:sz w:val="24"/>
          <w:lang w:val="hr-HR"/>
        </w:rPr>
        <w:t>.</w:t>
      </w:r>
    </w:p>
  </w:footnote>
  <w:footnote w:id="2">
    <w:p w14:paraId="0C9E4BDF" w14:textId="386D7563"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SL C, C/2025/4944, 13.10.2025., ELI: </w:t>
      </w:r>
      <w:hyperlink r:id="rId2" w:history="1">
        <w:r w:rsidRPr="00B91BA5">
          <w:rPr>
            <w:rStyle w:val="Hyperlink"/>
            <w:sz w:val="24"/>
            <w:lang w:val="hr-HR"/>
          </w:rPr>
          <w:t>http://data.europa.eu/eli/C/2025/4944/oj</w:t>
        </w:r>
      </w:hyperlink>
      <w:r w:rsidRPr="00B91BA5">
        <w:rPr>
          <w:sz w:val="24"/>
          <w:lang w:val="hr-HR"/>
        </w:rPr>
        <w:t xml:space="preserve">. </w:t>
      </w:r>
    </w:p>
  </w:footnote>
  <w:footnote w:id="3">
    <w:p w14:paraId="2FD14F41" w14:textId="788ECE81"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SL C, C/2025/2817, 6.6.2025., ELI: </w:t>
      </w:r>
      <w:hyperlink r:id="rId3" w:history="1">
        <w:r w:rsidRPr="00B91BA5">
          <w:rPr>
            <w:rStyle w:val="Hyperlink"/>
            <w:sz w:val="24"/>
            <w:lang w:val="hr-HR"/>
          </w:rPr>
          <w:t>http://data.europa.eu/eli/C/2025/2817/oj</w:t>
        </w:r>
      </w:hyperlink>
      <w:r w:rsidRPr="00B91BA5">
        <w:rPr>
          <w:sz w:val="24"/>
          <w:lang w:val="hr-HR"/>
        </w:rPr>
        <w:t>.</w:t>
      </w:r>
    </w:p>
  </w:footnote>
  <w:footnote w:id="4">
    <w:p w14:paraId="0BDA2EA8" w14:textId="07FE7B3E"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SL C, C/2025/5409, 8.10.2025., ELI: </w:t>
      </w:r>
      <w:hyperlink r:id="rId4" w:history="1">
        <w:r w:rsidRPr="00B91BA5">
          <w:rPr>
            <w:rStyle w:val="Hyperlink"/>
            <w:sz w:val="24"/>
            <w:lang w:val="hr-HR"/>
          </w:rPr>
          <w:t>http://data.europa.eu/eli/C/2025/5409/oj</w:t>
        </w:r>
      </w:hyperlink>
      <w:r w:rsidRPr="00B91BA5">
        <w:rPr>
          <w:sz w:val="24"/>
          <w:lang w:val="hr-HR"/>
        </w:rPr>
        <w:t>.</w:t>
      </w:r>
    </w:p>
  </w:footnote>
  <w:footnote w:id="5">
    <w:p w14:paraId="4C3CA5CB" w14:textId="23B1BB49"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SL C, C/2025/5407, 13.10.2025., ELI: </w:t>
      </w:r>
      <w:hyperlink r:id="rId5" w:history="1">
        <w:r w:rsidRPr="00B91BA5">
          <w:rPr>
            <w:rStyle w:val="Hyperlink"/>
            <w:sz w:val="24"/>
            <w:lang w:val="hr-HR"/>
          </w:rPr>
          <w:t>http://data.europa.eu/eli/C/2025/5407/oj</w:t>
        </w:r>
      </w:hyperlink>
      <w:r w:rsidRPr="00B91BA5">
        <w:rPr>
          <w:sz w:val="24"/>
          <w:lang w:val="hr-HR"/>
        </w:rPr>
        <w:t xml:space="preserve">. </w:t>
      </w:r>
    </w:p>
  </w:footnote>
  <w:footnote w:id="6">
    <w:p w14:paraId="4DB13084" w14:textId="149ABEB8"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SL L 193, 30.7.2018., str. 1., ELI: </w:t>
      </w:r>
      <w:hyperlink r:id="rId6" w:history="1">
        <w:r w:rsidRPr="00B91BA5">
          <w:rPr>
            <w:rStyle w:val="Hyperlink"/>
            <w:sz w:val="24"/>
            <w:lang w:val="hr-HR"/>
          </w:rPr>
          <w:t>http://data.europa.eu/eli/reg/2018/1046/oj</w:t>
        </w:r>
      </w:hyperlink>
      <w:r w:rsidRPr="00B91BA5">
        <w:rPr>
          <w:sz w:val="24"/>
          <w:lang w:val="hr-HR"/>
        </w:rPr>
        <w:t>.</w:t>
      </w:r>
    </w:p>
  </w:footnote>
  <w:footnote w:id="7">
    <w:p w14:paraId="219F14A4" w14:textId="1D9C69FD"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SL L</w:t>
      </w:r>
      <w:r w:rsidR="0080435C">
        <w:rPr>
          <w:sz w:val="24"/>
          <w:lang w:val="hr-HR"/>
        </w:rPr>
        <w:t>,</w:t>
      </w:r>
      <w:r w:rsidRPr="00B91BA5">
        <w:rPr>
          <w:sz w:val="24"/>
          <w:lang w:val="hr-HR"/>
        </w:rPr>
        <w:t xml:space="preserve"> 2024/2509, 26.9.2024., ELI: </w:t>
      </w:r>
      <w:hyperlink r:id="rId7" w:history="1">
        <w:r w:rsidRPr="00B91BA5">
          <w:rPr>
            <w:rStyle w:val="Hyperlink"/>
            <w:sz w:val="24"/>
            <w:lang w:val="hr-HR"/>
          </w:rPr>
          <w:t>http://data.europa.eu/eli/reg/2024/2509/oj</w:t>
        </w:r>
      </w:hyperlink>
      <w:r w:rsidRPr="00B91BA5">
        <w:rPr>
          <w:sz w:val="24"/>
          <w:lang w:val="hr-HR"/>
        </w:rPr>
        <w:t>.</w:t>
      </w:r>
    </w:p>
  </w:footnote>
  <w:footnote w:id="8">
    <w:p w14:paraId="6EE7A580" w14:textId="45891075"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Uredba Vijeća (EU, Euratom) 2020/2093 od 17. prosinca 2020. kojom se utvrđuje višegodišnji financijski okvir za razdoblje 2021. – 2027. (SL L 433 I, 22.12.2020., str. </w:t>
      </w:r>
      <w:r w:rsidRPr="00B91BA5">
        <w:rPr>
          <w:sz w:val="24"/>
          <w:lang w:val="hr-HR"/>
        </w:rPr>
        <w:t xml:space="preserve">11., </w:t>
      </w:r>
      <w:r w:rsidRPr="00B91BA5">
        <w:rPr>
          <w:color w:val="333333"/>
          <w:sz w:val="24"/>
          <w:shd w:val="clear" w:color="auto" w:fill="FFFFFF"/>
          <w:lang w:val="hr-HR"/>
        </w:rPr>
        <w:t xml:space="preserve">ELI: </w:t>
      </w:r>
      <w:hyperlink r:id="rId8" w:history="1">
        <w:r w:rsidRPr="00B91BA5">
          <w:rPr>
            <w:rStyle w:val="Hyperlink"/>
            <w:sz w:val="24"/>
            <w:shd w:val="clear" w:color="auto" w:fill="FFFFFF"/>
            <w:lang w:val="hr-HR"/>
          </w:rPr>
          <w:t>http://data.europa.eu/eli/reg/2020/2093/oj</w:t>
        </w:r>
      </w:hyperlink>
      <w:r w:rsidRPr="00B91BA5">
        <w:rPr>
          <w:sz w:val="24"/>
          <w:lang w:val="hr-HR"/>
        </w:rPr>
        <w:t>).</w:t>
      </w:r>
    </w:p>
  </w:footnote>
  <w:footnote w:id="9">
    <w:p w14:paraId="47C51C1B" w14:textId="325F1D28"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Uredba (EU, Euratom) 2023/2841 Europskog parlamenta i Vijeća od 13. prosinca 2023. </w:t>
      </w:r>
      <w:r w:rsidRPr="00B91BA5">
        <w:rPr>
          <w:sz w:val="24"/>
          <w:lang w:val="hr-HR"/>
        </w:rPr>
        <w:t xml:space="preserve">o utvrđivanju mjera za visoku zajedničku razinu kibernetičke sigurnosti u institucijama, tijelima, uredima i agencijama Unije (SL L, 2023/2841, 18.12.2023., ELI: </w:t>
      </w:r>
      <w:hyperlink r:id="rId9" w:history="1">
        <w:r w:rsidRPr="00B91BA5">
          <w:rPr>
            <w:rStyle w:val="Hyperlink"/>
            <w:sz w:val="24"/>
            <w:lang w:val="hr-HR"/>
          </w:rPr>
          <w:t>http://data.europa.eu/eli/reg/2023/2841/oj</w:t>
        </w:r>
      </w:hyperlink>
      <w:r w:rsidRPr="00B91BA5">
        <w:rPr>
          <w:sz w:val="24"/>
          <w:lang w:val="hr-HR"/>
        </w:rPr>
        <w:t>).</w:t>
      </w:r>
    </w:p>
  </w:footnote>
  <w:footnote w:id="10">
    <w:p w14:paraId="6FD41458" w14:textId="24DB0E08"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Uredba (EU) 2024/1689 Europskog parlamenta i Vijeća od 13. lipnja 2024. o utvrđivanju usklađenih pravila o umjetnoj inteligenciji i o izmjeni uredaba (EZ) br. 300/2008, (EU) br. 167/2013, (EU) br. </w:t>
      </w:r>
      <w:r w:rsidRPr="00B91BA5">
        <w:rPr>
          <w:sz w:val="24"/>
          <w:lang w:val="hr-HR"/>
        </w:rPr>
        <w:t xml:space="preserve">168/2013, (EU) 2018/858, (EU) 2018/1139 i (EU) 2019/2144 te direktiva 2014/90/EU, (EU) 2016/797 i (EU) 2020/1828 (Akt o umjetnoj inteligenciji) (SL L, 2024/1689, 12.7.2024., ELI: </w:t>
      </w:r>
      <w:hyperlink r:id="rId10" w:history="1">
        <w:r w:rsidRPr="00B91BA5">
          <w:rPr>
            <w:rStyle w:val="Hyperlink"/>
            <w:sz w:val="24"/>
            <w:lang w:val="hr-HR"/>
          </w:rPr>
          <w:t>http://data.europa.eu/eli/reg/2024/1689/oj</w:t>
        </w:r>
      </w:hyperlink>
      <w:r w:rsidRPr="00B91BA5">
        <w:rPr>
          <w:sz w:val="24"/>
          <w:lang w:val="hr-HR"/>
        </w:rPr>
        <w:t>).</w:t>
      </w:r>
    </w:p>
  </w:footnote>
  <w:footnote w:id="11">
    <w:p w14:paraId="361D5A52" w14:textId="1CA575FF"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Odluka Predsjedništva Europskog parlamenta od 12. lipnja 2023. o izmjeni Provedbenih mjera Statuta zastupnika u Europskom parlamentu (SL C 227, 29.6.2023., str. 5.).</w:t>
      </w:r>
    </w:p>
  </w:footnote>
  <w:footnote w:id="12">
    <w:p w14:paraId="1F1EDA6D" w14:textId="37F99D71"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Uredba (EU, Euratom) 2025/2445 Europskog parlamenta i Vijeća od 26. studenog 2025. o statutu i financiranju europskih političkih stranaka i europskih političkih zaklada (SL L, 2025/2445, 8.12.2025., ELI: </w:t>
      </w:r>
      <w:hyperlink r:id="rId11" w:history="1">
        <w:r w:rsidRPr="00B91BA5">
          <w:rPr>
            <w:rStyle w:val="Hyperlink"/>
            <w:sz w:val="24"/>
            <w:lang w:val="hr-HR"/>
          </w:rPr>
          <w:t>http://data.europa.eu/eli/reg/2025/2445/oj</w:t>
        </w:r>
      </w:hyperlink>
      <w:r w:rsidRPr="00B91BA5">
        <w:rPr>
          <w:sz w:val="24"/>
          <w:lang w:val="hr-HR"/>
        </w:rPr>
        <w:t>).</w:t>
      </w:r>
    </w:p>
  </w:footnote>
  <w:footnote w:id="13">
    <w:p w14:paraId="7DAE4AE1" w14:textId="18229B7A"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Svi iznosi izraženi su u tisućama EUR. </w:t>
      </w:r>
    </w:p>
  </w:footnote>
  <w:footnote w:id="14">
    <w:p w14:paraId="227B9E4A" w14:textId="3534CFAB"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Sastoji se od drugog dijela konačnih sredstava za 2023. i prvog dijela konačnih sredstava za 2024. u skladu s Odlukom Predsjedništva od 09. ožujka 2026.</w:t>
      </w:r>
    </w:p>
  </w:footnote>
  <w:footnote w:id="15">
    <w:p w14:paraId="7B743CCB" w14:textId="603ABB42"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Računovodstvena dokumentacija za 2024. sastavljena u skladu s općeprihvaćenim računovodstvenim načelima i prilagođena učinku reklasifikacija od zaključenja 2024.</w:t>
      </w:r>
    </w:p>
  </w:footnote>
  <w:footnote w:id="16">
    <w:p w14:paraId="354D35A0" w14:textId="45ADB14D"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„Patriots.eu” od srpnja 2024.</w:t>
      </w:r>
    </w:p>
  </w:footnote>
  <w:footnote w:id="17">
    <w:p w14:paraId="6E0F1AF5" w14:textId="0F150C47"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„Europska kršćanska politička stranka” od ožujka 2025.</w:t>
      </w:r>
    </w:p>
  </w:footnote>
  <w:footnote w:id="18">
    <w:p w14:paraId="548A0F0E" w14:textId="3D8AFF00" w:rsidR="001E4492" w:rsidRPr="00B91BA5" w:rsidRDefault="001E4492" w:rsidP="00B91BA5">
      <w:pPr>
        <w:pStyle w:val="FootnoteText"/>
        <w:ind w:left="567" w:hanging="567"/>
        <w:rPr>
          <w:sz w:val="24"/>
          <w:szCs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 xml:space="preserve">Svi iznosi izraženi su u tisućama EUR. </w:t>
      </w:r>
    </w:p>
  </w:footnote>
  <w:footnote w:id="19">
    <w:p w14:paraId="4F707536" w14:textId="0684AC06"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Računovodstvena dokumentacija za 2024. sastavljena u skladu s općeprihvaćenim računovodstvenim načelima i prilagođena učinku reklasifikacija od zaključenja 2024.</w:t>
      </w:r>
    </w:p>
  </w:footnote>
  <w:footnote w:id="20">
    <w:p w14:paraId="284D6C64" w14:textId="5B9FC0EC"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„Novi smjer – Zaklada za europski konzervativizam” od srpnja 2025.</w:t>
      </w:r>
    </w:p>
  </w:footnote>
  <w:footnote w:id="21">
    <w:p w14:paraId="3D43EEA7" w14:textId="476B7824" w:rsidR="001E4492" w:rsidRPr="00B91BA5" w:rsidRDefault="001E4492" w:rsidP="00B91BA5">
      <w:pPr>
        <w:pStyle w:val="FootnoteText"/>
        <w:ind w:left="567" w:hanging="567"/>
        <w:rPr>
          <w:sz w:val="24"/>
          <w:lang w:val="hr-HR"/>
        </w:rPr>
      </w:pPr>
      <w:r w:rsidRPr="00B91BA5">
        <w:rPr>
          <w:rStyle w:val="FootnoteReference"/>
          <w:sz w:val="24"/>
          <w:lang w:val="hr-HR"/>
        </w:rPr>
        <w:footnoteRef/>
      </w:r>
      <w:r w:rsidR="00B91BA5" w:rsidRPr="00B91BA5">
        <w:rPr>
          <w:sz w:val="24"/>
          <w:lang w:val="hr-HR"/>
        </w:rPr>
        <w:t xml:space="preserve"> </w:t>
      </w:r>
      <w:r w:rsidR="00B91BA5" w:rsidRPr="00B91BA5">
        <w:rPr>
          <w:sz w:val="24"/>
          <w:lang w:val="hr-HR"/>
        </w:rPr>
        <w:tab/>
      </w:r>
      <w:r w:rsidRPr="00B91BA5">
        <w:rPr>
          <w:sz w:val="24"/>
          <w:lang w:val="hr-HR"/>
        </w:rPr>
        <w:t>„Zaklada Patrioti za Europu” od listopada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EE74" w14:textId="77777777" w:rsidR="00064002" w:rsidRPr="00B91B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C115" w14:textId="77777777" w:rsidR="00064002" w:rsidRPr="00B91B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5F47" w14:textId="77777777" w:rsidR="00064002" w:rsidRPr="00B91B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4244326">
    <w:abstractNumId w:val="9"/>
  </w:num>
  <w:num w:numId="2" w16cid:durableId="588347371">
    <w:abstractNumId w:val="9"/>
  </w:num>
  <w:num w:numId="3" w16cid:durableId="2075353846">
    <w:abstractNumId w:val="7"/>
  </w:num>
  <w:num w:numId="4" w16cid:durableId="1720781684">
    <w:abstractNumId w:val="7"/>
  </w:num>
  <w:num w:numId="5" w16cid:durableId="52121394">
    <w:abstractNumId w:val="6"/>
  </w:num>
  <w:num w:numId="6" w16cid:durableId="34472344">
    <w:abstractNumId w:val="6"/>
  </w:num>
  <w:num w:numId="7" w16cid:durableId="669261545">
    <w:abstractNumId w:val="5"/>
  </w:num>
  <w:num w:numId="8" w16cid:durableId="554893356">
    <w:abstractNumId w:val="5"/>
  </w:num>
  <w:num w:numId="9" w16cid:durableId="733704233">
    <w:abstractNumId w:val="4"/>
  </w:num>
  <w:num w:numId="10" w16cid:durableId="843473870">
    <w:abstractNumId w:val="4"/>
  </w:num>
  <w:num w:numId="11" w16cid:durableId="1838885039">
    <w:abstractNumId w:val="8"/>
  </w:num>
  <w:num w:numId="12" w16cid:durableId="263155936">
    <w:abstractNumId w:val="8"/>
  </w:num>
  <w:num w:numId="13" w16cid:durableId="1527595944">
    <w:abstractNumId w:val="3"/>
  </w:num>
  <w:num w:numId="14" w16cid:durableId="179008614">
    <w:abstractNumId w:val="3"/>
  </w:num>
  <w:num w:numId="15" w16cid:durableId="327826851">
    <w:abstractNumId w:val="2"/>
  </w:num>
  <w:num w:numId="16" w16cid:durableId="663237683">
    <w:abstractNumId w:val="2"/>
  </w:num>
  <w:num w:numId="17" w16cid:durableId="1354845994">
    <w:abstractNumId w:val="1"/>
  </w:num>
  <w:num w:numId="18" w16cid:durableId="912088878">
    <w:abstractNumId w:val="1"/>
  </w:num>
  <w:num w:numId="19" w16cid:durableId="1877935311">
    <w:abstractNumId w:val="0"/>
  </w:num>
  <w:num w:numId="20" w16cid:durableId="1024209314">
    <w:abstractNumId w:val="0"/>
  </w:num>
  <w:num w:numId="21" w16cid:durableId="210927255">
    <w:abstractNumId w:val="9"/>
  </w:num>
  <w:num w:numId="22" w16cid:durableId="1375156711">
    <w:abstractNumId w:val="7"/>
  </w:num>
  <w:num w:numId="23" w16cid:durableId="2017999267">
    <w:abstractNumId w:val="6"/>
  </w:num>
  <w:num w:numId="24" w16cid:durableId="781418340">
    <w:abstractNumId w:val="5"/>
  </w:num>
  <w:num w:numId="25" w16cid:durableId="1270549018">
    <w:abstractNumId w:val="4"/>
  </w:num>
  <w:num w:numId="26" w16cid:durableId="1226726108">
    <w:abstractNumId w:val="8"/>
  </w:num>
  <w:num w:numId="27" w16cid:durableId="1015423516">
    <w:abstractNumId w:val="3"/>
  </w:num>
  <w:num w:numId="28" w16cid:durableId="139079701">
    <w:abstractNumId w:val="2"/>
  </w:num>
  <w:num w:numId="29" w16cid:durableId="2104688737">
    <w:abstractNumId w:val="1"/>
  </w:num>
  <w:num w:numId="30" w16cid:durableId="847255242">
    <w:abstractNumId w:val="0"/>
  </w:num>
  <w:num w:numId="31" w16cid:durableId="1376736374">
    <w:abstractNumId w:val="9"/>
  </w:num>
  <w:num w:numId="32" w16cid:durableId="2012101149">
    <w:abstractNumId w:val="7"/>
  </w:num>
  <w:num w:numId="33" w16cid:durableId="910508153">
    <w:abstractNumId w:val="6"/>
  </w:num>
  <w:num w:numId="34" w16cid:durableId="166097088">
    <w:abstractNumId w:val="5"/>
  </w:num>
  <w:num w:numId="35" w16cid:durableId="995769883">
    <w:abstractNumId w:val="4"/>
  </w:num>
  <w:num w:numId="36" w16cid:durableId="1214660111">
    <w:abstractNumId w:val="8"/>
  </w:num>
  <w:num w:numId="37" w16cid:durableId="640424675">
    <w:abstractNumId w:val="3"/>
  </w:num>
  <w:num w:numId="38" w16cid:durableId="1410738090">
    <w:abstractNumId w:val="2"/>
  </w:num>
  <w:num w:numId="39" w16cid:durableId="81536421">
    <w:abstractNumId w:val="1"/>
  </w:num>
  <w:num w:numId="40" w16cid:durableId="327055712">
    <w:abstractNumId w:val="0"/>
  </w:num>
  <w:num w:numId="41" w16cid:durableId="801074888">
    <w:abstractNumId w:val="10"/>
  </w:num>
  <w:num w:numId="42" w16cid:durableId="1313295390">
    <w:abstractNumId w:val="10"/>
  </w:num>
  <w:num w:numId="43" w16cid:durableId="1817838845">
    <w:abstractNumId w:val="10"/>
  </w:num>
  <w:num w:numId="44" w16cid:durableId="25184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HR"/>
    <w:docVar w:name="dvnumam" w:val="0"/>
    <w:docVar w:name="dvpe" w:val="776.734"/>
    <w:docVar w:name="dvrapporteur" w:val="Izvjestitelj: "/>
    <w:docVar w:name="dvtitre" w:val="Odluka Europskog parlamenta od .... 2026. o razrješnici za izvršenje općeg proračuna Europske unije za financijsku godinu 2024., dio I. – Europski parlament(2025/2146(DEC))"/>
  </w:docVars>
  <w:rsids>
    <w:rsidRoot w:val="00B002E7"/>
    <w:rsid w:val="00002272"/>
    <w:rsid w:val="00053328"/>
    <w:rsid w:val="00064002"/>
    <w:rsid w:val="000677B9"/>
    <w:rsid w:val="000831BA"/>
    <w:rsid w:val="000A42CC"/>
    <w:rsid w:val="000C3AC1"/>
    <w:rsid w:val="000E7DD9"/>
    <w:rsid w:val="000F18C0"/>
    <w:rsid w:val="0010095E"/>
    <w:rsid w:val="00125B37"/>
    <w:rsid w:val="0018562C"/>
    <w:rsid w:val="00187494"/>
    <w:rsid w:val="001E4492"/>
    <w:rsid w:val="001F32AE"/>
    <w:rsid w:val="002767FF"/>
    <w:rsid w:val="002B18FE"/>
    <w:rsid w:val="002B5493"/>
    <w:rsid w:val="00343214"/>
    <w:rsid w:val="00361C00"/>
    <w:rsid w:val="00395FA1"/>
    <w:rsid w:val="003B4AA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35C"/>
    <w:rsid w:val="00817416"/>
    <w:rsid w:val="00842779"/>
    <w:rsid w:val="00865F67"/>
    <w:rsid w:val="00881A7B"/>
    <w:rsid w:val="008840E5"/>
    <w:rsid w:val="00887B3E"/>
    <w:rsid w:val="008C2AC6"/>
    <w:rsid w:val="00926175"/>
    <w:rsid w:val="00930C23"/>
    <w:rsid w:val="0093193B"/>
    <w:rsid w:val="009509D8"/>
    <w:rsid w:val="00950B64"/>
    <w:rsid w:val="00981893"/>
    <w:rsid w:val="009D62F2"/>
    <w:rsid w:val="00A1687D"/>
    <w:rsid w:val="00A43E52"/>
    <w:rsid w:val="00A4678D"/>
    <w:rsid w:val="00A778C7"/>
    <w:rsid w:val="00AB441E"/>
    <w:rsid w:val="00AB6293"/>
    <w:rsid w:val="00AE0928"/>
    <w:rsid w:val="00AF3B82"/>
    <w:rsid w:val="00AF3F3F"/>
    <w:rsid w:val="00B002E7"/>
    <w:rsid w:val="00B013A7"/>
    <w:rsid w:val="00B12E95"/>
    <w:rsid w:val="00B22876"/>
    <w:rsid w:val="00B558F0"/>
    <w:rsid w:val="00B91BA5"/>
    <w:rsid w:val="00BD48FE"/>
    <w:rsid w:val="00BD7BD8"/>
    <w:rsid w:val="00BE6ADC"/>
    <w:rsid w:val="00C05BFE"/>
    <w:rsid w:val="00C23CD4"/>
    <w:rsid w:val="00C61C0C"/>
    <w:rsid w:val="00C7628B"/>
    <w:rsid w:val="00C941CB"/>
    <w:rsid w:val="00CC2357"/>
    <w:rsid w:val="00CF071A"/>
    <w:rsid w:val="00D058B8"/>
    <w:rsid w:val="00D56C11"/>
    <w:rsid w:val="00D834A0"/>
    <w:rsid w:val="00D872DF"/>
    <w:rsid w:val="00D91E21"/>
    <w:rsid w:val="00DA7FCD"/>
    <w:rsid w:val="00E21871"/>
    <w:rsid w:val="00E2712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7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DFE80"/>
  <w15:chartTrackingRefBased/>
  <w15:docId w15:val="{C30CAC90-E1A6-4085-B765-D71295EF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E44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E4492"/>
    <w:pPr>
      <w:spacing w:before="480" w:after="240"/>
    </w:pPr>
  </w:style>
  <w:style w:type="paragraph" w:customStyle="1" w:styleId="PageHeading">
    <w:name w:val="PageHeading"/>
    <w:basedOn w:val="Normal"/>
    <w:rsid w:val="001E4492"/>
    <w:pPr>
      <w:keepNext/>
      <w:spacing w:after="480"/>
      <w:jc w:val="center"/>
    </w:pPr>
    <w:rPr>
      <w:rFonts w:ascii="Arial" w:hAnsi="Arial" w:cs="Arial"/>
      <w:b/>
    </w:rPr>
  </w:style>
  <w:style w:type="paragraph" w:customStyle="1" w:styleId="NormalBold">
    <w:name w:val="NormalBold"/>
    <w:basedOn w:val="Normal"/>
    <w:rsid w:val="001E4492"/>
    <w:rPr>
      <w:b/>
    </w:rPr>
  </w:style>
  <w:style w:type="paragraph" w:customStyle="1" w:styleId="NormalHanging12a">
    <w:name w:val="NormalHanging12a"/>
    <w:basedOn w:val="Normal"/>
    <w:link w:val="NormalHanging12aChar"/>
    <w:rsid w:val="001E4492"/>
    <w:pPr>
      <w:spacing w:after="240"/>
      <w:ind w:left="567" w:hanging="567"/>
    </w:pPr>
  </w:style>
  <w:style w:type="paragraph" w:customStyle="1" w:styleId="EPFooter">
    <w:name w:val="EPFooter"/>
    <w:basedOn w:val="Normal"/>
    <w:rsid w:val="001E4492"/>
    <w:pPr>
      <w:tabs>
        <w:tab w:val="center" w:pos="4535"/>
        <w:tab w:val="right" w:pos="9071"/>
      </w:tabs>
      <w:spacing w:before="240" w:after="240"/>
    </w:pPr>
    <w:rPr>
      <w:color w:val="010000"/>
      <w:sz w:val="22"/>
    </w:rPr>
  </w:style>
  <w:style w:type="paragraph" w:styleId="Header">
    <w:name w:val="header"/>
    <w:basedOn w:val="Normal"/>
    <w:link w:val="HeaderChar"/>
    <w:rsid w:val="001E4492"/>
    <w:pPr>
      <w:tabs>
        <w:tab w:val="center" w:pos="4513"/>
        <w:tab w:val="right" w:pos="9026"/>
      </w:tabs>
    </w:pPr>
  </w:style>
  <w:style w:type="character" w:customStyle="1" w:styleId="HeaderChar">
    <w:name w:val="Header Char"/>
    <w:basedOn w:val="DefaultParagraphFont"/>
    <w:link w:val="Header"/>
    <w:rsid w:val="001E4492"/>
    <w:rPr>
      <w:sz w:val="24"/>
      <w:lang w:val="hr-HR"/>
    </w:rPr>
  </w:style>
  <w:style w:type="character" w:styleId="Hyperlink">
    <w:name w:val="Hyperlink"/>
    <w:basedOn w:val="DefaultParagraphFont"/>
    <w:rsid w:val="001E4492"/>
    <w:rPr>
      <w:color w:val="0563C1" w:themeColor="hyperlink"/>
      <w:u w:val="single"/>
    </w:rPr>
  </w:style>
  <w:style w:type="character" w:customStyle="1" w:styleId="s1">
    <w:name w:val="s1"/>
    <w:basedOn w:val="DefaultParagraphFont"/>
    <w:rsid w:val="001E4492"/>
  </w:style>
  <w:style w:type="character" w:customStyle="1" w:styleId="NormalHanging12aChar">
    <w:name w:val="NormalHanging12a Char"/>
    <w:basedOn w:val="DefaultParagraphFont"/>
    <w:link w:val="NormalHanging12a"/>
    <w:rsid w:val="001E4492"/>
    <w:rPr>
      <w:sz w:val="24"/>
      <w:lang w:val="hr-HR"/>
    </w:rPr>
  </w:style>
  <w:style w:type="paragraph" w:styleId="Footer">
    <w:name w:val="footer"/>
    <w:basedOn w:val="Normal"/>
    <w:link w:val="FooterChar"/>
    <w:rsid w:val="00B013A7"/>
    <w:pPr>
      <w:tabs>
        <w:tab w:val="center" w:pos="4513"/>
        <w:tab w:val="right" w:pos="9026"/>
      </w:tabs>
    </w:pPr>
  </w:style>
  <w:style w:type="character" w:customStyle="1" w:styleId="FooterChar">
    <w:name w:val="Footer Char"/>
    <w:basedOn w:val="DefaultParagraphFont"/>
    <w:link w:val="Footer"/>
    <w:rsid w:val="00B013A7"/>
    <w:rPr>
      <w:sz w:val="24"/>
      <w:lang w:val="hr-HR"/>
    </w:rPr>
  </w:style>
  <w:style w:type="paragraph" w:styleId="Revision">
    <w:name w:val="Revision"/>
    <w:hidden/>
    <w:uiPriority w:val="99"/>
    <w:semiHidden/>
    <w:rsid w:val="00E21871"/>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s://eur-lex.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13217</Words>
  <Characters>80924</Characters>
  <Application>Microsoft Office Word</Application>
  <DocSecurity>0</DocSecurity>
  <Lines>674</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2026-05-05T12:48:00Z</dcterms:created>
  <dcterms:modified xsi:type="dcterms:W3CDTF">2026-05-05T12:48:00Z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P10_TA(2026)0126_</vt:lpwstr>
  </property>
  <property fmtid="{D5CDD505-2E9C-101B-9397-08002B2CF9AE}" pid="4" name="&lt;Type&gt;">
    <vt:lpwstr>RR</vt:lpwstr>
  </property>
</Properties>
</file>