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6350" w14:paraId="78A683FB" w14:textId="77777777" w:rsidTr="0010095E">
        <w:trPr>
          <w:trHeight w:hRule="exact" w:val="1418"/>
        </w:trPr>
        <w:tc>
          <w:tcPr>
            <w:tcW w:w="6804" w:type="dxa"/>
            <w:shd w:val="clear" w:color="auto" w:fill="auto"/>
            <w:vAlign w:val="center"/>
          </w:tcPr>
          <w:p w14:paraId="62A48C5F" w14:textId="483FD630" w:rsidR="00751A4A" w:rsidRPr="004B6350" w:rsidRDefault="00B27185" w:rsidP="0010095E">
            <w:pPr>
              <w:pStyle w:val="EPName"/>
            </w:pPr>
            <w:r w:rsidRPr="004B6350">
              <w:t>Europos Parlamentas</w:t>
            </w:r>
          </w:p>
          <w:p w14:paraId="5DAA053B" w14:textId="77777777" w:rsidR="00751A4A" w:rsidRPr="004B6350" w:rsidRDefault="005F1B17" w:rsidP="005F1B17">
            <w:pPr>
              <w:pStyle w:val="EPTerm"/>
              <w:rPr>
                <w:rStyle w:val="HideTWBExt"/>
                <w:noProof w:val="0"/>
                <w:vanish w:val="0"/>
                <w:color w:val="auto"/>
              </w:rPr>
            </w:pPr>
            <w:r w:rsidRPr="004B6350">
              <w:t>2024</w:t>
            </w:r>
            <w:r w:rsidR="00817416" w:rsidRPr="004B6350">
              <w:t>-202</w:t>
            </w:r>
            <w:r w:rsidRPr="004B6350">
              <w:t>9</w:t>
            </w:r>
          </w:p>
        </w:tc>
        <w:tc>
          <w:tcPr>
            <w:tcW w:w="2268" w:type="dxa"/>
            <w:shd w:val="clear" w:color="auto" w:fill="auto"/>
          </w:tcPr>
          <w:p w14:paraId="5E9797C7" w14:textId="77777777" w:rsidR="00751A4A" w:rsidRPr="004B6350" w:rsidRDefault="00187494" w:rsidP="0010095E">
            <w:pPr>
              <w:pStyle w:val="EPLogo"/>
            </w:pPr>
            <w:r w:rsidRPr="004B6350">
              <w:rPr>
                <w:lang w:eastAsia="ja-JP"/>
              </w:rPr>
              <w:drawing>
                <wp:inline distT="0" distB="0" distL="0" distR="0" wp14:anchorId="3F5F3FE2" wp14:editId="442293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223A75" w14:textId="77777777" w:rsidR="00D058B8" w:rsidRPr="004B6350" w:rsidRDefault="00D058B8" w:rsidP="004C5D52">
      <w:pPr>
        <w:pStyle w:val="LineTop"/>
      </w:pPr>
    </w:p>
    <w:p w14:paraId="67296129" w14:textId="6DFC5309" w:rsidR="00680577" w:rsidRPr="004B6350" w:rsidRDefault="00B27185" w:rsidP="00680577">
      <w:pPr>
        <w:pStyle w:val="EPBodyTA1"/>
      </w:pPr>
      <w:r w:rsidRPr="004B6350">
        <w:t>PRIIMTI TEKSTAI</w:t>
      </w:r>
    </w:p>
    <w:p w14:paraId="398146C0" w14:textId="77777777" w:rsidR="00D058B8" w:rsidRPr="004B6350" w:rsidRDefault="00D058B8" w:rsidP="00D058B8">
      <w:pPr>
        <w:pStyle w:val="LineBottom"/>
      </w:pPr>
    </w:p>
    <w:p w14:paraId="4D7F3A6C" w14:textId="46D1436B" w:rsidR="00B27185" w:rsidRPr="004B6350" w:rsidRDefault="00B27185" w:rsidP="00B27185">
      <w:pPr>
        <w:pStyle w:val="ATHeading1"/>
      </w:pPr>
      <w:bookmarkStart w:id="0" w:name="TANumber"/>
      <w:r w:rsidRPr="004B6350">
        <w:t>P10_TA(2026)0</w:t>
      </w:r>
      <w:r w:rsidR="00621C8D" w:rsidRPr="004B6350">
        <w:t>126</w:t>
      </w:r>
      <w:bookmarkEnd w:id="0"/>
    </w:p>
    <w:p w14:paraId="48441936" w14:textId="77777777" w:rsidR="00B27185" w:rsidRPr="004B6350" w:rsidRDefault="00B27185" w:rsidP="00B27185">
      <w:pPr>
        <w:pStyle w:val="ATHeading2"/>
      </w:pPr>
      <w:bookmarkStart w:id="1" w:name="title"/>
      <w:r w:rsidRPr="004B6350">
        <w:t>2024 m. biudžeto įvykdymo patvirtinimas: ES bendrasis biudžetas – Europos Parlamentas</w:t>
      </w:r>
      <w:bookmarkEnd w:id="1"/>
    </w:p>
    <w:p w14:paraId="2E8FA355" w14:textId="77777777" w:rsidR="00B27185" w:rsidRPr="004B6350" w:rsidRDefault="00B27185" w:rsidP="00B27185">
      <w:pPr>
        <w:rPr>
          <w:i/>
          <w:vanish/>
        </w:rPr>
      </w:pPr>
      <w:r w:rsidRPr="004B6350">
        <w:rPr>
          <w:i/>
        </w:rPr>
        <w:fldChar w:fldCharType="begin"/>
      </w:r>
      <w:r w:rsidRPr="004B6350">
        <w:rPr>
          <w:i/>
        </w:rPr>
        <w:instrText xml:space="preserve"> TC"(</w:instrText>
      </w:r>
      <w:bookmarkStart w:id="2" w:name="DocNumber"/>
      <w:r w:rsidRPr="004B6350">
        <w:rPr>
          <w:i/>
        </w:rPr>
        <w:instrText>A10-0081/2026</w:instrText>
      </w:r>
      <w:bookmarkEnd w:id="2"/>
      <w:r w:rsidRPr="004B6350">
        <w:rPr>
          <w:i/>
        </w:rPr>
        <w:instrText xml:space="preserve"> - Pranešėjas: Gerben-Jan Gerbrandy)"\l3 \n&gt; \* MERGEFORMAT </w:instrText>
      </w:r>
      <w:r w:rsidRPr="004B6350">
        <w:rPr>
          <w:i/>
        </w:rPr>
        <w:fldChar w:fldCharType="end"/>
      </w:r>
    </w:p>
    <w:p w14:paraId="23DADECD" w14:textId="77777777" w:rsidR="00B27185" w:rsidRPr="004B6350" w:rsidRDefault="00B27185" w:rsidP="00B27185">
      <w:pPr>
        <w:rPr>
          <w:vanish/>
        </w:rPr>
      </w:pPr>
      <w:bookmarkStart w:id="3" w:name="Commission"/>
      <w:r w:rsidRPr="004B6350">
        <w:rPr>
          <w:vanish/>
        </w:rPr>
        <w:t>Biudžeto kontrolės komitetas</w:t>
      </w:r>
      <w:bookmarkEnd w:id="3"/>
    </w:p>
    <w:p w14:paraId="21BC3EDC" w14:textId="77777777" w:rsidR="00B27185" w:rsidRPr="004B6350" w:rsidRDefault="00B27185" w:rsidP="00B27185">
      <w:pPr>
        <w:rPr>
          <w:vanish/>
        </w:rPr>
      </w:pPr>
      <w:bookmarkStart w:id="4" w:name="PE"/>
      <w:r w:rsidRPr="004B6350">
        <w:rPr>
          <w:vanish/>
        </w:rPr>
        <w:t>PE776.734</w:t>
      </w:r>
      <w:bookmarkEnd w:id="4"/>
    </w:p>
    <w:p w14:paraId="64FFE564" w14:textId="26F3FB14" w:rsidR="00B27185" w:rsidRPr="004B6350" w:rsidRDefault="00286C6F" w:rsidP="005A72BF">
      <w:pPr>
        <w:pStyle w:val="ATHeading3"/>
      </w:pPr>
      <w:bookmarkStart w:id="5" w:name="Sujet"/>
      <w:r w:rsidRPr="004B6350">
        <w:t xml:space="preserve">1. </w:t>
      </w:r>
      <w:r w:rsidR="00B27185" w:rsidRPr="004B6350">
        <w:t xml:space="preserve">2026 m. </w:t>
      </w:r>
      <w:r w:rsidR="005A72BF" w:rsidRPr="004B6350">
        <w:t>balandžio</w:t>
      </w:r>
      <w:r w:rsidR="00B27185" w:rsidRPr="004B6350">
        <w:t xml:space="preserve"> </w:t>
      </w:r>
      <w:r w:rsidR="005A72BF" w:rsidRPr="004B6350">
        <w:t>29</w:t>
      </w:r>
      <w:r w:rsidR="00B27185" w:rsidRPr="004B6350">
        <w:t xml:space="preserve"> d. Europos Parlamento sprendimas dėl 2024 finansinių metų Europos Sąjungos bendrojo biudžeto įvykdymo patvirtinimo, I skirsnis – Europos Parlamentas</w:t>
      </w:r>
      <w:bookmarkEnd w:id="5"/>
      <w:r w:rsidR="00B27185" w:rsidRPr="004B6350">
        <w:t xml:space="preserve"> </w:t>
      </w:r>
      <w:bookmarkStart w:id="6" w:name="References"/>
      <w:r w:rsidR="00B27185" w:rsidRPr="004B6350">
        <w:t>(2025/2146(DEC))</w:t>
      </w:r>
      <w:bookmarkEnd w:id="6"/>
    </w:p>
    <w:p w14:paraId="7793F23B" w14:textId="77777777" w:rsidR="00AE1DF7" w:rsidRPr="004B6350" w:rsidRDefault="00AE1DF7" w:rsidP="00AE1DF7">
      <w:pPr>
        <w:pStyle w:val="EPComma"/>
      </w:pPr>
      <w:bookmarkStart w:id="7" w:name="TextBodyBegin"/>
      <w:bookmarkEnd w:id="7"/>
      <w:r w:rsidRPr="004B6350">
        <w:rPr>
          <w:i/>
        </w:rPr>
        <w:t>Europos Parlamentas</w:t>
      </w:r>
      <w:r w:rsidRPr="004B6350">
        <w:t>,</w:t>
      </w:r>
    </w:p>
    <w:p w14:paraId="01C0CB4E" w14:textId="77777777" w:rsidR="00AE1DF7" w:rsidRPr="004B6350" w:rsidRDefault="00AE1DF7" w:rsidP="00AE1DF7">
      <w:pPr>
        <w:pStyle w:val="NormalHanging12a"/>
      </w:pPr>
      <w:r w:rsidRPr="004B6350">
        <w:t>–</w:t>
      </w:r>
      <w:r w:rsidRPr="004B6350">
        <w:tab/>
        <w:t>atsižvelgdamas į 2024 finansinių metų Europos Sąjungos bendrąjį biudžetą</w:t>
      </w:r>
      <w:r w:rsidRPr="004B6350">
        <w:rPr>
          <w:rStyle w:val="FootnoteReference"/>
        </w:rPr>
        <w:footnoteReference w:id="1"/>
      </w:r>
      <w:r w:rsidRPr="004B6350">
        <w:t>,</w:t>
      </w:r>
    </w:p>
    <w:p w14:paraId="5C442B34" w14:textId="77777777" w:rsidR="00AE1DF7" w:rsidRPr="004B6350" w:rsidRDefault="00AE1DF7" w:rsidP="00AE1DF7">
      <w:pPr>
        <w:pStyle w:val="NormalHanging12a"/>
      </w:pPr>
      <w:r w:rsidRPr="004B6350">
        <w:t>–</w:t>
      </w:r>
      <w:r w:rsidRPr="004B6350">
        <w:tab/>
        <w:t>atsižvelgdamas į 2024 finansinių metų Europos Sąjungos konsoliduotąsias metines ataskaitas (COM(2025)0359 – C10</w:t>
      </w:r>
      <w:r w:rsidRPr="004B6350">
        <w:noBreakHyphen/>
        <w:t>0146/2025)</w:t>
      </w:r>
      <w:r w:rsidRPr="004B6350">
        <w:rPr>
          <w:rStyle w:val="FootnoteReference"/>
        </w:rPr>
        <w:footnoteReference w:id="2"/>
      </w:r>
      <w:r w:rsidRPr="004B6350">
        <w:t>,</w:t>
      </w:r>
    </w:p>
    <w:p w14:paraId="3E3A48C1" w14:textId="77777777" w:rsidR="00AE1DF7" w:rsidRPr="004B6350" w:rsidRDefault="00AE1DF7" w:rsidP="00AE1DF7">
      <w:pPr>
        <w:pStyle w:val="NormalHanging12a"/>
      </w:pPr>
      <w:r w:rsidRPr="004B6350">
        <w:t>–</w:t>
      </w:r>
      <w:r w:rsidRPr="004B6350">
        <w:tab/>
        <w:t>atsižvelgdamas į 2024 finansinių metų biudžeto ir finansų valdymo ataskaitą, I skirsnis – Europos Parlamentas</w:t>
      </w:r>
      <w:r w:rsidRPr="004B6350">
        <w:rPr>
          <w:rStyle w:val="FootnoteReference"/>
        </w:rPr>
        <w:footnoteReference w:id="3"/>
      </w:r>
      <w:r w:rsidRPr="004B6350">
        <w:t>,</w:t>
      </w:r>
    </w:p>
    <w:p w14:paraId="5D05DCF1" w14:textId="77777777" w:rsidR="00AE1DF7" w:rsidRPr="004B6350" w:rsidRDefault="00AE1DF7" w:rsidP="00AE1DF7">
      <w:pPr>
        <w:pStyle w:val="NormalHanging12a"/>
      </w:pPr>
      <w:r w:rsidRPr="004B6350">
        <w:t>–</w:t>
      </w:r>
      <w:r w:rsidRPr="004B6350">
        <w:tab/>
        <w:t>atsižvelgdamas į vidaus auditoriaus 2024 finansinių metų metinę ataskaitą,</w:t>
      </w:r>
    </w:p>
    <w:p w14:paraId="44F9F8AB" w14:textId="77777777" w:rsidR="00AE1DF7" w:rsidRPr="004B6350" w:rsidRDefault="00AE1DF7" w:rsidP="00AE1DF7">
      <w:pPr>
        <w:pStyle w:val="NormalHanging12a"/>
      </w:pPr>
      <w:r w:rsidRPr="004B6350">
        <w:t>–</w:t>
      </w:r>
      <w:r w:rsidRPr="004B6350">
        <w:tab/>
        <w:t>atsižvelgdamas į Audito Rūmų metinę ataskaitą dėl 2024 finansinių metų biudžeto vykdymo kartu su institucijų atsakymais</w:t>
      </w:r>
      <w:r w:rsidRPr="004B6350">
        <w:rPr>
          <w:rStyle w:val="FootnoteReference"/>
        </w:rPr>
        <w:t xml:space="preserve"> </w:t>
      </w:r>
      <w:r w:rsidRPr="004B6350">
        <w:rPr>
          <w:rStyle w:val="FootnoteReference"/>
        </w:rPr>
        <w:footnoteReference w:id="4"/>
      </w:r>
      <w:r w:rsidRPr="004B6350">
        <w:t>,</w:t>
      </w:r>
    </w:p>
    <w:p w14:paraId="44C5A045" w14:textId="77777777" w:rsidR="00AE1DF7" w:rsidRPr="004B6350" w:rsidRDefault="00AE1DF7" w:rsidP="00AE1DF7">
      <w:pPr>
        <w:pStyle w:val="NormalHanging12a"/>
      </w:pPr>
      <w:r w:rsidRPr="004B6350">
        <w:t>–</w:t>
      </w:r>
      <w:r w:rsidRPr="004B6350">
        <w:tab/>
        <w:t>atsižvelgdamas į Audito Rūmų pagal Sutarties dėl Europos Sąjungos veikimo 287 straipsnį pateiktą 2024 finansinių metų sąskaitų patikimumo ir pagal jas atliktų operacijų teisėtumo ir tvarkingumo patikinimo pareiškimą</w:t>
      </w:r>
      <w:r w:rsidRPr="004B6350">
        <w:rPr>
          <w:rStyle w:val="FootnoteReference"/>
        </w:rPr>
        <w:footnoteReference w:id="5"/>
      </w:r>
      <w:r w:rsidRPr="004B6350">
        <w:t>,</w:t>
      </w:r>
    </w:p>
    <w:p w14:paraId="6CA26356" w14:textId="77777777" w:rsidR="00AE1DF7" w:rsidRPr="004B6350" w:rsidRDefault="00AE1DF7" w:rsidP="00AE1DF7">
      <w:pPr>
        <w:pStyle w:val="NormalHanging12a"/>
      </w:pPr>
      <w:r w:rsidRPr="004B6350">
        <w:t>–</w:t>
      </w:r>
      <w:r w:rsidRPr="004B6350">
        <w:tab/>
        <w:t>atsižvelgdamas į Sutarties dėl Europos Sąjungos veikimo 314 straipsnio 10 dalį ir 318 straipsnį,</w:t>
      </w:r>
    </w:p>
    <w:p w14:paraId="2CC9C624" w14:textId="77777777" w:rsidR="00AE1DF7" w:rsidRPr="004B6350" w:rsidRDefault="00AE1DF7" w:rsidP="00AE1DF7">
      <w:pPr>
        <w:pStyle w:val="NormalHanging12a"/>
      </w:pPr>
      <w:r w:rsidRPr="004B6350">
        <w:t>–</w:t>
      </w:r>
      <w:r w:rsidRPr="004B6350">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4B6350">
        <w:lastRenderedPageBreak/>
        <w:t>Reglamentas (ES, Euratomas) Nr. 966/2012</w:t>
      </w:r>
      <w:r w:rsidRPr="004B6350">
        <w:rPr>
          <w:rStyle w:val="FootnoteReference"/>
        </w:rPr>
        <w:footnoteReference w:id="6"/>
      </w:r>
      <w:r w:rsidRPr="004B6350">
        <w:t>, ypač į jo 260, 261 ir 262 straipsnius,</w:t>
      </w:r>
    </w:p>
    <w:p w14:paraId="53C31C22" w14:textId="77777777" w:rsidR="00AE1DF7" w:rsidRPr="004B6350" w:rsidRDefault="00AE1DF7" w:rsidP="00AE1DF7">
      <w:pPr>
        <w:pStyle w:val="NormalHanging12a"/>
      </w:pPr>
      <w:r w:rsidRPr="004B6350">
        <w:t>–</w:t>
      </w:r>
      <w:r w:rsidRPr="004B6350">
        <w:tab/>
        <w:t>atsižvelgdamas į 2024 m. rugsėjo 23 d. Europos Parlamento ir Tarybos reglamentą (ES, Euratomas) 2024/2509 dėl Sąjungos bendrajam biudžetui taikomų finansinių taisyklių</w:t>
      </w:r>
      <w:r w:rsidRPr="004B6350">
        <w:rPr>
          <w:rStyle w:val="FootnoteReference"/>
        </w:rPr>
        <w:footnoteReference w:id="7"/>
      </w:r>
      <w:r w:rsidRPr="004B6350">
        <w:t>, ypač į jo 266, 267 ir 268 straipsnius,</w:t>
      </w:r>
    </w:p>
    <w:p w14:paraId="7F1B2202" w14:textId="77777777" w:rsidR="00AE1DF7" w:rsidRPr="004B6350" w:rsidRDefault="00AE1DF7" w:rsidP="00AE1DF7">
      <w:pPr>
        <w:pStyle w:val="NormalHanging12a"/>
      </w:pPr>
      <w:r w:rsidRPr="004B6350">
        <w:t>–</w:t>
      </w:r>
      <w:r w:rsidRPr="004B6350">
        <w:tab/>
        <w:t>atsižvelgdamas į 2018 m. gruodžio 10 d. Biuro sprendimą dėl Europos Parlamento biudžeto vykdymo vidaus taisyklių, ypač į jo 34 straipsnį,</w:t>
      </w:r>
    </w:p>
    <w:p w14:paraId="4EF4A8E0" w14:textId="77777777" w:rsidR="00AE1DF7" w:rsidRPr="004B6350" w:rsidRDefault="00AE1DF7" w:rsidP="00AE1DF7">
      <w:pPr>
        <w:pStyle w:val="NormalHanging12a"/>
      </w:pPr>
      <w:r w:rsidRPr="004B6350">
        <w:t>–</w:t>
      </w:r>
      <w:r w:rsidRPr="004B6350">
        <w:tab/>
        <w:t>atsižvelgdamas į Darbo tvarkos taisyklių 102 straipsnį, 106 straipsnio 3 dalį ir V priedą,</w:t>
      </w:r>
    </w:p>
    <w:p w14:paraId="1AFF86D9" w14:textId="77777777" w:rsidR="00AE1DF7" w:rsidRPr="004B6350" w:rsidRDefault="00AE1DF7" w:rsidP="00AE1DF7">
      <w:pPr>
        <w:pStyle w:val="NormalHanging12a"/>
      </w:pPr>
      <w:r w:rsidRPr="004B6350">
        <w:t>–</w:t>
      </w:r>
      <w:r w:rsidRPr="004B6350">
        <w:tab/>
        <w:t>atsižvelgdamas į Moterų teisių ir lyčių lygybės komiteto nuomonę,</w:t>
      </w:r>
    </w:p>
    <w:p w14:paraId="57E4F4C5" w14:textId="77777777" w:rsidR="00AE1DF7" w:rsidRPr="004B6350" w:rsidRDefault="00AE1DF7" w:rsidP="00AE1DF7">
      <w:pPr>
        <w:pStyle w:val="NormalHanging12a"/>
      </w:pPr>
      <w:r w:rsidRPr="004B6350">
        <w:t>–</w:t>
      </w:r>
      <w:r w:rsidRPr="004B6350">
        <w:tab/>
        <w:t>atsižvelgdamas į Biudžeto kontrolės komiteto pranešimą (A10</w:t>
      </w:r>
      <w:r w:rsidRPr="004B6350">
        <w:noBreakHyphen/>
        <w:t>0081/2026),</w:t>
      </w:r>
    </w:p>
    <w:p w14:paraId="058EFD6A" w14:textId="77777777" w:rsidR="00AE1DF7" w:rsidRPr="004B6350" w:rsidRDefault="00AE1DF7" w:rsidP="00AE1DF7">
      <w:pPr>
        <w:pStyle w:val="NormalHanging12a"/>
      </w:pPr>
      <w:r w:rsidRPr="004B6350">
        <w:t>1.</w:t>
      </w:r>
      <w:r w:rsidRPr="004B6350">
        <w:tab/>
        <w:t>patvirtina Pirmininkei, kad Europos Parlamento 2024 finansinių metų biudžetas įvykdytas;</w:t>
      </w:r>
    </w:p>
    <w:p w14:paraId="599C88CC" w14:textId="77777777" w:rsidR="00AE1DF7" w:rsidRPr="004B6350" w:rsidRDefault="00AE1DF7" w:rsidP="00AE1DF7">
      <w:pPr>
        <w:pStyle w:val="NormalHanging12a"/>
      </w:pPr>
      <w:r w:rsidRPr="004B6350">
        <w:t>2.</w:t>
      </w:r>
      <w:r w:rsidRPr="004B6350">
        <w:tab/>
        <w:t>išdėsto savo pastabas toliau pateikiamoje rezoliucijoje;</w:t>
      </w:r>
    </w:p>
    <w:p w14:paraId="6538EA46" w14:textId="77777777" w:rsidR="00AE1DF7" w:rsidRPr="004B6350" w:rsidRDefault="00AE1DF7" w:rsidP="00AE1DF7">
      <w:pPr>
        <w:pStyle w:val="NormalHanging12a"/>
      </w:pPr>
      <w:r w:rsidRPr="004B6350">
        <w:t>3.</w:t>
      </w:r>
      <w:r w:rsidRPr="004B6350">
        <w:tab/>
        <w:t xml:space="preserve">paveda Pirmininkei perduoti šį sprendimą ir rezoliuciją, kuri yra neatskiriama jo dalis, Tarybai, Komisijai ir Audito Rūmams ir pasirūpinti, kad jie būtų paskelbti </w:t>
      </w:r>
      <w:r w:rsidRPr="004B6350">
        <w:rPr>
          <w:i/>
        </w:rPr>
        <w:t>Europos Sąjungos oficialiajame leidinyje</w:t>
      </w:r>
      <w:r w:rsidRPr="004B6350">
        <w:t xml:space="preserve"> (L serijoje).</w:t>
      </w:r>
    </w:p>
    <w:p w14:paraId="53807C69" w14:textId="77777777" w:rsidR="00AE1DF7" w:rsidRPr="004B6350" w:rsidRDefault="00AE1DF7" w:rsidP="00AE1DF7"/>
    <w:p w14:paraId="0331A117" w14:textId="77777777" w:rsidR="00AE1DF7" w:rsidRPr="004B6350" w:rsidRDefault="00AE1DF7" w:rsidP="00AE1DF7">
      <w:pPr>
        <w:pStyle w:val="PageHeading"/>
        <w:sectPr w:rsidR="00AE1DF7" w:rsidRPr="004B6350" w:rsidSect="0042671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AC163D" w14:textId="67302BB4" w:rsidR="00286C6F" w:rsidRPr="004B6350" w:rsidRDefault="00286C6F" w:rsidP="00286C6F">
      <w:pPr>
        <w:pStyle w:val="ATHeading3"/>
      </w:pPr>
      <w:r w:rsidRPr="004B6350">
        <w:lastRenderedPageBreak/>
        <w:t>2. 2026 m. balandžio 29 d. Europos Parlamento rezoliucija su pastabomis, sudarančiomis neatskiriamą sprendimo dėl 2024 finansinių metų Europos Sąjungos bendrojo biudžeto įvykdymo patvirtinimo, I skirsnis – Europos Parlamentas, dalį (2025/2146(DEC))</w:t>
      </w:r>
    </w:p>
    <w:p w14:paraId="456E514D" w14:textId="77777777" w:rsidR="00AE1DF7" w:rsidRPr="004B6350" w:rsidRDefault="00AE1DF7" w:rsidP="00AE1DF7">
      <w:pPr>
        <w:pStyle w:val="EPComma"/>
      </w:pPr>
      <w:r w:rsidRPr="004B6350">
        <w:rPr>
          <w:i/>
        </w:rPr>
        <w:t>Europos Parlamentas</w:t>
      </w:r>
      <w:r w:rsidRPr="004B6350">
        <w:t>,</w:t>
      </w:r>
    </w:p>
    <w:p w14:paraId="3431D4DC" w14:textId="77777777" w:rsidR="00AE1DF7" w:rsidRPr="004B6350" w:rsidRDefault="00AE1DF7" w:rsidP="00AE1DF7">
      <w:pPr>
        <w:pStyle w:val="NormalHanging12a"/>
      </w:pPr>
      <w:r w:rsidRPr="004B6350">
        <w:t>–</w:t>
      </w:r>
      <w:r w:rsidRPr="004B6350">
        <w:tab/>
        <w:t>atsižvelgdamas į savo sprendimą dėl 2024 finansinių metų Europos Sąjungos bendrojo biudžeto įvykdymo patvirtinimo, I skirsnis – Europos Parlamentas,</w:t>
      </w:r>
    </w:p>
    <w:p w14:paraId="76BFC63F" w14:textId="77777777" w:rsidR="00AE1DF7" w:rsidRPr="004B6350" w:rsidRDefault="00AE1DF7" w:rsidP="00AE1DF7">
      <w:pPr>
        <w:pStyle w:val="NormalHanging12a"/>
      </w:pPr>
      <w:r w:rsidRPr="004B6350">
        <w:t>–</w:t>
      </w:r>
      <w:r w:rsidRPr="004B6350">
        <w:tab/>
        <w:t>atsižvelgdamas į Darbo tvarkos taisyklių 102 straipsnį, 106 straipsnio 3 dalį ir V priedą,</w:t>
      </w:r>
    </w:p>
    <w:p w14:paraId="36256648" w14:textId="77777777" w:rsidR="00AE1DF7" w:rsidRPr="004B6350" w:rsidRDefault="00AE1DF7" w:rsidP="00AE1DF7">
      <w:pPr>
        <w:pStyle w:val="NormalHanging12a"/>
      </w:pPr>
      <w:r w:rsidRPr="004B6350">
        <w:t>–</w:t>
      </w:r>
      <w:r w:rsidRPr="004B6350">
        <w:tab/>
        <w:t>atsižvelgdamas į Moterų teisių ir lyčių lygybės komiteto nuomonę,</w:t>
      </w:r>
    </w:p>
    <w:p w14:paraId="53D1BAB0" w14:textId="77777777" w:rsidR="00AE1DF7" w:rsidRPr="004B6350" w:rsidRDefault="00AE1DF7" w:rsidP="00AE1DF7">
      <w:pPr>
        <w:pStyle w:val="NormalHanging12a"/>
      </w:pPr>
      <w:r w:rsidRPr="004B6350">
        <w:t>–</w:t>
      </w:r>
      <w:r w:rsidRPr="004B6350">
        <w:tab/>
        <w:t>atsižvelgdamas į Biudžeto kontrolės komiteto pranešimą (A10</w:t>
      </w:r>
      <w:r w:rsidRPr="004B6350">
        <w:noBreakHyphen/>
        <w:t>0081/2026),</w:t>
      </w:r>
    </w:p>
    <w:p w14:paraId="2FF3C64F" w14:textId="77777777" w:rsidR="00AE1DF7" w:rsidRPr="004B6350" w:rsidRDefault="00AE1DF7" w:rsidP="00AE1DF7">
      <w:pPr>
        <w:pStyle w:val="NormalHanging12a"/>
      </w:pPr>
      <w:r w:rsidRPr="004B6350">
        <w:t>A.</w:t>
      </w:r>
      <w:r w:rsidRPr="004B6350">
        <w:tab/>
        <w:t>kadangi tvirtindamas galutines ataskaitas Europos Parlamento (toliau – Parlamentas) apskaitos pareigūnas pateikė pagrįstą patikinimą, kad jose visais reikšmingais aspektais teisingai parodyta Parlamento finansinė būklė, operacijų rezultatai ir pinigų srautai;</w:t>
      </w:r>
    </w:p>
    <w:p w14:paraId="360B8C68" w14:textId="77777777" w:rsidR="00AE1DF7" w:rsidRPr="004B6350" w:rsidRDefault="00AE1DF7" w:rsidP="00AE1DF7">
      <w:pPr>
        <w:pStyle w:val="NormalHanging12a"/>
      </w:pPr>
      <w:r w:rsidRPr="004B6350">
        <w:t>B.</w:t>
      </w:r>
      <w:r w:rsidRPr="004B6350">
        <w:tab/>
        <w:t>kadangi pagal įprastą procedūrą Parlamento administracijai buvo pateikti 55 klausimai ir gauti atsakymai raštu, ir jie 2025 m. gruodžio 8 d. buvo viešai aptarti Parlamento Biudžeto kontrolės komitete dalyvaujant generaliniam sekretoriui, už biudžetą atsakingiems Parlamento pirmininko pavaduotojams, vidaus auditoriui bei Europos politinių partijų ir Europos politinių fondų institucijos direktoriui;</w:t>
      </w:r>
    </w:p>
    <w:p w14:paraId="74164519" w14:textId="77777777" w:rsidR="00AE1DF7" w:rsidRPr="004B6350" w:rsidRDefault="00AE1DF7" w:rsidP="00AE1DF7">
      <w:pPr>
        <w:pStyle w:val="NormalHanging12a"/>
      </w:pPr>
      <w:r w:rsidRPr="004B6350">
        <w:t>C.</w:t>
      </w:r>
      <w:r w:rsidRPr="004B6350">
        <w:tab/>
        <w:t>kadangi visada yra galimybių tobulėti ir būtina vykdyti tikrinimą, siekiant užtikrinti, kad politinė vadovybė, Parlamento nariai ir administracija būtų skaidrūs, sąžiningi, taigi atskaitingi Sąjungos piliečiams ir prisidėtų prie geresnės viešųjų finansų valdymo kokybės, didesnio veiksmingumo ir efektyvumo, be kita ko, fiskalinės drausmės, užtikrindami Parlamento patikimumą vykdant kitų institucijų biudžeto įvykdymo patvirtinimo funkciją;</w:t>
      </w:r>
    </w:p>
    <w:p w14:paraId="1565CFB0" w14:textId="77777777" w:rsidR="00AE1DF7" w:rsidRPr="004B6350" w:rsidRDefault="00AE1DF7" w:rsidP="00AE1DF7">
      <w:pPr>
        <w:pStyle w:val="NormalHanging12a"/>
      </w:pPr>
      <w:r w:rsidRPr="004B6350">
        <w:t>D.</w:t>
      </w:r>
      <w:r w:rsidRPr="004B6350">
        <w:tab/>
        <w:t xml:space="preserve">kadangi teisinis tikrumas yra vienas iš svarbiausių principų, kuriuo vadovaujamasi įgyvendinant administracinius sprendimus; kadangi vis didėjantis taisyklių ir pareigų skaičius gali sukelti painiavą ir neaiškumą, kai nariams ir jų biurams būtinas teisinis tikrumas, todėl administracija privalo užtikrinti aiškią, išsamią ir teisiškai pagrįstą komunikaciją; </w:t>
      </w:r>
    </w:p>
    <w:p w14:paraId="7DDD534C" w14:textId="77777777" w:rsidR="00AE1DF7" w:rsidRPr="004B6350" w:rsidRDefault="00AE1DF7" w:rsidP="00AE1DF7">
      <w:pPr>
        <w:pStyle w:val="NormalHanging12a"/>
      </w:pPr>
      <w:r w:rsidRPr="004B6350">
        <w:t>E.</w:t>
      </w:r>
      <w:r w:rsidRPr="004B6350">
        <w:tab/>
        <w:t xml:space="preserve">kadangi Parlamento nariai turi gauti finansinę ir logistinę paramą iš administracijos, kad galėtų visapusiškai vykdyti savo įgaliojimus; kadangi Parlamento narių, jų biurų ir administracijos santykiai grindžiami abipusiu pasitikėjimu, kuris turėtų būti pagrindinis principas teikiant finansinę paramą Parlamento nariams; kadangi ši aplinkybė turėtų matoma kalbant apie administracijos atliekamų </w:t>
      </w:r>
      <w:r w:rsidRPr="004B6350">
        <w:rPr>
          <w:i/>
          <w:iCs/>
        </w:rPr>
        <w:t>ex ante</w:t>
      </w:r>
      <w:r w:rsidRPr="004B6350">
        <w:t xml:space="preserve"> ir </w:t>
      </w:r>
      <w:r w:rsidRPr="004B6350">
        <w:rPr>
          <w:i/>
          <w:iCs/>
        </w:rPr>
        <w:t>ex post</w:t>
      </w:r>
      <w:r w:rsidRPr="004B6350">
        <w:t xml:space="preserve"> patikrinimų ir peržiūrų apimtį; kadangi akivaizdu, kad aiškios, proporcingos, tikslinės, standartizuotos ir supaprastintos procedūros yra geriausias ir veiksmingiausias būdas norint atlikti finansinių išmokų peržiūras ir kontrolę, siekiant galutinio tikslo – užtikrinti aukščiausio lygio skaidrumą ir atskaitomybę, didinti demokratinį teisėtumą, taigi ir Sąjungos piliečių pasitikėjimą;</w:t>
      </w:r>
    </w:p>
    <w:p w14:paraId="2ED18BF0" w14:textId="77777777" w:rsidR="00AE1DF7" w:rsidRPr="004B6350" w:rsidRDefault="00AE1DF7" w:rsidP="00AE1DF7">
      <w:pPr>
        <w:pStyle w:val="NormalHanging12a"/>
      </w:pPr>
      <w:r w:rsidRPr="004B6350">
        <w:t>F.</w:t>
      </w:r>
      <w:r w:rsidRPr="004B6350">
        <w:tab/>
        <w:t xml:space="preserve">kadangi siekiant veikiančios Europos demokratijos, sykiu visapusiškai paisant piliečių </w:t>
      </w:r>
      <w:r w:rsidRPr="004B6350">
        <w:lastRenderedPageBreak/>
        <w:t xml:space="preserve">teisių, nepaprastai svarbus yra pasitikėjimas Parlamento sąžiningumu ir teisine valstybe; </w:t>
      </w:r>
    </w:p>
    <w:p w14:paraId="37F23D72" w14:textId="77777777" w:rsidR="00AE1DF7" w:rsidRPr="004B6350" w:rsidRDefault="00AE1DF7" w:rsidP="00AE1DF7">
      <w:pPr>
        <w:pStyle w:val="NormalHanging12a"/>
      </w:pPr>
      <w:r w:rsidRPr="004B6350">
        <w:t>G.</w:t>
      </w:r>
      <w:r w:rsidRPr="004B6350">
        <w:tab/>
        <w:t>kadangi Parlamento nariai yra apsaugoti pagal atleidimo nuo atsakomybės už balsavimus ir už pareikštas nuomones jiems vykdant savo pareigas principą, taip pat jie yra apsaugoti nuo baudžiamojo persekiojimo ir asmeninės laisvės apribojimų jiems vykdant savo pareigas Parlamente;</w:t>
      </w:r>
    </w:p>
    <w:p w14:paraId="632C0E49" w14:textId="77777777" w:rsidR="00AE1DF7" w:rsidRPr="004B6350" w:rsidRDefault="00AE1DF7" w:rsidP="00AE1DF7">
      <w:pPr>
        <w:pStyle w:val="NormalHanging12a"/>
      </w:pPr>
      <w:r w:rsidRPr="004B6350">
        <w:t>H.</w:t>
      </w:r>
      <w:r w:rsidRPr="004B6350">
        <w:tab/>
        <w:t> kadangi lyčių lygybė ir nelygybės apraiškų panaikinimas yra pagrindinės ES vertybės, įtvirtintos Europos Sąjungos sutarties 2 straipsnyje; kadangi pagal Sutarties dėl Europos Sąjungos veikimo 8 straipsnį Sąjunga yra įsipareigojusi propaguoti lyčių lygybę visose savo veiklos srityse, nustatydama lyčių aspekto integravimo ir biudžeto sudarymo atsižvelgiant į lyčių aspektą principą;</w:t>
      </w:r>
    </w:p>
    <w:p w14:paraId="2C2CF87D" w14:textId="77777777" w:rsidR="00AE1DF7" w:rsidRPr="004B6350" w:rsidRDefault="00AE1DF7" w:rsidP="00AE1DF7">
      <w:pPr>
        <w:pStyle w:val="NormalHanging12a"/>
      </w:pPr>
      <w:r w:rsidRPr="004B6350">
        <w:t>I.</w:t>
      </w:r>
      <w:r w:rsidRPr="004B6350">
        <w:tab/>
        <w:t>kadangi pagal Darbo tvarkos taisyklių 249 straipsnį Biuras priima lyčių lygybės veiksmų planą, kad lyčių perspektyva būtų integruota į visą Parlamento veiklą;</w:t>
      </w:r>
    </w:p>
    <w:p w14:paraId="54459173" w14:textId="77777777" w:rsidR="00AE1DF7" w:rsidRPr="004B6350" w:rsidRDefault="00AE1DF7" w:rsidP="00AE1DF7">
      <w:pPr>
        <w:spacing w:after="240"/>
        <w:rPr>
          <w:b/>
          <w:bCs/>
          <w:i/>
          <w:iCs/>
          <w14:textOutline w14:w="0" w14:cap="flat" w14:cmpd="sng" w14:algn="ctr">
            <w14:noFill/>
            <w14:prstDash w14:val="solid"/>
            <w14:bevel/>
          </w14:textOutline>
        </w:rPr>
      </w:pPr>
      <w:r w:rsidRPr="004B6350">
        <w:rPr>
          <w:b/>
          <w:i/>
          <w14:textOutline w14:w="0" w14:cap="flat" w14:cmpd="sng" w14:algn="ctr">
            <w14:noFill/>
            <w14:prstDash w14:val="solid"/>
            <w14:bevel/>
          </w14:textOutline>
        </w:rPr>
        <w:t>Parlamento biudžeto ir finansų valdymas</w:t>
      </w:r>
    </w:p>
    <w:p w14:paraId="0BE9D1E8"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1</w:t>
      </w:r>
      <w:r w:rsidRPr="004B6350">
        <w:t>.</w:t>
      </w:r>
      <w:r w:rsidRPr="004B6350">
        <w:rPr>
          <w14:textOutline w14:w="0" w14:cap="flat" w14:cmpd="sng" w14:algn="ctr">
            <w14:noFill/>
            <w14:prstDash w14:val="solid"/>
            <w14:bevel/>
          </w14:textOutline>
        </w:rPr>
        <w:tab/>
      </w:r>
      <w:r w:rsidRPr="004B6350">
        <w:t>pažymi, kad galutiniai Parlamento asignavimai 2024 m. iš viso sudarė 2 383 mln. EUR arba 20,2 proc. daugiametės finansinės programos</w:t>
      </w:r>
      <w:r w:rsidRPr="004B6350">
        <w:rPr>
          <w:rStyle w:val="FootnoteReference"/>
        </w:rPr>
        <w:footnoteReference w:id="8"/>
      </w:r>
      <w:r w:rsidRPr="004B6350">
        <w:t xml:space="preserve"> 7 išlaidų kategorijos lėšų, numatytų visoms Sąjungos institucijų 2024 m. administracinėms išlaidoms, ir, palyginti su 2023 m. biudžetu (2 247 mln. EUR), ši suma yra 6,05 proc. didesnė;</w:t>
      </w:r>
    </w:p>
    <w:p w14:paraId="24265EB1"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2</w:t>
      </w:r>
      <w:r w:rsidRPr="004B6350">
        <w:t>.</w:t>
      </w:r>
      <w:r w:rsidRPr="004B6350">
        <w:rPr>
          <w14:textOutline w14:w="0" w14:cap="flat" w14:cmpd="sng" w14:algn="ctr">
            <w14:noFill/>
            <w14:prstDash w14:val="solid"/>
            <w14:bevel/>
          </w14:textOutline>
        </w:rPr>
        <w:tab/>
      </w:r>
      <w:r w:rsidRPr="004B6350">
        <w:t>pažymi, kad 2024 m. gruodžio 31 d. bendra į ataskaitas įtrauktų pajamų suma buvo 281 517 001 EUR (palyginti su 255 205 473 EUR 2023 m.);</w:t>
      </w:r>
      <w:r w:rsidRPr="004B6350">
        <w:rPr>
          <w14:textOutline w14:w="0" w14:cap="flat" w14:cmpd="sng" w14:algn="ctr">
            <w14:noFill/>
            <w14:prstDash w14:val="solid"/>
            <w14:bevel/>
          </w14:textOutline>
        </w:rPr>
        <w:t xml:space="preserve"> </w:t>
      </w:r>
      <w:r w:rsidRPr="004B6350">
        <w:t>pažymi, kad 2024 m. turimos asignuotosios pajamos sudarė 40 277 555 EUR (palyginti su 50 186 995 EUR 2023 m.);</w:t>
      </w:r>
    </w:p>
    <w:p w14:paraId="6F0B629F"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3</w:t>
      </w:r>
      <w:r w:rsidRPr="004B6350">
        <w:t>.</w:t>
      </w:r>
      <w:r w:rsidRPr="004B6350">
        <w:rPr>
          <w14:textOutline w14:w="0" w14:cap="flat" w14:cmpd="sng" w14:algn="ctr">
            <w14:noFill/>
            <w14:prstDash w14:val="solid"/>
            <w14:bevel/>
          </w14:textOutline>
        </w:rPr>
        <w:tab/>
      </w:r>
      <w:r w:rsidRPr="004B6350">
        <w:t>pažymi, kad 85,7 proc. visų įsipareigojimų sudaro šie šeši skyriai:</w:t>
      </w:r>
      <w:r w:rsidRPr="004B6350">
        <w:rPr>
          <w14:textOutline w14:w="0" w14:cap="flat" w14:cmpd="sng" w14:algn="ctr">
            <w14:noFill/>
            <w14:prstDash w14:val="solid"/>
            <w14:bevel/>
          </w14:textOutline>
        </w:rPr>
        <w:t xml:space="preserve"> </w:t>
      </w:r>
      <w:r w:rsidRPr="004B6350">
        <w:t>1 0 skyrius „Institucijos nariai“, 1 2 skyrius „Pareigūnai ir laikinieji darbuotojai“, 1 4 skyrius „Kiti darbuotojai ir išorės paslaugos“, 2 0 skyrius „Pastatai ir su jais susijusios išlaidos“, 2 1 skyrius „Duomenų apdorojimas, įranga ir kilnojamasis turtas“ ir 4 2 skyrius „Parlamento narių padėjėjų išlaidos“;</w:t>
      </w:r>
    </w:p>
    <w:p w14:paraId="22D3620D"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4.</w:t>
      </w:r>
      <w:r w:rsidRPr="004B6350">
        <w:rPr>
          <w14:textOutline w14:w="0" w14:cap="flat" w14:cmpd="sng" w14:algn="ctr">
            <w14:noFill/>
            <w14:prstDash w14:val="solid"/>
            <w14:bevel/>
          </w14:textOutline>
        </w:rPr>
        <w:tab/>
        <w:t>atkreipia dėmesį į skaičius, kuriais remiantis Parlamento 2024 finansinių metų sąskaitos buvo uždarytos ir kurie pateikti Europos Parlamento 2024 finansinių metų metinėse finansinėse ataskaitose, Biudžeto ir finansų valdymo ataskaitoje (I skirsnis. Europos Parlamentas) ir Europos Parlamento skirtų sutarčių ir koncesijų ataskaitoje;</w:t>
      </w:r>
    </w:p>
    <w:p w14:paraId="226562F8"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5</w:t>
      </w:r>
      <w:r w:rsidRPr="004B6350">
        <w:t>.</w:t>
      </w:r>
      <w:r w:rsidRPr="004B6350">
        <w:rPr>
          <w14:textOutline w14:w="0" w14:cap="flat" w14:cmpd="sng" w14:algn="ctr">
            <w14:noFill/>
            <w14:prstDash w14:val="solid"/>
            <w14:bevel/>
          </w14:textOutline>
        </w:rPr>
        <w:tab/>
      </w:r>
      <w:r w:rsidRPr="004B6350">
        <w:t>pažymi, kad 2024 finansiniais metais Parlamento Biudžeto komitetas patvirtino 12 perkėlimų (C perkėlimai) pagal Finansinio reglamento 31 ir 49 straipsnius, jie sudarė 82 768 000 EUR sumą arba 3,47 proc. galutinių asignavimų;</w:t>
      </w:r>
      <w:r w:rsidRPr="004B6350">
        <w:rPr>
          <w14:textOutline w14:w="0" w14:cap="flat" w14:cmpd="sng" w14:algn="ctr">
            <w14:noFill/>
            <w14:prstDash w14:val="solid"/>
            <w14:bevel/>
          </w14:textOutline>
        </w:rPr>
        <w:t xml:space="preserve"> </w:t>
      </w:r>
      <w:r w:rsidRPr="004B6350">
        <w:t>pažymi, kad Pirmininkė leido atlikti 9 perkėlimus (P perkėlimai) pagal Finansinio reglamento 29 straipsnį, jie sudarė 11 479 000 EUR sumą arba 0,4 proc. 2024 m. biudžeto;</w:t>
      </w:r>
    </w:p>
    <w:p w14:paraId="26927A32" w14:textId="77777777" w:rsidR="00AE1DF7" w:rsidRPr="004B6350" w:rsidRDefault="00AE1DF7" w:rsidP="00AE1DF7">
      <w:pPr>
        <w:spacing w:after="240"/>
        <w:ind w:left="567" w:hanging="567"/>
      </w:pPr>
      <w:r w:rsidRPr="004B6350">
        <w:rPr>
          <w14:textOutline w14:w="0" w14:cap="flat" w14:cmpd="sng" w14:algn="ctr">
            <w14:noFill/>
            <w14:prstDash w14:val="solid"/>
            <w14:bevel/>
          </w14:textOutline>
        </w:rPr>
        <w:t>6</w:t>
      </w:r>
      <w:r w:rsidRPr="004B6350">
        <w:t>.</w:t>
      </w:r>
      <w:r w:rsidRPr="004B6350">
        <w:rPr>
          <w14:textOutline w14:w="0" w14:cap="flat" w14:cmpd="sng" w14:algn="ctr">
            <w14:noFill/>
            <w14:prstDash w14:val="solid"/>
            <w14:bevel/>
          </w14:textOutline>
        </w:rPr>
        <w:tab/>
      </w:r>
      <w:r w:rsidRPr="004B6350">
        <w:t xml:space="preserve">palankiai vertina generalinio sekretoriaus įsipareigojimą vykdyti supaprastinimą, užtikrinti gerą administravimą ir stiprinti Parlamento tikrinimo funkciją; su pasitenkinimu pažymi, kad supaprastinimas laikomas ne tik siektinu tikslu, bet ir </w:t>
      </w:r>
      <w:r w:rsidRPr="004B6350">
        <w:lastRenderedPageBreak/>
        <w:t>pagrindiniu principu, kuris turi būti sistemingai taikomas visose Parlamento darbo srityse, užtikrinant veiksmingesnius ir prieinamesnius (administracinius) procesus; palankiai vertina tai, kad toliau akcentuojama Parlamento pagrindinė veikla, t. y. teisėkūros, biudžeto ir tikrinimo veikla, ir ypač tai, kad įsteigti keturi teminiai generaliniai direktoratai, įskaitant Biudžeto reikalų generalinį direktoratą;</w:t>
      </w:r>
    </w:p>
    <w:p w14:paraId="5C66892F" w14:textId="77777777" w:rsidR="00AE1DF7" w:rsidRPr="004B6350" w:rsidRDefault="00AE1DF7" w:rsidP="00AE1DF7">
      <w:pPr>
        <w:spacing w:after="240"/>
        <w:rPr>
          <w:b/>
          <w:bCs/>
          <w:i/>
          <w:iCs/>
          <w14:textOutline w14:w="0" w14:cap="flat" w14:cmpd="sng" w14:algn="ctr">
            <w14:noFill/>
            <w14:prstDash w14:val="solid"/>
            <w14:bevel/>
          </w14:textOutline>
        </w:rPr>
      </w:pPr>
      <w:r w:rsidRPr="004B6350">
        <w:rPr>
          <w:b/>
          <w:i/>
          <w14:textOutline w14:w="0" w14:cap="flat" w14:cmpd="sng" w14:algn="ctr">
            <w14:noFill/>
            <w14:prstDash w14:val="solid"/>
            <w14:bevel/>
          </w14:textOutline>
        </w:rPr>
        <w:t>Europos Audito Rūmų nuomonės dėl 2024 m. finansinių ataskaitų patikimumo ir jose atspindimų operacijų teisėtumo ir tvarkingumo</w:t>
      </w:r>
    </w:p>
    <w:p w14:paraId="64A9B2AE"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7</w:t>
      </w:r>
      <w:r w:rsidRPr="004B6350">
        <w:t>.</w:t>
      </w:r>
      <w:r w:rsidRPr="004B6350">
        <w:rPr>
          <w14:textOutline w14:w="0" w14:cap="flat" w14:cmpd="sng" w14:algn="ctr">
            <w14:noFill/>
            <w14:prstDash w14:val="solid"/>
            <w14:bevel/>
          </w14:textOutline>
        </w:rPr>
        <w:tab/>
        <w:t xml:space="preserve">primena, kad Europos Audito Rūmai (toliau – Audito Rūmai) atlieka specialųjį visų Sąjungos institucijų administracinių ir kitų išlaidų, kaip vienos politikos grupės, vertinimą; </w:t>
      </w:r>
      <w:r w:rsidRPr="004B6350">
        <w:t>pabrėžia, kad administracinės išlaidos – tai išlaidos žmogiškiesiems ištekliams, įskaitant pensijas, kurios 2024 m. sudarė apie 69 proc. bendros administracinių išlaidų sumos, ir išlaidos pastatams, įrangai, energijai, komunikacijai ir informacinėms technologijoms;</w:t>
      </w:r>
      <w:r w:rsidRPr="004B6350">
        <w:rPr>
          <w14:textOutline w14:w="0" w14:cap="flat" w14:cmpd="sng" w14:algn="ctr">
            <w14:noFill/>
            <w14:prstDash w14:val="solid"/>
            <w14:bevel/>
          </w14:textOutline>
        </w:rPr>
        <w:t xml:space="preserve"> pabrėžia, kad iš Audito Rūmų daugelį metų atliekamo darbo rezultatų matyti, kad apskritai šios išlaidos yra mažos rizikos;</w:t>
      </w:r>
    </w:p>
    <w:p w14:paraId="5D38988C"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8</w:t>
      </w:r>
      <w:r w:rsidRPr="004B6350">
        <w:t>.</w:t>
      </w:r>
      <w:r w:rsidRPr="004B6350">
        <w:rPr>
          <w14:textOutline w14:w="0" w14:cap="flat" w14:cmpd="sng" w14:algn="ctr">
            <w14:noFill/>
            <w14:prstDash w14:val="solid"/>
            <w14:bevel/>
          </w14:textOutline>
        </w:rPr>
        <w:tab/>
      </w:r>
      <w:r w:rsidRPr="004B6350">
        <w:t xml:space="preserve">pažymi, kad daugiametės finansinės programos 7 išlaidų kategorijai „Europos viešasis administravimas“ 2024 m. skirta 13,3 mlrd. EUR arba 6,9 proc. Sąjungos biudžeto, iš jų Parlamentui teko 2,4 mlrd. EUR arba 18,1 proc.; </w:t>
      </w:r>
      <w:r w:rsidRPr="004B6350">
        <w:rPr>
          <w14:textOutline w14:w="0" w14:cap="flat" w14:cmpd="sng" w14:algn="ctr">
            <w14:noFill/>
            <w14:prstDash w14:val="solid"/>
            <w14:bevel/>
          </w14:textOutline>
        </w:rPr>
        <w:t>pabrėžia, kad Audito Rūmai nustatė, jog kategorijos „Europos viešasis administravimas“ išlaidose klaidų lygis nebuvo reikšmingas;</w:t>
      </w:r>
    </w:p>
    <w:p w14:paraId="5F411CCE" w14:textId="77777777" w:rsidR="00AE1DF7" w:rsidRPr="004B6350" w:rsidRDefault="00AE1DF7" w:rsidP="00AE1DF7">
      <w:pPr>
        <w:spacing w:after="240"/>
        <w:ind w:left="567" w:hanging="567"/>
      </w:pPr>
      <w:r w:rsidRPr="004B6350">
        <w:rPr>
          <w14:textOutline w14:w="0" w14:cap="flat" w14:cmpd="sng" w14:algn="ctr">
            <w14:noFill/>
            <w14:prstDash w14:val="solid"/>
            <w14:bevel/>
          </w14:textOutline>
        </w:rPr>
        <w:t>9</w:t>
      </w:r>
      <w:r w:rsidRPr="004B6350">
        <w:t>.</w:t>
      </w:r>
      <w:r w:rsidRPr="004B6350">
        <w:rPr>
          <w14:textOutline w14:w="0" w14:cap="flat" w14:cmpd="sng" w14:algn="ctr">
            <w14:noFill/>
            <w14:prstDash w14:val="solid"/>
            <w14:bevel/>
          </w14:textOutline>
        </w:rPr>
        <w:tab/>
      </w:r>
      <w:r w:rsidRPr="004B6350">
        <w:t xml:space="preserve">pažymi, kad Audito Rūmų metinėje ataskaitoje dėl 2024 finansinių metų biudžeto vykdymo konkrečiai aptartos Parlamento priežiūros ir kontrolės sistemos, visų pirma vidaus kontrolės standartų įgyvendinimas, rizikos valdymas ir Finansiniame reglamente apibrėžtų pagrindinių kontrolės priemonių, įskaitant mokėjimų </w:t>
      </w:r>
      <w:r w:rsidRPr="004B6350">
        <w:rPr>
          <w:i/>
          <w:iCs/>
        </w:rPr>
        <w:t>ex ante</w:t>
      </w:r>
      <w:r w:rsidRPr="004B6350">
        <w:t xml:space="preserve"> ir </w:t>
      </w:r>
      <w:r w:rsidRPr="004B6350">
        <w:rPr>
          <w:i/>
          <w:iCs/>
        </w:rPr>
        <w:t>ex post</w:t>
      </w:r>
      <w:r w:rsidRPr="004B6350">
        <w:t xml:space="preserve"> kontrolę, veikimas, taip pat statistiškai reprezentatyvi 70 operacijų imtis, apimanti visas šios daugiametės finansinės programos išlaidų kategorijos išlaidas, ir visų Sąjungos institucijų ir įstaigų metinėse veiklos ataskaitose pateikta informacija apie taisyklių ir reglamentų laikymąsi;</w:t>
      </w:r>
    </w:p>
    <w:p w14:paraId="5FFB04E4" w14:textId="77777777" w:rsidR="00AE1DF7" w:rsidRPr="004B6350" w:rsidRDefault="00AE1DF7" w:rsidP="00AE1DF7">
      <w:pPr>
        <w:pStyle w:val="NormalHanging12a"/>
      </w:pPr>
      <w:r w:rsidRPr="004B6350">
        <w:t>10.</w:t>
      </w:r>
      <w:r w:rsidRPr="004B6350">
        <w:tab/>
        <w:t>atkreipia dėmesį į Audito Rūmų pastabas dėl Parlamento vidaus taisyklių; pažymi, kad Parlamento administracija turi laikytis Finansinio reglamento ir jame nustatytų viešųjų pirkimų taisyklių; vis dėlto pažymi, kad Biuras patvirtino frakcijoms skirtas Biudžeto 400 punkto asignavimų panaudojimo taisykles, kuriose yra keletas konkrečių nuostatų dėl tam tikrų viešųjų pirkimų procedūrų; primena, kad frakcijos valdo joms skirtas lėšas pagal netiesioginio lėšų valdymo principus, analogiškai taikant Finansinio reglamento 62 straipsnio 1 dalies c punktą; mano, kad būtent šios taisyklės pakeičia susitarimus dėl įnašų, nurodytus Finansinio reglamento 158 straipsnio 7 dalyje; pabrėžia, kad vienas kiekvienos grupės išorės auditorius, atrinktas iš Parlamento administracijos sudaryto audito įmonių sąrašo, tvirtina jų atitinkamas metines ataskaitas, kad užtikrintų atitiktį, kuria užtikrinamas neutralus kontrolės lygis; pabrėžia, kad Audito Rūmai savo metinėje ataskaitoje taip pat nagrinėja frakcijų veiklą;</w:t>
      </w:r>
    </w:p>
    <w:p w14:paraId="3BF79AE9" w14:textId="77777777" w:rsidR="00AE1DF7" w:rsidRPr="004B6350" w:rsidRDefault="00AE1DF7" w:rsidP="00AE1DF7">
      <w:pPr>
        <w:pStyle w:val="NormalHanging12a"/>
      </w:pPr>
      <w:r w:rsidRPr="004B6350">
        <w:t>11.</w:t>
      </w:r>
      <w:r w:rsidRPr="004B6350">
        <w:tab/>
        <w:t xml:space="preserve">pažymi, kad į audito įmonių, atrinktų atlikti frakcijų sąskaitų auditą, sąrašą buvo įtraukti tik trys auditoriai, ir apgailestauja dėl riboto pasirinkimo; ragina Finansų generalinį direktoratą (FINS GD) stengtis į sąrašą įtraukti daugiau išorės audito įmonių, aktyviai kviečiant visus kvalifikuotus Europos auditorius, įskaitant įsisteigusius ne Belgijoje, taip suteikiant pakankamai galimybių frakcijoms pasirinkti iš daugiau auditorių, atitinkančių Tarptautinių audito ir patikinimo standartų valdybos (TAPSV) </w:t>
      </w:r>
      <w:r w:rsidRPr="004B6350">
        <w:lastRenderedPageBreak/>
        <w:t xml:space="preserve">reikalavimus; be to, mano, kad, siekiant užtikrinti kruopštesnį patikimo finansų valdymo auditą ir pritraukti daugiau audito ekspertų, turėtų būti padidintas frakcijoms audito tikslais skiriamas biudžetas; atkreipia dėmesį į išorės auditoriams jau pateiktą kryptį ir gaires ir ragina FINS GD užtikrinti išorės auditų, kuriais patvirtinamos frakcijų sąskaitos, kokybę; </w:t>
      </w:r>
    </w:p>
    <w:p w14:paraId="24FEAEB1" w14:textId="77777777" w:rsidR="00AE1DF7" w:rsidRPr="004B6350" w:rsidRDefault="00AE1DF7" w:rsidP="00AE1DF7">
      <w:pPr>
        <w:spacing w:after="240"/>
        <w:ind w:left="567" w:hanging="567"/>
      </w:pPr>
      <w:r w:rsidRPr="004B6350">
        <w:rPr>
          <w14:textOutline w14:w="0" w14:cap="flat" w14:cmpd="sng" w14:algn="ctr">
            <w14:noFill/>
            <w14:prstDash w14:val="solid"/>
            <w14:bevel/>
          </w14:textOutline>
        </w:rPr>
        <w:t>12</w:t>
      </w:r>
      <w:r w:rsidRPr="004B6350">
        <w:t>.</w:t>
      </w:r>
      <w:r w:rsidRPr="004B6350">
        <w:rPr>
          <w14:textOutline w14:w="0" w14:cap="flat" w14:cmpd="sng" w14:algn="ctr">
            <w14:noFill/>
            <w14:prstDash w14:val="solid"/>
            <w14:bevel/>
          </w14:textOutline>
        </w:rPr>
        <w:tab/>
      </w:r>
      <w:r w:rsidRPr="004B6350">
        <w:t>pažymi, kad pagal Biudžeto 400 punkto asignavimų panaudojimo taisyklių 1.4 straipsnį frakcijos atsiskaito institucijai už asignavimų panaudojimą neviršydamos Biuro joms suteiktų įgaliojimų; pažymi, jog jos užtikrina, kad asignavimai būtų naudojami pagal šias taisykles; palankiai vertina Parlamento administracijos pastangas padėti frakcijoms siekiant ugdyti jų žinias ir gebėjimus finansų valdymo srityje;</w:t>
      </w:r>
    </w:p>
    <w:p w14:paraId="5980922B" w14:textId="77777777" w:rsidR="00AE1DF7" w:rsidRPr="004B6350" w:rsidRDefault="00AE1DF7" w:rsidP="00AE1DF7">
      <w:pPr>
        <w:spacing w:after="240"/>
        <w:ind w:left="567" w:hanging="567"/>
      </w:pPr>
      <w:r w:rsidRPr="004B6350">
        <w:t>13.</w:t>
      </w:r>
      <w:r w:rsidRPr="004B6350">
        <w:tab/>
        <w:t>primena, kad Sąjungos biudžeto lėšos gali būti skiriamos Europos politinėms partijoms, atsižvelgiant į jų įnašą formuojant europinį politinį sąmoningumą ir reiškiant Sąjungos piliečių politinę valią; pažymi, kad Audito Rūmai auditavo vieną operaciją, kurios išlaidas jie laikė netinkamomis finansuoti, ir nustatė, kad Parlamento administracija laikėsi tos pačios nuomonės ir ėmėsi veiksmų susijusioms išlaidoms susigrąžinti; palankiai vertina Parlamento administracijos elgesį šiuo atveju, ypač jos įsipareigojimą laikytis horizontaliojo požiūrio, kuriuo užtikrinamas vienodas visų politinių partijų traktavimas;</w:t>
      </w:r>
    </w:p>
    <w:p w14:paraId="34745B9B" w14:textId="77777777" w:rsidR="00AE1DF7" w:rsidRPr="004B6350" w:rsidRDefault="00AE1DF7" w:rsidP="00AE1DF7">
      <w:pPr>
        <w:spacing w:after="240"/>
        <w:rPr>
          <w:b/>
          <w:bCs/>
          <w:i/>
          <w:iCs/>
          <w14:textOutline w14:w="0" w14:cap="flat" w14:cmpd="sng" w14:algn="ctr">
            <w14:noFill/>
            <w14:prstDash w14:val="solid"/>
            <w14:bevel/>
          </w14:textOutline>
        </w:rPr>
      </w:pPr>
      <w:r w:rsidRPr="004B6350">
        <w:rPr>
          <w:b/>
          <w:i/>
          <w14:textOutline w14:w="0" w14:cap="flat" w14:cmpd="sng" w14:algn="ctr">
            <w14:noFill/>
            <w14:prstDash w14:val="solid"/>
            <w14:bevel/>
          </w14:textOutline>
        </w:rPr>
        <w:t>Vidaus auditoriaus metinė ataskaita</w:t>
      </w:r>
    </w:p>
    <w:p w14:paraId="6EEB16EF" w14:textId="77777777" w:rsidR="00AE1DF7" w:rsidRPr="004B6350" w:rsidRDefault="00AE1DF7" w:rsidP="00AE1DF7">
      <w:pPr>
        <w:spacing w:after="240"/>
        <w:ind w:left="567" w:hanging="567"/>
      </w:pPr>
      <w:r w:rsidRPr="004B6350">
        <w:rPr>
          <w14:textOutline w14:w="0" w14:cap="flat" w14:cmpd="sng" w14:algn="ctr">
            <w14:noFill/>
            <w14:prstDash w14:val="solid"/>
            <w14:bevel/>
          </w14:textOutline>
        </w:rPr>
        <w:t>14.</w:t>
      </w:r>
      <w:r w:rsidRPr="004B6350">
        <w:rPr>
          <w14:textOutline w14:w="0" w14:cap="flat" w14:cmpd="sng" w14:algn="ctr">
            <w14:noFill/>
            <w14:prstDash w14:val="solid"/>
            <w14:bevel/>
          </w14:textOutline>
        </w:rPr>
        <w:tab/>
      </w:r>
      <w:r w:rsidRPr="004B6350">
        <w:t>pažymi, kad 2025 m. gruodžio 8 d. įvykusiame atsakingo komiteto ir vidaus auditoriaus susitikime vidaus auditorius pristatė savo metinę ataskaitą;</w:t>
      </w:r>
    </w:p>
    <w:p w14:paraId="4BDBAF8E" w14:textId="77777777" w:rsidR="00AE1DF7" w:rsidRPr="004B6350" w:rsidRDefault="00AE1DF7" w:rsidP="00AE1DF7">
      <w:pPr>
        <w:spacing w:after="240"/>
        <w:ind w:left="567" w:hanging="567"/>
      </w:pPr>
      <w:r w:rsidRPr="004B6350">
        <w:rPr>
          <w14:textOutline w14:w="0" w14:cap="flat" w14:cmpd="sng" w14:algn="ctr">
            <w14:noFill/>
            <w14:prstDash w14:val="solid"/>
            <w14:bevel/>
          </w14:textOutline>
        </w:rPr>
        <w:t>15.</w:t>
      </w:r>
      <w:r w:rsidRPr="004B6350">
        <w:rPr>
          <w14:textOutline w14:w="0" w14:cap="flat" w14:cmpd="sng" w14:algn="ctr">
            <w14:noFill/>
            <w14:prstDash w14:val="solid"/>
            <w14:bevel/>
          </w14:textOutline>
        </w:rPr>
        <w:tab/>
      </w:r>
      <w:r w:rsidRPr="004B6350">
        <w:t>palankiai vertina ir remia veiksmus, dėl kurių vidaus auditorius susitarė su atsakingais generaliniais direktoratais po to, kai Vidaus audito tarnyba (IAS) atliko patikinimo užduotis; pažymi, kad tolesni veiksmai dėl šių rekomendacijų yra sistemingai audituojami;</w:t>
      </w:r>
    </w:p>
    <w:p w14:paraId="45EAC79B"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16.</w:t>
      </w:r>
      <w:r w:rsidRPr="004B6350">
        <w:rPr>
          <w14:textOutline w14:w="0" w14:cap="flat" w14:cmpd="sng" w14:algn="ctr">
            <w14:noFill/>
            <w14:prstDash w14:val="solid"/>
            <w14:bevel/>
          </w14:textOutline>
        </w:rPr>
        <w:tab/>
        <w:t>pažymi, kad 2024 m. įvykdžius tolesnių veiksmų procesą laikoma, kad 24 iš 57 veiksmų buvo veiksmingai įgyvendinti, todėl IAS juos patvirtino; pažymi, kad 33 nebaigtų veiksmų liekamosios rizikos profilis buvo susijęs su 24 veiksmais, kuriems būdinga didelė rizika, daugiausia susijusi su kibernetiniu saugumu bei tapatybės ir prieigos valdymu; pažymi, kad buvo sustiprintas bendradarbiavimas su Informacinių technologijų ir kibernetinio saugumo generaliniu direktoratu (ITEC GD) siekiant stebėti įgyvendinimą ir liekamąją riziką;</w:t>
      </w:r>
    </w:p>
    <w:p w14:paraId="5AF86A29" w14:textId="77777777" w:rsidR="00AE1DF7" w:rsidRPr="004B6350" w:rsidRDefault="00AE1DF7" w:rsidP="00AE1DF7">
      <w:pPr>
        <w:pStyle w:val="NormalHanging12a"/>
      </w:pPr>
      <w:r w:rsidRPr="004B6350">
        <w:t>17.</w:t>
      </w:r>
      <w:r w:rsidRPr="004B6350">
        <w:tab/>
        <w:t>pažymi, kad, vadovaujantis Finansinio reglamento 118 straipsnio 9 dalimi, visuomenė gali susipažinti su vidaus auditoriaus ataskaitomis ir nustatytais faktais, taip pat atitinkamos Sąjungos institucijos ataskaita, sykiu užtikrinant duomenų apsaugos ir konfidencialumo taisyklių laikymąsi, po to, kai vidaus auditorius patvirtina veiksmus; pažymi, kad praktiškai ataskaitos skelbiamos tik tuomet, kai įgyvendinamos visos rekomendacijos; atkreipia dėmesį į tai, kad Parlamento Biudžeto kontrolės komiteto nariai biudžeto įvykdymo patvirtinimo procedūros tikslu turi teisę prašyti konfidencialios prieigos prie vidaus audito ataskaitos, ir palankiai vertina, kad vidaus auditorius Parlamento Biudžeto kontrolės komitetui teikia informaciją apie atliktą metinę audito veiklą;</w:t>
      </w:r>
    </w:p>
    <w:p w14:paraId="070D9378"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18.</w:t>
      </w:r>
      <w:r w:rsidRPr="004B6350">
        <w:rPr>
          <w14:textOutline w14:w="0" w14:cap="flat" w14:cmpd="sng" w14:algn="ctr">
            <w14:noFill/>
            <w14:prstDash w14:val="solid"/>
            <w14:bevel/>
          </w14:textOutline>
        </w:rPr>
        <w:tab/>
        <w:t xml:space="preserve">palankiai vertina toliau įgyvendinamą IAS kokybės užtikrinimo ir gerinimo programą, </w:t>
      </w:r>
      <w:r w:rsidRPr="004B6350">
        <w:rPr>
          <w14:textOutline w14:w="0" w14:cap="flat" w14:cmpd="sng" w14:algn="ctr">
            <w14:noFill/>
            <w14:prstDash w14:val="solid"/>
            <w14:bevel/>
          </w14:textOutline>
        </w:rPr>
        <w:lastRenderedPageBreak/>
        <w:t>pagal kurią pirmiausia rengiamasi pradėti taikyti naujus visuotinius vidaus audito standartus, kurie turėjo įsigalioti 2025 m. sausio mėn.; ypač palankiai vertina tai, kad Biuras priėmė atnaujintą audito chartiją ir parengė 2025–2029 m. vidaus audito funkcijos strategiją, kurioje aiškiai atsispindi poreikis vykdyti teigiamus pokyčius ir taikyti etikos principais grindžiamą požiūrį; tai, kad 70 proc. IAS darbuotojų išlaikė sertifikavimo egzaminą, kad taptų vidaus auditoriais, laiko dar vienu kokybės pagerinimo rodikliu;</w:t>
      </w:r>
    </w:p>
    <w:p w14:paraId="2EDF1DA3"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b/>
          <w:i/>
          <w14:textOutline w14:w="0" w14:cap="flat" w14:cmpd="sng" w14:algn="ctr">
            <w14:noFill/>
            <w14:prstDash w14:val="solid"/>
            <w14:bevel/>
          </w14:textOutline>
        </w:rPr>
        <w:t>Politiniai prioritetai</w:t>
      </w:r>
    </w:p>
    <w:p w14:paraId="4080D526" w14:textId="77777777" w:rsidR="00AE1DF7" w:rsidRPr="004B6350" w:rsidRDefault="00AE1DF7" w:rsidP="00AE1DF7">
      <w:pPr>
        <w:pStyle w:val="NormalHanging12a"/>
      </w:pPr>
      <w:r w:rsidRPr="004B6350">
        <w:t>19.</w:t>
      </w:r>
      <w:r w:rsidRPr="004B6350">
        <w:tab/>
        <w:t xml:space="preserve">primena, kad, vadovaudamasi Biudžeto 400 punkto asignavimų panaudojimo taisyklių 1.3.2, 2.7.1 ir 2.7.2 straipsniais, buvusi Identiteto ir demokratijos frakcija (ID frakcija) 2024 m. spalio 8 d. pateikė galutinę finansinę ataskaitą, apimančią 2024 m. sausio 1 d. – liepos 15 d. laikotarpį; primena, kad Parlamento administracija gavo visą ID frakcijos finansinį archyvą tiek elektroniniu, tiek popieriniu formatu ir atliko rizika grindžiamą 2024 m. sąskaitų </w:t>
      </w:r>
      <w:r w:rsidRPr="004B6350">
        <w:rPr>
          <w:i/>
          <w:iCs/>
        </w:rPr>
        <w:t>ex post</w:t>
      </w:r>
      <w:r w:rsidRPr="004B6350">
        <w:t xml:space="preserve"> patikrinimą, sutelkdama dėmesį į nuoseklumo patikrinimus ir didelės rizikos sutarčių bei dovanojamo turto imties patikrinimus; primena Parlamento administracijos nustatytus faktus, kad 2019–2024 m. laikotarpiu frakcija neteisėtai išleido ne mažiau kaip 4 333 635,78 EUR biudžeto 400 punkto asignavimų, dėl to Parlamentui kilo didelė finansinė ir reputacijos rizika; buvo nustatyti viešųjų pirkimų procedūrų trūkumai, kurie kelia didelę riziką Parlamento reputacijai;</w:t>
      </w:r>
    </w:p>
    <w:p w14:paraId="297DF1F7" w14:textId="77777777" w:rsidR="00AE1DF7" w:rsidRPr="004B6350" w:rsidRDefault="00AE1DF7" w:rsidP="00AE1DF7">
      <w:pPr>
        <w:pStyle w:val="NormalHanging12a"/>
      </w:pPr>
      <w:r w:rsidRPr="004B6350">
        <w:t>20.</w:t>
      </w:r>
      <w:r w:rsidRPr="004B6350">
        <w:tab/>
        <w:t>pažymi, kad 2025 m. liepos mėn. Europos prokuratūra paskelbė, jog pradėjo tyrimą dėl įtariamo netinkamo ID frakcijos Sąjungos lėšų naudojimo 2019–2024 m. laikotarpiu;</w:t>
      </w:r>
    </w:p>
    <w:p w14:paraId="5FB85E6E" w14:textId="77777777" w:rsidR="00AE1DF7" w:rsidRPr="004B6350" w:rsidRDefault="00AE1DF7" w:rsidP="00AE1DF7">
      <w:pPr>
        <w:pStyle w:val="NormalHanging12a"/>
      </w:pPr>
      <w:r w:rsidRPr="004B6350">
        <w:t>21.</w:t>
      </w:r>
      <w:r w:rsidRPr="004B6350">
        <w:tab/>
        <w:t xml:space="preserve">pabrėžia, kad Parlamento administracija perdavė bylos medžiagą ir visapusiškai bendradarbiauja su Europos prokuratūra jai atliekant tyrimą; pažymi, kad prieš imdamasis bet kokių išieškojimo veiksmų Biuras laukia Europos prokuratūros tyrimo rezultatų; ragina Biurą prieš prasidedant kitam biudžeto įvykdymo patvirtinimo ciklui raštu pateikti Parlamento Biudžeto kontrolės komitetui naujausią informaciją apie esamą padėtį; ragina Parlamento administraciją lygiagrečiai Europos prokuratūros nusikalstamų veikų tyrimui imtis visų būtinų priemonių, t. y. administracinių laikinųjų apsaugos priemonių (įskaitant prevencinius įskaitymus ir (arba) rezervus, kai tai teisiškai įmanoma), kad būtų apsaugoti Sąjungos finansiniai interesai ir Parlamento reputacija; mano, kad pagal Europos Parlamento ir Europos prokuratūros darbo susitarimo 3 straipsnio 3 dalį Europos prokuratūra informuos Parlamentą apie vykdomus arba užbaigtus tyrimus, kuriuose Parlamentas traktuojamas kaip galintis imtis atsargumo priemonių Sąjungos finansiniams interesams apsaugoti, įskaitant drausmines procedūras arba susigrąžinimo procedūras, laikantis taikomų terminų; pažymi, kad automatiškai neturėtų būti naudojamasi baudžiamuoju procesu siekiant apskritai pateisinti galimą neveikimą; </w:t>
      </w:r>
    </w:p>
    <w:p w14:paraId="3F0B89A9" w14:textId="77777777" w:rsidR="00AE1DF7" w:rsidRPr="004B6350" w:rsidRDefault="00AE1DF7" w:rsidP="00AE1DF7">
      <w:pPr>
        <w:pStyle w:val="NormalHanging12a"/>
      </w:pPr>
      <w:r w:rsidRPr="004B6350">
        <w:t>22.</w:t>
      </w:r>
      <w:r w:rsidRPr="004B6350">
        <w:tab/>
        <w:t>ragina Biurą užtikrinti, kad išorės auditoriai visapusiškai laikytųsi audito užduoties sutarties, ir užtikrinti, kad ateityje atliekant auditą, išorės auditoriams būtų suteikta daugiau valandų atlikti savo priežiūros vaidmenį, kad jie galėtų vykdyti tinkamą frakcijų priežiūrą; ragina FINS GD užtikrinti, kad FINS GD būtų pakankamai darbuotojų, atsakingų už biudžeto 400 punktą, kad jie pateiktų aiškesnes gaires dėl teisingo biudžeto 400 punkto taisyklių aiškinimo ir taip būtų išvengta išorės auditorių ir FINS GD svarstymų neatitikimo, visapusiškai paisant auditorių nepriklausomumo, visų pirma viešųjų pirkimų srityje, ir teiktų frakcijoms daugiau mokymų bei paramos viešųjų pirkimų tema;</w:t>
      </w:r>
    </w:p>
    <w:p w14:paraId="38AD0138" w14:textId="77777777" w:rsidR="00AE1DF7" w:rsidRPr="004B6350" w:rsidRDefault="00AE1DF7" w:rsidP="00AE1DF7">
      <w:pPr>
        <w:pStyle w:val="NormalHanging12a"/>
        <w:rPr>
          <w:bCs/>
          <w:iCs/>
        </w:rPr>
      </w:pPr>
      <w:r w:rsidRPr="004B6350">
        <w:lastRenderedPageBreak/>
        <w:t>23.</w:t>
      </w:r>
      <w:r w:rsidRPr="004B6350">
        <w:tab/>
        <w:t>ragina generalinį sekretorių pradėti svarstymų procesą dėl išorės audito sistemos, taikomos biudžeto 400 punktui;</w:t>
      </w:r>
    </w:p>
    <w:p w14:paraId="60149F9A" w14:textId="77777777" w:rsidR="00AE1DF7" w:rsidRPr="004B6350" w:rsidRDefault="00AE1DF7" w:rsidP="00AE1DF7">
      <w:pPr>
        <w:pStyle w:val="NormalHanging12a"/>
        <w:rPr>
          <w:bCs/>
          <w:iCs/>
        </w:rPr>
      </w:pPr>
      <w:r w:rsidRPr="004B6350">
        <w:t>24.</w:t>
      </w:r>
      <w:r w:rsidRPr="004B6350">
        <w:tab/>
        <w:t>palankiai vertina tai, kad Parlamentas naudojamas kaip platforma informuotumui apie smurtą dėl lyties ir smurtą šeimoje didinti, ir pabrėžia, kokios svarbios yra Sąjungos ir Parlamento misijos, kuriomis prisidedama prie lyčių lygybės propagavimo, įskaitant misijas, per kurias teikiama parama, apsauga ir esminės paslaugos moterims ir mergaitėms, nukentėjusioms nuo seksualinio smurto konfliktinėse ir pokonfliktinėse situacijose;</w:t>
      </w:r>
    </w:p>
    <w:p w14:paraId="123BC41E" w14:textId="77777777" w:rsidR="00AE1DF7" w:rsidRPr="004B6350" w:rsidRDefault="00AE1DF7" w:rsidP="00AE1DF7">
      <w:pPr>
        <w:pStyle w:val="NormalHanging12a"/>
        <w:rPr>
          <w:bCs/>
          <w:iCs/>
        </w:rPr>
      </w:pPr>
      <w:r w:rsidRPr="004B6350">
        <w:t>25.</w:t>
      </w:r>
      <w:r w:rsidRPr="004B6350">
        <w:tab/>
        <w:t>primena Parlamento Biudžeto kontrolės komiteto nuomonę Biurui dėl Identiteto ir demokratijos frakcijos „Išformavimas ir 2024 m. galutinė finansinė ataskaita“, patvirtintą 2025 m. rugsėjo 4 d., kurioje raginama išnagrinėti galimybę nedelsiant pradėti reikiamas procedūras siekiant kuo greičiau susigrąžinti reikalavimų neatitinkančių išlaidų sumą, taip pat įvertinti galimą atsakingų (buvusių) Parlamento narių ir vadovybės atsakomybę už tyčinį ar labai aplaidžiai atliktą neteisėtų išlaidų patvirtinimą; rekomenduoja Biurui tyrimo laikotarpiu laikinai išbraukti išorės auditorių, kuris patvirtino ID frakcijos sąskaitas, iš frakcijoms pateikto patvirtintų išorės audito įmonių sąrašo, nedelsiant pakeičiant laikinai išbrauktą auditorių ir užtikrinant, kad frakcijos turėtų pakankamai alternatyvių galimybių; laukia Parlamento administracijos atliekamos frakcijos „Patriotai už Europą“ (PfE) 2024 m. sąskaitų analizės;</w:t>
      </w:r>
    </w:p>
    <w:p w14:paraId="2E24777C" w14:textId="48245FAF" w:rsidR="00AE1DF7" w:rsidRPr="004B6350" w:rsidRDefault="00D65B44" w:rsidP="00AE1DF7">
      <w:pPr>
        <w:pStyle w:val="NormalHanging12a"/>
      </w:pPr>
      <w:r w:rsidRPr="004B6350">
        <w:rPr>
          <w:color w:val="000000" w:themeColor="text1"/>
        </w:rPr>
        <w:t>26</w:t>
      </w:r>
      <w:r w:rsidR="00AE1DF7" w:rsidRPr="004B6350">
        <w:t>.</w:t>
      </w:r>
      <w:r w:rsidR="00AE1DF7" w:rsidRPr="004B6350">
        <w:tab/>
        <w:t>atkreipia dėmesį į tai, kad frakcijos turi didelę autonomiją savo IT paslaugų, kurios naudojamos su jų veikla susijusiai informacijai saugoti, atžvilgiu; pažymi, kad geopolitiškai neramiame pasaulyje tokius duomenis Europos serveriuose turėtų saugoti Europos paslaugų teikėjai, kad būtų išvengta išorės priklausomybės ir rizikos; todėl palankiai vertina neseniai paskelbtą sprendimą sukurti saugią ir nepriklausomą debesijos infrastruktūrą, kad būtų panaikinta ši priklausomybė;</w:t>
      </w:r>
    </w:p>
    <w:p w14:paraId="48088BD7" w14:textId="3677A374" w:rsidR="00AE1DF7" w:rsidRPr="004B6350" w:rsidRDefault="00D65B44" w:rsidP="00AE1DF7">
      <w:pPr>
        <w:pStyle w:val="NormalHanging12a"/>
      </w:pPr>
      <w:r w:rsidRPr="004B6350">
        <w:t>27</w:t>
      </w:r>
      <w:r w:rsidR="00AE1DF7" w:rsidRPr="004B6350">
        <w:t>.</w:t>
      </w:r>
      <w:r w:rsidR="00AE1DF7" w:rsidRPr="004B6350">
        <w:tab/>
        <w:t>pabrėžia, kad svarbu išlaikyti institucinį vientisumą ir užkirsti kelią nederamam išorės kišimuisi; smerkia bet kokį netinkamą elgesį siekiant daryti įtaką Parlamento teisėkūros veiklai;</w:t>
      </w:r>
    </w:p>
    <w:p w14:paraId="0AE98F00" w14:textId="26C66A11" w:rsidR="00AE1DF7" w:rsidRPr="004B6350" w:rsidRDefault="00D65B44" w:rsidP="00AE1DF7">
      <w:pPr>
        <w:pStyle w:val="NormalHanging12a"/>
        <w:rPr>
          <w:bCs/>
          <w:iCs/>
        </w:rPr>
      </w:pPr>
      <w:r w:rsidRPr="004B6350">
        <w:t>28</w:t>
      </w:r>
      <w:r w:rsidR="00AE1DF7" w:rsidRPr="004B6350">
        <w:t>.</w:t>
      </w:r>
      <w:r w:rsidR="00AE1DF7" w:rsidRPr="004B6350">
        <w:tab/>
        <w:t>pažymi, kad Komisija pripažino įtarimus dėl to, kad keli subjektai naudojo Sąjungos lėšas su Parlamentu susijusiai propagavimo veiklai, tačiau pareiškė, kad tokia veikla patenka į taikomo reglamento taikymo sritį; tačiau pripažįsta, kad tai vis dėlto galėjo kelti pavojų reputacijai;</w:t>
      </w:r>
    </w:p>
    <w:p w14:paraId="3D1FA8F3" w14:textId="24DFC83F" w:rsidR="00AE1DF7" w:rsidRPr="004B6350" w:rsidRDefault="00D65B44" w:rsidP="00AE1DF7">
      <w:pPr>
        <w:pStyle w:val="NormalHanging12a"/>
      </w:pPr>
      <w:r w:rsidRPr="004B6350">
        <w:t>29</w:t>
      </w:r>
      <w:r w:rsidR="00AE1DF7" w:rsidRPr="004B6350">
        <w:t>.</w:t>
      </w:r>
      <w:r w:rsidR="00AE1DF7" w:rsidRPr="004B6350">
        <w:tab/>
        <w:t>primena, kad įtarimai dėl Rusijos įtakos Parlamente kėlė rimtą pavojų demokratijos vientisumui, ir atkreipia dėmesį į tai, kad kai kurie Parlamento nariai atvirai rėmė Rusiją, be kita ko, vykdydami šalutinę veiklą, bei pabrėžia, kad reikia patikimesnių apsaugos priemonių; pažymi, kad Parlamento reagavimas į užsienio kišimąsi tapo budresnis, tačiau reikėtų imtis griežtesnių priemonių siekiant užtikrinti veiksmingą apsaugą nuo nederamos išorės įtakos; atsižvelgdamas į tai, pabrėžia, kad Europos kovos su sukčiavimu tarnybai (OLAF) tenka esminė atsakomybė atlikti visus būtinus išsamius tyrimus;</w:t>
      </w:r>
    </w:p>
    <w:p w14:paraId="02A143BA" w14:textId="3811E9F6" w:rsidR="00AE1DF7" w:rsidRPr="004B6350" w:rsidRDefault="00D65B44" w:rsidP="00AE1DF7">
      <w:pPr>
        <w:pStyle w:val="NormalHanging12a"/>
        <w:rPr>
          <w:bCs/>
          <w:iCs/>
        </w:rPr>
      </w:pPr>
      <w:r w:rsidRPr="004B6350">
        <w:t>30</w:t>
      </w:r>
      <w:r w:rsidR="00AE1DF7" w:rsidRPr="004B6350">
        <w:t>.</w:t>
      </w:r>
      <w:r w:rsidR="00AE1DF7" w:rsidRPr="004B6350">
        <w:tab/>
        <w:t xml:space="preserve">pažymi, kad 2024 m., be kita ko, rengiantis Europos Parlamento rinkimams, padidėjo užsienio kišimosi ir įtakos operacijų, nukreiptų prieš demokratines institucijas ir išrinktus atstovus, rizika; primena, kad vieši įtarimai ir tyrimai, susiję su bandymais daryti įtaką politinėms pozicijoms ir rinkėjų elgsenai, rodo, kad Parlamente reikia </w:t>
      </w:r>
      <w:r w:rsidR="00AE1DF7" w:rsidRPr="004B6350">
        <w:lastRenderedPageBreak/>
        <w:t>nustatyti patikimus prevencinius ir aptikimo mechanizmus; todėl ragina Parlamentą užtikrinti vidaus apsaugos priemones, skaidrumo reikalavimus ir bendradarbiavimą su atitinkamomis Sąjungos įstaigomis, kad būtų apsaugotas Parlamento ir Sąjungos biudžeto vientisumas;</w:t>
      </w:r>
    </w:p>
    <w:p w14:paraId="7FAFFB0D" w14:textId="22494A60" w:rsidR="00AE1DF7" w:rsidRPr="004B6350" w:rsidRDefault="00D65B44" w:rsidP="00AE1DF7">
      <w:pPr>
        <w:pStyle w:val="NormalHanging12a"/>
      </w:pPr>
      <w:r w:rsidRPr="004B6350">
        <w:t>31</w:t>
      </w:r>
      <w:r w:rsidR="00AE1DF7" w:rsidRPr="004B6350">
        <w:t>.</w:t>
      </w:r>
      <w:r w:rsidR="00AE1DF7" w:rsidRPr="004B6350">
        <w:tab/>
        <w:t>primena, kad Su Europos Parlamento narių sąžiningumu ir skaidrumu susijusio elgesio kodekso 4 straipsnyje reikalaujama, kad Parlamento nariai pateiktų tikslias finansinių interesų deklaracijas; ragina deklaracijose pateikti pakankamai išsamios informacijos apie apmokamą ar neapmokamą išorės veiklą, kad būtų išvengta bet kokio nerimo dėl interesų konfliktų kontrolės kokybės, nes ši kontrolė yra nepaprastai svarbi siekiant užtikrinti veiksmingą interesų konfliktų prevenciją, nustatymą ir valdymą;</w:t>
      </w:r>
    </w:p>
    <w:p w14:paraId="1D3F22AE" w14:textId="70B70DB4" w:rsidR="00AE1DF7" w:rsidRPr="004B6350" w:rsidRDefault="00D65B44" w:rsidP="00AE1DF7">
      <w:pPr>
        <w:pStyle w:val="NormalHanging12a"/>
        <w:rPr>
          <w:bCs/>
          <w:iCs/>
        </w:rPr>
      </w:pPr>
      <w:r w:rsidRPr="004B6350">
        <w:t>32</w:t>
      </w:r>
      <w:r w:rsidR="00AE1DF7" w:rsidRPr="004B6350">
        <w:t>.</w:t>
      </w:r>
      <w:r w:rsidR="00AE1DF7" w:rsidRPr="004B6350">
        <w:tab/>
        <w:t>atkreipia dėmesį į tai, kad, siekiant skaidrumo, privaloma skelbti informaciją apie susitikimus ir privačių interesų deklaracijas, visų pirma materialinės ir finansinės paramos deklaracijas; tačiau pažymi, kad dabartinė sistema susiduria su pasikartojančiomis problemomis, susijusiomis su išsamumu ir aiškumu, o tai gali sumažinti bendrą jos veiksmingumą; mano, kad reikia skirti daug dėmesio tam, kad būtų pagerintos gairės Parlamento nariams, taip pat kad administracija imtųsi proporcingų ir nuoseklių tolesnių veiksmų tais atvejais, kai deklaracijos pasirodo esančios netikslios ar nenuoseklios, ypač atsižvelgiant į susirūpinimą dėl užsienio kišimosi;</w:t>
      </w:r>
    </w:p>
    <w:p w14:paraId="1A22287B" w14:textId="3995A183" w:rsidR="00AE1DF7" w:rsidRPr="004B6350" w:rsidRDefault="00D65B44" w:rsidP="00AE1DF7">
      <w:pPr>
        <w:pStyle w:val="NormalHanging12a"/>
      </w:pPr>
      <w:r w:rsidRPr="004B6350">
        <w:t>33</w:t>
      </w:r>
      <w:r w:rsidR="00AE1DF7" w:rsidRPr="004B6350">
        <w:t>.</w:t>
      </w:r>
      <w:r w:rsidR="00AE1DF7" w:rsidRPr="004B6350">
        <w:tab/>
        <w:t>reiškia didelį susirūpinimą dėl įtarimų, kad valstybės narės vykdė šnipinėjimą, nukreiptą į Parlamentą; pažymi, kad Komisija sukūrė vidaus grupę, kuri tirs šiuos įtarimus; primygtinai ragina užtikrinti glaudų Parlamento ir Komisijos bendradarbiavimą ir atkakliai ragina Komisiją dalytis darbo grupės išvadomis su Parlamentu, jeigu toks dalijimasis nekelia pavojaus vykstantiems ar galimiems teismo procesams;</w:t>
      </w:r>
    </w:p>
    <w:p w14:paraId="2B77C429" w14:textId="3C61E074" w:rsidR="00AE1DF7" w:rsidRPr="004B6350" w:rsidRDefault="00D65B44" w:rsidP="00AE1DF7">
      <w:pPr>
        <w:pStyle w:val="NormalHanging12a"/>
        <w:rPr>
          <w:bCs/>
          <w:iCs/>
        </w:rPr>
      </w:pPr>
      <w:r w:rsidRPr="004B6350">
        <w:t>34</w:t>
      </w:r>
      <w:r w:rsidR="00AE1DF7" w:rsidRPr="004B6350">
        <w:t>.</w:t>
      </w:r>
      <w:r w:rsidR="00AE1DF7" w:rsidRPr="004B6350">
        <w:tab/>
        <w:t>ragina Parlamentą stiprinti apsaugos priemones, įskaitant saugų įrenginių valdymą, greito pranešimo apie incidentus kanalus, skirtus Parlamento nariams ir darbuotojams, ir reguliarius informacinius pranešimus apie grėsmes, bendradarbiaujant su Sąjungos institucijų, įstaigų, organų ir agentūrų kibernetinio saugumo tarnyba (CERT-EU) ir atitinkamomis Sąjungos įstaigomis, sykiu užtikrinant visapusišką pagrindinių teisių paisymą ir duomenų apsaugą;</w:t>
      </w:r>
    </w:p>
    <w:p w14:paraId="2CAD2BB1" w14:textId="11EC8F05" w:rsidR="00AE1DF7" w:rsidRPr="004B6350" w:rsidRDefault="00D65B44" w:rsidP="00AE1DF7">
      <w:pPr>
        <w:pStyle w:val="NormalHanging12a"/>
      </w:pPr>
      <w:r w:rsidRPr="004B6350">
        <w:t>35</w:t>
      </w:r>
      <w:r w:rsidR="00AE1DF7" w:rsidRPr="004B6350">
        <w:t>.</w:t>
      </w:r>
      <w:r w:rsidR="00AE1DF7" w:rsidRPr="004B6350">
        <w:tab/>
        <w:t>atkreipia dėmesį į tai, kad dirbtinis intelektas (DI) sukuria galimybių užtikrinti tikslią ir skaidrią informaciją Sąjungoje ir jos institucijose, organuose, įstaigose ir agentūrose, o tinkamai suprojektuotos ir valdomos DI sistemos gali padėti aptikti ir sumažinti klaidingą informaciją bei dezinformaciją, skatina atskaitomybę ir užtikrina aukštus skaidrumo standartus, siekiant išlaikyti visuomenės pasitikėjimą ir stiprinti demokratinį valdymą; yra susirūpinęs dėl trečiųjų valstybių įmonių dominavimo DI priemonių srityje ir dėl duomenų apsaugos bei konfidencialumo klausimų, kylančių naudojant trečiųjų šalių DI priemones; ragina užtikrinti visišką skaidrumą naudojant DI sistemas Parlamento sprendimuose ir procedūrose, be kita ko, skelbiant išsamią informaciją apie algoritmus ir poveikio vertinimus; ragina Parlamento administraciją Parlamento nariams ir darbuotojams suteikti galimybę naudotis prie kiekvienos kategorijos poreikių pritaikytų DI priemonių rinkiniu, atitinkančiu Parlamento narių darbo poreikius ir užtikrinančiu jos apdorojamų duomenų konfidencialumą, vientisumą ir prieinamumą, naudojant vietinę infrastruktūrą, kad būtų išvengta duomenų nutekėjimo, neatskleidžiant informacijos trečiosioms šalims ir laikantis galiojančios DI naudojimo politikos;</w:t>
      </w:r>
    </w:p>
    <w:p w14:paraId="0A71F421" w14:textId="3B37743B" w:rsidR="00AE1DF7" w:rsidRPr="004B6350" w:rsidRDefault="00D65B44" w:rsidP="00AE1DF7">
      <w:pPr>
        <w:pStyle w:val="NormalHanging12a"/>
        <w:rPr>
          <w:bCs/>
          <w:iCs/>
        </w:rPr>
      </w:pPr>
      <w:r w:rsidRPr="004B6350">
        <w:lastRenderedPageBreak/>
        <w:t>36</w:t>
      </w:r>
      <w:r w:rsidR="00AE1DF7" w:rsidRPr="004B6350">
        <w:t>.</w:t>
      </w:r>
      <w:r w:rsidR="00AE1DF7" w:rsidRPr="004B6350">
        <w:tab/>
        <w:t>atkreipia dėmesį į tai, kad valdant žmogiškuosius išteklius vis dažniau naudojamas DI ir didžiojo kalbos modelio priemonės, ir pripažįsta jo potencialą siekiant didesnio veiksmingumo, kurį reikėtų toliau nagrinėti; sykiu pabrėžia, kad reikia užtikrinti aiškų valdymą, žmogaus vykdomą priežiūrą, skaidrumą ir patikimas duomenų apsaugos priemones; ragina administraciją informuoti biudžeto įvykdymą tvirtinančią instituciją apie tokių priemonių taikymo sritį, rizikos vertinimą ir etines apsaugos priemones;</w:t>
      </w:r>
    </w:p>
    <w:p w14:paraId="50AF4CC3" w14:textId="5972C4DD" w:rsidR="00AE1DF7" w:rsidRPr="004B6350" w:rsidRDefault="00D65B44" w:rsidP="00AE1DF7">
      <w:pPr>
        <w:pStyle w:val="NormalHanging12a"/>
      </w:pPr>
      <w:r w:rsidRPr="004B6350">
        <w:t>37</w:t>
      </w:r>
      <w:r w:rsidR="00AE1DF7" w:rsidRPr="004B6350">
        <w:t>.</w:t>
      </w:r>
      <w:r w:rsidR="00AE1DF7" w:rsidRPr="004B6350">
        <w:tab/>
        <w:t>pažymi, kad, vadovaujantis Parlamento darbo tvarkos taisyklėmis, slaptas balsavimas paprastai naudojamas rinkimams ir balsavimui, susijusiam su atskirais asmenimis; be to, pažymi, kad turi būti balsuojama slaptai ir kai to reikalauja ne mažiau kaip aukštą ribą siekiantis Parlamento narių skaičius arba frakcija (‑os). atsižvelgdamas į tai, pažymi, kad Parlamento Konstitucinių reikalų komitetui buvo pavesta įvertinti pastarosios galimybės naudojimą, ir laukia komiteto išvadų bei pasiūlymų; mano, kad vardinis balsavimas yra svarbi priemonė, kuria užtikrinamas skaidrumas ir atskaitomybė Sąjungos piliečiams; ragina Parlamentą pateikti priemones, kuriomis būtų išvengta piktnaudžiavimo balsuojant pagal slapto balsavimo procedūrą;</w:t>
      </w:r>
    </w:p>
    <w:p w14:paraId="7020A636" w14:textId="0B0B591D" w:rsidR="00AE1DF7" w:rsidRPr="004B6350" w:rsidRDefault="00D65B44" w:rsidP="00AE1DF7">
      <w:pPr>
        <w:pStyle w:val="NormalHanging12a"/>
        <w:rPr>
          <w:bCs/>
          <w:iCs/>
        </w:rPr>
      </w:pPr>
      <w:r w:rsidRPr="004B6350">
        <w:t>38</w:t>
      </w:r>
      <w:r w:rsidR="00AE1DF7" w:rsidRPr="004B6350">
        <w:t>.</w:t>
      </w:r>
      <w:r w:rsidR="00AE1DF7" w:rsidRPr="004B6350">
        <w:tab/>
        <w:t xml:space="preserve">palankiai vertina padarytą pažangą lyčių aspekto integravimo ir biudžeto sudarymo atsižvelgiant į lyčių aspektą srityse ir tai, kad priimtas 2025 m. lyčių lygybės veiksmų planas; ragina šį veiksmų planą paskelbti viešai, greitai įgyvendinti pagal lyčių lygybės veiksmų plano veiksmų gaires ir nuodugniai įvertinti, reguliariai teikiant padarytos pažangos stebėsenos ataskaitas; palankiai vertina Parlamento Lyčių aspekto integravimo tinklo darbą; </w:t>
      </w:r>
    </w:p>
    <w:p w14:paraId="2F95497F" w14:textId="77777777" w:rsidR="00AE1DF7" w:rsidRPr="004B6350" w:rsidRDefault="00AE1DF7" w:rsidP="00AE1DF7">
      <w:pPr>
        <w:spacing w:after="240"/>
        <w:rPr>
          <w:b/>
          <w:bCs/>
          <w:i/>
          <w:iCs/>
          <w14:textOutline w14:w="0" w14:cap="flat" w14:cmpd="sng" w14:algn="ctr">
            <w14:noFill/>
            <w14:prstDash w14:val="solid"/>
            <w14:bevel/>
          </w14:textOutline>
        </w:rPr>
      </w:pPr>
      <w:r w:rsidRPr="004B6350">
        <w:rPr>
          <w:b/>
          <w:i/>
          <w14:textOutline w14:w="0" w14:cap="flat" w14:cmpd="sng" w14:algn="ctr">
            <w14:noFill/>
            <w14:prstDash w14:val="solid"/>
            <w14:bevel/>
          </w14:textOutline>
        </w:rPr>
        <w:t>Vadovybės generalinis direktoratas</w:t>
      </w:r>
    </w:p>
    <w:p w14:paraId="0D316BED" w14:textId="4D66722B" w:rsidR="00AE1DF7" w:rsidRPr="004B6350" w:rsidRDefault="00D5124A"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39</w:t>
      </w:r>
      <w:r w:rsidR="00AE1DF7" w:rsidRPr="004B6350">
        <w:t>.</w:t>
      </w:r>
      <w:r w:rsidR="00AE1DF7" w:rsidRPr="004B6350">
        <w:rPr>
          <w14:textOutline w14:w="0" w14:cap="flat" w14:cmpd="sng" w14:algn="ctr">
            <w14:noFill/>
            <w14:prstDash w14:val="solid"/>
            <w14:bevel/>
          </w14:textOutline>
        </w:rPr>
        <w:tab/>
        <w:t xml:space="preserve">primena, kad Vadovybės generalinis direktoratas (PRES GD) teikia ekspertines žinias ir palengvina Pirmininko, plenarinių posėdžių ir Parlamento valdymo organų bei narių teisėkūros ir parlamentinį darbą visais parlamentinio ir teisėkūros proceso etapais; </w:t>
      </w:r>
      <w:r w:rsidR="00AE1DF7" w:rsidRPr="004B6350">
        <w:t>primena, kad jis taip pat yra atsakingas už tarpinstitucinius santykius, pagalbą protokolo klausimais Pirmininko remiamiems oficialiems vizitams ir renginiams, Sąjungos įslaptintos informacijos valdymą ir oficialaus bei registruoto pašto tvarkymą;</w:t>
      </w:r>
      <w:r w:rsidR="00AE1DF7" w:rsidRPr="004B6350">
        <w:rPr>
          <w14:textOutline w14:w="0" w14:cap="flat" w14:cmpd="sng" w14:algn="ctr">
            <w14:noFill/>
            <w14:prstDash w14:val="solid"/>
            <w14:bevel/>
          </w14:textOutline>
        </w:rPr>
        <w:t xml:space="preserve"> </w:t>
      </w:r>
      <w:r w:rsidR="00AE1DF7" w:rsidRPr="004B6350">
        <w:t>pažymi, kad 2024 m. gruodžio 31 d. jame dirbo 406 darbuotojai, iš kurių 320 buvo pareigūnai, 29 – laikinieji darbuotojai, 55 – sutartininkai, 1 – deleguotasis nacionalinis ekspertas ir 1 – per agentūrą įdarbintas darbuotojas;</w:t>
      </w:r>
    </w:p>
    <w:p w14:paraId="3C060DF5" w14:textId="6E36C425" w:rsidR="00AE1DF7" w:rsidRPr="004B6350" w:rsidRDefault="00D5124A"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40</w:t>
      </w:r>
      <w:r w:rsidR="00AE1DF7" w:rsidRPr="004B6350">
        <w:t>.</w:t>
      </w:r>
      <w:r w:rsidR="00AE1DF7" w:rsidRPr="004B6350">
        <w:rPr>
          <w14:textOutline w14:w="0" w14:cap="flat" w14:cmpd="sng" w14:algn="ctr">
            <w14:noFill/>
            <w14:prstDash w14:val="solid"/>
            <w14:bevel/>
          </w14:textOutline>
        </w:rPr>
        <w:tab/>
      </w:r>
      <w:r w:rsidR="00AE1DF7" w:rsidRPr="004B6350">
        <w:t>pažymi, kad galutiniai PRES GD asignavimai 2024 m. sudarė 2 970 957 EUR sumą, t. y. 0,2 proc. Parlamento biudžeto;</w:t>
      </w:r>
      <w:r w:rsidR="00AE1DF7" w:rsidRPr="004B6350">
        <w:rPr>
          <w14:textOutline w14:w="0" w14:cap="flat" w14:cmpd="sng" w14:algn="ctr">
            <w14:noFill/>
            <w14:prstDash w14:val="solid"/>
            <w14:bevel/>
          </w14:textOutline>
        </w:rPr>
        <w:t xml:space="preserve"> </w:t>
      </w:r>
      <w:r w:rsidR="00AE1DF7" w:rsidRPr="004B6350">
        <w:t>pabrėžia, kad iš šios sumos iš viso įsipareigota skirti 2 930 107 EUR;</w:t>
      </w:r>
      <w:r w:rsidR="00AE1DF7" w:rsidRPr="004B6350">
        <w:rPr>
          <w14:textOutline w14:w="0" w14:cap="flat" w14:cmpd="sng" w14:algn="ctr">
            <w14:noFill/>
            <w14:prstDash w14:val="solid"/>
            <w14:bevel/>
          </w14:textOutline>
        </w:rPr>
        <w:t xml:space="preserve"> palankiai vertina didelį asignavimų panaudojimo lygį;</w:t>
      </w:r>
    </w:p>
    <w:p w14:paraId="4F5245F2" w14:textId="460FA831" w:rsidR="00AE1DF7" w:rsidRPr="004B6350" w:rsidRDefault="00D5124A" w:rsidP="00AE1DF7">
      <w:pPr>
        <w:spacing w:after="240"/>
        <w:ind w:left="567" w:hanging="567"/>
      </w:pPr>
      <w:r w:rsidRPr="004B6350">
        <w:t>41</w:t>
      </w:r>
      <w:r w:rsidR="00AE1DF7" w:rsidRPr="004B6350">
        <w:t>.</w:t>
      </w:r>
      <w:r w:rsidR="00AE1DF7" w:rsidRPr="004B6350">
        <w:tab/>
        <w:t xml:space="preserve">pažymi, kad PRES GD veiklai įtakos turėjo devintosios kadencijos pabaiga ir dešimtosios kadencijos pradžia, dėl kurių kilo sunkumų planuojant plenarinius posėdžius ir baigiant darbus devintosios kadencijos pabaigoje, nes paskutiniais kadencijos mėnesiais buvo susitarta dėl labai daug įprastos teisėkūros procedūros dokumentų, o dešimtosios kadencijos pradžioje buvo sudarytas naujasis Parlamentas, išrinktas Pirmininkas ir Biuras; </w:t>
      </w:r>
    </w:p>
    <w:p w14:paraId="22523BDE" w14:textId="61B4373E" w:rsidR="00AE1DF7" w:rsidRPr="004B6350" w:rsidRDefault="00D5124A" w:rsidP="00AE1DF7">
      <w:pPr>
        <w:pStyle w:val="NormalHanging12a"/>
      </w:pPr>
      <w:bookmarkStart w:id="8" w:name="_Hlk216613698"/>
      <w:r w:rsidRPr="004B6350">
        <w:t>42</w:t>
      </w:r>
      <w:r w:rsidR="00AE1DF7" w:rsidRPr="004B6350">
        <w:t>.</w:t>
      </w:r>
      <w:r w:rsidR="00AE1DF7" w:rsidRPr="004B6350">
        <w:tab/>
        <w:t xml:space="preserve">palankiai vertina PRES GD veiklą, susijusią su naujų sąžiningumo ir skaidrumo taisyklių įgyvendinimu ir tolesniais veiksmais, įskaitant pirmąjį bendrą reformos techninio įgyvendinimo vertinimą, informuotumo didinimo veiklą ir techninės ekspertizės bei paslaugų teikimą skaidrumo, sąžiningumo ir atskaitomybės klausimais; </w:t>
      </w:r>
      <w:r w:rsidR="00AE1DF7" w:rsidRPr="004B6350">
        <w:lastRenderedPageBreak/>
        <w:t>taip pat palankiai vertina Patariamojo komiteto Parlamento narių elgesio klausimais vaidmenį stebint, kaip Parlamento nariai laikosi elgesio kodekso ir jo įgyvendinimo priemonių;</w:t>
      </w:r>
    </w:p>
    <w:bookmarkEnd w:id="8"/>
    <w:p w14:paraId="47CF7D27" w14:textId="2F92A623" w:rsidR="00AE1DF7" w:rsidRPr="004B6350" w:rsidRDefault="00D5124A" w:rsidP="00AE1DF7">
      <w:pPr>
        <w:pStyle w:val="NormalHanging12a"/>
        <w:rPr>
          <w:bCs/>
          <w:iCs/>
        </w:rPr>
      </w:pPr>
      <w:r w:rsidRPr="004B6350">
        <w:t>43</w:t>
      </w:r>
      <w:r w:rsidR="00AE1DF7" w:rsidRPr="004B6350">
        <w:t>.</w:t>
      </w:r>
      <w:r w:rsidR="00AE1DF7" w:rsidRPr="004B6350">
        <w:tab/>
      </w:r>
      <w:r w:rsidR="00621C8D" w:rsidRPr="004B6350">
        <w:t xml:space="preserve">ragina tęsti institucijų bendradarbiavimą ir dialogą sąžiningumo ir skaidrumo klausimais </w:t>
      </w:r>
      <w:r w:rsidR="00621C8D" w:rsidRPr="004B6350">
        <w:rPr>
          <w:bCs/>
          <w:iCs/>
        </w:rPr>
        <w:t>tarp Sąjungos institucijų; primena, kad Parlamentas toliau yra saistomas susitarimo, kuriuo įsteigiamas Tarpinstitucinis Europos Sąjungos sutarties 13 straipsnyje nurodytų institucijų ir patariamųjų organų narių etikos standartų organas; primena, kad dėl to Parlamentas privalo daugiau nebedelsdamas laikytis jo nuostatų</w:t>
      </w:r>
      <w:r w:rsidR="00AE1DF7" w:rsidRPr="004B6350">
        <w:rPr>
          <w:bCs/>
          <w:iCs/>
        </w:rPr>
        <w:t>;</w:t>
      </w:r>
    </w:p>
    <w:p w14:paraId="7E012246" w14:textId="27FC5EB0" w:rsidR="00AE1DF7" w:rsidRPr="004B6350" w:rsidRDefault="00D5124A" w:rsidP="00AE1DF7">
      <w:pPr>
        <w:pStyle w:val="NormalHanging12a"/>
        <w:rPr>
          <w:bCs/>
          <w:iCs/>
        </w:rPr>
      </w:pPr>
      <w:r w:rsidRPr="004B6350">
        <w:t>44</w:t>
      </w:r>
      <w:r w:rsidR="00AE1DF7" w:rsidRPr="004B6350">
        <w:t>.</w:t>
      </w:r>
      <w:r w:rsidR="00AE1DF7" w:rsidRPr="004B6350">
        <w:tab/>
        <w:t>palankiai vertina tai, kad PRES GD toliau veiksmingai bendradarbiavo su Taryba ir Komisija visais klausimais, susijusiais su Skaidrumo registro tarpinstituciniu sekretoriatu, siekdamas toliau gerinti registro veikimą;</w:t>
      </w:r>
    </w:p>
    <w:p w14:paraId="0C8CC0DB" w14:textId="17C954D7" w:rsidR="00AE1DF7" w:rsidRPr="004B6350" w:rsidRDefault="00D5124A" w:rsidP="00AE1DF7">
      <w:pPr>
        <w:pStyle w:val="NormalHanging12a"/>
      </w:pPr>
      <w:r w:rsidRPr="004B6350">
        <w:t>45</w:t>
      </w:r>
      <w:r w:rsidR="00AE1DF7" w:rsidRPr="004B6350">
        <w:t>.</w:t>
      </w:r>
      <w:r w:rsidR="00AE1DF7" w:rsidRPr="004B6350">
        <w:tab/>
        <w:t>atkreipia dėmesį į tai, kad pastaraisiais metais Komisija nuolat vėluoja pateikti atsakymus į Parlamento klausimus, į kuriuos atsakoma raštu; apgailestauja, kad procesas tapo vis biurokratiškesnis ir lėtesnis ir dėl to sistemingai nesilaikoma Parlamento darbo tvarkos taisyklių 144 straipsnyje nustatytų terminų; susirūpinęs pažymi, kad 2024 m. Komisija per Parlamento darbo tvarkos taisyklėse nustatytus terminus atsakymus pateikė tik į nedidelę klausimų, į kuriuos atsakoma raštu, dalį, įskaitant ypač mažą prioritetinių klausimų skaičių, ir daugeliu atvejų po termino; pabrėžia, kad ilgiausias atsakymo pateikimo terminas buvo 475 dienos; primena, kad laiku pateikti atsakymai yra esminis parlamentinio tikrinimo ir demokratinės atskaitomybės elementas; palankiai vertina PRES GD pastaraisiais metais dedamas pastangas siekiant laikytis nustatytų terminų; ragina PRES GD stengtis užtikrinti, kad būtų visapusiškai laikomasi Parlamento nustatytų terminų, ir siekti, be kita ko, politiniu lygmeniu, labiau saistančių susitarimų su Komisija dėl atsakymų į klausimus, į kuriuos atsakoma raštu, laikantis terminų, ir pranešti biudžeto įvykdymą tvirtinančiai institucijai apie padarytą pažangą, siekiant užtikrinti, kad Parlamento klausimai, į kuriuos atsakoma raštu, vėl būtų veiksminga priežiūros priemonė;</w:t>
      </w:r>
    </w:p>
    <w:p w14:paraId="0ECF5AEB" w14:textId="21C879D9" w:rsidR="00AE1DF7" w:rsidRPr="004B6350" w:rsidRDefault="00D5124A" w:rsidP="00AE1DF7">
      <w:pPr>
        <w:pStyle w:val="NormalHanging12a"/>
        <w:rPr>
          <w:bCs/>
          <w:iCs/>
        </w:rPr>
      </w:pPr>
      <w:r w:rsidRPr="004B6350">
        <w:t>46</w:t>
      </w:r>
      <w:r w:rsidR="00AE1DF7" w:rsidRPr="004B6350">
        <w:t>.</w:t>
      </w:r>
      <w:r w:rsidR="00AE1DF7" w:rsidRPr="004B6350">
        <w:tab/>
        <w:t>pažymi, kad klausimų, į kuriuos atsakoma raštu, vidaus tvarkymas, įskaitant redagavimą, vertimą ir priimtinumo patikras, padeda sutrumpinti bendrą perdavimo laiką; ragina administraciją toliau racionalizuoti šias procedūras, sykiu visapusiškai laikantis kalbinės kokybės ir duomenų apsaugos reikalavimų, siekiant veiksmingiau remti Parlamento narių atliekamą tikrinimo darbą;</w:t>
      </w:r>
    </w:p>
    <w:p w14:paraId="43DF962E" w14:textId="22F74716" w:rsidR="00AE1DF7" w:rsidRPr="004B6350" w:rsidRDefault="00D5124A" w:rsidP="00AE1DF7">
      <w:pPr>
        <w:spacing w:after="240"/>
        <w:ind w:left="567" w:hanging="567"/>
      </w:pPr>
      <w:r w:rsidRPr="004B6350">
        <w:t>47</w:t>
      </w:r>
      <w:r w:rsidR="00AE1DF7" w:rsidRPr="004B6350">
        <w:t xml:space="preserve">. </w:t>
      </w:r>
      <w:r w:rsidR="00AE1DF7" w:rsidRPr="004B6350">
        <w:tab/>
        <w:t>ragina PRES GD aktyviai bendradarbiauti su kitų valstybių narių ir trečiųjų valstybių parlamentais, siekiant parengti pasiūlymus dėl veiksmingų tikrinimo mechanizmų, taip pat būdų, kaip pagerinti Parlamento plenarinių posėdžių kokybę ir lankomumą; ragina PRES GD pasimokyti iš Kongreso klausymų struktūros;</w:t>
      </w:r>
    </w:p>
    <w:p w14:paraId="73912E03" w14:textId="036ED4E3" w:rsidR="00AE1DF7" w:rsidRPr="004B6350" w:rsidRDefault="00D5124A" w:rsidP="00AE1DF7">
      <w:pPr>
        <w:pStyle w:val="NormalHanging12a"/>
        <w:rPr>
          <w:bCs/>
          <w:iCs/>
        </w:rPr>
      </w:pPr>
      <w:r w:rsidRPr="004B6350">
        <w:t>48</w:t>
      </w:r>
      <w:r w:rsidR="00AE1DF7" w:rsidRPr="004B6350">
        <w:t>.</w:t>
      </w:r>
      <w:r w:rsidR="00AE1DF7" w:rsidRPr="004B6350">
        <w:tab/>
        <w:t>palankiai vertina tai, kad Parlamentas neseniai inicijavo teisėkūros procedūrą, kuria siekiama iš dalies pakeisti Sąjungos rinkimų įstatymą, kad vėlyvo nėštumo ir ankstyvos motinystės metu Parlamento narėms būtų suteikta nauja laikina balsavimo pagal įgaliojimą galimybė; palankiai vertina tai, kad Parlamentas, nubalsavęs 2025 m. lapkričio 13 d. plenariniame posėdyje, įsipareigojo siekti lyčių lygybės, įtraukumo bei profesinio ir asmeninio gyvenimo pusiausvyros, nepaisant to, kad aktas neapima platesnių vaiko priežiūros atostogų;</w:t>
      </w:r>
    </w:p>
    <w:p w14:paraId="239F17FC" w14:textId="4DE9BD4A" w:rsidR="00AE1DF7" w:rsidRPr="004B6350" w:rsidRDefault="00D5124A" w:rsidP="00AE1DF7">
      <w:pPr>
        <w:pStyle w:val="NormalHanging12a"/>
        <w:rPr>
          <w:bCs/>
          <w:iCs/>
        </w:rPr>
      </w:pPr>
      <w:r w:rsidRPr="004B6350">
        <w:t>49</w:t>
      </w:r>
      <w:r w:rsidR="00AE1DF7" w:rsidRPr="004B6350">
        <w:t>.</w:t>
      </w:r>
      <w:r w:rsidR="00AE1DF7" w:rsidRPr="004B6350">
        <w:tab/>
        <w:t xml:space="preserve">pažymi, kad šiuo metu nėra naujausių duomenų apie lankomumą komitetų lygmeniu; </w:t>
      </w:r>
      <w:r w:rsidR="00AE1DF7" w:rsidRPr="004B6350">
        <w:lastRenderedPageBreak/>
        <w:t>ragina Parlamento tarnybas kasmet skelbti šiuos lankomumo skaičius komitetų lygmeniu, suskirstytus pagal komitetus;</w:t>
      </w:r>
    </w:p>
    <w:p w14:paraId="2967F1CB" w14:textId="77777777" w:rsidR="00AE1DF7" w:rsidRPr="004B6350" w:rsidRDefault="00AE1DF7" w:rsidP="00AE1DF7">
      <w:pPr>
        <w:spacing w:after="240"/>
        <w:rPr>
          <w:b/>
          <w:bCs/>
          <w:i/>
          <w:iCs/>
          <w14:textOutline w14:w="0" w14:cap="flat" w14:cmpd="sng" w14:algn="ctr">
            <w14:noFill/>
            <w14:prstDash w14:val="solid"/>
            <w14:bevel/>
          </w14:textOutline>
        </w:rPr>
      </w:pPr>
      <w:r w:rsidRPr="004B6350">
        <w:rPr>
          <w:b/>
          <w:i/>
          <w14:textOutline w14:w="0" w14:cap="flat" w14:cmpd="sng" w14:algn="ctr">
            <w14:noFill/>
            <w14:prstDash w14:val="solid"/>
            <w14:bevel/>
          </w14:textOutline>
        </w:rPr>
        <w:t>Komunikacijos generalinis direktoratas</w:t>
      </w:r>
    </w:p>
    <w:p w14:paraId="13B3CB05" w14:textId="1B0F9BE6" w:rsidR="00AE1DF7" w:rsidRPr="004B6350" w:rsidRDefault="007954B6"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50</w:t>
      </w:r>
      <w:r w:rsidR="00AE1DF7" w:rsidRPr="004B6350">
        <w:t>.</w:t>
      </w:r>
      <w:r w:rsidR="00AE1DF7" w:rsidRPr="004B6350">
        <w:rPr>
          <w14:textOutline w14:w="0" w14:cap="flat" w14:cmpd="sng" w14:algn="ctr">
            <w14:noFill/>
            <w14:prstDash w14:val="solid"/>
            <w14:bevel/>
          </w14:textOutline>
        </w:rPr>
        <w:tab/>
      </w:r>
      <w:r w:rsidR="00AE1DF7" w:rsidRPr="004B6350">
        <w:t>atkreipia dėmesį į tai, kad Komunikacijos generalinio direktorato (COMM GD) užduotis yra užtikrinti, kad piliečiai suprastų, koks svarbus yra Parlamentas, kad galėtų aktyviau dalyvauti Europos demokratiniame procese;</w:t>
      </w:r>
      <w:r w:rsidR="00AE1DF7" w:rsidRPr="004B6350">
        <w:rPr>
          <w14:textOutline w14:w="0" w14:cap="flat" w14:cmpd="sng" w14:algn="ctr">
            <w14:noFill/>
            <w14:prstDash w14:val="solid"/>
            <w14:bevel/>
          </w14:textOutline>
        </w:rPr>
        <w:t xml:space="preserve"> akcentuoja, kad pagrindinės jo užduotys yra šios: bendradarbiauti su žiniasklaida, informuoti apie Parlamento darbą, jį paaiškinti ir didinti jo matomumą, didinti visų valstybių narių piliečių, suinteresuotųjų subjektų ir nuomonės formuotojų informuotumą apie Parlamentą per valstybėse narėse esančius Europos Parlamento ryšių biurus, skatinti bendravimą su piliečiais intensyviau įgyvendinant lankytojų projektus, renginius ir informacines kampanijas bei dalyvaujant socialiniuose tinkluose, teikti Parlamento nariams ir frakcijoms ekspertines žinias tokiais klausimais kaip žiniasklaidos stebėsena bei strateginė analizė ir viešosios nuomonės stebėsena;</w:t>
      </w:r>
    </w:p>
    <w:p w14:paraId="73804339" w14:textId="40DC7C21" w:rsidR="00AE1DF7" w:rsidRPr="004B6350" w:rsidRDefault="007954B6"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51</w:t>
      </w:r>
      <w:r w:rsidR="00AE1DF7" w:rsidRPr="004B6350">
        <w:t>.</w:t>
      </w:r>
      <w:r w:rsidR="00AE1DF7" w:rsidRPr="004B6350">
        <w:rPr>
          <w14:textOutline w14:w="0" w14:cap="flat" w14:cmpd="sng" w14:algn="ctr">
            <w14:noFill/>
            <w14:prstDash w14:val="solid"/>
            <w14:bevel/>
          </w14:textOutline>
        </w:rPr>
        <w:tab/>
      </w:r>
      <w:r w:rsidR="00AE1DF7" w:rsidRPr="004B6350">
        <w:t>pažymi, kad 2024 m. galutiniai COMM GD asignavimai sudarė 137 463 777 EUR, t. y. 5,8 proc. Parlamento biudžeto;</w:t>
      </w:r>
      <w:r w:rsidR="00AE1DF7" w:rsidRPr="004B6350">
        <w:rPr>
          <w14:textOutline w14:w="0" w14:cap="flat" w14:cmpd="sng" w14:algn="ctr">
            <w14:noFill/>
            <w14:prstDash w14:val="solid"/>
            <w14:bevel/>
          </w14:textOutline>
        </w:rPr>
        <w:t xml:space="preserve"> </w:t>
      </w:r>
      <w:r w:rsidR="00AE1DF7" w:rsidRPr="004B6350">
        <w:t>pabrėžia, kad iš šios sumos iš viso įsipareigota skirti 137 467 355 EUR;</w:t>
      </w:r>
      <w:r w:rsidR="00AE1DF7" w:rsidRPr="004B6350">
        <w:rPr>
          <w14:textOutline w14:w="0" w14:cap="flat" w14:cmpd="sng" w14:algn="ctr">
            <w14:noFill/>
            <w14:prstDash w14:val="solid"/>
            <w14:bevel/>
          </w14:textOutline>
        </w:rPr>
        <w:t xml:space="preserve"> palankiai vertina didelį asignavimų panaudojimo lygį;</w:t>
      </w:r>
    </w:p>
    <w:p w14:paraId="1A9FDBB1" w14:textId="6592D2F4" w:rsidR="00AE1DF7" w:rsidRPr="004B6350" w:rsidRDefault="007954B6" w:rsidP="00AE1DF7">
      <w:pPr>
        <w:spacing w:after="240"/>
        <w:ind w:left="567" w:hanging="567"/>
      </w:pPr>
      <w:r w:rsidRPr="004B6350">
        <w:t>52</w:t>
      </w:r>
      <w:r w:rsidR="00AE1DF7" w:rsidRPr="004B6350">
        <w:t>.</w:t>
      </w:r>
      <w:r w:rsidR="00AE1DF7" w:rsidRPr="004B6350">
        <w:tab/>
        <w:t>pripažįsta, kad 2024 m. COMM GD daugiausia dėmesio skyrė komunikacijai apie Europos Parlamento rinkimus, visų pirma sėkmingai komunikacijos kampanijai „Go-to-vote“, partnerystei su daugiau kaip 300 pilietinės visuomenės organizacijų ir daugiau kaip 18 000 informuotų žurnalistų; pažymi, kad visi COMM GD 2024 m. strateginiai projektai, kurių įgyvendinimo lygis siekė 94 proc., buvo skirti Europos Parlamento rinkimams, o likę 6 proc. buvo susiję su naujos svetainės struktūros įgyvendinimu;</w:t>
      </w:r>
    </w:p>
    <w:p w14:paraId="01BBE40E" w14:textId="4CB3DA18" w:rsidR="00AE1DF7" w:rsidRPr="004B6350" w:rsidRDefault="007954B6" w:rsidP="00AE1DF7">
      <w:pPr>
        <w:spacing w:after="240"/>
        <w:ind w:left="567" w:hanging="567"/>
      </w:pPr>
      <w:r w:rsidRPr="004B6350">
        <w:t>53</w:t>
      </w:r>
      <w:r w:rsidR="00AE1DF7" w:rsidRPr="004B6350">
        <w:t xml:space="preserve">. </w:t>
      </w:r>
      <w:r w:rsidR="00AE1DF7" w:rsidRPr="004B6350">
        <w:tab/>
        <w:t>pažymi, kad COMM GD sudarė palankesnes sąlygas nušviesti Europos Parlamento rinkimus ir pasiekta rekordinė pranešimų apimtis (18 proc. daugiau, palyginti su ankstesniais rinkimais) – anot COMM GD, ypač verta paminėti paskutinius rinkimų ciklo momentus, kai rinkimų naktį (2024 m. birželio 9 d.) rinkimus nušvietė 149 televizijos kanalai 51 šalyje, o didžioji dalis informacijos buvo skelbiama internete;</w:t>
      </w:r>
    </w:p>
    <w:p w14:paraId="20289CE4" w14:textId="2AC2A36F" w:rsidR="00AE1DF7" w:rsidRPr="004B6350" w:rsidRDefault="007954B6" w:rsidP="00AE1DF7">
      <w:pPr>
        <w:spacing w:after="240"/>
        <w:ind w:left="567" w:hanging="567"/>
      </w:pPr>
      <w:r w:rsidRPr="004B6350">
        <w:rPr>
          <w14:textOutline w14:w="0" w14:cap="flat" w14:cmpd="sng" w14:algn="ctr">
            <w14:noFill/>
            <w14:prstDash w14:val="solid"/>
            <w14:bevel/>
          </w14:textOutline>
        </w:rPr>
        <w:t>54</w:t>
      </w:r>
      <w:r w:rsidR="00AE1DF7" w:rsidRPr="004B6350">
        <w:t>.</w:t>
      </w:r>
      <w:r w:rsidR="00AE1DF7" w:rsidRPr="004B6350">
        <w:rPr>
          <w14:textOutline w14:w="0" w14:cap="flat" w14:cmpd="sng" w14:algn="ctr">
            <w14:noFill/>
            <w14:prstDash w14:val="solid"/>
            <w14:bevel/>
          </w14:textOutline>
        </w:rPr>
        <w:tab/>
      </w:r>
      <w:r w:rsidR="00AE1DF7" w:rsidRPr="004B6350">
        <w:t>atkreipia dėmesį į Europos Parlamento ryšių biurų vaidmenį palaikant ryšius tarp Parlamento ir visuomenės bei suinteresuotųjų šalių valstybėse narėse apskritai, taip pat informuojant apie Europos Parlamento rinkimus;</w:t>
      </w:r>
      <w:r w:rsidR="00AE1DF7" w:rsidRPr="004B6350">
        <w:rPr>
          <w14:textOutline w14:w="0" w14:cap="flat" w14:cmpd="sng" w14:algn="ctr">
            <w14:noFill/>
            <w14:prstDash w14:val="solid"/>
            <w14:bevel/>
          </w14:textOutline>
        </w:rPr>
        <w:t xml:space="preserve"> </w:t>
      </w:r>
      <w:r w:rsidR="00AE1DF7" w:rsidRPr="004B6350">
        <w:t xml:space="preserve">pažymi, kad visi Europos Parlamento ryšių biurai yra aprūpinti garso ir vaizdo paslaugomis, kuriomis valstybėse narėse gali naudotis Parlamento nariai, frakcijos ir trečiosios šalys; </w:t>
      </w:r>
    </w:p>
    <w:p w14:paraId="5117AC53" w14:textId="0804B591" w:rsidR="00AE1DF7" w:rsidRPr="004B6350" w:rsidRDefault="007954B6" w:rsidP="00AE1DF7">
      <w:pPr>
        <w:pStyle w:val="NormalHanging12a"/>
        <w:rPr>
          <w:bCs/>
          <w:iCs/>
        </w:rPr>
      </w:pPr>
      <w:r w:rsidRPr="004B6350">
        <w:t>55</w:t>
      </w:r>
      <w:r w:rsidR="00AE1DF7" w:rsidRPr="004B6350">
        <w:t>.</w:t>
      </w:r>
      <w:r w:rsidR="00AE1DF7" w:rsidRPr="004B6350">
        <w:tab/>
        <w:t>ragina tinkamai stebėti EP ryšių biurų ir centrų „Europa Experience“ išlaidas;</w:t>
      </w:r>
    </w:p>
    <w:p w14:paraId="143AC04D" w14:textId="37B61FCB" w:rsidR="00AE1DF7" w:rsidRPr="004B6350" w:rsidRDefault="007954B6" w:rsidP="00AE1DF7">
      <w:pPr>
        <w:pStyle w:val="NormalHanging12a"/>
        <w:rPr>
          <w:bCs/>
          <w:iCs/>
        </w:rPr>
      </w:pPr>
      <w:r w:rsidRPr="004B6350">
        <w:t>56</w:t>
      </w:r>
      <w:r w:rsidR="00AE1DF7" w:rsidRPr="004B6350">
        <w:t>.</w:t>
      </w:r>
      <w:r w:rsidR="00AE1DF7" w:rsidRPr="004B6350">
        <w:tab/>
        <w:t>pabrėžia nepaprastai svarbų EP ryšių biuro Vašingtone vaidmenį puoselėjant transatlantinius santykius ir stiprinant JAV ir Sąjungos parlamentų ryšius; pabrėžia, kad, atsižvelgiant į naują JAV administraciją ir kylančius pasaulinius iššūkius, EP ryšių biuro Vašingtone vaidmuo bus dar svarbesnis; ragina numatyti pakankamai biudžeto lėšų ir darbuotojų siekiant remti EP ryšių biuro veiklą Vašingtone;</w:t>
      </w:r>
    </w:p>
    <w:p w14:paraId="2CEFFCC7" w14:textId="60EE775A" w:rsidR="00AE1DF7" w:rsidRPr="004B6350" w:rsidRDefault="007954B6" w:rsidP="00AE1DF7">
      <w:pPr>
        <w:pStyle w:val="NormalHanging12a"/>
      </w:pPr>
      <w:r w:rsidRPr="004B6350">
        <w:t>57</w:t>
      </w:r>
      <w:r w:rsidR="00AE1DF7" w:rsidRPr="004B6350">
        <w:t>.</w:t>
      </w:r>
      <w:r w:rsidR="00AE1DF7" w:rsidRPr="004B6350">
        <w:tab/>
        <w:t xml:space="preserve">pažymi, kad 2024 m. buvo atidaryta 14 centrų „Europa Experience“, kurie sulaukė iš viso 957 209 lankytojų, o lankytojų skaičius labai skyrėsi: Strasbūre (381 687) ir Berlyne (122 672) lankytojų buvo daugiausia, o Kopenhagoje (18 182) ir Dubline </w:t>
      </w:r>
      <w:r w:rsidR="00AE1DF7" w:rsidRPr="004B6350">
        <w:lastRenderedPageBreak/>
        <w:t>(8 312) – mažiausia, tačiau centras Dubline duris atvėrė tik 2024 m. spalio mėn.; atkreipia dėmesį į pastabą, kad EP ryšių biurai atitinkamose valstybėse narėse centrus „Europa Experience“ naudoja kaip Sąjungos demokratinio dalyvavimo centrus, kurie suteikia galimybes pritraukti platesnę auditoriją skleidžiant Parlamento informaciją;</w:t>
      </w:r>
    </w:p>
    <w:p w14:paraId="0DC1179E" w14:textId="376591E9" w:rsidR="00AE1DF7" w:rsidRPr="004B6350" w:rsidRDefault="007954B6" w:rsidP="00AE1DF7">
      <w:pPr>
        <w:spacing w:after="240"/>
        <w:ind w:left="567" w:hanging="567"/>
      </w:pPr>
      <w:r w:rsidRPr="004B6350">
        <w:rPr>
          <w14:textOutline w14:w="0" w14:cap="flat" w14:cmpd="sng" w14:algn="ctr">
            <w14:noFill/>
            <w14:prstDash w14:val="solid"/>
            <w14:bevel/>
          </w14:textOutline>
        </w:rPr>
        <w:t>58</w:t>
      </w:r>
      <w:r w:rsidR="00AE1DF7" w:rsidRPr="004B6350">
        <w:t>.</w:t>
      </w:r>
      <w:r w:rsidR="00AE1DF7" w:rsidRPr="004B6350">
        <w:rPr>
          <w14:textOutline w14:w="0" w14:cap="flat" w14:cmpd="sng" w14:algn="ctr">
            <w14:noFill/>
            <w14:prstDash w14:val="solid"/>
            <w14:bevel/>
          </w14:textOutline>
        </w:rPr>
        <w:tab/>
      </w:r>
      <w:r w:rsidR="00AE1DF7" w:rsidRPr="004B6350">
        <w:t>pabrėžia, kad svarbu nuodugniai įvertinti iki šiol centruose „Europa Experience“ įgytą patirtį, visų pirma susijusią su tinkamų pastatų paieška ir veiksmingu tikslinių grupių pasiekimu, geriausios praktikos nustatymu ir centrų „Europa Experience“ būsimo išplėtimo pritaikymu prie vietos poreikių ir parodyto poveikio; pabrėžia, kad šiuo pakartotiniu vertinimu turėtų būti vadovaujamasi ateityje atliekant tolesnio išplėtimo koregavimus ar jį persvarstant, užtikrinant, kad visos būsimos investicijos būtų panaudotos veiksmingiau siekiant numatyto jų tikslo – priartinti Parlamentą prie piliečių ir pagerinti jų supratimą apie Sąjungos demokratinį procesą;</w:t>
      </w:r>
    </w:p>
    <w:p w14:paraId="43B3BA27" w14:textId="4E9B65CB" w:rsidR="00AE1DF7" w:rsidRPr="004B6350" w:rsidRDefault="007954B6" w:rsidP="00AE1DF7">
      <w:pPr>
        <w:pStyle w:val="NormalHanging12a"/>
      </w:pPr>
      <w:r w:rsidRPr="004B6350">
        <w:t>59</w:t>
      </w:r>
      <w:r w:rsidR="00AE1DF7" w:rsidRPr="004B6350">
        <w:t>.</w:t>
      </w:r>
      <w:r w:rsidR="00AE1DF7" w:rsidRPr="004B6350">
        <w:tab/>
        <w:t>primena, kad naujas subsidijų mokėjimo finansuojamoms lankytojų grupėms taisykles Biuras priėmė 2023 m. rugsėjo 11 d. ir jos įsigaliojo 2024 m. sausio 1 d.; pažymi, kad 2024 m. Parlamento nariai Briuselyje ir Strasbūre pakvietė 300 000 finansuojamų ir nefinansuojamų lankytojų; pažymi, kad subsidijos tokioms lankytojų grupėms sudarė 17 proc. 2024 m. COMM GD išlaidų; atkreipia dėmesį į papildomas frakcijų pastangas remiant savo narių veiklą jiems bendraujant su piliečiais, įskaitant jaunimą, siekiant užtikrinti tinkamą informavimą apie Parlamento narių darbą Strasbūre ir Briuselyje, finansuojamas biudžeto 400 punkto lėšomis;</w:t>
      </w:r>
    </w:p>
    <w:p w14:paraId="60F93505" w14:textId="3A9D07E5" w:rsidR="00AE1DF7" w:rsidRPr="004B6350" w:rsidRDefault="007954B6" w:rsidP="00AE1DF7">
      <w:pPr>
        <w:spacing w:after="240"/>
        <w:ind w:left="567" w:hanging="567"/>
      </w:pPr>
      <w:r w:rsidRPr="004B6350">
        <w:t>60</w:t>
      </w:r>
      <w:r w:rsidR="00AE1DF7" w:rsidRPr="004B6350">
        <w:t>.</w:t>
      </w:r>
      <w:r w:rsidR="00AE1DF7" w:rsidRPr="004B6350">
        <w:tab/>
        <w:t>primena, kad Sąjunga nuolat susiduria su iššūkiais siekdama apsaugoti Sąjungos vertybes ir demokratinių procesų integralumą; pripažįsta, kad daugėja užsienio subjektų bandymų daryti įtaką Parlamento darbui, ir pabrėžia, kad reikia būti budriems kovojant su dezinformacija, kuriama už Sąjungos ribų; atsižvelgdamas į tai, primena 2023 m. birželio 1 d. Europos Parlamento rezoliuciją dėl užsienio kišimosi į visus demokratinius procesus Europos Sąjungoje, įskaitant dezinformaciją (2022/2075(INI)), ir 2025 m. sausio 23 d. rezoliuciją dėl Rusijos dezinformacijos ir istorijos falsifikavimo siekiant pateisinti savo agresijos karą prieš Ukrainą (2024/2988(RSP)); palankiai vertina veiksmus, kurių ėmėsi Parlamentas, siekdamas užkirsti kelią dezinformacijai ir į ją reaguoti; pripažįsta, kad dar neįvyko jokių reikšmingų incidentų, tačiau sykiu pabrėžia, jog svarbu toliau taikyti proaktyvias priemones, kad būtų išsaugotas Parlamento viešų debatų ir balsavimo integralumas; atkreipia dėmesį į tokių iniciatyvų kaip faktų tikrinimo susitikimai ir aukščiausiojo lygio susitikimai pridėtinę vertę, nes jiems tenka labai svarbus vaidmuo skatinant skaidrumą, suteikiant suinteresuotiesiems subjektams kovos su klaidinga informacija priemones ir stiprinant faktų tikrinimo organizacijų bendradarbiavimą Sąjungoje ir už jos ribų;</w:t>
      </w:r>
    </w:p>
    <w:p w14:paraId="5373EC43" w14:textId="77777777" w:rsidR="00AE1DF7" w:rsidRPr="004B6350" w:rsidRDefault="00AE1DF7" w:rsidP="00AE1DF7">
      <w:pPr>
        <w:spacing w:after="240"/>
        <w:rPr>
          <w:b/>
          <w:bCs/>
          <w:i/>
          <w:iCs/>
          <w14:textOutline w14:w="0" w14:cap="flat" w14:cmpd="sng" w14:algn="ctr">
            <w14:noFill/>
            <w14:prstDash w14:val="solid"/>
            <w14:bevel/>
          </w14:textOutline>
        </w:rPr>
      </w:pPr>
      <w:r w:rsidRPr="004B6350">
        <w:rPr>
          <w:b/>
          <w:i/>
          <w14:textOutline w14:w="0" w14:cap="flat" w14:cmpd="sng" w14:algn="ctr">
            <w14:noFill/>
            <w14:prstDash w14:val="solid"/>
            <w14:bevel/>
          </w14:textOutline>
        </w:rPr>
        <w:t>Personalo generalinis direktoratas</w:t>
      </w:r>
    </w:p>
    <w:p w14:paraId="213BB250" w14:textId="3544AC4A" w:rsidR="00AE1DF7" w:rsidRPr="004B6350" w:rsidRDefault="009C307F"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61</w:t>
      </w:r>
      <w:r w:rsidR="00AE1DF7" w:rsidRPr="004B6350">
        <w:t>.</w:t>
      </w:r>
      <w:r w:rsidR="00AE1DF7" w:rsidRPr="004B6350">
        <w:rPr>
          <w14:textOutline w14:w="0" w14:cap="flat" w14:cmpd="sng" w14:algn="ctr">
            <w14:noFill/>
            <w14:prstDash w14:val="solid"/>
            <w14:bevel/>
          </w14:textOutline>
        </w:rPr>
        <w:tab/>
        <w:t xml:space="preserve">primena, kad Personalo generalinis direktoratas (PERS GD) yra atsakingas už tinkamą ir veiksmingą žmogiškųjų išteklių valdymą Parlamente ir užtikrina, kad Parlamento nariams padėtų aukštos kvalifikacijos personalas, kad jie galėtų tinkamai vykdyti savo įgaliojimus; </w:t>
      </w:r>
      <w:r w:rsidR="00AE1DF7" w:rsidRPr="004B6350">
        <w:t>pažymi, kad 2024 m. gruodžio 31 d. jame dirbo 499 darbuotojai, iš kurių 290 buvo pareigūnai, 82 – laikinieji darbuotojai, 120 – sutartininkai, 2 – deleguotieji nacionaliniai ekspertai ir 5 – per agentūrą įdarbinti darbuotojai;</w:t>
      </w:r>
    </w:p>
    <w:p w14:paraId="0A347717" w14:textId="26927364" w:rsidR="00AE1DF7" w:rsidRPr="004B6350" w:rsidRDefault="009C307F"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62</w:t>
      </w:r>
      <w:r w:rsidR="00AE1DF7" w:rsidRPr="004B6350">
        <w:t>.</w:t>
      </w:r>
      <w:r w:rsidR="00AE1DF7" w:rsidRPr="004B6350">
        <w:rPr>
          <w14:textOutline w14:w="0" w14:cap="flat" w14:cmpd="sng" w14:algn="ctr">
            <w14:noFill/>
            <w14:prstDash w14:val="solid"/>
            <w14:bevel/>
          </w14:textOutline>
        </w:rPr>
        <w:tab/>
      </w:r>
      <w:r w:rsidR="00AE1DF7" w:rsidRPr="004B6350">
        <w:t>pažymi, kad 2024 m. galutiniai PERS GD asignavimai sudarė 1 225 341 375 EUR (2023 m. – 1 163 329 780 EUR), t. y. 51,4 proc. Parlamento biudžeto;</w:t>
      </w:r>
      <w:r w:rsidR="00AE1DF7" w:rsidRPr="004B6350">
        <w:rPr>
          <w14:textOutline w14:w="0" w14:cap="flat" w14:cmpd="sng" w14:algn="ctr">
            <w14:noFill/>
            <w14:prstDash w14:val="solid"/>
            <w14:bevel/>
          </w14:textOutline>
        </w:rPr>
        <w:t xml:space="preserve"> </w:t>
      </w:r>
      <w:r w:rsidR="00AE1DF7" w:rsidRPr="004B6350">
        <w:t xml:space="preserve">pabrėžia, kad iš </w:t>
      </w:r>
      <w:r w:rsidR="00AE1DF7" w:rsidRPr="004B6350">
        <w:lastRenderedPageBreak/>
        <w:t>šios sumos iš viso įsipareigota skirti 1 160 835 147 EUR;</w:t>
      </w:r>
      <w:r w:rsidR="00AE1DF7" w:rsidRPr="004B6350">
        <w:rPr>
          <w14:textOutline w14:w="0" w14:cap="flat" w14:cmpd="sng" w14:algn="ctr">
            <w14:noFill/>
            <w14:prstDash w14:val="solid"/>
            <w14:bevel/>
          </w14:textOutline>
        </w:rPr>
        <w:t xml:space="preserve"> palankiai vertina didelį asignavimų panaudojimo lygį;</w:t>
      </w:r>
    </w:p>
    <w:p w14:paraId="19C96089" w14:textId="5B619B5E" w:rsidR="00AE1DF7" w:rsidRPr="004B6350" w:rsidRDefault="009C307F" w:rsidP="00AE1DF7">
      <w:pPr>
        <w:pStyle w:val="NormalHanging12a"/>
      </w:pPr>
      <w:r w:rsidRPr="004B6350">
        <w:t>63</w:t>
      </w:r>
      <w:r w:rsidR="00AE1DF7" w:rsidRPr="004B6350">
        <w:t>.</w:t>
      </w:r>
      <w:r w:rsidR="00AE1DF7" w:rsidRPr="004B6350">
        <w:tab/>
        <w:t>palankiai vertina tai, kad 2024 m. PERS GD toliau organizavo konkursus ir atrankos procesus, valdydamas vis didesnę grupę pareiškėjų, taip pat organizavo keturis konkursus, skirtus konkrečių valstybių piliečiams; palankiai vertina PERS GD pastangas organizuoti konkursus, užtikrinant, kad jie būtų baigti laiku, ir išlaikant būtinus kokybės standartus; palankiai vertina tai, kad daugiau nei 441 kandidatas buvo sėkmingai įtrauktas į rezervo sąrašus; vis dėlto apgailestauja, kad Europos personalo atrankos tarnyba (EPSO), organizuodama konkursus, susidūrė su sisteminėmis problemomis ir trūko Parlamento poreikius atitinkančių kandidatų; apgailestauja, kad laikotarpis nuo pranešimo apie konkursą paskelbimo iki galutinio pokalbio kiekviename konkurse vidutiniškai trunka ilgiau nei metus; pripažįsta PERS GD ir kitų generalinių direktoratų bendro pobūdžio sunkumus siekiant pritraukti ir išlaikyti specialistus, o tai daro poveikį Parlamento darbo jėgos veiklos rezultatams; ragina taikyti veiksmingesnes, tikslingesnes ir trumpesnes atrankos procedūras, kurios padidintų Parlamento, kaip darbdavio, patrauklumą ir leistų generaliniams direktoratams greitai įdarbinti specialistus, kurių parama reikalinga vykdant darbą; pabrėžia, kad atrankos procedūros turi būti vykdomos visapusiškai laikantis vienodo požiūrio ir geografinės pusiausvyros principų, užtikrinant sąžiningą atstovavimą visoms valstybėms narėms;</w:t>
      </w:r>
    </w:p>
    <w:p w14:paraId="5D891D91" w14:textId="4A924F65" w:rsidR="00AE1DF7" w:rsidRPr="004B6350" w:rsidRDefault="009C307F" w:rsidP="00AE1DF7">
      <w:pPr>
        <w:spacing w:after="240"/>
        <w:ind w:left="567" w:hanging="567"/>
      </w:pPr>
      <w:r w:rsidRPr="004B6350">
        <w:t>64</w:t>
      </w:r>
      <w:r w:rsidR="00AE1DF7" w:rsidRPr="004B6350">
        <w:t>.</w:t>
      </w:r>
      <w:r w:rsidR="00AE1DF7" w:rsidRPr="004B6350">
        <w:tab/>
        <w:t>palankiai vertina su pilietybe susijusius Parlamento konkursus, kuriais siekiama pagerinti Parlamento darbuotojų geografinę pusiausvyrą sukuriant didesnę kandidatų iš nepakankamai atstovaujamų valstybių narių grupę; vis dėlto pažymi, kad duomenų apie Parlamento darbuotojus analizė pagal pilietybę ir pareigų grupę rodo nuolatinį karjeros raidos disbalansą, kai darbuotojų iš tam tikrų valstybių narių dalis administracijoje yra tinkama, tačiau dalis vyresniųjų pareigų grupėse ir su sprendimų priėmimu susijusiose pareigose – pernelyg maža; apgailestauja dėl geografinio disbalanso Parlamento vyresniojoje ir vidurinės grandies vadovybėje; įdarbinant darbuotojus visada turi būti atsižvelgiama į nuopelnus ir paisoma tokių pagrindinių principų kaip lygybė, nediskriminavimas ir proporcingumas; pabrėžia, kad reikia gerinti padėtį, ir ragina generalinį sekretorių, bendradarbiaujant su PERS GD, pateikti konkrečias, išmatuojamas ir per nustatytą laiką įvykdytinas priemones šiam disbalansui pašalinti ir reguliariai pranešti Parlamento Biudžeto kontrolės komitetui bei biudžeto įvykdymą tvirtinančiai institucijai apie pažangą, padarytą koreguojant Parlamento darbuotojų geografinį disbalansą; ragina generalinį sekretorių ir PERS GD į Parlamento Biudžeto kontrolės komitetui reguliariai teikiamas ataskaitas įtraukti ne tik informaciją apie bendrą darbuotojų skaičių, bet ir visų pirma duomenis apie karjeros raidą ir paaukštinimus pagal pilietybę ir pareigų grupę, vadovų ir vyresniųjų pareigūnų skyrimą, dalyvavimą talentų valdymo ir lyderystės programose bei naudojimąsi laikinaisiais paskyrimais ir pareigomis kaip karjeros raidos dalimi;</w:t>
      </w:r>
    </w:p>
    <w:p w14:paraId="70402D8C" w14:textId="69FCC542" w:rsidR="00AE1DF7" w:rsidRPr="004B6350" w:rsidRDefault="009C307F" w:rsidP="00AE1DF7">
      <w:pPr>
        <w:spacing w:after="240"/>
        <w:ind w:left="567" w:hanging="567"/>
      </w:pPr>
      <w:r w:rsidRPr="004B6350">
        <w:t>65</w:t>
      </w:r>
      <w:r w:rsidR="00AE1DF7" w:rsidRPr="004B6350">
        <w:t>.</w:t>
      </w:r>
      <w:r w:rsidR="00AE1DF7" w:rsidRPr="004B6350">
        <w:tab/>
        <w:t xml:space="preserve">atkreipia dėmesį į PERS GD svarbiausią pasiekimą: iki liepos mėn. steigiamojo posėdžio veiksmingai įdarbinta rekordiškai daug akredituotų Parlamento narių padėjėjų – 1 339, ir iki metų pabaigos galiojančias sutartis turinčių akredituotų Parlamento narių padėjėjų skaičius padidėjo iki 2 024, taip pat buvo nutrauktos maždaug 800 akredituotų Parlamento narių padėjėjų sutartys; mano, kad akredituoti Parlamento narių padėjėjai yra labai vertingi institucijai, ir palankiai vertina PERS GD pastangas remti Parlamento narių vykdomą veiksmingą ir efektyvų jų įdarbinimą; </w:t>
      </w:r>
    </w:p>
    <w:p w14:paraId="692046F2" w14:textId="21286093" w:rsidR="00AE1DF7" w:rsidRPr="004B6350" w:rsidRDefault="009C307F" w:rsidP="00AE1DF7">
      <w:pPr>
        <w:pStyle w:val="NormalHanging12a"/>
      </w:pPr>
      <w:r w:rsidRPr="004B6350">
        <w:t>66</w:t>
      </w:r>
      <w:r w:rsidR="00AE1DF7" w:rsidRPr="004B6350">
        <w:t>.</w:t>
      </w:r>
      <w:r w:rsidR="00AE1DF7" w:rsidRPr="004B6350">
        <w:tab/>
        <w:t xml:space="preserve">pripažįsta, kad akredituotų Parlamento narių padėjėjų darbas yra neatskiriama </w:t>
      </w:r>
      <w:r w:rsidR="00AE1DF7" w:rsidRPr="004B6350">
        <w:lastRenderedPageBreak/>
        <w:t>Parlamento narių, taigi ir Parlamento darbo dalis; pažymi, kad 2009 m. buvo priimtas Akredituotų Parlamento narių padėjėjų statutas ir bėgant metams jų statuso apsauga užtikrinta taisyklėmis; atkreipia dėmesį į Parlamento pastangas sukurti paramos akredituotiems Parlamento narių padėjėjams sistemą; ragina tinkamai laikytis galiojančių taisyklių; pažymi, kad nuo to laiko akredituoti Parlamento narių padėjėjai dalyvauja oficialiose komandiruotėse į tris Parlamento darbo vietas; palankiai vertina tai, kad taisyklės, susijusios su akredituotų Parlamento narių padėjėjų komandiruočių į tris darbo vietas kompensavimu, buvo suderintos su taisyklėmis, taikomomis pareigūnams, užtikrinant vienodas sąlygas akredituotiems Parlamento narių padėjėjams; ragina Biurą ir Parlamento administraciją oficialiai konsultuotis su Akredituotų Parlamento narių padėjėjų komitetu dėl peržiūrų ir reformų, kurios daro tiesioginį poveikį akredituotų Parlamento narių padėjėjų teisėms; ragina Parlamento administraciją išnagrinėti galimybes į akredituotų Parlamento narių padėjėjų sutartis įtraukti įspėjimo laikotarpį netikėto Parlamento nario pasitraukimo atveju; pakartoja savo raginimą Pirmininkų sueigai ir Biurui persvarstyti Delegacijų darbą ir misijas už Sąjungos ribų reglamentuojančias įgyvendinimo nuostatas; pabrėžia, kad atliekant tokį persvarstymą turėtų būti apsvarstyta galimybė akredituotiems Parlamento narių padėjėjams, laikantis tam tikrų sąlygų, lydėti Parlamento narius, vykstančius į oficialias Parlamento delegacijų keliones ir misijas; akcentuoja, kad dėl šio pakeitimo finansinis paketas nebūtų keičiamas ir jis neturėtų poveikio biudžetui;</w:t>
      </w:r>
    </w:p>
    <w:p w14:paraId="21DBFE4F" w14:textId="7B838AF8" w:rsidR="00621C8D" w:rsidRPr="004B6350" w:rsidRDefault="00621C8D" w:rsidP="00AE1DF7">
      <w:pPr>
        <w:pStyle w:val="NormalHanging12a"/>
        <w:rPr>
          <w:bCs/>
          <w:iCs/>
        </w:rPr>
      </w:pPr>
      <w:r w:rsidRPr="004B6350">
        <w:rPr>
          <w:bCs/>
          <w:iCs/>
        </w:rPr>
        <w:t>67.</w:t>
      </w:r>
      <w:r w:rsidRPr="004B6350">
        <w:rPr>
          <w:bCs/>
          <w:iCs/>
        </w:rPr>
        <w:tab/>
        <w:t>pabrėžia, kad darbuotojų sveikata ir sauga, be kita ko, kalbant apie psichosocialinę riziką (stresą, perdegimą, priekabiavimą), yra prioritetas; ragina Biurą oficialiai pripažinti psichosocialinę riziką kaip profesinę riziką ir priimti Parlamento masto prevencijos planą su išmatuojamais tikslais; ragina pradėti vykdyti rizikos vertinimus, apimančius nuotolinį darbą, komandiruotes ir trumpus terminus, taip pat nustatyti konfidencialius pranešimų teikimo kanalus, vadovų mokymą ir nuolatinį socialinį dialogą; atkakliai ragina užtikrinti teisę atsijungti;</w:t>
      </w:r>
    </w:p>
    <w:p w14:paraId="164EB21F" w14:textId="77777777" w:rsidR="00AE1DF7" w:rsidRPr="004B6350" w:rsidRDefault="00AE1DF7" w:rsidP="00AE1DF7">
      <w:pPr>
        <w:pStyle w:val="NormalHanging12a"/>
        <w:rPr>
          <w:bCs/>
          <w:iCs/>
        </w:rPr>
      </w:pPr>
      <w:r w:rsidRPr="004B6350">
        <w:t>68.</w:t>
      </w:r>
      <w:r w:rsidRPr="004B6350">
        <w:tab/>
        <w:t>primena, kad akredituoti Parlamento narių padėjėjai negali dalyvauti Parlamento vidaus konkursuose; ragina Biurą išnagrinėti galimybę leisti akredituotiems Parlamento narių padėjėjams, laikantis sąlygų, kurios dar turi būti nustatytos, dalyvauti vidaus konkursuose panašiu kaip ir Parlamento darbuotojai būdu; pabrėžia, kad aktyvesnis akredituotų Parlamento narių padėjėjų dalyvavimas Parlamento vidaus struktūrose galėtų padėti sukurti įtraukesnę, įvairesnę ir geografiniu požiūriu subalansuotą darbo jėgą; akcentuoja žinių, susijusių su vidaus darbo metodais, išsaugojimo ir perdavimo Parlamente svarbą;</w:t>
      </w:r>
    </w:p>
    <w:p w14:paraId="6413FA92" w14:textId="77777777" w:rsidR="00AE1DF7" w:rsidRPr="004B6350" w:rsidRDefault="00AE1DF7" w:rsidP="00AE1DF7">
      <w:pPr>
        <w:pStyle w:val="NormalHanging12a"/>
      </w:pPr>
      <w:r w:rsidRPr="004B6350">
        <w:t>69.</w:t>
      </w:r>
      <w:r w:rsidRPr="004B6350">
        <w:tab/>
        <w:t xml:space="preserve">su dideliu susirūpinimu atkreipia dėmesį į pranešimus apie duomenų saugumo pažeidimą, padarytą naudojant Parlamento įdarbinimo taikomąją programą PEOPLE, pažeidimas daugiausia susijęs su nenuolatiniais Parlamento darbuotojais, įskaitant akredituotus Parlamento narių padėjėjus; apgailestauja, kad duomenų saugumo pažeidimas buvo susijęs su asmens tapatybės kortelės duomenimis, gimimo liudijimais, diplomais, darbo istorija, medicininiais įrašais, teisėmis į išmokas, draudimu ir dokumentais, įrodančiais darbo stažą, kai kuriais atvejais siekiantį 10 metų; palankiai vertina, laikantis Parlamento rūpestingumo pareigos, generalinio sekretoriaus įdiegtą kompensavimo sistemą, skirtą padengti tapatybės kortelių ir (arba) pasų, priklausančių nukentėjusiems taikomosios programos PEOPLE naudotojams, pakeitimo išlaidoms, pagal kurią iki šiol sumokėta 51 874 EUR; apgailestauja, kad nebuvo padengtos kelionės į kilmės šalį išlaidos, susijusios su šiomis administracinėmis procedūromis; ragina administraciją užtikrinti, kad paramos priemonės būtų veiksmingos ir teisingos, </w:t>
      </w:r>
      <w:r w:rsidRPr="004B6350">
        <w:lastRenderedPageBreak/>
        <w:t>įskaitant aiškias vieno langelio principu grindžiamas gaires, tapatybės apsaugos rėmimą ir kompensacijas, kad nukentėję asmenys neprivalėtų padengti neišvengiamų administracinių išlaidų, susijusių su dokumentų keitimo procedūromis; pažymi, kad administracija biudžeto įvykdymą tvirtinančiai institucijai pateikė pažeidimo priežasčių analizę; ragina administraciją nukentėjusiems darbuotojams, įskaitant buvusius darbuotojus, pateikti aiškią pažeidimo priežasčių analizę ir priemones, kurių imtasi siekiant atkurti susijusią sistemą; puikiai supranta, kad prieš Parlamentą ir toliau bus vykdomi kibernetiniai išpuoliai ir kad būtinas itin didelis budrumas; palankiai vertina priemones, kurių ėmėsi administracija, siekdama toliau stiprinti savo IT aplinkos kibernetinio saugumo brandą ir valdymą;</w:t>
      </w:r>
    </w:p>
    <w:p w14:paraId="6D808C6D" w14:textId="77777777" w:rsidR="00AE1DF7" w:rsidRPr="004B6350" w:rsidRDefault="00AE1DF7" w:rsidP="00AE1DF7">
      <w:pPr>
        <w:spacing w:after="240"/>
        <w:ind w:left="567" w:hanging="567"/>
      </w:pPr>
      <w:r w:rsidRPr="004B6350">
        <w:t>70.</w:t>
      </w:r>
      <w:r w:rsidRPr="004B6350">
        <w:tab/>
        <w:t>pažymi, kad PERS GD įdiegė naują akredituotų Parlamento narių padėjėjų IT sistemą „People“, kuri pagerino įdarbinimo procesą, nes ja centralizuotas sutarčių valdymas ir Parlamento nariams suteikta prieiga, taip pat visiškai skaitmenizuota įdarbinamų asmenų medicininių patikrinimų procedūra; ragina PERS GD, bendradarbiaujant su ITEC GD, užtikrinti, kad šios sistemos kibernetinis saugumas atitiktų standartus, užkertant kelią asmens duomenų nutekėjimui; mano, kad IT sistemų, kuriose saugomi visų darbuotojų asmens duomenys, kibernetinis saugumas yra ypač svarbus, ir ragina PERS GD glaudžiai bendradarbiauti su ITEC GD siekiant jį užtikrinti;</w:t>
      </w:r>
    </w:p>
    <w:p w14:paraId="7798262F" w14:textId="77777777" w:rsidR="00AE1DF7" w:rsidRPr="004B6350" w:rsidRDefault="00AE1DF7" w:rsidP="00AE1DF7">
      <w:pPr>
        <w:spacing w:after="240"/>
        <w:ind w:left="567" w:hanging="567"/>
      </w:pPr>
      <w:r w:rsidRPr="004B6350">
        <w:t>71.</w:t>
      </w:r>
      <w:r w:rsidRPr="004B6350">
        <w:tab/>
        <w:t>pažymi, kad 2024 m. PERS GD rėmė lyčių ir įvairovės veiksmų gairių įgyvendinimą ir parengė visiems darbuotojams skirtus mokymo kursus įvairovės ir įtraukties temomis; palankiai vertina tai, kad PERS GD Lygybės, įtraukties ir įvairovės skyrius 2024 m. supaprastino savo vidaus tinkamų sąlygų sudarymo procedūrą, skatindamas lygybę, įtrauktį ir įvairovę, taip pat teikė rekomendacijas Mokymosi ir profesinio tobulėjimo skyriui dėl tinkamų sąlygų sudarymo mokymo kursams; palankiai vertina tai, kad šis skyrius taip pat surengė 20 mokymo kursų ir informuotumo didinimo renginių 2 334 dalyviams, įskaitant visiems darbuotojams skirtą naują kursą įvairovės ir įtraukties tema, taip pat surengė renginius lyčių lygybės, negalios ir LGBTQI+ įtraukties temomis;</w:t>
      </w:r>
    </w:p>
    <w:p w14:paraId="22FDCB31" w14:textId="77777777" w:rsidR="00AE1DF7" w:rsidRPr="004B6350" w:rsidRDefault="00AE1DF7" w:rsidP="00AE1DF7">
      <w:pPr>
        <w:pStyle w:val="NormalHanging12a"/>
      </w:pPr>
      <w:r w:rsidRPr="004B6350">
        <w:t>72.</w:t>
      </w:r>
      <w:r w:rsidRPr="004B6350">
        <w:tab/>
        <w:t>palankiai vertina tai, kad priimtas bendras tarpinstitucinis sprendimas dėl būsto pašalpos žemesnio rango pareigūnams, gyvenantiems Liuksemburge; mano, kad tai yra būtina priemonė, padedanti kompensuoti žemesnio rango pareigūnų patiriamas neproporcingai dideles būsto išlaidas, taip pat būtina priemonė, padedanti padidinti Parlamento darbo vietos Liuksemburge patrauklumą; pažymi, kad ši priemonė yra laikina, ir ragina Parlamentą atitinkamiems darbuotojams užtikrinti ilgalaikį nuspėjamumą;</w:t>
      </w:r>
    </w:p>
    <w:p w14:paraId="7D68E2D9" w14:textId="77777777" w:rsidR="00AE1DF7" w:rsidRPr="004B6350" w:rsidRDefault="00AE1DF7" w:rsidP="00AE1DF7">
      <w:pPr>
        <w:pStyle w:val="NormalHanging12a"/>
      </w:pPr>
      <w:r w:rsidRPr="004B6350">
        <w:t>73.</w:t>
      </w:r>
      <w:r w:rsidRPr="004B6350">
        <w:tab/>
        <w:t>primena, kad 2024 m. spalio 22 d. visame Parlamente buvo pradėta vykdyti kovos su priekabiavimu kampanija „Vieningi prieš priekabiavimą“ (angl. „United against Harassment“), kuri prisidedama prie saugios darbo aplinkos kūrimo; palankiai vertina tai, kad ne tik buvo vykdoma informacinė kampanija, bet ir Parlamento nariams buvo rengiami privalomi mokymo kursai „Pagarba ir orumas darbe. Konfliktų ir priekabiavimo darbo vietoje prevencija“, juos nariai išklausė pirmaisiais kadencijos metais; pabrėžia, kad reikia įvertinti šių priemonių veiksmingumą;</w:t>
      </w:r>
    </w:p>
    <w:p w14:paraId="3BD3AD0C" w14:textId="77777777" w:rsidR="00AE1DF7" w:rsidRPr="004B6350" w:rsidRDefault="00AE1DF7" w:rsidP="00AE1DF7">
      <w:pPr>
        <w:pStyle w:val="NormalHanging12a"/>
      </w:pPr>
      <w:r w:rsidRPr="004B6350">
        <w:t>74.</w:t>
      </w:r>
      <w:r w:rsidRPr="004B6350">
        <w:tab/>
        <w:t xml:space="preserve">palankiai vertina tai, kad darbuotojams numatyta galimybė dirbti nuotoliniu būdu už paskyrimo vietos ribų; pažymi, kad Parlamento darbuotojai gali naudotis šia nuotolinio darbo forma penkias dienas per metus; pažymi, kad kitos Sąjungos institucijos vidutiniškai numato 15 dienų per metus; ragina proaktyviai stebėti ir vertinti naujus darbo metodus; primena, kad svarbu užtikrinti tikrą dialogą su darbuotojais itin </w:t>
      </w:r>
      <w:r w:rsidRPr="004B6350">
        <w:lastRenderedPageBreak/>
        <w:t>svarbiais klausimais, susijusiais su naujais darbo metodais;</w:t>
      </w:r>
    </w:p>
    <w:p w14:paraId="42A275E8" w14:textId="77777777" w:rsidR="00AE1DF7" w:rsidRPr="004B6350" w:rsidRDefault="00AE1DF7" w:rsidP="00AE1DF7">
      <w:pPr>
        <w:pStyle w:val="NormalHanging12a"/>
        <w:rPr>
          <w:bCs/>
          <w:iCs/>
        </w:rPr>
      </w:pPr>
      <w:r w:rsidRPr="004B6350">
        <w:t>75.</w:t>
      </w:r>
      <w:r w:rsidRPr="004B6350">
        <w:tab/>
        <w:t>pabrėžia, kad Parlamento nariams ir darbuotojams teikiamos kokybiškos vaikų priežiūros paslaugos – tai nepaprastai svarbios priemonės siekiant užtikrinti veiksmingą profesinio ir asmeninio gyvenimo pusiausvyros politikos įgyvendinimą; atkreipia dėmesį į tai, kad Briuselio vaikų priežiūros įstaigos „Wayenberg“ teikiamų ikimokyklinio amžiaus vaikų priežiūros paslaugų kokybė suprastėjo dėl to, kad nuo 2020 m. dažnai keitėsi paslaugų teikėjas; atsižvelgdamas į tai, ragina apsvarstyti, ar nereikėtų patvirtinti aukštos kokybės standartų;</w:t>
      </w:r>
    </w:p>
    <w:p w14:paraId="6D92293C" w14:textId="77777777" w:rsidR="00AE1DF7" w:rsidRPr="004B6350" w:rsidRDefault="00AE1DF7" w:rsidP="00AE1DF7">
      <w:pPr>
        <w:pStyle w:val="NormalHanging12a"/>
        <w:rPr>
          <w:bCs/>
          <w:iCs/>
        </w:rPr>
      </w:pPr>
      <w:r w:rsidRPr="004B6350">
        <w:t>76.</w:t>
      </w:r>
      <w:r w:rsidRPr="004B6350">
        <w:tab/>
        <w:t>primena Parlamento rekomendaciją Komisijai, pateiktą 2018 m. balandžio 18 d. Europos Parlamento rezoliucijoje dėl Komisijos sąžiningumo politikos, ypač Europos Komisijos generalinio sekretoriaus skyrimo (2018/2624(RSP)), „peržiūrėti savo vyresniųjų pareigūnų skyrimo administracinę procedūrą siekiant visapusiškai užtikrinti, kad būtų atrenkami geriausi kandidatai garantuojant kuo didesnį skaidrumą ir lygias galimybes“; laikosi nuomonės, kad Parlamentas, kiek tai susiję su skyrimo procedūromis, visada turėtų laikytis aukščiausių skaidrumo, atskaitomybės ir gero administravimo standartų;</w:t>
      </w:r>
    </w:p>
    <w:p w14:paraId="1B44C87A" w14:textId="77777777" w:rsidR="00AE1DF7" w:rsidRPr="004B6350" w:rsidRDefault="00AE1DF7" w:rsidP="00AE1DF7">
      <w:pPr>
        <w:pStyle w:val="NormalHanging12a"/>
        <w:rPr>
          <w:bCs/>
          <w:iCs/>
        </w:rPr>
      </w:pPr>
      <w:r w:rsidRPr="004B6350">
        <w:t>77.</w:t>
      </w:r>
      <w:r w:rsidRPr="004B6350">
        <w:tab/>
        <w:t>ragina Parlamentą optimizuoti savo žmogiškųjų išteklių naudojimą, be kita ko, įgyvendinant tinkamas nuolatinio mokymo priemones, kuriomis siekiama didinti vidaus tarnybų veiksmingumą ir efektyvumą; ragina reguliariai rengti pirmosios pagalbos mokymus pradedančiųjų ir pažengusiųjų lygmenimis, taip pat užtikrinti, kad pirmosios pagalbos mokymai taptų savanoriška naujų darbuotojų įvadinės programos dalimi; ragina administraciją išnagrinėti galimybę įrengti papildomus defibriliatorius, siekiant pagerinti Parlamento narių ir darbuotojų sveikatą ir saugą, įskaitant mokymų rengimą;</w:t>
      </w:r>
    </w:p>
    <w:p w14:paraId="38CBB687" w14:textId="77777777" w:rsidR="00AE1DF7" w:rsidRPr="004B6350" w:rsidRDefault="00AE1DF7" w:rsidP="00AE1DF7">
      <w:pPr>
        <w:spacing w:after="240"/>
        <w:rPr>
          <w:b/>
          <w:bCs/>
          <w:i/>
          <w:iCs/>
        </w:rPr>
      </w:pPr>
      <w:r w:rsidRPr="004B6350">
        <w:rPr>
          <w:b/>
          <w:i/>
        </w:rPr>
        <w:t>Infrastruktūros ir logistikos generalinis direktoratas</w:t>
      </w:r>
    </w:p>
    <w:p w14:paraId="7A263A72" w14:textId="77777777" w:rsidR="00AE1DF7" w:rsidRPr="004B6350" w:rsidRDefault="00AE1DF7" w:rsidP="00AE1DF7">
      <w:pPr>
        <w:spacing w:after="240"/>
        <w:ind w:left="567" w:hanging="567"/>
      </w:pPr>
      <w:r w:rsidRPr="004B6350">
        <w:t>78.</w:t>
      </w:r>
      <w:r w:rsidRPr="004B6350">
        <w:tab/>
        <w:t>primena, kad Infrastruktūros ir logistikos generalinis direktoratas (INLO GD) yra atsakingas už Parlamento pastatus, darbus, įrenginių valdymą ir logistiką; pažymi, kad INLO GD taip pat teikia maitinimo ir transporto paslaugas ir valdo bei aprūpina Parlamento biurų ir posėdžių erdves; primena, kad INLO GD visų pirma valdė Parlamento pastatų, kurių bendras plotas sudaro apie 1,3 mln. m², portfelį Briuselyje, Liuksemburge, Strasbūre, ryšių biurus ir centrus „Europa Experience“ valstybėse narėse; pažymi, kad 2024 m. gruodžio 31 d. INLO GD dirbo 635 darbuotojai, iš kurių 311 buvo pareigūnai, 20 – laikinieji darbuotojai ir 326 – sutartininkai;</w:t>
      </w:r>
    </w:p>
    <w:p w14:paraId="279D2CB7" w14:textId="77777777" w:rsidR="00AE1DF7" w:rsidRPr="004B6350" w:rsidRDefault="00AE1DF7" w:rsidP="00AE1DF7">
      <w:pPr>
        <w:pStyle w:val="NormalHanging12a"/>
      </w:pPr>
      <w:r w:rsidRPr="004B6350">
        <w:t>79.</w:t>
      </w:r>
      <w:r w:rsidRPr="004B6350">
        <w:tab/>
        <w:t>pažymi, kad 2024 m. galutiniai INLO GD asignavimai sudarė 258 638 966 EUR, t. y. 10,9 proc. Parlamento biudžeto; pabrėžia, kad iš šios sumos iš viso įsipareigota skirti 256 935 431 EUR; atkreipia dėmesį į didelį asignavimų panaudojimo lygį;</w:t>
      </w:r>
    </w:p>
    <w:p w14:paraId="53C9215A" w14:textId="77777777" w:rsidR="00AE1DF7" w:rsidRPr="004B6350" w:rsidRDefault="00AE1DF7" w:rsidP="00AE1DF7">
      <w:pPr>
        <w:spacing w:after="240"/>
        <w:ind w:left="567" w:hanging="567"/>
      </w:pPr>
      <w:r w:rsidRPr="004B6350">
        <w:t>80.</w:t>
      </w:r>
      <w:r w:rsidRPr="004B6350">
        <w:tab/>
        <w:t>primena, kad didžioji dauguma Parlamento narių pritarė vienai būstinei; pažymi, kad pagal ES sutartį Parlamento būstinė yra Strasbūre, kur vyksta 12 mėnesinių plenarinių sesijų, ir kad bet kokiems Sutarčių pakeitimams reikalingas vieningas valstybių narių pritarimas; pažymi, kad pagal dabartines Sutartis lėšų galima sutaupyti optimizuojant veiklą; ragina, siekiant nustatyto išlaidų sumažinimo, nustatyti konkrečias tarpines reikšmes ir veiksmų planą;</w:t>
      </w:r>
    </w:p>
    <w:p w14:paraId="66114E5D" w14:textId="77777777" w:rsidR="00AE1DF7" w:rsidRPr="004B6350" w:rsidRDefault="00AE1DF7" w:rsidP="00AE1DF7">
      <w:pPr>
        <w:pStyle w:val="NormalHanging12a"/>
        <w:rPr>
          <w:bCs/>
          <w:iCs/>
        </w:rPr>
      </w:pPr>
      <w:r w:rsidRPr="004B6350">
        <w:t>81.</w:t>
      </w:r>
      <w:r w:rsidRPr="004B6350">
        <w:tab/>
        <w:t xml:space="preserve">ragina administraciją toliau vertinti Parlamente teikiamų maitinimo paslaugų kokybę, kainodarą ir įvairovę siekiant, kad viešųjų pirkimų kriterijais būtų užtikrinta tinkama </w:t>
      </w:r>
      <w:r w:rsidRPr="004B6350">
        <w:lastRenderedPageBreak/>
        <w:t>kainos ir kokybės aspektų pusiausvyra; ragina INLO GD išnagrinėti galimybes didinti maitinimo paslaugų teikėjų konkurenciją, kad būtų pagerinti paslaugų standartai, pasirinkimas ir išlaidų efektyvumas, visų pirma atsižvelgiant į oficialius renginius ir paslaugas lankytojams; ragina Parlamento administraciją informuoti Parlamento Biudžeto kontrolės komitetą apie rezultatus;</w:t>
      </w:r>
    </w:p>
    <w:p w14:paraId="40F8295D" w14:textId="77777777" w:rsidR="00AE1DF7" w:rsidRPr="004B6350" w:rsidRDefault="00AE1DF7" w:rsidP="00AE1DF7">
      <w:pPr>
        <w:pStyle w:val="NormalHanging12a"/>
      </w:pPr>
      <w:r w:rsidRPr="004B6350">
        <w:t>82.</w:t>
      </w:r>
      <w:r w:rsidRPr="004B6350">
        <w:tab/>
        <w:t>palankiai vertina tai, kad 2024 m. administracija įgyvendino Parlamento „Pastatų strategiją po 2019 m.“ ir pasiekė pagrindinius jos tikslus; su pasitenkinimu pažymi, kad INLO GD po kelerius metus trukusios plėtros, kurią lėmė Parlamento institucinių įgaliojimų padidėjimas, dabar daugiausia dėmesio skiria Parlamento pastatų turto konsolidavimui ir esamų patalpų renovacijai, palankiai vertina INLO GD įsipareigojimą toliau plėtoti Parlamento vaidmenį Strasbūro, Briuselio ir Liuksemburgo miestuose, skatinant bendro intereso projektus ir sujungiant darbo vietas su aplinkinėmis teritorijomis;</w:t>
      </w:r>
    </w:p>
    <w:p w14:paraId="0B57BDFD" w14:textId="77777777" w:rsidR="00AE1DF7" w:rsidRPr="004B6350" w:rsidRDefault="00AE1DF7" w:rsidP="00AE1DF7">
      <w:pPr>
        <w:pStyle w:val="NormalHanging12a"/>
        <w:rPr>
          <w:bCs/>
          <w:iCs/>
        </w:rPr>
      </w:pPr>
      <w:r w:rsidRPr="004B6350">
        <w:t>83.</w:t>
      </w:r>
      <w:r w:rsidRPr="004B6350">
        <w:tab/>
        <w:t xml:space="preserve">ragina Parlamento administraciją toliau aktyviai įgyvendinti pastatų strategiją, integruojant infrastruktūros ir logistinius poreikius, peržiūrint išlaidų mažinimo priemones, pvz., mišrių posėdžių technologijų naudojimą, ir konsoliduojant parlamentinę veiklą; ragina Parlamentą užtikrinti, kad į jo biologinės įvairovės aspekto integravimo tikslus taip pat būtų atsižvelgiama valdant pastatus ir įgyvendinant renovacijos projektus, įskaitant susijusių išlaidų apskaičiavimą; pažymi, kad dideli statybos projektai yra susiję su sudėtingomis derybomis ir reikšmingu teisiniu tikrinimu; ragina Parlamento administraciją užtikrinti, kad biudžeto įvykdymą tvirtinančiai institucijai būtų teikiamos struktūrizuotos </w:t>
      </w:r>
      <w:r w:rsidRPr="004B6350">
        <w:rPr>
          <w:i/>
          <w:iCs/>
        </w:rPr>
        <w:t>ex post</w:t>
      </w:r>
      <w:r w:rsidRPr="004B6350">
        <w:t xml:space="preserve"> ataskaitos dėl tokių projektų, įskaitant derybų procesus, rizikos mažinimo priemones ir teisinius vertinimus, siekiant stiprinti skaidrumą ir institucinį mokymąsi;</w:t>
      </w:r>
    </w:p>
    <w:p w14:paraId="40204749" w14:textId="77777777" w:rsidR="00AE1DF7" w:rsidRPr="004B6350" w:rsidRDefault="00AE1DF7" w:rsidP="00AE1DF7">
      <w:pPr>
        <w:pStyle w:val="NormalHanging12a"/>
      </w:pPr>
      <w:r w:rsidRPr="004B6350">
        <w:t>84.</w:t>
      </w:r>
      <w:r w:rsidRPr="004B6350">
        <w:tab/>
        <w:t>susirūpinęs atkreipia dėmesį į nuolatinį posėdžių ir seminarų patalpų trūkumą Parlamente, dėl kurio vis sunkiau rezervuoti patalpas ir reikia planuoti gerokai iš anksto; apgailestauja, kad ši padėtis trukdo veiksmingai organizuoti Parlamento darbą ir riboja Parlamento narių bei darbuotojų lankstumą; atkreipia dėmesį į būsimą pastato SPAAK renovaciją, kuria paisoma Sąjungos energinio naudingumo reikalavimų; ragina Parlamento administraciją įgyvendinti priemones, kuriomis būtų sušvelnintas renovacijos poveikis, ir užtikrinti, kad būtų pakankamai patalpų Parlamento veiklos poreikiams tenkinti;</w:t>
      </w:r>
    </w:p>
    <w:p w14:paraId="315B9416" w14:textId="77777777" w:rsidR="00AE1DF7" w:rsidRPr="004B6350" w:rsidRDefault="00AE1DF7" w:rsidP="00AE1DF7">
      <w:pPr>
        <w:pStyle w:val="NormalHanging12a"/>
      </w:pPr>
      <w:r w:rsidRPr="004B6350">
        <w:t>85.</w:t>
      </w:r>
      <w:r w:rsidRPr="004B6350">
        <w:tab/>
        <w:t>atkreipia dėmesį į 2024 m. statybos projektus, ypač į Liuksemburge esančio pastato ADENAUER II vakarinio sparno užbaigimą ir visų Parlamento darbuotojų bei tarnybų sutelkimą po vienu stogu; pažymi, kad naujas saugumo ir lankytojų priėmimo paviljonas pastate WEISS Strasbūre buvo užbaigtas laiku – iki naujos kadencijos pradžios 2024 m. liepos mėn.; atkreipia dėmesį į tai, kad pastato TRÈVES II Briuselyje įsigijimas dar labiau sustiprino Parlamento pastatų fondą miesto Europos kvartale; prašo pateikti atnaujintą pastatų TRÈVES I ir TRÈVES II sujungimo su pagrindiniais centriniais pastatais Briuselyje tvarkaraštį; prašo spręsti kelias vis dar neišspręstas struktūrines problemas pastate TRÈVES I, pavyzdžiui, nestabilios šildymo sistemos, oro kondicionavimo ir tualetų riboto judumo asmenims trūkumo, prasto garso izoliavimo, taip pat nuotekų problemas; ragina dažniau valyti šildymo ventiliacijos angas pastate SPINELLI, kad biuruose nesikauptų dulkės ir pelėsiai bei būtų pagerinta darbuotojų sveikata darbo vietoje;</w:t>
      </w:r>
    </w:p>
    <w:p w14:paraId="214CDE4B" w14:textId="77777777" w:rsidR="00AE1DF7" w:rsidRPr="004B6350" w:rsidRDefault="00AE1DF7" w:rsidP="00AE1DF7">
      <w:pPr>
        <w:pStyle w:val="NormalHanging12a"/>
      </w:pPr>
      <w:r w:rsidRPr="004B6350">
        <w:t>86.</w:t>
      </w:r>
      <w:r w:rsidRPr="004B6350">
        <w:tab/>
        <w:t xml:space="preserve">primena, kad 2023 m. birželio 12 d. posėdyje Biuras aptarė pastato SPAAK renovacijos </w:t>
      </w:r>
      <w:r w:rsidRPr="004B6350">
        <w:lastRenderedPageBreak/>
        <w:t>veiksmus; pažymi, kad Biuras nurodė, kad pirmenybę teikia visapusiškai ekologinei renovacijai, ir 2023 m. gruodžio 11 d. patvirtino projektą; pažymi, kad INLO GD padarė pažangą rengdamas preliminarius projektus, susijusius su pastato SPAAK renovacija, pradėdamas tyrimus, susijusius su nauja Konferencijų logistikos ir vertimo žodžiu generalinio direktorato (LINC GD) centrine technine patalpa, spaustuvės reorganizavimu, kabinetų bei žiniasklaidos ir spaudos zonos perkėlimu;</w:t>
      </w:r>
    </w:p>
    <w:p w14:paraId="1CF8B5F8" w14:textId="77777777" w:rsidR="00AE1DF7" w:rsidRPr="004B6350" w:rsidRDefault="00AE1DF7" w:rsidP="00AE1DF7">
      <w:pPr>
        <w:pStyle w:val="NormalHanging12a"/>
        <w:rPr>
          <w:bCs/>
          <w:iCs/>
        </w:rPr>
      </w:pPr>
      <w:r w:rsidRPr="004B6350">
        <w:t>87.</w:t>
      </w:r>
      <w:r w:rsidRPr="004B6350">
        <w:tab/>
        <w:t>atkreipia dėmesį į tai, kad į 2026 m. sąmatą tyrimams ir rangovo parengiamiesiems darbams, susijusiems su pastato SPAAK renovacija, įtraukta 4 mln. EUR suma, nors apskaičiuota, kad bendros išlaidos sieks 36 mln. EUR; taigi pažymi, kad į 2026 m. sąmatą neįtraukta 32 mln. EUR išlaidų suma, susijusi su pastato SPAAK renovacija; pažymi, kad generalinis sekretorius ketina padengti šias išlaidas atlikdamas kaupiamąjį perkėlimą arba naudodamas paskolą; prašo generalinio sekretoriaus kuo greičiau pateikti Parlamento Biudžeto kontrolės komitetui išsamią informaciją apie galimą paskolą šioms išlaidoms padengti; pažymi, kad nuo 2024 m. gruodžio mėn. tiesioginės pastato SPAAK projekto išlaidos sudarė 14,12 mln. EUR; laikosi nuomonės, kad pastato SPAAK renovacijos išlaidų pokyčiai turi būti atidžiai ir apdairiai stebimi;</w:t>
      </w:r>
    </w:p>
    <w:p w14:paraId="0C69B2F4" w14:textId="77777777" w:rsidR="00AE1DF7" w:rsidRPr="004B6350" w:rsidRDefault="00AE1DF7" w:rsidP="00AE1DF7">
      <w:pPr>
        <w:pStyle w:val="NormalHanging12a"/>
      </w:pPr>
      <w:r w:rsidRPr="004B6350">
        <w:t>88.</w:t>
      </w:r>
      <w:r w:rsidRPr="004B6350">
        <w:tab/>
        <w:t>pažymi, kad INLO GD rengia biuro patalpų optimizavimo koncepciją, siekdamas, kad dabartinės biuro patalpos būtų naudojamos taip, kad būtų panaudotas visas Parlamento darbuotojų potencialas ir jie Parlamente toliau būtų socialiai aktyvūs; pažymi, kad kuriant šią koncepciją įkvėpimo šaltiniu tapo pastatai MARTENS, TRÈVES II ir ARENDT Briuselyje, daug dėmesio skiriant „veikla grindžiamai darbo vietai“, įskaitant socialines erdves susitikimams, neformaliems susibūrimams ir pokalbiams; pažymi, kad taip pat buvo nagrinėjama bendra koncepcija, skirta pastatui KOHL, atsižvelgiant į jo struktūrinius apribojimus ir biudžeto suvaržymus; ragina INLO GD plėtojant šią koncepciją pagrindinį dėmesį skirti naudotojų požiūriui ir teikti pirmenybę jo įgyvendinimui pastatuose, kuriuose optimizavimas yra reikalingiausias, taip pat visada konsultuotis su darbuotojų atstovais;</w:t>
      </w:r>
    </w:p>
    <w:p w14:paraId="4E02F589" w14:textId="77777777" w:rsidR="00AE1DF7" w:rsidRPr="004B6350" w:rsidRDefault="00AE1DF7" w:rsidP="00AE1DF7">
      <w:pPr>
        <w:pStyle w:val="NormalHanging12a"/>
        <w:rPr>
          <w:bCs/>
          <w:iCs/>
        </w:rPr>
      </w:pPr>
      <w:r w:rsidRPr="004B6350">
        <w:t>89.</w:t>
      </w:r>
      <w:r w:rsidRPr="004B6350">
        <w:tab/>
        <w:t>atkreipia dėmesį į tai, kad 2024 m. didelė dalis vietų transporto priemonėse, važinėjančiose iš Briuselio į Strasbūrą ir atgal dėl plenarinių sesijų, liko neužimtos; ragina Parlamento administraciją apsvarstyti galimybę išplėsti naudotojų grupę, kad būtų veiksmingiau naudojamos tarnybinės transporto priemonės, sykiu užtikrinant, kad būtų apsaugotos Parlamento narių vietos;</w:t>
      </w:r>
    </w:p>
    <w:p w14:paraId="629259C4" w14:textId="77777777" w:rsidR="00AE1DF7" w:rsidRPr="004B6350" w:rsidRDefault="00AE1DF7" w:rsidP="00AE1DF7">
      <w:pPr>
        <w:pStyle w:val="NormalHanging12a"/>
        <w:rPr>
          <w:bCs/>
          <w:iCs/>
        </w:rPr>
      </w:pPr>
      <w:r w:rsidRPr="004B6350">
        <w:t>90.</w:t>
      </w:r>
      <w:r w:rsidRPr="004B6350">
        <w:tab/>
        <w:t>ragina sporto klubą siūlyti daugiau kursų, kuriais būtų padedama palaikyti fizinę ir psichinę gerovę, kad būtų informuojamas platesnis darbuotojų ratas;</w:t>
      </w:r>
    </w:p>
    <w:p w14:paraId="238A9B9B" w14:textId="77777777" w:rsidR="00AE1DF7" w:rsidRPr="004B6350" w:rsidRDefault="00AE1DF7" w:rsidP="00AE1DF7">
      <w:pPr>
        <w:spacing w:after="240"/>
        <w:rPr>
          <w:b/>
          <w:bCs/>
          <w:i/>
          <w:iCs/>
          <w14:textOutline w14:w="0" w14:cap="flat" w14:cmpd="sng" w14:algn="ctr">
            <w14:noFill/>
            <w14:prstDash w14:val="solid"/>
            <w14:bevel/>
          </w14:textOutline>
        </w:rPr>
      </w:pPr>
      <w:r w:rsidRPr="004B6350">
        <w:rPr>
          <w:b/>
          <w:i/>
          <w14:textOutline w14:w="0" w14:cap="flat" w14:cmpd="sng" w14:algn="ctr">
            <w14:noFill/>
            <w14:prstDash w14:val="solid"/>
            <w14:bevel/>
          </w14:textOutline>
        </w:rPr>
        <w:t>Finansų generalinis direktoratas</w:t>
      </w:r>
    </w:p>
    <w:p w14:paraId="17805643"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91</w:t>
      </w:r>
      <w:r w:rsidRPr="004B6350">
        <w:t>.</w:t>
      </w:r>
      <w:r w:rsidRPr="004B6350">
        <w:rPr>
          <w14:textOutline w14:w="0" w14:cap="flat" w14:cmpd="sng" w14:algn="ctr">
            <w14:noFill/>
            <w14:prstDash w14:val="solid"/>
            <w14:bevel/>
          </w14:textOutline>
        </w:rPr>
        <w:tab/>
        <w:t>primena, kad Finansų generalinis direktoratas (FINS GD) yra administracinis organas, atsakingas už Parlamento biudžeto ir finansų reikalus; pažymi, kad 2024 m. gruodžio 31 d. jame dirbo 262 darbuotojai, iš kurių 134 buvo pareigūnai, 51 – laikinasis darbuotojas, 77 – sutartininkai, o per agentūrą įdarbintų darbuotojų nebuvo;</w:t>
      </w:r>
    </w:p>
    <w:p w14:paraId="317A10B9" w14:textId="77777777" w:rsidR="00AE1DF7" w:rsidRPr="004B6350" w:rsidRDefault="00AE1DF7" w:rsidP="00AE1DF7">
      <w:pPr>
        <w:spacing w:after="240"/>
        <w:ind w:left="567" w:hanging="567"/>
        <w:rPr>
          <w14:textOutline w14:w="0" w14:cap="flat" w14:cmpd="sng" w14:algn="ctr">
            <w14:noFill/>
            <w14:prstDash w14:val="solid"/>
            <w14:bevel/>
          </w14:textOutline>
        </w:rPr>
      </w:pPr>
      <w:r w:rsidRPr="004B6350">
        <w:rPr>
          <w14:textOutline w14:w="0" w14:cap="flat" w14:cmpd="sng" w14:algn="ctr">
            <w14:noFill/>
            <w14:prstDash w14:val="solid"/>
            <w14:bevel/>
          </w14:textOutline>
        </w:rPr>
        <w:t>92</w:t>
      </w:r>
      <w:r w:rsidRPr="004B6350">
        <w:t>.</w:t>
      </w:r>
      <w:r w:rsidRPr="004B6350">
        <w:rPr>
          <w14:textOutline w14:w="0" w14:cap="flat" w14:cmpd="sng" w14:algn="ctr">
            <w14:noFill/>
            <w14:prstDash w14:val="solid"/>
            <w14:bevel/>
          </w14:textOutline>
        </w:rPr>
        <w:tab/>
      </w:r>
      <w:r w:rsidRPr="004B6350">
        <w:t>pažymi, kad galutiniai FINS GD asignavimai 2024 m. sudarė 442 954 175 EUR, t. y. 18,6 proc. Parlamento biudžeto;</w:t>
      </w:r>
      <w:r w:rsidRPr="004B6350">
        <w:rPr>
          <w14:textOutline w14:w="0" w14:cap="flat" w14:cmpd="sng" w14:algn="ctr">
            <w14:noFill/>
            <w14:prstDash w14:val="solid"/>
            <w14:bevel/>
          </w14:textOutline>
        </w:rPr>
        <w:t xml:space="preserve"> </w:t>
      </w:r>
      <w:r w:rsidRPr="004B6350">
        <w:t>pabrėžia, kad iš šios sumos iš viso įsipareigota skirti 441 848 935 EUR (99,75 proc.);</w:t>
      </w:r>
      <w:r w:rsidRPr="004B6350">
        <w:rPr>
          <w14:textOutline w14:w="0" w14:cap="flat" w14:cmpd="sng" w14:algn="ctr">
            <w14:noFill/>
            <w14:prstDash w14:val="solid"/>
            <w14:bevel/>
          </w14:textOutline>
        </w:rPr>
        <w:t xml:space="preserve"> palankiai vertina didelį asignavimų panaudojimo lygį;</w:t>
      </w:r>
    </w:p>
    <w:p w14:paraId="32E04E84" w14:textId="77777777" w:rsidR="00AE1DF7" w:rsidRPr="004B6350" w:rsidRDefault="00AE1DF7" w:rsidP="00AE1DF7">
      <w:pPr>
        <w:spacing w:after="240"/>
        <w:ind w:left="567" w:hanging="567"/>
        <w:rPr>
          <w14:textOutline w14:w="0" w14:cap="flat" w14:cmpd="sng" w14:algn="ctr">
            <w14:noFill/>
            <w14:prstDash w14:val="solid"/>
            <w14:bevel/>
          </w14:textOutline>
        </w:rPr>
      </w:pPr>
      <w:r w:rsidRPr="004B6350">
        <w:rPr>
          <w14:textOutline w14:w="0" w14:cap="flat" w14:cmpd="sng" w14:algn="ctr">
            <w14:noFill/>
            <w14:prstDash w14:val="solid"/>
            <w14:bevel/>
          </w14:textOutline>
        </w:rPr>
        <w:t>93.</w:t>
      </w:r>
      <w:r w:rsidRPr="004B6350">
        <w:rPr>
          <w14:textOutline w14:w="0" w14:cap="flat" w14:cmpd="sng" w14:algn="ctr">
            <w14:noFill/>
            <w14:prstDash w14:val="solid"/>
            <w14:bevel/>
          </w14:textOutline>
        </w:rPr>
        <w:tab/>
        <w:t xml:space="preserve">ragina FINS GD aktyviai laikytis EBPO rekomendacijų dėl geriausios parlamentų </w:t>
      </w:r>
      <w:r w:rsidRPr="004B6350">
        <w:rPr>
          <w14:textOutline w14:w="0" w14:cap="flat" w14:cmpd="sng" w14:algn="ctr">
            <w14:noFill/>
            <w14:prstDash w14:val="solid"/>
            <w14:bevel/>
          </w14:textOutline>
        </w:rPr>
        <w:lastRenderedPageBreak/>
        <w:t>biudžeto sudarymo praktikos (2022–2023 m.) ir stiprinti rezultatais grindžiamo biudžeto sudarymo įgyvendinimą; primena, kad daug valstybių narių jau vykdo rezultatais grindžiamą biudžeto sudarymą ir pranešė apie dideles sutaupytas sumas;</w:t>
      </w:r>
    </w:p>
    <w:p w14:paraId="6230F877" w14:textId="77777777" w:rsidR="00AE1DF7" w:rsidRPr="004B6350" w:rsidRDefault="00AE1DF7" w:rsidP="00AE1DF7">
      <w:pPr>
        <w:pStyle w:val="NormalHanging12a"/>
        <w:rPr>
          <w:bCs/>
          <w:iCs/>
        </w:rPr>
      </w:pPr>
      <w:r w:rsidRPr="004B6350">
        <w:t>94.</w:t>
      </w:r>
      <w:r w:rsidRPr="004B6350">
        <w:tab/>
        <w:t>pažymi, kad dėl dabartinio fiskalinio spaudimo reikia laikytis finansinio atsargumo principo ir užtikrinti finansinį veiksmingumą, taip pat ir Parlamento administraciniame biudžete, siekiant parodyti institucinę atsakomybę, kai tinkama ir nekeliant pavojaus jo vaidmeniui Sąjungos institucinėje struktūroje bei jo pagrindinėms funkcijoms; ragina Parlamento administraciją išnagrinėti novatoriškas biudžeto sudarymo priemones, įskaitant rezultatais grindžiamą biudžeto sudarymą, kurios galėtų padidinti biudžeto sudarymo proceso skaidrumą, atskaitomybę ir veiksmingumą, užtikrinant, kad viešieji ištekliai būtų naudojami atsakingai; pažymi, kad tokios galimybės neturėtų pakenkti jau suplanuotiems ar prisiimtiems finansiniams įsipareigojimams ir jokiu būdu neturėtų daryti poveikio Parlamento nariams ir darbuotojams teikiamų paslaugų kokybei, taip pat finansiniams įsipareigojimams, prisiimtiems remiantis galiojančiomis taisyklėmis;</w:t>
      </w:r>
    </w:p>
    <w:p w14:paraId="0BB8D742" w14:textId="77777777" w:rsidR="00AE1DF7" w:rsidRPr="004B6350" w:rsidRDefault="00AE1DF7" w:rsidP="00AE1DF7">
      <w:pPr>
        <w:spacing w:after="240"/>
        <w:ind w:left="567" w:hanging="567"/>
      </w:pPr>
      <w:r w:rsidRPr="004B6350">
        <w:rPr>
          <w14:textOutline w14:w="0" w14:cap="flat" w14:cmpd="sng" w14:algn="ctr">
            <w14:noFill/>
            <w14:prstDash w14:val="solid"/>
            <w14:bevel/>
          </w14:textOutline>
        </w:rPr>
        <w:t>95</w:t>
      </w:r>
      <w:r w:rsidRPr="004B6350">
        <w:t>.</w:t>
      </w:r>
      <w:r w:rsidRPr="004B6350">
        <w:rPr>
          <w14:textOutline w14:w="0" w14:cap="flat" w14:cmpd="sng" w14:algn="ctr">
            <w14:noFill/>
            <w14:prstDash w14:val="solid"/>
            <w14:bevel/>
          </w14:textOutline>
        </w:rPr>
        <w:tab/>
      </w:r>
      <w:r w:rsidRPr="004B6350">
        <w:t>pažymi, kad 2024-ieji buvo ypatingi metai FINS GD, nes 2024 m. birželio mėn. įvyko Europos Parlamento rinkimai; pažymi, kad 2024 m. žymiai padidėjo paramos Parlamento nariams veikla, susijusi su darbą baigiančių ir naujai išrinktų Parlamento narių teisių ir pareigų administravimu;</w:t>
      </w:r>
    </w:p>
    <w:p w14:paraId="4D26B347" w14:textId="77777777" w:rsidR="00AE1DF7" w:rsidRPr="004B6350" w:rsidRDefault="00AE1DF7" w:rsidP="00AE1DF7">
      <w:pPr>
        <w:pStyle w:val="NormalHanging12a"/>
      </w:pPr>
      <w:r w:rsidRPr="004B6350">
        <w:t>96.</w:t>
      </w:r>
      <w:r w:rsidRPr="004B6350">
        <w:tab/>
        <w:t>rekomenduoja FINS GD nustatyti rizika grindžiamą požiūrį į Parlamento narių išlaidų ir procesų kontrolę bei auditą, suderintą su gero valdymo principais, visų pirma skaidrumo, atskaitomybės, reagavimo ir teisingumo principais; pripažįsta, kad labai svarbu išlaikyti (imtimi grindžiamą) bazinį kontrolės lygį, kad būtų užtikrintas taisyklių laikymasis; palankiai vertina tai, kad esant didesnei Parlamento nario netvarkingų išlaidų rizikai, administracija gali pasinaudoti savo teise patikrinti atitinkamas lėšas; pabrėžia, kad, nors tokia kontrolė yra sveikintina, jos veiksmingumas priklauso nuo to, ar laiku imamasi tolesnių veiksmų dėl nustatytų netvarkingų išlaidų;</w:t>
      </w:r>
    </w:p>
    <w:p w14:paraId="60B87C63" w14:textId="77777777" w:rsidR="00AE1DF7" w:rsidRPr="004B6350" w:rsidRDefault="00AE1DF7" w:rsidP="00AE1DF7">
      <w:pPr>
        <w:spacing w:after="240"/>
        <w:ind w:left="567" w:hanging="567"/>
      </w:pPr>
      <w:r w:rsidRPr="004B6350">
        <w:rPr>
          <w14:textOutline w14:w="0" w14:cap="flat" w14:cmpd="sng" w14:algn="ctr">
            <w14:noFill/>
            <w14:prstDash w14:val="solid"/>
            <w14:bevel/>
          </w14:textOutline>
        </w:rPr>
        <w:t>97</w:t>
      </w:r>
      <w:r w:rsidRPr="004B6350">
        <w:t>.</w:t>
      </w:r>
      <w:r w:rsidRPr="004B6350">
        <w:rPr>
          <w14:textOutline w14:w="0" w14:cap="flat" w14:cmpd="sng" w14:algn="ctr">
            <w14:noFill/>
            <w14:prstDash w14:val="solid"/>
            <w14:bevel/>
          </w14:textOutline>
        </w:rPr>
        <w:tab/>
      </w:r>
      <w:r w:rsidRPr="004B6350">
        <w:t xml:space="preserve">pripažįsta problemą, susijusią su darbuotojų pritraukimu į FINS GD, kurią lemia kandidatų trūkumas EPSO sąrašuose finansų ir IT srityse bei sunkumai pritraukiant darbuotojus į Liuksemburgą, kuriame yra 45 proc. FINS GD darbo vietų; pažymi, kad darbuotojus į Liuksemburgą pritraukti sudėtinga, nes atlyginimai vietos darbo rinkoje yra tokie patys arba didesni nei Parlamente, o pragyvenimo išlaidos yra didelės, ypač būsto srityje; </w:t>
      </w:r>
    </w:p>
    <w:p w14:paraId="2088DAC0" w14:textId="77777777" w:rsidR="00AE1DF7" w:rsidRPr="004B6350" w:rsidRDefault="00AE1DF7" w:rsidP="00AE1DF7">
      <w:pPr>
        <w:spacing w:after="240"/>
        <w:ind w:left="567" w:hanging="567"/>
      </w:pPr>
      <w:r w:rsidRPr="004B6350">
        <w:t>98.</w:t>
      </w:r>
      <w:r w:rsidRPr="004B6350">
        <w:tab/>
        <w:t>atkreipia dėmesį į iniciatyvą „2024 m. FINS GD skaitmeninė ir kapitalo transformacija“, pagal kurią pirmosiomis dviem programomis („Skaitmeninė transformacija siekiant pagerinti finansines paslaugas Parlamento nariams“ ir „Skaitmeninė transformacija siekiant geresnių paslaugų Parlamento administracijai“) siekiama skatinti paslaugų, kurias FINS GD siūlo ir Parlamento nariams, ir institucijos finansų pareigūnams, skaitmeninę transformaciją; pažymi, kad trečiąja strategine programa („Kapitalo transformacija siekiant produktyvesnės ir darnesnės darbo vietos“) siekiama sukurti produktyvesnę ir darnesnę darbo aplinką;</w:t>
      </w:r>
    </w:p>
    <w:p w14:paraId="3D3CCA19" w14:textId="77777777" w:rsidR="00AE1DF7" w:rsidRPr="004B6350" w:rsidRDefault="00AE1DF7" w:rsidP="00AE1DF7">
      <w:pPr>
        <w:spacing w:after="240"/>
        <w:ind w:left="567" w:hanging="567"/>
      </w:pPr>
      <w:r w:rsidRPr="004B6350">
        <w:t xml:space="preserve">99. </w:t>
      </w:r>
      <w:r w:rsidRPr="004B6350">
        <w:tab/>
        <w:t>palankiai vertina FINS GD darbą po 2024 m. Europos Parlamento rinkimų, kai išvyko buvę Parlamento nariai ir buvo priimti nauji nariai, taip pat susijusias administracines procedūras; primena sėkmingą sutikimo miestelio (angl. </w:t>
      </w:r>
      <w:r w:rsidRPr="004B6350">
        <w:rPr>
          <w:i/>
          <w:iCs/>
        </w:rPr>
        <w:t>welcome village</w:t>
      </w:r>
      <w:r w:rsidRPr="004B6350">
        <w:t xml:space="preserve">) veiklą ir įvairių tarnybų informaciją, kuri buvo surinkta, kad Parlamento nariai galėtų pasinaudoti vieno langelio principu grindžiama paslauga, kad gautų informaciją ir </w:t>
      </w:r>
      <w:r w:rsidRPr="004B6350">
        <w:lastRenderedPageBreak/>
        <w:t>pateiktų reikiamas deklaracijas savo kadencijos pradžioje; palankiai vertina tai, kad FINS GD parengė 705 individualias bylas, įskaitant socialinių ir finansinių išmokų statuso modeliavimą, ir keturis kvestorių pranešimus, kuriais Parlamento nariai informuojami apie savo teises ir pareigas Parlamento kadencijos pabaigoje;</w:t>
      </w:r>
    </w:p>
    <w:p w14:paraId="6021EC75" w14:textId="77777777" w:rsidR="00AE1DF7" w:rsidRPr="004B6350" w:rsidRDefault="00AE1DF7" w:rsidP="00AE1DF7">
      <w:pPr>
        <w:pStyle w:val="NormalHanging12a"/>
      </w:pPr>
      <w:r w:rsidRPr="004B6350">
        <w:t>100.</w:t>
      </w:r>
      <w:r w:rsidRPr="004B6350">
        <w:tab/>
        <w:t xml:space="preserve">atkreipia dėmesį į FINS GD generalinio direktoriaus pasirašytą patikinimo pareiškimą; atkreipia dėmesį į patikinimo pareiškime pateiktą pastabą dėl liekamosios klaidų ar pažeidimų rizikos, susijusios su tam tikrų Parlamento narių kelionės išlaidų kompensavimu, visų pirma susijusiu su prašymais kompensuoti kelionės automobiliu išlaidas ir išmokų už kelionės atstumą bei trukmę mokėjimu; atkreipia dėmesį į FINS GD pasiūlytus rizikos mažinimo veiksmus ir ragina nedelsiant įgyvendinti rizikos mažinimo priemones; prašo pateikti biudžeto įvykdymą tvirtinančiai institucijai ataskaitą dėl priemonių, kurių imtasi, finansinio poveikio ir veiksmingumo, </w:t>
      </w:r>
      <w:bookmarkStart w:id="9" w:name="_Hlk225523167"/>
      <w:r w:rsidRPr="004B6350">
        <w:t>kurioje būtų nurodytos įvairių įrodymais pagrįstų galimybių kontrolės išlaidos;</w:t>
      </w:r>
      <w:bookmarkEnd w:id="9"/>
    </w:p>
    <w:p w14:paraId="10793A5F" w14:textId="77777777" w:rsidR="00AE1DF7" w:rsidRPr="004B6350" w:rsidRDefault="00AE1DF7" w:rsidP="00AE1DF7">
      <w:pPr>
        <w:pStyle w:val="NormalHanging12a"/>
        <w:rPr>
          <w:bCs/>
          <w:iCs/>
        </w:rPr>
      </w:pPr>
      <w:r w:rsidRPr="004B6350">
        <w:t>101.</w:t>
      </w:r>
      <w:r w:rsidRPr="004B6350">
        <w:tab/>
        <w:t>susirūpinęs pažymi, kad Parlamento narių kelionės išlaidų atlyginimas dažnai trunka daugiau nei tris mėnesius; ragina administraciją ir FINS GD gerokai paspartinti atlyginimo procedūras, be kita ko, toliau skaitmeninant, supaprastinant tikrinimo procesus ir nustatant aiškesnius vidaus terminus, sykiu visapusiškai laikantis finansų kontrolės reikalavimų;</w:t>
      </w:r>
    </w:p>
    <w:p w14:paraId="15C0F747"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t>102.</w:t>
      </w:r>
      <w:r w:rsidRPr="004B6350">
        <w:tab/>
        <w:t>palankiai vertina intensyvesnį darbą vykdant EP FINS GD finansų akademijos veiklą, kuri apėmė dvylika internetinių vaizdo pamokų, papildančių esamus mokymo kursus, kuriuose dalyvaujama ir fiziškai, ir mišriu būdu; pabrėžia, kokie svarbūs finansiniai mokymai yra visam Parlamento personalui, palankiai vertina frakcijų darbuotojams skirtus mokymus viešųjų pirkimų srityje ir ragina FINS GD teikti didesnę paramą frakcijoms viešųjų pirkimų procesuose, ypač atsižvelgiant į Audito Rūmų nustatytus faktus; siūlo FINS GD suderinti skirtingų frakcijų taikomą praktiką viešųjų pirkimų srityje;</w:t>
      </w:r>
    </w:p>
    <w:p w14:paraId="26DB0B14" w14:textId="77777777" w:rsidR="00AE1DF7" w:rsidRPr="004B6350" w:rsidRDefault="00AE1DF7" w:rsidP="00AE1DF7">
      <w:pPr>
        <w:pStyle w:val="NormalHanging12a"/>
      </w:pPr>
      <w:r w:rsidRPr="004B6350">
        <w:t>103.</w:t>
      </w:r>
      <w:r w:rsidRPr="004B6350">
        <w:tab/>
        <w:t>pabrėžia, kad Parlamento nariai nėra įpareigoti dokumentuoti, kaip jie naudoja bendroms išlaidoms kompensuoti skirtos išmokos lėšas; pabrėžia, kad jie gali tai daryti savanoriškai, išsamiai arba pagal išlaidų rūšį, patys arba pasitelkdami išorės auditorių, ir kad jie gali nuspręsti visą šią informaciją arba jos dalį paskelbti savo interneto puslapyje Parlamento svetainėje pagal Parlamento darbo tvarkos taisyklių 11 straipsnio 2 dalį; palankiai vertina tai, kad į Europos Parlamento narių statuto įgyvendinimo taisykles įtrauktas supaprastintas išlaidų rūšių sąrašas ir kad taip pat priimtas pakeitimas, kuriame išaiškinama Parlamento nariams suteikiama galimybė pasinaudoti bendroms išlaidoms kompensuoti skirta išmoka, jei jie jau išnaudojo kitas išmokas; pažymi, kad visi Parlamento nariai buvo informuoti apie šios išmokos ypatumus; mano, kad kuo didesnis skaidrumas yra gera praktika;</w:t>
      </w:r>
    </w:p>
    <w:p w14:paraId="3C44BF27" w14:textId="77777777" w:rsidR="00AE1DF7" w:rsidRPr="004B6350" w:rsidRDefault="00AE1DF7" w:rsidP="00AE1DF7">
      <w:pPr>
        <w:pStyle w:val="NormalHanging12a"/>
      </w:pPr>
      <w:r w:rsidRPr="004B6350">
        <w:t>104.</w:t>
      </w:r>
      <w:r w:rsidRPr="004B6350">
        <w:tab/>
        <w:t>pažymi, kad 2024 m. bendroms išlaidoms kompensuoti skirta išmoka buvo 4 950 EUR per mėnesį, t. y. per metus išleista maždaug 40 mln. EUR; primena, kad 2022 m. ar 2024 m. ši išmoka nebuvo indeksuojama; pažymi, kad Parlamentas laikosi bendroms išlaidoms kompensuoti skirtai išmokai taikomų taisyklių; primena, kad reikia vengti nereikalingos administracinės naštos sudarymo Parlamento nariams;</w:t>
      </w:r>
    </w:p>
    <w:p w14:paraId="3466208C" w14:textId="1AC9C410" w:rsidR="00AE1DF7" w:rsidRPr="004B6350" w:rsidRDefault="00AE1DF7" w:rsidP="00AE1DF7">
      <w:pPr>
        <w:pStyle w:val="NormalHanging12a"/>
        <w:rPr>
          <w:bCs/>
          <w:iCs/>
        </w:rPr>
      </w:pPr>
      <w:r w:rsidRPr="004B6350">
        <w:t>105.</w:t>
      </w:r>
      <w:r w:rsidRPr="004B6350">
        <w:tab/>
        <w:t xml:space="preserve">pažymi, kad dabartinėse Europos Parlamento narių statuto įgyvendinimo taisyklėse nustatyti bendroms išlaidoms kompensuoti skirtos išmokos finansų valdymo skaidrumo reikalavimai; atkreipia dėmesį į tai, kad 2022 m. spalio 17 d. posėdyje Biuras priėmė šį </w:t>
      </w:r>
      <w:r w:rsidRPr="004B6350">
        <w:lastRenderedPageBreak/>
        <w:t>sprendimą;</w:t>
      </w:r>
    </w:p>
    <w:p w14:paraId="6457389B" w14:textId="77777777" w:rsidR="00AE1DF7" w:rsidRPr="004B6350" w:rsidRDefault="00AE1DF7" w:rsidP="00AE1DF7">
      <w:pPr>
        <w:spacing w:after="240"/>
        <w:rPr>
          <w:b/>
          <w:bCs/>
          <w:i/>
          <w:iCs/>
          <w14:textOutline w14:w="0" w14:cap="flat" w14:cmpd="sng" w14:algn="ctr">
            <w14:noFill/>
            <w14:prstDash w14:val="solid"/>
            <w14:bevel/>
          </w14:textOutline>
        </w:rPr>
      </w:pPr>
      <w:r w:rsidRPr="004B6350">
        <w:rPr>
          <w:b/>
          <w:i/>
          <w14:textOutline w14:w="0" w14:cap="flat" w14:cmpd="sng" w14:algn="ctr">
            <w14:noFill/>
            <w14:prstDash w14:val="solid"/>
            <w14:bevel/>
          </w14:textOutline>
        </w:rPr>
        <w:t>Informacinių technologijų ir kibernetinio saugumo generalinis direktoratas</w:t>
      </w:r>
    </w:p>
    <w:p w14:paraId="012373DF" w14:textId="19976F44" w:rsidR="00AE1DF7" w:rsidRPr="004B6350" w:rsidRDefault="00792C89"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106</w:t>
      </w:r>
      <w:r w:rsidR="00AE1DF7" w:rsidRPr="004B6350">
        <w:t>.</w:t>
      </w:r>
      <w:r w:rsidR="00AE1DF7" w:rsidRPr="004B6350">
        <w:rPr>
          <w14:textOutline w14:w="0" w14:cap="flat" w14:cmpd="sng" w14:algn="ctr">
            <w14:noFill/>
            <w14:prstDash w14:val="solid"/>
            <w14:bevel/>
          </w14:textOutline>
        </w:rPr>
        <w:tab/>
        <w:t xml:space="preserve">primena, kad ITEC GD teikia Parlamentui informacinių ir ryšių technologijų (IRT) paslaugas ir įrangą, vaizdo konferencijų ir multimedijos paslaugas, taip pat leidybos ir spausdinimo paslaugas; </w:t>
      </w:r>
      <w:r w:rsidR="00AE1DF7" w:rsidRPr="004B6350">
        <w:t>pažymi, kad 2024 m. gruodžio 31 d. jame dirbo 579 ITEC GD darbuotojai, iš kurių 369 buvo pareigūnai, 70 – laikinieji darbuotojai ir 140 – sutartininkai;</w:t>
      </w:r>
    </w:p>
    <w:p w14:paraId="4820D228" w14:textId="61943A53" w:rsidR="00AE1DF7" w:rsidRPr="004B6350" w:rsidRDefault="00792C89" w:rsidP="00AE1DF7">
      <w:pPr>
        <w:pStyle w:val="NormalHanging12a"/>
        <w:rPr>
          <w:bCs/>
          <w:iCs/>
        </w:rPr>
      </w:pPr>
      <w:r w:rsidRPr="004B6350">
        <w:t>107</w:t>
      </w:r>
      <w:r w:rsidR="00AE1DF7" w:rsidRPr="004B6350">
        <w:t>.</w:t>
      </w:r>
      <w:r w:rsidR="00AE1DF7" w:rsidRPr="004B6350">
        <w:tab/>
        <w:t>ragina Parlamentą priimti išsamią skaitmeninės pertvarkos strategiją, apimančią techninius dokumentų tvarkybos ir komunikacijos sprendimus, kad būtų užtikrintas skaidrumas ir saugumas, padidintas veiksmingumas ir pereita prie bepopierio administravimo; ragina kurti patogias naudoti skaitmenines platformas, kuriomis būtų stiprinamas e. dalyvavimas, sudarant Sąjungos piliečiams sąlygas teikti grįžtamąją informaciją dėl siūlomų teisės aktų ir tikruoju laiku susipažinti su Parlamento veikla;</w:t>
      </w:r>
    </w:p>
    <w:p w14:paraId="2E2B1F73" w14:textId="0E8E6BF4" w:rsidR="00AE1DF7" w:rsidRPr="004B6350" w:rsidRDefault="00792C89"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108</w:t>
      </w:r>
      <w:r w:rsidR="00AE1DF7" w:rsidRPr="004B6350">
        <w:t>.</w:t>
      </w:r>
      <w:r w:rsidR="00AE1DF7" w:rsidRPr="004B6350">
        <w:rPr>
          <w14:textOutline w14:w="0" w14:cap="flat" w14:cmpd="sng" w14:algn="ctr">
            <w14:noFill/>
            <w14:prstDash w14:val="solid"/>
            <w14:bevel/>
          </w14:textOutline>
        </w:rPr>
        <w:tab/>
      </w:r>
      <w:r w:rsidR="00AE1DF7" w:rsidRPr="004B6350">
        <w:t>pažymi, kad galutiniai 2024 m. ITEC GD asignavimai sudarė 179 396 522 EUR, t. y. 7,5 proc. Parlamento biudžeto;</w:t>
      </w:r>
      <w:r w:rsidR="00AE1DF7" w:rsidRPr="004B6350">
        <w:rPr>
          <w14:textOutline w14:w="0" w14:cap="flat" w14:cmpd="sng" w14:algn="ctr">
            <w14:noFill/>
            <w14:prstDash w14:val="solid"/>
            <w14:bevel/>
          </w14:textOutline>
        </w:rPr>
        <w:t xml:space="preserve"> </w:t>
      </w:r>
      <w:r w:rsidR="00AE1DF7" w:rsidRPr="004B6350">
        <w:t>pabrėžia, kad iš šios sumos iš viso įsipareigota skirti 179 349 479 EUR;</w:t>
      </w:r>
      <w:r w:rsidR="00AE1DF7" w:rsidRPr="004B6350">
        <w:rPr>
          <w14:textOutline w14:w="0" w14:cap="flat" w14:cmpd="sng" w14:algn="ctr">
            <w14:noFill/>
            <w14:prstDash w14:val="solid"/>
            <w14:bevel/>
          </w14:textOutline>
        </w:rPr>
        <w:t xml:space="preserve"> palankiai vertina didelį asignavimų panaudojimo lygį;</w:t>
      </w:r>
    </w:p>
    <w:p w14:paraId="476258B1" w14:textId="08D03567" w:rsidR="00AE1DF7" w:rsidRPr="004B6350" w:rsidRDefault="00792C89" w:rsidP="00AE1DF7">
      <w:pPr>
        <w:spacing w:after="240"/>
        <w:ind w:left="567" w:hanging="567"/>
      </w:pPr>
      <w:r w:rsidRPr="004B6350">
        <w:t>109</w:t>
      </w:r>
      <w:r w:rsidR="00AE1DF7" w:rsidRPr="004B6350">
        <w:t>.</w:t>
      </w:r>
      <w:r w:rsidR="00AE1DF7" w:rsidRPr="004B6350">
        <w:tab/>
        <w:t>atkreipia dėmesį į ITEC GD nuolat dedamas pastangas užtikrinti kibernetinį saugumą, atsižvelgiant į Parlamentui kylančias vis didesnes grėsmes ir riziką; atkreipia dėmesį į tai, kad įsigaliojo Europos Parlamento ir Tarybos reglamentas (ES, Euratomas) 2023/2841</w:t>
      </w:r>
      <w:r w:rsidR="00AE1DF7" w:rsidRPr="004B6350">
        <w:rPr>
          <w:rStyle w:val="FootnoteReference"/>
        </w:rPr>
        <w:footnoteReference w:id="9"/>
      </w:r>
      <w:r w:rsidR="00AE1DF7" w:rsidRPr="004B6350">
        <w:t>, kuriuo oficialiai įtvirtinta CERT-EU, kaip Sąjungos subjektų kibernetinio saugumo tarnybos, misija; atkreipia dėmesį į tai, kad Reglamentu (ES, Euratomas) 2023/2841 taip pat įsteigta Tarpinstitucinė kibernetinio saugumo taryba, atsakinga už šio reglamento įgyvendinimo stebėseną ir rėmimą visose Sąjungos institucijose; pažymi, kad Parlamentas šiai tarybai pirmininkauja nuo 2024 m.;</w:t>
      </w:r>
    </w:p>
    <w:p w14:paraId="22F156F1" w14:textId="033A216A" w:rsidR="00AE1DF7" w:rsidRPr="004B6350" w:rsidRDefault="00792C89" w:rsidP="00AE1DF7">
      <w:pPr>
        <w:spacing w:after="240"/>
        <w:ind w:left="567" w:hanging="567"/>
        <w:rPr>
          <w:b/>
          <w:bCs/>
        </w:rPr>
      </w:pPr>
      <w:r w:rsidRPr="004B6350">
        <w:t>110</w:t>
      </w:r>
      <w:r w:rsidR="00AE1DF7" w:rsidRPr="004B6350">
        <w:t>.</w:t>
      </w:r>
      <w:r w:rsidR="00AE1DF7" w:rsidRPr="004B6350">
        <w:tab/>
        <w:t>atkreipia dėmesį į tai, kad atsižvelgdamas į 2021 m. vasario mėn. Biuro sprendimą dėl būtinybės Parlamento duomenų centrą įkurti pagal aukščiausią prieinamą šios srities pramonės standartą (IV pakopa), ITEC GD 2022 m. skyrė sutartį ir sudarė sąlygas 2023 m. sukurti ir įdiegti duomenų centrą; pabrėžia, kad šios didelės investicijos ateinančiais metais užtikrina ateities iššūkiams pritaikytą infrastruktūrą ir yra labai svarbios siekiant išlaikyti patikimą mišrią Parlamento darbo aplinką;</w:t>
      </w:r>
    </w:p>
    <w:p w14:paraId="1FA130D2" w14:textId="68209694" w:rsidR="00AE1DF7" w:rsidRPr="004B6350" w:rsidRDefault="00792C89" w:rsidP="00AE1DF7">
      <w:pPr>
        <w:spacing w:after="240"/>
        <w:ind w:left="567" w:hanging="567"/>
      </w:pPr>
      <w:r w:rsidRPr="004B6350">
        <w:rPr>
          <w14:textOutline w14:w="0" w14:cap="flat" w14:cmpd="sng" w14:algn="ctr">
            <w14:noFill/>
            <w14:prstDash w14:val="solid"/>
            <w14:bevel/>
          </w14:textOutline>
        </w:rPr>
        <w:t>111</w:t>
      </w:r>
      <w:r w:rsidR="00AE1DF7" w:rsidRPr="004B6350">
        <w:t>.</w:t>
      </w:r>
      <w:r w:rsidR="00AE1DF7" w:rsidRPr="004B6350">
        <w:rPr>
          <w14:textOutline w14:w="0" w14:cap="flat" w14:cmpd="sng" w14:algn="ctr">
            <w14:noFill/>
            <w14:prstDash w14:val="solid"/>
            <w14:bevel/>
          </w14:textOutline>
        </w:rPr>
        <w:tab/>
      </w:r>
      <w:r w:rsidR="00AE1DF7" w:rsidRPr="004B6350">
        <w:t xml:space="preserve">pabrėžia, kad kibernetinis saugumas turi būti vertinamas kaip neatsiejamas nuolatinis visų veiklos etapų prioritetas, o ne tik kaip tikslas; pabrėžia, kad kibernetiniam saugumui užtikrinti reikia visapusiškos strategijos, kuri apimtų visus skaitmeninio valdymo Parlamente aspektus; ragina peržiūrėti Parlamento IT valdymo struktūras ir propaguoti tvirtesnį ir lengviau pritaikomą požiūrį į kibernetinį saugumą, pagal kurį būtų atsižvelgiama į visą informacinių sistemų gyvavimo ciklą, kadangi vis daugėja taikomųjų programų, kurios šiuo metu yra tiesiogiai prieinamos internetu (šiuo metu daugiau kaip 20); pabrėžia, kad dėl šios padėties reikia vykdyti griežtesnę priežiūrą siekiant kuo labiau sumažinti pažeidžiamumą ir apsaugoti institucinius duomenis nuo </w:t>
      </w:r>
      <w:r w:rsidR="00AE1DF7" w:rsidRPr="004B6350">
        <w:lastRenderedPageBreak/>
        <w:t>išorės grėsmių;</w:t>
      </w:r>
    </w:p>
    <w:p w14:paraId="05DAB6E5" w14:textId="453D9903" w:rsidR="00AE1DF7" w:rsidRPr="004B6350" w:rsidRDefault="00792C89" w:rsidP="00AE1DF7">
      <w:pPr>
        <w:spacing w:after="240"/>
        <w:ind w:left="567" w:hanging="567"/>
      </w:pPr>
      <w:r w:rsidRPr="004B6350">
        <w:t>112</w:t>
      </w:r>
      <w:r w:rsidR="00AE1DF7" w:rsidRPr="004B6350">
        <w:t>.</w:t>
      </w:r>
      <w:r w:rsidR="00AE1DF7" w:rsidRPr="004B6350">
        <w:tab/>
        <w:t>ragina toliau investuoti į kibernetinio saugumo infrastruktūrą, taip pat tęstinį darbuotojų švietimą ir išteklius, siekiant stiprinti saugumo sąmoningumo kultūrą, nes tai stiprina Parlamento atsparumą galimoms skaitmeninėms grėsmėms;</w:t>
      </w:r>
    </w:p>
    <w:p w14:paraId="32A7110F" w14:textId="6723F27C" w:rsidR="00AE1DF7" w:rsidRPr="004B6350" w:rsidRDefault="00792C89" w:rsidP="00AE1DF7">
      <w:pPr>
        <w:spacing w:after="240"/>
        <w:ind w:left="567" w:hanging="567"/>
      </w:pPr>
      <w:r w:rsidRPr="004B6350">
        <w:t>113</w:t>
      </w:r>
      <w:r w:rsidR="00AE1DF7" w:rsidRPr="004B6350">
        <w:t>.</w:t>
      </w:r>
      <w:r w:rsidR="00AE1DF7" w:rsidRPr="004B6350">
        <w:tab/>
        <w:t>pažymi, kad dėmesys sutelkiamas į visų Parlamento narių ir darbuotojų sąmoningumo kibernetinio saugumo klausimu ugdymą; palankiai vertina ITEC GD ir PERS GD siūlomus mokymus; atkreipia dėmesį į didelį kibernetinio saugumo mokymų dalyvių skaičių – mokymuose dalyvavo 33 dalyviai, o informuotumo didinimo veikloje – ne mažiau kaip 1 800 dalyvių;</w:t>
      </w:r>
    </w:p>
    <w:p w14:paraId="4E464A2F" w14:textId="691A7C8D" w:rsidR="00AE1DF7" w:rsidRPr="004B6350" w:rsidRDefault="00792C89" w:rsidP="00AE1DF7">
      <w:pPr>
        <w:spacing w:after="240"/>
        <w:ind w:left="567" w:hanging="567"/>
      </w:pPr>
      <w:r w:rsidRPr="004B6350">
        <w:t>114</w:t>
      </w:r>
      <w:r w:rsidR="00AE1DF7" w:rsidRPr="004B6350">
        <w:t>.</w:t>
      </w:r>
      <w:r w:rsidR="00AE1DF7" w:rsidRPr="004B6350">
        <w:tab/>
        <w:t>pažymi, kad dabartinė žmogiškųjų išteklių valdymo sistema (portalas HRM) vis dar nėra pakankamai integruota su kitomis Parlamento sistemomis; atkreipia dėmesį į tai, kad vykdant paprastas procedūras, pavyzdžiui, teikiant atostogų prašymus, vis dar reikalaujama, kad akredituoti Parlamento nario padėjėjai atsisiųstų, atspausdintų, nuskaitytų ir rankiniu būdu perduotų dokumentus, o atostogų likutis turi būti tikrinamas atskiroje platformoje; pabrėžia, kad šie fragmentuoti procesai sukuria nereikalingą administracinę naštą ir neefektyvų darbo srautą; ragina administraciją modernizuoti ir supaprastinti šias procedūras bei užtikrinti visišką žmogiškųjų išteklių valdymo priemonių ir kitų Parlamento sistemų sąveikumą;</w:t>
      </w:r>
    </w:p>
    <w:p w14:paraId="7998CFD4" w14:textId="38291094" w:rsidR="00AE1DF7" w:rsidRPr="004B6350" w:rsidRDefault="00792C89" w:rsidP="00AE1DF7">
      <w:pPr>
        <w:spacing w:after="240"/>
        <w:ind w:left="567" w:hanging="567"/>
      </w:pPr>
      <w:r w:rsidRPr="004B6350">
        <w:rPr>
          <w14:textOutline w14:w="0" w14:cap="flat" w14:cmpd="sng" w14:algn="ctr">
            <w14:noFill/>
            <w14:prstDash w14:val="solid"/>
            <w14:bevel/>
          </w14:textOutline>
        </w:rPr>
        <w:t>115</w:t>
      </w:r>
      <w:r w:rsidR="00AE1DF7" w:rsidRPr="004B6350">
        <w:t>.</w:t>
      </w:r>
      <w:r w:rsidR="00AE1DF7" w:rsidRPr="004B6350">
        <w:rPr>
          <w14:textOutline w14:w="0" w14:cap="flat" w14:cmpd="sng" w14:algn="ctr">
            <w14:noFill/>
            <w14:prstDash w14:val="solid"/>
            <w14:bevel/>
          </w14:textOutline>
        </w:rPr>
        <w:tab/>
      </w:r>
      <w:r w:rsidR="00AE1DF7" w:rsidRPr="004B6350">
        <w:t>pabrėžia, kad parama Parlamento nariams buvo išplėsta, kad ji būtų teikiama ir ne darbo valandomis bei ne darbo dienomis; pažymi, kad, siekiant atsižvelgti į kintančius Parlamento narių poreikius ir darbo praktiką, remiantis naudotojų apklausomis ir tiesioginiais valdymo organų prašymais buvo įdiegtas naujas specialių IT paramos paslaugų rinkinys, skirtas Parlamento narių privatiems „MacOS“ ir „iOS“ prietaisams; pabrėžia, kad skatinama teikti socialinei žiniasklaidai skirtą techninę pagalbą kartu su įvairiausiomis paslaugomis, susijusiomis su audiovizualinio kūrimo techniniais aspektais;</w:t>
      </w:r>
    </w:p>
    <w:p w14:paraId="7669E149" w14:textId="1A6DD210" w:rsidR="00AE1DF7" w:rsidRPr="004B6350" w:rsidRDefault="00792C89" w:rsidP="00AE1DF7">
      <w:pPr>
        <w:pStyle w:val="NormalHanging12a"/>
      </w:pPr>
      <w:r w:rsidRPr="004B6350">
        <w:t>116</w:t>
      </w:r>
      <w:r w:rsidR="00AE1DF7" w:rsidRPr="004B6350">
        <w:t>.</w:t>
      </w:r>
      <w:r w:rsidR="00AE1DF7" w:rsidRPr="004B6350">
        <w:tab/>
        <w:t>palankiai vertina tai, kad sukurta nauja dirbtinio intelekto (DI) valdymo sistema, kurioje DI valdymo taryba prižiūri Parlamento DI strategiją ir veiksmų gaires bei užtikrina atitiktį teisės aktams ir etinę priežiūrą, kelis direktoratus apimanti iniciatyvinė grupė DI klausimais, atsakinga už DI strategijų rengimą, pagrindinių gebėjimų ugdymą ir ilgalaikio saugumo bei tvarumo užtikrinimą, ir ITEC GD Dirbtinio intelekto kompetencijos centras, kuris teikia gaires, propaguoja ir stebi DI iniciatyvas visame Parlamente; pažymi, kad ši valdymo sistema užtikrins skaidrumą ir atitiktį Europos Parlamento ir Tarybos reglamentui (ES) 2024/1689</w:t>
      </w:r>
      <w:r w:rsidR="00AE1DF7" w:rsidRPr="004B6350">
        <w:rPr>
          <w:vertAlign w:val="superscript"/>
        </w:rPr>
        <w:footnoteReference w:id="10"/>
      </w:r>
      <w:r w:rsidR="00AE1DF7" w:rsidRPr="004B6350">
        <w:t xml:space="preserve">, jis įsigaliojo 2024 m. rugpjūčio 1 d., o jo nuostatos taikomos nuo 2025 m.; pažymi, kad Parlamento darbuotojai gali naudotis trečiųjų šalių viešai prieinamomis generatyvinio DI priemonėmis, jeigu jie paiso 2024 m. balandžio 16 d. generalinio sekretoriaus patvirtintų gairių dėl viešai prieinamų DI priemonių naudojimo Parlamento darbuotojams, griežtai laikydamiesi sąlygos, kad jos naudojamos tik profesinėms pareigoms atlikti; ragina administraciją </w:t>
      </w:r>
      <w:r w:rsidR="00AE1DF7" w:rsidRPr="004B6350">
        <w:lastRenderedPageBreak/>
        <w:t>dėti daugiau pastangų siekiant mokyti darbuotojus veiksmingai ir saugiai naudoti tokias naujas technologijas kaip DI;</w:t>
      </w:r>
    </w:p>
    <w:p w14:paraId="56F4B5AA" w14:textId="77777777" w:rsidR="00AE1DF7" w:rsidRPr="004B6350" w:rsidRDefault="00AE1DF7" w:rsidP="00AE1DF7">
      <w:pPr>
        <w:spacing w:after="240"/>
        <w:rPr>
          <w:b/>
          <w:bCs/>
          <w:i/>
          <w:iCs/>
          <w14:textOutline w14:w="0" w14:cap="flat" w14:cmpd="sng" w14:algn="ctr">
            <w14:noFill/>
            <w14:prstDash w14:val="solid"/>
            <w14:bevel/>
          </w14:textOutline>
        </w:rPr>
      </w:pPr>
      <w:r w:rsidRPr="004B6350">
        <w:rPr>
          <w:b/>
          <w:i/>
          <w14:textOutline w14:w="0" w14:cap="flat" w14:cmpd="sng" w14:algn="ctr">
            <w14:noFill/>
            <w14:prstDash w14:val="solid"/>
            <w14:bevel/>
          </w14:textOutline>
        </w:rPr>
        <w:t xml:space="preserve">Horizontalieji klausimai, darantys poveikį Parlamento 2024 finansinių metų biudžetui </w:t>
      </w:r>
    </w:p>
    <w:p w14:paraId="04EA1640" w14:textId="77777777" w:rsidR="00AE1DF7" w:rsidRPr="004B6350" w:rsidRDefault="00AE1DF7" w:rsidP="00AE1DF7">
      <w:pPr>
        <w:spacing w:after="240"/>
        <w:rPr>
          <w:b/>
          <w:bCs/>
        </w:rPr>
      </w:pPr>
      <w:bookmarkStart w:id="10" w:name="_Hlk216615789"/>
      <w:r w:rsidRPr="004B6350">
        <w:rPr>
          <w:b/>
        </w:rPr>
        <w:t>Skaidrumas ir etika</w:t>
      </w:r>
    </w:p>
    <w:p w14:paraId="23644069" w14:textId="0220708E" w:rsidR="00AE1DF7" w:rsidRPr="004B6350" w:rsidRDefault="00E575A5" w:rsidP="00AE1DF7">
      <w:pPr>
        <w:spacing w:after="240"/>
        <w:ind w:left="567" w:hanging="567"/>
        <w:rPr>
          <w:b/>
          <w:bCs/>
        </w:rPr>
      </w:pPr>
      <w:r w:rsidRPr="004B6350">
        <w:t>117</w:t>
      </w:r>
      <w:r w:rsidR="00AE1DF7" w:rsidRPr="004B6350">
        <w:t>.</w:t>
      </w:r>
      <w:r w:rsidR="00AE1DF7" w:rsidRPr="004B6350">
        <w:tab/>
        <w:t>atkreipia dėmesį į tai, kad 2024 m. pagal Tarnybos nuostatų 22c straipsnio įgyvendinimo vidaus taisykles buvo gauti šeši pranešimai apie informatorių atvejus, penki iš jų – oficialiais kanalais ir vienas – iš kitos Sąjungos institucijos; atkreipia dėmesį į tai, kad vienas atvejis buvo perduotas Europos prokuratūrai, dėl dviejų atvejų pradėti administraciniai tyrimai ir vienas buvo perduotas Parlamento narių elgesio kodekso konsultaciniam komitetui, o dėl išorės pranešimo taip pat pradėtas tyrimas;</w:t>
      </w:r>
      <w:r w:rsidR="00621C8D" w:rsidRPr="004B6350">
        <w:t xml:space="preserve"> reiškia susirūpinimą dėl to, kad 2024 m. Teisingumo Teismas byloje T-793/22 nusprendė, jog Parlamentas nesiėmė visų būtinų priemonių užtikrinti, kad informatorius būtų subalansuotai ir veiksmingai apsaugotas nuo bet kokios formos atsakomųjų veiksmų; pažymi, kad Teismas taip pat nustatė, jog Parlamentas tinkamai neapsaugojo informatoriaus konfidencialumo; primygtinai ragina Parlamentą visapusiškai suderinti savo vidaus taisykles su Direktyva (ES) 2019/1937;</w:t>
      </w:r>
    </w:p>
    <w:bookmarkEnd w:id="10"/>
    <w:p w14:paraId="5807C799" w14:textId="3D6BF8E1" w:rsidR="00AE1DF7" w:rsidRPr="004B6350" w:rsidRDefault="00E575A5" w:rsidP="00AE1DF7">
      <w:pPr>
        <w:pStyle w:val="NormalHanging12a"/>
      </w:pPr>
      <w:r w:rsidRPr="004B6350">
        <w:t>118</w:t>
      </w:r>
      <w:r w:rsidR="00AE1DF7" w:rsidRPr="004B6350">
        <w:t>.</w:t>
      </w:r>
      <w:r w:rsidR="00AE1DF7" w:rsidRPr="004B6350">
        <w:tab/>
        <w:t>palankiai vertina tai, kad etikos mokymai išliko prioritetu ir kad surengus tik 13 sesijų tema „Pakalbėkime apie etiką“ (angl. „Let’s Talk Ethics“) buvo apmokyti 178 darbuotojai, pritaikyti kursai sulaukė 109 dalyvių, o privalomus akredituotų Parlamento narių padėjėjų įvadinius mokymus baigė 72 proc. dalyvių; džiaugiasi, kad naujuose etiško vadovavimo ir priekabiavimo prevencijos kursuose 33 sesijų metu buvo apmokyta 320 vadovų;</w:t>
      </w:r>
    </w:p>
    <w:p w14:paraId="3D810F0D" w14:textId="7237A29B" w:rsidR="00AE1DF7" w:rsidRPr="004B6350" w:rsidRDefault="00E575A5" w:rsidP="00AE1DF7">
      <w:pPr>
        <w:pStyle w:val="NormalHanging12a"/>
      </w:pPr>
      <w:r w:rsidRPr="004B6350">
        <w:t>119</w:t>
      </w:r>
      <w:r w:rsidR="00AE1DF7" w:rsidRPr="004B6350">
        <w:t>.</w:t>
      </w:r>
      <w:r w:rsidR="00AE1DF7" w:rsidRPr="004B6350">
        <w:tab/>
        <w:t>primygtinai ragina stiprinti skaidrumo, atskaitomybės ir etiško valdymo priemones; mano, kad Parlamentas turi užtikrinti sąžiningumo kultūrą, įtraukdamas etikos standartus į kasdienę veiklą, kad nebūtų pakenkta piliečių pasitikėjimui, ir stiprindamas savo legitimumą priežiūros srityje; ragina tęsti ir stiprinti bendradarbiavimą bei dialogą sąžiningumo, skaidrumo ir elgesio Sąjungos institucijose standartų klausimais;</w:t>
      </w:r>
    </w:p>
    <w:p w14:paraId="1B2B30BA" w14:textId="5B661077" w:rsidR="00AE1DF7" w:rsidRPr="004B6350" w:rsidRDefault="00E575A5" w:rsidP="00AE1DF7">
      <w:pPr>
        <w:pStyle w:val="NormalHanging12a"/>
      </w:pPr>
      <w:r w:rsidRPr="004B6350">
        <w:t>120</w:t>
      </w:r>
      <w:r w:rsidR="00AE1DF7" w:rsidRPr="004B6350">
        <w:t>.</w:t>
      </w:r>
      <w:r w:rsidR="00AE1DF7" w:rsidRPr="004B6350">
        <w:tab/>
        <w:t>atkreipia dėmesį į teigiamą Su Europos Parlamento narių sąžiningumu ir skaidrumu susijusio elgesio kodekso techninio įgyvendinimo vertinimą, kaip pranešta Biurui; ragina dėti daugiau pastangų siekiant didinti skaidrumą visuose Parlamento sektoriuose ir tarnybose, ypač daug dėmesio skiriant teisės aktų rengimo sričiai; atsižvelgdamas į tai, ragina Parlamento administraciją neapriboti skaidrumo reikalavimų taikymo tik vadovybės lygmeniu;</w:t>
      </w:r>
    </w:p>
    <w:p w14:paraId="144FE8C6" w14:textId="537D4ED1" w:rsidR="00621C8D" w:rsidRPr="004B6350" w:rsidRDefault="00621C8D" w:rsidP="00AE1DF7">
      <w:pPr>
        <w:pStyle w:val="NormalHanging12a"/>
      </w:pPr>
      <w:r w:rsidRPr="004B6350">
        <w:t>121.</w:t>
      </w:r>
      <w:r w:rsidRPr="004B6350">
        <w:tab/>
        <w:t>primena, kad pagal taisykles Parlamento nariams draudžiama užsiimti apmokama lobistine veikla, tiesiogiai susijusia su Sąjungos sprendimų priėmimo procesu; pabrėžia, kad apmokamos pareigos subjektuose, patenkančiuose į Skaidrumo registro taikymo sritį, sykiu vykdant parlamentines funkcijas toje pačioje politikos srityje arba palaikant susijusius ryšius su Komisija ar Taryba, yra nesuderinamos su šiomis taisyklėmis; ragina tinkamai išnagrinėti tokias situacijas ir, nustačius pažeidimus, taikyti proporcingas sankcijas;</w:t>
      </w:r>
    </w:p>
    <w:p w14:paraId="62F92297" w14:textId="77777777" w:rsidR="00AE1DF7" w:rsidRPr="004B6350" w:rsidRDefault="00AE1DF7" w:rsidP="00AE1DF7">
      <w:pPr>
        <w:pStyle w:val="NormalHanging12a"/>
        <w:rPr>
          <w:bCs/>
          <w:iCs/>
        </w:rPr>
      </w:pPr>
      <w:r w:rsidRPr="004B6350">
        <w:t>122.</w:t>
      </w:r>
      <w:r w:rsidRPr="004B6350">
        <w:tab/>
        <w:t xml:space="preserve">palankiai vertina tai, kad vykdant atstovavimo interesų grupėms veiklą Sąjungos lygmeniu Skaidrumo registras vis dažniau naudojamas kaip informavimo ir etaloninė priemonė; palankiai vertina tai, kad kuriami IT sprendimai Skaidrumo registrui </w:t>
      </w:r>
      <w:r w:rsidRPr="004B6350">
        <w:lastRenderedPageBreak/>
        <w:t>tobulinti, tačiau pažymi, kad jo sekretoriatui vis dar skiriama nepakankamai lėšų ir darbuotojų; pažymi, kad Skaidrumo registro įrašų kokybė pagerėjo, ir primena, kad būtina toliau stiprinti naujų pareiškėjų duomenų kokybės patikras; palankiai vertina tai, kad Parlamente nustatyti išsamūs skaidrumo ir į Skaidrumo registrą įtrauktų subjektų galimybės patekti į institucijas standartai; ragina susieti Skaidrumo registrą ir Finansinio skaidrumo sistemą, kad būtų galima atlikti kryžmines į Skaidrumo registrą įtrauktų subjektų patikras ir patikrinti pateiktų duomenų tinkamumą; atsižvelgdamas į tai, pakartoja, kad prieš įtraukiant subjektus į Skaidrumo registrą būtina atlikti išsamią išankstinę jų finansinę patikrą, ir tuo tikslu ragina Skaidrumo registrui skirti pakankamai išteklių, kad jis veiktų ir veiksmingai užtikrintų savo vidaus taisyklių taikymą; taip pat ragina Parlamento administraciją užtikrinti tarpinstitucinį skaidrumą žiniasklaidos srityje ir atskleisti visas žiniasklaidos priemones, gaunančias Sąjungos lėšas;</w:t>
      </w:r>
    </w:p>
    <w:p w14:paraId="0AB0DE97" w14:textId="77777777" w:rsidR="00AE1DF7" w:rsidRPr="004B6350" w:rsidRDefault="00AE1DF7" w:rsidP="00AE1DF7">
      <w:pPr>
        <w:spacing w:after="240"/>
        <w:ind w:left="567" w:hanging="567"/>
      </w:pPr>
      <w:r w:rsidRPr="004B6350">
        <w:t>123.</w:t>
      </w:r>
      <w:r w:rsidRPr="004B6350">
        <w:tab/>
        <w:t>ragina Audito Rūmus konkrečiai nagrinėti žiniasklaidos finansavimą;</w:t>
      </w:r>
    </w:p>
    <w:p w14:paraId="3E57F144" w14:textId="77777777" w:rsidR="00AE1DF7" w:rsidRPr="004B6350" w:rsidRDefault="00AE1DF7" w:rsidP="00AE1DF7">
      <w:pPr>
        <w:spacing w:after="240"/>
        <w:rPr>
          <w:b/>
          <w:bCs/>
        </w:rPr>
      </w:pPr>
      <w:r w:rsidRPr="004B6350">
        <w:rPr>
          <w:b/>
        </w:rPr>
        <w:t>Skaitmeninimas, kibernetinis saugumas ir DI</w:t>
      </w:r>
    </w:p>
    <w:p w14:paraId="4ECF9033" w14:textId="77777777" w:rsidR="00AE1DF7" w:rsidRPr="004B6350" w:rsidRDefault="00AE1DF7" w:rsidP="00AE1DF7">
      <w:pPr>
        <w:spacing w:after="240"/>
        <w:ind w:left="567" w:hanging="567"/>
        <w:rPr>
          <w:b/>
          <w:bCs/>
        </w:rPr>
      </w:pPr>
      <w:r w:rsidRPr="004B6350">
        <w:t>124.</w:t>
      </w:r>
      <w:r w:rsidRPr="004B6350">
        <w:tab/>
        <w:t>ragina Parlamentą toliau dėti daugiau pastangų ir spręsti konkrečius ypač svarbius uždavinius, kaip antai kibernetinio saugumo ir DI klausimai;</w:t>
      </w:r>
    </w:p>
    <w:p w14:paraId="0BDBCDD8" w14:textId="77777777" w:rsidR="00AE1DF7" w:rsidRPr="004B6350" w:rsidRDefault="00AE1DF7" w:rsidP="00AE1DF7">
      <w:pPr>
        <w:spacing w:after="240"/>
        <w:ind w:left="567" w:hanging="567"/>
      </w:pPr>
      <w:r w:rsidRPr="004B6350">
        <w:t>125.</w:t>
      </w:r>
      <w:r w:rsidRPr="004B6350">
        <w:tab/>
        <w:t>primena, kad 2024 m. kovo mėn. Biuras sukūrė DI valdymo sistemą; pabrėžia, kad būtina skubiai priimti išsamią DI strategiją ir veiksmų gaires, įskaitant pasiūlymą dėl veiksmų plano;</w:t>
      </w:r>
    </w:p>
    <w:p w14:paraId="0A749EBB" w14:textId="77777777" w:rsidR="00AE1DF7" w:rsidRPr="004B6350" w:rsidRDefault="00AE1DF7" w:rsidP="00AE1DF7">
      <w:pPr>
        <w:pStyle w:val="NormalHanging12a"/>
      </w:pPr>
      <w:r w:rsidRPr="004B6350">
        <w:t>126.</w:t>
      </w:r>
      <w:r w:rsidRPr="004B6350">
        <w:tab/>
        <w:t>pažymi, kad vyksta darbas kuriant Parlamento vidaus platformą, skirtą generatyviniam DI; pakartoja, kad ši platforma yra labai svarbus elementas, užtikrinantis reikalavimus atitinkantį ir saugų DI projektų įgyvendinimą, visų pirma padedant Parlamento nariams vykdyti savo veiklą;</w:t>
      </w:r>
    </w:p>
    <w:p w14:paraId="36FA1572" w14:textId="77777777" w:rsidR="00AE1DF7" w:rsidRPr="004B6350" w:rsidRDefault="00AE1DF7" w:rsidP="00AE1DF7">
      <w:pPr>
        <w:spacing w:after="240"/>
        <w:ind w:left="567" w:hanging="567"/>
      </w:pPr>
      <w:r w:rsidRPr="004B6350">
        <w:t>127.</w:t>
      </w:r>
      <w:r w:rsidRPr="004B6350">
        <w:tab/>
        <w:t>ragina Parlamento administraciją užtikrinti, kad DI projektai būtų įgyvendinami visapusiškai laikantis valdymo reikalavimų, sykiu užtikrinant prieigą taip, kad būtų apsaugoti neskelbtini duomenys ir sudarytos galimybės naudotis viešai prieinama informacija;</w:t>
      </w:r>
    </w:p>
    <w:p w14:paraId="33158205" w14:textId="77777777" w:rsidR="00AE1DF7" w:rsidRPr="004B6350" w:rsidRDefault="00AE1DF7" w:rsidP="00AE1DF7">
      <w:pPr>
        <w:pStyle w:val="NormalHanging12a"/>
        <w:rPr>
          <w:bCs/>
          <w:iCs/>
        </w:rPr>
      </w:pPr>
      <w:r w:rsidRPr="004B6350">
        <w:t>128.</w:t>
      </w:r>
      <w:r w:rsidRPr="004B6350">
        <w:tab/>
        <w:t>ragina Parlamento administraciją naudojantis DI sprendimais didinti Parlamento darbo skaidrumą ir prieinamumą, kad būtų galima sistemingai gauti visų komitetų diskusijų skaitmenines, paieškai pritaikytas ir pakartotinai naudojamas transkripcijas, įskaitant keitimąsi informacija su Komisijos nariais, ekspertais bei suinteresuotaisiais subjektais; pabrėžia, kad tokios transkripcijos turi būti skelbiamos laiku; pabrėžia, kad geresnės galimybės susipažinti su komitetų diskusijomis sustiprintų demokratinę kontrolę, institucinę atmintį ir piliečių supratimą apie Parlamento teisėkūros darbą;</w:t>
      </w:r>
    </w:p>
    <w:p w14:paraId="5B29B7DB" w14:textId="77777777" w:rsidR="00AE1DF7" w:rsidRPr="004B6350" w:rsidRDefault="00AE1DF7" w:rsidP="00AE1DF7">
      <w:pPr>
        <w:pStyle w:val="NormalHanging12a"/>
        <w:rPr>
          <w:bCs/>
          <w:iCs/>
        </w:rPr>
      </w:pPr>
      <w:r w:rsidRPr="004B6350">
        <w:t>129.</w:t>
      </w:r>
      <w:r w:rsidRPr="004B6350">
        <w:tab/>
        <w:t>atkreipia dėmesį į reikšmingus plenarinių posėdžių interneto svetainės patobulinimus, įskaitant lengviau prieinamas vardinio balsavimo tikrinimo priemones, jie padėjo užtikrinti didesnį Parlamento balsavimo įrašų skaidrumą ir tikslumą; vis dėlto ragina toliau gerinti su balsavimu susijusios informacijos tinkamumą naudoti ir pateikimą;</w:t>
      </w:r>
    </w:p>
    <w:p w14:paraId="6A7F35AE" w14:textId="77777777" w:rsidR="00AE1DF7" w:rsidRPr="004B6350" w:rsidRDefault="00AE1DF7" w:rsidP="00AE1DF7">
      <w:pPr>
        <w:spacing w:after="240"/>
        <w:rPr>
          <w:b/>
          <w:bCs/>
        </w:rPr>
      </w:pPr>
      <w:r w:rsidRPr="004B6350">
        <w:rPr>
          <w:b/>
        </w:rPr>
        <w:t>Savanoriška pensijų sistema</w:t>
      </w:r>
    </w:p>
    <w:p w14:paraId="2D3B4E58" w14:textId="77777777" w:rsidR="00AE1DF7" w:rsidRPr="004B6350" w:rsidRDefault="00AE1DF7" w:rsidP="00AE1DF7">
      <w:pPr>
        <w:pStyle w:val="NormalHanging12a"/>
      </w:pPr>
      <w:r w:rsidRPr="004B6350">
        <w:t>130.</w:t>
      </w:r>
      <w:r w:rsidRPr="004B6350">
        <w:tab/>
        <w:t xml:space="preserve">atkreipia dėmesį į tai, kad savanoriškai pensijų sistemai skiriama nepakankamai lėšų: 2024 m. pabaigoje susidarė 105 mln. EUR deficitas ir prognozuojama, kad ribotas </w:t>
      </w:r>
      <w:r w:rsidRPr="004B6350">
        <w:lastRenderedPageBreak/>
        <w:t>23,17 mln. EUR turtas bus išeikvotas iki 2026 m. pabaigos; pažymi, kad įsipareigojimai kyla dėl teisinių mokėjimo įsipareigojimų daugiau nei 900 narių bent iki 2074 m.;</w:t>
      </w:r>
    </w:p>
    <w:p w14:paraId="573962A7" w14:textId="77777777" w:rsidR="00AE1DF7" w:rsidRPr="004B6350" w:rsidRDefault="00AE1DF7" w:rsidP="00AE1DF7">
      <w:pPr>
        <w:spacing w:after="240"/>
        <w:ind w:left="567" w:hanging="567"/>
      </w:pPr>
      <w:r w:rsidRPr="004B6350">
        <w:t>131.</w:t>
      </w:r>
      <w:r w:rsidRPr="004B6350">
        <w:tab/>
        <w:t>pažymi, kad, siekdamas imtis veiksmų dėl šios padėties, 2023 m. birželio 12 d. posėdyje Biuras priėmė sprendimą dėl įvairių priemonių savanoriškos pensijų sistemos sąlygoms pakeisti; pabrėžia, kad šios priemonės apėmė nominaliosios pensijos sumažinimą 50 proc. ne tik būsimiems pensijos gavėjams, kurie įgyja teises į pensiją, bet ir dabartiniams jos gavėjams, kurie jau turi įgytas teises į pensiją, kad metinis pensijų sumų indeksavimas įšaldomas ir kad pensinis amžius padidintas nuo 65 iki 67 kol kas pensinio amžiaus nesulaukusiems asmenims; pabrėžia, kad aktuarai apskaičiavo, jog nuo 2023 m. liepos 1 d. sumažės savanoriškos pensijos mokėjimo įpareigojimai, aktuarinės prielaidos data – 2023 m. liepos 1 d.;</w:t>
      </w:r>
    </w:p>
    <w:p w14:paraId="4F8A94F5" w14:textId="77777777" w:rsidR="00AE1DF7" w:rsidRPr="004B6350" w:rsidRDefault="00AE1DF7" w:rsidP="00AE1DF7">
      <w:pPr>
        <w:spacing w:after="240"/>
        <w:ind w:left="567" w:hanging="567"/>
      </w:pPr>
      <w:r w:rsidRPr="004B6350">
        <w:t>132.</w:t>
      </w:r>
      <w:r w:rsidRPr="004B6350">
        <w:tab/>
        <w:t>pažymi, kad Biuras taip pat nustatė neproporcingos naštos išlygą, pagal kurią išmokos gavėjai gali pateikti kvestoriams prašymą padidinti pensijos sumą tais atvejais, kai sumažinimas yra didelis; pažymi, kad Biuras taip pat nustatė galimybę savanoriškai ir galutinai pasitraukti iš savanoriškos pensijų sistemos pasinaudojant vienkartine galutine fiksuoto dydžio išmoka;</w:t>
      </w:r>
    </w:p>
    <w:p w14:paraId="12815140" w14:textId="77777777" w:rsidR="00AE1DF7" w:rsidRPr="004B6350" w:rsidRDefault="00AE1DF7" w:rsidP="00AE1DF7">
      <w:pPr>
        <w:pStyle w:val="NormalHanging12a"/>
      </w:pPr>
      <w:r w:rsidRPr="004B6350">
        <w:t>133.</w:t>
      </w:r>
      <w:r w:rsidRPr="004B6350">
        <w:tab/>
        <w:t>pažymi, kad 2023 m. birželio 12 d. Biuro sprendimą</w:t>
      </w:r>
      <w:r w:rsidRPr="004B6350">
        <w:rPr>
          <w:vertAlign w:val="superscript"/>
        </w:rPr>
        <w:footnoteReference w:id="11"/>
      </w:r>
      <w:r w:rsidRPr="004B6350">
        <w:t xml:space="preserve"> Bendrajame Teisme užginčijo 405 savanoriškos pensijų sistemos išmokų gavėjai; primena gruodžio 8 d. posėdyje išsakytas generalinio sekretoriaus pastabas, laukiant Bendrojo Teismo sprendimo ir galimos veiksmų krypties; pažymi, kad 2025 m. gruodžio 17 d. Bendrasis Teismas nusprendė atmesti buvusių Parlamento narių ieškinius; prašo administracijos ir Biuro spręsti šį klausimą ir imtis reikiamų priemonių, kad būtų laikomasi Bendrojo Teismo sprendimo;</w:t>
      </w:r>
    </w:p>
    <w:p w14:paraId="0616BA5A" w14:textId="77777777" w:rsidR="00AE1DF7" w:rsidRPr="004B6350" w:rsidRDefault="00AE1DF7" w:rsidP="00AE1DF7">
      <w:pPr>
        <w:spacing w:after="240"/>
        <w:ind w:left="567" w:hanging="567"/>
        <w:rPr>
          <w:b/>
          <w:bCs/>
          <w14:textOutline w14:w="0" w14:cap="flat" w14:cmpd="sng" w14:algn="ctr">
            <w14:noFill/>
            <w14:prstDash w14:val="solid"/>
            <w14:bevel/>
          </w14:textOutline>
        </w:rPr>
      </w:pPr>
      <w:r w:rsidRPr="004B6350">
        <w:rPr>
          <w:b/>
          <w14:textOutline w14:w="0" w14:cap="flat" w14:cmpd="sng" w14:algn="ctr">
            <w14:noFill/>
            <w14:prstDash w14:val="solid"/>
            <w14:bevel/>
          </w14:textOutline>
        </w:rPr>
        <w:t>Metinė skirtų sutarčių ataskaita</w:t>
      </w:r>
    </w:p>
    <w:p w14:paraId="30F7C7B8" w14:textId="77777777" w:rsidR="00AE1DF7" w:rsidRPr="004B6350" w:rsidRDefault="00AE1DF7" w:rsidP="00AE1DF7">
      <w:pPr>
        <w:spacing w:after="240"/>
        <w:ind w:left="567" w:hanging="567"/>
      </w:pPr>
      <w:r w:rsidRPr="004B6350">
        <w:t>134.</w:t>
      </w:r>
      <w:r w:rsidRPr="004B6350">
        <w:tab/>
        <w:t>primena, kad Finansiniame reglamente nustatyta biudžeto valdymo institucijai ir visuomenei pateiktina informacija, susijusi su Parlamento skirtomis sutartimis; atkreipia dėmesį į tai, kad pagal Finansinį reglamentą reikalaujama skelbti apie skirtas sutartis, kurių vertė yra didesnė nei 15 000 EUR – tai riba, kurią viršijus privaloma skelbti viešųjų pirkimų konkursą; nurodo, kad 2024 m. iš viso skirtos 192 sutartys, iš kurių 95 sutartys buvo paskirtos pagal atviro konkurso procedūrą (vertė – 814,2 mln. EUR) ir 1 sutartis – pagal riboto konkurso procedūrą (vertė – 208 000 EUR); pažymi, kad vykdant derybų procedūrą buvo paskirta 81 sutartis, kurių vertė – 173 mln. EUR;</w:t>
      </w:r>
    </w:p>
    <w:p w14:paraId="2CB59A16" w14:textId="77777777" w:rsidR="00AE1DF7" w:rsidRPr="004B6350" w:rsidRDefault="00AE1DF7" w:rsidP="00AE1DF7">
      <w:pPr>
        <w:pStyle w:val="NormalHanging12a"/>
        <w:rPr>
          <w:bCs/>
          <w:iCs/>
        </w:rPr>
      </w:pPr>
      <w:r w:rsidRPr="004B6350">
        <w:t>135.</w:t>
      </w:r>
      <w:r w:rsidRPr="004B6350">
        <w:tab/>
        <w:t>palankiai vertina tai, kad Parlamentas paskelbė sutartis, kurių vertė viršija 15 000 EUR; ragina Parlamentą didinti savo viešųjų pirkimų procedūrų skaidrumą, be kita ko, skelbiant struktūrizuotus kompiuterio skaitomus duomenis, kai tai teisiškai ir techniškai įmanoma, ir integruojant aiškius išsamaus patikrinimo lūkesčius bei vykdymo užtikrinimo mechanizmus į savo tiekimo grandines vykdant sutarčių valdymą;</w:t>
      </w:r>
    </w:p>
    <w:p w14:paraId="4DE51954" w14:textId="77777777" w:rsidR="00AE1DF7" w:rsidRPr="004B6350" w:rsidRDefault="00AE1DF7" w:rsidP="00AE1DF7">
      <w:pPr>
        <w:spacing w:after="240"/>
        <w:ind w:left="567" w:hanging="567"/>
      </w:pPr>
      <w:r w:rsidRPr="004B6350">
        <w:t>136.</w:t>
      </w:r>
      <w:r w:rsidRPr="004B6350">
        <w:tab/>
        <w:t>pažymi, kad bendras skirtų sutarčių skaičius ir vertė 2024 m. (192), palyginti su 2023 m. (242), sumažėjo; pažymi, kad dėl to atvirų ir derybų procedūrų skaičius ir jų vertė yra mažesni nei 2023 m.;</w:t>
      </w:r>
    </w:p>
    <w:p w14:paraId="69099576" w14:textId="77777777" w:rsidR="00AE1DF7" w:rsidRPr="004B6350" w:rsidRDefault="00AE1DF7" w:rsidP="00AE1DF7">
      <w:pPr>
        <w:spacing w:before="240" w:after="240"/>
        <w:jc w:val="both"/>
        <w:rPr>
          <w:b/>
          <w:bCs/>
          <w14:textOutline w14:w="0" w14:cap="flat" w14:cmpd="sng" w14:algn="ctr">
            <w14:noFill/>
            <w14:prstDash w14:val="solid"/>
            <w14:bevel/>
          </w14:textOutline>
        </w:rPr>
      </w:pPr>
      <w:bookmarkStart w:id="11" w:name="_Hlk216793763"/>
      <w:r w:rsidRPr="004B6350">
        <w:rPr>
          <w:b/>
          <w14:textOutline w14:w="0" w14:cap="flat" w14:cmpd="sng" w14:algn="ctr">
            <w14:noFill/>
            <w14:prstDash w14:val="solid"/>
            <w14:bevel/>
          </w14:textOutline>
        </w:rPr>
        <w:t>Frakcijos (biudžeto 400 punktas)</w:t>
      </w:r>
    </w:p>
    <w:p w14:paraId="2FB7C9ED" w14:textId="77777777" w:rsidR="00AE1DF7" w:rsidRPr="004B6350" w:rsidRDefault="00AE1DF7" w:rsidP="00AE1DF7">
      <w:pPr>
        <w:pStyle w:val="NormalHanging12a"/>
      </w:pPr>
      <w:r w:rsidRPr="004B6350">
        <w:lastRenderedPageBreak/>
        <w:t>137.</w:t>
      </w:r>
      <w:r w:rsidRPr="004B6350">
        <w:tab/>
        <w:t>pažymi, kad 2024-ieji buvo sudėtingi metai teikti pagal biudžeto 400 punktą apskaitytas išlaidas dėl dviejų priežasčių: pirma, tai buvo Europos Parlamento rinkimų metai ir išlaidos buvo padalytos į 2024 m. pirmojo pusmečio (devintoji kadencija) ir 2024 m. antrojo pusmečio (dešimtoji kadencija), antra, vienos iš frakcijų (ID frakcijos) 2024 m. pirmojo pusmečio audituotose galutinėse sąskaitose buvo nustatyta rimtų pažeidimų; pažymi, kad pirmininko pavaduotojai gruodžio 8 d. posėdyje taip pat nurodė, kad buvo paprašyta papildomos informacijos apie 2024 m. antrojo pusmečio sąskaitas, kurios Biuras vis dar laukė prieš priimdamas sprendimą dėl informacijos pateikimo biudžeto įvykdymą tvirtinančiai institucijai; atkreipia dėmesį į Parlamento generalinio sekretoriaus 2026 m. sausio 20 d. laišką Parlamento Biudžeto kontrolės komiteto pirmininkui, kuriame pateikiamos septynių iš aštuonių frakcijų 2024 m. antrojo pusmečio audito ataskaitos; atkreipia dėmesį į besąlyginę nuomonę dėl kiekvienos ataskaitos; pažymi, kad PfE frakcijos 2024 m. antrojo pusmečio ataskaita vis dar nepateikta, nes ši frakcija ir kompetentingos Parlamento tarnybos nuolat keičiasi informacija; ragina PfE frakciją ir kompetentingas Parlamento tarnybas skubiai išspręsti likusius klausimus ir informuoti biudžeto įvykdymą tvirtinančią instituciją apie rezultatus;</w:t>
      </w:r>
    </w:p>
    <w:p w14:paraId="38CA5ED1" w14:textId="77777777" w:rsidR="00AE1DF7" w:rsidRPr="004B6350" w:rsidRDefault="00AE1DF7" w:rsidP="00AE1DF7">
      <w:pPr>
        <w:pStyle w:val="NormalHanging12a"/>
      </w:pPr>
      <w:r w:rsidRPr="004B6350">
        <w:t>138.</w:t>
      </w:r>
      <w:r w:rsidRPr="004B6350">
        <w:tab/>
        <w:t>atkreipia dėmesį į žiniasklaidos pranešimus, kuriuose PfE frakcija kaltinama 2024 m. antroje pusėje netinkamai panaudojusi ne mažiau kaip 171 644 EUR lėšų; pažymi, kad Parlamento administracija paprašė PfE frakcijos pateikti paaiškinimą; pažymi, kad biudžeto įvykdymą tvirtinanti institucija dar nebuvo informuota, tačiau tikisi, kad jai bus nedelsiant pranešta apie visus tolesnius pokyčius ir tolesnių administracinių veiksmų šiuo klausimu rezultatus;</w:t>
      </w:r>
    </w:p>
    <w:p w14:paraId="46A449F9" w14:textId="77777777" w:rsidR="00AE1DF7" w:rsidRPr="004B6350" w:rsidRDefault="00AE1DF7" w:rsidP="00AE1DF7">
      <w:pPr>
        <w:pStyle w:val="NormalHanging12a"/>
        <w:rPr>
          <w:bCs/>
          <w:iCs/>
        </w:rPr>
      </w:pPr>
      <w:r w:rsidRPr="004B6350">
        <w:t>139.</w:t>
      </w:r>
      <w:r w:rsidRPr="004B6350">
        <w:tab/>
        <w:t>atkreipia dėmesį į Vokietijos naujienų savaitraščio „Stern“ pranešimus, kuriuose teigiama, kad Suverenių tautų Europos frakcijos (ESN frakcija) narys surengė frakcijos kongresą, kuriame dalyvavo darbuotojai ir šeimos nariai, o galimos išlaidos buvo padengtos Parlamento biudžeto 400 punkto lėšomis, ir kad per šį renginį buvo surinktos dovanos dešiniųjų pažiūrų moterų tinklui, susijusiam su ESN frakcijos narių artimais šeimos nariais bei darbuotojais; primena, kad išlaidos pagal biudžeto 400 punktą turi būti griežtai naudojamos tik frakcijų parlamentinės veiklos tikslais, visapusiškai laikantis taikomų taisyklių; primygtinai ragina FINS GD ištirti šį atvejį ir nedelsiant informuoti biudžeto įvykdymą tvirtinančią instituciją, jei bus nustatytas reikalavimų nesilaikymas;</w:t>
      </w:r>
    </w:p>
    <w:p w14:paraId="27B6AB54" w14:textId="77777777" w:rsidR="00AE1DF7" w:rsidRPr="004B6350" w:rsidRDefault="00AE1DF7" w:rsidP="00AE1DF7">
      <w:pPr>
        <w:pStyle w:val="NormalHanging12a"/>
      </w:pPr>
      <w:r w:rsidRPr="004B6350">
        <w:t>140.</w:t>
      </w:r>
      <w:r w:rsidRPr="004B6350">
        <w:tab/>
        <w:t>primena apie frakcijoms suteiktą visą finansinę atsakomybę ir jų įsipareigojimą užtikrinti patikimą finansų valdymą, veiksmingą kontrolę ir visišką atskaitomybę už viešąsias lėšas; ragina FINS GD skirti daugiau išteklių, kad jis galėtų nustatyti tinkamus priežiūros mechanizmus;</w:t>
      </w:r>
    </w:p>
    <w:p w14:paraId="25D76F23" w14:textId="77777777" w:rsidR="00AE1DF7" w:rsidRPr="004B6350" w:rsidRDefault="00AE1DF7" w:rsidP="00AE1DF7">
      <w:pPr>
        <w:spacing w:after="240"/>
        <w:rPr>
          <w:b/>
          <w:bCs/>
          <w:i/>
          <w:iCs/>
          <w14:textOutline w14:w="0" w14:cap="flat" w14:cmpd="sng" w14:algn="ctr">
            <w14:noFill/>
            <w14:prstDash w14:val="solid"/>
            <w14:bevel/>
          </w14:textOutline>
        </w:rPr>
      </w:pPr>
      <w:r w:rsidRPr="004B6350">
        <w:rPr>
          <w:b/>
          <w:i/>
          <w14:textOutline w14:w="0" w14:cap="flat" w14:cmpd="sng" w14:algn="ctr">
            <w14:noFill/>
            <w14:prstDash w14:val="solid"/>
            <w14:bevel/>
          </w14:textOutline>
        </w:rPr>
        <w:t>Europos politinės partijos ir Europos politiniai fondai</w:t>
      </w:r>
    </w:p>
    <w:p w14:paraId="54CF5F57" w14:textId="77777777" w:rsidR="00AE1DF7" w:rsidRPr="004B6350" w:rsidRDefault="00AE1DF7" w:rsidP="00AE1DF7">
      <w:pPr>
        <w:spacing w:after="240"/>
        <w:ind w:left="567" w:hanging="567"/>
      </w:pPr>
      <w:r w:rsidRPr="004B6350">
        <w:t>141.</w:t>
      </w:r>
      <w:r w:rsidRPr="004B6350">
        <w:tab/>
        <w:t xml:space="preserve">pabrėžia, kad demokratijos vientisumo išsaugojimas ir sąžiningos aplinkos Europos politinėms partijoms ir Europos politiniams fondams sukūrimas yra nepaprastai svarbūs veiksmingam Sąjungos veikimui ir patikimumui; pažymi, kad Europos politinių partijų ir Europos politinių fondų institucija (toliau – Institucija), nepriklausoma Sąjungos įstaiga, aktyviai dalyvauja siekiant šio tikslo nuo jos įsteigimo 2016 m. rugsėjo 1 d. ir nuo 2017 m. sausio 1 d., kai ji pradėjo veikti visu pajėgumu; pažymi, kad Sąjungos teisės aktų leidėjas Institucijai paveda registruoti, stebėti, kaip laikomasi reikalavimų, ir prireikus taikyti sankcijas Europos politinėms partijoms ir Europos politiniams </w:t>
      </w:r>
      <w:r w:rsidRPr="004B6350">
        <w:lastRenderedPageBreak/>
        <w:t>fondams;</w:t>
      </w:r>
    </w:p>
    <w:p w14:paraId="32896D57" w14:textId="77777777" w:rsidR="00AE1DF7" w:rsidRPr="004B6350" w:rsidRDefault="00AE1DF7" w:rsidP="00AE1DF7">
      <w:pPr>
        <w:spacing w:after="240"/>
        <w:ind w:left="567" w:hanging="567"/>
      </w:pPr>
      <w:r w:rsidRPr="004B6350">
        <w:t>142.</w:t>
      </w:r>
      <w:r w:rsidRPr="004B6350">
        <w:tab/>
        <w:t>su pasitenkinimu pažymi, kad Institucija proaktyviai užmezgė ryšius ir didino informuotumą įstaigų ir institucijų, dalyvaujančių bendroje Europos demokratijos gynyboje, tinkle; pabrėžia, kad visų pirma Institucija bendradarbiavo su Parlamentu, kuris yra atsakingas už nepriklausomų žymių asmenų komiteto sekretoriatą, kad kuo labiau būtų padidintas procedūrų veiksmingumas; pažymi, kad bendradarbiavimas veiklos klausimais taip pat buvo sustiprintas su keliais kitais Sąjungos suinteresuotaisiais subjektais, įskaitant Europos išorės veiksmų tarnybą ir Europos duomenų apsaugos valdybą; pažymi, kad Institucija sustiprino bendradarbiavimą su Europolu pasirašydama susitarimo memorandumą dėl strateginio keitimosi informacija apie neteisėtą kišimąsi į Sąjungos demokratiją pasinaudojant kibernetine erdve;</w:t>
      </w:r>
    </w:p>
    <w:p w14:paraId="5D346930" w14:textId="77777777" w:rsidR="00AE1DF7" w:rsidRPr="004B6350" w:rsidRDefault="00AE1DF7" w:rsidP="00AE1DF7">
      <w:pPr>
        <w:spacing w:after="240"/>
        <w:ind w:left="567" w:hanging="567"/>
      </w:pPr>
      <w:r w:rsidRPr="004B6350">
        <w:t>143.</w:t>
      </w:r>
      <w:r w:rsidRPr="004B6350">
        <w:tab/>
        <w:t>atkreipia dėmesį į tai, kad 2024 m. Institucija Europos politinėms partijoms ir fondams pateikė keletą prevencinių rekomendacijų dėl atitikties reikalavimams, kad būtų galima imtis veiksmų dėl atitikties rizikos prieš jai pasireiškiant, visų pirma siekiant pagerinti jų vidaus procesus, susijusius su dovanojamu turtu, įnašais ir veikla, kurią jie planuoja organizuoti; palankiai vertina tai, kad Institucija, gavusi prašymą, taip pat pateikė gaires dėl 11 atvejų;</w:t>
      </w:r>
    </w:p>
    <w:p w14:paraId="3EB43453" w14:textId="77777777" w:rsidR="00AE1DF7" w:rsidRPr="004B6350" w:rsidRDefault="00AE1DF7" w:rsidP="00AE1DF7">
      <w:pPr>
        <w:spacing w:after="240"/>
        <w:ind w:left="567" w:hanging="567"/>
      </w:pPr>
      <w:r w:rsidRPr="004B6350">
        <w:t>144.</w:t>
      </w:r>
      <w:r w:rsidRPr="004B6350">
        <w:tab/>
        <w:t>pažymi, kad Institucija aštuoniais atvejais suteikė Europos politinėms partijoms ir Europos politiniams fondams galimybę imtis taisomųjų priemonių, susijusių su finansinės atitikties kontrolės priemonėmis draudžiamo dovanojamo turto srityje ir kitų subjektų finansavimo bendros veiklos aplinkybėmis atvejais; palankiai vertina tai, kad Institucija toliau stebės, ar ilgalaikį poveikį turinčios taisomosios priemonės užtikrina ilgalaikę atitiktį atitinkamose srityse; pažymi, kad 2024 m. Institucija priėmė vieną sprendimą dėl sankcijų;</w:t>
      </w:r>
    </w:p>
    <w:p w14:paraId="22481E7C" w14:textId="77777777" w:rsidR="00AE1DF7" w:rsidRPr="004B6350" w:rsidRDefault="00AE1DF7" w:rsidP="00AE1DF7">
      <w:pPr>
        <w:spacing w:after="240"/>
        <w:ind w:left="567" w:hanging="567"/>
      </w:pPr>
      <w:r w:rsidRPr="004B6350">
        <w:t>145.</w:t>
      </w:r>
      <w:r w:rsidRPr="004B6350">
        <w:tab/>
        <w:t>palankiai vertina tai, kad Institucija savo interneto svetainėje taip pat toliau skelbė išsamias gaires, kuriose nurodomos dažniausiai nustatytos rizikos sritys ir galimai problemiškos Europos politinių partijų ir Europos politinių fondų valdymo struktūros; palankiai vertina tai, kad ji taip pat pranešė savo nustatytus faktus ir bendrojo intereso gaires visoms Europos politinėms partijoms ir Europos politiniams fondams;</w:t>
      </w:r>
    </w:p>
    <w:p w14:paraId="43C635B7" w14:textId="77777777" w:rsidR="00AE1DF7" w:rsidRPr="004B6350" w:rsidRDefault="00AE1DF7" w:rsidP="00AE1DF7">
      <w:pPr>
        <w:spacing w:after="240"/>
        <w:ind w:left="567" w:hanging="567"/>
      </w:pPr>
      <w:r w:rsidRPr="004B6350">
        <w:t>146.</w:t>
      </w:r>
      <w:r w:rsidRPr="004B6350">
        <w:tab/>
        <w:t>palankiai vertina tai, kad paskelbtas Europos Parlamento ir Tarybos reglamentas (ES, Euratomas) 2025/2445</w:t>
      </w:r>
      <w:r w:rsidRPr="004B6350">
        <w:rPr>
          <w:rStyle w:val="FootnoteReference"/>
        </w:rPr>
        <w:footnoteReference w:id="12"/>
      </w:r>
      <w:r w:rsidRPr="004B6350">
        <w:t xml:space="preserve">, kuriuo pradedami taikyti nauji reikalavimai Europos politinėms partijoms ir Europos politiniams fondams siekiant stiprinti demokratijos vientisumą ir atsparumą; ypač pabrėžia, kad Europos politinės partijos dabar taip pat turi užtikrinti, kad jų narėmis esančios partijos, o Europos politiniai fondai – kad jų narėmis esančios organizacijos laikytųsi vertybių, kuriomis grindžiama Sąjunga ir kurios įtvirtintos ES sutarties 2 straipsnyje; be to, pažymi, kad buvo sustiprintos apsaugos priemonės nuo užsienio kišimosi ir kad pagal peržiūrėtą sankcijų sistemą už kiekybiškai įvertinamus pažeidimus, pavyzdžiui, turto dovanojimo taisyklių ar draudimo teikti finansavimą nacionalinėms partijoms pažeidimus, turi būti skiriamos sankcijos, nesuteikiant galimybės imtis taisomųjų priemonių; šiuo atžvilgiu teigiamai vertina išsamias prevencines gaires, kurias Institucija pateikia savo Atitikties reguliavimo normoms </w:t>
      </w:r>
      <w:r w:rsidRPr="004B6350">
        <w:lastRenderedPageBreak/>
        <w:t>veiksmų plane, siekdama sudaryti palankesnes sąlygas sklandžiam ir veiksmingam įgyvendinimui;</w:t>
      </w:r>
      <w:r w:rsidRPr="004B6350">
        <w:rPr>
          <w:b/>
        </w:rPr>
        <w:t xml:space="preserve"> </w:t>
      </w:r>
      <w:r w:rsidRPr="004B6350">
        <w:t>pritaria sprendimui įvesti tinkamumo patikras ir narių organizacijose, siekiant užtikrinti, kad narių organizacijos taip pat visapusiškai laikytųsi SESV 2 straipsnyje nustatytų vertybių, ir išlaikyti demokratijos vientisumą skiriant Parlamento finansavimą Europos politinėms partijoms;</w:t>
      </w:r>
    </w:p>
    <w:p w14:paraId="26078FF0" w14:textId="77777777" w:rsidR="00AE1DF7" w:rsidRPr="004B6350" w:rsidRDefault="00AE1DF7" w:rsidP="00AE1DF7">
      <w:pPr>
        <w:spacing w:after="240"/>
        <w:ind w:left="567" w:hanging="567"/>
      </w:pPr>
      <w:r w:rsidRPr="004B6350">
        <w:t>147.</w:t>
      </w:r>
      <w:r w:rsidRPr="004B6350">
        <w:tab/>
        <w:t>pažymi, kad Institucija gali inicijuoti vertybių, kuriomis grindžiama Sąjunga, laikymosi patikrinimą tik gavusi Parlamento, Tarybos arba Komisijos pateiktą prašymą;</w:t>
      </w:r>
    </w:p>
    <w:p w14:paraId="0B29B798" w14:textId="77777777" w:rsidR="00AE1DF7" w:rsidRPr="004B6350" w:rsidRDefault="00AE1DF7" w:rsidP="00AE1DF7">
      <w:pPr>
        <w:spacing w:after="240"/>
        <w:ind w:left="567" w:hanging="567"/>
        <w:rPr>
          <w:u w:val="single"/>
        </w:rPr>
      </w:pPr>
      <w:r w:rsidRPr="004B6350">
        <w:t>148.</w:t>
      </w:r>
      <w:r w:rsidRPr="004B6350">
        <w:tab/>
        <w:t>pabrėžia, kad, atsižvelgiant į išplėstą vertybių tikrinimo procedūros, kuri dabar taip pat taikoma narėmis esančioms partijoms ir narėmis esančioms organizacijoms, aprėptį ir kitas naujoves, numatytas Reglamente (ES, Euratomas) 2025/2445, įskaitant palankiai vertinamus patobulinimus, skirtus Europos demokratijai apsaugoti nuo užsienio kišimosi, būtina atitinkamai sustiprinti Institucijos žmogiškuosius išteklius;</w:t>
      </w:r>
    </w:p>
    <w:bookmarkEnd w:id="11"/>
    <w:p w14:paraId="5A74E7AE" w14:textId="77777777" w:rsidR="00AE1DF7" w:rsidRPr="004B6350" w:rsidRDefault="00AE1DF7" w:rsidP="00AE1DF7">
      <w:pPr>
        <w:spacing w:after="240"/>
        <w:ind w:left="567" w:hanging="567"/>
      </w:pPr>
      <w:r w:rsidRPr="004B6350">
        <w:rPr>
          <w14:textOutline w14:w="0" w14:cap="flat" w14:cmpd="sng" w14:algn="ctr">
            <w14:noFill/>
            <w14:prstDash w14:val="solid"/>
            <w14:bevel/>
          </w14:textOutline>
        </w:rPr>
        <w:t>149</w:t>
      </w:r>
      <w:r w:rsidRPr="004B6350">
        <w:t>.</w:t>
      </w:r>
      <w:r w:rsidRPr="004B6350">
        <w:rPr>
          <w14:textOutline w14:w="0" w14:cap="flat" w14:cmpd="sng" w14:algn="ctr">
            <w14:noFill/>
            <w14:prstDash w14:val="solid"/>
            <w14:bevel/>
          </w14:textOutline>
        </w:rPr>
        <w:tab/>
        <w:t>pažymi, kad 2024 m. į biudžeto 402 punktą įrašyti asignavimai buvo panaudoti, kaip nurodyta toliau</w:t>
      </w:r>
      <w:r w:rsidRPr="004B6350">
        <w:rPr>
          <w:rStyle w:val="FootnoteReference"/>
        </w:rPr>
        <w:footnoteReference w:id="13"/>
      </w:r>
      <w:r w:rsidRPr="004B6350">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AE1DF7" w:rsidRPr="004B6350" w14:paraId="62070A2A" w14:textId="77777777" w:rsidTr="00342C0E">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1E8F785"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Partija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16C8613"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Santrumpa</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B608228"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Nuosavi ištekliai</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06E3117"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EP galutinis įnašas</w:t>
            </w:r>
            <w:r w:rsidRPr="004B6350">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E5E233C"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Pajamos, iš viso</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C7A9396"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EP įnašui tenkanti kompensuotinų išlaidų procentinė dalis (iki 90 proc.)</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557C8C5A"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Specialus rezervas po 2024 m.</w:t>
            </w:r>
          </w:p>
          <w:p w14:paraId="26212EA4"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sąskaitų uždarymo</w:t>
            </w:r>
            <w:r w:rsidRPr="004B6350">
              <w:rPr>
                <w:rStyle w:val="FootnoteReference"/>
                <w:sz w:val="20"/>
              </w:rPr>
              <w:footnoteReference w:id="15"/>
            </w:r>
          </w:p>
        </w:tc>
      </w:tr>
      <w:tr w:rsidR="00AE1DF7" w:rsidRPr="004B6350" w14:paraId="30807C00" w14:textId="77777777" w:rsidTr="00342C0E">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31DDD20"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Europos liaudies partija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BB8F5BB"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B7F05C"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8CC2C6"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191F77"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D8E3B0"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4A3870B"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261 623</w:t>
            </w:r>
          </w:p>
        </w:tc>
      </w:tr>
      <w:tr w:rsidR="00AE1DF7" w:rsidRPr="004B6350" w14:paraId="3A92E90A" w14:textId="77777777" w:rsidTr="00342C0E">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C21DF05"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Europos socialistų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A75A68C"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8319A2"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7B2E59"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ADE5A5"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4FD890"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233DC30"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987 745</w:t>
            </w:r>
          </w:p>
        </w:tc>
      </w:tr>
      <w:tr w:rsidR="00AE1DF7" w:rsidRPr="004B6350" w14:paraId="4424F2C4" w14:textId="77777777" w:rsidTr="00342C0E">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103090A"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Liberalų ir demokratų aljansas už Europą</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7E8764"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D1D0175"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CDE88D"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5F5D96"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9620B3"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D7171BB"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414 768</w:t>
            </w:r>
          </w:p>
        </w:tc>
      </w:tr>
      <w:tr w:rsidR="00AE1DF7" w:rsidRPr="004B6350" w14:paraId="5C34DCFA" w14:textId="77777777" w:rsidTr="00342C0E">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8822F41"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Europos žaliųjų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5BB997"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Verts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EB9BAF"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C093DE"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F578E6"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2BF3D0"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2352763"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993 646</w:t>
            </w:r>
          </w:p>
        </w:tc>
      </w:tr>
      <w:tr w:rsidR="00AE1DF7" w:rsidRPr="004B6350" w14:paraId="491D27D2" w14:textId="77777777" w:rsidTr="00342C0E">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30E3EC1"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Europos konservatorių ir reformuotojų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48A6D73"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ECR partija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D9587A7"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81F851"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2035C9"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BBC2B52"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CD6D7AF"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-273 939</w:t>
            </w:r>
          </w:p>
        </w:tc>
      </w:tr>
      <w:tr w:rsidR="00AE1DF7" w:rsidRPr="004B6350" w14:paraId="69E56986" w14:textId="77777777" w:rsidTr="00342C0E">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E8D758F"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Identiteto ir demokratijos partija</w:t>
            </w:r>
            <w:r w:rsidRPr="004B6350">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E3D9BA"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ID partija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2461E7"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CCB0A3"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A12F42"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9EF335"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2E51863"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22 063</w:t>
            </w:r>
          </w:p>
        </w:tc>
      </w:tr>
      <w:tr w:rsidR="00AE1DF7" w:rsidRPr="004B6350" w14:paraId="4FDD8254" w14:textId="77777777" w:rsidTr="00342C0E">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10E3889"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Europos kairiųjų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9BA71A"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66674A"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95495E"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2C5990"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74CEEB"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832CC88"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-42 833</w:t>
            </w:r>
          </w:p>
        </w:tc>
      </w:tr>
      <w:tr w:rsidR="00AE1DF7" w:rsidRPr="004B6350" w14:paraId="4943F807" w14:textId="77777777" w:rsidTr="00342C0E">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FDDB358"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lastRenderedPageBreak/>
              <w:t>Europos demokratų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362735"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8B205A"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64FF87"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ABA800"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58C631"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8B8167F"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154 132</w:t>
            </w:r>
          </w:p>
        </w:tc>
      </w:tr>
      <w:tr w:rsidR="00AE1DF7" w:rsidRPr="004B6350" w14:paraId="65621FA4" w14:textId="77777777" w:rsidTr="00342C0E">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F8F01FA"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Europos laisvasis aljansas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C4BC111"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3A7C92"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C9CD3E"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D3CC6C"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55F950"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44A6719"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-7 391</w:t>
            </w:r>
          </w:p>
        </w:tc>
      </w:tr>
      <w:tr w:rsidR="00AE1DF7" w:rsidRPr="004B6350" w14:paraId="512797FB" w14:textId="77777777" w:rsidTr="00342C0E">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0064D6A3"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Europos krikščionių politinis judėjimas</w:t>
            </w:r>
            <w:r w:rsidRPr="004B6350">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78AC896"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3E0420"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311B7E"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6F85868"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64915C"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D2936CA"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rPr>
              <w:t>-59 624</w:t>
            </w:r>
          </w:p>
        </w:tc>
      </w:tr>
      <w:tr w:rsidR="00AE1DF7" w:rsidRPr="004B6350" w14:paraId="6327BBC0" w14:textId="77777777" w:rsidTr="00342C0E">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6FE65A7"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b/>
                <w:sz w:val="20"/>
                <w14:textOutline w14:w="0" w14:cap="flat" w14:cmpd="sng" w14:algn="ctr">
                  <w14:noFill/>
                  <w14:prstDash w14:val="solid"/>
                  <w14:bevel/>
                </w14:textOutline>
              </w:rPr>
              <w:t>IŠ VISO</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88E9FF9" w14:textId="77777777" w:rsidR="00AE1DF7" w:rsidRPr="004B6350" w:rsidRDefault="00AE1DF7" w:rsidP="00342C0E">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329BC0F1" w14:textId="77777777" w:rsidR="00AE1DF7" w:rsidRPr="004B6350" w:rsidRDefault="00AE1DF7" w:rsidP="00342C0E">
            <w:pPr>
              <w:jc w:val="center"/>
              <w:rPr>
                <w:b/>
                <w:bCs/>
                <w:sz w:val="22"/>
                <w:szCs w:val="22"/>
              </w:rPr>
            </w:pPr>
            <w:r w:rsidRPr="004B6350">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C459AD8" w14:textId="77777777" w:rsidR="00AE1DF7" w:rsidRPr="004B6350" w:rsidRDefault="00AE1DF7" w:rsidP="00342C0E">
            <w:pPr>
              <w:jc w:val="center"/>
              <w:rPr>
                <w:b/>
                <w:bCs/>
                <w:sz w:val="22"/>
                <w:szCs w:val="22"/>
              </w:rPr>
            </w:pPr>
            <w:r w:rsidRPr="004B6350">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5521A46" w14:textId="77777777" w:rsidR="00AE1DF7" w:rsidRPr="004B6350" w:rsidRDefault="00AE1DF7" w:rsidP="00342C0E">
            <w:pPr>
              <w:jc w:val="center"/>
              <w:rPr>
                <w:b/>
                <w:bCs/>
                <w:sz w:val="22"/>
                <w:szCs w:val="22"/>
              </w:rPr>
            </w:pPr>
            <w:r w:rsidRPr="004B6350">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29C6C60C" w14:textId="77777777" w:rsidR="00AE1DF7" w:rsidRPr="004B6350" w:rsidRDefault="00AE1DF7" w:rsidP="00342C0E">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49A8934D" w14:textId="77777777" w:rsidR="00AE1DF7" w:rsidRPr="004B6350" w:rsidRDefault="00AE1DF7" w:rsidP="00342C0E">
            <w:pPr>
              <w:jc w:val="center"/>
              <w:rPr>
                <w:b/>
              </w:rPr>
            </w:pPr>
            <w:r w:rsidRPr="004B6350">
              <w:rPr>
                <w:b/>
                <w:sz w:val="20"/>
              </w:rPr>
              <w:t>2 450 191</w:t>
            </w:r>
          </w:p>
        </w:tc>
      </w:tr>
    </w:tbl>
    <w:p w14:paraId="065A993C" w14:textId="77777777" w:rsidR="00AE1DF7" w:rsidRPr="004B6350" w:rsidRDefault="00AE1DF7" w:rsidP="00AE1DF7"/>
    <w:p w14:paraId="5CB53629" w14:textId="77777777" w:rsidR="00AE1DF7" w:rsidRPr="004B6350" w:rsidRDefault="00AE1DF7" w:rsidP="00AE1DF7">
      <w:pPr>
        <w:spacing w:after="240"/>
        <w:ind w:left="567" w:hanging="567"/>
        <w:rPr>
          <w:szCs w:val="24"/>
          <w14:textOutline w14:w="0" w14:cap="flat" w14:cmpd="sng" w14:algn="ctr">
            <w14:noFill/>
            <w14:prstDash w14:val="solid"/>
            <w14:bevel/>
          </w14:textOutline>
        </w:rPr>
      </w:pPr>
      <w:r w:rsidRPr="004B6350">
        <w:rPr>
          <w14:textOutline w14:w="0" w14:cap="flat" w14:cmpd="sng" w14:algn="ctr">
            <w14:noFill/>
            <w14:prstDash w14:val="solid"/>
            <w14:bevel/>
          </w14:textOutline>
        </w:rPr>
        <w:t>150</w:t>
      </w:r>
      <w:r w:rsidRPr="004B6350">
        <w:t>.</w:t>
      </w:r>
      <w:r w:rsidRPr="004B6350">
        <w:rPr>
          <w14:textOutline w14:w="0" w14:cap="flat" w14:cmpd="sng" w14:algn="ctr">
            <w14:noFill/>
            <w14:prstDash w14:val="solid"/>
            <w14:bevel/>
          </w14:textOutline>
        </w:rPr>
        <w:tab/>
        <w:t>pažymi, kad 2024 m. į biudžeto 403 punktą įrašyti asignavimai buvo panaudoti, kaip nurodyta toliau</w:t>
      </w:r>
      <w:r w:rsidRPr="004B6350">
        <w:rPr>
          <w:rStyle w:val="FootnoteReference"/>
        </w:rPr>
        <w:footnoteReference w:id="18"/>
      </w:r>
      <w:r w:rsidRPr="004B6350">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AE1DF7" w:rsidRPr="004B6350" w14:paraId="3A68391E" w14:textId="77777777" w:rsidTr="00342C0E">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EEBB8E8"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Fondas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4217958"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Santrumpa</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338EF60"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Susijęs su partija</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A43F784"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Nuosavi ištekliai</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C7B3AEE"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EP galutinė dotacija</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E9063DF"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Pajamos, iš viso</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45450AF"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EP dotacijai tenkanti tinkamų finansuoti išlaidų procentinė dalis (iki 95 proc.)</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21A807FE"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rPr>
                <w:sz w:val="20"/>
                <w14:textOutline w14:w="0" w14:cap="flat" w14:cmpd="sng" w14:algn="ctr">
                  <w14:noFill/>
                  <w14:prstDash w14:val="solid"/>
                  <w14:bevel/>
                </w14:textOutline>
              </w:rPr>
              <w:t>Specialus rezervas po 2024 m.</w:t>
            </w:r>
          </w:p>
          <w:p w14:paraId="46475A83" w14:textId="77777777" w:rsidR="00AE1DF7" w:rsidRPr="004B6350" w:rsidRDefault="00AE1DF7" w:rsidP="00342C0E">
            <w:pPr>
              <w:widowControl/>
              <w:jc w:val="center"/>
              <w:rPr>
                <w:szCs w:val="24"/>
                <w14:textOutline w14:w="0" w14:cap="flat" w14:cmpd="sng" w14:algn="ctr">
                  <w14:noFill/>
                  <w14:prstDash w14:val="solid"/>
                  <w14:bevel/>
                </w14:textOutline>
              </w:rPr>
            </w:pPr>
            <w:r w:rsidRPr="004B6350">
              <w:rPr>
                <w:sz w:val="20"/>
                <w14:textOutline w14:w="0" w14:cap="flat" w14:cmpd="sng" w14:algn="ctr">
                  <w14:noFill/>
                  <w14:prstDash w14:val="solid"/>
                  <w14:bevel/>
                </w14:textOutline>
              </w:rPr>
              <w:t>sąskaitų uždarymo</w:t>
            </w:r>
            <w:r w:rsidRPr="004B6350">
              <w:rPr>
                <w:rStyle w:val="FootnoteReference"/>
                <w:sz w:val="20"/>
              </w:rPr>
              <w:footnoteReference w:id="19"/>
            </w:r>
          </w:p>
        </w:tc>
      </w:tr>
      <w:tr w:rsidR="00AE1DF7" w:rsidRPr="004B6350" w14:paraId="760D951F" w14:textId="77777777" w:rsidTr="00342C0E">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B641275"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t>Wilfriedo Martenso Europos studijų centras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24F52F" w14:textId="77777777" w:rsidR="00AE1DF7" w:rsidRPr="004B6350" w:rsidRDefault="00AE1DF7" w:rsidP="00342C0E">
            <w:pPr>
              <w:jc w:val="center"/>
              <w:rPr>
                <w:sz w:val="20"/>
              </w:rPr>
            </w:pPr>
            <w:r w:rsidRPr="004B6350">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DEEE60" w14:textId="77777777" w:rsidR="00AE1DF7" w:rsidRPr="004B6350" w:rsidRDefault="00AE1DF7" w:rsidP="00342C0E">
            <w:pPr>
              <w:jc w:val="center"/>
              <w:rPr>
                <w:sz w:val="20"/>
              </w:rPr>
            </w:pPr>
            <w:r w:rsidRPr="004B6350">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6BE510" w14:textId="77777777" w:rsidR="00AE1DF7" w:rsidRPr="004B6350" w:rsidRDefault="00AE1DF7" w:rsidP="00342C0E">
            <w:pPr>
              <w:jc w:val="center"/>
              <w:rPr>
                <w:sz w:val="20"/>
              </w:rPr>
            </w:pPr>
            <w:r w:rsidRPr="004B6350">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E3F9152" w14:textId="77777777" w:rsidR="00AE1DF7" w:rsidRPr="004B6350" w:rsidRDefault="00AE1DF7" w:rsidP="00342C0E">
            <w:pPr>
              <w:jc w:val="center"/>
              <w:rPr>
                <w:sz w:val="20"/>
              </w:rPr>
            </w:pPr>
            <w:r w:rsidRPr="004B6350">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7B6D007" w14:textId="77777777" w:rsidR="00AE1DF7" w:rsidRPr="004B6350" w:rsidRDefault="00AE1DF7" w:rsidP="00342C0E">
            <w:pPr>
              <w:jc w:val="center"/>
              <w:rPr>
                <w:sz w:val="20"/>
              </w:rPr>
            </w:pPr>
            <w:r w:rsidRPr="004B6350">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578332" w14:textId="77777777" w:rsidR="00AE1DF7" w:rsidRPr="004B6350" w:rsidRDefault="00AE1DF7" w:rsidP="00342C0E">
            <w:pPr>
              <w:jc w:val="center"/>
              <w:rPr>
                <w:sz w:val="20"/>
              </w:rPr>
            </w:pPr>
            <w:r w:rsidRPr="004B6350">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750E928" w14:textId="77777777" w:rsidR="00AE1DF7" w:rsidRPr="004B6350" w:rsidRDefault="00AE1DF7" w:rsidP="00342C0E">
            <w:pPr>
              <w:jc w:val="center"/>
              <w:rPr>
                <w:sz w:val="20"/>
              </w:rPr>
            </w:pPr>
            <w:r w:rsidRPr="004B6350">
              <w:rPr>
                <w:sz w:val="20"/>
              </w:rPr>
              <w:t>1 320 717</w:t>
            </w:r>
          </w:p>
        </w:tc>
      </w:tr>
      <w:tr w:rsidR="00AE1DF7" w:rsidRPr="004B6350" w14:paraId="33BE52E0" w14:textId="77777777" w:rsidTr="00342C0E">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21EAE31"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t>Europos pažangiųjų tyrimų fondas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0D3EE0" w14:textId="77777777" w:rsidR="00AE1DF7" w:rsidRPr="004B6350" w:rsidRDefault="00AE1DF7" w:rsidP="00342C0E">
            <w:pPr>
              <w:jc w:val="center"/>
              <w:rPr>
                <w:sz w:val="20"/>
              </w:rPr>
            </w:pPr>
            <w:r w:rsidRPr="004B6350">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32169C" w14:textId="77777777" w:rsidR="00AE1DF7" w:rsidRPr="004B6350" w:rsidRDefault="00AE1DF7" w:rsidP="00342C0E">
            <w:pPr>
              <w:jc w:val="center"/>
              <w:rPr>
                <w:sz w:val="20"/>
              </w:rPr>
            </w:pPr>
            <w:r w:rsidRPr="004B6350">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59A1332" w14:textId="77777777" w:rsidR="00AE1DF7" w:rsidRPr="004B6350" w:rsidRDefault="00AE1DF7" w:rsidP="00342C0E">
            <w:pPr>
              <w:jc w:val="center"/>
              <w:rPr>
                <w:sz w:val="20"/>
              </w:rPr>
            </w:pPr>
            <w:r w:rsidRPr="004B6350">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2DF4BAB" w14:textId="77777777" w:rsidR="00AE1DF7" w:rsidRPr="004B6350" w:rsidRDefault="00AE1DF7" w:rsidP="00342C0E">
            <w:pPr>
              <w:jc w:val="center"/>
              <w:rPr>
                <w:sz w:val="20"/>
              </w:rPr>
            </w:pPr>
            <w:r w:rsidRPr="004B6350">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B66A52E" w14:textId="77777777" w:rsidR="00AE1DF7" w:rsidRPr="004B6350" w:rsidRDefault="00AE1DF7" w:rsidP="00342C0E">
            <w:pPr>
              <w:jc w:val="center"/>
              <w:rPr>
                <w:sz w:val="20"/>
              </w:rPr>
            </w:pPr>
            <w:r w:rsidRPr="004B6350">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DBA92E" w14:textId="77777777" w:rsidR="00AE1DF7" w:rsidRPr="004B6350" w:rsidRDefault="00AE1DF7" w:rsidP="00342C0E">
            <w:pPr>
              <w:jc w:val="center"/>
              <w:rPr>
                <w:sz w:val="20"/>
              </w:rPr>
            </w:pPr>
            <w:r w:rsidRPr="004B6350">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4F630E3" w14:textId="77777777" w:rsidR="00AE1DF7" w:rsidRPr="004B6350" w:rsidRDefault="00AE1DF7" w:rsidP="00342C0E">
            <w:pPr>
              <w:jc w:val="center"/>
              <w:rPr>
                <w:sz w:val="20"/>
              </w:rPr>
            </w:pPr>
            <w:r w:rsidRPr="004B6350">
              <w:rPr>
                <w:sz w:val="20"/>
              </w:rPr>
              <w:t>251 466</w:t>
            </w:r>
          </w:p>
        </w:tc>
      </w:tr>
      <w:tr w:rsidR="00AE1DF7" w:rsidRPr="004B6350" w14:paraId="6A5E88C8" w14:textId="77777777" w:rsidTr="00342C0E">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77E301F"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t>Europos liberalų forumas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08D973" w14:textId="77777777" w:rsidR="00AE1DF7" w:rsidRPr="004B6350" w:rsidRDefault="00AE1DF7" w:rsidP="00342C0E">
            <w:pPr>
              <w:jc w:val="center"/>
              <w:rPr>
                <w:sz w:val="20"/>
              </w:rPr>
            </w:pPr>
            <w:r w:rsidRPr="004B6350">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18ACF7F" w14:textId="77777777" w:rsidR="00AE1DF7" w:rsidRPr="004B6350" w:rsidRDefault="00AE1DF7" w:rsidP="00342C0E">
            <w:pPr>
              <w:jc w:val="center"/>
              <w:rPr>
                <w:sz w:val="20"/>
              </w:rPr>
            </w:pPr>
            <w:r w:rsidRPr="004B6350">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46EFE3" w14:textId="77777777" w:rsidR="00AE1DF7" w:rsidRPr="004B6350" w:rsidRDefault="00AE1DF7" w:rsidP="00342C0E">
            <w:pPr>
              <w:jc w:val="center"/>
              <w:rPr>
                <w:sz w:val="20"/>
              </w:rPr>
            </w:pPr>
            <w:r w:rsidRPr="004B6350">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D6DAC82" w14:textId="77777777" w:rsidR="00AE1DF7" w:rsidRPr="004B6350" w:rsidRDefault="00AE1DF7" w:rsidP="00342C0E">
            <w:pPr>
              <w:jc w:val="center"/>
              <w:rPr>
                <w:sz w:val="20"/>
              </w:rPr>
            </w:pPr>
            <w:r w:rsidRPr="004B6350">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37FE2C1" w14:textId="77777777" w:rsidR="00AE1DF7" w:rsidRPr="004B6350" w:rsidRDefault="00AE1DF7" w:rsidP="00342C0E">
            <w:pPr>
              <w:jc w:val="center"/>
              <w:rPr>
                <w:sz w:val="20"/>
              </w:rPr>
            </w:pPr>
            <w:r w:rsidRPr="004B6350">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2AAC53" w14:textId="77777777" w:rsidR="00AE1DF7" w:rsidRPr="004B6350" w:rsidRDefault="00AE1DF7" w:rsidP="00342C0E">
            <w:pPr>
              <w:jc w:val="center"/>
              <w:rPr>
                <w:sz w:val="20"/>
              </w:rPr>
            </w:pPr>
            <w:r w:rsidRPr="004B6350">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C21DE6A" w14:textId="77777777" w:rsidR="00AE1DF7" w:rsidRPr="004B6350" w:rsidRDefault="00AE1DF7" w:rsidP="00342C0E">
            <w:pPr>
              <w:jc w:val="center"/>
              <w:rPr>
                <w:sz w:val="20"/>
              </w:rPr>
            </w:pPr>
            <w:r w:rsidRPr="004B6350">
              <w:rPr>
                <w:sz w:val="20"/>
              </w:rPr>
              <w:t>638 880</w:t>
            </w:r>
          </w:p>
        </w:tc>
      </w:tr>
      <w:tr w:rsidR="00AE1DF7" w:rsidRPr="004B6350" w14:paraId="51A0F205" w14:textId="77777777" w:rsidTr="00342C0E">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7B25FA9"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t>Žaliasis Europos fondas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0CABAA" w14:textId="77777777" w:rsidR="00AE1DF7" w:rsidRPr="004B6350" w:rsidRDefault="00AE1DF7" w:rsidP="00342C0E">
            <w:pPr>
              <w:jc w:val="center"/>
              <w:rPr>
                <w:sz w:val="20"/>
              </w:rPr>
            </w:pPr>
            <w:r w:rsidRPr="004B6350">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E22675B" w14:textId="77777777" w:rsidR="00AE1DF7" w:rsidRPr="004B6350" w:rsidRDefault="00AE1DF7" w:rsidP="00342C0E">
            <w:pPr>
              <w:jc w:val="center"/>
              <w:rPr>
                <w:sz w:val="20"/>
              </w:rPr>
            </w:pPr>
            <w:r w:rsidRPr="004B6350">
              <w:rPr>
                <w:sz w:val="20"/>
              </w:rPr>
              <w:t>Verts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E3FCA8" w14:textId="77777777" w:rsidR="00AE1DF7" w:rsidRPr="004B6350" w:rsidRDefault="00AE1DF7" w:rsidP="00342C0E">
            <w:pPr>
              <w:jc w:val="center"/>
              <w:rPr>
                <w:sz w:val="20"/>
              </w:rPr>
            </w:pPr>
            <w:r w:rsidRPr="004B6350">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D607068" w14:textId="77777777" w:rsidR="00AE1DF7" w:rsidRPr="004B6350" w:rsidRDefault="00AE1DF7" w:rsidP="00342C0E">
            <w:pPr>
              <w:jc w:val="center"/>
              <w:rPr>
                <w:sz w:val="20"/>
              </w:rPr>
            </w:pPr>
            <w:r w:rsidRPr="004B6350">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7C5022C" w14:textId="77777777" w:rsidR="00AE1DF7" w:rsidRPr="004B6350" w:rsidRDefault="00AE1DF7" w:rsidP="00342C0E">
            <w:pPr>
              <w:jc w:val="center"/>
              <w:rPr>
                <w:sz w:val="20"/>
              </w:rPr>
            </w:pPr>
            <w:r w:rsidRPr="004B6350">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BF13B43" w14:textId="77777777" w:rsidR="00AE1DF7" w:rsidRPr="004B6350" w:rsidRDefault="00AE1DF7" w:rsidP="00342C0E">
            <w:pPr>
              <w:jc w:val="center"/>
              <w:rPr>
                <w:sz w:val="20"/>
              </w:rPr>
            </w:pPr>
            <w:r w:rsidRPr="004B6350">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07B34AF" w14:textId="77777777" w:rsidR="00AE1DF7" w:rsidRPr="004B6350" w:rsidRDefault="00AE1DF7" w:rsidP="00342C0E">
            <w:pPr>
              <w:jc w:val="center"/>
              <w:rPr>
                <w:sz w:val="20"/>
              </w:rPr>
            </w:pPr>
            <w:r w:rsidRPr="004B6350">
              <w:rPr>
                <w:sz w:val="20"/>
              </w:rPr>
              <w:t>40 821</w:t>
            </w:r>
          </w:p>
        </w:tc>
      </w:tr>
      <w:tr w:rsidR="00AE1DF7" w:rsidRPr="004B6350" w14:paraId="51DA9134" w14:textId="77777777" w:rsidTr="00342C0E">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671787E"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t xml:space="preserve">Europos reformų fondas „New </w:t>
            </w:r>
            <w:r w:rsidRPr="004B6350">
              <w:lastRenderedPageBreak/>
              <w:t>Direction“</w:t>
            </w:r>
            <w:r w:rsidRPr="004B6350">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2848F8" w14:textId="77777777" w:rsidR="00AE1DF7" w:rsidRPr="004B6350" w:rsidRDefault="00AE1DF7" w:rsidP="00342C0E">
            <w:pPr>
              <w:jc w:val="center"/>
              <w:rPr>
                <w:sz w:val="20"/>
              </w:rPr>
            </w:pPr>
            <w:r w:rsidRPr="004B6350">
              <w:rPr>
                <w:sz w:val="20"/>
              </w:rPr>
              <w:lastRenderedPageBreak/>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6845213" w14:textId="77777777" w:rsidR="00AE1DF7" w:rsidRPr="004B6350" w:rsidRDefault="00AE1DF7" w:rsidP="00342C0E">
            <w:pPr>
              <w:jc w:val="center"/>
              <w:rPr>
                <w:sz w:val="20"/>
              </w:rPr>
            </w:pPr>
            <w:r w:rsidRPr="004B6350">
              <w:rPr>
                <w:sz w:val="20"/>
              </w:rPr>
              <w:t>ECR partija</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4D5FAB" w14:textId="77777777" w:rsidR="00AE1DF7" w:rsidRPr="004B6350" w:rsidRDefault="00AE1DF7" w:rsidP="00342C0E">
            <w:pPr>
              <w:jc w:val="center"/>
              <w:rPr>
                <w:sz w:val="20"/>
              </w:rPr>
            </w:pPr>
            <w:r w:rsidRPr="004B6350">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5C08DF" w14:textId="77777777" w:rsidR="00AE1DF7" w:rsidRPr="004B6350" w:rsidRDefault="00AE1DF7" w:rsidP="00342C0E">
            <w:pPr>
              <w:jc w:val="center"/>
              <w:rPr>
                <w:sz w:val="20"/>
              </w:rPr>
            </w:pPr>
            <w:r w:rsidRPr="004B6350">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1CD467A" w14:textId="77777777" w:rsidR="00AE1DF7" w:rsidRPr="004B6350" w:rsidRDefault="00AE1DF7" w:rsidP="00342C0E">
            <w:pPr>
              <w:jc w:val="center"/>
              <w:rPr>
                <w:sz w:val="20"/>
              </w:rPr>
            </w:pPr>
            <w:r w:rsidRPr="004B6350">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158CA3" w14:textId="77777777" w:rsidR="00AE1DF7" w:rsidRPr="004B6350" w:rsidRDefault="00AE1DF7" w:rsidP="00342C0E">
            <w:pPr>
              <w:jc w:val="center"/>
              <w:rPr>
                <w:sz w:val="20"/>
              </w:rPr>
            </w:pPr>
            <w:r w:rsidRPr="004B6350">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4C12CA6" w14:textId="77777777" w:rsidR="00AE1DF7" w:rsidRPr="004B6350" w:rsidRDefault="00AE1DF7" w:rsidP="00342C0E">
            <w:pPr>
              <w:jc w:val="center"/>
              <w:rPr>
                <w:sz w:val="20"/>
              </w:rPr>
            </w:pPr>
            <w:r w:rsidRPr="004B6350">
              <w:rPr>
                <w:sz w:val="20"/>
              </w:rPr>
              <w:t>134 704</w:t>
            </w:r>
          </w:p>
        </w:tc>
      </w:tr>
      <w:tr w:rsidR="00AE1DF7" w:rsidRPr="004B6350" w14:paraId="2369C692" w14:textId="77777777" w:rsidTr="00342C0E">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9015ADF"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t>Fondas „Identité et Démocratie Fondation“</w:t>
            </w:r>
            <w:r w:rsidRPr="004B6350">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07F4D4" w14:textId="77777777" w:rsidR="00AE1DF7" w:rsidRPr="004B6350" w:rsidRDefault="00AE1DF7" w:rsidP="00342C0E">
            <w:pPr>
              <w:jc w:val="center"/>
              <w:rPr>
                <w:sz w:val="20"/>
              </w:rPr>
            </w:pPr>
            <w:r w:rsidRPr="004B6350">
              <w:rPr>
                <w:sz w:val="20"/>
              </w:rPr>
              <w:t>ID fondas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0483E5C" w14:textId="77777777" w:rsidR="00AE1DF7" w:rsidRPr="004B6350" w:rsidRDefault="00AE1DF7" w:rsidP="00342C0E">
            <w:pPr>
              <w:jc w:val="center"/>
              <w:rPr>
                <w:sz w:val="20"/>
              </w:rPr>
            </w:pPr>
            <w:r w:rsidRPr="004B6350">
              <w:rPr>
                <w:sz w:val="20"/>
              </w:rPr>
              <w:t>ID partija</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8D24FD" w14:textId="77777777" w:rsidR="00AE1DF7" w:rsidRPr="004B6350" w:rsidRDefault="00AE1DF7" w:rsidP="00342C0E">
            <w:pPr>
              <w:jc w:val="center"/>
              <w:rPr>
                <w:sz w:val="20"/>
              </w:rPr>
            </w:pPr>
            <w:r w:rsidRPr="004B6350">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7D0E863" w14:textId="77777777" w:rsidR="00AE1DF7" w:rsidRPr="004B6350" w:rsidRDefault="00AE1DF7" w:rsidP="00342C0E">
            <w:pPr>
              <w:jc w:val="center"/>
              <w:rPr>
                <w:sz w:val="20"/>
              </w:rPr>
            </w:pPr>
            <w:r w:rsidRPr="004B6350">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46FD5C9" w14:textId="77777777" w:rsidR="00AE1DF7" w:rsidRPr="004B6350" w:rsidRDefault="00AE1DF7" w:rsidP="00342C0E">
            <w:pPr>
              <w:jc w:val="center"/>
              <w:rPr>
                <w:sz w:val="20"/>
              </w:rPr>
            </w:pPr>
            <w:r w:rsidRPr="004B6350">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169663A" w14:textId="77777777" w:rsidR="00AE1DF7" w:rsidRPr="004B6350" w:rsidRDefault="00AE1DF7" w:rsidP="00342C0E">
            <w:pPr>
              <w:jc w:val="center"/>
              <w:rPr>
                <w:sz w:val="20"/>
              </w:rPr>
            </w:pPr>
            <w:r w:rsidRPr="004B6350">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3836941" w14:textId="77777777" w:rsidR="00AE1DF7" w:rsidRPr="004B6350" w:rsidRDefault="00AE1DF7" w:rsidP="00342C0E">
            <w:pPr>
              <w:jc w:val="center"/>
              <w:rPr>
                <w:sz w:val="20"/>
              </w:rPr>
            </w:pPr>
            <w:r w:rsidRPr="004B6350">
              <w:rPr>
                <w:sz w:val="20"/>
              </w:rPr>
              <w:t>-62 575</w:t>
            </w:r>
          </w:p>
        </w:tc>
      </w:tr>
      <w:tr w:rsidR="00AE1DF7" w:rsidRPr="004B6350" w14:paraId="6B54CE74" w14:textId="77777777" w:rsidTr="00342C0E">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BF399D2"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t>Fondas „Transformuoti Europą“</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60CB68" w14:textId="77777777" w:rsidR="00AE1DF7" w:rsidRPr="004B6350" w:rsidRDefault="00AE1DF7" w:rsidP="00342C0E">
            <w:pPr>
              <w:jc w:val="center"/>
              <w:rPr>
                <w:sz w:val="20"/>
              </w:rPr>
            </w:pPr>
            <w:r w:rsidRPr="004B6350">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B681E84" w14:textId="77777777" w:rsidR="00AE1DF7" w:rsidRPr="004B6350" w:rsidRDefault="00AE1DF7" w:rsidP="00342C0E">
            <w:pPr>
              <w:jc w:val="center"/>
              <w:rPr>
                <w:sz w:val="20"/>
              </w:rPr>
            </w:pPr>
            <w:r w:rsidRPr="004B6350">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67573D" w14:textId="77777777" w:rsidR="00AE1DF7" w:rsidRPr="004B6350" w:rsidRDefault="00AE1DF7" w:rsidP="00342C0E">
            <w:pPr>
              <w:jc w:val="center"/>
              <w:rPr>
                <w:sz w:val="20"/>
              </w:rPr>
            </w:pPr>
            <w:r w:rsidRPr="004B6350">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B8A9C38" w14:textId="77777777" w:rsidR="00AE1DF7" w:rsidRPr="004B6350" w:rsidRDefault="00AE1DF7" w:rsidP="00342C0E">
            <w:pPr>
              <w:jc w:val="center"/>
              <w:rPr>
                <w:sz w:val="20"/>
              </w:rPr>
            </w:pPr>
            <w:r w:rsidRPr="004B6350">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F98011D" w14:textId="77777777" w:rsidR="00AE1DF7" w:rsidRPr="004B6350" w:rsidRDefault="00AE1DF7" w:rsidP="00342C0E">
            <w:pPr>
              <w:jc w:val="center"/>
              <w:rPr>
                <w:sz w:val="20"/>
              </w:rPr>
            </w:pPr>
            <w:r w:rsidRPr="004B6350">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6F773F" w14:textId="77777777" w:rsidR="00AE1DF7" w:rsidRPr="004B6350" w:rsidRDefault="00AE1DF7" w:rsidP="00342C0E">
            <w:pPr>
              <w:jc w:val="center"/>
              <w:rPr>
                <w:sz w:val="20"/>
              </w:rPr>
            </w:pPr>
            <w:r w:rsidRPr="004B6350">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03E9131" w14:textId="77777777" w:rsidR="00AE1DF7" w:rsidRPr="004B6350" w:rsidRDefault="00AE1DF7" w:rsidP="00342C0E">
            <w:pPr>
              <w:jc w:val="center"/>
              <w:rPr>
                <w:sz w:val="20"/>
              </w:rPr>
            </w:pPr>
            <w:r w:rsidRPr="004B6350">
              <w:rPr>
                <w:sz w:val="20"/>
              </w:rPr>
              <w:t>69 496</w:t>
            </w:r>
          </w:p>
        </w:tc>
      </w:tr>
      <w:tr w:rsidR="00AE1DF7" w:rsidRPr="004B6350" w14:paraId="4DBDA7CD" w14:textId="77777777" w:rsidTr="00342C0E">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F812730"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t>Europos demokratų institutas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C91769" w14:textId="77777777" w:rsidR="00AE1DF7" w:rsidRPr="004B6350" w:rsidRDefault="00AE1DF7" w:rsidP="00342C0E">
            <w:pPr>
              <w:jc w:val="center"/>
              <w:rPr>
                <w:sz w:val="20"/>
              </w:rPr>
            </w:pPr>
            <w:r w:rsidRPr="004B6350">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93C8C0" w14:textId="77777777" w:rsidR="00AE1DF7" w:rsidRPr="004B6350" w:rsidRDefault="00AE1DF7" w:rsidP="00342C0E">
            <w:pPr>
              <w:jc w:val="center"/>
              <w:rPr>
                <w:sz w:val="20"/>
              </w:rPr>
            </w:pPr>
            <w:r w:rsidRPr="004B6350">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892AAB" w14:textId="77777777" w:rsidR="00AE1DF7" w:rsidRPr="004B6350" w:rsidRDefault="00AE1DF7" w:rsidP="00342C0E">
            <w:pPr>
              <w:jc w:val="center"/>
              <w:rPr>
                <w:sz w:val="20"/>
              </w:rPr>
            </w:pPr>
            <w:r w:rsidRPr="004B6350">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36AF72" w14:textId="77777777" w:rsidR="00AE1DF7" w:rsidRPr="004B6350" w:rsidRDefault="00AE1DF7" w:rsidP="00342C0E">
            <w:pPr>
              <w:jc w:val="center"/>
              <w:rPr>
                <w:sz w:val="20"/>
              </w:rPr>
            </w:pPr>
            <w:r w:rsidRPr="004B6350">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F593A3" w14:textId="77777777" w:rsidR="00AE1DF7" w:rsidRPr="004B6350" w:rsidRDefault="00AE1DF7" w:rsidP="00342C0E">
            <w:pPr>
              <w:jc w:val="center"/>
              <w:rPr>
                <w:sz w:val="20"/>
              </w:rPr>
            </w:pPr>
            <w:r w:rsidRPr="004B6350">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2DAB5C" w14:textId="77777777" w:rsidR="00AE1DF7" w:rsidRPr="004B6350" w:rsidRDefault="00AE1DF7" w:rsidP="00342C0E">
            <w:pPr>
              <w:jc w:val="center"/>
              <w:rPr>
                <w:sz w:val="20"/>
              </w:rPr>
            </w:pPr>
            <w:r w:rsidRPr="004B6350">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513A56A" w14:textId="77777777" w:rsidR="00AE1DF7" w:rsidRPr="004B6350" w:rsidRDefault="00AE1DF7" w:rsidP="00342C0E">
            <w:pPr>
              <w:jc w:val="center"/>
              <w:rPr>
                <w:sz w:val="20"/>
              </w:rPr>
            </w:pPr>
            <w:r w:rsidRPr="004B6350">
              <w:rPr>
                <w:sz w:val="20"/>
              </w:rPr>
              <w:t>-113 763</w:t>
            </w:r>
          </w:p>
        </w:tc>
      </w:tr>
      <w:tr w:rsidR="00AE1DF7" w:rsidRPr="004B6350" w14:paraId="26C7761C" w14:textId="77777777" w:rsidTr="00342C0E">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FDB4A92"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t>Fondas „Coppieters“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AC8C0D9" w14:textId="77777777" w:rsidR="00AE1DF7" w:rsidRPr="004B6350" w:rsidRDefault="00AE1DF7" w:rsidP="00342C0E">
            <w:pPr>
              <w:jc w:val="center"/>
              <w:rPr>
                <w:sz w:val="20"/>
              </w:rPr>
            </w:pPr>
            <w:r w:rsidRPr="004B6350">
              <w:rPr>
                <w:sz w:val="20"/>
              </w:rPr>
              <w:t>Coppieters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9AF769" w14:textId="77777777" w:rsidR="00AE1DF7" w:rsidRPr="004B6350" w:rsidRDefault="00AE1DF7" w:rsidP="00342C0E">
            <w:pPr>
              <w:jc w:val="center"/>
              <w:rPr>
                <w:sz w:val="20"/>
              </w:rPr>
            </w:pPr>
            <w:r w:rsidRPr="004B6350">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1241ED" w14:textId="77777777" w:rsidR="00AE1DF7" w:rsidRPr="004B6350" w:rsidRDefault="00AE1DF7" w:rsidP="00342C0E">
            <w:pPr>
              <w:jc w:val="center"/>
              <w:rPr>
                <w:sz w:val="20"/>
              </w:rPr>
            </w:pPr>
            <w:r w:rsidRPr="004B6350">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77DF37" w14:textId="77777777" w:rsidR="00AE1DF7" w:rsidRPr="004B6350" w:rsidRDefault="00AE1DF7" w:rsidP="00342C0E">
            <w:pPr>
              <w:jc w:val="center"/>
              <w:rPr>
                <w:sz w:val="20"/>
              </w:rPr>
            </w:pPr>
            <w:r w:rsidRPr="004B6350">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ABB0AB6" w14:textId="77777777" w:rsidR="00AE1DF7" w:rsidRPr="004B6350" w:rsidRDefault="00AE1DF7" w:rsidP="00342C0E">
            <w:pPr>
              <w:jc w:val="center"/>
              <w:rPr>
                <w:sz w:val="20"/>
              </w:rPr>
            </w:pPr>
            <w:r w:rsidRPr="004B6350">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496B7C5" w14:textId="77777777" w:rsidR="00AE1DF7" w:rsidRPr="004B6350" w:rsidRDefault="00AE1DF7" w:rsidP="00342C0E">
            <w:pPr>
              <w:jc w:val="center"/>
              <w:rPr>
                <w:sz w:val="20"/>
              </w:rPr>
            </w:pPr>
            <w:r w:rsidRPr="004B6350">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514B744" w14:textId="77777777" w:rsidR="00AE1DF7" w:rsidRPr="004B6350" w:rsidRDefault="00AE1DF7" w:rsidP="00342C0E">
            <w:pPr>
              <w:jc w:val="center"/>
              <w:rPr>
                <w:sz w:val="20"/>
              </w:rPr>
            </w:pPr>
            <w:r w:rsidRPr="004B6350">
              <w:rPr>
                <w:sz w:val="20"/>
              </w:rPr>
              <w:t>288 315</w:t>
            </w:r>
          </w:p>
        </w:tc>
      </w:tr>
      <w:tr w:rsidR="00AE1DF7" w:rsidRPr="004B6350" w14:paraId="122F879E" w14:textId="77777777" w:rsidTr="00342C0E">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D0AD1CF" w14:textId="77777777" w:rsidR="00AE1DF7" w:rsidRPr="004B6350" w:rsidRDefault="00AE1DF7" w:rsidP="00342C0E">
            <w:pPr>
              <w:widowControl/>
              <w:jc w:val="center"/>
              <w:rPr>
                <w:sz w:val="20"/>
                <w14:textOutline w14:w="0" w14:cap="flat" w14:cmpd="sng" w14:algn="ctr">
                  <w14:noFill/>
                  <w14:prstDash w14:val="solid"/>
                  <w14:bevel/>
                </w14:textOutline>
              </w:rPr>
            </w:pPr>
            <w:r w:rsidRPr="004B6350">
              <w:t>Fondas „Sallux“</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1FD089" w14:textId="77777777" w:rsidR="00AE1DF7" w:rsidRPr="004B6350" w:rsidRDefault="00AE1DF7" w:rsidP="00342C0E">
            <w:pPr>
              <w:jc w:val="center"/>
              <w:rPr>
                <w:sz w:val="20"/>
              </w:rPr>
            </w:pPr>
            <w:r w:rsidRPr="004B6350">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68FE58B" w14:textId="77777777" w:rsidR="00AE1DF7" w:rsidRPr="004B6350" w:rsidRDefault="00AE1DF7" w:rsidP="00342C0E">
            <w:pPr>
              <w:jc w:val="center"/>
              <w:rPr>
                <w:sz w:val="20"/>
              </w:rPr>
            </w:pPr>
            <w:r w:rsidRPr="004B6350">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65F42A" w14:textId="77777777" w:rsidR="00AE1DF7" w:rsidRPr="004B6350" w:rsidRDefault="00AE1DF7" w:rsidP="00342C0E">
            <w:pPr>
              <w:jc w:val="center"/>
              <w:rPr>
                <w:sz w:val="20"/>
              </w:rPr>
            </w:pPr>
            <w:r w:rsidRPr="004B6350">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754D3F7" w14:textId="77777777" w:rsidR="00AE1DF7" w:rsidRPr="004B6350" w:rsidRDefault="00AE1DF7" w:rsidP="00342C0E">
            <w:pPr>
              <w:jc w:val="center"/>
              <w:rPr>
                <w:sz w:val="20"/>
              </w:rPr>
            </w:pPr>
            <w:r w:rsidRPr="004B6350">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C546301" w14:textId="77777777" w:rsidR="00AE1DF7" w:rsidRPr="004B6350" w:rsidRDefault="00AE1DF7" w:rsidP="00342C0E">
            <w:pPr>
              <w:jc w:val="center"/>
              <w:rPr>
                <w:sz w:val="20"/>
              </w:rPr>
            </w:pPr>
            <w:r w:rsidRPr="004B6350">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C66E0A6" w14:textId="77777777" w:rsidR="00AE1DF7" w:rsidRPr="004B6350" w:rsidRDefault="00AE1DF7" w:rsidP="00342C0E">
            <w:pPr>
              <w:jc w:val="center"/>
              <w:rPr>
                <w:sz w:val="20"/>
              </w:rPr>
            </w:pPr>
            <w:r w:rsidRPr="004B6350">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51C51E7D" w14:textId="77777777" w:rsidR="00AE1DF7" w:rsidRPr="004B6350" w:rsidRDefault="00AE1DF7" w:rsidP="00342C0E">
            <w:pPr>
              <w:jc w:val="center"/>
              <w:rPr>
                <w:sz w:val="20"/>
              </w:rPr>
            </w:pPr>
            <w:r w:rsidRPr="004B6350">
              <w:rPr>
                <w:sz w:val="20"/>
              </w:rPr>
              <w:t>8 781</w:t>
            </w:r>
          </w:p>
        </w:tc>
      </w:tr>
      <w:tr w:rsidR="00AE1DF7" w:rsidRPr="004B6350" w14:paraId="27ED67A5" w14:textId="77777777" w:rsidTr="00342C0E">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4726295" w14:textId="77777777" w:rsidR="00AE1DF7" w:rsidRPr="004B6350" w:rsidRDefault="00AE1DF7" w:rsidP="00342C0E">
            <w:pPr>
              <w:jc w:val="center"/>
              <w:rPr>
                <w:b/>
                <w:bCs/>
                <w:sz w:val="20"/>
                <w14:textOutline w14:w="0" w14:cap="flat" w14:cmpd="sng" w14:algn="ctr">
                  <w14:noFill/>
                  <w14:prstDash w14:val="solid"/>
                  <w14:bevel/>
                </w14:textOutline>
              </w:rPr>
            </w:pPr>
            <w:r w:rsidRPr="004B6350">
              <w:rPr>
                <w:b/>
                <w:sz w:val="20"/>
                <w14:textOutline w14:w="0" w14:cap="flat" w14:cmpd="sng" w14:algn="ctr">
                  <w14:noFill/>
                  <w14:prstDash w14:val="solid"/>
                  <w14:bevel/>
                </w14:textOutline>
              </w:rPr>
              <w:t>IŠ VISO</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33CD215" w14:textId="77777777" w:rsidR="00AE1DF7" w:rsidRPr="004B6350" w:rsidRDefault="00AE1DF7" w:rsidP="00342C0E">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F54554E" w14:textId="77777777" w:rsidR="00AE1DF7" w:rsidRPr="004B6350" w:rsidRDefault="00AE1DF7" w:rsidP="00342C0E">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61597DE8" w14:textId="77777777" w:rsidR="00AE1DF7" w:rsidRPr="004B6350" w:rsidRDefault="00AE1DF7" w:rsidP="00342C0E">
            <w:pPr>
              <w:jc w:val="center"/>
              <w:rPr>
                <w:b/>
                <w:bCs/>
                <w:sz w:val="20"/>
              </w:rPr>
            </w:pPr>
            <w:r w:rsidRPr="004B6350">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41400EC3" w14:textId="77777777" w:rsidR="00AE1DF7" w:rsidRPr="004B6350" w:rsidRDefault="00AE1DF7" w:rsidP="00342C0E">
            <w:pPr>
              <w:jc w:val="center"/>
              <w:rPr>
                <w:b/>
                <w:bCs/>
                <w:sz w:val="20"/>
              </w:rPr>
            </w:pPr>
            <w:r w:rsidRPr="004B6350">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18334BE" w14:textId="77777777" w:rsidR="00AE1DF7" w:rsidRPr="004B6350" w:rsidRDefault="00AE1DF7" w:rsidP="00342C0E">
            <w:pPr>
              <w:jc w:val="center"/>
              <w:rPr>
                <w:b/>
                <w:bCs/>
                <w:sz w:val="20"/>
              </w:rPr>
            </w:pPr>
            <w:r w:rsidRPr="004B6350">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18B3810" w14:textId="77777777" w:rsidR="00AE1DF7" w:rsidRPr="004B6350" w:rsidRDefault="00AE1DF7" w:rsidP="00342C0E">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44F28BE3" w14:textId="77777777" w:rsidR="00AE1DF7" w:rsidRPr="004B6350" w:rsidRDefault="00AE1DF7" w:rsidP="00342C0E">
            <w:pPr>
              <w:jc w:val="center"/>
              <w:rPr>
                <w:b/>
                <w:bCs/>
                <w:sz w:val="20"/>
              </w:rPr>
            </w:pPr>
            <w:r w:rsidRPr="004B6350">
              <w:rPr>
                <w:b/>
                <w:sz w:val="20"/>
              </w:rPr>
              <w:t>2 576 842</w:t>
            </w:r>
          </w:p>
        </w:tc>
      </w:tr>
    </w:tbl>
    <w:p w14:paraId="2D8D64A7" w14:textId="1D7114DB" w:rsidR="00E365E1" w:rsidRPr="004B6350" w:rsidRDefault="00E365E1" w:rsidP="00B27185"/>
    <w:sectPr w:rsidR="00E365E1" w:rsidRPr="004B6350" w:rsidSect="0042671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80B41" w14:textId="77777777" w:rsidR="00B27185" w:rsidRPr="00426710" w:rsidRDefault="00B27185">
      <w:r w:rsidRPr="00426710">
        <w:separator/>
      </w:r>
    </w:p>
  </w:endnote>
  <w:endnote w:type="continuationSeparator" w:id="0">
    <w:p w14:paraId="143E6D6B" w14:textId="77777777" w:rsidR="00B27185" w:rsidRPr="00426710" w:rsidRDefault="00B27185">
      <w:r w:rsidRPr="004267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C208D" w14:textId="77777777" w:rsidR="00AE1DF7" w:rsidRPr="00426710" w:rsidRDefault="00AE1DF7" w:rsidP="000026CF">
    <w:pPr>
      <w:pStyle w:val="EPFooter"/>
    </w:pPr>
    <w:r w:rsidRPr="00426710">
      <w:t>PE</w:t>
    </w:r>
    <w:r w:rsidRPr="00426710">
      <w:rPr>
        <w:rStyle w:val="HideTWBExt"/>
      </w:rPr>
      <w:t>&lt;NoPE&gt;</w:t>
    </w:r>
    <w:r w:rsidRPr="00426710">
      <w:t>776.734</w:t>
    </w:r>
    <w:r w:rsidRPr="00426710">
      <w:rPr>
        <w:rStyle w:val="HideTWBExt"/>
      </w:rPr>
      <w:t>&lt;/NoPE&gt;&lt;Version&gt;</w:t>
    </w:r>
    <w:r w:rsidRPr="00426710">
      <w:t>v02-00</w:t>
    </w:r>
    <w:r w:rsidRPr="00426710">
      <w:rPr>
        <w:rStyle w:val="HideTWBExt"/>
      </w:rPr>
      <w:t>&lt;/Version&gt;</w:t>
    </w:r>
    <w:r w:rsidRPr="00426710">
      <w:tab/>
    </w:r>
    <w:r w:rsidRPr="00426710">
      <w:fldChar w:fldCharType="begin"/>
    </w:r>
    <w:r w:rsidRPr="00426710">
      <w:instrText xml:space="preserve"> PAGE  \* MERGEFORMAT </w:instrText>
    </w:r>
    <w:r w:rsidRPr="00426710">
      <w:fldChar w:fldCharType="separate"/>
    </w:r>
    <w:r w:rsidRPr="00426710">
      <w:rPr>
        <w:noProof/>
      </w:rPr>
      <w:t>1</w:t>
    </w:r>
    <w:r w:rsidRPr="00426710">
      <w:fldChar w:fldCharType="end"/>
    </w:r>
    <w:r w:rsidRPr="00426710">
      <w:t>/</w:t>
    </w:r>
    <w:fldSimple w:instr=" NUMPAGES  \* MERGEFORMAT ">
      <w:r w:rsidRPr="00426710">
        <w:rPr>
          <w:noProof/>
        </w:rPr>
        <w:t>2</w:t>
      </w:r>
    </w:fldSimple>
    <w:r w:rsidRPr="00426710">
      <w:tab/>
    </w:r>
    <w:r w:rsidRPr="00426710">
      <w:rPr>
        <w:rStyle w:val="HideTWBExt"/>
      </w:rPr>
      <w:t>&lt;PathFdR&gt;</w:t>
    </w:r>
    <w:r w:rsidRPr="00426710">
      <w:t>RR\1340476LT.docx</w:t>
    </w:r>
    <w:r w:rsidRPr="00426710">
      <w:rPr>
        <w:rStyle w:val="HideTWBExt"/>
      </w:rPr>
      <w:t>&lt;/PathFdR&gt;</w:t>
    </w:r>
  </w:p>
  <w:p w14:paraId="68596A5B" w14:textId="77777777" w:rsidR="00AE1DF7" w:rsidRPr="00426710" w:rsidRDefault="00AE1DF7" w:rsidP="000026CF">
    <w:pPr>
      <w:pStyle w:val="EPFooter2"/>
    </w:pPr>
    <w:r w:rsidRPr="00426710">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25DA" w14:textId="77777777" w:rsidR="00AE1DF7" w:rsidRPr="00426710" w:rsidRDefault="00AE1DF7" w:rsidP="000026CF">
    <w:pPr>
      <w:pStyle w:val="EPFooter"/>
    </w:pPr>
    <w:r w:rsidRPr="00426710">
      <w:rPr>
        <w:rStyle w:val="HideTWBExt"/>
      </w:rPr>
      <w:t>&lt;PathFdR&gt;</w:t>
    </w:r>
    <w:r w:rsidRPr="00426710">
      <w:t>RR\1340476LT.docx</w:t>
    </w:r>
    <w:r w:rsidRPr="00426710">
      <w:rPr>
        <w:rStyle w:val="HideTWBExt"/>
      </w:rPr>
      <w:t>&lt;/PathFdR&gt;</w:t>
    </w:r>
    <w:r w:rsidRPr="00426710">
      <w:tab/>
    </w:r>
    <w:r w:rsidRPr="00426710">
      <w:tab/>
      <w:t>PE</w:t>
    </w:r>
    <w:r w:rsidRPr="00426710">
      <w:rPr>
        <w:rStyle w:val="HideTWBExt"/>
      </w:rPr>
      <w:t>&lt;NoPE&gt;</w:t>
    </w:r>
    <w:r w:rsidRPr="00426710">
      <w:t>776.734</w:t>
    </w:r>
    <w:r w:rsidRPr="00426710">
      <w:rPr>
        <w:rStyle w:val="HideTWBExt"/>
      </w:rPr>
      <w:t>&lt;/NoPE&gt;&lt;Version&gt;</w:t>
    </w:r>
    <w:r w:rsidRPr="00426710">
      <w:t>v02-00</w:t>
    </w:r>
    <w:r w:rsidRPr="00426710">
      <w:rPr>
        <w:rStyle w:val="HideTWBExt"/>
      </w:rPr>
      <w:t>&lt;/Version&gt;</w:t>
    </w:r>
  </w:p>
  <w:p w14:paraId="0FB9D36C" w14:textId="77777777" w:rsidR="00AE1DF7" w:rsidRPr="00426710" w:rsidRDefault="00AE1DF7" w:rsidP="000026CF">
    <w:pPr>
      <w:pStyle w:val="EPFooter2"/>
    </w:pPr>
    <w:r w:rsidRPr="00426710">
      <w:t>LT</w:t>
    </w:r>
    <w:r w:rsidRPr="00426710">
      <w:tab/>
    </w:r>
    <w:r w:rsidRPr="00426710">
      <w:rPr>
        <w:b w:val="0"/>
        <w:i/>
        <w:color w:val="C0C0C0"/>
        <w:sz w:val="22"/>
      </w:rPr>
      <w:t>Suvienijusi įvairovę</w:t>
    </w:r>
    <w:r w:rsidRPr="00426710">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3484F" w14:textId="77777777" w:rsidR="00064002" w:rsidRPr="0042671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DEA7C" w14:textId="77777777" w:rsidR="00064002" w:rsidRPr="0042671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1D10" w14:textId="77777777" w:rsidR="00064002" w:rsidRPr="004267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1D57C" w14:textId="77777777" w:rsidR="00B27185" w:rsidRPr="00426710" w:rsidRDefault="00B27185">
      <w:r w:rsidRPr="00426710">
        <w:separator/>
      </w:r>
    </w:p>
  </w:footnote>
  <w:footnote w:type="continuationSeparator" w:id="0">
    <w:p w14:paraId="25E19824" w14:textId="77777777" w:rsidR="00B27185" w:rsidRPr="00426710" w:rsidRDefault="00B27185">
      <w:r w:rsidRPr="00426710">
        <w:continuationSeparator/>
      </w:r>
    </w:p>
  </w:footnote>
  <w:footnote w:id="1">
    <w:p w14:paraId="65223A1A" w14:textId="69117800"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OL L</w:t>
      </w:r>
      <w:r w:rsidR="0063479C" w:rsidRPr="00FB3E91">
        <w:rPr>
          <w:sz w:val="24"/>
          <w:szCs w:val="24"/>
          <w:lang w:val="lt-LT"/>
        </w:rPr>
        <w:t>, 2024/</w:t>
      </w:r>
      <w:r w:rsidRPr="00FB3E91">
        <w:rPr>
          <w:sz w:val="24"/>
          <w:szCs w:val="24"/>
          <w:lang w:val="lt-LT"/>
        </w:rPr>
        <w:t xml:space="preserve">207, 2024 2 22, ELI: </w:t>
      </w:r>
      <w:hyperlink r:id="rId1" w:history="1">
        <w:r w:rsidRPr="00FB3E91">
          <w:rPr>
            <w:rStyle w:val="Hyperlink"/>
            <w:color w:val="0563C1"/>
            <w:sz w:val="24"/>
            <w:szCs w:val="24"/>
            <w:lang w:val="lt-LT"/>
          </w:rPr>
          <w:t>http://data.europa.eu/eli/budget/2024/207/oj</w:t>
        </w:r>
      </w:hyperlink>
      <w:r w:rsidRPr="00FB3E91">
        <w:rPr>
          <w:sz w:val="24"/>
          <w:szCs w:val="24"/>
          <w:lang w:val="lt-LT"/>
        </w:rPr>
        <w:t>.</w:t>
      </w:r>
    </w:p>
  </w:footnote>
  <w:footnote w:id="2">
    <w:p w14:paraId="6D1BF64C" w14:textId="03726C42"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 xml:space="preserve">OL C, C/2025/4944, 2025 10 13, ELI: </w:t>
      </w:r>
      <w:hyperlink r:id="rId2" w:history="1">
        <w:r w:rsidRPr="00FB3E91">
          <w:rPr>
            <w:rStyle w:val="Hyperlink"/>
            <w:sz w:val="24"/>
            <w:szCs w:val="24"/>
            <w:lang w:val="lt-LT"/>
          </w:rPr>
          <w:t>http://data.europa.eu/eli/C/2025/4944/oj</w:t>
        </w:r>
      </w:hyperlink>
      <w:r w:rsidRPr="00FB3E91">
        <w:rPr>
          <w:sz w:val="24"/>
          <w:szCs w:val="24"/>
          <w:lang w:val="lt-LT"/>
        </w:rPr>
        <w:t xml:space="preserve">. </w:t>
      </w:r>
    </w:p>
  </w:footnote>
  <w:footnote w:id="3">
    <w:p w14:paraId="64C4C64E" w14:textId="0C789B89"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 xml:space="preserve">OL C, C/2025/2817, 2025 6 6, ELI: </w:t>
      </w:r>
      <w:hyperlink r:id="rId3" w:history="1">
        <w:r w:rsidRPr="00FB3E91">
          <w:rPr>
            <w:rStyle w:val="Hyperlink"/>
            <w:sz w:val="24"/>
            <w:szCs w:val="24"/>
            <w:lang w:val="lt-LT"/>
          </w:rPr>
          <w:t>http://data.europa.eu/eli/C/2025/2817/oj</w:t>
        </w:r>
      </w:hyperlink>
      <w:r w:rsidRPr="00FB3E91">
        <w:rPr>
          <w:sz w:val="24"/>
          <w:szCs w:val="24"/>
          <w:lang w:val="lt-LT"/>
        </w:rPr>
        <w:t>.</w:t>
      </w:r>
    </w:p>
  </w:footnote>
  <w:footnote w:id="4">
    <w:p w14:paraId="6BF8928C" w14:textId="5FFFB990"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 xml:space="preserve">OL C, C/2025/5409, 2025 10 8, ELI: </w:t>
      </w:r>
      <w:hyperlink r:id="rId4" w:history="1">
        <w:r w:rsidRPr="00FB3E91">
          <w:rPr>
            <w:rStyle w:val="Hyperlink"/>
            <w:sz w:val="24"/>
            <w:szCs w:val="24"/>
            <w:lang w:val="lt-LT"/>
          </w:rPr>
          <w:t>http://data.europa.eu/eli/C/2025/5409/oj</w:t>
        </w:r>
      </w:hyperlink>
      <w:r w:rsidRPr="00FB3E91">
        <w:rPr>
          <w:sz w:val="24"/>
          <w:szCs w:val="24"/>
          <w:lang w:val="lt-LT"/>
        </w:rPr>
        <w:t>.</w:t>
      </w:r>
    </w:p>
  </w:footnote>
  <w:footnote w:id="5">
    <w:p w14:paraId="3A1AFA7F" w14:textId="4A33C811"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 xml:space="preserve">OL C, C/2025/5407, 2025 10 13, ELI: </w:t>
      </w:r>
      <w:hyperlink r:id="rId5" w:history="1">
        <w:r w:rsidRPr="00FB3E91">
          <w:rPr>
            <w:rStyle w:val="Hyperlink"/>
            <w:sz w:val="24"/>
            <w:szCs w:val="24"/>
            <w:lang w:val="lt-LT"/>
          </w:rPr>
          <w:t>http://data.europa.eu/eli/C/2025/5407/oj</w:t>
        </w:r>
      </w:hyperlink>
      <w:r w:rsidRPr="00FB3E91">
        <w:rPr>
          <w:sz w:val="24"/>
          <w:szCs w:val="24"/>
          <w:lang w:val="lt-LT"/>
        </w:rPr>
        <w:t xml:space="preserve">. </w:t>
      </w:r>
    </w:p>
  </w:footnote>
  <w:footnote w:id="6">
    <w:p w14:paraId="3808BADF" w14:textId="6D224C3F"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 xml:space="preserve">OL L 193, 2018 7 30, p. 1, ELI: </w:t>
      </w:r>
      <w:hyperlink r:id="rId6" w:history="1">
        <w:r w:rsidRPr="00FB3E91">
          <w:rPr>
            <w:rStyle w:val="Hyperlink"/>
            <w:sz w:val="24"/>
            <w:szCs w:val="24"/>
            <w:lang w:val="lt-LT"/>
          </w:rPr>
          <w:t>http://data.europa.eu/eli/reg/2018/1046/oj</w:t>
        </w:r>
      </w:hyperlink>
      <w:r w:rsidRPr="00FB3E91">
        <w:rPr>
          <w:sz w:val="24"/>
          <w:szCs w:val="24"/>
          <w:lang w:val="lt-LT"/>
        </w:rPr>
        <w:t>.</w:t>
      </w:r>
    </w:p>
  </w:footnote>
  <w:footnote w:id="7">
    <w:p w14:paraId="41F5C398" w14:textId="7894B050"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 xml:space="preserve">OL L, 2024/2509, 2024 9 26, ELI: </w:t>
      </w:r>
      <w:hyperlink r:id="rId7" w:history="1">
        <w:r w:rsidRPr="00FB3E91">
          <w:rPr>
            <w:rStyle w:val="Hyperlink"/>
            <w:sz w:val="24"/>
            <w:szCs w:val="24"/>
            <w:lang w:val="lt-LT"/>
          </w:rPr>
          <w:t>http://data.europa.eu/eli/reg/2024/2509/oj</w:t>
        </w:r>
      </w:hyperlink>
      <w:r w:rsidRPr="00FB3E91">
        <w:rPr>
          <w:sz w:val="24"/>
          <w:szCs w:val="24"/>
          <w:lang w:val="lt-LT"/>
        </w:rPr>
        <w:t>.</w:t>
      </w:r>
    </w:p>
  </w:footnote>
  <w:footnote w:id="8">
    <w:p w14:paraId="0C5D7C1B" w14:textId="69BACECB"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 xml:space="preserve">2020 m. gruodžio 17 d. Tarybos reglamentas (ES, Euratomas) 2020/2093, kuriuo nustatoma 2021–2027 m. daugiametė finansinė programa (OL L 433 I, 2020 12 22, p. 11, </w:t>
      </w:r>
      <w:r w:rsidRPr="00FB3E91">
        <w:rPr>
          <w:color w:val="333333"/>
          <w:sz w:val="24"/>
          <w:szCs w:val="24"/>
          <w:shd w:val="clear" w:color="auto" w:fill="FFFFFF"/>
          <w:lang w:val="lt-LT"/>
        </w:rPr>
        <w:t xml:space="preserve">ELI: </w:t>
      </w:r>
      <w:hyperlink r:id="rId8" w:history="1">
        <w:r w:rsidRPr="00FB3E91">
          <w:rPr>
            <w:rStyle w:val="Hyperlink"/>
            <w:sz w:val="24"/>
            <w:szCs w:val="24"/>
            <w:shd w:val="clear" w:color="auto" w:fill="FFFFFF"/>
            <w:lang w:val="lt-LT"/>
          </w:rPr>
          <w:t>http://data.europa.eu/eli/reg/2020/2093/oj</w:t>
        </w:r>
      </w:hyperlink>
      <w:r w:rsidRPr="00FB3E91">
        <w:rPr>
          <w:sz w:val="24"/>
          <w:szCs w:val="24"/>
          <w:lang w:val="lt-LT"/>
        </w:rPr>
        <w:t>).</w:t>
      </w:r>
    </w:p>
  </w:footnote>
  <w:footnote w:id="9">
    <w:p w14:paraId="796EE222" w14:textId="17645A25"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2023 m. gruodžio 13 d. Europos Parlamento ir Tarybos reglamentas (ES, Euratomas) 2023/2841, kuriuo nustatomos priemonės aukštam bendram kibernetinio saugumo lygiui Sąjungos institucijose, įstaigose, organuose ir agentūrose užtikrinti (O</w:t>
      </w:r>
      <w:r w:rsidR="00020113" w:rsidRPr="00FB3E91">
        <w:rPr>
          <w:sz w:val="24"/>
          <w:szCs w:val="24"/>
          <w:lang w:val="lt-LT"/>
        </w:rPr>
        <w:t>L</w:t>
      </w:r>
      <w:r w:rsidRPr="00FB3E91">
        <w:rPr>
          <w:sz w:val="24"/>
          <w:szCs w:val="24"/>
          <w:lang w:val="lt-LT"/>
        </w:rPr>
        <w:t xml:space="preserve"> L, 2023/2841, 2023 12 18, ELI: </w:t>
      </w:r>
      <w:hyperlink r:id="rId9" w:history="1">
        <w:r w:rsidRPr="00FB3E91">
          <w:rPr>
            <w:rStyle w:val="Hyperlink"/>
            <w:sz w:val="24"/>
            <w:szCs w:val="24"/>
            <w:lang w:val="lt-LT"/>
          </w:rPr>
          <w:t>http://data.europa.eu/eli/reg/2023/2841/oj</w:t>
        </w:r>
      </w:hyperlink>
      <w:r w:rsidRPr="00FB3E91">
        <w:rPr>
          <w:sz w:val="24"/>
          <w:szCs w:val="24"/>
          <w:lang w:val="lt-LT"/>
        </w:rPr>
        <w:t>).</w:t>
      </w:r>
    </w:p>
  </w:footnote>
  <w:footnote w:id="10">
    <w:p w14:paraId="2DE639C0" w14:textId="28429AD7"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 xml:space="preserve">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10" w:history="1">
        <w:r w:rsidRPr="00FB3E91">
          <w:rPr>
            <w:rStyle w:val="Hyperlink"/>
            <w:sz w:val="24"/>
            <w:szCs w:val="24"/>
            <w:lang w:val="lt-LT"/>
          </w:rPr>
          <w:t>http://data.europa.eu/eli/reg/2024/1689/oj</w:t>
        </w:r>
      </w:hyperlink>
      <w:r w:rsidRPr="00FB3E91">
        <w:rPr>
          <w:sz w:val="24"/>
          <w:szCs w:val="24"/>
          <w:lang w:val="lt-LT"/>
        </w:rPr>
        <w:t>).</w:t>
      </w:r>
    </w:p>
  </w:footnote>
  <w:footnote w:id="11">
    <w:p w14:paraId="744236EA" w14:textId="5797BDA8"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2023 m. birželio 12 d. Europos Parlamento biuro sprendimas, kuriuo iš dalies keičiamos Europos Parlamento narių statuto įgyvendinimo taisyklės (OL C 227, 2023 6 29, p. 5).</w:t>
      </w:r>
    </w:p>
  </w:footnote>
  <w:footnote w:id="12">
    <w:p w14:paraId="2B41A9BE" w14:textId="1BA0CB7A"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2025 m. lapkričio 26 d. Europos Parlamento ir Tarybos reglamentas (ES, Euratomas)</w:t>
      </w:r>
      <w:r w:rsidR="00EB69EC">
        <w:rPr>
          <w:sz w:val="24"/>
          <w:szCs w:val="24"/>
          <w:lang w:val="lt-LT"/>
        </w:rPr>
        <w:t xml:space="preserve"> </w:t>
      </w:r>
      <w:r w:rsidRPr="00FB3E91">
        <w:rPr>
          <w:sz w:val="24"/>
          <w:szCs w:val="24"/>
          <w:lang w:val="lt-LT"/>
        </w:rPr>
        <w:t xml:space="preserve">2025/2445 dėl Europos politinių partijų ir Europos politinių fondų statuto ir finansavimo (OL L, 2025/2445, 2025 12 8, ELI: </w:t>
      </w:r>
      <w:hyperlink r:id="rId11" w:history="1">
        <w:r w:rsidRPr="00FB3E91">
          <w:rPr>
            <w:rStyle w:val="Hyperlink"/>
            <w:sz w:val="24"/>
            <w:szCs w:val="24"/>
            <w:lang w:val="lt-LT"/>
          </w:rPr>
          <w:t>http://data.europa.eu/eli/reg/2025/2445/oj</w:t>
        </w:r>
      </w:hyperlink>
      <w:r w:rsidRPr="00FB3E91">
        <w:rPr>
          <w:sz w:val="24"/>
          <w:szCs w:val="24"/>
          <w:lang w:val="lt-LT"/>
        </w:rPr>
        <w:t>).</w:t>
      </w:r>
    </w:p>
  </w:footnote>
  <w:footnote w:id="13">
    <w:p w14:paraId="1119A5E2" w14:textId="7CA5D477"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 xml:space="preserve">Visos sumos nurodytos EUR. </w:t>
      </w:r>
    </w:p>
  </w:footnote>
  <w:footnote w:id="14">
    <w:p w14:paraId="1FFD89FF" w14:textId="00306E74"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Sumą sudaro antroji 2023 m. galutinio finansavimo dalis ir pirmoji 2024 m. galutinio finansavimo dalis pagal 2026 m. kovo 9 d. Biuro sprendimą.</w:t>
      </w:r>
    </w:p>
  </w:footnote>
  <w:footnote w:id="15">
    <w:p w14:paraId="5CA3CCA2" w14:textId="640539BC"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2024 m. BAP sąskaitos, pakoreguotos atsižvelgiant į pergrupavimo poveikį uždarius 2024 m. sąskaitas.</w:t>
      </w:r>
    </w:p>
  </w:footnote>
  <w:footnote w:id="16">
    <w:p w14:paraId="12EE4A41" w14:textId="7B9E6D47"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Nuo 2024 m. liepos mėn. – „Patriots.eu“.</w:t>
      </w:r>
    </w:p>
  </w:footnote>
  <w:footnote w:id="17">
    <w:p w14:paraId="5AA36C90" w14:textId="4D8D17BF"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Nuo 2025 m. kovo mėn. – Europos krikščionių politinė partija.</w:t>
      </w:r>
    </w:p>
  </w:footnote>
  <w:footnote w:id="18">
    <w:p w14:paraId="4A88BF0E" w14:textId="57A7E933"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 xml:space="preserve">Visos sumos nurodytos EUR. </w:t>
      </w:r>
    </w:p>
  </w:footnote>
  <w:footnote w:id="19">
    <w:p w14:paraId="7B1667C1" w14:textId="1D46BCE2"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2024 m. BAP sąskaitos, pakoreguotos atsižvelgiant į pergrupavimo poveikį uždarius 2024 m. sąskaitas.</w:t>
      </w:r>
    </w:p>
  </w:footnote>
  <w:footnote w:id="20">
    <w:p w14:paraId="259757FE" w14:textId="60140F7A"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Nuo 2025 m. liepos mėn. – Europos konservatorių fondas „New Direction“.</w:t>
      </w:r>
    </w:p>
  </w:footnote>
  <w:footnote w:id="21">
    <w:p w14:paraId="3A176EEF" w14:textId="05B9A6A1" w:rsidR="00AE1DF7" w:rsidRPr="00FB3E91" w:rsidRDefault="00AE1DF7" w:rsidP="00426710">
      <w:pPr>
        <w:pStyle w:val="FootnoteText"/>
        <w:ind w:left="567" w:hanging="567"/>
        <w:rPr>
          <w:sz w:val="24"/>
          <w:szCs w:val="24"/>
          <w:lang w:val="lt-LT"/>
        </w:rPr>
      </w:pPr>
      <w:r w:rsidRPr="00FB3E91">
        <w:rPr>
          <w:rStyle w:val="FootnoteReference"/>
          <w:sz w:val="24"/>
          <w:szCs w:val="24"/>
          <w:lang w:val="lt-LT"/>
        </w:rPr>
        <w:footnoteRef/>
      </w:r>
      <w:r w:rsidR="00426710" w:rsidRPr="00FB3E91">
        <w:rPr>
          <w:sz w:val="24"/>
          <w:szCs w:val="24"/>
          <w:lang w:val="lt-LT"/>
        </w:rPr>
        <w:t xml:space="preserve"> </w:t>
      </w:r>
      <w:r w:rsidR="00426710" w:rsidRPr="00FB3E91">
        <w:rPr>
          <w:sz w:val="24"/>
          <w:szCs w:val="24"/>
          <w:lang w:val="lt-LT"/>
        </w:rPr>
        <w:tab/>
      </w:r>
      <w:r w:rsidRPr="00FB3E91">
        <w:rPr>
          <w:sz w:val="24"/>
          <w:szCs w:val="24"/>
          <w:lang w:val="lt-LT"/>
        </w:rPr>
        <w:t>Nuo 2024 m. spalio mėn. – fondas „Patriotai už Europą“.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D72C3" w14:textId="77777777" w:rsidR="00064002" w:rsidRPr="004267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55137" w14:textId="77777777" w:rsidR="00064002" w:rsidRPr="004267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3756" w14:textId="77777777" w:rsidR="00064002" w:rsidRPr="004267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4441323">
    <w:abstractNumId w:val="9"/>
  </w:num>
  <w:num w:numId="2" w16cid:durableId="305361710">
    <w:abstractNumId w:val="9"/>
  </w:num>
  <w:num w:numId="3" w16cid:durableId="1166482550">
    <w:abstractNumId w:val="7"/>
  </w:num>
  <w:num w:numId="4" w16cid:durableId="600723374">
    <w:abstractNumId w:val="7"/>
  </w:num>
  <w:num w:numId="5" w16cid:durableId="811293588">
    <w:abstractNumId w:val="6"/>
  </w:num>
  <w:num w:numId="6" w16cid:durableId="1723863368">
    <w:abstractNumId w:val="6"/>
  </w:num>
  <w:num w:numId="7" w16cid:durableId="1987975233">
    <w:abstractNumId w:val="5"/>
  </w:num>
  <w:num w:numId="8" w16cid:durableId="395977869">
    <w:abstractNumId w:val="5"/>
  </w:num>
  <w:num w:numId="9" w16cid:durableId="892232244">
    <w:abstractNumId w:val="4"/>
  </w:num>
  <w:num w:numId="10" w16cid:durableId="1492214894">
    <w:abstractNumId w:val="4"/>
  </w:num>
  <w:num w:numId="11" w16cid:durableId="749736866">
    <w:abstractNumId w:val="8"/>
  </w:num>
  <w:num w:numId="12" w16cid:durableId="1964725960">
    <w:abstractNumId w:val="8"/>
  </w:num>
  <w:num w:numId="13" w16cid:durableId="846363204">
    <w:abstractNumId w:val="3"/>
  </w:num>
  <w:num w:numId="14" w16cid:durableId="475877207">
    <w:abstractNumId w:val="3"/>
  </w:num>
  <w:num w:numId="15" w16cid:durableId="1628774693">
    <w:abstractNumId w:val="2"/>
  </w:num>
  <w:num w:numId="16" w16cid:durableId="114250083">
    <w:abstractNumId w:val="2"/>
  </w:num>
  <w:num w:numId="17" w16cid:durableId="700059930">
    <w:abstractNumId w:val="1"/>
  </w:num>
  <w:num w:numId="18" w16cid:durableId="1826630334">
    <w:abstractNumId w:val="1"/>
  </w:num>
  <w:num w:numId="19" w16cid:durableId="216744314">
    <w:abstractNumId w:val="0"/>
  </w:num>
  <w:num w:numId="20" w16cid:durableId="1296763855">
    <w:abstractNumId w:val="0"/>
  </w:num>
  <w:num w:numId="21" w16cid:durableId="1288731205">
    <w:abstractNumId w:val="9"/>
  </w:num>
  <w:num w:numId="22" w16cid:durableId="252863488">
    <w:abstractNumId w:val="7"/>
  </w:num>
  <w:num w:numId="23" w16cid:durableId="1691564826">
    <w:abstractNumId w:val="6"/>
  </w:num>
  <w:num w:numId="24" w16cid:durableId="1402873800">
    <w:abstractNumId w:val="5"/>
  </w:num>
  <w:num w:numId="25" w16cid:durableId="503403803">
    <w:abstractNumId w:val="4"/>
  </w:num>
  <w:num w:numId="26" w16cid:durableId="1625191579">
    <w:abstractNumId w:val="8"/>
  </w:num>
  <w:num w:numId="27" w16cid:durableId="187529348">
    <w:abstractNumId w:val="3"/>
  </w:num>
  <w:num w:numId="28" w16cid:durableId="1325931956">
    <w:abstractNumId w:val="2"/>
  </w:num>
  <w:num w:numId="29" w16cid:durableId="1104420042">
    <w:abstractNumId w:val="1"/>
  </w:num>
  <w:num w:numId="30" w16cid:durableId="831336401">
    <w:abstractNumId w:val="0"/>
  </w:num>
  <w:num w:numId="31" w16cid:durableId="1520002104">
    <w:abstractNumId w:val="9"/>
  </w:num>
  <w:num w:numId="32" w16cid:durableId="1119109442">
    <w:abstractNumId w:val="7"/>
  </w:num>
  <w:num w:numId="33" w16cid:durableId="244150909">
    <w:abstractNumId w:val="6"/>
  </w:num>
  <w:num w:numId="34" w16cid:durableId="423721793">
    <w:abstractNumId w:val="5"/>
  </w:num>
  <w:num w:numId="35" w16cid:durableId="1031228482">
    <w:abstractNumId w:val="4"/>
  </w:num>
  <w:num w:numId="36" w16cid:durableId="1058093856">
    <w:abstractNumId w:val="8"/>
  </w:num>
  <w:num w:numId="37" w16cid:durableId="1073235886">
    <w:abstractNumId w:val="3"/>
  </w:num>
  <w:num w:numId="38" w16cid:durableId="310135988">
    <w:abstractNumId w:val="2"/>
  </w:num>
  <w:num w:numId="39" w16cid:durableId="779179847">
    <w:abstractNumId w:val="1"/>
  </w:num>
  <w:num w:numId="40" w16cid:durableId="1417362693">
    <w:abstractNumId w:val="0"/>
  </w:num>
  <w:num w:numId="41" w16cid:durableId="650787723">
    <w:abstractNumId w:val="10"/>
  </w:num>
  <w:num w:numId="42" w16cid:durableId="298388523">
    <w:abstractNumId w:val="10"/>
  </w:num>
  <w:num w:numId="43" w16cid:durableId="1284464726">
    <w:abstractNumId w:val="10"/>
  </w:num>
  <w:num w:numId="44" w16cid:durableId="2356719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LT"/>
    <w:docVar w:name="dvnumam" w:val="0"/>
    <w:docVar w:name="dvpe" w:val="776.734"/>
    <w:docVar w:name="dvrapporteur" w:val="Pranešėjas: "/>
    <w:docVar w:name="dvtitre" w:val="2026 m. ... ... d. Europos Parlamento sprendimas dėl 2024 finansinių metų Europos Sąjungos bendrojo biudžeto įvykdymo patvirtinimo, I skirsnis – Europos Parlamentas(2025/2146(DEC))"/>
  </w:docVars>
  <w:rsids>
    <w:rsidRoot w:val="00B27185"/>
    <w:rsid w:val="00002272"/>
    <w:rsid w:val="00020113"/>
    <w:rsid w:val="00064002"/>
    <w:rsid w:val="000677B9"/>
    <w:rsid w:val="000831BA"/>
    <w:rsid w:val="000A42CC"/>
    <w:rsid w:val="000E7DD9"/>
    <w:rsid w:val="0010095E"/>
    <w:rsid w:val="00125B37"/>
    <w:rsid w:val="00187494"/>
    <w:rsid w:val="001D068B"/>
    <w:rsid w:val="001F32AE"/>
    <w:rsid w:val="002767FF"/>
    <w:rsid w:val="00286C6F"/>
    <w:rsid w:val="002B18FE"/>
    <w:rsid w:val="002B5493"/>
    <w:rsid w:val="002C305F"/>
    <w:rsid w:val="00343214"/>
    <w:rsid w:val="00361C00"/>
    <w:rsid w:val="00395FA1"/>
    <w:rsid w:val="003E15D4"/>
    <w:rsid w:val="00411CCE"/>
    <w:rsid w:val="0041666E"/>
    <w:rsid w:val="00421060"/>
    <w:rsid w:val="00426710"/>
    <w:rsid w:val="00471C19"/>
    <w:rsid w:val="004867E3"/>
    <w:rsid w:val="00494A28"/>
    <w:rsid w:val="004B6350"/>
    <w:rsid w:val="004C0004"/>
    <w:rsid w:val="004C5D52"/>
    <w:rsid w:val="0050519A"/>
    <w:rsid w:val="005072A1"/>
    <w:rsid w:val="00514517"/>
    <w:rsid w:val="0054178A"/>
    <w:rsid w:val="00545827"/>
    <w:rsid w:val="00560270"/>
    <w:rsid w:val="005A72BF"/>
    <w:rsid w:val="005C2568"/>
    <w:rsid w:val="005F1B17"/>
    <w:rsid w:val="005F3CB4"/>
    <w:rsid w:val="006037C0"/>
    <w:rsid w:val="00621C8D"/>
    <w:rsid w:val="0063479C"/>
    <w:rsid w:val="006631B6"/>
    <w:rsid w:val="00680577"/>
    <w:rsid w:val="006F74FA"/>
    <w:rsid w:val="00731ADD"/>
    <w:rsid w:val="00734777"/>
    <w:rsid w:val="00747932"/>
    <w:rsid w:val="00751A4A"/>
    <w:rsid w:val="00756632"/>
    <w:rsid w:val="00762C74"/>
    <w:rsid w:val="00763CCF"/>
    <w:rsid w:val="00786EC0"/>
    <w:rsid w:val="00792C89"/>
    <w:rsid w:val="007954B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307F"/>
    <w:rsid w:val="00A1687D"/>
    <w:rsid w:val="00A43E52"/>
    <w:rsid w:val="00A4678D"/>
    <w:rsid w:val="00A778C7"/>
    <w:rsid w:val="00AB441E"/>
    <w:rsid w:val="00AB6293"/>
    <w:rsid w:val="00AE0928"/>
    <w:rsid w:val="00AE1DF7"/>
    <w:rsid w:val="00AF3B82"/>
    <w:rsid w:val="00B12E95"/>
    <w:rsid w:val="00B1473F"/>
    <w:rsid w:val="00B22876"/>
    <w:rsid w:val="00B27185"/>
    <w:rsid w:val="00B558F0"/>
    <w:rsid w:val="00BD48FE"/>
    <w:rsid w:val="00BD7BD8"/>
    <w:rsid w:val="00BE6ADC"/>
    <w:rsid w:val="00C05BFE"/>
    <w:rsid w:val="00C23CD4"/>
    <w:rsid w:val="00C53581"/>
    <w:rsid w:val="00C61C0C"/>
    <w:rsid w:val="00C941CB"/>
    <w:rsid w:val="00C96492"/>
    <w:rsid w:val="00CC2357"/>
    <w:rsid w:val="00CF071A"/>
    <w:rsid w:val="00D058B8"/>
    <w:rsid w:val="00D5124A"/>
    <w:rsid w:val="00D56C11"/>
    <w:rsid w:val="00D65B44"/>
    <w:rsid w:val="00D834A0"/>
    <w:rsid w:val="00D872DF"/>
    <w:rsid w:val="00D91E21"/>
    <w:rsid w:val="00DA7FCD"/>
    <w:rsid w:val="00E365E1"/>
    <w:rsid w:val="00E575A5"/>
    <w:rsid w:val="00E820A4"/>
    <w:rsid w:val="00EA7BD9"/>
    <w:rsid w:val="00EB006A"/>
    <w:rsid w:val="00EB4772"/>
    <w:rsid w:val="00EB69EC"/>
    <w:rsid w:val="00ED169E"/>
    <w:rsid w:val="00ED4235"/>
    <w:rsid w:val="00F04346"/>
    <w:rsid w:val="00F075DC"/>
    <w:rsid w:val="00F149E9"/>
    <w:rsid w:val="00F5134D"/>
    <w:rsid w:val="00F74202"/>
    <w:rsid w:val="00F87713"/>
    <w:rsid w:val="00FB3E9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CF0FA5"/>
  <w15:chartTrackingRefBased/>
  <w15:docId w15:val="{FFC0E9AF-AA05-4300-A58E-4F04796DC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E1DF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E1DF7"/>
    <w:pPr>
      <w:spacing w:before="480" w:after="240"/>
    </w:pPr>
  </w:style>
  <w:style w:type="paragraph" w:customStyle="1" w:styleId="PageHeading">
    <w:name w:val="PageHeading"/>
    <w:basedOn w:val="Normal"/>
    <w:rsid w:val="00AE1DF7"/>
    <w:pPr>
      <w:keepNext/>
      <w:spacing w:after="480"/>
      <w:jc w:val="center"/>
    </w:pPr>
    <w:rPr>
      <w:rFonts w:ascii="Arial" w:hAnsi="Arial" w:cs="Arial"/>
      <w:b/>
    </w:rPr>
  </w:style>
  <w:style w:type="paragraph" w:customStyle="1" w:styleId="NormalBold">
    <w:name w:val="NormalBold"/>
    <w:basedOn w:val="Normal"/>
    <w:rsid w:val="00AE1DF7"/>
    <w:rPr>
      <w:b/>
    </w:rPr>
  </w:style>
  <w:style w:type="paragraph" w:customStyle="1" w:styleId="NormalHanging12a">
    <w:name w:val="NormalHanging12a"/>
    <w:basedOn w:val="Normal"/>
    <w:link w:val="NormalHanging12aChar"/>
    <w:rsid w:val="00AE1DF7"/>
    <w:pPr>
      <w:spacing w:after="240"/>
      <w:ind w:left="567" w:hanging="567"/>
    </w:pPr>
  </w:style>
  <w:style w:type="paragraph" w:customStyle="1" w:styleId="EPFooter">
    <w:name w:val="EPFooter"/>
    <w:basedOn w:val="Normal"/>
    <w:rsid w:val="00AE1DF7"/>
    <w:pPr>
      <w:tabs>
        <w:tab w:val="center" w:pos="4535"/>
        <w:tab w:val="right" w:pos="9071"/>
      </w:tabs>
      <w:spacing w:before="240" w:after="240"/>
    </w:pPr>
    <w:rPr>
      <w:color w:val="010000"/>
      <w:sz w:val="22"/>
    </w:rPr>
  </w:style>
  <w:style w:type="paragraph" w:styleId="Header">
    <w:name w:val="header"/>
    <w:basedOn w:val="Normal"/>
    <w:link w:val="HeaderChar"/>
    <w:rsid w:val="00AE1DF7"/>
    <w:pPr>
      <w:tabs>
        <w:tab w:val="center" w:pos="4513"/>
        <w:tab w:val="right" w:pos="9026"/>
      </w:tabs>
    </w:pPr>
  </w:style>
  <w:style w:type="character" w:customStyle="1" w:styleId="HeaderChar">
    <w:name w:val="Header Char"/>
    <w:basedOn w:val="DefaultParagraphFont"/>
    <w:link w:val="Header"/>
    <w:rsid w:val="00AE1DF7"/>
    <w:rPr>
      <w:sz w:val="24"/>
      <w:lang w:val="lt-LT"/>
    </w:rPr>
  </w:style>
  <w:style w:type="character" w:styleId="Hyperlink">
    <w:name w:val="Hyperlink"/>
    <w:basedOn w:val="DefaultParagraphFont"/>
    <w:rsid w:val="00AE1DF7"/>
    <w:rPr>
      <w:color w:val="0563C1" w:themeColor="hyperlink"/>
      <w:u w:val="single"/>
    </w:rPr>
  </w:style>
  <w:style w:type="character" w:customStyle="1" w:styleId="NormalHanging12aChar">
    <w:name w:val="NormalHanging12a Char"/>
    <w:basedOn w:val="DefaultParagraphFont"/>
    <w:link w:val="NormalHanging12a"/>
    <w:rsid w:val="00AE1DF7"/>
    <w:rPr>
      <w:sz w:val="24"/>
      <w:lang w:val="lt-LT"/>
    </w:rPr>
  </w:style>
  <w:style w:type="paragraph" w:styleId="Footer">
    <w:name w:val="footer"/>
    <w:basedOn w:val="Normal"/>
    <w:link w:val="FooterChar"/>
    <w:rsid w:val="005A72BF"/>
    <w:pPr>
      <w:tabs>
        <w:tab w:val="center" w:pos="4513"/>
        <w:tab w:val="right" w:pos="9026"/>
      </w:tabs>
    </w:pPr>
  </w:style>
  <w:style w:type="character" w:customStyle="1" w:styleId="FooterChar">
    <w:name w:val="Footer Char"/>
    <w:basedOn w:val="DefaultParagraphFont"/>
    <w:link w:val="Footer"/>
    <w:rsid w:val="005A72BF"/>
    <w:rPr>
      <w:sz w:val="24"/>
      <w:lang w:val="lt-LT"/>
    </w:rPr>
  </w:style>
  <w:style w:type="paragraph" w:styleId="Revision">
    <w:name w:val="Revision"/>
    <w:hidden/>
    <w:uiPriority w:val="99"/>
    <w:semiHidden/>
    <w:rsid w:val="00621C8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14165</Words>
  <Characters>80745</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2026-04-29T13:13:00Z</dcterms:created>
  <dcterms:modified xsi:type="dcterms:W3CDTF">2026-04-29T13:13:00Z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A10-0081/2026</vt:lpwstr>
  </property>
  <property fmtid="{D5CDD505-2E9C-101B-9397-08002B2CF9AE}" pid="4" name="&lt;Type&gt;">
    <vt:lpwstr>RR</vt:lpwstr>
  </property>
</Properties>
</file>