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85F96" w14:paraId="71A29EEF" w14:textId="77777777" w:rsidTr="0010095E">
        <w:trPr>
          <w:trHeight w:hRule="exact" w:val="1418"/>
        </w:trPr>
        <w:tc>
          <w:tcPr>
            <w:tcW w:w="6804" w:type="dxa"/>
            <w:shd w:val="clear" w:color="auto" w:fill="auto"/>
            <w:vAlign w:val="center"/>
          </w:tcPr>
          <w:p w14:paraId="2C835405" w14:textId="77777777" w:rsidR="00751A4A" w:rsidRPr="00485F96" w:rsidRDefault="002867FC" w:rsidP="0010095E">
            <w:pPr>
              <w:pStyle w:val="EPName"/>
            </w:pPr>
            <w:r w:rsidRPr="00485F96">
              <w:t>Parlament Europejski</w:t>
            </w:r>
          </w:p>
          <w:p w14:paraId="453B1F9B" w14:textId="77777777" w:rsidR="00751A4A" w:rsidRPr="00485F96" w:rsidRDefault="005F1B17" w:rsidP="005F1B17">
            <w:pPr>
              <w:pStyle w:val="EPTerm"/>
              <w:rPr>
                <w:rStyle w:val="HideTWBExt"/>
                <w:noProof w:val="0"/>
                <w:vanish w:val="0"/>
                <w:color w:val="auto"/>
              </w:rPr>
            </w:pPr>
            <w:r w:rsidRPr="00485F96">
              <w:t>2024</w:t>
            </w:r>
            <w:r w:rsidR="00817416" w:rsidRPr="00485F96">
              <w:t>-202</w:t>
            </w:r>
            <w:r w:rsidRPr="00485F96">
              <w:t>9</w:t>
            </w:r>
          </w:p>
        </w:tc>
        <w:tc>
          <w:tcPr>
            <w:tcW w:w="2268" w:type="dxa"/>
            <w:shd w:val="clear" w:color="auto" w:fill="auto"/>
          </w:tcPr>
          <w:p w14:paraId="08384458" w14:textId="77777777" w:rsidR="00751A4A" w:rsidRPr="00485F96" w:rsidRDefault="00187494" w:rsidP="0010095E">
            <w:pPr>
              <w:pStyle w:val="EPLogo"/>
            </w:pPr>
            <w:r w:rsidRPr="00485F96">
              <w:rPr>
                <w:noProof/>
                <w:lang w:eastAsia="ja-JP"/>
              </w:rPr>
              <w:drawing>
                <wp:inline distT="0" distB="0" distL="0" distR="0" wp14:anchorId="0CFE7ACE" wp14:editId="19B9D9A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6B83528" w14:textId="77777777" w:rsidR="00D058B8" w:rsidRPr="00485F96" w:rsidRDefault="00D058B8" w:rsidP="004C5D52">
      <w:pPr>
        <w:pStyle w:val="LineTop"/>
      </w:pPr>
    </w:p>
    <w:p w14:paraId="63DBFC99" w14:textId="77777777" w:rsidR="00680577" w:rsidRPr="00485F96" w:rsidRDefault="002867FC" w:rsidP="00680577">
      <w:pPr>
        <w:pStyle w:val="EPBodyTA1"/>
      </w:pPr>
      <w:r w:rsidRPr="00485F96">
        <w:t>TEKSTY PRZYJĘTE</w:t>
      </w:r>
    </w:p>
    <w:p w14:paraId="097654D9" w14:textId="77777777" w:rsidR="00D058B8" w:rsidRPr="00485F96" w:rsidRDefault="00D058B8" w:rsidP="00D058B8">
      <w:pPr>
        <w:pStyle w:val="LineBottom"/>
      </w:pPr>
    </w:p>
    <w:p w14:paraId="1BA1C574" w14:textId="4880E8FF" w:rsidR="002867FC" w:rsidRPr="00485F96" w:rsidRDefault="002867FC" w:rsidP="002867FC">
      <w:pPr>
        <w:pStyle w:val="ATHeading1"/>
      </w:pPr>
      <w:bookmarkStart w:id="0" w:name="TANumber"/>
      <w:r w:rsidRPr="00485F96">
        <w:t>P10_TA(2026)0</w:t>
      </w:r>
      <w:bookmarkEnd w:id="0"/>
      <w:r w:rsidR="00F70C29">
        <w:t>126</w:t>
      </w:r>
    </w:p>
    <w:p w14:paraId="2820A498" w14:textId="77777777" w:rsidR="002867FC" w:rsidRPr="00485F96" w:rsidRDefault="002867FC" w:rsidP="002867FC">
      <w:pPr>
        <w:pStyle w:val="ATHeading2"/>
      </w:pPr>
      <w:bookmarkStart w:id="1" w:name="title"/>
      <w:r w:rsidRPr="00485F96">
        <w:t>Absolutorium za rok 2024: budżet ogólny UE – Parlament Europejski</w:t>
      </w:r>
      <w:bookmarkEnd w:id="1"/>
    </w:p>
    <w:p w14:paraId="07573091" w14:textId="77777777" w:rsidR="002867FC" w:rsidRPr="00485F96" w:rsidRDefault="002867FC" w:rsidP="002867FC">
      <w:pPr>
        <w:rPr>
          <w:i/>
          <w:vanish/>
        </w:rPr>
      </w:pPr>
      <w:r w:rsidRPr="00485F96">
        <w:rPr>
          <w:i/>
        </w:rPr>
        <w:fldChar w:fldCharType="begin"/>
      </w:r>
      <w:r w:rsidRPr="00485F96">
        <w:rPr>
          <w:i/>
        </w:rPr>
        <w:instrText xml:space="preserve"> TC"(</w:instrText>
      </w:r>
      <w:bookmarkStart w:id="2" w:name="DocNumber"/>
      <w:r w:rsidRPr="00485F96">
        <w:rPr>
          <w:i/>
        </w:rPr>
        <w:instrText>A10-0081/2026</w:instrText>
      </w:r>
      <w:bookmarkEnd w:id="2"/>
      <w:r w:rsidRPr="00485F96">
        <w:rPr>
          <w:i/>
        </w:rPr>
        <w:instrText xml:space="preserve"> - Sprawozdawca: </w:instrText>
      </w:r>
      <w:proofErr w:type="spellStart"/>
      <w:r w:rsidRPr="00485F96">
        <w:rPr>
          <w:i/>
        </w:rPr>
        <w:instrText>Gerben</w:instrText>
      </w:r>
      <w:proofErr w:type="spellEnd"/>
      <w:r w:rsidRPr="00485F96">
        <w:rPr>
          <w:i/>
        </w:rPr>
        <w:instrText xml:space="preserve">-Jan </w:instrText>
      </w:r>
      <w:proofErr w:type="spellStart"/>
      <w:r w:rsidRPr="00485F96">
        <w:rPr>
          <w:i/>
        </w:rPr>
        <w:instrText>Gerbrandy</w:instrText>
      </w:r>
      <w:proofErr w:type="spellEnd"/>
      <w:r w:rsidRPr="00485F96">
        <w:rPr>
          <w:i/>
        </w:rPr>
        <w:instrText xml:space="preserve">)"\l3 \n&gt; \* MERGEFORMAT </w:instrText>
      </w:r>
      <w:r w:rsidRPr="00485F96">
        <w:rPr>
          <w:i/>
        </w:rPr>
        <w:fldChar w:fldCharType="end"/>
      </w:r>
    </w:p>
    <w:p w14:paraId="36EED9E2" w14:textId="77777777" w:rsidR="002867FC" w:rsidRPr="00485F96" w:rsidRDefault="002867FC" w:rsidP="002867FC">
      <w:pPr>
        <w:rPr>
          <w:vanish/>
        </w:rPr>
      </w:pPr>
      <w:bookmarkStart w:id="3" w:name="Commission"/>
      <w:r w:rsidRPr="00485F96">
        <w:rPr>
          <w:vanish/>
        </w:rPr>
        <w:t>Komisja Kontroli Budżetowej</w:t>
      </w:r>
      <w:bookmarkEnd w:id="3"/>
    </w:p>
    <w:p w14:paraId="04297737" w14:textId="77777777" w:rsidR="002867FC" w:rsidRPr="00485F96" w:rsidRDefault="002867FC" w:rsidP="002867FC">
      <w:pPr>
        <w:rPr>
          <w:vanish/>
        </w:rPr>
      </w:pPr>
      <w:bookmarkStart w:id="4" w:name="PE"/>
      <w:r w:rsidRPr="00485F96">
        <w:rPr>
          <w:vanish/>
        </w:rPr>
        <w:t>PE776.734</w:t>
      </w:r>
      <w:bookmarkEnd w:id="4"/>
    </w:p>
    <w:p w14:paraId="45CF30BA" w14:textId="1D75BCDD" w:rsidR="002867FC" w:rsidRPr="00485F96" w:rsidRDefault="0022150E" w:rsidP="002867FC">
      <w:pPr>
        <w:pStyle w:val="ATHeading3"/>
      </w:pPr>
      <w:bookmarkStart w:id="5" w:name="Sujet"/>
      <w:r>
        <w:t xml:space="preserve">1. </w:t>
      </w:r>
      <w:r w:rsidR="002867FC" w:rsidRPr="00485F96">
        <w:t xml:space="preserve">Decyzja Parlamentu Europejskiego z dnia </w:t>
      </w:r>
      <w:r w:rsidR="00A0694F">
        <w:t>29 kwietnia</w:t>
      </w:r>
      <w:r w:rsidR="002867FC" w:rsidRPr="00485F96">
        <w:t xml:space="preserve"> 2026 r. w sprawie absolutorium z wykonania budżetu ogólnego Unii Europejskiej za rok budżetowy 2024, sekcja I - Parlament Europejski</w:t>
      </w:r>
      <w:bookmarkEnd w:id="5"/>
      <w:r w:rsidR="002867FC" w:rsidRPr="00485F96">
        <w:t xml:space="preserve"> </w:t>
      </w:r>
      <w:bookmarkStart w:id="6" w:name="References"/>
      <w:r w:rsidR="002867FC" w:rsidRPr="00485F96">
        <w:t>(2025/2146(DEC))</w:t>
      </w:r>
      <w:bookmarkEnd w:id="6"/>
    </w:p>
    <w:p w14:paraId="71E82DC0" w14:textId="77777777" w:rsidR="00EF304C" w:rsidRPr="00485F96" w:rsidRDefault="00EF304C" w:rsidP="00EF304C">
      <w:pPr>
        <w:pStyle w:val="EPComma"/>
        <w:rPr>
          <w:noProof/>
        </w:rPr>
      </w:pPr>
      <w:bookmarkStart w:id="7" w:name="TextBodyBegin"/>
      <w:bookmarkEnd w:id="7"/>
      <w:r w:rsidRPr="00485F96">
        <w:rPr>
          <w:i/>
        </w:rPr>
        <w:t>Parlament Europejski</w:t>
      </w:r>
      <w:r w:rsidRPr="00485F96">
        <w:t>,</w:t>
      </w:r>
    </w:p>
    <w:p w14:paraId="733003C0" w14:textId="77777777" w:rsidR="00EF304C" w:rsidRPr="00485F96" w:rsidRDefault="00EF304C" w:rsidP="00EF304C">
      <w:pPr>
        <w:pStyle w:val="NormalHanging12a"/>
        <w:rPr>
          <w:noProof/>
        </w:rPr>
      </w:pPr>
      <w:r w:rsidRPr="00485F96">
        <w:t>–</w:t>
      </w:r>
      <w:r w:rsidRPr="00485F96">
        <w:tab/>
        <w:t>uwzględniając budżet ogólny Unii Europejskiej na rok budżetowy 2024</w:t>
      </w:r>
      <w:r w:rsidRPr="00485F96">
        <w:rPr>
          <w:rStyle w:val="FootnoteReference"/>
          <w:noProof/>
        </w:rPr>
        <w:footnoteReference w:id="1"/>
      </w:r>
      <w:r w:rsidRPr="00485F96">
        <w:t>,</w:t>
      </w:r>
    </w:p>
    <w:p w14:paraId="140CD743" w14:textId="77777777" w:rsidR="00EF304C" w:rsidRPr="00485F96" w:rsidRDefault="00EF304C" w:rsidP="00EF304C">
      <w:pPr>
        <w:pStyle w:val="NormalHanging12a"/>
        <w:rPr>
          <w:noProof/>
        </w:rPr>
      </w:pPr>
      <w:r w:rsidRPr="00485F96">
        <w:t>–</w:t>
      </w:r>
      <w:r w:rsidRPr="00485F96">
        <w:tab/>
        <w:t>uwzględniając skonsolidowane roczne sprawozdanie finansowe Unii Europejskiej za rok 2024 (COM(2025)0359 – C10–0146/2025)</w:t>
      </w:r>
      <w:r w:rsidRPr="00485F96">
        <w:rPr>
          <w:rStyle w:val="FootnoteReference"/>
          <w:noProof/>
        </w:rPr>
        <w:footnoteReference w:id="2"/>
      </w:r>
      <w:r w:rsidRPr="00485F96">
        <w:t>,</w:t>
      </w:r>
    </w:p>
    <w:p w14:paraId="4BAAD837" w14:textId="77777777" w:rsidR="00EF304C" w:rsidRPr="00485F96" w:rsidRDefault="00EF304C" w:rsidP="00EF304C">
      <w:pPr>
        <w:pStyle w:val="NormalHanging12a"/>
        <w:rPr>
          <w:noProof/>
        </w:rPr>
      </w:pPr>
      <w:r w:rsidRPr="00485F96">
        <w:t>–</w:t>
      </w:r>
      <w:r w:rsidRPr="00485F96">
        <w:tab/>
        <w:t>uwzględniając sprawozdanie z zarządzania budżetem i finansami za rok budżetowy 2024, sekcja I – Parlament Europejski</w:t>
      </w:r>
      <w:r w:rsidRPr="00485F96">
        <w:rPr>
          <w:rStyle w:val="FootnoteReference"/>
          <w:noProof/>
        </w:rPr>
        <w:footnoteReference w:id="3"/>
      </w:r>
      <w:r w:rsidRPr="00485F96">
        <w:t>,</w:t>
      </w:r>
    </w:p>
    <w:p w14:paraId="74359CA1" w14:textId="77777777" w:rsidR="00EF304C" w:rsidRPr="00485F96" w:rsidRDefault="00EF304C" w:rsidP="00EF304C">
      <w:pPr>
        <w:pStyle w:val="NormalHanging12a"/>
        <w:rPr>
          <w:noProof/>
        </w:rPr>
      </w:pPr>
      <w:r w:rsidRPr="00485F96">
        <w:t>–</w:t>
      </w:r>
      <w:r w:rsidRPr="00485F96">
        <w:tab/>
        <w:t>uwzględniając sprawozdanie roczne audytora wewnętrznego za rok budżetowy 2024,</w:t>
      </w:r>
    </w:p>
    <w:p w14:paraId="47C6C6D9" w14:textId="77777777" w:rsidR="00EF304C" w:rsidRPr="00485F96" w:rsidRDefault="00EF304C" w:rsidP="00EF304C">
      <w:pPr>
        <w:pStyle w:val="NormalHanging12a"/>
        <w:rPr>
          <w:noProof/>
        </w:rPr>
      </w:pPr>
      <w:r w:rsidRPr="00485F96">
        <w:t>–</w:t>
      </w:r>
      <w:r w:rsidRPr="00485F96">
        <w:tab/>
        <w:t>uwzględniając sprawozdanie roczne Trybunału Obrachunkowego dotyczące wykonania budżetu za rok budżetowy 2024 wraz z odpowiedziami instytucji</w:t>
      </w:r>
      <w:r w:rsidRPr="00485F96">
        <w:rPr>
          <w:rStyle w:val="FootnoteReference"/>
          <w:noProof/>
        </w:rPr>
        <w:footnoteReference w:id="4"/>
      </w:r>
      <w:r w:rsidRPr="00485F96">
        <w:t>,</w:t>
      </w:r>
    </w:p>
    <w:p w14:paraId="2FC73E23" w14:textId="77777777" w:rsidR="00EF304C" w:rsidRPr="00485F96" w:rsidRDefault="00EF304C" w:rsidP="00EF304C">
      <w:pPr>
        <w:pStyle w:val="NormalHanging12a"/>
        <w:rPr>
          <w:noProof/>
        </w:rPr>
      </w:pPr>
      <w:r w:rsidRPr="00485F96">
        <w:t>–</w:t>
      </w:r>
      <w:r w:rsidRPr="00485F96">
        <w:tab/>
        <w:t>uwzględniając poświadczenie wiarygodności</w:t>
      </w:r>
      <w:r w:rsidRPr="00485F96">
        <w:rPr>
          <w:rStyle w:val="FootnoteReference"/>
          <w:noProof/>
        </w:rPr>
        <w:footnoteReference w:id="5"/>
      </w:r>
      <w:r w:rsidRPr="00485F96">
        <w:t xml:space="preserve"> rachunków, jak również legalności i prawidłowości operacji leżących u ich podstaw przedłożone przez Trybunał Obrachunkowy za rok budżetowy 2024 zgodnie z art. 287 Traktatu o funkcjonowaniu Unii Europejskiej,</w:t>
      </w:r>
    </w:p>
    <w:p w14:paraId="09A78D40" w14:textId="77777777" w:rsidR="00EF304C" w:rsidRPr="00485F96" w:rsidRDefault="00EF304C" w:rsidP="00EF304C">
      <w:pPr>
        <w:pStyle w:val="NormalHanging12a"/>
        <w:rPr>
          <w:noProof/>
        </w:rPr>
      </w:pPr>
      <w:r w:rsidRPr="00485F96">
        <w:t>–</w:t>
      </w:r>
      <w:r w:rsidRPr="00485F96">
        <w:tab/>
        <w:t>uwzględniając art. 314 ust. 10 i art. 318 Traktatu o funkcjonowaniu Unii Europejskiej,</w:t>
      </w:r>
    </w:p>
    <w:p w14:paraId="7BE27D21" w14:textId="77777777" w:rsidR="00EF304C" w:rsidRPr="00485F96" w:rsidRDefault="00EF304C" w:rsidP="00EF304C">
      <w:pPr>
        <w:pStyle w:val="NormalHanging12a"/>
        <w:rPr>
          <w:noProof/>
        </w:rPr>
      </w:pPr>
      <w:r w:rsidRPr="00485F96">
        <w:t>–</w:t>
      </w:r>
      <w:r w:rsidRPr="00485F96">
        <w:tab/>
        <w:t xml:space="preserve">uwzględniając rozporządzenie Parlamentu Europejskiego i Rady (UE, </w:t>
      </w:r>
      <w:proofErr w:type="spellStart"/>
      <w:r w:rsidRPr="00485F96">
        <w:t>Euratom</w:t>
      </w:r>
      <w:proofErr w:type="spellEnd"/>
      <w:r w:rsidRPr="00485F96">
        <w:t xml:space="preserve">) 2018/1046 z dnia 18 lipca 2018 r. w sprawie zasad finansowych mających zastosowanie </w:t>
      </w:r>
      <w:r w:rsidRPr="00485F96">
        <w:lastRenderedPageBreak/>
        <w:t xml:space="preserve">do budżetu ogólnego Unii, zmieniające rozporządzenia (UE) nr 1296/2013, (UE) nr 1301/2013, (UE) nr 1303/2013, (UE) nr 1304/2013, (UE) nr 1309/2013, (UE) nr 1316/2013, (UE) nr 223/2014 i (UE) nr 283/2014 oraz decyzję nr 541/2014/UE, a także uchylające rozporządzenie (UE, </w:t>
      </w:r>
      <w:proofErr w:type="spellStart"/>
      <w:r w:rsidRPr="00485F96">
        <w:t>Euratom</w:t>
      </w:r>
      <w:proofErr w:type="spellEnd"/>
      <w:r w:rsidRPr="00485F96">
        <w:t>) nr 966/2012</w:t>
      </w:r>
      <w:r w:rsidRPr="00485F96">
        <w:rPr>
          <w:rStyle w:val="FootnoteReference"/>
          <w:noProof/>
        </w:rPr>
        <w:footnoteReference w:id="6"/>
      </w:r>
      <w:r w:rsidRPr="00485F96">
        <w:t>, w szczególności jego art. 69, 260, 261 i 262,</w:t>
      </w:r>
    </w:p>
    <w:p w14:paraId="3AE753A0" w14:textId="77777777" w:rsidR="00EF304C" w:rsidRPr="00485F96" w:rsidRDefault="00EF304C" w:rsidP="00EF304C">
      <w:pPr>
        <w:pStyle w:val="NormalHanging12a"/>
        <w:rPr>
          <w:noProof/>
        </w:rPr>
      </w:pPr>
      <w:r w:rsidRPr="00485F96">
        <w:t>–</w:t>
      </w:r>
      <w:r w:rsidRPr="00485F96">
        <w:tab/>
        <w:t xml:space="preserve">uwzględniając rozporządzenie Parlamentu Europejskiego i Rady (UE, </w:t>
      </w:r>
      <w:proofErr w:type="spellStart"/>
      <w:r w:rsidRPr="00485F96">
        <w:t>Euratom</w:t>
      </w:r>
      <w:proofErr w:type="spellEnd"/>
      <w:r w:rsidRPr="00485F96">
        <w:t>) 2024/2509 z dnia 23 września 2024 r. w sprawie zasad finansowych mających zastosowanie do budżetu ogólnego Unii</w:t>
      </w:r>
      <w:r w:rsidRPr="00485F96">
        <w:rPr>
          <w:rStyle w:val="FootnoteReference"/>
          <w:noProof/>
        </w:rPr>
        <w:footnoteReference w:id="7"/>
      </w:r>
      <w:r w:rsidRPr="00485F96">
        <w:t>, w szczególności jego art. 266, 267 i 268,</w:t>
      </w:r>
    </w:p>
    <w:p w14:paraId="577FE5AF" w14:textId="77777777" w:rsidR="00EF304C" w:rsidRPr="00485F96" w:rsidRDefault="00EF304C" w:rsidP="00EF304C">
      <w:pPr>
        <w:pStyle w:val="NormalHanging12a"/>
        <w:rPr>
          <w:noProof/>
        </w:rPr>
      </w:pPr>
      <w:r w:rsidRPr="00485F96">
        <w:t>–</w:t>
      </w:r>
      <w:r w:rsidRPr="00485F96">
        <w:tab/>
        <w:t>uwzględniając decyzję Prezydium z dnia 10 grudnia 2018 r. w sprawie przepisów wewnętrznych dotyczących wykonania budżetu Parlamentu Europejskiego, w szczególności jej art. 34,</w:t>
      </w:r>
    </w:p>
    <w:p w14:paraId="609B4C21" w14:textId="77777777" w:rsidR="00EF304C" w:rsidRPr="00485F96" w:rsidRDefault="00EF304C" w:rsidP="00EF304C">
      <w:pPr>
        <w:pStyle w:val="NormalHanging12a"/>
        <w:rPr>
          <w:noProof/>
        </w:rPr>
      </w:pPr>
      <w:r w:rsidRPr="00485F96">
        <w:t>–</w:t>
      </w:r>
      <w:r w:rsidRPr="00485F96">
        <w:tab/>
        <w:t>uwzględniając art. 102 i art. 106 ust. 3 Regulaminu oraz załącznik V do Regulaminu,</w:t>
      </w:r>
    </w:p>
    <w:p w14:paraId="40C47ADC" w14:textId="77777777" w:rsidR="00EF304C" w:rsidRPr="00485F96" w:rsidRDefault="00EF304C" w:rsidP="00EF304C">
      <w:pPr>
        <w:pStyle w:val="NormalHanging12a"/>
      </w:pPr>
      <w:r w:rsidRPr="00485F96">
        <w:t>–</w:t>
      </w:r>
      <w:r w:rsidRPr="00485F96">
        <w:tab/>
        <w:t>uwzględniając opinię przedstawioną przez Komisję Praw Kobiet i Równouprawnienia,</w:t>
      </w:r>
    </w:p>
    <w:p w14:paraId="4CAA20D7" w14:textId="77777777" w:rsidR="00EF304C" w:rsidRPr="00485F96" w:rsidRDefault="00EF304C" w:rsidP="00EF304C">
      <w:pPr>
        <w:pStyle w:val="NormalHanging12a"/>
      </w:pPr>
      <w:r w:rsidRPr="00485F96">
        <w:t>–</w:t>
      </w:r>
      <w:r w:rsidRPr="00485F96">
        <w:tab/>
        <w:t>uwzględniając sprawozdanie Komisji Kontroli Budżetowej (A10-0081/2026),</w:t>
      </w:r>
    </w:p>
    <w:p w14:paraId="35BAA68E" w14:textId="77777777" w:rsidR="00EF304C" w:rsidRPr="00485F96" w:rsidRDefault="00EF304C" w:rsidP="00EF304C">
      <w:pPr>
        <w:pStyle w:val="NormalHanging12a"/>
        <w:rPr>
          <w:noProof/>
        </w:rPr>
      </w:pPr>
      <w:r w:rsidRPr="00485F96">
        <w:t>1.</w:t>
      </w:r>
      <w:r w:rsidRPr="00485F96">
        <w:tab/>
        <w:t>udziela swojej przewodniczącej absolutorium z wykonania budżetu Parlamentu Europejskiego za rok budżetowy 2024;</w:t>
      </w:r>
    </w:p>
    <w:p w14:paraId="5494763E" w14:textId="77777777" w:rsidR="00EF304C" w:rsidRPr="00485F96" w:rsidRDefault="00EF304C" w:rsidP="00EF304C">
      <w:pPr>
        <w:pStyle w:val="NormalHanging12a"/>
        <w:rPr>
          <w:noProof/>
        </w:rPr>
      </w:pPr>
      <w:r w:rsidRPr="00485F96">
        <w:t>2.</w:t>
      </w:r>
      <w:r w:rsidRPr="00485F96">
        <w:tab/>
        <w:t>przedstawia swoje uwagi w poniższej rezolucji;</w:t>
      </w:r>
    </w:p>
    <w:p w14:paraId="5E890E80" w14:textId="77777777" w:rsidR="00EF304C" w:rsidRPr="00485F96" w:rsidRDefault="00EF304C" w:rsidP="00EF304C">
      <w:pPr>
        <w:pStyle w:val="NormalHanging12a"/>
        <w:rPr>
          <w:noProof/>
        </w:rPr>
      </w:pPr>
      <w:r w:rsidRPr="00485F96">
        <w:t>3.</w:t>
      </w:r>
      <w:r w:rsidRPr="00485F96">
        <w:tab/>
        <w:t xml:space="preserve">zobowiązuje swoją przewodniczącą do przekazania niniejszej decyzji wraz z rezolucją, która stanowi jej integralną część, Radzie, Komisji i Trybunałowi Obrachunkowemu oraz do zarządzenia jej publikacji w </w:t>
      </w:r>
      <w:r w:rsidRPr="00485F96">
        <w:rPr>
          <w:i/>
          <w:iCs/>
        </w:rPr>
        <w:t>Dzienniku Urzędowym Unii Europejskiej</w:t>
      </w:r>
      <w:r w:rsidRPr="00485F96">
        <w:t xml:space="preserve"> (seria L).</w:t>
      </w:r>
    </w:p>
    <w:p w14:paraId="4AFE2682" w14:textId="77777777" w:rsidR="00EF304C" w:rsidRPr="00485F96" w:rsidRDefault="00EF304C" w:rsidP="00EF304C"/>
    <w:p w14:paraId="1318132F" w14:textId="77777777" w:rsidR="00EF304C" w:rsidRPr="00485F96" w:rsidRDefault="00EF304C" w:rsidP="00EF304C">
      <w:pPr>
        <w:pStyle w:val="PageHeading"/>
        <w:sectPr w:rsidR="00EF304C" w:rsidRPr="00485F96" w:rsidSect="00485F96">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3E57107C" w14:textId="1028636F" w:rsidR="0022150E" w:rsidRDefault="0022150E" w:rsidP="0022150E">
      <w:pPr>
        <w:pStyle w:val="ATHeading3"/>
      </w:pPr>
      <w:r>
        <w:lastRenderedPageBreak/>
        <w:t>2. Rezolucja Parlamentu Europejskiego z dnia 29 kwietnia 2026 r. zawierając</w:t>
      </w:r>
      <w:r w:rsidR="008963A5">
        <w:t>a</w:t>
      </w:r>
      <w:r>
        <w:t xml:space="preserve"> uwagi stanowiące integralną część decyzji w sprawie absolutorium z wykonania budżetu ogólnego Unii Europejskiej za rok budżetowy 2024, sekcja I - Parlament Europejski (2025/2146(DEC))</w:t>
      </w:r>
    </w:p>
    <w:p w14:paraId="72926C59" w14:textId="77777777" w:rsidR="00EF304C" w:rsidRPr="00485F96" w:rsidRDefault="00EF304C" w:rsidP="00EF304C">
      <w:pPr>
        <w:pStyle w:val="EPComma"/>
        <w:rPr>
          <w:noProof/>
        </w:rPr>
      </w:pPr>
      <w:r w:rsidRPr="00485F96">
        <w:rPr>
          <w:i/>
        </w:rPr>
        <w:t>Parlament Europejski</w:t>
      </w:r>
      <w:r w:rsidRPr="00485F96">
        <w:t>,</w:t>
      </w:r>
    </w:p>
    <w:p w14:paraId="76537F93" w14:textId="77777777" w:rsidR="00EF304C" w:rsidRPr="00485F96" w:rsidRDefault="00EF304C" w:rsidP="00EF304C">
      <w:pPr>
        <w:pStyle w:val="NormalHanging12a"/>
        <w:rPr>
          <w:noProof/>
        </w:rPr>
      </w:pPr>
      <w:r w:rsidRPr="00485F96">
        <w:t>–</w:t>
      </w:r>
      <w:r w:rsidRPr="00485F96">
        <w:tab/>
        <w:t>uwzględniając swoją decyzję w sprawie absolutorium z wykonania budżetu ogólnego Unii Europejskiej za rok budżetowy 2024, sekcja I - Parlament Europejski,</w:t>
      </w:r>
    </w:p>
    <w:p w14:paraId="7C52244F" w14:textId="77777777" w:rsidR="00EF304C" w:rsidRPr="00485F96" w:rsidRDefault="00EF304C" w:rsidP="00EF304C">
      <w:pPr>
        <w:pStyle w:val="NormalHanging12a"/>
        <w:rPr>
          <w:noProof/>
        </w:rPr>
      </w:pPr>
      <w:r w:rsidRPr="00485F96">
        <w:t>–</w:t>
      </w:r>
      <w:r w:rsidRPr="00485F96">
        <w:tab/>
        <w:t>uwzględniając art. 102 i art. 106 ust. 3 Regulaminu oraz załącznik V do Regulaminu,</w:t>
      </w:r>
    </w:p>
    <w:p w14:paraId="7647D8EA" w14:textId="77777777" w:rsidR="00EF304C" w:rsidRPr="00485F96" w:rsidRDefault="00EF304C" w:rsidP="00EF304C">
      <w:pPr>
        <w:pStyle w:val="NormalHanging12a"/>
      </w:pPr>
      <w:r w:rsidRPr="00485F96">
        <w:t>–</w:t>
      </w:r>
      <w:r w:rsidRPr="00485F96">
        <w:tab/>
        <w:t>uwzględniając opinię przedstawioną przez Komisję Praw Kobiet i Równouprawnienia,</w:t>
      </w:r>
    </w:p>
    <w:p w14:paraId="3D5990B4" w14:textId="77777777" w:rsidR="00EF304C" w:rsidRPr="00485F96" w:rsidRDefault="00EF304C" w:rsidP="00EF304C">
      <w:pPr>
        <w:pStyle w:val="NormalHanging12a"/>
      </w:pPr>
      <w:r w:rsidRPr="00485F96">
        <w:t>–</w:t>
      </w:r>
      <w:r w:rsidRPr="00485F96">
        <w:tab/>
        <w:t>uwzględniając sprawozdanie Komisji Kontroli Budżetowej (A10-0081/2026),</w:t>
      </w:r>
    </w:p>
    <w:p w14:paraId="3011216F" w14:textId="77777777" w:rsidR="00EF304C" w:rsidRPr="00485F96" w:rsidRDefault="00EF304C" w:rsidP="00EF304C">
      <w:pPr>
        <w:pStyle w:val="NormalHanging12a"/>
        <w:rPr>
          <w:noProof/>
        </w:rPr>
      </w:pPr>
      <w:r w:rsidRPr="00485F96">
        <w:t>A.</w:t>
      </w:r>
      <w:r w:rsidRPr="00485F96">
        <w:tab/>
        <w:t>mając na uwadze, że w poświadczeniu sprawozdania końcowego księgowy Parlamentu Europejskiego (zwanego dalej „Parlamentem”) stwierdził, iż uzyskał wystarczającą pewność, że przedstawia ono rzetelnie we wszystkich istotnych aspektach sytuację finansową, wyniki operacji i przepływy pieniężne w Parlamencie;</w:t>
      </w:r>
    </w:p>
    <w:p w14:paraId="1C3C6336" w14:textId="77777777" w:rsidR="00EF304C" w:rsidRPr="00485F96" w:rsidRDefault="00EF304C" w:rsidP="00EF304C">
      <w:pPr>
        <w:pStyle w:val="NormalHanging12a"/>
        <w:rPr>
          <w:noProof/>
        </w:rPr>
      </w:pPr>
      <w:r w:rsidRPr="00485F96">
        <w:t>B.</w:t>
      </w:r>
      <w:r w:rsidRPr="00485F96">
        <w:tab/>
        <w:t>mając na uwadze, że zgodnie ze zwykłą procedurą przesłano 55 pytań do administracji Parlamentu, a otrzymane pisemne odpowiedzi zostały publicznie omówione przez parlamentarną Komisję Kontroli Budżetowej 8 grudnia 2025 r. w obecności sekretarza generalnego, wiceprzewodniczących Parlamentu odpowiedzialnych za budżet, audytora wewnętrznego i dyrektora Urzędu ds. Europejskich Partii Politycznych i Europejskich Fundacji Politycznych;</w:t>
      </w:r>
    </w:p>
    <w:p w14:paraId="53B6D7D2" w14:textId="77777777" w:rsidR="00EF304C" w:rsidRPr="00485F96" w:rsidRDefault="00EF304C" w:rsidP="00EF304C">
      <w:pPr>
        <w:pStyle w:val="NormalHanging12a"/>
      </w:pPr>
      <w:r w:rsidRPr="00485F96">
        <w:t>C.</w:t>
      </w:r>
      <w:r w:rsidRPr="00485F96">
        <w:tab/>
        <w:t xml:space="preserve">mając na uwadze, że zawsze istnieje możliwość poprawy i że konieczna jest kontrola, aby zagwarantować przejrzystość i uczciwość przywódców politycznych, posłów i administracji Parlamentu, a tym </w:t>
      </w:r>
      <w:proofErr w:type="gramStart"/>
      <w:r w:rsidRPr="00485F96">
        <w:t>samym</w:t>
      </w:r>
      <w:proofErr w:type="gramEnd"/>
      <w:r w:rsidRPr="00485F96">
        <w:t xml:space="preserve"> że są oni rozliczani przed obywatelami Unii, co przyczynia się do poprawy jakości, wydajności i skuteczności zarządzania finansami publicznymi, w tym do zachowania dyscypliny budżetowej, oraz do ochrony wiarygodności Parlamentu w wykonywaniu funkcji udzielania absolutorium innym instytucjom;</w:t>
      </w:r>
    </w:p>
    <w:p w14:paraId="28827EE3" w14:textId="77777777" w:rsidR="00EF304C" w:rsidRPr="00485F96" w:rsidRDefault="00EF304C" w:rsidP="00EF304C">
      <w:pPr>
        <w:pStyle w:val="NormalHanging12a"/>
      </w:pPr>
      <w:r w:rsidRPr="00485F96">
        <w:t>D.</w:t>
      </w:r>
      <w:r w:rsidRPr="00485F96">
        <w:tab/>
        <w:t xml:space="preserve">mając na uwadze, że pewność prawa jest jedną z wiodących zasad wykonywania decyzji administracyjnych; mając na uwadze, że coraz większa liczba przepisów i obowiązków może prowadzić do niejasności i niejednoznaczności w sytuacji, gdy posłowie i ich biura potrzebują pewności prawa, co zobowiązuje administrację do prowadzenia jasnej, kompleksowej i zgodnej z prawem komunikacji; </w:t>
      </w:r>
    </w:p>
    <w:p w14:paraId="314A9E03" w14:textId="77777777" w:rsidR="00EF304C" w:rsidRPr="00485F96" w:rsidRDefault="00EF304C" w:rsidP="00EF304C">
      <w:pPr>
        <w:pStyle w:val="NormalHanging12a"/>
      </w:pPr>
      <w:r w:rsidRPr="00485F96">
        <w:t>E.</w:t>
      </w:r>
      <w:r w:rsidRPr="00485F96">
        <w:tab/>
        <w:t xml:space="preserve">mając na uwadze, że posłowie otrzymują wsparcie finansowe i logistyczne od administracji, aby w pełni wykonywać swój mandat; mając na uwadze, że relacje między posłami, ich biurami i administracją opierają się na wzajemnym zaufaniu, które powinno być zasadą przewodnią przy zapewnianiu posłom wsparcia finansowego; mając na uwadze, że powinno to znaleźć odzwierciedlenie w kontroli i weryfikacji ex </w:t>
      </w:r>
      <w:proofErr w:type="spellStart"/>
      <w:r w:rsidRPr="00485F96">
        <w:t>ante</w:t>
      </w:r>
      <w:proofErr w:type="spellEnd"/>
      <w:r w:rsidRPr="00485F96">
        <w:t xml:space="preserve"> i ex post stosowanych przez administrację; mając na uwadze, że jasne, proporcjonalne, ukierunkowane, znormalizowane i uproszczone procedury są najlepszym i najskuteczniejszym sposobem przeprowadzania kontroli i weryfikacji uprawnień finansowych, a ich nadrzędnym celem jest zapewnienie najwyższego poziomu przejrzystości, rozliczalności, zwiększenie legitymacji demokratycznej, a tym </w:t>
      </w:r>
      <w:r w:rsidRPr="00485F96">
        <w:lastRenderedPageBreak/>
        <w:t>samym zwiększenie zaufania obywateli Unii;</w:t>
      </w:r>
    </w:p>
    <w:p w14:paraId="169CA0E0" w14:textId="77777777" w:rsidR="00EF304C" w:rsidRPr="00485F96" w:rsidRDefault="00EF304C" w:rsidP="00EF304C">
      <w:pPr>
        <w:pStyle w:val="NormalHanging12a"/>
      </w:pPr>
      <w:r w:rsidRPr="00485F96">
        <w:t>F.</w:t>
      </w:r>
      <w:r w:rsidRPr="00485F96">
        <w:tab/>
        <w:t xml:space="preserve">mając na uwadze, że zaufanie do uczciwości i praworządności Parlamentu ma zasadnicze znaczenie dla funkcjonowania demokracji europejskiej, przy pełnym poszanowaniu praw obywateli; </w:t>
      </w:r>
    </w:p>
    <w:p w14:paraId="11D4654E" w14:textId="77777777" w:rsidR="00EF304C" w:rsidRPr="00485F96" w:rsidRDefault="00EF304C" w:rsidP="00EF304C">
      <w:pPr>
        <w:pStyle w:val="NormalHanging12a"/>
      </w:pPr>
      <w:r w:rsidRPr="00485F96">
        <w:t>G.</w:t>
      </w:r>
      <w:r w:rsidRPr="00485F96">
        <w:tab/>
        <w:t>mając na uwadze, że posłowie są chronieni, ponieważ nie ponoszą odpowiedzialności za oddawane głosy i opinie wyrażane podczas wykonywania swoich obowiązków, a także nie można ich ścigać ani ograniczać ich wolności osobistej, gdy wykonują obowiązki w Parlamencie;</w:t>
      </w:r>
    </w:p>
    <w:p w14:paraId="1C3F1018" w14:textId="77777777" w:rsidR="00EF304C" w:rsidRPr="00485F96" w:rsidRDefault="00EF304C" w:rsidP="00EF304C">
      <w:pPr>
        <w:pStyle w:val="NormalHanging12a"/>
      </w:pPr>
      <w:r w:rsidRPr="00485F96">
        <w:t>H.</w:t>
      </w:r>
      <w:r w:rsidRPr="00485F96">
        <w:tab/>
        <w:t> mając na uwadze, że równouprawnienie płci i eliminowanie nierówności to podstawowe wartości Unii zapisane w art. 2 Traktatu o Unii Europejskiej (TUE); mając na uwadze, że Unia zobowiązała się do promowania równouprawnienia płci we wszystkich swoich przedsięwzięciach zgodnie z art. 8 Traktatu o funkcjonowaniu Unii Europejskiej, a tym samym ustanowiła zasadę upowszechniania aspektu płci i sporządzania budżetu z uwzględnieniem aspektu płci;</w:t>
      </w:r>
    </w:p>
    <w:p w14:paraId="3A592962" w14:textId="77777777" w:rsidR="00EF304C" w:rsidRPr="00485F96" w:rsidRDefault="00EF304C" w:rsidP="00EF304C">
      <w:pPr>
        <w:pStyle w:val="NormalHanging12a"/>
      </w:pPr>
      <w:r w:rsidRPr="00485F96">
        <w:t>I.</w:t>
      </w:r>
      <w:r w:rsidRPr="00485F96">
        <w:tab/>
        <w:t>mając na uwadze, że zgodnie z art. 249 Regulaminu Prezydium przyjmuje plan działania w sprawie równości płci, aby Parlament uwzględniał perspektywę płci we wszystkich swoich działaniach;</w:t>
      </w:r>
    </w:p>
    <w:p w14:paraId="09956514" w14:textId="77777777" w:rsidR="00EF304C" w:rsidRPr="00485F96" w:rsidRDefault="00EF304C" w:rsidP="00EF304C">
      <w:pPr>
        <w:spacing w:after="240"/>
        <w:rPr>
          <w:b/>
          <w:bCs/>
          <w:i/>
          <w:iCs/>
          <w14:textOutline w14:w="0" w14:cap="flat" w14:cmpd="sng" w14:algn="ctr">
            <w14:noFill/>
            <w14:prstDash w14:val="solid"/>
            <w14:bevel/>
          </w14:textOutline>
        </w:rPr>
      </w:pPr>
      <w:r w:rsidRPr="00485F96">
        <w:rPr>
          <w:b/>
          <w:i/>
          <w14:textOutline w14:w="0" w14:cap="flat" w14:cmpd="sng" w14:algn="ctr">
            <w14:noFill/>
            <w14:prstDash w14:val="solid"/>
            <w14:bevel/>
          </w14:textOutline>
        </w:rPr>
        <w:t>Zarządzanie budżetem i finansami przez Parlament</w:t>
      </w:r>
    </w:p>
    <w:p w14:paraId="435366E3" w14:textId="77777777" w:rsidR="00EF304C" w:rsidRPr="00485F96" w:rsidRDefault="00EF304C" w:rsidP="00EF304C">
      <w:pPr>
        <w:spacing w:after="240"/>
        <w:ind w:left="567" w:hanging="567"/>
        <w:rPr>
          <w:szCs w:val="24"/>
          <w14:textOutline w14:w="0" w14:cap="flat" w14:cmpd="sng" w14:algn="ctr">
            <w14:noFill/>
            <w14:prstDash w14:val="solid"/>
            <w14:bevel/>
          </w14:textOutline>
        </w:rPr>
      </w:pPr>
      <w:r w:rsidRPr="00485F96">
        <w:rPr>
          <w14:textOutline w14:w="0" w14:cap="flat" w14:cmpd="sng" w14:algn="ctr">
            <w14:noFill/>
            <w14:prstDash w14:val="solid"/>
            <w14:bevel/>
          </w14:textOutline>
        </w:rPr>
        <w:t>1</w:t>
      </w:r>
      <w:r w:rsidRPr="00485F96">
        <w:t>.</w:t>
      </w:r>
      <w:r w:rsidRPr="00485F96">
        <w:rPr>
          <w14:textOutline w14:w="0" w14:cap="flat" w14:cmpd="sng" w14:algn="ctr">
            <w14:noFill/>
            <w14:prstDash w14:val="solid"/>
            <w14:bevel/>
          </w14:textOutline>
        </w:rPr>
        <w:tab/>
      </w:r>
      <w:r w:rsidRPr="00485F96">
        <w:t>zauważa, że ostateczna kwota środków w budżecie Parlamentu na rok 2024 wyniosła 2 383 mln EUR, tj. 20,2 % środków w dziale 7 wieloletnich ram finansowych</w:t>
      </w:r>
      <w:r w:rsidRPr="00485F96">
        <w:rPr>
          <w:rStyle w:val="FootnoteReference"/>
        </w:rPr>
        <w:footnoteReference w:id="8"/>
      </w:r>
      <w:r w:rsidRPr="00485F96">
        <w:t>, przeznaczonych na wydatki administracyjne wszystkich instytucji unijnych w 2024 r.; w stosunku do budżetu w 2023 r. (2 247 mln EUR) kwota ta wzrosła o 6,05 %;</w:t>
      </w:r>
    </w:p>
    <w:p w14:paraId="719EFC43" w14:textId="77777777" w:rsidR="00EF304C" w:rsidRPr="00485F96" w:rsidRDefault="00EF304C" w:rsidP="00EF304C">
      <w:pPr>
        <w:spacing w:after="240"/>
        <w:ind w:left="567" w:hanging="567"/>
        <w:rPr>
          <w:szCs w:val="24"/>
          <w14:textOutline w14:w="0" w14:cap="flat" w14:cmpd="sng" w14:algn="ctr">
            <w14:noFill/>
            <w14:prstDash w14:val="solid"/>
            <w14:bevel/>
          </w14:textOutline>
        </w:rPr>
      </w:pPr>
      <w:r w:rsidRPr="00485F96">
        <w:rPr>
          <w14:textOutline w14:w="0" w14:cap="flat" w14:cmpd="sng" w14:algn="ctr">
            <w14:noFill/>
            <w14:prstDash w14:val="solid"/>
            <w14:bevel/>
          </w14:textOutline>
        </w:rPr>
        <w:t>2</w:t>
      </w:r>
      <w:r w:rsidRPr="00485F96">
        <w:t>.</w:t>
      </w:r>
      <w:r w:rsidRPr="00485F96">
        <w:rPr>
          <w14:textOutline w14:w="0" w14:cap="flat" w14:cmpd="sng" w14:algn="ctr">
            <w14:noFill/>
            <w14:prstDash w14:val="solid"/>
            <w14:bevel/>
          </w14:textOutline>
        </w:rPr>
        <w:tab/>
      </w:r>
      <w:r w:rsidRPr="00485F96">
        <w:t>zauważa, że całkowita kwota dochodów zaksięgowanych na dzień 31 grudnia 2024 r. wyniosła 281 517 001 EUR (w porównaniu z 255 205 473 EUR w 2023 r.);</w:t>
      </w:r>
      <w:r w:rsidRPr="00485F96">
        <w:rPr>
          <w14:textOutline w14:w="0" w14:cap="flat" w14:cmpd="sng" w14:algn="ctr">
            <w14:noFill/>
            <w14:prstDash w14:val="solid"/>
            <w14:bevel/>
          </w14:textOutline>
        </w:rPr>
        <w:t xml:space="preserve"> </w:t>
      </w:r>
      <w:r w:rsidRPr="00485F96">
        <w:t>zauważa, że dochody przeznaczone na określony cel udostępnione w 2024 r. wyniosły 40 277 555 EUR (w porównaniu z 50 186 995 EUR w 2023 r.);</w:t>
      </w:r>
    </w:p>
    <w:p w14:paraId="7B408275" w14:textId="77777777" w:rsidR="00EF304C" w:rsidRPr="00485F96" w:rsidRDefault="00EF304C" w:rsidP="00EF304C">
      <w:pPr>
        <w:spacing w:after="240"/>
        <w:ind w:left="567" w:hanging="567"/>
        <w:rPr>
          <w:szCs w:val="24"/>
          <w14:textOutline w14:w="0" w14:cap="flat" w14:cmpd="sng" w14:algn="ctr">
            <w14:noFill/>
            <w14:prstDash w14:val="solid"/>
            <w14:bevel/>
          </w14:textOutline>
        </w:rPr>
      </w:pPr>
      <w:r w:rsidRPr="00485F96">
        <w:rPr>
          <w14:textOutline w14:w="0" w14:cap="flat" w14:cmpd="sng" w14:algn="ctr">
            <w14:noFill/>
            <w14:prstDash w14:val="solid"/>
            <w14:bevel/>
          </w14:textOutline>
        </w:rPr>
        <w:t>3</w:t>
      </w:r>
      <w:r w:rsidRPr="00485F96">
        <w:t>.</w:t>
      </w:r>
      <w:r w:rsidRPr="00485F96">
        <w:rPr>
          <w14:textOutline w14:w="0" w14:cap="flat" w14:cmpd="sng" w14:algn="ctr">
            <w14:noFill/>
            <w14:prstDash w14:val="solid"/>
            <w14:bevel/>
          </w14:textOutline>
        </w:rPr>
        <w:tab/>
      </w:r>
      <w:r w:rsidRPr="00485F96">
        <w:t>zwraca uwagę, że 85,7 % łącznej kwoty zobowiązań przeznaczono na następujące sześć rozdziałów:</w:t>
      </w:r>
      <w:r w:rsidRPr="00485F96">
        <w:rPr>
          <w14:textOutline w14:w="0" w14:cap="flat" w14:cmpd="sng" w14:algn="ctr">
            <w14:noFill/>
            <w14:prstDash w14:val="solid"/>
            <w14:bevel/>
          </w14:textOutline>
        </w:rPr>
        <w:t xml:space="preserve"> </w:t>
      </w:r>
      <w:r w:rsidRPr="00485F96">
        <w:t>rozdział 1 0 „Posłowie”, rozdział 1 2 „Urzędnicy i pracownicy tymczasowi”, rozdział 1 4 „Inni pracownicy i usługi zewnętrzne”, rozdział 2 0 „Budynki i koszty dodatkowe”, rozdział 2 1 „Informatyka, sprzęt i majątek ruchomy” oraz rozdział 4 2 „Wydatki związane z asystentami posłów”;</w:t>
      </w:r>
    </w:p>
    <w:p w14:paraId="74D9C6E6" w14:textId="77777777" w:rsidR="00EF304C" w:rsidRPr="00485F96" w:rsidRDefault="00EF304C" w:rsidP="00EF304C">
      <w:pPr>
        <w:spacing w:after="240"/>
        <w:ind w:left="567" w:hanging="567"/>
        <w:rPr>
          <w:szCs w:val="24"/>
          <w14:textOutline w14:w="0" w14:cap="flat" w14:cmpd="sng" w14:algn="ctr">
            <w14:noFill/>
            <w14:prstDash w14:val="solid"/>
            <w14:bevel/>
          </w14:textOutline>
        </w:rPr>
      </w:pPr>
      <w:r w:rsidRPr="00485F96">
        <w:rPr>
          <w14:textOutline w14:w="0" w14:cap="flat" w14:cmpd="sng" w14:algn="ctr">
            <w14:noFill/>
            <w14:prstDash w14:val="solid"/>
            <w14:bevel/>
          </w14:textOutline>
        </w:rPr>
        <w:t>4.</w:t>
      </w:r>
      <w:r w:rsidRPr="00485F96">
        <w:rPr>
          <w14:textOutline w14:w="0" w14:cap="flat" w14:cmpd="sng" w14:algn="ctr">
            <w14:noFill/>
            <w14:prstDash w14:val="solid"/>
            <w14:bevel/>
          </w14:textOutline>
        </w:rPr>
        <w:tab/>
        <w:t>odnotowuje dane liczbowe, na podstawie których zamknięto księgi dochodów i wydatków Parlamentu za rok budżetowy 2024 i które przedstawiono w rocznym sprawozdaniu finansowym Parlamentu Europejskiego za rok budżetowy 2024, w sprawozdaniu z zarządzania budżetem i finansami w odniesieniu do sekcji I – Parlament Europejski oraz w sprawozdaniu w sprawie zamówień i koncesji udzielonych przez Parlament Europejski;</w:t>
      </w:r>
    </w:p>
    <w:p w14:paraId="61B06442" w14:textId="77777777" w:rsidR="00EF304C" w:rsidRPr="00485F96" w:rsidRDefault="00EF304C" w:rsidP="00EF304C">
      <w:pPr>
        <w:spacing w:after="240"/>
        <w:ind w:left="567" w:hanging="567"/>
        <w:rPr>
          <w:szCs w:val="24"/>
          <w14:textOutline w14:w="0" w14:cap="flat" w14:cmpd="sng" w14:algn="ctr">
            <w14:noFill/>
            <w14:prstDash w14:val="solid"/>
            <w14:bevel/>
          </w14:textOutline>
        </w:rPr>
      </w:pPr>
      <w:r w:rsidRPr="00485F96">
        <w:rPr>
          <w14:textOutline w14:w="0" w14:cap="flat" w14:cmpd="sng" w14:algn="ctr">
            <w14:noFill/>
            <w14:prstDash w14:val="solid"/>
            <w14:bevel/>
          </w14:textOutline>
        </w:rPr>
        <w:t>5</w:t>
      </w:r>
      <w:r w:rsidRPr="00485F96">
        <w:t>.</w:t>
      </w:r>
      <w:r w:rsidRPr="00485F96">
        <w:rPr>
          <w14:textOutline w14:w="0" w14:cap="flat" w14:cmpd="sng" w14:algn="ctr">
            <w14:noFill/>
            <w14:prstDash w14:val="solid"/>
            <w14:bevel/>
          </w14:textOutline>
        </w:rPr>
        <w:tab/>
      </w:r>
      <w:r w:rsidRPr="00485F96">
        <w:t xml:space="preserve">zauważa, że w roku budżetowym 2024 Komisja Budżetowa Parlamentu zatwierdziła 12 przesunięć („przesunięcia C”) zgodnie z art. 31 i 49 rozporządzenia finansowego na </w:t>
      </w:r>
      <w:r w:rsidRPr="00485F96">
        <w:lastRenderedPageBreak/>
        <w:t>kwotę 82 768 000 EUR, czyli 3,47 % ostatecznej kwoty środków;</w:t>
      </w:r>
      <w:r w:rsidRPr="00485F96">
        <w:rPr>
          <w14:textOutline w14:w="0" w14:cap="flat" w14:cmpd="sng" w14:algn="ctr">
            <w14:noFill/>
            <w14:prstDash w14:val="solid"/>
            <w14:bevel/>
          </w14:textOutline>
        </w:rPr>
        <w:t xml:space="preserve"> </w:t>
      </w:r>
      <w:r w:rsidRPr="00485F96">
        <w:t>zauważa, że przewodnicząca zatwierdziła 9 przesunięć („przesunięcia P”) zgodnie z art. 29 rozporządzenia finansowego na kwotę 11 479 000 EUR, czyli 0,4 % budżetu na 2024 r.;</w:t>
      </w:r>
    </w:p>
    <w:p w14:paraId="470317CF" w14:textId="77777777" w:rsidR="00EF304C" w:rsidRPr="00485F96" w:rsidRDefault="00EF304C" w:rsidP="00EF304C">
      <w:pPr>
        <w:spacing w:after="240"/>
        <w:ind w:left="567" w:hanging="567"/>
      </w:pPr>
      <w:r w:rsidRPr="00485F96">
        <w:rPr>
          <w14:textOutline w14:w="0" w14:cap="flat" w14:cmpd="sng" w14:algn="ctr">
            <w14:noFill/>
            <w14:prstDash w14:val="solid"/>
            <w14:bevel/>
          </w14:textOutline>
        </w:rPr>
        <w:t>6</w:t>
      </w:r>
      <w:r w:rsidRPr="00485F96">
        <w:t>.</w:t>
      </w:r>
      <w:r w:rsidRPr="00485F96">
        <w:rPr>
          <w14:textOutline w14:w="0" w14:cap="flat" w14:cmpd="sng" w14:algn="ctr">
            <w14:noFill/>
            <w14:prstDash w14:val="solid"/>
            <w14:bevel/>
          </w14:textOutline>
        </w:rPr>
        <w:tab/>
      </w:r>
      <w:r w:rsidRPr="00485F96">
        <w:t>z zadowoleniem przyjmuje zobowiązanie sekretarza generalnego do uproszczenia, dobrej administracji i wzmocnienia funkcji kontrolnej Parlamentu; zauważa z zadowoleniem, że uproszczenie traktuje się nie tylko jako cel, który należy osiągnąć, lecz jako zasadę przewodnią, którą należy systematycznie stosować we wszystkich dziedzinach prac Parlamentu, aby zagwarantować większą skuteczność i dostępność procedur administracyjnych; z zadowoleniem przyjmuje stały nacisk na podstawową działalność Parlamentu, jego działalność ustawodawczą, budżetową i kontrolną, a w szczególności utworzenie czterech tematycznych dyrekcji generalnych, w tym Dyrekcji Generalnej ds. Budżetu;</w:t>
      </w:r>
    </w:p>
    <w:p w14:paraId="5CB54640" w14:textId="77777777" w:rsidR="00EF304C" w:rsidRPr="00485F96" w:rsidRDefault="00EF304C" w:rsidP="00EF304C">
      <w:pPr>
        <w:spacing w:after="240"/>
        <w:rPr>
          <w:b/>
          <w:bCs/>
          <w:i/>
          <w:iCs/>
          <w14:textOutline w14:w="0" w14:cap="flat" w14:cmpd="sng" w14:algn="ctr">
            <w14:noFill/>
            <w14:prstDash w14:val="solid"/>
            <w14:bevel/>
          </w14:textOutline>
        </w:rPr>
      </w:pPr>
      <w:r w:rsidRPr="00485F96">
        <w:rPr>
          <w:b/>
          <w:i/>
          <w14:textOutline w14:w="0" w14:cap="flat" w14:cmpd="sng" w14:algn="ctr">
            <w14:noFill/>
            <w14:prstDash w14:val="solid"/>
            <w14:bevel/>
          </w14:textOutline>
        </w:rPr>
        <w:t>Opinie Europejskiego Trybunału Obrachunkowego na temat wiarygodności rozliczeń za rok 2024 oraz legalności i prawidłowości transakcji leżących u ich podstaw</w:t>
      </w:r>
    </w:p>
    <w:p w14:paraId="3154EE3A" w14:textId="77777777" w:rsidR="00EF304C" w:rsidRPr="00485F96" w:rsidRDefault="00EF304C" w:rsidP="00EF304C">
      <w:pPr>
        <w:spacing w:after="240"/>
        <w:ind w:left="567" w:hanging="567"/>
        <w:rPr>
          <w:szCs w:val="24"/>
          <w14:textOutline w14:w="0" w14:cap="flat" w14:cmpd="sng" w14:algn="ctr">
            <w14:noFill/>
            <w14:prstDash w14:val="solid"/>
            <w14:bevel/>
          </w14:textOutline>
        </w:rPr>
      </w:pPr>
      <w:r w:rsidRPr="00485F96">
        <w:rPr>
          <w14:textOutline w14:w="0" w14:cap="flat" w14:cmpd="sng" w14:algn="ctr">
            <w14:noFill/>
            <w14:prstDash w14:val="solid"/>
            <w14:bevel/>
          </w14:textOutline>
        </w:rPr>
        <w:t>7</w:t>
      </w:r>
      <w:r w:rsidRPr="00485F96">
        <w:t>.</w:t>
      </w:r>
      <w:r w:rsidRPr="00485F96">
        <w:rPr>
          <w14:textOutline w14:w="0" w14:cap="flat" w14:cmpd="sng" w14:algn="ctr">
            <w14:noFill/>
            <w14:prstDash w14:val="solid"/>
            <w14:bevel/>
          </w14:textOutline>
        </w:rPr>
        <w:tab/>
        <w:t xml:space="preserve">przypomina, że Europejski Trybunał Obrachunkowy przeprowadza szczegółową kontrolę wydatków administracyjnych i innych wydatków łącznie dla wszystkich instytucji unijnych; </w:t>
      </w:r>
      <w:r w:rsidRPr="00485F96">
        <w:t>podkreśla, że wydatki administracyjne obejmują wydatki na zasoby kadrowe, w tym emerytury, oraz wydatki na budynki, wyposażenie, energię, telekomunikację i informatykę; w 2024 r. wydatki na zasoby kadrowe stanowiły około 69 % łącznych wydatków administracyjnych;</w:t>
      </w:r>
      <w:r w:rsidRPr="00485F96">
        <w:rPr>
          <w14:textOutline w14:w="0" w14:cap="flat" w14:cmpd="sng" w14:algn="ctr">
            <w14:noFill/>
            <w14:prstDash w14:val="solid"/>
            <w14:bevel/>
          </w14:textOutline>
        </w:rPr>
        <w:t xml:space="preserve"> zaznacza, że praca Trybunału na przestrzeni wielu lat wskazuje, iż ogólnie wydatki te są obarczone niskim ryzykiem;</w:t>
      </w:r>
    </w:p>
    <w:p w14:paraId="2243ECE8" w14:textId="77777777" w:rsidR="00EF304C" w:rsidRPr="00485F96" w:rsidRDefault="00EF304C" w:rsidP="00EF304C">
      <w:pPr>
        <w:spacing w:after="240"/>
        <w:ind w:left="567" w:hanging="567"/>
        <w:rPr>
          <w:szCs w:val="24"/>
          <w14:textOutline w14:w="0" w14:cap="flat" w14:cmpd="sng" w14:algn="ctr">
            <w14:noFill/>
            <w14:prstDash w14:val="solid"/>
            <w14:bevel/>
          </w14:textOutline>
        </w:rPr>
      </w:pPr>
      <w:r w:rsidRPr="00485F96">
        <w:rPr>
          <w14:textOutline w14:w="0" w14:cap="flat" w14:cmpd="sng" w14:algn="ctr">
            <w14:noFill/>
            <w14:prstDash w14:val="solid"/>
            <w14:bevel/>
          </w14:textOutline>
        </w:rPr>
        <w:t>8</w:t>
      </w:r>
      <w:r w:rsidRPr="00485F96">
        <w:t>.</w:t>
      </w:r>
      <w:r w:rsidRPr="00485F96">
        <w:rPr>
          <w14:textOutline w14:w="0" w14:cap="flat" w14:cmpd="sng" w14:algn="ctr">
            <w14:noFill/>
            <w14:prstDash w14:val="solid"/>
            <w14:bevel/>
          </w14:textOutline>
        </w:rPr>
        <w:tab/>
      </w:r>
      <w:r w:rsidRPr="00485F96">
        <w:t xml:space="preserve">zauważa, że nakłady na dział 7 wieloletnich ram finansowych „Europejska administracja publiczna” wyniosły 3 mld EUR, czyli 6,9 % budżetu Unii w 2024 r., z czego na Parlament przypadło 4 mld EUR, czyli 18,1 %; </w:t>
      </w:r>
      <w:r w:rsidRPr="00485F96">
        <w:rPr>
          <w14:textOutline w14:w="0" w14:cap="flat" w14:cmpd="sng" w14:algn="ctr">
            <w14:noFill/>
            <w14:prstDash w14:val="solid"/>
            <w14:bevel/>
          </w14:textOutline>
        </w:rPr>
        <w:t>podkreśla, że Trybunał uznał, iż poziom błędu w wydatkach w obszarze „Europejska administracja publiczna” nie jest istotny;</w:t>
      </w:r>
    </w:p>
    <w:p w14:paraId="22E43ED9" w14:textId="77777777" w:rsidR="00EF304C" w:rsidRPr="00485F96" w:rsidRDefault="00EF304C" w:rsidP="00EF304C">
      <w:pPr>
        <w:spacing w:after="240"/>
        <w:ind w:left="567" w:hanging="567"/>
      </w:pPr>
      <w:r w:rsidRPr="00485F96">
        <w:rPr>
          <w14:textOutline w14:w="0" w14:cap="flat" w14:cmpd="sng" w14:algn="ctr">
            <w14:noFill/>
            <w14:prstDash w14:val="solid"/>
            <w14:bevel/>
          </w14:textOutline>
        </w:rPr>
        <w:t>9</w:t>
      </w:r>
      <w:r w:rsidRPr="00485F96">
        <w:t>.</w:t>
      </w:r>
      <w:r w:rsidRPr="00485F96">
        <w:rPr>
          <w14:textOutline w14:w="0" w14:cap="flat" w14:cmpd="sng" w14:algn="ctr">
            <w14:noFill/>
            <w14:prstDash w14:val="solid"/>
            <w14:bevel/>
          </w14:textOutline>
        </w:rPr>
        <w:tab/>
      </w:r>
      <w:r w:rsidRPr="00485F96">
        <w:t xml:space="preserve">zauważa, że w sprawozdaniu rocznym Trybunału z wykonania budżetu za rok budżetowy 2024 szczegółowo przeanalizowano systemy nadzoru i kontroli Parlamentu, w szczególności wdrażanie standardów kontroli wewnętrznej, zarządzanie ryzykiem i funkcjonowanie kluczowych mechanizmów kontroli określonych w rozporządzeniu finansowym, w tym kontrole ex </w:t>
      </w:r>
      <w:proofErr w:type="spellStart"/>
      <w:r w:rsidRPr="00485F96">
        <w:t>ante</w:t>
      </w:r>
      <w:proofErr w:type="spellEnd"/>
      <w:r w:rsidRPr="00485F96">
        <w:t xml:space="preserve"> i ex post dotyczące płatności, a także statystycznie reprezentatywną próbę 70 transakcji obejmującą pełen zakres wydatków w ramach tego działu wieloletnich ram finansowych oraz informacje na temat zgodności z zasadami i przepisami w rocznych sprawozdaniach z działalności wszystkich instytucji i organów Unii;</w:t>
      </w:r>
    </w:p>
    <w:p w14:paraId="294BD803" w14:textId="77777777" w:rsidR="00EF304C" w:rsidRPr="00485F96" w:rsidRDefault="00EF304C" w:rsidP="00EF304C">
      <w:pPr>
        <w:pStyle w:val="NormalHanging12a"/>
      </w:pPr>
      <w:r w:rsidRPr="00485F96">
        <w:t>10.</w:t>
      </w:r>
      <w:r w:rsidRPr="00485F96">
        <w:tab/>
        <w:t xml:space="preserve">przyjmuje do wiadomości uwagi Trybunału dotyczące przepisów wewnętrznych Parlamentu; zauważa, że administracja Parlamentu podlega rozporządzeniu finansowemu i zawartym w nim przepisom dotyczącym zamówień publicznych; zauważa jednak, że z myślą o grupach politycznych Prezydium przyjęło przepisy regulujące wykorzystanie środków z linii budżetowej 400, które to przepisy zawierają szereg szczegółowych ustaleń dotyczących niektórych procedur udzielania zamówień; przypomina, że grupy polityczne zarządzają przyznanymi im środkami zgodnie z zasadami pośredniego zarządzania funduszami, stosując przez analogię art. 62 ust. 1 lit. c) rozporządzenia finansowego; uważa, że zasady te zastępują umowy o przyznanie wkładu, o których mowa w art. 158 ust. 7 rozporządzenia finansowego; podkreśla, że jeden audytor zewnętrzny dla każdej grupy, wybrany z listy firm audytorskich </w:t>
      </w:r>
      <w:r w:rsidRPr="00485F96">
        <w:lastRenderedPageBreak/>
        <w:t>sporządzonej przez administrację Parlamentu, poświadcza ich odpowiednie roczne sprawozdania finansowe w celu zapewnienia zgodności, co gwarantuje neutralny poziom kontroli; podkreśla, że Trybunał w swoim sprawozdaniu rocznym bada również działalność grup politycznych;</w:t>
      </w:r>
    </w:p>
    <w:p w14:paraId="5DAAA203" w14:textId="77777777" w:rsidR="00EF304C" w:rsidRPr="00485F96" w:rsidRDefault="00EF304C" w:rsidP="00EF304C">
      <w:pPr>
        <w:pStyle w:val="NormalHanging12a"/>
      </w:pPr>
      <w:r w:rsidRPr="00485F96">
        <w:t>11.</w:t>
      </w:r>
      <w:r w:rsidRPr="00485F96">
        <w:tab/>
        <w:t xml:space="preserve">zauważa, że na liście firm audytorskich wybranych do badania sprawozdań finansowych grup politycznych znalazło się tylko trzech audytorów, i ubolewa nad ograniczonym wyborem; wzywa Dyrekcję Generalną ds. Finansów (DG FINS), aby dążyła do umieszczenia na liście większej liczby zewnętrznych firm audytorskich, aktywnie zapraszając wszystkich wykwalifikowanych europejskich audytorów, w tym tych mających siedzibę poza Belgią, zapewniając im wystarczającą liczbę opcji, tak aby grupy polityczne miały więcej możliwości wyboru audytora, który spełnia wymogi Rady Międzynarodowych Standardów Rewizji Finansowej i Usług Atestacyjnych (IAASB); uważa ponadto, że należy zwiększyć budżety przeznaczone przez grupy polityczne na audyty, aby zapewnić dokładniejszy audyt należytego zarządzania finansami i przyciągnąć szersze grono ekspertów w dziedzinie audytu; odnotowuje wytyczne i wskazówki przekazane już audytorom zewnętrznym i zachęca DG FINS do zapewnienia jakości audytów zewnętrznych, które poświadczają sprawozdania finansowe grup politycznych; </w:t>
      </w:r>
    </w:p>
    <w:p w14:paraId="76162C65" w14:textId="77777777" w:rsidR="00EF304C" w:rsidRPr="00485F96" w:rsidRDefault="00EF304C" w:rsidP="00EF304C">
      <w:pPr>
        <w:spacing w:after="240"/>
        <w:ind w:left="567" w:hanging="567"/>
      </w:pPr>
      <w:r w:rsidRPr="00485F96">
        <w:rPr>
          <w14:textOutline w14:w="0" w14:cap="flat" w14:cmpd="sng" w14:algn="ctr">
            <w14:noFill/>
            <w14:prstDash w14:val="solid"/>
            <w14:bevel/>
          </w14:textOutline>
        </w:rPr>
        <w:t>12</w:t>
      </w:r>
      <w:r w:rsidRPr="00485F96">
        <w:t>.</w:t>
      </w:r>
      <w:r w:rsidRPr="00485F96">
        <w:rPr>
          <w14:textOutline w14:w="0" w14:cap="flat" w14:cmpd="sng" w14:algn="ctr">
            <w14:noFill/>
            <w14:prstDash w14:val="solid"/>
            <w14:bevel/>
          </w14:textOutline>
        </w:rPr>
        <w:tab/>
      </w:r>
      <w:r w:rsidRPr="00485F96">
        <w:t>zauważa, że zgodnie z art. 1 ust. 4 przepisów dotyczących wykorzystania środków z pozycji budżetowej 400 grupy polityczne są odpowiedzialne przed instytucją za wykorzystanie środków w granicach uprawnień przyznanych im przez Prezydium; zwraca uwagę, że obowiązkiem grup politycznych jest dbanie o to, aby środki były wykorzystywane zgodnie z tymi przepisami; z zadowoleniem przyjmuje wysiłki administracji Parlamentu na rzecz wspierania grup politycznych w celu poszerzenia ich wiedzy i umiejętności w zakresie zarządzania finansami;</w:t>
      </w:r>
    </w:p>
    <w:p w14:paraId="4BB220B1" w14:textId="77777777" w:rsidR="00EF304C" w:rsidRPr="00485F96" w:rsidRDefault="00EF304C" w:rsidP="00EF304C">
      <w:pPr>
        <w:spacing w:after="240"/>
        <w:ind w:left="567" w:hanging="567"/>
      </w:pPr>
      <w:r w:rsidRPr="00485F96">
        <w:t>13.</w:t>
      </w:r>
      <w:r w:rsidRPr="00485F96">
        <w:tab/>
        <w:t>przypomina, że środki z budżetu UE można przyznawać europejskim partiom politycznym ze względu na ich wkład w kształtowanie europejskiej świadomości politycznej i wyrażanie woli politycznej obywateli Unii; zauważa, że Trybunał skontrolował jedną transakcję, w przypadku której uznał wydatki za niekwalifikowalne, i stwierdził, że administracja Parlamentu podziela tę opinię i podjęła kroki w celu odzyskania powiązanych wydatków; z zadowoleniem przyjmuje postępowanie administracji Parlamentu w tym zakresie, a w szczególności jej zobowiązanie do stosowania podejścia horyzontalnego gwarantującego równe traktowanie wszystkich partii politycznych;</w:t>
      </w:r>
    </w:p>
    <w:p w14:paraId="0B9D05D6" w14:textId="77777777" w:rsidR="00EF304C" w:rsidRPr="00485F96" w:rsidRDefault="00EF304C" w:rsidP="00EF304C">
      <w:pPr>
        <w:spacing w:after="240"/>
        <w:rPr>
          <w:b/>
          <w:bCs/>
          <w:i/>
          <w:iCs/>
          <w14:textOutline w14:w="0" w14:cap="flat" w14:cmpd="sng" w14:algn="ctr">
            <w14:noFill/>
            <w14:prstDash w14:val="solid"/>
            <w14:bevel/>
          </w14:textOutline>
        </w:rPr>
      </w:pPr>
      <w:r w:rsidRPr="00485F96">
        <w:rPr>
          <w:b/>
          <w:i/>
          <w14:textOutline w14:w="0" w14:cap="flat" w14:cmpd="sng" w14:algn="ctr">
            <w14:noFill/>
            <w14:prstDash w14:val="solid"/>
            <w14:bevel/>
          </w14:textOutline>
        </w:rPr>
        <w:t>Roczne sprawozdanie audytora wewnętrznego</w:t>
      </w:r>
    </w:p>
    <w:p w14:paraId="21F5ACEC" w14:textId="77777777" w:rsidR="00EF304C" w:rsidRPr="00485F96" w:rsidRDefault="00EF304C" w:rsidP="00EF304C">
      <w:pPr>
        <w:spacing w:after="240"/>
        <w:ind w:left="567" w:hanging="567"/>
      </w:pPr>
      <w:r w:rsidRPr="00485F96">
        <w:rPr>
          <w14:textOutline w14:w="0" w14:cap="flat" w14:cmpd="sng" w14:algn="ctr">
            <w14:noFill/>
            <w14:prstDash w14:val="solid"/>
            <w14:bevel/>
          </w14:textOutline>
        </w:rPr>
        <w:t>14.</w:t>
      </w:r>
      <w:r w:rsidRPr="00485F96">
        <w:rPr>
          <w14:textOutline w14:w="0" w14:cap="flat" w14:cmpd="sng" w14:algn="ctr">
            <w14:noFill/>
            <w14:prstDash w14:val="solid"/>
            <w14:bevel/>
          </w14:textOutline>
        </w:rPr>
        <w:tab/>
      </w:r>
      <w:r w:rsidRPr="00485F96">
        <w:t>zauważa, że na posiedzeniu właściwej komisji z audytorem wewnętrznym, które odbyło się 8 grudnia 2025 r., audytor wewnętrzny przedstawił swoje sprawozdanie roczne;</w:t>
      </w:r>
    </w:p>
    <w:p w14:paraId="68F7ACD4" w14:textId="77777777" w:rsidR="00EF304C" w:rsidRPr="00485F96" w:rsidRDefault="00EF304C" w:rsidP="00EF304C">
      <w:pPr>
        <w:spacing w:after="240"/>
        <w:ind w:left="567" w:hanging="567"/>
      </w:pPr>
      <w:r w:rsidRPr="00485F96">
        <w:rPr>
          <w14:textOutline w14:w="0" w14:cap="flat" w14:cmpd="sng" w14:algn="ctr">
            <w14:noFill/>
            <w14:prstDash w14:val="solid"/>
            <w14:bevel/>
          </w14:textOutline>
        </w:rPr>
        <w:t>15.</w:t>
      </w:r>
      <w:r w:rsidRPr="00485F96">
        <w:rPr>
          <w14:textOutline w14:w="0" w14:cap="flat" w14:cmpd="sng" w14:algn="ctr">
            <w14:noFill/>
            <w14:prstDash w14:val="solid"/>
            <w14:bevel/>
          </w14:textOutline>
        </w:rPr>
        <w:tab/>
      </w:r>
      <w:r w:rsidRPr="00485F96">
        <w:t>z zadowoleniem przyjmuje i popiera działania, które audytor wewnętrzny uzgodnił z właściwymi dyrekcjami generalnymi w wyniku zadań poświadczających Służby Audytu Wewnętrznego (IAS); zauważa, że działania następcze w związku z tymi zaleceniami są systematycznie kontrolowane;</w:t>
      </w:r>
    </w:p>
    <w:p w14:paraId="00AE2BB8" w14:textId="77777777" w:rsidR="00EF304C" w:rsidRPr="00485F96" w:rsidRDefault="00EF304C" w:rsidP="00EF304C">
      <w:pPr>
        <w:spacing w:after="240"/>
        <w:ind w:left="567" w:hanging="567"/>
        <w:rPr>
          <w:szCs w:val="24"/>
          <w14:textOutline w14:w="0" w14:cap="flat" w14:cmpd="sng" w14:algn="ctr">
            <w14:noFill/>
            <w14:prstDash w14:val="solid"/>
            <w14:bevel/>
          </w14:textOutline>
        </w:rPr>
      </w:pPr>
      <w:r w:rsidRPr="00485F96">
        <w:rPr>
          <w14:textOutline w14:w="0" w14:cap="flat" w14:cmpd="sng" w14:algn="ctr">
            <w14:noFill/>
            <w14:prstDash w14:val="solid"/>
            <w14:bevel/>
          </w14:textOutline>
        </w:rPr>
        <w:t>16.</w:t>
      </w:r>
      <w:r w:rsidRPr="00485F96">
        <w:rPr>
          <w14:textOutline w14:w="0" w14:cap="flat" w14:cmpd="sng" w14:algn="ctr">
            <w14:noFill/>
            <w14:prstDash w14:val="solid"/>
            <w14:bevel/>
          </w14:textOutline>
        </w:rPr>
        <w:tab/>
        <w:t xml:space="preserve">zauważa, że w wyniku procesu monitorowania w 2024 r. 24 z 57 działań uznano za skutecznie wdrożone i w związku z tym zostały one zatwierdzone przez Służbę Audytu Wewnętrznego; zauważa, że profil ryzyka rezydualnego 33 niezakończonych działań dotyczył 24 działań o znacznym ryzyku, głównie związanych z </w:t>
      </w:r>
      <w:proofErr w:type="spellStart"/>
      <w:r w:rsidRPr="00485F96">
        <w:rPr>
          <w14:textOutline w14:w="0" w14:cap="flat" w14:cmpd="sng" w14:algn="ctr">
            <w14:noFill/>
            <w14:prstDash w14:val="solid"/>
            <w14:bevel/>
          </w14:textOutline>
        </w:rPr>
        <w:t>cyberbezpieczeństwem</w:t>
      </w:r>
      <w:proofErr w:type="spellEnd"/>
      <w:r w:rsidRPr="00485F96">
        <w:rPr>
          <w14:textOutline w14:w="0" w14:cap="flat" w14:cmpd="sng" w14:algn="ctr">
            <w14:noFill/>
            <w14:prstDash w14:val="solid"/>
            <w14:bevel/>
          </w14:textOutline>
        </w:rPr>
        <w:t xml:space="preserve"> </w:t>
      </w:r>
      <w:r w:rsidRPr="00485F96">
        <w:rPr>
          <w14:textOutline w14:w="0" w14:cap="flat" w14:cmpd="sng" w14:algn="ctr">
            <w14:noFill/>
            <w14:prstDash w14:val="solid"/>
            <w14:bevel/>
          </w14:textOutline>
        </w:rPr>
        <w:lastRenderedPageBreak/>
        <w:t xml:space="preserve">oraz zarządzaniem tożsamością i dostępem; odnotowuje nasiloną współpracę z Dyrekcją Generalną ds. Technologii Informacyjnych i </w:t>
      </w:r>
      <w:proofErr w:type="spellStart"/>
      <w:r w:rsidRPr="00485F96">
        <w:rPr>
          <w14:textOutline w14:w="0" w14:cap="flat" w14:cmpd="sng" w14:algn="ctr">
            <w14:noFill/>
            <w14:prstDash w14:val="solid"/>
            <w14:bevel/>
          </w14:textOutline>
        </w:rPr>
        <w:t>Cyberbezpieczeństwa</w:t>
      </w:r>
      <w:proofErr w:type="spellEnd"/>
      <w:r w:rsidRPr="00485F96">
        <w:rPr>
          <w14:textOutline w14:w="0" w14:cap="flat" w14:cmpd="sng" w14:algn="ctr">
            <w14:noFill/>
            <w14:prstDash w14:val="solid"/>
            <w14:bevel/>
          </w14:textOutline>
        </w:rPr>
        <w:t xml:space="preserve"> (DG ITEC) w celu monitorowania wdrażania i ryzyka rezydualnego;</w:t>
      </w:r>
    </w:p>
    <w:p w14:paraId="34CFD822" w14:textId="77777777" w:rsidR="00EF304C" w:rsidRPr="00485F96" w:rsidRDefault="00EF304C" w:rsidP="00EF304C">
      <w:pPr>
        <w:pStyle w:val="NormalHanging12a"/>
      </w:pPr>
      <w:r w:rsidRPr="00485F96">
        <w:t>17.</w:t>
      </w:r>
      <w:r w:rsidRPr="00485F96">
        <w:tab/>
        <w:t>uznaje, że zgodnie z art. 118 ust. 9 rozporządzenia finansowego sprawozdania i ustalenia audytora wewnętrznego oraz sprawozdanie danej instytucji unijnej są udostępniane publicznie, przy zapewnieniu przestrzegania zasad ochrony danych i poufności, niezwłocznie po zatwierdzeniu danego działania przez audytora wewnętrznego; odnotowuje, że w praktyce sprawozdania publikuje się dopiero po wdrożeniu wszystkich zaleceń; zauważa, że członkowie Komisji Kontroli Budżetowej Parlamentu mają prawo zwrócić się o poufny dostęp do sprawozdania z audytu wewnętrznego w związku z procedurą udzielania absolutorium, i z zadowoleniem przyjmuje fakt, że audytor wewnętrzny składa Komisji Kontroli Budżetowej Parlamentu sprawozdanie z przeprowadzonych rocznych działań audytowych;</w:t>
      </w:r>
    </w:p>
    <w:p w14:paraId="24A3633A" w14:textId="77777777" w:rsidR="00EF304C" w:rsidRPr="00485F96" w:rsidRDefault="00EF304C" w:rsidP="00EF304C">
      <w:pPr>
        <w:spacing w:after="240"/>
        <w:ind w:left="567" w:hanging="567"/>
        <w:rPr>
          <w:szCs w:val="24"/>
          <w14:textOutline w14:w="0" w14:cap="flat" w14:cmpd="sng" w14:algn="ctr">
            <w14:noFill/>
            <w14:prstDash w14:val="solid"/>
            <w14:bevel/>
          </w14:textOutline>
        </w:rPr>
      </w:pPr>
      <w:r w:rsidRPr="00485F96">
        <w:rPr>
          <w14:textOutline w14:w="0" w14:cap="flat" w14:cmpd="sng" w14:algn="ctr">
            <w14:noFill/>
            <w14:prstDash w14:val="solid"/>
            <w14:bevel/>
          </w14:textOutline>
        </w:rPr>
        <w:t>18.</w:t>
      </w:r>
      <w:r w:rsidRPr="00485F96">
        <w:rPr>
          <w14:textOutline w14:w="0" w14:cap="flat" w14:cmpd="sng" w14:algn="ctr">
            <w14:noFill/>
            <w14:prstDash w14:val="solid"/>
            <w14:bevel/>
          </w14:textOutline>
        </w:rPr>
        <w:tab/>
        <w:t>z zadowoleniem przyjmuje kontynuację programu zapewniania i poprawy jakości Służby Audytu Wewnętrznego, przygotowującego przede wszystkim do wprowadzenia nowych globalnych standardów audytu wewnętrznego, które miały wejść w życie w styczniu 2025 r.; z zadowoleniem przyjmuje w szczególności przyjęcie przez Prezydium zaktualizowanej karty audytu oraz przygotowanie strategii na lata 2025–2029 dotyczącej funkcji audytu wewnętrznego, która w wyraźny sposób odzwierciedla potrzebę pozytywnych zmian i podejścia opartego na zasadach etycznych; zauważa, że 70 % pracowników Służby Audytu Wewnętrznego zdało egzamin certyfikacyjny, aby zostać audytorem wewnętrznym, co stanowi kolejny wskaźnik poprawy jakości;</w:t>
      </w:r>
    </w:p>
    <w:p w14:paraId="2B226301" w14:textId="77777777" w:rsidR="00EF304C" w:rsidRPr="00485F96" w:rsidRDefault="00EF304C" w:rsidP="00EF304C">
      <w:pPr>
        <w:spacing w:after="240"/>
        <w:ind w:left="567" w:hanging="567"/>
        <w:rPr>
          <w:szCs w:val="24"/>
          <w14:textOutline w14:w="0" w14:cap="flat" w14:cmpd="sng" w14:algn="ctr">
            <w14:noFill/>
            <w14:prstDash w14:val="solid"/>
            <w14:bevel/>
          </w14:textOutline>
        </w:rPr>
      </w:pPr>
      <w:r w:rsidRPr="00485F96">
        <w:rPr>
          <w:b/>
          <w:i/>
          <w14:textOutline w14:w="0" w14:cap="flat" w14:cmpd="sng" w14:algn="ctr">
            <w14:noFill/>
            <w14:prstDash w14:val="solid"/>
            <w14:bevel/>
          </w14:textOutline>
        </w:rPr>
        <w:t>Priorytety polityczne</w:t>
      </w:r>
    </w:p>
    <w:p w14:paraId="613CDEA9" w14:textId="77777777" w:rsidR="00EF304C" w:rsidRPr="00485F96" w:rsidRDefault="00EF304C" w:rsidP="00EF304C">
      <w:pPr>
        <w:pStyle w:val="NormalHanging12a"/>
      </w:pPr>
      <w:r w:rsidRPr="00485F96">
        <w:t>19.</w:t>
      </w:r>
      <w:r w:rsidRPr="00485F96">
        <w:tab/>
        <w:t>przypomina, że zgodnie z art. 1.3.2, 2.7.1 i 2.7.2 przepisów regulujących wykorzystanie środków z pozycji budżetu 400 dawna grupa polityczna Tożsamość i Demokracja (grupa ID) przedłożyła 8 października 2024 r. końcowe sprawozdanie finansowe obejmujące okres od 1 stycznia do 15 lipca 2024 r.; przypomina, że administracja Parlamentu otrzymała pełną dokumentację finansową grupy ID zarówno w formie elektronicznej, jak i papierowej, oraz przeprowadziła opartą na analizie ryzyka weryfikację ex post sprawozdania finansowego za 2024 r., koncentrując się na kontrolach spójności i badaniach wyrywkowych umów i darowizn wysokiego ryzyka; przypomina ustalenia administracji Parlamentu, zgodnie z którymi w kadencji 2019–2024 grupa ta nieprawidłowo wydała co najmniej 4 333 635,78 EUR ze środków z pozycji budżetu 400, co naraziło Parlament na znaczne ryzyko finansowe i ryzyko utraty reputacji; stwierdzono nieprawidłowości w procedurach udzielania zamówień publicznych, które stanowią poważne zagrożenie dla reputacji Parlamentu;</w:t>
      </w:r>
    </w:p>
    <w:p w14:paraId="7736F1EA" w14:textId="77777777" w:rsidR="00EF304C" w:rsidRPr="00485F96" w:rsidRDefault="00EF304C" w:rsidP="00EF304C">
      <w:pPr>
        <w:pStyle w:val="NormalHanging12a"/>
      </w:pPr>
      <w:r w:rsidRPr="00485F96">
        <w:t>20.</w:t>
      </w:r>
      <w:r w:rsidRPr="00485F96">
        <w:tab/>
        <w:t>zauważa, że Prokuratura Europejska (EPPO) ogłosiła w lipcu 2025 r., że wszczęła dochodzenie w sprawie domniemanego niewłaściwego wykorzystania funduszy unijnych przez grupę ID w latach 2019–2024;</w:t>
      </w:r>
    </w:p>
    <w:p w14:paraId="11EB918D" w14:textId="77777777" w:rsidR="00EF304C" w:rsidRPr="00485F96" w:rsidRDefault="00EF304C" w:rsidP="00EF304C">
      <w:pPr>
        <w:pStyle w:val="NormalHanging12a"/>
      </w:pPr>
      <w:r w:rsidRPr="00485F96">
        <w:t>21.</w:t>
      </w:r>
      <w:r w:rsidRPr="00485F96">
        <w:tab/>
        <w:t xml:space="preserve">podkreśla, że administracja Parlamentu przekazała akta sprawy i w pełni współpracuje w ramach dochodzenia prowadzonego przez EPPO; zauważa, że Prezydium oczekuje na wynik dochodzenia prowadzonego przez EPPO przed podjęciem jakichkolwiek działań mających na celu odzyskanie środków; wzywa Prezydium do przedstawienia Komisji Kontroli Budżetowej Parlamentu na piśmie informacji na temat aktualnego stanu rzeczy przed rozpoczęciem kolejnego cyklu udzielania absolutorium; wzywa administrację Parlamentu do podjęcia wszelkich niezbędnych działań równolegle z postępowaniem </w:t>
      </w:r>
      <w:r w:rsidRPr="00485F96">
        <w:lastRenderedPageBreak/>
        <w:t xml:space="preserve">przygotowawczym prowadzonym przez Prokuraturę Europejską, w tym do zastosowania tymczasowych środków zabezpieczających o charakterze administracyjnym (w tym potrąceń zapobiegawczych i/lub rezerw, o ile jest to prawnie możliwe) w celu ochrony interesów finansowych Unii oraz reputacji Parlamentu; uważa, że zgodnie z art. 3 ust. 3 porozumienia roboczego między Parlamentem Europejskim a Prokuraturą Europejską EPPO poinformuje Parlament o toczących się lub zakończonych dochodzeniach, w których Parlament może znajdować się w sytuacji umożliwiającej wprowadzenie środków zapobiegawczych w celu ochrony interesów finansowych Unii, w tym wszczęcie postępowań dyscyplinarnych bądź procedur odzyskiwania środków w obowiązujących terminach; zauważa, że postępowania karne nie powinny być automatycznie wykorzystywane jako ogólne uzasadnienie ewentualnej bezczynności; </w:t>
      </w:r>
    </w:p>
    <w:p w14:paraId="153B854C" w14:textId="77777777" w:rsidR="00EF304C" w:rsidRPr="00485F96" w:rsidRDefault="00EF304C" w:rsidP="00EF304C">
      <w:pPr>
        <w:pStyle w:val="NormalHanging12a"/>
      </w:pPr>
      <w:r w:rsidRPr="00485F96">
        <w:t>22.</w:t>
      </w:r>
      <w:r w:rsidRPr="00485F96">
        <w:tab/>
        <w:t>wzywa Prezydium do dopilnowania, aby audytorzy zewnętrzni w pełni przestrzegali warunków umowy o świadczenie usług, a także do zapewnienia w przyszłych audytach odpowiedniego nadzoru ze strony audytorów zewnętrznych nad grupami poprzez zapewnienie audytorom zewnętrznym większej liczby godzin na wykonywanie ich zadań nadzorczych; wzywa DG FINS do zapewnienia odpowiedniej liczby pracowników w ramach DG FINS odpowiedzialnych za pozycję budżetową 400, do przedstawienia jaśniejszych wytycznych dotyczących prawidłowej interpretacji przepisów dotyczących pozycji budżetowej 400, aby uniknąć rozbieżności między uwagami audytorów zewnętrznych a uwagami DG FINS, przy pełnym poszanowaniu niezależności audytorów, w szczególności w odniesieniu do zamówień publicznych, oraz do zapewnienia grupom większej liczby szkoleń i wsparcia w zakresie zamówień publicznych;</w:t>
      </w:r>
    </w:p>
    <w:p w14:paraId="27757B7E" w14:textId="77777777" w:rsidR="00EF304C" w:rsidRPr="00485F96" w:rsidRDefault="00EF304C" w:rsidP="00EF304C">
      <w:pPr>
        <w:pStyle w:val="NormalHanging12a"/>
        <w:rPr>
          <w:bCs/>
          <w:iCs/>
        </w:rPr>
      </w:pPr>
      <w:r w:rsidRPr="00485F96">
        <w:t>23.</w:t>
      </w:r>
      <w:r w:rsidRPr="00485F96">
        <w:tab/>
        <w:t>wzywa sekretarza generalnego do podjęcia analizy systemu audytu zewnętrznego obowiązującego w odniesieniu do pozycji budżetowej 400;</w:t>
      </w:r>
    </w:p>
    <w:p w14:paraId="610F642B" w14:textId="77777777" w:rsidR="00EF304C" w:rsidRPr="00485F96" w:rsidRDefault="00EF304C" w:rsidP="00EF304C">
      <w:pPr>
        <w:pStyle w:val="NormalHanging12a"/>
        <w:rPr>
          <w:bCs/>
          <w:iCs/>
        </w:rPr>
      </w:pPr>
      <w:r w:rsidRPr="00485F96">
        <w:t>24.</w:t>
      </w:r>
      <w:r w:rsidRPr="00485F96">
        <w:tab/>
        <w:t>z zadowoleniem przyjmuje, że Parlament służy jako miejsce podnoszenia świadomości na temat przemocy ze względu na płeć i przemocy domowej, oraz podkreśla znaczenie misji Unii i Parlamentu, które promują równość płci, w tym misji zapewniających wsparcie, ochronę i podstawowe usługi kobietom i dziewczętom będącym ofiarami przemocy seksualnej w konfliktach zbrojnych i po takich konfliktach;</w:t>
      </w:r>
    </w:p>
    <w:p w14:paraId="2682A5D5" w14:textId="77777777" w:rsidR="00EF304C" w:rsidRPr="00485F96" w:rsidRDefault="00EF304C" w:rsidP="00EF304C">
      <w:pPr>
        <w:pStyle w:val="NormalHanging12a"/>
        <w:rPr>
          <w:bCs/>
          <w:iCs/>
        </w:rPr>
      </w:pPr>
      <w:r w:rsidRPr="00485F96">
        <w:t>25.</w:t>
      </w:r>
      <w:r w:rsidRPr="00485F96">
        <w:tab/>
        <w:t>przypomina opinię Komisji Kontroli Budżetowej Parlamentu dla Prezydium w sprawie grupy politycznej Tożsamość i Demokracja – rozwiązanie i końcowe sprawozdanie finansowe za rok 2024, zatwierdzoną 4 września 2025 r., w której wezwano do zbadania możliwości niezwłocznego wszczęcia wymaganych procedur w celu jak najszybszego odzyskania kwoty wydatków niekwalifikowalnych oraz do oceny potencjalnych zobowiązań odpowiedzialnych (byłych) posłów i kierownictwa za umyślne lub wynikające z rażącego niedbalstwa zatwierdzenie nieprawidłowych wydatków; zaleca Prezydium, aby na czas dochodzenia zawiesić audytora zewnętrznego, który poświadczył sprawozdania finansowe grupy ID, na liście zatwierdzonych zewnętrznych firm audytorskich udostępnionej grupom politycznym, oraz bez zbędnej zwłoki zastąpić wykluczonego audytora i zapewnić grupom politycznym wystarczającą liczbę alternatywnych opcji; oczekuje na analizę administracji Parlamentu dotyczącą sprawozdania finansowego grupy Patrioci dla Europy (</w:t>
      </w:r>
      <w:proofErr w:type="spellStart"/>
      <w:r w:rsidRPr="00485F96">
        <w:t>PfE</w:t>
      </w:r>
      <w:proofErr w:type="spellEnd"/>
      <w:r w:rsidRPr="00485F96">
        <w:t>) za 2024 r.;</w:t>
      </w:r>
    </w:p>
    <w:p w14:paraId="6689073A" w14:textId="510D59F3" w:rsidR="00EF304C" w:rsidRPr="00485F96" w:rsidRDefault="00B44183" w:rsidP="00EF304C">
      <w:pPr>
        <w:pStyle w:val="NormalHanging12a"/>
      </w:pPr>
      <w:r>
        <w:t>26</w:t>
      </w:r>
      <w:r w:rsidR="00EF304C" w:rsidRPr="00485F96">
        <w:t>.</w:t>
      </w:r>
      <w:r w:rsidR="00EF304C" w:rsidRPr="00485F96">
        <w:tab/>
        <w:t xml:space="preserve">zauważa, że grupy polityczne mają znaczną autonomię w zakresie usług informatycznych, które są wykorzystywane do przechowywania informacji związanych </w:t>
      </w:r>
      <w:r w:rsidR="00EF304C" w:rsidRPr="00485F96">
        <w:lastRenderedPageBreak/>
        <w:t>z ich działalnością; zauważa, że w świecie pełnym zawirowań geopolitycznych dane takie powinny być przechowywane na europejskich serwerach przez europejskich dostawców, aby uniknąć zależności zewnętrznych i ryzyka; w związku z tym z zadowoleniem przyjmuje niedawną zapowiedź stworzenia bezpiecznej, suwerennej infrastruktury chmury obliczeniowej w celu wyeliminowania tej zależności;</w:t>
      </w:r>
    </w:p>
    <w:p w14:paraId="31E72A4A" w14:textId="0840A52F" w:rsidR="00EF304C" w:rsidRPr="00485F96" w:rsidRDefault="00B44183" w:rsidP="00EF304C">
      <w:pPr>
        <w:pStyle w:val="NormalHanging12a"/>
      </w:pPr>
      <w:r>
        <w:t>27</w:t>
      </w:r>
      <w:r w:rsidR="00EF304C" w:rsidRPr="00485F96">
        <w:t>.</w:t>
      </w:r>
      <w:r w:rsidR="00EF304C" w:rsidRPr="00485F96">
        <w:tab/>
        <w:t>podkreśla, że trzeba utrzymać integralność instytucjonalną i zapobiegać niepożądanej ingerencji zewnętrznej; potępia wszelkie niewłaściwe próby wpływania na działalność ustawodawczą Parlamentu;</w:t>
      </w:r>
    </w:p>
    <w:p w14:paraId="0C4E3A25" w14:textId="330DB0C0" w:rsidR="00EF304C" w:rsidRPr="00485F96" w:rsidRDefault="00B44183" w:rsidP="00EF304C">
      <w:pPr>
        <w:pStyle w:val="NormalHanging12a"/>
        <w:rPr>
          <w:bCs/>
          <w:iCs/>
        </w:rPr>
      </w:pPr>
      <w:r>
        <w:t>28</w:t>
      </w:r>
      <w:r w:rsidR="00EF304C" w:rsidRPr="00485F96">
        <w:t>.</w:t>
      </w:r>
      <w:r w:rsidR="00EF304C" w:rsidRPr="00485F96">
        <w:tab/>
        <w:t>zauważa, że Komisja potwierdziła zarzuty dotyczące wykorzystywania środków unijnych przez kilka podmiotów do prowadzenia działań lobbingowych skierowanych przeciwko Parlamentowi, ale stwierdziła, że działania te mieszczą się w zakresie obowiązującego rozporządzenia; przyznaje jednak, że mogło to mimo wszystko wiązać się z ryzykiem utraty reputacji;</w:t>
      </w:r>
    </w:p>
    <w:p w14:paraId="30194814" w14:textId="2F4283D4" w:rsidR="00EF304C" w:rsidRPr="00485F96" w:rsidRDefault="00B44183" w:rsidP="00EF304C">
      <w:pPr>
        <w:pStyle w:val="NormalHanging12a"/>
      </w:pPr>
      <w:r>
        <w:t>29</w:t>
      </w:r>
      <w:r w:rsidR="00EF304C" w:rsidRPr="00485F96">
        <w:t>.</w:t>
      </w:r>
      <w:r w:rsidR="00EF304C" w:rsidRPr="00485F96">
        <w:tab/>
        <w:t>przypomina, że zarzuty dotyczące rosyjskich wpływów w Parlamencie stanowią poważne zagrożenie dla integralności demokratycznej, i zauważa, że niektórzy posłowie otwarcie popierają Rosję, w tym w ramach swojej działalności pobocznej, co podkreśla potrzebę wprowadzenia silniejszych zabezpieczeń; odnotowuje, że reakcja Parlamentu na ingerencje zewnętrzne stała się bardziej czujna, jednak należy podjąć bardziej zdecydowane środki, aby zapewnić skuteczną ochronę przed nieuzasadnionym wpływem zewnętrznym; podkreśla w tym kontekście zasadniczą odpowiedzialność Europejskiego Urzędu ds. Zwalczania Nadużyć Finansowych (OLAF) za przeprowadzanie wszystkich niezbędnych szczegółowych dochodzeń;</w:t>
      </w:r>
    </w:p>
    <w:p w14:paraId="54EEE84D" w14:textId="25C819D5" w:rsidR="00EF304C" w:rsidRPr="00485F96" w:rsidRDefault="00B44183" w:rsidP="00EF304C">
      <w:pPr>
        <w:pStyle w:val="NormalHanging12a"/>
        <w:rPr>
          <w:bCs/>
          <w:iCs/>
        </w:rPr>
      </w:pPr>
      <w:r>
        <w:t>30</w:t>
      </w:r>
      <w:r w:rsidR="00EF304C" w:rsidRPr="00485F96">
        <w:t>.</w:t>
      </w:r>
      <w:r w:rsidR="00EF304C" w:rsidRPr="00485F96">
        <w:tab/>
        <w:t>odnotowuje, że rok 2024, w tym okres poprzedzający wybory do Parlamentu Europejskiego, charakteryzował się podwyższonym ryzykiem ingerencji zewnętrznych oraz operacji wpływu wymierzonych w instytucje demokratyczne i wybranych przedstawicieli; przypomina, że publiczne zarzuty oraz dochodzenia dotyczące prób wpływania na stanowiska polityczne i zachowania podczas głosowań podkreślają potrzebę wprowadzenia solidnych mechanizmów zapobiegania i wykrywania w Parlamencie; w związku z tym wzywa Parlament do zapewnienia wewnętrznych zabezpieczeń, wymogów w zakresie przejrzystości oraz współpracy z właściwymi organami Unii, aby chronić integralność Parlamentu oraz budżet Unii;</w:t>
      </w:r>
    </w:p>
    <w:p w14:paraId="6C52C549" w14:textId="0893D49A" w:rsidR="00EF304C" w:rsidRPr="00485F96" w:rsidRDefault="00B44183" w:rsidP="00EF304C">
      <w:pPr>
        <w:pStyle w:val="NormalHanging12a"/>
      </w:pPr>
      <w:r>
        <w:t>31</w:t>
      </w:r>
      <w:r w:rsidR="00EF304C" w:rsidRPr="00485F96">
        <w:t>.</w:t>
      </w:r>
      <w:r w:rsidR="00EF304C" w:rsidRPr="00485F96">
        <w:tab/>
        <w:t>przypomina, że art. 4 Kodeksu postępowania posłów do Parlamentu Europejskiego dotyczący uczciwości i przejrzystości wymaga od posłów składania dokładnych oświadczeń majątkowych; apeluje o podawanie w oświadczeniach dotyczących płatnej lub nieodpłatnej działalności zewnętrznej, które są niezbędne do zapewnienia skutecznego zapobiegania konfliktom interesów, ich identyfikacji i zarządzania nimi, wystarczająco szczegółowych informacji, aby uniknąć wszelkich wątpliwości co do jakości kontroli konfliktów interesów;</w:t>
      </w:r>
    </w:p>
    <w:p w14:paraId="3E677044" w14:textId="2A4FD1B7" w:rsidR="00EF304C" w:rsidRPr="00485F96" w:rsidRDefault="00B44183" w:rsidP="00EF304C">
      <w:pPr>
        <w:pStyle w:val="NormalHanging12a"/>
        <w:rPr>
          <w:bCs/>
          <w:iCs/>
        </w:rPr>
      </w:pPr>
      <w:r>
        <w:t>32</w:t>
      </w:r>
      <w:r w:rsidR="00EF304C" w:rsidRPr="00485F96">
        <w:t>.</w:t>
      </w:r>
      <w:r w:rsidR="00EF304C" w:rsidRPr="00485F96">
        <w:tab/>
        <w:t>odnotowuje, w trosce o przejrzystość, obowiązkową publikację spotkań oraz oświadczeń o prywatnych interesach, w szczególności oświadczeń dotyczących wsparcia rzeczowego i finansowego; zauważa jednak, że obecne ramy borykają się z powtarzającymi się problemami dotyczącymi kompletności i przejrzystości, co może ograniczać ich ogólną skuteczność; uważa, że należy zwrócić szczególną uwagę na ulepszone wytyczne dla posłów, a także proporcjonalne i spójne działania następcze ze strony administracji w przypadkach, gdy oświadczenia wydają się niedokładne lub niespójne, zwłaszcza w świetle obaw związanych z ingerencją zagraniczną;</w:t>
      </w:r>
    </w:p>
    <w:p w14:paraId="214AA62A" w14:textId="532D350B" w:rsidR="00EF304C" w:rsidRPr="00485F96" w:rsidRDefault="00B44183" w:rsidP="00EF304C">
      <w:pPr>
        <w:pStyle w:val="NormalHanging12a"/>
      </w:pPr>
      <w:r>
        <w:lastRenderedPageBreak/>
        <w:t>33</w:t>
      </w:r>
      <w:r w:rsidR="00EF304C" w:rsidRPr="00485F96">
        <w:t>.</w:t>
      </w:r>
      <w:r w:rsidR="00EF304C" w:rsidRPr="00485F96">
        <w:tab/>
        <w:t xml:space="preserve">wyraża poważne zaniepokojenie zarzutami, że państwa członkowskie zaangażowały się w działania szpiegowskie skierowane przeciwko Parlamentowi; zauważa, że Komisja powołała wewnętrzną grupę w celu zbadania tych zarzutów; apeluje o ścisłą współpracę między Parlamentem a Komisją oraz wzywa Komisję o dzielenie się z Parlamentem ustaleniami grupy roboczej, pod </w:t>
      </w:r>
      <w:proofErr w:type="gramStart"/>
      <w:r w:rsidR="00EF304C" w:rsidRPr="00485F96">
        <w:t>warunkiem</w:t>
      </w:r>
      <w:proofErr w:type="gramEnd"/>
      <w:r w:rsidR="00EF304C" w:rsidRPr="00485F96">
        <w:t xml:space="preserve"> że nie wpłynie to negatywnie na toczące się lub potencjalne postępowania sądowe;</w:t>
      </w:r>
    </w:p>
    <w:p w14:paraId="47D55B58" w14:textId="0858BF7D" w:rsidR="00EF304C" w:rsidRPr="00485F96" w:rsidRDefault="00B44183" w:rsidP="00EF304C">
      <w:pPr>
        <w:pStyle w:val="NormalHanging12a"/>
        <w:rPr>
          <w:bCs/>
          <w:iCs/>
        </w:rPr>
      </w:pPr>
      <w:r>
        <w:t>34</w:t>
      </w:r>
      <w:r w:rsidR="00EF304C" w:rsidRPr="00485F96">
        <w:t>.</w:t>
      </w:r>
      <w:r w:rsidR="00EF304C" w:rsidRPr="00485F96">
        <w:tab/>
        <w:t>wzywa Parlament do wzmocnienia środków ochrony, w tym bezpiecznego zarządzania urządzeniami, szybkich kanałów zgłaszania incydentów dla posłów i pracowników oraz regularnych spotkań informacyjnych dotyczących zagrożeń, we współpracy z CERT-EU oraz właściwymi organami Unii, przy jednoczesnym zapewnieniu pełnego poszanowania praw podstawowych i ochrony danych;</w:t>
      </w:r>
    </w:p>
    <w:p w14:paraId="5F1E20C0" w14:textId="4FB6E5BE" w:rsidR="00EF304C" w:rsidRPr="00485F96" w:rsidRDefault="00B44183" w:rsidP="00EF304C">
      <w:pPr>
        <w:pStyle w:val="NormalHanging12a"/>
      </w:pPr>
      <w:r>
        <w:t>35</w:t>
      </w:r>
      <w:r w:rsidR="00EF304C" w:rsidRPr="00485F96">
        <w:t>.</w:t>
      </w:r>
      <w:r w:rsidR="00EF304C" w:rsidRPr="00485F96">
        <w:tab/>
        <w:t>zwraca uwagę na potencjał sztucznej inteligencji (AI) w zapewnianiu dokładnych i przejrzystych informacji w Unii oraz jej instytucjach, organach, urzędach i agencjach, przy czym odpowiednio zaprojektowane i zarządzane systemy sztucznej inteligencji mogą pomóc w wykrywaniu i ograniczaniu informacji wprowadzających w błąd i dezinformacji, promować rozliczalność i utrzymywać wysokie standardy przejrzystości w celu utrzymania zaufania publicznego i wzmocnienia demokratycznych rządów; jest zaniepokojony dominacją narzędzi sztucznej inteligencji pochodzących od przedsiębiorstw z państwach trzecich oraz kwestiami ochrony danych i poufności podczas korzystania z narzędzi sztucznej inteligencji od stron trzecich; apeluje o pełną przejrzystość w odniesieniu do wykorzystania systemów sztucznej inteligencji w decyzjach i procedurach Parlamentu, w tym o publikację szczegółowych informacji na temat algorytmów i ocen skutków; wzywa administrację Parlamentu do udostępnienia zarówno posłom, jak i pracownikom Parlamentu zestawu narzędzi sztucznej inteligencji, dostosowanych do potrzeb każdej z tych grup, które odpowiadają potrzebom zawodowym posłów i gwarantują poufność, integralność i dostępność przetwarzanych przez nich danych dzięki wykorzystaniu infrastruktury lokalnej w celu zapobiegania wyciekom danych, oraz do nieujawniania informacji stronom trzecim, zgodnie z obecną polityką dotyczącą wykorzystania sztucznej inteligencji;</w:t>
      </w:r>
    </w:p>
    <w:p w14:paraId="21DB412A" w14:textId="369880DE" w:rsidR="00EF304C" w:rsidRPr="00485F96" w:rsidRDefault="00B44183" w:rsidP="00EF304C">
      <w:pPr>
        <w:pStyle w:val="NormalHanging12a"/>
        <w:rPr>
          <w:bCs/>
          <w:iCs/>
        </w:rPr>
      </w:pPr>
      <w:r>
        <w:t>36</w:t>
      </w:r>
      <w:r w:rsidR="00EF304C" w:rsidRPr="00485F96">
        <w:t>.</w:t>
      </w:r>
      <w:r w:rsidR="00EF304C" w:rsidRPr="00485F96">
        <w:tab/>
        <w:t>zwraca uwagę na coraz częstsze wykorzystanie sztucznej inteligencji i narzędzi opartych na dużych modelach językowych w zarządzaniu zasobami ludzkimi oraz uznaje potencjał tych narzędzi w zakresie przyrostu wydajności, który należy dokładniej zbadać; podkreśla jednocześnie potrzebę jasnych zasad zarządzania, nadzoru ludzkiego, przejrzystości oraz solidnych zabezpieczeń w zakresie ochrony danych; wzywa administrację do poinformowania organu udzielającego absolutorium o zakresie stosowania tych narzędzi, przeprowadzonej ocenie ryzyka oraz zabezpieczeniach etycznych;</w:t>
      </w:r>
    </w:p>
    <w:p w14:paraId="735FB2CF" w14:textId="13948C22" w:rsidR="00EF304C" w:rsidRPr="00485F96" w:rsidRDefault="00B44183" w:rsidP="00EF304C">
      <w:pPr>
        <w:pStyle w:val="NormalHanging12a"/>
      </w:pPr>
      <w:r>
        <w:t>37</w:t>
      </w:r>
      <w:r w:rsidR="00EF304C" w:rsidRPr="00485F96">
        <w:t>.</w:t>
      </w:r>
      <w:r w:rsidR="00EF304C" w:rsidRPr="00485F96">
        <w:tab/>
        <w:t>zwraca uwagę, że zgodnie z Regulaminem Parlamentu głosowanie tajne stosuje się zazwyczaj w przypadku wyborów i głosowań dotyczących poszczególnych osób; zauważa ponadto, że głosowanie tajne przeprowadza się także, gdy wnioskują o to posłowie lub grupa polityczna (grupy polityczne) w liczbie stanowiącej co najmniej wysoki próg; przyjmuje w tym kontekście do wiadomości, że Komisji Spraw Konstytucyjnych Parlamentu powierzono ocenę stosowania tej drugiej możliwości, oraz oczekuje na wnioski i propozycje tej komisji; uważa, że głosowanie imienne stanowi kluczowy instrument zapewniający przejrzystość i odpowiedzialność wobec obywateli Unii; wzywa Parlament do przedstawienia środków zapobiegających nadużywaniu głosowania tajnego;</w:t>
      </w:r>
    </w:p>
    <w:p w14:paraId="395BA523" w14:textId="28E43A5E" w:rsidR="00EF304C" w:rsidRPr="00485F96" w:rsidRDefault="00B44183" w:rsidP="00EF304C">
      <w:pPr>
        <w:pStyle w:val="NormalHanging12a"/>
        <w:rPr>
          <w:bCs/>
          <w:iCs/>
        </w:rPr>
      </w:pPr>
      <w:r>
        <w:lastRenderedPageBreak/>
        <w:t>38</w:t>
      </w:r>
      <w:r w:rsidR="00EF304C" w:rsidRPr="00485F96">
        <w:t>.</w:t>
      </w:r>
      <w:r w:rsidR="00EF304C" w:rsidRPr="00485F96">
        <w:tab/>
        <w:t>z zadowoleniem przyjmuje postępy w uwzględnianiu aspektu płci i sporządzaniu budżetu z uwzględnianiem aspektu płci oraz przyjęcie planu działania w sprawie równości płci na 2025 r.; apeluje o publikację tego planu i jego szybką realizację zgodnie z przewidzianym dla niego harmonogramem, a także o jego dogłębną ocenę za pomocą regularnych sprawozdań monitorujących postępy; ;</w:t>
      </w:r>
    </w:p>
    <w:p w14:paraId="0BDB05F6" w14:textId="77777777" w:rsidR="00EF304C" w:rsidRPr="00485F96" w:rsidRDefault="00EF304C" w:rsidP="00EF304C">
      <w:pPr>
        <w:spacing w:after="240"/>
        <w:rPr>
          <w:b/>
          <w:bCs/>
          <w:i/>
          <w:iCs/>
          <w14:textOutline w14:w="0" w14:cap="flat" w14:cmpd="sng" w14:algn="ctr">
            <w14:noFill/>
            <w14:prstDash w14:val="solid"/>
            <w14:bevel/>
          </w14:textOutline>
        </w:rPr>
      </w:pPr>
      <w:r w:rsidRPr="00485F96">
        <w:rPr>
          <w:b/>
          <w:i/>
          <w14:textOutline w14:w="0" w14:cap="flat" w14:cmpd="sng" w14:algn="ctr">
            <w14:noFill/>
            <w14:prstDash w14:val="solid"/>
            <w14:bevel/>
          </w14:textOutline>
        </w:rPr>
        <w:t>Dyrekcja Generalna ds. Urzędu Przewodniczącego</w:t>
      </w:r>
    </w:p>
    <w:p w14:paraId="6C806477" w14:textId="569FE058" w:rsidR="00EF304C" w:rsidRPr="00485F96" w:rsidRDefault="00B44183" w:rsidP="00EF304C">
      <w:pPr>
        <w:spacing w:after="240"/>
        <w:ind w:left="567" w:hanging="567"/>
        <w:rPr>
          <w:szCs w:val="24"/>
          <w14:textOutline w14:w="0" w14:cap="flat" w14:cmpd="sng" w14:algn="ctr">
            <w14:noFill/>
            <w14:prstDash w14:val="solid"/>
            <w14:bevel/>
          </w14:textOutline>
        </w:rPr>
      </w:pPr>
      <w:r>
        <w:rPr>
          <w14:textOutline w14:w="0" w14:cap="flat" w14:cmpd="sng" w14:algn="ctr">
            <w14:noFill/>
            <w14:prstDash w14:val="solid"/>
            <w14:bevel/>
          </w14:textOutline>
        </w:rPr>
        <w:t>39</w:t>
      </w:r>
      <w:r w:rsidR="00EF304C" w:rsidRPr="00485F96">
        <w:t>.</w:t>
      </w:r>
      <w:r w:rsidR="00EF304C" w:rsidRPr="00485F96">
        <w:rPr>
          <w14:textOutline w14:w="0" w14:cap="flat" w14:cmpd="sng" w14:algn="ctr">
            <w14:noFill/>
            <w14:prstDash w14:val="solid"/>
            <w14:bevel/>
          </w14:textOutline>
        </w:rPr>
        <w:tab/>
        <w:t xml:space="preserve">przypomina, że Dyrekcja Generalna ds. Urzędu Przewodniczącego (DG PRES) zapewnia wiedzę fachową, wspiera prace legislacyjne i parlamentarne przewodniczącego, zgromadzenia plenarnego, organów zarządzających Parlamentu oraz posłów na każdym etapie procesu parlamentarnego i legislacyjnego; </w:t>
      </w:r>
      <w:r w:rsidR="00EF304C" w:rsidRPr="00485F96">
        <w:t>przypomina, że dyrekcja ta odpowiada również za stosunki międzyinstytucjonalne, za wsparcie protokolarne podczas oficjalnych wizyt i wydarzeń sponsorowanych przez przewodniczącego, za zarządzanie informacjami niejawnymi Unii oraz za zarządzanie korespondencją urzędową i listami poleconymi;</w:t>
      </w:r>
      <w:r w:rsidR="00EF304C" w:rsidRPr="00485F96">
        <w:rPr>
          <w14:textOutline w14:w="0" w14:cap="flat" w14:cmpd="sng" w14:algn="ctr">
            <w14:noFill/>
            <w14:prstDash w14:val="solid"/>
            <w14:bevel/>
          </w14:textOutline>
        </w:rPr>
        <w:t xml:space="preserve"> </w:t>
      </w:r>
      <w:r w:rsidR="00EF304C" w:rsidRPr="00485F96">
        <w:t>zauważa, że na dzień 31 grudnia 2024 r. w dyrekcji pracowało 406 osób, w tym 320 urzędników, 29 pracowników zatrudnionych na czas określony, 55 pracowników kontraktowych, jeden oddelegowany ekspert krajowy i jeden pracownik agencji;</w:t>
      </w:r>
    </w:p>
    <w:p w14:paraId="149B089E" w14:textId="4E6E72A6" w:rsidR="00EF304C" w:rsidRPr="00485F96" w:rsidRDefault="00B44183" w:rsidP="00EF304C">
      <w:pPr>
        <w:spacing w:after="240"/>
        <w:ind w:left="567" w:hanging="567"/>
        <w:rPr>
          <w:szCs w:val="24"/>
          <w14:textOutline w14:w="0" w14:cap="flat" w14:cmpd="sng" w14:algn="ctr">
            <w14:noFill/>
            <w14:prstDash w14:val="solid"/>
            <w14:bevel/>
          </w14:textOutline>
        </w:rPr>
      </w:pPr>
      <w:r>
        <w:rPr>
          <w14:textOutline w14:w="0" w14:cap="flat" w14:cmpd="sng" w14:algn="ctr">
            <w14:noFill/>
            <w14:prstDash w14:val="solid"/>
            <w14:bevel/>
          </w14:textOutline>
        </w:rPr>
        <w:t>40</w:t>
      </w:r>
      <w:r w:rsidR="00EF304C" w:rsidRPr="00485F96">
        <w:t>.</w:t>
      </w:r>
      <w:r w:rsidR="00EF304C" w:rsidRPr="00485F96">
        <w:rPr>
          <w14:textOutline w14:w="0" w14:cap="flat" w14:cmpd="sng" w14:algn="ctr">
            <w14:noFill/>
            <w14:prstDash w14:val="solid"/>
            <w14:bevel/>
          </w14:textOutline>
        </w:rPr>
        <w:tab/>
      </w:r>
      <w:r w:rsidR="00EF304C" w:rsidRPr="00485F96">
        <w:t>zauważa, że ostateczne środki DG PRES wyniosły w 2024 r. 2 970 957 EUR, co stanowi 0,2 % budżetu Parlamentu;</w:t>
      </w:r>
      <w:r w:rsidR="00EF304C" w:rsidRPr="00485F96">
        <w:rPr>
          <w14:textOutline w14:w="0" w14:cap="flat" w14:cmpd="sng" w14:algn="ctr">
            <w14:noFill/>
            <w14:prstDash w14:val="solid"/>
            <w14:bevel/>
          </w14:textOutline>
        </w:rPr>
        <w:t xml:space="preserve"> </w:t>
      </w:r>
      <w:r w:rsidR="00EF304C" w:rsidRPr="00485F96">
        <w:t>podkreśla, że z tej kwoty zaciągnięto zobowiązania na łączną kwotę 2 930 107 EUR;</w:t>
      </w:r>
      <w:r w:rsidR="00EF304C" w:rsidRPr="00485F96">
        <w:rPr>
          <w14:textOutline w14:w="0" w14:cap="flat" w14:cmpd="sng" w14:algn="ctr">
            <w14:noFill/>
            <w14:prstDash w14:val="solid"/>
            <w14:bevel/>
          </w14:textOutline>
        </w:rPr>
        <w:t xml:space="preserve"> z zadowoleniem przyjmuje wysoki poziom wykorzystania środków;</w:t>
      </w:r>
    </w:p>
    <w:p w14:paraId="1AA651B8" w14:textId="7E312C9B" w:rsidR="00EF304C" w:rsidRPr="00485F96" w:rsidRDefault="00B44183" w:rsidP="00EF304C">
      <w:pPr>
        <w:spacing w:after="240"/>
        <w:ind w:left="567" w:hanging="567"/>
      </w:pPr>
      <w:r>
        <w:t>41</w:t>
      </w:r>
      <w:r w:rsidR="00EF304C" w:rsidRPr="00485F96">
        <w:t>.</w:t>
      </w:r>
      <w:r w:rsidR="00EF304C" w:rsidRPr="00485F96">
        <w:tab/>
        <w:t xml:space="preserve">zauważa, że na działalność DG PRES wpływ miał koniec dziewiątej i początek dziesiątej kadencji, co spowodowało trudności w planowaniu i finalizacji posiedzeń plenarnych pod koniec dziewiątej kadencji, biorąc pod uwagę bardzo dużą liczbę spraw rozpatrywanych w trybie zwykłej procedury ustawodawczej, które zostały uzgodnione w ostatnich miesiącach kadencji, a także ukonstytuowanie się nowego Parlamentu na początku dziesiątej kadencji wraz z wyborem przewodniczącej i Prezydium; </w:t>
      </w:r>
    </w:p>
    <w:p w14:paraId="7999BBC8" w14:textId="3F894280" w:rsidR="00EF304C" w:rsidRPr="00485F96" w:rsidRDefault="00B44183" w:rsidP="00EF304C">
      <w:pPr>
        <w:pStyle w:val="NormalHanging12a"/>
      </w:pPr>
      <w:bookmarkStart w:id="8" w:name="_Hlk216613698"/>
      <w:r>
        <w:t>42</w:t>
      </w:r>
      <w:r w:rsidR="00EF304C" w:rsidRPr="00485F96">
        <w:t>.</w:t>
      </w:r>
      <w:r w:rsidR="00EF304C" w:rsidRPr="00485F96">
        <w:tab/>
        <w:t>wyraża uznanie dla DG PRES za działania związane z wdrażaniem i monitorowaniem nowych przepisów dotyczących uczciwości i przejrzystości, które obejmowały pierwszą ogólną ocenę technicznego wdrożenia reformy, a także za działania uświadamiające oraz zapewnianie technicznej wiedzy fachowej i usług w zakresie przejrzystości, uczciwości i rozliczalności; ponadto z zadowoleniem przyjmuje rolę komitetu doradczego ds. postępowania posłów w monitorowaniu przestrzegania przez posłów kodeksu postępowania oraz środków wykonawczych do niego;</w:t>
      </w:r>
    </w:p>
    <w:bookmarkEnd w:id="8"/>
    <w:p w14:paraId="19C5F3DA" w14:textId="7EFEE162" w:rsidR="00EF304C" w:rsidRPr="00485F96" w:rsidRDefault="00B44183" w:rsidP="00EF304C">
      <w:pPr>
        <w:pStyle w:val="NormalHanging12a"/>
      </w:pPr>
      <w:r>
        <w:t>43</w:t>
      </w:r>
      <w:r w:rsidR="00EF304C" w:rsidRPr="00485F96">
        <w:t>.</w:t>
      </w:r>
      <w:r w:rsidR="00EF304C" w:rsidRPr="00485F96">
        <w:tab/>
        <w:t xml:space="preserve">wzywa do kontynuowania międzyinstytucjonalnej współpracy i dialogu na temat uczciwości </w:t>
      </w:r>
      <w:r w:rsidRPr="00B44183">
        <w:t>i przejrzystości wśród instytucji Unii; przypomina, że Parlament pozostaje związany porozumieniem ustanawiającym międzyinstytucjonalny organ ds. norm etycznych dla członków instytucji i organów doradczych wymienionych w art. 13 Traktatu o Unii Europejskiej; przypomina, że Parlament jest zatem zobowiązany do niezwłocznego dostosowania się do jego postanowień;</w:t>
      </w:r>
    </w:p>
    <w:p w14:paraId="5A289FFA" w14:textId="13196C82" w:rsidR="00EF304C" w:rsidRPr="00485F96" w:rsidRDefault="00B44183" w:rsidP="00EF304C">
      <w:pPr>
        <w:pStyle w:val="NormalHanging12a"/>
        <w:rPr>
          <w:bCs/>
          <w:iCs/>
        </w:rPr>
      </w:pPr>
      <w:r>
        <w:t>44</w:t>
      </w:r>
      <w:r w:rsidR="00EF304C" w:rsidRPr="00485F96">
        <w:t>.</w:t>
      </w:r>
      <w:r w:rsidR="00EF304C" w:rsidRPr="00485F96">
        <w:tab/>
        <w:t>z zadowoleniem przyjmuje, że DG PRES kontynuowała skuteczną współpracę z Radą i Komisją we wszystkich aspektach dotyczących międzyinstytucjonalnego sekretariatu rejestru służącego przejrzystości, w celu dalszego usprawniania funkcjonowania rejestru;</w:t>
      </w:r>
    </w:p>
    <w:p w14:paraId="638E12FC" w14:textId="51646D19" w:rsidR="00EF304C" w:rsidRPr="00485F96" w:rsidRDefault="00B44183" w:rsidP="00EF304C">
      <w:pPr>
        <w:pStyle w:val="NormalHanging12a"/>
      </w:pPr>
      <w:r>
        <w:lastRenderedPageBreak/>
        <w:t>45</w:t>
      </w:r>
      <w:r w:rsidR="00EF304C" w:rsidRPr="00485F96">
        <w:t>.</w:t>
      </w:r>
      <w:r w:rsidR="00EF304C" w:rsidRPr="00485F96">
        <w:tab/>
        <w:t>podkreśla utrzymujące się w ostatnich latach opóźnienia w rozpatrywaniu przez Komisję pytań poselskich wymagających odpowiedzi na piśmie; ubolewa, że proces ten staje się coraz bardziej biurokratyczny i powolny, co skutkuje systematycznym nieprzestrzeganiem terminów określonych w art. 144 Regulaminu Parlamentu; z niepokojem zauważa, że w 2024 r. Komisja udzieliła odpowiedzi w terminach określonych w Regulaminie Parlamentu jedynie na ograniczoną część pytań wymagających odpowiedzi na piśmie, przy czym tym odsetek odpowiedzi na pytania priorytetowe był szczególnie niski, a w wielu przypadkach odpowiedzi udzielono po upływie terminu; podkreśla, że najdłuższy czas odpowiedzi wynosił 475 dni; przypomina, że terminowe odpowiedzi stanowią istotny element kontroli parlamentarnej i demokratycznej rozliczalności; z zadowoleniem przyjmuje wysiłki podjęte w ostatnich latach przez DG PRES w celu dotrzymania wyznaczonych terminów; wzywa DG PRES do podjęcia działań mających na celu zapewnienie pełnego przestrzegania terminów wyznaczonych przez Parlament oraz do dążenia, w tym na szczeblu politycznym, do zawarcia z Komisją bardziej wiążących ustaleń dotyczących udzielania odpowiedzi na pytania wymagające odpowiedzi na piśmie w określonych terminach, a także do informowania organu udzielającego absolutorium o poczynionych postępach, tak aby przywrócić skuteczność pytań parlamentarnych wymagających odpowiedzi na piśmie jako instrumentu nadzoru;</w:t>
      </w:r>
    </w:p>
    <w:p w14:paraId="5C7B2D3B" w14:textId="14BA48ED" w:rsidR="00EF304C" w:rsidRPr="00485F96" w:rsidRDefault="00B44183" w:rsidP="00EF304C">
      <w:pPr>
        <w:pStyle w:val="NormalHanging12a"/>
        <w:rPr>
          <w:bCs/>
          <w:iCs/>
        </w:rPr>
      </w:pPr>
      <w:r>
        <w:t>46</w:t>
      </w:r>
      <w:r w:rsidR="00EF304C" w:rsidRPr="00485F96">
        <w:t>.</w:t>
      </w:r>
      <w:r w:rsidR="00EF304C" w:rsidRPr="00485F96">
        <w:tab/>
        <w:t>zwraca uwagę, że przetwarzanie wewnętrzne, w tym redakcja, tłumaczenie oraz kontrole dopuszczalności, wpływa na całkowity czas przekazywania pytań wymagających odpowiedzi na piśmie; wzywa administrację do dalszego usprawniania tych procedur, przy pełnym poszanowaniu jakości językowej oraz wymogów w zakresie ochrony danych, aby skuteczniej wspierać prace kontrolne posłów;</w:t>
      </w:r>
    </w:p>
    <w:p w14:paraId="7C83088C" w14:textId="498C74B4" w:rsidR="00EF304C" w:rsidRPr="00485F96" w:rsidRDefault="00B44183" w:rsidP="00EF304C">
      <w:pPr>
        <w:spacing w:after="240"/>
        <w:ind w:left="567" w:hanging="567"/>
      </w:pPr>
      <w:r>
        <w:t>47</w:t>
      </w:r>
      <w:r w:rsidR="00EF304C" w:rsidRPr="00485F96">
        <w:t xml:space="preserve">. </w:t>
      </w:r>
      <w:r w:rsidR="00EF304C" w:rsidRPr="00485F96">
        <w:tab/>
        <w:t xml:space="preserve">wzywa DG PRES do aktywnej współpracy z parlamentami innych państw członkowskich i państw trzecich w celu opracowania propozycji skutecznych mechanizmów kontroli, a także sposobów poprawy jakości i frekwencji podczas debatach plenarnych w Parlamencie; wzywa DG PRES do wyciągnięcia wniosków ze struktury </w:t>
      </w:r>
      <w:proofErr w:type="spellStart"/>
      <w:r w:rsidR="00EF304C" w:rsidRPr="00485F96">
        <w:t>wysłuchań</w:t>
      </w:r>
      <w:proofErr w:type="spellEnd"/>
      <w:r w:rsidR="00EF304C" w:rsidRPr="00485F96">
        <w:t xml:space="preserve"> w Kongresie;</w:t>
      </w:r>
    </w:p>
    <w:p w14:paraId="49EBD413" w14:textId="2C65F79B" w:rsidR="00EF304C" w:rsidRPr="00485F96" w:rsidRDefault="00B44183" w:rsidP="00EF304C">
      <w:pPr>
        <w:pStyle w:val="NormalHanging12a"/>
        <w:rPr>
          <w:bCs/>
          <w:iCs/>
        </w:rPr>
      </w:pPr>
      <w:r>
        <w:t>48</w:t>
      </w:r>
      <w:r w:rsidR="00EF304C" w:rsidRPr="00485F96">
        <w:t>.</w:t>
      </w:r>
      <w:r w:rsidR="00EF304C" w:rsidRPr="00485F96">
        <w:tab/>
        <w:t>z zadowoleniem przyjmuje fakt, że Parlament niedawno zainicjował procedurę ustawodawczą w celu zmiany prawa wyborczego Unii, aby wprowadzić nową, tymczasową możliwość głosowania przez pełnomocnika dla posłanek do PE w okresie późnej ciąży oraz wczesnego macierzyństwa; z zadowoleniem przyjmuje, że w wyniku głosowania plenarnego 13 listopada 2025 r. Parlament potwierdził swoje zaangażowanie na rzecz równości płci, włączenia społecznego oraz równowagi między życiem zawodowym a prywatnym, mimo że akt ten nie obejmuje kwestii wydłużenia urlopu rodzicielskiego;</w:t>
      </w:r>
    </w:p>
    <w:p w14:paraId="7733C86C" w14:textId="5ED8C375" w:rsidR="00EF304C" w:rsidRPr="00485F96" w:rsidRDefault="00B44183" w:rsidP="00EF304C">
      <w:pPr>
        <w:pStyle w:val="NormalHanging12a"/>
        <w:rPr>
          <w:bCs/>
          <w:iCs/>
        </w:rPr>
      </w:pPr>
      <w:r>
        <w:t>49</w:t>
      </w:r>
      <w:r w:rsidR="00EF304C" w:rsidRPr="00485F96">
        <w:t>.</w:t>
      </w:r>
      <w:r w:rsidR="00EF304C" w:rsidRPr="00485F96">
        <w:tab/>
        <w:t>odnotowuje, że aktualne dane dotyczące frekwencji na poziomie komisji są obecnie niedostępne; wzywa służby Parlamentu do corocznego publikowania danych dotyczących frekwencji na poziomie komisji, w ujęciu zbiorczym dla poszczególnych komisji;</w:t>
      </w:r>
    </w:p>
    <w:p w14:paraId="189CCA2D" w14:textId="77777777" w:rsidR="00EF304C" w:rsidRPr="00485F96" w:rsidRDefault="00EF304C" w:rsidP="00EF304C">
      <w:pPr>
        <w:spacing w:after="240"/>
        <w:rPr>
          <w:b/>
          <w:bCs/>
          <w:i/>
          <w:iCs/>
          <w14:textOutline w14:w="0" w14:cap="flat" w14:cmpd="sng" w14:algn="ctr">
            <w14:noFill/>
            <w14:prstDash w14:val="solid"/>
            <w14:bevel/>
          </w14:textOutline>
        </w:rPr>
      </w:pPr>
      <w:r w:rsidRPr="00485F96">
        <w:rPr>
          <w:b/>
          <w:i/>
          <w14:textOutline w14:w="0" w14:cap="flat" w14:cmpd="sng" w14:algn="ctr">
            <w14:noFill/>
            <w14:prstDash w14:val="solid"/>
            <w14:bevel/>
          </w14:textOutline>
        </w:rPr>
        <w:t>Dyrekcja Generalna ds. Komunikacji</w:t>
      </w:r>
    </w:p>
    <w:p w14:paraId="5204EC66" w14:textId="3CCF4AA7" w:rsidR="00EF304C" w:rsidRPr="00485F96" w:rsidRDefault="00B44183" w:rsidP="00EF304C">
      <w:pPr>
        <w:spacing w:after="240"/>
        <w:ind w:left="567" w:hanging="567"/>
        <w:rPr>
          <w:szCs w:val="24"/>
          <w14:textOutline w14:w="0" w14:cap="flat" w14:cmpd="sng" w14:algn="ctr">
            <w14:noFill/>
            <w14:prstDash w14:val="solid"/>
            <w14:bevel/>
          </w14:textOutline>
        </w:rPr>
      </w:pPr>
      <w:r>
        <w:rPr>
          <w14:textOutline w14:w="0" w14:cap="flat" w14:cmpd="sng" w14:algn="ctr">
            <w14:noFill/>
            <w14:prstDash w14:val="solid"/>
            <w14:bevel/>
          </w14:textOutline>
        </w:rPr>
        <w:t>50</w:t>
      </w:r>
      <w:r w:rsidR="00EF304C" w:rsidRPr="00485F96">
        <w:t>.</w:t>
      </w:r>
      <w:r w:rsidR="00EF304C" w:rsidRPr="00485F96">
        <w:rPr>
          <w14:textOutline w14:w="0" w14:cap="flat" w14:cmpd="sng" w14:algn="ctr">
            <w14:noFill/>
            <w14:prstDash w14:val="solid"/>
            <w14:bevel/>
          </w14:textOutline>
        </w:rPr>
        <w:tab/>
      </w:r>
      <w:r w:rsidR="00EF304C" w:rsidRPr="00485F96">
        <w:t>zauważa, że zadaniem Dyrekcji Generalnej ds. Komunikacji (DG COMM) jest dopilnowanie, aby obywatele rozumieli znaczenie Parlamentu, tak aby mogli bardziej angażować się w europejski proces demokratyczny;</w:t>
      </w:r>
      <w:r w:rsidR="00EF304C" w:rsidRPr="00485F96">
        <w:rPr>
          <w14:textOutline w14:w="0" w14:cap="flat" w14:cmpd="sng" w14:algn="ctr">
            <w14:noFill/>
            <w14:prstDash w14:val="solid"/>
            <w14:bevel/>
          </w14:textOutline>
        </w:rPr>
        <w:t xml:space="preserve"> podkreśla, że do głównych zadań DG COMM należy współpraca z mediami, informowanie, wyjaśnianie i zwiększanie </w:t>
      </w:r>
      <w:r w:rsidR="00EF304C" w:rsidRPr="00485F96">
        <w:rPr>
          <w14:textOutline w14:w="0" w14:cap="flat" w14:cmpd="sng" w14:algn="ctr">
            <w14:noFill/>
            <w14:prstDash w14:val="solid"/>
            <w14:bevel/>
          </w14:textOutline>
        </w:rPr>
        <w:lastRenderedPageBreak/>
        <w:t>widoczności prac Parlamentu, szerzenie wiedzy na temat Parlamentu wśród obywateli we wszystkich państwach członkowskich, a także wśród zainteresowanych stron i liderów opinii za pośrednictwem biur kontaktowych Parlamentu Europejskiego znajdujących się w państwach członkowskich, wspieranie interakcji z obywatelami poprzez szerzej zakrojone projekty, wydarzenia i kampanie informacyjne dla zwiedzających oraz wzmocnioną obecność w mediach społecznościowych, a także udostępnianie posłom i grupom politycznym wiedzy fachowej na tematy takie jak analizy i strategie medialne i monitorowanie opinii publicznej;</w:t>
      </w:r>
    </w:p>
    <w:p w14:paraId="21EDECE8" w14:textId="776FB8C3" w:rsidR="00EF304C" w:rsidRPr="00485F96" w:rsidRDefault="00B44183" w:rsidP="00EF304C">
      <w:pPr>
        <w:spacing w:after="240"/>
        <w:ind w:left="567" w:hanging="567"/>
        <w:rPr>
          <w:szCs w:val="24"/>
          <w14:textOutline w14:w="0" w14:cap="flat" w14:cmpd="sng" w14:algn="ctr">
            <w14:noFill/>
            <w14:prstDash w14:val="solid"/>
            <w14:bevel/>
          </w14:textOutline>
        </w:rPr>
      </w:pPr>
      <w:r>
        <w:rPr>
          <w14:textOutline w14:w="0" w14:cap="flat" w14:cmpd="sng" w14:algn="ctr">
            <w14:noFill/>
            <w14:prstDash w14:val="solid"/>
            <w14:bevel/>
          </w14:textOutline>
        </w:rPr>
        <w:t>51</w:t>
      </w:r>
      <w:r w:rsidR="00EF304C" w:rsidRPr="00485F96">
        <w:t>.</w:t>
      </w:r>
      <w:r w:rsidR="00EF304C" w:rsidRPr="00485F96">
        <w:rPr>
          <w14:textOutline w14:w="0" w14:cap="flat" w14:cmpd="sng" w14:algn="ctr">
            <w14:noFill/>
            <w14:prstDash w14:val="solid"/>
            <w14:bevel/>
          </w14:textOutline>
        </w:rPr>
        <w:tab/>
      </w:r>
      <w:r w:rsidR="00EF304C" w:rsidRPr="00485F96">
        <w:t>zauważa, że ostateczne środki DG COMM wyniosły w 2024 r. 137 463 777 EUR, co stanowi 5,8 % budżetu Parlamentu;</w:t>
      </w:r>
      <w:r w:rsidR="00EF304C" w:rsidRPr="00485F96">
        <w:rPr>
          <w14:textOutline w14:w="0" w14:cap="flat" w14:cmpd="sng" w14:algn="ctr">
            <w14:noFill/>
            <w14:prstDash w14:val="solid"/>
            <w14:bevel/>
          </w14:textOutline>
        </w:rPr>
        <w:t xml:space="preserve"> </w:t>
      </w:r>
      <w:r w:rsidR="00EF304C" w:rsidRPr="00485F96">
        <w:t>podkreśla, że z tej kwoty zaciągnięto zobowiązania na łączną kwotę 137 467 355 EUR;</w:t>
      </w:r>
      <w:r w:rsidR="00EF304C" w:rsidRPr="00485F96">
        <w:rPr>
          <w14:textOutline w14:w="0" w14:cap="flat" w14:cmpd="sng" w14:algn="ctr">
            <w14:noFill/>
            <w14:prstDash w14:val="solid"/>
            <w14:bevel/>
          </w14:textOutline>
        </w:rPr>
        <w:t xml:space="preserve"> z zadowoleniem przyjmuje wysoki poziom wykorzystania środków;</w:t>
      </w:r>
    </w:p>
    <w:p w14:paraId="3FA650AE" w14:textId="141017B7" w:rsidR="00EF304C" w:rsidRPr="00485F96" w:rsidRDefault="00B44183" w:rsidP="00EF304C">
      <w:pPr>
        <w:spacing w:after="240"/>
        <w:ind w:left="567" w:hanging="567"/>
      </w:pPr>
      <w:r>
        <w:t>52</w:t>
      </w:r>
      <w:r w:rsidR="00EF304C" w:rsidRPr="00485F96">
        <w:t>.</w:t>
      </w:r>
      <w:r w:rsidR="00EF304C" w:rsidRPr="00485F96">
        <w:tab/>
        <w:t>uznaje, że komunikacja dotycząca wyborów europejskich była jednym z głównych obszarów działalności DG COMM w 2024 r., czego najlepszym przykładem jest udana kampania komunikacyjna „Idź na wybory”, partnerstwa z ponad 300 organizacjami społeczeństwa obywatelskiego oraz briefingi dla ponad 18 000 dziennikarzy; zauważa, że wszystkie projekty strategiczne DG COMM w 2024 r., których wskaźnik realizacji wyniósł 94 %, były związane z wyborami europejskimi, a pozostałe 6 % dotyczyło wdrożenia nowej struktury strony internetowej;</w:t>
      </w:r>
    </w:p>
    <w:p w14:paraId="6A71F93A" w14:textId="486A7928" w:rsidR="00EF304C" w:rsidRPr="00485F96" w:rsidRDefault="00B44183" w:rsidP="00EF304C">
      <w:pPr>
        <w:spacing w:after="240"/>
        <w:ind w:left="567" w:hanging="567"/>
      </w:pPr>
      <w:r>
        <w:t>53</w:t>
      </w:r>
      <w:r w:rsidR="00EF304C" w:rsidRPr="00485F96">
        <w:t xml:space="preserve">. </w:t>
      </w:r>
      <w:r w:rsidR="00EF304C" w:rsidRPr="00485F96">
        <w:tab/>
        <w:t>zauważa, że DG COMM ułatwiła relacjonowanie wyborów europejskich, które osiągnęły rekordową liczbę wzmianek (+18 % w porównaniu z poprzednimi wyborami), co DG COMM uznaje za szczególnie godne uwagi w końcowej fazie cyklu wyborczego, przy czym wieczór wyborczy (9 czerwca 2024 r.) transmitowało 149 kanałów telewizyjnych w 51 krajach, a większość relacji odbyła się online;</w:t>
      </w:r>
    </w:p>
    <w:p w14:paraId="317313FE" w14:textId="37B6DDC8" w:rsidR="00EF304C" w:rsidRPr="00485F96" w:rsidRDefault="00B44183" w:rsidP="00EF304C">
      <w:pPr>
        <w:spacing w:after="240"/>
        <w:ind w:left="567" w:hanging="567"/>
      </w:pPr>
      <w:r>
        <w:rPr>
          <w14:textOutline w14:w="0" w14:cap="flat" w14:cmpd="sng" w14:algn="ctr">
            <w14:noFill/>
            <w14:prstDash w14:val="solid"/>
            <w14:bevel/>
          </w14:textOutline>
        </w:rPr>
        <w:t>54</w:t>
      </w:r>
      <w:r w:rsidR="00EF304C" w:rsidRPr="00485F96">
        <w:t>.</w:t>
      </w:r>
      <w:r w:rsidR="00EF304C" w:rsidRPr="00485F96">
        <w:rPr>
          <w14:textOutline w14:w="0" w14:cap="flat" w14:cmpd="sng" w14:algn="ctr">
            <w14:noFill/>
            <w14:prstDash w14:val="solid"/>
            <w14:bevel/>
          </w14:textOutline>
        </w:rPr>
        <w:tab/>
      </w:r>
      <w:r w:rsidR="00EF304C" w:rsidRPr="00485F96">
        <w:t>zwraca uwagę na rolę biur kontaktowych PE w kontaktach między Parlamentem a ogółem społeczeństwa i zainteresowanymi stronami w państwach członkowskich oraz w informowaniu o wyborach europejskich;</w:t>
      </w:r>
      <w:r w:rsidR="00EF304C" w:rsidRPr="00485F96">
        <w:rPr>
          <w14:textOutline w14:w="0" w14:cap="flat" w14:cmpd="sng" w14:algn="ctr">
            <w14:noFill/>
            <w14:prstDash w14:val="solid"/>
            <w14:bevel/>
          </w14:textOutline>
        </w:rPr>
        <w:t xml:space="preserve"> </w:t>
      </w:r>
      <w:r w:rsidR="00EF304C" w:rsidRPr="00485F96">
        <w:t xml:space="preserve">zauważa, że wszystkie biura kontaktowe PE w państwach członkowskich zostały wyposażone w sprzęt audiowizualny do użytku posłów, grup politycznych i stron trzecich; </w:t>
      </w:r>
    </w:p>
    <w:p w14:paraId="26D2BCA9" w14:textId="7D670ADC" w:rsidR="00EF304C" w:rsidRPr="00485F96" w:rsidRDefault="00B44183" w:rsidP="00EF304C">
      <w:pPr>
        <w:pStyle w:val="NormalHanging12a"/>
        <w:rPr>
          <w:bCs/>
          <w:iCs/>
        </w:rPr>
      </w:pPr>
      <w:r>
        <w:t>55</w:t>
      </w:r>
      <w:r w:rsidR="00EF304C" w:rsidRPr="00485F96">
        <w:t>.</w:t>
      </w:r>
      <w:r w:rsidR="00EF304C" w:rsidRPr="00485F96">
        <w:tab/>
        <w:t xml:space="preserve">wzywa do odpowiedniego monitorowania wydatków biur kontaktowych PE i centrów „Europa </w:t>
      </w:r>
      <w:proofErr w:type="spellStart"/>
      <w:r w:rsidR="00EF304C" w:rsidRPr="00485F96">
        <w:t>Experience</w:t>
      </w:r>
      <w:proofErr w:type="spellEnd"/>
      <w:r w:rsidR="00EF304C" w:rsidRPr="00485F96">
        <w:t>”;</w:t>
      </w:r>
    </w:p>
    <w:p w14:paraId="7D9C5A82" w14:textId="75188584" w:rsidR="00EF304C" w:rsidRPr="00485F96" w:rsidRDefault="00B44183" w:rsidP="00EF304C">
      <w:pPr>
        <w:pStyle w:val="NormalHanging12a"/>
        <w:rPr>
          <w:bCs/>
          <w:iCs/>
        </w:rPr>
      </w:pPr>
      <w:r>
        <w:t>56</w:t>
      </w:r>
      <w:r w:rsidR="00EF304C" w:rsidRPr="00485F96">
        <w:t>.</w:t>
      </w:r>
      <w:r w:rsidR="00EF304C" w:rsidRPr="00485F96">
        <w:tab/>
        <w:t>podkreśla kluczową rolę biura kontaktowego Parlamentu Europejskiego w Waszyngtonie we wspieraniu stosunków transatlantyckich i zacieśnianiu powiązań między parlamentami USA i Unii; podkreśla, że w świetle nowej administracji Stanów Zjednoczonych i pojawiających się globalnych wyzwań biuro kontaktowe Parlamentu Europejskiego w Waszyngtonie odgrywa jeszcze ważniejszą rolę; wzywa do zapewnienia odpowiedniego budżetu i personelu w celu wsparcia działalności biura kontaktowego PE w Waszyngtonie;</w:t>
      </w:r>
    </w:p>
    <w:p w14:paraId="7249397D" w14:textId="48C712DC" w:rsidR="00EF304C" w:rsidRPr="00485F96" w:rsidRDefault="00B44183" w:rsidP="00EF304C">
      <w:pPr>
        <w:pStyle w:val="NormalHanging12a"/>
      </w:pPr>
      <w:r>
        <w:t>57</w:t>
      </w:r>
      <w:r w:rsidR="00EF304C" w:rsidRPr="00485F96">
        <w:t>.</w:t>
      </w:r>
      <w:r w:rsidR="00EF304C" w:rsidRPr="00485F96">
        <w:tab/>
        <w:t xml:space="preserve">zauważa, że w 2024 r. otwarto 14 centrów „Europa </w:t>
      </w:r>
      <w:proofErr w:type="spellStart"/>
      <w:r w:rsidR="00EF304C" w:rsidRPr="00485F96">
        <w:t>Experience</w:t>
      </w:r>
      <w:proofErr w:type="spellEnd"/>
      <w:r w:rsidR="00EF304C" w:rsidRPr="00485F96">
        <w:t xml:space="preserve">”, które przyciągnęły łącznie 957 209 odwiedzających, przy czym liczba odwiedzających była bardzo zróżnicowana – najwięcej odwiedzających przyciągnęły Strasburg (381 687) i Berlin (122 672), a najmniej Kopenhaga (18 182) i Dublin (8 312), jednak centrum w Dublinie zostało otwarte dopiero w październiku 2024 r.; odnotowuje uwagę, że centra „Europa </w:t>
      </w:r>
      <w:proofErr w:type="spellStart"/>
      <w:r w:rsidR="00EF304C" w:rsidRPr="00485F96">
        <w:t>Experience</w:t>
      </w:r>
      <w:proofErr w:type="spellEnd"/>
      <w:r w:rsidR="00EF304C" w:rsidRPr="00485F96">
        <w:t xml:space="preserve">” są wykorzystywane jako unijne centrum demokratycznego zaangażowania biur kontaktowych PE w poszczególnych państwach członkowskich, i że oferują </w:t>
      </w:r>
      <w:r w:rsidR="00EF304C" w:rsidRPr="00485F96">
        <w:lastRenderedPageBreak/>
        <w:t>możliwości przyciągnięcia szerszego grona odbiorców przekazów Parlamentu;</w:t>
      </w:r>
    </w:p>
    <w:p w14:paraId="7E2F71CF" w14:textId="182B7025" w:rsidR="00EF304C" w:rsidRPr="00485F96" w:rsidRDefault="00B44183" w:rsidP="00EF304C">
      <w:pPr>
        <w:spacing w:after="240"/>
        <w:ind w:left="567" w:hanging="567"/>
      </w:pPr>
      <w:r>
        <w:rPr>
          <w14:textOutline w14:w="0" w14:cap="flat" w14:cmpd="sng" w14:algn="ctr">
            <w14:noFill/>
            <w14:prstDash w14:val="solid"/>
            <w14:bevel/>
          </w14:textOutline>
        </w:rPr>
        <w:t>58</w:t>
      </w:r>
      <w:r w:rsidR="00EF304C" w:rsidRPr="00485F96">
        <w:t>.</w:t>
      </w:r>
      <w:r w:rsidR="00EF304C" w:rsidRPr="00485F96">
        <w:rPr>
          <w14:textOutline w14:w="0" w14:cap="flat" w14:cmpd="sng" w14:algn="ctr">
            <w14:noFill/>
            <w14:prstDash w14:val="solid"/>
            <w14:bevel/>
          </w14:textOutline>
        </w:rPr>
        <w:tab/>
      </w:r>
      <w:r w:rsidR="00EF304C" w:rsidRPr="00485F96">
        <w:t xml:space="preserve">podkreśla znaczenie dogłębnej oceny dotychczasowych doświadczeń związanych z centrami „Europa </w:t>
      </w:r>
      <w:proofErr w:type="spellStart"/>
      <w:r w:rsidR="00EF304C" w:rsidRPr="00485F96">
        <w:t>Experience</w:t>
      </w:r>
      <w:proofErr w:type="spellEnd"/>
      <w:r w:rsidR="00EF304C" w:rsidRPr="00485F96">
        <w:t xml:space="preserve">”, w szczególności w odniesieniu do poszukiwania odpowiednich budynków i sposobu skutecznego dotarcia do grup docelowych, określenia najlepszych praktyk oraz dostosowania przyszłego rozwoju centrów „Europa </w:t>
      </w:r>
      <w:proofErr w:type="spellStart"/>
      <w:r w:rsidR="00EF304C" w:rsidRPr="00485F96">
        <w:t>Experience</w:t>
      </w:r>
      <w:proofErr w:type="spellEnd"/>
      <w:r w:rsidR="00EF304C" w:rsidRPr="00485F96">
        <w:t>” do lokalnych potrzeb i wykazanych efektów; podkreśla, że od tej ponownej oceny powinny zależeć przyszłe zmiany lub rozważania dotyczące dalszej ekspansji, tak aby wszystkie przyszłe inwestycje były wydajniejsze, jeśli chodzi o realizację zamierzonego celu, jakim jest zbliżenie Parlamentu do obywateli i lepsze rozumienie przez nich procesów demokratycznych w Unii;</w:t>
      </w:r>
    </w:p>
    <w:p w14:paraId="7D2E06B6" w14:textId="5579F656" w:rsidR="00EF304C" w:rsidRPr="00485F96" w:rsidRDefault="00B44183" w:rsidP="00EF304C">
      <w:pPr>
        <w:pStyle w:val="NormalHanging12a"/>
      </w:pPr>
      <w:r>
        <w:t>59</w:t>
      </w:r>
      <w:r w:rsidR="00EF304C" w:rsidRPr="00485F96">
        <w:t>.</w:t>
      </w:r>
      <w:r w:rsidR="00EF304C" w:rsidRPr="00485F96">
        <w:tab/>
        <w:t>przypomina, że nowe przepisy dotyczące wypłaty dofinansowania dla zaproszonych grup odwiedzających zostały przyjęte przez Prezydium 11 września 2023 r. i weszły w życie 1 stycznia 2024 r.; zauważa, że w 2024 r. posłowie zaprosili do Brukseli i Strasburga 300 000 sponsorowanych i niesponsorowanych odwiedzających; zauważa, że dotacje dla takich grup odwiedzających stanowiły 17 % wydatków DG COMM w 2024 r.; zwraca uwagę, że grupy polityczne podejmują dodatkowe wysiłki wspierające ich posłów w kontaktach z obywatelami, w tym z młodzieżą, w celu zapewnienia odpowiednich informacji na temat pracy posłów w Strasburgu i Brukseli, dzięki finansowaniu ze środków z pozycji budżetu 400;</w:t>
      </w:r>
    </w:p>
    <w:p w14:paraId="69C45F56" w14:textId="42EC123D" w:rsidR="00EF304C" w:rsidRPr="00485F96" w:rsidRDefault="00B44183" w:rsidP="00EF304C">
      <w:pPr>
        <w:spacing w:after="240"/>
        <w:ind w:left="567" w:hanging="567"/>
      </w:pPr>
      <w:r>
        <w:t>60</w:t>
      </w:r>
      <w:r w:rsidR="00EF304C" w:rsidRPr="00485F96">
        <w:t>.</w:t>
      </w:r>
      <w:r w:rsidR="00EF304C" w:rsidRPr="00485F96">
        <w:tab/>
        <w:t>przypomina o nieustannej walce, w którą Unia jest zaangażowana, aby chronić europejskie wartości i integralność procesów demokratycznych; dostrzega coraz częstsze próby wpływania przez podmioty zagraniczne na prace Parlamentu i podkreśla potrzebę czujności w przeciwdziałaniu dezinformacji pochodzącej spoza Unii; przypomina w związku z tym rezolucje Parlamentu Europejskiego z 1 czerwca 2023 r. w sprawie obcych ingerencji we wszystkie procesy demokratyczne w Unii Europejskiej, w tym dezinformacji (2022/2075(INI)), oraz z 23 stycznia 2025 r. w sprawie dezinformacji i fałszerstw historycznych Rosji mających uzasadnić jej wojnę napastniczą przeciwko Ukrainie (2024/2988(RSP)); z zadowoleniem przyjmuje działania podejmowane przez Parlament w celu zapobiegania dezinformacji i reagowania na nią; choć dostrzega, że nie doszło jeszcze do żadnego znaczącego incydentu, to jednak podkreśla, jak ważne jest utrzymanie proaktywnych środków, aby chronić integralność debaty publicznej i głosowań w Parlamencie; podkreśla wartość dodaną inicjatyw takich jak spotkania i szczyty w sprawie weryfikacji faktów, ponieważ odgrywają one kluczową rolę, jeżeli chodzi o wspieranie przejrzystości, udostępnianie zainteresowanym stronom narzędzi do przeciwdziałania informacjom wprowadzającym w błąd oraz zacieśnianie współpracy między organizacjami zajmującymi się weryfikacją faktów w Unii i poza jej granicami;</w:t>
      </w:r>
    </w:p>
    <w:p w14:paraId="2D8A63C0" w14:textId="77777777" w:rsidR="00EF304C" w:rsidRPr="00485F96" w:rsidRDefault="00EF304C" w:rsidP="00EF304C">
      <w:pPr>
        <w:spacing w:after="240"/>
        <w:rPr>
          <w:b/>
          <w:bCs/>
          <w:i/>
          <w:iCs/>
          <w14:textOutline w14:w="0" w14:cap="flat" w14:cmpd="sng" w14:algn="ctr">
            <w14:noFill/>
            <w14:prstDash w14:val="solid"/>
            <w14:bevel/>
          </w14:textOutline>
        </w:rPr>
      </w:pPr>
      <w:r w:rsidRPr="00485F96">
        <w:rPr>
          <w:b/>
          <w:i/>
          <w14:textOutline w14:w="0" w14:cap="flat" w14:cmpd="sng" w14:algn="ctr">
            <w14:noFill/>
            <w14:prstDash w14:val="solid"/>
            <w14:bevel/>
          </w14:textOutline>
        </w:rPr>
        <w:t>Dyrekcja Generalna ds. Personelu</w:t>
      </w:r>
    </w:p>
    <w:p w14:paraId="312179BE" w14:textId="7584958F" w:rsidR="00EF304C" w:rsidRPr="00485F96" w:rsidRDefault="00B44183" w:rsidP="00EF304C">
      <w:pPr>
        <w:spacing w:after="240"/>
        <w:ind w:left="567" w:hanging="567"/>
        <w:rPr>
          <w:szCs w:val="24"/>
          <w14:textOutline w14:w="0" w14:cap="flat" w14:cmpd="sng" w14:algn="ctr">
            <w14:noFill/>
            <w14:prstDash w14:val="solid"/>
            <w14:bevel/>
          </w14:textOutline>
        </w:rPr>
      </w:pPr>
      <w:r>
        <w:rPr>
          <w14:textOutline w14:w="0" w14:cap="flat" w14:cmpd="sng" w14:algn="ctr">
            <w14:noFill/>
            <w14:prstDash w14:val="solid"/>
            <w14:bevel/>
          </w14:textOutline>
        </w:rPr>
        <w:t>61</w:t>
      </w:r>
      <w:r w:rsidR="00EF304C" w:rsidRPr="00485F96">
        <w:t>.</w:t>
      </w:r>
      <w:r w:rsidR="00EF304C" w:rsidRPr="00485F96">
        <w:rPr>
          <w14:textOutline w14:w="0" w14:cap="flat" w14:cmpd="sng" w14:algn="ctr">
            <w14:noFill/>
            <w14:prstDash w14:val="solid"/>
            <w14:bevel/>
          </w14:textOutline>
        </w:rPr>
        <w:tab/>
        <w:t xml:space="preserve">przypomina, że Dyrekcja Generalna ds. Personelu (DG PERS) jest odpowiedzialna za odpowiednie i skuteczne zarządzanie zasobami ludzkimi w Parlamencie i zapewnia posłom wsparcie wysoko wykwalifikowanych pracowników, aby umożliwić im należyte wykonywanie mandatu; </w:t>
      </w:r>
      <w:r w:rsidR="00EF304C" w:rsidRPr="00485F96">
        <w:t>zauważa, że na dzień 31 grudnia 2024 r. w dyrekcji pracowało 499 osób, w tym 290 urzędników, 82 pracowników zatrudnionych na czas określony, 120 pracowników kontraktowych, 2 oddelegowanych ekspertów krajowych i 5 pracowników agencji;</w:t>
      </w:r>
    </w:p>
    <w:p w14:paraId="6C484251" w14:textId="7A6A8243" w:rsidR="00EF304C" w:rsidRPr="00485F96" w:rsidRDefault="00B44183" w:rsidP="00EF304C">
      <w:pPr>
        <w:spacing w:after="240"/>
        <w:ind w:left="567" w:hanging="567"/>
        <w:rPr>
          <w:szCs w:val="24"/>
          <w14:textOutline w14:w="0" w14:cap="flat" w14:cmpd="sng" w14:algn="ctr">
            <w14:noFill/>
            <w14:prstDash w14:val="solid"/>
            <w14:bevel/>
          </w14:textOutline>
        </w:rPr>
      </w:pPr>
      <w:r>
        <w:rPr>
          <w14:textOutline w14:w="0" w14:cap="flat" w14:cmpd="sng" w14:algn="ctr">
            <w14:noFill/>
            <w14:prstDash w14:val="solid"/>
            <w14:bevel/>
          </w14:textOutline>
        </w:rPr>
        <w:t>62</w:t>
      </w:r>
      <w:r w:rsidR="00EF304C" w:rsidRPr="00485F96">
        <w:t>.</w:t>
      </w:r>
      <w:r w:rsidR="00EF304C" w:rsidRPr="00485F96">
        <w:rPr>
          <w14:textOutline w14:w="0" w14:cap="flat" w14:cmpd="sng" w14:algn="ctr">
            <w14:noFill/>
            <w14:prstDash w14:val="solid"/>
            <w14:bevel/>
          </w14:textOutline>
        </w:rPr>
        <w:tab/>
      </w:r>
      <w:r w:rsidR="00EF304C" w:rsidRPr="00485F96">
        <w:t xml:space="preserve">zauważa, że ostateczne środki DG PERS wyniosły w 2024 r. 1 225 341 375 EUR </w:t>
      </w:r>
      <w:r w:rsidR="00EF304C" w:rsidRPr="00485F96">
        <w:lastRenderedPageBreak/>
        <w:t>(1 163 329 780 EUR in 2023 r.), co stanowi 51,4 % budżetu Parlamentu;</w:t>
      </w:r>
      <w:r w:rsidR="00EF304C" w:rsidRPr="00485F96">
        <w:rPr>
          <w14:textOutline w14:w="0" w14:cap="flat" w14:cmpd="sng" w14:algn="ctr">
            <w14:noFill/>
            <w14:prstDash w14:val="solid"/>
            <w14:bevel/>
          </w14:textOutline>
        </w:rPr>
        <w:t xml:space="preserve"> </w:t>
      </w:r>
      <w:r w:rsidR="00EF304C" w:rsidRPr="00485F96">
        <w:t>podkreśla, że z tej kwoty zaciągnięto zobowiązania na łączną kwotę 1 160 835 147 EUR;</w:t>
      </w:r>
      <w:r w:rsidR="00EF304C" w:rsidRPr="00485F96">
        <w:rPr>
          <w14:textOutline w14:w="0" w14:cap="flat" w14:cmpd="sng" w14:algn="ctr">
            <w14:noFill/>
            <w14:prstDash w14:val="solid"/>
            <w14:bevel/>
          </w14:textOutline>
        </w:rPr>
        <w:t xml:space="preserve"> z zadowoleniem przyjmuje wysoki poziom wykorzystania środków;</w:t>
      </w:r>
    </w:p>
    <w:p w14:paraId="2B250487" w14:textId="63143328" w:rsidR="00EF304C" w:rsidRPr="00485F96" w:rsidRDefault="00B44183" w:rsidP="00EF304C">
      <w:pPr>
        <w:pStyle w:val="NormalHanging12a"/>
      </w:pPr>
      <w:r>
        <w:t>63</w:t>
      </w:r>
      <w:r w:rsidR="00EF304C" w:rsidRPr="00485F96">
        <w:t>.</w:t>
      </w:r>
      <w:r w:rsidR="00EF304C" w:rsidRPr="00485F96">
        <w:tab/>
        <w:t>z zadowoleniem przyjmuje fakt, że w 2024 r. DG PERS nadal organizowała konkursy i procedury naboru, obsługując coraz większą liczbę kandydatów, a także zorganizowała cztery konkursy przeznaczone dla obywateli określonych krajów; z zadowoleniem przyjmuje wysiłki DG PERS w zakresie organizowania konkursów, dbania o ich terminowe zakończenie i utrzymania niezbędnych standardów jakości; z zadowoleniem przyjmuje fakt, że ponad 441 kandydatów znalazło się na listach rezerwowych; ubolewa jednak, że Europejski Urząd Doboru Kadr (EPSO) napotyka systematyczne problemy z organizacją konkursów i wynikające z braku kandydatów wykwalifikowanych stosownie do potrzeb Parlamentu; ubolewa, że średni czas między publikacją ogłoszenia o konkursie a końcową rozmową kwalifikacyjną w przypadku każdego konkursu wynosi ponad rok; dostrzega ogólne trudności napotykane przez DG PERS i inne dyrekcje generalne w przyciąganiu i zatrzymywaniu talentów, co ma wpływ na wyniki pracowników Parlamentu; apeluje o bardziej skuteczne, lepiej ukierunkowane i krótsze procedury naboru, które doprowadziłyby do zwiększenia atrakcyjności Parlamentu jako pracodawcy i umożliwiłyby dyrekcjom generalnym szybkie rekrutowanie profili specjalistycznych niezbędnych do wspierania ich pracy; podkreśla, że procedury selekcji muszą być przeprowadzane z pełnym poszanowaniem zasad równego traktowania i równowagi geograficznej, aby zapewnić sprawiedliwą reprezentację wszystkich państw członkowskich;</w:t>
      </w:r>
    </w:p>
    <w:p w14:paraId="462B867C" w14:textId="18FB7840" w:rsidR="00EF304C" w:rsidRPr="00485F96" w:rsidRDefault="00B44183" w:rsidP="00EF304C">
      <w:pPr>
        <w:spacing w:after="240"/>
        <w:ind w:left="567" w:hanging="567"/>
      </w:pPr>
      <w:r>
        <w:t>64</w:t>
      </w:r>
      <w:r w:rsidR="00EF304C" w:rsidRPr="00485F96">
        <w:t>.</w:t>
      </w:r>
      <w:r w:rsidR="00EF304C" w:rsidRPr="00485F96">
        <w:tab/>
        <w:t>z zadowoleniem przyjmuje konkursy Parlamentu dla poszczególnych narodowości w celu poprawy równowagi geograficznej wśród pracowników Parlamentu dzięki utworzeniu szerszej puli kandydatów z niedostatecznie reprezentowanych państw członkowskich; zauważa jednak, że analiza danych dotyczących pracowników Parlamentu według narodowości i grupy funkcyjnej wskazuje na utrzymującą się nierównowagę w rozwoju kariery zawodowej, w wyniku której pracownicy z niektórych państw członkowskich, mimo że są dobrze reprezentowani w administracji, są nadal niedostatecznie reprezentowani w wyższych grupach funkcyjnych i na stanowiskach decyzyjnych; ubolewa z powodu nierównowagi geograficznej w kadrze kierowniczej wyższego i średniego szczebla Parlamentu; rekrutacja powinna zawsze opierać się na zasługach i zawsze uwzględniać podstawowe zasady, takie jak równość, niedyskryminacja i proporcjonalność; podkreśla, że konieczna jest poprawa sytuacji, i wzywa sekretarza generalnego, aby we współpracy z DG PERS przedstawił konkretne, wymierne i określone w czasie środki mające na celu wyeliminowanie tej nierównowagi oraz aby regularnie składał Komisji Kontroli Budżetowej Parlamentu i organowi udzielającemu absolutorium sprawozdania z postępów osiągniętych w korygowaniu braku równowagi geograficznej wśród pracowników Parlamentu; wzywa Sekretarza Generalnego oraz Dyrekcję Generalną ds. Personelu (DG PERS) do uwzględnienia w regularnych sprawozdaniach przedkładanych Komisji kontroli Budżetowej Parlamentu informacji wykraczających poza ogólną liczbę pracowników, a w szczególności danych dotyczących przebiegu kariery i awansów według narodowości i grup funkcyjnych, obsadzania stanowisk kierowniczych i wyższego szczebla, udziału w programach zarządzania talentami i przywództwa oraz wykorzystywania czasowych nominacji i pełnienia obowiązków jako elementów ścieżek rozwoju kariery;</w:t>
      </w:r>
    </w:p>
    <w:p w14:paraId="0ED31BEA" w14:textId="0240E640" w:rsidR="00EF304C" w:rsidRPr="00485F96" w:rsidRDefault="00B44183" w:rsidP="00EF304C">
      <w:pPr>
        <w:spacing w:after="240"/>
        <w:ind w:left="567" w:hanging="567"/>
        <w:rPr>
          <w:noProof/>
        </w:rPr>
      </w:pPr>
      <w:r>
        <w:t>65</w:t>
      </w:r>
      <w:r w:rsidR="00EF304C" w:rsidRPr="00485F96">
        <w:t>.</w:t>
      </w:r>
      <w:r w:rsidR="00EF304C" w:rsidRPr="00485F96">
        <w:tab/>
        <w:t xml:space="preserve">odnotowuje kluczowe osiągnięcie DG PERS, jakim jest sprawna rekrutacja bezprecedensowej liczby 1 339 akredytowanych asystentów parlamentarnych (APA) przed lipcową sesją inauguracyjną, przy czym całkowita liczba akredytowanych </w:t>
      </w:r>
      <w:r w:rsidR="00EF304C" w:rsidRPr="00485F96">
        <w:lastRenderedPageBreak/>
        <w:t xml:space="preserve">asystentów parlamentarnych posiadających ważne umowy na koniec roku wzrosła do 2 024, a około 800 akredytowanych asystentów parlamentarnych zakończyło zatrudnienie; uważa, że akredytowani asystenci parlamentarni są wielkim atutem dla instytucji, i wyraża uznanie dla DG PERS za jej wysiłki na rzecz wspierania sprawnej i skutecznej rekrutacji przez posłów; </w:t>
      </w:r>
    </w:p>
    <w:p w14:paraId="53E2A3D1" w14:textId="0ECDE52B" w:rsidR="00EF304C" w:rsidRDefault="00B44183" w:rsidP="00EF304C">
      <w:pPr>
        <w:pStyle w:val="NormalHanging12a"/>
      </w:pPr>
      <w:r>
        <w:t>66</w:t>
      </w:r>
      <w:r w:rsidR="00EF304C" w:rsidRPr="00485F96">
        <w:t>.</w:t>
      </w:r>
      <w:r w:rsidR="00EF304C" w:rsidRPr="00485F96">
        <w:tab/>
        <w:t>zauważa, że praca akredytowanych asystentów parlamentarnych stanowi integralną część pracy posłów, a tym samym Parlamentu; zauważa, że po przyjęciu statutu akredytowanych asystentów parlamentarnych w 2009 r. ich status jest od lat chroniony na mocy przepisów; odnotowuje wysiłki podjęte przez Parlament w celu stworzenia ram zapewniających wsparcie akredytowanym asystentom parlamentarnym; apeluje o należyte przestrzeganie obowiązujących przepisów; zauważa, że od tego czasu akredytowani asystenci parlamentarni uczestniczą w oficjalnych wyjazdach służbowych do trzech miejsc pracy Parlamentu; wyraża zadowolenie, że przepisy dotyczące zwrotu kosztów podróży służbowych akredytowanych asystentów parlamentarnych między trzema miejscami pracy dostosowano do przepisów mających zastosowanie do urzędników, co zapewnia równe traktowanie akredytowanych asystentów parlamentarnych; wzywa Prezydium i administrację Parlamentu, aby formalnie konsultowały się z Komitetem Akredytowanych Asystentów Parlamentarnych w sprawie zmian i reform, które mają bezpośredni wpływ na prawa akredytowanych asystentów parlamentarnych; wzywa administrację Parlamentu do zbadania możliwości wprowadzenia w umowach akredytowanych asystentów parlamentarnych okresu wypowiedzenia w przypadku nieoczekiwanego odejścia posła; ponownie zwraca się do Konferencji Przewodniczących i Prezydium o przeprowadzenie przeglądu postanowień wykonawczych regulujących prace delegacji i misji poza granicami Unii; podkreśla, że w ramach takiego przeglądu należy rozważyć, czy możliwe jest, aby akredytowani asystenci parlamentarni pod pewnymi warunkami towarzyszyli posłom w oficjalnych delegacjach i misjach Parlamentu; podkreśla, że zmiana ta nie spowodowałaby żadnych zmian w puli środków finansowych i byłaby neutralna dla budżetu;</w:t>
      </w:r>
    </w:p>
    <w:p w14:paraId="6ABE5B5E" w14:textId="1C3CFBEB" w:rsidR="00B44183" w:rsidRPr="00485F96" w:rsidRDefault="00B44183" w:rsidP="00EF304C">
      <w:pPr>
        <w:pStyle w:val="NormalHanging12a"/>
      </w:pPr>
      <w:r w:rsidRPr="00B44183">
        <w:t>67.</w:t>
      </w:r>
      <w:r w:rsidRPr="00B44183">
        <w:tab/>
        <w:t>podkreśla, że priorytetem jest bezpieczeństwo i higiena pracy, w tym ryzyko psychospołeczne (stres, wypalenie zawodowe, molestowanie); zwraca się do Prezydium o formalne uznanie ryzyka psychospołecznego za ryzyko zawodowe oraz o przyjęcie obejmującego cały Parlament planu profilaktyki z wymiernymi celami; apeluje, by wprowadzono oceny ryzyka obejmujące pracę zdalną, podróże służbowe i napięte terminy, a także poufne kanały sprawozdawczości, szkolenia dla kadry kierowniczej i regularny dialog społeczny; nalega na egzekwowanie prawa do bycia offline;</w:t>
      </w:r>
    </w:p>
    <w:p w14:paraId="38B37187" w14:textId="77777777" w:rsidR="00EF304C" w:rsidRPr="00485F96" w:rsidRDefault="00EF304C" w:rsidP="00EF304C">
      <w:pPr>
        <w:pStyle w:val="NormalHanging12a"/>
        <w:rPr>
          <w:bCs/>
          <w:iCs/>
        </w:rPr>
      </w:pPr>
      <w:r w:rsidRPr="00485F96">
        <w:t>68.</w:t>
      </w:r>
      <w:r w:rsidRPr="00485F96">
        <w:tab/>
        <w:t xml:space="preserve">przypomina, że akredytowani asystenci parlamentarni nie mogą brać udziału w wewnętrznych konkursach organizowanych przez Parlament; zwraca się do Prezydium o zbadanie możliwości przyznania akredytowanym asystentom parlamentarnym możliwości – na warunkach, które jeszcze należy określić – udziału w konkursach wewnętrznych na podobnych zasadach jak personel Parlamentu; podkreśla, że większe zaangażowanie akredytowanych asystentów parlamentarnych w wewnętrzne struktury Parlamentu może zapewnić bardziej </w:t>
      </w:r>
      <w:proofErr w:type="spellStart"/>
      <w:r w:rsidRPr="00485F96">
        <w:t>inkluzywną</w:t>
      </w:r>
      <w:proofErr w:type="spellEnd"/>
      <w:r w:rsidRPr="00485F96">
        <w:t>, zróżnicowaną i wyważoną geograficznie strukturę personelu; podkreśla znaczenie zatrzymywania i transferu wiedzy w Parlamencie w odniesieniu do wewnętrznych metod pracy;</w:t>
      </w:r>
    </w:p>
    <w:p w14:paraId="57171166" w14:textId="77777777" w:rsidR="00EF304C" w:rsidRPr="00485F96" w:rsidRDefault="00EF304C" w:rsidP="00EF304C">
      <w:pPr>
        <w:pStyle w:val="NormalHanging12a"/>
      </w:pPr>
      <w:r w:rsidRPr="00485F96">
        <w:t>69.</w:t>
      </w:r>
      <w:r w:rsidRPr="00485F96">
        <w:tab/>
        <w:t xml:space="preserve">z wielkim zaniepokojeniem odnotowuje doniesienia o naruszeniu ochrony danych w aplikacji rekrutacyjnej Parlamentu PEOPLE, które dotyczyło głównie pracowników Parlamentu niezatrudnionych na stałe, w tym akredytowanych asystentów parlamentarnych; ubolewa, że naruszenie ochrony danych dotyczyło dowodów </w:t>
      </w:r>
      <w:r w:rsidRPr="00485F96">
        <w:lastRenderedPageBreak/>
        <w:t xml:space="preserve">tożsamości, aktów urodzenia, dyplomów, historii zatrudnienia, dokumentacji medycznej, uprawnień, ubezpieczenia i dowodów pracy, sięgających w niektórych przypadkach nawet 10 lat wstecz; z zadowoleniem przyjmuje system zwrotu kosztów wprowadzony przez sekretarza generalnego, zgodnie ze spoczywającym na Parlamencie obowiązkiem dochowania należytej staranności, w celu pokrycia kosztów wymiany dowodów osobistych lub paszportów użytkowników aplikacji PEOPLE, którzy zostali poszkodowani, przy czym do tej pory wypłacono 51 874 EUR; wyraża ubolewanie, że koszty podróży do kraju pochodzenia w celu dopełnienia tych formalności administracyjnych nie były pokrywane; apeluje o zapewnienie przez administrację skutecznych i sprawiedliwych środków wsparcia, w tym jasnych wytycznych dostępnych w jednym punkcie kontaktu, wsparcia w zakresie ochrony tożsamości oraz zwrotu kosztów, który nie będzie skutkował ponoszeniem przez osoby dotknięte nieuniknionych kosztów administracyjnych związanych z procedurami wymiany dokumentów; zauważa, że administracja przedstawiła organowi udzielającemu absolutorium analizę przyczyn naruszenia; wzywa administrację do przedstawienia pracownikom, w tym byłym pracownikom, których to dotyczy, jasnej analizy przyczyn naruszenia oraz środków podjętych w celu przywrócenia funkcjonowania danego systemu; jest w pełni świadomy, że Parlament będzie nadal celem cyberataków w przyszłości i że niezbędna jest jak największa czujność; z zadowoleniem przyjmuje środki podjęte przez administrację w celu dalszego wzmocnienia dojrzałości w zakresie </w:t>
      </w:r>
      <w:proofErr w:type="spellStart"/>
      <w:r w:rsidRPr="00485F96">
        <w:t>cyberbezpieczeństwa</w:t>
      </w:r>
      <w:proofErr w:type="spellEnd"/>
      <w:r w:rsidRPr="00485F96">
        <w:t xml:space="preserve"> i zarządzania środowiskiem informatycznym;</w:t>
      </w:r>
    </w:p>
    <w:p w14:paraId="2B03493A" w14:textId="77777777" w:rsidR="00EF304C" w:rsidRPr="00485F96" w:rsidRDefault="00EF304C" w:rsidP="00EF304C">
      <w:pPr>
        <w:spacing w:after="240"/>
        <w:ind w:left="567" w:hanging="567"/>
        <w:rPr>
          <w:noProof/>
        </w:rPr>
      </w:pPr>
      <w:r w:rsidRPr="00485F96">
        <w:t>70.</w:t>
      </w:r>
      <w:r w:rsidRPr="00485F96">
        <w:tab/>
        <w:t xml:space="preserve">zauważa, że DG PERS wdrożyła nowy system informatyczny APA-People, usprawniający proces rekrutacji poprzez centralizację zarządzania umowami i umożliwienie posłom dostępu, a także w pełni cyfrową procedurę badań lekarskich podczas rekrutacji; wzywa DG PERS, aby we współpracy z DG ITEC dopilnowała, by </w:t>
      </w:r>
      <w:proofErr w:type="spellStart"/>
      <w:r w:rsidRPr="00485F96">
        <w:t>cyberbezpieczeństwo</w:t>
      </w:r>
      <w:proofErr w:type="spellEnd"/>
      <w:r w:rsidRPr="00485F96">
        <w:t xml:space="preserve"> tego systemu było zgodne z normami i zapobiegało wyciekom danych osobowych; uważa, że </w:t>
      </w:r>
      <w:proofErr w:type="spellStart"/>
      <w:r w:rsidRPr="00485F96">
        <w:t>cyberbezpieczeństwo</w:t>
      </w:r>
      <w:proofErr w:type="spellEnd"/>
      <w:r w:rsidRPr="00485F96">
        <w:t xml:space="preserve"> systemów informatycznych zawierających dane osobowe wszystkich pracowników ma ogromne znaczenie, i wzywa DG PERS do ścisłej współpracy z DG ITEC w tym celu;</w:t>
      </w:r>
    </w:p>
    <w:p w14:paraId="381D0160" w14:textId="77777777" w:rsidR="00EF304C" w:rsidRPr="00485F96" w:rsidRDefault="00EF304C" w:rsidP="00EF304C">
      <w:pPr>
        <w:spacing w:after="240"/>
        <w:ind w:left="567" w:hanging="567"/>
      </w:pPr>
      <w:r w:rsidRPr="00485F96">
        <w:t>71.</w:t>
      </w:r>
      <w:r w:rsidRPr="00485F96">
        <w:tab/>
        <w:t xml:space="preserve">zauważa, że w 2024 r. DG PERS wspierała wdrażanie planów działania dotyczących równości płci i różnorodności oraz opracowała szkolenia na temat różnorodności i </w:t>
      </w:r>
      <w:proofErr w:type="spellStart"/>
      <w:r w:rsidRPr="00485F96">
        <w:t>inkluzywności</w:t>
      </w:r>
      <w:proofErr w:type="spellEnd"/>
      <w:r w:rsidRPr="00485F96">
        <w:t xml:space="preserve"> dla wszystkich pracowników; z zadowoleniem przyjmuje fakt, że Dział ds. Równości Szans, Włączenia i Różnorodności (EIDU) w DG PERS usprawnił w 2024 r. swoją wewnętrzną procedurę racjonalnych usprawnień, wspierając równość, włączenie społeczne i różnorodność, a także doradzał Działowi ds. Szkolenia i Doskonalenia w sprawie racjonalnych usprawnień na potrzeby kursów szkoleniowych; z zadowoleniem przyjmuje fakt, że dział zorganizował również 20 szkoleń i wydarzeń informacyjnych dla 2334 uczestników, w tym nowe szkolenie na temat różnorodności i włączenia dla wszystkich pracowników, a także zorganizował wydarzenia poświęcone równouprawnieniu płci, niepełnosprawności i włączeniu osób LGBTQI+;</w:t>
      </w:r>
    </w:p>
    <w:p w14:paraId="4BCA8868" w14:textId="77777777" w:rsidR="00EF304C" w:rsidRPr="00485F96" w:rsidRDefault="00EF304C" w:rsidP="00EF304C">
      <w:pPr>
        <w:pStyle w:val="NormalHanging12a"/>
      </w:pPr>
      <w:r w:rsidRPr="00485F96">
        <w:t>72.</w:t>
      </w:r>
      <w:r w:rsidRPr="00485F96">
        <w:tab/>
        <w:t>z zadowoleniem przyjmuje przyjęcie wspólnej decyzji międzyinstytucjonalnej w sprawie dodatku mieszkaniowego dla pracowników niższego szczebla mieszkających w Luksemburgu; uważa, że jest to niezbędny instrument wspierający pracowników niższego szczebla w zrównoważeniu nieproporcjonalnie wysokich kosztów mieszkaniowych, a także niezbędne narzędzie zwiększające atrakcyjność siedziby Parlamentu w Luksemburgu; zauważa, że ten instrument ma charakter tymczasowy i wzywa Parlament do zapewnienia długoterminowej przewidywalności dla zainteresowanych pracowników;</w:t>
      </w:r>
    </w:p>
    <w:p w14:paraId="33DFD107" w14:textId="77777777" w:rsidR="00EF304C" w:rsidRPr="00485F96" w:rsidRDefault="00EF304C" w:rsidP="00EF304C">
      <w:pPr>
        <w:pStyle w:val="NormalHanging12a"/>
      </w:pPr>
      <w:r w:rsidRPr="00485F96">
        <w:lastRenderedPageBreak/>
        <w:t>73.</w:t>
      </w:r>
      <w:r w:rsidRPr="00485F96">
        <w:tab/>
        <w:t xml:space="preserve">przypomina o rozpoczęciu 22 października 2024 r. </w:t>
      </w:r>
      <w:proofErr w:type="spellStart"/>
      <w:r w:rsidRPr="00485F96">
        <w:t>ogólnoparlamentarnej</w:t>
      </w:r>
      <w:proofErr w:type="spellEnd"/>
      <w:r w:rsidRPr="00485F96">
        <w:t xml:space="preserve"> kampanii przeciwko molestowaniu „Zjednoczeni przeciwko molestowaniu”, która przyczynia się do zapewnienia bezpiecznego środowiska pracy; z zadowoleniem przyjmuje fakt, że oprócz kampanii informacyjnej, szkolenie dla posłów pt. „Poszanowanie i godność w pracy – zapobieganie konfliktom i molestowaniu w miejscu pracy” było obowiązkowe i zostało ukończone przez posłów w pierwszym roku kadencji; podkreśla, że należy ocenić skuteczność tych środków;</w:t>
      </w:r>
    </w:p>
    <w:p w14:paraId="2C62CBD1" w14:textId="77777777" w:rsidR="00EF304C" w:rsidRPr="00485F96" w:rsidRDefault="00EF304C" w:rsidP="00EF304C">
      <w:pPr>
        <w:pStyle w:val="NormalHanging12a"/>
      </w:pPr>
      <w:r w:rsidRPr="00485F96">
        <w:t>74.</w:t>
      </w:r>
      <w:r w:rsidRPr="00485F96">
        <w:tab/>
        <w:t>z zadowoleniem przyjmuje umożliwienie pracownikom telepracy poza miejscem zatrudnienia; zauważa, że pracownicy Parlamentu mogą korzystać z tej formy telepracy przez pięć dni w roku; zauważa, że inne instytucje Unii przewidują średnio 15 dni w roku; wzywa do aktywnego monitorowania i oceny nowych sposobów pracy; przypomina o znaczeniu prawdziwego dialogu z przedstawicielami pracowników na temat kluczowych kwestii związanych z nowymi sposobami pracy;</w:t>
      </w:r>
    </w:p>
    <w:p w14:paraId="6531D555" w14:textId="77777777" w:rsidR="00EF304C" w:rsidRPr="00485F96" w:rsidRDefault="00EF304C" w:rsidP="00EF304C">
      <w:pPr>
        <w:pStyle w:val="NormalHanging12a"/>
        <w:rPr>
          <w:bCs/>
          <w:iCs/>
        </w:rPr>
      </w:pPr>
      <w:r w:rsidRPr="00485F96">
        <w:t>75.</w:t>
      </w:r>
      <w:r w:rsidRPr="00485F96">
        <w:tab/>
        <w:t xml:space="preserve">podkreśla, że wysokiej jakości usługi opieki nad dziećmi świadczone posłom i członkom personelu należą do głównych środków zapewniających skuteczne wdrażanie polityki równowagi między życiem zawodowym a prywatnym; zwraca uwagę na fakt, że jakość usług świadczonych przez żłobek </w:t>
      </w:r>
      <w:proofErr w:type="spellStart"/>
      <w:r w:rsidRPr="00485F96">
        <w:t>Wayenberg</w:t>
      </w:r>
      <w:proofErr w:type="spellEnd"/>
      <w:r w:rsidRPr="00485F96">
        <w:t xml:space="preserve"> w Brukseli pogorszyła się ze względu na częste zmiany usługodawcy od 2020 r.; apeluje w związku z tym o rozważenie konieczności przyjęcia wysokiej jakości standardów;</w:t>
      </w:r>
    </w:p>
    <w:p w14:paraId="43D217DD" w14:textId="77777777" w:rsidR="00EF304C" w:rsidRPr="00485F96" w:rsidRDefault="00EF304C" w:rsidP="00EF304C">
      <w:pPr>
        <w:pStyle w:val="NormalHanging12a"/>
        <w:rPr>
          <w:bCs/>
          <w:iCs/>
        </w:rPr>
      </w:pPr>
      <w:r w:rsidRPr="00485F96">
        <w:t>76.</w:t>
      </w:r>
      <w:r w:rsidRPr="00485F96">
        <w:tab/>
        <w:t>przypomina zalecenie Parlamentu dla Komisji zawarte w rezolucji Parlamentu Europejskiego z dnia 18 kwietnia 2018 r. w sprawie polityki Komisji w dziedzinie prawości, w szczególności mianowania sekretarza generalnego Komisji Europejskiej (2018/2624(RSP)), aby „przeprowadziła przegląd administracyjnej procedury mianowania wysokich rangą urzędników w celu zapewnienia we wszystkich przypadkach wyboru najlepszych kandydatów z zachowaniem maksymalnej przejrzystości i równości szans, a tym samym stworzenia modelu dla innych instytucji europejskich”; jest zdania, że w odniesieniu do procedur mianowania Parlament powinien zawsze spełniać najwyższe standardy przejrzystości, odpowiedzialności i dobrej administracji;</w:t>
      </w:r>
    </w:p>
    <w:p w14:paraId="6DEA4808" w14:textId="77777777" w:rsidR="00EF304C" w:rsidRPr="00485F96" w:rsidRDefault="00EF304C" w:rsidP="00EF304C">
      <w:pPr>
        <w:pStyle w:val="NormalHanging12a"/>
        <w:rPr>
          <w:bCs/>
          <w:iCs/>
        </w:rPr>
      </w:pPr>
      <w:r w:rsidRPr="00485F96">
        <w:t>77.</w:t>
      </w:r>
      <w:r w:rsidRPr="00485F96">
        <w:tab/>
        <w:t>zwraca się do Parlamentu o optymalizację wykorzystania zasobów ludzkich, w tym poprzez wdrożenie odpowiednich działań szkoleniowych, mających na celu zwiększenie skuteczności i wydajności służb wewnętrznych; wzywa do regularnego organizowania szkoleń z zakresu pierwszej pomocy na poziomie podstawowym i średniozaawansowanym, a także do włączenia takich szkoleń jako dobrowolnego elementu programu wdrażania nowych pracowników; wzywa administrację do zbadania możliwości zainstalowania dodatkowych defibrylatorów w celu poprawy zdrowia i bezpieczeństwa posłów i pracowników, w tym zapewnienia odpowiednich szkoleń;</w:t>
      </w:r>
    </w:p>
    <w:p w14:paraId="4FDA5770" w14:textId="77777777" w:rsidR="00EF304C" w:rsidRPr="00485F96" w:rsidRDefault="00EF304C" w:rsidP="00EF304C">
      <w:pPr>
        <w:spacing w:after="240"/>
        <w:rPr>
          <w:b/>
          <w:bCs/>
          <w:i/>
          <w:iCs/>
        </w:rPr>
      </w:pPr>
      <w:r w:rsidRPr="00485F96">
        <w:rPr>
          <w:b/>
          <w:i/>
        </w:rPr>
        <w:t>Dyrekcja Generalna ds. Infrastruktury i Logistyki</w:t>
      </w:r>
    </w:p>
    <w:p w14:paraId="06593956" w14:textId="77777777" w:rsidR="00EF304C" w:rsidRPr="00485F96" w:rsidRDefault="00EF304C" w:rsidP="00EF304C">
      <w:pPr>
        <w:spacing w:after="240"/>
        <w:ind w:left="567" w:hanging="567"/>
      </w:pPr>
      <w:r w:rsidRPr="00485F96">
        <w:t>78.</w:t>
      </w:r>
      <w:r w:rsidRPr="00485F96">
        <w:tab/>
        <w:t xml:space="preserve">przypomina, że Dyrekcja Generalna ds. Infrastruktury i Logistyki (DG INLO) jest odpowiedzialna za budynki Parlamentu, prace budowlane, zarządzanie obiektami i logistykę; zauważa, że DG INLO świadczy również usługi gastronomiczne i transportowe oraz zarządza biurami i przestrzeniami posiedzeń Parlamentu oraz je wyposaża; przypomina, że DG INLO w zarządzała przede wszystkim portfelem budynków Parlamentu o powierzchni około 1,3 mln m² w Brukseli, Luksemburgu, Strasburgu, biurach kontaktowych i centrach „Europa </w:t>
      </w:r>
      <w:proofErr w:type="spellStart"/>
      <w:r w:rsidRPr="00485F96">
        <w:t>Experience</w:t>
      </w:r>
      <w:proofErr w:type="spellEnd"/>
      <w:r w:rsidRPr="00485F96">
        <w:t xml:space="preserve">” w państwach członkowskich; zauważa, że na dzień 31 grudnia 2024 r. w DG INLO pracowało 635 </w:t>
      </w:r>
      <w:r w:rsidRPr="00485F96">
        <w:lastRenderedPageBreak/>
        <w:t>pracowników, w tym 311 urzędników, 20 pracowników zatrudnionych na czas określony i 326 pracowników kontraktowych;</w:t>
      </w:r>
    </w:p>
    <w:p w14:paraId="27F93CF5" w14:textId="77777777" w:rsidR="00EF304C" w:rsidRPr="00485F96" w:rsidRDefault="00EF304C" w:rsidP="00EF304C">
      <w:pPr>
        <w:pStyle w:val="NormalHanging12a"/>
      </w:pPr>
      <w:r w:rsidRPr="00485F96">
        <w:t>79.</w:t>
      </w:r>
      <w:r w:rsidRPr="00485F96">
        <w:tab/>
        <w:t>zauważa, że ostateczne środki DG INLO wyniosły w 2024 r. 258 638 966 EUR, co stanowi 10,9 % budżetu Parlamentu; podkreśla, że z tej kwoty zaciągnięto zobowiązania na łączną kwotę 256 935 431 EUR; odnotowuje wysoki poziom wykorzystania środków;</w:t>
      </w:r>
    </w:p>
    <w:p w14:paraId="1FA45CFF" w14:textId="77777777" w:rsidR="00EF304C" w:rsidRPr="00485F96" w:rsidRDefault="00EF304C" w:rsidP="00EF304C">
      <w:pPr>
        <w:spacing w:after="240"/>
        <w:ind w:left="567" w:hanging="567"/>
      </w:pPr>
      <w:r w:rsidRPr="00485F96">
        <w:t>80.</w:t>
      </w:r>
      <w:r w:rsidRPr="00485F96">
        <w:tab/>
        <w:t>przypomina, że zdecydowana większość w Parlamencie opowiada się za jedną siedzibą; przypomina, że zgodnie z TUE Parlament ma siedzibę w Strasburgu, gdzie odbywa się 12 comiesięcznych sesji plenarnych, oraz że wszelkie zmiany w traktatach wymagają jednomyślności państw członkowskich; zauważa, że w obecnych ramach traktatowych można osiągnąć oszczędności dzięki optymalizacji działań; apeluje o ustanowienie konkretnych kamieni milowych oraz planu działania służących osiągnięciu zidentyfikowanych redukcji kosztów;</w:t>
      </w:r>
    </w:p>
    <w:p w14:paraId="7F905BE1" w14:textId="77777777" w:rsidR="00EF304C" w:rsidRPr="00485F96" w:rsidRDefault="00EF304C" w:rsidP="00EF304C">
      <w:pPr>
        <w:pStyle w:val="NormalHanging12a"/>
        <w:rPr>
          <w:bCs/>
          <w:iCs/>
        </w:rPr>
      </w:pPr>
      <w:r w:rsidRPr="00485F96">
        <w:t>81.</w:t>
      </w:r>
      <w:r w:rsidRPr="00485F96">
        <w:tab/>
        <w:t>zachęca administrację do dalszej oceny jakości, poziomu cen oraz zakresu usług gastronomicznych oferowanych w Parlamencie, aby zagwarantować, że kryteria udzielania zamówień właściwie równoważą kwestie ceny i jakości; zwraca się do DG INLO o zbadanie możliwości zwiększenia konkurencji między dostawcami usług gastronomicznych w celu podniesienia standardów usług, zwiększenia wyboru oraz poprawy efektywności kosztowej, w szczególności w kontekście oficjalnych wydarzeń i usług dla odwiedzających; wzywa administrację Parlamentu do przedstawienia Komisji Kontroli Budżetowej Parlamentu sprawozdania z wyników;</w:t>
      </w:r>
    </w:p>
    <w:p w14:paraId="6021BE3F" w14:textId="77777777" w:rsidR="00EF304C" w:rsidRPr="00485F96" w:rsidRDefault="00EF304C" w:rsidP="00EF304C">
      <w:pPr>
        <w:pStyle w:val="NormalHanging12a"/>
      </w:pPr>
      <w:r w:rsidRPr="00485F96">
        <w:t>82.</w:t>
      </w:r>
      <w:r w:rsidRPr="00485F96">
        <w:tab/>
        <w:t>z zadowoleniem przyjmuje fakt, że w 2024 r. administracja wdrożyła strategię Parlamentu w zakresie nieruchomości na okres po 2019 r. i osiągnęła jej główne cele; z zadowoleniem zauważa, że DG INLO, po latach ekspansji spowodowanej rozszerzeniem uprawnień instytucjonalnych Parlamentu, koncentruje się obecnie na konsolidacji zasobów budowlanych Parlamentu i renowacji istniejących budynków; z zadowoleniem przyjmuje zaangażowanie DG INLO w dalszy rozwój roli Parlamentu w Strasburgu, Brukseli i Luksemburgu, wspieranie projektów leżących we wspólnym interesie oraz łączenie obiektów z otaczającymi je obszarami;</w:t>
      </w:r>
    </w:p>
    <w:p w14:paraId="098C6C4E" w14:textId="77777777" w:rsidR="00EF304C" w:rsidRPr="00485F96" w:rsidRDefault="00EF304C" w:rsidP="00EF304C">
      <w:pPr>
        <w:pStyle w:val="NormalHanging12a"/>
        <w:rPr>
          <w:bCs/>
          <w:iCs/>
        </w:rPr>
      </w:pPr>
      <w:r w:rsidRPr="00485F96">
        <w:t>83.</w:t>
      </w:r>
      <w:r w:rsidRPr="00485F96">
        <w:tab/>
        <w:t>wzywa administrację Parlamentu do kontynuowania aktywnej strategii w zakresie nieruchomości, uwzględniającej potrzeby infrastrukturalne i logistyczne, a także do dokonania przeglądu środków oszczędnościowych, takich jak wykorzystanie technologii posiedzeń hybrydowych, oraz konsolidacji działalności parlamentarnej; wzywa Parlament do dopilnowania, aby jego cele dotyczące uwzględniania różnorodności biologicznej były również uwzględniane w projektach dotyczących zarządzania budynkami i ich renowacji, w tym przez oszacowanie związanych z tym kosztów; odnotowuje, że duże projekty budowlane wiążą się ze złożonymi negocjacjami oraz wnikliwą kontrolą prawną; wzywa administrację Parlamentu do systematycznego przedstawiania organowi udzielającemu absolutorium sprawozdań ex post dotyczących takich projektów, obejmujących przebieg negocjacji, środki ograniczania ryzyka oraz oceny prawne, w celu zwiększenia przejrzystości i wzmocnienia zdolności instytucjonalnych do wyciągania wniosków;</w:t>
      </w:r>
    </w:p>
    <w:p w14:paraId="6B2391A6" w14:textId="77777777" w:rsidR="00EF304C" w:rsidRPr="00485F96" w:rsidRDefault="00EF304C" w:rsidP="00EF304C">
      <w:pPr>
        <w:pStyle w:val="NormalHanging12a"/>
      </w:pPr>
      <w:r w:rsidRPr="00485F96">
        <w:t>84.</w:t>
      </w:r>
      <w:r w:rsidRPr="00485F96">
        <w:tab/>
        <w:t xml:space="preserve">z zaniepokojeniem odnotowuje utrzymujący się niedobór </w:t>
      </w:r>
      <w:proofErr w:type="spellStart"/>
      <w:r w:rsidRPr="00485F96">
        <w:t>sal</w:t>
      </w:r>
      <w:proofErr w:type="spellEnd"/>
      <w:r w:rsidRPr="00485F96">
        <w:t xml:space="preserve"> posiedzeń i seminaryjnych w Parlamencie, co sprawia, że rezerwacja miejsc staje się coraz trudniejsza i wymaga planowania z dużym wyprzedzeniem; ubolewa, że sytuacja ta utrudnia skuteczną organizację prac parlamentarnych i ogranicza elastyczność posłów i pracowników; </w:t>
      </w:r>
      <w:r w:rsidRPr="00485F96">
        <w:lastRenderedPageBreak/>
        <w:t>przyjmuje do wiadomości zbliżający się remont budynku SPAAK, który jest zgodna z wymogami Unii w zakresie charakterystyki energetycznej; wzywa administrację Parlamentu do wdrożenia środków mających na celu złagodzenie skutków remontu oraz do zapewnienia wystarczającej liczby pomieszczeń, aby zaspokoić potrzeby operacyjne Parlamentu;</w:t>
      </w:r>
    </w:p>
    <w:p w14:paraId="4E9778AD" w14:textId="77777777" w:rsidR="00EF304C" w:rsidRPr="00485F96" w:rsidRDefault="00EF304C" w:rsidP="00EF304C">
      <w:pPr>
        <w:pStyle w:val="NormalHanging12a"/>
      </w:pPr>
      <w:r w:rsidRPr="00485F96">
        <w:t>85.</w:t>
      </w:r>
      <w:r w:rsidRPr="00485F96">
        <w:tab/>
        <w:t xml:space="preserve">odnotowuje projekty budowlane w 2024 r., a w szczególności ukończenie budowy zachodniego skrzydła budynku ADENAUER II w Luksemburgu, dzięki czemu wszyscy pracownicy i służby Parlamentu znajdują się w jednym budynku; zauważa, że nowy pawilon łączący recepcję dla zwiedzających i kontrolę w budynku WEISS został ukończony przed rozpoczęciem nowej kadencji w lipcu 2024 r.; odnotowuje nabycie budynku TRÈVES II w Brukseli, co jeszcze bardziej konsoliduje zasoby budynków Parlamentu w dzielnicy europejskiej tego miasta; wnosi o przedstawienie zaktualizowanego harmonogramu połączenia budynków TRÈVES I </w:t>
      </w:r>
      <w:proofErr w:type="spellStart"/>
      <w:r w:rsidRPr="00485F96">
        <w:t>i</w:t>
      </w:r>
      <w:proofErr w:type="spellEnd"/>
      <w:r w:rsidRPr="00485F96">
        <w:t xml:space="preserve"> TRÈVES II z głównymi budynkami centralnymi w Brukseli; domaga się rozwiązania pewnych nadal nierozwiązanych problemów strukturalnych w budynku TRÈVES I, takich jak niestabilny system ogrzewania, brak klimatyzacji i toalet dla osób o ograniczonej możliwości poruszania się, słaba izolacja akustyczna, a także problemy z kanalizacją; zachęca do częstszego czyszczenia kratek i kanałów wentylacji ogrzewania w budynku SPINELLI w celu zapobiegania gromadzeniu się kurzu i pleśni w biurach oraz poprawy zdrowia personelu w miejscu pracy;</w:t>
      </w:r>
    </w:p>
    <w:p w14:paraId="23FD69EE" w14:textId="77777777" w:rsidR="00EF304C" w:rsidRPr="00485F96" w:rsidRDefault="00EF304C" w:rsidP="00EF304C">
      <w:pPr>
        <w:pStyle w:val="NormalHanging12a"/>
      </w:pPr>
      <w:r w:rsidRPr="00485F96">
        <w:t>86.</w:t>
      </w:r>
      <w:r w:rsidRPr="00485F96">
        <w:tab/>
        <w:t>przypomina, że na posiedzeniu 12 czerwca 2023 r. Prezydium omówiło działania w związku z renowacją budynku SPAAK; zauważa, że Prezydium opowiedziało się za kompleksowym remontem środowiskowym i 11 grudnia 2023 r. zatwierdziło odpowiedni projekt; zauważa, że DG INLO poczyniła postępy w zakresie wstępnych projektów związanych z renowacją budynku SPAAK poprzez zainicjowanie analizy dotyczącej nowego centralnego pomieszczenia technicznego Dyrekcji Generalnej ds. Logistyki i Tłumaczeń Konferencyjnych (DG LINC), reorganizację drukarni, przeniesienie gabinetów oraz centrum medialne i prasowe;</w:t>
      </w:r>
    </w:p>
    <w:p w14:paraId="4BD58436" w14:textId="77777777" w:rsidR="00EF304C" w:rsidRPr="00485F96" w:rsidRDefault="00EF304C" w:rsidP="00EF304C">
      <w:pPr>
        <w:pStyle w:val="NormalHanging12a"/>
        <w:rPr>
          <w:bCs/>
          <w:iCs/>
        </w:rPr>
      </w:pPr>
      <w:r w:rsidRPr="00485F96">
        <w:t>87.</w:t>
      </w:r>
      <w:r w:rsidRPr="00485F96">
        <w:tab/>
        <w:t>zauważa, że w preliminarzu na 2026 r. uwzględniono 4 mln EUR na badania i prace przygotowawcze wykonawcy związane z renowacją budynku SPAAK, podczas gdy ogólne koszty szacuje się na 36 mln EUR; zauważa w związku z tym, że w preliminarzu na 2026 r. nie uwzględniono 32 mln EUR kosztów związanych z renowacją budynku SPAAK; zauważa, że sekretarz generalny zamierza pokryć te koszty przez przesunięcie zbiorcze lub wykorzystanie pożyczki; zwraca się do sekretarza generalnego o jak najszybsze przekazanie Komisji Budżetowej Parlamentu szczegółowych informacji na temat ewentualnej pożyczki na pokrycie tych kosztów; zauważa, że według stanu na grudzień 2024 r. koszty bezpośrednie projektu SPAAK wyniosły 14,12 mln EUR; jest zdania, że należy uważnie i dokładnie monitorować zmiany związane z kosztami renowacji budynku SPAAK;</w:t>
      </w:r>
    </w:p>
    <w:p w14:paraId="593DE0A9" w14:textId="77777777" w:rsidR="00EF304C" w:rsidRPr="00485F96" w:rsidRDefault="00EF304C" w:rsidP="00EF304C">
      <w:pPr>
        <w:pStyle w:val="NormalHanging12a"/>
      </w:pPr>
      <w:r w:rsidRPr="00485F96">
        <w:t>88.</w:t>
      </w:r>
      <w:r w:rsidRPr="00485F96">
        <w:tab/>
        <w:t xml:space="preserve">zauważa, że DG INLO opracowuje koncepcję optymalizacji przestrzeni biurowej w celu wykorzystania obecnych biur w sposób, który pozwoli w pełni wykorzystać potencjał pracowników Parlamentu i utrzymać ich zaangażowanie społeczne w Parlamencie; zauważa, że inspiracją dla tej koncepcji są budynki MARTENS, TRÈVES II i ARENDT w Brukseli, w których nacisk kładzie się na „miejsce pracy oparte na aktywności”, obejmujące przestrzenie socjalne przeznaczone do spotkań, nieformalnych zgromadzeń i wymiany poglądów; zauważa, że opracowano również ogólną koncepcję dla budynku KOHL, uwzględniającą ograniczenia konstrukcyjne i budżetowe; wzywa DG INLO do uwzględnienia perspektywy użytkowników jako kluczowego elementu </w:t>
      </w:r>
      <w:r w:rsidRPr="00485F96">
        <w:lastRenderedPageBreak/>
        <w:t>rozwoju tej koncepcji oraz do priorytetowego potraktowania jej wdrożenia w budynkach, w których optymalizacja jest najbardziej potrzebna, zawsze w porozumieniu z przedstawicielami pracowników;</w:t>
      </w:r>
    </w:p>
    <w:p w14:paraId="35E09374" w14:textId="77777777" w:rsidR="00EF304C" w:rsidRPr="00485F96" w:rsidRDefault="00EF304C" w:rsidP="00EF304C">
      <w:pPr>
        <w:pStyle w:val="NormalHanging12a"/>
        <w:rPr>
          <w:bCs/>
          <w:iCs/>
        </w:rPr>
      </w:pPr>
      <w:r w:rsidRPr="00485F96">
        <w:t>89.</w:t>
      </w:r>
      <w:r w:rsidRPr="00485F96">
        <w:tab/>
        <w:t>zwraca uwagę, że w 2024 r. duża część miejsc dostępnych we flocie pojazdów przemieszczających się między Brukselą a Strasburgiem na sesje plenarne nie była zajęta; wzywa administrację Parlamentu, aby rozważyła rozszerzenie grupy użytkowników i bardziej efektywne wykorzystanie floty służbowej, przy jednoczesnym zapewnieniu miejsc dla posłów;</w:t>
      </w:r>
    </w:p>
    <w:p w14:paraId="03859DBD" w14:textId="77777777" w:rsidR="00EF304C" w:rsidRPr="00485F96" w:rsidRDefault="00EF304C" w:rsidP="00EF304C">
      <w:pPr>
        <w:pStyle w:val="NormalHanging12a"/>
        <w:rPr>
          <w:bCs/>
          <w:iCs/>
        </w:rPr>
      </w:pPr>
      <w:r w:rsidRPr="00485F96">
        <w:t>90.</w:t>
      </w:r>
      <w:r w:rsidRPr="00485F96">
        <w:tab/>
        <w:t>zachęca siłownię do oferowania większej liczby zajęć wspierających dobrostan fizyczny i psychiczny, aby dotrzeć do szerszej grupy pracowników;</w:t>
      </w:r>
    </w:p>
    <w:p w14:paraId="380111E9" w14:textId="77777777" w:rsidR="00EF304C" w:rsidRPr="00485F96" w:rsidRDefault="00EF304C" w:rsidP="00EF304C">
      <w:pPr>
        <w:spacing w:after="240"/>
        <w:rPr>
          <w:b/>
          <w:bCs/>
          <w:i/>
          <w:iCs/>
          <w14:textOutline w14:w="0" w14:cap="flat" w14:cmpd="sng" w14:algn="ctr">
            <w14:noFill/>
            <w14:prstDash w14:val="solid"/>
            <w14:bevel/>
          </w14:textOutline>
        </w:rPr>
      </w:pPr>
      <w:r w:rsidRPr="00485F96">
        <w:rPr>
          <w:b/>
          <w:i/>
          <w14:textOutline w14:w="0" w14:cap="flat" w14:cmpd="sng" w14:algn="ctr">
            <w14:noFill/>
            <w14:prstDash w14:val="solid"/>
            <w14:bevel/>
          </w14:textOutline>
        </w:rPr>
        <w:t>Dyrekcja Generalna ds. Finansów</w:t>
      </w:r>
    </w:p>
    <w:p w14:paraId="1C18DE9B" w14:textId="77777777" w:rsidR="00EF304C" w:rsidRPr="00485F96" w:rsidRDefault="00EF304C" w:rsidP="00EF304C">
      <w:pPr>
        <w:spacing w:after="240"/>
        <w:ind w:left="567" w:hanging="567"/>
        <w:rPr>
          <w:szCs w:val="24"/>
          <w14:textOutline w14:w="0" w14:cap="flat" w14:cmpd="sng" w14:algn="ctr">
            <w14:noFill/>
            <w14:prstDash w14:val="solid"/>
            <w14:bevel/>
          </w14:textOutline>
        </w:rPr>
      </w:pPr>
      <w:r w:rsidRPr="00485F96">
        <w:rPr>
          <w14:textOutline w14:w="0" w14:cap="flat" w14:cmpd="sng" w14:algn="ctr">
            <w14:noFill/>
            <w14:prstDash w14:val="solid"/>
            <w14:bevel/>
          </w14:textOutline>
        </w:rPr>
        <w:t>91</w:t>
      </w:r>
      <w:r w:rsidRPr="00485F96">
        <w:t>.</w:t>
      </w:r>
      <w:r w:rsidRPr="00485F96">
        <w:rPr>
          <w14:textOutline w14:w="0" w14:cap="flat" w14:cmpd="sng" w14:algn="ctr">
            <w14:noFill/>
            <w14:prstDash w14:val="solid"/>
            <w14:bevel/>
          </w14:textOutline>
        </w:rPr>
        <w:tab/>
        <w:t>przypomina, że DG FINS jest organem administracyjnym odpowiedzialnym za sprawy budżetowe i finansowe Parlamentu; zauważa, że na dzień 31 grudnia 2024 r. w dyrekcji pracowało 262 pracowników, w tym 134 urzędników, 51 pracowników zatrudnionych na czas określony, 77 pracowników kontraktowych, i nie było żadnych pracowników agencji;</w:t>
      </w:r>
    </w:p>
    <w:p w14:paraId="01209450" w14:textId="77777777" w:rsidR="00EF304C" w:rsidRPr="00485F96" w:rsidRDefault="00EF304C" w:rsidP="00EF304C">
      <w:pPr>
        <w:spacing w:after="240"/>
        <w:ind w:left="567" w:hanging="567"/>
        <w:rPr>
          <w14:textOutline w14:w="0" w14:cap="flat" w14:cmpd="sng" w14:algn="ctr">
            <w14:noFill/>
            <w14:prstDash w14:val="solid"/>
            <w14:bevel/>
          </w14:textOutline>
        </w:rPr>
      </w:pPr>
      <w:r w:rsidRPr="00485F96">
        <w:rPr>
          <w14:textOutline w14:w="0" w14:cap="flat" w14:cmpd="sng" w14:algn="ctr">
            <w14:noFill/>
            <w14:prstDash w14:val="solid"/>
            <w14:bevel/>
          </w14:textOutline>
        </w:rPr>
        <w:t>92</w:t>
      </w:r>
      <w:r w:rsidRPr="00485F96">
        <w:t>.</w:t>
      </w:r>
      <w:r w:rsidRPr="00485F96">
        <w:rPr>
          <w14:textOutline w14:w="0" w14:cap="flat" w14:cmpd="sng" w14:algn="ctr">
            <w14:noFill/>
            <w14:prstDash w14:val="solid"/>
            <w14:bevel/>
          </w14:textOutline>
        </w:rPr>
        <w:tab/>
      </w:r>
      <w:r w:rsidRPr="00485F96">
        <w:t>zauważa, że ostateczne środki DG FINS wyniosły w 2024 r. 442 954 175 EUR, co stanowi 18,6 % budżetu Parlamentu;</w:t>
      </w:r>
      <w:r w:rsidRPr="00485F96">
        <w:rPr>
          <w14:textOutline w14:w="0" w14:cap="flat" w14:cmpd="sng" w14:algn="ctr">
            <w14:noFill/>
            <w14:prstDash w14:val="solid"/>
            <w14:bevel/>
          </w14:textOutline>
        </w:rPr>
        <w:t xml:space="preserve"> </w:t>
      </w:r>
      <w:r w:rsidRPr="00485F96">
        <w:t>podkreśla, że z tej kwoty zaciągnięto zobowiązania na łączną kwotę 441 848 935 EUR (99,75%);</w:t>
      </w:r>
      <w:r w:rsidRPr="00485F96">
        <w:rPr>
          <w14:textOutline w14:w="0" w14:cap="flat" w14:cmpd="sng" w14:algn="ctr">
            <w14:noFill/>
            <w14:prstDash w14:val="solid"/>
            <w14:bevel/>
          </w14:textOutline>
        </w:rPr>
        <w:t xml:space="preserve"> z zadowoleniem przyjmuje wysoki poziom wykorzystania środków;</w:t>
      </w:r>
    </w:p>
    <w:p w14:paraId="59E676C9" w14:textId="77777777" w:rsidR="00EF304C" w:rsidRPr="00485F96" w:rsidRDefault="00EF304C" w:rsidP="00EF304C">
      <w:pPr>
        <w:spacing w:after="240"/>
        <w:ind w:left="567" w:hanging="567"/>
        <w:rPr>
          <w14:textOutline w14:w="0" w14:cap="flat" w14:cmpd="sng" w14:algn="ctr">
            <w14:noFill/>
            <w14:prstDash w14:val="solid"/>
            <w14:bevel/>
          </w14:textOutline>
        </w:rPr>
      </w:pPr>
      <w:r w:rsidRPr="00485F96">
        <w:rPr>
          <w14:textOutline w14:w="0" w14:cap="flat" w14:cmpd="sng" w14:algn="ctr">
            <w14:noFill/>
            <w14:prstDash w14:val="solid"/>
            <w14:bevel/>
          </w14:textOutline>
        </w:rPr>
        <w:t>93.</w:t>
      </w:r>
      <w:r w:rsidRPr="00485F96">
        <w:rPr>
          <w14:textOutline w14:w="0" w14:cap="flat" w14:cmpd="sng" w14:algn="ctr">
            <w14:noFill/>
            <w14:prstDash w14:val="solid"/>
            <w14:bevel/>
          </w14:textOutline>
        </w:rPr>
        <w:tab/>
        <w:t>wzywa DG FINS do aktywnego zaangażowania się w realizację zaleceń OECD dotyczących najlepszych praktyk dla parlamentów w zakresie budżetowania (2022–23) oraz do skuteczniejszego wdrażania budżetowania celowego; przypomina, że wiele państw członkowskich przyjęło już budżetowanie celowe i odnotowało znaczne oszczędności;</w:t>
      </w:r>
    </w:p>
    <w:p w14:paraId="7967DFEC" w14:textId="77777777" w:rsidR="00EF304C" w:rsidRPr="00485F96" w:rsidRDefault="00EF304C" w:rsidP="00EF304C">
      <w:pPr>
        <w:pStyle w:val="NormalHanging12a"/>
        <w:rPr>
          <w:bCs/>
          <w:iCs/>
        </w:rPr>
      </w:pPr>
      <w:r w:rsidRPr="00485F96">
        <w:t>94.</w:t>
      </w:r>
      <w:r w:rsidRPr="00485F96">
        <w:tab/>
        <w:t>zauważa, że obecna presja fiskalna wymaga zachowania ostrożności finansowej i efektywności, również w ramach budżetu administracyjnego Parlamentu, aby wykazać się odpowiedzialnością instytucjonalną, w stosownych przypadkach i bez narażania na szwank jego roli w strukturze instytucjonalnej Unii oraz jego podstawowych funkcji; wzywa administrację Parlamentu do zbadania możliwości zastosowania innowacyjnych narzędzi budżetowania, w tym budżetowania wynikowego, które mogłyby zwiększyć przejrzystość, rozliczalność i efektywność procesu budżetowania, zapewniając odpowiedzialne wydatkowanie zasobów publicznych; zauważa, że rozwiązania te nie powinny odbywać się kosztem już zaplanowanych lub podjętych zobowiązań finansowych i nie powinny w żaden sposób wpływać na jakość usług świadczonych na rzecz posłów i personelu, ani na zobowiązania finansowe wynikające z obowiązujących przepisów;</w:t>
      </w:r>
    </w:p>
    <w:p w14:paraId="21066369" w14:textId="77777777" w:rsidR="00EF304C" w:rsidRPr="00485F96" w:rsidRDefault="00EF304C" w:rsidP="00EF304C">
      <w:pPr>
        <w:spacing w:after="240"/>
        <w:ind w:left="567" w:hanging="567"/>
      </w:pPr>
      <w:r w:rsidRPr="00485F96">
        <w:rPr>
          <w14:textOutline w14:w="0" w14:cap="flat" w14:cmpd="sng" w14:algn="ctr">
            <w14:noFill/>
            <w14:prstDash w14:val="solid"/>
            <w14:bevel/>
          </w14:textOutline>
        </w:rPr>
        <w:t>95</w:t>
      </w:r>
      <w:r w:rsidRPr="00485F96">
        <w:t>.</w:t>
      </w:r>
      <w:r w:rsidRPr="00485F96">
        <w:rPr>
          <w14:textOutline w14:w="0" w14:cap="flat" w14:cmpd="sng" w14:algn="ctr">
            <w14:noFill/>
            <w14:prstDash w14:val="solid"/>
            <w14:bevel/>
          </w14:textOutline>
        </w:rPr>
        <w:tab/>
      </w:r>
      <w:r w:rsidRPr="00485F96">
        <w:t>zauważa, że rok 2024 był dla DG FINS rokiem szczególnym, ponieważ był to rok wyborów europejskich, które odbyły się w czerwcu 2024 r.; zauważa, że w 2024 r. znacznie wzrosła liczba działań wspierających posłów, związanych z zarządzaniem prawami i obowiązkami zarówno ustępujących, jak i nowo wybranych posłów;</w:t>
      </w:r>
    </w:p>
    <w:p w14:paraId="0D208498" w14:textId="77777777" w:rsidR="00EF304C" w:rsidRPr="00485F96" w:rsidRDefault="00EF304C" w:rsidP="00EF304C">
      <w:pPr>
        <w:pStyle w:val="NormalHanging12a"/>
      </w:pPr>
      <w:r w:rsidRPr="00485F96">
        <w:t>96.</w:t>
      </w:r>
      <w:r w:rsidRPr="00485F96">
        <w:tab/>
        <w:t xml:space="preserve">zaleca, aby DG FINS ustanowiła oparte na analizie ryzyka podejście do kontroli i audytu wydatków posłów oraz powiązanych z nimi procesów, zgodne z zasadami </w:t>
      </w:r>
      <w:r w:rsidRPr="00485F96">
        <w:lastRenderedPageBreak/>
        <w:t xml:space="preserve">dobrego rządzenia, w szczególności przejrzystości, rozliczalności, </w:t>
      </w:r>
      <w:proofErr w:type="spellStart"/>
      <w:r w:rsidRPr="00485F96">
        <w:t>responsywności</w:t>
      </w:r>
      <w:proofErr w:type="spellEnd"/>
      <w:r w:rsidRPr="00485F96">
        <w:t xml:space="preserve"> i równości; uznaje, że zasadnicze znaczenie ma zapewnienie (opartego na doborze próby) podstawowego poziomu kontroli, aby można było dopilnować zgodności z przepisami; z zadowoleniem przyjmuje fakt, że w przypadku większego ryzyka nieprawidłowych wydatków ze strony posła administracja może skorzystać z prawa do sprawdzenia odnośnych środków finansowych; podkreśla, że chociaż takie kontrole są mile widziane, ich skuteczność zależy od terminowego podejmowania działań następczych w związku ze stwierdzonymi nieprawidłowymi wydatkami;</w:t>
      </w:r>
    </w:p>
    <w:p w14:paraId="338B7FB4" w14:textId="77777777" w:rsidR="00EF304C" w:rsidRPr="00485F96" w:rsidRDefault="00EF304C" w:rsidP="00EF304C">
      <w:pPr>
        <w:spacing w:after="240"/>
        <w:ind w:left="567" w:hanging="567"/>
      </w:pPr>
      <w:r w:rsidRPr="00485F96">
        <w:rPr>
          <w14:textOutline w14:w="0" w14:cap="flat" w14:cmpd="sng" w14:algn="ctr">
            <w14:noFill/>
            <w14:prstDash w14:val="solid"/>
            <w14:bevel/>
          </w14:textOutline>
        </w:rPr>
        <w:t>97</w:t>
      </w:r>
      <w:r w:rsidRPr="00485F96">
        <w:t>.</w:t>
      </w:r>
      <w:r w:rsidRPr="00485F96">
        <w:rPr>
          <w14:textOutline w14:w="0" w14:cap="flat" w14:cmpd="sng" w14:algn="ctr">
            <w14:noFill/>
            <w14:prstDash w14:val="solid"/>
            <w14:bevel/>
          </w14:textOutline>
        </w:rPr>
        <w:tab/>
      </w:r>
      <w:r w:rsidRPr="00485F96">
        <w:t xml:space="preserve">dostrzega problem związany z pozyskiwaniem pracowników do DG FINS, spowodowany brakiem kandydatów na listach EPSO w dziedzinie finansów i IT oraz trudnościami w przyciąganiu pracowników do Luksemburga, gdzie znajduje się 45 % stanowisk DG FINS; zwraca uwagę na trudności w przyciągnięciu pracowników do Luksemburga, ponieważ wynagrodzenie na lokalnym rynku pracy jest takie same jak w Parlamencie lub wyższe, a koszty utrzymania są wysokie, zwłaszcza w odniesieniu do mieszkań; </w:t>
      </w:r>
    </w:p>
    <w:p w14:paraId="09AEF6FC" w14:textId="77777777" w:rsidR="00EF304C" w:rsidRPr="00485F96" w:rsidRDefault="00EF304C" w:rsidP="00EF304C">
      <w:pPr>
        <w:spacing w:after="240"/>
        <w:ind w:left="567" w:hanging="567"/>
      </w:pPr>
      <w:r w:rsidRPr="00485F96">
        <w:t>98.</w:t>
      </w:r>
      <w:r w:rsidRPr="00485F96">
        <w:tab/>
        <w:t>odnotowuje inicjatywę DG FINS dotyczącą transformacji cyfrowej i kapitałowej w 2024 r.; jej pierwsze dwa programy (dotyczące transformacji cyfrowej z myślą o oferowaniu posłom lepszych usług finansowych oraz transformacji cyfrowej z myślą o oferowaniu lepszych usług administracji Parlamentu) mają na celu promowanie transformacji cyfrowej usług oferowanych przez DG FINS, niezależnie od tego, czy są to posłowie czy podmioty finansowe instytucji; zauważa, że trzeci program strategiczny (dotyczący kapitałowej transformacji na rzecz bardziej wydajnego i spójnego miejsca pracy) ma na celu stworzenie bardziej wydajnego i spójnego środowiska pracy;</w:t>
      </w:r>
    </w:p>
    <w:p w14:paraId="1845C5D1" w14:textId="77777777" w:rsidR="00EF304C" w:rsidRPr="00485F96" w:rsidRDefault="00EF304C" w:rsidP="00EF304C">
      <w:pPr>
        <w:spacing w:after="240"/>
        <w:ind w:left="567" w:hanging="567"/>
      </w:pPr>
      <w:r w:rsidRPr="00485F96">
        <w:t xml:space="preserve">99. </w:t>
      </w:r>
      <w:r w:rsidRPr="00485F96">
        <w:tab/>
        <w:t>z zadowoleniem przyjmuje pracę wykonaną przez DG FINS po wyborach europejskich w 2024 r., w związku z odejściem ustępujących i powitaniem nowych posłów oraz związanymi z tym procedurami administracyjnymi; przypomina o udanej inicjatywie „punktu powitalnego” oraz o informacjach zebranych z różnych służb, dzięki którym posłowie mogli skorzystać z kompleksowej usługi umożliwiającej uzyskanie informacji i złożenie niezbędnych oświadczeń na początku swojej kadencji; wyraża uznanie dla DG FINS za przygotowanie 705 indywidualnych dossier, w tym symulacji statusu uprawnień socjalnych i finansowych, oraz za przygotowanie czterech komunikatów od kwestorów w celu poinformowania posłów o ich prawach i obowiązkach na koniec kadencji parlamentarnej;</w:t>
      </w:r>
    </w:p>
    <w:p w14:paraId="47C2931B" w14:textId="77777777" w:rsidR="00EF304C" w:rsidRPr="00485F96" w:rsidRDefault="00EF304C" w:rsidP="00EF304C">
      <w:pPr>
        <w:pStyle w:val="NormalHanging12a"/>
      </w:pPr>
      <w:r w:rsidRPr="00485F96">
        <w:t>100.</w:t>
      </w:r>
      <w:r w:rsidRPr="00485F96">
        <w:tab/>
        <w:t>odnotowuje poświadczenie wiarygodności podpisane przez dyrektora generalnego DG FINS; odnotowuje uwagę zawartą w poświadczeniu wiarygodności dotyczącą rezydualnego ryzyka błędu lub nieprawidłowości w zwrocie niektórych kosztów podróży posłów, głównie w odniesieniu do wniosków o zwrot kosztów podróży samochodem oraz wypłaty diety związanej z odległością i czasem podróży, ponieważ nie można zweryfikować faktycznie poniesionych kosztów i nie ma wymogu przedstawienia dowodów potwierdzających koszty, o których zwrot wystąpiono; odnotowuje działania łagodzące zaproponowane przez DG FINS i wzywa do szybkiego wdrożenia środków ograniczających ryzyko; zwraca się do organu udzielającego absolutorium o przedstawienie sprawozdania dotyczącego skutków finansowych i skuteczności wdrożonych środków, zawierającego zestawienie kosztów kontroli różnych opartych na dowodach rozwiązań;</w:t>
      </w:r>
      <w:bookmarkStart w:id="9" w:name="_Hlk225523167"/>
      <w:bookmarkEnd w:id="9"/>
    </w:p>
    <w:p w14:paraId="0E9244C9" w14:textId="77777777" w:rsidR="00EF304C" w:rsidRPr="00485F96" w:rsidRDefault="00EF304C" w:rsidP="00EF304C">
      <w:pPr>
        <w:pStyle w:val="NormalHanging12a"/>
        <w:rPr>
          <w:bCs/>
          <w:iCs/>
        </w:rPr>
      </w:pPr>
      <w:r w:rsidRPr="00485F96">
        <w:t>101.</w:t>
      </w:r>
      <w:r w:rsidRPr="00485F96">
        <w:tab/>
        <w:t xml:space="preserve">z niepokojem zauważa, że zwrot kosztów podróży ponoszonych przez posłów często trwa dłużej niż trzy miesiące; wzywa administrację oraz DG FINS do znaczącego </w:t>
      </w:r>
      <w:r w:rsidRPr="00485F96">
        <w:lastRenderedPageBreak/>
        <w:t>przyspieszenia procedur zwrotu kosztów, w tym przez dalszą cyfryzację, uproszczenie procesów weryfikacji oraz wprowadzenie jaśniejszych terminów wewnętrznych, przy pełnym poszanowaniu wymogów kontroli finansowej;</w:t>
      </w:r>
    </w:p>
    <w:p w14:paraId="1C657B8F" w14:textId="77777777" w:rsidR="00EF304C" w:rsidRPr="00485F96" w:rsidRDefault="00EF304C" w:rsidP="00EF304C">
      <w:pPr>
        <w:spacing w:after="240"/>
        <w:ind w:left="567" w:hanging="567"/>
        <w:rPr>
          <w:szCs w:val="24"/>
          <w14:textOutline w14:w="0" w14:cap="flat" w14:cmpd="sng" w14:algn="ctr">
            <w14:noFill/>
            <w14:prstDash w14:val="solid"/>
            <w14:bevel/>
          </w14:textOutline>
        </w:rPr>
      </w:pPr>
      <w:r w:rsidRPr="00485F96">
        <w:t>102.</w:t>
      </w:r>
      <w:r w:rsidRPr="00485F96">
        <w:tab/>
        <w:t xml:space="preserve">z zadowoleniem przyjmuje intensyfikację prac DG FINS nad „EP Finance </w:t>
      </w:r>
      <w:proofErr w:type="spellStart"/>
      <w:r w:rsidRPr="00485F96">
        <w:t>Academy</w:t>
      </w:r>
      <w:proofErr w:type="spellEnd"/>
      <w:r w:rsidRPr="00485F96">
        <w:t xml:space="preserve"> by DG FINS”, które obejmowała udostępnienie dwunastu internetowych filmów instruktażowych, stanowiących uzupełnienie dotychczasowej oferty szkoleń stacjonarnych i hybrydowych; podkreśla znaczenie szkoleń z zakresu kwestii finansowych dla pracowników Parlamentu i z zadowoleniem przyjmuje szkolenia dotyczące zamówień publicznych dla pracowników grup politycznych oraz zwraca się do DG FINS o zapewnienie większego wsparcia grupom politycznym w procedurach udzielania zamówień publicznych, w szczególności w świetle ustaleń Trybunału; sugeruje DG FINS ujednolicenie praktyk stosowanych przez różne grupy polityczne w dziedzinie zamówień publicznych;</w:t>
      </w:r>
    </w:p>
    <w:p w14:paraId="7C41DAB0" w14:textId="77777777" w:rsidR="00EF304C" w:rsidRPr="00485F96" w:rsidRDefault="00EF304C" w:rsidP="00EF304C">
      <w:pPr>
        <w:pStyle w:val="NormalHanging12a"/>
      </w:pPr>
      <w:r w:rsidRPr="00485F96">
        <w:t>103.</w:t>
      </w:r>
      <w:r w:rsidRPr="00485F96">
        <w:tab/>
        <w:t>podkreśla, że posłowie mają swobodę dokumentowania wykorzystania środków z dodatku z tytułu kosztów ogólnych; podkreśla, że mogą to zrobić dobrowolnie, przy czym mogą podsumować wykorzystanie tych środków według rodzaju kosztów lub opisać je szczegółowo, samodzielnie lub przy wsparciu audytora zewnętrznego, i mogą zdecydować o opublikowaniu tych informacji w całości lub w części na swojej stronie internetowej Parlamentu zgodnie z art. 11 ust. 2 Regulaminu Parlamentu Europejskiego; z zadowoleniem przyjmuje włączenie uproszczonego wykazu rodzajów kosztów do przepisów wykonawczych do statutu posła oraz przyjęcie poprawki wyjaśniającej możliwość korzystania przez posłów z dodatku z tytułu kosztów ogólnych w przypadku wyczerpania innych dodatków; zauważa, że wszyscy posłowie zostali poinformowani o specyfice tego dodatku; uważa maksymalną przejrzystość za dobrą praktykę;</w:t>
      </w:r>
    </w:p>
    <w:p w14:paraId="056F858E" w14:textId="77777777" w:rsidR="00EF304C" w:rsidRPr="00485F96" w:rsidRDefault="00EF304C" w:rsidP="00EF304C">
      <w:pPr>
        <w:pStyle w:val="NormalHanging12a"/>
      </w:pPr>
      <w:r w:rsidRPr="00485F96">
        <w:t>104.</w:t>
      </w:r>
      <w:r w:rsidRPr="00485F96">
        <w:tab/>
        <w:t>zauważa, że w 2024 r. dodatek z tytułu kosztów ogólnych wynosił 4 950 EUR miesięcznie, co stanowi około 40 mln EUR rocznie; przypomina, że w latach 2022 i 2024 nie dokonano jego indeksacji; zauważa, że Parlament przestrzega obowiązujących przepisów dotyczących dodatku z tytułu kosztów ogólnych; przypomina o potrzebie unikania niepotrzebnych obciążeń administracyjnych dla posłów;</w:t>
      </w:r>
    </w:p>
    <w:p w14:paraId="2263568E" w14:textId="71C04130" w:rsidR="00EF304C" w:rsidRPr="00485F96" w:rsidRDefault="00EF304C" w:rsidP="00EF304C">
      <w:pPr>
        <w:pStyle w:val="NormalHanging12a"/>
        <w:rPr>
          <w:bCs/>
          <w:iCs/>
        </w:rPr>
      </w:pPr>
      <w:r w:rsidRPr="00485F96">
        <w:t>105.</w:t>
      </w:r>
      <w:r w:rsidRPr="00485F96">
        <w:tab/>
        <w:t>zauważa, że obecne przepisy wykonawcze do Statutu posła do Parlamentu Europejskiego określają wymog</w:t>
      </w:r>
      <w:r w:rsidR="00EF61DF">
        <w:t>i</w:t>
      </w:r>
      <w:r w:rsidRPr="00485F96">
        <w:t xml:space="preserve"> przejrzystości w zakresie zarządzania finansami w odniesieniu do dodatku z tytułu kosztów ogólnych; odnotowuje, że na posiedzeniu 17 października 2022 r. Prezydium przyjęło tę decyzję;</w:t>
      </w:r>
    </w:p>
    <w:p w14:paraId="0364FE22" w14:textId="77777777" w:rsidR="00EF304C" w:rsidRPr="00485F96" w:rsidRDefault="00EF304C" w:rsidP="00EF304C">
      <w:pPr>
        <w:spacing w:after="240"/>
        <w:rPr>
          <w:b/>
          <w:bCs/>
          <w:i/>
          <w:iCs/>
          <w14:textOutline w14:w="0" w14:cap="flat" w14:cmpd="sng" w14:algn="ctr">
            <w14:noFill/>
            <w14:prstDash w14:val="solid"/>
            <w14:bevel/>
          </w14:textOutline>
        </w:rPr>
      </w:pPr>
      <w:r w:rsidRPr="00485F96">
        <w:rPr>
          <w:b/>
          <w:i/>
          <w14:textOutline w14:w="0" w14:cap="flat" w14:cmpd="sng" w14:algn="ctr">
            <w14:noFill/>
            <w14:prstDash w14:val="solid"/>
            <w14:bevel/>
          </w14:textOutline>
        </w:rPr>
        <w:t xml:space="preserve">Dyrekcja Generalna ds. Technologii Informacyjnych i </w:t>
      </w:r>
      <w:proofErr w:type="spellStart"/>
      <w:r w:rsidRPr="00485F96">
        <w:rPr>
          <w:b/>
          <w:i/>
          <w14:textOutline w14:w="0" w14:cap="flat" w14:cmpd="sng" w14:algn="ctr">
            <w14:noFill/>
            <w14:prstDash w14:val="solid"/>
            <w14:bevel/>
          </w14:textOutline>
        </w:rPr>
        <w:t>Cyberbezpieczeństwa</w:t>
      </w:r>
      <w:proofErr w:type="spellEnd"/>
      <w:r w:rsidRPr="00485F96">
        <w:rPr>
          <w:b/>
          <w:i/>
          <w14:textOutline w14:w="0" w14:cap="flat" w14:cmpd="sng" w14:algn="ctr">
            <w14:noFill/>
            <w14:prstDash w14:val="solid"/>
            <w14:bevel/>
          </w14:textOutline>
        </w:rPr>
        <w:t xml:space="preserve"> (DG ITEC)</w:t>
      </w:r>
    </w:p>
    <w:p w14:paraId="5476144D" w14:textId="2C55C1EC" w:rsidR="00EF304C" w:rsidRPr="00485F96" w:rsidRDefault="00EF61DF" w:rsidP="00EF304C">
      <w:pPr>
        <w:spacing w:after="240"/>
        <w:ind w:left="567" w:hanging="567"/>
        <w:rPr>
          <w:szCs w:val="24"/>
          <w14:textOutline w14:w="0" w14:cap="flat" w14:cmpd="sng" w14:algn="ctr">
            <w14:noFill/>
            <w14:prstDash w14:val="solid"/>
            <w14:bevel/>
          </w14:textOutline>
        </w:rPr>
      </w:pPr>
      <w:r>
        <w:rPr>
          <w14:textOutline w14:w="0" w14:cap="flat" w14:cmpd="sng" w14:algn="ctr">
            <w14:noFill/>
            <w14:prstDash w14:val="solid"/>
            <w14:bevel/>
          </w14:textOutline>
        </w:rPr>
        <w:t>106</w:t>
      </w:r>
      <w:r w:rsidR="00EF304C" w:rsidRPr="00485F96">
        <w:t>.</w:t>
      </w:r>
      <w:r w:rsidR="00EF304C" w:rsidRPr="00485F96">
        <w:rPr>
          <w14:textOutline w14:w="0" w14:cap="flat" w14:cmpd="sng" w14:algn="ctr">
            <w14:noFill/>
            <w14:prstDash w14:val="solid"/>
            <w14:bevel/>
          </w14:textOutline>
        </w:rPr>
        <w:tab/>
        <w:t xml:space="preserve">przypomina, że DG ITEC zapewnia Parlamentowi usługi i sprzęt w zakresie technologii informacyjno-komunikacyjnych (ICT), obsługę wideokonferencji i usługi multimedialne, a także usługi wydawnicze i drukarskie; </w:t>
      </w:r>
      <w:r w:rsidR="00EF304C" w:rsidRPr="00485F96">
        <w:t>odnotowuje, że na dzień 31 grudnia 2024 r. w DG ITEC pracowało 579 pracowników, w tym 369 urzędników, 70 pracowników zatrudnionych na czas określony i 140 pracowników kontraktowych;</w:t>
      </w:r>
    </w:p>
    <w:p w14:paraId="50F59F6B" w14:textId="70FD3267" w:rsidR="00EF304C" w:rsidRPr="00485F96" w:rsidRDefault="00EF61DF" w:rsidP="00EF304C">
      <w:pPr>
        <w:pStyle w:val="NormalHanging12a"/>
        <w:rPr>
          <w:bCs/>
          <w:iCs/>
        </w:rPr>
      </w:pPr>
      <w:r>
        <w:t>107</w:t>
      </w:r>
      <w:r w:rsidR="00EF304C" w:rsidRPr="00485F96">
        <w:t>.</w:t>
      </w:r>
      <w:r w:rsidR="00EF304C" w:rsidRPr="00485F96">
        <w:tab/>
        <w:t xml:space="preserve">wzywa Parlament, aby przyjął kompleksową strategię transformacji cyfrowej, która obejmie rozwiązania techniczne w zakresie zarządzania dokumentami i komunikacji, w celu zapewnienia przejrzystości, poprawy wydajności, ochrony bezpieczeństwa i rezygnacji z papieru; wzywa do rozwoju przyjaznych dla użytkowników platform cyfrowych w celu zwiększenia e-uczestnictwa, co umożliwi obywatelom Unii komentowanie proponowanych przepisów i wgląd w działalność Parlamentu w czasie </w:t>
      </w:r>
      <w:r w:rsidR="00EF304C" w:rsidRPr="00485F96">
        <w:lastRenderedPageBreak/>
        <w:t>rzeczywistym;</w:t>
      </w:r>
    </w:p>
    <w:p w14:paraId="79F1B6B7" w14:textId="3C83980C" w:rsidR="00EF304C" w:rsidRPr="00485F96" w:rsidRDefault="00EF61DF" w:rsidP="00EF304C">
      <w:pPr>
        <w:spacing w:after="240"/>
        <w:ind w:left="567" w:hanging="567"/>
        <w:rPr>
          <w:szCs w:val="24"/>
          <w14:textOutline w14:w="0" w14:cap="flat" w14:cmpd="sng" w14:algn="ctr">
            <w14:noFill/>
            <w14:prstDash w14:val="solid"/>
            <w14:bevel/>
          </w14:textOutline>
        </w:rPr>
      </w:pPr>
      <w:r>
        <w:rPr>
          <w14:textOutline w14:w="0" w14:cap="flat" w14:cmpd="sng" w14:algn="ctr">
            <w14:noFill/>
            <w14:prstDash w14:val="solid"/>
            <w14:bevel/>
          </w14:textOutline>
        </w:rPr>
        <w:t>108</w:t>
      </w:r>
      <w:r w:rsidR="00EF304C" w:rsidRPr="00485F96">
        <w:t>.</w:t>
      </w:r>
      <w:r w:rsidR="00EF304C" w:rsidRPr="00485F96">
        <w:rPr>
          <w14:textOutline w14:w="0" w14:cap="flat" w14:cmpd="sng" w14:algn="ctr">
            <w14:noFill/>
            <w14:prstDash w14:val="solid"/>
            <w14:bevel/>
          </w14:textOutline>
        </w:rPr>
        <w:tab/>
      </w:r>
      <w:r w:rsidR="00EF304C" w:rsidRPr="00485F96">
        <w:t>zauważa, że ostateczne środki DG ITEC wyniosły w 2024 r. 179 396 522 EUR, co stanowi 7,5 % budżetu Parlamentu;</w:t>
      </w:r>
      <w:r w:rsidR="00EF304C" w:rsidRPr="00485F96">
        <w:rPr>
          <w14:textOutline w14:w="0" w14:cap="flat" w14:cmpd="sng" w14:algn="ctr">
            <w14:noFill/>
            <w14:prstDash w14:val="solid"/>
            <w14:bevel/>
          </w14:textOutline>
        </w:rPr>
        <w:t xml:space="preserve"> </w:t>
      </w:r>
      <w:r w:rsidR="00EF304C" w:rsidRPr="00485F96">
        <w:t>podkreśla, że z tej kwoty zaciągnięto zobowiązania na łączną kwotę 179 349 479 EUR;</w:t>
      </w:r>
      <w:r w:rsidR="00EF304C" w:rsidRPr="00485F96">
        <w:rPr>
          <w14:textOutline w14:w="0" w14:cap="flat" w14:cmpd="sng" w14:algn="ctr">
            <w14:noFill/>
            <w14:prstDash w14:val="solid"/>
            <w14:bevel/>
          </w14:textOutline>
        </w:rPr>
        <w:t xml:space="preserve"> z zadowoleniem przyjmuje wysoki poziom wykorzystania środków;</w:t>
      </w:r>
    </w:p>
    <w:p w14:paraId="48FB8B6F" w14:textId="1F6CDD4D" w:rsidR="00EF304C" w:rsidRPr="00485F96" w:rsidRDefault="00EF61DF" w:rsidP="00EF304C">
      <w:pPr>
        <w:spacing w:after="240"/>
        <w:ind w:left="567" w:hanging="567"/>
      </w:pPr>
      <w:r>
        <w:t>109</w:t>
      </w:r>
      <w:r w:rsidR="00EF304C" w:rsidRPr="00485F96">
        <w:t>.</w:t>
      </w:r>
      <w:r w:rsidR="00EF304C" w:rsidRPr="00485F96">
        <w:tab/>
        <w:t xml:space="preserve">odnotowuje nieustające wysiłki DG ITEC na rzecz zapewnienia </w:t>
      </w:r>
      <w:proofErr w:type="spellStart"/>
      <w:r w:rsidR="00EF304C" w:rsidRPr="00485F96">
        <w:t>cyberbezpieczeństwa</w:t>
      </w:r>
      <w:proofErr w:type="spellEnd"/>
      <w:r w:rsidR="00EF304C" w:rsidRPr="00485F96">
        <w:t xml:space="preserve">, biorąc pod uwagę stale rosnące zagrożenia i wyzwania, z którymi boryka się Parlament; odnotowuje wejście w życie rozporządzenia Parlamentu Europejskiego i Rady (UE, </w:t>
      </w:r>
      <w:proofErr w:type="spellStart"/>
      <w:r w:rsidR="00EF304C" w:rsidRPr="00485F96">
        <w:t>Euratom</w:t>
      </w:r>
      <w:proofErr w:type="spellEnd"/>
      <w:r w:rsidR="00EF304C" w:rsidRPr="00485F96">
        <w:t>) 2023/2841</w:t>
      </w:r>
      <w:r w:rsidR="00EF304C" w:rsidRPr="00485F96">
        <w:rPr>
          <w:rStyle w:val="FootnoteReference"/>
          <w:noProof/>
        </w:rPr>
        <w:footnoteReference w:id="9"/>
      </w:r>
      <w:r w:rsidR="00EF304C" w:rsidRPr="00485F96">
        <w:t xml:space="preserve">, które sformalizowało misję CERT-UE jako Służby ds. </w:t>
      </w:r>
      <w:proofErr w:type="spellStart"/>
      <w:r w:rsidR="00EF304C" w:rsidRPr="00485F96">
        <w:t>Cyberbezpieczeństwa</w:t>
      </w:r>
      <w:proofErr w:type="spellEnd"/>
      <w:r w:rsidR="00EF304C" w:rsidRPr="00485F96">
        <w:t xml:space="preserve"> dla organów Unii; zauważa, że w rozporządzeniu (UE, </w:t>
      </w:r>
      <w:proofErr w:type="spellStart"/>
      <w:r w:rsidR="00EF304C" w:rsidRPr="00485F96">
        <w:t>Euratom</w:t>
      </w:r>
      <w:proofErr w:type="spellEnd"/>
      <w:r w:rsidR="00EF304C" w:rsidRPr="00485F96">
        <w:t xml:space="preserve">) 2023/2841 ustanowiono również Międzyinstytucjonalną Radę ds. </w:t>
      </w:r>
      <w:proofErr w:type="spellStart"/>
      <w:r w:rsidR="00EF304C" w:rsidRPr="00485F96">
        <w:t>Cyberbezpieczeństwa</w:t>
      </w:r>
      <w:proofErr w:type="spellEnd"/>
      <w:r w:rsidR="00EF304C" w:rsidRPr="00485F96">
        <w:t xml:space="preserve"> (IICB), odpowiedzialną za monitorowanie i wspieranie wdrażania tego rozporządzenia we wszystkich organach Unii; zauważa, że Parlament przewodniczy tej radzie od 2024 r.;</w:t>
      </w:r>
    </w:p>
    <w:p w14:paraId="7520EC06" w14:textId="35C69CE7" w:rsidR="00EF304C" w:rsidRPr="00485F96" w:rsidRDefault="00EF61DF" w:rsidP="00EF304C">
      <w:pPr>
        <w:spacing w:after="240"/>
        <w:ind w:left="567" w:hanging="567"/>
        <w:rPr>
          <w:b/>
          <w:bCs/>
        </w:rPr>
      </w:pPr>
      <w:r>
        <w:t>110</w:t>
      </w:r>
      <w:r w:rsidR="00EF304C" w:rsidRPr="00485F96">
        <w:t>.</w:t>
      </w:r>
      <w:r w:rsidR="00EF304C" w:rsidRPr="00485F96">
        <w:tab/>
        <w:t>zauważa, że w związku z decyzją Prezydium z lutego 2021 r. w sprawie konieczności umieszczenia centrum danych Parlamentu w pomieszczeniach odpowiadających najwyższym standardom branżowym (poziom IV) DG ITEC udzieliła zamówienia w 2022 r., umożliwiając utworzenie i uruchomienie centrum danych w 2023 r.; podkreśla, że ta znacząca inwestycja zapewnia przyszłościową infrastrukturę na nadchodzące lata i ma kluczowe znaczenie dla utrzymania solidnego hybrydowego środowiska pracy w Parlamencie;</w:t>
      </w:r>
    </w:p>
    <w:p w14:paraId="0B0BA60F" w14:textId="1F7E1E97" w:rsidR="00EF304C" w:rsidRPr="00485F96" w:rsidRDefault="00EF61DF" w:rsidP="00EF304C">
      <w:pPr>
        <w:spacing w:after="240"/>
        <w:ind w:left="567" w:hanging="567"/>
      </w:pPr>
      <w:r>
        <w:rPr>
          <w14:textOutline w14:w="0" w14:cap="flat" w14:cmpd="sng" w14:algn="ctr">
            <w14:noFill/>
            <w14:prstDash w14:val="solid"/>
            <w14:bevel/>
          </w14:textOutline>
        </w:rPr>
        <w:t>111</w:t>
      </w:r>
      <w:r w:rsidR="00EF304C" w:rsidRPr="00485F96">
        <w:t>.</w:t>
      </w:r>
      <w:r w:rsidR="00EF304C" w:rsidRPr="00485F96">
        <w:rPr>
          <w14:textOutline w14:w="0" w14:cap="flat" w14:cmpd="sng" w14:algn="ctr">
            <w14:noFill/>
            <w14:prstDash w14:val="solid"/>
            <w14:bevel/>
          </w14:textOutline>
        </w:rPr>
        <w:tab/>
      </w:r>
      <w:r w:rsidR="00EF304C" w:rsidRPr="00485F96">
        <w:t xml:space="preserve">podkreśla, że </w:t>
      </w:r>
      <w:proofErr w:type="spellStart"/>
      <w:r w:rsidR="00EF304C" w:rsidRPr="00485F96">
        <w:t>cyberbezpieczeństwo</w:t>
      </w:r>
      <w:proofErr w:type="spellEnd"/>
      <w:r w:rsidR="00EF304C" w:rsidRPr="00485F96">
        <w:t xml:space="preserve"> należy postrzegać jako integralny, stały priorytet na wszystkich etapach działań, a nie tylko jako cel; podkreśla, że </w:t>
      </w:r>
      <w:proofErr w:type="spellStart"/>
      <w:r w:rsidR="00EF304C" w:rsidRPr="00485F96">
        <w:t>cyberbezpieczeństwo</w:t>
      </w:r>
      <w:proofErr w:type="spellEnd"/>
      <w:r w:rsidR="00EF304C" w:rsidRPr="00485F96">
        <w:t xml:space="preserve"> wymaga kompleksowej strategii obejmującej wszystkie aspekty zarządzania cyfrowego w Parlamencie; wzywa do przeglądu struktur zarządzania IT w Parlamencie, opowiadając się za solidniejszym i bardziej elastycznym podejściem do </w:t>
      </w:r>
      <w:proofErr w:type="spellStart"/>
      <w:r w:rsidR="00EF304C" w:rsidRPr="00485F96">
        <w:t>cyberbezpieczeństwa</w:t>
      </w:r>
      <w:proofErr w:type="spellEnd"/>
      <w:r w:rsidR="00EF304C" w:rsidRPr="00485F96">
        <w:t xml:space="preserve">, uwzględniającym pełny cykl życia systemów informacyjnych, z uwagi na rosnącą liczbę aplikacji – obecnie ponad 20 – które są bezpośrednio dostępne przez </w:t>
      </w:r>
      <w:proofErr w:type="spellStart"/>
      <w:r w:rsidR="00EF304C" w:rsidRPr="00485F96">
        <w:t>internet</w:t>
      </w:r>
      <w:proofErr w:type="spellEnd"/>
      <w:r w:rsidR="00EF304C" w:rsidRPr="00485F96">
        <w:t>; podkreśla, że sytuacja ta wymaga wzmocnionego nadzoru, aby zminimalizować podatności na zagrożenia i chronić dane instytucjonalne przed zagrożeniami zewnętrznymi;</w:t>
      </w:r>
    </w:p>
    <w:p w14:paraId="58EE34EF" w14:textId="44684412" w:rsidR="00EF304C" w:rsidRPr="00485F96" w:rsidRDefault="00EF61DF" w:rsidP="00EF304C">
      <w:pPr>
        <w:spacing w:after="240"/>
        <w:ind w:left="567" w:hanging="567"/>
      </w:pPr>
      <w:r>
        <w:t>112</w:t>
      </w:r>
      <w:r w:rsidR="00EF304C" w:rsidRPr="00485F96">
        <w:t>.</w:t>
      </w:r>
      <w:r w:rsidR="00EF304C" w:rsidRPr="00485F96">
        <w:tab/>
        <w:t xml:space="preserve">apeluje o dalsze inwestycje w infrastrukturę </w:t>
      </w:r>
      <w:proofErr w:type="spellStart"/>
      <w:r w:rsidR="00EF304C" w:rsidRPr="00485F96">
        <w:t>cyberbezpieczeństwa</w:t>
      </w:r>
      <w:proofErr w:type="spellEnd"/>
      <w:r w:rsidR="00EF304C" w:rsidRPr="00485F96">
        <w:t>, a także o regularne szkolenia i zasoby dla personelu, aby wzmocnić kulturę świadomości bezpieczeństwa, która wzmacnia odporność Parlamentu na potencjalne zagrożenia cyfrowe;</w:t>
      </w:r>
    </w:p>
    <w:p w14:paraId="4571AA76" w14:textId="6F084FBC" w:rsidR="00EF304C" w:rsidRPr="00485F96" w:rsidRDefault="00EF61DF" w:rsidP="00EF304C">
      <w:pPr>
        <w:spacing w:after="240"/>
        <w:ind w:left="567" w:hanging="567"/>
      </w:pPr>
      <w:r w:rsidRPr="00485F96">
        <w:t>11</w:t>
      </w:r>
      <w:r>
        <w:t>3</w:t>
      </w:r>
      <w:r w:rsidR="00EF304C" w:rsidRPr="00485F96">
        <w:t>.</w:t>
      </w:r>
      <w:r w:rsidR="00EF304C" w:rsidRPr="00485F96">
        <w:tab/>
        <w:t xml:space="preserve">zwraca uwagę na nacisk kładziony na podnoszenie świadomości wszystkich posłów i pracowników w zakresie </w:t>
      </w:r>
      <w:proofErr w:type="spellStart"/>
      <w:r w:rsidR="00EF304C" w:rsidRPr="00485F96">
        <w:t>cyberbezpieczeństwa</w:t>
      </w:r>
      <w:proofErr w:type="spellEnd"/>
      <w:r w:rsidR="00EF304C" w:rsidRPr="00485F96">
        <w:t xml:space="preserve">; z zadowoleniem przyjmuje ofertę szkoleniową DG ITEC i DG PERS; zwraca uwagę na dużą liczbę uczestników szkoleń w zakresie </w:t>
      </w:r>
      <w:proofErr w:type="spellStart"/>
      <w:r w:rsidR="00EF304C" w:rsidRPr="00485F96">
        <w:t>cyberbezpieczeństwa</w:t>
      </w:r>
      <w:proofErr w:type="spellEnd"/>
      <w:r w:rsidR="00EF304C" w:rsidRPr="00485F96">
        <w:t>, w których udział wzięły 33 osoby i co najmniej 1 800 osób w przypadku działań uświadamiających;</w:t>
      </w:r>
    </w:p>
    <w:p w14:paraId="34A55173" w14:textId="2CE7E066" w:rsidR="00EF304C" w:rsidRPr="00485F96" w:rsidRDefault="00EF61DF" w:rsidP="00EF304C">
      <w:pPr>
        <w:spacing w:after="240"/>
        <w:ind w:left="567" w:hanging="567"/>
      </w:pPr>
      <w:r w:rsidRPr="00485F96">
        <w:t>11</w:t>
      </w:r>
      <w:r>
        <w:t>4</w:t>
      </w:r>
      <w:r w:rsidR="00EF304C" w:rsidRPr="00485F96">
        <w:t>.</w:t>
      </w:r>
      <w:r w:rsidR="00EF304C" w:rsidRPr="00485F96">
        <w:tab/>
        <w:t xml:space="preserve">zauważa, że obecny system zarządzania zasobami ludzkimi (portal HRM) nadal nie jest </w:t>
      </w:r>
      <w:r w:rsidR="00EF304C" w:rsidRPr="00485F96">
        <w:lastRenderedPageBreak/>
        <w:t>wystarczająco zintegrowany z innymi systemami Parlamentu; zwraca uwagę, że proste procedury, takie jak wnioski urlopowe, nadal wymagają od pracowników administracyjnych pobierania, drukowania, skanowania i ręcznego przesyłania dokumentów, a saldo urlopowe musi być sprawdzane na oddzielnej platformie; podkreśla, że te rozdrobnione procesy powodują niepotrzebne obciążenia administracyjne i nieefektywność przepływu pracy; wzywa administrację do unowocześnienia i usprawnienia tych procedur oraz do zapewnienia pełnej interoperacyjności między narzędziami zarządzania zasobami ludzkimi a innymi systemami Parlamentu;</w:t>
      </w:r>
    </w:p>
    <w:p w14:paraId="453287C9" w14:textId="569881B2" w:rsidR="00EF304C" w:rsidRPr="00485F96" w:rsidRDefault="00EF61DF" w:rsidP="00EF304C">
      <w:pPr>
        <w:spacing w:after="240"/>
        <w:ind w:left="567" w:hanging="567"/>
      </w:pPr>
      <w:r w:rsidRPr="00485F96">
        <w:rPr>
          <w14:textOutline w14:w="0" w14:cap="flat" w14:cmpd="sng" w14:algn="ctr">
            <w14:noFill/>
            <w14:prstDash w14:val="solid"/>
            <w14:bevel/>
          </w14:textOutline>
        </w:rPr>
        <w:t>11</w:t>
      </w:r>
      <w:r>
        <w:rPr>
          <w14:textOutline w14:w="0" w14:cap="flat" w14:cmpd="sng" w14:algn="ctr">
            <w14:noFill/>
            <w14:prstDash w14:val="solid"/>
            <w14:bevel/>
          </w14:textOutline>
        </w:rPr>
        <w:t>5</w:t>
      </w:r>
      <w:r w:rsidR="00EF304C" w:rsidRPr="00485F96">
        <w:t>.</w:t>
      </w:r>
      <w:r w:rsidR="00EF304C" w:rsidRPr="00485F96">
        <w:rPr>
          <w14:textOutline w14:w="0" w14:cap="flat" w14:cmpd="sng" w14:algn="ctr">
            <w14:noFill/>
            <w14:prstDash w14:val="solid"/>
            <w14:bevel/>
          </w14:textOutline>
        </w:rPr>
        <w:tab/>
      </w:r>
      <w:r w:rsidR="00EF304C" w:rsidRPr="00485F96">
        <w:t xml:space="preserve">podkreśla, że wsparcie dla posłów rozszerzono, aby obejmowało godziny i dni wolne od pracy; zwraca uwagę, że aby dotrzymać kroku zmianom potrzeb posłów i praktykom pracy, w oparciu o ankiety przeprowadzane wśród użytkowników i bezpośrednie wnioski organów zarządzających, uruchomiono nowy zestaw specjalnych usług wsparcia informatycznego dla prywatnych urządzeń </w:t>
      </w:r>
      <w:proofErr w:type="spellStart"/>
      <w:r w:rsidR="00EF304C" w:rsidRPr="00485F96">
        <w:t>MacOS</w:t>
      </w:r>
      <w:proofErr w:type="spellEnd"/>
      <w:r w:rsidR="00EF304C" w:rsidRPr="00485F96">
        <w:t xml:space="preserve"> i iOS posłów; podkreśla, że promuje się pomoc techniczną dla mediów społecznościowych, a także pełny zakres usług związanych z technicznymi aspektami twórczości audiowizualnej;</w:t>
      </w:r>
    </w:p>
    <w:p w14:paraId="3E901026" w14:textId="33B45EEF" w:rsidR="00EF304C" w:rsidRPr="00485F96" w:rsidRDefault="00EF61DF" w:rsidP="00EF304C">
      <w:pPr>
        <w:pStyle w:val="NormalHanging12a"/>
      </w:pPr>
      <w:r w:rsidRPr="00485F96">
        <w:t>11</w:t>
      </w:r>
      <w:r>
        <w:t>6</w:t>
      </w:r>
      <w:r w:rsidR="00EF304C" w:rsidRPr="00485F96">
        <w:t>.</w:t>
      </w:r>
      <w:r w:rsidR="00EF304C" w:rsidRPr="00485F96">
        <w:tab/>
        <w:t xml:space="preserve">z zadowoleniem przyjmuje ustanowienie nowych ram zarządzania sztuczną inteligencją, obejmujących Radę Zarządzającą ds. Sztucznej Inteligencji nadzorującą strategię i plan działania Parlamentu w zakresie sztucznej inteligencji oraz zapewniającą zgodność regulacyjną i nadzór etyczny, </w:t>
      </w:r>
      <w:proofErr w:type="spellStart"/>
      <w:r w:rsidR="00EF304C" w:rsidRPr="00485F96">
        <w:t>międzydyrekcyjną</w:t>
      </w:r>
      <w:proofErr w:type="spellEnd"/>
      <w:r w:rsidR="00EF304C" w:rsidRPr="00485F96">
        <w:t xml:space="preserve"> grupę sterującą ds. sztucznej inteligencji odpowiedzialną za opracowywanie strategii w zakresie sztucznej inteligencji, rozwój kluczowych zdolności oraz zapewnienie długoterminowego bezpieczeństwa i zrównoważonego rozwoju, a także Centrum Kompetencji w zakresie Sztucznej Inteligencji w ramach DG ITEC, które ukierunkowuje, promuje i monitoruje inicjatywy w zakresie sztucznej inteligencji w całym Parlamencie; zauważa, że te ramy zarządzania zapewnią przejrzystość i zgodność z rozporządzeniem Parlamentu Europejskiego i Rady (UE) 2024/1689</w:t>
      </w:r>
      <w:r w:rsidR="00EF304C" w:rsidRPr="00485F96">
        <w:rPr>
          <w:vertAlign w:val="superscript"/>
        </w:rPr>
        <w:footnoteReference w:id="10"/>
      </w:r>
      <w:r w:rsidR="00EF304C" w:rsidRPr="00485F96">
        <w:t>, które weszło w życie 1 sierpnia 2024 r., a jego przepisy zaczną obowiązywać od 2025 r.; zauważa, że pracownicy Parlamentu mogą korzystać z ogólnodostępnych narzędzi generatywnej sztucznej inteligencji opracowanych przez podmioty trzecie, o ile przestrzegają wytycznych dotyczących korzystania z ogólnodostępnych narzędzi sztucznej inteligencji przez pracowników Parlamentu, zatwierdzonych przez sekretarza generalnego 16 kwietnia 2024 r., pod warunkiem że narzędzia te służą wyłącznie do wykonywania obowiązków służbowych; wzywa administrację do zintensyfikowania działań szkoleniowych na rzecz personelu w zakresie efektywnego i bezpiecznego korzystania z nowych technologii, takich jak sztuczna inteligencja;</w:t>
      </w:r>
    </w:p>
    <w:p w14:paraId="37C84B63" w14:textId="77777777" w:rsidR="00EF304C" w:rsidRPr="00485F96" w:rsidRDefault="00EF304C" w:rsidP="00EF304C">
      <w:pPr>
        <w:spacing w:after="240"/>
        <w:rPr>
          <w:b/>
          <w:bCs/>
          <w:i/>
          <w:iCs/>
          <w14:textOutline w14:w="0" w14:cap="flat" w14:cmpd="sng" w14:algn="ctr">
            <w14:noFill/>
            <w14:prstDash w14:val="solid"/>
            <w14:bevel/>
          </w14:textOutline>
        </w:rPr>
      </w:pPr>
      <w:r w:rsidRPr="00485F96">
        <w:rPr>
          <w:b/>
          <w:i/>
          <w14:textOutline w14:w="0" w14:cap="flat" w14:cmpd="sng" w14:algn="ctr">
            <w14:noFill/>
            <w14:prstDash w14:val="solid"/>
            <w14:bevel/>
          </w14:textOutline>
        </w:rPr>
        <w:t xml:space="preserve">Kwestie horyzontalne mające wpływ na budżet Parlamentu w roku budżetowym 2024 </w:t>
      </w:r>
    </w:p>
    <w:p w14:paraId="1A00D6AE" w14:textId="77777777" w:rsidR="00EF304C" w:rsidRPr="00485F96" w:rsidRDefault="00EF304C" w:rsidP="00EF304C">
      <w:pPr>
        <w:spacing w:after="240"/>
        <w:rPr>
          <w:b/>
          <w:bCs/>
        </w:rPr>
      </w:pPr>
      <w:bookmarkStart w:id="10" w:name="_Hlk216615789"/>
      <w:r w:rsidRPr="00485F96">
        <w:rPr>
          <w:b/>
        </w:rPr>
        <w:t>Przejrzystość i aspekty etyczne</w:t>
      </w:r>
    </w:p>
    <w:p w14:paraId="2D389027" w14:textId="29AAC56D" w:rsidR="00EF304C" w:rsidRPr="00485F96" w:rsidRDefault="00EF61DF" w:rsidP="00EF304C">
      <w:pPr>
        <w:spacing w:after="240"/>
        <w:ind w:left="567" w:hanging="567"/>
        <w:rPr>
          <w:b/>
          <w:bCs/>
        </w:rPr>
      </w:pPr>
      <w:r w:rsidRPr="00485F96">
        <w:t>11</w:t>
      </w:r>
      <w:r>
        <w:t>7</w:t>
      </w:r>
      <w:r w:rsidR="00EF304C" w:rsidRPr="00485F96">
        <w:t>.</w:t>
      </w:r>
      <w:r w:rsidR="00EF304C" w:rsidRPr="00485F96">
        <w:tab/>
        <w:t xml:space="preserve">zauważa, że w 2024 r. na podstawie przepisów wewnętrznych wdrażających art. 22c regulaminu pracowniczego otrzymano sześć zgłoszeń dotyczących przypadków </w:t>
      </w:r>
      <w:r w:rsidR="00EF304C" w:rsidRPr="00485F96">
        <w:lastRenderedPageBreak/>
        <w:t>ujawnienia nieprawidłowości, pięć za pośrednictwem oficjalnych kanałów i jedno od innej instytucji Unii; zauważa, że jedna sprawa została skierowana do EPPO, dwie doprowadziły do wszczęcia dochodzeń administracyjnych, a jedna została przekazana komitetowi konsultacyjnemu ds. kodeksu postępowania posłów, przy czym sprawozdanie zewnętrzne również spowodowało wszczęcie dochodzenia;</w:t>
      </w:r>
      <w:r>
        <w:t xml:space="preserve"> </w:t>
      </w:r>
      <w:r w:rsidRPr="00EF61DF">
        <w:t>wyraża zaniepokojenie, że w 2024 r. Trybunał Sprawiedliwości w sprawie T-793/22 orzekł, iż Parlament nie wprowadził wszystkich środków niezbędnych do zapewnienia sygnaliście zrównoważonej i skutecznej ochrony przed wszelkimi formami działań odwetowych; zauważa, że Trybunał stwierdził również, iż Parlament nie zapewnił odpowiedniej ochrony poufności sygnalisty; wzywa Parlament do pełnego dostosowania jego przepisów wewnętrznych do dyrektywy (UE) 2019/1937</w:t>
      </w:r>
      <w:r>
        <w:t>;</w:t>
      </w:r>
    </w:p>
    <w:bookmarkEnd w:id="10"/>
    <w:p w14:paraId="6DFEF1D2" w14:textId="1CFB5DBB" w:rsidR="00EF304C" w:rsidRPr="00485F96" w:rsidRDefault="00EF61DF" w:rsidP="00EF304C">
      <w:pPr>
        <w:pStyle w:val="NormalHanging12a"/>
      </w:pPr>
      <w:r w:rsidRPr="00485F96">
        <w:t>11</w:t>
      </w:r>
      <w:r>
        <w:t>8</w:t>
      </w:r>
      <w:r w:rsidR="00EF304C" w:rsidRPr="00485F96">
        <w:t>.</w:t>
      </w:r>
      <w:r w:rsidR="00EF304C" w:rsidRPr="00485F96">
        <w:tab/>
        <w:t>z zadowoleniem przyjmuje fakt, że szkolenie w zakresie etyki pozostało priorytetem i że mimo 13 sesji „</w:t>
      </w:r>
      <w:proofErr w:type="spellStart"/>
      <w:r w:rsidR="00EF304C" w:rsidRPr="00485F96">
        <w:t>Let’s</w:t>
      </w:r>
      <w:proofErr w:type="spellEnd"/>
      <w:r w:rsidR="00EF304C" w:rsidRPr="00485F96">
        <w:t xml:space="preserve"> Talk </w:t>
      </w:r>
      <w:proofErr w:type="spellStart"/>
      <w:r w:rsidR="00EF304C" w:rsidRPr="00485F96">
        <w:t>Ethics</w:t>
      </w:r>
      <w:proofErr w:type="spellEnd"/>
      <w:r w:rsidR="00EF304C" w:rsidRPr="00485F96">
        <w:t>” przeszkolono 178 pracowników, kursy dostosowane do potrzeb objęły 109 uczestników, a obowiązkowe szkolenie wprowadzające dla akredytowanych asystentów parlamentarnych osiągnęło wskaźnik ukończenia na poziomie 72 %; z zadowoleniem przyjmuje fakt, że w ramach nowego kursu dla kadry kierowniczej na temat etycznego przywództwa i zapobiegania molestowaniu przeszkolono 320 osób z kadry kierowniczej podczas 33 sesji;</w:t>
      </w:r>
    </w:p>
    <w:p w14:paraId="688FF455" w14:textId="72478AF3" w:rsidR="00EF304C" w:rsidRPr="00485F96" w:rsidRDefault="00EF61DF" w:rsidP="00EF304C">
      <w:pPr>
        <w:pStyle w:val="NormalHanging12a"/>
      </w:pPr>
      <w:r w:rsidRPr="00485F96">
        <w:t>1</w:t>
      </w:r>
      <w:r>
        <w:t>19</w:t>
      </w:r>
      <w:r w:rsidR="00EF304C" w:rsidRPr="00485F96">
        <w:t>.</w:t>
      </w:r>
      <w:r w:rsidR="00EF304C" w:rsidRPr="00485F96">
        <w:tab/>
        <w:t>nalega na wzmocnienie środków zapewniających przejrzystość, rozliczalność i etyczne zarządzanie; uważa, że Parlament musi zadbać o kulturę uczciwości, włączając normy etyczne do codziennej działalności, aby nie podważyć zaufania obywateli i zwiększyć swoją legitymację w zakresie nadzoru; wzywa do kontynuowania i wzmacniania współpracy i dialogu na temat uczciwości, przejrzystości i norm postępowania w instytucjach Unii;</w:t>
      </w:r>
    </w:p>
    <w:p w14:paraId="759D4235" w14:textId="3DAA7913" w:rsidR="00EF304C" w:rsidRDefault="00EF61DF" w:rsidP="00EF304C">
      <w:pPr>
        <w:pStyle w:val="NormalHanging12a"/>
      </w:pPr>
      <w:r w:rsidRPr="00485F96">
        <w:t>12</w:t>
      </w:r>
      <w:r>
        <w:t>0</w:t>
      </w:r>
      <w:r w:rsidR="00EF304C" w:rsidRPr="00485F96">
        <w:t>.</w:t>
      </w:r>
      <w:r w:rsidR="00EF304C" w:rsidRPr="00485F96">
        <w:tab/>
        <w:t>przyjmuje do wiadomości pozytywną ocenę technicznego wdrożenia kodeksu postępowania posłów do Parlamentu Europejskiego dotyczącego uczciwości i przejrzystości, o której to ocenie poinformowano Prezydium; wzywa do podjęcia dodatkowych wysiłków na rzecz zwiększenia przejrzystości we wszystkich sektorach i służbach Parlamentu, ze szczególnym naciskiem na działalność legislacyjną; w związku z tym zwraca się do administracji Parlamentu, aby nie ograniczała wprowadzania wymogów przejrzystości do szczebla kierowniczego;</w:t>
      </w:r>
    </w:p>
    <w:p w14:paraId="20283D9C" w14:textId="41A76812" w:rsidR="00EF61DF" w:rsidRPr="00485F96" w:rsidRDefault="00EF61DF" w:rsidP="00EF304C">
      <w:pPr>
        <w:pStyle w:val="NormalHanging12a"/>
        <w:rPr>
          <w:bCs/>
          <w:iCs/>
        </w:rPr>
      </w:pPr>
      <w:r w:rsidRPr="00EF61DF">
        <w:rPr>
          <w:bCs/>
          <w:iCs/>
        </w:rPr>
        <w:t>121.</w:t>
      </w:r>
      <w:r w:rsidRPr="00EF61DF">
        <w:rPr>
          <w:bCs/>
          <w:iCs/>
        </w:rPr>
        <w:tab/>
        <w:t>przypomina, że przepisy zakazują posłom prowadzenia płatnej działalności lobbingowej bezpośrednio związanej z procesem decyzyjnym Unii; podkreśla, że pełnienie odpłatnych funkcji w podmiotach objętych zakresem rejestru służącego przejrzystości, przy jednoczesnym wykonywaniu funkcji parlamentarnych w tym samym obszarze polityki lub podejmowaniu powiązanych kontaktów z Komisją lub Radą, jest niezgodne z tymi przepisami; apeluje o należyte zbadanie takich sytuacji oraz, w przypadku stwierdzenia naruszeń, do zastosowania proporcjonalnych sankcji;</w:t>
      </w:r>
    </w:p>
    <w:p w14:paraId="2D01E996" w14:textId="77777777" w:rsidR="00EF304C" w:rsidRPr="00485F96" w:rsidRDefault="00EF304C" w:rsidP="00EF304C">
      <w:pPr>
        <w:pStyle w:val="NormalHanging12a"/>
        <w:rPr>
          <w:bCs/>
          <w:iCs/>
        </w:rPr>
      </w:pPr>
      <w:r w:rsidRPr="00485F96">
        <w:t>122.</w:t>
      </w:r>
      <w:r w:rsidRPr="00485F96">
        <w:tab/>
        <w:t xml:space="preserve">z zadowoleniem przyjmuje częstsze wykorzystywanie rejestru służącego przejrzystości jako narzędzia informacyjnego i referencyjnego dla działań związanych z reprezentowaniem interesów na szczeblu Unii; z zadowoleniem przyjmuje opracowanie rozwiązań informatycznych mających na celu poprawę rejestru służącego przejrzystości, ale zauważa, że jego Sekretariat nadal nie dysponuje wystarczającymi środkami finansowymi i kadrowymi; zauważa, że jakość wpisów do rejestru służącego przejrzystości poprawiła się, i przypomina o konieczności dalszego wzmacniania kontroli jakości danych dotyczących nowych wnioskodawców; wyraża zadowolenie z ustanowienia w Parlamencie solidnych standardów dotyczących przejrzystości i dostępu </w:t>
      </w:r>
      <w:r w:rsidRPr="00485F96">
        <w:lastRenderedPageBreak/>
        <w:t>do instytucji dla podmiotów wpisanych do rejestru służącego przejrzystości; apeluje o powiązanie rejestru służącego przejrzystości i systemu przejrzystości finansowej w celu umożliwienia weryfikacji krzyżowej podmiotów wpisanych do rejestru służącego zapewnieniu przejrzystości oraz sprawdzenie prawidłowości przekazanych danych; ponawia w tym kontekście potrzebę przeprowadzania kompleksowej wstępnej weryfikacji finansowej wszystkich podmiotów przed ich wpisaniem do rejestru służącego przejrzystości oraz wzywa w związku z tym do zapewnienia rejestrowi odpowiednich zasobów na potrzeby jego funkcjonowania oraz do skutecznego egzekwowania jego przepisów wewnętrznych; ponadto wzywa administrację Parlamentu do zapewnienia międzyinstytucjonalnej przejrzystości w odniesieniu do finansowania mediów oraz do ujawnienia wszystkich mediów otrzymujących fundusze unijne;</w:t>
      </w:r>
    </w:p>
    <w:p w14:paraId="3D6ADC8F" w14:textId="77777777" w:rsidR="00EF304C" w:rsidRPr="00485F96" w:rsidRDefault="00EF304C" w:rsidP="00EF304C">
      <w:pPr>
        <w:spacing w:after="240"/>
        <w:ind w:left="567" w:hanging="567"/>
      </w:pPr>
      <w:r w:rsidRPr="00485F96">
        <w:t>123.</w:t>
      </w:r>
      <w:r w:rsidRPr="00485F96">
        <w:tab/>
        <w:t>wzywa Trybunał do szczegółowego zbadania kwestii finansowania mediów;</w:t>
      </w:r>
    </w:p>
    <w:p w14:paraId="479C3536" w14:textId="77777777" w:rsidR="00EF304C" w:rsidRPr="00485F96" w:rsidRDefault="00EF304C" w:rsidP="00EF304C">
      <w:pPr>
        <w:spacing w:after="240"/>
        <w:rPr>
          <w:b/>
          <w:bCs/>
        </w:rPr>
      </w:pPr>
      <w:r w:rsidRPr="00485F96">
        <w:rPr>
          <w:b/>
        </w:rPr>
        <w:t xml:space="preserve">Cyfryzacja, </w:t>
      </w:r>
      <w:proofErr w:type="spellStart"/>
      <w:r w:rsidRPr="00485F96">
        <w:rPr>
          <w:b/>
        </w:rPr>
        <w:t>cyberbezpieczeństwo</w:t>
      </w:r>
      <w:proofErr w:type="spellEnd"/>
      <w:r w:rsidRPr="00485F96">
        <w:rPr>
          <w:b/>
        </w:rPr>
        <w:t xml:space="preserve"> i sztuczna inteligencja</w:t>
      </w:r>
    </w:p>
    <w:p w14:paraId="4EB23B99" w14:textId="77777777" w:rsidR="00EF304C" w:rsidRPr="00485F96" w:rsidRDefault="00EF304C" w:rsidP="00EF304C">
      <w:pPr>
        <w:spacing w:after="240"/>
        <w:ind w:left="567" w:hanging="567"/>
        <w:rPr>
          <w:b/>
          <w:bCs/>
        </w:rPr>
      </w:pPr>
      <w:r w:rsidRPr="00485F96">
        <w:t>124.</w:t>
      </w:r>
      <w:r w:rsidRPr="00485F96">
        <w:tab/>
        <w:t xml:space="preserve">wzywa Parlament do dalszego wzmożenia wysiłków i zajęcia się konkretnymi, kluczowymi wyzwaniami, takimi jak </w:t>
      </w:r>
      <w:proofErr w:type="spellStart"/>
      <w:r w:rsidRPr="00485F96">
        <w:t>cyberbezpieczeństwo</w:t>
      </w:r>
      <w:proofErr w:type="spellEnd"/>
      <w:r w:rsidRPr="00485F96">
        <w:t xml:space="preserve"> i sztuczna inteligencja;</w:t>
      </w:r>
    </w:p>
    <w:p w14:paraId="26A53466" w14:textId="77777777" w:rsidR="00EF304C" w:rsidRPr="00485F96" w:rsidRDefault="00EF304C" w:rsidP="00EF304C">
      <w:pPr>
        <w:spacing w:after="240"/>
        <w:ind w:left="567" w:hanging="567"/>
      </w:pPr>
      <w:r w:rsidRPr="00485F96">
        <w:t>125.</w:t>
      </w:r>
      <w:r w:rsidRPr="00485F96">
        <w:tab/>
        <w:t>przypomina, że w marcu 2024 r. Prezydium ustanowiło ramy zarządzania sztuczną inteligencją; podkreśla pilną potrzebę przyjęcia kompleksowej strategii i planu działania w zakresie sztucznej inteligencji, w tym wniosku dotyczącego planu działania;</w:t>
      </w:r>
    </w:p>
    <w:p w14:paraId="2AD80266" w14:textId="77777777" w:rsidR="00EF304C" w:rsidRPr="00485F96" w:rsidRDefault="00EF304C" w:rsidP="00EF304C">
      <w:pPr>
        <w:pStyle w:val="NormalHanging12a"/>
      </w:pPr>
      <w:r w:rsidRPr="00485F96">
        <w:t>126.</w:t>
      </w:r>
      <w:r w:rsidRPr="00485F96">
        <w:tab/>
        <w:t>zauważa, że trwają prace nad wewnętrzną platformą Parlamentu poświęconą generatywnej sztucznej inteligencji; ponownie podkreśla, że platforma ta jest kluczowym elementem zgodnego z przepisami i bezpiecznego wdrażania projektów dotyczących sztucznej inteligencji, w szczególności w celu wspierania państw członkowskich w ich działaniach;</w:t>
      </w:r>
    </w:p>
    <w:p w14:paraId="3BE0D8A0" w14:textId="77777777" w:rsidR="00EF304C" w:rsidRPr="00485F96" w:rsidRDefault="00EF304C" w:rsidP="00EF304C">
      <w:pPr>
        <w:spacing w:after="240"/>
        <w:ind w:left="567" w:hanging="567"/>
      </w:pPr>
      <w:r w:rsidRPr="00485F96">
        <w:t>127.</w:t>
      </w:r>
      <w:r w:rsidRPr="00485F96">
        <w:tab/>
        <w:t>wzywa administrację Parlamentu do zapewnienia, aby projekty dotyczące sztucznej inteligencji były realizowane w pełnej zgodności z wymogami w zakresie zarządzania, przy jednoczesnym zapewnieniu dostępu w sposób, który zarówno chroni dane wrażliwe, jak i umożliwia wykorzystanie informacji dostępnych publicznie;</w:t>
      </w:r>
    </w:p>
    <w:p w14:paraId="3BE3363C" w14:textId="77777777" w:rsidR="00EF304C" w:rsidRPr="00485F96" w:rsidRDefault="00EF304C" w:rsidP="00EF304C">
      <w:pPr>
        <w:pStyle w:val="NormalHanging12a"/>
        <w:rPr>
          <w:bCs/>
          <w:iCs/>
        </w:rPr>
      </w:pPr>
      <w:r w:rsidRPr="00485F96">
        <w:t>128.</w:t>
      </w:r>
      <w:r w:rsidRPr="00485F96">
        <w:tab/>
        <w:t>wzywa administrację Parlamentu do zwiększania przejrzystości i dostępności prac parlamentarnych przez wykorzystanie rozwiązań opartych na sztucznej inteligencji, które umożliwią systematyczne udostępnianie cyfrowych, możliwych do przeszukiwania i ponownego wykorzystania transkrypcji wszystkich debat komisji, w tym wymiany poglądów z komisarzami, ekspertami i zainteresowanymi stronami; podkreśla, że takie transkrypcje powinny być udostępniane terminowo; zaznacza, że lepszy dostęp do debat komisji zwiększyłby demokratyczną kontrolę, pamięć instytucjonalną oraz zrozumienie przez obywateli prac ustawodawczych Parlamentu;</w:t>
      </w:r>
    </w:p>
    <w:p w14:paraId="16A479E9" w14:textId="77777777" w:rsidR="00EF304C" w:rsidRPr="00485F96" w:rsidRDefault="00EF304C" w:rsidP="00EF304C">
      <w:pPr>
        <w:pStyle w:val="NormalHanging12a"/>
        <w:rPr>
          <w:bCs/>
          <w:iCs/>
        </w:rPr>
      </w:pPr>
      <w:r w:rsidRPr="00485F96">
        <w:t>129.</w:t>
      </w:r>
      <w:r w:rsidRPr="00485F96">
        <w:tab/>
        <w:t>odnotowuje znaczące usprawnienia wprowadzone na stronie internetowej posiedzeń plenarnych, w tym poprawę dostępności narzędzi weryfikacji głosowań imiennych, które przyczyniły się do zwiększenia przejrzystości i dokładności rejestrów głosowań parlamentarnych; apeluje niemniej jednak o dalsze usprawnienia w zakresie użyteczności oraz sposobu prezentacji informacji związanych z głosowaniami;</w:t>
      </w:r>
    </w:p>
    <w:p w14:paraId="3EE59884" w14:textId="77777777" w:rsidR="00EF304C" w:rsidRPr="00485F96" w:rsidRDefault="00EF304C" w:rsidP="00EF304C">
      <w:pPr>
        <w:spacing w:after="240"/>
        <w:rPr>
          <w:b/>
          <w:bCs/>
        </w:rPr>
      </w:pPr>
      <w:r w:rsidRPr="00485F96">
        <w:rPr>
          <w:b/>
        </w:rPr>
        <w:t>Dobrowolny program emerytalny (VPS)</w:t>
      </w:r>
    </w:p>
    <w:p w14:paraId="0918D4A0" w14:textId="77777777" w:rsidR="00EF304C" w:rsidRPr="00485F96" w:rsidRDefault="00EF304C" w:rsidP="00EF304C">
      <w:pPr>
        <w:pStyle w:val="NormalHanging12a"/>
      </w:pPr>
      <w:r w:rsidRPr="00485F96">
        <w:t>130.</w:t>
      </w:r>
      <w:r w:rsidRPr="00485F96">
        <w:tab/>
        <w:t xml:space="preserve">zwraca uwagę na niedofinansowanie dobrowolnego systemu emerytalnego poprzez </w:t>
      </w:r>
      <w:r w:rsidRPr="00485F96">
        <w:lastRenderedPageBreak/>
        <w:t>utrzymujący się deficyt w wysokości 105 mln EUR na koniec 2024 r. oraz ograniczone aktywa w wysokości 23,17 mln EUR, które zgodnie z prognozami zostaną wyczerpane do końca 2026 r.; zauważa, że zobowiązania wynikają z prawnych zobowiązań płatniczych wobec ponad 900 członków do co najmniej 2074 r.;</w:t>
      </w:r>
    </w:p>
    <w:p w14:paraId="18A1BB58" w14:textId="77777777" w:rsidR="00EF304C" w:rsidRPr="00485F96" w:rsidRDefault="00EF304C" w:rsidP="00EF304C">
      <w:pPr>
        <w:spacing w:after="240"/>
        <w:ind w:left="567" w:hanging="567"/>
      </w:pPr>
      <w:r w:rsidRPr="00485F96">
        <w:t>131.</w:t>
      </w:r>
      <w:r w:rsidRPr="00485F96">
        <w:tab/>
        <w:t>zauważa, że na posiedzeniu 12 czerwca 2023 r. Prezydium podjęło decyzję o zestawie środków mających na celu zmianę warunków dobrowolnego systemu emerytalnego w celu zaradzenia zaistniałej sytuacji; podkreśla, że środki te obejmowały zmniejszenie nominalnej kwoty emerytury o 50 % (nie tylko dla przyszłych beneficjentów będących w trakcie nabywania uprawnień emerytalnych, ale również dla obecnych beneficjentów posiadających już nabyte uprawnienia emerytalne), zamrożenie rocznej indeksacji kwot emerytury i podniesienie wieku emerytalnego z 65 do 67 lat w przypadku beneficjentów, którzy nie osiągnęli jeszcze wieku emerytalnego; podkreśla, że według szacunków aktuariuszy środki te spowodują zmniejszenie zobowiązania emerytalnego z tytułu dobrowolnego funduszu emerytalnego począwszy od 1 lipca 2023 r., biorąc pod uwagę założenie aktuarialne z 1 lipca 2023 r.;</w:t>
      </w:r>
    </w:p>
    <w:p w14:paraId="0F9CE1CF" w14:textId="77777777" w:rsidR="00EF304C" w:rsidRPr="00485F96" w:rsidRDefault="00EF304C" w:rsidP="00EF304C">
      <w:pPr>
        <w:spacing w:after="240"/>
        <w:ind w:left="567" w:hanging="567"/>
      </w:pPr>
      <w:r w:rsidRPr="00485F96">
        <w:t>132.</w:t>
      </w:r>
      <w:r w:rsidRPr="00485F96">
        <w:tab/>
        <w:t>zauważa, że Prezydium wprowadziło również klauzulę trudności finansowych umożliwiającą beneficjentom złożenie do kwestorów wniosku o podwyższenie kwoty emerytury w przypadkach, gdy obniżenie to jest znaczne; zauważa, że Prezydium wprowadziło ponadto możliwość dobrowolnego i ostatecznego wycofania się z dobrowolnego systemu emerytalnego i pobrania jednorazowej ostatecznej kwoty ryczałtowej;</w:t>
      </w:r>
    </w:p>
    <w:p w14:paraId="108F7694" w14:textId="77777777" w:rsidR="00EF304C" w:rsidRPr="00485F96" w:rsidRDefault="00EF304C" w:rsidP="00EF304C">
      <w:pPr>
        <w:pStyle w:val="NormalHanging12a"/>
      </w:pPr>
      <w:r w:rsidRPr="00485F96">
        <w:t>133.</w:t>
      </w:r>
      <w:r w:rsidRPr="00485F96">
        <w:tab/>
        <w:t>odnotowuje, że decyzja Prezydium z 12 czerwca 2023 r.</w:t>
      </w:r>
      <w:r w:rsidRPr="00485F96">
        <w:rPr>
          <w:vertAlign w:val="superscript"/>
        </w:rPr>
        <w:footnoteReference w:id="11"/>
      </w:r>
      <w:r w:rsidRPr="00485F96">
        <w:t xml:space="preserve"> została zakwestionowana przez 405 beneficjentów dobrowolnego systemu emerytalnego przed Sądem; przypomina uwagi sekretarza generalnego wygłoszone podczas wysłuchania w dniu 8 grudnia w oczekiwaniu na orzeczenie Sądu i potencjalne kierunki działania; zauważa, że 17 grudnia 2025 r. Sąd orzekł o oddaleniu skarg byłych posłów; zwraca się do administracji i Prezydium o zajęcie się tą sprawą i wprowadzenie niezbędnych środków w celu wykonania wyroku Sądu;</w:t>
      </w:r>
    </w:p>
    <w:p w14:paraId="6AC4BDF7" w14:textId="77777777" w:rsidR="00EF304C" w:rsidRPr="00485F96" w:rsidRDefault="00EF304C" w:rsidP="00EF304C">
      <w:pPr>
        <w:spacing w:after="240"/>
        <w:ind w:left="567" w:hanging="567"/>
        <w:rPr>
          <w:b/>
          <w:bCs/>
          <w14:textOutline w14:w="0" w14:cap="flat" w14:cmpd="sng" w14:algn="ctr">
            <w14:noFill/>
            <w14:prstDash w14:val="solid"/>
            <w14:bevel/>
          </w14:textOutline>
        </w:rPr>
      </w:pPr>
      <w:r w:rsidRPr="00485F96">
        <w:rPr>
          <w:b/>
          <w14:textOutline w14:w="0" w14:cap="flat" w14:cmpd="sng" w14:algn="ctr">
            <w14:noFill/>
            <w14:prstDash w14:val="solid"/>
            <w14:bevel/>
          </w14:textOutline>
        </w:rPr>
        <w:t>Sprawozdanie roczne z udzielonych zamówień</w:t>
      </w:r>
    </w:p>
    <w:p w14:paraId="18B8A166" w14:textId="77777777" w:rsidR="00EF304C" w:rsidRPr="00485F96" w:rsidRDefault="00EF304C" w:rsidP="00EF304C">
      <w:pPr>
        <w:spacing w:after="240"/>
        <w:ind w:left="567" w:hanging="567"/>
      </w:pPr>
      <w:r w:rsidRPr="00485F96">
        <w:t>134.</w:t>
      </w:r>
      <w:r w:rsidRPr="00485F96">
        <w:tab/>
        <w:t>przypomina, że w rozporządzeniu finansowym określono informacje, jakie należy przekazywać władzy budżetowej i opinii publicznej odnośnie do zamówień udzielanych przez Parlament; zauważa, że rozporządzenie finansowe nakłada obowiązek publikacji udzielonych zamówień o wartości powyżej 15 000 EUR, odpowiadającej progowi, powyżej którego obowiązkowa staje się procedura przetargowa; odnotowuje, że spośród 192 zamówień udzielonych w 2024 r. 95 przyznano na podstawie procedury otwartej, przy czym ich wartość wyniosła 814,2 mln EUR, a jedno zamówienie, o wartości 208 000 EUR – na podstawie procedury ograniczonej; zauważa, że 81 zamówień (o wartości 173 mln EUR) udzielono w drodze procedur negocjacyjnych;</w:t>
      </w:r>
    </w:p>
    <w:p w14:paraId="7E14727C" w14:textId="77777777" w:rsidR="00EF304C" w:rsidRPr="00485F96" w:rsidRDefault="00EF304C" w:rsidP="00EF304C">
      <w:pPr>
        <w:pStyle w:val="NormalHanging12a"/>
        <w:rPr>
          <w:bCs/>
          <w:iCs/>
        </w:rPr>
      </w:pPr>
      <w:r w:rsidRPr="00485F96">
        <w:t>135.</w:t>
      </w:r>
      <w:r w:rsidRPr="00485F96">
        <w:tab/>
        <w:t xml:space="preserve">z zadowoleniem przyjmuje, że Parlament publikuje umowy o wartości powyżej 15 000 EUR; wzywa Parlament do zwiększenia przejrzystości procedur udzielania zamówień, w tym przez publikowanie ustrukturyzowanych danych nadających się do odczytu maszynowego, gdy tylko jest to możliwe z prawnego i technicznego punktu widzenia, </w:t>
      </w:r>
      <w:r w:rsidRPr="00485F96">
        <w:lastRenderedPageBreak/>
        <w:t>oraz przez włączenie jasnych oczekiwań dotyczących należytej staranności i mechanizmów egzekwowania do swoich łańcuchów dostaw w ramach zarządzania umowami;</w:t>
      </w:r>
    </w:p>
    <w:p w14:paraId="7178F43B" w14:textId="77777777" w:rsidR="00EF304C" w:rsidRPr="00485F96" w:rsidRDefault="00EF304C" w:rsidP="00EF304C">
      <w:pPr>
        <w:spacing w:after="240"/>
        <w:ind w:left="567" w:hanging="567"/>
      </w:pPr>
      <w:r w:rsidRPr="00485F96">
        <w:t>136.</w:t>
      </w:r>
      <w:r w:rsidRPr="00485F96">
        <w:tab/>
        <w:t>zauważa, że całkowita liczba i wartość udzielonych zamówień zmniejszyła się w 2024 r. (192) w porównaniu z 2023 r. (242); zauważa, że w rezultacie liczba procedur otwartych i negocjacyjnych oraz ich wartości są niższe niż w 2023 r.;</w:t>
      </w:r>
    </w:p>
    <w:p w14:paraId="483E7EEF" w14:textId="77777777" w:rsidR="00EF304C" w:rsidRPr="00485F96" w:rsidRDefault="00EF304C" w:rsidP="00EF304C">
      <w:pPr>
        <w:spacing w:before="240" w:after="240"/>
        <w:jc w:val="both"/>
        <w:rPr>
          <w:b/>
          <w:bCs/>
          <w14:textOutline w14:w="0" w14:cap="flat" w14:cmpd="sng" w14:algn="ctr">
            <w14:noFill/>
            <w14:prstDash w14:val="solid"/>
            <w14:bevel/>
          </w14:textOutline>
        </w:rPr>
      </w:pPr>
      <w:bookmarkStart w:id="11" w:name="_Hlk216793763"/>
      <w:r w:rsidRPr="00485F96">
        <w:rPr>
          <w:b/>
          <w14:textOutline w14:w="0" w14:cap="flat" w14:cmpd="sng" w14:algn="ctr">
            <w14:noFill/>
            <w14:prstDash w14:val="solid"/>
            <w14:bevel/>
          </w14:textOutline>
        </w:rPr>
        <w:t>Grupy polityczne (pozycja budżetu 400)</w:t>
      </w:r>
    </w:p>
    <w:p w14:paraId="20986846" w14:textId="77777777" w:rsidR="00EF304C" w:rsidRPr="00485F96" w:rsidRDefault="00EF304C" w:rsidP="00EF304C">
      <w:pPr>
        <w:pStyle w:val="NormalHanging12a"/>
      </w:pPr>
      <w:r w:rsidRPr="00485F96">
        <w:t>137.</w:t>
      </w:r>
      <w:r w:rsidRPr="00485F96">
        <w:tab/>
        <w:t xml:space="preserve">zauważa, że rok 2024 był trudnym rokiem dla przedstawienia wydatków ujętych w pozycji budżetu 400 z dwóch powodów, z których pierwszy to rok wyborów europejskich, w którym wydatki podzielono na pierwszą połowę 2024 r. (dziewiąta kadencja) i drugą połowę 2024 r. (dziesiąta kadencja), a drugi to fakt, że końcowe sprawozdanie finansowe jednej z grup politycznych (grupy ID) skontrolowane w pierwszej połowie 2024 r. zawierało poważne nieprawidłowości; zauważa, że wiceprzewodniczący podczas wysłuchania 8 grudnia wskazali również, że zwrócono się o dodatkowe informacje dotyczące sprawozdania finansowego za drugą połowę 2024 r., na które Prezydium nadal czekało przed podjęciem decyzji w sprawie przekazania informacji organowi udzielającemu absolutorium; odnotowuje pismo sekretarza generalnego Parlamentu z dnia 20 stycznia 2026 r. skierowane do przewodniczącego Komisji Kontroli Budżetowej Parlamentu, zawierające sprawozdania z audytu za drugą połowę 2024 r. dotyczące siedmiu z ośmiu grup politycznych; odnotowuje opinię bez zastrzeżeń w odniesieniu do każdego sprawozdania; zwraca uwagę, że sprawozdanie grupy </w:t>
      </w:r>
      <w:proofErr w:type="spellStart"/>
      <w:r w:rsidRPr="00485F96">
        <w:t>PfE</w:t>
      </w:r>
      <w:proofErr w:type="spellEnd"/>
      <w:r w:rsidRPr="00485F96">
        <w:t xml:space="preserve"> za drugą połowę 2024 r. nadal nie zostało przedłożone z powodu trwającej wymiany informacji między tą grupą polityczną a właściwymi służbami Parlamentu; wzywa zarówno grupę </w:t>
      </w:r>
      <w:proofErr w:type="spellStart"/>
      <w:r w:rsidRPr="00485F96">
        <w:t>PfE</w:t>
      </w:r>
      <w:proofErr w:type="spellEnd"/>
      <w:r w:rsidRPr="00485F96">
        <w:t>, jak i właściwe służby Parlamentu do szybkiego rozwiązania otwartych kwestii oraz poinformowania organu udzielającego absolutorium o wyniku tych działań;</w:t>
      </w:r>
    </w:p>
    <w:p w14:paraId="11E509EB" w14:textId="77777777" w:rsidR="00EF304C" w:rsidRPr="00485F96" w:rsidRDefault="00EF304C" w:rsidP="00EF304C">
      <w:pPr>
        <w:pStyle w:val="NormalHanging12a"/>
      </w:pPr>
      <w:r w:rsidRPr="00485F96">
        <w:t>138.</w:t>
      </w:r>
      <w:r w:rsidRPr="00485F96">
        <w:tab/>
        <w:t xml:space="preserve">odnotowuje doniesienia w mediach o zarzutach wobec grupy </w:t>
      </w:r>
      <w:proofErr w:type="spellStart"/>
      <w:r w:rsidRPr="00485F96">
        <w:t>PfE</w:t>
      </w:r>
      <w:proofErr w:type="spellEnd"/>
      <w:r w:rsidRPr="00485F96">
        <w:t xml:space="preserve"> o niewłaściwe wykorzystanie środków finansowych w wysokości co najmniej 171 644 EUR w drugiej połowie 2024 r.; zauważa, że administracja Parlamentu zwróciła się do grupy </w:t>
      </w:r>
      <w:proofErr w:type="spellStart"/>
      <w:r w:rsidRPr="00485F96">
        <w:t>PfE</w:t>
      </w:r>
      <w:proofErr w:type="spellEnd"/>
      <w:r w:rsidRPr="00485F96">
        <w:t xml:space="preserve"> o wyjaśnienia; zauważa, że organ udzielający absolutorium nie został jeszcze poinformowany, ale oczekuje, iż bez zbędnej zwłoki otrzyma informacje o wszelkich dalszych zmianach oraz o wyniku działań następczych podejmowanych przez administrację w tej sprawie;</w:t>
      </w:r>
    </w:p>
    <w:p w14:paraId="1ABA3099" w14:textId="77777777" w:rsidR="00EF304C" w:rsidRPr="00485F96" w:rsidRDefault="00EF304C" w:rsidP="00EF304C">
      <w:pPr>
        <w:pStyle w:val="NormalHanging12a"/>
        <w:rPr>
          <w:bCs/>
          <w:iCs/>
        </w:rPr>
      </w:pPr>
      <w:r w:rsidRPr="00485F96">
        <w:t>139.</w:t>
      </w:r>
      <w:r w:rsidRPr="00485F96">
        <w:tab/>
        <w:t>odnotowuje doniesienia niemieckiego magazynu informacyjnego „Stern”, zgodnie z którymi poseł z grupy Europa Suwerennych Narodów (ESN) zorganizował kongres grupowy z udziałem pracowników i członków rodzin, którego potencjalne koszty zostały pokryte z budżetu Parlamentu w ramach pozycji budżetu 400, oraz że podczas tego wydarzenia miały być zbierane darowizny na rzecz prawicowej sieci kobiet powiązanej z bliskimi członkami rodzin i personelem posłów z grupy ESN; przypomina, że wydatki w ramach pozycji budżetu 400 muszą być ściśle ograniczone do działalności parlamentarnej grup politycznych oraz w pełni zgodne z obowiązującymi przepisami; wzywa DG FINS do zbadania tej sprawy oraz do niezwłocznego poinformowania organu udzielającego absolutorium w przypadku stwierdzenia jakiejkolwiek niezgodności;</w:t>
      </w:r>
    </w:p>
    <w:p w14:paraId="73E72835" w14:textId="77777777" w:rsidR="00EF304C" w:rsidRPr="00485F96" w:rsidRDefault="00EF304C" w:rsidP="00EF304C">
      <w:pPr>
        <w:pStyle w:val="NormalHanging12a"/>
      </w:pPr>
      <w:r w:rsidRPr="00485F96">
        <w:t>140.</w:t>
      </w:r>
      <w:r w:rsidRPr="00485F96">
        <w:tab/>
        <w:t xml:space="preserve">przypomina o wyłącznej odpowiedzialności finansowej powierzonej grupom politycznym oraz ich zobowiązaniu do zapewnienia należytego zarządzania finansami, </w:t>
      </w:r>
      <w:r w:rsidRPr="00485F96">
        <w:lastRenderedPageBreak/>
        <w:t>skutecznych kontroli i pełnej odpowiedzialności za środki publiczne; apeluje o odpowiednie mechanizmy nadzoru w DG FINS poprzez udostępnienie większych zasobów;</w:t>
      </w:r>
    </w:p>
    <w:p w14:paraId="05FE762A" w14:textId="77777777" w:rsidR="00EF304C" w:rsidRPr="00485F96" w:rsidRDefault="00EF304C" w:rsidP="00EF304C">
      <w:pPr>
        <w:spacing w:after="240"/>
        <w:rPr>
          <w:b/>
          <w:bCs/>
          <w:i/>
          <w:iCs/>
          <w14:textOutline w14:w="0" w14:cap="flat" w14:cmpd="sng" w14:algn="ctr">
            <w14:noFill/>
            <w14:prstDash w14:val="solid"/>
            <w14:bevel/>
          </w14:textOutline>
        </w:rPr>
      </w:pPr>
      <w:r w:rsidRPr="00485F96">
        <w:rPr>
          <w:b/>
          <w:i/>
          <w14:textOutline w14:w="0" w14:cap="flat" w14:cmpd="sng" w14:algn="ctr">
            <w14:noFill/>
            <w14:prstDash w14:val="solid"/>
            <w14:bevel/>
          </w14:textOutline>
        </w:rPr>
        <w:t>Europejskie partie polityczne i europejskie fundacje polityczne</w:t>
      </w:r>
    </w:p>
    <w:p w14:paraId="0E07D4F2" w14:textId="77777777" w:rsidR="00EF304C" w:rsidRPr="00485F96" w:rsidRDefault="00EF304C" w:rsidP="00EF304C">
      <w:pPr>
        <w:spacing w:after="240"/>
        <w:ind w:left="567" w:hanging="567"/>
        <w:rPr>
          <w:noProof/>
        </w:rPr>
      </w:pPr>
      <w:r w:rsidRPr="00485F96">
        <w:t>141.</w:t>
      </w:r>
      <w:r w:rsidRPr="00485F96">
        <w:tab/>
        <w:t>podkreśla, że zachowanie integralności demokratycznej i stworzenie sprawiedliwego środowiska dla europejskich partii politycznych i europejskich fundacji politycznych mają kluczowe znaczenie dla skutecznego funkcjonowania i wiarygodności Unii; zauważa, że Urząd ds. Europejskich Partii Politycznych i Europejskich Fundacji Politycznych („Urząd”), niezależny organ Unii, jest aktywnie zaangażowany w te działania od czasu jego utworzenia 1 września 2016 r. i od 1 stycznia 2017 r., kiedy to uzyskał pełny status operacyjny; zauważa, że unijny prawodawca powierzył Urzędowi zadanie rejestrowania europejskich partii politycznych i europejskich fundacji politycznych, monitorowania przestrzegania przez nie przepisów oraz, w razie potrzeby, nakładania sankcji na nie;</w:t>
      </w:r>
    </w:p>
    <w:p w14:paraId="5D80F76B" w14:textId="77777777" w:rsidR="00EF304C" w:rsidRPr="00485F96" w:rsidRDefault="00EF304C" w:rsidP="00EF304C">
      <w:pPr>
        <w:spacing w:after="240"/>
        <w:ind w:left="567" w:hanging="567"/>
      </w:pPr>
      <w:r w:rsidRPr="00485F96">
        <w:t>142.</w:t>
      </w:r>
      <w:r w:rsidRPr="00485F96">
        <w:tab/>
        <w:t>zauważa z zadowoleniem, że Urząd aktywnie dociera do sieci organów i instytucji istotnych dla wspólnej obrony demokracji europejskiej i podnosi świadomość wśród nich; podkreśla w szczególności, że Urząd współpracował z Parlamentem, który jest odpowiedzialny za sekretariat komitetu niezależnych wybitnych osobistości, aby zmaksymalizować skuteczność proceduralną; zauważa, że zacieśniono również współpracę w zakresie aspektów operacyjnych z kilkoma innymi zainteresowanymi stronami z Unii, w tym z Europejską Służbą Działań Zewnętrznych i Europejską Radą Ochrony Danych; zauważa, że Urząd zacieśnił współpracę z Europolem, podpisując protokół ustaleń w sprawie strategicznej wymiany informacji dotyczących bezprawnej ingerencji w demokrację Unii z wykorzystaniem cyberprzestrzeni;</w:t>
      </w:r>
    </w:p>
    <w:p w14:paraId="37A0A3DB" w14:textId="77777777" w:rsidR="00EF304C" w:rsidRPr="00485F96" w:rsidRDefault="00EF304C" w:rsidP="00EF304C">
      <w:pPr>
        <w:spacing w:after="240"/>
        <w:ind w:left="567" w:hanging="567"/>
      </w:pPr>
      <w:r w:rsidRPr="00485F96">
        <w:t>143.</w:t>
      </w:r>
      <w:r w:rsidRPr="00485F96">
        <w:tab/>
        <w:t xml:space="preserve">zauważa, że w 2024 r. Urząd wydał europejskim partiom politycznym i fundacjom szereg zapobiegawczych zaleceń dotyczących zgodności z przepisami, aby zapobiec ryzyku naruszenia przepisów, zanim ono wystąpi, a w </w:t>
      </w:r>
      <w:proofErr w:type="gramStart"/>
      <w:r w:rsidRPr="00485F96">
        <w:t>szczególności</w:t>
      </w:r>
      <w:proofErr w:type="gramEnd"/>
      <w:r w:rsidRPr="00485F96">
        <w:t xml:space="preserve"> aby usprawnić ich wewnętrzne procesy w zakresie darowizn, wpłat i planowanych działań; z zadowoleniem przyjmuje fakt, że Urząd w 11 przypadkach przedstawił również wytyczne na podstawie wniosków;</w:t>
      </w:r>
    </w:p>
    <w:p w14:paraId="28BAD630" w14:textId="77777777" w:rsidR="00EF304C" w:rsidRPr="00485F96" w:rsidRDefault="00EF304C" w:rsidP="00EF304C">
      <w:pPr>
        <w:spacing w:after="240"/>
        <w:ind w:left="567" w:hanging="567"/>
      </w:pPr>
      <w:r w:rsidRPr="00485F96">
        <w:t>144.</w:t>
      </w:r>
      <w:r w:rsidRPr="00485F96">
        <w:tab/>
        <w:t>zauważa, że w ośmiu przypadkach Urząd umożliwił europejskim partiom politycznym i europejskim fundacjom politycznym podjęcie działań naprawczych związanych z kontrolą zgodności finansowej w odniesieniu do niedozwolonych darowizn oraz przypadków finansowania innych podmiotów w kontekście wspólnych działań; z zadowoleniem przyjmuje fakt, że Urząd nadal sprawdza, czy środki naprawcze o długotrwałych skutkach zapewniają stałe przestrzeganie przepisów w odnośnych obszarach; zauważa, że w 2024 r. Urząd przyjął jedną decyzję w sprawie sankcji;</w:t>
      </w:r>
    </w:p>
    <w:p w14:paraId="22B7A9CF" w14:textId="77777777" w:rsidR="00EF304C" w:rsidRPr="00485F96" w:rsidRDefault="00EF304C" w:rsidP="00EF304C">
      <w:pPr>
        <w:spacing w:after="240"/>
        <w:ind w:left="567" w:hanging="567"/>
      </w:pPr>
      <w:r w:rsidRPr="00485F96">
        <w:t>145.</w:t>
      </w:r>
      <w:r w:rsidRPr="00485F96">
        <w:tab/>
        <w:t>z zadowoleniem przyjmuje fakt, że Urząd nadal publikował również na swojej stronie internetowej obszerne wytyczne dotyczące najczęściej identyfikowanych obszarów ryzyka i potencjalnie problematycznych struktur zarządzania w europejskich partiach politycznych i europejskich fundacjach politycznych; z zadowoleniem przyjmuje fakt, że przekazał również swoje ustalenia i wytyczne leżące w interesie ogólnym wszystkim europejskim partiom politycznym i europejskim fundacjom politycznym;</w:t>
      </w:r>
    </w:p>
    <w:p w14:paraId="7AFA30C7" w14:textId="77777777" w:rsidR="00EF304C" w:rsidRPr="00485F96" w:rsidRDefault="00EF304C" w:rsidP="00EF304C">
      <w:pPr>
        <w:spacing w:after="240"/>
        <w:ind w:left="567" w:hanging="567"/>
      </w:pPr>
      <w:r w:rsidRPr="00485F96">
        <w:t>146.</w:t>
      </w:r>
      <w:r w:rsidRPr="00485F96">
        <w:tab/>
        <w:t xml:space="preserve">z zadowoleniem przyjmuje publikację rozporządzenia Parlamentu Europejskiego i Rady </w:t>
      </w:r>
      <w:r w:rsidRPr="00485F96">
        <w:lastRenderedPageBreak/>
        <w:t xml:space="preserve">(UE, </w:t>
      </w:r>
      <w:proofErr w:type="spellStart"/>
      <w:r w:rsidRPr="00485F96">
        <w:t>Euratom</w:t>
      </w:r>
      <w:proofErr w:type="spellEnd"/>
      <w:r w:rsidRPr="00485F96">
        <w:t>) 2025/2445</w:t>
      </w:r>
      <w:r w:rsidRPr="00485F96">
        <w:rPr>
          <w:rStyle w:val="FootnoteReference"/>
        </w:rPr>
        <w:footnoteReference w:id="12"/>
      </w:r>
      <w:r w:rsidRPr="00485F96">
        <w:t>, które wprowadza nowe wymogi dla europejskich partii politycznych i europejskich fundacji politycznych w celu wzmocnienia integralności i odporności demokratycznej; podkreśla w szczególności, że europejskie partie polityczne muszą obecnie zapewnić również zgodność z przepisami swoich partii członkowskich, a europejskie fundacje polityczne – zgodność swoich organizacji członkowskich z wartościami, na których opiera się Unia, zapisanymi w art. 2 TUE; zauważa ponadto, że wzmocniono zabezpieczenia przed ingerencją zagraniczną oraz że zmieniony system sankcji wymaga nakładania sankcji za wymierne naruszenia – takie jak naruszenie zasad dotyczących darowizn lub zakazu finansowania partii krajowych – bez możliwości podjęcia działań naprawczych; w tym kontekście z zadowoleniem odnotowuje kompleksowe wytyczne prewencyjne przedstawione przez Urząd w planie działania na rzecz zgodności regulacyjnej („R-CAP”) w celu ułatwienia sprawnego i skutecznego wdrażania;</w:t>
      </w:r>
      <w:r w:rsidRPr="00485F96">
        <w:rPr>
          <w:b/>
          <w:u w:val="single"/>
        </w:rPr>
        <w:t xml:space="preserve"> </w:t>
      </w:r>
      <w:r w:rsidRPr="00485F96">
        <w:t>zachęca do podjęcia decyzji o wprowadzeniu kontroli kwalifikowalności również w organizacjach członkowskich, aby zapewnić pełną spójność również organizacji członkowskich z wartościami określonymi w art. 2 TUE oraz utrzymać uczciwość demokratyczną w finansowaniu przez Parlament europejskich partii politycznych;</w:t>
      </w:r>
    </w:p>
    <w:p w14:paraId="6B2E468A" w14:textId="77777777" w:rsidR="00EF304C" w:rsidRPr="00485F96" w:rsidRDefault="00EF304C" w:rsidP="00EF304C">
      <w:pPr>
        <w:spacing w:after="240"/>
        <w:ind w:left="567" w:hanging="567"/>
      </w:pPr>
      <w:r w:rsidRPr="00485F96">
        <w:t>147.</w:t>
      </w:r>
      <w:r w:rsidRPr="00485F96">
        <w:tab/>
        <w:t>zauważa, że Urząd może rozpocząć weryfikację zgodności z wartościami, na których opiera się Unia, wyłącznie na wniosek Parlamentu, Rady lub Komisji;</w:t>
      </w:r>
    </w:p>
    <w:p w14:paraId="69550CE6" w14:textId="77777777" w:rsidR="00EF304C" w:rsidRPr="00485F96" w:rsidRDefault="00EF304C" w:rsidP="00EF304C">
      <w:pPr>
        <w:spacing w:after="240"/>
        <w:ind w:left="567" w:hanging="567"/>
        <w:rPr>
          <w:u w:val="single"/>
        </w:rPr>
      </w:pPr>
      <w:r w:rsidRPr="00485F96">
        <w:t>148.</w:t>
      </w:r>
      <w:r w:rsidRPr="00485F96">
        <w:tab/>
        <w:t xml:space="preserve">podkreśla, że w świetle rozszerzonego zakresu procedury weryfikacji wartości, która ma obecnie zastosowanie również do partii członkowskich i organizacji członkowskich, oraz innych nowości zawartych w rozporządzeniu (UE, </w:t>
      </w:r>
      <w:proofErr w:type="spellStart"/>
      <w:r w:rsidRPr="00485F96">
        <w:t>Euratom</w:t>
      </w:r>
      <w:proofErr w:type="spellEnd"/>
      <w:r w:rsidRPr="00485F96">
        <w:t>) 2025/2445, w tym pozytywnych zmian dotyczących ochrony europejskiej demokracji przed ingerencją zagraniczną, konieczne jest odpowiednie zwiększenie zasobów ludzkich Urzędu;</w:t>
      </w:r>
    </w:p>
    <w:bookmarkEnd w:id="11"/>
    <w:p w14:paraId="7EDCBBA0" w14:textId="77777777" w:rsidR="00EF304C" w:rsidRPr="00485F96" w:rsidRDefault="00EF304C" w:rsidP="00EF304C">
      <w:pPr>
        <w:spacing w:after="240"/>
        <w:ind w:left="567" w:hanging="567"/>
      </w:pPr>
      <w:r w:rsidRPr="00485F96">
        <w:rPr>
          <w14:textOutline w14:w="0" w14:cap="flat" w14:cmpd="sng" w14:algn="ctr">
            <w14:noFill/>
            <w14:prstDash w14:val="solid"/>
            <w14:bevel/>
          </w14:textOutline>
        </w:rPr>
        <w:t>149</w:t>
      </w:r>
      <w:r w:rsidRPr="00485F96">
        <w:t>.</w:t>
      </w:r>
      <w:r w:rsidRPr="00485F96">
        <w:rPr>
          <w14:textOutline w14:w="0" w14:cap="flat" w14:cmpd="sng" w14:algn="ctr">
            <w14:noFill/>
            <w14:prstDash w14:val="solid"/>
            <w14:bevel/>
          </w14:textOutline>
        </w:rPr>
        <w:tab/>
      </w:r>
      <w:r w:rsidRPr="00485F96">
        <w:t>odnotowuje, że w 2024 r. środki z pozycji budżetu 402 wykorzystano w następujący sposób</w:t>
      </w:r>
      <w:r w:rsidRPr="00485F96">
        <w:rPr>
          <w:rStyle w:val="FootnoteReference"/>
        </w:rPr>
        <w:footnoteReference w:id="13"/>
      </w:r>
      <w:r w:rsidRPr="00485F96">
        <w:t>:</w:t>
      </w:r>
    </w:p>
    <w:tbl>
      <w:tblPr>
        <w:tblW w:w="9078" w:type="dxa"/>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blBorders>
        <w:shd w:val="clear" w:color="auto" w:fill="D0DDEF"/>
        <w:tblLayout w:type="fixed"/>
        <w:tblLook w:val="04A0" w:firstRow="1" w:lastRow="0" w:firstColumn="1" w:lastColumn="0" w:noHBand="0" w:noVBand="1"/>
      </w:tblPr>
      <w:tblGrid>
        <w:gridCol w:w="1691"/>
        <w:gridCol w:w="1276"/>
        <w:gridCol w:w="1134"/>
        <w:gridCol w:w="1329"/>
        <w:gridCol w:w="973"/>
        <w:gridCol w:w="1417"/>
        <w:gridCol w:w="1258"/>
      </w:tblGrid>
      <w:tr w:rsidR="00EF304C" w:rsidRPr="00485F96" w14:paraId="3B2079A0" w14:textId="77777777" w:rsidTr="00880435">
        <w:trPr>
          <w:trHeight w:val="1316"/>
        </w:trPr>
        <w:tc>
          <w:tcPr>
            <w:tcW w:w="1691" w:type="dxa"/>
            <w:tcBorders>
              <w:top w:val="single" w:sz="8" w:space="0" w:color="000000" w:themeColor="text1"/>
              <w:left w:val="single" w:sz="8" w:space="0" w:color="000000" w:themeColor="text1"/>
              <w:bottom w:val="single" w:sz="4" w:space="0" w:color="000000" w:themeColor="text1"/>
              <w:right w:val="single" w:sz="4" w:space="0" w:color="000000" w:themeColor="text1"/>
            </w:tcBorders>
            <w:shd w:val="clear" w:color="auto" w:fill="D9E1F2"/>
            <w:tcMar>
              <w:top w:w="80" w:type="dxa"/>
              <w:left w:w="80" w:type="dxa"/>
              <w:bottom w:w="80" w:type="dxa"/>
              <w:right w:w="80" w:type="dxa"/>
            </w:tcMar>
            <w:vAlign w:val="center"/>
            <w:hideMark/>
          </w:tcPr>
          <w:p w14:paraId="7516F4CA" w14:textId="77777777" w:rsidR="00EF304C" w:rsidRPr="00485F96" w:rsidRDefault="00EF304C" w:rsidP="00880435">
            <w:pPr>
              <w:widowControl/>
              <w:jc w:val="center"/>
              <w:rPr>
                <w:szCs w:val="24"/>
                <w14:textOutline w14:w="0" w14:cap="flat" w14:cmpd="sng" w14:algn="ctr">
                  <w14:noFill/>
                  <w14:prstDash w14:val="solid"/>
                  <w14:bevel/>
                </w14:textOutline>
              </w:rPr>
            </w:pPr>
            <w:r w:rsidRPr="00485F96">
              <w:rPr>
                <w:sz w:val="20"/>
                <w14:textOutline w14:w="0" w14:cap="flat" w14:cmpd="sng" w14:algn="ctr">
                  <w14:noFill/>
                  <w14:prstDash w14:val="solid"/>
                  <w14:bevel/>
                </w14:textOutline>
              </w:rPr>
              <w:t>Partia (2024)</w:t>
            </w:r>
          </w:p>
        </w:tc>
        <w:tc>
          <w:tcPr>
            <w:tcW w:w="1276" w:type="dxa"/>
            <w:tcBorders>
              <w:top w:val="single" w:sz="8" w:space="0" w:color="000000" w:themeColor="text1"/>
              <w:left w:val="single" w:sz="4" w:space="0" w:color="000000" w:themeColor="text1"/>
              <w:bottom w:val="single" w:sz="4" w:space="0" w:color="000000" w:themeColor="text1"/>
              <w:right w:val="single" w:sz="4" w:space="0" w:color="000000" w:themeColor="text1"/>
            </w:tcBorders>
            <w:shd w:val="clear" w:color="auto" w:fill="D9E1F2"/>
            <w:tcMar>
              <w:top w:w="80" w:type="dxa"/>
              <w:left w:w="80" w:type="dxa"/>
              <w:bottom w:w="80" w:type="dxa"/>
              <w:right w:w="80" w:type="dxa"/>
            </w:tcMar>
            <w:vAlign w:val="center"/>
            <w:hideMark/>
          </w:tcPr>
          <w:p w14:paraId="0CB9D967" w14:textId="77777777" w:rsidR="00EF304C" w:rsidRPr="00485F96" w:rsidRDefault="00EF304C" w:rsidP="00880435">
            <w:pPr>
              <w:widowControl/>
              <w:jc w:val="center"/>
              <w:rPr>
                <w:szCs w:val="24"/>
                <w14:textOutline w14:w="0" w14:cap="flat" w14:cmpd="sng" w14:algn="ctr">
                  <w14:noFill/>
                  <w14:prstDash w14:val="solid"/>
                  <w14:bevel/>
                </w14:textOutline>
              </w:rPr>
            </w:pPr>
            <w:r w:rsidRPr="00485F96">
              <w:rPr>
                <w:sz w:val="20"/>
                <w14:textOutline w14:w="0" w14:cap="flat" w14:cmpd="sng" w14:algn="ctr">
                  <w14:noFill/>
                  <w14:prstDash w14:val="solid"/>
                  <w14:bevel/>
                </w14:textOutline>
              </w:rPr>
              <w:t>Skrót</w:t>
            </w:r>
          </w:p>
        </w:tc>
        <w:tc>
          <w:tcPr>
            <w:tcW w:w="1134" w:type="dxa"/>
            <w:tcBorders>
              <w:top w:val="single" w:sz="8" w:space="0" w:color="000000" w:themeColor="text1"/>
              <w:left w:val="single" w:sz="4" w:space="0" w:color="000000" w:themeColor="text1"/>
              <w:bottom w:val="single" w:sz="4" w:space="0" w:color="000000" w:themeColor="text1"/>
              <w:right w:val="single" w:sz="4" w:space="0" w:color="000000" w:themeColor="text1"/>
            </w:tcBorders>
            <w:shd w:val="clear" w:color="auto" w:fill="D9E1F2"/>
            <w:tcMar>
              <w:top w:w="80" w:type="dxa"/>
              <w:left w:w="80" w:type="dxa"/>
              <w:bottom w:w="80" w:type="dxa"/>
              <w:right w:w="80" w:type="dxa"/>
            </w:tcMar>
            <w:vAlign w:val="center"/>
            <w:hideMark/>
          </w:tcPr>
          <w:p w14:paraId="50D60D2C" w14:textId="77777777" w:rsidR="00EF304C" w:rsidRPr="00485F96" w:rsidRDefault="00EF304C" w:rsidP="00880435">
            <w:pPr>
              <w:widowControl/>
              <w:jc w:val="center"/>
              <w:rPr>
                <w:szCs w:val="24"/>
                <w14:textOutline w14:w="0" w14:cap="flat" w14:cmpd="sng" w14:algn="ctr">
                  <w14:noFill/>
                  <w14:prstDash w14:val="solid"/>
                  <w14:bevel/>
                </w14:textOutline>
              </w:rPr>
            </w:pPr>
            <w:r w:rsidRPr="00485F96">
              <w:rPr>
                <w:sz w:val="20"/>
                <w14:textOutline w14:w="0" w14:cap="flat" w14:cmpd="sng" w14:algn="ctr">
                  <w14:noFill/>
                  <w14:prstDash w14:val="solid"/>
                  <w14:bevel/>
                </w14:textOutline>
              </w:rPr>
              <w:t>Zasoby własne</w:t>
            </w:r>
          </w:p>
        </w:tc>
        <w:tc>
          <w:tcPr>
            <w:tcW w:w="1329" w:type="dxa"/>
            <w:tcBorders>
              <w:top w:val="single" w:sz="8" w:space="0" w:color="000000" w:themeColor="text1"/>
              <w:left w:val="single" w:sz="4" w:space="0" w:color="000000" w:themeColor="text1"/>
              <w:bottom w:val="single" w:sz="4" w:space="0" w:color="000000" w:themeColor="text1"/>
              <w:right w:val="single" w:sz="4" w:space="0" w:color="000000" w:themeColor="text1"/>
            </w:tcBorders>
            <w:shd w:val="clear" w:color="auto" w:fill="D9E1F2"/>
            <w:tcMar>
              <w:top w:w="80" w:type="dxa"/>
              <w:left w:w="80" w:type="dxa"/>
              <w:bottom w:w="80" w:type="dxa"/>
              <w:right w:w="80" w:type="dxa"/>
            </w:tcMar>
            <w:vAlign w:val="center"/>
            <w:hideMark/>
          </w:tcPr>
          <w:p w14:paraId="3EC43923" w14:textId="77777777" w:rsidR="00EF304C" w:rsidRPr="00485F96" w:rsidRDefault="00EF304C" w:rsidP="00880435">
            <w:pPr>
              <w:widowControl/>
              <w:jc w:val="center"/>
              <w:rPr>
                <w:szCs w:val="24"/>
                <w14:textOutline w14:w="0" w14:cap="flat" w14:cmpd="sng" w14:algn="ctr">
                  <w14:noFill/>
                  <w14:prstDash w14:val="solid"/>
                  <w14:bevel/>
                </w14:textOutline>
              </w:rPr>
            </w:pPr>
            <w:r w:rsidRPr="00485F96">
              <w:rPr>
                <w:sz w:val="20"/>
                <w14:textOutline w14:w="0" w14:cap="flat" w14:cmpd="sng" w14:algn="ctr">
                  <w14:noFill/>
                  <w14:prstDash w14:val="solid"/>
                  <w14:bevel/>
                </w14:textOutline>
              </w:rPr>
              <w:t>Ostateczny wkład PE</w:t>
            </w:r>
            <w:r w:rsidRPr="00485F96">
              <w:rPr>
                <w:rStyle w:val="FootnoteReference"/>
                <w:sz w:val="20"/>
              </w:rPr>
              <w:footnoteReference w:id="14"/>
            </w:r>
          </w:p>
        </w:tc>
        <w:tc>
          <w:tcPr>
            <w:tcW w:w="973" w:type="dxa"/>
            <w:tcBorders>
              <w:top w:val="single" w:sz="8" w:space="0" w:color="000000" w:themeColor="text1"/>
              <w:left w:val="single" w:sz="4" w:space="0" w:color="000000" w:themeColor="text1"/>
              <w:bottom w:val="single" w:sz="4" w:space="0" w:color="000000" w:themeColor="text1"/>
              <w:right w:val="single" w:sz="4" w:space="0" w:color="000000" w:themeColor="text1"/>
            </w:tcBorders>
            <w:shd w:val="clear" w:color="auto" w:fill="D9E1F2"/>
            <w:tcMar>
              <w:top w:w="80" w:type="dxa"/>
              <w:left w:w="80" w:type="dxa"/>
              <w:bottom w:w="80" w:type="dxa"/>
              <w:right w:w="80" w:type="dxa"/>
            </w:tcMar>
            <w:vAlign w:val="center"/>
            <w:hideMark/>
          </w:tcPr>
          <w:p w14:paraId="08D0B9A0" w14:textId="77777777" w:rsidR="00EF304C" w:rsidRPr="00485F96" w:rsidRDefault="00EF304C" w:rsidP="00880435">
            <w:pPr>
              <w:widowControl/>
              <w:jc w:val="center"/>
              <w:rPr>
                <w:szCs w:val="24"/>
                <w14:textOutline w14:w="0" w14:cap="flat" w14:cmpd="sng" w14:algn="ctr">
                  <w14:noFill/>
                  <w14:prstDash w14:val="solid"/>
                  <w14:bevel/>
                </w14:textOutline>
              </w:rPr>
            </w:pPr>
            <w:r w:rsidRPr="00485F96">
              <w:rPr>
                <w:sz w:val="20"/>
                <w14:textOutline w14:w="0" w14:cap="flat" w14:cmpd="sng" w14:algn="ctr">
                  <w14:noFill/>
                  <w14:prstDash w14:val="solid"/>
                  <w14:bevel/>
                </w14:textOutline>
              </w:rPr>
              <w:t>Dochody ogółem</w:t>
            </w:r>
          </w:p>
        </w:tc>
        <w:tc>
          <w:tcPr>
            <w:tcW w:w="1417" w:type="dxa"/>
            <w:tcBorders>
              <w:top w:val="single" w:sz="8" w:space="0" w:color="000000" w:themeColor="text1"/>
              <w:left w:val="single" w:sz="4" w:space="0" w:color="000000" w:themeColor="text1"/>
              <w:bottom w:val="single" w:sz="4" w:space="0" w:color="000000" w:themeColor="text1"/>
              <w:right w:val="single" w:sz="4" w:space="0" w:color="000000" w:themeColor="text1"/>
            </w:tcBorders>
            <w:shd w:val="clear" w:color="auto" w:fill="D9E1F2"/>
            <w:tcMar>
              <w:top w:w="80" w:type="dxa"/>
              <w:left w:w="80" w:type="dxa"/>
              <w:bottom w:w="80" w:type="dxa"/>
              <w:right w:w="80" w:type="dxa"/>
            </w:tcMar>
            <w:vAlign w:val="center"/>
            <w:hideMark/>
          </w:tcPr>
          <w:p w14:paraId="4A6DF4A8" w14:textId="77777777" w:rsidR="00EF304C" w:rsidRPr="00485F96" w:rsidRDefault="00EF304C" w:rsidP="00880435">
            <w:pPr>
              <w:widowControl/>
              <w:jc w:val="center"/>
              <w:rPr>
                <w:szCs w:val="24"/>
                <w14:textOutline w14:w="0" w14:cap="flat" w14:cmpd="sng" w14:algn="ctr">
                  <w14:noFill/>
                  <w14:prstDash w14:val="solid"/>
                  <w14:bevel/>
                </w14:textOutline>
              </w:rPr>
            </w:pPr>
            <w:r w:rsidRPr="00485F96">
              <w:rPr>
                <w:sz w:val="20"/>
                <w14:textOutline w14:w="0" w14:cap="flat" w14:cmpd="sng" w14:algn="ctr">
                  <w14:noFill/>
                  <w14:prstDash w14:val="solid"/>
                  <w14:bevel/>
                </w14:textOutline>
              </w:rPr>
              <w:t>Wkład PE w % wydatków podlegających zwrotowi (maks. 90 %)</w:t>
            </w:r>
          </w:p>
        </w:tc>
        <w:tc>
          <w:tcPr>
            <w:tcW w:w="1258" w:type="dxa"/>
            <w:tcBorders>
              <w:top w:val="single" w:sz="8" w:space="0" w:color="000000" w:themeColor="text1"/>
              <w:left w:val="single" w:sz="4" w:space="0" w:color="000000" w:themeColor="text1"/>
              <w:bottom w:val="single" w:sz="4" w:space="0" w:color="000000" w:themeColor="text1"/>
              <w:right w:val="single" w:sz="8" w:space="0" w:color="000000" w:themeColor="text1"/>
            </w:tcBorders>
            <w:shd w:val="clear" w:color="auto" w:fill="D9E1F2"/>
            <w:tcMar>
              <w:top w:w="80" w:type="dxa"/>
              <w:left w:w="80" w:type="dxa"/>
              <w:bottom w:w="80" w:type="dxa"/>
              <w:right w:w="80" w:type="dxa"/>
            </w:tcMar>
            <w:vAlign w:val="center"/>
            <w:hideMark/>
          </w:tcPr>
          <w:p w14:paraId="774FC072" w14:textId="77777777" w:rsidR="00EF304C" w:rsidRPr="00485F96" w:rsidRDefault="00EF304C" w:rsidP="00880435">
            <w:pPr>
              <w:widowControl/>
              <w:jc w:val="center"/>
              <w:rPr>
                <w:sz w:val="20"/>
                <w14:textOutline w14:w="0" w14:cap="flat" w14:cmpd="sng" w14:algn="ctr">
                  <w14:noFill/>
                  <w14:prstDash w14:val="solid"/>
                  <w14:bevel/>
                </w14:textOutline>
              </w:rPr>
            </w:pPr>
            <w:r w:rsidRPr="00485F96">
              <w:rPr>
                <w:sz w:val="20"/>
                <w14:textOutline w14:w="0" w14:cap="flat" w14:cmpd="sng" w14:algn="ctr">
                  <w14:noFill/>
                  <w14:prstDash w14:val="solid"/>
                  <w14:bevel/>
                </w14:textOutline>
              </w:rPr>
              <w:t>Specjalna rezerwa po zamknięciu roku</w:t>
            </w:r>
          </w:p>
          <w:p w14:paraId="4996D970" w14:textId="77777777" w:rsidR="00EF304C" w:rsidRPr="00485F96" w:rsidRDefault="00EF304C" w:rsidP="00880435">
            <w:pPr>
              <w:widowControl/>
              <w:jc w:val="center"/>
              <w:rPr>
                <w:szCs w:val="24"/>
                <w14:textOutline w14:w="0" w14:cap="flat" w14:cmpd="sng" w14:algn="ctr">
                  <w14:noFill/>
                  <w14:prstDash w14:val="solid"/>
                  <w14:bevel/>
                </w14:textOutline>
              </w:rPr>
            </w:pPr>
            <w:r w:rsidRPr="00485F96">
              <w:rPr>
                <w:sz w:val="20"/>
                <w14:textOutline w14:w="0" w14:cap="flat" w14:cmpd="sng" w14:algn="ctr">
                  <w14:noFill/>
                  <w14:prstDash w14:val="solid"/>
                  <w14:bevel/>
                </w14:textOutline>
              </w:rPr>
              <w:t>budżetowego 2024</w:t>
            </w:r>
            <w:r w:rsidRPr="00485F96">
              <w:rPr>
                <w:rStyle w:val="FootnoteReference"/>
                <w:sz w:val="20"/>
              </w:rPr>
              <w:footnoteReference w:id="15"/>
            </w:r>
          </w:p>
        </w:tc>
      </w:tr>
      <w:tr w:rsidR="00EF304C" w:rsidRPr="00485F96" w14:paraId="1367FAAB" w14:textId="77777777" w:rsidTr="00880435">
        <w:trPr>
          <w:trHeight w:val="339"/>
        </w:trPr>
        <w:tc>
          <w:tcPr>
            <w:tcW w:w="1691" w:type="dxa"/>
            <w:tcBorders>
              <w:top w:val="single" w:sz="4" w:space="0" w:color="000000" w:themeColor="text1"/>
              <w:left w:val="single" w:sz="8"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hideMark/>
          </w:tcPr>
          <w:p w14:paraId="67E6C417" w14:textId="77777777" w:rsidR="00EF304C" w:rsidRPr="00485F96" w:rsidRDefault="00EF304C" w:rsidP="00880435">
            <w:pPr>
              <w:widowControl/>
              <w:jc w:val="center"/>
              <w:rPr>
                <w:sz w:val="20"/>
                <w14:textOutline w14:w="0" w14:cap="flat" w14:cmpd="sng" w14:algn="ctr">
                  <w14:noFill/>
                  <w14:prstDash w14:val="solid"/>
                  <w14:bevel/>
                </w14:textOutline>
              </w:rPr>
            </w:pPr>
            <w:r w:rsidRPr="00485F96">
              <w:rPr>
                <w:sz w:val="20"/>
                <w14:textOutline w14:w="0" w14:cap="flat" w14:cmpd="sng" w14:algn="ctr">
                  <w14:noFill/>
                  <w14:prstDash w14:val="solid"/>
                  <w14:bevel/>
                </w14:textOutline>
              </w:rPr>
              <w:t>Europejska Partia Ludowa</w:t>
            </w:r>
          </w:p>
        </w:tc>
        <w:tc>
          <w:tcPr>
            <w:tcW w:w="1276"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hideMark/>
          </w:tcPr>
          <w:p w14:paraId="1AFDA5D0" w14:textId="77777777" w:rsidR="00EF304C" w:rsidRPr="00485F96" w:rsidRDefault="00EF304C" w:rsidP="00880435">
            <w:pPr>
              <w:widowControl/>
              <w:jc w:val="center"/>
              <w:rPr>
                <w:sz w:val="20"/>
                <w14:textOutline w14:w="0" w14:cap="flat" w14:cmpd="sng" w14:algn="ctr">
                  <w14:noFill/>
                  <w14:prstDash w14:val="solid"/>
                  <w14:bevel/>
                </w14:textOutline>
              </w:rPr>
            </w:pPr>
            <w:r w:rsidRPr="00485F96">
              <w:rPr>
                <w:sz w:val="20"/>
                <w14:textOutline w14:w="0" w14:cap="flat" w14:cmpd="sng" w14:algn="ctr">
                  <w14:noFill/>
                  <w14:prstDash w14:val="solid"/>
                  <w14:bevel/>
                </w14:textOutline>
              </w:rPr>
              <w:t>PPE</w:t>
            </w:r>
          </w:p>
        </w:tc>
        <w:tc>
          <w:tcPr>
            <w:tcW w:w="1134"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0FCECEEB" w14:textId="77777777" w:rsidR="00EF304C" w:rsidRPr="00485F96" w:rsidRDefault="00EF304C" w:rsidP="00880435">
            <w:pPr>
              <w:widowControl/>
              <w:jc w:val="center"/>
              <w:rPr>
                <w:sz w:val="20"/>
                <w14:textOutline w14:w="0" w14:cap="flat" w14:cmpd="sng" w14:algn="ctr">
                  <w14:noFill/>
                  <w14:prstDash w14:val="solid"/>
                  <w14:bevel/>
                </w14:textOutline>
              </w:rPr>
            </w:pPr>
            <w:r w:rsidRPr="00485F96">
              <w:rPr>
                <w:sz w:val="20"/>
              </w:rPr>
              <w:t>2 124 050</w:t>
            </w:r>
          </w:p>
        </w:tc>
        <w:tc>
          <w:tcPr>
            <w:tcW w:w="1329"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0BE4C33F" w14:textId="77777777" w:rsidR="00EF304C" w:rsidRPr="00485F96" w:rsidRDefault="00EF304C" w:rsidP="00880435">
            <w:pPr>
              <w:widowControl/>
              <w:jc w:val="center"/>
              <w:rPr>
                <w:sz w:val="20"/>
                <w14:textOutline w14:w="0" w14:cap="flat" w14:cmpd="sng" w14:algn="ctr">
                  <w14:noFill/>
                  <w14:prstDash w14:val="solid"/>
                  <w14:bevel/>
                </w14:textOutline>
              </w:rPr>
            </w:pPr>
            <w:r w:rsidRPr="00485F96">
              <w:rPr>
                <w:sz w:val="20"/>
              </w:rPr>
              <w:t>11 655 962</w:t>
            </w:r>
          </w:p>
        </w:tc>
        <w:tc>
          <w:tcPr>
            <w:tcW w:w="973"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6223125D" w14:textId="77777777" w:rsidR="00EF304C" w:rsidRPr="00485F96" w:rsidRDefault="00EF304C" w:rsidP="00880435">
            <w:pPr>
              <w:widowControl/>
              <w:jc w:val="center"/>
              <w:rPr>
                <w:sz w:val="20"/>
                <w14:textOutline w14:w="0" w14:cap="flat" w14:cmpd="sng" w14:algn="ctr">
                  <w14:noFill/>
                  <w14:prstDash w14:val="solid"/>
                  <w14:bevel/>
                </w14:textOutline>
              </w:rPr>
            </w:pPr>
            <w:r w:rsidRPr="00485F96">
              <w:rPr>
                <w:sz w:val="20"/>
              </w:rPr>
              <w:t>13 780 012</w:t>
            </w:r>
          </w:p>
        </w:tc>
        <w:tc>
          <w:tcPr>
            <w:tcW w:w="1417"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768468C0" w14:textId="77777777" w:rsidR="00EF304C" w:rsidRPr="00485F96" w:rsidRDefault="00EF304C" w:rsidP="00880435">
            <w:pPr>
              <w:widowControl/>
              <w:jc w:val="center"/>
              <w:rPr>
                <w:sz w:val="20"/>
                <w14:textOutline w14:w="0" w14:cap="flat" w14:cmpd="sng" w14:algn="ctr">
                  <w14:noFill/>
                  <w14:prstDash w14:val="solid"/>
                  <w14:bevel/>
                </w14:textOutline>
              </w:rPr>
            </w:pPr>
            <w:r w:rsidRPr="00485F96">
              <w:rPr>
                <w:sz w:val="20"/>
              </w:rPr>
              <w:t>90 %</w:t>
            </w:r>
          </w:p>
        </w:tc>
        <w:tc>
          <w:tcPr>
            <w:tcW w:w="1258" w:type="dxa"/>
            <w:tcBorders>
              <w:top w:val="single" w:sz="4" w:space="0" w:color="auto"/>
              <w:left w:val="single" w:sz="4" w:space="0" w:color="auto"/>
              <w:bottom w:val="single" w:sz="4" w:space="0" w:color="auto"/>
              <w:right w:val="single" w:sz="8" w:space="0" w:color="auto"/>
            </w:tcBorders>
            <w:shd w:val="clear" w:color="auto" w:fill="auto"/>
            <w:tcMar>
              <w:top w:w="80" w:type="dxa"/>
              <w:left w:w="80" w:type="dxa"/>
              <w:bottom w:w="80" w:type="dxa"/>
              <w:right w:w="80" w:type="dxa"/>
            </w:tcMar>
            <w:vAlign w:val="center"/>
          </w:tcPr>
          <w:p w14:paraId="50B38E54" w14:textId="77777777" w:rsidR="00EF304C" w:rsidRPr="00485F96" w:rsidRDefault="00EF304C" w:rsidP="00880435">
            <w:pPr>
              <w:widowControl/>
              <w:jc w:val="center"/>
              <w:rPr>
                <w:sz w:val="20"/>
                <w14:textOutline w14:w="0" w14:cap="flat" w14:cmpd="sng" w14:algn="ctr">
                  <w14:noFill/>
                  <w14:prstDash w14:val="solid"/>
                  <w14:bevel/>
                </w14:textOutline>
              </w:rPr>
            </w:pPr>
            <w:r w:rsidRPr="00485F96">
              <w:rPr>
                <w:sz w:val="20"/>
              </w:rPr>
              <w:t>261 623</w:t>
            </w:r>
          </w:p>
        </w:tc>
      </w:tr>
      <w:tr w:rsidR="00EF304C" w:rsidRPr="00485F96" w14:paraId="4D26D365" w14:textId="77777777" w:rsidTr="00880435">
        <w:trPr>
          <w:trHeight w:val="339"/>
        </w:trPr>
        <w:tc>
          <w:tcPr>
            <w:tcW w:w="1691" w:type="dxa"/>
            <w:tcBorders>
              <w:top w:val="single" w:sz="4" w:space="0" w:color="000000" w:themeColor="text1"/>
              <w:left w:val="single" w:sz="8"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hideMark/>
          </w:tcPr>
          <w:p w14:paraId="170836E8" w14:textId="77777777" w:rsidR="00EF304C" w:rsidRPr="00485F96" w:rsidRDefault="00EF304C" w:rsidP="00880435">
            <w:pPr>
              <w:widowControl/>
              <w:jc w:val="center"/>
              <w:rPr>
                <w:sz w:val="20"/>
                <w14:textOutline w14:w="0" w14:cap="flat" w14:cmpd="sng" w14:algn="ctr">
                  <w14:noFill/>
                  <w14:prstDash w14:val="solid"/>
                  <w14:bevel/>
                </w14:textOutline>
              </w:rPr>
            </w:pPr>
            <w:r w:rsidRPr="00485F96">
              <w:rPr>
                <w:sz w:val="20"/>
                <w14:textOutline w14:w="0" w14:cap="flat" w14:cmpd="sng" w14:algn="ctr">
                  <w14:noFill/>
                  <w14:prstDash w14:val="solid"/>
                  <w14:bevel/>
                </w14:textOutline>
              </w:rPr>
              <w:t>Partia Europejskich Socjalistów</w:t>
            </w:r>
          </w:p>
        </w:tc>
        <w:tc>
          <w:tcPr>
            <w:tcW w:w="1276"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hideMark/>
          </w:tcPr>
          <w:p w14:paraId="312F3261" w14:textId="77777777" w:rsidR="00EF304C" w:rsidRPr="00485F96" w:rsidRDefault="00EF304C" w:rsidP="00880435">
            <w:pPr>
              <w:widowControl/>
              <w:jc w:val="center"/>
              <w:rPr>
                <w:sz w:val="20"/>
                <w14:textOutline w14:w="0" w14:cap="flat" w14:cmpd="sng" w14:algn="ctr">
                  <w14:noFill/>
                  <w14:prstDash w14:val="solid"/>
                  <w14:bevel/>
                </w14:textOutline>
              </w:rPr>
            </w:pPr>
            <w:r w:rsidRPr="00485F96">
              <w:rPr>
                <w:sz w:val="20"/>
                <w14:textOutline w14:w="0" w14:cap="flat" w14:cmpd="sng" w14:algn="ctr">
                  <w14:noFill/>
                  <w14:prstDash w14:val="solid"/>
                  <w14:bevel/>
                </w14:textOutline>
              </w:rPr>
              <w:t>PSZ</w:t>
            </w:r>
          </w:p>
        </w:tc>
        <w:tc>
          <w:tcPr>
            <w:tcW w:w="1134"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7AAC93BE" w14:textId="77777777" w:rsidR="00EF304C" w:rsidRPr="00485F96" w:rsidRDefault="00EF304C" w:rsidP="00880435">
            <w:pPr>
              <w:widowControl/>
              <w:jc w:val="center"/>
              <w:rPr>
                <w:sz w:val="20"/>
                <w14:textOutline w14:w="0" w14:cap="flat" w14:cmpd="sng" w14:algn="ctr">
                  <w14:noFill/>
                  <w14:prstDash w14:val="solid"/>
                  <w14:bevel/>
                </w14:textOutline>
              </w:rPr>
            </w:pPr>
            <w:r w:rsidRPr="00485F96">
              <w:rPr>
                <w:sz w:val="20"/>
              </w:rPr>
              <w:t>1 579 596</w:t>
            </w:r>
          </w:p>
        </w:tc>
        <w:tc>
          <w:tcPr>
            <w:tcW w:w="1329"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49ACDE6D" w14:textId="77777777" w:rsidR="00EF304C" w:rsidRPr="00485F96" w:rsidRDefault="00EF304C" w:rsidP="00880435">
            <w:pPr>
              <w:widowControl/>
              <w:jc w:val="center"/>
              <w:rPr>
                <w:sz w:val="20"/>
                <w14:textOutline w14:w="0" w14:cap="flat" w14:cmpd="sng" w14:algn="ctr">
                  <w14:noFill/>
                  <w14:prstDash w14:val="solid"/>
                  <w14:bevel/>
                </w14:textOutline>
              </w:rPr>
            </w:pPr>
            <w:r w:rsidRPr="00485F96">
              <w:rPr>
                <w:sz w:val="20"/>
              </w:rPr>
              <w:t>8 399 744</w:t>
            </w:r>
          </w:p>
        </w:tc>
        <w:tc>
          <w:tcPr>
            <w:tcW w:w="97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07DDE5ED" w14:textId="77777777" w:rsidR="00EF304C" w:rsidRPr="00485F96" w:rsidRDefault="00EF304C" w:rsidP="00880435">
            <w:pPr>
              <w:widowControl/>
              <w:jc w:val="center"/>
              <w:rPr>
                <w:sz w:val="20"/>
                <w14:textOutline w14:w="0" w14:cap="flat" w14:cmpd="sng" w14:algn="ctr">
                  <w14:noFill/>
                  <w14:prstDash w14:val="solid"/>
                  <w14:bevel/>
                </w14:textOutline>
              </w:rPr>
            </w:pPr>
            <w:r w:rsidRPr="00485F96">
              <w:rPr>
                <w:sz w:val="20"/>
              </w:rPr>
              <w:t>9 979 340</w:t>
            </w:r>
          </w:p>
        </w:tc>
        <w:tc>
          <w:tcPr>
            <w:tcW w:w="1417"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66CA5EE8" w14:textId="77777777" w:rsidR="00EF304C" w:rsidRPr="00485F96" w:rsidRDefault="00EF304C" w:rsidP="00880435">
            <w:pPr>
              <w:widowControl/>
              <w:jc w:val="center"/>
              <w:rPr>
                <w:sz w:val="20"/>
                <w14:textOutline w14:w="0" w14:cap="flat" w14:cmpd="sng" w14:algn="ctr">
                  <w14:noFill/>
                  <w14:prstDash w14:val="solid"/>
                  <w14:bevel/>
                </w14:textOutline>
              </w:rPr>
            </w:pPr>
            <w:r w:rsidRPr="00485F96">
              <w:rPr>
                <w:sz w:val="20"/>
              </w:rPr>
              <w:t>90 %</w:t>
            </w:r>
          </w:p>
        </w:tc>
        <w:tc>
          <w:tcPr>
            <w:tcW w:w="1258" w:type="dxa"/>
            <w:tcBorders>
              <w:top w:val="nil"/>
              <w:left w:val="single" w:sz="4" w:space="0" w:color="auto"/>
              <w:bottom w:val="single" w:sz="4" w:space="0" w:color="auto"/>
              <w:right w:val="single" w:sz="8" w:space="0" w:color="auto"/>
            </w:tcBorders>
            <w:shd w:val="clear" w:color="auto" w:fill="auto"/>
            <w:tcMar>
              <w:top w:w="80" w:type="dxa"/>
              <w:left w:w="80" w:type="dxa"/>
              <w:bottom w:w="80" w:type="dxa"/>
              <w:right w:w="80" w:type="dxa"/>
            </w:tcMar>
            <w:vAlign w:val="center"/>
          </w:tcPr>
          <w:p w14:paraId="7CA7D1C1" w14:textId="77777777" w:rsidR="00EF304C" w:rsidRPr="00485F96" w:rsidRDefault="00EF304C" w:rsidP="00880435">
            <w:pPr>
              <w:widowControl/>
              <w:jc w:val="center"/>
              <w:rPr>
                <w:sz w:val="20"/>
                <w14:textOutline w14:w="0" w14:cap="flat" w14:cmpd="sng" w14:algn="ctr">
                  <w14:noFill/>
                  <w14:prstDash w14:val="solid"/>
                  <w14:bevel/>
                </w14:textOutline>
              </w:rPr>
            </w:pPr>
            <w:r w:rsidRPr="00485F96">
              <w:rPr>
                <w:sz w:val="20"/>
              </w:rPr>
              <w:t>987 745</w:t>
            </w:r>
          </w:p>
        </w:tc>
      </w:tr>
      <w:tr w:rsidR="00EF304C" w:rsidRPr="00485F96" w14:paraId="1253DE57" w14:textId="77777777" w:rsidTr="00880435">
        <w:trPr>
          <w:trHeight w:val="339"/>
        </w:trPr>
        <w:tc>
          <w:tcPr>
            <w:tcW w:w="1691" w:type="dxa"/>
            <w:tcBorders>
              <w:top w:val="single" w:sz="4" w:space="0" w:color="000000" w:themeColor="text1"/>
              <w:left w:val="single" w:sz="8"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tcPr>
          <w:p w14:paraId="6588B450" w14:textId="77777777" w:rsidR="00EF304C" w:rsidRPr="00485F96" w:rsidRDefault="00EF304C" w:rsidP="00880435">
            <w:pPr>
              <w:widowControl/>
              <w:jc w:val="center"/>
              <w:rPr>
                <w:sz w:val="20"/>
                <w14:textOutline w14:w="0" w14:cap="flat" w14:cmpd="sng" w14:algn="ctr">
                  <w14:noFill/>
                  <w14:prstDash w14:val="solid"/>
                  <w14:bevel/>
                </w14:textOutline>
              </w:rPr>
            </w:pPr>
            <w:r w:rsidRPr="00485F96">
              <w:rPr>
                <w:sz w:val="20"/>
                <w14:textOutline w14:w="0" w14:cap="flat" w14:cmpd="sng" w14:algn="ctr">
                  <w14:noFill/>
                  <w14:prstDash w14:val="solid"/>
                  <w14:bevel/>
                </w14:textOutline>
              </w:rPr>
              <w:lastRenderedPageBreak/>
              <w:t>Porozumienie Liberałów i Demokratów na rzecz Europy</w:t>
            </w:r>
          </w:p>
        </w:tc>
        <w:tc>
          <w:tcPr>
            <w:tcW w:w="1276"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487A4D1C" w14:textId="77777777" w:rsidR="00EF304C" w:rsidRPr="00485F96" w:rsidRDefault="00EF304C" w:rsidP="00880435">
            <w:pPr>
              <w:widowControl/>
              <w:jc w:val="center"/>
              <w:rPr>
                <w:sz w:val="20"/>
                <w14:textOutline w14:w="0" w14:cap="flat" w14:cmpd="sng" w14:algn="ctr">
                  <w14:noFill/>
                  <w14:prstDash w14:val="solid"/>
                  <w14:bevel/>
                </w14:textOutline>
              </w:rPr>
            </w:pPr>
            <w:r w:rsidRPr="00485F96">
              <w:rPr>
                <w:sz w:val="20"/>
                <w14:textOutline w14:w="0" w14:cap="flat" w14:cmpd="sng" w14:algn="ctr">
                  <w14:noFill/>
                  <w14:prstDash w14:val="solid"/>
                  <w14:bevel/>
                </w14:textOutline>
              </w:rPr>
              <w:t>ALDE</w:t>
            </w:r>
          </w:p>
        </w:tc>
        <w:tc>
          <w:tcPr>
            <w:tcW w:w="1134"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16ED022B" w14:textId="77777777" w:rsidR="00EF304C" w:rsidRPr="00485F96" w:rsidRDefault="00EF304C" w:rsidP="00880435">
            <w:pPr>
              <w:widowControl/>
              <w:jc w:val="center"/>
              <w:rPr>
                <w:sz w:val="20"/>
                <w14:textOutline w14:w="0" w14:cap="flat" w14:cmpd="sng" w14:algn="ctr">
                  <w14:noFill/>
                  <w14:prstDash w14:val="solid"/>
                  <w14:bevel/>
                </w14:textOutline>
              </w:rPr>
            </w:pPr>
            <w:r w:rsidRPr="00485F96">
              <w:rPr>
                <w:sz w:val="20"/>
              </w:rPr>
              <w:t>766 992</w:t>
            </w:r>
          </w:p>
        </w:tc>
        <w:tc>
          <w:tcPr>
            <w:tcW w:w="1329"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1D78DAAE" w14:textId="77777777" w:rsidR="00EF304C" w:rsidRPr="00485F96" w:rsidRDefault="00EF304C" w:rsidP="00880435">
            <w:pPr>
              <w:widowControl/>
              <w:jc w:val="center"/>
              <w:rPr>
                <w:sz w:val="20"/>
                <w14:textOutline w14:w="0" w14:cap="flat" w14:cmpd="sng" w14:algn="ctr">
                  <w14:noFill/>
                  <w14:prstDash w14:val="solid"/>
                  <w14:bevel/>
                </w14:textOutline>
              </w:rPr>
            </w:pPr>
            <w:r w:rsidRPr="00485F96">
              <w:rPr>
                <w:sz w:val="20"/>
              </w:rPr>
              <w:t>5 726 982</w:t>
            </w:r>
          </w:p>
        </w:tc>
        <w:tc>
          <w:tcPr>
            <w:tcW w:w="97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4069FB62" w14:textId="77777777" w:rsidR="00EF304C" w:rsidRPr="00485F96" w:rsidRDefault="00EF304C" w:rsidP="00880435">
            <w:pPr>
              <w:widowControl/>
              <w:jc w:val="center"/>
              <w:rPr>
                <w:sz w:val="20"/>
                <w14:textOutline w14:w="0" w14:cap="flat" w14:cmpd="sng" w14:algn="ctr">
                  <w14:noFill/>
                  <w14:prstDash w14:val="solid"/>
                  <w14:bevel/>
                </w14:textOutline>
              </w:rPr>
            </w:pPr>
            <w:r w:rsidRPr="00485F96">
              <w:rPr>
                <w:sz w:val="20"/>
              </w:rPr>
              <w:t>6 493 974</w:t>
            </w:r>
          </w:p>
        </w:tc>
        <w:tc>
          <w:tcPr>
            <w:tcW w:w="1417"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3CDDC4F4" w14:textId="77777777" w:rsidR="00EF304C" w:rsidRPr="00485F96" w:rsidRDefault="00EF304C" w:rsidP="00880435">
            <w:pPr>
              <w:widowControl/>
              <w:jc w:val="center"/>
              <w:rPr>
                <w:sz w:val="20"/>
                <w14:textOutline w14:w="0" w14:cap="flat" w14:cmpd="sng" w14:algn="ctr">
                  <w14:noFill/>
                  <w14:prstDash w14:val="solid"/>
                  <w14:bevel/>
                </w14:textOutline>
              </w:rPr>
            </w:pPr>
            <w:r w:rsidRPr="00485F96">
              <w:rPr>
                <w:sz w:val="20"/>
              </w:rPr>
              <w:t>90 %</w:t>
            </w:r>
          </w:p>
        </w:tc>
        <w:tc>
          <w:tcPr>
            <w:tcW w:w="1258" w:type="dxa"/>
            <w:tcBorders>
              <w:top w:val="nil"/>
              <w:left w:val="single" w:sz="4" w:space="0" w:color="auto"/>
              <w:bottom w:val="single" w:sz="4" w:space="0" w:color="auto"/>
              <w:right w:val="single" w:sz="8" w:space="0" w:color="auto"/>
            </w:tcBorders>
            <w:shd w:val="clear" w:color="auto" w:fill="auto"/>
            <w:tcMar>
              <w:top w:w="80" w:type="dxa"/>
              <w:left w:w="80" w:type="dxa"/>
              <w:bottom w:w="80" w:type="dxa"/>
              <w:right w:w="80" w:type="dxa"/>
            </w:tcMar>
            <w:vAlign w:val="center"/>
          </w:tcPr>
          <w:p w14:paraId="22D9A321" w14:textId="77777777" w:rsidR="00EF304C" w:rsidRPr="00485F96" w:rsidRDefault="00EF304C" w:rsidP="00880435">
            <w:pPr>
              <w:widowControl/>
              <w:jc w:val="center"/>
              <w:rPr>
                <w:sz w:val="20"/>
                <w14:textOutline w14:w="0" w14:cap="flat" w14:cmpd="sng" w14:algn="ctr">
                  <w14:noFill/>
                  <w14:prstDash w14:val="solid"/>
                  <w14:bevel/>
                </w14:textOutline>
              </w:rPr>
            </w:pPr>
            <w:r w:rsidRPr="00485F96">
              <w:rPr>
                <w:sz w:val="20"/>
              </w:rPr>
              <w:t>414 768</w:t>
            </w:r>
          </w:p>
        </w:tc>
      </w:tr>
      <w:tr w:rsidR="00EF304C" w:rsidRPr="00485F96" w14:paraId="1484AE41" w14:textId="77777777" w:rsidTr="00880435">
        <w:trPr>
          <w:trHeight w:val="339"/>
        </w:trPr>
        <w:tc>
          <w:tcPr>
            <w:tcW w:w="1691" w:type="dxa"/>
            <w:tcBorders>
              <w:top w:val="single" w:sz="4" w:space="0" w:color="000000" w:themeColor="text1"/>
              <w:left w:val="single" w:sz="8"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tcPr>
          <w:p w14:paraId="36856FAC" w14:textId="77777777" w:rsidR="00EF304C" w:rsidRPr="00485F96" w:rsidRDefault="00EF304C" w:rsidP="00880435">
            <w:pPr>
              <w:widowControl/>
              <w:jc w:val="center"/>
              <w:rPr>
                <w:sz w:val="20"/>
                <w14:textOutline w14:w="0" w14:cap="flat" w14:cmpd="sng" w14:algn="ctr">
                  <w14:noFill/>
                  <w14:prstDash w14:val="solid"/>
                  <w14:bevel/>
                </w14:textOutline>
              </w:rPr>
            </w:pPr>
            <w:r w:rsidRPr="00485F96">
              <w:rPr>
                <w:sz w:val="20"/>
                <w14:textOutline w14:w="0" w14:cap="flat" w14:cmpd="sng" w14:algn="ctr">
                  <w14:noFill/>
                  <w14:prstDash w14:val="solid"/>
                  <w14:bevel/>
                </w14:textOutline>
              </w:rPr>
              <w:t>Europejska Partia Zielonych</w:t>
            </w:r>
          </w:p>
        </w:tc>
        <w:tc>
          <w:tcPr>
            <w:tcW w:w="1276"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3819D893" w14:textId="77777777" w:rsidR="00EF304C" w:rsidRPr="00485F96" w:rsidRDefault="00EF304C" w:rsidP="00880435">
            <w:pPr>
              <w:widowControl/>
              <w:jc w:val="center"/>
              <w:rPr>
                <w:sz w:val="20"/>
                <w14:textOutline w14:w="0" w14:cap="flat" w14:cmpd="sng" w14:algn="ctr">
                  <w14:noFill/>
                  <w14:prstDash w14:val="solid"/>
                  <w14:bevel/>
                </w14:textOutline>
              </w:rPr>
            </w:pPr>
            <w:r w:rsidRPr="00485F96">
              <w:rPr>
                <w:sz w:val="20"/>
                <w14:textOutline w14:w="0" w14:cap="flat" w14:cmpd="sng" w14:algn="ctr">
                  <w14:noFill/>
                  <w14:prstDash w14:val="solid"/>
                  <w14:bevel/>
                </w14:textOutline>
              </w:rPr>
              <w:t>EPZ</w:t>
            </w:r>
          </w:p>
        </w:tc>
        <w:tc>
          <w:tcPr>
            <w:tcW w:w="1134"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529656FE" w14:textId="77777777" w:rsidR="00EF304C" w:rsidRPr="00485F96" w:rsidRDefault="00EF304C" w:rsidP="00880435">
            <w:pPr>
              <w:widowControl/>
              <w:jc w:val="center"/>
              <w:rPr>
                <w:sz w:val="20"/>
                <w14:textOutline w14:w="0" w14:cap="flat" w14:cmpd="sng" w14:algn="ctr">
                  <w14:noFill/>
                  <w14:prstDash w14:val="solid"/>
                  <w14:bevel/>
                </w14:textOutline>
              </w:rPr>
            </w:pPr>
            <w:r w:rsidRPr="00485F96">
              <w:rPr>
                <w:sz w:val="20"/>
              </w:rPr>
              <w:t>713 874</w:t>
            </w:r>
          </w:p>
        </w:tc>
        <w:tc>
          <w:tcPr>
            <w:tcW w:w="1329"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6C943513" w14:textId="77777777" w:rsidR="00EF304C" w:rsidRPr="00485F96" w:rsidRDefault="00EF304C" w:rsidP="00880435">
            <w:pPr>
              <w:widowControl/>
              <w:jc w:val="center"/>
              <w:rPr>
                <w:sz w:val="20"/>
                <w14:textOutline w14:w="0" w14:cap="flat" w14:cmpd="sng" w14:algn="ctr">
                  <w14:noFill/>
                  <w14:prstDash w14:val="solid"/>
                  <w14:bevel/>
                </w14:textOutline>
              </w:rPr>
            </w:pPr>
            <w:r w:rsidRPr="00485F96">
              <w:rPr>
                <w:sz w:val="20"/>
              </w:rPr>
              <w:t>6 020 217</w:t>
            </w:r>
          </w:p>
        </w:tc>
        <w:tc>
          <w:tcPr>
            <w:tcW w:w="97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0CC4FBD6" w14:textId="77777777" w:rsidR="00EF304C" w:rsidRPr="00485F96" w:rsidRDefault="00EF304C" w:rsidP="00880435">
            <w:pPr>
              <w:widowControl/>
              <w:jc w:val="center"/>
              <w:rPr>
                <w:sz w:val="20"/>
                <w14:textOutline w14:w="0" w14:cap="flat" w14:cmpd="sng" w14:algn="ctr">
                  <w14:noFill/>
                  <w14:prstDash w14:val="solid"/>
                  <w14:bevel/>
                </w14:textOutline>
              </w:rPr>
            </w:pPr>
            <w:r w:rsidRPr="00485F96">
              <w:rPr>
                <w:sz w:val="20"/>
              </w:rPr>
              <w:t>6 734 091</w:t>
            </w:r>
          </w:p>
        </w:tc>
        <w:tc>
          <w:tcPr>
            <w:tcW w:w="1417"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7BFE03CD" w14:textId="77777777" w:rsidR="00EF304C" w:rsidRPr="00485F96" w:rsidRDefault="00EF304C" w:rsidP="00880435">
            <w:pPr>
              <w:widowControl/>
              <w:jc w:val="center"/>
              <w:rPr>
                <w:sz w:val="20"/>
                <w14:textOutline w14:w="0" w14:cap="flat" w14:cmpd="sng" w14:algn="ctr">
                  <w14:noFill/>
                  <w14:prstDash w14:val="solid"/>
                  <w14:bevel/>
                </w14:textOutline>
              </w:rPr>
            </w:pPr>
            <w:r w:rsidRPr="00485F96">
              <w:rPr>
                <w:sz w:val="20"/>
              </w:rPr>
              <w:t>90 %</w:t>
            </w:r>
          </w:p>
        </w:tc>
        <w:tc>
          <w:tcPr>
            <w:tcW w:w="1258" w:type="dxa"/>
            <w:tcBorders>
              <w:top w:val="nil"/>
              <w:left w:val="single" w:sz="4" w:space="0" w:color="auto"/>
              <w:bottom w:val="single" w:sz="4" w:space="0" w:color="auto"/>
              <w:right w:val="single" w:sz="8" w:space="0" w:color="auto"/>
            </w:tcBorders>
            <w:shd w:val="clear" w:color="auto" w:fill="auto"/>
            <w:tcMar>
              <w:top w:w="80" w:type="dxa"/>
              <w:left w:w="80" w:type="dxa"/>
              <w:bottom w:w="80" w:type="dxa"/>
              <w:right w:w="80" w:type="dxa"/>
            </w:tcMar>
            <w:vAlign w:val="center"/>
          </w:tcPr>
          <w:p w14:paraId="5AE4BF1D" w14:textId="77777777" w:rsidR="00EF304C" w:rsidRPr="00485F96" w:rsidRDefault="00EF304C" w:rsidP="00880435">
            <w:pPr>
              <w:widowControl/>
              <w:jc w:val="center"/>
              <w:rPr>
                <w:sz w:val="20"/>
                <w14:textOutline w14:w="0" w14:cap="flat" w14:cmpd="sng" w14:algn="ctr">
                  <w14:noFill/>
                  <w14:prstDash w14:val="solid"/>
                  <w14:bevel/>
                </w14:textOutline>
              </w:rPr>
            </w:pPr>
            <w:r w:rsidRPr="00485F96">
              <w:rPr>
                <w:sz w:val="20"/>
              </w:rPr>
              <w:t>993 646</w:t>
            </w:r>
          </w:p>
        </w:tc>
      </w:tr>
      <w:tr w:rsidR="00EF304C" w:rsidRPr="00485F96" w14:paraId="5A4FBAAD" w14:textId="77777777" w:rsidTr="00880435">
        <w:trPr>
          <w:trHeight w:val="339"/>
        </w:trPr>
        <w:tc>
          <w:tcPr>
            <w:tcW w:w="1691" w:type="dxa"/>
            <w:tcBorders>
              <w:top w:val="single" w:sz="4" w:space="0" w:color="000000" w:themeColor="text1"/>
              <w:left w:val="single" w:sz="8"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tcPr>
          <w:p w14:paraId="411DAA9C" w14:textId="77777777" w:rsidR="00EF304C" w:rsidRPr="00485F96" w:rsidRDefault="00EF304C" w:rsidP="00880435">
            <w:pPr>
              <w:widowControl/>
              <w:jc w:val="center"/>
              <w:rPr>
                <w:sz w:val="20"/>
                <w14:textOutline w14:w="0" w14:cap="flat" w14:cmpd="sng" w14:algn="ctr">
                  <w14:noFill/>
                  <w14:prstDash w14:val="solid"/>
                  <w14:bevel/>
                </w14:textOutline>
              </w:rPr>
            </w:pPr>
            <w:r w:rsidRPr="00485F96">
              <w:rPr>
                <w:sz w:val="20"/>
                <w14:textOutline w14:w="0" w14:cap="flat" w14:cmpd="sng" w14:algn="ctr">
                  <w14:noFill/>
                  <w14:prstDash w14:val="solid"/>
                  <w14:bevel/>
                </w14:textOutline>
              </w:rPr>
              <w:t>Partia Europejskich Konserwatystów i Reformatorów</w:t>
            </w:r>
          </w:p>
        </w:tc>
        <w:tc>
          <w:tcPr>
            <w:tcW w:w="1276"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2A2708F3" w14:textId="77777777" w:rsidR="00EF304C" w:rsidRPr="00485F96" w:rsidRDefault="00EF304C" w:rsidP="00880435">
            <w:pPr>
              <w:widowControl/>
              <w:jc w:val="center"/>
              <w:rPr>
                <w:sz w:val="20"/>
                <w14:textOutline w14:w="0" w14:cap="flat" w14:cmpd="sng" w14:algn="ctr">
                  <w14:noFill/>
                  <w14:prstDash w14:val="solid"/>
                  <w14:bevel/>
                </w14:textOutline>
              </w:rPr>
            </w:pPr>
            <w:r w:rsidRPr="00485F96">
              <w:rPr>
                <w:sz w:val="20"/>
                <w14:textOutline w14:w="0" w14:cap="flat" w14:cmpd="sng" w14:algn="ctr">
                  <w14:noFill/>
                  <w14:prstDash w14:val="solid"/>
                  <w14:bevel/>
                </w14:textOutline>
              </w:rPr>
              <w:t>Partia ECR</w:t>
            </w:r>
          </w:p>
        </w:tc>
        <w:tc>
          <w:tcPr>
            <w:tcW w:w="1134"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368F29CB" w14:textId="77777777" w:rsidR="00EF304C" w:rsidRPr="00485F96" w:rsidRDefault="00EF304C" w:rsidP="00880435">
            <w:pPr>
              <w:widowControl/>
              <w:jc w:val="center"/>
              <w:rPr>
                <w:sz w:val="20"/>
                <w14:textOutline w14:w="0" w14:cap="flat" w14:cmpd="sng" w14:algn="ctr">
                  <w14:noFill/>
                  <w14:prstDash w14:val="solid"/>
                  <w14:bevel/>
                </w14:textOutline>
              </w:rPr>
            </w:pPr>
            <w:r w:rsidRPr="00485F96">
              <w:rPr>
                <w:sz w:val="20"/>
              </w:rPr>
              <w:t>780 974</w:t>
            </w:r>
          </w:p>
        </w:tc>
        <w:tc>
          <w:tcPr>
            <w:tcW w:w="1329"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2D433095" w14:textId="77777777" w:rsidR="00EF304C" w:rsidRPr="00485F96" w:rsidRDefault="00EF304C" w:rsidP="00880435">
            <w:pPr>
              <w:widowControl/>
              <w:jc w:val="center"/>
              <w:rPr>
                <w:sz w:val="20"/>
                <w14:textOutline w14:w="0" w14:cap="flat" w14:cmpd="sng" w14:algn="ctr">
                  <w14:noFill/>
                  <w14:prstDash w14:val="solid"/>
                  <w14:bevel/>
                </w14:textOutline>
              </w:rPr>
            </w:pPr>
            <w:r w:rsidRPr="00485F96">
              <w:rPr>
                <w:sz w:val="20"/>
              </w:rPr>
              <w:t>3 430 937</w:t>
            </w:r>
          </w:p>
        </w:tc>
        <w:tc>
          <w:tcPr>
            <w:tcW w:w="97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05AB83D2" w14:textId="77777777" w:rsidR="00EF304C" w:rsidRPr="00485F96" w:rsidRDefault="00EF304C" w:rsidP="00880435">
            <w:pPr>
              <w:widowControl/>
              <w:jc w:val="center"/>
              <w:rPr>
                <w:sz w:val="20"/>
                <w14:textOutline w14:w="0" w14:cap="flat" w14:cmpd="sng" w14:algn="ctr">
                  <w14:noFill/>
                  <w14:prstDash w14:val="solid"/>
                  <w14:bevel/>
                </w14:textOutline>
              </w:rPr>
            </w:pPr>
            <w:r w:rsidRPr="00485F96">
              <w:rPr>
                <w:sz w:val="20"/>
              </w:rPr>
              <w:t>4 211 911</w:t>
            </w:r>
          </w:p>
        </w:tc>
        <w:tc>
          <w:tcPr>
            <w:tcW w:w="1417"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1FECD1E7" w14:textId="77777777" w:rsidR="00EF304C" w:rsidRPr="00485F96" w:rsidRDefault="00EF304C" w:rsidP="00880435">
            <w:pPr>
              <w:widowControl/>
              <w:jc w:val="center"/>
              <w:rPr>
                <w:sz w:val="20"/>
                <w14:textOutline w14:w="0" w14:cap="flat" w14:cmpd="sng" w14:algn="ctr">
                  <w14:noFill/>
                  <w14:prstDash w14:val="solid"/>
                  <w14:bevel/>
                </w14:textOutline>
              </w:rPr>
            </w:pPr>
            <w:r w:rsidRPr="00485F96">
              <w:rPr>
                <w:sz w:val="20"/>
              </w:rPr>
              <w:t>90 %</w:t>
            </w:r>
          </w:p>
        </w:tc>
        <w:tc>
          <w:tcPr>
            <w:tcW w:w="1258" w:type="dxa"/>
            <w:tcBorders>
              <w:top w:val="nil"/>
              <w:left w:val="single" w:sz="4" w:space="0" w:color="auto"/>
              <w:bottom w:val="single" w:sz="4" w:space="0" w:color="auto"/>
              <w:right w:val="single" w:sz="8" w:space="0" w:color="auto"/>
            </w:tcBorders>
            <w:shd w:val="clear" w:color="auto" w:fill="auto"/>
            <w:tcMar>
              <w:top w:w="80" w:type="dxa"/>
              <w:left w:w="80" w:type="dxa"/>
              <w:bottom w:w="80" w:type="dxa"/>
              <w:right w:w="80" w:type="dxa"/>
            </w:tcMar>
            <w:vAlign w:val="center"/>
          </w:tcPr>
          <w:p w14:paraId="5B3D50C0" w14:textId="77777777" w:rsidR="00EF304C" w:rsidRPr="00485F96" w:rsidRDefault="00EF304C" w:rsidP="00880435">
            <w:pPr>
              <w:widowControl/>
              <w:jc w:val="center"/>
              <w:rPr>
                <w:sz w:val="20"/>
                <w14:textOutline w14:w="0" w14:cap="flat" w14:cmpd="sng" w14:algn="ctr">
                  <w14:noFill/>
                  <w14:prstDash w14:val="solid"/>
                  <w14:bevel/>
                </w14:textOutline>
              </w:rPr>
            </w:pPr>
            <w:r w:rsidRPr="00485F96">
              <w:rPr>
                <w:sz w:val="20"/>
              </w:rPr>
              <w:t>-273 939</w:t>
            </w:r>
          </w:p>
        </w:tc>
      </w:tr>
      <w:tr w:rsidR="00EF304C" w:rsidRPr="00485F96" w14:paraId="60837477" w14:textId="77777777" w:rsidTr="00880435">
        <w:trPr>
          <w:trHeight w:val="339"/>
        </w:trPr>
        <w:tc>
          <w:tcPr>
            <w:tcW w:w="1691" w:type="dxa"/>
            <w:tcBorders>
              <w:top w:val="single" w:sz="4" w:space="0" w:color="000000" w:themeColor="text1"/>
              <w:left w:val="single" w:sz="8"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tcPr>
          <w:p w14:paraId="3FB97263" w14:textId="77777777" w:rsidR="00EF304C" w:rsidRPr="00485F96" w:rsidRDefault="00EF304C" w:rsidP="00880435">
            <w:pPr>
              <w:widowControl/>
              <w:jc w:val="center"/>
              <w:rPr>
                <w:sz w:val="20"/>
                <w14:textOutline w14:w="0" w14:cap="flat" w14:cmpd="sng" w14:algn="ctr">
                  <w14:noFill/>
                  <w14:prstDash w14:val="solid"/>
                  <w14:bevel/>
                </w14:textOutline>
              </w:rPr>
            </w:pPr>
            <w:r w:rsidRPr="00485F96">
              <w:rPr>
                <w:sz w:val="20"/>
                <w14:textOutline w14:w="0" w14:cap="flat" w14:cmpd="sng" w14:algn="ctr">
                  <w14:noFill/>
                  <w14:prstDash w14:val="solid"/>
                  <w14:bevel/>
                </w14:textOutline>
              </w:rPr>
              <w:t>Partia ds. Tożsamości i Demokracji</w:t>
            </w:r>
            <w:r w:rsidRPr="00485F96">
              <w:rPr>
                <w:rStyle w:val="FootnoteReference"/>
                <w:sz w:val="20"/>
              </w:rPr>
              <w:footnoteReference w:id="16"/>
            </w:r>
          </w:p>
        </w:tc>
        <w:tc>
          <w:tcPr>
            <w:tcW w:w="1276"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48661D40" w14:textId="77777777" w:rsidR="00EF304C" w:rsidRPr="00485F96" w:rsidRDefault="00EF304C" w:rsidP="00880435">
            <w:pPr>
              <w:widowControl/>
              <w:jc w:val="center"/>
              <w:rPr>
                <w:sz w:val="20"/>
                <w14:textOutline w14:w="0" w14:cap="flat" w14:cmpd="sng" w14:algn="ctr">
                  <w14:noFill/>
                  <w14:prstDash w14:val="solid"/>
                  <w14:bevel/>
                </w14:textOutline>
              </w:rPr>
            </w:pPr>
            <w:r w:rsidRPr="00485F96">
              <w:rPr>
                <w:sz w:val="20"/>
                <w14:textOutline w14:w="0" w14:cap="flat" w14:cmpd="sng" w14:algn="ctr">
                  <w14:noFill/>
                  <w14:prstDash w14:val="solid"/>
                  <w14:bevel/>
                </w14:textOutline>
              </w:rPr>
              <w:t>Partia ID</w:t>
            </w:r>
          </w:p>
        </w:tc>
        <w:tc>
          <w:tcPr>
            <w:tcW w:w="1134"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107CFF90" w14:textId="77777777" w:rsidR="00EF304C" w:rsidRPr="00485F96" w:rsidRDefault="00EF304C" w:rsidP="00880435">
            <w:pPr>
              <w:widowControl/>
              <w:jc w:val="center"/>
              <w:rPr>
                <w:sz w:val="20"/>
                <w14:textOutline w14:w="0" w14:cap="flat" w14:cmpd="sng" w14:algn="ctr">
                  <w14:noFill/>
                  <w14:prstDash w14:val="solid"/>
                  <w14:bevel/>
                </w14:textOutline>
              </w:rPr>
            </w:pPr>
            <w:r w:rsidRPr="00485F96">
              <w:rPr>
                <w:sz w:val="20"/>
              </w:rPr>
              <w:t>219 813</w:t>
            </w:r>
          </w:p>
        </w:tc>
        <w:tc>
          <w:tcPr>
            <w:tcW w:w="1329"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2664EC97" w14:textId="77777777" w:rsidR="00EF304C" w:rsidRPr="00485F96" w:rsidRDefault="00EF304C" w:rsidP="00880435">
            <w:pPr>
              <w:widowControl/>
              <w:jc w:val="center"/>
              <w:rPr>
                <w:sz w:val="20"/>
                <w14:textOutline w14:w="0" w14:cap="flat" w14:cmpd="sng" w14:algn="ctr">
                  <w14:noFill/>
                  <w14:prstDash w14:val="solid"/>
                  <w14:bevel/>
                </w14:textOutline>
              </w:rPr>
            </w:pPr>
            <w:r w:rsidRPr="00485F96">
              <w:rPr>
                <w:sz w:val="20"/>
              </w:rPr>
              <w:t>1 323 019</w:t>
            </w:r>
          </w:p>
        </w:tc>
        <w:tc>
          <w:tcPr>
            <w:tcW w:w="97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08D515F4" w14:textId="77777777" w:rsidR="00EF304C" w:rsidRPr="00485F96" w:rsidRDefault="00EF304C" w:rsidP="00880435">
            <w:pPr>
              <w:widowControl/>
              <w:jc w:val="center"/>
              <w:rPr>
                <w:sz w:val="20"/>
                <w14:textOutline w14:w="0" w14:cap="flat" w14:cmpd="sng" w14:algn="ctr">
                  <w14:noFill/>
                  <w14:prstDash w14:val="solid"/>
                  <w14:bevel/>
                </w14:textOutline>
              </w:rPr>
            </w:pPr>
            <w:r w:rsidRPr="00485F96">
              <w:rPr>
                <w:sz w:val="20"/>
              </w:rPr>
              <w:t>1 542 832</w:t>
            </w:r>
          </w:p>
        </w:tc>
        <w:tc>
          <w:tcPr>
            <w:tcW w:w="1417"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71B7F4D9" w14:textId="77777777" w:rsidR="00EF304C" w:rsidRPr="00485F96" w:rsidRDefault="00EF304C" w:rsidP="00880435">
            <w:pPr>
              <w:widowControl/>
              <w:jc w:val="center"/>
              <w:rPr>
                <w:sz w:val="20"/>
                <w14:textOutline w14:w="0" w14:cap="flat" w14:cmpd="sng" w14:algn="ctr">
                  <w14:noFill/>
                  <w14:prstDash w14:val="solid"/>
                  <w14:bevel/>
                </w14:textOutline>
              </w:rPr>
            </w:pPr>
            <w:r w:rsidRPr="00485F96">
              <w:rPr>
                <w:sz w:val="20"/>
              </w:rPr>
              <w:t>90 %</w:t>
            </w:r>
          </w:p>
        </w:tc>
        <w:tc>
          <w:tcPr>
            <w:tcW w:w="1258" w:type="dxa"/>
            <w:tcBorders>
              <w:top w:val="nil"/>
              <w:left w:val="single" w:sz="4" w:space="0" w:color="auto"/>
              <w:bottom w:val="single" w:sz="4" w:space="0" w:color="auto"/>
              <w:right w:val="single" w:sz="8" w:space="0" w:color="auto"/>
            </w:tcBorders>
            <w:shd w:val="clear" w:color="auto" w:fill="auto"/>
            <w:tcMar>
              <w:top w:w="80" w:type="dxa"/>
              <w:left w:w="80" w:type="dxa"/>
              <w:bottom w:w="80" w:type="dxa"/>
              <w:right w:w="80" w:type="dxa"/>
            </w:tcMar>
            <w:vAlign w:val="center"/>
          </w:tcPr>
          <w:p w14:paraId="3939266A" w14:textId="77777777" w:rsidR="00EF304C" w:rsidRPr="00485F96" w:rsidRDefault="00EF304C" w:rsidP="00880435">
            <w:pPr>
              <w:widowControl/>
              <w:jc w:val="center"/>
              <w:rPr>
                <w:sz w:val="20"/>
                <w14:textOutline w14:w="0" w14:cap="flat" w14:cmpd="sng" w14:algn="ctr">
                  <w14:noFill/>
                  <w14:prstDash w14:val="solid"/>
                  <w14:bevel/>
                </w14:textOutline>
              </w:rPr>
            </w:pPr>
            <w:r w:rsidRPr="00485F96">
              <w:rPr>
                <w:sz w:val="20"/>
              </w:rPr>
              <w:t>22 063</w:t>
            </w:r>
          </w:p>
        </w:tc>
      </w:tr>
      <w:tr w:rsidR="00EF304C" w:rsidRPr="00485F96" w14:paraId="36C711A2" w14:textId="77777777" w:rsidTr="00880435">
        <w:trPr>
          <w:trHeight w:val="339"/>
        </w:trPr>
        <w:tc>
          <w:tcPr>
            <w:tcW w:w="1691" w:type="dxa"/>
            <w:tcBorders>
              <w:top w:val="single" w:sz="4" w:space="0" w:color="000000" w:themeColor="text1"/>
              <w:left w:val="single" w:sz="8"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tcPr>
          <w:p w14:paraId="2E17EFC5" w14:textId="77777777" w:rsidR="00EF304C" w:rsidRPr="00485F96" w:rsidRDefault="00EF304C" w:rsidP="00880435">
            <w:pPr>
              <w:widowControl/>
              <w:jc w:val="center"/>
              <w:rPr>
                <w:sz w:val="20"/>
                <w14:textOutline w14:w="0" w14:cap="flat" w14:cmpd="sng" w14:algn="ctr">
                  <w14:noFill/>
                  <w14:prstDash w14:val="solid"/>
                  <w14:bevel/>
                </w14:textOutline>
              </w:rPr>
            </w:pPr>
            <w:r w:rsidRPr="00485F96">
              <w:rPr>
                <w:sz w:val="20"/>
                <w14:textOutline w14:w="0" w14:cap="flat" w14:cmpd="sng" w14:algn="ctr">
                  <w14:noFill/>
                  <w14:prstDash w14:val="solid"/>
                  <w14:bevel/>
                </w14:textOutline>
              </w:rPr>
              <w:t>Europejska Partia Lewicy</w:t>
            </w:r>
          </w:p>
        </w:tc>
        <w:tc>
          <w:tcPr>
            <w:tcW w:w="1276"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675619AD" w14:textId="77777777" w:rsidR="00EF304C" w:rsidRPr="00485F96" w:rsidRDefault="00EF304C" w:rsidP="00880435">
            <w:pPr>
              <w:widowControl/>
              <w:jc w:val="center"/>
              <w:rPr>
                <w:sz w:val="20"/>
                <w14:textOutline w14:w="0" w14:cap="flat" w14:cmpd="sng" w14:algn="ctr">
                  <w14:noFill/>
                  <w14:prstDash w14:val="solid"/>
                  <w14:bevel/>
                </w14:textOutline>
              </w:rPr>
            </w:pPr>
            <w:r w:rsidRPr="00485F96">
              <w:rPr>
                <w:sz w:val="20"/>
                <w14:textOutline w14:w="0" w14:cap="flat" w14:cmpd="sng" w14:algn="ctr">
                  <w14:noFill/>
                  <w14:prstDash w14:val="solid"/>
                  <w14:bevel/>
                </w14:textOutline>
              </w:rPr>
              <w:t>EL</w:t>
            </w:r>
          </w:p>
        </w:tc>
        <w:tc>
          <w:tcPr>
            <w:tcW w:w="1134"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6D23FC21" w14:textId="77777777" w:rsidR="00EF304C" w:rsidRPr="00485F96" w:rsidRDefault="00EF304C" w:rsidP="00880435">
            <w:pPr>
              <w:widowControl/>
              <w:jc w:val="center"/>
              <w:rPr>
                <w:sz w:val="20"/>
                <w14:textOutline w14:w="0" w14:cap="flat" w14:cmpd="sng" w14:algn="ctr">
                  <w14:noFill/>
                  <w14:prstDash w14:val="solid"/>
                  <w14:bevel/>
                </w14:textOutline>
              </w:rPr>
            </w:pPr>
            <w:r w:rsidRPr="00485F96">
              <w:rPr>
                <w:sz w:val="20"/>
              </w:rPr>
              <w:t>211 643</w:t>
            </w:r>
          </w:p>
        </w:tc>
        <w:tc>
          <w:tcPr>
            <w:tcW w:w="1329"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188C689D" w14:textId="77777777" w:rsidR="00EF304C" w:rsidRPr="00485F96" w:rsidRDefault="00EF304C" w:rsidP="00880435">
            <w:pPr>
              <w:widowControl/>
              <w:jc w:val="center"/>
              <w:rPr>
                <w:sz w:val="20"/>
                <w14:textOutline w14:w="0" w14:cap="flat" w14:cmpd="sng" w14:algn="ctr">
                  <w14:noFill/>
                  <w14:prstDash w14:val="solid"/>
                  <w14:bevel/>
                </w14:textOutline>
              </w:rPr>
            </w:pPr>
            <w:r w:rsidRPr="00485F96">
              <w:rPr>
                <w:sz w:val="20"/>
              </w:rPr>
              <w:t>2 095 650</w:t>
            </w:r>
          </w:p>
        </w:tc>
        <w:tc>
          <w:tcPr>
            <w:tcW w:w="97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5D9614CB" w14:textId="77777777" w:rsidR="00EF304C" w:rsidRPr="00485F96" w:rsidRDefault="00EF304C" w:rsidP="00880435">
            <w:pPr>
              <w:widowControl/>
              <w:jc w:val="center"/>
              <w:rPr>
                <w:sz w:val="20"/>
                <w14:textOutline w14:w="0" w14:cap="flat" w14:cmpd="sng" w14:algn="ctr">
                  <w14:noFill/>
                  <w14:prstDash w14:val="solid"/>
                  <w14:bevel/>
                </w14:textOutline>
              </w:rPr>
            </w:pPr>
            <w:r w:rsidRPr="00485F96">
              <w:rPr>
                <w:sz w:val="20"/>
              </w:rPr>
              <w:t>2 307 293</w:t>
            </w:r>
          </w:p>
        </w:tc>
        <w:tc>
          <w:tcPr>
            <w:tcW w:w="1417"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61A88DB4" w14:textId="77777777" w:rsidR="00EF304C" w:rsidRPr="00485F96" w:rsidRDefault="00EF304C" w:rsidP="00880435">
            <w:pPr>
              <w:widowControl/>
              <w:jc w:val="center"/>
              <w:rPr>
                <w:sz w:val="20"/>
                <w14:textOutline w14:w="0" w14:cap="flat" w14:cmpd="sng" w14:algn="ctr">
                  <w14:noFill/>
                  <w14:prstDash w14:val="solid"/>
                  <w14:bevel/>
                </w14:textOutline>
              </w:rPr>
            </w:pPr>
            <w:r w:rsidRPr="00485F96">
              <w:rPr>
                <w:sz w:val="20"/>
              </w:rPr>
              <w:t>90 %</w:t>
            </w:r>
          </w:p>
        </w:tc>
        <w:tc>
          <w:tcPr>
            <w:tcW w:w="1258" w:type="dxa"/>
            <w:tcBorders>
              <w:top w:val="nil"/>
              <w:left w:val="single" w:sz="4" w:space="0" w:color="auto"/>
              <w:bottom w:val="single" w:sz="4" w:space="0" w:color="auto"/>
              <w:right w:val="single" w:sz="8" w:space="0" w:color="auto"/>
            </w:tcBorders>
            <w:shd w:val="clear" w:color="auto" w:fill="auto"/>
            <w:tcMar>
              <w:top w:w="80" w:type="dxa"/>
              <w:left w:w="80" w:type="dxa"/>
              <w:bottom w:w="80" w:type="dxa"/>
              <w:right w:w="80" w:type="dxa"/>
            </w:tcMar>
            <w:vAlign w:val="center"/>
          </w:tcPr>
          <w:p w14:paraId="1A512A0E" w14:textId="77777777" w:rsidR="00EF304C" w:rsidRPr="00485F96" w:rsidRDefault="00EF304C" w:rsidP="00880435">
            <w:pPr>
              <w:widowControl/>
              <w:jc w:val="center"/>
              <w:rPr>
                <w:sz w:val="20"/>
                <w14:textOutline w14:w="0" w14:cap="flat" w14:cmpd="sng" w14:algn="ctr">
                  <w14:noFill/>
                  <w14:prstDash w14:val="solid"/>
                  <w14:bevel/>
                </w14:textOutline>
              </w:rPr>
            </w:pPr>
            <w:r w:rsidRPr="00485F96">
              <w:rPr>
                <w:sz w:val="20"/>
              </w:rPr>
              <w:t>-42 833</w:t>
            </w:r>
          </w:p>
        </w:tc>
      </w:tr>
      <w:tr w:rsidR="00EF304C" w:rsidRPr="00485F96" w14:paraId="3C753AB3" w14:textId="77777777" w:rsidTr="00880435">
        <w:trPr>
          <w:trHeight w:val="339"/>
        </w:trPr>
        <w:tc>
          <w:tcPr>
            <w:tcW w:w="1691" w:type="dxa"/>
            <w:tcBorders>
              <w:top w:val="single" w:sz="4" w:space="0" w:color="000000" w:themeColor="text1"/>
              <w:left w:val="single" w:sz="8"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tcPr>
          <w:p w14:paraId="0DFC56AF" w14:textId="77777777" w:rsidR="00EF304C" w:rsidRPr="00485F96" w:rsidRDefault="00EF304C" w:rsidP="00880435">
            <w:pPr>
              <w:widowControl/>
              <w:jc w:val="center"/>
              <w:rPr>
                <w:sz w:val="20"/>
                <w14:textOutline w14:w="0" w14:cap="flat" w14:cmpd="sng" w14:algn="ctr">
                  <w14:noFill/>
                  <w14:prstDash w14:val="solid"/>
                  <w14:bevel/>
                </w14:textOutline>
              </w:rPr>
            </w:pPr>
            <w:r w:rsidRPr="00485F96">
              <w:rPr>
                <w:sz w:val="20"/>
                <w14:textOutline w14:w="0" w14:cap="flat" w14:cmpd="sng" w14:algn="ctr">
                  <w14:noFill/>
                  <w14:prstDash w14:val="solid"/>
                  <w14:bevel/>
                </w14:textOutline>
              </w:rPr>
              <w:t>Europejska Partia Demokratyczna</w:t>
            </w:r>
          </w:p>
        </w:tc>
        <w:tc>
          <w:tcPr>
            <w:tcW w:w="1276"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24964175" w14:textId="77777777" w:rsidR="00EF304C" w:rsidRPr="00485F96" w:rsidRDefault="00EF304C" w:rsidP="00880435">
            <w:pPr>
              <w:widowControl/>
              <w:jc w:val="center"/>
              <w:rPr>
                <w:sz w:val="20"/>
                <w14:textOutline w14:w="0" w14:cap="flat" w14:cmpd="sng" w14:algn="ctr">
                  <w14:noFill/>
                  <w14:prstDash w14:val="solid"/>
                  <w14:bevel/>
                </w14:textOutline>
              </w:rPr>
            </w:pPr>
            <w:r w:rsidRPr="00485F96">
              <w:rPr>
                <w:sz w:val="20"/>
                <w14:textOutline w14:w="0" w14:cap="flat" w14:cmpd="sng" w14:algn="ctr">
                  <w14:noFill/>
                  <w14:prstDash w14:val="solid"/>
                  <w14:bevel/>
                </w14:textOutline>
              </w:rPr>
              <w:t>EDP</w:t>
            </w:r>
          </w:p>
        </w:tc>
        <w:tc>
          <w:tcPr>
            <w:tcW w:w="1134"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3359DCBA" w14:textId="77777777" w:rsidR="00EF304C" w:rsidRPr="00485F96" w:rsidRDefault="00EF304C" w:rsidP="00880435">
            <w:pPr>
              <w:widowControl/>
              <w:jc w:val="center"/>
              <w:rPr>
                <w:sz w:val="20"/>
                <w14:textOutline w14:w="0" w14:cap="flat" w14:cmpd="sng" w14:algn="ctr">
                  <w14:noFill/>
                  <w14:prstDash w14:val="solid"/>
                  <w14:bevel/>
                </w14:textOutline>
              </w:rPr>
            </w:pPr>
            <w:r w:rsidRPr="00485F96">
              <w:rPr>
                <w:sz w:val="20"/>
              </w:rPr>
              <w:t>204 400</w:t>
            </w:r>
          </w:p>
        </w:tc>
        <w:tc>
          <w:tcPr>
            <w:tcW w:w="1329"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1975A064" w14:textId="77777777" w:rsidR="00EF304C" w:rsidRPr="00485F96" w:rsidRDefault="00EF304C" w:rsidP="00880435">
            <w:pPr>
              <w:widowControl/>
              <w:jc w:val="center"/>
              <w:rPr>
                <w:sz w:val="20"/>
                <w14:textOutline w14:w="0" w14:cap="flat" w14:cmpd="sng" w14:algn="ctr">
                  <w14:noFill/>
                  <w14:prstDash w14:val="solid"/>
                  <w14:bevel/>
                </w14:textOutline>
              </w:rPr>
            </w:pPr>
            <w:r w:rsidRPr="00485F96">
              <w:rPr>
                <w:sz w:val="20"/>
              </w:rPr>
              <w:t>1 650 075</w:t>
            </w:r>
          </w:p>
        </w:tc>
        <w:tc>
          <w:tcPr>
            <w:tcW w:w="97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5096E77B" w14:textId="77777777" w:rsidR="00EF304C" w:rsidRPr="00485F96" w:rsidRDefault="00EF304C" w:rsidP="00880435">
            <w:pPr>
              <w:widowControl/>
              <w:jc w:val="center"/>
              <w:rPr>
                <w:sz w:val="20"/>
                <w14:textOutline w14:w="0" w14:cap="flat" w14:cmpd="sng" w14:algn="ctr">
                  <w14:noFill/>
                  <w14:prstDash w14:val="solid"/>
                  <w14:bevel/>
                </w14:textOutline>
              </w:rPr>
            </w:pPr>
            <w:r w:rsidRPr="00485F96">
              <w:rPr>
                <w:sz w:val="20"/>
              </w:rPr>
              <w:t>1 854 475</w:t>
            </w:r>
          </w:p>
        </w:tc>
        <w:tc>
          <w:tcPr>
            <w:tcW w:w="1417"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483B3AA4" w14:textId="77777777" w:rsidR="00EF304C" w:rsidRPr="00485F96" w:rsidRDefault="00EF304C" w:rsidP="00880435">
            <w:pPr>
              <w:widowControl/>
              <w:jc w:val="center"/>
              <w:rPr>
                <w:sz w:val="20"/>
                <w14:textOutline w14:w="0" w14:cap="flat" w14:cmpd="sng" w14:algn="ctr">
                  <w14:noFill/>
                  <w14:prstDash w14:val="solid"/>
                  <w14:bevel/>
                </w14:textOutline>
              </w:rPr>
            </w:pPr>
            <w:r w:rsidRPr="00485F96">
              <w:rPr>
                <w:sz w:val="20"/>
              </w:rPr>
              <w:t>90 %</w:t>
            </w:r>
          </w:p>
        </w:tc>
        <w:tc>
          <w:tcPr>
            <w:tcW w:w="1258" w:type="dxa"/>
            <w:tcBorders>
              <w:top w:val="nil"/>
              <w:left w:val="single" w:sz="4" w:space="0" w:color="auto"/>
              <w:bottom w:val="single" w:sz="4" w:space="0" w:color="auto"/>
              <w:right w:val="single" w:sz="8" w:space="0" w:color="auto"/>
            </w:tcBorders>
            <w:shd w:val="clear" w:color="auto" w:fill="auto"/>
            <w:tcMar>
              <w:top w:w="80" w:type="dxa"/>
              <w:left w:w="80" w:type="dxa"/>
              <w:bottom w:w="80" w:type="dxa"/>
              <w:right w:w="80" w:type="dxa"/>
            </w:tcMar>
            <w:vAlign w:val="center"/>
          </w:tcPr>
          <w:p w14:paraId="23458111" w14:textId="77777777" w:rsidR="00EF304C" w:rsidRPr="00485F96" w:rsidRDefault="00EF304C" w:rsidP="00880435">
            <w:pPr>
              <w:widowControl/>
              <w:jc w:val="center"/>
              <w:rPr>
                <w:sz w:val="20"/>
                <w14:textOutline w14:w="0" w14:cap="flat" w14:cmpd="sng" w14:algn="ctr">
                  <w14:noFill/>
                  <w14:prstDash w14:val="solid"/>
                  <w14:bevel/>
                </w14:textOutline>
              </w:rPr>
            </w:pPr>
            <w:r w:rsidRPr="00485F96">
              <w:rPr>
                <w:sz w:val="20"/>
              </w:rPr>
              <w:t>154 132</w:t>
            </w:r>
          </w:p>
        </w:tc>
      </w:tr>
      <w:tr w:rsidR="00EF304C" w:rsidRPr="00485F96" w14:paraId="2D3E2C32" w14:textId="77777777" w:rsidTr="00880435">
        <w:trPr>
          <w:trHeight w:val="339"/>
        </w:trPr>
        <w:tc>
          <w:tcPr>
            <w:tcW w:w="1691" w:type="dxa"/>
            <w:tcBorders>
              <w:top w:val="single" w:sz="4" w:space="0" w:color="000000" w:themeColor="text1"/>
              <w:left w:val="single" w:sz="8"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hideMark/>
          </w:tcPr>
          <w:p w14:paraId="7859B07A" w14:textId="77777777" w:rsidR="00EF304C" w:rsidRPr="00485F96" w:rsidRDefault="00EF304C" w:rsidP="00880435">
            <w:pPr>
              <w:widowControl/>
              <w:jc w:val="center"/>
              <w:rPr>
                <w:sz w:val="20"/>
                <w14:textOutline w14:w="0" w14:cap="flat" w14:cmpd="sng" w14:algn="ctr">
                  <w14:noFill/>
                  <w14:prstDash w14:val="solid"/>
                  <w14:bevel/>
                </w14:textOutline>
              </w:rPr>
            </w:pPr>
            <w:r w:rsidRPr="00485F96">
              <w:rPr>
                <w:sz w:val="20"/>
                <w14:textOutline w14:w="0" w14:cap="flat" w14:cmpd="sng" w14:algn="ctr">
                  <w14:noFill/>
                  <w14:prstDash w14:val="solid"/>
                  <w14:bevel/>
                </w14:textOutline>
              </w:rPr>
              <w:t>Wolne Przymierze Europejskie</w:t>
            </w:r>
          </w:p>
        </w:tc>
        <w:tc>
          <w:tcPr>
            <w:tcW w:w="1276"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hideMark/>
          </w:tcPr>
          <w:p w14:paraId="23D43527" w14:textId="77777777" w:rsidR="00EF304C" w:rsidRPr="00485F96" w:rsidRDefault="00EF304C" w:rsidP="00880435">
            <w:pPr>
              <w:widowControl/>
              <w:jc w:val="center"/>
              <w:rPr>
                <w:sz w:val="20"/>
                <w14:textOutline w14:w="0" w14:cap="flat" w14:cmpd="sng" w14:algn="ctr">
                  <w14:noFill/>
                  <w14:prstDash w14:val="solid"/>
                  <w14:bevel/>
                </w14:textOutline>
              </w:rPr>
            </w:pPr>
            <w:r w:rsidRPr="00485F96">
              <w:rPr>
                <w:sz w:val="20"/>
                <w14:textOutline w14:w="0" w14:cap="flat" w14:cmpd="sng" w14:algn="ctr">
                  <w14:noFill/>
                  <w14:prstDash w14:val="solid"/>
                  <w14:bevel/>
                </w14:textOutline>
              </w:rPr>
              <w:t>ALE</w:t>
            </w:r>
          </w:p>
        </w:tc>
        <w:tc>
          <w:tcPr>
            <w:tcW w:w="1134"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1F07E453" w14:textId="77777777" w:rsidR="00EF304C" w:rsidRPr="00485F96" w:rsidRDefault="00EF304C" w:rsidP="00880435">
            <w:pPr>
              <w:widowControl/>
              <w:jc w:val="center"/>
              <w:rPr>
                <w:sz w:val="20"/>
                <w14:textOutline w14:w="0" w14:cap="flat" w14:cmpd="sng" w14:algn="ctr">
                  <w14:noFill/>
                  <w14:prstDash w14:val="solid"/>
                  <w14:bevel/>
                </w14:textOutline>
              </w:rPr>
            </w:pPr>
            <w:r w:rsidRPr="00485F96">
              <w:rPr>
                <w:sz w:val="20"/>
              </w:rPr>
              <w:t>232 056</w:t>
            </w:r>
          </w:p>
        </w:tc>
        <w:tc>
          <w:tcPr>
            <w:tcW w:w="1329"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0CCEFEC0" w14:textId="77777777" w:rsidR="00EF304C" w:rsidRPr="00485F96" w:rsidRDefault="00EF304C" w:rsidP="00880435">
            <w:pPr>
              <w:widowControl/>
              <w:jc w:val="center"/>
              <w:rPr>
                <w:sz w:val="20"/>
                <w14:textOutline w14:w="0" w14:cap="flat" w14:cmpd="sng" w14:algn="ctr">
                  <w14:noFill/>
                  <w14:prstDash w14:val="solid"/>
                  <w14:bevel/>
                </w14:textOutline>
              </w:rPr>
            </w:pPr>
            <w:r w:rsidRPr="00485F96">
              <w:rPr>
                <w:sz w:val="20"/>
              </w:rPr>
              <w:t>1 056 844</w:t>
            </w:r>
          </w:p>
        </w:tc>
        <w:tc>
          <w:tcPr>
            <w:tcW w:w="97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7C0FC0DF" w14:textId="77777777" w:rsidR="00EF304C" w:rsidRPr="00485F96" w:rsidRDefault="00EF304C" w:rsidP="00880435">
            <w:pPr>
              <w:widowControl/>
              <w:jc w:val="center"/>
              <w:rPr>
                <w:sz w:val="20"/>
                <w14:textOutline w14:w="0" w14:cap="flat" w14:cmpd="sng" w14:algn="ctr">
                  <w14:noFill/>
                  <w14:prstDash w14:val="solid"/>
                  <w14:bevel/>
                </w14:textOutline>
              </w:rPr>
            </w:pPr>
            <w:r w:rsidRPr="00485F96">
              <w:rPr>
                <w:sz w:val="20"/>
              </w:rPr>
              <w:t>1 288 899</w:t>
            </w:r>
          </w:p>
        </w:tc>
        <w:tc>
          <w:tcPr>
            <w:tcW w:w="1417"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036722E7" w14:textId="77777777" w:rsidR="00EF304C" w:rsidRPr="00485F96" w:rsidRDefault="00EF304C" w:rsidP="00880435">
            <w:pPr>
              <w:widowControl/>
              <w:jc w:val="center"/>
              <w:rPr>
                <w:sz w:val="20"/>
                <w14:textOutline w14:w="0" w14:cap="flat" w14:cmpd="sng" w14:algn="ctr">
                  <w14:noFill/>
                  <w14:prstDash w14:val="solid"/>
                  <w14:bevel/>
                </w14:textOutline>
              </w:rPr>
            </w:pPr>
            <w:r w:rsidRPr="00485F96">
              <w:rPr>
                <w:sz w:val="20"/>
              </w:rPr>
              <w:t>90 %</w:t>
            </w:r>
          </w:p>
        </w:tc>
        <w:tc>
          <w:tcPr>
            <w:tcW w:w="1258" w:type="dxa"/>
            <w:tcBorders>
              <w:top w:val="nil"/>
              <w:left w:val="single" w:sz="4" w:space="0" w:color="auto"/>
              <w:bottom w:val="single" w:sz="4" w:space="0" w:color="auto"/>
              <w:right w:val="single" w:sz="8" w:space="0" w:color="auto"/>
            </w:tcBorders>
            <w:shd w:val="clear" w:color="auto" w:fill="auto"/>
            <w:tcMar>
              <w:top w:w="80" w:type="dxa"/>
              <w:left w:w="80" w:type="dxa"/>
              <w:bottom w:w="80" w:type="dxa"/>
              <w:right w:w="80" w:type="dxa"/>
            </w:tcMar>
            <w:vAlign w:val="center"/>
          </w:tcPr>
          <w:p w14:paraId="26B29D02" w14:textId="77777777" w:rsidR="00EF304C" w:rsidRPr="00485F96" w:rsidRDefault="00EF304C" w:rsidP="00880435">
            <w:pPr>
              <w:widowControl/>
              <w:jc w:val="center"/>
              <w:rPr>
                <w:sz w:val="20"/>
                <w14:textOutline w14:w="0" w14:cap="flat" w14:cmpd="sng" w14:algn="ctr">
                  <w14:noFill/>
                  <w14:prstDash w14:val="solid"/>
                  <w14:bevel/>
                </w14:textOutline>
              </w:rPr>
            </w:pPr>
            <w:r w:rsidRPr="00485F96">
              <w:rPr>
                <w:sz w:val="20"/>
              </w:rPr>
              <w:t>-7 391</w:t>
            </w:r>
          </w:p>
        </w:tc>
      </w:tr>
      <w:tr w:rsidR="00EF304C" w:rsidRPr="00485F96" w14:paraId="2A5DA1B7" w14:textId="77777777" w:rsidTr="00880435">
        <w:trPr>
          <w:trHeight w:val="339"/>
        </w:trPr>
        <w:tc>
          <w:tcPr>
            <w:tcW w:w="1691" w:type="dxa"/>
            <w:tcBorders>
              <w:top w:val="single" w:sz="4" w:space="0" w:color="000000" w:themeColor="text1"/>
              <w:left w:val="single" w:sz="8"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hideMark/>
          </w:tcPr>
          <w:p w14:paraId="4532452B" w14:textId="77777777" w:rsidR="00EF304C" w:rsidRPr="00485F96" w:rsidRDefault="00EF304C" w:rsidP="00880435">
            <w:pPr>
              <w:widowControl/>
              <w:jc w:val="center"/>
              <w:rPr>
                <w:sz w:val="20"/>
                <w14:textOutline w14:w="0" w14:cap="flat" w14:cmpd="sng" w14:algn="ctr">
                  <w14:noFill/>
                  <w14:prstDash w14:val="solid"/>
                  <w14:bevel/>
                </w14:textOutline>
              </w:rPr>
            </w:pPr>
            <w:r w:rsidRPr="00485F96">
              <w:rPr>
                <w:sz w:val="20"/>
                <w14:textOutline w14:w="0" w14:cap="flat" w14:cmpd="sng" w14:algn="ctr">
                  <w14:noFill/>
                  <w14:prstDash w14:val="solid"/>
                  <w14:bevel/>
                </w14:textOutline>
              </w:rPr>
              <w:t>Europejski Chrześcijański Ruch Polityczny</w:t>
            </w:r>
            <w:r w:rsidRPr="00485F96">
              <w:rPr>
                <w:rStyle w:val="FootnoteReference"/>
                <w:sz w:val="20"/>
              </w:rPr>
              <w:footnoteReference w:id="17"/>
            </w:r>
          </w:p>
        </w:tc>
        <w:tc>
          <w:tcPr>
            <w:tcW w:w="1276"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hideMark/>
          </w:tcPr>
          <w:p w14:paraId="349455A5" w14:textId="77777777" w:rsidR="00EF304C" w:rsidRPr="00485F96" w:rsidRDefault="00EF304C" w:rsidP="00880435">
            <w:pPr>
              <w:widowControl/>
              <w:jc w:val="center"/>
              <w:rPr>
                <w:sz w:val="20"/>
                <w14:textOutline w14:w="0" w14:cap="flat" w14:cmpd="sng" w14:algn="ctr">
                  <w14:noFill/>
                  <w14:prstDash w14:val="solid"/>
                  <w14:bevel/>
                </w14:textOutline>
              </w:rPr>
            </w:pPr>
            <w:r w:rsidRPr="00485F96">
              <w:rPr>
                <w:sz w:val="20"/>
                <w14:textOutline w14:w="0" w14:cap="flat" w14:cmpd="sng" w14:algn="ctr">
                  <w14:noFill/>
                  <w14:prstDash w14:val="solid"/>
                  <w14:bevel/>
                </w14:textOutline>
              </w:rPr>
              <w:t>ECPM</w:t>
            </w:r>
          </w:p>
        </w:tc>
        <w:tc>
          <w:tcPr>
            <w:tcW w:w="1134"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39A6584F" w14:textId="77777777" w:rsidR="00EF304C" w:rsidRPr="00485F96" w:rsidRDefault="00EF304C" w:rsidP="00880435">
            <w:pPr>
              <w:widowControl/>
              <w:jc w:val="center"/>
              <w:rPr>
                <w:sz w:val="20"/>
                <w14:textOutline w14:w="0" w14:cap="flat" w14:cmpd="sng" w14:algn="ctr">
                  <w14:noFill/>
                  <w14:prstDash w14:val="solid"/>
                  <w14:bevel/>
                </w14:textOutline>
              </w:rPr>
            </w:pPr>
            <w:r w:rsidRPr="00485F96">
              <w:rPr>
                <w:sz w:val="20"/>
              </w:rPr>
              <w:t>100 896</w:t>
            </w:r>
          </w:p>
        </w:tc>
        <w:tc>
          <w:tcPr>
            <w:tcW w:w="1329"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3D969F79" w14:textId="77777777" w:rsidR="00EF304C" w:rsidRPr="00485F96" w:rsidRDefault="00EF304C" w:rsidP="00880435">
            <w:pPr>
              <w:widowControl/>
              <w:jc w:val="center"/>
              <w:rPr>
                <w:sz w:val="20"/>
                <w14:textOutline w14:w="0" w14:cap="flat" w14:cmpd="sng" w14:algn="ctr">
                  <w14:noFill/>
                  <w14:prstDash w14:val="solid"/>
                  <w14:bevel/>
                </w14:textOutline>
              </w:rPr>
            </w:pPr>
            <w:r w:rsidRPr="00485F96">
              <w:rPr>
                <w:sz w:val="20"/>
              </w:rPr>
              <w:t>985 861</w:t>
            </w:r>
          </w:p>
        </w:tc>
        <w:tc>
          <w:tcPr>
            <w:tcW w:w="97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5670B774" w14:textId="77777777" w:rsidR="00EF304C" w:rsidRPr="00485F96" w:rsidRDefault="00EF304C" w:rsidP="00880435">
            <w:pPr>
              <w:widowControl/>
              <w:jc w:val="center"/>
              <w:rPr>
                <w:sz w:val="20"/>
                <w14:textOutline w14:w="0" w14:cap="flat" w14:cmpd="sng" w14:algn="ctr">
                  <w14:noFill/>
                  <w14:prstDash w14:val="solid"/>
                  <w14:bevel/>
                </w14:textOutline>
              </w:rPr>
            </w:pPr>
            <w:r w:rsidRPr="00485F96">
              <w:rPr>
                <w:sz w:val="20"/>
              </w:rPr>
              <w:t>1 086 757</w:t>
            </w:r>
          </w:p>
        </w:tc>
        <w:tc>
          <w:tcPr>
            <w:tcW w:w="1417"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3D3AB675" w14:textId="77777777" w:rsidR="00EF304C" w:rsidRPr="00485F96" w:rsidRDefault="00EF304C" w:rsidP="00880435">
            <w:pPr>
              <w:widowControl/>
              <w:jc w:val="center"/>
              <w:rPr>
                <w:sz w:val="20"/>
                <w14:textOutline w14:w="0" w14:cap="flat" w14:cmpd="sng" w14:algn="ctr">
                  <w14:noFill/>
                  <w14:prstDash w14:val="solid"/>
                  <w14:bevel/>
                </w14:textOutline>
              </w:rPr>
            </w:pPr>
            <w:r w:rsidRPr="00485F96">
              <w:rPr>
                <w:sz w:val="20"/>
              </w:rPr>
              <w:t>90 %</w:t>
            </w:r>
          </w:p>
        </w:tc>
        <w:tc>
          <w:tcPr>
            <w:tcW w:w="1258" w:type="dxa"/>
            <w:tcBorders>
              <w:top w:val="nil"/>
              <w:left w:val="single" w:sz="4" w:space="0" w:color="auto"/>
              <w:bottom w:val="single" w:sz="4" w:space="0" w:color="auto"/>
              <w:right w:val="single" w:sz="8" w:space="0" w:color="auto"/>
            </w:tcBorders>
            <w:shd w:val="clear" w:color="auto" w:fill="auto"/>
            <w:tcMar>
              <w:top w:w="80" w:type="dxa"/>
              <w:left w:w="80" w:type="dxa"/>
              <w:bottom w:w="80" w:type="dxa"/>
              <w:right w:w="80" w:type="dxa"/>
            </w:tcMar>
            <w:vAlign w:val="center"/>
          </w:tcPr>
          <w:p w14:paraId="10766DC4" w14:textId="77777777" w:rsidR="00EF304C" w:rsidRPr="00485F96" w:rsidRDefault="00EF304C" w:rsidP="00880435">
            <w:pPr>
              <w:widowControl/>
              <w:jc w:val="center"/>
              <w:rPr>
                <w:sz w:val="20"/>
                <w14:textOutline w14:w="0" w14:cap="flat" w14:cmpd="sng" w14:algn="ctr">
                  <w14:noFill/>
                  <w14:prstDash w14:val="solid"/>
                  <w14:bevel/>
                </w14:textOutline>
              </w:rPr>
            </w:pPr>
            <w:r w:rsidRPr="00485F96">
              <w:rPr>
                <w:sz w:val="20"/>
              </w:rPr>
              <w:t>-59 624</w:t>
            </w:r>
          </w:p>
        </w:tc>
      </w:tr>
      <w:tr w:rsidR="00EF304C" w:rsidRPr="00485F96" w14:paraId="3BAA011D" w14:textId="77777777" w:rsidTr="00880435">
        <w:trPr>
          <w:trHeight w:val="339"/>
        </w:trPr>
        <w:tc>
          <w:tcPr>
            <w:tcW w:w="1691" w:type="dxa"/>
            <w:tcBorders>
              <w:top w:val="single" w:sz="4" w:space="0" w:color="000000" w:themeColor="text1"/>
              <w:left w:val="single" w:sz="8" w:space="0" w:color="000000" w:themeColor="text1"/>
              <w:bottom w:val="single" w:sz="8" w:space="0" w:color="000000" w:themeColor="text1"/>
              <w:right w:val="single" w:sz="4" w:space="0" w:color="000000" w:themeColor="text1"/>
            </w:tcBorders>
            <w:shd w:val="clear" w:color="auto" w:fill="D9E1F2"/>
            <w:tcMar>
              <w:top w:w="80" w:type="dxa"/>
              <w:left w:w="80" w:type="dxa"/>
              <w:bottom w:w="80" w:type="dxa"/>
              <w:right w:w="80" w:type="dxa"/>
            </w:tcMar>
            <w:vAlign w:val="center"/>
            <w:hideMark/>
          </w:tcPr>
          <w:p w14:paraId="6511B515" w14:textId="77777777" w:rsidR="00EF304C" w:rsidRPr="00485F96" w:rsidRDefault="00EF304C" w:rsidP="00880435">
            <w:pPr>
              <w:widowControl/>
              <w:jc w:val="center"/>
              <w:rPr>
                <w:szCs w:val="24"/>
                <w14:textOutline w14:w="0" w14:cap="flat" w14:cmpd="sng" w14:algn="ctr">
                  <w14:noFill/>
                  <w14:prstDash w14:val="solid"/>
                  <w14:bevel/>
                </w14:textOutline>
              </w:rPr>
            </w:pPr>
            <w:r w:rsidRPr="00485F96">
              <w:rPr>
                <w:b/>
                <w:sz w:val="20"/>
                <w14:textOutline w14:w="0" w14:cap="flat" w14:cmpd="sng" w14:algn="ctr">
                  <w14:noFill/>
                  <w14:prstDash w14:val="solid"/>
                  <w14:bevel/>
                </w14:textOutline>
              </w:rPr>
              <w:t>OGÓŁEM</w:t>
            </w:r>
          </w:p>
        </w:tc>
        <w:tc>
          <w:tcPr>
            <w:tcW w:w="1276" w:type="dxa"/>
            <w:tcBorders>
              <w:top w:val="single" w:sz="4" w:space="0" w:color="000000" w:themeColor="text1"/>
              <w:left w:val="single" w:sz="4" w:space="0" w:color="000000" w:themeColor="text1"/>
              <w:bottom w:val="single" w:sz="8" w:space="0" w:color="000000" w:themeColor="text1"/>
              <w:right w:val="single" w:sz="4" w:space="0" w:color="000000" w:themeColor="text1"/>
            </w:tcBorders>
            <w:shd w:val="clear" w:color="auto" w:fill="D9E1F2"/>
            <w:tcMar>
              <w:top w:w="80" w:type="dxa"/>
              <w:left w:w="80" w:type="dxa"/>
              <w:bottom w:w="80" w:type="dxa"/>
              <w:right w:w="80" w:type="dxa"/>
            </w:tcMar>
            <w:vAlign w:val="center"/>
            <w:hideMark/>
          </w:tcPr>
          <w:p w14:paraId="735CCB08" w14:textId="77777777" w:rsidR="00EF304C" w:rsidRPr="00485F96" w:rsidRDefault="00EF304C" w:rsidP="00880435">
            <w:pPr>
              <w:widowControl/>
              <w:jc w:val="center"/>
              <w:rPr>
                <w:b/>
                <w:szCs w:val="24"/>
                <w14:textOutline w14:w="0" w14:cap="flat" w14:cmpd="sng" w14:algn="ctr">
                  <w14:noFill/>
                  <w14:prstDash w14:val="solid"/>
                  <w14:bevel/>
                </w14:textOutline>
              </w:rPr>
            </w:pPr>
          </w:p>
        </w:tc>
        <w:tc>
          <w:tcPr>
            <w:tcW w:w="1134" w:type="dxa"/>
            <w:tcBorders>
              <w:top w:val="single" w:sz="4" w:space="0" w:color="000000" w:themeColor="text1"/>
              <w:left w:val="single" w:sz="4" w:space="0" w:color="000000" w:themeColor="text1"/>
              <w:bottom w:val="single" w:sz="8" w:space="0" w:color="000000" w:themeColor="text1"/>
              <w:right w:val="single" w:sz="4" w:space="0" w:color="000000" w:themeColor="text1"/>
            </w:tcBorders>
            <w:shd w:val="clear" w:color="auto" w:fill="D9E1F2"/>
            <w:tcMar>
              <w:top w:w="80" w:type="dxa"/>
              <w:left w:w="80" w:type="dxa"/>
              <w:bottom w:w="80" w:type="dxa"/>
              <w:right w:w="80" w:type="dxa"/>
            </w:tcMar>
            <w:vAlign w:val="center"/>
          </w:tcPr>
          <w:p w14:paraId="49E5DB08" w14:textId="77777777" w:rsidR="00EF304C" w:rsidRPr="00485F96" w:rsidRDefault="00EF304C" w:rsidP="00880435">
            <w:pPr>
              <w:jc w:val="center"/>
              <w:rPr>
                <w:b/>
                <w:bCs/>
                <w:sz w:val="22"/>
                <w:szCs w:val="22"/>
              </w:rPr>
            </w:pPr>
            <w:r w:rsidRPr="00485F96">
              <w:rPr>
                <w:b/>
                <w:sz w:val="20"/>
              </w:rPr>
              <w:t>6 934 294</w:t>
            </w:r>
          </w:p>
        </w:tc>
        <w:tc>
          <w:tcPr>
            <w:tcW w:w="1329" w:type="dxa"/>
            <w:tcBorders>
              <w:top w:val="single" w:sz="4" w:space="0" w:color="auto"/>
              <w:left w:val="single" w:sz="4" w:space="0" w:color="auto"/>
              <w:bottom w:val="single" w:sz="8" w:space="0" w:color="auto"/>
              <w:right w:val="single" w:sz="4" w:space="0" w:color="auto"/>
            </w:tcBorders>
            <w:shd w:val="clear" w:color="auto" w:fill="D9E1F2"/>
            <w:tcMar>
              <w:top w:w="80" w:type="dxa"/>
              <w:left w:w="80" w:type="dxa"/>
              <w:bottom w:w="80" w:type="dxa"/>
              <w:right w:w="80" w:type="dxa"/>
            </w:tcMar>
            <w:vAlign w:val="center"/>
          </w:tcPr>
          <w:p w14:paraId="121095C1" w14:textId="77777777" w:rsidR="00EF304C" w:rsidRPr="00485F96" w:rsidRDefault="00EF304C" w:rsidP="00880435">
            <w:pPr>
              <w:jc w:val="center"/>
              <w:rPr>
                <w:b/>
                <w:bCs/>
                <w:sz w:val="22"/>
                <w:szCs w:val="22"/>
              </w:rPr>
            </w:pPr>
            <w:r w:rsidRPr="00485F96">
              <w:rPr>
                <w:b/>
                <w:sz w:val="20"/>
              </w:rPr>
              <w:t>42 345 292</w:t>
            </w:r>
          </w:p>
        </w:tc>
        <w:tc>
          <w:tcPr>
            <w:tcW w:w="973" w:type="dxa"/>
            <w:tcBorders>
              <w:top w:val="single" w:sz="4" w:space="0" w:color="auto"/>
              <w:left w:val="nil"/>
              <w:bottom w:val="single" w:sz="8" w:space="0" w:color="auto"/>
              <w:right w:val="single" w:sz="4" w:space="0" w:color="auto"/>
            </w:tcBorders>
            <w:shd w:val="clear" w:color="auto" w:fill="D9E1F2"/>
            <w:tcMar>
              <w:top w:w="80" w:type="dxa"/>
              <w:left w:w="80" w:type="dxa"/>
              <w:bottom w:w="80" w:type="dxa"/>
              <w:right w:w="80" w:type="dxa"/>
            </w:tcMar>
            <w:vAlign w:val="center"/>
          </w:tcPr>
          <w:p w14:paraId="214DCA68" w14:textId="77777777" w:rsidR="00EF304C" w:rsidRPr="00485F96" w:rsidRDefault="00EF304C" w:rsidP="00880435">
            <w:pPr>
              <w:jc w:val="center"/>
              <w:rPr>
                <w:b/>
                <w:bCs/>
                <w:sz w:val="22"/>
                <w:szCs w:val="22"/>
              </w:rPr>
            </w:pPr>
            <w:r w:rsidRPr="00485F96">
              <w:rPr>
                <w:b/>
                <w:sz w:val="20"/>
              </w:rPr>
              <w:t>49 279 586</w:t>
            </w:r>
          </w:p>
        </w:tc>
        <w:tc>
          <w:tcPr>
            <w:tcW w:w="1417" w:type="dxa"/>
            <w:tcBorders>
              <w:top w:val="single" w:sz="4" w:space="0" w:color="000000" w:themeColor="text1"/>
              <w:left w:val="single" w:sz="4" w:space="0" w:color="000000" w:themeColor="text1"/>
              <w:bottom w:val="single" w:sz="8" w:space="0" w:color="000000" w:themeColor="text1"/>
              <w:right w:val="single" w:sz="4" w:space="0" w:color="000000" w:themeColor="text1"/>
            </w:tcBorders>
            <w:shd w:val="clear" w:color="auto" w:fill="D9E1F2"/>
            <w:tcMar>
              <w:top w:w="80" w:type="dxa"/>
              <w:left w:w="80" w:type="dxa"/>
              <w:bottom w:w="80" w:type="dxa"/>
              <w:right w:w="80" w:type="dxa"/>
            </w:tcMar>
            <w:vAlign w:val="center"/>
          </w:tcPr>
          <w:p w14:paraId="405AC196" w14:textId="77777777" w:rsidR="00EF304C" w:rsidRPr="00485F96" w:rsidRDefault="00EF304C" w:rsidP="00880435">
            <w:pPr>
              <w:jc w:val="center"/>
              <w:rPr>
                <w:b/>
                <w:bCs/>
                <w:sz w:val="22"/>
                <w:szCs w:val="22"/>
              </w:rPr>
            </w:pPr>
          </w:p>
        </w:tc>
        <w:tc>
          <w:tcPr>
            <w:tcW w:w="1258" w:type="dxa"/>
            <w:tcBorders>
              <w:top w:val="nil"/>
              <w:left w:val="single" w:sz="4" w:space="0" w:color="auto"/>
              <w:bottom w:val="single" w:sz="8" w:space="0" w:color="auto"/>
              <w:right w:val="single" w:sz="8" w:space="0" w:color="auto"/>
            </w:tcBorders>
            <w:shd w:val="clear" w:color="auto" w:fill="D9E1F2"/>
            <w:tcMar>
              <w:top w:w="80" w:type="dxa"/>
              <w:left w:w="80" w:type="dxa"/>
              <w:bottom w:w="80" w:type="dxa"/>
              <w:right w:w="80" w:type="dxa"/>
            </w:tcMar>
            <w:vAlign w:val="center"/>
          </w:tcPr>
          <w:p w14:paraId="74C16E1B" w14:textId="77777777" w:rsidR="00EF304C" w:rsidRPr="00485F96" w:rsidRDefault="00EF304C" w:rsidP="00880435">
            <w:pPr>
              <w:jc w:val="center"/>
              <w:rPr>
                <w:b/>
              </w:rPr>
            </w:pPr>
            <w:r w:rsidRPr="00485F96">
              <w:rPr>
                <w:b/>
                <w:sz w:val="20"/>
              </w:rPr>
              <w:t>2 450 191</w:t>
            </w:r>
          </w:p>
        </w:tc>
      </w:tr>
    </w:tbl>
    <w:p w14:paraId="03F98064" w14:textId="77777777" w:rsidR="00EF304C" w:rsidRPr="00485F96" w:rsidRDefault="00EF304C" w:rsidP="00EF304C">
      <w:pPr>
        <w:rPr>
          <w:noProof/>
        </w:rPr>
      </w:pPr>
    </w:p>
    <w:p w14:paraId="15BF416A" w14:textId="77777777" w:rsidR="00EF304C" w:rsidRPr="00485F96" w:rsidRDefault="00EF304C" w:rsidP="00EF304C">
      <w:pPr>
        <w:spacing w:after="240"/>
        <w:ind w:left="567" w:hanging="567"/>
        <w:rPr>
          <w:szCs w:val="24"/>
          <w14:textOutline w14:w="0" w14:cap="flat" w14:cmpd="sng" w14:algn="ctr">
            <w14:noFill/>
            <w14:prstDash w14:val="solid"/>
            <w14:bevel/>
          </w14:textOutline>
        </w:rPr>
      </w:pPr>
      <w:r w:rsidRPr="00485F96">
        <w:rPr>
          <w14:textOutline w14:w="0" w14:cap="flat" w14:cmpd="sng" w14:algn="ctr">
            <w14:noFill/>
            <w14:prstDash w14:val="solid"/>
            <w14:bevel/>
          </w14:textOutline>
        </w:rPr>
        <w:t>150</w:t>
      </w:r>
      <w:r w:rsidRPr="00485F96">
        <w:t>.</w:t>
      </w:r>
      <w:r w:rsidRPr="00485F96">
        <w:rPr>
          <w14:textOutline w14:w="0" w14:cap="flat" w14:cmpd="sng" w14:algn="ctr">
            <w14:noFill/>
            <w14:prstDash w14:val="solid"/>
            <w14:bevel/>
          </w14:textOutline>
        </w:rPr>
        <w:tab/>
      </w:r>
      <w:r w:rsidRPr="00485F96">
        <w:t>odnotowuje, że w 2024 r. środki z pozycji budżetu 403 wykorzystano w następujący sposób</w:t>
      </w:r>
      <w:r w:rsidRPr="00485F96">
        <w:rPr>
          <w:rStyle w:val="FootnoteReference"/>
        </w:rPr>
        <w:footnoteReference w:id="18"/>
      </w:r>
      <w:r w:rsidRPr="00485F96">
        <w:t>:</w:t>
      </w:r>
    </w:p>
    <w:tbl>
      <w:tblPr>
        <w:tblW w:w="9049" w:type="dxa"/>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blBorders>
        <w:shd w:val="clear" w:color="auto" w:fill="D0DDEF"/>
        <w:tblLayout w:type="fixed"/>
        <w:tblLook w:val="04A0" w:firstRow="1" w:lastRow="0" w:firstColumn="1" w:lastColumn="0" w:noHBand="0" w:noVBand="1"/>
      </w:tblPr>
      <w:tblGrid>
        <w:gridCol w:w="1299"/>
        <w:gridCol w:w="1258"/>
        <w:gridCol w:w="984"/>
        <w:gridCol w:w="1133"/>
        <w:gridCol w:w="1247"/>
        <w:gridCol w:w="1247"/>
        <w:gridCol w:w="794"/>
        <w:gridCol w:w="1087"/>
      </w:tblGrid>
      <w:tr w:rsidR="00EF304C" w:rsidRPr="00485F96" w14:paraId="5DF8C4CC" w14:textId="77777777" w:rsidTr="00880435">
        <w:trPr>
          <w:trHeight w:val="1327"/>
        </w:trPr>
        <w:tc>
          <w:tcPr>
            <w:tcW w:w="1299" w:type="dxa"/>
            <w:tcBorders>
              <w:top w:val="single" w:sz="8" w:space="0" w:color="000000" w:themeColor="text1"/>
              <w:left w:val="single" w:sz="8" w:space="0" w:color="000000" w:themeColor="text1"/>
              <w:bottom w:val="single" w:sz="4" w:space="0" w:color="000000" w:themeColor="text1"/>
              <w:right w:val="single" w:sz="4" w:space="0" w:color="000000" w:themeColor="text1"/>
            </w:tcBorders>
            <w:shd w:val="clear" w:color="auto" w:fill="D9E1F2"/>
            <w:tcMar>
              <w:top w:w="80" w:type="dxa"/>
              <w:left w:w="80" w:type="dxa"/>
              <w:bottom w:w="80" w:type="dxa"/>
              <w:right w:w="80" w:type="dxa"/>
            </w:tcMar>
            <w:vAlign w:val="center"/>
            <w:hideMark/>
          </w:tcPr>
          <w:p w14:paraId="653D451D" w14:textId="77777777" w:rsidR="00EF304C" w:rsidRPr="00485F96" w:rsidRDefault="00EF304C" w:rsidP="00880435">
            <w:pPr>
              <w:widowControl/>
              <w:jc w:val="center"/>
              <w:rPr>
                <w:szCs w:val="24"/>
                <w14:textOutline w14:w="0" w14:cap="flat" w14:cmpd="sng" w14:algn="ctr">
                  <w14:noFill/>
                  <w14:prstDash w14:val="solid"/>
                  <w14:bevel/>
                </w14:textOutline>
              </w:rPr>
            </w:pPr>
            <w:r w:rsidRPr="00485F96">
              <w:rPr>
                <w:sz w:val="20"/>
                <w14:textOutline w14:w="0" w14:cap="flat" w14:cmpd="sng" w14:algn="ctr">
                  <w14:noFill/>
                  <w14:prstDash w14:val="solid"/>
                  <w14:bevel/>
                </w14:textOutline>
              </w:rPr>
              <w:t>Fundacja (2024)</w:t>
            </w:r>
          </w:p>
        </w:tc>
        <w:tc>
          <w:tcPr>
            <w:tcW w:w="1258" w:type="dxa"/>
            <w:tcBorders>
              <w:top w:val="single" w:sz="8" w:space="0" w:color="000000" w:themeColor="text1"/>
              <w:left w:val="single" w:sz="4" w:space="0" w:color="000000" w:themeColor="text1"/>
              <w:bottom w:val="single" w:sz="4" w:space="0" w:color="000000" w:themeColor="text1"/>
              <w:right w:val="single" w:sz="4" w:space="0" w:color="000000" w:themeColor="text1"/>
            </w:tcBorders>
            <w:shd w:val="clear" w:color="auto" w:fill="D9E1F2"/>
            <w:tcMar>
              <w:top w:w="80" w:type="dxa"/>
              <w:left w:w="80" w:type="dxa"/>
              <w:bottom w:w="80" w:type="dxa"/>
              <w:right w:w="80" w:type="dxa"/>
            </w:tcMar>
            <w:vAlign w:val="center"/>
            <w:hideMark/>
          </w:tcPr>
          <w:p w14:paraId="7A915FEB" w14:textId="77777777" w:rsidR="00EF304C" w:rsidRPr="00485F96" w:rsidRDefault="00EF304C" w:rsidP="00880435">
            <w:pPr>
              <w:widowControl/>
              <w:jc w:val="center"/>
              <w:rPr>
                <w:szCs w:val="24"/>
                <w14:textOutline w14:w="0" w14:cap="flat" w14:cmpd="sng" w14:algn="ctr">
                  <w14:noFill/>
                  <w14:prstDash w14:val="solid"/>
                  <w14:bevel/>
                </w14:textOutline>
              </w:rPr>
            </w:pPr>
            <w:r w:rsidRPr="00485F96">
              <w:rPr>
                <w:sz w:val="20"/>
                <w14:textOutline w14:w="0" w14:cap="flat" w14:cmpd="sng" w14:algn="ctr">
                  <w14:noFill/>
                  <w14:prstDash w14:val="solid"/>
                  <w14:bevel/>
                </w14:textOutline>
              </w:rPr>
              <w:t>Skrót</w:t>
            </w:r>
          </w:p>
        </w:tc>
        <w:tc>
          <w:tcPr>
            <w:tcW w:w="984" w:type="dxa"/>
            <w:tcBorders>
              <w:top w:val="single" w:sz="8" w:space="0" w:color="000000" w:themeColor="text1"/>
              <w:left w:val="single" w:sz="4" w:space="0" w:color="000000" w:themeColor="text1"/>
              <w:bottom w:val="single" w:sz="4" w:space="0" w:color="000000" w:themeColor="text1"/>
              <w:right w:val="single" w:sz="4" w:space="0" w:color="000000" w:themeColor="text1"/>
            </w:tcBorders>
            <w:shd w:val="clear" w:color="auto" w:fill="D9E1F2"/>
            <w:tcMar>
              <w:top w:w="80" w:type="dxa"/>
              <w:left w:w="80" w:type="dxa"/>
              <w:bottom w:w="80" w:type="dxa"/>
              <w:right w:w="80" w:type="dxa"/>
            </w:tcMar>
            <w:vAlign w:val="center"/>
            <w:hideMark/>
          </w:tcPr>
          <w:p w14:paraId="3619BA46" w14:textId="77777777" w:rsidR="00EF304C" w:rsidRPr="00485F96" w:rsidRDefault="00EF304C" w:rsidP="00880435">
            <w:pPr>
              <w:widowControl/>
              <w:jc w:val="center"/>
              <w:rPr>
                <w:szCs w:val="24"/>
                <w14:textOutline w14:w="0" w14:cap="flat" w14:cmpd="sng" w14:algn="ctr">
                  <w14:noFill/>
                  <w14:prstDash w14:val="solid"/>
                  <w14:bevel/>
                </w14:textOutline>
              </w:rPr>
            </w:pPr>
            <w:r w:rsidRPr="00485F96">
              <w:rPr>
                <w:sz w:val="20"/>
                <w14:textOutline w14:w="0" w14:cap="flat" w14:cmpd="sng" w14:algn="ctr">
                  <w14:noFill/>
                  <w14:prstDash w14:val="solid"/>
                  <w14:bevel/>
                </w14:textOutline>
              </w:rPr>
              <w:t>Związek z partią</w:t>
            </w:r>
          </w:p>
        </w:tc>
        <w:tc>
          <w:tcPr>
            <w:tcW w:w="1133" w:type="dxa"/>
            <w:tcBorders>
              <w:top w:val="single" w:sz="8" w:space="0" w:color="000000" w:themeColor="text1"/>
              <w:left w:val="single" w:sz="4" w:space="0" w:color="000000" w:themeColor="text1"/>
              <w:bottom w:val="single" w:sz="4" w:space="0" w:color="000000" w:themeColor="text1"/>
              <w:right w:val="single" w:sz="4" w:space="0" w:color="000000" w:themeColor="text1"/>
            </w:tcBorders>
            <w:shd w:val="clear" w:color="auto" w:fill="D9E1F2"/>
            <w:tcMar>
              <w:top w:w="80" w:type="dxa"/>
              <w:left w:w="80" w:type="dxa"/>
              <w:bottom w:w="80" w:type="dxa"/>
              <w:right w:w="80" w:type="dxa"/>
            </w:tcMar>
            <w:vAlign w:val="center"/>
            <w:hideMark/>
          </w:tcPr>
          <w:p w14:paraId="140BEBAB" w14:textId="77777777" w:rsidR="00EF304C" w:rsidRPr="00485F96" w:rsidRDefault="00EF304C" w:rsidP="00880435">
            <w:pPr>
              <w:widowControl/>
              <w:jc w:val="center"/>
              <w:rPr>
                <w:szCs w:val="24"/>
                <w14:textOutline w14:w="0" w14:cap="flat" w14:cmpd="sng" w14:algn="ctr">
                  <w14:noFill/>
                  <w14:prstDash w14:val="solid"/>
                  <w14:bevel/>
                </w14:textOutline>
              </w:rPr>
            </w:pPr>
            <w:r w:rsidRPr="00485F96">
              <w:rPr>
                <w:sz w:val="20"/>
                <w14:textOutline w14:w="0" w14:cap="flat" w14:cmpd="sng" w14:algn="ctr">
                  <w14:noFill/>
                  <w14:prstDash w14:val="solid"/>
                  <w14:bevel/>
                </w14:textOutline>
              </w:rPr>
              <w:t>Zasoby własne</w:t>
            </w:r>
          </w:p>
        </w:tc>
        <w:tc>
          <w:tcPr>
            <w:tcW w:w="1247" w:type="dxa"/>
            <w:tcBorders>
              <w:top w:val="single" w:sz="8" w:space="0" w:color="000000" w:themeColor="text1"/>
              <w:left w:val="single" w:sz="4" w:space="0" w:color="000000" w:themeColor="text1"/>
              <w:bottom w:val="single" w:sz="4" w:space="0" w:color="000000" w:themeColor="text1"/>
              <w:right w:val="single" w:sz="4" w:space="0" w:color="000000" w:themeColor="text1"/>
            </w:tcBorders>
            <w:shd w:val="clear" w:color="auto" w:fill="D9E1F2"/>
            <w:tcMar>
              <w:top w:w="80" w:type="dxa"/>
              <w:left w:w="80" w:type="dxa"/>
              <w:bottom w:w="80" w:type="dxa"/>
              <w:right w:w="80" w:type="dxa"/>
            </w:tcMar>
            <w:vAlign w:val="center"/>
            <w:hideMark/>
          </w:tcPr>
          <w:p w14:paraId="285CC99A" w14:textId="77777777" w:rsidR="00EF304C" w:rsidRPr="00485F96" w:rsidRDefault="00EF304C" w:rsidP="00880435">
            <w:pPr>
              <w:widowControl/>
              <w:jc w:val="center"/>
              <w:rPr>
                <w:szCs w:val="24"/>
                <w14:textOutline w14:w="0" w14:cap="flat" w14:cmpd="sng" w14:algn="ctr">
                  <w14:noFill/>
                  <w14:prstDash w14:val="solid"/>
                  <w14:bevel/>
                </w14:textOutline>
              </w:rPr>
            </w:pPr>
            <w:r w:rsidRPr="00485F96">
              <w:rPr>
                <w:sz w:val="20"/>
                <w14:textOutline w14:w="0" w14:cap="flat" w14:cmpd="sng" w14:algn="ctr">
                  <w14:noFill/>
                  <w14:prstDash w14:val="solid"/>
                  <w14:bevel/>
                </w14:textOutline>
              </w:rPr>
              <w:t>Ostateczna kwota dotacji z PE</w:t>
            </w:r>
          </w:p>
        </w:tc>
        <w:tc>
          <w:tcPr>
            <w:tcW w:w="1247" w:type="dxa"/>
            <w:tcBorders>
              <w:top w:val="single" w:sz="8" w:space="0" w:color="000000" w:themeColor="text1"/>
              <w:left w:val="single" w:sz="4" w:space="0" w:color="000000" w:themeColor="text1"/>
              <w:bottom w:val="single" w:sz="4" w:space="0" w:color="000000" w:themeColor="text1"/>
              <w:right w:val="single" w:sz="4" w:space="0" w:color="000000" w:themeColor="text1"/>
            </w:tcBorders>
            <w:shd w:val="clear" w:color="auto" w:fill="D9E1F2"/>
            <w:tcMar>
              <w:top w:w="80" w:type="dxa"/>
              <w:left w:w="80" w:type="dxa"/>
              <w:bottom w:w="80" w:type="dxa"/>
              <w:right w:w="80" w:type="dxa"/>
            </w:tcMar>
            <w:vAlign w:val="center"/>
            <w:hideMark/>
          </w:tcPr>
          <w:p w14:paraId="0AAEE18E" w14:textId="77777777" w:rsidR="00EF304C" w:rsidRPr="00485F96" w:rsidRDefault="00EF304C" w:rsidP="00880435">
            <w:pPr>
              <w:widowControl/>
              <w:jc w:val="center"/>
              <w:rPr>
                <w:szCs w:val="24"/>
                <w14:textOutline w14:w="0" w14:cap="flat" w14:cmpd="sng" w14:algn="ctr">
                  <w14:noFill/>
                  <w14:prstDash w14:val="solid"/>
                  <w14:bevel/>
                </w14:textOutline>
              </w:rPr>
            </w:pPr>
            <w:r w:rsidRPr="00485F96">
              <w:rPr>
                <w:sz w:val="20"/>
                <w14:textOutline w14:w="0" w14:cap="flat" w14:cmpd="sng" w14:algn="ctr">
                  <w14:noFill/>
                  <w14:prstDash w14:val="solid"/>
                  <w14:bevel/>
                </w14:textOutline>
              </w:rPr>
              <w:t>Dochody ogółem</w:t>
            </w:r>
          </w:p>
        </w:tc>
        <w:tc>
          <w:tcPr>
            <w:tcW w:w="794" w:type="dxa"/>
            <w:tcBorders>
              <w:top w:val="single" w:sz="8" w:space="0" w:color="000000" w:themeColor="text1"/>
              <w:left w:val="single" w:sz="4" w:space="0" w:color="000000" w:themeColor="text1"/>
              <w:bottom w:val="single" w:sz="4" w:space="0" w:color="000000" w:themeColor="text1"/>
              <w:right w:val="single" w:sz="4" w:space="0" w:color="000000" w:themeColor="text1"/>
            </w:tcBorders>
            <w:shd w:val="clear" w:color="auto" w:fill="D9E1F2"/>
            <w:tcMar>
              <w:top w:w="80" w:type="dxa"/>
              <w:left w:w="80" w:type="dxa"/>
              <w:bottom w:w="80" w:type="dxa"/>
              <w:right w:w="80" w:type="dxa"/>
            </w:tcMar>
            <w:vAlign w:val="center"/>
            <w:hideMark/>
          </w:tcPr>
          <w:p w14:paraId="720FB86F" w14:textId="77777777" w:rsidR="00EF304C" w:rsidRPr="00485F96" w:rsidRDefault="00EF304C" w:rsidP="00880435">
            <w:pPr>
              <w:widowControl/>
              <w:jc w:val="center"/>
              <w:rPr>
                <w:szCs w:val="24"/>
                <w14:textOutline w14:w="0" w14:cap="flat" w14:cmpd="sng" w14:algn="ctr">
                  <w14:noFill/>
                  <w14:prstDash w14:val="solid"/>
                  <w14:bevel/>
                </w14:textOutline>
              </w:rPr>
            </w:pPr>
            <w:r w:rsidRPr="00485F96">
              <w:rPr>
                <w:sz w:val="20"/>
                <w14:textOutline w14:w="0" w14:cap="flat" w14:cmpd="sng" w14:algn="ctr">
                  <w14:noFill/>
                  <w14:prstDash w14:val="solid"/>
                  <w14:bevel/>
                </w14:textOutline>
              </w:rPr>
              <w:t>Dotacje z PE w % kosztów kwalifikowalnych (maks. 95 %)</w:t>
            </w:r>
          </w:p>
        </w:tc>
        <w:tc>
          <w:tcPr>
            <w:tcW w:w="1087" w:type="dxa"/>
            <w:tcBorders>
              <w:top w:val="single" w:sz="8" w:space="0" w:color="000000" w:themeColor="text1"/>
              <w:left w:val="single" w:sz="4" w:space="0" w:color="000000" w:themeColor="text1"/>
              <w:bottom w:val="single" w:sz="4" w:space="0" w:color="000000" w:themeColor="text1"/>
              <w:right w:val="single" w:sz="8" w:space="0" w:color="000000" w:themeColor="text1"/>
            </w:tcBorders>
            <w:shd w:val="clear" w:color="auto" w:fill="D9E1F2"/>
            <w:tcMar>
              <w:top w:w="80" w:type="dxa"/>
              <w:left w:w="80" w:type="dxa"/>
              <w:bottom w:w="80" w:type="dxa"/>
              <w:right w:w="80" w:type="dxa"/>
            </w:tcMar>
            <w:vAlign w:val="center"/>
            <w:hideMark/>
          </w:tcPr>
          <w:p w14:paraId="60236ED6" w14:textId="77777777" w:rsidR="00EF304C" w:rsidRPr="00485F96" w:rsidRDefault="00EF304C" w:rsidP="00880435">
            <w:pPr>
              <w:widowControl/>
              <w:jc w:val="center"/>
              <w:rPr>
                <w:sz w:val="20"/>
                <w14:textOutline w14:w="0" w14:cap="flat" w14:cmpd="sng" w14:algn="ctr">
                  <w14:noFill/>
                  <w14:prstDash w14:val="solid"/>
                  <w14:bevel/>
                </w14:textOutline>
              </w:rPr>
            </w:pPr>
            <w:r w:rsidRPr="00485F96">
              <w:rPr>
                <w:sz w:val="20"/>
                <w14:textOutline w14:w="0" w14:cap="flat" w14:cmpd="sng" w14:algn="ctr">
                  <w14:noFill/>
                  <w14:prstDash w14:val="solid"/>
                  <w14:bevel/>
                </w14:textOutline>
              </w:rPr>
              <w:t>Specjalna rezerwa po zamknięciu roku</w:t>
            </w:r>
          </w:p>
          <w:p w14:paraId="4A5FF2F7" w14:textId="77777777" w:rsidR="00EF304C" w:rsidRPr="00485F96" w:rsidRDefault="00EF304C" w:rsidP="00880435">
            <w:pPr>
              <w:widowControl/>
              <w:jc w:val="center"/>
              <w:rPr>
                <w:szCs w:val="24"/>
                <w14:textOutline w14:w="0" w14:cap="flat" w14:cmpd="sng" w14:algn="ctr">
                  <w14:noFill/>
                  <w14:prstDash w14:val="solid"/>
                  <w14:bevel/>
                </w14:textOutline>
              </w:rPr>
            </w:pPr>
            <w:r w:rsidRPr="00485F96">
              <w:rPr>
                <w:sz w:val="20"/>
                <w14:textOutline w14:w="0" w14:cap="flat" w14:cmpd="sng" w14:algn="ctr">
                  <w14:noFill/>
                  <w14:prstDash w14:val="solid"/>
                  <w14:bevel/>
                </w14:textOutline>
              </w:rPr>
              <w:t>budżetowego 2024</w:t>
            </w:r>
            <w:r w:rsidRPr="00485F96">
              <w:rPr>
                <w:rStyle w:val="FootnoteReference"/>
                <w:sz w:val="20"/>
              </w:rPr>
              <w:footnoteReference w:id="19"/>
            </w:r>
          </w:p>
        </w:tc>
      </w:tr>
      <w:tr w:rsidR="00EF304C" w:rsidRPr="00485F96" w14:paraId="5B17E960" w14:textId="77777777" w:rsidTr="00880435">
        <w:trPr>
          <w:trHeight w:val="339"/>
        </w:trPr>
        <w:tc>
          <w:tcPr>
            <w:tcW w:w="1299" w:type="dxa"/>
            <w:tcBorders>
              <w:top w:val="single" w:sz="4" w:space="0" w:color="000000" w:themeColor="text1"/>
              <w:left w:val="single" w:sz="8"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tcPr>
          <w:p w14:paraId="2BA2A27F" w14:textId="77777777" w:rsidR="00EF304C" w:rsidRPr="00485F96" w:rsidRDefault="00EF304C" w:rsidP="00880435">
            <w:pPr>
              <w:widowControl/>
              <w:jc w:val="center"/>
              <w:rPr>
                <w:sz w:val="20"/>
                <w14:textOutline w14:w="0" w14:cap="flat" w14:cmpd="sng" w14:algn="ctr">
                  <w14:noFill/>
                  <w14:prstDash w14:val="solid"/>
                  <w14:bevel/>
                </w14:textOutline>
              </w:rPr>
            </w:pPr>
            <w:r w:rsidRPr="00485F96">
              <w:t>Ośrodek Studiów Europejskich Wilfried Martens</w:t>
            </w:r>
          </w:p>
        </w:tc>
        <w:tc>
          <w:tcPr>
            <w:tcW w:w="1258"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1940BA8E" w14:textId="77777777" w:rsidR="00EF304C" w:rsidRPr="00485F96" w:rsidRDefault="00EF304C" w:rsidP="00880435">
            <w:pPr>
              <w:jc w:val="center"/>
              <w:rPr>
                <w:sz w:val="20"/>
              </w:rPr>
            </w:pPr>
            <w:r w:rsidRPr="00485F96">
              <w:rPr>
                <w:sz w:val="20"/>
              </w:rPr>
              <w:t>WMCES</w:t>
            </w:r>
          </w:p>
        </w:tc>
        <w:tc>
          <w:tcPr>
            <w:tcW w:w="984"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634199F3" w14:textId="77777777" w:rsidR="00EF304C" w:rsidRPr="00485F96" w:rsidRDefault="00EF304C" w:rsidP="00880435">
            <w:pPr>
              <w:jc w:val="center"/>
              <w:rPr>
                <w:sz w:val="20"/>
              </w:rPr>
            </w:pPr>
            <w:r w:rsidRPr="00485F96">
              <w:rPr>
                <w:sz w:val="20"/>
              </w:rPr>
              <w:t>PPE</w:t>
            </w:r>
          </w:p>
        </w:tc>
        <w:tc>
          <w:tcPr>
            <w:tcW w:w="1133"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66BBDA3D" w14:textId="77777777" w:rsidR="00EF304C" w:rsidRPr="00485F96" w:rsidRDefault="00EF304C" w:rsidP="00880435">
            <w:pPr>
              <w:jc w:val="center"/>
              <w:rPr>
                <w:sz w:val="20"/>
              </w:rPr>
            </w:pPr>
            <w:r w:rsidRPr="00485F96">
              <w:rPr>
                <w:sz w:val="20"/>
              </w:rPr>
              <w:t>808 035</w:t>
            </w:r>
          </w:p>
        </w:tc>
        <w:tc>
          <w:tcPr>
            <w:tcW w:w="1247"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4FB043A1" w14:textId="77777777" w:rsidR="00EF304C" w:rsidRPr="00485F96" w:rsidRDefault="00EF304C" w:rsidP="00880435">
            <w:pPr>
              <w:jc w:val="center"/>
              <w:rPr>
                <w:sz w:val="20"/>
              </w:rPr>
            </w:pPr>
            <w:r w:rsidRPr="00485F96">
              <w:rPr>
                <w:sz w:val="20"/>
              </w:rPr>
              <w:t>6 378 510</w:t>
            </w:r>
          </w:p>
        </w:tc>
        <w:tc>
          <w:tcPr>
            <w:tcW w:w="1247"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381F5FCA" w14:textId="77777777" w:rsidR="00EF304C" w:rsidRPr="00485F96" w:rsidRDefault="00EF304C" w:rsidP="00880435">
            <w:pPr>
              <w:jc w:val="center"/>
              <w:rPr>
                <w:sz w:val="20"/>
              </w:rPr>
            </w:pPr>
            <w:r w:rsidRPr="00485F96">
              <w:rPr>
                <w:sz w:val="20"/>
              </w:rPr>
              <w:t>7 186 545</w:t>
            </w:r>
          </w:p>
        </w:tc>
        <w:tc>
          <w:tcPr>
            <w:tcW w:w="794"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26AA9C3B" w14:textId="77777777" w:rsidR="00EF304C" w:rsidRPr="00485F96" w:rsidRDefault="00EF304C" w:rsidP="00880435">
            <w:pPr>
              <w:jc w:val="center"/>
              <w:rPr>
                <w:sz w:val="20"/>
              </w:rPr>
            </w:pPr>
            <w:r w:rsidRPr="00485F96">
              <w:rPr>
                <w:sz w:val="20"/>
              </w:rPr>
              <w:t>95 %</w:t>
            </w:r>
          </w:p>
        </w:tc>
        <w:tc>
          <w:tcPr>
            <w:tcW w:w="1087" w:type="dxa"/>
            <w:tcBorders>
              <w:top w:val="single" w:sz="4" w:space="0" w:color="auto"/>
              <w:left w:val="nil"/>
              <w:bottom w:val="single" w:sz="4" w:space="0" w:color="auto"/>
              <w:right w:val="single" w:sz="8" w:space="0" w:color="auto"/>
            </w:tcBorders>
            <w:shd w:val="clear" w:color="auto" w:fill="auto"/>
            <w:tcMar>
              <w:top w:w="80" w:type="dxa"/>
              <w:left w:w="80" w:type="dxa"/>
              <w:bottom w:w="80" w:type="dxa"/>
              <w:right w:w="80" w:type="dxa"/>
            </w:tcMar>
            <w:vAlign w:val="center"/>
          </w:tcPr>
          <w:p w14:paraId="7A3840B9" w14:textId="77777777" w:rsidR="00EF304C" w:rsidRPr="00485F96" w:rsidRDefault="00EF304C" w:rsidP="00880435">
            <w:pPr>
              <w:jc w:val="center"/>
              <w:rPr>
                <w:sz w:val="20"/>
              </w:rPr>
            </w:pPr>
            <w:r w:rsidRPr="00485F96">
              <w:rPr>
                <w:sz w:val="20"/>
              </w:rPr>
              <w:t>1 320 717</w:t>
            </w:r>
          </w:p>
        </w:tc>
      </w:tr>
      <w:tr w:rsidR="00EF304C" w:rsidRPr="00485F96" w14:paraId="22ECC0AE" w14:textId="77777777" w:rsidTr="00880435">
        <w:trPr>
          <w:trHeight w:val="339"/>
        </w:trPr>
        <w:tc>
          <w:tcPr>
            <w:tcW w:w="1299" w:type="dxa"/>
            <w:tcBorders>
              <w:top w:val="single" w:sz="4" w:space="0" w:color="000000" w:themeColor="text1"/>
              <w:left w:val="single" w:sz="8"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tcPr>
          <w:p w14:paraId="3F60DE91" w14:textId="77777777" w:rsidR="00EF304C" w:rsidRPr="00485F96" w:rsidRDefault="00EF304C" w:rsidP="00880435">
            <w:pPr>
              <w:widowControl/>
              <w:jc w:val="center"/>
              <w:rPr>
                <w:sz w:val="20"/>
                <w14:textOutline w14:w="0" w14:cap="flat" w14:cmpd="sng" w14:algn="ctr">
                  <w14:noFill/>
                  <w14:prstDash w14:val="solid"/>
                  <w14:bevel/>
                </w14:textOutline>
              </w:rPr>
            </w:pPr>
            <w:r w:rsidRPr="00485F96">
              <w:lastRenderedPageBreak/>
              <w:t>Fundacja Studiów Europejskich i Postępu</w:t>
            </w:r>
          </w:p>
        </w:tc>
        <w:tc>
          <w:tcPr>
            <w:tcW w:w="1258"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02474097" w14:textId="77777777" w:rsidR="00EF304C" w:rsidRPr="00485F96" w:rsidRDefault="00EF304C" w:rsidP="00880435">
            <w:pPr>
              <w:jc w:val="center"/>
              <w:rPr>
                <w:sz w:val="20"/>
              </w:rPr>
            </w:pPr>
            <w:r w:rsidRPr="00485F96">
              <w:rPr>
                <w:sz w:val="20"/>
              </w:rPr>
              <w:t>FEPS</w:t>
            </w:r>
          </w:p>
        </w:tc>
        <w:tc>
          <w:tcPr>
            <w:tcW w:w="984"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02858127" w14:textId="77777777" w:rsidR="00EF304C" w:rsidRPr="00485F96" w:rsidRDefault="00EF304C" w:rsidP="00880435">
            <w:pPr>
              <w:jc w:val="center"/>
              <w:rPr>
                <w:sz w:val="20"/>
              </w:rPr>
            </w:pPr>
            <w:r w:rsidRPr="00485F96">
              <w:rPr>
                <w:sz w:val="20"/>
              </w:rPr>
              <w:t>PES</w:t>
            </w:r>
          </w:p>
        </w:tc>
        <w:tc>
          <w:tcPr>
            <w:tcW w:w="1133"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56B873A9" w14:textId="77777777" w:rsidR="00EF304C" w:rsidRPr="00485F96" w:rsidRDefault="00EF304C" w:rsidP="00880435">
            <w:pPr>
              <w:jc w:val="center"/>
              <w:rPr>
                <w:sz w:val="20"/>
              </w:rPr>
            </w:pPr>
            <w:r w:rsidRPr="00485F96">
              <w:rPr>
                <w:sz w:val="20"/>
              </w:rPr>
              <w:t>663 502</w:t>
            </w:r>
          </w:p>
        </w:tc>
        <w:tc>
          <w:tcPr>
            <w:tcW w:w="1247"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7D39F799" w14:textId="77777777" w:rsidR="00EF304C" w:rsidRPr="00485F96" w:rsidRDefault="00EF304C" w:rsidP="00880435">
            <w:pPr>
              <w:jc w:val="center"/>
              <w:rPr>
                <w:sz w:val="20"/>
              </w:rPr>
            </w:pPr>
            <w:r w:rsidRPr="00485F96">
              <w:rPr>
                <w:sz w:val="20"/>
              </w:rPr>
              <w:t>5 204 666</w:t>
            </w:r>
          </w:p>
        </w:tc>
        <w:tc>
          <w:tcPr>
            <w:tcW w:w="1247"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33DC9FA5" w14:textId="77777777" w:rsidR="00EF304C" w:rsidRPr="00485F96" w:rsidRDefault="00EF304C" w:rsidP="00880435">
            <w:pPr>
              <w:jc w:val="center"/>
              <w:rPr>
                <w:sz w:val="20"/>
              </w:rPr>
            </w:pPr>
            <w:r w:rsidRPr="00485F96">
              <w:rPr>
                <w:sz w:val="20"/>
              </w:rPr>
              <w:t>5 868 168</w:t>
            </w:r>
          </w:p>
        </w:tc>
        <w:tc>
          <w:tcPr>
            <w:tcW w:w="794"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31E5488C" w14:textId="77777777" w:rsidR="00EF304C" w:rsidRPr="00485F96" w:rsidRDefault="00EF304C" w:rsidP="00880435">
            <w:pPr>
              <w:jc w:val="center"/>
              <w:rPr>
                <w:sz w:val="20"/>
              </w:rPr>
            </w:pPr>
            <w:r w:rsidRPr="00485F96">
              <w:rPr>
                <w:sz w:val="20"/>
              </w:rPr>
              <w:t>93 %</w:t>
            </w:r>
          </w:p>
        </w:tc>
        <w:tc>
          <w:tcPr>
            <w:tcW w:w="1087" w:type="dxa"/>
            <w:tcBorders>
              <w:top w:val="single" w:sz="4" w:space="0" w:color="auto"/>
              <w:left w:val="nil"/>
              <w:bottom w:val="single" w:sz="4" w:space="0" w:color="auto"/>
              <w:right w:val="single" w:sz="8" w:space="0" w:color="auto"/>
            </w:tcBorders>
            <w:shd w:val="clear" w:color="auto" w:fill="auto"/>
            <w:tcMar>
              <w:top w:w="80" w:type="dxa"/>
              <w:left w:w="80" w:type="dxa"/>
              <w:bottom w:w="80" w:type="dxa"/>
              <w:right w:w="80" w:type="dxa"/>
            </w:tcMar>
            <w:vAlign w:val="center"/>
          </w:tcPr>
          <w:p w14:paraId="441CE0E6" w14:textId="77777777" w:rsidR="00EF304C" w:rsidRPr="00485F96" w:rsidRDefault="00EF304C" w:rsidP="00880435">
            <w:pPr>
              <w:jc w:val="center"/>
              <w:rPr>
                <w:sz w:val="20"/>
              </w:rPr>
            </w:pPr>
            <w:r w:rsidRPr="00485F96">
              <w:rPr>
                <w:sz w:val="20"/>
              </w:rPr>
              <w:t>251 466</w:t>
            </w:r>
          </w:p>
        </w:tc>
      </w:tr>
      <w:tr w:rsidR="00EF304C" w:rsidRPr="00485F96" w14:paraId="6FDBCA74" w14:textId="77777777" w:rsidTr="00880435">
        <w:trPr>
          <w:trHeight w:val="339"/>
        </w:trPr>
        <w:tc>
          <w:tcPr>
            <w:tcW w:w="1299" w:type="dxa"/>
            <w:tcBorders>
              <w:top w:val="single" w:sz="4" w:space="0" w:color="000000" w:themeColor="text1"/>
              <w:left w:val="single" w:sz="8"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tcPr>
          <w:p w14:paraId="6FA8A6FA" w14:textId="77777777" w:rsidR="00EF304C" w:rsidRPr="00485F96" w:rsidRDefault="00EF304C" w:rsidP="00880435">
            <w:pPr>
              <w:widowControl/>
              <w:jc w:val="center"/>
              <w:rPr>
                <w:sz w:val="20"/>
                <w14:textOutline w14:w="0" w14:cap="flat" w14:cmpd="sng" w14:algn="ctr">
                  <w14:noFill/>
                  <w14:prstDash w14:val="solid"/>
                  <w14:bevel/>
                </w14:textOutline>
              </w:rPr>
            </w:pPr>
            <w:r w:rsidRPr="00485F96">
              <w:t>Europejskie Forum Liberalne</w:t>
            </w:r>
          </w:p>
        </w:tc>
        <w:tc>
          <w:tcPr>
            <w:tcW w:w="1258"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341AC7DF" w14:textId="77777777" w:rsidR="00EF304C" w:rsidRPr="00485F96" w:rsidRDefault="00EF304C" w:rsidP="00880435">
            <w:pPr>
              <w:jc w:val="center"/>
              <w:rPr>
                <w:sz w:val="20"/>
              </w:rPr>
            </w:pPr>
            <w:r w:rsidRPr="00485F96">
              <w:rPr>
                <w:sz w:val="20"/>
              </w:rPr>
              <w:t>ELF</w:t>
            </w:r>
          </w:p>
        </w:tc>
        <w:tc>
          <w:tcPr>
            <w:tcW w:w="984"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02728404" w14:textId="77777777" w:rsidR="00EF304C" w:rsidRPr="00485F96" w:rsidRDefault="00EF304C" w:rsidP="00880435">
            <w:pPr>
              <w:jc w:val="center"/>
              <w:rPr>
                <w:sz w:val="20"/>
              </w:rPr>
            </w:pPr>
            <w:r w:rsidRPr="00485F96">
              <w:rPr>
                <w:sz w:val="20"/>
              </w:rPr>
              <w:t>ALDE</w:t>
            </w:r>
          </w:p>
        </w:tc>
        <w:tc>
          <w:tcPr>
            <w:tcW w:w="1133"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7E3F444C" w14:textId="77777777" w:rsidR="00EF304C" w:rsidRPr="00485F96" w:rsidRDefault="00EF304C" w:rsidP="00880435">
            <w:pPr>
              <w:jc w:val="center"/>
              <w:rPr>
                <w:sz w:val="20"/>
              </w:rPr>
            </w:pPr>
            <w:r w:rsidRPr="00485F96">
              <w:rPr>
                <w:sz w:val="20"/>
              </w:rPr>
              <w:t>373 621</w:t>
            </w:r>
          </w:p>
        </w:tc>
        <w:tc>
          <w:tcPr>
            <w:tcW w:w="1247"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5C2C1650" w14:textId="77777777" w:rsidR="00EF304C" w:rsidRPr="00485F96" w:rsidRDefault="00EF304C" w:rsidP="00880435">
            <w:pPr>
              <w:jc w:val="center"/>
              <w:rPr>
                <w:sz w:val="20"/>
              </w:rPr>
            </w:pPr>
            <w:r w:rsidRPr="00485F96">
              <w:rPr>
                <w:sz w:val="20"/>
              </w:rPr>
              <w:t>2 722 333</w:t>
            </w:r>
          </w:p>
        </w:tc>
        <w:tc>
          <w:tcPr>
            <w:tcW w:w="1247"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2260F1D3" w14:textId="77777777" w:rsidR="00EF304C" w:rsidRPr="00485F96" w:rsidRDefault="00EF304C" w:rsidP="00880435">
            <w:pPr>
              <w:jc w:val="center"/>
              <w:rPr>
                <w:sz w:val="20"/>
              </w:rPr>
            </w:pPr>
            <w:r w:rsidRPr="00485F96">
              <w:rPr>
                <w:sz w:val="20"/>
              </w:rPr>
              <w:t>3 095 954</w:t>
            </w:r>
          </w:p>
        </w:tc>
        <w:tc>
          <w:tcPr>
            <w:tcW w:w="794"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7C2A01AB" w14:textId="77777777" w:rsidR="00EF304C" w:rsidRPr="00485F96" w:rsidRDefault="00EF304C" w:rsidP="00880435">
            <w:pPr>
              <w:jc w:val="center"/>
              <w:rPr>
                <w:sz w:val="20"/>
              </w:rPr>
            </w:pPr>
            <w:r w:rsidRPr="00485F96">
              <w:rPr>
                <w:sz w:val="20"/>
              </w:rPr>
              <w:t>89 %</w:t>
            </w:r>
          </w:p>
        </w:tc>
        <w:tc>
          <w:tcPr>
            <w:tcW w:w="1087" w:type="dxa"/>
            <w:tcBorders>
              <w:top w:val="single" w:sz="4" w:space="0" w:color="auto"/>
              <w:left w:val="nil"/>
              <w:bottom w:val="single" w:sz="4" w:space="0" w:color="auto"/>
              <w:right w:val="single" w:sz="8" w:space="0" w:color="auto"/>
            </w:tcBorders>
            <w:shd w:val="clear" w:color="auto" w:fill="auto"/>
            <w:tcMar>
              <w:top w:w="80" w:type="dxa"/>
              <w:left w:w="80" w:type="dxa"/>
              <w:bottom w:w="80" w:type="dxa"/>
              <w:right w:w="80" w:type="dxa"/>
            </w:tcMar>
            <w:vAlign w:val="center"/>
          </w:tcPr>
          <w:p w14:paraId="728EEB0A" w14:textId="77777777" w:rsidR="00EF304C" w:rsidRPr="00485F96" w:rsidRDefault="00EF304C" w:rsidP="00880435">
            <w:pPr>
              <w:jc w:val="center"/>
              <w:rPr>
                <w:sz w:val="20"/>
              </w:rPr>
            </w:pPr>
            <w:r w:rsidRPr="00485F96">
              <w:rPr>
                <w:sz w:val="20"/>
              </w:rPr>
              <w:t>638 880</w:t>
            </w:r>
          </w:p>
        </w:tc>
      </w:tr>
      <w:tr w:rsidR="00EF304C" w:rsidRPr="00485F96" w14:paraId="02FF5BF4" w14:textId="77777777" w:rsidTr="00880435">
        <w:trPr>
          <w:trHeight w:val="339"/>
        </w:trPr>
        <w:tc>
          <w:tcPr>
            <w:tcW w:w="1299" w:type="dxa"/>
            <w:tcBorders>
              <w:top w:val="single" w:sz="4" w:space="0" w:color="000000" w:themeColor="text1"/>
              <w:left w:val="single" w:sz="8"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tcPr>
          <w:p w14:paraId="5DF2ACAA" w14:textId="77777777" w:rsidR="00EF304C" w:rsidRPr="00485F96" w:rsidRDefault="00EF304C" w:rsidP="00880435">
            <w:pPr>
              <w:widowControl/>
              <w:jc w:val="center"/>
              <w:rPr>
                <w:sz w:val="20"/>
                <w14:textOutline w14:w="0" w14:cap="flat" w14:cmpd="sng" w14:algn="ctr">
                  <w14:noFill/>
                  <w14:prstDash w14:val="solid"/>
                  <w14:bevel/>
                </w14:textOutline>
              </w:rPr>
            </w:pPr>
            <w:r w:rsidRPr="00485F96">
              <w:t>Europejska Fundacja Zielonych</w:t>
            </w:r>
          </w:p>
        </w:tc>
        <w:tc>
          <w:tcPr>
            <w:tcW w:w="1258"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41D6DE95" w14:textId="77777777" w:rsidR="00EF304C" w:rsidRPr="00485F96" w:rsidRDefault="00EF304C" w:rsidP="00880435">
            <w:pPr>
              <w:jc w:val="center"/>
              <w:rPr>
                <w:sz w:val="20"/>
              </w:rPr>
            </w:pPr>
            <w:r w:rsidRPr="00485F96">
              <w:rPr>
                <w:sz w:val="20"/>
              </w:rPr>
              <w:t>GEF</w:t>
            </w:r>
          </w:p>
        </w:tc>
        <w:tc>
          <w:tcPr>
            <w:tcW w:w="984"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6B25D863" w14:textId="77777777" w:rsidR="00EF304C" w:rsidRPr="00485F96" w:rsidRDefault="00EF304C" w:rsidP="00880435">
            <w:pPr>
              <w:jc w:val="center"/>
              <w:rPr>
                <w:sz w:val="20"/>
              </w:rPr>
            </w:pPr>
            <w:r w:rsidRPr="00485F96">
              <w:rPr>
                <w:sz w:val="20"/>
              </w:rPr>
              <w:t>EPZ</w:t>
            </w:r>
          </w:p>
        </w:tc>
        <w:tc>
          <w:tcPr>
            <w:tcW w:w="1133"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25EB3B23" w14:textId="77777777" w:rsidR="00EF304C" w:rsidRPr="00485F96" w:rsidRDefault="00EF304C" w:rsidP="00880435">
            <w:pPr>
              <w:jc w:val="center"/>
              <w:rPr>
                <w:sz w:val="20"/>
              </w:rPr>
            </w:pPr>
            <w:r w:rsidRPr="00485F96">
              <w:rPr>
                <w:sz w:val="20"/>
              </w:rPr>
              <w:t>170 098</w:t>
            </w:r>
          </w:p>
        </w:tc>
        <w:tc>
          <w:tcPr>
            <w:tcW w:w="1247"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4C487A37" w14:textId="77777777" w:rsidR="00EF304C" w:rsidRPr="00485F96" w:rsidRDefault="00EF304C" w:rsidP="00880435">
            <w:pPr>
              <w:jc w:val="center"/>
              <w:rPr>
                <w:sz w:val="20"/>
              </w:rPr>
            </w:pPr>
            <w:r w:rsidRPr="00485F96">
              <w:rPr>
                <w:sz w:val="20"/>
              </w:rPr>
              <w:t>2 317 344</w:t>
            </w:r>
          </w:p>
        </w:tc>
        <w:tc>
          <w:tcPr>
            <w:tcW w:w="1247"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13857B48" w14:textId="77777777" w:rsidR="00EF304C" w:rsidRPr="00485F96" w:rsidRDefault="00EF304C" w:rsidP="00880435">
            <w:pPr>
              <w:jc w:val="center"/>
              <w:rPr>
                <w:sz w:val="20"/>
              </w:rPr>
            </w:pPr>
            <w:r w:rsidRPr="00485F96">
              <w:rPr>
                <w:sz w:val="20"/>
              </w:rPr>
              <w:t>2 487 442</w:t>
            </w:r>
          </w:p>
        </w:tc>
        <w:tc>
          <w:tcPr>
            <w:tcW w:w="794"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02D730D5" w14:textId="77777777" w:rsidR="00EF304C" w:rsidRPr="00485F96" w:rsidRDefault="00EF304C" w:rsidP="00880435">
            <w:pPr>
              <w:jc w:val="center"/>
              <w:rPr>
                <w:sz w:val="20"/>
              </w:rPr>
            </w:pPr>
            <w:r w:rsidRPr="00485F96">
              <w:rPr>
                <w:sz w:val="20"/>
              </w:rPr>
              <w:t>95 %</w:t>
            </w:r>
          </w:p>
        </w:tc>
        <w:tc>
          <w:tcPr>
            <w:tcW w:w="1087" w:type="dxa"/>
            <w:tcBorders>
              <w:top w:val="single" w:sz="4" w:space="0" w:color="auto"/>
              <w:left w:val="nil"/>
              <w:bottom w:val="single" w:sz="4" w:space="0" w:color="auto"/>
              <w:right w:val="single" w:sz="8" w:space="0" w:color="auto"/>
            </w:tcBorders>
            <w:shd w:val="clear" w:color="auto" w:fill="auto"/>
            <w:tcMar>
              <w:top w:w="80" w:type="dxa"/>
              <w:left w:w="80" w:type="dxa"/>
              <w:bottom w:w="80" w:type="dxa"/>
              <w:right w:w="80" w:type="dxa"/>
            </w:tcMar>
            <w:vAlign w:val="center"/>
          </w:tcPr>
          <w:p w14:paraId="14790D49" w14:textId="77777777" w:rsidR="00EF304C" w:rsidRPr="00485F96" w:rsidRDefault="00EF304C" w:rsidP="00880435">
            <w:pPr>
              <w:jc w:val="center"/>
              <w:rPr>
                <w:sz w:val="20"/>
              </w:rPr>
            </w:pPr>
            <w:r w:rsidRPr="00485F96">
              <w:rPr>
                <w:sz w:val="20"/>
              </w:rPr>
              <w:t>40 821</w:t>
            </w:r>
          </w:p>
        </w:tc>
      </w:tr>
      <w:tr w:rsidR="00EF304C" w:rsidRPr="00485F96" w14:paraId="2B18B14B" w14:textId="77777777" w:rsidTr="00880435">
        <w:trPr>
          <w:trHeight w:val="339"/>
        </w:trPr>
        <w:tc>
          <w:tcPr>
            <w:tcW w:w="1299" w:type="dxa"/>
            <w:tcBorders>
              <w:top w:val="single" w:sz="4" w:space="0" w:color="000000" w:themeColor="text1"/>
              <w:left w:val="single" w:sz="8"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tcPr>
          <w:p w14:paraId="19774D20" w14:textId="77777777" w:rsidR="00EF304C" w:rsidRPr="00485F96" w:rsidRDefault="00EF304C" w:rsidP="00880435">
            <w:pPr>
              <w:widowControl/>
              <w:jc w:val="center"/>
              <w:rPr>
                <w:sz w:val="20"/>
                <w14:textOutline w14:w="0" w14:cap="flat" w14:cmpd="sng" w14:algn="ctr">
                  <w14:noFill/>
                  <w14:prstDash w14:val="solid"/>
                  <w14:bevel/>
                </w14:textOutline>
              </w:rPr>
            </w:pPr>
            <w:r w:rsidRPr="00485F96">
              <w:t>Nowy Kierunek – Fundacja na rzecz Reformy w Europie</w:t>
            </w:r>
            <w:r w:rsidRPr="00485F96">
              <w:rPr>
                <w:rStyle w:val="FootnoteReference"/>
              </w:rPr>
              <w:footnoteReference w:id="20"/>
            </w:r>
          </w:p>
        </w:tc>
        <w:tc>
          <w:tcPr>
            <w:tcW w:w="1258"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10D681EC" w14:textId="77777777" w:rsidR="00EF304C" w:rsidRPr="00485F96" w:rsidRDefault="00EF304C" w:rsidP="00880435">
            <w:pPr>
              <w:jc w:val="center"/>
              <w:rPr>
                <w:sz w:val="20"/>
              </w:rPr>
            </w:pPr>
            <w:r w:rsidRPr="00485F96">
              <w:rPr>
                <w:sz w:val="20"/>
              </w:rPr>
              <w:t>ND</w:t>
            </w:r>
          </w:p>
        </w:tc>
        <w:tc>
          <w:tcPr>
            <w:tcW w:w="984"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1042F52F" w14:textId="77777777" w:rsidR="00EF304C" w:rsidRPr="00485F96" w:rsidRDefault="00EF304C" w:rsidP="00880435">
            <w:pPr>
              <w:jc w:val="center"/>
              <w:rPr>
                <w:sz w:val="20"/>
              </w:rPr>
            </w:pPr>
            <w:r w:rsidRPr="00485F96">
              <w:rPr>
                <w:sz w:val="20"/>
              </w:rPr>
              <w:t>Partia ECR</w:t>
            </w:r>
          </w:p>
        </w:tc>
        <w:tc>
          <w:tcPr>
            <w:tcW w:w="1133"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73C4B342" w14:textId="77777777" w:rsidR="00EF304C" w:rsidRPr="00485F96" w:rsidRDefault="00EF304C" w:rsidP="00880435">
            <w:pPr>
              <w:jc w:val="center"/>
              <w:rPr>
                <w:sz w:val="20"/>
              </w:rPr>
            </w:pPr>
            <w:r w:rsidRPr="00485F96">
              <w:rPr>
                <w:sz w:val="20"/>
              </w:rPr>
              <w:t>200 408</w:t>
            </w:r>
          </w:p>
        </w:tc>
        <w:tc>
          <w:tcPr>
            <w:tcW w:w="1247"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5C1DEB1A" w14:textId="77777777" w:rsidR="00EF304C" w:rsidRPr="00485F96" w:rsidRDefault="00EF304C" w:rsidP="00880435">
            <w:pPr>
              <w:jc w:val="center"/>
              <w:rPr>
                <w:sz w:val="20"/>
              </w:rPr>
            </w:pPr>
            <w:r w:rsidRPr="00485F96">
              <w:rPr>
                <w:sz w:val="20"/>
              </w:rPr>
              <w:t>1 894 279</w:t>
            </w:r>
          </w:p>
        </w:tc>
        <w:tc>
          <w:tcPr>
            <w:tcW w:w="1247"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02D135AB" w14:textId="77777777" w:rsidR="00EF304C" w:rsidRPr="00485F96" w:rsidRDefault="00EF304C" w:rsidP="00880435">
            <w:pPr>
              <w:jc w:val="center"/>
              <w:rPr>
                <w:sz w:val="20"/>
              </w:rPr>
            </w:pPr>
            <w:r w:rsidRPr="00485F96">
              <w:rPr>
                <w:sz w:val="20"/>
              </w:rPr>
              <w:t>2 094 686</w:t>
            </w:r>
          </w:p>
        </w:tc>
        <w:tc>
          <w:tcPr>
            <w:tcW w:w="794"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2F047FD8" w14:textId="77777777" w:rsidR="00EF304C" w:rsidRPr="00485F96" w:rsidRDefault="00EF304C" w:rsidP="00880435">
            <w:pPr>
              <w:jc w:val="center"/>
              <w:rPr>
                <w:sz w:val="20"/>
              </w:rPr>
            </w:pPr>
            <w:r w:rsidRPr="00485F96">
              <w:rPr>
                <w:sz w:val="20"/>
              </w:rPr>
              <w:t>95 %</w:t>
            </w:r>
          </w:p>
        </w:tc>
        <w:tc>
          <w:tcPr>
            <w:tcW w:w="1087" w:type="dxa"/>
            <w:tcBorders>
              <w:top w:val="single" w:sz="4" w:space="0" w:color="auto"/>
              <w:left w:val="nil"/>
              <w:bottom w:val="single" w:sz="4" w:space="0" w:color="auto"/>
              <w:right w:val="single" w:sz="8" w:space="0" w:color="auto"/>
            </w:tcBorders>
            <w:shd w:val="clear" w:color="auto" w:fill="auto"/>
            <w:tcMar>
              <w:top w:w="80" w:type="dxa"/>
              <w:left w:w="80" w:type="dxa"/>
              <w:bottom w:w="80" w:type="dxa"/>
              <w:right w:w="80" w:type="dxa"/>
            </w:tcMar>
            <w:vAlign w:val="center"/>
          </w:tcPr>
          <w:p w14:paraId="5AA94714" w14:textId="77777777" w:rsidR="00EF304C" w:rsidRPr="00485F96" w:rsidRDefault="00EF304C" w:rsidP="00880435">
            <w:pPr>
              <w:jc w:val="center"/>
              <w:rPr>
                <w:sz w:val="20"/>
              </w:rPr>
            </w:pPr>
            <w:r w:rsidRPr="00485F96">
              <w:rPr>
                <w:sz w:val="20"/>
              </w:rPr>
              <w:t>134 704</w:t>
            </w:r>
          </w:p>
        </w:tc>
      </w:tr>
      <w:tr w:rsidR="00EF304C" w:rsidRPr="00485F96" w14:paraId="7DBDA59D" w14:textId="77777777" w:rsidTr="00880435">
        <w:trPr>
          <w:trHeight w:val="339"/>
        </w:trPr>
        <w:tc>
          <w:tcPr>
            <w:tcW w:w="1299" w:type="dxa"/>
            <w:tcBorders>
              <w:top w:val="single" w:sz="4" w:space="0" w:color="000000" w:themeColor="text1"/>
              <w:left w:val="single" w:sz="8"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tcPr>
          <w:p w14:paraId="6D565AB7" w14:textId="77777777" w:rsidR="00EF304C" w:rsidRPr="00485F96" w:rsidRDefault="00EF304C" w:rsidP="00880435">
            <w:pPr>
              <w:widowControl/>
              <w:jc w:val="center"/>
              <w:rPr>
                <w:sz w:val="20"/>
                <w14:textOutline w14:w="0" w14:cap="flat" w14:cmpd="sng" w14:algn="ctr">
                  <w14:noFill/>
                  <w14:prstDash w14:val="solid"/>
                  <w14:bevel/>
                </w14:textOutline>
              </w:rPr>
            </w:pPr>
            <w:r w:rsidRPr="00485F96">
              <w:t xml:space="preserve">Fundacja </w:t>
            </w:r>
            <w:proofErr w:type="spellStart"/>
            <w:r w:rsidRPr="00485F96">
              <w:t>Identité</w:t>
            </w:r>
            <w:proofErr w:type="spellEnd"/>
            <w:r w:rsidRPr="00485F96">
              <w:t xml:space="preserve"> et </w:t>
            </w:r>
            <w:proofErr w:type="spellStart"/>
            <w:r w:rsidRPr="00485F96">
              <w:t>Démocratie</w:t>
            </w:r>
            <w:proofErr w:type="spellEnd"/>
            <w:r w:rsidRPr="00485F96">
              <w:rPr>
                <w:rStyle w:val="FootnoteReference"/>
              </w:rPr>
              <w:footnoteReference w:id="21"/>
            </w:r>
          </w:p>
        </w:tc>
        <w:tc>
          <w:tcPr>
            <w:tcW w:w="1258"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24E321D5" w14:textId="77777777" w:rsidR="00EF304C" w:rsidRPr="00485F96" w:rsidRDefault="00EF304C" w:rsidP="00880435">
            <w:pPr>
              <w:jc w:val="center"/>
              <w:rPr>
                <w:sz w:val="20"/>
              </w:rPr>
            </w:pPr>
            <w:r w:rsidRPr="00485F96">
              <w:rPr>
                <w:sz w:val="20"/>
              </w:rPr>
              <w:t>Fundacja ID</w:t>
            </w:r>
          </w:p>
        </w:tc>
        <w:tc>
          <w:tcPr>
            <w:tcW w:w="984"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3895ABE4" w14:textId="77777777" w:rsidR="00EF304C" w:rsidRPr="00485F96" w:rsidRDefault="00EF304C" w:rsidP="00880435">
            <w:pPr>
              <w:jc w:val="center"/>
              <w:rPr>
                <w:sz w:val="20"/>
              </w:rPr>
            </w:pPr>
            <w:r w:rsidRPr="00485F96">
              <w:rPr>
                <w:sz w:val="20"/>
              </w:rPr>
              <w:t>Partia ID</w:t>
            </w:r>
          </w:p>
        </w:tc>
        <w:tc>
          <w:tcPr>
            <w:tcW w:w="1133"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60F0168E" w14:textId="77777777" w:rsidR="00EF304C" w:rsidRPr="00485F96" w:rsidRDefault="00EF304C" w:rsidP="00880435">
            <w:pPr>
              <w:jc w:val="center"/>
              <w:rPr>
                <w:sz w:val="20"/>
              </w:rPr>
            </w:pPr>
            <w:r w:rsidRPr="00485F96">
              <w:rPr>
                <w:sz w:val="20"/>
              </w:rPr>
              <w:t>114 557</w:t>
            </w:r>
          </w:p>
        </w:tc>
        <w:tc>
          <w:tcPr>
            <w:tcW w:w="1247"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759E1F6C" w14:textId="77777777" w:rsidR="00EF304C" w:rsidRPr="00485F96" w:rsidRDefault="00EF304C" w:rsidP="00880435">
            <w:pPr>
              <w:jc w:val="center"/>
              <w:rPr>
                <w:sz w:val="20"/>
              </w:rPr>
            </w:pPr>
            <w:r w:rsidRPr="00485F96">
              <w:rPr>
                <w:sz w:val="20"/>
              </w:rPr>
              <w:t>531 757</w:t>
            </w:r>
          </w:p>
        </w:tc>
        <w:tc>
          <w:tcPr>
            <w:tcW w:w="1247"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4E286A45" w14:textId="77777777" w:rsidR="00EF304C" w:rsidRPr="00485F96" w:rsidRDefault="00EF304C" w:rsidP="00880435">
            <w:pPr>
              <w:jc w:val="center"/>
              <w:rPr>
                <w:sz w:val="20"/>
              </w:rPr>
            </w:pPr>
            <w:r w:rsidRPr="00485F96">
              <w:rPr>
                <w:sz w:val="20"/>
              </w:rPr>
              <w:t>646 313</w:t>
            </w:r>
          </w:p>
        </w:tc>
        <w:tc>
          <w:tcPr>
            <w:tcW w:w="794"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7F81B29A" w14:textId="77777777" w:rsidR="00EF304C" w:rsidRPr="00485F96" w:rsidRDefault="00EF304C" w:rsidP="00880435">
            <w:pPr>
              <w:jc w:val="center"/>
              <w:rPr>
                <w:sz w:val="20"/>
              </w:rPr>
            </w:pPr>
            <w:r w:rsidRPr="00485F96">
              <w:rPr>
                <w:sz w:val="20"/>
              </w:rPr>
              <w:t>95 %</w:t>
            </w:r>
          </w:p>
        </w:tc>
        <w:tc>
          <w:tcPr>
            <w:tcW w:w="1087" w:type="dxa"/>
            <w:tcBorders>
              <w:top w:val="single" w:sz="4" w:space="0" w:color="auto"/>
              <w:left w:val="nil"/>
              <w:bottom w:val="single" w:sz="4" w:space="0" w:color="auto"/>
              <w:right w:val="single" w:sz="8" w:space="0" w:color="auto"/>
            </w:tcBorders>
            <w:shd w:val="clear" w:color="auto" w:fill="auto"/>
            <w:tcMar>
              <w:top w:w="80" w:type="dxa"/>
              <w:left w:w="80" w:type="dxa"/>
              <w:bottom w:w="80" w:type="dxa"/>
              <w:right w:w="80" w:type="dxa"/>
            </w:tcMar>
            <w:vAlign w:val="center"/>
          </w:tcPr>
          <w:p w14:paraId="2DADC079" w14:textId="77777777" w:rsidR="00EF304C" w:rsidRPr="00485F96" w:rsidRDefault="00EF304C" w:rsidP="00880435">
            <w:pPr>
              <w:jc w:val="center"/>
              <w:rPr>
                <w:sz w:val="20"/>
              </w:rPr>
            </w:pPr>
            <w:r w:rsidRPr="00485F96">
              <w:rPr>
                <w:sz w:val="20"/>
              </w:rPr>
              <w:t>-62 575</w:t>
            </w:r>
          </w:p>
        </w:tc>
      </w:tr>
      <w:tr w:rsidR="00EF304C" w:rsidRPr="00485F96" w14:paraId="2D1AB470" w14:textId="77777777" w:rsidTr="00880435">
        <w:trPr>
          <w:trHeight w:val="339"/>
        </w:trPr>
        <w:tc>
          <w:tcPr>
            <w:tcW w:w="1299" w:type="dxa"/>
            <w:tcBorders>
              <w:top w:val="single" w:sz="4" w:space="0" w:color="000000" w:themeColor="text1"/>
              <w:left w:val="single" w:sz="8"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tcPr>
          <w:p w14:paraId="6F87790F" w14:textId="77777777" w:rsidR="00EF304C" w:rsidRPr="00485F96" w:rsidRDefault="00EF304C" w:rsidP="00880435">
            <w:pPr>
              <w:widowControl/>
              <w:jc w:val="center"/>
              <w:rPr>
                <w:sz w:val="20"/>
                <w14:textOutline w14:w="0" w14:cap="flat" w14:cmpd="sng" w14:algn="ctr">
                  <w14:noFill/>
                  <w14:prstDash w14:val="solid"/>
                  <w14:bevel/>
                </w14:textOutline>
              </w:rPr>
            </w:pPr>
            <w:r w:rsidRPr="00485F96">
              <w:t xml:space="preserve"> Zmienić Europę</w:t>
            </w:r>
          </w:p>
        </w:tc>
        <w:tc>
          <w:tcPr>
            <w:tcW w:w="1258"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3B3C2C8F" w14:textId="77777777" w:rsidR="00EF304C" w:rsidRPr="00485F96" w:rsidRDefault="00EF304C" w:rsidP="00880435">
            <w:pPr>
              <w:jc w:val="center"/>
              <w:rPr>
                <w:sz w:val="20"/>
              </w:rPr>
            </w:pPr>
            <w:r w:rsidRPr="00485F96">
              <w:rPr>
                <w:sz w:val="20"/>
              </w:rPr>
              <w:t>TE</w:t>
            </w:r>
          </w:p>
        </w:tc>
        <w:tc>
          <w:tcPr>
            <w:tcW w:w="984"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0E864A63" w14:textId="77777777" w:rsidR="00EF304C" w:rsidRPr="00485F96" w:rsidRDefault="00EF304C" w:rsidP="00880435">
            <w:pPr>
              <w:jc w:val="center"/>
              <w:rPr>
                <w:sz w:val="20"/>
              </w:rPr>
            </w:pPr>
            <w:r w:rsidRPr="00485F96">
              <w:rPr>
                <w:sz w:val="20"/>
              </w:rPr>
              <w:t>EL</w:t>
            </w:r>
          </w:p>
        </w:tc>
        <w:tc>
          <w:tcPr>
            <w:tcW w:w="1133"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50E062AC" w14:textId="77777777" w:rsidR="00EF304C" w:rsidRPr="00485F96" w:rsidRDefault="00EF304C" w:rsidP="00880435">
            <w:pPr>
              <w:jc w:val="center"/>
              <w:rPr>
                <w:sz w:val="20"/>
              </w:rPr>
            </w:pPr>
            <w:r w:rsidRPr="00485F96">
              <w:rPr>
                <w:sz w:val="20"/>
              </w:rPr>
              <w:t>82 852</w:t>
            </w:r>
          </w:p>
        </w:tc>
        <w:tc>
          <w:tcPr>
            <w:tcW w:w="1247"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4B364EDA" w14:textId="77777777" w:rsidR="00EF304C" w:rsidRPr="00485F96" w:rsidRDefault="00EF304C" w:rsidP="00880435">
            <w:pPr>
              <w:jc w:val="center"/>
              <w:rPr>
                <w:sz w:val="20"/>
              </w:rPr>
            </w:pPr>
            <w:r w:rsidRPr="00485F96">
              <w:rPr>
                <w:sz w:val="20"/>
              </w:rPr>
              <w:t>1 234 833</w:t>
            </w:r>
          </w:p>
        </w:tc>
        <w:tc>
          <w:tcPr>
            <w:tcW w:w="1247"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7D7BF063" w14:textId="77777777" w:rsidR="00EF304C" w:rsidRPr="00485F96" w:rsidRDefault="00EF304C" w:rsidP="00880435">
            <w:pPr>
              <w:jc w:val="center"/>
              <w:rPr>
                <w:sz w:val="20"/>
              </w:rPr>
            </w:pPr>
            <w:r w:rsidRPr="00485F96">
              <w:rPr>
                <w:sz w:val="20"/>
              </w:rPr>
              <w:t>1 317 685</w:t>
            </w:r>
          </w:p>
        </w:tc>
        <w:tc>
          <w:tcPr>
            <w:tcW w:w="794"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16C1F516" w14:textId="77777777" w:rsidR="00EF304C" w:rsidRPr="00485F96" w:rsidRDefault="00EF304C" w:rsidP="00880435">
            <w:pPr>
              <w:jc w:val="center"/>
              <w:rPr>
                <w:sz w:val="20"/>
              </w:rPr>
            </w:pPr>
            <w:r w:rsidRPr="00485F96">
              <w:rPr>
                <w:sz w:val="20"/>
              </w:rPr>
              <w:t>95 %</w:t>
            </w:r>
          </w:p>
        </w:tc>
        <w:tc>
          <w:tcPr>
            <w:tcW w:w="1087" w:type="dxa"/>
            <w:tcBorders>
              <w:top w:val="single" w:sz="4" w:space="0" w:color="auto"/>
              <w:left w:val="nil"/>
              <w:bottom w:val="single" w:sz="4" w:space="0" w:color="auto"/>
              <w:right w:val="single" w:sz="8" w:space="0" w:color="auto"/>
            </w:tcBorders>
            <w:shd w:val="clear" w:color="auto" w:fill="auto"/>
            <w:tcMar>
              <w:top w:w="80" w:type="dxa"/>
              <w:left w:w="80" w:type="dxa"/>
              <w:bottom w:w="80" w:type="dxa"/>
              <w:right w:w="80" w:type="dxa"/>
            </w:tcMar>
            <w:vAlign w:val="center"/>
          </w:tcPr>
          <w:p w14:paraId="29E40EDB" w14:textId="77777777" w:rsidR="00EF304C" w:rsidRPr="00485F96" w:rsidRDefault="00EF304C" w:rsidP="00880435">
            <w:pPr>
              <w:jc w:val="center"/>
              <w:rPr>
                <w:sz w:val="20"/>
              </w:rPr>
            </w:pPr>
            <w:r w:rsidRPr="00485F96">
              <w:rPr>
                <w:sz w:val="20"/>
              </w:rPr>
              <w:t>69 496</w:t>
            </w:r>
          </w:p>
        </w:tc>
      </w:tr>
      <w:tr w:rsidR="00EF304C" w:rsidRPr="00485F96" w14:paraId="6D5C253B" w14:textId="77777777" w:rsidTr="00880435">
        <w:trPr>
          <w:trHeight w:val="339"/>
        </w:trPr>
        <w:tc>
          <w:tcPr>
            <w:tcW w:w="1299" w:type="dxa"/>
            <w:tcBorders>
              <w:top w:val="single" w:sz="4" w:space="0" w:color="000000" w:themeColor="text1"/>
              <w:left w:val="single" w:sz="8"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tcPr>
          <w:p w14:paraId="7488EE19" w14:textId="77777777" w:rsidR="00EF304C" w:rsidRPr="00485F96" w:rsidRDefault="00EF304C" w:rsidP="00880435">
            <w:pPr>
              <w:widowControl/>
              <w:jc w:val="center"/>
              <w:rPr>
                <w:sz w:val="20"/>
                <w14:textOutline w14:w="0" w14:cap="flat" w14:cmpd="sng" w14:algn="ctr">
                  <w14:noFill/>
                  <w14:prstDash w14:val="solid"/>
                  <w14:bevel/>
                </w14:textOutline>
              </w:rPr>
            </w:pPr>
            <w:r w:rsidRPr="00485F96">
              <w:t>Instytut Europejskich Demokratów</w:t>
            </w:r>
          </w:p>
        </w:tc>
        <w:tc>
          <w:tcPr>
            <w:tcW w:w="125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442324E0" w14:textId="77777777" w:rsidR="00EF304C" w:rsidRPr="00485F96" w:rsidRDefault="00EF304C" w:rsidP="00880435">
            <w:pPr>
              <w:jc w:val="center"/>
              <w:rPr>
                <w:sz w:val="20"/>
              </w:rPr>
            </w:pPr>
            <w:r w:rsidRPr="00485F96">
              <w:rPr>
                <w:sz w:val="20"/>
              </w:rPr>
              <w:t>IED</w:t>
            </w:r>
          </w:p>
        </w:tc>
        <w:tc>
          <w:tcPr>
            <w:tcW w:w="98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134A7F84" w14:textId="77777777" w:rsidR="00EF304C" w:rsidRPr="00485F96" w:rsidRDefault="00EF304C" w:rsidP="00880435">
            <w:pPr>
              <w:jc w:val="center"/>
              <w:rPr>
                <w:sz w:val="20"/>
              </w:rPr>
            </w:pPr>
            <w:r w:rsidRPr="00485F96">
              <w:rPr>
                <w:sz w:val="20"/>
              </w:rPr>
              <w:t>EDP</w:t>
            </w:r>
          </w:p>
        </w:tc>
        <w:tc>
          <w:tcPr>
            <w:tcW w:w="113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2C0AB223" w14:textId="77777777" w:rsidR="00EF304C" w:rsidRPr="00485F96" w:rsidRDefault="00EF304C" w:rsidP="00880435">
            <w:pPr>
              <w:jc w:val="center"/>
              <w:rPr>
                <w:sz w:val="20"/>
              </w:rPr>
            </w:pPr>
            <w:r w:rsidRPr="00485F96">
              <w:rPr>
                <w:sz w:val="20"/>
              </w:rPr>
              <w:t>39 000</w:t>
            </w:r>
          </w:p>
        </w:tc>
        <w:tc>
          <w:tcPr>
            <w:tcW w:w="1247"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3160B19F" w14:textId="77777777" w:rsidR="00EF304C" w:rsidRPr="00485F96" w:rsidRDefault="00EF304C" w:rsidP="00880435">
            <w:pPr>
              <w:jc w:val="center"/>
              <w:rPr>
                <w:sz w:val="20"/>
              </w:rPr>
            </w:pPr>
            <w:r w:rsidRPr="00485F96">
              <w:rPr>
                <w:sz w:val="20"/>
              </w:rPr>
              <w:t>530 090</w:t>
            </w:r>
          </w:p>
        </w:tc>
        <w:tc>
          <w:tcPr>
            <w:tcW w:w="1247"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658AF07C" w14:textId="77777777" w:rsidR="00EF304C" w:rsidRPr="00485F96" w:rsidRDefault="00EF304C" w:rsidP="00880435">
            <w:pPr>
              <w:jc w:val="center"/>
              <w:rPr>
                <w:sz w:val="20"/>
              </w:rPr>
            </w:pPr>
            <w:r w:rsidRPr="00485F96">
              <w:rPr>
                <w:sz w:val="20"/>
              </w:rPr>
              <w:t>569 090</w:t>
            </w:r>
          </w:p>
        </w:tc>
        <w:tc>
          <w:tcPr>
            <w:tcW w:w="79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1E38A914" w14:textId="77777777" w:rsidR="00EF304C" w:rsidRPr="00485F96" w:rsidRDefault="00EF304C" w:rsidP="00880435">
            <w:pPr>
              <w:jc w:val="center"/>
              <w:rPr>
                <w:sz w:val="20"/>
              </w:rPr>
            </w:pPr>
            <w:r w:rsidRPr="00485F96">
              <w:rPr>
                <w:sz w:val="20"/>
              </w:rPr>
              <w:t>87 %</w:t>
            </w:r>
          </w:p>
        </w:tc>
        <w:tc>
          <w:tcPr>
            <w:tcW w:w="1087" w:type="dxa"/>
            <w:tcBorders>
              <w:top w:val="nil"/>
              <w:left w:val="nil"/>
              <w:bottom w:val="single" w:sz="4" w:space="0" w:color="auto"/>
              <w:right w:val="single" w:sz="8" w:space="0" w:color="auto"/>
            </w:tcBorders>
            <w:shd w:val="clear" w:color="auto" w:fill="auto"/>
            <w:tcMar>
              <w:top w:w="80" w:type="dxa"/>
              <w:left w:w="80" w:type="dxa"/>
              <w:bottom w:w="80" w:type="dxa"/>
              <w:right w:w="80" w:type="dxa"/>
            </w:tcMar>
            <w:vAlign w:val="center"/>
          </w:tcPr>
          <w:p w14:paraId="7EBB2A8B" w14:textId="77777777" w:rsidR="00EF304C" w:rsidRPr="00485F96" w:rsidRDefault="00EF304C" w:rsidP="00880435">
            <w:pPr>
              <w:jc w:val="center"/>
              <w:rPr>
                <w:sz w:val="20"/>
              </w:rPr>
            </w:pPr>
            <w:r w:rsidRPr="00485F96">
              <w:rPr>
                <w:sz w:val="20"/>
              </w:rPr>
              <w:t>-113 763</w:t>
            </w:r>
          </w:p>
        </w:tc>
      </w:tr>
      <w:tr w:rsidR="00EF304C" w:rsidRPr="00485F96" w14:paraId="0C6503EB" w14:textId="77777777" w:rsidTr="00880435">
        <w:trPr>
          <w:trHeight w:val="339"/>
        </w:trPr>
        <w:tc>
          <w:tcPr>
            <w:tcW w:w="1299" w:type="dxa"/>
            <w:tcBorders>
              <w:top w:val="single" w:sz="4" w:space="0" w:color="000000" w:themeColor="text1"/>
              <w:left w:val="single" w:sz="8"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tcPr>
          <w:p w14:paraId="030D49B0" w14:textId="77777777" w:rsidR="00EF304C" w:rsidRPr="00485F96" w:rsidRDefault="00EF304C" w:rsidP="00880435">
            <w:pPr>
              <w:widowControl/>
              <w:jc w:val="center"/>
              <w:rPr>
                <w:sz w:val="20"/>
                <w14:textOutline w14:w="0" w14:cap="flat" w14:cmpd="sng" w14:algn="ctr">
                  <w14:noFill/>
                  <w14:prstDash w14:val="solid"/>
                  <w14:bevel/>
                </w14:textOutline>
              </w:rPr>
            </w:pPr>
            <w:r w:rsidRPr="00485F96">
              <w:t xml:space="preserve">Fundacja </w:t>
            </w:r>
            <w:proofErr w:type="spellStart"/>
            <w:r w:rsidRPr="00485F96">
              <w:t>Coppieters</w:t>
            </w:r>
            <w:proofErr w:type="spellEnd"/>
          </w:p>
        </w:tc>
        <w:tc>
          <w:tcPr>
            <w:tcW w:w="125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2FD0A527" w14:textId="77777777" w:rsidR="00EF304C" w:rsidRPr="00485F96" w:rsidRDefault="00EF304C" w:rsidP="00880435">
            <w:pPr>
              <w:jc w:val="center"/>
              <w:rPr>
                <w:sz w:val="20"/>
              </w:rPr>
            </w:pPr>
            <w:proofErr w:type="spellStart"/>
            <w:r w:rsidRPr="00485F96">
              <w:rPr>
                <w:sz w:val="20"/>
              </w:rPr>
              <w:t>Coppieters</w:t>
            </w:r>
            <w:proofErr w:type="spellEnd"/>
          </w:p>
        </w:tc>
        <w:tc>
          <w:tcPr>
            <w:tcW w:w="98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725C9632" w14:textId="77777777" w:rsidR="00EF304C" w:rsidRPr="00485F96" w:rsidRDefault="00EF304C" w:rsidP="00880435">
            <w:pPr>
              <w:jc w:val="center"/>
              <w:rPr>
                <w:sz w:val="20"/>
              </w:rPr>
            </w:pPr>
            <w:r w:rsidRPr="00485F96">
              <w:rPr>
                <w:sz w:val="20"/>
              </w:rPr>
              <w:t>ALE</w:t>
            </w:r>
          </w:p>
        </w:tc>
        <w:tc>
          <w:tcPr>
            <w:tcW w:w="113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64FAE284" w14:textId="77777777" w:rsidR="00EF304C" w:rsidRPr="00485F96" w:rsidRDefault="00EF304C" w:rsidP="00880435">
            <w:pPr>
              <w:jc w:val="center"/>
              <w:rPr>
                <w:sz w:val="20"/>
              </w:rPr>
            </w:pPr>
            <w:r w:rsidRPr="00485F96">
              <w:rPr>
                <w:sz w:val="20"/>
              </w:rPr>
              <w:t>102 481</w:t>
            </w:r>
          </w:p>
        </w:tc>
        <w:tc>
          <w:tcPr>
            <w:tcW w:w="1247"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07D0C097" w14:textId="77777777" w:rsidR="00EF304C" w:rsidRPr="00485F96" w:rsidRDefault="00EF304C" w:rsidP="00880435">
            <w:pPr>
              <w:jc w:val="center"/>
              <w:rPr>
                <w:sz w:val="20"/>
              </w:rPr>
            </w:pPr>
            <w:r w:rsidRPr="00485F96">
              <w:rPr>
                <w:sz w:val="20"/>
              </w:rPr>
              <w:t>536 397</w:t>
            </w:r>
          </w:p>
        </w:tc>
        <w:tc>
          <w:tcPr>
            <w:tcW w:w="1247"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6E792423" w14:textId="77777777" w:rsidR="00EF304C" w:rsidRPr="00485F96" w:rsidRDefault="00EF304C" w:rsidP="00880435">
            <w:pPr>
              <w:jc w:val="center"/>
              <w:rPr>
                <w:sz w:val="20"/>
              </w:rPr>
            </w:pPr>
            <w:r w:rsidRPr="00485F96">
              <w:rPr>
                <w:sz w:val="20"/>
              </w:rPr>
              <w:t>638 878</w:t>
            </w:r>
          </w:p>
        </w:tc>
        <w:tc>
          <w:tcPr>
            <w:tcW w:w="79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386C5744" w14:textId="77777777" w:rsidR="00EF304C" w:rsidRPr="00485F96" w:rsidRDefault="00EF304C" w:rsidP="00880435">
            <w:pPr>
              <w:jc w:val="center"/>
              <w:rPr>
                <w:sz w:val="20"/>
              </w:rPr>
            </w:pPr>
            <w:r w:rsidRPr="00485F96">
              <w:rPr>
                <w:sz w:val="20"/>
              </w:rPr>
              <w:t>95 %</w:t>
            </w:r>
          </w:p>
        </w:tc>
        <w:tc>
          <w:tcPr>
            <w:tcW w:w="1087" w:type="dxa"/>
            <w:tcBorders>
              <w:top w:val="nil"/>
              <w:left w:val="nil"/>
              <w:bottom w:val="single" w:sz="4" w:space="0" w:color="auto"/>
              <w:right w:val="single" w:sz="8" w:space="0" w:color="auto"/>
            </w:tcBorders>
            <w:shd w:val="clear" w:color="auto" w:fill="auto"/>
            <w:tcMar>
              <w:top w:w="80" w:type="dxa"/>
              <w:left w:w="80" w:type="dxa"/>
              <w:bottom w:w="80" w:type="dxa"/>
              <w:right w:w="80" w:type="dxa"/>
            </w:tcMar>
            <w:vAlign w:val="center"/>
          </w:tcPr>
          <w:p w14:paraId="2F5C8B9E" w14:textId="77777777" w:rsidR="00EF304C" w:rsidRPr="00485F96" w:rsidRDefault="00EF304C" w:rsidP="00880435">
            <w:pPr>
              <w:jc w:val="center"/>
              <w:rPr>
                <w:sz w:val="20"/>
              </w:rPr>
            </w:pPr>
            <w:r w:rsidRPr="00485F96">
              <w:rPr>
                <w:sz w:val="20"/>
              </w:rPr>
              <w:t>288 315</w:t>
            </w:r>
          </w:p>
        </w:tc>
      </w:tr>
      <w:tr w:rsidR="00EF304C" w:rsidRPr="00485F96" w14:paraId="4374A981" w14:textId="77777777" w:rsidTr="00880435">
        <w:trPr>
          <w:trHeight w:val="339"/>
        </w:trPr>
        <w:tc>
          <w:tcPr>
            <w:tcW w:w="1299" w:type="dxa"/>
            <w:tcBorders>
              <w:top w:val="single" w:sz="4" w:space="0" w:color="000000" w:themeColor="text1"/>
              <w:left w:val="single" w:sz="8"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tcPr>
          <w:p w14:paraId="1A5407D8" w14:textId="77777777" w:rsidR="00EF304C" w:rsidRPr="00485F96" w:rsidRDefault="00EF304C" w:rsidP="00880435">
            <w:pPr>
              <w:widowControl/>
              <w:jc w:val="center"/>
              <w:rPr>
                <w:sz w:val="20"/>
                <w14:textOutline w14:w="0" w14:cap="flat" w14:cmpd="sng" w14:algn="ctr">
                  <w14:noFill/>
                  <w14:prstDash w14:val="solid"/>
                  <w14:bevel/>
                </w14:textOutline>
              </w:rPr>
            </w:pPr>
            <w:proofErr w:type="spellStart"/>
            <w:r w:rsidRPr="00485F96">
              <w:t>Sallux</w:t>
            </w:r>
            <w:proofErr w:type="spellEnd"/>
          </w:p>
        </w:tc>
        <w:tc>
          <w:tcPr>
            <w:tcW w:w="125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24BDA929" w14:textId="77777777" w:rsidR="00EF304C" w:rsidRPr="00485F96" w:rsidRDefault="00EF304C" w:rsidP="00880435">
            <w:pPr>
              <w:jc w:val="center"/>
              <w:rPr>
                <w:sz w:val="20"/>
              </w:rPr>
            </w:pPr>
            <w:r w:rsidRPr="00485F96">
              <w:rPr>
                <w:sz w:val="20"/>
              </w:rPr>
              <w:t>SALLUX</w:t>
            </w:r>
          </w:p>
        </w:tc>
        <w:tc>
          <w:tcPr>
            <w:tcW w:w="98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1B0F4C82" w14:textId="77777777" w:rsidR="00EF304C" w:rsidRPr="00485F96" w:rsidRDefault="00EF304C" w:rsidP="00880435">
            <w:pPr>
              <w:jc w:val="center"/>
              <w:rPr>
                <w:sz w:val="20"/>
              </w:rPr>
            </w:pPr>
            <w:r w:rsidRPr="00485F96">
              <w:rPr>
                <w:sz w:val="20"/>
              </w:rPr>
              <w:t>ECPM</w:t>
            </w:r>
          </w:p>
        </w:tc>
        <w:tc>
          <w:tcPr>
            <w:tcW w:w="113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34F6DD10" w14:textId="77777777" w:rsidR="00EF304C" w:rsidRPr="00485F96" w:rsidRDefault="00EF304C" w:rsidP="00880435">
            <w:pPr>
              <w:jc w:val="center"/>
              <w:rPr>
                <w:sz w:val="20"/>
              </w:rPr>
            </w:pPr>
            <w:r w:rsidRPr="00485F96">
              <w:rPr>
                <w:sz w:val="20"/>
              </w:rPr>
              <w:t>28 952</w:t>
            </w:r>
          </w:p>
        </w:tc>
        <w:tc>
          <w:tcPr>
            <w:tcW w:w="1247"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7D8B6D60" w14:textId="77777777" w:rsidR="00EF304C" w:rsidRPr="00485F96" w:rsidRDefault="00EF304C" w:rsidP="00880435">
            <w:pPr>
              <w:jc w:val="center"/>
              <w:rPr>
                <w:sz w:val="20"/>
              </w:rPr>
            </w:pPr>
            <w:r w:rsidRPr="00485F96">
              <w:rPr>
                <w:sz w:val="20"/>
              </w:rPr>
              <w:t>420 000</w:t>
            </w:r>
          </w:p>
        </w:tc>
        <w:tc>
          <w:tcPr>
            <w:tcW w:w="1247"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68EFEF6A" w14:textId="77777777" w:rsidR="00EF304C" w:rsidRPr="00485F96" w:rsidRDefault="00EF304C" w:rsidP="00880435">
            <w:pPr>
              <w:jc w:val="center"/>
              <w:rPr>
                <w:sz w:val="20"/>
              </w:rPr>
            </w:pPr>
            <w:r w:rsidRPr="00485F96">
              <w:rPr>
                <w:sz w:val="20"/>
              </w:rPr>
              <w:t>448 952</w:t>
            </w:r>
          </w:p>
        </w:tc>
        <w:tc>
          <w:tcPr>
            <w:tcW w:w="79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57C092F1" w14:textId="77777777" w:rsidR="00EF304C" w:rsidRPr="00485F96" w:rsidRDefault="00EF304C" w:rsidP="00880435">
            <w:pPr>
              <w:jc w:val="center"/>
              <w:rPr>
                <w:sz w:val="20"/>
              </w:rPr>
            </w:pPr>
            <w:r w:rsidRPr="00485F96">
              <w:rPr>
                <w:sz w:val="20"/>
              </w:rPr>
              <w:t>93 %</w:t>
            </w:r>
          </w:p>
        </w:tc>
        <w:tc>
          <w:tcPr>
            <w:tcW w:w="1087" w:type="dxa"/>
            <w:tcBorders>
              <w:top w:val="nil"/>
              <w:left w:val="nil"/>
              <w:bottom w:val="single" w:sz="4" w:space="0" w:color="auto"/>
              <w:right w:val="single" w:sz="8" w:space="0" w:color="auto"/>
            </w:tcBorders>
            <w:shd w:val="clear" w:color="auto" w:fill="auto"/>
            <w:tcMar>
              <w:top w:w="80" w:type="dxa"/>
              <w:left w:w="80" w:type="dxa"/>
              <w:bottom w:w="80" w:type="dxa"/>
              <w:right w:w="80" w:type="dxa"/>
            </w:tcMar>
            <w:vAlign w:val="center"/>
            <w:hideMark/>
          </w:tcPr>
          <w:p w14:paraId="11D214CD" w14:textId="77777777" w:rsidR="00EF304C" w:rsidRPr="00485F96" w:rsidRDefault="00EF304C" w:rsidP="00880435">
            <w:pPr>
              <w:jc w:val="center"/>
              <w:rPr>
                <w:sz w:val="20"/>
              </w:rPr>
            </w:pPr>
            <w:r w:rsidRPr="00485F96">
              <w:rPr>
                <w:sz w:val="20"/>
              </w:rPr>
              <w:t>8 781</w:t>
            </w:r>
          </w:p>
        </w:tc>
      </w:tr>
      <w:tr w:rsidR="00EF304C" w:rsidRPr="00485F96" w14:paraId="3EE5D881" w14:textId="77777777" w:rsidTr="00880435">
        <w:trPr>
          <w:trHeight w:val="339"/>
        </w:trPr>
        <w:tc>
          <w:tcPr>
            <w:tcW w:w="1299" w:type="dxa"/>
            <w:tcBorders>
              <w:top w:val="single" w:sz="4" w:space="0" w:color="000000" w:themeColor="text1"/>
              <w:left w:val="single" w:sz="8" w:space="0" w:color="000000" w:themeColor="text1"/>
              <w:bottom w:val="single" w:sz="8" w:space="0" w:color="000000" w:themeColor="text1"/>
              <w:right w:val="single" w:sz="4" w:space="0" w:color="000000" w:themeColor="text1"/>
            </w:tcBorders>
            <w:shd w:val="clear" w:color="auto" w:fill="D9E1F2"/>
            <w:tcMar>
              <w:top w:w="80" w:type="dxa"/>
              <w:left w:w="80" w:type="dxa"/>
              <w:bottom w:w="80" w:type="dxa"/>
              <w:right w:w="80" w:type="dxa"/>
            </w:tcMar>
            <w:vAlign w:val="center"/>
            <w:hideMark/>
          </w:tcPr>
          <w:p w14:paraId="6D979A12" w14:textId="77777777" w:rsidR="00EF304C" w:rsidRPr="00485F96" w:rsidRDefault="00EF304C" w:rsidP="00880435">
            <w:pPr>
              <w:jc w:val="center"/>
              <w:rPr>
                <w:b/>
                <w:bCs/>
                <w:sz w:val="20"/>
                <w14:textOutline w14:w="0" w14:cap="flat" w14:cmpd="sng" w14:algn="ctr">
                  <w14:noFill/>
                  <w14:prstDash w14:val="solid"/>
                  <w14:bevel/>
                </w14:textOutline>
              </w:rPr>
            </w:pPr>
            <w:r w:rsidRPr="00485F96">
              <w:rPr>
                <w:b/>
                <w:sz w:val="20"/>
                <w14:textOutline w14:w="0" w14:cap="flat" w14:cmpd="sng" w14:algn="ctr">
                  <w14:noFill/>
                  <w14:prstDash w14:val="solid"/>
                  <w14:bevel/>
                </w14:textOutline>
              </w:rPr>
              <w:t>OGÓŁEM</w:t>
            </w:r>
          </w:p>
        </w:tc>
        <w:tc>
          <w:tcPr>
            <w:tcW w:w="1258" w:type="dxa"/>
            <w:tcBorders>
              <w:top w:val="single" w:sz="4" w:space="0" w:color="000000" w:themeColor="text1"/>
              <w:left w:val="single" w:sz="4" w:space="0" w:color="000000" w:themeColor="text1"/>
              <w:bottom w:val="single" w:sz="8" w:space="0" w:color="000000" w:themeColor="text1"/>
              <w:right w:val="single" w:sz="4" w:space="0" w:color="000000" w:themeColor="text1"/>
            </w:tcBorders>
            <w:shd w:val="clear" w:color="auto" w:fill="D9E1F2"/>
            <w:tcMar>
              <w:top w:w="80" w:type="dxa"/>
              <w:left w:w="80" w:type="dxa"/>
              <w:bottom w:w="80" w:type="dxa"/>
              <w:right w:w="80" w:type="dxa"/>
            </w:tcMar>
            <w:vAlign w:val="center"/>
            <w:hideMark/>
          </w:tcPr>
          <w:p w14:paraId="6BFE8711" w14:textId="77777777" w:rsidR="00EF304C" w:rsidRPr="00485F96" w:rsidRDefault="00EF304C" w:rsidP="00880435">
            <w:pPr>
              <w:jc w:val="center"/>
              <w:rPr>
                <w:b/>
                <w:bCs/>
                <w:sz w:val="20"/>
                <w14:textOutline w14:w="0" w14:cap="flat" w14:cmpd="sng" w14:algn="ctr">
                  <w14:noFill/>
                  <w14:prstDash w14:val="solid"/>
                  <w14:bevel/>
                </w14:textOutline>
              </w:rPr>
            </w:pPr>
          </w:p>
        </w:tc>
        <w:tc>
          <w:tcPr>
            <w:tcW w:w="984" w:type="dxa"/>
            <w:tcBorders>
              <w:top w:val="single" w:sz="4" w:space="0" w:color="000000" w:themeColor="text1"/>
              <w:left w:val="single" w:sz="4" w:space="0" w:color="000000" w:themeColor="text1"/>
              <w:bottom w:val="single" w:sz="8" w:space="0" w:color="000000" w:themeColor="text1"/>
              <w:right w:val="single" w:sz="4" w:space="0" w:color="000000" w:themeColor="text1"/>
            </w:tcBorders>
            <w:shd w:val="clear" w:color="auto" w:fill="D9E1F2"/>
            <w:tcMar>
              <w:top w:w="80" w:type="dxa"/>
              <w:left w:w="80" w:type="dxa"/>
              <w:bottom w:w="80" w:type="dxa"/>
              <w:right w:w="80" w:type="dxa"/>
            </w:tcMar>
            <w:vAlign w:val="center"/>
            <w:hideMark/>
          </w:tcPr>
          <w:p w14:paraId="1E9091FC" w14:textId="77777777" w:rsidR="00EF304C" w:rsidRPr="00485F96" w:rsidRDefault="00EF304C" w:rsidP="00880435">
            <w:pPr>
              <w:jc w:val="center"/>
              <w:rPr>
                <w:b/>
                <w:bCs/>
                <w:sz w:val="20"/>
                <w14:textOutline w14:w="0" w14:cap="flat" w14:cmpd="sng" w14:algn="ctr">
                  <w14:noFill/>
                  <w14:prstDash w14:val="solid"/>
                  <w14:bevel/>
                </w14:textOutline>
              </w:rPr>
            </w:pPr>
          </w:p>
        </w:tc>
        <w:tc>
          <w:tcPr>
            <w:tcW w:w="1133" w:type="dxa"/>
            <w:tcBorders>
              <w:top w:val="nil"/>
              <w:left w:val="single" w:sz="4" w:space="0" w:color="auto"/>
              <w:bottom w:val="single" w:sz="8" w:space="0" w:color="auto"/>
              <w:right w:val="single" w:sz="4" w:space="0" w:color="auto"/>
            </w:tcBorders>
            <w:shd w:val="clear" w:color="auto" w:fill="D9E1F2"/>
            <w:tcMar>
              <w:top w:w="80" w:type="dxa"/>
              <w:left w:w="80" w:type="dxa"/>
              <w:bottom w:w="80" w:type="dxa"/>
              <w:right w:w="80" w:type="dxa"/>
            </w:tcMar>
            <w:vAlign w:val="center"/>
          </w:tcPr>
          <w:p w14:paraId="2B3D3F4C" w14:textId="77777777" w:rsidR="00EF304C" w:rsidRPr="00485F96" w:rsidRDefault="00EF304C" w:rsidP="00880435">
            <w:pPr>
              <w:jc w:val="center"/>
              <w:rPr>
                <w:b/>
                <w:bCs/>
                <w:sz w:val="20"/>
              </w:rPr>
            </w:pPr>
            <w:r w:rsidRPr="00485F96">
              <w:rPr>
                <w:b/>
                <w:sz w:val="20"/>
              </w:rPr>
              <w:t>2 583 505</w:t>
            </w:r>
          </w:p>
        </w:tc>
        <w:tc>
          <w:tcPr>
            <w:tcW w:w="1247" w:type="dxa"/>
            <w:tcBorders>
              <w:top w:val="nil"/>
              <w:left w:val="nil"/>
              <w:bottom w:val="single" w:sz="8" w:space="0" w:color="auto"/>
              <w:right w:val="single" w:sz="4" w:space="0" w:color="auto"/>
            </w:tcBorders>
            <w:shd w:val="clear" w:color="auto" w:fill="D9E1F2"/>
            <w:tcMar>
              <w:top w:w="80" w:type="dxa"/>
              <w:left w:w="80" w:type="dxa"/>
              <w:bottom w:w="80" w:type="dxa"/>
              <w:right w:w="80" w:type="dxa"/>
            </w:tcMar>
            <w:vAlign w:val="center"/>
          </w:tcPr>
          <w:p w14:paraId="67B21CC6" w14:textId="77777777" w:rsidR="00EF304C" w:rsidRPr="00485F96" w:rsidRDefault="00EF304C" w:rsidP="00880435">
            <w:pPr>
              <w:jc w:val="center"/>
              <w:rPr>
                <w:b/>
                <w:bCs/>
                <w:sz w:val="20"/>
              </w:rPr>
            </w:pPr>
            <w:r w:rsidRPr="00485F96">
              <w:rPr>
                <w:b/>
                <w:sz w:val="20"/>
              </w:rPr>
              <w:t>21 770 208</w:t>
            </w:r>
          </w:p>
        </w:tc>
        <w:tc>
          <w:tcPr>
            <w:tcW w:w="1247" w:type="dxa"/>
            <w:tcBorders>
              <w:top w:val="nil"/>
              <w:left w:val="nil"/>
              <w:bottom w:val="single" w:sz="8" w:space="0" w:color="auto"/>
              <w:right w:val="single" w:sz="4" w:space="0" w:color="auto"/>
            </w:tcBorders>
            <w:shd w:val="clear" w:color="auto" w:fill="D9E1F2"/>
            <w:tcMar>
              <w:top w:w="80" w:type="dxa"/>
              <w:left w:w="80" w:type="dxa"/>
              <w:bottom w:w="80" w:type="dxa"/>
              <w:right w:w="80" w:type="dxa"/>
            </w:tcMar>
            <w:vAlign w:val="center"/>
          </w:tcPr>
          <w:p w14:paraId="3706D3C9" w14:textId="77777777" w:rsidR="00EF304C" w:rsidRPr="00485F96" w:rsidRDefault="00EF304C" w:rsidP="00880435">
            <w:pPr>
              <w:jc w:val="center"/>
              <w:rPr>
                <w:b/>
                <w:bCs/>
                <w:sz w:val="20"/>
              </w:rPr>
            </w:pPr>
            <w:r w:rsidRPr="00485F96">
              <w:rPr>
                <w:b/>
                <w:sz w:val="20"/>
              </w:rPr>
              <w:t>24 353 713</w:t>
            </w:r>
          </w:p>
        </w:tc>
        <w:tc>
          <w:tcPr>
            <w:tcW w:w="794" w:type="dxa"/>
            <w:tcBorders>
              <w:top w:val="nil"/>
              <w:left w:val="nil"/>
              <w:bottom w:val="single" w:sz="8" w:space="0" w:color="auto"/>
              <w:right w:val="single" w:sz="4" w:space="0" w:color="auto"/>
            </w:tcBorders>
            <w:shd w:val="clear" w:color="auto" w:fill="D9E1F2"/>
            <w:tcMar>
              <w:top w:w="80" w:type="dxa"/>
              <w:left w:w="80" w:type="dxa"/>
              <w:bottom w:w="80" w:type="dxa"/>
              <w:right w:w="80" w:type="dxa"/>
            </w:tcMar>
            <w:vAlign w:val="center"/>
          </w:tcPr>
          <w:p w14:paraId="1BF7A987" w14:textId="77777777" w:rsidR="00EF304C" w:rsidRPr="00485F96" w:rsidRDefault="00EF304C" w:rsidP="00880435">
            <w:pPr>
              <w:jc w:val="center"/>
              <w:rPr>
                <w:b/>
                <w:bCs/>
                <w:sz w:val="20"/>
              </w:rPr>
            </w:pPr>
          </w:p>
        </w:tc>
        <w:tc>
          <w:tcPr>
            <w:tcW w:w="1087" w:type="dxa"/>
            <w:tcBorders>
              <w:top w:val="nil"/>
              <w:left w:val="nil"/>
              <w:bottom w:val="single" w:sz="8" w:space="0" w:color="auto"/>
              <w:right w:val="single" w:sz="8" w:space="0" w:color="auto"/>
            </w:tcBorders>
            <w:shd w:val="clear" w:color="auto" w:fill="D9E1F2"/>
            <w:tcMar>
              <w:top w:w="80" w:type="dxa"/>
              <w:left w:w="80" w:type="dxa"/>
              <w:bottom w:w="80" w:type="dxa"/>
              <w:right w:w="80" w:type="dxa"/>
            </w:tcMar>
            <w:vAlign w:val="center"/>
          </w:tcPr>
          <w:p w14:paraId="072F5BEA" w14:textId="77777777" w:rsidR="00EF304C" w:rsidRPr="00485F96" w:rsidRDefault="00EF304C" w:rsidP="00880435">
            <w:pPr>
              <w:jc w:val="center"/>
              <w:rPr>
                <w:b/>
                <w:bCs/>
                <w:sz w:val="20"/>
              </w:rPr>
            </w:pPr>
            <w:r w:rsidRPr="00485F96">
              <w:rPr>
                <w:b/>
                <w:sz w:val="20"/>
              </w:rPr>
              <w:t>2 576 842</w:t>
            </w:r>
          </w:p>
        </w:tc>
      </w:tr>
    </w:tbl>
    <w:p w14:paraId="12AFA50F" w14:textId="77777777" w:rsidR="00EF304C" w:rsidRPr="00485F96" w:rsidRDefault="00EF304C" w:rsidP="00EF304C"/>
    <w:sectPr w:rsidR="00EF304C" w:rsidRPr="00485F96" w:rsidSect="00DC0E1A">
      <w:headerReference w:type="even" r:id="rId15"/>
      <w:headerReference w:type="default" r:id="rId16"/>
      <w:footerReference w:type="even" r:id="rId17"/>
      <w:footerReference w:type="default" r:id="rId18"/>
      <w:headerReference w:type="first" r:id="rId19"/>
      <w:footerReference w:type="first" r:id="rId20"/>
      <w:footnotePr>
        <w:numRestart w:val="eachSect"/>
      </w:footnotePr>
      <w:endnotePr>
        <w:numFmt w:val="decimal"/>
      </w:endnotePr>
      <w:pgSz w:w="11906" w:h="16838" w:code="9"/>
      <w:pgMar w:top="1134" w:right="1418" w:bottom="1418" w:left="1418" w:header="567"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FB367F" w14:textId="77777777" w:rsidR="002867FC" w:rsidRPr="00485F96" w:rsidRDefault="002867FC">
      <w:r w:rsidRPr="00485F96">
        <w:separator/>
      </w:r>
    </w:p>
  </w:endnote>
  <w:endnote w:type="continuationSeparator" w:id="0">
    <w:p w14:paraId="63A9FB95" w14:textId="77777777" w:rsidR="002867FC" w:rsidRPr="00485F96" w:rsidRDefault="002867FC">
      <w:r w:rsidRPr="00485F9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DC3D03" w14:textId="77777777" w:rsidR="00EF304C" w:rsidRPr="00485F96" w:rsidRDefault="00EF304C" w:rsidP="003E3824">
    <w:pPr>
      <w:pStyle w:val="EPFooter"/>
    </w:pPr>
    <w:r w:rsidRPr="00485F96">
      <w:t>PE</w:t>
    </w:r>
    <w:r w:rsidRPr="00485F96">
      <w:rPr>
        <w:rStyle w:val="HideTWBExt"/>
      </w:rPr>
      <w:t>&lt;</w:t>
    </w:r>
    <w:proofErr w:type="spellStart"/>
    <w:r w:rsidRPr="00485F96">
      <w:rPr>
        <w:rStyle w:val="HideTWBExt"/>
      </w:rPr>
      <w:t>NoPE</w:t>
    </w:r>
    <w:proofErr w:type="spellEnd"/>
    <w:r w:rsidRPr="00485F96">
      <w:rPr>
        <w:rStyle w:val="HideTWBExt"/>
      </w:rPr>
      <w:t>&gt;</w:t>
    </w:r>
    <w:r w:rsidRPr="00485F96">
      <w:t>776.734</w:t>
    </w:r>
    <w:r w:rsidRPr="00485F96">
      <w:rPr>
        <w:rStyle w:val="HideTWBExt"/>
      </w:rPr>
      <w:t>&lt;/</w:t>
    </w:r>
    <w:proofErr w:type="spellStart"/>
    <w:r w:rsidRPr="00485F96">
      <w:rPr>
        <w:rStyle w:val="HideTWBExt"/>
      </w:rPr>
      <w:t>NoPE</w:t>
    </w:r>
    <w:proofErr w:type="spellEnd"/>
    <w:r w:rsidRPr="00485F96">
      <w:rPr>
        <w:rStyle w:val="HideTWBExt"/>
      </w:rPr>
      <w:t>&gt;&lt;Version&gt;</w:t>
    </w:r>
    <w:r w:rsidRPr="00485F96">
      <w:t>v02-00</w:t>
    </w:r>
    <w:r w:rsidRPr="00485F96">
      <w:rPr>
        <w:rStyle w:val="HideTWBExt"/>
      </w:rPr>
      <w:t>&lt;/Version&gt;</w:t>
    </w:r>
    <w:r w:rsidRPr="00485F96">
      <w:tab/>
    </w:r>
    <w:r w:rsidRPr="00485F96">
      <w:fldChar w:fldCharType="begin"/>
    </w:r>
    <w:r w:rsidRPr="00485F96">
      <w:instrText xml:space="preserve"> PAGE  \* MERGEFORMAT </w:instrText>
    </w:r>
    <w:r w:rsidRPr="00485F96">
      <w:fldChar w:fldCharType="separate"/>
    </w:r>
    <w:r w:rsidRPr="00485F96">
      <w:rPr>
        <w:noProof/>
      </w:rPr>
      <w:t>2</w:t>
    </w:r>
    <w:r w:rsidRPr="00485F96">
      <w:fldChar w:fldCharType="end"/>
    </w:r>
    <w:r w:rsidRPr="00485F96">
      <w:t>/</w:t>
    </w:r>
    <w:fldSimple w:instr=" NUMPAGES  \* MERGEFORMAT ">
      <w:r w:rsidRPr="00485F96">
        <w:rPr>
          <w:noProof/>
        </w:rPr>
        <w:t>43</w:t>
      </w:r>
    </w:fldSimple>
    <w:r w:rsidRPr="00485F96">
      <w:tab/>
    </w:r>
    <w:r w:rsidRPr="00485F96">
      <w:rPr>
        <w:rStyle w:val="HideTWBExt"/>
      </w:rPr>
      <w:t>&lt;PathFdR&gt;</w:t>
    </w:r>
    <w:r w:rsidRPr="00485F96">
      <w:t>RR\1340476PL.docx</w:t>
    </w:r>
    <w:r w:rsidRPr="00485F96">
      <w:rPr>
        <w:rStyle w:val="HideTWBExt"/>
      </w:rPr>
      <w:t>&lt;/</w:t>
    </w:r>
    <w:proofErr w:type="spellStart"/>
    <w:r w:rsidRPr="00485F96">
      <w:rPr>
        <w:rStyle w:val="HideTWBExt"/>
      </w:rPr>
      <w:t>PathFdR</w:t>
    </w:r>
    <w:proofErr w:type="spellEnd"/>
    <w:r w:rsidRPr="00485F96">
      <w:rPr>
        <w:rStyle w:val="HideTWBExt"/>
      </w:rPr>
      <w:t>&gt;</w:t>
    </w:r>
  </w:p>
  <w:p w14:paraId="4A1D3E68" w14:textId="77777777" w:rsidR="00EF304C" w:rsidRPr="00485F96" w:rsidRDefault="00EF304C" w:rsidP="003E3824">
    <w:pPr>
      <w:pStyle w:val="EPFooter2"/>
    </w:pPr>
    <w:r w:rsidRPr="00485F96">
      <w:t>PL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285300" w14:textId="484354BC" w:rsidR="00EF304C" w:rsidRPr="00485F96" w:rsidRDefault="00EF304C" w:rsidP="003E3824">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5FC3E9" w14:textId="77777777" w:rsidR="00EF304C" w:rsidRPr="00485F96" w:rsidRDefault="00EF304C" w:rsidP="003E3824">
    <w:pPr>
      <w:pStyle w:val="EPFooter"/>
    </w:pPr>
    <w:r w:rsidRPr="00485F96">
      <w:rPr>
        <w:rStyle w:val="HideTWBExt"/>
      </w:rPr>
      <w:t>&lt;PathFdR&gt;</w:t>
    </w:r>
    <w:r w:rsidRPr="00485F96">
      <w:t>RR\1340476PL.docx</w:t>
    </w:r>
    <w:r w:rsidRPr="00485F96">
      <w:rPr>
        <w:rStyle w:val="HideTWBExt"/>
      </w:rPr>
      <w:t>&lt;/</w:t>
    </w:r>
    <w:proofErr w:type="spellStart"/>
    <w:r w:rsidRPr="00485F96">
      <w:rPr>
        <w:rStyle w:val="HideTWBExt"/>
      </w:rPr>
      <w:t>PathFdR</w:t>
    </w:r>
    <w:proofErr w:type="spellEnd"/>
    <w:r w:rsidRPr="00485F96">
      <w:rPr>
        <w:rStyle w:val="HideTWBExt"/>
      </w:rPr>
      <w:t>&gt;</w:t>
    </w:r>
    <w:r w:rsidRPr="00485F96">
      <w:tab/>
    </w:r>
    <w:r w:rsidRPr="00485F96">
      <w:tab/>
      <w:t>PE</w:t>
    </w:r>
    <w:r w:rsidRPr="00485F96">
      <w:rPr>
        <w:rStyle w:val="HideTWBExt"/>
      </w:rPr>
      <w:t>&lt;</w:t>
    </w:r>
    <w:proofErr w:type="spellStart"/>
    <w:r w:rsidRPr="00485F96">
      <w:rPr>
        <w:rStyle w:val="HideTWBExt"/>
      </w:rPr>
      <w:t>NoPE</w:t>
    </w:r>
    <w:proofErr w:type="spellEnd"/>
    <w:r w:rsidRPr="00485F96">
      <w:rPr>
        <w:rStyle w:val="HideTWBExt"/>
      </w:rPr>
      <w:t>&gt;</w:t>
    </w:r>
    <w:r w:rsidRPr="00485F96">
      <w:t>776.734</w:t>
    </w:r>
    <w:r w:rsidRPr="00485F96">
      <w:rPr>
        <w:rStyle w:val="HideTWBExt"/>
      </w:rPr>
      <w:t>&lt;/</w:t>
    </w:r>
    <w:proofErr w:type="spellStart"/>
    <w:r w:rsidRPr="00485F96">
      <w:rPr>
        <w:rStyle w:val="HideTWBExt"/>
      </w:rPr>
      <w:t>NoPE</w:t>
    </w:r>
    <w:proofErr w:type="spellEnd"/>
    <w:r w:rsidRPr="00485F96">
      <w:rPr>
        <w:rStyle w:val="HideTWBExt"/>
      </w:rPr>
      <w:t>&gt;&lt;Version&gt;</w:t>
    </w:r>
    <w:r w:rsidRPr="00485F96">
      <w:t>v02-00</w:t>
    </w:r>
    <w:r w:rsidRPr="00485F96">
      <w:rPr>
        <w:rStyle w:val="HideTWBExt"/>
      </w:rPr>
      <w:t>&lt;/Version&gt;</w:t>
    </w:r>
  </w:p>
  <w:p w14:paraId="32EB96EB" w14:textId="77777777" w:rsidR="00EF304C" w:rsidRPr="00485F96" w:rsidRDefault="00EF304C" w:rsidP="003E3824">
    <w:pPr>
      <w:pStyle w:val="EPFooter2"/>
    </w:pPr>
    <w:r w:rsidRPr="00485F96">
      <w:t>PL</w:t>
    </w:r>
    <w:r w:rsidRPr="00485F96">
      <w:tab/>
    </w:r>
    <w:r w:rsidRPr="00485F96">
      <w:rPr>
        <w:b w:val="0"/>
        <w:i/>
        <w:color w:val="C0C0C0"/>
        <w:sz w:val="22"/>
      </w:rPr>
      <w:t>Zjednoczona w różnorodności</w:t>
    </w:r>
    <w:r w:rsidRPr="00485F96">
      <w:tab/>
      <w:t>PL</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5EE875" w14:textId="77777777" w:rsidR="00064002" w:rsidRPr="00485F96"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008038" w14:textId="77777777" w:rsidR="00064002" w:rsidRPr="00485F96" w:rsidRDefault="00064002"/>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028627" w14:textId="77777777" w:rsidR="00064002" w:rsidRPr="00485F9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F92337" w14:textId="77777777" w:rsidR="002867FC" w:rsidRPr="00485F96" w:rsidRDefault="002867FC">
      <w:r w:rsidRPr="00485F96">
        <w:separator/>
      </w:r>
    </w:p>
  </w:footnote>
  <w:footnote w:type="continuationSeparator" w:id="0">
    <w:p w14:paraId="70BC6D9D" w14:textId="77777777" w:rsidR="002867FC" w:rsidRPr="00485F96" w:rsidRDefault="002867FC">
      <w:r w:rsidRPr="00485F96">
        <w:continuationSeparator/>
      </w:r>
    </w:p>
  </w:footnote>
  <w:footnote w:id="1">
    <w:p w14:paraId="52D378F9" w14:textId="73924304" w:rsidR="00EF304C" w:rsidRPr="00DC0E1A" w:rsidRDefault="00EF304C" w:rsidP="00485F96">
      <w:pPr>
        <w:pStyle w:val="FootnoteText"/>
        <w:ind w:left="567" w:hanging="567"/>
        <w:rPr>
          <w:sz w:val="24"/>
          <w:lang w:val="fi-FI"/>
        </w:rPr>
      </w:pPr>
      <w:r w:rsidRPr="00485F96">
        <w:rPr>
          <w:rStyle w:val="FootnoteReference"/>
          <w:sz w:val="24"/>
          <w:lang w:val="pl-PL"/>
        </w:rPr>
        <w:footnoteRef/>
      </w:r>
      <w:r w:rsidR="00485F96" w:rsidRPr="00DC0E1A">
        <w:rPr>
          <w:sz w:val="24"/>
          <w:lang w:val="fi-FI"/>
        </w:rPr>
        <w:t xml:space="preserve"> </w:t>
      </w:r>
      <w:r w:rsidR="00485F96" w:rsidRPr="00DC0E1A">
        <w:rPr>
          <w:sz w:val="24"/>
          <w:lang w:val="fi-FI"/>
        </w:rPr>
        <w:tab/>
      </w:r>
      <w:proofErr w:type="spellStart"/>
      <w:r w:rsidRPr="00DC0E1A">
        <w:rPr>
          <w:sz w:val="24"/>
          <w:lang w:val="fi-FI"/>
        </w:rPr>
        <w:t>Dz.U</w:t>
      </w:r>
      <w:proofErr w:type="spellEnd"/>
      <w:r w:rsidRPr="00DC0E1A">
        <w:rPr>
          <w:sz w:val="24"/>
          <w:lang w:val="fi-FI"/>
        </w:rPr>
        <w:t>. L</w:t>
      </w:r>
      <w:r w:rsidR="00DC0E1A" w:rsidRPr="00DC0E1A">
        <w:rPr>
          <w:sz w:val="24"/>
          <w:lang w:val="fi-FI"/>
        </w:rPr>
        <w:t>,</w:t>
      </w:r>
      <w:r w:rsidRPr="00DC0E1A">
        <w:rPr>
          <w:sz w:val="24"/>
          <w:lang w:val="fi-FI"/>
        </w:rPr>
        <w:t xml:space="preserve"> </w:t>
      </w:r>
      <w:r w:rsidR="00DC0E1A" w:rsidRPr="00DC0E1A">
        <w:rPr>
          <w:sz w:val="24"/>
          <w:lang w:val="fi-FI"/>
        </w:rPr>
        <w:t>2024/</w:t>
      </w:r>
      <w:r w:rsidRPr="00DC0E1A">
        <w:rPr>
          <w:sz w:val="24"/>
          <w:lang w:val="fi-FI"/>
        </w:rPr>
        <w:t>207</w:t>
      </w:r>
      <w:r w:rsidR="00DC0E1A" w:rsidRPr="00DC0E1A">
        <w:rPr>
          <w:sz w:val="24"/>
          <w:lang w:val="fi-FI"/>
        </w:rPr>
        <w:t>,</w:t>
      </w:r>
      <w:r w:rsidRPr="00DC0E1A">
        <w:rPr>
          <w:sz w:val="24"/>
          <w:lang w:val="fi-FI"/>
        </w:rPr>
        <w:t xml:space="preserve"> 22.2.2024, s. 1, ELI: </w:t>
      </w:r>
      <w:hyperlink r:id="rId1" w:history="1">
        <w:r w:rsidRPr="00DC0E1A">
          <w:rPr>
            <w:rStyle w:val="Hyperlink"/>
            <w:color w:val="0563C1"/>
            <w:sz w:val="24"/>
            <w:lang w:val="fi-FI"/>
          </w:rPr>
          <w:t>http://data.europa.eu/eli/budget/2024/207/oj</w:t>
        </w:r>
      </w:hyperlink>
      <w:r w:rsidRPr="00DC0E1A">
        <w:rPr>
          <w:sz w:val="24"/>
          <w:lang w:val="fi-FI"/>
        </w:rPr>
        <w:t>.</w:t>
      </w:r>
    </w:p>
  </w:footnote>
  <w:footnote w:id="2">
    <w:p w14:paraId="15D4D9C0" w14:textId="6787119E" w:rsidR="00EF304C" w:rsidRPr="00DC0E1A" w:rsidRDefault="00EF304C" w:rsidP="00485F96">
      <w:pPr>
        <w:pStyle w:val="FootnoteText"/>
        <w:ind w:left="567" w:hanging="567"/>
        <w:rPr>
          <w:sz w:val="24"/>
          <w:lang w:val="fi-FI"/>
        </w:rPr>
      </w:pPr>
      <w:r w:rsidRPr="00485F96">
        <w:rPr>
          <w:rStyle w:val="FootnoteReference"/>
          <w:sz w:val="24"/>
          <w:lang w:val="pl-PL"/>
        </w:rPr>
        <w:footnoteRef/>
      </w:r>
      <w:r w:rsidR="00485F96" w:rsidRPr="00DC0E1A">
        <w:rPr>
          <w:sz w:val="24"/>
          <w:lang w:val="fi-FI"/>
        </w:rPr>
        <w:t xml:space="preserve"> </w:t>
      </w:r>
      <w:r w:rsidR="00485F96" w:rsidRPr="00DC0E1A">
        <w:rPr>
          <w:sz w:val="24"/>
          <w:lang w:val="fi-FI"/>
        </w:rPr>
        <w:tab/>
      </w:r>
      <w:proofErr w:type="spellStart"/>
      <w:r w:rsidRPr="00DC0E1A">
        <w:rPr>
          <w:sz w:val="24"/>
          <w:lang w:val="fi-FI"/>
        </w:rPr>
        <w:t>Dz.U</w:t>
      </w:r>
      <w:proofErr w:type="spellEnd"/>
      <w:r w:rsidRPr="00DC0E1A">
        <w:rPr>
          <w:sz w:val="24"/>
          <w:lang w:val="fi-FI"/>
        </w:rPr>
        <w:t xml:space="preserve">. C, C/2025/4944, 13.10.2025, ELI: </w:t>
      </w:r>
      <w:hyperlink r:id="rId2" w:history="1">
        <w:r w:rsidRPr="00DC0E1A">
          <w:rPr>
            <w:rStyle w:val="Hyperlink"/>
            <w:sz w:val="24"/>
            <w:lang w:val="fi-FI"/>
          </w:rPr>
          <w:t>http://data.europa.eu/eli/C/2025/4944/oj</w:t>
        </w:r>
      </w:hyperlink>
      <w:r w:rsidRPr="00DC0E1A">
        <w:rPr>
          <w:sz w:val="24"/>
          <w:lang w:val="fi-FI"/>
        </w:rPr>
        <w:t xml:space="preserve">. </w:t>
      </w:r>
    </w:p>
  </w:footnote>
  <w:footnote w:id="3">
    <w:p w14:paraId="21B266CE" w14:textId="17458890" w:rsidR="00EF304C" w:rsidRPr="00DC0E1A" w:rsidRDefault="00EF304C" w:rsidP="00485F96">
      <w:pPr>
        <w:pStyle w:val="FootnoteText"/>
        <w:ind w:left="567" w:hanging="567"/>
        <w:rPr>
          <w:sz w:val="24"/>
          <w:lang w:val="fi-FI"/>
        </w:rPr>
      </w:pPr>
      <w:r w:rsidRPr="00485F96">
        <w:rPr>
          <w:rStyle w:val="FootnoteReference"/>
          <w:sz w:val="24"/>
          <w:lang w:val="pl-PL"/>
        </w:rPr>
        <w:footnoteRef/>
      </w:r>
      <w:r w:rsidR="00485F96" w:rsidRPr="00DC0E1A">
        <w:rPr>
          <w:sz w:val="24"/>
          <w:lang w:val="fi-FI"/>
        </w:rPr>
        <w:t xml:space="preserve"> </w:t>
      </w:r>
      <w:r w:rsidR="00485F96" w:rsidRPr="00DC0E1A">
        <w:rPr>
          <w:sz w:val="24"/>
          <w:lang w:val="fi-FI"/>
        </w:rPr>
        <w:tab/>
      </w:r>
      <w:proofErr w:type="spellStart"/>
      <w:r w:rsidRPr="00DC0E1A">
        <w:rPr>
          <w:sz w:val="24"/>
          <w:lang w:val="fi-FI"/>
        </w:rPr>
        <w:t>Dz.U</w:t>
      </w:r>
      <w:proofErr w:type="spellEnd"/>
      <w:r w:rsidRPr="00DC0E1A">
        <w:rPr>
          <w:sz w:val="24"/>
          <w:lang w:val="fi-FI"/>
        </w:rPr>
        <w:t xml:space="preserve">. C, C/2025/2817, 6.6.2025, ELI: </w:t>
      </w:r>
      <w:hyperlink r:id="rId3" w:history="1">
        <w:r w:rsidRPr="00DC0E1A">
          <w:rPr>
            <w:rStyle w:val="Hyperlink"/>
            <w:sz w:val="24"/>
            <w:lang w:val="fi-FI"/>
          </w:rPr>
          <w:t>http://data.europa.eu/eli/C/2025/2817/oj</w:t>
        </w:r>
      </w:hyperlink>
      <w:r w:rsidRPr="00DC0E1A">
        <w:rPr>
          <w:sz w:val="24"/>
          <w:lang w:val="fi-FI"/>
        </w:rPr>
        <w:t>.</w:t>
      </w:r>
    </w:p>
  </w:footnote>
  <w:footnote w:id="4">
    <w:p w14:paraId="541EAE53" w14:textId="2081C60C" w:rsidR="00EF304C" w:rsidRPr="00DC0E1A" w:rsidRDefault="00EF304C" w:rsidP="00485F96">
      <w:pPr>
        <w:pStyle w:val="FootnoteText"/>
        <w:ind w:left="567" w:hanging="567"/>
        <w:rPr>
          <w:sz w:val="24"/>
          <w:lang w:val="fi-FI"/>
        </w:rPr>
      </w:pPr>
      <w:r w:rsidRPr="00485F96">
        <w:rPr>
          <w:rStyle w:val="FootnoteReference"/>
          <w:sz w:val="24"/>
          <w:lang w:val="pl-PL"/>
        </w:rPr>
        <w:footnoteRef/>
      </w:r>
      <w:r w:rsidR="00485F96" w:rsidRPr="00DC0E1A">
        <w:rPr>
          <w:sz w:val="24"/>
          <w:lang w:val="fi-FI"/>
        </w:rPr>
        <w:t xml:space="preserve"> </w:t>
      </w:r>
      <w:r w:rsidR="00485F96" w:rsidRPr="00DC0E1A">
        <w:rPr>
          <w:sz w:val="24"/>
          <w:lang w:val="fi-FI"/>
        </w:rPr>
        <w:tab/>
      </w:r>
      <w:proofErr w:type="spellStart"/>
      <w:r w:rsidRPr="00DC0E1A">
        <w:rPr>
          <w:sz w:val="24"/>
          <w:lang w:val="fi-FI"/>
        </w:rPr>
        <w:t>Dz.U</w:t>
      </w:r>
      <w:proofErr w:type="spellEnd"/>
      <w:r w:rsidRPr="00DC0E1A">
        <w:rPr>
          <w:sz w:val="24"/>
          <w:lang w:val="fi-FI"/>
        </w:rPr>
        <w:t xml:space="preserve">. C, C/2025/5409, 8.10.2025, ELI: </w:t>
      </w:r>
      <w:hyperlink r:id="rId4" w:history="1">
        <w:r w:rsidRPr="00DC0E1A">
          <w:rPr>
            <w:rStyle w:val="Hyperlink"/>
            <w:sz w:val="24"/>
            <w:lang w:val="fi-FI"/>
          </w:rPr>
          <w:t>http://data.europa.eu/eli/C/2025/5409/oj</w:t>
        </w:r>
      </w:hyperlink>
      <w:r w:rsidRPr="00DC0E1A">
        <w:rPr>
          <w:sz w:val="24"/>
          <w:lang w:val="fi-FI"/>
        </w:rPr>
        <w:t>.</w:t>
      </w:r>
    </w:p>
  </w:footnote>
  <w:footnote w:id="5">
    <w:p w14:paraId="3812768D" w14:textId="292630D5" w:rsidR="00EF304C" w:rsidRPr="00DC0E1A" w:rsidRDefault="00EF304C" w:rsidP="00485F96">
      <w:pPr>
        <w:pStyle w:val="FootnoteText"/>
        <w:ind w:left="567" w:hanging="567"/>
        <w:rPr>
          <w:sz w:val="24"/>
          <w:lang w:val="fi-FI"/>
        </w:rPr>
      </w:pPr>
      <w:r w:rsidRPr="00485F96">
        <w:rPr>
          <w:rStyle w:val="FootnoteReference"/>
          <w:sz w:val="24"/>
          <w:lang w:val="pl-PL"/>
        </w:rPr>
        <w:footnoteRef/>
      </w:r>
      <w:r w:rsidR="00485F96" w:rsidRPr="00DC0E1A">
        <w:rPr>
          <w:sz w:val="24"/>
          <w:lang w:val="fi-FI"/>
        </w:rPr>
        <w:t xml:space="preserve"> </w:t>
      </w:r>
      <w:r w:rsidR="00485F96" w:rsidRPr="00DC0E1A">
        <w:rPr>
          <w:sz w:val="24"/>
          <w:lang w:val="fi-FI"/>
        </w:rPr>
        <w:tab/>
      </w:r>
      <w:proofErr w:type="spellStart"/>
      <w:r w:rsidRPr="00DC0E1A">
        <w:rPr>
          <w:sz w:val="24"/>
          <w:lang w:val="fi-FI"/>
        </w:rPr>
        <w:t>Dz.U</w:t>
      </w:r>
      <w:proofErr w:type="spellEnd"/>
      <w:r w:rsidRPr="00DC0E1A">
        <w:rPr>
          <w:sz w:val="24"/>
          <w:lang w:val="fi-FI"/>
        </w:rPr>
        <w:t xml:space="preserve">. C, C/2025/5407, 13.10.2025, ELI: </w:t>
      </w:r>
      <w:hyperlink r:id="rId5" w:history="1">
        <w:r w:rsidRPr="00DC0E1A">
          <w:rPr>
            <w:rStyle w:val="Hyperlink"/>
            <w:sz w:val="24"/>
            <w:lang w:val="fi-FI"/>
          </w:rPr>
          <w:t>http://data.europa.eu/eli/C/2025/5407/oj</w:t>
        </w:r>
      </w:hyperlink>
      <w:r w:rsidRPr="00DC0E1A">
        <w:rPr>
          <w:sz w:val="24"/>
          <w:lang w:val="fi-FI"/>
        </w:rPr>
        <w:t xml:space="preserve">. </w:t>
      </w:r>
    </w:p>
  </w:footnote>
  <w:footnote w:id="6">
    <w:p w14:paraId="375AD53E" w14:textId="6EC9251C" w:rsidR="00EF304C" w:rsidRPr="00485F96" w:rsidRDefault="00EF304C" w:rsidP="00485F96">
      <w:pPr>
        <w:pStyle w:val="FootnoteText"/>
        <w:ind w:left="567" w:hanging="567"/>
        <w:rPr>
          <w:sz w:val="24"/>
          <w:lang w:val="pl-PL"/>
        </w:rPr>
      </w:pPr>
      <w:r w:rsidRPr="00485F96">
        <w:rPr>
          <w:rStyle w:val="FootnoteReference"/>
          <w:sz w:val="24"/>
          <w:lang w:val="pl-PL"/>
        </w:rPr>
        <w:footnoteRef/>
      </w:r>
      <w:r w:rsidR="00485F96" w:rsidRPr="00485F96">
        <w:rPr>
          <w:sz w:val="24"/>
          <w:lang w:val="pl-PL"/>
        </w:rPr>
        <w:t xml:space="preserve"> </w:t>
      </w:r>
      <w:r w:rsidR="00485F96" w:rsidRPr="00485F96">
        <w:rPr>
          <w:sz w:val="24"/>
          <w:lang w:val="pl-PL"/>
        </w:rPr>
        <w:tab/>
      </w:r>
      <w:r w:rsidRPr="00485F96">
        <w:rPr>
          <w:sz w:val="24"/>
          <w:lang w:val="pl-PL"/>
        </w:rPr>
        <w:t xml:space="preserve">Dz.U. L 193 z 30.7.2018, s. 1, ELI: </w:t>
      </w:r>
      <w:hyperlink r:id="rId6" w:history="1">
        <w:r w:rsidRPr="00485F96">
          <w:rPr>
            <w:rStyle w:val="Hyperlink"/>
            <w:sz w:val="24"/>
            <w:lang w:val="pl-PL"/>
          </w:rPr>
          <w:t>http://data.europa.eu/eli/reg/2018/1046/oj</w:t>
        </w:r>
      </w:hyperlink>
      <w:r w:rsidRPr="00485F96">
        <w:rPr>
          <w:sz w:val="24"/>
          <w:lang w:val="pl-PL"/>
        </w:rPr>
        <w:t>.</w:t>
      </w:r>
    </w:p>
  </w:footnote>
  <w:footnote w:id="7">
    <w:p w14:paraId="32B37315" w14:textId="1347DF98" w:rsidR="00EF304C" w:rsidRPr="00DC0E1A" w:rsidRDefault="00EF304C" w:rsidP="00485F96">
      <w:pPr>
        <w:pStyle w:val="FootnoteText"/>
        <w:ind w:left="567" w:hanging="567"/>
        <w:rPr>
          <w:sz w:val="24"/>
          <w:lang w:val="fi-FI"/>
        </w:rPr>
      </w:pPr>
      <w:r w:rsidRPr="00485F96">
        <w:rPr>
          <w:rStyle w:val="FootnoteReference"/>
          <w:sz w:val="24"/>
          <w:lang w:val="pl-PL"/>
        </w:rPr>
        <w:footnoteRef/>
      </w:r>
      <w:r w:rsidR="00485F96" w:rsidRPr="00DC0E1A">
        <w:rPr>
          <w:sz w:val="24"/>
          <w:lang w:val="fi-FI"/>
        </w:rPr>
        <w:t xml:space="preserve"> </w:t>
      </w:r>
      <w:r w:rsidR="00485F96" w:rsidRPr="00DC0E1A">
        <w:rPr>
          <w:sz w:val="24"/>
          <w:lang w:val="fi-FI"/>
        </w:rPr>
        <w:tab/>
      </w:r>
      <w:proofErr w:type="spellStart"/>
      <w:r w:rsidRPr="00DC0E1A">
        <w:rPr>
          <w:sz w:val="24"/>
          <w:lang w:val="fi-FI"/>
        </w:rPr>
        <w:t>Dz.U</w:t>
      </w:r>
      <w:proofErr w:type="spellEnd"/>
      <w:r w:rsidRPr="00DC0E1A">
        <w:rPr>
          <w:sz w:val="24"/>
          <w:lang w:val="fi-FI"/>
        </w:rPr>
        <w:t xml:space="preserve">. L, 2024/2509, 26.9.2024, ELI: </w:t>
      </w:r>
      <w:hyperlink r:id="rId7" w:history="1">
        <w:r w:rsidRPr="00DC0E1A">
          <w:rPr>
            <w:rStyle w:val="Hyperlink"/>
            <w:sz w:val="24"/>
            <w:lang w:val="fi-FI"/>
          </w:rPr>
          <w:t>http://data.europa.eu/eli/reg/2024/2509/oj</w:t>
        </w:r>
      </w:hyperlink>
      <w:r w:rsidRPr="00DC0E1A">
        <w:rPr>
          <w:sz w:val="24"/>
          <w:lang w:val="fi-FI"/>
        </w:rPr>
        <w:t>.</w:t>
      </w:r>
    </w:p>
  </w:footnote>
  <w:footnote w:id="8">
    <w:p w14:paraId="2952B204" w14:textId="52E3DD0C" w:rsidR="00EF304C" w:rsidRPr="00485F96" w:rsidRDefault="00EF304C" w:rsidP="00485F96">
      <w:pPr>
        <w:pStyle w:val="FootnoteText"/>
        <w:ind w:left="567" w:hanging="567"/>
        <w:rPr>
          <w:sz w:val="24"/>
          <w:lang w:val="pl-PL"/>
        </w:rPr>
      </w:pPr>
      <w:r w:rsidRPr="00485F96">
        <w:rPr>
          <w:rStyle w:val="FootnoteReference"/>
          <w:sz w:val="24"/>
          <w:lang w:val="pl-PL"/>
        </w:rPr>
        <w:footnoteRef/>
      </w:r>
      <w:r w:rsidR="00485F96" w:rsidRPr="00485F96">
        <w:rPr>
          <w:sz w:val="24"/>
          <w:lang w:val="pl-PL"/>
        </w:rPr>
        <w:t xml:space="preserve"> </w:t>
      </w:r>
      <w:r w:rsidR="00485F96" w:rsidRPr="00485F96">
        <w:rPr>
          <w:sz w:val="24"/>
          <w:lang w:val="pl-PL"/>
        </w:rPr>
        <w:tab/>
      </w:r>
      <w:r w:rsidRPr="00485F96">
        <w:rPr>
          <w:sz w:val="24"/>
          <w:lang w:val="pl-PL"/>
        </w:rPr>
        <w:t xml:space="preserve">Rozporządzenie Rady (UE, </w:t>
      </w:r>
      <w:proofErr w:type="spellStart"/>
      <w:r w:rsidRPr="00485F96">
        <w:rPr>
          <w:sz w:val="24"/>
          <w:lang w:val="pl-PL"/>
        </w:rPr>
        <w:t>Euratom</w:t>
      </w:r>
      <w:proofErr w:type="spellEnd"/>
      <w:r w:rsidRPr="00485F96">
        <w:rPr>
          <w:sz w:val="24"/>
          <w:lang w:val="pl-PL"/>
        </w:rPr>
        <w:t>) 2020/2093 z dnia 17 grudnia 2020 r. określające wieloletnie ramy finansowe na lata 2021–2027 (Dz.U. L 433 I z 22.12.2020, s. 11, ELI:</w:t>
      </w:r>
      <w:r w:rsidRPr="00485F96">
        <w:rPr>
          <w:color w:val="333333"/>
          <w:sz w:val="24"/>
          <w:shd w:val="clear" w:color="auto" w:fill="FFFFFF"/>
          <w:lang w:val="pl-PL"/>
        </w:rPr>
        <w:t xml:space="preserve"> </w:t>
      </w:r>
      <w:hyperlink r:id="rId8" w:history="1">
        <w:r w:rsidRPr="00485F96">
          <w:rPr>
            <w:rStyle w:val="Hyperlink"/>
            <w:sz w:val="24"/>
            <w:shd w:val="clear" w:color="auto" w:fill="FFFFFF"/>
            <w:lang w:val="pl-PL"/>
          </w:rPr>
          <w:t>http://data.europa.eu/eli/reg/2020/2093/oj</w:t>
        </w:r>
      </w:hyperlink>
      <w:r w:rsidRPr="00485F96">
        <w:rPr>
          <w:sz w:val="24"/>
          <w:lang w:val="pl-PL"/>
        </w:rPr>
        <w:t>).</w:t>
      </w:r>
    </w:p>
  </w:footnote>
  <w:footnote w:id="9">
    <w:p w14:paraId="6483FE92" w14:textId="4D503261" w:rsidR="00EF304C" w:rsidRPr="00485F96" w:rsidRDefault="00EF304C" w:rsidP="00485F96">
      <w:pPr>
        <w:pStyle w:val="FootnoteText"/>
        <w:ind w:left="567" w:hanging="567"/>
        <w:rPr>
          <w:sz w:val="24"/>
          <w:lang w:val="pl-PL"/>
        </w:rPr>
      </w:pPr>
      <w:r w:rsidRPr="00485F96">
        <w:rPr>
          <w:rStyle w:val="FootnoteReference"/>
          <w:sz w:val="24"/>
          <w:lang w:val="pl-PL"/>
        </w:rPr>
        <w:footnoteRef/>
      </w:r>
      <w:r w:rsidR="00485F96" w:rsidRPr="00485F96">
        <w:rPr>
          <w:sz w:val="24"/>
          <w:lang w:val="pl-PL"/>
        </w:rPr>
        <w:t xml:space="preserve"> </w:t>
      </w:r>
      <w:r w:rsidR="00485F96" w:rsidRPr="00485F96">
        <w:rPr>
          <w:sz w:val="24"/>
          <w:lang w:val="pl-PL"/>
        </w:rPr>
        <w:tab/>
      </w:r>
      <w:r w:rsidRPr="00485F96">
        <w:rPr>
          <w:sz w:val="24"/>
          <w:lang w:val="pl-PL"/>
        </w:rPr>
        <w:t xml:space="preserve">Rozporządzenie Parlamentu Europejskiego i Rady (UE, </w:t>
      </w:r>
      <w:proofErr w:type="spellStart"/>
      <w:r w:rsidRPr="00485F96">
        <w:rPr>
          <w:sz w:val="24"/>
          <w:lang w:val="pl-PL"/>
        </w:rPr>
        <w:t>Euratom</w:t>
      </w:r>
      <w:proofErr w:type="spellEnd"/>
      <w:r w:rsidRPr="00485F96">
        <w:rPr>
          <w:sz w:val="24"/>
          <w:lang w:val="pl-PL"/>
        </w:rPr>
        <w:t xml:space="preserve">) 2023/2841 z dnia 13 grudnia 2023 r. w sprawie ustanowienia środków na rzecz wysokiego wspólnego poziomu </w:t>
      </w:r>
      <w:proofErr w:type="spellStart"/>
      <w:r w:rsidRPr="00485F96">
        <w:rPr>
          <w:sz w:val="24"/>
          <w:lang w:val="pl-PL"/>
        </w:rPr>
        <w:t>cyberbezpieczeństwa</w:t>
      </w:r>
      <w:proofErr w:type="spellEnd"/>
      <w:r w:rsidRPr="00485F96">
        <w:rPr>
          <w:sz w:val="24"/>
          <w:lang w:val="pl-PL"/>
        </w:rPr>
        <w:t xml:space="preserve"> w instytucjach, organach i jednostkach organizacyjnych Unii (Dz.U. L, 2023/2841, 18.12.2023, ELI: </w:t>
      </w:r>
      <w:hyperlink r:id="rId9" w:history="1">
        <w:r w:rsidRPr="00485F96">
          <w:rPr>
            <w:rStyle w:val="Hyperlink"/>
            <w:sz w:val="24"/>
            <w:lang w:val="pl-PL"/>
          </w:rPr>
          <w:t>http://data.europa.eu/eli/reg/2023/2841/oj</w:t>
        </w:r>
      </w:hyperlink>
      <w:r w:rsidRPr="00485F96">
        <w:rPr>
          <w:sz w:val="24"/>
          <w:lang w:val="pl-PL"/>
        </w:rPr>
        <w:t>).</w:t>
      </w:r>
    </w:p>
  </w:footnote>
  <w:footnote w:id="10">
    <w:p w14:paraId="36CA0CF1" w14:textId="3F1F8133" w:rsidR="00EF304C" w:rsidRPr="00485F96" w:rsidRDefault="00EF304C" w:rsidP="00485F96">
      <w:pPr>
        <w:pStyle w:val="FootnoteText"/>
        <w:ind w:left="567" w:hanging="567"/>
        <w:rPr>
          <w:sz w:val="24"/>
          <w:lang w:val="pl-PL"/>
        </w:rPr>
      </w:pPr>
      <w:r w:rsidRPr="00485F96">
        <w:rPr>
          <w:rStyle w:val="FootnoteReference"/>
          <w:sz w:val="24"/>
          <w:lang w:val="pl-PL"/>
        </w:rPr>
        <w:footnoteRef/>
      </w:r>
      <w:r w:rsidR="00485F96" w:rsidRPr="00485F96">
        <w:rPr>
          <w:sz w:val="24"/>
          <w:lang w:val="pl-PL"/>
        </w:rPr>
        <w:t xml:space="preserve"> </w:t>
      </w:r>
      <w:r w:rsidR="00485F96" w:rsidRPr="00485F96">
        <w:rPr>
          <w:sz w:val="24"/>
          <w:lang w:val="pl-PL"/>
        </w:rPr>
        <w:tab/>
      </w:r>
      <w:r w:rsidRPr="00485F96">
        <w:rPr>
          <w:sz w:val="24"/>
          <w:lang w:val="pl-PL"/>
        </w:rPr>
        <w:t xml:space="preserve">Rozporządzenie Parlamentu Europejskiego i Rady (UE) 2024/1689 z dnia 13 czerwca 2024 r. w sprawie ustanowienia zharmonizowanych przepisów dotyczących sztucznej inteligencji oraz zmiany rozporządzeń (WE) nr 300/2008, (UE) nr 167/2013, (UE) nr 168/2013, (UE) 2018/858, (UE) 2018/1139 i (UE) 2019/2144 oraz dyrektyw 2014/90/UE, (UE) 2016/797 i (UE) 2020/1828 (akt w sprawie sztucznej inteligencji) (Dz.U. L, 2024/1689, 12.7.2024, ELI: </w:t>
      </w:r>
      <w:hyperlink r:id="rId10" w:history="1">
        <w:r w:rsidRPr="00485F96">
          <w:rPr>
            <w:rStyle w:val="Hyperlink"/>
            <w:sz w:val="24"/>
            <w:lang w:val="pl-PL"/>
          </w:rPr>
          <w:t>http://data.europa.eu/eli/reg/2024/1689/oj</w:t>
        </w:r>
      </w:hyperlink>
      <w:r w:rsidRPr="00485F96">
        <w:rPr>
          <w:sz w:val="24"/>
          <w:lang w:val="pl-PL"/>
        </w:rPr>
        <w:t>).</w:t>
      </w:r>
    </w:p>
  </w:footnote>
  <w:footnote w:id="11">
    <w:p w14:paraId="005F5498" w14:textId="0E174CDE" w:rsidR="00EF304C" w:rsidRPr="00485F96" w:rsidRDefault="00EF304C" w:rsidP="00485F96">
      <w:pPr>
        <w:pStyle w:val="FootnoteText"/>
        <w:ind w:left="567" w:hanging="567"/>
        <w:rPr>
          <w:sz w:val="24"/>
          <w:lang w:val="pl-PL"/>
        </w:rPr>
      </w:pPr>
      <w:r w:rsidRPr="00485F96">
        <w:rPr>
          <w:rStyle w:val="FootnoteReference"/>
          <w:sz w:val="24"/>
          <w:lang w:val="pl-PL"/>
        </w:rPr>
        <w:footnoteRef/>
      </w:r>
      <w:r w:rsidR="00485F96" w:rsidRPr="00485F96">
        <w:rPr>
          <w:sz w:val="24"/>
          <w:lang w:val="pl-PL"/>
        </w:rPr>
        <w:t xml:space="preserve"> </w:t>
      </w:r>
      <w:r w:rsidR="00485F96" w:rsidRPr="00485F96">
        <w:rPr>
          <w:sz w:val="24"/>
          <w:lang w:val="pl-PL"/>
        </w:rPr>
        <w:tab/>
      </w:r>
      <w:r w:rsidRPr="00485F96">
        <w:rPr>
          <w:sz w:val="24"/>
          <w:lang w:val="pl-PL"/>
        </w:rPr>
        <w:t>Decyzja Prezydium Parlamentu Europejskiego z dnia 12 czerwca 2023 r. zmieniająca przepisy wykonawcze do Statutu posła do Parlamentu Europejskiego (Dz.U. C 227 z 29.6.2023, s. 5).</w:t>
      </w:r>
    </w:p>
  </w:footnote>
  <w:footnote w:id="12">
    <w:p w14:paraId="643CF2EE" w14:textId="3D1B1FA9" w:rsidR="00EF304C" w:rsidRPr="00485F96" w:rsidRDefault="00EF304C" w:rsidP="00485F96">
      <w:pPr>
        <w:pStyle w:val="FootnoteText"/>
        <w:ind w:left="567" w:hanging="567"/>
        <w:rPr>
          <w:sz w:val="24"/>
          <w:lang w:val="pl-PL"/>
        </w:rPr>
      </w:pPr>
      <w:r w:rsidRPr="00485F96">
        <w:rPr>
          <w:rStyle w:val="FootnoteReference"/>
          <w:sz w:val="24"/>
          <w:lang w:val="pl-PL"/>
        </w:rPr>
        <w:footnoteRef/>
      </w:r>
      <w:r w:rsidR="00485F96" w:rsidRPr="00485F96">
        <w:rPr>
          <w:sz w:val="24"/>
          <w:lang w:val="pl-PL"/>
        </w:rPr>
        <w:t xml:space="preserve"> </w:t>
      </w:r>
      <w:r w:rsidR="00485F96" w:rsidRPr="00485F96">
        <w:rPr>
          <w:sz w:val="24"/>
          <w:lang w:val="pl-PL"/>
        </w:rPr>
        <w:tab/>
      </w:r>
      <w:r w:rsidRPr="00485F96">
        <w:rPr>
          <w:sz w:val="24"/>
          <w:lang w:val="pl-PL"/>
        </w:rPr>
        <w:t xml:space="preserve">Rozporządzenie Parlamentu Europejskiego i Rady (UE, </w:t>
      </w:r>
      <w:proofErr w:type="spellStart"/>
      <w:r w:rsidRPr="00485F96">
        <w:rPr>
          <w:sz w:val="24"/>
          <w:lang w:val="pl-PL"/>
        </w:rPr>
        <w:t>Euratom</w:t>
      </w:r>
      <w:proofErr w:type="spellEnd"/>
      <w:r w:rsidRPr="00485F96">
        <w:rPr>
          <w:sz w:val="24"/>
          <w:lang w:val="pl-PL"/>
        </w:rPr>
        <w:t xml:space="preserve">) 2025/2445 z dnia 26 listopada 2025 r. w sprawie statusu i finansowania europejskich partii politycznych i europejskich fundacji politycznych (Dz.U. L, 2025/2445, 8.12.2025, ELI: </w:t>
      </w:r>
      <w:hyperlink r:id="rId11" w:history="1">
        <w:r w:rsidRPr="00485F96">
          <w:rPr>
            <w:rStyle w:val="Hyperlink"/>
            <w:sz w:val="24"/>
            <w:lang w:val="pl-PL"/>
          </w:rPr>
          <w:t>http://data.europa.eu/eli/reg/2025/2445/oj</w:t>
        </w:r>
      </w:hyperlink>
      <w:r w:rsidRPr="00485F96">
        <w:rPr>
          <w:sz w:val="24"/>
          <w:lang w:val="pl-PL"/>
        </w:rPr>
        <w:t>).</w:t>
      </w:r>
    </w:p>
  </w:footnote>
  <w:footnote w:id="13">
    <w:p w14:paraId="114078A5" w14:textId="4CABB2D3" w:rsidR="00EF304C" w:rsidRPr="00485F96" w:rsidRDefault="00EF304C" w:rsidP="00485F96">
      <w:pPr>
        <w:pStyle w:val="FootnoteText"/>
        <w:ind w:left="567" w:hanging="567"/>
        <w:rPr>
          <w:sz w:val="24"/>
          <w:lang w:val="pl-PL"/>
        </w:rPr>
      </w:pPr>
      <w:r w:rsidRPr="00485F96">
        <w:rPr>
          <w:rStyle w:val="FootnoteReference"/>
          <w:sz w:val="24"/>
          <w:lang w:val="pl-PL"/>
        </w:rPr>
        <w:footnoteRef/>
      </w:r>
      <w:r w:rsidR="00485F96" w:rsidRPr="00485F96">
        <w:rPr>
          <w:sz w:val="24"/>
          <w:lang w:val="pl-PL"/>
        </w:rPr>
        <w:t xml:space="preserve"> </w:t>
      </w:r>
      <w:r w:rsidR="00485F96" w:rsidRPr="00485F96">
        <w:rPr>
          <w:sz w:val="24"/>
          <w:lang w:val="pl-PL"/>
        </w:rPr>
        <w:tab/>
      </w:r>
      <w:r w:rsidRPr="00485F96">
        <w:rPr>
          <w:sz w:val="24"/>
          <w:lang w:val="pl-PL"/>
        </w:rPr>
        <w:t xml:space="preserve">Wszystkie kwoty w EUR. </w:t>
      </w:r>
    </w:p>
  </w:footnote>
  <w:footnote w:id="14">
    <w:p w14:paraId="71610E2E" w14:textId="56FCB132" w:rsidR="00EF304C" w:rsidRPr="00485F96" w:rsidRDefault="00EF304C" w:rsidP="00485F96">
      <w:pPr>
        <w:pStyle w:val="FootnoteText"/>
        <w:ind w:left="567" w:hanging="567"/>
        <w:rPr>
          <w:sz w:val="24"/>
          <w:lang w:val="pl-PL"/>
        </w:rPr>
      </w:pPr>
      <w:r w:rsidRPr="00485F96">
        <w:rPr>
          <w:rStyle w:val="FootnoteReference"/>
          <w:sz w:val="24"/>
          <w:lang w:val="pl-PL"/>
        </w:rPr>
        <w:footnoteRef/>
      </w:r>
      <w:r w:rsidR="00485F96" w:rsidRPr="00485F96">
        <w:rPr>
          <w:sz w:val="24"/>
          <w:lang w:val="pl-PL"/>
        </w:rPr>
        <w:t xml:space="preserve"> </w:t>
      </w:r>
      <w:r w:rsidR="00485F96" w:rsidRPr="00485F96">
        <w:rPr>
          <w:sz w:val="24"/>
          <w:lang w:val="pl-PL"/>
        </w:rPr>
        <w:tab/>
      </w:r>
      <w:r w:rsidRPr="00485F96">
        <w:rPr>
          <w:sz w:val="24"/>
          <w:lang w:val="pl-PL"/>
        </w:rPr>
        <w:t>Składa się z drugiej części ostatecznego finansowania na 2023 r. i pierwszej części ostatecznego finansowania na 2024 r., zgodnie z decyzją Prezydium z 9 marca 2026 r.</w:t>
      </w:r>
    </w:p>
  </w:footnote>
  <w:footnote w:id="15">
    <w:p w14:paraId="3369FC6A" w14:textId="6130220D" w:rsidR="00EF304C" w:rsidRPr="00485F96" w:rsidRDefault="00EF304C" w:rsidP="00485F96">
      <w:pPr>
        <w:pStyle w:val="FootnoteText"/>
        <w:ind w:left="567" w:hanging="567"/>
        <w:rPr>
          <w:sz w:val="24"/>
          <w:lang w:val="pl-PL"/>
        </w:rPr>
      </w:pPr>
      <w:r w:rsidRPr="00485F96">
        <w:rPr>
          <w:rStyle w:val="FootnoteReference"/>
          <w:sz w:val="24"/>
          <w:lang w:val="pl-PL"/>
        </w:rPr>
        <w:footnoteRef/>
      </w:r>
      <w:r w:rsidR="00485F96" w:rsidRPr="00485F96">
        <w:rPr>
          <w:sz w:val="24"/>
          <w:lang w:val="pl-PL"/>
        </w:rPr>
        <w:t xml:space="preserve"> </w:t>
      </w:r>
      <w:r w:rsidR="00485F96" w:rsidRPr="00485F96">
        <w:rPr>
          <w:sz w:val="24"/>
          <w:lang w:val="pl-PL"/>
        </w:rPr>
        <w:tab/>
      </w:r>
      <w:r w:rsidRPr="00485F96">
        <w:rPr>
          <w:sz w:val="24"/>
          <w:lang w:val="pl-PL"/>
        </w:rPr>
        <w:t>Sprawozdania finansowe za 2024 r. sporządzone zgodnie z ogólnie przyjętymi zasadami rachunkowości skorygowane o wpływ reklasyfikacji z zamknięcia roku budżetowego 2024.</w:t>
      </w:r>
    </w:p>
  </w:footnote>
  <w:footnote w:id="16">
    <w:p w14:paraId="0405322C" w14:textId="58C32791" w:rsidR="00EF304C" w:rsidRPr="00485F96" w:rsidRDefault="00EF304C" w:rsidP="00485F96">
      <w:pPr>
        <w:pStyle w:val="FootnoteText"/>
        <w:ind w:left="567" w:hanging="567"/>
        <w:rPr>
          <w:sz w:val="24"/>
          <w:lang w:val="pl-PL"/>
        </w:rPr>
      </w:pPr>
      <w:r w:rsidRPr="00485F96">
        <w:rPr>
          <w:rStyle w:val="FootnoteReference"/>
          <w:sz w:val="24"/>
          <w:lang w:val="pl-PL"/>
        </w:rPr>
        <w:footnoteRef/>
      </w:r>
      <w:r w:rsidR="00485F96" w:rsidRPr="00485F96">
        <w:rPr>
          <w:sz w:val="24"/>
          <w:lang w:val="pl-PL"/>
        </w:rPr>
        <w:t xml:space="preserve"> </w:t>
      </w:r>
      <w:r w:rsidR="00485F96" w:rsidRPr="00485F96">
        <w:rPr>
          <w:sz w:val="24"/>
          <w:lang w:val="pl-PL"/>
        </w:rPr>
        <w:tab/>
      </w:r>
      <w:r w:rsidRPr="00485F96">
        <w:rPr>
          <w:sz w:val="24"/>
          <w:lang w:val="pl-PL"/>
        </w:rPr>
        <w:t>„Patriots.eu” – od lipca 2024 r.</w:t>
      </w:r>
    </w:p>
  </w:footnote>
  <w:footnote w:id="17">
    <w:p w14:paraId="56627649" w14:textId="7A8F8FE0" w:rsidR="00EF304C" w:rsidRPr="00485F96" w:rsidRDefault="00EF304C" w:rsidP="00485F96">
      <w:pPr>
        <w:pStyle w:val="FootnoteText"/>
        <w:ind w:left="567" w:hanging="567"/>
        <w:rPr>
          <w:sz w:val="24"/>
          <w:lang w:val="pl-PL"/>
        </w:rPr>
      </w:pPr>
      <w:r w:rsidRPr="00485F96">
        <w:rPr>
          <w:rStyle w:val="FootnoteReference"/>
          <w:sz w:val="24"/>
          <w:lang w:val="pl-PL"/>
        </w:rPr>
        <w:footnoteRef/>
      </w:r>
      <w:r w:rsidR="00485F96" w:rsidRPr="00485F96">
        <w:rPr>
          <w:sz w:val="24"/>
          <w:lang w:val="pl-PL"/>
        </w:rPr>
        <w:t xml:space="preserve"> </w:t>
      </w:r>
      <w:r w:rsidR="00485F96" w:rsidRPr="00485F96">
        <w:rPr>
          <w:sz w:val="24"/>
          <w:lang w:val="pl-PL"/>
        </w:rPr>
        <w:tab/>
      </w:r>
      <w:r w:rsidRPr="00485F96">
        <w:rPr>
          <w:sz w:val="24"/>
          <w:lang w:val="pl-PL"/>
        </w:rPr>
        <w:t>„Europejska Chrześcijańska Partia Polityczna” od marca 2025 r.</w:t>
      </w:r>
    </w:p>
  </w:footnote>
  <w:footnote w:id="18">
    <w:p w14:paraId="1A60A01E" w14:textId="4BD57F69" w:rsidR="00EF304C" w:rsidRPr="00485F96" w:rsidRDefault="00EF304C" w:rsidP="00485F96">
      <w:pPr>
        <w:pStyle w:val="FootnoteText"/>
        <w:ind w:left="567" w:hanging="567"/>
        <w:rPr>
          <w:sz w:val="24"/>
          <w:szCs w:val="24"/>
          <w:lang w:val="pl-PL"/>
        </w:rPr>
      </w:pPr>
      <w:r w:rsidRPr="00485F96">
        <w:rPr>
          <w:rStyle w:val="FootnoteReference"/>
          <w:sz w:val="24"/>
          <w:lang w:val="pl-PL"/>
        </w:rPr>
        <w:footnoteRef/>
      </w:r>
      <w:r w:rsidR="00485F96" w:rsidRPr="00485F96">
        <w:rPr>
          <w:sz w:val="24"/>
          <w:lang w:val="pl-PL"/>
        </w:rPr>
        <w:t xml:space="preserve"> </w:t>
      </w:r>
      <w:r w:rsidR="00485F96" w:rsidRPr="00485F96">
        <w:rPr>
          <w:sz w:val="24"/>
          <w:lang w:val="pl-PL"/>
        </w:rPr>
        <w:tab/>
      </w:r>
      <w:r w:rsidRPr="00485F96">
        <w:rPr>
          <w:sz w:val="24"/>
          <w:lang w:val="pl-PL"/>
        </w:rPr>
        <w:t xml:space="preserve">Wszystkie kwoty w EUR. </w:t>
      </w:r>
    </w:p>
  </w:footnote>
  <w:footnote w:id="19">
    <w:p w14:paraId="07EB7153" w14:textId="1D66E99A" w:rsidR="00EF304C" w:rsidRPr="00485F96" w:rsidRDefault="00EF304C" w:rsidP="00485F96">
      <w:pPr>
        <w:pStyle w:val="FootnoteText"/>
        <w:ind w:left="567" w:hanging="567"/>
        <w:rPr>
          <w:sz w:val="24"/>
          <w:lang w:val="pl-PL"/>
        </w:rPr>
      </w:pPr>
      <w:r w:rsidRPr="00485F96">
        <w:rPr>
          <w:rStyle w:val="FootnoteReference"/>
          <w:sz w:val="24"/>
          <w:lang w:val="pl-PL"/>
        </w:rPr>
        <w:footnoteRef/>
      </w:r>
      <w:r w:rsidR="00485F96" w:rsidRPr="00485F96">
        <w:rPr>
          <w:sz w:val="24"/>
          <w:lang w:val="pl-PL"/>
        </w:rPr>
        <w:t xml:space="preserve"> </w:t>
      </w:r>
      <w:r w:rsidR="00485F96" w:rsidRPr="00485F96">
        <w:rPr>
          <w:sz w:val="24"/>
          <w:lang w:val="pl-PL"/>
        </w:rPr>
        <w:tab/>
      </w:r>
      <w:r w:rsidRPr="00485F96">
        <w:rPr>
          <w:sz w:val="24"/>
          <w:lang w:val="pl-PL"/>
        </w:rPr>
        <w:t>Sprawozdania finansowe za 2024 r. sporządzone zgodnie z ogólnie przyjętymi zasadami rachunkowości skorygowane o wpływ reklasyfikacji z zamknięcia roku budżetowego 2024.</w:t>
      </w:r>
    </w:p>
  </w:footnote>
  <w:footnote w:id="20">
    <w:p w14:paraId="6E672922" w14:textId="2D5B7E33" w:rsidR="00EF304C" w:rsidRPr="00485F96" w:rsidRDefault="00EF304C" w:rsidP="00485F96">
      <w:pPr>
        <w:pStyle w:val="FootnoteText"/>
        <w:ind w:left="567" w:hanging="567"/>
        <w:rPr>
          <w:sz w:val="24"/>
          <w:lang w:val="pl-PL"/>
        </w:rPr>
      </w:pPr>
      <w:r w:rsidRPr="00485F96">
        <w:rPr>
          <w:rStyle w:val="FootnoteReference"/>
          <w:sz w:val="24"/>
          <w:lang w:val="pl-PL"/>
        </w:rPr>
        <w:footnoteRef/>
      </w:r>
      <w:r w:rsidR="00485F96" w:rsidRPr="00485F96">
        <w:rPr>
          <w:sz w:val="24"/>
          <w:lang w:val="pl-PL"/>
        </w:rPr>
        <w:t xml:space="preserve"> </w:t>
      </w:r>
      <w:r w:rsidR="00485F96" w:rsidRPr="00485F96">
        <w:rPr>
          <w:sz w:val="24"/>
          <w:lang w:val="pl-PL"/>
        </w:rPr>
        <w:tab/>
      </w:r>
      <w:r w:rsidRPr="00485F96">
        <w:rPr>
          <w:sz w:val="24"/>
          <w:lang w:val="pl-PL"/>
        </w:rPr>
        <w:t>„Nowy kierunek – Fundacja na rzecz Konserwatyzmu Europejskiego” – od lipca 2025 r.</w:t>
      </w:r>
    </w:p>
  </w:footnote>
  <w:footnote w:id="21">
    <w:p w14:paraId="06A1EF19" w14:textId="277897AF" w:rsidR="00EF304C" w:rsidRPr="00485F96" w:rsidRDefault="00EF304C" w:rsidP="00485F96">
      <w:pPr>
        <w:pStyle w:val="FootnoteText"/>
        <w:ind w:left="567" w:hanging="567"/>
        <w:rPr>
          <w:sz w:val="24"/>
          <w:lang w:val="pl-PL"/>
        </w:rPr>
      </w:pPr>
      <w:r w:rsidRPr="00485F96">
        <w:rPr>
          <w:rStyle w:val="FootnoteReference"/>
          <w:sz w:val="24"/>
          <w:lang w:val="pl-PL"/>
        </w:rPr>
        <w:footnoteRef/>
      </w:r>
      <w:r w:rsidR="00485F96" w:rsidRPr="00485F96">
        <w:rPr>
          <w:sz w:val="24"/>
          <w:lang w:val="pl-PL"/>
        </w:rPr>
        <w:t xml:space="preserve"> </w:t>
      </w:r>
      <w:r w:rsidR="00485F96" w:rsidRPr="00485F96">
        <w:rPr>
          <w:sz w:val="24"/>
          <w:lang w:val="pl-PL"/>
        </w:rPr>
        <w:tab/>
      </w:r>
      <w:r w:rsidRPr="00485F96">
        <w:rPr>
          <w:sz w:val="24"/>
          <w:lang w:val="pl-PL"/>
        </w:rPr>
        <w:t>Fundacja „Fundacja Patrioci dla Europy” – od października 2024 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186235" w14:textId="77777777" w:rsidR="00EF304C" w:rsidRPr="00485F96" w:rsidRDefault="00EF304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AEB3E5" w14:textId="77777777" w:rsidR="00EF304C" w:rsidRPr="00485F96" w:rsidRDefault="00EF304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0140AC" w14:textId="77777777" w:rsidR="00EF304C" w:rsidRPr="00485F96" w:rsidRDefault="00EF304C">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E1946D" w14:textId="77777777" w:rsidR="00064002" w:rsidRPr="00485F96" w:rsidRDefault="00064002"/>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4A2CF2" w14:textId="77777777" w:rsidR="00064002" w:rsidRPr="00485F96" w:rsidRDefault="00064002"/>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141282" w14:textId="77777777" w:rsidR="00064002" w:rsidRPr="00485F9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469051788">
    <w:abstractNumId w:val="9"/>
  </w:num>
  <w:num w:numId="2" w16cid:durableId="1488664670">
    <w:abstractNumId w:val="9"/>
  </w:num>
  <w:num w:numId="3" w16cid:durableId="1083986348">
    <w:abstractNumId w:val="7"/>
  </w:num>
  <w:num w:numId="4" w16cid:durableId="1266885812">
    <w:abstractNumId w:val="7"/>
  </w:num>
  <w:num w:numId="5" w16cid:durableId="1547907151">
    <w:abstractNumId w:val="6"/>
  </w:num>
  <w:num w:numId="6" w16cid:durableId="1207134585">
    <w:abstractNumId w:val="6"/>
  </w:num>
  <w:num w:numId="7" w16cid:durableId="1419448871">
    <w:abstractNumId w:val="5"/>
  </w:num>
  <w:num w:numId="8" w16cid:durableId="163739887">
    <w:abstractNumId w:val="5"/>
  </w:num>
  <w:num w:numId="9" w16cid:durableId="271978381">
    <w:abstractNumId w:val="4"/>
  </w:num>
  <w:num w:numId="10" w16cid:durableId="471094883">
    <w:abstractNumId w:val="4"/>
  </w:num>
  <w:num w:numId="11" w16cid:durableId="262109874">
    <w:abstractNumId w:val="8"/>
  </w:num>
  <w:num w:numId="12" w16cid:durableId="1132596896">
    <w:abstractNumId w:val="8"/>
  </w:num>
  <w:num w:numId="13" w16cid:durableId="493692969">
    <w:abstractNumId w:val="3"/>
  </w:num>
  <w:num w:numId="14" w16cid:durableId="1224833032">
    <w:abstractNumId w:val="3"/>
  </w:num>
  <w:num w:numId="15" w16cid:durableId="395667139">
    <w:abstractNumId w:val="2"/>
  </w:num>
  <w:num w:numId="16" w16cid:durableId="1608464609">
    <w:abstractNumId w:val="2"/>
  </w:num>
  <w:num w:numId="17" w16cid:durableId="834688954">
    <w:abstractNumId w:val="1"/>
  </w:num>
  <w:num w:numId="18" w16cid:durableId="357701590">
    <w:abstractNumId w:val="1"/>
  </w:num>
  <w:num w:numId="19" w16cid:durableId="995570200">
    <w:abstractNumId w:val="0"/>
  </w:num>
  <w:num w:numId="20" w16cid:durableId="783230537">
    <w:abstractNumId w:val="0"/>
  </w:num>
  <w:num w:numId="21" w16cid:durableId="1841693615">
    <w:abstractNumId w:val="9"/>
  </w:num>
  <w:num w:numId="22" w16cid:durableId="1155336753">
    <w:abstractNumId w:val="7"/>
  </w:num>
  <w:num w:numId="23" w16cid:durableId="408158620">
    <w:abstractNumId w:val="6"/>
  </w:num>
  <w:num w:numId="24" w16cid:durableId="665792951">
    <w:abstractNumId w:val="5"/>
  </w:num>
  <w:num w:numId="25" w16cid:durableId="1926693597">
    <w:abstractNumId w:val="4"/>
  </w:num>
  <w:num w:numId="26" w16cid:durableId="1061254053">
    <w:abstractNumId w:val="8"/>
  </w:num>
  <w:num w:numId="27" w16cid:durableId="582489968">
    <w:abstractNumId w:val="3"/>
  </w:num>
  <w:num w:numId="28" w16cid:durableId="1913545575">
    <w:abstractNumId w:val="2"/>
  </w:num>
  <w:num w:numId="29" w16cid:durableId="408356197">
    <w:abstractNumId w:val="1"/>
  </w:num>
  <w:num w:numId="30" w16cid:durableId="1976135278">
    <w:abstractNumId w:val="0"/>
  </w:num>
  <w:num w:numId="31" w16cid:durableId="66733413">
    <w:abstractNumId w:val="9"/>
  </w:num>
  <w:num w:numId="32" w16cid:durableId="1257596220">
    <w:abstractNumId w:val="7"/>
  </w:num>
  <w:num w:numId="33" w16cid:durableId="1747654582">
    <w:abstractNumId w:val="6"/>
  </w:num>
  <w:num w:numId="34" w16cid:durableId="1477449155">
    <w:abstractNumId w:val="5"/>
  </w:num>
  <w:num w:numId="35" w16cid:durableId="1023433158">
    <w:abstractNumId w:val="4"/>
  </w:num>
  <w:num w:numId="36" w16cid:durableId="833299320">
    <w:abstractNumId w:val="8"/>
  </w:num>
  <w:num w:numId="37" w16cid:durableId="280187929">
    <w:abstractNumId w:val="3"/>
  </w:num>
  <w:num w:numId="38" w16cid:durableId="1287543610">
    <w:abstractNumId w:val="2"/>
  </w:num>
  <w:num w:numId="39" w16cid:durableId="141240730">
    <w:abstractNumId w:val="1"/>
  </w:num>
  <w:num w:numId="40" w16cid:durableId="1235511088">
    <w:abstractNumId w:val="0"/>
  </w:num>
  <w:num w:numId="41" w16cid:durableId="168756035">
    <w:abstractNumId w:val="10"/>
  </w:num>
  <w:num w:numId="42" w16cid:durableId="642270255">
    <w:abstractNumId w:val="10"/>
  </w:num>
  <w:num w:numId="43" w16cid:durableId="1523978657">
    <w:abstractNumId w:val="10"/>
  </w:num>
  <w:num w:numId="44" w16cid:durableId="191242628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81/2026"/>
    <w:docVar w:name="dvlangue" w:val="PL"/>
    <w:docVar w:name="dvnumam" w:val="0"/>
    <w:docVar w:name="dvpe" w:val="776.734"/>
    <w:docVar w:name="dvrapporteur" w:val="Sprawozdawca: "/>
    <w:docVar w:name="dvtitre" w:val="Decyzja Parlamentu Europejskiego z dnia  2026 r. w sprawie absolutorium z wykonania budżetu ogólnego Unii Europejskiej za rok budżetowy 2024, sekcja I - Parlament Europejski(2025/2146(DEC))"/>
  </w:docVars>
  <w:rsids>
    <w:rsidRoot w:val="002867FC"/>
    <w:rsid w:val="00002272"/>
    <w:rsid w:val="00064002"/>
    <w:rsid w:val="000677B9"/>
    <w:rsid w:val="000831BA"/>
    <w:rsid w:val="000A42CC"/>
    <w:rsid w:val="000C57F2"/>
    <w:rsid w:val="000E7DD9"/>
    <w:rsid w:val="0010095E"/>
    <w:rsid w:val="00125B37"/>
    <w:rsid w:val="00187494"/>
    <w:rsid w:val="001F32AE"/>
    <w:rsid w:val="0022150E"/>
    <w:rsid w:val="002767FF"/>
    <w:rsid w:val="002867FC"/>
    <w:rsid w:val="002B18FE"/>
    <w:rsid w:val="002B5493"/>
    <w:rsid w:val="00343214"/>
    <w:rsid w:val="00361C00"/>
    <w:rsid w:val="0037272D"/>
    <w:rsid w:val="00395FA1"/>
    <w:rsid w:val="003E15D4"/>
    <w:rsid w:val="00401118"/>
    <w:rsid w:val="00411CCE"/>
    <w:rsid w:val="0041666E"/>
    <w:rsid w:val="00421060"/>
    <w:rsid w:val="00471C19"/>
    <w:rsid w:val="00485F96"/>
    <w:rsid w:val="004867E3"/>
    <w:rsid w:val="00494A28"/>
    <w:rsid w:val="004C0004"/>
    <w:rsid w:val="004C5D52"/>
    <w:rsid w:val="0050519A"/>
    <w:rsid w:val="005072A1"/>
    <w:rsid w:val="00514517"/>
    <w:rsid w:val="00545827"/>
    <w:rsid w:val="00560270"/>
    <w:rsid w:val="00595B41"/>
    <w:rsid w:val="005C2568"/>
    <w:rsid w:val="005F1B17"/>
    <w:rsid w:val="006037C0"/>
    <w:rsid w:val="006631B6"/>
    <w:rsid w:val="00680577"/>
    <w:rsid w:val="006F74FA"/>
    <w:rsid w:val="00731ADD"/>
    <w:rsid w:val="00734777"/>
    <w:rsid w:val="00747932"/>
    <w:rsid w:val="00751A4A"/>
    <w:rsid w:val="00756632"/>
    <w:rsid w:val="00762C74"/>
    <w:rsid w:val="00770D87"/>
    <w:rsid w:val="00786EC0"/>
    <w:rsid w:val="007D1690"/>
    <w:rsid w:val="007E22AD"/>
    <w:rsid w:val="00817416"/>
    <w:rsid w:val="00842779"/>
    <w:rsid w:val="00865F67"/>
    <w:rsid w:val="00881A7B"/>
    <w:rsid w:val="008840E5"/>
    <w:rsid w:val="00887B3E"/>
    <w:rsid w:val="008963A5"/>
    <w:rsid w:val="008C2AC6"/>
    <w:rsid w:val="00930C23"/>
    <w:rsid w:val="0093193B"/>
    <w:rsid w:val="009509D8"/>
    <w:rsid w:val="00950B64"/>
    <w:rsid w:val="00981893"/>
    <w:rsid w:val="00A0694F"/>
    <w:rsid w:val="00A1687D"/>
    <w:rsid w:val="00A43E52"/>
    <w:rsid w:val="00A4678D"/>
    <w:rsid w:val="00A778C7"/>
    <w:rsid w:val="00A87CEC"/>
    <w:rsid w:val="00AB441E"/>
    <w:rsid w:val="00AB6293"/>
    <w:rsid w:val="00AE0928"/>
    <w:rsid w:val="00AF3B82"/>
    <w:rsid w:val="00B12E95"/>
    <w:rsid w:val="00B22876"/>
    <w:rsid w:val="00B44183"/>
    <w:rsid w:val="00B558F0"/>
    <w:rsid w:val="00B7760D"/>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C0E1A"/>
    <w:rsid w:val="00E365E1"/>
    <w:rsid w:val="00E820A4"/>
    <w:rsid w:val="00EB006A"/>
    <w:rsid w:val="00EB4772"/>
    <w:rsid w:val="00ED169E"/>
    <w:rsid w:val="00ED4235"/>
    <w:rsid w:val="00EF304C"/>
    <w:rsid w:val="00EF61DF"/>
    <w:rsid w:val="00F04346"/>
    <w:rsid w:val="00F075DC"/>
    <w:rsid w:val="00F149E9"/>
    <w:rsid w:val="00F5134D"/>
    <w:rsid w:val="00F70C29"/>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7154477"/>
  <w15:chartTrackingRefBased/>
  <w15:docId w15:val="{F3CAFD3B-D07C-4141-9A52-29E4D72DD2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pl-P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EF304C"/>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EF304C"/>
    <w:pPr>
      <w:spacing w:before="480" w:after="240"/>
    </w:pPr>
  </w:style>
  <w:style w:type="paragraph" w:customStyle="1" w:styleId="PageHeading">
    <w:name w:val="PageHeading"/>
    <w:basedOn w:val="Normal"/>
    <w:rsid w:val="00EF304C"/>
    <w:pPr>
      <w:keepNext/>
      <w:spacing w:after="480"/>
      <w:jc w:val="center"/>
    </w:pPr>
    <w:rPr>
      <w:rFonts w:ascii="Arial" w:hAnsi="Arial" w:cs="Arial"/>
      <w:b/>
    </w:rPr>
  </w:style>
  <w:style w:type="paragraph" w:customStyle="1" w:styleId="NormalBold">
    <w:name w:val="NormalBold"/>
    <w:basedOn w:val="Normal"/>
    <w:rsid w:val="00EF304C"/>
    <w:rPr>
      <w:b/>
    </w:rPr>
  </w:style>
  <w:style w:type="paragraph" w:customStyle="1" w:styleId="NormalHanging12a">
    <w:name w:val="NormalHanging12a"/>
    <w:basedOn w:val="Normal"/>
    <w:link w:val="NormalHanging12aChar"/>
    <w:rsid w:val="00EF304C"/>
    <w:pPr>
      <w:spacing w:after="240"/>
      <w:ind w:left="567" w:hanging="567"/>
    </w:pPr>
  </w:style>
  <w:style w:type="paragraph" w:customStyle="1" w:styleId="EPFooter">
    <w:name w:val="EPFooter"/>
    <w:basedOn w:val="Normal"/>
    <w:rsid w:val="00EF304C"/>
    <w:pPr>
      <w:tabs>
        <w:tab w:val="center" w:pos="4535"/>
        <w:tab w:val="right" w:pos="9071"/>
      </w:tabs>
      <w:spacing w:before="240" w:after="240"/>
    </w:pPr>
    <w:rPr>
      <w:color w:val="010000"/>
      <w:sz w:val="22"/>
    </w:rPr>
  </w:style>
  <w:style w:type="paragraph" w:styleId="Header">
    <w:name w:val="header"/>
    <w:basedOn w:val="Normal"/>
    <w:link w:val="HeaderChar"/>
    <w:rsid w:val="00EF304C"/>
    <w:pPr>
      <w:tabs>
        <w:tab w:val="center" w:pos="4513"/>
        <w:tab w:val="right" w:pos="9026"/>
      </w:tabs>
    </w:pPr>
  </w:style>
  <w:style w:type="character" w:customStyle="1" w:styleId="HeaderChar">
    <w:name w:val="Header Char"/>
    <w:basedOn w:val="DefaultParagraphFont"/>
    <w:link w:val="Header"/>
    <w:rsid w:val="00EF304C"/>
    <w:rPr>
      <w:sz w:val="24"/>
      <w:lang w:val="pl-PL"/>
    </w:rPr>
  </w:style>
  <w:style w:type="character" w:styleId="Hyperlink">
    <w:name w:val="Hyperlink"/>
    <w:basedOn w:val="DefaultParagraphFont"/>
    <w:rsid w:val="00EF304C"/>
    <w:rPr>
      <w:color w:val="0563C1" w:themeColor="hyperlink"/>
      <w:u w:val="single"/>
    </w:rPr>
  </w:style>
  <w:style w:type="character" w:customStyle="1" w:styleId="NormalHanging12aChar">
    <w:name w:val="NormalHanging12a Char"/>
    <w:basedOn w:val="DefaultParagraphFont"/>
    <w:link w:val="NormalHanging12a"/>
    <w:rsid w:val="00EF304C"/>
    <w:rPr>
      <w:sz w:val="24"/>
      <w:lang w:val="pl-PL"/>
    </w:rPr>
  </w:style>
  <w:style w:type="paragraph" w:customStyle="1" w:styleId="Normal12a">
    <w:name w:val="Normal12a"/>
    <w:basedOn w:val="Normal"/>
    <w:rsid w:val="00EF304C"/>
    <w:pPr>
      <w:spacing w:after="240"/>
    </w:pPr>
  </w:style>
  <w:style w:type="paragraph" w:customStyle="1" w:styleId="PageHeadingNotTOC">
    <w:name w:val="PageHeadingNotTOC"/>
    <w:basedOn w:val="Normal"/>
    <w:rsid w:val="00EF304C"/>
    <w:pPr>
      <w:keepNext/>
      <w:spacing w:after="480"/>
      <w:jc w:val="center"/>
    </w:pPr>
    <w:rPr>
      <w:rFonts w:ascii="Arial" w:hAnsi="Arial" w:cs="Arial"/>
      <w:b/>
    </w:rPr>
  </w:style>
  <w:style w:type="paragraph" w:customStyle="1" w:styleId="Normal24a">
    <w:name w:val="Normal24a"/>
    <w:basedOn w:val="Normal"/>
    <w:rsid w:val="00EF304C"/>
    <w:pPr>
      <w:spacing w:after="480"/>
    </w:pPr>
    <w:rPr>
      <w:szCs w:val="24"/>
    </w:rPr>
  </w:style>
  <w:style w:type="paragraph" w:customStyle="1" w:styleId="Footprint12b">
    <w:name w:val="Footprint12b"/>
    <w:basedOn w:val="Normal"/>
    <w:rsid w:val="00EF304C"/>
    <w:pPr>
      <w:spacing w:before="240"/>
    </w:pPr>
    <w:rPr>
      <w:szCs w:val="24"/>
    </w:rPr>
  </w:style>
  <w:style w:type="paragraph" w:styleId="Revision">
    <w:name w:val="Revision"/>
    <w:hidden/>
    <w:uiPriority w:val="99"/>
    <w:semiHidden/>
    <w:rsid w:val="00B44183"/>
    <w:rPr>
      <w:sz w:val="24"/>
      <w:lang w:val="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20/2093/oj" TargetMode="External"/><Relationship Id="rId3" Type="http://schemas.openxmlformats.org/officeDocument/2006/relationships/hyperlink" Target="http://data.europa.eu/eli/C/2025/2817/oj" TargetMode="External"/><Relationship Id="rId7" Type="http://schemas.openxmlformats.org/officeDocument/2006/relationships/hyperlink" Target="http://data.europa.eu/eli/reg/2024/2509/oj" TargetMode="External"/><Relationship Id="rId2" Type="http://schemas.openxmlformats.org/officeDocument/2006/relationships/hyperlink" Target="http://data.europa.eu/eli/C/2025/4944/oj" TargetMode="External"/><Relationship Id="rId1" Type="http://schemas.openxmlformats.org/officeDocument/2006/relationships/hyperlink" Target="http://data.europa.eu/eli/budget/2024/207/oj" TargetMode="External"/><Relationship Id="rId6" Type="http://schemas.openxmlformats.org/officeDocument/2006/relationships/hyperlink" Target="http://data.europa.eu/eli/reg/2018/1046/oj" TargetMode="External"/><Relationship Id="rId11" Type="http://schemas.openxmlformats.org/officeDocument/2006/relationships/hyperlink" Target="http://data.europa.eu/eli/reg/2025/2445/oj" TargetMode="External"/><Relationship Id="rId5" Type="http://schemas.openxmlformats.org/officeDocument/2006/relationships/hyperlink" Target="http://data.europa.eu/eli/C/2025/5407/oj" TargetMode="External"/><Relationship Id="rId10" Type="http://schemas.openxmlformats.org/officeDocument/2006/relationships/hyperlink" Target="http://data.europa.eu/eli/reg/2024/1689/oj" TargetMode="External"/><Relationship Id="rId4" Type="http://schemas.openxmlformats.org/officeDocument/2006/relationships/hyperlink" Target="http://data.europa.eu/eli/C/2025/5409/oj" TargetMode="External"/><Relationship Id="rId9" Type="http://schemas.openxmlformats.org/officeDocument/2006/relationships/hyperlink" Target="http://data.europa.eu/eli/reg/2023/284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33</Pages>
  <Words>13130</Words>
  <Characters>88238</Characters>
  <Application>Microsoft Office Word</Application>
  <DocSecurity>0</DocSecurity>
  <Lines>735</Lines>
  <Paragraphs>202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101166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ZALESKI Tomasz</dc:creator>
  <cp:keywords/>
  <cp:lastModifiedBy>ZALESKI Tomasz</cp:lastModifiedBy>
  <cp:revision>2</cp:revision>
  <cp:lastPrinted>2004-11-19T15:42:00Z</cp:lastPrinted>
  <dcterms:created xsi:type="dcterms:W3CDTF">2026-05-12T08:36:00Z</dcterms:created>
  <dcterms:modified xsi:type="dcterms:W3CDTF">2026-05-12T08:36:00Z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lt;FdR&gt;">
    <vt:lpwstr>P10_TA(2026)0126_</vt:lpwstr>
  </property>
  <property fmtid="{D5CDD505-2E9C-101B-9397-08002B2CF9AE}" pid="4" name="&lt;Type&gt;">
    <vt:lpwstr>RR</vt:lpwstr>
  </property>
</Properties>
</file>