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1E20" w14:paraId="5EFECB4C" w14:textId="77777777" w:rsidTr="0010095E">
        <w:trPr>
          <w:trHeight w:hRule="exact" w:val="1418"/>
        </w:trPr>
        <w:tc>
          <w:tcPr>
            <w:tcW w:w="6804" w:type="dxa"/>
            <w:shd w:val="clear" w:color="auto" w:fill="auto"/>
            <w:vAlign w:val="center"/>
          </w:tcPr>
          <w:p w14:paraId="2936B932" w14:textId="77777777" w:rsidR="00751A4A" w:rsidRPr="00421E20" w:rsidRDefault="00DC3855" w:rsidP="0010095E">
            <w:pPr>
              <w:pStyle w:val="EPName"/>
            </w:pPr>
            <w:r w:rsidRPr="00421E20">
              <w:t>Parlamentul European</w:t>
            </w:r>
          </w:p>
          <w:p w14:paraId="336B8BE1" w14:textId="77777777" w:rsidR="00751A4A" w:rsidRPr="00421E20" w:rsidRDefault="005F1B17" w:rsidP="005F1B17">
            <w:pPr>
              <w:pStyle w:val="EPTerm"/>
              <w:rPr>
                <w:rStyle w:val="HideTWBExt"/>
                <w:noProof w:val="0"/>
                <w:vanish w:val="0"/>
                <w:color w:val="auto"/>
              </w:rPr>
            </w:pPr>
            <w:r w:rsidRPr="00421E20">
              <w:t>2024</w:t>
            </w:r>
            <w:r w:rsidR="00817416" w:rsidRPr="00421E20">
              <w:t>-202</w:t>
            </w:r>
            <w:r w:rsidRPr="00421E20">
              <w:t>9</w:t>
            </w:r>
          </w:p>
        </w:tc>
        <w:tc>
          <w:tcPr>
            <w:tcW w:w="2268" w:type="dxa"/>
            <w:shd w:val="clear" w:color="auto" w:fill="auto"/>
          </w:tcPr>
          <w:p w14:paraId="3FE212FA" w14:textId="77777777" w:rsidR="00751A4A" w:rsidRPr="00421E20" w:rsidRDefault="00187494" w:rsidP="0010095E">
            <w:pPr>
              <w:pStyle w:val="EPLogo"/>
            </w:pPr>
            <w:r w:rsidRPr="00421E20">
              <w:rPr>
                <w:noProof/>
                <w:lang w:eastAsia="ja-JP"/>
              </w:rPr>
              <w:drawing>
                <wp:inline distT="0" distB="0" distL="0" distR="0" wp14:anchorId="2A90E85B" wp14:editId="142EAD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CA1193" w14:textId="77777777" w:rsidR="00D058B8" w:rsidRPr="00421E20" w:rsidRDefault="00D058B8" w:rsidP="004C5D52">
      <w:pPr>
        <w:pStyle w:val="LineTop"/>
      </w:pPr>
    </w:p>
    <w:p w14:paraId="361134FB" w14:textId="77777777" w:rsidR="00680577" w:rsidRPr="00421E20" w:rsidRDefault="00DC3855" w:rsidP="00680577">
      <w:pPr>
        <w:pStyle w:val="EPBodyTA1"/>
      </w:pPr>
      <w:r w:rsidRPr="00421E20">
        <w:t>TEXTE ADOPTATE</w:t>
      </w:r>
    </w:p>
    <w:p w14:paraId="4D2A4F55" w14:textId="77777777" w:rsidR="00D058B8" w:rsidRPr="00421E20" w:rsidRDefault="00D058B8" w:rsidP="00D058B8">
      <w:pPr>
        <w:pStyle w:val="LineBottom"/>
      </w:pPr>
    </w:p>
    <w:p w14:paraId="6B325B06" w14:textId="2BA6C240" w:rsidR="00DC3855" w:rsidRPr="00421E20" w:rsidRDefault="00DC3855" w:rsidP="00DC3855">
      <w:pPr>
        <w:pStyle w:val="ATHeading1"/>
      </w:pPr>
      <w:bookmarkStart w:id="0" w:name="TANumber"/>
      <w:r w:rsidRPr="00421E20">
        <w:t>P10_TA(2026)0</w:t>
      </w:r>
      <w:bookmarkEnd w:id="0"/>
      <w:r w:rsidR="00653751" w:rsidRPr="00421E20">
        <w:t>126</w:t>
      </w:r>
    </w:p>
    <w:p w14:paraId="05DAEBA5" w14:textId="77777777" w:rsidR="00DC3855" w:rsidRPr="00421E20" w:rsidRDefault="00DC3855" w:rsidP="00DC3855">
      <w:pPr>
        <w:pStyle w:val="ATHeading2"/>
      </w:pPr>
      <w:bookmarkStart w:id="1" w:name="title"/>
      <w:r w:rsidRPr="00421E20">
        <w:t>Descărcare de gestiune 2024: Bugetul general al UE - Parlamentul European</w:t>
      </w:r>
      <w:bookmarkEnd w:id="1"/>
    </w:p>
    <w:p w14:paraId="3A8ED329" w14:textId="77777777" w:rsidR="00DC3855" w:rsidRPr="00421E20" w:rsidRDefault="00DC3855" w:rsidP="00DC3855">
      <w:pPr>
        <w:rPr>
          <w:i/>
          <w:vanish/>
        </w:rPr>
      </w:pPr>
      <w:r w:rsidRPr="00421E20">
        <w:rPr>
          <w:i/>
        </w:rPr>
        <w:fldChar w:fldCharType="begin"/>
      </w:r>
      <w:r w:rsidRPr="00421E20">
        <w:rPr>
          <w:i/>
        </w:rPr>
        <w:instrText xml:space="preserve"> TC"(</w:instrText>
      </w:r>
      <w:bookmarkStart w:id="2" w:name="DocNumber"/>
      <w:r w:rsidRPr="00421E20">
        <w:rPr>
          <w:i/>
        </w:rPr>
        <w:instrText>A10-0081/2026</w:instrText>
      </w:r>
      <w:bookmarkEnd w:id="2"/>
      <w:r w:rsidRPr="00421E20">
        <w:rPr>
          <w:i/>
        </w:rPr>
        <w:instrText xml:space="preserve"> - Raportor: </w:instrText>
      </w:r>
      <w:proofErr w:type="spellStart"/>
      <w:r w:rsidRPr="00421E20">
        <w:rPr>
          <w:i/>
        </w:rPr>
        <w:instrText>Gerben</w:instrText>
      </w:r>
      <w:proofErr w:type="spellEnd"/>
      <w:r w:rsidRPr="00421E20">
        <w:rPr>
          <w:i/>
        </w:rPr>
        <w:instrText xml:space="preserve">-Jan </w:instrText>
      </w:r>
      <w:proofErr w:type="spellStart"/>
      <w:r w:rsidRPr="00421E20">
        <w:rPr>
          <w:i/>
        </w:rPr>
        <w:instrText>Gerbrandy</w:instrText>
      </w:r>
      <w:proofErr w:type="spellEnd"/>
      <w:r w:rsidRPr="00421E20">
        <w:rPr>
          <w:i/>
        </w:rPr>
        <w:instrText xml:space="preserve">)"\l3 \n&gt; \* MERGEFORMAT </w:instrText>
      </w:r>
      <w:r w:rsidRPr="00421E20">
        <w:rPr>
          <w:i/>
        </w:rPr>
        <w:fldChar w:fldCharType="end"/>
      </w:r>
    </w:p>
    <w:p w14:paraId="1447AAE8" w14:textId="77777777" w:rsidR="00DC3855" w:rsidRPr="00421E20" w:rsidRDefault="00DC3855" w:rsidP="00DC3855">
      <w:pPr>
        <w:rPr>
          <w:vanish/>
        </w:rPr>
      </w:pPr>
      <w:bookmarkStart w:id="3" w:name="Commission"/>
      <w:r w:rsidRPr="00421E20">
        <w:rPr>
          <w:vanish/>
        </w:rPr>
        <w:t>Comisia pentru control bugetar</w:t>
      </w:r>
      <w:bookmarkEnd w:id="3"/>
    </w:p>
    <w:p w14:paraId="1C74460C" w14:textId="77777777" w:rsidR="00DC3855" w:rsidRPr="00421E20" w:rsidRDefault="00DC3855" w:rsidP="00DC3855">
      <w:pPr>
        <w:rPr>
          <w:vanish/>
        </w:rPr>
      </w:pPr>
      <w:bookmarkStart w:id="4" w:name="PE"/>
      <w:r w:rsidRPr="00421E20">
        <w:rPr>
          <w:vanish/>
        </w:rPr>
        <w:t>PE776.734</w:t>
      </w:r>
      <w:bookmarkEnd w:id="4"/>
    </w:p>
    <w:p w14:paraId="33B003F1" w14:textId="270D663D" w:rsidR="00DC3855" w:rsidRPr="00421E20" w:rsidRDefault="00705D3F" w:rsidP="00DC3855">
      <w:pPr>
        <w:pStyle w:val="ATHeading3"/>
      </w:pPr>
      <w:bookmarkStart w:id="5" w:name="Sujet"/>
      <w:r w:rsidRPr="00421E20">
        <w:t xml:space="preserve">1. </w:t>
      </w:r>
      <w:r w:rsidR="00DC3855" w:rsidRPr="00421E20">
        <w:t>Decizia Parlamentului European din 2</w:t>
      </w:r>
      <w:r w:rsidR="009A42A2" w:rsidRPr="00421E20">
        <w:t>9</w:t>
      </w:r>
      <w:r w:rsidR="00DC3855" w:rsidRPr="00421E20">
        <w:t xml:space="preserve"> aprilie 2026 privind descărcarea de gestiune pentru execuția bugetului general al Uniunii Europene aferent exercițiului financiar</w:t>
      </w:r>
      <w:r w:rsidR="009A42A2" w:rsidRPr="00421E20">
        <w:t> </w:t>
      </w:r>
      <w:r w:rsidR="00DC3855" w:rsidRPr="00421E20">
        <w:t>2024, secțiunea I - Parlamentul European</w:t>
      </w:r>
      <w:bookmarkEnd w:id="5"/>
      <w:r w:rsidR="00DC3855" w:rsidRPr="00421E20">
        <w:t xml:space="preserve"> </w:t>
      </w:r>
      <w:bookmarkStart w:id="6" w:name="References"/>
      <w:r w:rsidR="00DC3855" w:rsidRPr="00421E20">
        <w:t>(2025/2146(DEC))</w:t>
      </w:r>
      <w:bookmarkEnd w:id="6"/>
    </w:p>
    <w:p w14:paraId="6CE359F0" w14:textId="77777777" w:rsidR="007C42D1" w:rsidRPr="00421E20" w:rsidRDefault="007C42D1" w:rsidP="007C42D1">
      <w:pPr>
        <w:pStyle w:val="EPComma"/>
        <w:rPr>
          <w:noProof/>
        </w:rPr>
      </w:pPr>
      <w:bookmarkStart w:id="7" w:name="TextBodyBegin"/>
      <w:bookmarkEnd w:id="7"/>
      <w:r w:rsidRPr="00421E20">
        <w:rPr>
          <w:i/>
        </w:rPr>
        <w:t>Parlamentul European</w:t>
      </w:r>
      <w:r w:rsidRPr="00421E20">
        <w:t>,</w:t>
      </w:r>
    </w:p>
    <w:p w14:paraId="68FE46FE" w14:textId="77777777" w:rsidR="007C42D1" w:rsidRPr="00421E20" w:rsidRDefault="007C42D1" w:rsidP="007C42D1">
      <w:pPr>
        <w:pStyle w:val="NormalHanging12a"/>
        <w:rPr>
          <w:noProof/>
        </w:rPr>
      </w:pPr>
      <w:r w:rsidRPr="00421E20">
        <w:t>–</w:t>
      </w:r>
      <w:r w:rsidRPr="00421E20">
        <w:tab/>
        <w:t>având în vedere bugetul general al Uniunii Europene aferent exercițiului financiar 2024</w:t>
      </w:r>
      <w:r w:rsidRPr="00421E20">
        <w:rPr>
          <w:rStyle w:val="FootnoteReference"/>
          <w:noProof/>
        </w:rPr>
        <w:footnoteReference w:id="1"/>
      </w:r>
      <w:r w:rsidRPr="00421E20">
        <w:t>,</w:t>
      </w:r>
    </w:p>
    <w:p w14:paraId="7DF67362" w14:textId="77777777" w:rsidR="007C42D1" w:rsidRPr="00421E20" w:rsidRDefault="007C42D1" w:rsidP="007C42D1">
      <w:pPr>
        <w:pStyle w:val="NormalHanging12a"/>
        <w:rPr>
          <w:noProof/>
        </w:rPr>
      </w:pPr>
      <w:r w:rsidRPr="00421E20">
        <w:t>–</w:t>
      </w:r>
      <w:r w:rsidRPr="00421E20">
        <w:tab/>
        <w:t>având în vedere conturile anuale consolidate ale Uniunii Europene pentru exercițiul financiar 2024 (COM(2025)0359 – C10</w:t>
      </w:r>
      <w:r w:rsidRPr="00421E20">
        <w:noBreakHyphen/>
        <w:t>0146/2025)</w:t>
      </w:r>
      <w:r w:rsidRPr="00421E20">
        <w:rPr>
          <w:rStyle w:val="FootnoteReference"/>
          <w:noProof/>
        </w:rPr>
        <w:footnoteReference w:id="2"/>
      </w:r>
      <w:r w:rsidRPr="00421E20">
        <w:t>,</w:t>
      </w:r>
    </w:p>
    <w:p w14:paraId="72B57321" w14:textId="77777777" w:rsidR="007C42D1" w:rsidRPr="00421E20" w:rsidRDefault="007C42D1" w:rsidP="007C42D1">
      <w:pPr>
        <w:pStyle w:val="NormalHanging12a"/>
        <w:rPr>
          <w:noProof/>
        </w:rPr>
      </w:pPr>
      <w:r w:rsidRPr="00421E20">
        <w:t>–</w:t>
      </w:r>
      <w:r w:rsidRPr="00421E20">
        <w:tab/>
        <w:t>având în vedere Raportul privind gestiunea bugetară și financiară pentru exercițiul financiar 2024, secțiunea I – Parlamentul European</w:t>
      </w:r>
      <w:r w:rsidRPr="00421E20">
        <w:rPr>
          <w:rStyle w:val="FootnoteReference"/>
          <w:noProof/>
        </w:rPr>
        <w:footnoteReference w:id="3"/>
      </w:r>
      <w:r w:rsidRPr="00421E20">
        <w:t>,</w:t>
      </w:r>
    </w:p>
    <w:p w14:paraId="360EB4FF" w14:textId="77777777" w:rsidR="007C42D1" w:rsidRPr="00421E20" w:rsidRDefault="007C42D1" w:rsidP="007C42D1">
      <w:pPr>
        <w:pStyle w:val="NormalHanging12a"/>
        <w:rPr>
          <w:noProof/>
        </w:rPr>
      </w:pPr>
      <w:r w:rsidRPr="00421E20">
        <w:t>–</w:t>
      </w:r>
      <w:r w:rsidRPr="00421E20">
        <w:tab/>
        <w:t>având în vedere Raportul anual al auditorului intern pentru exercițiul financiar 2024,</w:t>
      </w:r>
    </w:p>
    <w:p w14:paraId="6D4265CA" w14:textId="77777777" w:rsidR="007C42D1" w:rsidRPr="00421E20" w:rsidRDefault="007C42D1" w:rsidP="007C42D1">
      <w:pPr>
        <w:pStyle w:val="NormalHanging12a"/>
        <w:rPr>
          <w:noProof/>
        </w:rPr>
      </w:pPr>
      <w:r w:rsidRPr="00421E20">
        <w:t>–</w:t>
      </w:r>
      <w:r w:rsidRPr="00421E20">
        <w:tab/>
        <w:t>având în vedere raportul anual al Curții de Conturi referitor la execuția bugetului privind exercițiul financiar 2024, însoțit de răspunsurile instituțiilor</w:t>
      </w:r>
      <w:r w:rsidRPr="00421E20">
        <w:rPr>
          <w:rStyle w:val="FootnoteReference"/>
          <w:noProof/>
        </w:rPr>
        <w:footnoteReference w:id="4"/>
      </w:r>
      <w:r w:rsidRPr="00421E20">
        <w:t>,</w:t>
      </w:r>
    </w:p>
    <w:p w14:paraId="2747D758" w14:textId="77777777" w:rsidR="007C42D1" w:rsidRPr="00421E20" w:rsidRDefault="007C42D1" w:rsidP="007C42D1">
      <w:pPr>
        <w:pStyle w:val="NormalHanging12a"/>
        <w:rPr>
          <w:noProof/>
        </w:rPr>
      </w:pPr>
      <w:r w:rsidRPr="00421E20">
        <w:t>–</w:t>
      </w:r>
      <w:r w:rsidRPr="00421E20">
        <w:tab/>
        <w:t>având în vedere declarația de asigurare</w:t>
      </w:r>
      <w:r w:rsidRPr="00421E20">
        <w:rPr>
          <w:rStyle w:val="FootnoteReference"/>
          <w:noProof/>
        </w:rPr>
        <w:footnoteReference w:id="5"/>
      </w:r>
      <w:r w:rsidRPr="00421E20">
        <w:t xml:space="preserve"> privind fiabilitatea conturilor și legalitatea și regularitatea operațiunilor subiacente întocmită de Curtea de Conturi pentru exercițiul 2024 în temeiul articolului 287 din Tratatul privind funcționarea Uniunii Europene,</w:t>
      </w:r>
    </w:p>
    <w:p w14:paraId="0A1D003F" w14:textId="77777777" w:rsidR="007C42D1" w:rsidRPr="00421E20" w:rsidRDefault="007C42D1" w:rsidP="007C42D1">
      <w:pPr>
        <w:pStyle w:val="NormalHanging12a"/>
        <w:rPr>
          <w:noProof/>
        </w:rPr>
      </w:pPr>
      <w:r w:rsidRPr="00421E20">
        <w:t>–</w:t>
      </w:r>
      <w:r w:rsidRPr="00421E20">
        <w:tab/>
        <w:t>având în vedere articolul 314 alineatul (10) și articolul 318 din Tratatul privind funcționarea Uniunii Europene,</w:t>
      </w:r>
    </w:p>
    <w:p w14:paraId="159F29FC" w14:textId="77777777" w:rsidR="007C42D1" w:rsidRPr="00421E20" w:rsidRDefault="007C42D1" w:rsidP="007C42D1">
      <w:pPr>
        <w:pStyle w:val="NormalHanging12a"/>
        <w:rPr>
          <w:noProof/>
        </w:rPr>
      </w:pPr>
      <w:r w:rsidRPr="00421E20">
        <w:t>–</w:t>
      </w:r>
      <w:r w:rsidRPr="00421E20">
        <w:tab/>
        <w:t xml:space="preserve">având în vedere Regulamentul (UE, Euratom) 2018/1046 al Parlamentului European și al Consiliului din 18 iulie 2018 privind normele financiare aplicabile bugetului general </w:t>
      </w:r>
      <w:r w:rsidRPr="00421E20">
        <w:lastRenderedPageBreak/>
        <w:t>al Uniunii, de modificare a Regulamentelor (UE) nr. 1296/2013, (UE) nr. 1301/2013, (UE) nr. 1303/2013, (UE) nr. 1304/2013, (UE) nr. 1309/2013, (UE) nr. 1316/2013, (UE) nr. 223/2014, (UE) nr. 283/2014 și a Deciziei nr. 541/2014/UE și de abrogare a Regulamentului (UE, Euratom) nr. 966/2012</w:t>
      </w:r>
      <w:r w:rsidRPr="00421E20">
        <w:rPr>
          <w:rStyle w:val="FootnoteReference"/>
          <w:noProof/>
        </w:rPr>
        <w:footnoteReference w:id="6"/>
      </w:r>
      <w:r w:rsidRPr="00421E20">
        <w:t>, în special articolele 260, 261 și 262,</w:t>
      </w:r>
    </w:p>
    <w:p w14:paraId="161A6BC3" w14:textId="77777777" w:rsidR="007C42D1" w:rsidRPr="00421E20" w:rsidRDefault="007C42D1" w:rsidP="007C42D1">
      <w:pPr>
        <w:pStyle w:val="NormalHanging12a"/>
        <w:rPr>
          <w:noProof/>
        </w:rPr>
      </w:pPr>
      <w:r w:rsidRPr="00421E20">
        <w:t>–</w:t>
      </w:r>
      <w:r w:rsidRPr="00421E20">
        <w:tab/>
        <w:t>având în vedere Regulamentul (UE, Euratom) 2024/2509 al Parlamentului European și al Consiliului din 23 septembrie 2024 privind normele financiare aplicabile bugetului general al Uniunii</w:t>
      </w:r>
      <w:r w:rsidRPr="00421E20">
        <w:rPr>
          <w:rStyle w:val="FootnoteReference"/>
          <w:noProof/>
        </w:rPr>
        <w:footnoteReference w:id="7"/>
      </w:r>
      <w:r w:rsidRPr="00421E20">
        <w:t>, în special articolele 266, 267 și 268,</w:t>
      </w:r>
    </w:p>
    <w:p w14:paraId="0EA4C8B2" w14:textId="77777777" w:rsidR="007C42D1" w:rsidRPr="00421E20" w:rsidRDefault="007C42D1" w:rsidP="007C42D1">
      <w:pPr>
        <w:pStyle w:val="NormalHanging12a"/>
        <w:rPr>
          <w:noProof/>
        </w:rPr>
      </w:pPr>
      <w:r w:rsidRPr="00421E20">
        <w:t>–</w:t>
      </w:r>
      <w:r w:rsidRPr="00421E20">
        <w:tab/>
        <w:t>având în vedere Decizia Biroului din 10 decembrie 2018 privind normele interne privind execuția bugetului Parlamentului European, în special articolul 34,</w:t>
      </w:r>
    </w:p>
    <w:p w14:paraId="62B4189F" w14:textId="77777777" w:rsidR="007C42D1" w:rsidRPr="00421E20" w:rsidRDefault="007C42D1" w:rsidP="007C42D1">
      <w:pPr>
        <w:pStyle w:val="NormalHanging12a"/>
        <w:rPr>
          <w:noProof/>
        </w:rPr>
      </w:pPr>
      <w:r w:rsidRPr="00421E20">
        <w:t>–</w:t>
      </w:r>
      <w:r w:rsidRPr="00421E20">
        <w:tab/>
        <w:t>având în vedere articolul 102, articolul 106 alineatul (3) și anexa V la Regulamentul său de procedură,</w:t>
      </w:r>
    </w:p>
    <w:p w14:paraId="3221824D" w14:textId="77777777" w:rsidR="007C42D1" w:rsidRPr="00421E20" w:rsidRDefault="007C42D1" w:rsidP="007C42D1">
      <w:pPr>
        <w:pStyle w:val="NormalHanging12a"/>
      </w:pPr>
      <w:r w:rsidRPr="00421E20">
        <w:t>–</w:t>
      </w:r>
      <w:r w:rsidRPr="00421E20">
        <w:tab/>
        <w:t>având în vedere avizul Comisiei pentru drepturile femeilor și egalitatea de gen,</w:t>
      </w:r>
    </w:p>
    <w:p w14:paraId="4A908516" w14:textId="77777777" w:rsidR="007C42D1" w:rsidRPr="00421E20" w:rsidRDefault="007C42D1" w:rsidP="007C42D1">
      <w:pPr>
        <w:pStyle w:val="NormalHanging12a"/>
      </w:pPr>
      <w:r w:rsidRPr="00421E20">
        <w:t>–</w:t>
      </w:r>
      <w:r w:rsidRPr="00421E20">
        <w:tab/>
        <w:t>având în vedere raportul Comisiei pentru control bugetar (A10-0081/2026),</w:t>
      </w:r>
    </w:p>
    <w:p w14:paraId="254E70EA" w14:textId="77777777" w:rsidR="007C42D1" w:rsidRPr="00421E20" w:rsidRDefault="007C42D1" w:rsidP="007C42D1">
      <w:pPr>
        <w:pStyle w:val="NormalHanging12a"/>
        <w:rPr>
          <w:noProof/>
        </w:rPr>
      </w:pPr>
      <w:r w:rsidRPr="00421E20">
        <w:t>1.</w:t>
      </w:r>
      <w:r w:rsidRPr="00421E20">
        <w:tab/>
        <w:t>acordă Președintei descărcarea de gestiune pentru execuția bugetului Parlamentului European aferent exercițiului financiar 2024;</w:t>
      </w:r>
    </w:p>
    <w:p w14:paraId="4D4E8544" w14:textId="77777777" w:rsidR="007C42D1" w:rsidRPr="00421E20" w:rsidRDefault="007C42D1" w:rsidP="007C42D1">
      <w:pPr>
        <w:pStyle w:val="NormalHanging12a"/>
        <w:rPr>
          <w:noProof/>
        </w:rPr>
      </w:pPr>
      <w:r w:rsidRPr="00421E20">
        <w:t>2.</w:t>
      </w:r>
      <w:r w:rsidRPr="00421E20">
        <w:tab/>
        <w:t>își prezintă observațiile în cadrul rezoluției de mai jos;</w:t>
      </w:r>
    </w:p>
    <w:p w14:paraId="585B6DC0" w14:textId="77777777" w:rsidR="007C42D1" w:rsidRPr="00421E20" w:rsidRDefault="007C42D1" w:rsidP="007C42D1">
      <w:pPr>
        <w:pStyle w:val="NormalHanging12a"/>
        <w:rPr>
          <w:noProof/>
        </w:rPr>
      </w:pPr>
      <w:r w:rsidRPr="00421E20">
        <w:t>3.</w:t>
      </w:r>
      <w:r w:rsidRPr="00421E20">
        <w:tab/>
        <w:t xml:space="preserve">încredințează Președintei sarcina de a transmite prezenta decizie împreună cu rezoluția Parlamentului, ca parte integrantă a acesteia, Consiliului, Comisiei și Curții de Conturi și de a asigura publicarea acestora în </w:t>
      </w:r>
      <w:r w:rsidRPr="00421E20">
        <w:rPr>
          <w:i/>
        </w:rPr>
        <w:t>Jurnalul Oficial al Uniunii Europene</w:t>
      </w:r>
      <w:r w:rsidRPr="00421E20">
        <w:t xml:space="preserve"> (seria L).</w:t>
      </w:r>
    </w:p>
    <w:p w14:paraId="468E35BE" w14:textId="77777777" w:rsidR="007C42D1" w:rsidRPr="00421E20" w:rsidRDefault="007C42D1" w:rsidP="007C42D1"/>
    <w:p w14:paraId="58B08F71" w14:textId="77777777" w:rsidR="007C42D1" w:rsidRPr="00421E20" w:rsidRDefault="007C42D1" w:rsidP="007C42D1">
      <w:pPr>
        <w:pStyle w:val="PageHeading"/>
        <w:sectPr w:rsidR="007C42D1" w:rsidRPr="00421E20" w:rsidSect="00AC2FE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98066E" w14:textId="5C1E5E5A" w:rsidR="00CF69AE" w:rsidRPr="00421E20" w:rsidRDefault="00CF69AE" w:rsidP="00CF69AE">
      <w:pPr>
        <w:pStyle w:val="ATHeading3"/>
      </w:pPr>
      <w:r w:rsidRPr="00421E20">
        <w:lastRenderedPageBreak/>
        <w:t>2. Rezoluția Parlamentului European din 2</w:t>
      </w:r>
      <w:r w:rsidR="009A42A2" w:rsidRPr="00421E20">
        <w:t>9</w:t>
      </w:r>
      <w:r w:rsidRPr="00421E20">
        <w:t xml:space="preserve"> aprilie 2026 conținând observațiile care fac parte integrantă din decizia privind descărcarea de gestiune pentru execuția bugetului general al Uniunii Europene aferent exercițiului financiar 2024, secțiunea I - Parlamentul European (2025/2146(DEC))</w:t>
      </w:r>
    </w:p>
    <w:p w14:paraId="2F094E5B" w14:textId="77777777" w:rsidR="007C42D1" w:rsidRPr="00421E20" w:rsidRDefault="007C42D1" w:rsidP="007C42D1">
      <w:pPr>
        <w:pStyle w:val="EPComma"/>
        <w:rPr>
          <w:noProof/>
        </w:rPr>
      </w:pPr>
      <w:r w:rsidRPr="00421E20">
        <w:rPr>
          <w:i/>
        </w:rPr>
        <w:t>Parlamentul European</w:t>
      </w:r>
      <w:r w:rsidRPr="00421E20">
        <w:t>,</w:t>
      </w:r>
    </w:p>
    <w:p w14:paraId="130FB920" w14:textId="77777777" w:rsidR="007C42D1" w:rsidRPr="00421E20" w:rsidRDefault="007C42D1" w:rsidP="007C42D1">
      <w:pPr>
        <w:pStyle w:val="NormalHanging12a"/>
        <w:rPr>
          <w:noProof/>
        </w:rPr>
      </w:pPr>
      <w:r w:rsidRPr="00421E20">
        <w:t>–</w:t>
      </w:r>
      <w:r w:rsidRPr="00421E20">
        <w:tab/>
        <w:t>având în vedere Decizia sa privind descărcarea de gestiune pentru execuția bugetului general al Uniunii Europene aferent exercițiului financiar 2024, secțiunea I - Parlamentul European,</w:t>
      </w:r>
    </w:p>
    <w:p w14:paraId="5D3DBFB7" w14:textId="77777777" w:rsidR="007C42D1" w:rsidRPr="00421E20" w:rsidRDefault="007C42D1" w:rsidP="007C42D1">
      <w:pPr>
        <w:pStyle w:val="NormalHanging12a"/>
        <w:rPr>
          <w:noProof/>
        </w:rPr>
      </w:pPr>
      <w:r w:rsidRPr="00421E20">
        <w:t>–</w:t>
      </w:r>
      <w:r w:rsidRPr="00421E20">
        <w:tab/>
        <w:t>având în vedere articolul 102, articolul 106 alineatul (3) și anexa V la Regulamentul său de procedură,</w:t>
      </w:r>
    </w:p>
    <w:p w14:paraId="24F0A713" w14:textId="77777777" w:rsidR="007C42D1" w:rsidRPr="00421E20" w:rsidRDefault="007C42D1" w:rsidP="007C42D1">
      <w:pPr>
        <w:pStyle w:val="NormalHanging12a"/>
      </w:pPr>
      <w:r w:rsidRPr="00421E20">
        <w:t>–</w:t>
      </w:r>
      <w:r w:rsidRPr="00421E20">
        <w:tab/>
        <w:t>având în vedere avizul Comisiei pentru drepturile femeilor și egalitatea de gen,</w:t>
      </w:r>
    </w:p>
    <w:p w14:paraId="3F464457" w14:textId="77777777" w:rsidR="007C42D1" w:rsidRPr="00421E20" w:rsidRDefault="007C42D1" w:rsidP="007C42D1">
      <w:pPr>
        <w:pStyle w:val="NormalHanging12a"/>
      </w:pPr>
      <w:r w:rsidRPr="00421E20">
        <w:t>–</w:t>
      </w:r>
      <w:r w:rsidRPr="00421E20">
        <w:tab/>
        <w:t>având în vedere raportul Comisiei pentru control bugetar (A10-0081/2026),</w:t>
      </w:r>
    </w:p>
    <w:p w14:paraId="05B89F8A" w14:textId="77777777" w:rsidR="007C42D1" w:rsidRPr="00421E20" w:rsidRDefault="007C42D1" w:rsidP="007C42D1">
      <w:pPr>
        <w:pStyle w:val="NormalHanging12a"/>
        <w:rPr>
          <w:noProof/>
        </w:rPr>
      </w:pPr>
      <w:r w:rsidRPr="00421E20">
        <w:t>A.</w:t>
      </w:r>
      <w:r w:rsidRPr="00421E20">
        <w:tab/>
        <w:t>întrucât, în certificarea conturilor finale, contabilul Parlamentului European („Parlamentul”) și-a exprimat asigurarea rezonabilă conform căreia aceste conturi prezintă fidel, sub toate aspectele semnificative, poziția financiară, rezultatele operațiunilor și fluxurile de numerar ale Parlamentului;</w:t>
      </w:r>
    </w:p>
    <w:p w14:paraId="16CD341F" w14:textId="77777777" w:rsidR="007C42D1" w:rsidRPr="00421E20" w:rsidRDefault="007C42D1" w:rsidP="007C42D1">
      <w:pPr>
        <w:pStyle w:val="NormalHanging12a"/>
        <w:rPr>
          <w:noProof/>
        </w:rPr>
      </w:pPr>
      <w:r w:rsidRPr="00421E20">
        <w:t>B.</w:t>
      </w:r>
      <w:r w:rsidRPr="00421E20">
        <w:tab/>
        <w:t>întrucât, în conformitate cu procedura obișnuită, administrației Parlamentului i s-au adresat 55 de întrebări, iar răspunsurile în scris primite au fost discutate public la 8 decembrie 2025 în Comisia pentru control bugetar a Parlamentului, în prezența Secretarului General, a vicepreședinților Parlamentului responsabili cu bugetul, a auditorului intern, a directorului Autorității pentru partidele politice europene și fundațiile politice europene;</w:t>
      </w:r>
    </w:p>
    <w:p w14:paraId="59554B92" w14:textId="77777777" w:rsidR="007C42D1" w:rsidRPr="00421E20" w:rsidRDefault="007C42D1" w:rsidP="007C42D1">
      <w:pPr>
        <w:pStyle w:val="NormalHanging12a"/>
      </w:pPr>
      <w:r w:rsidRPr="00421E20">
        <w:t>C.</w:t>
      </w:r>
      <w:r w:rsidRPr="00421E20">
        <w:tab/>
        <w:t xml:space="preserve">întrucât este întotdeauna loc de îmbunătățiri, iar controlul este necesar pentru a asigura că liderii politici, deputații și administrația acționează cu transparență și integritate, și astfel răspund în fața cetățenilor Uniunii și contribuie la creșterea calității, eficienței și eficacității gestionării finanțelor publice, inclusiv a disciplinei fiscale, protejând credibilitatea Parlamentului în exercitarea funcției sale de descărcare de gestiune față de alte instituții; </w:t>
      </w:r>
    </w:p>
    <w:p w14:paraId="384116BA" w14:textId="77777777" w:rsidR="007C42D1" w:rsidRPr="00421E20" w:rsidRDefault="007C42D1" w:rsidP="007C42D1">
      <w:pPr>
        <w:pStyle w:val="NormalHanging12a"/>
      </w:pPr>
      <w:r w:rsidRPr="00421E20">
        <w:t>D.</w:t>
      </w:r>
      <w:r w:rsidRPr="00421E20">
        <w:tab/>
        <w:t xml:space="preserve">întrucât securitatea juridică este unul dintre principiile directoare pentru aplicarea deciziilor administrative; întrucât un număr tot mai mare de norme și obligații pot duce la confuzie și ambiguitate atunci când securitatea juridică este necesară pentru deputați și birourile acestora, obligând administrația să se angajeze într-o comunicare clară, cuprinzătoare și solidă din punct de vedere juridic; </w:t>
      </w:r>
    </w:p>
    <w:p w14:paraId="3411AC9F" w14:textId="09AA852E" w:rsidR="007C42D1" w:rsidRPr="00421E20" w:rsidRDefault="007C42D1" w:rsidP="007C42D1">
      <w:pPr>
        <w:pStyle w:val="NormalHanging12a"/>
      </w:pPr>
      <w:r w:rsidRPr="00421E20">
        <w:t>E.</w:t>
      </w:r>
      <w:r w:rsidRPr="00421E20">
        <w:tab/>
        <w:t xml:space="preserve">întrucât deputații primesc sprijin financiar și logistic din partea administrației pentru a-și îndeplini pe deplin mandatul; întrucât relațiile dintre membri, birourile acestora și administrație se bazează pe încredere reciprocă, care ar trebui să fie un principiu director atunci când se acordă sprijin financiar membrilor; întrucât acest lucru ar trebui să se reflecte în nivelul de verificări și controale ex ante și ex post derulate de administrație; întrucât este evident că cea mai bună și mai eficientă modalitate de a efectua revizuiri și controale ale drepturilor financiare este să existe proceduri clare, proporționale, focalizate, standardizate și simplificate, cu scopul final de a asigura cel mai înalt nivel de transparență și responsabilitate, mărind legitimitatea democratică și </w:t>
      </w:r>
      <w:r w:rsidRPr="00421E20">
        <w:lastRenderedPageBreak/>
        <w:t>astfel și încrederea cetățenilor U</w:t>
      </w:r>
      <w:r w:rsidR="005C28D7" w:rsidRPr="00421E20">
        <w:t>niunii</w:t>
      </w:r>
      <w:r w:rsidRPr="00421E20">
        <w:t>;</w:t>
      </w:r>
    </w:p>
    <w:p w14:paraId="25181B71" w14:textId="77777777" w:rsidR="007C42D1" w:rsidRPr="00421E20" w:rsidRDefault="007C42D1" w:rsidP="007C42D1">
      <w:pPr>
        <w:pStyle w:val="NormalHanging12a"/>
      </w:pPr>
      <w:r w:rsidRPr="00421E20">
        <w:t>F.</w:t>
      </w:r>
      <w:r w:rsidRPr="00421E20">
        <w:tab/>
        <w:t xml:space="preserve">întrucât încrederea în integritatea Parlamentului și în statul de drept este primordială pentru funcționarea democrației europene, odată cu respectarea drepturilor cetățenilor; </w:t>
      </w:r>
    </w:p>
    <w:p w14:paraId="28E18310" w14:textId="77777777" w:rsidR="007C42D1" w:rsidRPr="00421E20" w:rsidRDefault="007C42D1" w:rsidP="007C42D1">
      <w:pPr>
        <w:pStyle w:val="NormalHanging12a"/>
      </w:pPr>
      <w:r w:rsidRPr="00421E20">
        <w:t>G.</w:t>
      </w:r>
      <w:r w:rsidRPr="00421E20">
        <w:tab/>
        <w:t>întrucât că deputații sunt scutiți de răspunderea pentru voturile și opiniile exprimate în exercitarea atribuțiilor lor și beneficiază de protecție împotriva urmăririlor penale și a restricțiilor privind libertatea lor personală atunci când își exercită atribuțiile;</w:t>
      </w:r>
    </w:p>
    <w:p w14:paraId="6E6DBB73" w14:textId="77777777" w:rsidR="007C42D1" w:rsidRPr="00421E20" w:rsidRDefault="007C42D1" w:rsidP="007C42D1">
      <w:pPr>
        <w:pStyle w:val="NormalHanging12a"/>
      </w:pPr>
      <w:r w:rsidRPr="00421E20">
        <w:t>H.</w:t>
      </w:r>
      <w:r w:rsidRPr="00421E20">
        <w:tab/>
        <w:t> întrucât egalitatea de gen și eliminarea inegalităților sunt valori fundamentale ale UE, care sunt consacrate la articolul 2 din Tratatul privind Uniunea Europeană (TUE); întrucât Uniunea s-a angajat să promoveze egalitatea de gen în toate activitățile sale în temeiul articolului 8 din Tratatul privind funcționarea Uniunii Europene, instituind astfel principiul integrării perspectivei de gen, inclusiv în buget;</w:t>
      </w:r>
    </w:p>
    <w:p w14:paraId="02BD254A" w14:textId="77777777" w:rsidR="007C42D1" w:rsidRPr="00421E20" w:rsidRDefault="007C42D1" w:rsidP="007C42D1">
      <w:pPr>
        <w:pStyle w:val="NormalHanging12a"/>
      </w:pPr>
      <w:r w:rsidRPr="00421E20">
        <w:t>I.</w:t>
      </w:r>
      <w:r w:rsidRPr="00421E20">
        <w:tab/>
        <w:t>întrucât, în conformitate cu articolul 249 din Regulamentul de procedură, Biroul adoptă un plan de acțiune pentru egalitatea de gen pentru a integra o perspectivă de gen în toate activitățile Parlamentului,</w:t>
      </w:r>
    </w:p>
    <w:p w14:paraId="2D4C3AC3" w14:textId="77777777" w:rsidR="007C42D1" w:rsidRPr="00421E20" w:rsidRDefault="007C42D1" w:rsidP="007C42D1">
      <w:pPr>
        <w:spacing w:after="240"/>
        <w:rPr>
          <w:b/>
          <w:bCs/>
          <w:i/>
          <w:iCs/>
          <w14:textOutline w14:w="0" w14:cap="flat" w14:cmpd="sng" w14:algn="ctr">
            <w14:noFill/>
            <w14:prstDash w14:val="solid"/>
            <w14:bevel/>
          </w14:textOutline>
        </w:rPr>
      </w:pPr>
      <w:r w:rsidRPr="00421E20">
        <w:rPr>
          <w:b/>
          <w:i/>
          <w14:textOutline w14:w="0" w14:cap="flat" w14:cmpd="sng" w14:algn="ctr">
            <w14:noFill/>
            <w14:prstDash w14:val="solid"/>
            <w14:bevel/>
          </w14:textOutline>
        </w:rPr>
        <w:t>Gestiunea bugetară și financiară a Parlamentului</w:t>
      </w:r>
    </w:p>
    <w:p w14:paraId="60770B21"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1</w:t>
      </w:r>
      <w:r w:rsidRPr="00421E20">
        <w:t>.</w:t>
      </w:r>
      <w:r w:rsidRPr="00421E20">
        <w:rPr>
          <w14:textOutline w14:w="0" w14:cap="flat" w14:cmpd="sng" w14:algn="ctr">
            <w14:noFill/>
            <w14:prstDash w14:val="solid"/>
            <w14:bevel/>
          </w14:textOutline>
        </w:rPr>
        <w:tab/>
      </w:r>
      <w:r w:rsidRPr="00421E20">
        <w:t>constată că creditele finale ale Parlamentului din 2024 s-au ridicat la 2 383 de milioane EUR, respectiv 20,2 % din rubrica 7 a cadrului financiar multianual</w:t>
      </w:r>
      <w:r w:rsidRPr="00421E20">
        <w:rPr>
          <w:rStyle w:val="FootnoteReference"/>
        </w:rPr>
        <w:footnoteReference w:id="8"/>
      </w:r>
      <w:r w:rsidRPr="00421E20">
        <w:t xml:space="preserve"> destinată cheltuielilor administrative totale ale instituțiilor Uniunii pentru 2024, reprezentând o creștere de 6,05 % față de bugetul pe 2023 (2 247 de milioane EUR);</w:t>
      </w:r>
    </w:p>
    <w:p w14:paraId="51F2DBFC"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2</w:t>
      </w:r>
      <w:r w:rsidRPr="00421E20">
        <w:t>.</w:t>
      </w:r>
      <w:r w:rsidRPr="00421E20">
        <w:rPr>
          <w14:textOutline w14:w="0" w14:cap="flat" w14:cmpd="sng" w14:algn="ctr">
            <w14:noFill/>
            <w14:prstDash w14:val="solid"/>
            <w14:bevel/>
          </w14:textOutline>
        </w:rPr>
        <w:tab/>
      </w:r>
      <w:r w:rsidRPr="00421E20">
        <w:t>constată că veniturile totale contabilizate la 31 decembrie 2024 au fost de 281 517 001 EUR (față de 255 205 473 EUR în 2023);</w:t>
      </w:r>
      <w:r w:rsidRPr="00421E20">
        <w:rPr>
          <w14:textOutline w14:w="0" w14:cap="flat" w14:cmpd="sng" w14:algn="ctr">
            <w14:noFill/>
            <w14:prstDash w14:val="solid"/>
            <w14:bevel/>
          </w14:textOutline>
        </w:rPr>
        <w:t xml:space="preserve"> </w:t>
      </w:r>
      <w:r w:rsidRPr="00421E20">
        <w:t>constată că veniturile alocate puse la dispoziție în 2024 au fost de 40 277 555 EUR (față de 50 186 995 EUR în 2023);</w:t>
      </w:r>
    </w:p>
    <w:p w14:paraId="6CEE3B12"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3</w:t>
      </w:r>
      <w:r w:rsidRPr="00421E20">
        <w:t>.</w:t>
      </w:r>
      <w:r w:rsidRPr="00421E20">
        <w:rPr>
          <w14:textOutline w14:w="0" w14:cap="flat" w14:cmpd="sng" w14:algn="ctr">
            <w14:noFill/>
            <w14:prstDash w14:val="solid"/>
            <w14:bevel/>
          </w14:textOutline>
        </w:rPr>
        <w:tab/>
      </w:r>
      <w:r w:rsidRPr="00421E20">
        <w:t xml:space="preserve">reține că următoarele șase capitole au însumat </w:t>
      </w:r>
      <w:r w:rsidRPr="00421E20">
        <w:rPr>
          <w14:textOutline w14:w="0" w14:cap="flat" w14:cmpd="sng" w14:algn="ctr">
            <w14:noFill/>
            <w14:prstDash w14:val="solid"/>
            <w14:bevel/>
          </w14:textOutline>
        </w:rPr>
        <w:t>85</w:t>
      </w:r>
      <w:r w:rsidRPr="00421E20">
        <w:t>,</w:t>
      </w:r>
      <w:r w:rsidRPr="00421E20">
        <w:rPr>
          <w14:textOutline w14:w="0" w14:cap="flat" w14:cmpd="sng" w14:algn="ctr">
            <w14:noFill/>
            <w14:prstDash w14:val="solid"/>
            <w14:bevel/>
          </w14:textOutline>
        </w:rPr>
        <w:t>7</w:t>
      </w:r>
      <w:r w:rsidRPr="00421E20">
        <w:t> </w:t>
      </w:r>
      <w:r w:rsidRPr="00421E20">
        <w:rPr>
          <w14:textOutline w14:w="0" w14:cap="flat" w14:cmpd="sng" w14:algn="ctr">
            <w14:noFill/>
            <w14:prstDash w14:val="solid"/>
            <w14:bevel/>
          </w14:textOutline>
        </w:rPr>
        <w:t xml:space="preserve">% </w:t>
      </w:r>
      <w:r w:rsidRPr="00421E20">
        <w:t>din totalul creditelor:</w:t>
      </w:r>
      <w:r w:rsidRPr="00421E20">
        <w:rPr>
          <w14:textOutline w14:w="0" w14:cap="flat" w14:cmpd="sng" w14:algn="ctr">
            <w14:noFill/>
            <w14:prstDash w14:val="solid"/>
            <w14:bevel/>
          </w14:textOutline>
        </w:rPr>
        <w:t xml:space="preserve"> capitolul 1 0 „Membrii instituției”, capitolul 1 2 „Funcționari și agenți temporari”, capitolul 1 4 „Alți agenți și servicii externe”, capitolul 2 0 „Clădiri și cheltuieli conexe”, capitolul 2 1 „Prelucrarea datelor, echipamente și mobilier” și capitolul 4 2 „Cheltuieli aferente asistenței parlamentare”</w:t>
      </w:r>
      <w:r w:rsidRPr="00421E20">
        <w:t>;</w:t>
      </w:r>
    </w:p>
    <w:p w14:paraId="0A5D0A4B"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4.</w:t>
      </w:r>
      <w:r w:rsidRPr="00421E20">
        <w:rPr>
          <w14:textOutline w14:w="0" w14:cap="flat" w14:cmpd="sng" w14:algn="ctr">
            <w14:noFill/>
            <w14:prstDash w14:val="solid"/>
            <w14:bevel/>
          </w14:textOutline>
        </w:rPr>
        <w:tab/>
        <w:t>ia act de cifrele pe baza cărora au fost închise conturile Parlamentului pentru exercițiul financiar 2024 și care sunt raportate în conturile anuale ale Parlamentului European pentru exercițiul financiar 2024 și în Raportul privind gestiunea bugetară și financiară pentru secțiunea I: Parlamentul European și Raportul privind contractele și concesiunile atribuite de Parlamentul European;</w:t>
      </w:r>
    </w:p>
    <w:p w14:paraId="2E609053"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5</w:t>
      </w:r>
      <w:r w:rsidRPr="00421E20">
        <w:t>.</w:t>
      </w:r>
      <w:r w:rsidRPr="00421E20">
        <w:rPr>
          <w14:textOutline w14:w="0" w14:cap="flat" w14:cmpd="sng" w14:algn="ctr">
            <w14:noFill/>
            <w14:prstDash w14:val="solid"/>
            <w14:bevel/>
          </w14:textOutline>
        </w:rPr>
        <w:tab/>
      </w:r>
      <w:r w:rsidRPr="00421E20">
        <w:t>remarcă că în exercițiul financiar 2024, Comisia pentru bugete a Parlamentului a aprobat 12 transferuri („transferuri C”) în conformitate cu articolele 31 și 49 din Regulamentul financiar, care s-au ridicat la 82 768 000 EUR, ceea ce reprezintă 3,47 % din creditele finale;</w:t>
      </w:r>
      <w:r w:rsidRPr="00421E20">
        <w:rPr>
          <w14:textOutline w14:w="0" w14:cap="flat" w14:cmpd="sng" w14:algn="ctr">
            <w14:noFill/>
            <w14:prstDash w14:val="solid"/>
            <w14:bevel/>
          </w14:textOutline>
        </w:rPr>
        <w:t xml:space="preserve"> </w:t>
      </w:r>
      <w:r w:rsidRPr="00421E20">
        <w:t xml:space="preserve">ia act de faptul că Președinta a autorizat nouă transferuri („transferuri P”), în conformitate cu articolul 29 din Regulamentul financiar, în valoare de 11 479 000 EUR sau </w:t>
      </w:r>
      <w:r w:rsidRPr="00421E20">
        <w:rPr>
          <w14:textOutline w14:w="0" w14:cap="flat" w14:cmpd="sng" w14:algn="ctr">
            <w14:noFill/>
            <w14:prstDash w14:val="solid"/>
            <w14:bevel/>
          </w14:textOutline>
        </w:rPr>
        <w:t>0</w:t>
      </w:r>
      <w:r w:rsidRPr="00421E20">
        <w:t>,</w:t>
      </w:r>
      <w:r w:rsidRPr="00421E20">
        <w:rPr>
          <w14:textOutline w14:w="0" w14:cap="flat" w14:cmpd="sng" w14:algn="ctr">
            <w14:noFill/>
            <w14:prstDash w14:val="solid"/>
            <w14:bevel/>
          </w14:textOutline>
        </w:rPr>
        <w:t>4</w:t>
      </w:r>
      <w:r w:rsidRPr="00421E20">
        <w:t> % din bugetul pe 2024;</w:t>
      </w:r>
    </w:p>
    <w:p w14:paraId="498D9904" w14:textId="77777777" w:rsidR="007C42D1" w:rsidRPr="00421E20" w:rsidRDefault="007C42D1" w:rsidP="007C42D1">
      <w:pPr>
        <w:spacing w:after="240"/>
        <w:ind w:left="567" w:hanging="567"/>
      </w:pPr>
      <w:r w:rsidRPr="00421E20">
        <w:rPr>
          <w14:textOutline w14:w="0" w14:cap="flat" w14:cmpd="sng" w14:algn="ctr">
            <w14:noFill/>
            <w14:prstDash w14:val="solid"/>
            <w14:bevel/>
          </w14:textOutline>
        </w:rPr>
        <w:lastRenderedPageBreak/>
        <w:t>6</w:t>
      </w:r>
      <w:r w:rsidRPr="00421E20">
        <w:t>.</w:t>
      </w:r>
      <w:r w:rsidRPr="00421E20">
        <w:rPr>
          <w14:textOutline w14:w="0" w14:cap="flat" w14:cmpd="sng" w14:algn="ctr">
            <w14:noFill/>
            <w14:prstDash w14:val="solid"/>
            <w14:bevel/>
          </w14:textOutline>
        </w:rPr>
        <w:tab/>
      </w:r>
      <w:r w:rsidRPr="00421E20">
        <w:t>salută angajamentul Secretarului General de a simplifica, de a asigura o bună administrare și de a consolida funcția de control a Parlamentului; constată cu satisfacție că simplificarea nu este doar un obiectiv care trebuie atins, ci și un principiu călăuzitor care trebuie aplicat sistematic în toate domeniile de activitate ale Parlamentului, asigurând procese (administrative) mai eficace și mai accesibile; salută accentul continuu pus pe activitatea principală a Parlamentului, pe activitățile sale legislative, bugetare și de control și, în special, pe crearea a patru direcții generale tematice, inclusiv Direcția Generală Afaceri Bugetare;</w:t>
      </w:r>
    </w:p>
    <w:p w14:paraId="583418A0" w14:textId="77777777" w:rsidR="007C42D1" w:rsidRPr="00421E20" w:rsidRDefault="007C42D1" w:rsidP="007C42D1">
      <w:pPr>
        <w:spacing w:after="240"/>
        <w:rPr>
          <w:b/>
          <w:bCs/>
          <w:i/>
          <w:iCs/>
          <w14:textOutline w14:w="0" w14:cap="flat" w14:cmpd="sng" w14:algn="ctr">
            <w14:noFill/>
            <w14:prstDash w14:val="solid"/>
            <w14:bevel/>
          </w14:textOutline>
        </w:rPr>
      </w:pPr>
      <w:r w:rsidRPr="00421E20">
        <w:rPr>
          <w:b/>
          <w:i/>
          <w14:textOutline w14:w="0" w14:cap="flat" w14:cmpd="sng" w14:algn="ctr">
            <w14:noFill/>
            <w14:prstDash w14:val="solid"/>
            <w14:bevel/>
          </w14:textOutline>
        </w:rPr>
        <w:t>Avizele Curții de Conturi Europene privind fiabilitatea conturilor pentru 2024 și legalitatea și regularitatea operațiunilor subiacente acestor conturi</w:t>
      </w:r>
    </w:p>
    <w:p w14:paraId="61A19AB9"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7</w:t>
      </w:r>
      <w:r w:rsidRPr="00421E20">
        <w:t>.</w:t>
      </w:r>
      <w:r w:rsidRPr="00421E20">
        <w:rPr>
          <w14:textOutline w14:w="0" w14:cap="flat" w14:cmpd="sng" w14:algn="ctr">
            <w14:noFill/>
            <w14:prstDash w14:val="solid"/>
            <w14:bevel/>
          </w14:textOutline>
        </w:rPr>
        <w:tab/>
        <w:t>reamintește că Curtea Europeană de Conturi („Curtea”) efectuează o evaluare specială a cheltuielilor administrative și de alt tip, tratându-le ca pe un grup unic de politici pentru toate instituțiile Uniunii; subliniază că cheltuielile administrative cuprind cheltuielile cu resursele umane (inclusiv pensiile), care în 2024 au reprezentat aproximativ 69</w:t>
      </w:r>
      <w:r w:rsidRPr="00421E20">
        <w:t> </w:t>
      </w:r>
      <w:r w:rsidRPr="00421E20">
        <w:rPr>
          <w14:textOutline w14:w="0" w14:cap="flat" w14:cmpd="sng" w14:algn="ctr">
            <w14:noFill/>
            <w14:prstDash w14:val="solid"/>
            <w14:bevel/>
          </w14:textOutline>
        </w:rPr>
        <w:t>% din totalul cheltuielilor administrative, precum și cheltuielile legate de clădiri, echipamente, energie, comunicații și tehnologia informației; subliniază că activitatea Curții de-a lungul anilor arată că, per ansamblu, aceste cheltuieli prezintă un risc scăzut;</w:t>
      </w:r>
    </w:p>
    <w:p w14:paraId="0FB99AEE"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8</w:t>
      </w:r>
      <w:r w:rsidRPr="00421E20">
        <w:t>.</w:t>
      </w:r>
      <w:r w:rsidRPr="00421E20">
        <w:rPr>
          <w14:textOutline w14:w="0" w14:cap="flat" w14:cmpd="sng" w14:algn="ctr">
            <w14:noFill/>
            <w14:prstDash w14:val="solid"/>
            <w14:bevel/>
          </w14:textOutline>
        </w:rPr>
        <w:tab/>
      </w:r>
      <w:r w:rsidRPr="00421E20">
        <w:t xml:space="preserve">observă că rubrica 7, „Administrație publică europeană”, din cadrul financiar multianual a reprezentat 3 miliarde EUR, adică 6,9 % din bugetul Uniunii pe 2024, din care Parlamentului îi revine suma de 2,4 miliarde EUR, respectiv 18,1 %; </w:t>
      </w:r>
      <w:r w:rsidRPr="00421E20">
        <w:rPr>
          <w14:textOutline w14:w="0" w14:cap="flat" w14:cmpd="sng" w14:algn="ctr">
            <w14:noFill/>
            <w14:prstDash w14:val="solid"/>
            <w14:bevel/>
          </w14:textOutline>
        </w:rPr>
        <w:t>ține să remarce că, potrivit Curții, nivelul de erori la cheltuielile aferente rubricii „Administrație publică europeană” nu a fost semnificativ;</w:t>
      </w:r>
    </w:p>
    <w:p w14:paraId="5E794944" w14:textId="77777777" w:rsidR="007C42D1" w:rsidRPr="00421E20" w:rsidRDefault="007C42D1" w:rsidP="007C42D1">
      <w:pPr>
        <w:spacing w:after="240"/>
        <w:ind w:left="567" w:hanging="567"/>
      </w:pPr>
      <w:r w:rsidRPr="00421E20">
        <w:rPr>
          <w14:textOutline w14:w="0" w14:cap="flat" w14:cmpd="sng" w14:algn="ctr">
            <w14:noFill/>
            <w14:prstDash w14:val="solid"/>
            <w14:bevel/>
          </w14:textOutline>
        </w:rPr>
        <w:t>9</w:t>
      </w:r>
      <w:r w:rsidRPr="00421E20">
        <w:t>.</w:t>
      </w:r>
      <w:r w:rsidRPr="00421E20">
        <w:rPr>
          <w14:textOutline w14:w="0" w14:cap="flat" w14:cmpd="sng" w14:algn="ctr">
            <w14:noFill/>
            <w14:prstDash w14:val="solid"/>
            <w14:bevel/>
          </w14:textOutline>
        </w:rPr>
        <w:tab/>
        <w:t>reține că raportul anual al Curții referitor la execuția bugetului în exercițiul financiar 2024</w:t>
      </w:r>
      <w:r w:rsidRPr="00421E20">
        <w:t xml:space="preserve"> </w:t>
      </w:r>
      <w:r w:rsidRPr="00421E20">
        <w:rPr>
          <w14:textOutline w14:w="0" w14:cap="flat" w14:cmpd="sng" w14:algn="ctr">
            <w14:noFill/>
            <w14:prstDash w14:val="solid"/>
            <w14:bevel/>
          </w14:textOutline>
        </w:rPr>
        <w:t>a examinat în mod special</w:t>
      </w:r>
      <w:r w:rsidRPr="00421E20">
        <w:t xml:space="preserve"> sistemele de supraveghere și de control ale Parlamentului, în special aplicarea standardelor de control intern, gestionarea riscurilor și derularea principalelor controale definite în Regulamentul financiar, inclusiv controalele ex ante și ex post ale plăților, precum și un eșantion reprezentativ din punct de vedere statistic de 70 de operațiuni care acoperă întreaga gamă de cheltuieli de la această rubrică din cadrul financiar multianual și informațiile privind respectarea normelor și regulamentelor furnizate în rapoartele anuale de activitate ale tuturor instituțiilor și organelor Uniunii;</w:t>
      </w:r>
    </w:p>
    <w:p w14:paraId="6DFCA75E" w14:textId="77777777" w:rsidR="007C42D1" w:rsidRPr="00421E20" w:rsidRDefault="007C42D1" w:rsidP="007C42D1">
      <w:pPr>
        <w:pStyle w:val="NormalHanging12a"/>
      </w:pPr>
      <w:r w:rsidRPr="00421E20">
        <w:t>10.</w:t>
      </w:r>
      <w:r w:rsidRPr="00421E20">
        <w:tab/>
        <w:t>ia act de observațiile Curții referitoare la normele interne ale Parlamentului; observă că administrația Parlamentului trebuie să respecte Regulamentul financiar și normele privind achizițiile publice; remarcă totuși că, pentru grupurile politice, Biroul a adoptat Normele de utilizare a creditelor de la linia bugetar 400, care conțin o serie de dispoziții specifice pentru anumite proceduri de achiziții; reamintește că grupurile politice gestionează fondurile care li se alocă în conformitate cu principiul gestiunii indirecte, prin aplicarea prin analogie a articolului 62 alineatul (1) litera (c) din Regulamentul financiar; consideră că aceste norme în sine înlocuiesc „acordurile de contribuție”, prevăzute la articolul 158 alineatul (7) din Regulamentul financiar; subliniază că un auditor extern pentru fiecare grup, selectat dintr-o listă de societăți de audit stabilită de administrația Parlamentului, certifică conturile anuale ale grupurilor pentru a asigura conformitatea, ceea ce asigură un nivel neutru de control; subliniază că Curtea examinează și activitățile grupurilor politice în raportul său anual;</w:t>
      </w:r>
    </w:p>
    <w:p w14:paraId="10ADB00C" w14:textId="77777777" w:rsidR="007C42D1" w:rsidRPr="00421E20" w:rsidRDefault="007C42D1" w:rsidP="007C42D1">
      <w:pPr>
        <w:pStyle w:val="NormalHanging12a"/>
      </w:pPr>
      <w:r w:rsidRPr="00421E20">
        <w:t>11.</w:t>
      </w:r>
      <w:r w:rsidRPr="00421E20">
        <w:tab/>
        <w:t xml:space="preserve">observă că doar trei auditori au fost incluși pe lista firmelor de audit selectate pentru auditarea conturilor grupurilor politice și regretă că opțiunile disponibile sunt limitate; </w:t>
      </w:r>
      <w:r w:rsidRPr="00421E20">
        <w:lastRenderedPageBreak/>
        <w:t xml:space="preserve">invită Direcția Generală Finanțe (DG FINS) să depună eforturi pentru a include pe listă mai multe firme de audit externe, invitând în mod activ toți auditorii europeni calificați, inclusiv pe cei cu sediul în afara Belgiei, oferind un număr suficient de opțiuni pentru ca grupurile politice să aibă mai multe opțiuni de a selecta un auditor care respectă Consiliul pentru standarde internaționale de audit și asigurare (IAASB); consideră, de asemenea, că bugetele alocate de grupurile politice pentru audituri ar trebui majorate pentru a asigura un audit mai aprofundat al bunei gestiuni financiare și pentru a atrage o gamă mai largă de expertiză în materie de audit; ia act de direcția și orientările deja furnizate auditorilor externi și încurajează DG FINS să asigure calitatea auditurilor externe care certifică conturile grupurilor politice; </w:t>
      </w:r>
    </w:p>
    <w:p w14:paraId="7247693D" w14:textId="77777777" w:rsidR="007C42D1" w:rsidRPr="00421E20" w:rsidRDefault="007C42D1" w:rsidP="007C42D1">
      <w:pPr>
        <w:spacing w:after="240"/>
        <w:ind w:left="567" w:hanging="567"/>
      </w:pPr>
      <w:r w:rsidRPr="00421E20">
        <w:rPr>
          <w14:textOutline w14:w="0" w14:cap="flat" w14:cmpd="sng" w14:algn="ctr">
            <w14:noFill/>
            <w14:prstDash w14:val="solid"/>
            <w14:bevel/>
          </w14:textOutline>
        </w:rPr>
        <w:t>12</w:t>
      </w:r>
      <w:r w:rsidRPr="00421E20">
        <w:t>.</w:t>
      </w:r>
      <w:r w:rsidRPr="00421E20">
        <w:rPr>
          <w14:textOutline w14:w="0" w14:cap="flat" w14:cmpd="sng" w14:algn="ctr">
            <w14:noFill/>
            <w14:prstDash w14:val="solid"/>
            <w14:bevel/>
          </w14:textOutline>
        </w:rPr>
        <w:tab/>
        <w:t>reamintește</w:t>
      </w:r>
      <w:r w:rsidRPr="00421E20">
        <w:t xml:space="preserve"> că în conformitate cu articolul 1 alineatul (4) din Regulamentul </w:t>
      </w:r>
      <w:r w:rsidRPr="00421E20">
        <w:rPr>
          <w:rStyle w:val="s1"/>
          <w:rFonts w:ascii="UICTFontTextStyleBody" w:hAnsi="UICTFontTextStyleBody"/>
        </w:rPr>
        <w:t xml:space="preserve">de procedură al Parlamentului referitor la utilizarea creditelor de la postul bugetar </w:t>
      </w:r>
      <w:r w:rsidRPr="00421E20">
        <w:t>400, grupurile politice răspund în fața instituției pentru modul în care utilizează creditele, în limitele competențelor conferite lor de Birou; remarcă faptul că grupurile trebuie să se asigure că creditele sunt utilizate în conformitate cu acest regulament; salută eforturile administrației Parlamentului de a oferi asistență grupurilor politice cu scopul de a le orienta cunoștințele și capacitatea în materie de gestiune financiară;</w:t>
      </w:r>
    </w:p>
    <w:p w14:paraId="389D41CC" w14:textId="77777777" w:rsidR="007C42D1" w:rsidRPr="00421E20" w:rsidRDefault="007C42D1" w:rsidP="007C42D1">
      <w:pPr>
        <w:spacing w:after="240"/>
        <w:ind w:left="567" w:hanging="567"/>
      </w:pPr>
      <w:r w:rsidRPr="00421E20">
        <w:t>13.</w:t>
      </w:r>
      <w:r w:rsidRPr="00421E20">
        <w:tab/>
        <w:t>reamintește că pot fi acordate fonduri de la bugetul Uniunii pentru partidele politice europene în vederea contribuției lor la formarea conștiinței politice europene și la exprimarea voinței politice a cetățenilor Uniunii; ia act de faptul că Curtea a auditat o operațiune, în cadrul căreia a considerat cheltuielile neeligibile, și a constatat că administrația Parlamentului a fost de aceeași părere și a luat măsuri pentru a recupera cheltuielile aferente; salută conduita administrației Parlamentului în această privință și, în special, angajamentul său de a aplica o abordare orizontală, garantând egalitatea de tratament pentru toate partidele politice;</w:t>
      </w:r>
    </w:p>
    <w:p w14:paraId="03F1F3AC" w14:textId="77777777" w:rsidR="007C42D1" w:rsidRPr="00421E20" w:rsidRDefault="007C42D1" w:rsidP="007C42D1">
      <w:pPr>
        <w:spacing w:after="240"/>
        <w:rPr>
          <w:b/>
          <w:bCs/>
          <w:i/>
          <w:iCs/>
          <w14:textOutline w14:w="0" w14:cap="flat" w14:cmpd="sng" w14:algn="ctr">
            <w14:noFill/>
            <w14:prstDash w14:val="solid"/>
            <w14:bevel/>
          </w14:textOutline>
        </w:rPr>
      </w:pPr>
      <w:r w:rsidRPr="00421E20">
        <w:rPr>
          <w:b/>
          <w:i/>
          <w14:textOutline w14:w="0" w14:cap="flat" w14:cmpd="sng" w14:algn="ctr">
            <w14:noFill/>
            <w14:prstDash w14:val="solid"/>
            <w14:bevel/>
          </w14:textOutline>
        </w:rPr>
        <w:t>Raportul anual al auditorului intern</w:t>
      </w:r>
    </w:p>
    <w:p w14:paraId="741DC8AD" w14:textId="77777777" w:rsidR="007C42D1" w:rsidRPr="00421E20" w:rsidRDefault="007C42D1" w:rsidP="007C42D1">
      <w:pPr>
        <w:spacing w:after="240"/>
        <w:ind w:left="567" w:hanging="567"/>
      </w:pPr>
      <w:r w:rsidRPr="00421E20">
        <w:rPr>
          <w14:textOutline w14:w="0" w14:cap="flat" w14:cmpd="sng" w14:algn="ctr">
            <w14:noFill/>
            <w14:prstDash w14:val="solid"/>
            <w14:bevel/>
          </w14:textOutline>
        </w:rPr>
        <w:t>14.</w:t>
      </w:r>
      <w:r w:rsidRPr="00421E20">
        <w:rPr>
          <w14:textOutline w14:w="0" w14:cap="flat" w14:cmpd="sng" w14:algn="ctr">
            <w14:noFill/>
            <w14:prstDash w14:val="solid"/>
            <w14:bevel/>
          </w14:textOutline>
        </w:rPr>
        <w:tab/>
      </w:r>
      <w:r w:rsidRPr="00421E20">
        <w:t>ia act de faptul că, la reuniunea din 8 decembrie 2025 dintre comisia competentă și auditorul intern, auditorul intern și-a prezentat raportul anual;</w:t>
      </w:r>
    </w:p>
    <w:p w14:paraId="35A881B8" w14:textId="77777777" w:rsidR="007C42D1" w:rsidRPr="00421E20" w:rsidRDefault="007C42D1" w:rsidP="007C42D1">
      <w:pPr>
        <w:spacing w:after="240"/>
        <w:ind w:left="567" w:hanging="567"/>
      </w:pPr>
      <w:r w:rsidRPr="00421E20">
        <w:rPr>
          <w14:textOutline w14:w="0" w14:cap="flat" w14:cmpd="sng" w14:algn="ctr">
            <w14:noFill/>
            <w14:prstDash w14:val="solid"/>
            <w14:bevel/>
          </w14:textOutline>
        </w:rPr>
        <w:t>15.</w:t>
      </w:r>
      <w:r w:rsidRPr="00421E20">
        <w:rPr>
          <w14:textOutline w14:w="0" w14:cap="flat" w14:cmpd="sng" w14:algn="ctr">
            <w14:noFill/>
            <w14:prstDash w14:val="solid"/>
            <w14:bevel/>
          </w14:textOutline>
        </w:rPr>
        <w:tab/>
        <w:t>salută</w:t>
      </w:r>
      <w:r w:rsidRPr="00421E20">
        <w:t xml:space="preserve"> și sprijină acțiunile pe care auditorul intern le-a convenit cu direcțiile generale responsabile ca urmare a misiunilor de asigurare ale Serviciului de Audit Intern (IAS); ia act de faptul că acțiunile întreprinse ca urmare a acestor recomandări sunt auditate în mod sistematic;</w:t>
      </w:r>
    </w:p>
    <w:p w14:paraId="1C8546D7"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16.</w:t>
      </w:r>
      <w:r w:rsidRPr="00421E20">
        <w:rPr>
          <w14:textOutline w14:w="0" w14:cap="flat" w14:cmpd="sng" w14:algn="ctr">
            <w14:noFill/>
            <w14:prstDash w14:val="solid"/>
            <w14:bevel/>
          </w14:textOutline>
        </w:rPr>
        <w:tab/>
        <w:t>observă că, după procesul de monitorizare din 2024, 24 dintre cele 57 de acțiuni au fost considerate ca fiind implementate cu bine și, ca urmare, validate de Serviciul de Audit Intern; ia act de faptul că profilul de risc rezidual al celor 33 de acțiuni restante a vizat 24 de acțiuni cu un risc semnificativ, legate în principal de securitatea cibernetică și de gestionarea identității și a accesului; ia act de cooperarea consolidată cu Direcția Generală Tehnologiile Informației și Securitate Cibernetică (DG ITEC) pentru a monitoriza punerea în aplicare și riscul rezidual;</w:t>
      </w:r>
    </w:p>
    <w:p w14:paraId="3FFB5529" w14:textId="77777777" w:rsidR="007C42D1" w:rsidRPr="00421E20" w:rsidRDefault="007C42D1" w:rsidP="007C42D1">
      <w:pPr>
        <w:pStyle w:val="NormalHanging12a"/>
      </w:pPr>
      <w:r w:rsidRPr="00421E20">
        <w:t>17.</w:t>
      </w:r>
      <w:r w:rsidRPr="00421E20">
        <w:tab/>
        <w:t xml:space="preserve">recunoaște că, potrivit articolului 118 alineatul (9) din Regulamentul financiar, rapoartele și constatările auditorului intern, precum și raportul instituției Uniunii în cauză se pun la dispoziția publicului, asigurându-se totodată respectarea normelor privind protecția datelor și confidențialitatea, de îndată ce auditorul intern validează acțiunea; constată că, în practică, rapoartele sunt publicate după ce au fost puse în aplicare toate recomandările; ia act de faptul că membrii Comisiei pentru control </w:t>
      </w:r>
      <w:r w:rsidRPr="00421E20">
        <w:lastRenderedPageBreak/>
        <w:t>bugetar a Parlamentului au dreptul de a cere acces confidențial la raportul de audit intern în vederea procedurii de descărcare de gestiune și salută faptul că auditorul intern raportează Comisiei pentru control bugetar a Parlamentului cu privire la activitățile anuale de audit desfășurate;</w:t>
      </w:r>
    </w:p>
    <w:p w14:paraId="27FEE26F"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18.</w:t>
      </w:r>
      <w:r w:rsidRPr="00421E20">
        <w:rPr>
          <w14:textOutline w14:w="0" w14:cap="flat" w14:cmpd="sng" w14:algn="ctr">
            <w14:noFill/>
            <w14:prstDash w14:val="solid"/>
            <w14:bevel/>
          </w14:textOutline>
        </w:rPr>
        <w:tab/>
        <w:t>salută continuarea programului de asigurare și îmbunătățire a calității IAS, care se pregătește în principal pentru introducerea noilor standarde globale de audit intern, care urmau să intre în vigoare în ianuarie 2025; salută, în special, adoptarea de către Birou a Cartei actualizate a auditului și pregătirea unei strategii pentru perioada 2025-2029 pentru funcția de audit intern, care reflectă puternic necesitatea unor schimbări pozitive și a unei abordări bazate pe etică; consideră faptul că 70 % dintre membrii personalului IAS au promovat examenul de certificare pentru a deveni auditori interni drept un indicator suplimentar al îmbunătățirii calității;</w:t>
      </w:r>
    </w:p>
    <w:p w14:paraId="78417C4F"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rPr>
          <w:b/>
          <w:i/>
          <w14:textOutline w14:w="0" w14:cap="flat" w14:cmpd="sng" w14:algn="ctr">
            <w14:noFill/>
            <w14:prstDash w14:val="solid"/>
            <w14:bevel/>
          </w14:textOutline>
        </w:rPr>
        <w:t>Priorități politice</w:t>
      </w:r>
    </w:p>
    <w:p w14:paraId="034AE78D" w14:textId="77777777" w:rsidR="007C42D1" w:rsidRPr="00421E20" w:rsidRDefault="007C42D1" w:rsidP="007C42D1">
      <w:pPr>
        <w:pStyle w:val="NormalHanging12a"/>
      </w:pPr>
      <w:r w:rsidRPr="00421E20">
        <w:t>19.</w:t>
      </w:r>
      <w:r w:rsidRPr="00421E20">
        <w:tab/>
        <w:t xml:space="preserve">reamintește că, în conformitate cu articolele 1.3.2, 2.7.1 și 2.7.2 din Normele privind utilizarea creditelor din postul bugetar 400, fostul grup politic Identitate și Democrație (Grupul ID) și-a prezentat raportul financiar final la 8 octombrie 2024, acoperind perioada 1 ianuarie-15 iulie 2024; reamintește că administrația Parlamentului a primit arhiva financiară completă a Grupului ID în format electronic și pe suport de hârtie și a efectuat o verificare ex post bazată pe riscuri a conturilor pentru 2024, concentrându-se pe verificări ale coerenței și pe testarea prin eșantionare a contractelor și a donațiilor cu risc ridicat; reamintește constatările administrației Parlamentului potrivit cărora cel puțin 4 333 635,78 EUR din creditele de la postul bugetar 400 au fost cheltuite în mod necuvenit de grup în legislatura 2019-2024, expunând Parlamentul la un risc financiar și </w:t>
      </w:r>
      <w:proofErr w:type="spellStart"/>
      <w:r w:rsidRPr="00421E20">
        <w:t>reputațional</w:t>
      </w:r>
      <w:proofErr w:type="spellEnd"/>
      <w:r w:rsidRPr="00421E20">
        <w:t xml:space="preserve"> semnificativ; au fost identificate deficiențe în procedurile de achiziții publice, care reprezintă riscuri </w:t>
      </w:r>
      <w:proofErr w:type="spellStart"/>
      <w:r w:rsidRPr="00421E20">
        <w:t>reputaționale</w:t>
      </w:r>
      <w:proofErr w:type="spellEnd"/>
      <w:r w:rsidRPr="00421E20">
        <w:t xml:space="preserve"> semnificative pentru Parlament;</w:t>
      </w:r>
    </w:p>
    <w:p w14:paraId="6BA1C1A5" w14:textId="77777777" w:rsidR="007C42D1" w:rsidRPr="00421E20" w:rsidRDefault="007C42D1" w:rsidP="007C42D1">
      <w:pPr>
        <w:pStyle w:val="NormalHanging12a"/>
      </w:pPr>
      <w:r w:rsidRPr="00421E20">
        <w:t>20.</w:t>
      </w:r>
      <w:r w:rsidRPr="00421E20">
        <w:tab/>
        <w:t>ia act de faptul că Parchetul European (EPPO) a anunțat în iulie 2025 că a deschis o anchetă privind presupusa utilizare abuzivă a fondurilor Uniunii de către Grupul ID în perioada 2019-2024;</w:t>
      </w:r>
    </w:p>
    <w:p w14:paraId="378EC457" w14:textId="77777777" w:rsidR="007C42D1" w:rsidRPr="00421E20" w:rsidRDefault="007C42D1" w:rsidP="007C42D1">
      <w:pPr>
        <w:pStyle w:val="NormalHanging12a"/>
      </w:pPr>
      <w:r w:rsidRPr="00421E20">
        <w:t>21.</w:t>
      </w:r>
      <w:r w:rsidRPr="00421E20">
        <w:tab/>
        <w:t xml:space="preserve">subliniază că administrația Parlamentului a transmis dosarul cauzei și cooperează pe deplin la ancheta EPPO; ia act de faptul că Biroul așteaptă să cunoască rezultatul anchetei EPPO înainte de a lua orice măsură de recuperare; invită Biroul să furnizeze Comisiei pentru control bugetar a Parlamentului informații actualizate în scris cu privire la situația actuală înainte de începerea următorului ciclu de descărcare de gestiune; invită administrația Parlamentului să ia toate măsurile necesare în paralel cu ancheta penală a EPPO, măsuri administrative provizorii de protecție (inclusiv compensări și/sau rezerve asigurătorii, atunci când acest lucru este fezabil din punct de vedere juridic) pentru a proteja interesele financiare ale Uniunii și reputația Parlamentului; consideră că, în conformitate cu articolul 3 alineatul (3) din Acordul de lucru dintre Parlamentul European și Parchetul European, EPPO va informa Parlamentul despre anchetele în curs sau finalizate în care Parlamentul pare să fie în măsură să ia măsuri asigurătorii pentru a proteja interesele financiare ale Uniunii, inclusiv proceduri disciplinare sau de recuperare în termenele aplicabile; ia act de faptul că procedurile penale nu ar trebui folosite automat ca justificare generalizată pentru o posibilă lipsă de acțiune; </w:t>
      </w:r>
    </w:p>
    <w:p w14:paraId="7B0F0FA6" w14:textId="77777777" w:rsidR="007C42D1" w:rsidRPr="00421E20" w:rsidRDefault="007C42D1" w:rsidP="007C42D1">
      <w:pPr>
        <w:pStyle w:val="NormalHanging12a"/>
      </w:pPr>
      <w:r w:rsidRPr="00421E20">
        <w:t>22.</w:t>
      </w:r>
      <w:r w:rsidRPr="00421E20">
        <w:tab/>
        <w:t xml:space="preserve">invită Biroul să se asigure că auditurile externe respectă în totalitate scrisoarea de angajare și să asigure pentru auditurile viitoare o supraveghere adecvată a grupurilor de </w:t>
      </w:r>
      <w:r w:rsidRPr="00421E20">
        <w:lastRenderedPageBreak/>
        <w:t>către auditorii externi, punând la dispoziția auditorilor externi mai multe ore pentru ca aceștia să își îndeplinească rolul de supraveghere; invită DG FINS să asigure personal suficient în DG FINS care să se ocupe de postul bugetar 400, care să ofere orientări mai clare cu privire la interpretarea corectă a normelor pentru postul bugetar 400, pentru a evita discrepanțele dintre considerațiile auditorilor externi și cele ale DG FINS, respectând pe deplin independența auditorilor, în special în ceea ce privește achizițiile publice, și să ofere grupurilor mai multe cursuri de formare și mai mult sprijin în materie de achiziții publice;</w:t>
      </w:r>
    </w:p>
    <w:p w14:paraId="0BD84F8A" w14:textId="77777777" w:rsidR="007C42D1" w:rsidRPr="00421E20" w:rsidRDefault="007C42D1" w:rsidP="007C42D1">
      <w:pPr>
        <w:pStyle w:val="NormalHanging12a"/>
        <w:rPr>
          <w:bCs/>
          <w:iCs/>
        </w:rPr>
      </w:pPr>
      <w:r w:rsidRPr="00421E20">
        <w:t>23.</w:t>
      </w:r>
      <w:r w:rsidRPr="00421E20">
        <w:tab/>
        <w:t>invită Secretarul General să lanseze un proces de reflecție cu privire la sistemul de audit extern existent pentru postul bugetar 400;</w:t>
      </w:r>
    </w:p>
    <w:p w14:paraId="04701AE8" w14:textId="77777777" w:rsidR="007C42D1" w:rsidRPr="00421E20" w:rsidRDefault="007C42D1" w:rsidP="007C42D1">
      <w:pPr>
        <w:pStyle w:val="NormalHanging12a"/>
        <w:rPr>
          <w:bCs/>
          <w:iCs/>
        </w:rPr>
      </w:pPr>
      <w:r w:rsidRPr="00421E20">
        <w:t>24.</w:t>
      </w:r>
      <w:r w:rsidRPr="00421E20">
        <w:tab/>
        <w:t>salută utilizarea Parlamentului ca platformă de conștientizare cu privire la violența de gen și violența domestică; subliniază importanța misiunilor Uniunii și ale Parlamentului care contribuie la promovarea egalității de gen, inclusiv a celor care oferă sprijin, protecție și servicii esențiale femeilor și fetelor care sunt victime ale violenței sexuale în situații de conflict și post-conflict;</w:t>
      </w:r>
    </w:p>
    <w:p w14:paraId="5BC4EB7B" w14:textId="77777777" w:rsidR="007C42D1" w:rsidRPr="00421E20" w:rsidRDefault="007C42D1" w:rsidP="007C42D1">
      <w:pPr>
        <w:pStyle w:val="NormalHanging12a"/>
        <w:rPr>
          <w:bCs/>
          <w:iCs/>
        </w:rPr>
      </w:pPr>
      <w:r w:rsidRPr="00421E20">
        <w:t>25.</w:t>
      </w:r>
      <w:r w:rsidRPr="00421E20">
        <w:tab/>
        <w:t>reamintește avizul Comisiei pentru control bugetar a Parlamentului destinat Biroului referitor la grupul politic Identitate și democrație – dizolvare și raportul financiar final pe 2024, astfel cum a fost aprobat la 4 septembrie 2025, prin care se solicită să se analizeze posibilitatea de a deschide fără întârziere procedurile necesare în vederea recuperării cuantumului cheltuielilor neeligibile cât mai curând posibil, pentru a evalua datoriile potențiale ale (foștilor) deputați și ale ierarhiei responsabile pentru autorizarea intenționată sau din neglijență gravă a cheltuielilor neconforme; recomandă Biroului să suspende, pe durata anchetei, auditorii externi care au certificat conturile Grupului ID de pe lista societăților de audit extern autorizate pusă la dispoziția grupurilor politice și să-l înlocuiască imediat pe auditorul suspendat având grijă ca grupurile politice să dispună de un număr suficient de opțiuni alternative; așteaptă analiza administrației Parlamentului referitoare la conturile pe 2024 ale grupului „Patrioți pentru Europa” (</w:t>
      </w:r>
      <w:proofErr w:type="spellStart"/>
      <w:r w:rsidRPr="00421E20">
        <w:t>PfE</w:t>
      </w:r>
      <w:proofErr w:type="spellEnd"/>
      <w:r w:rsidRPr="00421E20">
        <w:t>);</w:t>
      </w:r>
    </w:p>
    <w:p w14:paraId="5E15D3AE" w14:textId="1556FE59" w:rsidR="007C42D1" w:rsidRPr="00421E20" w:rsidRDefault="00931AB6" w:rsidP="007C42D1">
      <w:pPr>
        <w:pStyle w:val="NormalHanging12a"/>
      </w:pPr>
      <w:r w:rsidRPr="00421E20">
        <w:t>26</w:t>
      </w:r>
      <w:r w:rsidR="007C42D1" w:rsidRPr="00421E20">
        <w:t>.</w:t>
      </w:r>
      <w:r w:rsidR="007C42D1" w:rsidRPr="00421E20">
        <w:tab/>
        <w:t xml:space="preserve">observă că grupurile politice au o autonomie substanțială în privința serviciilor informatice, care sunt utilizate pentru a stoca informații legate de activitățile lor; constată că, într-o lume turbulentă pe plan geopolitic, astfel de date ar trebui stocate pe serverele europene de către furnizorii europeni pentru a evita dependențele și riscurile externe; salută, prin urmare, anunțul recent privind crearea unei infrastructuri de </w:t>
      </w:r>
      <w:proofErr w:type="spellStart"/>
      <w:r w:rsidR="007C42D1" w:rsidRPr="00421E20">
        <w:t>cloud</w:t>
      </w:r>
      <w:proofErr w:type="spellEnd"/>
      <w:r w:rsidR="007C42D1" w:rsidRPr="00421E20">
        <w:t xml:space="preserve"> sigure și suverane pentru a elimina această dependență;</w:t>
      </w:r>
    </w:p>
    <w:p w14:paraId="0666910F" w14:textId="45686457" w:rsidR="007C42D1" w:rsidRPr="00421E20" w:rsidRDefault="00931AB6" w:rsidP="007C42D1">
      <w:pPr>
        <w:pStyle w:val="NormalHanging12a"/>
      </w:pPr>
      <w:r w:rsidRPr="00421E20">
        <w:t>27</w:t>
      </w:r>
      <w:r w:rsidR="007C42D1" w:rsidRPr="00421E20">
        <w:t>.</w:t>
      </w:r>
      <w:r w:rsidR="007C42D1" w:rsidRPr="00421E20">
        <w:tab/>
        <w:t>evidențiază că este important să se mențină integritatea instituțională și să se prevină eventualele ingerințe externe nejustificate; condamnă orice încercare necuvenită de a influența activitățile legislative ale Parlamentului;</w:t>
      </w:r>
    </w:p>
    <w:p w14:paraId="27D78D92" w14:textId="50DE266F" w:rsidR="007C42D1" w:rsidRPr="00421E20" w:rsidRDefault="00931AB6" w:rsidP="007C42D1">
      <w:pPr>
        <w:pStyle w:val="NormalHanging12a"/>
        <w:rPr>
          <w:bCs/>
          <w:iCs/>
        </w:rPr>
      </w:pPr>
      <w:r w:rsidRPr="00421E20">
        <w:t>28</w:t>
      </w:r>
      <w:r w:rsidR="007C42D1" w:rsidRPr="00421E20">
        <w:t>.</w:t>
      </w:r>
      <w:r w:rsidR="007C42D1" w:rsidRPr="00421E20">
        <w:tab/>
        <w:t xml:space="preserve">reține că Comisia a recunoscut acuzațiile că mai multe entități au folosit fonduri din partea Uniunii pentru activități de promovare care vizează Parlamentul, dar a afirmat că astfel de activități intră în domeniul de aplicare al regulamentului aplicabil; recunoaște totuși că acest comportament ar fi putut genera riscuri </w:t>
      </w:r>
      <w:proofErr w:type="spellStart"/>
      <w:r w:rsidR="007C42D1" w:rsidRPr="00421E20">
        <w:t>reputaționale</w:t>
      </w:r>
      <w:proofErr w:type="spellEnd"/>
      <w:r w:rsidR="007C42D1" w:rsidRPr="00421E20">
        <w:t>;</w:t>
      </w:r>
    </w:p>
    <w:p w14:paraId="135ED875" w14:textId="75755F71" w:rsidR="007C42D1" w:rsidRPr="00421E20" w:rsidRDefault="00931AB6" w:rsidP="007C42D1">
      <w:pPr>
        <w:pStyle w:val="NormalHanging12a"/>
      </w:pPr>
      <w:r w:rsidRPr="00421E20">
        <w:t>29</w:t>
      </w:r>
      <w:r w:rsidR="007C42D1" w:rsidRPr="00421E20">
        <w:t>.</w:t>
      </w:r>
      <w:r w:rsidR="007C42D1" w:rsidRPr="00421E20">
        <w:tab/>
        <w:t xml:space="preserve">reamintește că acuzațiile de influență a Rusiei în Parlament prezintă riscuri grave pentru integritatea democratică, observând că unii deputați au sprijinit în mod deschis Rusia, inclusiv în activitățile lor paralele, subliniind necesitatea unor garanții mai solide; observă că răspunsul Parlamentului la ingerințele externe a devenit mai vigilent, însă ar </w:t>
      </w:r>
      <w:r w:rsidR="007C42D1" w:rsidRPr="00421E20">
        <w:lastRenderedPageBreak/>
        <w:t>trebui luate măsuri mai ferme pentru a asigura o protecție sigură de influențe externe nejustificate; subliniază, în acest context, responsabilitatea esențială a Oficiului European de Luptă Anti-fraudă de a efectua toate investigațiile aprofundate necesare;</w:t>
      </w:r>
    </w:p>
    <w:p w14:paraId="38A2BFBF" w14:textId="32DB5A34" w:rsidR="007C42D1" w:rsidRPr="00421E20" w:rsidRDefault="00931AB6" w:rsidP="007C42D1">
      <w:pPr>
        <w:pStyle w:val="NormalHanging12a"/>
        <w:rPr>
          <w:bCs/>
          <w:iCs/>
        </w:rPr>
      </w:pPr>
      <w:r w:rsidRPr="00421E20">
        <w:t>30</w:t>
      </w:r>
      <w:r w:rsidR="007C42D1" w:rsidRPr="00421E20">
        <w:t>.</w:t>
      </w:r>
      <w:r w:rsidR="007C42D1" w:rsidRPr="00421E20">
        <w:tab/>
        <w:t>reține că anul 2024, inclusiv în perioada premergătoare alegerilor europene, a fost marcat de riscuri mai mari de ingerințe străine și de operațiuni de influență care au vizat instituțiile democratice și reprezentanții aleși; reamintește că acuzațiile și investigațiile publice despre încercările de a influența pozițiile politice și comportamentul de vot subliniază necesitatea unor mecanisme solide de prevenire și detectare în cadrul Parlamentului; cere deci să se asigure garanții interne, cerințe de transparență și cooperarea cu organismele relevante ale Uniunii pentru a proteja integritatea Parlamentului și a bugetului Uniunii;</w:t>
      </w:r>
    </w:p>
    <w:p w14:paraId="56A2C18D" w14:textId="242042F3" w:rsidR="007C42D1" w:rsidRPr="00421E20" w:rsidRDefault="00931AB6" w:rsidP="007C42D1">
      <w:pPr>
        <w:pStyle w:val="NormalHanging12a"/>
      </w:pPr>
      <w:r w:rsidRPr="00421E20">
        <w:t>31</w:t>
      </w:r>
      <w:r w:rsidR="007C42D1" w:rsidRPr="00421E20">
        <w:t>.</w:t>
      </w:r>
      <w:r w:rsidR="007C42D1" w:rsidRPr="00421E20">
        <w:tab/>
        <w:t>reamintește că articolul 4 din Codul de conduită a deputaților în Parlamentul European referitor la integritate și transparență prevede declarații precise de interese financiare din partea deputaților; solicită ca declarațiile privind activitățile externe remunerate sau neremunerate să includă suficiente detalii pentru a evita orice dubiu în legătură cu calitatea controalelor referitoare la conflictele de interese, esențiale pentru a garanta prevenirea, identificarea și gestionarea cu succes a conflictelor de interese;</w:t>
      </w:r>
    </w:p>
    <w:p w14:paraId="3CE81CC8" w14:textId="04B537C0" w:rsidR="007C42D1" w:rsidRPr="00421E20" w:rsidRDefault="00931AB6" w:rsidP="007C42D1">
      <w:pPr>
        <w:pStyle w:val="NormalHanging12a"/>
        <w:rPr>
          <w:bCs/>
          <w:iCs/>
        </w:rPr>
      </w:pPr>
      <w:r w:rsidRPr="00421E20">
        <w:t>32</w:t>
      </w:r>
      <w:r w:rsidR="007C42D1" w:rsidRPr="00421E20">
        <w:t>.</w:t>
      </w:r>
      <w:r w:rsidR="007C42D1" w:rsidRPr="00421E20">
        <w:tab/>
        <w:t>constată că, în interesul transparenței, se publică obligatoriu reuniunile și declarațiile de interese personale, în special declarațiile de sprijin material și financiar; constată, cu toate acestea, că actualul cadru suferă de probleme cronice, pentru că nu este suficient de clar și de complet, ceea ce îi poate reduce eficacitatea generală; consideră că o mai bună îndrumare a deputaților, precum și urmărirea proporțională și consecventă de către administrație a cazurilor în care declarațiile par a fi inexacte sau inconsecvente merită o atenție deosebită, date fiind mai ales preocupările stârnite de ingerințele străine;</w:t>
      </w:r>
    </w:p>
    <w:p w14:paraId="2FA50757" w14:textId="37288190" w:rsidR="007C42D1" w:rsidRPr="00421E20" w:rsidRDefault="00931AB6" w:rsidP="007C42D1">
      <w:pPr>
        <w:pStyle w:val="NormalHanging12a"/>
      </w:pPr>
      <w:r w:rsidRPr="00421E20">
        <w:t>33</w:t>
      </w:r>
      <w:r w:rsidR="007C42D1" w:rsidRPr="00421E20">
        <w:t>.</w:t>
      </w:r>
      <w:r w:rsidR="007C42D1" w:rsidRPr="00421E20">
        <w:tab/>
        <w:t>își exprimă profunda îngrijorare cu privire la acuzațiile potrivit cărora statele membre s-ar fi angajat în activități de spionaj împotriva Parlamentului; ia act de faptul că Comisia a înființat un grup intern pentru a investiga aceste afirmații; cere o cooperare strânsă între Parlament și îndeamnă Comisia să comunice Parlamentului constatările grupului de lucru, cu condiția ca această comunicare să nu compromită nicio procedură judiciară în curs sau potențială;</w:t>
      </w:r>
    </w:p>
    <w:p w14:paraId="6917508C" w14:textId="27FF4FB9" w:rsidR="007C42D1" w:rsidRPr="00421E20" w:rsidRDefault="00931AB6" w:rsidP="007C42D1">
      <w:pPr>
        <w:pStyle w:val="NormalHanging12a"/>
        <w:rPr>
          <w:bCs/>
          <w:iCs/>
        </w:rPr>
      </w:pPr>
      <w:r w:rsidRPr="00421E20">
        <w:t>34</w:t>
      </w:r>
      <w:r w:rsidR="007C42D1" w:rsidRPr="00421E20">
        <w:t>.</w:t>
      </w:r>
      <w:r w:rsidR="007C42D1" w:rsidRPr="00421E20">
        <w:tab/>
        <w:t>îndeamnă Parlamentul să înăsprească măsurile de protecție, printre care gestionarea securizată a dispozitivelor, canale rapide de raportare a incidentelor pentru deputați și personal și informări periodice despre amenințări, în cooperare cu CERT-UE și cu organismele relevante ale Uniunii, asigurând, în același timp, respectarea deplină a drepturilor fundamentale și protecția datelor;</w:t>
      </w:r>
    </w:p>
    <w:p w14:paraId="3E79F0B0" w14:textId="08A240F4" w:rsidR="007C42D1" w:rsidRPr="00421E20" w:rsidRDefault="00931AB6" w:rsidP="007C42D1">
      <w:pPr>
        <w:pStyle w:val="NormalHanging12a"/>
      </w:pPr>
      <w:r w:rsidRPr="00421E20">
        <w:t>35</w:t>
      </w:r>
      <w:r w:rsidR="007C42D1" w:rsidRPr="00421E20">
        <w:t>.</w:t>
      </w:r>
      <w:r w:rsidR="007C42D1" w:rsidRPr="00421E20">
        <w:tab/>
        <w:t xml:space="preserve">ia act de potențialul inteligenței artificiale (IA) de a asigura informații exacte și transparente în cadrul Uniunii și al instituțiilor, organelor, oficiilor și agențiilor sale, în timp ce sistemele de IA concepute și reglementate în mod corespunzător pot contribui la detectarea și limitarea informării greșite și a dezinformării, promovează responsabilitatea și respectă standarde ridicate de transparență pentru a menține încrederea publicului și a consolida guvernanța democratică; este îngrijorat de poziția dominantă a instrumentelor de IA pe care o au companii din țări terțe și de considerentele legate de protecția datelor și de confidențialitate atunci când se utilizează instrumente de IA ale terților; solicită transparență deplină în ceea ce privește utilizarea sistemelor de IA în deciziile și procedurile Parlamentului, inclusiv publicarea de informații detaliate privind algoritmii și evaluările impactului; invită administrația </w:t>
      </w:r>
      <w:r w:rsidR="007C42D1" w:rsidRPr="00421E20">
        <w:lastRenderedPageBreak/>
        <w:t>Parlamentului să pună la dispoziția deputaților și a personalului Parlamentului o serie de instrumente de IA, adaptate nevoilor fiecărei categorii, care să răspundă nevoilor profesionale ale deputaților și să garanteze confidențialitatea, integritatea și disponibilitatea datelor prelucrate de acesta prin utilizarea infrastructurii de la fața locului pentru a preveni scurgerile de date și să nu divulge informații terților, în conformitate cu politicile actuale privind utilizarea IA;</w:t>
      </w:r>
    </w:p>
    <w:p w14:paraId="67136401" w14:textId="53A294D3" w:rsidR="007C42D1" w:rsidRPr="00421E20" w:rsidRDefault="00931AB6" w:rsidP="007C42D1">
      <w:pPr>
        <w:pStyle w:val="NormalHanging12a"/>
        <w:rPr>
          <w:bCs/>
          <w:iCs/>
        </w:rPr>
      </w:pPr>
      <w:r w:rsidRPr="00421E20">
        <w:t>36</w:t>
      </w:r>
      <w:r w:rsidR="007C42D1" w:rsidRPr="00421E20">
        <w:t>.</w:t>
      </w:r>
      <w:r w:rsidR="007C42D1" w:rsidRPr="00421E20">
        <w:tab/>
        <w:t>remarcă utilizarea tot mai frecventă a IA și a instrumentelor bazate pe modele lingvistice mari în gestionarea resurselor umane și recunoaște că poate aduce un plus de eficiență, motiv pentru care ar trebui explorată în continuare; în același timp, relevă că este nevoie de o guvernanță clară, de supraveghere umană, de transparență și de garanții solide în materie de protecție a datelor; invită administrația să informeze autoritatea care acordă descărcarea de gestiune despre domeniul de aplicare, evaluarea riscurilor și garanțiile etice ale acestor instrumente;</w:t>
      </w:r>
    </w:p>
    <w:p w14:paraId="6DF072EC" w14:textId="1F3447BC" w:rsidR="007C42D1" w:rsidRPr="00421E20" w:rsidRDefault="00931AB6" w:rsidP="007C42D1">
      <w:pPr>
        <w:pStyle w:val="NormalHanging12a"/>
      </w:pPr>
      <w:r w:rsidRPr="00421E20">
        <w:t>37</w:t>
      </w:r>
      <w:r w:rsidR="007C42D1" w:rsidRPr="00421E20">
        <w:t>.</w:t>
      </w:r>
      <w:r w:rsidR="007C42D1" w:rsidRPr="00421E20">
        <w:tab/>
        <w:t>relevă că, în conformitate cu Regulamentul de procedură al Parlamentului, la votul secret se apelează, în general, pentru alegeri și pentru voturile referitoare la persoane individuale; evidențiază, de asemenea, că la votul secret se recurge și dacă este solicitat de un număr de deputați sau un grup sau grupuri politice care ating cel puțin pragul ridicat; reține, în acest context, că Comisia pentru afaceri constituționale a Parlamentului a fost însărcinată să evalueze utilizarea ultimei opțiuni și este așteptată să vină cu concluzii și propuneri; consideră că votul prin apel nominal este un instrument esențial pentru a asigura transparența și răspunderea în fața cetățenilor Uniunii; invită Parlamentul să prezinte măsuri prin care să se evite recurgerea abuzivă la votul secret;</w:t>
      </w:r>
    </w:p>
    <w:p w14:paraId="3C75AB8A" w14:textId="1F4E94EB" w:rsidR="007C42D1" w:rsidRPr="00421E20" w:rsidRDefault="00931AB6" w:rsidP="007C42D1">
      <w:pPr>
        <w:pStyle w:val="NormalHanging12a"/>
        <w:rPr>
          <w:bCs/>
          <w:iCs/>
        </w:rPr>
      </w:pPr>
      <w:r w:rsidRPr="00421E20">
        <w:t>38</w:t>
      </w:r>
      <w:r w:rsidR="007C42D1" w:rsidRPr="00421E20">
        <w:t>.</w:t>
      </w:r>
      <w:r w:rsidR="007C42D1" w:rsidRPr="00421E20">
        <w:tab/>
        <w:t xml:space="preserve">salută progresele înregistrate în ceea ce privește integrarea perspectivei de gen, inclusiv în buget, precum și adoptarea Planului de acțiune pentru egalitatea de gen din 2025; solicită ca acest plan de acțiune să fie publicat, pus în aplicare rapid prin foaia sa de parcurs privind Planul de acțiune pentru egalitatea de gen și evaluat în detaliu, cu rapoarte periodice de monitorizare a progreselor înregistrate;  salută activitatea Rețelei pentru integrarea perspectivei de gen din cadrul Parlamentului; </w:t>
      </w:r>
    </w:p>
    <w:p w14:paraId="0942A4E1" w14:textId="77777777" w:rsidR="007C42D1" w:rsidRPr="00421E20" w:rsidRDefault="007C42D1" w:rsidP="007C42D1">
      <w:pPr>
        <w:spacing w:after="240"/>
        <w:rPr>
          <w:b/>
          <w:bCs/>
          <w:i/>
          <w:iCs/>
          <w14:textOutline w14:w="0" w14:cap="flat" w14:cmpd="sng" w14:algn="ctr">
            <w14:noFill/>
            <w14:prstDash w14:val="solid"/>
            <w14:bevel/>
          </w14:textOutline>
        </w:rPr>
      </w:pPr>
      <w:r w:rsidRPr="00421E20">
        <w:rPr>
          <w:b/>
          <w:i/>
          <w14:textOutline w14:w="0" w14:cap="flat" w14:cmpd="sng" w14:algn="ctr">
            <w14:noFill/>
            <w14:prstDash w14:val="solid"/>
            <w14:bevel/>
          </w14:textOutline>
        </w:rPr>
        <w:t>Direcția Generală Președinție</w:t>
      </w:r>
    </w:p>
    <w:p w14:paraId="5CBBF3C0" w14:textId="24B3B1B2" w:rsidR="007C42D1" w:rsidRPr="00421E20" w:rsidRDefault="00931AB6"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39</w:t>
      </w:r>
      <w:r w:rsidR="007C42D1" w:rsidRPr="00421E20">
        <w:t>.</w:t>
      </w:r>
      <w:r w:rsidR="007C42D1" w:rsidRPr="00421E20">
        <w:rPr>
          <w14:textOutline w14:w="0" w14:cap="flat" w14:cmpd="sng" w14:algn="ctr">
            <w14:noFill/>
            <w14:prstDash w14:val="solid"/>
            <w14:bevel/>
          </w14:textOutline>
        </w:rPr>
        <w:tab/>
        <w:t xml:space="preserve">reamintește că Direcția Generală Președinție (DG PRES) furnizează expertiză și facilitează activitatea legislativă și parlamentară a Președintei, a plenului, a organelor de conducere ale Parlamentului și a deputaților în fiecare etapă a procesului parlamentar și legislativ; </w:t>
      </w:r>
      <w:r w:rsidR="007C42D1" w:rsidRPr="00421E20">
        <w:t>reamintește că tot ea este responsabilă cu relațiile interinstituționale, cu activitățile de sprijin pentru protocol la vizitele oficiale și evenimentele susținute de Președintă, cu gestionarea informațiilor clasificate ale Uniunii și cu gestionarea corespondenței oficiale și recomandate;</w:t>
      </w:r>
      <w:r w:rsidR="007C42D1" w:rsidRPr="00421E20">
        <w:rPr>
          <w14:textOutline w14:w="0" w14:cap="flat" w14:cmpd="sng" w14:algn="ctr">
            <w14:noFill/>
            <w14:prstDash w14:val="solid"/>
            <w14:bevel/>
          </w14:textOutline>
        </w:rPr>
        <w:t xml:space="preserve"> </w:t>
      </w:r>
      <w:r w:rsidR="007C42D1" w:rsidRPr="00421E20">
        <w:t>constată că la 31 decembrie 2024 aici lucrau 406 membri ai personalului, dintre care 320 erau funcționari, 29 agenți temporari, 55 agenți contractuali, un expert național detașat și un angajat temporar;</w:t>
      </w:r>
    </w:p>
    <w:p w14:paraId="3182E671" w14:textId="1CB4C798" w:rsidR="007C42D1" w:rsidRPr="00421E20" w:rsidRDefault="00931AB6"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40</w:t>
      </w:r>
      <w:r w:rsidR="007C42D1" w:rsidRPr="00421E20">
        <w:t>.</w:t>
      </w:r>
      <w:r w:rsidR="007C42D1" w:rsidRPr="00421E20">
        <w:rPr>
          <w14:textOutline w14:w="0" w14:cap="flat" w14:cmpd="sng" w14:algn="ctr">
            <w14:noFill/>
            <w14:prstDash w14:val="solid"/>
            <w14:bevel/>
          </w14:textOutline>
        </w:rPr>
        <w:tab/>
      </w:r>
      <w:r w:rsidR="007C42D1" w:rsidRPr="00421E20">
        <w:t>constată că în 2024 creditele finale alocate DG PRES au fost de 2 970 957 EUR, reprezentând 0,2 % din bugetul Parlamentului;</w:t>
      </w:r>
      <w:r w:rsidR="007C42D1" w:rsidRPr="00421E20">
        <w:rPr>
          <w14:textOutline w14:w="0" w14:cap="flat" w14:cmpd="sng" w14:algn="ctr">
            <w14:noFill/>
            <w14:prstDash w14:val="solid"/>
            <w14:bevel/>
          </w14:textOutline>
        </w:rPr>
        <w:t xml:space="preserve"> </w:t>
      </w:r>
      <w:r w:rsidR="007C42D1" w:rsidRPr="00421E20">
        <w:t>subliniază că din această sumă a fost angajat un total de 2 930 107 EUR;</w:t>
      </w:r>
      <w:r w:rsidR="007C42D1" w:rsidRPr="00421E20">
        <w:rPr>
          <w14:textOutline w14:w="0" w14:cap="flat" w14:cmpd="sng" w14:algn="ctr">
            <w14:noFill/>
            <w14:prstDash w14:val="solid"/>
            <w14:bevel/>
          </w14:textOutline>
        </w:rPr>
        <w:t xml:space="preserve"> consideră îmbucurător că s-a utilizat o proporție mare a creditelor;</w:t>
      </w:r>
    </w:p>
    <w:p w14:paraId="05CF40CA" w14:textId="5E59C219" w:rsidR="007C42D1" w:rsidRPr="00421E20" w:rsidRDefault="00931AB6" w:rsidP="007C42D1">
      <w:pPr>
        <w:spacing w:after="240"/>
        <w:ind w:left="567" w:hanging="567"/>
      </w:pPr>
      <w:r w:rsidRPr="00421E20">
        <w:t>41</w:t>
      </w:r>
      <w:r w:rsidR="007C42D1" w:rsidRPr="00421E20">
        <w:t>.</w:t>
      </w:r>
      <w:r w:rsidR="007C42D1" w:rsidRPr="00421E20">
        <w:tab/>
        <w:t xml:space="preserve">constată că activitățile DG PRES au fost influențate de sfârșitul celei de a noua legislaturi și de începutul celei de a zecea legislaturi, ceea ce a creat provocări pentru planificarea și finalizarea ședințelor plenare la sfârșitul celei de a noua legislaturi, având </w:t>
      </w:r>
      <w:r w:rsidR="007C42D1" w:rsidRPr="00421E20">
        <w:lastRenderedPageBreak/>
        <w:t xml:space="preserve">în vedere numărul foarte mare de dosare din cadrul procedurii legislative ordinare convenite în ultimele luni ale legislaturii, precum și constituirea noului Parlament la începutul celei de a zecea legislaturi, odată cu alegerea Președintei și a Biroului; </w:t>
      </w:r>
    </w:p>
    <w:p w14:paraId="7AF540A6" w14:textId="3478158B" w:rsidR="007C42D1" w:rsidRPr="00421E20" w:rsidRDefault="00931AB6" w:rsidP="007C42D1">
      <w:pPr>
        <w:pStyle w:val="NormalHanging12a"/>
      </w:pPr>
      <w:bookmarkStart w:id="8" w:name="_Hlk216613698"/>
      <w:r w:rsidRPr="00421E20">
        <w:t>42</w:t>
      </w:r>
      <w:r w:rsidR="007C42D1" w:rsidRPr="00421E20">
        <w:t>.</w:t>
      </w:r>
      <w:r w:rsidR="007C42D1" w:rsidRPr="00421E20">
        <w:tab/>
        <w:t>felicită DG PRES pentru activitățile sale legate de punerea în aplicare și monitorizarea noilor norme privind integritatea și transparența, care au inclus o primă evaluare generală a punerii în aplicare tehnice a reformei, precum și activități de sensibilizare și furnizarea de expertiză tehnică și servicii privind aspectele legate de transparență, integritate și responsabilitate; felicită, de asemenea, Comitetul consultativ pentru conduita deputaților pentru rolul său în eforturile de a monitoriza măsura în care deputații au respectat Codul de conduită și măsurile de aplicare a acestuia;</w:t>
      </w:r>
    </w:p>
    <w:bookmarkEnd w:id="8"/>
    <w:p w14:paraId="2DBE1425" w14:textId="5CD223A0" w:rsidR="007C42D1" w:rsidRPr="00421E20" w:rsidRDefault="00931AB6" w:rsidP="007C42D1">
      <w:pPr>
        <w:pStyle w:val="NormalHanging12a"/>
      </w:pPr>
      <w:r w:rsidRPr="00421E20">
        <w:t>43</w:t>
      </w:r>
      <w:r w:rsidR="007C42D1" w:rsidRPr="00421E20">
        <w:t>.</w:t>
      </w:r>
      <w:r w:rsidR="007C42D1" w:rsidRPr="00421E20">
        <w:tab/>
        <w:t>solicită continuarea cooperării interinstituționale și a dialogului privind integritatea și transparența în cadrul instituțiilor Uniunii;</w:t>
      </w:r>
      <w:r w:rsidR="00F91739" w:rsidRPr="00421E20">
        <w:t xml:space="preserve"> reamintește că Parlamentul are în continuare obligația de a respecta Acordul de instituire a unui organism interinstituțional privind standardele etice pentru membrii instituțiilor și ai organelor consultative menționate la articolul 13 din Tratatul privind Uniunea Europeană; reamintește că, prin urmare, Parlamentul trebuie să se conformeze dispozițiilor sale fără întârziere;</w:t>
      </w:r>
    </w:p>
    <w:p w14:paraId="7017A262" w14:textId="04AD9DB3" w:rsidR="007C42D1" w:rsidRPr="00421E20" w:rsidRDefault="00931AB6" w:rsidP="007C42D1">
      <w:pPr>
        <w:pStyle w:val="NormalHanging12a"/>
        <w:rPr>
          <w:bCs/>
          <w:iCs/>
        </w:rPr>
      </w:pPr>
      <w:r w:rsidRPr="00421E20">
        <w:t>44</w:t>
      </w:r>
      <w:r w:rsidR="007C42D1" w:rsidRPr="00421E20">
        <w:t>.</w:t>
      </w:r>
      <w:r w:rsidR="007C42D1" w:rsidRPr="00421E20">
        <w:tab/>
        <w:t>se bucură se afle că DG PRES și-a continuat cooperarea fructuoasă cu Consiliul și Comisia cu privire la toate elementele referitoare la secretariatul interinstituțional al registrului de transparență, cu scopul de a îmbunătăți în continuare funcționarea registrului;</w:t>
      </w:r>
    </w:p>
    <w:p w14:paraId="55BD8CBA" w14:textId="13879713" w:rsidR="007C42D1" w:rsidRPr="00421E20" w:rsidRDefault="00931AB6" w:rsidP="007C42D1">
      <w:pPr>
        <w:pStyle w:val="NormalHanging12a"/>
      </w:pPr>
      <w:r w:rsidRPr="00421E20">
        <w:t>45</w:t>
      </w:r>
      <w:r w:rsidR="007C42D1" w:rsidRPr="00421E20">
        <w:t>.</w:t>
      </w:r>
      <w:r w:rsidR="007C42D1" w:rsidRPr="00421E20">
        <w:tab/>
        <w:t>subliniază întârzierile persistente în tratarea de către Comisie a întrebărilor parlamentare cu solicitare de răspuns scris din ultimii ani; regretă că procesul a devenit din ce în ce mai birocratic și mai lent, ceea ce a dus la nerespectarea sistematică a termenelor prevăzute la articolul 144 din Regulamentul de procedură al Parlamentului; constată cu îngrijorare că, în 2024, Comisia a răspuns la întrebările cu solicitare de răspuns scris în termenele stabilite în Regulamentul de procedură al Parlamentului doar într-o proporție limitată, inclusiv o rată deosebit de scăzută pentru întrebările prioritare, și, în multe cazuri, după termenul-limită; subliniază că termenul cel mai lung de răspuns a fost de 475 de zile; reamintește că răspunsurile la timp reprezintă un element esențial al controlului parlamentar și al responsabilității democratice; salută eforturile depuse de DG PRES în ultimii ani pentru a respecta termenele stabilite; invită DG PRES să se străduiască să asigure respectarea deplină a termenelor stabilite de Parlament și să încheie, inclusiv la nivel politic, acorduri mai stricte cu Comisia pentru a răspunde la întrebările cu solicitare de răspuns scris în termenele stabilite și să comunice autorității care acordă descărcarea de gestiune progresele înregistrate, cu scopul de a face întrebările parlamentare cu solicitare de răspuns scris să își îndeplinească menirea de instrument eficace de supraveghere;</w:t>
      </w:r>
    </w:p>
    <w:p w14:paraId="63CC909D" w14:textId="53BB6C79" w:rsidR="007C42D1" w:rsidRPr="00421E20" w:rsidRDefault="00931AB6" w:rsidP="007C42D1">
      <w:pPr>
        <w:pStyle w:val="NormalHanging12a"/>
        <w:rPr>
          <w:bCs/>
          <w:iCs/>
        </w:rPr>
      </w:pPr>
      <w:r w:rsidRPr="00421E20">
        <w:t>46</w:t>
      </w:r>
      <w:r w:rsidR="007C42D1" w:rsidRPr="00421E20">
        <w:t>.</w:t>
      </w:r>
      <w:r w:rsidR="007C42D1" w:rsidRPr="00421E20">
        <w:tab/>
        <w:t>ia act de faptul că prelucrarea internă, inclusiv editarea, traducerea și verificarea admisibilității, contribuie la perioada totală în care sunt transmise întrebările cu solicitare de răspuns scris; invită administrația să continue simplificarea acestor proceduri, respectând totodată pe deplin cerințele de calitate lingvistică și de protecție a datelor, pentru a sprijini mai eficient activitatea de control a deputaților;</w:t>
      </w:r>
    </w:p>
    <w:p w14:paraId="39D4B718" w14:textId="583D3D1D" w:rsidR="007C42D1" w:rsidRPr="00421E20" w:rsidRDefault="00931AB6" w:rsidP="007C42D1">
      <w:pPr>
        <w:spacing w:after="240"/>
        <w:ind w:left="567" w:hanging="567"/>
      </w:pPr>
      <w:r w:rsidRPr="00421E20">
        <w:t>47</w:t>
      </w:r>
      <w:r w:rsidR="007C42D1" w:rsidRPr="00421E20">
        <w:t xml:space="preserve">. </w:t>
      </w:r>
      <w:r w:rsidR="007C42D1" w:rsidRPr="00421E20">
        <w:tab/>
        <w:t>invită DG PRES să colaboreze activ cu parlamentele altor state membre și ale țărilor terțe pentru a elabora propuneri de mecanisme de control eficace, precum și modalități de îmbunătățire a calității și a prezenței la dezbaterile în plen din cadrul Parlamentului; invită DG PRES să tragă învățăminte din structura audierilor din cadrul Congresului;</w:t>
      </w:r>
    </w:p>
    <w:p w14:paraId="3080E850" w14:textId="405E7599" w:rsidR="007C42D1" w:rsidRPr="00421E20" w:rsidRDefault="00931AB6" w:rsidP="007C42D1">
      <w:pPr>
        <w:pStyle w:val="NormalHanging12a"/>
        <w:rPr>
          <w:bCs/>
          <w:iCs/>
        </w:rPr>
      </w:pPr>
      <w:r w:rsidRPr="00421E20">
        <w:lastRenderedPageBreak/>
        <w:t>48</w:t>
      </w:r>
      <w:r w:rsidR="007C42D1" w:rsidRPr="00421E20">
        <w:t>.</w:t>
      </w:r>
      <w:r w:rsidR="007C42D1" w:rsidRPr="00421E20">
        <w:tab/>
        <w:t>felicită Parlamentul pentru că a inițiat recent procedura legislativă de modificare a legislației electorale a Uniunii cu scopul de a introduce o nouă opțiune temporară de vot prin procură pentru deputatele în Parlamentul European aflate în ultima parte a sarcinii și la începutul maternității; consideră de bun augur că, prin votul său din 13 noiembrie 2025 în plen, Parlamentul s-a angajat să asigure egalitatea de gen, incluziunea și echilibrul dintre viața profesională și cea privată, chiar dacă acest act nu cuprinde dispoziții mai ample referitoare la concediul de creștere a copilului;</w:t>
      </w:r>
    </w:p>
    <w:p w14:paraId="5C5D21AC" w14:textId="02D25649" w:rsidR="007C42D1" w:rsidRPr="00421E20" w:rsidRDefault="00931AB6" w:rsidP="007C42D1">
      <w:pPr>
        <w:pStyle w:val="NormalHanging12a"/>
        <w:rPr>
          <w:bCs/>
          <w:iCs/>
        </w:rPr>
      </w:pPr>
      <w:r w:rsidRPr="00421E20">
        <w:t>49</w:t>
      </w:r>
      <w:r w:rsidR="007C42D1" w:rsidRPr="00421E20">
        <w:t>.</w:t>
      </w:r>
      <w:r w:rsidR="007C42D1" w:rsidRPr="00421E20">
        <w:tab/>
        <w:t>constată că, în prezent, nu sunt disponibile date actualizate privind prezența la nivelul comisiilor; invită serviciile Parlamentului să publice anual aceste cifre despre prezență agregate la nivelul comisiilor;</w:t>
      </w:r>
    </w:p>
    <w:p w14:paraId="7BE1B0CD" w14:textId="77777777" w:rsidR="007C42D1" w:rsidRPr="00421E20" w:rsidRDefault="007C42D1" w:rsidP="007C42D1">
      <w:pPr>
        <w:spacing w:after="240"/>
        <w:rPr>
          <w:b/>
          <w:bCs/>
          <w:i/>
          <w:iCs/>
          <w14:textOutline w14:w="0" w14:cap="flat" w14:cmpd="sng" w14:algn="ctr">
            <w14:noFill/>
            <w14:prstDash w14:val="solid"/>
            <w14:bevel/>
          </w14:textOutline>
        </w:rPr>
      </w:pPr>
      <w:r w:rsidRPr="00421E20">
        <w:rPr>
          <w:b/>
          <w:i/>
          <w14:textOutline w14:w="0" w14:cap="flat" w14:cmpd="sng" w14:algn="ctr">
            <w14:noFill/>
            <w14:prstDash w14:val="solid"/>
            <w14:bevel/>
          </w14:textOutline>
        </w:rPr>
        <w:t>Direcția Generală Comunicare</w:t>
      </w:r>
    </w:p>
    <w:p w14:paraId="1C48A934" w14:textId="5A44F0FB" w:rsidR="007C42D1" w:rsidRPr="00421E20" w:rsidRDefault="00931AB6"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50</w:t>
      </w:r>
      <w:r w:rsidR="007C42D1" w:rsidRPr="00421E20">
        <w:t>.</w:t>
      </w:r>
      <w:r w:rsidR="007C42D1" w:rsidRPr="00421E20">
        <w:rPr>
          <w14:textOutline w14:w="0" w14:cap="flat" w14:cmpd="sng" w14:algn="ctr">
            <w14:noFill/>
            <w14:prstDash w14:val="solid"/>
            <w14:bevel/>
          </w14:textOutline>
        </w:rPr>
        <w:tab/>
      </w:r>
      <w:r w:rsidR="007C42D1" w:rsidRPr="00421E20">
        <w:t>remarcă faptul că misiunea Direcției Generale Comunicare (DG COMM) este de a se asigura că cetățenii înțeleg importanța Parlamentului, astfel încât să poată îmbunătăți implicarea în procesul democratic european;</w:t>
      </w:r>
      <w:r w:rsidR="007C42D1" w:rsidRPr="00421E20">
        <w:rPr>
          <w14:textOutline w14:w="0" w14:cap="flat" w14:cmpd="sng" w14:algn="ctr">
            <w14:noFill/>
            <w14:prstDash w14:val="solid"/>
            <w14:bevel/>
          </w14:textOutline>
        </w:rPr>
        <w:t xml:space="preserve"> evidențiază că principalele sarcini ale DG COMM sunt de a colabora cu presa, de a informa, explica și populariza activitatea Parlamentului, de a crește gradul de conștientizare cu privire la Parlament în rândul cetățenilor, al părților interesate și al liderilor de opinie prin birourile de legătură ale Parlamentului European (EPLO) din statele membre, de a promova interacțiunea cu cetățenii prin proiecte mai interesante pentru vizitatori, evenimente și campanii de informare și prin platformele de comunicare socială și de a furniza expertiză deputaților și grupurilor politice pe subiecte precum monitorizarea și analiza strategică a mass-mediei sau monitorizarea opiniei publice,</w:t>
      </w:r>
    </w:p>
    <w:p w14:paraId="2A8FE5C4" w14:textId="21DDAB73" w:rsidR="007C42D1" w:rsidRPr="00421E20" w:rsidRDefault="00931AB6"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51</w:t>
      </w:r>
      <w:r w:rsidR="007C42D1" w:rsidRPr="00421E20">
        <w:t>.</w:t>
      </w:r>
      <w:r w:rsidR="007C42D1" w:rsidRPr="00421E20">
        <w:rPr>
          <w14:textOutline w14:w="0" w14:cap="flat" w14:cmpd="sng" w14:algn="ctr">
            <w14:noFill/>
            <w14:prstDash w14:val="solid"/>
            <w14:bevel/>
          </w14:textOutline>
        </w:rPr>
        <w:tab/>
      </w:r>
      <w:r w:rsidR="007C42D1" w:rsidRPr="00421E20">
        <w:t>constată că în 2024 creditele finale alocate DG COMM au fost de 137 463 777 EUR, reprezentând 5,8 % din bugetul Parlamentului;</w:t>
      </w:r>
      <w:r w:rsidR="007C42D1" w:rsidRPr="00421E20">
        <w:rPr>
          <w14:textOutline w14:w="0" w14:cap="flat" w14:cmpd="sng" w14:algn="ctr">
            <w14:noFill/>
            <w14:prstDash w14:val="solid"/>
            <w14:bevel/>
          </w14:textOutline>
        </w:rPr>
        <w:t xml:space="preserve"> </w:t>
      </w:r>
      <w:r w:rsidR="007C42D1" w:rsidRPr="00421E20">
        <w:t>subliniază că din această sumă a fost angajat un total de 137 467 355 EUR;</w:t>
      </w:r>
      <w:r w:rsidR="007C42D1" w:rsidRPr="00421E20">
        <w:rPr>
          <w14:textOutline w14:w="0" w14:cap="flat" w14:cmpd="sng" w14:algn="ctr">
            <w14:noFill/>
            <w14:prstDash w14:val="solid"/>
            <w14:bevel/>
          </w14:textOutline>
        </w:rPr>
        <w:t xml:space="preserve"> consideră îmbucurător că creditele au fost utilizate într-o mare măsură;</w:t>
      </w:r>
    </w:p>
    <w:p w14:paraId="6D6E5AAE" w14:textId="50071239" w:rsidR="007C42D1" w:rsidRPr="00421E20" w:rsidRDefault="00931AB6" w:rsidP="007C42D1">
      <w:pPr>
        <w:spacing w:after="240"/>
        <w:ind w:left="567" w:hanging="567"/>
      </w:pPr>
      <w:r w:rsidRPr="00421E20">
        <w:t>52</w:t>
      </w:r>
      <w:r w:rsidR="007C42D1" w:rsidRPr="00421E20">
        <w:t>.</w:t>
      </w:r>
      <w:r w:rsidR="007C42D1" w:rsidRPr="00421E20">
        <w:tab/>
        <w:t>recunoaște că comunicarea privind alegerile europene s-a aflat în prima linie a activităților DG COMM în 2024, în special prin campania de comunicare de succes „</w:t>
      </w:r>
      <w:proofErr w:type="spellStart"/>
      <w:r w:rsidR="007C42D1" w:rsidRPr="00421E20">
        <w:t>Go-to-vote</w:t>
      </w:r>
      <w:proofErr w:type="spellEnd"/>
      <w:r w:rsidR="007C42D1" w:rsidRPr="00421E20">
        <w:t>” („Mergeți la vot”), parteneriatele cu peste 300 de organizații ale societății civile și sesiunile de informare la care au participat peste 18 000 de jurnaliști; ia act de faptul că toate proiectele strategice ale DG COMM din 2024, cu o rată de finalizare de 94 %, au fost destinate alegerilor europene, restul de 6 % fiind legate de punerea în aplicare a noii structuri a site-ului web;</w:t>
      </w:r>
    </w:p>
    <w:p w14:paraId="3D99B42E" w14:textId="3A52FE6E" w:rsidR="007C42D1" w:rsidRPr="00421E20" w:rsidRDefault="00931AB6" w:rsidP="007C42D1">
      <w:pPr>
        <w:spacing w:after="240"/>
        <w:ind w:left="567" w:hanging="567"/>
      </w:pPr>
      <w:r w:rsidRPr="00421E20">
        <w:t>53</w:t>
      </w:r>
      <w:r w:rsidR="007C42D1" w:rsidRPr="00421E20">
        <w:t xml:space="preserve">. </w:t>
      </w:r>
      <w:r w:rsidR="007C42D1" w:rsidRPr="00421E20">
        <w:tab/>
        <w:t>constată că DG COMM a facilitat acoperirea alegerilor europene, care au atins un volum record de relatări (+ 18 % față de alegerile anterioare), pe care DG COMM îl consideră deosebit de remarcabil în ultima fază a ciclului electoral, noaptea alegerilor (9 iunie 2024) fiind acoperită de 149 canale de televiziune din 51 de țări și de majoritatea relatărilor online;</w:t>
      </w:r>
    </w:p>
    <w:p w14:paraId="4CA22300" w14:textId="1CF7A71E" w:rsidR="007C42D1" w:rsidRPr="00421E20" w:rsidRDefault="00931AB6" w:rsidP="007C42D1">
      <w:pPr>
        <w:spacing w:after="240"/>
        <w:ind w:left="567" w:hanging="567"/>
      </w:pPr>
      <w:r w:rsidRPr="00421E20">
        <w:rPr>
          <w14:textOutline w14:w="0" w14:cap="flat" w14:cmpd="sng" w14:algn="ctr">
            <w14:noFill/>
            <w14:prstDash w14:val="solid"/>
            <w14:bevel/>
          </w14:textOutline>
        </w:rPr>
        <w:t>54</w:t>
      </w:r>
      <w:r w:rsidR="007C42D1" w:rsidRPr="00421E20">
        <w:t>.</w:t>
      </w:r>
      <w:r w:rsidR="007C42D1" w:rsidRPr="00421E20">
        <w:rPr>
          <w14:textOutline w14:w="0" w14:cap="flat" w14:cmpd="sng" w14:algn="ctr">
            <w14:noFill/>
            <w14:prstDash w14:val="solid"/>
            <w14:bevel/>
          </w14:textOutline>
        </w:rPr>
        <w:tab/>
        <w:t>ia act de rolul EPLO în asigurarea legăturii dintre Parlament și public și părțile interesate din statele membre în general, precum și în comunicarea cu privire la alegerile europene</w:t>
      </w:r>
      <w:r w:rsidR="007C42D1" w:rsidRPr="00421E20">
        <w:t>;</w:t>
      </w:r>
      <w:r w:rsidR="007C42D1" w:rsidRPr="00421E20">
        <w:rPr>
          <w14:textOutline w14:w="0" w14:cap="flat" w14:cmpd="sng" w14:algn="ctr">
            <w14:noFill/>
            <w14:prstDash w14:val="solid"/>
            <w14:bevel/>
          </w14:textOutline>
        </w:rPr>
        <w:t xml:space="preserve"> </w:t>
      </w:r>
      <w:r w:rsidR="007C42D1" w:rsidRPr="00421E20">
        <w:t xml:space="preserve">ia act de faptul că toate EPLO au fost echipate cu servicii audiovizuale pe care deputații, grupurile politice și părțile terțe să le utilizeze în statele membre; </w:t>
      </w:r>
    </w:p>
    <w:p w14:paraId="03258C1F" w14:textId="63D2E59D" w:rsidR="007C42D1" w:rsidRPr="00421E20" w:rsidRDefault="00931AB6" w:rsidP="007C42D1">
      <w:pPr>
        <w:pStyle w:val="NormalHanging12a"/>
        <w:rPr>
          <w:bCs/>
          <w:iCs/>
        </w:rPr>
      </w:pPr>
      <w:r w:rsidRPr="00421E20">
        <w:t>55</w:t>
      </w:r>
      <w:r w:rsidR="007C42D1" w:rsidRPr="00421E20">
        <w:t>.</w:t>
      </w:r>
      <w:r w:rsidR="007C42D1" w:rsidRPr="00421E20">
        <w:tab/>
        <w:t xml:space="preserve">cere să se monitorizeze riguros cheltuielile cu EPLO-urile și centrele „Europa </w:t>
      </w:r>
      <w:proofErr w:type="spellStart"/>
      <w:r w:rsidR="007C42D1" w:rsidRPr="00421E20">
        <w:lastRenderedPageBreak/>
        <w:t>Experience</w:t>
      </w:r>
      <w:proofErr w:type="spellEnd"/>
      <w:r w:rsidR="007C42D1" w:rsidRPr="00421E20">
        <w:t>”;</w:t>
      </w:r>
    </w:p>
    <w:p w14:paraId="527D41ED" w14:textId="2CBFAF53" w:rsidR="007C42D1" w:rsidRPr="00421E20" w:rsidRDefault="00931AB6" w:rsidP="007C42D1">
      <w:pPr>
        <w:pStyle w:val="NormalHanging12a"/>
        <w:rPr>
          <w:bCs/>
          <w:iCs/>
        </w:rPr>
      </w:pPr>
      <w:r w:rsidRPr="00421E20">
        <w:t>56</w:t>
      </w:r>
      <w:r w:rsidR="007C42D1" w:rsidRPr="00421E20">
        <w:t>.</w:t>
      </w:r>
      <w:r w:rsidR="007C42D1" w:rsidRPr="00421E20">
        <w:tab/>
        <w:t>subliniază rolul esențial al EPLO de la Washington în promovarea relațiilor transatlantice și consolidarea legăturilor dintre parlamentele SUA și UE; reliefează că, având în vedere noua administrație a SUA și provocările globale emergente, rolul EPLO de la Washington este chiar și mai important; solicită un buget și personal adecvat pentru a sprijini activitățile EPLO din Washington;</w:t>
      </w:r>
    </w:p>
    <w:p w14:paraId="2A56F193" w14:textId="50B5BD39" w:rsidR="007C42D1" w:rsidRPr="00421E20" w:rsidRDefault="00931AB6" w:rsidP="007C42D1">
      <w:pPr>
        <w:pStyle w:val="NormalHanging12a"/>
      </w:pPr>
      <w:r w:rsidRPr="00421E20">
        <w:t>57</w:t>
      </w:r>
      <w:r w:rsidR="007C42D1" w:rsidRPr="00421E20">
        <w:t>.</w:t>
      </w:r>
      <w:r w:rsidR="007C42D1" w:rsidRPr="00421E20">
        <w:tab/>
        <w:t xml:space="preserve">constată că în 2024 au fost deschise 14 centre „Europa </w:t>
      </w:r>
      <w:proofErr w:type="spellStart"/>
      <w:r w:rsidR="007C42D1" w:rsidRPr="00421E20">
        <w:t>Experience</w:t>
      </w:r>
      <w:proofErr w:type="spellEnd"/>
      <w:r w:rsidR="007C42D1" w:rsidRPr="00421E20">
        <w:t xml:space="preserve">”, care au atras un număr total de 957 209 vizitatori, numărul acestora variind considerabil, Strasbourg (381 687) și Berlin (122 672) atrăgând cel mai mare număr de vizitatori, în timp ce la Copenhaga (18 182) și Dublin (8 312) s-a înregistrat cel mai scăzut număr, cu mențiunea că centrul din Dublin s-a deschis abia în octombrie 2024; reține observația că centrele „Europa </w:t>
      </w:r>
      <w:proofErr w:type="spellStart"/>
      <w:r w:rsidR="007C42D1" w:rsidRPr="00421E20">
        <w:t>Experience</w:t>
      </w:r>
      <w:proofErr w:type="spellEnd"/>
      <w:r w:rsidR="007C42D1" w:rsidRPr="00421E20">
        <w:t>” sunt utilizate ca centru al UE pentru implicarea democratică a EPLO în statele membre respective, dând posibilitatea unui public mai larg să recepteze mesajele Parlamentului;</w:t>
      </w:r>
    </w:p>
    <w:p w14:paraId="647E6207" w14:textId="672904C7" w:rsidR="007C42D1" w:rsidRPr="00421E20" w:rsidRDefault="00931AB6" w:rsidP="007C42D1">
      <w:pPr>
        <w:spacing w:after="240"/>
        <w:ind w:left="567" w:hanging="567"/>
      </w:pPr>
      <w:r w:rsidRPr="00421E20">
        <w:rPr>
          <w14:textOutline w14:w="0" w14:cap="flat" w14:cmpd="sng" w14:algn="ctr">
            <w14:noFill/>
            <w14:prstDash w14:val="solid"/>
            <w14:bevel/>
          </w14:textOutline>
        </w:rPr>
        <w:t>58</w:t>
      </w:r>
      <w:r w:rsidR="007C42D1" w:rsidRPr="00421E20">
        <w:t>.</w:t>
      </w:r>
      <w:r w:rsidR="007C42D1" w:rsidRPr="00421E20">
        <w:rPr>
          <w14:textOutline w14:w="0" w14:cap="flat" w14:cmpd="sng" w14:algn="ctr">
            <w14:noFill/>
            <w14:prstDash w14:val="solid"/>
            <w14:bevel/>
          </w14:textOutline>
        </w:rPr>
        <w:tab/>
        <w:t>subliniază</w:t>
      </w:r>
      <w:r w:rsidR="007C42D1" w:rsidRPr="00421E20">
        <w:t xml:space="preserve"> că este important să se evalueze temeinic lecțiile învățate până în prezent cu centrele „Europa </w:t>
      </w:r>
      <w:proofErr w:type="spellStart"/>
      <w:r w:rsidR="007C42D1" w:rsidRPr="00421E20">
        <w:t>Experience</w:t>
      </w:r>
      <w:proofErr w:type="spellEnd"/>
      <w:r w:rsidR="007C42D1" w:rsidRPr="00421E20">
        <w:t xml:space="preserve">”, în special în ceea ce privește căutarea unor clădiri adecvate și modul în care se poate ajunge în mod eficace la grupurile-țintă, identificarea celor mai bune practici și adaptarea dezvoltării viitoare a centrelor „Europa </w:t>
      </w:r>
      <w:proofErr w:type="spellStart"/>
      <w:r w:rsidR="007C42D1" w:rsidRPr="00421E20">
        <w:t>Experience</w:t>
      </w:r>
      <w:proofErr w:type="spellEnd"/>
      <w:r w:rsidR="007C42D1" w:rsidRPr="00421E20">
        <w:t>” la nevoile locale și la impactul concret; subliniază că această reevaluare ar trebui să ghideze ajustările sau reexaminările viitoare în vederea unei extinderi suplimentare, asigurându-se că orice investiții viitoare sunt mai eficiente în îndeplinirea scopului preconizat de a aduce Parlamentul mai aproape de cetățeni și de a le îmbunătăți înțelegerea procesului democratic al Uniunii;</w:t>
      </w:r>
    </w:p>
    <w:p w14:paraId="5F838746" w14:textId="2BA934AA" w:rsidR="007C42D1" w:rsidRPr="00421E20" w:rsidRDefault="00931AB6" w:rsidP="007C42D1">
      <w:pPr>
        <w:pStyle w:val="NormalHanging12a"/>
      </w:pPr>
      <w:r w:rsidRPr="00421E20">
        <w:t>59</w:t>
      </w:r>
      <w:r w:rsidR="007C42D1" w:rsidRPr="00421E20">
        <w:t>.</w:t>
      </w:r>
      <w:r w:rsidR="007C42D1" w:rsidRPr="00421E20">
        <w:tab/>
        <w:t>reamintește că aceste noi norme privind plata subvențiilor pentru grupurile de vizitatori sponsorizate au fost adoptate de Birou la 11 septembrie 2023, data intrării în vigoare fiind 1 ianuarie 2024; constată că în 2024, 300 000 de vizitatori sponsorizați și nesponsorizați au fost invitați de deputați la Bruxelles și Strasbourg; observă că subvențiile pentru aceste grupuri de vizitatori s-au ridicat la 17 % din cheltuielile DG COMM în 2024; observă că grupurile politice depun eforturi suplimentare pentru a-și sprijini deputații în interacțiunea cu cetățenii, inclusiv cu tinerii, în vederea asigurării unei informări adecvate cu privire la activitatea deputaților de la Strasbourg și Bruxelles cu finanțare din fondurile de la postul bugetar 400;</w:t>
      </w:r>
    </w:p>
    <w:p w14:paraId="53E97560" w14:textId="7FE6014D" w:rsidR="007C42D1" w:rsidRPr="00421E20" w:rsidRDefault="00931AB6" w:rsidP="007C42D1">
      <w:pPr>
        <w:spacing w:after="240"/>
        <w:ind w:left="567" w:hanging="567"/>
      </w:pPr>
      <w:r w:rsidRPr="00421E20">
        <w:t>60</w:t>
      </w:r>
      <w:r w:rsidR="007C42D1" w:rsidRPr="00421E20">
        <w:t>.</w:t>
      </w:r>
      <w:r w:rsidR="007C42D1" w:rsidRPr="00421E20">
        <w:tab/>
        <w:t xml:space="preserve">reamintește lupta continuă în care este implicată Uniunea pentru a proteja valorile europene și a susține integritatea proceselor noastre democratice; recunoaște încercările tot mai mari ale actorilor străini de a influența activitatea Parlamentului și subliniază nevoia de vigilență în combaterea dezinformării care provine din afara Uniunii; reamintește, în acest sens, rezoluțiile Parlamentului European din 1 iunie 2023 referitoare la ingerințele externe în toate procesele democratice din cadrul Uniunii Europene, inclusiv dezinformarea (2022/2075(INI)) și din 23 ianuarie 2025 referitoare la dezinformarea și falsificarea istoriei, utilizate de către Rusia pentru a-și justifica războiul de agresiune împotriva Ucrainei (2024/2988(RSP)); salută acțiunile întreprinse de Parlament pentru a preveni dezinformarea și a reacționa la aceasta; deși recunoaște că nu s-a produs încă niciun incident semnificativ, subliniază importanța menținerii unor măsuri </w:t>
      </w:r>
      <w:proofErr w:type="spellStart"/>
      <w:r w:rsidR="007C42D1" w:rsidRPr="00421E20">
        <w:t>proactive</w:t>
      </w:r>
      <w:proofErr w:type="spellEnd"/>
      <w:r w:rsidR="007C42D1" w:rsidRPr="00421E20">
        <w:t xml:space="preserve"> pentru a păstra integritatea dezbaterii publice și a voturilor Parlamentului; subliniază valoarea adăugată a unor inițiative precum reuniunile de verificare a faptelor și </w:t>
      </w:r>
      <w:proofErr w:type="spellStart"/>
      <w:r w:rsidR="007C42D1" w:rsidRPr="00421E20">
        <w:t>summiturile</w:t>
      </w:r>
      <w:proofErr w:type="spellEnd"/>
      <w:r w:rsidR="007C42D1" w:rsidRPr="00421E20">
        <w:t xml:space="preserve">, care joacă un rol esențial în promovarea transparenței, dotarea părților interesate cu instrumente de combatere a dezinformării și </w:t>
      </w:r>
      <w:r w:rsidR="007C42D1" w:rsidRPr="00421E20">
        <w:lastRenderedPageBreak/>
        <w:t>întărirea colaborării dintre organizațiile de verificare a faptelor din interiorul și din afara Uniunii;</w:t>
      </w:r>
    </w:p>
    <w:p w14:paraId="3E48C1C3" w14:textId="77777777" w:rsidR="007C42D1" w:rsidRPr="00421E20" w:rsidRDefault="007C42D1" w:rsidP="007C42D1">
      <w:pPr>
        <w:spacing w:after="240"/>
        <w:rPr>
          <w:b/>
          <w:bCs/>
          <w:i/>
          <w:iCs/>
          <w14:textOutline w14:w="0" w14:cap="flat" w14:cmpd="sng" w14:algn="ctr">
            <w14:noFill/>
            <w14:prstDash w14:val="solid"/>
            <w14:bevel/>
          </w14:textOutline>
        </w:rPr>
      </w:pPr>
      <w:r w:rsidRPr="00421E20">
        <w:rPr>
          <w:b/>
          <w:i/>
          <w14:textOutline w14:w="0" w14:cap="flat" w14:cmpd="sng" w14:algn="ctr">
            <w14:noFill/>
            <w14:prstDash w14:val="solid"/>
            <w14:bevel/>
          </w14:textOutline>
        </w:rPr>
        <w:t>Direcția Generală Personal</w:t>
      </w:r>
    </w:p>
    <w:p w14:paraId="083E202C" w14:textId="2513379D" w:rsidR="007C42D1" w:rsidRPr="00421E20" w:rsidRDefault="00931AB6"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61</w:t>
      </w:r>
      <w:r w:rsidR="007C42D1" w:rsidRPr="00421E20">
        <w:t>.</w:t>
      </w:r>
      <w:r w:rsidR="007C42D1" w:rsidRPr="00421E20">
        <w:rPr>
          <w14:textOutline w14:w="0" w14:cap="flat" w14:cmpd="sng" w14:algn="ctr">
            <w14:noFill/>
            <w14:prstDash w14:val="solid"/>
            <w14:bevel/>
          </w14:textOutline>
        </w:rPr>
        <w:tab/>
        <w:t xml:space="preserve">reamintește că Direcția Generală Personal (DG PERS) este responsabilă cu gestionarea corectă și eficientă a resurselor umane din cadrul Parlamentului și se asigură că deputații sunt sprijiniți de o forță de muncă înalt calificată, astfel încât să reușească să își îndeplinească mandatul în mod corespunzător; </w:t>
      </w:r>
      <w:r w:rsidR="007C42D1" w:rsidRPr="00421E20">
        <w:t>constată că la 31 decembrie 2024 aici lucrau 499 de membri ai personalului, dintre care 290 erau funcționari, 82 agenți temporari, 120 agenți contractuali, doi experți naționali detașați și 5 angajați temporari;</w:t>
      </w:r>
    </w:p>
    <w:p w14:paraId="5264F2A7" w14:textId="6D4943D2" w:rsidR="007C42D1" w:rsidRPr="00421E20" w:rsidRDefault="00931AB6"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62</w:t>
      </w:r>
      <w:r w:rsidR="007C42D1" w:rsidRPr="00421E20">
        <w:t>.</w:t>
      </w:r>
      <w:r w:rsidR="007C42D1" w:rsidRPr="00421E20">
        <w:rPr>
          <w14:textOutline w14:w="0" w14:cap="flat" w14:cmpd="sng" w14:algn="ctr">
            <w14:noFill/>
            <w14:prstDash w14:val="solid"/>
            <w14:bevel/>
          </w14:textOutline>
        </w:rPr>
        <w:tab/>
      </w:r>
      <w:r w:rsidR="007C42D1" w:rsidRPr="00421E20">
        <w:t>constată că în 2024 creditele finale alocate DG PERS au fost de 1 225 341 375 EUR (1 163 329 780 EUR în 2023), reprezentând 51,4 % din bugetul Parlamentului;</w:t>
      </w:r>
      <w:r w:rsidR="007C42D1" w:rsidRPr="00421E20">
        <w:rPr>
          <w14:textOutline w14:w="0" w14:cap="flat" w14:cmpd="sng" w14:algn="ctr">
            <w14:noFill/>
            <w14:prstDash w14:val="solid"/>
            <w14:bevel/>
          </w14:textOutline>
        </w:rPr>
        <w:t xml:space="preserve"> </w:t>
      </w:r>
      <w:r w:rsidR="007C42D1" w:rsidRPr="00421E20">
        <w:t>subliniază că din această sumă a fost angajat un cuantum total de 1 160 835 147 EUR;</w:t>
      </w:r>
      <w:r w:rsidR="007C42D1" w:rsidRPr="00421E20">
        <w:rPr>
          <w14:textOutline w14:w="0" w14:cap="flat" w14:cmpd="sng" w14:algn="ctr">
            <w14:noFill/>
            <w14:prstDash w14:val="solid"/>
            <w14:bevel/>
          </w14:textOutline>
        </w:rPr>
        <w:t xml:space="preserve"> consideră îmbucurător că s-a utilizat o proporție mare a creditelor;</w:t>
      </w:r>
    </w:p>
    <w:p w14:paraId="05BDD321" w14:textId="2EBBBB90" w:rsidR="007C42D1" w:rsidRPr="00421E20" w:rsidRDefault="00931AB6" w:rsidP="007C42D1">
      <w:pPr>
        <w:pStyle w:val="NormalHanging12a"/>
      </w:pPr>
      <w:r w:rsidRPr="00421E20">
        <w:t>63</w:t>
      </w:r>
      <w:r w:rsidR="007C42D1" w:rsidRPr="00421E20">
        <w:t>.</w:t>
      </w:r>
      <w:r w:rsidR="007C42D1" w:rsidRPr="00421E20">
        <w:tab/>
        <w:t>consideră demn de apreciat că, în 2024, DG PERS a continuat să organizeze concursuri și procese de selecție, gestionând un număr tot mai mare de candidați, și că a organizat, de asemenea, patru concursuri dedicate anumitor țări; salută eforturile depuse de DG PERS pentru a organiza concursuri, asigurând finalizarea acestora la timp și menținând standardele de calitate necesare; consideră demn de apreciat că peste 441 de candidați au fost înscriși cu succes pe listele de rezervă; regretă, cu toate acestea, că Oficiul European pentru Selecția Personalului (EPSO) s-a confruntat cu probleme sistematice legate de organizarea concursurilor și că nu a asigurat o rezervă disponibilă de candidați adecvați pentru nevoile Parlamentului; regretă că durata medie dintre publicarea anunțului de concurs și interviul final pentru fiecare concurs este de peste un an; recunoaște dificultățile generale întâmpinate de DG PERS și de alte direcții generale în atragerea și păstrarea profesioniștilor, care au afectat performanța forței de muncă a Parlamentului; solicită proceduri de selecție mai eficiente, mai bine direcționate și mai scurte, care să conducă la creșterea atractivității Parlamentului ca angajator și să permită direcțiilor generale să recruteze rapid profilurile de specialiști de care au nevoie în activitatea lor; accentuează că procedurile de selecție trebuie să se desfășoare cu respectarea deplină a principiilor egalității de tratament și echilibrului geografic, asigurând reprezentarea echitabilă a tuturor statelor membre;</w:t>
      </w:r>
    </w:p>
    <w:p w14:paraId="5E594006" w14:textId="731748EB" w:rsidR="007C42D1" w:rsidRPr="00421E20" w:rsidRDefault="00931AB6" w:rsidP="007C42D1">
      <w:pPr>
        <w:spacing w:after="240"/>
        <w:ind w:left="567" w:hanging="567"/>
      </w:pPr>
      <w:r w:rsidRPr="00421E20">
        <w:t>64</w:t>
      </w:r>
      <w:r w:rsidR="007C42D1" w:rsidRPr="00421E20">
        <w:t>.</w:t>
      </w:r>
      <w:r w:rsidR="007C42D1" w:rsidRPr="00421E20">
        <w:tab/>
        <w:t xml:space="preserve">salută concursurile organizate de Parlament anume pentru anumite naționalități, cu scopul de a îmbunătăți echilibrul geografic al angajaților Parlamentului, creând o bază mai largă de candidați din statele membre subreprezentate; constată, cu toate acestea, că o analiză a datelor privind personalul Parlamentului pe naționalitate și grupa de funcții indică un dezechilibru persistent în evoluția carierei, care se traduce prin faptul că personalul din anumite state membre, deși bine reprezentat în administrație, rămâne subreprezentat în grupele de funcții superioare și în funcțiile de decizie; regretă dezechilibrul geografic la nivelul conducerii de nivel superior și mediu a Parlamentului; recrutarea trebuie să se bazeze întotdeauna pe merite și să respecte întotdeauna principii fundamentale precum egalitatea, nediscriminarea și proporționalitatea; subliniază că sunt necesare îmbunătățiri și invită Secretarul General, în cooperare cu DG PERS, să prezinte măsuri concrete, măsurabile și cu termene de execuție clare pentru a îndrepta aceste dezechilibre și să informeze periodic Comisia pentru control bugetar a Parlamentului și autoritatea care acordă descărcarea de gestiune cu privire la progresele înregistrate în corectarea dezechilibrului geografic din rândul personalului Parlamentului; roagă Secretarul General și DG PERS să includă în rapoartele periodice </w:t>
      </w:r>
      <w:r w:rsidR="007C42D1" w:rsidRPr="00421E20">
        <w:lastRenderedPageBreak/>
        <w:t>către Comisia pentru control bugetar informații care să nu se limiteze la efectivele totale ale personalului ci să cuprinde în schimb, îndeosebi, date privind evoluția în carieră și promovarea pe naționalități și grupe de funcții, numirile în funcții de conducere și în posturi de nivel superior, participarea la programe de gestionare a talentelor și de formare a liderilor, precum și măsura în care se apelează la numiri și detașări temporare ca parte a parcursurilor de dezvoltare profesională;</w:t>
      </w:r>
    </w:p>
    <w:p w14:paraId="20FA185F" w14:textId="5F5555C2" w:rsidR="007C42D1" w:rsidRPr="00421E20" w:rsidRDefault="00931AB6" w:rsidP="007C42D1">
      <w:pPr>
        <w:spacing w:after="240"/>
        <w:ind w:left="567" w:hanging="567"/>
        <w:rPr>
          <w:noProof/>
        </w:rPr>
      </w:pPr>
      <w:r w:rsidRPr="00421E20">
        <w:t>65</w:t>
      </w:r>
      <w:r w:rsidR="007C42D1" w:rsidRPr="00421E20">
        <w:t>.</w:t>
      </w:r>
      <w:r w:rsidR="007C42D1" w:rsidRPr="00421E20">
        <w:tab/>
        <w:t xml:space="preserve">evidențiază succesul remarcabil al DG PERS pe care îl reprezintă recrutarea eficientă a unui număr record de 1 339 de asistenți parlamentari acreditați (APA) până la sesiunea constitutivă din iulie, cu un număr total de APA cu contract efectiv de 2 024 până la sfârșitul anului, precum și plecarea a aproximativ 800 de asistenți parlamentari acreditați; consideră că APA reprezintă un atu important pentru instituție și felicită DG PERS pentru eforturile sale de a sprijini recrutarea eficientă și eficace de către deputați; </w:t>
      </w:r>
    </w:p>
    <w:p w14:paraId="3585C775" w14:textId="67C7CD04" w:rsidR="007C42D1" w:rsidRPr="00421E20" w:rsidRDefault="00931AB6" w:rsidP="007C42D1">
      <w:pPr>
        <w:pStyle w:val="NormalHanging12a"/>
      </w:pPr>
      <w:r w:rsidRPr="00421E20">
        <w:t>66</w:t>
      </w:r>
      <w:r w:rsidR="007C42D1" w:rsidRPr="00421E20">
        <w:t>.</w:t>
      </w:r>
      <w:r w:rsidR="007C42D1" w:rsidRPr="00421E20">
        <w:tab/>
        <w:t>recunoaște că munca realizată de APA face parte integrantă a activității deputaților și, prin urmare, a Parlamentului; constată că, în urma adoptării Statutului APA în 2009, în decursul anilor statutul acestora a ajuns să fie protejat de norme; remarcă eforturile depuse de Parlament pentru crearea unui cadru prin care să se ofere sprijin APA; solicită respectarea corespunzătoare a normelor în vigoare; constată că, de atunci, APA participă la misiunile oficiale din cele trei locuri de desfășurare a activității ale Parlamentului; se bucură că normele privind rambursarea misiunilor APA între cele trei locuri de desfășurare a activității au fost aliniate la normele aplicabile funcționarilor, asigurând astfel egalitatea de tratament pentru APA; solicită Biroului și administrației Parlamentului să se consulte regulat și formal cu Comitetul APA cu privire la revizuirile și reformele care au un impact direct asupra drepturilor APA; invită administrația Parlamentului să analizeze dacă este fezabil să se introducă o perioadă de preaviz în contractele APA în cazul plecării neașteptate a unui deputat din Parlamentul European; își reiterează solicitarea adresată Conferinței președinților și Biroului de a revizui dispozițiile de punere în aplicare care reglementează activitatea delegațiilor și a misiunilor în afara Uniunii; subliniază că o astfel de revizuire ar trebui să ia în considerare posibilitatea ca APA, sub rezerva îndeplinirii anumitor condiții, să îi însoțească pe deputați în delegațiile și misiunile oficiale ale Parlamentului; subliniază că această modificare nu ar implica nicio schimbare a pachetului financiar și ar fi neutră din punct de vedere bugetar;</w:t>
      </w:r>
    </w:p>
    <w:p w14:paraId="2DA87299" w14:textId="684AD820" w:rsidR="00F91739" w:rsidRPr="00421E20" w:rsidRDefault="00F91739" w:rsidP="007C42D1">
      <w:pPr>
        <w:pStyle w:val="NormalHanging12a"/>
      </w:pPr>
      <w:r w:rsidRPr="00421E20">
        <w:t>67.</w:t>
      </w:r>
      <w:r w:rsidRPr="00421E20">
        <w:tab/>
        <w:t>subliniază că sănătatea și siguranța la locul de muncă, inclusiv riscurile psihosociale (stres, epuizare, hărțuire), reprezintă o prioritate; cere Biroului să recunoască în mod oficial riscurile psihosociale ca riscuri ocupaționale și să adopte un plan de prevenire la nivelul întregului Parlament, cu obiective măsurabile; cere să se introducă evaluări ale riscurilor care să acopere munca de la distanță, misiunile și termenele scurte, precum și canalele confidențiale de raportare, pregătirea managerilor și dialogul social regulat; insistă asupra aplicării dreptului de a se deconecta;</w:t>
      </w:r>
    </w:p>
    <w:p w14:paraId="6841B043" w14:textId="14AF8C5C" w:rsidR="007C42D1" w:rsidRPr="00421E20" w:rsidRDefault="007C42D1" w:rsidP="007C42D1">
      <w:pPr>
        <w:pStyle w:val="NormalHanging12a"/>
        <w:rPr>
          <w:bCs/>
          <w:iCs/>
        </w:rPr>
      </w:pPr>
      <w:r w:rsidRPr="00421E20">
        <w:t>68.</w:t>
      </w:r>
      <w:r w:rsidRPr="00421E20">
        <w:tab/>
        <w:t>reamintește că APA nu pot participa la concursurile interne ale Parlamentului; invită Biroul să analizeze posibilitatea de a permite APA, în condiții care urmează să fie stabilite, să participe la concursuri interne într-un mod similar personalului Parlamentului; subliniază că o implicare mai puternică a APA în structurile interne ale Parlamentului ar putea asigura o forță de muncă mai incluzivă, mai diversă și mai echilibrată geografic; subliniază importanța reținerii și transferului de cunoștințe în Parlament în raport cu metodele de lucru interne;</w:t>
      </w:r>
    </w:p>
    <w:p w14:paraId="3B13F599" w14:textId="77777777" w:rsidR="007C42D1" w:rsidRPr="00421E20" w:rsidRDefault="007C42D1" w:rsidP="007C42D1">
      <w:pPr>
        <w:pStyle w:val="NormalHanging12a"/>
      </w:pPr>
      <w:r w:rsidRPr="00421E20">
        <w:t>69.</w:t>
      </w:r>
      <w:r w:rsidRPr="00421E20">
        <w:tab/>
        <w:t xml:space="preserve">ia act cu profundă îngrijorare de relatările privind o încălcare a securității datelor în </w:t>
      </w:r>
      <w:r w:rsidRPr="00421E20">
        <w:lastRenderedPageBreak/>
        <w:t>aplicația de recrutare PEOPLE a Parlamentului, care îi afectează în principal pe membrii nepermanenți ai personalului Parlamentului, inclusiv APA; regretă că printre datele afectate de incidentul de securitate a datelor s-au numărat detalii ale cărții de identitate, certificate de naștere, diplome, antecedente profesionale, dosare medicale, drepturi, asigurări și documente legate de dovada activității profesionale care datează de până la 10 ani; apreciază sistemul de rambursare introdus de Secretarul General, în acord cu obligația de diligență a Parlamentului, pentru a acoperi costurile de înlocuire a cărților de identitate și/sau a pașapoartelor utilizatorilor aplicației PEOPLE afectați, până în prezent fiind plătită suma de 51 874 EUR; regretă că costul călătoriei în țara de origine pentru aceste proceduri administrative nu a fost acoperit; invită administrația să se asigure că măsurile de sprijin sunt eficace și echitabile, incluzând orientări clare furnizate printr-un punct unic de informare, sprijin pentru protecția identității și o formă de rambursare care să nu lase persoanele afectate să suporte costurile administrative inevitabile legate de procedurile de înlocuire a documentelor; reține că administrația a prezentat autorității care acordă descărcarea de gestiune o analiză cu motivele incidentului; invită administrația să furnizeze personalului afectat, inclusiv foștilor membri ai personalului, o analiză clară a motivelor incidentului și măsurile luate pentru recuperarea sistemului în cauză; este pe deplin conștient că Parlamentul va rămâne o țintă a atacurilor cibernetice în viitor și că este esențială o vigilență maximă; salută măsurile luate de administrație pentru a consolida și mai mult maturitatea securității cibernetice și guvernanța mediului său informatic;</w:t>
      </w:r>
    </w:p>
    <w:p w14:paraId="07C1C0B5" w14:textId="77777777" w:rsidR="007C42D1" w:rsidRPr="00421E20" w:rsidRDefault="007C42D1" w:rsidP="007C42D1">
      <w:pPr>
        <w:spacing w:after="240"/>
        <w:ind w:left="567" w:hanging="567"/>
        <w:rPr>
          <w:noProof/>
        </w:rPr>
      </w:pPr>
      <w:r w:rsidRPr="00421E20">
        <w:t>70.</w:t>
      </w:r>
      <w:r w:rsidRPr="00421E20">
        <w:tab/>
        <w:t>ia act de faptul că DG PERS a implementat un nou sistem informatic APA-</w:t>
      </w:r>
      <w:proofErr w:type="spellStart"/>
      <w:r w:rsidRPr="00421E20">
        <w:t>People</w:t>
      </w:r>
      <w:proofErr w:type="spellEnd"/>
      <w:r w:rsidRPr="00421E20">
        <w:t>, consolidând procesul de recrutare prin centralizarea gestionării contractelor și facilitarea accesului deputaților, alături de o procedură complet digitalizată pentru controalele medicale la recrutare; invită DG PERS ca, în cooperare cu DG ITEC, să se asigure că securitatea cibernetică a acestui sistem corespunde normelor, prevenind scurgerile de date cu caracter personal; consideră că securitatea cibernetică a sistemelor informatice care conțin datele cu caracter personal ale tuturor membrilor personalului este extrem de importantă și invită DG PERS să coopereze îndeaproape cu DG ITEC pentru a realiza acest lucru;</w:t>
      </w:r>
    </w:p>
    <w:p w14:paraId="2F0A963A" w14:textId="77777777" w:rsidR="007C42D1" w:rsidRPr="00421E20" w:rsidRDefault="007C42D1" w:rsidP="007C42D1">
      <w:pPr>
        <w:spacing w:after="240"/>
        <w:ind w:left="567" w:hanging="567"/>
      </w:pPr>
      <w:r w:rsidRPr="00421E20">
        <w:t>71.</w:t>
      </w:r>
      <w:r w:rsidRPr="00421E20">
        <w:tab/>
        <w:t>ia act de faptul că, în 2024, DG PERS a sprijinit punerea în aplicare a foilor de parcurs privind genul și diversitatea și a elaborat cursuri de formare privind diversitatea și incluziunea pentru toți membrii personalului; salută faptul că Unitatea pentru egalitate, incluziune și diversitate (EIDU) din cadrul DG PERS și-a raționalizat procedura internă de adaptare rezonabilă în 2024, promovând egalitatea, incluziunea și diversitatea, și a oferit, de asemenea, consiliere Unității pentru învățare și dezvoltare cu privire la adaptarea rezonabilă în legătură cu cursurile de formare; salută faptul că unitatea a organizat, de asemenea, 20 de cursuri de formare și evenimente de sensibilizare pentru 2 334 de participanți, inclusiv un nou curs privind diversitatea și incluziunea pentru toți membrii personalului, și a găzduit evenimente privind egalitatea de gen, dizabilitățile și incluziunea persoanelor LGBTQI+;</w:t>
      </w:r>
    </w:p>
    <w:p w14:paraId="44320AEF" w14:textId="77777777" w:rsidR="007C42D1" w:rsidRPr="00421E20" w:rsidRDefault="007C42D1" w:rsidP="007C42D1">
      <w:pPr>
        <w:pStyle w:val="NormalHanging12a"/>
      </w:pPr>
      <w:r w:rsidRPr="00421E20">
        <w:t>72.</w:t>
      </w:r>
      <w:r w:rsidRPr="00421E20">
        <w:tab/>
        <w:t>salută adoptarea unei decizii interinstituționale comune privind o alocație pentru locuință pentru personalul de grad inferior care locuiește în Luxemburg; consideră că acesta este un instrument necesar pentru a sprijini personalul de grad inferior să compenseze costurile disproporționat de mari cu locuința, precum și un instrument necesar pentru a mări atractivitatea sediului din Luxemburg al Parlamentului; constată că instrumentul este temporar și cere Parlamentului să asigure previzibilitatea pe termen lung pentru personalul vizat;</w:t>
      </w:r>
    </w:p>
    <w:p w14:paraId="4EDA40D3" w14:textId="77777777" w:rsidR="007C42D1" w:rsidRPr="00421E20" w:rsidRDefault="007C42D1" w:rsidP="007C42D1">
      <w:pPr>
        <w:pStyle w:val="NormalHanging12a"/>
      </w:pPr>
      <w:r w:rsidRPr="00421E20">
        <w:lastRenderedPageBreak/>
        <w:t>73.</w:t>
      </w:r>
      <w:r w:rsidRPr="00421E20">
        <w:tab/>
        <w:t>reamintește lansarea, la 22 octombrie 2024, a campaniei ample a Parlamentului de combatere a hărțuirii, „Uniți împotriva hărțuirii”, care contribuie la un mediu de lucru sigur; consideră demn de apreciat că, pe lângă campania de informare, cursul de formare „Respectul și demnitatea la locul de muncă – prevenirea conflictelor și a hărțuirii la locul de muncă” destinat deputaților a fost obligatoriu și toți deputații au finalizat cursul în primul an al legislaturii; evidențiază că ar trebui evaluată eficacitatea acestor măsuri;</w:t>
      </w:r>
    </w:p>
    <w:p w14:paraId="25F5BBDD" w14:textId="77777777" w:rsidR="007C42D1" w:rsidRPr="00421E20" w:rsidRDefault="007C42D1" w:rsidP="007C42D1">
      <w:pPr>
        <w:pStyle w:val="NormalHanging12a"/>
      </w:pPr>
      <w:r w:rsidRPr="00421E20">
        <w:t>74.</w:t>
      </w:r>
      <w:r w:rsidRPr="00421E20">
        <w:tab/>
        <w:t xml:space="preserve">consideră un lucru bun ca membrii personalului să aibă posibilitatea să lucreze de la distanță din străinătate timp de cinci zile pe an; reține că membrii personalului Parlamentului pot utiliza această formă de muncă de la distanță timp de cinci zile pe an; constată că alte instituții ale Uniunii prevăd, în medie, 15 zile pe an; solicită o monitorizare și o evaluare </w:t>
      </w:r>
      <w:proofErr w:type="spellStart"/>
      <w:r w:rsidRPr="00421E20">
        <w:t>proactivă</w:t>
      </w:r>
      <w:proofErr w:type="spellEnd"/>
      <w:r w:rsidRPr="00421E20">
        <w:t xml:space="preserve"> a noilor modalități de lucru; reamintește cât este de important să se poate un dialog social autentic cu reprezentanții personalului cu privire la unele aspecte esențiale legate de noul mod de lucru;</w:t>
      </w:r>
    </w:p>
    <w:p w14:paraId="5F34E5A0" w14:textId="77777777" w:rsidR="007C42D1" w:rsidRPr="00421E20" w:rsidRDefault="007C42D1" w:rsidP="007C42D1">
      <w:pPr>
        <w:pStyle w:val="NormalHanging12a"/>
        <w:rPr>
          <w:bCs/>
          <w:iCs/>
        </w:rPr>
      </w:pPr>
      <w:r w:rsidRPr="00421E20">
        <w:t>75.</w:t>
      </w:r>
      <w:r w:rsidRPr="00421E20">
        <w:tab/>
        <w:t xml:space="preserve">accentuează că furnizarea de servicii de îngrijire a copiilor de calitate pentru deputați și personal reprezintă măsuri cruciale pentru a transpune în realitate efectiv politica privind echilibrul între viața profesională și cea privată; atrage atenția că, începând din 2020, calitatea serviciilor furnizate de centrul de îngrijire a copiilor de vârstă preșcolară Brussels </w:t>
      </w:r>
      <w:proofErr w:type="spellStart"/>
      <w:r w:rsidRPr="00421E20">
        <w:t>Wayenberg</w:t>
      </w:r>
      <w:proofErr w:type="spellEnd"/>
      <w:r w:rsidRPr="00421E20">
        <w:t xml:space="preserve"> a scăzut din cauza schimbării frecvente a prestatorului de servicii; solicită, în acest sens, să se ia în considerare necesitatea de a adopta standarde înalte de calitate;</w:t>
      </w:r>
    </w:p>
    <w:p w14:paraId="0B5A0AE3" w14:textId="35CCE694" w:rsidR="007C42D1" w:rsidRPr="00421E20" w:rsidRDefault="007C42D1" w:rsidP="007C42D1">
      <w:pPr>
        <w:pStyle w:val="NormalHanging12a"/>
        <w:rPr>
          <w:bCs/>
          <w:iCs/>
        </w:rPr>
      </w:pPr>
      <w:r w:rsidRPr="00421E20">
        <w:t>76.</w:t>
      </w:r>
      <w:r w:rsidRPr="00421E20">
        <w:tab/>
        <w:t>reamintește recomandarea Parlamentului adresată Comisiei în Rezoluția Parlamentului European din 18 aprilie 2018 referitoare la politica de integritate a Comisiei, în special numirea Secretarului General al Comisiei Europene (2018/2624(RSP)) „de a-și revizui procedura administrativă de numire a înalților funcționari, cu scopul de a se asigura pe deplin că cei mai buni candidați sunt selectați într-un cadru de transparență maximă și de egalitate de șanse”; este de părere că Parlamentul, în ceea ce privește procedurile de numire, ar trebui să respecte întotdeauna cele mai înalte standarde de transparență, răspundere și bună administrare;</w:t>
      </w:r>
    </w:p>
    <w:p w14:paraId="18605F30" w14:textId="77777777" w:rsidR="007C42D1" w:rsidRPr="00421E20" w:rsidRDefault="007C42D1" w:rsidP="007C42D1">
      <w:pPr>
        <w:pStyle w:val="NormalHanging12a"/>
        <w:rPr>
          <w:bCs/>
          <w:iCs/>
        </w:rPr>
      </w:pPr>
      <w:r w:rsidRPr="00421E20">
        <w:t>77.</w:t>
      </w:r>
      <w:r w:rsidRPr="00421E20">
        <w:tab/>
        <w:t>invită Parlamentul să optimizeze utilizarea resurselor sale umane, inclusiv prin introducerea unor măsuri adecvate de formare continuă, menite să sporească eficacitatea și eficiența serviciilor interne; solicită să se asigure regulat cursuri de formare în domeniul primului ajutor la nivel de începători și intermediari, precum și ca cursurile de prim ajutor să devină o parte voluntară a programului de integrare pentru personalul nou angajat; invită administrația să analizeze posibilitatea de a instala defibrilatoare suplimentare pentru a îmbunătăți starea de sănătate și siguranța deputaților și a personalului, inclusiv prin furnizarea de cursuri;</w:t>
      </w:r>
    </w:p>
    <w:p w14:paraId="44307B2B" w14:textId="77777777" w:rsidR="007C42D1" w:rsidRPr="00421E20" w:rsidRDefault="007C42D1" w:rsidP="007C42D1">
      <w:pPr>
        <w:spacing w:after="240"/>
        <w:rPr>
          <w:b/>
          <w:bCs/>
          <w:i/>
          <w:iCs/>
        </w:rPr>
      </w:pPr>
      <w:r w:rsidRPr="00421E20">
        <w:rPr>
          <w:b/>
          <w:i/>
        </w:rPr>
        <w:t>Direcția Generală Infrastructură și Logistică</w:t>
      </w:r>
    </w:p>
    <w:p w14:paraId="12F20C72" w14:textId="77777777" w:rsidR="007C42D1" w:rsidRPr="00421E20" w:rsidRDefault="007C42D1" w:rsidP="007C42D1">
      <w:pPr>
        <w:spacing w:after="240"/>
        <w:ind w:left="567" w:hanging="567"/>
      </w:pPr>
      <w:r w:rsidRPr="00421E20">
        <w:t>78.</w:t>
      </w:r>
      <w:r w:rsidRPr="00421E20">
        <w:tab/>
        <w:t xml:space="preserve">reamintește că Direcția Generală Infrastructură și Logistică (DG INLO) este responsabilă de clădirile, lucrările, gestionarea infrastructurilor și logistica Parlamentului; observă că DG INLO furnizează și servicii de </w:t>
      </w:r>
      <w:proofErr w:type="spellStart"/>
      <w:r w:rsidRPr="00421E20">
        <w:t>catering</w:t>
      </w:r>
      <w:proofErr w:type="spellEnd"/>
      <w:r w:rsidRPr="00421E20">
        <w:t xml:space="preserve"> și transport și gestionează și dotează spațiile de birouri și de ședințe ale Parlamentului; reamintește că DG INLO a gestionat în special portofoliul imobiliar al Parlamentului de aproximativ 1,3 milioane m² la Bruxelles, Luxemburg, Strasbourg, birourile de legătură și spațiile „Europa </w:t>
      </w:r>
      <w:proofErr w:type="spellStart"/>
      <w:r w:rsidRPr="00421E20">
        <w:t>Experience</w:t>
      </w:r>
      <w:proofErr w:type="spellEnd"/>
      <w:r w:rsidRPr="00421E20">
        <w:t xml:space="preserve">” din statele membre; constată că, la 31 decembrie 2024, DG INLO cuprindea 635 de membri ai personalului, dintre care 311 funcționari, 20 de agenți </w:t>
      </w:r>
      <w:r w:rsidRPr="00421E20">
        <w:lastRenderedPageBreak/>
        <w:t>temporari și 326 de agenți contractuali;</w:t>
      </w:r>
    </w:p>
    <w:p w14:paraId="6AD43380" w14:textId="77777777" w:rsidR="007C42D1" w:rsidRPr="00421E20" w:rsidRDefault="007C42D1" w:rsidP="007C42D1">
      <w:pPr>
        <w:pStyle w:val="NormalHanging12a"/>
      </w:pPr>
      <w:r w:rsidRPr="00421E20">
        <w:t>79.</w:t>
      </w:r>
      <w:r w:rsidRPr="00421E20">
        <w:tab/>
        <w:t>constată că creditele finale ale DG INLO au fost de 258 638 966 EUR în 2024, reprezentând 10,9 % din bugetul Parlamentului; subliniază că din această sumă a fost angajat un total de 256 935 431 EUR; observă că s-a utilizat o proporție mare a creditelor;</w:t>
      </w:r>
    </w:p>
    <w:p w14:paraId="69C89747" w14:textId="77777777" w:rsidR="007C42D1" w:rsidRPr="00421E20" w:rsidRDefault="007C42D1" w:rsidP="007C42D1">
      <w:pPr>
        <w:spacing w:after="240"/>
        <w:ind w:left="567" w:hanging="567"/>
      </w:pPr>
      <w:r w:rsidRPr="00421E20">
        <w:t>80.</w:t>
      </w:r>
      <w:r w:rsidRPr="00421E20">
        <w:tab/>
        <w:t>reamintește sprijinul exprimat de o majoritate covârșitoare a deputaților pentru ideea de a avea un sediu unic; reamintește că, în conformitate cu TUE, Parlamentul are un sediu la Strasbourg, unde se desfășoară cele 12 perioade de sesiune lunare, și că pentru orice modificare a tratatelor este necesară unanimitatea statelor membre; constată că chiar și în cadrul actual al tratatului, prin optimizarea operațiunilor, se pot face economii; solicită stabilirea unor obiective intermediare concrete și a unui plan de acțiune pentru realizarea reducerilor de costuri identificate;</w:t>
      </w:r>
    </w:p>
    <w:p w14:paraId="4F6080A5" w14:textId="77777777" w:rsidR="007C42D1" w:rsidRPr="00421E20" w:rsidRDefault="007C42D1" w:rsidP="007C42D1">
      <w:pPr>
        <w:pStyle w:val="NormalHanging12a"/>
        <w:rPr>
          <w:bCs/>
          <w:iCs/>
        </w:rPr>
      </w:pPr>
      <w:r w:rsidRPr="00421E20">
        <w:t>81.</w:t>
      </w:r>
      <w:r w:rsidRPr="00421E20">
        <w:tab/>
        <w:t xml:space="preserve">încurajează administrația să evalueze în continuare calitatea, prețurile și gama serviciilor de </w:t>
      </w:r>
      <w:proofErr w:type="spellStart"/>
      <w:r w:rsidRPr="00421E20">
        <w:t>catering</w:t>
      </w:r>
      <w:proofErr w:type="spellEnd"/>
      <w:r w:rsidRPr="00421E20">
        <w:t xml:space="preserve"> oferite în Parlament, pentru a garanta că criteriile de achiziții publice asigură un echilibru adecvat între considerentele de preț și cele de calitate; invită DG INLO să analizeze opțiunile existente pentru intensificarea concurenței între furnizorii de servicii de </w:t>
      </w:r>
      <w:proofErr w:type="spellStart"/>
      <w:r w:rsidRPr="00421E20">
        <w:t>catering</w:t>
      </w:r>
      <w:proofErr w:type="spellEnd"/>
      <w:r w:rsidRPr="00421E20">
        <w:t xml:space="preserve"> în scopul îmbunătățirii standardelor de servicii, a diversității ofertei și a raportului cost-eficacitate, în special în contextul evenimentelor oficiale și al serviciilor pentru vizitatori; invită administrația Parlamentului să comunice Comisiei pentru control bugetar a Parlamentului rezultatul analizei;</w:t>
      </w:r>
    </w:p>
    <w:p w14:paraId="44340B77" w14:textId="77777777" w:rsidR="007C42D1" w:rsidRPr="00421E20" w:rsidRDefault="007C42D1" w:rsidP="007C42D1">
      <w:pPr>
        <w:pStyle w:val="NormalHanging12a"/>
      </w:pPr>
      <w:r w:rsidRPr="00421E20">
        <w:t>82.</w:t>
      </w:r>
      <w:r w:rsidRPr="00421E20">
        <w:tab/>
        <w:t>ține să felicite administrația pentru că, în 2024, a pus în aplicare „Strategia imobiliară după 2019” a Parlamentului și și-a atins principalele obiective; află cu satisfacție că DG INLO, după ani de extindere determinată de înmulțirea competențelor instituționale ale Parlamentului, se concentrează acum pe consolidarea stocului de clădiri al Parlamentului și renovarea sediilor existente; se bucură să vadă că DG INLO este hotărâtă să dezvolte în continuare rolul Parlamentului în orașele Strasbourg, Bruxelles și Luxemburg, promovând proiecte de interes comun și conectând siturile cu zonele învecinate;</w:t>
      </w:r>
    </w:p>
    <w:p w14:paraId="1BA89FB0" w14:textId="77777777" w:rsidR="007C42D1" w:rsidRPr="00421E20" w:rsidRDefault="007C42D1" w:rsidP="007C42D1">
      <w:pPr>
        <w:pStyle w:val="NormalHanging12a"/>
        <w:rPr>
          <w:bCs/>
          <w:iCs/>
        </w:rPr>
      </w:pPr>
      <w:r w:rsidRPr="00421E20">
        <w:t>83.</w:t>
      </w:r>
      <w:r w:rsidRPr="00421E20">
        <w:tab/>
        <w:t>invită administrația Parlamentului să continue să urmărească o strategie imobiliară activă, integrând nevoile logistice și de infrastructură, analizând măsuri de reducere a costurilor, precum recurgerea la tehnologie pentru reuniuni în format hibrid, și consolidarea activităților parlamentare; invită Parlamentul să se asigure că obiectivele sale de integrare a biodiversității sunt luate în considerare și în proiectele de gestionare și renovare a clădirilor, inclusiv o estimare a costurilor asociate; observă că proiectele imobiliare majore implică negocieri complexe și un control juridic semnificativ; invită administrația Parlamentului să asigure o raportare ex post structurată către autoritatea care acordă descărcarea de gestiune cu privire la astfel de proiecte, inclusiv cu privire la procesele de negociere, măsurile de atenuare a riscurilor și evaluările juridice, pentru a consolida transparența și învățarea la nivel instituțional;</w:t>
      </w:r>
    </w:p>
    <w:p w14:paraId="2F02D30B" w14:textId="77777777" w:rsidR="007C42D1" w:rsidRPr="00421E20" w:rsidRDefault="007C42D1" w:rsidP="007C42D1">
      <w:pPr>
        <w:pStyle w:val="NormalHanging12a"/>
      </w:pPr>
      <w:r w:rsidRPr="00421E20">
        <w:t>84.</w:t>
      </w:r>
      <w:r w:rsidRPr="00421E20">
        <w:tab/>
        <w:t xml:space="preserve">constată cu îngrijorare lipsa persistentă de săli de reuniune și de seminare în cadrul Parlamentului, ceea ce face ca rezervarea de spații să fie din ce în ce mai dificilă și să necesite o planificare cu mult timp în avans; regretă că această situație împiedică organizarea eficientă a activității parlamentare și limitează flexibilitatea deputaților și a membrilor personalului; ia act de viitoarea renovare a clădirii SPAAK, care este în conformitate cu cerințele de performanță energetică ale Uniunii; invită administrația Parlamentului să pună în aplicare măsuri de atenuare a impactului renovării și să se </w:t>
      </w:r>
      <w:r w:rsidRPr="00421E20">
        <w:lastRenderedPageBreak/>
        <w:t>asigure că sunt disponibile suficiente facilități pentru a sprijini nevoile operaționale ale Parlamentului;</w:t>
      </w:r>
    </w:p>
    <w:p w14:paraId="1A671800" w14:textId="77777777" w:rsidR="007C42D1" w:rsidRPr="00421E20" w:rsidRDefault="007C42D1" w:rsidP="007C42D1">
      <w:pPr>
        <w:pStyle w:val="NormalHanging12a"/>
      </w:pPr>
      <w:r w:rsidRPr="00421E20">
        <w:t>85.</w:t>
      </w:r>
      <w:r w:rsidRPr="00421E20">
        <w:tab/>
        <w:t xml:space="preserve">ia act de proiectele imobiliare din 2024 și, în special, de finalizarea aripii de vest a clădirii ADENAUER II din Luxemburg, reunind toți membrii personalului și toate serviciile Parlamentului sub același acoperiș; ia act de faptul că noul pavilion de securitate și de primire a vizitatorilor din clădirea WEISS din Strasbourg a fost finalizat în timp util pentru începutul noii legislaturi în iulie 2024; ia act de achiziționarea clădirii TRÈVES II din Bruxelles, care consolidează în continuare parcul imobiliar al Parlamentului din cartierul european al orașului; solicită să i se furnizeze un calendar actualizat pentru interconectarea clădirilor </w:t>
      </w:r>
      <w:proofErr w:type="spellStart"/>
      <w:r w:rsidRPr="00421E20">
        <w:t>Trèves</w:t>
      </w:r>
      <w:proofErr w:type="spellEnd"/>
      <w:r w:rsidRPr="00421E20">
        <w:t xml:space="preserve"> l și </w:t>
      </w:r>
      <w:proofErr w:type="spellStart"/>
      <w:r w:rsidRPr="00421E20">
        <w:t>Trèves</w:t>
      </w:r>
      <w:proofErr w:type="spellEnd"/>
      <w:r w:rsidRPr="00421E20">
        <w:t xml:space="preserve"> </w:t>
      </w:r>
      <w:proofErr w:type="spellStart"/>
      <w:r w:rsidRPr="00421E20">
        <w:t>ll</w:t>
      </w:r>
      <w:proofErr w:type="spellEnd"/>
      <w:r w:rsidRPr="00421E20">
        <w:t xml:space="preserve"> cu principalele clădiri centrale din Bruxelles; solicită rezolvarea unor probleme structurale încă nesoluționate în clădirea TRÈVES I, cum ar fi sistemul de încălzire instabil, lipsa aerului condiționat și a toaletelor pentru persoanele cu mobilitate redusă, izolarea fonică deficitară, precum și problema canalizării; îndeamnă la curățarea mai frecventă a gurilor de încălzire din clădirea </w:t>
      </w:r>
      <w:proofErr w:type="spellStart"/>
      <w:r w:rsidRPr="00421E20">
        <w:t>Spinelli</w:t>
      </w:r>
      <w:proofErr w:type="spellEnd"/>
      <w:r w:rsidRPr="00421E20">
        <w:t xml:space="preserve"> pentru a preveni acumularea de praf și mucegai în birouri și pentru a îmbunătăți sănătatea personalului la locul de muncă;</w:t>
      </w:r>
    </w:p>
    <w:p w14:paraId="00108B06" w14:textId="77777777" w:rsidR="007C42D1" w:rsidRPr="00421E20" w:rsidRDefault="007C42D1" w:rsidP="007C42D1">
      <w:pPr>
        <w:pStyle w:val="NormalHanging12a"/>
      </w:pPr>
      <w:r w:rsidRPr="00421E20">
        <w:t>86.</w:t>
      </w:r>
      <w:r w:rsidRPr="00421E20">
        <w:tab/>
        <w:t>reamintește că, cu prilejul reuniunii sale din 12 iunie 2023, Biroul a discutat etapele pentru renovarea clădirii SPAAK; reține că Biroul și-a exprimat preferința pentru o renovare ecologică cuprinzătoare și a aprobat proiectul la 11 decembrie 2023; constată că DG INLO a avansat cu proiectele preliminare legate de renovarea clădirii SPAAK prin lansarea de studii privind noua sală tehnică centrală a Direcției Generale Logistică și Interpretare pentru Conferințe (DG LINC), reorganizarea imprimeriei, mutarea cabinetelor și spațiul pentru mass-media și presă;</w:t>
      </w:r>
    </w:p>
    <w:p w14:paraId="15B2228D" w14:textId="77777777" w:rsidR="007C42D1" w:rsidRPr="00421E20" w:rsidRDefault="007C42D1" w:rsidP="007C42D1">
      <w:pPr>
        <w:pStyle w:val="NormalHanging12a"/>
        <w:rPr>
          <w:bCs/>
          <w:iCs/>
        </w:rPr>
      </w:pPr>
      <w:r w:rsidRPr="00421E20">
        <w:t>87.</w:t>
      </w:r>
      <w:r w:rsidRPr="00421E20">
        <w:tab/>
        <w:t>observă că în estimările pentru 2026 a fost inclusă suma de 4 milioane EUR pentru studii și lucrările pregătitoare ale contractantului legate de renovarea clădirii SPAAK, costurile totale fiind estimate la 36 de milioane EUR; remarcă, prin urmare, că în estimările pentru 2026 nu sunt incluse costuri de 32 de milioane EUR legate de renovarea clădirii SPAAK; observă că Secretarul General intenționează să acopere aceste costuri printr-un transfer colector sau recurgând la un împrumut; solicită Secretarului General să furnizeze Comisiei pentru control bugetar a Parlamentului informații detaliate despre un posibil împrumut pentru a acoperi aceste costuri cât mai curând posibil; constată că, în decembrie 2024, costurile directe cu proiectul SPAAK se ridicau la 14,12 milioane EUR; consideră că evoluția costurilor cu renovarea clădirii SPAAK trebuie monitorizată îndeaproape și cu atenție;</w:t>
      </w:r>
    </w:p>
    <w:p w14:paraId="6DE425A2" w14:textId="77777777" w:rsidR="007C42D1" w:rsidRPr="00421E20" w:rsidRDefault="007C42D1" w:rsidP="007C42D1">
      <w:pPr>
        <w:pStyle w:val="NormalHanging12a"/>
      </w:pPr>
      <w:r w:rsidRPr="00421E20">
        <w:t>88.</w:t>
      </w:r>
      <w:r w:rsidRPr="00421E20">
        <w:tab/>
        <w:t>ia act de faptul că DG INLO dezvoltă un concept de optimizare a spațiului de birouri cu scopul de a folosi birourile actuale într-un mod care să utilizeze întregul potențial al membrilor personalului Parlamentului și să îi mențină implicați din punct de vedere social în interiorul Parlamentului; ia act de faptul că, pentru acest concept, clădirile MARTENS, TRÈVES II și ARENDT din Bruxelles sunt utilizate ca sursă de inspirație, punându-se accentul pe un „loc de muncă bazat pe activități”, inclusiv asupra zonelor sociale pentru reuniuni, întâlniri informale și interacțiuni; ia act de faptul că s-a studiat și un concept general pentru clădirea KOHL, ținând seama de limitările sale structurale și de constrângerile bugetare; invită DG INLO să centreze dezvoltarea acestui concept pe perspectivele utilizatorilor și să acorde prioritate introducerii sale în clădirile care necesită cel mai mult o optimizare, întotdeauna în colaborare cu reprezentanții personalului;</w:t>
      </w:r>
    </w:p>
    <w:p w14:paraId="64849800" w14:textId="77777777" w:rsidR="007C42D1" w:rsidRPr="00421E20" w:rsidRDefault="007C42D1" w:rsidP="007C42D1">
      <w:pPr>
        <w:pStyle w:val="NormalHanging12a"/>
        <w:rPr>
          <w:bCs/>
          <w:iCs/>
        </w:rPr>
      </w:pPr>
      <w:r w:rsidRPr="00421E20">
        <w:t>89.</w:t>
      </w:r>
      <w:r w:rsidRPr="00421E20">
        <w:tab/>
        <w:t xml:space="preserve">subliniază că în 2024 o mare parte din locurile disponibile în parcul de vehicule care fac </w:t>
      </w:r>
      <w:r w:rsidRPr="00421E20">
        <w:lastRenderedPageBreak/>
        <w:t>naveta între Bruxelles și Strasbourg pentru sesiunile plenare au rămas neocupate; invită administrația Parlamentului să analizeze posibilitatea de a extinde grupul de utilizatori, utilizând mai eficient parcul auto de serviciu, asigurându-se, în același timp, că locurile deputaților sunt rezervate;</w:t>
      </w:r>
    </w:p>
    <w:p w14:paraId="4DC83235" w14:textId="77777777" w:rsidR="007C42D1" w:rsidRPr="00421E20" w:rsidRDefault="007C42D1" w:rsidP="007C42D1">
      <w:pPr>
        <w:pStyle w:val="NormalHanging12a"/>
        <w:rPr>
          <w:bCs/>
          <w:iCs/>
        </w:rPr>
      </w:pPr>
      <w:r w:rsidRPr="00421E20">
        <w:t>90.</w:t>
      </w:r>
      <w:r w:rsidRPr="00421E20">
        <w:tab/>
        <w:t>încurajează administratorii sălii de sport să ofere mai multe cursuri care să sprijine starea de bine fizică și mentală, pentru a atrage o gamă mai largă de membri ai personalului;</w:t>
      </w:r>
    </w:p>
    <w:p w14:paraId="143AFEE9" w14:textId="77777777" w:rsidR="007C42D1" w:rsidRPr="00421E20" w:rsidRDefault="007C42D1" w:rsidP="007C42D1">
      <w:pPr>
        <w:spacing w:after="240"/>
        <w:rPr>
          <w:b/>
          <w:bCs/>
          <w:i/>
          <w:iCs/>
          <w14:textOutline w14:w="0" w14:cap="flat" w14:cmpd="sng" w14:algn="ctr">
            <w14:noFill/>
            <w14:prstDash w14:val="solid"/>
            <w14:bevel/>
          </w14:textOutline>
        </w:rPr>
      </w:pPr>
      <w:r w:rsidRPr="00421E20">
        <w:rPr>
          <w:b/>
          <w:i/>
          <w14:textOutline w14:w="0" w14:cap="flat" w14:cmpd="sng" w14:algn="ctr">
            <w14:noFill/>
            <w14:prstDash w14:val="solid"/>
            <w14:bevel/>
          </w14:textOutline>
        </w:rPr>
        <w:t>Direcția Generală Finanțe</w:t>
      </w:r>
    </w:p>
    <w:p w14:paraId="3651FA73"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91</w:t>
      </w:r>
      <w:r w:rsidRPr="00421E20">
        <w:t>.</w:t>
      </w:r>
      <w:r w:rsidRPr="00421E20">
        <w:rPr>
          <w14:textOutline w14:w="0" w14:cap="flat" w14:cmpd="sng" w14:algn="ctr">
            <w14:noFill/>
            <w14:prstDash w14:val="solid"/>
            <w14:bevel/>
          </w14:textOutline>
        </w:rPr>
        <w:tab/>
        <w:t>reamintește că DG FINS este organul administrativ responsabil cu afacerile bugetare și financiare ale Parlamentului; constată că, la 31 decembrie 2024, existau 262 de membri ai personalului, dintre care 134 erau funcționari, 51 erau agenți temporari, 77 erau agenți contractuali și nu existau agenți interimari;</w:t>
      </w:r>
    </w:p>
    <w:p w14:paraId="0201E466" w14:textId="77777777" w:rsidR="007C42D1" w:rsidRPr="00421E20" w:rsidRDefault="007C42D1" w:rsidP="007C42D1">
      <w:pPr>
        <w:spacing w:after="240"/>
        <w:ind w:left="567" w:hanging="567"/>
        <w:rPr>
          <w14:textOutline w14:w="0" w14:cap="flat" w14:cmpd="sng" w14:algn="ctr">
            <w14:noFill/>
            <w14:prstDash w14:val="solid"/>
            <w14:bevel/>
          </w14:textOutline>
        </w:rPr>
      </w:pPr>
      <w:r w:rsidRPr="00421E20">
        <w:rPr>
          <w14:textOutline w14:w="0" w14:cap="flat" w14:cmpd="sng" w14:algn="ctr">
            <w14:noFill/>
            <w14:prstDash w14:val="solid"/>
            <w14:bevel/>
          </w14:textOutline>
        </w:rPr>
        <w:t>92</w:t>
      </w:r>
      <w:r w:rsidRPr="00421E20">
        <w:t>.</w:t>
      </w:r>
      <w:r w:rsidRPr="00421E20">
        <w:rPr>
          <w14:textOutline w14:w="0" w14:cap="flat" w14:cmpd="sng" w14:algn="ctr">
            <w14:noFill/>
            <w14:prstDash w14:val="solid"/>
            <w14:bevel/>
          </w14:textOutline>
        </w:rPr>
        <w:tab/>
      </w:r>
      <w:r w:rsidRPr="00421E20">
        <w:t>constată că în 2024 creditele finale alocate DG FINS au fost de 442 954 175 EUR, reprezentând 18,6 % din bugetul Parlamentului;</w:t>
      </w:r>
      <w:r w:rsidRPr="00421E20">
        <w:rPr>
          <w14:textOutline w14:w="0" w14:cap="flat" w14:cmpd="sng" w14:algn="ctr">
            <w14:noFill/>
            <w14:prstDash w14:val="solid"/>
            <w14:bevel/>
          </w14:textOutline>
        </w:rPr>
        <w:t xml:space="preserve"> </w:t>
      </w:r>
      <w:r w:rsidRPr="00421E20">
        <w:t>subliniază că din această sumă a fost angajat un total de 441 848 935 EUR (99,75 %);</w:t>
      </w:r>
      <w:r w:rsidRPr="00421E20">
        <w:rPr>
          <w14:textOutline w14:w="0" w14:cap="flat" w14:cmpd="sng" w14:algn="ctr">
            <w14:noFill/>
            <w14:prstDash w14:val="solid"/>
            <w14:bevel/>
          </w14:textOutline>
        </w:rPr>
        <w:t xml:space="preserve"> consideră îmbucurător că s-a utilizat o proporție mare a creditelor;</w:t>
      </w:r>
    </w:p>
    <w:p w14:paraId="1DA3CFA2" w14:textId="77777777" w:rsidR="007C42D1" w:rsidRPr="00421E20" w:rsidRDefault="007C42D1" w:rsidP="007C42D1">
      <w:pPr>
        <w:spacing w:after="240"/>
        <w:ind w:left="567" w:hanging="567"/>
        <w:rPr>
          <w14:textOutline w14:w="0" w14:cap="flat" w14:cmpd="sng" w14:algn="ctr">
            <w14:noFill/>
            <w14:prstDash w14:val="solid"/>
            <w14:bevel/>
          </w14:textOutline>
        </w:rPr>
      </w:pPr>
      <w:r w:rsidRPr="00421E20">
        <w:rPr>
          <w14:textOutline w14:w="0" w14:cap="flat" w14:cmpd="sng" w14:algn="ctr">
            <w14:noFill/>
            <w14:prstDash w14:val="solid"/>
            <w14:bevel/>
          </w14:textOutline>
        </w:rPr>
        <w:t>93.</w:t>
      </w:r>
      <w:r w:rsidRPr="00421E20">
        <w:rPr>
          <w14:textOutline w14:w="0" w14:cap="flat" w14:cmpd="sng" w14:algn="ctr">
            <w14:noFill/>
            <w14:prstDash w14:val="solid"/>
            <w14:bevel/>
          </w14:textOutline>
        </w:rPr>
        <w:tab/>
        <w:t>invită DG FINS să aplice activ recomandările OCDE privind cele mai bune practici pentru parlamente în ceea ce privește întocmirea bugetului (2022-23) și să consolideze implementarea întocmirii bugetului în funcție de performanțe; reamintește că multe state membre au adoptat deja întocmirea bugetului în funcție de performanțe și au raportat economii semnificative;</w:t>
      </w:r>
    </w:p>
    <w:p w14:paraId="306144A2" w14:textId="77777777" w:rsidR="007C42D1" w:rsidRPr="00421E20" w:rsidRDefault="007C42D1" w:rsidP="007C42D1">
      <w:pPr>
        <w:pStyle w:val="NormalHanging12a"/>
        <w:rPr>
          <w:bCs/>
          <w:iCs/>
        </w:rPr>
      </w:pPr>
      <w:r w:rsidRPr="00421E20">
        <w:t>94.</w:t>
      </w:r>
      <w:r w:rsidRPr="00421E20">
        <w:tab/>
        <w:t>observă că presiunea fiscală actuală impune prudență și eficiență financiară, inclusiv în cadrul bugetului administrativ al Parlamentului, pentru a demonstra responsabilitatea instituțională, în funcție de situație și fără a pune în pericol rolul său în cadrul instituțional al Uniunii și funcțiile sale de bază; invită administrația Parlamentului să exploreze instrumente inovatoare de întocmire a bugetului, inclusiv întocmirea bugetului bazată pe performanță, care ar putea spori transparența, responsabilitatea și eficiența procesului bugetar, asigurându-se că resursele publice sunt cheltuite responsabil; observă că astfel de opțiuni nu ar trebui să fie în detrimentul angajamentelor financiare deja planificate sau asumate și nu ar trebui să afecteze în niciun fel calitatea serviciilor oferite deputaților și personalului și nici obligațiile financiare asumate pe baza normelor existente în vigoare;</w:t>
      </w:r>
    </w:p>
    <w:p w14:paraId="1E92CFF9" w14:textId="77777777" w:rsidR="007C42D1" w:rsidRPr="00421E20" w:rsidRDefault="007C42D1" w:rsidP="007C42D1">
      <w:pPr>
        <w:spacing w:after="240"/>
        <w:ind w:left="567" w:hanging="567"/>
      </w:pPr>
      <w:r w:rsidRPr="00421E20">
        <w:rPr>
          <w14:textOutline w14:w="0" w14:cap="flat" w14:cmpd="sng" w14:algn="ctr">
            <w14:noFill/>
            <w14:prstDash w14:val="solid"/>
            <w14:bevel/>
          </w14:textOutline>
        </w:rPr>
        <w:t>95</w:t>
      </w:r>
      <w:r w:rsidRPr="00421E20">
        <w:t>.</w:t>
      </w:r>
      <w:r w:rsidRPr="00421E20">
        <w:rPr>
          <w14:textOutline w14:w="0" w14:cap="flat" w14:cmpd="sng" w14:algn="ctr">
            <w14:noFill/>
            <w14:prstDash w14:val="solid"/>
            <w14:bevel/>
          </w14:textOutline>
        </w:rPr>
        <w:tab/>
      </w:r>
      <w:r w:rsidRPr="00421E20">
        <w:t>ia act de faptul că 2024 a fost un an special pentru DG FINS, deoarece a fost anul alegerilor europene, care au avut loc în iunie 2024; ia act de faptul că activitățile de sprijin pentru deputați au crescut semnificativ în 2024, fiind gestionate drepturile și obligațiile atât ale deputaților al căror mandat se încheia, cât și ale deputaților nou-aleși;</w:t>
      </w:r>
    </w:p>
    <w:p w14:paraId="01414420" w14:textId="77777777" w:rsidR="007C42D1" w:rsidRPr="00421E20" w:rsidRDefault="007C42D1" w:rsidP="007C42D1">
      <w:pPr>
        <w:pStyle w:val="NormalHanging12a"/>
      </w:pPr>
      <w:r w:rsidRPr="00421E20">
        <w:t>96.</w:t>
      </w:r>
      <w:r w:rsidRPr="00421E20">
        <w:tab/>
        <w:t xml:space="preserve">recomandă ca DG FINS să stabilească o abordare bazată pe riscuri în ceea ce privește controlul și auditul cheltuielilor deputaților și ale proceselor aferente, aliniată la principiile bunei guvernanțe, în special transparența, responsabilitatea, capacitatea de reacție și echitatea; recunoaște că este esențial să existe un nivel de control de bază (în funcție de un eșantion) pentru a asigura respectarea normelor; salută faptul că, în cazul unui risc mai mare de cheltuieli neconforme din partea unui deputat, administrația își poate exercita dreptul de a verifica fondurile în cauză; subliniază că, deși astfel de controale sunt binevenite, eficacitatea lor depinde de cât de repede se acționează pentru </w:t>
      </w:r>
      <w:r w:rsidRPr="00421E20">
        <w:lastRenderedPageBreak/>
        <w:t>rectifica cheltuielile neconforme identificate;</w:t>
      </w:r>
    </w:p>
    <w:p w14:paraId="3FDF29BC" w14:textId="77777777" w:rsidR="007C42D1" w:rsidRPr="00421E20" w:rsidRDefault="007C42D1" w:rsidP="007C42D1">
      <w:pPr>
        <w:spacing w:after="240"/>
        <w:ind w:left="567" w:hanging="567"/>
      </w:pPr>
      <w:r w:rsidRPr="00421E20">
        <w:rPr>
          <w14:textOutline w14:w="0" w14:cap="flat" w14:cmpd="sng" w14:algn="ctr">
            <w14:noFill/>
            <w14:prstDash w14:val="solid"/>
            <w14:bevel/>
          </w14:textOutline>
        </w:rPr>
        <w:t>97</w:t>
      </w:r>
      <w:r w:rsidRPr="00421E20">
        <w:t>.</w:t>
      </w:r>
      <w:r w:rsidRPr="00421E20">
        <w:rPr>
          <w14:textOutline w14:w="0" w14:cap="flat" w14:cmpd="sng" w14:algn="ctr">
            <w14:noFill/>
            <w14:prstDash w14:val="solid"/>
            <w14:bevel/>
          </w14:textOutline>
        </w:rPr>
        <w:tab/>
      </w:r>
      <w:r w:rsidRPr="00421E20">
        <w:t xml:space="preserve">recunoaște că este o problemă să se atragă membri ai personalului la DG FINS, pentru că nu sunt suficienți candidați pe listele EPSO în domeniile financiar și informatic, și că este greu să se atragă membri ai personalului la Luxemburg, unde se află 45 % din posturile DG FINS; ia act de dificultatea de a atrage membri ai personalului la Luxemburg, deoarece remunerația pe piața locală a forței de muncă este egală sau mai bună decât în Parlament, iar costul vieții este ridicat, în special în ceea ce privește locuințele; </w:t>
      </w:r>
    </w:p>
    <w:p w14:paraId="6F50EE48" w14:textId="77777777" w:rsidR="007C42D1" w:rsidRPr="00421E20" w:rsidRDefault="007C42D1" w:rsidP="007C42D1">
      <w:pPr>
        <w:spacing w:after="240"/>
        <w:ind w:left="567" w:hanging="567"/>
      </w:pPr>
      <w:r w:rsidRPr="00421E20">
        <w:t>98.</w:t>
      </w:r>
      <w:r w:rsidRPr="00421E20">
        <w:tab/>
        <w:t>ia act de inițiativa „Transformarea digitală și de capital a DG FINS din 2024”, ale cărei prime două programe („Transformarea digitală pentru servicii financiare îmbunătățite pentru deputați” și „Transformarea digitală pentru servicii îmbunătățite pentru administrația Parlamentului”) urmăresc să promoveze transformarea digitală a serviciilor oferite de DG FINS, indiferent dacă sunt destinate deputaților sau actorilor financiari ai instituției; ia act de faptul că al treilea program strategic („Transformarea capitalului pentru un loc de muncă mai productiv și mai coerent”) vizează crearea unui mediu de lucru mai productiv și mai coerent;</w:t>
      </w:r>
    </w:p>
    <w:p w14:paraId="0ED2356C" w14:textId="77777777" w:rsidR="007C42D1" w:rsidRPr="00421E20" w:rsidRDefault="007C42D1" w:rsidP="007C42D1">
      <w:pPr>
        <w:spacing w:after="240"/>
        <w:ind w:left="567" w:hanging="567"/>
      </w:pPr>
      <w:r w:rsidRPr="00421E20">
        <w:t xml:space="preserve">99. </w:t>
      </w:r>
      <w:r w:rsidRPr="00421E20">
        <w:tab/>
        <w:t>salută activitatea desfășurată de DG FINS în urma alegerilor europene din 2024, odată cu plecarea deputaților al căror mandat se încheia, primirea noilor deputați și procedurile administrative aferente; reamintește succesul spațiului de primire („Welcome Village”) și informațiile adunate de la diferite servicii pentru ca deputații să aibă la dispoziție un singur loc unde să fie informați și să facă declarațiile necesare la începutul mandatului lor; felicită DG FINS pentru pregătirea a 705 de dosare individuale, inclusiv a unor simulări ale statutului drepturilor lor sociale și financiare, precum și pentru pregătirea celor patru comunicări ale chestorilor cu scopul de a informa deputații despre drepturile și obligațiile lor la sfârșitul legislaturii parlamentare;</w:t>
      </w:r>
    </w:p>
    <w:p w14:paraId="31582E0D" w14:textId="77777777" w:rsidR="007C42D1" w:rsidRPr="00421E20" w:rsidRDefault="007C42D1" w:rsidP="007C42D1">
      <w:pPr>
        <w:pStyle w:val="NormalHanging12a"/>
      </w:pPr>
      <w:r w:rsidRPr="00421E20">
        <w:t>100.</w:t>
      </w:r>
      <w:r w:rsidRPr="00421E20">
        <w:tab/>
        <w:t xml:space="preserve">ia act de declarația de asigurare semnată de directorul general al DG FINS; ia act de observația făcută în declarația de asigurare cu privire la riscul rezidual de erori sau nereguli în rambursarea anumitor cheltuieli de deplasare ale deputaților, în special în ceea ce privește cererile de rambursare pentru deplasările cu autoturismul și plata indemnizației de distanță și de durată; remarcă acțiunile de atenuare sugerate de DG FINS și cere să se dea curs grabnic unor măsuri de reducere a riscurilor; cere să se prezinte un raport către autoritatea care acordă descărcarea de gestiune privind impactul financiar și succesul măsurilor luate, </w:t>
      </w:r>
      <w:bookmarkStart w:id="9" w:name="_Hlk225523167"/>
      <w:r w:rsidRPr="00421E20">
        <w:t>prezentând costurile cu controlul pentru diferite opțiuni bazate pe dovezi</w:t>
      </w:r>
      <w:bookmarkEnd w:id="9"/>
      <w:r w:rsidRPr="00421E20">
        <w:t>;</w:t>
      </w:r>
    </w:p>
    <w:p w14:paraId="1EEB7CF2" w14:textId="77777777" w:rsidR="007C42D1" w:rsidRPr="00421E20" w:rsidRDefault="007C42D1" w:rsidP="007C42D1">
      <w:pPr>
        <w:pStyle w:val="NormalHanging12a"/>
        <w:rPr>
          <w:bCs/>
          <w:iCs/>
        </w:rPr>
      </w:pPr>
      <w:r w:rsidRPr="00421E20">
        <w:t>101.</w:t>
      </w:r>
      <w:r w:rsidRPr="00421E20">
        <w:tab/>
        <w:t>constată cu îngrijorare că rambursarea cheltuielilor de deplasare ale deputaților depășește frecvent trei luni; invită administrația și DG FINS să accelereze semnificativ procedurile de rambursare, inclusiv prin continuarea digitalizării, simplificarea proceselor de verificare și stabilirea unor termene interne mai clare, respectând totodată pe deplin cerințele de control financiar;</w:t>
      </w:r>
    </w:p>
    <w:p w14:paraId="4B2509AF"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t>102.</w:t>
      </w:r>
      <w:r w:rsidRPr="00421E20">
        <w:tab/>
        <w:t xml:space="preserve">salută intensificarea activității privind „Academia de Finanțe a PE prezentată de DG FINS”, care a vizat furnizarea a douăsprezece </w:t>
      </w:r>
      <w:proofErr w:type="spellStart"/>
      <w:r w:rsidRPr="00421E20">
        <w:t>tutoriale</w:t>
      </w:r>
      <w:proofErr w:type="spellEnd"/>
      <w:r w:rsidRPr="00421E20">
        <w:t xml:space="preserve"> video online, pe lângă oferta existentă de cursuri de formare cu prezență fizică și hibride; subliniază importanța formării în domeniul financiar pentru membrii personalului din întregul Parlament și salută sesiunile de formare în domeniul achizițiilor publice pentru membrii personalului grupurilor politice și invită DG FINS să ofere mai mult sprijin grupurilor politice în procesele de achiziții publice, în special având în vedere constatările Curții; sugerează </w:t>
      </w:r>
      <w:r w:rsidRPr="00421E20">
        <w:lastRenderedPageBreak/>
        <w:t>DG FINS să asigure o aliniere a practicilor aplicate de diferite grupuri politice în domeniul achizițiilor publice;</w:t>
      </w:r>
    </w:p>
    <w:p w14:paraId="66F15A22" w14:textId="77777777" w:rsidR="007C42D1" w:rsidRPr="00421E20" w:rsidRDefault="007C42D1" w:rsidP="007C42D1">
      <w:pPr>
        <w:pStyle w:val="NormalHanging12a"/>
      </w:pPr>
      <w:r w:rsidRPr="00421E20">
        <w:t>103.</w:t>
      </w:r>
      <w:r w:rsidRPr="00421E20">
        <w:tab/>
        <w:t>evidențiază că deputații au libertatea de a documenta utilizarea fondurilor din indemnizația pentru cheltuieli generale (ICG); subliniază că pot face acest lucru voluntar, în detaliu sau în funcție de tipul de cheltuieli, singuri sau cu ajutorul unui auditor extern, și că pot opta pentru publicarea integrală sau parțială a acestor informații pe pagina lor de pe site-ul web al Parlamentului, în conformitate cu articolul 11 alineatul (2) din Regulamentul de procedură al Parlamentului European; se bucură că în Normele de aplicare a Statutului deputaților în Parlamentul European (NASD) a fost inclusă o listă simplificată a tipurilor de cheltuieli și că a fost adoptat, de asemenea, un amendament care clarifică posibilitatea ca deputații să apeleze la ICG în cazul epuizării altor indemnizații; ia act de faptul că toți deputații au fost informați despre particularitățile acestei indemnizații; consideră că transparența maximă este o bună practică;</w:t>
      </w:r>
    </w:p>
    <w:p w14:paraId="541BC934" w14:textId="77777777" w:rsidR="007C42D1" w:rsidRPr="00421E20" w:rsidRDefault="007C42D1" w:rsidP="007C42D1">
      <w:pPr>
        <w:pStyle w:val="NormalHanging12a"/>
      </w:pPr>
      <w:r w:rsidRPr="00421E20">
        <w:t>104.</w:t>
      </w:r>
      <w:r w:rsidRPr="00421E20">
        <w:tab/>
        <w:t>află că în 2024 ICG a fost de 4 950 EUR pe lună, reprezentând o sumă de circa 40 de milioane EUR pe an; reamintește că indemnizația nu a fost indexată nici în 2022, nici în 2024; reține că Parlamentul respectă normele actuale privind ICG; reamintește necesitatea de a evita o sarcină administrativă inutilă pentru deputați;</w:t>
      </w:r>
    </w:p>
    <w:p w14:paraId="4902BD96" w14:textId="5F9EE6E8" w:rsidR="007C42D1" w:rsidRPr="00421E20" w:rsidRDefault="007C42D1" w:rsidP="007C42D1">
      <w:pPr>
        <w:pStyle w:val="NormalHanging12a"/>
        <w:rPr>
          <w:bCs/>
          <w:iCs/>
        </w:rPr>
      </w:pPr>
      <w:r w:rsidRPr="00421E20">
        <w:t>105.</w:t>
      </w:r>
      <w:r w:rsidRPr="00421E20">
        <w:tab/>
        <w:t>observă că actualele Norme de aplicare a Statutului deputaților în Parlamentul European stabilesc cerințe de transparență pentru gestiunea financiară a ICG; regretă că, la reuniunea sa din 17 octombrie 2022, Biroul a adoptat această decizie;</w:t>
      </w:r>
    </w:p>
    <w:p w14:paraId="10A37CBA" w14:textId="77777777" w:rsidR="007C42D1" w:rsidRPr="00421E20" w:rsidRDefault="007C42D1" w:rsidP="007C42D1">
      <w:pPr>
        <w:spacing w:after="240"/>
        <w:rPr>
          <w:b/>
          <w:bCs/>
          <w:i/>
          <w:iCs/>
          <w14:textOutline w14:w="0" w14:cap="flat" w14:cmpd="sng" w14:algn="ctr">
            <w14:noFill/>
            <w14:prstDash w14:val="solid"/>
            <w14:bevel/>
          </w14:textOutline>
        </w:rPr>
      </w:pPr>
      <w:r w:rsidRPr="00421E20">
        <w:rPr>
          <w:b/>
          <w:i/>
          <w14:textOutline w14:w="0" w14:cap="flat" w14:cmpd="sng" w14:algn="ctr">
            <w14:noFill/>
            <w14:prstDash w14:val="solid"/>
            <w14:bevel/>
          </w14:textOutline>
        </w:rPr>
        <w:t>Direcția Generală Tehnologiile Informației și Securitate Cibernetică</w:t>
      </w:r>
    </w:p>
    <w:p w14:paraId="6AF4A9FC" w14:textId="0E2E073A" w:rsidR="007C42D1" w:rsidRPr="00421E20" w:rsidRDefault="00931AB6"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106</w:t>
      </w:r>
      <w:r w:rsidR="007C42D1" w:rsidRPr="00421E20">
        <w:t>.</w:t>
      </w:r>
      <w:r w:rsidR="007C42D1" w:rsidRPr="00421E20">
        <w:rPr>
          <w14:textOutline w14:w="0" w14:cap="flat" w14:cmpd="sng" w14:algn="ctr">
            <w14:noFill/>
            <w14:prstDash w14:val="solid"/>
            <w14:bevel/>
          </w14:textOutline>
        </w:rPr>
        <w:tab/>
        <w:t xml:space="preserve">reamintește că DG ITEC furnizează Parlamentului servicii și echipamente de tehnologii ale informației și comunicațiilor (TIC), servicii de videoconferință și servicii multimedia, precum și servicii de publicare și imprimerie; </w:t>
      </w:r>
      <w:r w:rsidR="007C42D1" w:rsidRPr="00421E20">
        <w:t>constată că, la 31 decembrie 2024, DG ITEC avea 579 de angajați, dintre care 369 erau funcționari, 70 agenți temporari și 140 agenți contractuali;</w:t>
      </w:r>
    </w:p>
    <w:p w14:paraId="472A0E26" w14:textId="16D7E343" w:rsidR="007C42D1" w:rsidRPr="00421E20" w:rsidRDefault="00931AB6" w:rsidP="007C42D1">
      <w:pPr>
        <w:pStyle w:val="NormalHanging12a"/>
        <w:rPr>
          <w:bCs/>
          <w:iCs/>
        </w:rPr>
      </w:pPr>
      <w:r w:rsidRPr="00421E20">
        <w:t>107</w:t>
      </w:r>
      <w:r w:rsidR="007C42D1" w:rsidRPr="00421E20">
        <w:t>.</w:t>
      </w:r>
      <w:r w:rsidR="007C42D1" w:rsidRPr="00421E20">
        <w:tab/>
        <w:t>invită Parlamentul să adopte o strategie cuprinzătoare de transformare digitală, care să includă soluții tehnice de gestionare a documentelor, vot și comunicare, pentru a asigura transparența, a îmbunătăți eficiența, a proteja securitatea și a se îndrepta către o administrație „fără hârtie”; propune să se dezvolte platforme digitale ușor de utilizat pentru a mări numărul de participanți prin aplicații electronice, permițând cetățenilor UE să ofere feedback cu privire la legislația propusă și să aibă acces la activitățile Parlamentului în timp real;</w:t>
      </w:r>
    </w:p>
    <w:p w14:paraId="336DAD55" w14:textId="733634BD" w:rsidR="007C42D1" w:rsidRPr="00421E20" w:rsidRDefault="00931AB6"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108</w:t>
      </w:r>
      <w:r w:rsidR="007C42D1" w:rsidRPr="00421E20">
        <w:t>.</w:t>
      </w:r>
      <w:r w:rsidR="007C42D1" w:rsidRPr="00421E20">
        <w:rPr>
          <w14:textOutline w14:w="0" w14:cap="flat" w14:cmpd="sng" w14:algn="ctr">
            <w14:noFill/>
            <w14:prstDash w14:val="solid"/>
            <w14:bevel/>
          </w14:textOutline>
        </w:rPr>
        <w:tab/>
      </w:r>
      <w:r w:rsidR="007C42D1" w:rsidRPr="00421E20">
        <w:t>observă că în 2024 creditele finale pentru DG ITEC au fost de 179 396 522 EUR, reprezentând 7,5 % din bugetul Parlamentului;</w:t>
      </w:r>
      <w:r w:rsidR="007C42D1" w:rsidRPr="00421E20">
        <w:rPr>
          <w14:textOutline w14:w="0" w14:cap="flat" w14:cmpd="sng" w14:algn="ctr">
            <w14:noFill/>
            <w14:prstDash w14:val="solid"/>
            <w14:bevel/>
          </w14:textOutline>
        </w:rPr>
        <w:t xml:space="preserve"> </w:t>
      </w:r>
      <w:r w:rsidR="007C42D1" w:rsidRPr="00421E20">
        <w:t>subliniază că din această sumă a fost angajat un total de 179 349 479 EUR;</w:t>
      </w:r>
      <w:r w:rsidR="007C42D1" w:rsidRPr="00421E20">
        <w:rPr>
          <w14:textOutline w14:w="0" w14:cap="flat" w14:cmpd="sng" w14:algn="ctr">
            <w14:noFill/>
            <w14:prstDash w14:val="solid"/>
            <w14:bevel/>
          </w14:textOutline>
        </w:rPr>
        <w:t xml:space="preserve"> salută faptul că s-a utilizat o proporție mare a creditelor;</w:t>
      </w:r>
    </w:p>
    <w:p w14:paraId="119F7471" w14:textId="019227BB" w:rsidR="007C42D1" w:rsidRPr="00421E20" w:rsidRDefault="00931AB6" w:rsidP="007C42D1">
      <w:pPr>
        <w:spacing w:after="240"/>
        <w:ind w:left="567" w:hanging="567"/>
      </w:pPr>
      <w:r w:rsidRPr="00421E20">
        <w:t>109</w:t>
      </w:r>
      <w:r w:rsidR="007C42D1" w:rsidRPr="00421E20">
        <w:t>.</w:t>
      </w:r>
      <w:r w:rsidR="007C42D1" w:rsidRPr="00421E20">
        <w:tab/>
        <w:t xml:space="preserve">ia act de eforturile susținute ale DG ITEC de a asigura securitatea cibernetică, având în vedere contextul caracterizat de tot mai multe amenințări și riscuri care afectează Parlamentul; ia act de intrarea în vigoare a Regulamentului (UE, Euratom) 2023/2841 al </w:t>
      </w:r>
      <w:r w:rsidR="007C42D1" w:rsidRPr="00421E20">
        <w:lastRenderedPageBreak/>
        <w:t>Parlamentului European și al Consiliului</w:t>
      </w:r>
      <w:r w:rsidR="007C42D1" w:rsidRPr="00421E20">
        <w:rPr>
          <w:rStyle w:val="FootnoteReference"/>
          <w:noProof/>
        </w:rPr>
        <w:footnoteReference w:id="9"/>
      </w:r>
      <w:r w:rsidR="007C42D1" w:rsidRPr="00421E20">
        <w:t>, care a oficializat misiunea CERT-UE ca serviciu de securitate cibernetică pentru entitățile Uniunii; constată că Regulamentul (UE, Euratom) 2023/2841 instituie, de asemenea, un Consiliu interinstituțional pentru securitate cibernetică (IICB), responsabil cu monitorizarea și sprijinirea punerii în aplicare a regulamentului respectiv în toate entitățile Uniunii; ia act de faptul că Parlamentul este președintele acestui consiliu din 2024;</w:t>
      </w:r>
    </w:p>
    <w:p w14:paraId="2D42CF5F" w14:textId="5F0AE827" w:rsidR="007C42D1" w:rsidRPr="00421E20" w:rsidRDefault="00931AB6" w:rsidP="007C42D1">
      <w:pPr>
        <w:spacing w:after="240"/>
        <w:ind w:left="567" w:hanging="567"/>
        <w:rPr>
          <w:b/>
          <w:bCs/>
        </w:rPr>
      </w:pPr>
      <w:r w:rsidRPr="00421E20">
        <w:t>110</w:t>
      </w:r>
      <w:r w:rsidR="007C42D1" w:rsidRPr="00421E20">
        <w:t>.</w:t>
      </w:r>
      <w:r w:rsidR="007C42D1" w:rsidRPr="00421E20">
        <w:tab/>
        <w:t>ia act de faptul că, în urma deciziei Biroului din februarie 2021 privind necesitatea de a găzdui centrul de date al Parlamentului la cel mai înalt standard disponibil în domeniu (nivelul IV), DG ITEC a atribuit contractul în 2022, permițând înființarea și operaționalizarea centrului de date în 2023; subliniază că această investiție importantă asigură o infrastructură adaptată exigențelor viitorului pentru o bună perioadă și este esențială pentru menținerea unui mediu de lucru hibrid solid în Parlament;</w:t>
      </w:r>
    </w:p>
    <w:p w14:paraId="771A2B74" w14:textId="40791B5A" w:rsidR="007C42D1" w:rsidRPr="00421E20" w:rsidRDefault="00931AB6" w:rsidP="007C42D1">
      <w:pPr>
        <w:spacing w:after="240"/>
        <w:ind w:left="567" w:hanging="567"/>
      </w:pPr>
      <w:r w:rsidRPr="00421E20">
        <w:rPr>
          <w14:textOutline w14:w="0" w14:cap="flat" w14:cmpd="sng" w14:algn="ctr">
            <w14:noFill/>
            <w14:prstDash w14:val="solid"/>
            <w14:bevel/>
          </w14:textOutline>
        </w:rPr>
        <w:t>111</w:t>
      </w:r>
      <w:r w:rsidR="007C42D1" w:rsidRPr="00421E20">
        <w:t>.</w:t>
      </w:r>
      <w:r w:rsidR="007C42D1" w:rsidRPr="00421E20">
        <w:rPr>
          <w14:textOutline w14:w="0" w14:cap="flat" w14:cmpd="sng" w14:algn="ctr">
            <w14:noFill/>
            <w14:prstDash w14:val="solid"/>
            <w14:bevel/>
          </w14:textOutline>
        </w:rPr>
        <w:tab/>
      </w:r>
      <w:r w:rsidR="007C42D1" w:rsidRPr="00421E20">
        <w:t>evidențiază că securitatea cibernetică trebuie privită ca o prioritate integrală și permanentă în toate etapele operațiunilor, mai degrabă decât ca o simplă țintă; subliniază că securitatea cibernetică necesită o strategie cuprinzătoare care să cuprindă toate aspectele guvernanței digitale în cadrul Parlamentului; solicită o revizuire a structurilor de guvernanță IT ale Parlamentului, pledând pentru o abordare mai solidă și adaptabilă a securității cibernetice, care să ia în considerare întregul ciclu de viață al sistemelor informatice, având în vedere numărul tot mai mare de aplicații (în prezent peste 20) care sunt direct accesibile prin internet; evidențiază că această situație necesită o supraveghere sporită pentru a reduce la minimum vulnerabilitățile și a proteja datele instituționale de amenințările externe;</w:t>
      </w:r>
    </w:p>
    <w:p w14:paraId="4201E6F8" w14:textId="011B2251" w:rsidR="007C42D1" w:rsidRPr="00421E20" w:rsidRDefault="00931AB6" w:rsidP="007C42D1">
      <w:pPr>
        <w:spacing w:after="240"/>
        <w:ind w:left="567" w:hanging="567"/>
      </w:pPr>
      <w:r w:rsidRPr="00421E20">
        <w:t>112</w:t>
      </w:r>
      <w:r w:rsidR="007C42D1" w:rsidRPr="00421E20">
        <w:t>.</w:t>
      </w:r>
      <w:r w:rsidR="007C42D1" w:rsidRPr="00421E20">
        <w:tab/>
        <w:t xml:space="preserve">solicită continuarea investițiilor în infrastructura de securitate cibernetică, dar și formarea continuă și </w:t>
      </w:r>
      <w:r w:rsidR="007C42D1" w:rsidRPr="00421E20">
        <w:rPr>
          <w14:textOutline w14:w="0" w14:cap="flat" w14:cmpd="sng" w14:algn="ctr">
            <w14:noFill/>
            <w14:prstDash w14:val="solid"/>
            <w14:bevel/>
          </w14:textOutline>
        </w:rPr>
        <w:t>resursele</w:t>
      </w:r>
      <w:r w:rsidR="007C42D1" w:rsidRPr="00421E20">
        <w:t xml:space="preserve"> pentru membrii personalului, pentru a consolida o cultură a conștiinței în materie de securitate care să consolideze reziliența Parlamentului la potențialele amenințări digitale;</w:t>
      </w:r>
    </w:p>
    <w:p w14:paraId="5E068C3D" w14:textId="09003002" w:rsidR="007C42D1" w:rsidRPr="00421E20" w:rsidRDefault="00931AB6" w:rsidP="007C42D1">
      <w:pPr>
        <w:spacing w:after="240"/>
        <w:ind w:left="567" w:hanging="567"/>
      </w:pPr>
      <w:r w:rsidRPr="00421E20">
        <w:t>113</w:t>
      </w:r>
      <w:r w:rsidR="007C42D1" w:rsidRPr="00421E20">
        <w:t>.</w:t>
      </w:r>
      <w:r w:rsidR="007C42D1" w:rsidRPr="00421E20">
        <w:tab/>
        <w:t xml:space="preserve">constată că se pune accentul pe sensibilizarea tuturor deputaților și a întregului personal cu privire la securitatea cibernetică; salută oferta de formare oferită de DG ITEC și DG PERS; ia act de numărul mare de participanți la cursurile de formare privind securitatea cibernetică, </w:t>
      </w:r>
      <w:proofErr w:type="spellStart"/>
      <w:r w:rsidR="007C42D1" w:rsidRPr="00421E20">
        <w:t>ajungându-se</w:t>
      </w:r>
      <w:proofErr w:type="spellEnd"/>
      <w:r w:rsidR="007C42D1" w:rsidRPr="00421E20">
        <w:t xml:space="preserve"> la 33 de participanți la cursurile de formare și la cel puțin 1 800 de participanți la activitățile de sensibilizare;</w:t>
      </w:r>
    </w:p>
    <w:p w14:paraId="3C3ED953" w14:textId="673E6124" w:rsidR="007C42D1" w:rsidRPr="00421E20" w:rsidRDefault="00931AB6" w:rsidP="007C42D1">
      <w:pPr>
        <w:spacing w:after="240"/>
        <w:ind w:left="567" w:hanging="567"/>
      </w:pPr>
      <w:r w:rsidRPr="00421E20">
        <w:t>114</w:t>
      </w:r>
      <w:r w:rsidR="007C42D1" w:rsidRPr="00421E20">
        <w:t>.</w:t>
      </w:r>
      <w:r w:rsidR="007C42D1" w:rsidRPr="00421E20">
        <w:tab/>
        <w:t>constată că actualul sistem de gestionare a resurselor umane (portalul HRM) nu este încă suficient integrat cu alte sisteme ale Parlamentului; ia act de faptul că pentru proceduri simple, cum ar fi cererile de concediu, APA sunt în continuare nevoiți să descarce, să imprime, să scaneze și să transmită manual documente, în timp ce soldul zilelor de concediu trebuie verificat pe o platformă separată; subliniază că aceste procese fragmentate creează o sarcină administrativă inutilă și ineficiențe ale fluxului de lucru; invită administrația să modernizeze și să raționalizeze aceste proceduri și să asigure interoperabilitatea deplină între instrumentele HRM și alte sisteme ale Parlamentului;</w:t>
      </w:r>
    </w:p>
    <w:p w14:paraId="522424D6" w14:textId="5F21920F" w:rsidR="007C42D1" w:rsidRPr="00421E20" w:rsidRDefault="00931AB6" w:rsidP="007C42D1">
      <w:pPr>
        <w:spacing w:after="240"/>
        <w:ind w:left="567" w:hanging="567"/>
      </w:pPr>
      <w:r w:rsidRPr="00421E20">
        <w:rPr>
          <w14:textOutline w14:w="0" w14:cap="flat" w14:cmpd="sng" w14:algn="ctr">
            <w14:noFill/>
            <w14:prstDash w14:val="solid"/>
            <w14:bevel/>
          </w14:textOutline>
        </w:rPr>
        <w:t>115</w:t>
      </w:r>
      <w:r w:rsidR="007C42D1" w:rsidRPr="00421E20">
        <w:t>.</w:t>
      </w:r>
      <w:r w:rsidR="007C42D1" w:rsidRPr="00421E20">
        <w:rPr>
          <w14:textOutline w14:w="0" w14:cap="flat" w14:cmpd="sng" w14:algn="ctr">
            <w14:noFill/>
            <w14:prstDash w14:val="solid"/>
            <w14:bevel/>
          </w14:textOutline>
        </w:rPr>
        <w:tab/>
      </w:r>
      <w:r w:rsidR="007C42D1" w:rsidRPr="00421E20">
        <w:t xml:space="preserve">subliniază că sprijinul acordat deputaților a fost extins pentru a include orele și zilele </w:t>
      </w:r>
      <w:r w:rsidR="007C42D1" w:rsidRPr="00421E20">
        <w:lastRenderedPageBreak/>
        <w:t xml:space="preserve">nelucrătoare; constată că, pentru a răspunde evoluției nevoilor și practicilor de lucru ale deputaților, pe baza sondajelor în rândul utilizatorilor și a cererilor directe ale organelor de conducere, a fost implementat un nou set de servicii de asistență informatică specifică pentru dispozitivele private </w:t>
      </w:r>
      <w:proofErr w:type="spellStart"/>
      <w:r w:rsidR="007C42D1" w:rsidRPr="00421E20">
        <w:t>MacOS</w:t>
      </w:r>
      <w:proofErr w:type="spellEnd"/>
      <w:r w:rsidR="007C42D1" w:rsidRPr="00421E20">
        <w:t xml:space="preserve"> și </w:t>
      </w:r>
      <w:proofErr w:type="spellStart"/>
      <w:r w:rsidR="007C42D1" w:rsidRPr="00421E20">
        <w:t>iOS</w:t>
      </w:r>
      <w:proofErr w:type="spellEnd"/>
      <w:r w:rsidR="007C42D1" w:rsidRPr="00421E20">
        <w:t xml:space="preserve"> ale deputaților; evidențiază că asistența tehnică pentru platformele de socializare este promovată, împreună cu o gamă completă de servicii legate de aspectele tehnice ale creației audiovizuale;</w:t>
      </w:r>
    </w:p>
    <w:p w14:paraId="4FA5FDDB" w14:textId="25ED21DE" w:rsidR="007C42D1" w:rsidRPr="00421E20" w:rsidRDefault="00931AB6" w:rsidP="007C42D1">
      <w:pPr>
        <w:pStyle w:val="NormalHanging12a"/>
      </w:pPr>
      <w:r w:rsidRPr="00421E20">
        <w:t>116</w:t>
      </w:r>
      <w:r w:rsidR="007C42D1" w:rsidRPr="00421E20">
        <w:t>.</w:t>
      </w:r>
      <w:r w:rsidR="007C42D1" w:rsidRPr="00421E20">
        <w:tab/>
        <w:t>salută instituirea unui nou cadru de guvernanță pentru IA, cu un consiliu de guvernanță a IA care să supravegheze strategia și foaia de parcurs a Parlamentului privind IA și să asigure conformitatea cu reglementările și supravegherea etică, un grup de coordonare inter-DG privind IA responsabil cu elaborarea strategiilor privind IA, dezvoltarea de capabilități esențiale și garantarea siguranței și sustenabilității pe termen lung, precum și un centru de competențe în domeniul IA în cadrul DG ITEC, care să ghideze, să promoveze și să monitorizeze inițiativele în domeniul IA în întregul Parlament; ia act de faptul că acest cadru de guvernanță va asigura transparența și conformitatea cu Regulamentul (UE) 2024/1689 al Parlamentului European și al Consiliului</w:t>
      </w:r>
      <w:r w:rsidR="007C42D1" w:rsidRPr="00421E20">
        <w:rPr>
          <w:vertAlign w:val="superscript"/>
        </w:rPr>
        <w:footnoteReference w:id="10"/>
      </w:r>
      <w:r w:rsidR="007C42D1" w:rsidRPr="00421E20">
        <w:t>, care a intrat în vigoare la 1 august 2024, dispozițiile sale devenind aplicabile începând din 2025; ia act de faptul că membrii personalului Parlamentului pot utiliza instrumente de IA generativă puse la dispoziția publicului de către terți dacă respectă orientările privind utilizarea instrumentelor de IA accesibile publicului destinate membrilor personalului Parlamentului, aprobate de Secretarul General la 16 aprilie 2024, cu condiția strictă ca acestea doar să sprijine sarcinile profesionale; invită administrația să își intensifice eforturile de instruire a personalului în utilizarea eficientă și sigură a noilor tehnologii;</w:t>
      </w:r>
    </w:p>
    <w:p w14:paraId="2E08ABC7" w14:textId="77777777" w:rsidR="007C42D1" w:rsidRPr="00421E20" w:rsidRDefault="007C42D1" w:rsidP="007C42D1">
      <w:pPr>
        <w:spacing w:after="240"/>
        <w:rPr>
          <w:b/>
          <w:bCs/>
          <w:i/>
          <w:iCs/>
          <w14:textOutline w14:w="0" w14:cap="flat" w14:cmpd="sng" w14:algn="ctr">
            <w14:noFill/>
            <w14:prstDash w14:val="solid"/>
            <w14:bevel/>
          </w14:textOutline>
        </w:rPr>
      </w:pPr>
      <w:r w:rsidRPr="00421E20">
        <w:rPr>
          <w:b/>
          <w:i/>
          <w14:textOutline w14:w="0" w14:cap="flat" w14:cmpd="sng" w14:algn="ctr">
            <w14:noFill/>
            <w14:prstDash w14:val="solid"/>
            <w14:bevel/>
          </w14:textOutline>
        </w:rPr>
        <w:t xml:space="preserve">Chestiuni orizontale cu implicații asupra bugetului Parlamentului pentru exercițiul financiar 2024 </w:t>
      </w:r>
    </w:p>
    <w:p w14:paraId="1DB2B661" w14:textId="77777777" w:rsidR="007C42D1" w:rsidRPr="00421E20" w:rsidRDefault="007C42D1" w:rsidP="007C42D1">
      <w:pPr>
        <w:spacing w:after="240"/>
        <w:rPr>
          <w:b/>
          <w:bCs/>
        </w:rPr>
      </w:pPr>
      <w:bookmarkStart w:id="10" w:name="_Hlk216615789"/>
      <w:r w:rsidRPr="00421E20">
        <w:rPr>
          <w:b/>
        </w:rPr>
        <w:t>Transparența și etica</w:t>
      </w:r>
    </w:p>
    <w:p w14:paraId="6C0B6CD8" w14:textId="15390204" w:rsidR="007C42D1" w:rsidRPr="00421E20" w:rsidRDefault="00931AB6" w:rsidP="007C42D1">
      <w:pPr>
        <w:spacing w:after="240"/>
        <w:ind w:left="567" w:hanging="567"/>
        <w:rPr>
          <w:b/>
          <w:bCs/>
        </w:rPr>
      </w:pPr>
      <w:r w:rsidRPr="00421E20">
        <w:t>117</w:t>
      </w:r>
      <w:r w:rsidR="007C42D1" w:rsidRPr="00421E20">
        <w:t>.</w:t>
      </w:r>
      <w:r w:rsidR="007C42D1" w:rsidRPr="00421E20">
        <w:tab/>
        <w:t>ia act de faptul că, în 2024, au fost primite șase rapoarte privind cazuri de denunțare a neregulilor în temeiul Normelor interne de punere în aplicare a articolului 22c din Statutul funcționarilor, cinci prin canale oficiale și unul de la o altă instituție a Uniunii; ia act de faptul că un caz a fost înaintat EPPO, două au condus la anchete administrative, iar unul a fost trimis Comitetului consultativ pentru Codul de conduită a deputaților, raportul extern declanșând, de asemenea, o anchetă;</w:t>
      </w:r>
      <w:r w:rsidR="008641CB" w:rsidRPr="00421E20">
        <w:t xml:space="preserve"> își exprimă îngrijorarea că, în 2024, Curtea de Justiție a hotărât în cauza T-793/22 că Parlamentul European nu a luat toate măsurile necesare pentru a se asigura că un avertizor beneficiază de o protecție echilibrată și eficientă împotriva oricărei forme de represalii; observă că Curtea a constatat, de asemenea, că Parlamentul nu a protejat adecvat confidențialitatea avertizorului; îndeamnă Parlamentul să își alinieze pe deplin normele interne la Directiva (UE) 2019/1937;</w:t>
      </w:r>
    </w:p>
    <w:bookmarkEnd w:id="10"/>
    <w:p w14:paraId="0D5B90DC" w14:textId="2C58F912" w:rsidR="007C42D1" w:rsidRPr="00421E20" w:rsidRDefault="00931AB6" w:rsidP="007C42D1">
      <w:pPr>
        <w:pStyle w:val="NormalHanging12a"/>
      </w:pPr>
      <w:r w:rsidRPr="00421E20">
        <w:t>118</w:t>
      </w:r>
      <w:r w:rsidR="007C42D1" w:rsidRPr="00421E20">
        <w:t>.</w:t>
      </w:r>
      <w:r w:rsidR="007C42D1" w:rsidRPr="00421E20">
        <w:tab/>
        <w:t>se bucură să afle că formarea în materie de etică a rămas o prioritate și că cu numai 13 sesiuni de „</w:t>
      </w:r>
      <w:proofErr w:type="spellStart"/>
      <w:r w:rsidR="007C42D1" w:rsidRPr="00421E20">
        <w:t>Let’s</w:t>
      </w:r>
      <w:proofErr w:type="spellEnd"/>
      <w:r w:rsidR="007C42D1" w:rsidRPr="00421E20">
        <w:t xml:space="preserve"> Talk </w:t>
      </w:r>
      <w:proofErr w:type="spellStart"/>
      <w:r w:rsidR="007C42D1" w:rsidRPr="00421E20">
        <w:t>Ethics</w:t>
      </w:r>
      <w:proofErr w:type="spellEnd"/>
      <w:r w:rsidR="007C42D1" w:rsidRPr="00421E20">
        <w:t xml:space="preserve">” au beneficiat de formare 178 de membri ai personalului, cursurile adaptate au ajuns la 109 participanți, iar cursul introductiv obligatoriu pentru </w:t>
      </w:r>
      <w:r w:rsidR="007C42D1" w:rsidRPr="00421E20">
        <w:lastRenderedPageBreak/>
        <w:t>APA a fost frecventat în proporție de 72 %; consideră îmbucurător că la noul curs pentru manageri privind conducerea etică și prevenirea hărțuirii au participat 320 de manageri în decursul a 33 de sesiuni;</w:t>
      </w:r>
    </w:p>
    <w:p w14:paraId="0CD0FB1A" w14:textId="6C57FAC8" w:rsidR="007C42D1" w:rsidRPr="00421E20" w:rsidRDefault="00931AB6" w:rsidP="007C42D1">
      <w:pPr>
        <w:pStyle w:val="NormalHanging12a"/>
      </w:pPr>
      <w:r w:rsidRPr="00421E20">
        <w:t>119</w:t>
      </w:r>
      <w:r w:rsidR="007C42D1" w:rsidRPr="00421E20">
        <w:t>.</w:t>
      </w:r>
      <w:r w:rsidR="007C42D1" w:rsidRPr="00421E20">
        <w:tab/>
        <w:t>insistă asupra consolidării măsurilor de transparență, responsabilitate și guvernanță etică; consideră că Parlamentul trebuie să construiască o cultură a integrității, înglobând standarde etice în operațiunile de zi cu zi pentru a se bucura în continuare de încrederea cetățenilor și consolidându-și legitimitatea în supraveghere; cere să se continue și să se intensifice cooperarea și dialogul privind integritatea, transparența și standardele etice în instituțiile Uniunii;</w:t>
      </w:r>
    </w:p>
    <w:p w14:paraId="483DCA3E" w14:textId="063CC34B" w:rsidR="007C42D1" w:rsidRPr="00421E20" w:rsidRDefault="00931AB6" w:rsidP="007C42D1">
      <w:pPr>
        <w:pStyle w:val="NormalHanging12a"/>
        <w:rPr>
          <w:bCs/>
          <w:iCs/>
        </w:rPr>
      </w:pPr>
      <w:r w:rsidRPr="00421E20">
        <w:t>120</w:t>
      </w:r>
      <w:r w:rsidR="007C42D1" w:rsidRPr="00421E20">
        <w:t>.</w:t>
      </w:r>
      <w:r w:rsidR="007C42D1" w:rsidRPr="00421E20">
        <w:tab/>
        <w:t>află din rapoartele trimise Biroului că implementarea tehnică a Codului de conduită pentru deputații în Parlamentul European a fost evaluată pozitiv la capitolele integritate și transparență; solicită eforturi suplimentare pentru a crește nivelul de transparență în toate sectoarele și serviciile Parlamentului, cu accent deosebit pe elaborarea actelor legislative; în acest sens, invită administrația Parlamentului să nu limiteze introducerea cerințelor de transparență la nivelul conducerii;</w:t>
      </w:r>
    </w:p>
    <w:p w14:paraId="79BCCD45" w14:textId="2D9F4B78" w:rsidR="008641CB" w:rsidRPr="00421E20" w:rsidRDefault="008641CB" w:rsidP="007C42D1">
      <w:pPr>
        <w:pStyle w:val="NormalHanging12a"/>
      </w:pPr>
      <w:r w:rsidRPr="00421E20">
        <w:t>121.</w:t>
      </w:r>
      <w:r w:rsidRPr="00421E20">
        <w:tab/>
        <w:t>reamintește că normele interzic deputaților să se implice în activități de lobby remunerate legate direct de procesul decizional al Uniunii; subliniază că deținerea de funcții remunerate în organizații care intră în sfera registrului de transparență, în paralel cu exercitarea unor funcții parlamentare în același domeniu de politică sau cu implicarea în contacte conexe cu Comisia sau cu Consiliul, este incompatibilă cu aceste norme; solicită ca astfel de situații să fie examinate în mod corespunzător și, dacă se constată încălcări, să se aplice sancțiuni proporționale;</w:t>
      </w:r>
    </w:p>
    <w:p w14:paraId="05849667" w14:textId="1DAFBB9A" w:rsidR="007C42D1" w:rsidRPr="00421E20" w:rsidRDefault="007C42D1" w:rsidP="007C42D1">
      <w:pPr>
        <w:pStyle w:val="NormalHanging12a"/>
        <w:rPr>
          <w:bCs/>
          <w:iCs/>
        </w:rPr>
      </w:pPr>
      <w:r w:rsidRPr="00421E20">
        <w:t>122.</w:t>
      </w:r>
      <w:r w:rsidRPr="00421E20">
        <w:tab/>
        <w:t>consideră de bun augur că registrul de transparență este folosit tot mai des ca instrument de informare și de referință pentru activitățile de reprezentare a intereselor de la nivelul Uniunii; salută dezvoltarea de soluții informatice pentru îmbunătățirea registrului de transparență, dar constată că secretariatul său este încă subfinanțat și nu dispune de personal suficient; observă că s-a îmbunătățit calitatea înscrierilor în registrul de transparență și reamintește necesitatea de a înăspri și mai mult controalele de calitate a datelor noilor solicitanți; se bucură că la Parlament s-au stabilit standarde solide privind transparența și accesul la instituții pentru entitățile înscrise în registrul de transparență; solicită interconectarea registrului de transparență și a sistemului de transparență financiară pentru a permite verificări încrucișate ale entităților înscrise în registrul de transparență și pentru a verifica caracterul adecvat al datelor transmise; reiterează, în acest context, că trebuie efectuată o verificare financiară prealabilă completă a tuturor entităților înainte să fie înscrise în registrul de transparență și solicită, în acest sens, ca registrul să fie dotat cu resurse adecvate pentru a putea funcționa și pentru ca normele interne referitoare la registrul de transparență să fie respectate efectiv; invită, de asemenea, administrația Parlamentului să asigure transparența interinstituțională în relația cu mass-media și să dezvăluie toate canalele mass-media care primesc fonduri din partea Uniunii;</w:t>
      </w:r>
    </w:p>
    <w:p w14:paraId="4A8A93C8" w14:textId="77777777" w:rsidR="007C42D1" w:rsidRPr="00421E20" w:rsidRDefault="007C42D1" w:rsidP="007C42D1">
      <w:pPr>
        <w:spacing w:after="240"/>
        <w:ind w:left="567" w:hanging="567"/>
      </w:pPr>
      <w:r w:rsidRPr="00421E20">
        <w:t>123.</w:t>
      </w:r>
      <w:r w:rsidRPr="00421E20">
        <w:tab/>
        <w:t>invită Curtea de Conturi Europeană să se ocupe special de finanțarea mass-mediei;</w:t>
      </w:r>
    </w:p>
    <w:p w14:paraId="4154397F" w14:textId="77777777" w:rsidR="007C42D1" w:rsidRPr="00421E20" w:rsidRDefault="007C42D1" w:rsidP="007C42D1">
      <w:pPr>
        <w:spacing w:after="240"/>
        <w:rPr>
          <w:b/>
          <w:bCs/>
        </w:rPr>
      </w:pPr>
      <w:r w:rsidRPr="00421E20">
        <w:rPr>
          <w:b/>
        </w:rPr>
        <w:t>Digitalizarea, securitatea cibernetică și IA</w:t>
      </w:r>
    </w:p>
    <w:p w14:paraId="572E8ECF" w14:textId="77777777" w:rsidR="007C42D1" w:rsidRPr="00421E20" w:rsidRDefault="007C42D1" w:rsidP="007C42D1">
      <w:pPr>
        <w:spacing w:after="240"/>
        <w:ind w:left="567" w:hanging="567"/>
        <w:rPr>
          <w:b/>
          <w:bCs/>
        </w:rPr>
      </w:pPr>
      <w:r w:rsidRPr="00421E20">
        <w:t>124.</w:t>
      </w:r>
      <w:r w:rsidRPr="00421E20">
        <w:tab/>
        <w:t>invită Parlamentul să își intensifice în continuare eforturile și să abordeze provocări critice concrete, cum ar fi securitatea cibernetică și IA;</w:t>
      </w:r>
    </w:p>
    <w:p w14:paraId="30297497" w14:textId="77777777" w:rsidR="007C42D1" w:rsidRPr="00421E20" w:rsidRDefault="007C42D1" w:rsidP="007C42D1">
      <w:pPr>
        <w:spacing w:after="240"/>
        <w:ind w:left="567" w:hanging="567"/>
      </w:pPr>
      <w:r w:rsidRPr="00421E20">
        <w:lastRenderedPageBreak/>
        <w:t>125.</w:t>
      </w:r>
      <w:r w:rsidRPr="00421E20">
        <w:tab/>
        <w:t>reamintește că cadrul de guvernanță a IA a fost instituit de Birou în martie 2024; subliniază necesitatea urgentă de a adopta o strategie cuprinzătoare privind IA și o foaie de parcurs, inclusiv o propunere de plan de acțiune;</w:t>
      </w:r>
    </w:p>
    <w:p w14:paraId="416A9315" w14:textId="77777777" w:rsidR="007C42D1" w:rsidRPr="00421E20" w:rsidRDefault="007C42D1" w:rsidP="007C42D1">
      <w:pPr>
        <w:pStyle w:val="NormalHanging12a"/>
      </w:pPr>
      <w:r w:rsidRPr="00421E20">
        <w:t>126.</w:t>
      </w:r>
      <w:r w:rsidRPr="00421E20">
        <w:tab/>
        <w:t>constată că se fac progrese cu platforma internă a Parlamentului dedicată IA generative; reiterează că această platformă este un element-cheie pentru punerea în aplicare conformă și sigură a proiectelor de IA, în special pentru sprijinirea deputaților în activitățile lor;</w:t>
      </w:r>
    </w:p>
    <w:p w14:paraId="30995862" w14:textId="77777777" w:rsidR="007C42D1" w:rsidRPr="00421E20" w:rsidRDefault="007C42D1" w:rsidP="007C42D1">
      <w:pPr>
        <w:spacing w:after="240"/>
        <w:ind w:left="567" w:hanging="567"/>
      </w:pPr>
      <w:r w:rsidRPr="00421E20">
        <w:t>127.</w:t>
      </w:r>
      <w:r w:rsidRPr="00421E20">
        <w:tab/>
        <w:t>invită administrația Parlamentului să se asigure că proiectele de IA se desfășoară în deplină conformitate cu cerințele de guvernanță, oferind totodată acces într-un mod care să protejeze datele sensibile și, în același timp, să permită utilizarea informațiilor disponibile public;</w:t>
      </w:r>
    </w:p>
    <w:p w14:paraId="05E07395" w14:textId="77777777" w:rsidR="007C42D1" w:rsidRPr="00421E20" w:rsidRDefault="007C42D1" w:rsidP="007C42D1">
      <w:pPr>
        <w:pStyle w:val="NormalHanging12a"/>
        <w:rPr>
          <w:bCs/>
          <w:iCs/>
        </w:rPr>
      </w:pPr>
      <w:r w:rsidRPr="00421E20">
        <w:t>128.</w:t>
      </w:r>
      <w:r w:rsidRPr="00421E20">
        <w:tab/>
        <w:t>invită administrația Parlamentului să mărească transparența și accesibilitatea activității parlamentare apelând la soluții IA pentru a pune la dispoziție sistematic transcrierile digitale, cu funcție de căutare și reutilizabile, ale tuturor dezbaterilor comisiilor, inclusiv ale dialogurilor cu comisarii, experții și părțile interesate; subliniază că aceste transcrieri ar trebui să fie puse la dispoziție în timp util; evidențiază că facilitarea accesului la dezbaterile comisiilor ar întări controlul democratic și memoria instituțională, ajutându-i pe cetățeni să înțeleagă mai bine activitatea legislativă a Parlamentului;</w:t>
      </w:r>
    </w:p>
    <w:p w14:paraId="0EBED5A7" w14:textId="77777777" w:rsidR="007C42D1" w:rsidRPr="00421E20" w:rsidRDefault="007C42D1" w:rsidP="007C42D1">
      <w:pPr>
        <w:pStyle w:val="NormalHanging12a"/>
        <w:rPr>
          <w:bCs/>
          <w:iCs/>
        </w:rPr>
      </w:pPr>
      <w:r w:rsidRPr="00421E20">
        <w:t>129.</w:t>
      </w:r>
      <w:r w:rsidRPr="00421E20">
        <w:tab/>
        <w:t>recunoaște îmbunătățirile semnificative aduse site-ului dedicat ședinței plenare, inclusiv accesibilitatea sporită a instrumentelor de verificare a votului prin apel nominal, care au contribuit la o mai mare transparență și acuratețe a proceselor-verbale ale voturilor parlamentare; totuși, solicită îmbunătățiri suplimentare în ceea ce privește posibilitatea de utilizare a informațiilor legate de vot și prezentarea acestora;</w:t>
      </w:r>
    </w:p>
    <w:p w14:paraId="4A1715D3" w14:textId="77777777" w:rsidR="007C42D1" w:rsidRPr="00421E20" w:rsidRDefault="007C42D1" w:rsidP="007C42D1">
      <w:pPr>
        <w:spacing w:after="240"/>
        <w:rPr>
          <w:b/>
          <w:bCs/>
        </w:rPr>
      </w:pPr>
      <w:r w:rsidRPr="00421E20">
        <w:rPr>
          <w:b/>
        </w:rPr>
        <w:t>Regimul facultativ de pensii (VPS)</w:t>
      </w:r>
    </w:p>
    <w:p w14:paraId="72AD154B" w14:textId="77777777" w:rsidR="007C42D1" w:rsidRPr="00421E20" w:rsidRDefault="007C42D1" w:rsidP="007C42D1">
      <w:pPr>
        <w:pStyle w:val="NormalHanging12a"/>
      </w:pPr>
      <w:r w:rsidRPr="00421E20">
        <w:t>130.</w:t>
      </w:r>
      <w:r w:rsidRPr="00421E20">
        <w:tab/>
        <w:t>constată subfinanțarea regimului facultativ de pensii, printr-un deficit persistent de 105 milioane EUR la sfârșitul lui 2024 și prin active limitate în valoare de 23,17 milioane EUR, care se preconizează că vor fi epuizate până la sfârșitul lui 2026; observă că obligațiile decurg din angajamentele de plată legale către peste 900 de membri până cel puțin în 2074;</w:t>
      </w:r>
    </w:p>
    <w:p w14:paraId="7516CFAF" w14:textId="77777777" w:rsidR="007C42D1" w:rsidRPr="00421E20" w:rsidRDefault="007C42D1" w:rsidP="007C42D1">
      <w:pPr>
        <w:spacing w:after="240"/>
        <w:ind w:left="567" w:hanging="567"/>
      </w:pPr>
      <w:r w:rsidRPr="00421E20">
        <w:t>131.</w:t>
      </w:r>
      <w:r w:rsidRPr="00421E20">
        <w:tab/>
        <w:t xml:space="preserve">ia act de faptul că, la reuniunea sa din 12 iunie 2023, Biroul a decis o combinație de măsuri de modificare a </w:t>
      </w:r>
      <w:r w:rsidRPr="00421E20">
        <w:rPr>
          <w14:textOutline w14:w="0" w14:cap="flat" w14:cmpd="sng" w14:algn="ctr">
            <w14:noFill/>
            <w14:prstDash w14:val="solid"/>
            <w14:bevel/>
          </w14:textOutline>
        </w:rPr>
        <w:t>condițiilor</w:t>
      </w:r>
      <w:r w:rsidRPr="00421E20">
        <w:t xml:space="preserve"> regimului facultativ de pensii pentru a remedia situația; subliniază că aceste măsuri au inclus reducerea pensiei nominale cu 50 % nu numai pentru viitorii beneficiari care dețin drepturi de pensie în curs de a fi dobândite, ci și pentru beneficiarii actuali care dețin deja drepturi de pensie dobândite, că indexarea anuală a cuantumurilor pensiilor este înghețată și că vârsta de pensionare crește de la 65 la 67 de ani pentru beneficiarii care nu au atins încă vârsta de pensionare; subliniază că, potrivit estimărilor actuarilor, efectele acestor măsuri ar trebui să diminueze obligațiile la regimul facultativ de pensii începând cu 1 iulie 2023, pe baza ipotezei actuariale începând cu 1 iulie 2023;</w:t>
      </w:r>
    </w:p>
    <w:p w14:paraId="072A6D14" w14:textId="77777777" w:rsidR="007C42D1" w:rsidRPr="00421E20" w:rsidRDefault="007C42D1" w:rsidP="007C42D1">
      <w:pPr>
        <w:spacing w:after="240"/>
        <w:ind w:left="567" w:hanging="567"/>
      </w:pPr>
      <w:r w:rsidRPr="00421E20">
        <w:t>132.</w:t>
      </w:r>
      <w:r w:rsidRPr="00421E20">
        <w:tab/>
        <w:t>constată că Biroul a introdus și o „clauză de impreviziune” care permite beneficiarilor să prezinte chestorilor o cerere de majorare a cuantumului pensiei în cazurile în care reducerea este substanțială; observă că Biroul a introdus și posibilitatea unei retrageri voluntare și definitive din regimul facultativ de pensii prin transferul unei sume forfetare finale unice;</w:t>
      </w:r>
    </w:p>
    <w:p w14:paraId="01A75F87" w14:textId="77777777" w:rsidR="007C42D1" w:rsidRPr="00421E20" w:rsidRDefault="007C42D1" w:rsidP="007C42D1">
      <w:pPr>
        <w:pStyle w:val="NormalHanging12a"/>
      </w:pPr>
      <w:r w:rsidRPr="00421E20">
        <w:lastRenderedPageBreak/>
        <w:t>133.</w:t>
      </w:r>
      <w:r w:rsidRPr="00421E20">
        <w:tab/>
        <w:t>observă că decizia Biroului din 12 iunie 2023</w:t>
      </w:r>
      <w:r w:rsidRPr="00421E20">
        <w:rPr>
          <w:vertAlign w:val="superscript"/>
        </w:rPr>
        <w:footnoteReference w:id="11"/>
      </w:r>
      <w:r w:rsidRPr="00421E20">
        <w:t xml:space="preserve"> a fost contestată de 405 beneficiari ai regimului facultativ de pensii în fața Tribunalului; reamintește observațiile făcute de Secretarul General la audierea din 8 decembrie, în anticiparea hotărârii Tribunalului și a posibilelor direcții de acțiune; reține că Tribunalul a hotărât, la 17 decembrie 2025, să respingă acțiunile foștilor deputați; solicită administrației și Biroului să se ocupe această chestiune și să ia măsurile necesare pentru a se conforma hotărârii Tribunalului;</w:t>
      </w:r>
    </w:p>
    <w:p w14:paraId="0D08678F" w14:textId="77777777" w:rsidR="007C42D1" w:rsidRPr="00421E20" w:rsidRDefault="007C42D1" w:rsidP="007C42D1">
      <w:pPr>
        <w:spacing w:after="240"/>
        <w:ind w:left="567" w:hanging="567"/>
        <w:rPr>
          <w:b/>
          <w:bCs/>
          <w14:textOutline w14:w="0" w14:cap="flat" w14:cmpd="sng" w14:algn="ctr">
            <w14:noFill/>
            <w14:prstDash w14:val="solid"/>
            <w14:bevel/>
          </w14:textOutline>
        </w:rPr>
      </w:pPr>
      <w:r w:rsidRPr="00421E20">
        <w:rPr>
          <w:b/>
          <w14:textOutline w14:w="0" w14:cap="flat" w14:cmpd="sng" w14:algn="ctr">
            <w14:noFill/>
            <w14:prstDash w14:val="solid"/>
            <w14:bevel/>
          </w14:textOutline>
        </w:rPr>
        <w:t>Raportul anual privind contractele atribuite</w:t>
      </w:r>
    </w:p>
    <w:p w14:paraId="16797E31" w14:textId="77777777" w:rsidR="007C42D1" w:rsidRPr="00421E20" w:rsidRDefault="007C42D1" w:rsidP="007C42D1">
      <w:pPr>
        <w:spacing w:after="240"/>
        <w:ind w:left="567" w:hanging="567"/>
      </w:pPr>
      <w:r w:rsidRPr="00421E20">
        <w:t>134.</w:t>
      </w:r>
      <w:r w:rsidRPr="00421E20">
        <w:tab/>
        <w:t>reamintește că Regulamentul financiar stabilește informațiile care trebuie furnizate autorității bugetare și publicului cu privire la contractele atribuite de către Parlament; ia act de faptul că Regulamentul financiar prevede obligația de a publica contractele atribuite cu o valoare mai mare de 15 000 EUR, această valoare indicând pragul peste care organizarea unei proceduri de atribuire competitive devine obligatorie; constată că, dintr-un total de 192 de contracte atribuite în 2024, 95 s-au bazat pe proceduri deschise, cu o valoare de 814,2 milioane EUR, iar unul pe o procedură restrânsă, valoarea acestuia fiind de 208 000 EUR; constată că 81 de contracte au fost atribuite prin proceduri de negociere, valoarea lor însumând 173 de milioane EUR;</w:t>
      </w:r>
    </w:p>
    <w:p w14:paraId="4DEAE758" w14:textId="77777777" w:rsidR="007C42D1" w:rsidRPr="00421E20" w:rsidRDefault="007C42D1" w:rsidP="007C42D1">
      <w:pPr>
        <w:pStyle w:val="NormalHanging12a"/>
        <w:rPr>
          <w:bCs/>
          <w:iCs/>
        </w:rPr>
      </w:pPr>
      <w:r w:rsidRPr="00421E20">
        <w:t>135.</w:t>
      </w:r>
      <w:r w:rsidRPr="00421E20">
        <w:tab/>
        <w:t>consideră demnă de apreciat inițiativa Parlamentului de a publica contractele cu o valoare mai mare de 15 000 EUR; invită Parlamentul să dea dovadă de mai multă transparență în procedurile sale de achiziții publice, publicând inclusiv date structurate care pot fi citite automat ori de câte ori acest lucru este fezabil juridic și tehnic și integrând cerințe clare privind diligența necesară și mecanisme de asigurare a conformității în lanțurile sale de aprovizionare prin gestionarea contractelor;</w:t>
      </w:r>
    </w:p>
    <w:p w14:paraId="47B9EC61" w14:textId="77777777" w:rsidR="007C42D1" w:rsidRPr="00421E20" w:rsidRDefault="007C42D1" w:rsidP="007C42D1">
      <w:pPr>
        <w:spacing w:after="240"/>
        <w:ind w:left="567" w:hanging="567"/>
      </w:pPr>
      <w:r w:rsidRPr="00421E20">
        <w:t>136.</w:t>
      </w:r>
      <w:r w:rsidRPr="00421E20">
        <w:tab/>
        <w:t xml:space="preserve">constată că numărul total și valoarea contractelor atribuite a scăzut în 2024 (192) față de </w:t>
      </w:r>
      <w:r w:rsidRPr="00421E20">
        <w:rPr>
          <w14:textOutline w14:w="0" w14:cap="flat" w14:cmpd="sng" w14:algn="ctr">
            <w14:noFill/>
            <w14:prstDash w14:val="solid"/>
            <w14:bevel/>
          </w14:textOutline>
        </w:rPr>
        <w:t>2023</w:t>
      </w:r>
      <w:r w:rsidRPr="00421E20">
        <w:t xml:space="preserve"> (242); constată că, în consecință, numărul de proceduri deschise și de negociere și valoarea acestora sunt mai scăzute decât în 2023;</w:t>
      </w:r>
    </w:p>
    <w:p w14:paraId="42AE1975" w14:textId="77777777" w:rsidR="007C42D1" w:rsidRPr="00421E20" w:rsidRDefault="007C42D1" w:rsidP="007C42D1">
      <w:pPr>
        <w:spacing w:before="240" w:after="240"/>
        <w:jc w:val="both"/>
        <w:rPr>
          <w:b/>
          <w:bCs/>
          <w14:textOutline w14:w="0" w14:cap="flat" w14:cmpd="sng" w14:algn="ctr">
            <w14:noFill/>
            <w14:prstDash w14:val="solid"/>
            <w14:bevel/>
          </w14:textOutline>
        </w:rPr>
      </w:pPr>
      <w:bookmarkStart w:id="11" w:name="_Hlk216793763"/>
      <w:r w:rsidRPr="00421E20">
        <w:rPr>
          <w:b/>
          <w14:textOutline w14:w="0" w14:cap="flat" w14:cmpd="sng" w14:algn="ctr">
            <w14:noFill/>
            <w14:prstDash w14:val="solid"/>
            <w14:bevel/>
          </w14:textOutline>
        </w:rPr>
        <w:t>Grupuri politice (postul bugetar 400)</w:t>
      </w:r>
    </w:p>
    <w:p w14:paraId="2C137DA3" w14:textId="77777777" w:rsidR="007C42D1" w:rsidRPr="00421E20" w:rsidRDefault="007C42D1" w:rsidP="007C42D1">
      <w:pPr>
        <w:pStyle w:val="NormalHanging12a"/>
      </w:pPr>
      <w:r w:rsidRPr="00421E20">
        <w:t>137.</w:t>
      </w:r>
      <w:r w:rsidRPr="00421E20">
        <w:tab/>
        <w:t xml:space="preserve">ia act de faptul că 2024 a fost un an dificil pentru prezentarea cheltuielilor contabilizate la postul bugetar 400 din două motive, primul fiind că a fost un an electoral european, cheltuielile fiind împărțite între prima jumătate a anului 2024 (a noua legislatură) și a doua jumătate a anului 2024 (a zecea legislatură), precum și din cauză că conturile finale care au fost auditate pentru prima jumătate a anului 2024 ale unuia dintre grupurile politice (Grupul ID) conțineau nereguli grave; constată că, la audierea din 8 decembrie, vicepreședinții au mai indicat că s-au cerut informații suplimentare despre conturile aferente celui de-al doilea semestru al anului 2024, pe care Biroul încă le aștepta înainte de a lua o decizie privind informarea autorității care acordă descărcarea de gestiune; ia act de scrisoarea din 20 ianuarie 2026 a Secretarului General al Parlamentului adresată președintelui Comisiei pentru control bugetar, în care se prezintă rapoartele de audit pentru al doilea semestru din 2024 pentru șapte dintre cele opt grupuri politice; ia act de opinia fără rezerve pentru fiecare raport; observă că raportul Grupului </w:t>
      </w:r>
      <w:proofErr w:type="spellStart"/>
      <w:r w:rsidRPr="00421E20">
        <w:t>PfE</w:t>
      </w:r>
      <w:proofErr w:type="spellEnd"/>
      <w:r w:rsidRPr="00421E20">
        <w:t xml:space="preserve"> pentru a doua jumătate a anului 2024 lipsește încă din cauza discuțiilor în curs dintre acest grup politic și serviciile competente ale Parlamentului; invită atât Grupul </w:t>
      </w:r>
      <w:proofErr w:type="spellStart"/>
      <w:r w:rsidRPr="00421E20">
        <w:t>PfE</w:t>
      </w:r>
      <w:proofErr w:type="spellEnd"/>
      <w:r w:rsidRPr="00421E20">
        <w:t xml:space="preserve">, cât și serviciile competente ale Parlamentului să rezolve rapid problemele nesoluționate și să informeze autoritatea care acordă descărcarea de gestiune la ce </w:t>
      </w:r>
      <w:r w:rsidRPr="00421E20">
        <w:lastRenderedPageBreak/>
        <w:t>rezultat au ajuns;</w:t>
      </w:r>
    </w:p>
    <w:p w14:paraId="02C7B1C8" w14:textId="77777777" w:rsidR="007C42D1" w:rsidRPr="00421E20" w:rsidRDefault="007C42D1" w:rsidP="007C42D1">
      <w:pPr>
        <w:pStyle w:val="NormalHanging12a"/>
      </w:pPr>
      <w:r w:rsidRPr="00421E20">
        <w:t>138.</w:t>
      </w:r>
      <w:r w:rsidRPr="00421E20">
        <w:tab/>
        <w:t xml:space="preserve">remarcă relatările din mass-media care acuză Grupul </w:t>
      </w:r>
      <w:proofErr w:type="spellStart"/>
      <w:r w:rsidRPr="00421E20">
        <w:t>PfE</w:t>
      </w:r>
      <w:proofErr w:type="spellEnd"/>
      <w:r w:rsidRPr="00421E20">
        <w:t xml:space="preserve"> că ar fi utilizat abuziv fonduri în valoare de cel puțin 171 644 EUR în a doua jumătate a anului 2024; ia act de faptul că administrația Parlamentului a solicitat clarificări din partea Grupului </w:t>
      </w:r>
      <w:proofErr w:type="spellStart"/>
      <w:r w:rsidRPr="00421E20">
        <w:t>PfE</w:t>
      </w:r>
      <w:proofErr w:type="spellEnd"/>
      <w:r w:rsidRPr="00421E20">
        <w:t>; constată că autoritatea care acordă descărcarea de gestiune nu a fost încă informată dar se așteaptă să fie informată fără întârziere despre orice evoluție viitoare și despre cum se finalizează acțiunile administrative ulterioare;</w:t>
      </w:r>
    </w:p>
    <w:p w14:paraId="41FBF7C9" w14:textId="77777777" w:rsidR="007C42D1" w:rsidRPr="00421E20" w:rsidRDefault="007C42D1" w:rsidP="007C42D1">
      <w:pPr>
        <w:pStyle w:val="NormalHanging12a"/>
        <w:rPr>
          <w:bCs/>
          <w:iCs/>
        </w:rPr>
      </w:pPr>
      <w:r w:rsidRPr="00421E20">
        <w:t>139.</w:t>
      </w:r>
      <w:r w:rsidRPr="00421E20">
        <w:tab/>
        <w:t>află din relatările revistei germane de știri Stern că un membru al Grupului Europa Națiunilor Suverane (ESN) a găzduit un congres al grupului la care au participat membri ai personalului și de familie, fiind posibil ca unele costuri să fi fost puse pe cheltuiala bugetului Parlamentului la postul 400, și că în timpul acestui eveniment au fost colectate donații pentru o rețea de femei de extremă dreapta legată de membri de familie și ai personalului apropiați membrilor Grupului ESN; reamintește că cheltuielile de la postul bugetar 400 trebuie să se limiteze strict la activitățile parlamentare ale grupurilor politice și să respecte pe deplin normele aplicabile; îndeamnă DG FINS să investigheze cazul și să informeze fără întârziere autoritatea care acordă descărcarea de gestiune dacă se constată nereguli;</w:t>
      </w:r>
    </w:p>
    <w:p w14:paraId="7A5DA15A" w14:textId="77777777" w:rsidR="007C42D1" w:rsidRPr="00421E20" w:rsidRDefault="007C42D1" w:rsidP="007C42D1">
      <w:pPr>
        <w:pStyle w:val="NormalHanging12a"/>
      </w:pPr>
      <w:r w:rsidRPr="00421E20">
        <w:t>140.</w:t>
      </w:r>
      <w:r w:rsidRPr="00421E20">
        <w:tab/>
        <w:t>reamintește responsabilitatea financiară exclusivă încredințată grupurilor politice și angajamentul acestora de a asigura buna gestiune financiară, controale eficace și responsabilitatea deplină pentru fondurile publice; cere să se asigure mecanisme de supraveghere adecvate la DG FINS, punând la dispoziție mai multe resurse;</w:t>
      </w:r>
    </w:p>
    <w:p w14:paraId="7503E78A" w14:textId="77777777" w:rsidR="007C42D1" w:rsidRPr="00421E20" w:rsidRDefault="007C42D1" w:rsidP="007C42D1">
      <w:pPr>
        <w:spacing w:after="240"/>
        <w:rPr>
          <w:b/>
          <w:bCs/>
          <w:i/>
          <w:iCs/>
          <w14:textOutline w14:w="0" w14:cap="flat" w14:cmpd="sng" w14:algn="ctr">
            <w14:noFill/>
            <w14:prstDash w14:val="solid"/>
            <w14:bevel/>
          </w14:textOutline>
        </w:rPr>
      </w:pPr>
      <w:r w:rsidRPr="00421E20">
        <w:rPr>
          <w:b/>
          <w:i/>
          <w14:textOutline w14:w="0" w14:cap="flat" w14:cmpd="sng" w14:algn="ctr">
            <w14:noFill/>
            <w14:prstDash w14:val="solid"/>
            <w14:bevel/>
          </w14:textOutline>
        </w:rPr>
        <w:t>Partidele politice europene și fundațiile politice europene</w:t>
      </w:r>
    </w:p>
    <w:p w14:paraId="31D67E10" w14:textId="77777777" w:rsidR="007C42D1" w:rsidRPr="00421E20" w:rsidRDefault="007C42D1" w:rsidP="007C42D1">
      <w:pPr>
        <w:spacing w:after="240"/>
        <w:ind w:left="567" w:hanging="567"/>
        <w:rPr>
          <w:noProof/>
        </w:rPr>
      </w:pPr>
      <w:r w:rsidRPr="00421E20">
        <w:t>141.</w:t>
      </w:r>
      <w:r w:rsidRPr="00421E20">
        <w:tab/>
        <w:t>subliniază că menținerea integrității democratice și crearea unui mediu corect pentru partidele politice europene și fundațiile politice europene sunt esențiale pentru funcționarea eficace și credibilitatea Uniunii; remarcă faptul că Autoritatea pentru partidele politice europene și fundațiile politice europene (denumită în continuare „Autoritatea”), un organism independent al Uniunii, a fost implicată activ în acest demers de la înființarea sa la 1 septembrie 2016 și de la 1 ianuarie 2017, când a devenit pe deplin operațională; remarcă faptul că Autoritatea este însărcinată de legiuitorul Uniunii să înregistreze partidele politice europene și fundațiile politice europene, să monitorizeze respectarea regulilor de către acestea și, dacă este necesar, să le sancționeze;</w:t>
      </w:r>
    </w:p>
    <w:p w14:paraId="0CAEF911" w14:textId="77777777" w:rsidR="007C42D1" w:rsidRPr="00421E20" w:rsidRDefault="007C42D1" w:rsidP="007C42D1">
      <w:pPr>
        <w:spacing w:after="240"/>
        <w:ind w:left="567" w:hanging="567"/>
      </w:pPr>
      <w:r w:rsidRPr="00421E20">
        <w:t>142.</w:t>
      </w:r>
      <w:r w:rsidRPr="00421E20">
        <w:tab/>
        <w:t xml:space="preserve">ia act cu satisfacție de faptul că Autoritatea a desfășurat o activitate </w:t>
      </w:r>
      <w:proofErr w:type="spellStart"/>
      <w:r w:rsidRPr="00421E20">
        <w:t>proactivă</w:t>
      </w:r>
      <w:proofErr w:type="spellEnd"/>
      <w:r w:rsidRPr="00421E20">
        <w:t xml:space="preserve"> de sensibilizare și comunicare cu o rețea de organisme și instituții relevante pentru apărarea comună a democrației europene; subliniază că, în special, Autoritatea a colaborat cu Parlamentul, care asigură secretariatul Comitetului de personalități eminente independente, pentru a maximiza eficiența procedurală; ia act de faptul că cooperarea privind aspectele operaționale a fost, de asemenea, consolidată cu mai multe părți interesate din Uniune, inclusiv cu Serviciul European de Acțiune Externă și cu Comitetul european pentru protecția datelor; ia act de faptul că Autoritatea și-a consolidat cooperarea cu Europol prin semnarea unui memorandum de înțelegere privind schimbul de informații strategice referitoare la ingerințele ilegale facilitate prin mijloace informatice în democrația Uniunii;</w:t>
      </w:r>
    </w:p>
    <w:p w14:paraId="2F95BF11" w14:textId="77777777" w:rsidR="007C42D1" w:rsidRPr="00421E20" w:rsidRDefault="007C42D1" w:rsidP="007C42D1">
      <w:pPr>
        <w:spacing w:after="240"/>
        <w:ind w:left="567" w:hanging="567"/>
      </w:pPr>
      <w:r w:rsidRPr="00421E20">
        <w:t>143.</w:t>
      </w:r>
      <w:r w:rsidRPr="00421E20">
        <w:tab/>
        <w:t xml:space="preserve">ia act de faptul că, în 2024, Autoritatea a emis mai multe recomandări preventive privind conformitatea adresate partidelor și fundațiilor politice europene pentru a aborda </w:t>
      </w:r>
      <w:r w:rsidRPr="00421E20">
        <w:lastRenderedPageBreak/>
        <w:t>riscurile la adresa conformității înainte ca acestea să se materializeze, în special pentru a-și îmbunătăți procesele interne în domeniul donațiilor, contribuțiilor și al activităților pe care intenționează să le organizeze; salută faptul că Autoritatea a oferit, la cerere, și orientări în 11 cazuri;</w:t>
      </w:r>
    </w:p>
    <w:p w14:paraId="1ECFCA5E" w14:textId="77777777" w:rsidR="007C42D1" w:rsidRPr="00421E20" w:rsidRDefault="007C42D1" w:rsidP="007C42D1">
      <w:pPr>
        <w:spacing w:after="240"/>
        <w:ind w:left="567" w:hanging="567"/>
      </w:pPr>
      <w:r w:rsidRPr="00421E20">
        <w:t>144.</w:t>
      </w:r>
      <w:r w:rsidRPr="00421E20">
        <w:tab/>
        <w:t>ia act de faptul că, în opt cazuri, Autoritatea a oferit partidelor politice europene și fundațiilor politice europene posibilitatea de a lua măsuri corective legate de controalele de conformitate financiară privind donațiile interzise și cazurile de finanțare a altor entități în contextul unor activități comune; salută faptul că Autoritatea continuă să monitorizeze dacă măsurile corective cu efecte pe termen lung asigură conformitatea susținută în domeniile vizate; ia act de faptul că Autoritatea a adoptat o decizie de sancționare în cursul anului 2024;</w:t>
      </w:r>
    </w:p>
    <w:p w14:paraId="24932DCD" w14:textId="77777777" w:rsidR="007C42D1" w:rsidRPr="00421E20" w:rsidRDefault="007C42D1" w:rsidP="007C42D1">
      <w:pPr>
        <w:spacing w:after="240"/>
        <w:ind w:left="567" w:hanging="567"/>
      </w:pPr>
      <w:r w:rsidRPr="00421E20">
        <w:t>145.</w:t>
      </w:r>
      <w:r w:rsidRPr="00421E20">
        <w:tab/>
        <w:t>salută faptul că Autoritatea a continuat, de asemenea, să publice pe site-ul său orientări detaliate referitoare la domeniile de risc cele mai des identificate și la structurile potențial problematice din guvernanța partidelor politice europene și a fundațiilor politice europene; salută faptul că a comunicat, de asemenea, constatările și orientările sale de interes general tuturor partidelor politice europene și fundațiilor politice europene;</w:t>
      </w:r>
    </w:p>
    <w:p w14:paraId="3D50C70C" w14:textId="77777777" w:rsidR="007C42D1" w:rsidRPr="00421E20" w:rsidRDefault="007C42D1" w:rsidP="007C42D1">
      <w:pPr>
        <w:spacing w:after="240"/>
        <w:ind w:left="567" w:hanging="567"/>
      </w:pPr>
      <w:r w:rsidRPr="00421E20">
        <w:t>146.</w:t>
      </w:r>
      <w:r w:rsidRPr="00421E20">
        <w:tab/>
        <w:t>salută publicarea Regulamentului (UE, Euratom) 2025/2445 al Parlamentului European și al Consiliului</w:t>
      </w:r>
      <w:r w:rsidRPr="00421E20">
        <w:rPr>
          <w:rStyle w:val="FootnoteReference"/>
        </w:rPr>
        <w:footnoteReference w:id="12"/>
      </w:r>
      <w:r w:rsidRPr="00421E20">
        <w:t>, care introduce noi cerințe pentru partidele politice europene și fundațiile politice europene, cu scopul de a consolida integritatea democratică și reziliența; subliniază, în special, că partidele politice europene trebuie să asigure acum și respectarea de către partidele lor membre, iar fundațiile politice europene de către organizațiile lor membre, a valorilor pe care se întemeiază Uniunea, astfel cum sunt consacrate la articolul 2 din TUE; constată, de asemenea, că au fost consolidate garanțiile împotriva ingerințelor străine și că sistemul revizuit de sancțiuni prevede ca sancțiunile pentru încălcări cuantificabile – cum ar fi încălcarea normelor privind donațiile sau a interdicției de a furniza finanțare partidelor naționale – să fie impuse fără a oferi posibilitatea unor măsuri corective; ia act cu satisfacție, în acest context, de orientările preventive cuprinzătoare oferite de Autoritate în planul său de acțiune pentru conformitatea cu reglementările („R-CAP”), astfel încât să se faciliteze punerea în aplicare lină și eficace;</w:t>
      </w:r>
      <w:r w:rsidRPr="00421E20">
        <w:rPr>
          <w:b/>
          <w:u w:val="single"/>
        </w:rPr>
        <w:t xml:space="preserve"> </w:t>
      </w:r>
      <w:r w:rsidRPr="00421E20">
        <w:t>încurajează decizia de a introduce verificări ale eligibilității și în cadrul organizațiilor membre, pentru a asigura coerența deplină și a organizațiilor membre cu valorile prevăzute la articolul 2 din TUE și pentru a susține integritatea democratică în finanțarea de către Parlament a partidelor politice europene;</w:t>
      </w:r>
    </w:p>
    <w:p w14:paraId="5EF0EC54" w14:textId="77777777" w:rsidR="007C42D1" w:rsidRPr="00421E20" w:rsidRDefault="007C42D1" w:rsidP="007C42D1">
      <w:pPr>
        <w:spacing w:after="240"/>
        <w:ind w:left="567" w:hanging="567"/>
      </w:pPr>
      <w:r w:rsidRPr="00421E20">
        <w:t>147.</w:t>
      </w:r>
      <w:r w:rsidRPr="00421E20">
        <w:tab/>
        <w:t>ia act de faptul că Autoritatea poate iniția o verificare a respectării valorilor pe care se întemeiază Uniunea numai la cererea Parlamentului, a Consiliului sau a Comisiei;</w:t>
      </w:r>
    </w:p>
    <w:p w14:paraId="5BA72B9B" w14:textId="77777777" w:rsidR="007C42D1" w:rsidRPr="00421E20" w:rsidRDefault="007C42D1" w:rsidP="007C42D1">
      <w:pPr>
        <w:spacing w:after="240"/>
        <w:ind w:left="567" w:hanging="567"/>
        <w:rPr>
          <w:u w:val="single"/>
        </w:rPr>
      </w:pPr>
      <w:r w:rsidRPr="00421E20">
        <w:t>148.</w:t>
      </w:r>
      <w:r w:rsidRPr="00421E20">
        <w:tab/>
        <w:t>subliniază că, având în vedere domeniul de aplicare extins al procedurii de verificare a valorilor, care acum se aplică și partidelor membre și organizațiilor membre, precum și alte noutăți din Regulamentul (UE, Euratom) 2025/2445, inclusiv actualizările binevenite pentru protecția democrației europene împotriva ingerințelor străine, este esențial să se consolideze în mod corespunzător resursele umane ale Autorității;</w:t>
      </w:r>
    </w:p>
    <w:bookmarkEnd w:id="11"/>
    <w:p w14:paraId="3740B206" w14:textId="77777777" w:rsidR="007C42D1" w:rsidRPr="00421E20" w:rsidRDefault="007C42D1" w:rsidP="007C42D1">
      <w:pPr>
        <w:spacing w:after="240"/>
        <w:ind w:left="567" w:hanging="567"/>
      </w:pPr>
      <w:r w:rsidRPr="00421E20">
        <w:rPr>
          <w14:textOutline w14:w="0" w14:cap="flat" w14:cmpd="sng" w14:algn="ctr">
            <w14:noFill/>
            <w14:prstDash w14:val="solid"/>
            <w14:bevel/>
          </w14:textOutline>
        </w:rPr>
        <w:lastRenderedPageBreak/>
        <w:t>149</w:t>
      </w:r>
      <w:r w:rsidRPr="00421E20">
        <w:t>.</w:t>
      </w:r>
      <w:r w:rsidRPr="00421E20">
        <w:rPr>
          <w14:textOutline w14:w="0" w14:cap="flat" w14:cmpd="sng" w14:algn="ctr">
            <w14:noFill/>
            <w14:prstDash w14:val="solid"/>
            <w14:bevel/>
          </w14:textOutline>
        </w:rPr>
        <w:tab/>
        <w:t>constată că, în 2024, creditele înscrise la postul bugetar 402 au fost utilizate după cum urmează</w:t>
      </w:r>
      <w:r w:rsidRPr="00421E20">
        <w:rPr>
          <w:rStyle w:val="FootnoteReference"/>
        </w:rPr>
        <w:footnoteReference w:id="13"/>
      </w:r>
      <w:r w:rsidRPr="00421E20">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7C42D1" w:rsidRPr="00421E20" w14:paraId="46BBA601" w14:textId="77777777" w:rsidTr="00F44590">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7FA6C6B"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Partid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D1E0F59"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Abreviere</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53FB84D"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Resurse proprii</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88E3C42"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Contribuția finală a PE</w:t>
            </w:r>
            <w:r w:rsidRPr="00421E20">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3AAAB76"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Total venituri</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5808E88"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Contribuția PE ca % din cheltuielile rambursabile (max.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1FE8C7E2"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Rezerva specifică după 2024</w:t>
            </w:r>
          </w:p>
          <w:p w14:paraId="4048DFB9"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de închidere</w:t>
            </w:r>
            <w:r w:rsidRPr="00421E20">
              <w:rPr>
                <w:rStyle w:val="FootnoteReference"/>
                <w:sz w:val="20"/>
              </w:rPr>
              <w:footnoteReference w:id="15"/>
            </w:r>
          </w:p>
        </w:tc>
      </w:tr>
      <w:tr w:rsidR="007C42D1" w:rsidRPr="00421E20" w14:paraId="141574E9" w14:textId="77777777" w:rsidTr="00F44590">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27DC607D"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Partidul Popular European</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C6E5302"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734506"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2BD417"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74592F"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8E5051"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0AC1102"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261 623</w:t>
            </w:r>
          </w:p>
        </w:tc>
      </w:tr>
      <w:tr w:rsidR="007C42D1" w:rsidRPr="00421E20" w14:paraId="7221888A" w14:textId="77777777" w:rsidTr="00F44590">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632D9CD"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Partidul Socialist European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7DA4811"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C0B8FAA"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933E47"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C91B9D"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F350636"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03C3DF5"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987 745</w:t>
            </w:r>
          </w:p>
        </w:tc>
      </w:tr>
      <w:tr w:rsidR="007C42D1" w:rsidRPr="00421E20" w14:paraId="4F603E4C" w14:textId="77777777" w:rsidTr="00F44590">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B7FFA3E"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Alianța Liberalilor și Democraților pentru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AFC369"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E87766"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395F3E"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07A989"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FFC8B6"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4C39CB9"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414 768</w:t>
            </w:r>
          </w:p>
        </w:tc>
      </w:tr>
      <w:tr w:rsidR="007C42D1" w:rsidRPr="00421E20" w14:paraId="6BE24B15" w14:textId="77777777" w:rsidTr="00F44590">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A42C253"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Partidul Verde European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E25C664"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PVE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38B4CE"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7D31CD"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EC8621"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E24ED2"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1F695ED"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993 646</w:t>
            </w:r>
          </w:p>
        </w:tc>
      </w:tr>
      <w:tr w:rsidR="007C42D1" w:rsidRPr="00421E20" w14:paraId="2A6DF09F" w14:textId="77777777" w:rsidTr="00F44590">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367685A"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Partidul Conservatorilor și Reformiștilor Europeni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11B420E"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Partidul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C1C224"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D41BB9D"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C75C64"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30209A"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55F773B"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-273 939</w:t>
            </w:r>
          </w:p>
        </w:tc>
      </w:tr>
      <w:tr w:rsidR="007C42D1" w:rsidRPr="00421E20" w14:paraId="0D2B2B77" w14:textId="77777777" w:rsidTr="00F44590">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6B4C399"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Partidul Identitate și Democrație</w:t>
            </w:r>
            <w:r w:rsidRPr="00421E20">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C0BB7E"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Partidul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E5B4BA"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A532966"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680220"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2657D2"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203F718"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22 063</w:t>
            </w:r>
          </w:p>
        </w:tc>
      </w:tr>
      <w:tr w:rsidR="007C42D1" w:rsidRPr="00421E20" w14:paraId="2230F105" w14:textId="77777777" w:rsidTr="00F44590">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C2F1C3E"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Partidul Stângii Europene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5B5036"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2111B7"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B17B1C"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CCD503"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14A6E3"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A53214A"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-42 833</w:t>
            </w:r>
          </w:p>
        </w:tc>
      </w:tr>
      <w:tr w:rsidR="007C42D1" w:rsidRPr="00421E20" w14:paraId="73AFBCBF" w14:textId="77777777" w:rsidTr="00F44590">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A9B1E30"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Partidul Democrat European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E1FB51"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733122"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930D5F8"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18D6528"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86E961B"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5817D46"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154 132</w:t>
            </w:r>
          </w:p>
        </w:tc>
      </w:tr>
      <w:tr w:rsidR="007C42D1" w:rsidRPr="00421E20" w14:paraId="5B4EF44F" w14:textId="77777777" w:rsidTr="00F44590">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37E8CED1"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Alianța Liberă Europeană</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9530343"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B10B4B"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0AE9BB"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4B56839"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6C4E60"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C079E41"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-7 391</w:t>
            </w:r>
          </w:p>
        </w:tc>
      </w:tr>
      <w:tr w:rsidR="007C42D1" w:rsidRPr="00421E20" w14:paraId="5606C9F3" w14:textId="77777777" w:rsidTr="00F44590">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7EFF6C96"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Mișcarea Politică Creștină Europeană</w:t>
            </w:r>
            <w:r w:rsidRPr="00421E20">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7F5BA4B"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MPCE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F89635"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A72342"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0050B4"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24C5EF"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6CA32AC"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rPr>
              <w:t>-59 624</w:t>
            </w:r>
          </w:p>
        </w:tc>
      </w:tr>
      <w:tr w:rsidR="007C42D1" w:rsidRPr="00421E20" w14:paraId="2D108DB6" w14:textId="77777777" w:rsidTr="00F44590">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D7E4478"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b/>
                <w:sz w:val="20"/>
                <w14:textOutline w14:w="0" w14:cap="flat" w14:cmpd="sng" w14:algn="ctr">
                  <w14:noFill/>
                  <w14:prstDash w14:val="solid"/>
                  <w14:bevel/>
                </w14:textOutline>
              </w:rPr>
              <w:t>TOTAL</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0159D96" w14:textId="77777777" w:rsidR="007C42D1" w:rsidRPr="00421E20" w:rsidRDefault="007C42D1" w:rsidP="00F44590">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684B7635" w14:textId="77777777" w:rsidR="007C42D1" w:rsidRPr="00421E20" w:rsidRDefault="007C42D1" w:rsidP="00F44590">
            <w:pPr>
              <w:jc w:val="center"/>
              <w:rPr>
                <w:b/>
                <w:bCs/>
                <w:sz w:val="22"/>
                <w:szCs w:val="22"/>
              </w:rPr>
            </w:pPr>
            <w:r w:rsidRPr="00421E20">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3202AC9E" w14:textId="77777777" w:rsidR="007C42D1" w:rsidRPr="00421E20" w:rsidRDefault="007C42D1" w:rsidP="00F44590">
            <w:pPr>
              <w:jc w:val="center"/>
              <w:rPr>
                <w:b/>
                <w:bCs/>
                <w:sz w:val="22"/>
                <w:szCs w:val="22"/>
              </w:rPr>
            </w:pPr>
            <w:r w:rsidRPr="00421E20">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BA4E950" w14:textId="77777777" w:rsidR="007C42D1" w:rsidRPr="00421E20" w:rsidRDefault="007C42D1" w:rsidP="00F44590">
            <w:pPr>
              <w:jc w:val="center"/>
              <w:rPr>
                <w:b/>
                <w:bCs/>
                <w:sz w:val="22"/>
                <w:szCs w:val="22"/>
              </w:rPr>
            </w:pPr>
            <w:r w:rsidRPr="00421E20">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70977993" w14:textId="77777777" w:rsidR="007C42D1" w:rsidRPr="00421E20" w:rsidRDefault="007C42D1" w:rsidP="00F44590">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7E200298" w14:textId="77777777" w:rsidR="007C42D1" w:rsidRPr="00421E20" w:rsidRDefault="007C42D1" w:rsidP="00F44590">
            <w:pPr>
              <w:jc w:val="center"/>
              <w:rPr>
                <w:b/>
              </w:rPr>
            </w:pPr>
            <w:r w:rsidRPr="00421E20">
              <w:rPr>
                <w:b/>
                <w:sz w:val="20"/>
              </w:rPr>
              <w:t>2 450 191</w:t>
            </w:r>
          </w:p>
        </w:tc>
      </w:tr>
    </w:tbl>
    <w:p w14:paraId="6F1948C5" w14:textId="77777777" w:rsidR="007C42D1" w:rsidRPr="00421E20" w:rsidRDefault="007C42D1" w:rsidP="007C42D1">
      <w:pPr>
        <w:rPr>
          <w:noProof/>
        </w:rPr>
      </w:pPr>
    </w:p>
    <w:p w14:paraId="38099C9C" w14:textId="77777777" w:rsidR="007C42D1" w:rsidRPr="00421E20" w:rsidRDefault="007C42D1" w:rsidP="007C42D1">
      <w:pPr>
        <w:spacing w:after="240"/>
        <w:ind w:left="567" w:hanging="567"/>
        <w:rPr>
          <w:szCs w:val="24"/>
          <w14:textOutline w14:w="0" w14:cap="flat" w14:cmpd="sng" w14:algn="ctr">
            <w14:noFill/>
            <w14:prstDash w14:val="solid"/>
            <w14:bevel/>
          </w14:textOutline>
        </w:rPr>
      </w:pPr>
      <w:r w:rsidRPr="00421E20">
        <w:rPr>
          <w14:textOutline w14:w="0" w14:cap="flat" w14:cmpd="sng" w14:algn="ctr">
            <w14:noFill/>
            <w14:prstDash w14:val="solid"/>
            <w14:bevel/>
          </w14:textOutline>
        </w:rPr>
        <w:t>150</w:t>
      </w:r>
      <w:r w:rsidRPr="00421E20">
        <w:t>.</w:t>
      </w:r>
      <w:r w:rsidRPr="00421E20">
        <w:rPr>
          <w14:textOutline w14:w="0" w14:cap="flat" w14:cmpd="sng" w14:algn="ctr">
            <w14:noFill/>
            <w14:prstDash w14:val="solid"/>
            <w14:bevel/>
          </w14:textOutline>
        </w:rPr>
        <w:tab/>
        <w:t>constată că, în 2024, creditele înscrise la postul bugetar 403 au fost utilizate după cum urmează</w:t>
      </w:r>
      <w:r w:rsidRPr="00421E20">
        <w:rPr>
          <w:rStyle w:val="FootnoteReference"/>
        </w:rPr>
        <w:footnoteReference w:id="18"/>
      </w:r>
      <w:r w:rsidRPr="00421E20">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7C42D1" w:rsidRPr="00421E20" w14:paraId="45EF618D" w14:textId="77777777" w:rsidTr="00F44590">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3C9EE00"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lastRenderedPageBreak/>
              <w:t>Fundație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4BC7454"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Abreviere</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CC79DCB"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Afiliată partidului</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0FD686F"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Resurse proprii</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49C558C"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Cuantumul final al subvenției PE</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C8AB300"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Total venituri</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001EA5B"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Subvenția PE ca % din costurile eligibile (max. 95 %)</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5488795A"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rPr>
                <w:sz w:val="20"/>
                <w14:textOutline w14:w="0" w14:cap="flat" w14:cmpd="sng" w14:algn="ctr">
                  <w14:noFill/>
                  <w14:prstDash w14:val="solid"/>
                  <w14:bevel/>
                </w14:textOutline>
              </w:rPr>
              <w:t>Rezerva specifică după 2024</w:t>
            </w:r>
          </w:p>
          <w:p w14:paraId="12A458CD" w14:textId="77777777" w:rsidR="007C42D1" w:rsidRPr="00421E20" w:rsidRDefault="007C42D1" w:rsidP="00F44590">
            <w:pPr>
              <w:widowControl/>
              <w:jc w:val="center"/>
              <w:rPr>
                <w:szCs w:val="24"/>
                <w14:textOutline w14:w="0" w14:cap="flat" w14:cmpd="sng" w14:algn="ctr">
                  <w14:noFill/>
                  <w14:prstDash w14:val="solid"/>
                  <w14:bevel/>
                </w14:textOutline>
              </w:rPr>
            </w:pPr>
            <w:r w:rsidRPr="00421E20">
              <w:rPr>
                <w:sz w:val="20"/>
                <w14:textOutline w14:w="0" w14:cap="flat" w14:cmpd="sng" w14:algn="ctr">
                  <w14:noFill/>
                  <w14:prstDash w14:val="solid"/>
                  <w14:bevel/>
                </w14:textOutline>
              </w:rPr>
              <w:t>de închidere</w:t>
            </w:r>
            <w:r w:rsidRPr="00421E20">
              <w:rPr>
                <w:rStyle w:val="FootnoteReference"/>
                <w:sz w:val="20"/>
              </w:rPr>
              <w:footnoteReference w:id="19"/>
            </w:r>
          </w:p>
        </w:tc>
      </w:tr>
      <w:tr w:rsidR="007C42D1" w:rsidRPr="00421E20" w14:paraId="4D70E590" w14:textId="77777777" w:rsidTr="00F44590">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B7E3717"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t>Centrul pentru Studii Europene „Wilfried Martens”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414312B" w14:textId="77777777" w:rsidR="007C42D1" w:rsidRPr="00421E20" w:rsidRDefault="007C42D1" w:rsidP="00F44590">
            <w:pPr>
              <w:jc w:val="center"/>
              <w:rPr>
                <w:sz w:val="20"/>
              </w:rPr>
            </w:pPr>
            <w:r w:rsidRPr="00421E20">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5AF00DC" w14:textId="77777777" w:rsidR="007C42D1" w:rsidRPr="00421E20" w:rsidRDefault="007C42D1" w:rsidP="00F44590">
            <w:pPr>
              <w:jc w:val="center"/>
              <w:rPr>
                <w:sz w:val="20"/>
              </w:rPr>
            </w:pPr>
            <w:r w:rsidRPr="00421E20">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C0C146" w14:textId="77777777" w:rsidR="007C42D1" w:rsidRPr="00421E20" w:rsidRDefault="007C42D1" w:rsidP="00F44590">
            <w:pPr>
              <w:jc w:val="center"/>
              <w:rPr>
                <w:sz w:val="20"/>
              </w:rPr>
            </w:pPr>
            <w:r w:rsidRPr="00421E20">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EC393F6" w14:textId="77777777" w:rsidR="007C42D1" w:rsidRPr="00421E20" w:rsidRDefault="007C42D1" w:rsidP="00F44590">
            <w:pPr>
              <w:jc w:val="center"/>
              <w:rPr>
                <w:sz w:val="20"/>
              </w:rPr>
            </w:pPr>
            <w:r w:rsidRPr="00421E20">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010362F" w14:textId="77777777" w:rsidR="007C42D1" w:rsidRPr="00421E20" w:rsidRDefault="007C42D1" w:rsidP="00F44590">
            <w:pPr>
              <w:jc w:val="center"/>
              <w:rPr>
                <w:sz w:val="20"/>
              </w:rPr>
            </w:pPr>
            <w:r w:rsidRPr="00421E20">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8FB7F9D" w14:textId="77777777" w:rsidR="007C42D1" w:rsidRPr="00421E20" w:rsidRDefault="007C42D1" w:rsidP="00F44590">
            <w:pPr>
              <w:jc w:val="center"/>
              <w:rPr>
                <w:sz w:val="20"/>
              </w:rPr>
            </w:pPr>
            <w:r w:rsidRPr="00421E20">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35BA25E" w14:textId="77777777" w:rsidR="007C42D1" w:rsidRPr="00421E20" w:rsidRDefault="007C42D1" w:rsidP="00F44590">
            <w:pPr>
              <w:jc w:val="center"/>
              <w:rPr>
                <w:sz w:val="20"/>
              </w:rPr>
            </w:pPr>
            <w:r w:rsidRPr="00421E20">
              <w:rPr>
                <w:sz w:val="20"/>
              </w:rPr>
              <w:t>1 320 717</w:t>
            </w:r>
          </w:p>
        </w:tc>
      </w:tr>
      <w:tr w:rsidR="007C42D1" w:rsidRPr="00421E20" w14:paraId="5A55B03F" w14:textId="77777777" w:rsidTr="00F44590">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F2390FD"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t>Fundația pentru Studii Progresive Europene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27E2549" w14:textId="77777777" w:rsidR="007C42D1" w:rsidRPr="00421E20" w:rsidRDefault="007C42D1" w:rsidP="00F44590">
            <w:pPr>
              <w:jc w:val="center"/>
              <w:rPr>
                <w:sz w:val="20"/>
              </w:rPr>
            </w:pPr>
            <w:r w:rsidRPr="00421E20">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C69203D" w14:textId="77777777" w:rsidR="007C42D1" w:rsidRPr="00421E20" w:rsidRDefault="007C42D1" w:rsidP="00F44590">
            <w:pPr>
              <w:jc w:val="center"/>
              <w:rPr>
                <w:sz w:val="20"/>
              </w:rPr>
            </w:pPr>
            <w:r w:rsidRPr="00421E20">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0678E9" w14:textId="77777777" w:rsidR="007C42D1" w:rsidRPr="00421E20" w:rsidRDefault="007C42D1" w:rsidP="00F44590">
            <w:pPr>
              <w:jc w:val="center"/>
              <w:rPr>
                <w:sz w:val="20"/>
              </w:rPr>
            </w:pPr>
            <w:r w:rsidRPr="00421E20">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B5957B0" w14:textId="77777777" w:rsidR="007C42D1" w:rsidRPr="00421E20" w:rsidRDefault="007C42D1" w:rsidP="00F44590">
            <w:pPr>
              <w:jc w:val="center"/>
              <w:rPr>
                <w:sz w:val="20"/>
              </w:rPr>
            </w:pPr>
            <w:r w:rsidRPr="00421E20">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D85DAFE" w14:textId="77777777" w:rsidR="007C42D1" w:rsidRPr="00421E20" w:rsidRDefault="007C42D1" w:rsidP="00F44590">
            <w:pPr>
              <w:jc w:val="center"/>
              <w:rPr>
                <w:sz w:val="20"/>
              </w:rPr>
            </w:pPr>
            <w:r w:rsidRPr="00421E20">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32F3D61" w14:textId="77777777" w:rsidR="007C42D1" w:rsidRPr="00421E20" w:rsidRDefault="007C42D1" w:rsidP="00F44590">
            <w:pPr>
              <w:jc w:val="center"/>
              <w:rPr>
                <w:sz w:val="20"/>
              </w:rPr>
            </w:pPr>
            <w:r w:rsidRPr="00421E20">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6529CC9" w14:textId="77777777" w:rsidR="007C42D1" w:rsidRPr="00421E20" w:rsidRDefault="007C42D1" w:rsidP="00F44590">
            <w:pPr>
              <w:jc w:val="center"/>
              <w:rPr>
                <w:sz w:val="20"/>
              </w:rPr>
            </w:pPr>
            <w:r w:rsidRPr="00421E20">
              <w:rPr>
                <w:sz w:val="20"/>
              </w:rPr>
              <w:t>251 466</w:t>
            </w:r>
          </w:p>
        </w:tc>
      </w:tr>
      <w:tr w:rsidR="007C42D1" w:rsidRPr="00421E20" w14:paraId="4071125C" w14:textId="77777777" w:rsidTr="00F44590">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4574A03"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t>Forumul Liberal European</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BF28DC" w14:textId="77777777" w:rsidR="007C42D1" w:rsidRPr="00421E20" w:rsidRDefault="007C42D1" w:rsidP="00F44590">
            <w:pPr>
              <w:jc w:val="center"/>
              <w:rPr>
                <w:sz w:val="20"/>
              </w:rPr>
            </w:pPr>
            <w:r w:rsidRPr="00421E20">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78F5C9C" w14:textId="77777777" w:rsidR="007C42D1" w:rsidRPr="00421E20" w:rsidRDefault="007C42D1" w:rsidP="00F44590">
            <w:pPr>
              <w:jc w:val="center"/>
              <w:rPr>
                <w:sz w:val="20"/>
              </w:rPr>
            </w:pPr>
            <w:r w:rsidRPr="00421E20">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1E09A98" w14:textId="77777777" w:rsidR="007C42D1" w:rsidRPr="00421E20" w:rsidRDefault="007C42D1" w:rsidP="00F44590">
            <w:pPr>
              <w:jc w:val="center"/>
              <w:rPr>
                <w:sz w:val="20"/>
              </w:rPr>
            </w:pPr>
            <w:r w:rsidRPr="00421E20">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097B5D3" w14:textId="77777777" w:rsidR="007C42D1" w:rsidRPr="00421E20" w:rsidRDefault="007C42D1" w:rsidP="00F44590">
            <w:pPr>
              <w:jc w:val="center"/>
              <w:rPr>
                <w:sz w:val="20"/>
              </w:rPr>
            </w:pPr>
            <w:r w:rsidRPr="00421E20">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7273C30" w14:textId="77777777" w:rsidR="007C42D1" w:rsidRPr="00421E20" w:rsidRDefault="007C42D1" w:rsidP="00F44590">
            <w:pPr>
              <w:jc w:val="center"/>
              <w:rPr>
                <w:sz w:val="20"/>
              </w:rPr>
            </w:pPr>
            <w:r w:rsidRPr="00421E20">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73CE3CA" w14:textId="77777777" w:rsidR="007C42D1" w:rsidRPr="00421E20" w:rsidRDefault="007C42D1" w:rsidP="00F44590">
            <w:pPr>
              <w:jc w:val="center"/>
              <w:rPr>
                <w:sz w:val="20"/>
              </w:rPr>
            </w:pPr>
            <w:r w:rsidRPr="00421E20">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5FB9ADF" w14:textId="77777777" w:rsidR="007C42D1" w:rsidRPr="00421E20" w:rsidRDefault="007C42D1" w:rsidP="00F44590">
            <w:pPr>
              <w:jc w:val="center"/>
              <w:rPr>
                <w:sz w:val="20"/>
              </w:rPr>
            </w:pPr>
            <w:r w:rsidRPr="00421E20">
              <w:rPr>
                <w:sz w:val="20"/>
              </w:rPr>
              <w:t>638 880</w:t>
            </w:r>
          </w:p>
        </w:tc>
      </w:tr>
      <w:tr w:rsidR="007C42D1" w:rsidRPr="00421E20" w14:paraId="781F943E" w14:textId="77777777" w:rsidTr="00F44590">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CDA39D9"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t>Fundația Ecologistă Europeană</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EA1F48" w14:textId="77777777" w:rsidR="007C42D1" w:rsidRPr="00421E20" w:rsidRDefault="007C42D1" w:rsidP="00F44590">
            <w:pPr>
              <w:jc w:val="center"/>
              <w:rPr>
                <w:sz w:val="20"/>
              </w:rPr>
            </w:pPr>
            <w:r w:rsidRPr="00421E20">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2BF0B1D" w14:textId="77777777" w:rsidR="007C42D1" w:rsidRPr="00421E20" w:rsidRDefault="007C42D1" w:rsidP="00F44590">
            <w:pPr>
              <w:jc w:val="center"/>
              <w:rPr>
                <w:sz w:val="20"/>
              </w:rPr>
            </w:pPr>
            <w:r w:rsidRPr="00421E20">
              <w:rPr>
                <w:sz w:val="20"/>
              </w:rPr>
              <w:t>PVE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1A180C" w14:textId="77777777" w:rsidR="007C42D1" w:rsidRPr="00421E20" w:rsidRDefault="007C42D1" w:rsidP="00F44590">
            <w:pPr>
              <w:jc w:val="center"/>
              <w:rPr>
                <w:sz w:val="20"/>
              </w:rPr>
            </w:pPr>
            <w:r w:rsidRPr="00421E20">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2196D43" w14:textId="77777777" w:rsidR="007C42D1" w:rsidRPr="00421E20" w:rsidRDefault="007C42D1" w:rsidP="00F44590">
            <w:pPr>
              <w:jc w:val="center"/>
              <w:rPr>
                <w:sz w:val="20"/>
              </w:rPr>
            </w:pPr>
            <w:r w:rsidRPr="00421E20">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4816234" w14:textId="77777777" w:rsidR="007C42D1" w:rsidRPr="00421E20" w:rsidRDefault="007C42D1" w:rsidP="00F44590">
            <w:pPr>
              <w:jc w:val="center"/>
              <w:rPr>
                <w:sz w:val="20"/>
              </w:rPr>
            </w:pPr>
            <w:r w:rsidRPr="00421E20">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A14DF1" w14:textId="77777777" w:rsidR="007C42D1" w:rsidRPr="00421E20" w:rsidRDefault="007C42D1" w:rsidP="00F44590">
            <w:pPr>
              <w:jc w:val="center"/>
              <w:rPr>
                <w:sz w:val="20"/>
              </w:rPr>
            </w:pPr>
            <w:r w:rsidRPr="00421E20">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137E381" w14:textId="77777777" w:rsidR="007C42D1" w:rsidRPr="00421E20" w:rsidRDefault="007C42D1" w:rsidP="00F44590">
            <w:pPr>
              <w:jc w:val="center"/>
              <w:rPr>
                <w:sz w:val="20"/>
              </w:rPr>
            </w:pPr>
            <w:r w:rsidRPr="00421E20">
              <w:rPr>
                <w:sz w:val="20"/>
              </w:rPr>
              <w:t>40 821</w:t>
            </w:r>
          </w:p>
        </w:tc>
      </w:tr>
      <w:tr w:rsidR="007C42D1" w:rsidRPr="00421E20" w14:paraId="3CC86FE0" w14:textId="77777777" w:rsidTr="00F44590">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E86FA31"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t>Noua Direcție – Fundația pentru Reformă în Europa</w:t>
            </w:r>
            <w:r w:rsidRPr="00421E20">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392AC1" w14:textId="77777777" w:rsidR="007C42D1" w:rsidRPr="00421E20" w:rsidRDefault="007C42D1" w:rsidP="00F44590">
            <w:pPr>
              <w:jc w:val="center"/>
              <w:rPr>
                <w:sz w:val="20"/>
              </w:rPr>
            </w:pPr>
            <w:r w:rsidRPr="00421E20">
              <w:rPr>
                <w:sz w:val="20"/>
              </w:rPr>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B29F8D1" w14:textId="77777777" w:rsidR="007C42D1" w:rsidRPr="00421E20" w:rsidRDefault="007C42D1" w:rsidP="00F44590">
            <w:pPr>
              <w:jc w:val="center"/>
              <w:rPr>
                <w:sz w:val="20"/>
              </w:rPr>
            </w:pPr>
            <w:r w:rsidRPr="00421E20">
              <w:rPr>
                <w:sz w:val="20"/>
              </w:rPr>
              <w:t>Partidul 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3B4770" w14:textId="77777777" w:rsidR="007C42D1" w:rsidRPr="00421E20" w:rsidRDefault="007C42D1" w:rsidP="00F44590">
            <w:pPr>
              <w:jc w:val="center"/>
              <w:rPr>
                <w:sz w:val="20"/>
              </w:rPr>
            </w:pPr>
            <w:r w:rsidRPr="00421E20">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130618A" w14:textId="77777777" w:rsidR="007C42D1" w:rsidRPr="00421E20" w:rsidRDefault="007C42D1" w:rsidP="00F44590">
            <w:pPr>
              <w:jc w:val="center"/>
              <w:rPr>
                <w:sz w:val="20"/>
              </w:rPr>
            </w:pPr>
            <w:r w:rsidRPr="00421E20">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81ABA69" w14:textId="77777777" w:rsidR="007C42D1" w:rsidRPr="00421E20" w:rsidRDefault="007C42D1" w:rsidP="00F44590">
            <w:pPr>
              <w:jc w:val="center"/>
              <w:rPr>
                <w:sz w:val="20"/>
              </w:rPr>
            </w:pPr>
            <w:r w:rsidRPr="00421E20">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46E085E" w14:textId="77777777" w:rsidR="007C42D1" w:rsidRPr="00421E20" w:rsidRDefault="007C42D1" w:rsidP="00F44590">
            <w:pPr>
              <w:jc w:val="center"/>
              <w:rPr>
                <w:sz w:val="20"/>
              </w:rPr>
            </w:pPr>
            <w:r w:rsidRPr="00421E20">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C43B6CC" w14:textId="77777777" w:rsidR="007C42D1" w:rsidRPr="00421E20" w:rsidRDefault="007C42D1" w:rsidP="00F44590">
            <w:pPr>
              <w:jc w:val="center"/>
              <w:rPr>
                <w:sz w:val="20"/>
              </w:rPr>
            </w:pPr>
            <w:r w:rsidRPr="00421E20">
              <w:rPr>
                <w:sz w:val="20"/>
              </w:rPr>
              <w:t>134 704</w:t>
            </w:r>
          </w:p>
        </w:tc>
      </w:tr>
      <w:tr w:rsidR="007C42D1" w:rsidRPr="00421E20" w14:paraId="2C3A133E" w14:textId="77777777" w:rsidTr="00F44590">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078ADF4" w14:textId="77777777" w:rsidR="007C42D1" w:rsidRPr="00421E20" w:rsidRDefault="007C42D1" w:rsidP="00F44590">
            <w:pPr>
              <w:widowControl/>
              <w:jc w:val="center"/>
              <w:rPr>
                <w:sz w:val="20"/>
                <w14:textOutline w14:w="0" w14:cap="flat" w14:cmpd="sng" w14:algn="ctr">
                  <w14:noFill/>
                  <w14:prstDash w14:val="solid"/>
                  <w14:bevel/>
                </w14:textOutline>
              </w:rPr>
            </w:pPr>
            <w:proofErr w:type="spellStart"/>
            <w:r w:rsidRPr="00421E20">
              <w:t>Identité</w:t>
            </w:r>
            <w:proofErr w:type="spellEnd"/>
            <w:r w:rsidRPr="00421E20">
              <w:t xml:space="preserve"> et </w:t>
            </w:r>
            <w:proofErr w:type="spellStart"/>
            <w:r w:rsidRPr="00421E20">
              <w:t>Démocratie</w:t>
            </w:r>
            <w:proofErr w:type="spellEnd"/>
            <w:r w:rsidRPr="00421E20">
              <w:t xml:space="preserve"> </w:t>
            </w:r>
            <w:proofErr w:type="spellStart"/>
            <w:r w:rsidRPr="00421E20">
              <w:t>Fondation</w:t>
            </w:r>
            <w:proofErr w:type="spellEnd"/>
            <w:r w:rsidRPr="00421E20">
              <w:t xml:space="preserve"> (Fundația </w:t>
            </w:r>
            <w:proofErr w:type="spellStart"/>
            <w:r w:rsidRPr="00421E20">
              <w:t>Identité</w:t>
            </w:r>
            <w:proofErr w:type="spellEnd"/>
            <w:r w:rsidRPr="00421E20">
              <w:t xml:space="preserve"> și </w:t>
            </w:r>
            <w:proofErr w:type="spellStart"/>
            <w:r w:rsidRPr="00421E20">
              <w:t>Démocratie</w:t>
            </w:r>
            <w:proofErr w:type="spellEnd"/>
            <w:r w:rsidRPr="00421E20">
              <w:t>)</w:t>
            </w:r>
            <w:r w:rsidRPr="00421E20">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B651B7" w14:textId="77777777" w:rsidR="007C42D1" w:rsidRPr="00421E20" w:rsidRDefault="007C42D1" w:rsidP="00F44590">
            <w:pPr>
              <w:jc w:val="center"/>
              <w:rPr>
                <w:sz w:val="20"/>
              </w:rPr>
            </w:pPr>
            <w:r w:rsidRPr="00421E20">
              <w:rPr>
                <w:sz w:val="20"/>
              </w:rPr>
              <w:t>Fundația ID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D69BEDC" w14:textId="77777777" w:rsidR="007C42D1" w:rsidRPr="00421E20" w:rsidRDefault="007C42D1" w:rsidP="00F44590">
            <w:pPr>
              <w:jc w:val="center"/>
              <w:rPr>
                <w:sz w:val="20"/>
              </w:rPr>
            </w:pPr>
            <w:r w:rsidRPr="00421E20">
              <w:rPr>
                <w:sz w:val="20"/>
              </w:rPr>
              <w:t>Partidul ID</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CBCE8B" w14:textId="77777777" w:rsidR="007C42D1" w:rsidRPr="00421E20" w:rsidRDefault="007C42D1" w:rsidP="00F44590">
            <w:pPr>
              <w:jc w:val="center"/>
              <w:rPr>
                <w:sz w:val="20"/>
              </w:rPr>
            </w:pPr>
            <w:r w:rsidRPr="00421E20">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1BF956B" w14:textId="77777777" w:rsidR="007C42D1" w:rsidRPr="00421E20" w:rsidRDefault="007C42D1" w:rsidP="00F44590">
            <w:pPr>
              <w:jc w:val="center"/>
              <w:rPr>
                <w:sz w:val="20"/>
              </w:rPr>
            </w:pPr>
            <w:r w:rsidRPr="00421E20">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D40B82" w14:textId="77777777" w:rsidR="007C42D1" w:rsidRPr="00421E20" w:rsidRDefault="007C42D1" w:rsidP="00F44590">
            <w:pPr>
              <w:jc w:val="center"/>
              <w:rPr>
                <w:sz w:val="20"/>
              </w:rPr>
            </w:pPr>
            <w:r w:rsidRPr="00421E20">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ACA2157" w14:textId="77777777" w:rsidR="007C42D1" w:rsidRPr="00421E20" w:rsidRDefault="007C42D1" w:rsidP="00F44590">
            <w:pPr>
              <w:jc w:val="center"/>
              <w:rPr>
                <w:sz w:val="20"/>
              </w:rPr>
            </w:pPr>
            <w:r w:rsidRPr="00421E20">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76DD966" w14:textId="77777777" w:rsidR="007C42D1" w:rsidRPr="00421E20" w:rsidRDefault="007C42D1" w:rsidP="00F44590">
            <w:pPr>
              <w:jc w:val="center"/>
              <w:rPr>
                <w:sz w:val="20"/>
              </w:rPr>
            </w:pPr>
            <w:r w:rsidRPr="00421E20">
              <w:rPr>
                <w:sz w:val="20"/>
              </w:rPr>
              <w:t>-62 575</w:t>
            </w:r>
          </w:p>
        </w:tc>
      </w:tr>
      <w:tr w:rsidR="007C42D1" w:rsidRPr="00421E20" w14:paraId="5478274C" w14:textId="77777777" w:rsidTr="00F44590">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B010EA9"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t>Transformă Europa</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9C3AC5" w14:textId="77777777" w:rsidR="007C42D1" w:rsidRPr="00421E20" w:rsidRDefault="007C42D1" w:rsidP="00F44590">
            <w:pPr>
              <w:jc w:val="center"/>
              <w:rPr>
                <w:sz w:val="20"/>
              </w:rPr>
            </w:pPr>
            <w:r w:rsidRPr="00421E20">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875515" w14:textId="77777777" w:rsidR="007C42D1" w:rsidRPr="00421E20" w:rsidRDefault="007C42D1" w:rsidP="00F44590">
            <w:pPr>
              <w:jc w:val="center"/>
              <w:rPr>
                <w:sz w:val="20"/>
              </w:rPr>
            </w:pPr>
            <w:r w:rsidRPr="00421E20">
              <w:rPr>
                <w:sz w:val="20"/>
              </w:rPr>
              <w:t>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D7E557" w14:textId="77777777" w:rsidR="007C42D1" w:rsidRPr="00421E20" w:rsidRDefault="007C42D1" w:rsidP="00F44590">
            <w:pPr>
              <w:jc w:val="center"/>
              <w:rPr>
                <w:sz w:val="20"/>
              </w:rPr>
            </w:pPr>
            <w:r w:rsidRPr="00421E20">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D861BDD" w14:textId="77777777" w:rsidR="007C42D1" w:rsidRPr="00421E20" w:rsidRDefault="007C42D1" w:rsidP="00F44590">
            <w:pPr>
              <w:jc w:val="center"/>
              <w:rPr>
                <w:sz w:val="20"/>
              </w:rPr>
            </w:pPr>
            <w:r w:rsidRPr="00421E20">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E7BE48" w14:textId="77777777" w:rsidR="007C42D1" w:rsidRPr="00421E20" w:rsidRDefault="007C42D1" w:rsidP="00F44590">
            <w:pPr>
              <w:jc w:val="center"/>
              <w:rPr>
                <w:sz w:val="20"/>
              </w:rPr>
            </w:pPr>
            <w:r w:rsidRPr="00421E20">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17BB78F" w14:textId="77777777" w:rsidR="007C42D1" w:rsidRPr="00421E20" w:rsidRDefault="007C42D1" w:rsidP="00F44590">
            <w:pPr>
              <w:jc w:val="center"/>
              <w:rPr>
                <w:sz w:val="20"/>
              </w:rPr>
            </w:pPr>
            <w:r w:rsidRPr="00421E20">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23DB5E7" w14:textId="77777777" w:rsidR="007C42D1" w:rsidRPr="00421E20" w:rsidRDefault="007C42D1" w:rsidP="00F44590">
            <w:pPr>
              <w:jc w:val="center"/>
              <w:rPr>
                <w:sz w:val="20"/>
              </w:rPr>
            </w:pPr>
            <w:r w:rsidRPr="00421E20">
              <w:rPr>
                <w:sz w:val="20"/>
              </w:rPr>
              <w:t>69 496</w:t>
            </w:r>
          </w:p>
        </w:tc>
      </w:tr>
      <w:tr w:rsidR="007C42D1" w:rsidRPr="00421E20" w14:paraId="5F4E20A2" w14:textId="77777777" w:rsidTr="00F44590">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0887A49"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t>Institutul Democrațil</w:t>
            </w:r>
            <w:r w:rsidRPr="00421E20">
              <w:lastRenderedPageBreak/>
              <w:t>or Europeni</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EC7F6AC" w14:textId="77777777" w:rsidR="007C42D1" w:rsidRPr="00421E20" w:rsidRDefault="007C42D1" w:rsidP="00F44590">
            <w:pPr>
              <w:jc w:val="center"/>
              <w:rPr>
                <w:sz w:val="20"/>
              </w:rPr>
            </w:pPr>
            <w:r w:rsidRPr="00421E20">
              <w:rPr>
                <w:sz w:val="20"/>
              </w:rPr>
              <w:lastRenderedPageBreak/>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84EE825" w14:textId="77777777" w:rsidR="007C42D1" w:rsidRPr="00421E20" w:rsidRDefault="007C42D1" w:rsidP="00F44590">
            <w:pPr>
              <w:jc w:val="center"/>
              <w:rPr>
                <w:sz w:val="20"/>
              </w:rPr>
            </w:pPr>
            <w:r w:rsidRPr="00421E20">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2CAE1C" w14:textId="77777777" w:rsidR="007C42D1" w:rsidRPr="00421E20" w:rsidRDefault="007C42D1" w:rsidP="00F44590">
            <w:pPr>
              <w:jc w:val="center"/>
              <w:rPr>
                <w:sz w:val="20"/>
              </w:rPr>
            </w:pPr>
            <w:r w:rsidRPr="00421E20">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201368" w14:textId="77777777" w:rsidR="007C42D1" w:rsidRPr="00421E20" w:rsidRDefault="007C42D1" w:rsidP="00F44590">
            <w:pPr>
              <w:jc w:val="center"/>
              <w:rPr>
                <w:sz w:val="20"/>
              </w:rPr>
            </w:pPr>
            <w:r w:rsidRPr="00421E20">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8954F34" w14:textId="77777777" w:rsidR="007C42D1" w:rsidRPr="00421E20" w:rsidRDefault="007C42D1" w:rsidP="00F44590">
            <w:pPr>
              <w:jc w:val="center"/>
              <w:rPr>
                <w:sz w:val="20"/>
              </w:rPr>
            </w:pPr>
            <w:r w:rsidRPr="00421E20">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30C503E" w14:textId="77777777" w:rsidR="007C42D1" w:rsidRPr="00421E20" w:rsidRDefault="007C42D1" w:rsidP="00F44590">
            <w:pPr>
              <w:jc w:val="center"/>
              <w:rPr>
                <w:sz w:val="20"/>
              </w:rPr>
            </w:pPr>
            <w:r w:rsidRPr="00421E20">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A6EFF8B" w14:textId="77777777" w:rsidR="007C42D1" w:rsidRPr="00421E20" w:rsidRDefault="007C42D1" w:rsidP="00F44590">
            <w:pPr>
              <w:jc w:val="center"/>
              <w:rPr>
                <w:sz w:val="20"/>
              </w:rPr>
            </w:pPr>
            <w:r w:rsidRPr="00421E20">
              <w:rPr>
                <w:sz w:val="20"/>
              </w:rPr>
              <w:t>-113 763</w:t>
            </w:r>
          </w:p>
        </w:tc>
      </w:tr>
      <w:tr w:rsidR="007C42D1" w:rsidRPr="00421E20" w14:paraId="7C465537" w14:textId="77777777" w:rsidTr="00F44590">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346CCF8" w14:textId="77777777" w:rsidR="007C42D1" w:rsidRPr="00421E20" w:rsidRDefault="007C42D1" w:rsidP="00F44590">
            <w:pPr>
              <w:widowControl/>
              <w:jc w:val="center"/>
              <w:rPr>
                <w:sz w:val="20"/>
                <w14:textOutline w14:w="0" w14:cap="flat" w14:cmpd="sng" w14:algn="ctr">
                  <w14:noFill/>
                  <w14:prstDash w14:val="solid"/>
                  <w14:bevel/>
                </w14:textOutline>
              </w:rPr>
            </w:pPr>
            <w:r w:rsidRPr="00421E20">
              <w:t xml:space="preserve">Fundația </w:t>
            </w:r>
            <w:proofErr w:type="spellStart"/>
            <w:r w:rsidRPr="00421E20">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3226C0" w14:textId="77777777" w:rsidR="007C42D1" w:rsidRPr="00421E20" w:rsidRDefault="007C42D1" w:rsidP="00F44590">
            <w:pPr>
              <w:jc w:val="center"/>
              <w:rPr>
                <w:sz w:val="20"/>
              </w:rPr>
            </w:pPr>
            <w:proofErr w:type="spellStart"/>
            <w:r w:rsidRPr="00421E20">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50579BA" w14:textId="77777777" w:rsidR="007C42D1" w:rsidRPr="00421E20" w:rsidRDefault="007C42D1" w:rsidP="00F44590">
            <w:pPr>
              <w:jc w:val="center"/>
              <w:rPr>
                <w:sz w:val="20"/>
              </w:rPr>
            </w:pPr>
            <w:r w:rsidRPr="00421E20">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1BB693" w14:textId="77777777" w:rsidR="007C42D1" w:rsidRPr="00421E20" w:rsidRDefault="007C42D1" w:rsidP="00F44590">
            <w:pPr>
              <w:jc w:val="center"/>
              <w:rPr>
                <w:sz w:val="20"/>
              </w:rPr>
            </w:pPr>
            <w:r w:rsidRPr="00421E20">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83815B9" w14:textId="77777777" w:rsidR="007C42D1" w:rsidRPr="00421E20" w:rsidRDefault="007C42D1" w:rsidP="00F44590">
            <w:pPr>
              <w:jc w:val="center"/>
              <w:rPr>
                <w:sz w:val="20"/>
              </w:rPr>
            </w:pPr>
            <w:r w:rsidRPr="00421E20">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AA61878" w14:textId="77777777" w:rsidR="007C42D1" w:rsidRPr="00421E20" w:rsidRDefault="007C42D1" w:rsidP="00F44590">
            <w:pPr>
              <w:jc w:val="center"/>
              <w:rPr>
                <w:sz w:val="20"/>
              </w:rPr>
            </w:pPr>
            <w:r w:rsidRPr="00421E20">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105B1A1" w14:textId="77777777" w:rsidR="007C42D1" w:rsidRPr="00421E20" w:rsidRDefault="007C42D1" w:rsidP="00F44590">
            <w:pPr>
              <w:jc w:val="center"/>
              <w:rPr>
                <w:sz w:val="20"/>
              </w:rPr>
            </w:pPr>
            <w:r w:rsidRPr="00421E20">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27C0E88" w14:textId="77777777" w:rsidR="007C42D1" w:rsidRPr="00421E20" w:rsidRDefault="007C42D1" w:rsidP="00F44590">
            <w:pPr>
              <w:jc w:val="center"/>
              <w:rPr>
                <w:sz w:val="20"/>
              </w:rPr>
            </w:pPr>
            <w:r w:rsidRPr="00421E20">
              <w:rPr>
                <w:sz w:val="20"/>
              </w:rPr>
              <w:t>288 315</w:t>
            </w:r>
          </w:p>
        </w:tc>
      </w:tr>
      <w:tr w:rsidR="007C42D1" w:rsidRPr="00421E20" w14:paraId="7F8F5AFB" w14:textId="77777777" w:rsidTr="00F44590">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140142B" w14:textId="77777777" w:rsidR="007C42D1" w:rsidRPr="00421E20" w:rsidRDefault="007C42D1" w:rsidP="00F44590">
            <w:pPr>
              <w:widowControl/>
              <w:jc w:val="center"/>
              <w:rPr>
                <w:sz w:val="20"/>
                <w14:textOutline w14:w="0" w14:cap="flat" w14:cmpd="sng" w14:algn="ctr">
                  <w14:noFill/>
                  <w14:prstDash w14:val="solid"/>
                  <w14:bevel/>
                </w14:textOutline>
              </w:rPr>
            </w:pPr>
            <w:proofErr w:type="spellStart"/>
            <w:r w:rsidRPr="00421E20">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5292C3" w14:textId="77777777" w:rsidR="007C42D1" w:rsidRPr="00421E20" w:rsidRDefault="007C42D1" w:rsidP="00F44590">
            <w:pPr>
              <w:jc w:val="center"/>
              <w:rPr>
                <w:sz w:val="20"/>
              </w:rPr>
            </w:pPr>
            <w:r w:rsidRPr="00421E20">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4D4EDDA" w14:textId="77777777" w:rsidR="007C42D1" w:rsidRPr="00421E20" w:rsidRDefault="007C42D1" w:rsidP="00F44590">
            <w:pPr>
              <w:jc w:val="center"/>
              <w:rPr>
                <w:sz w:val="20"/>
              </w:rPr>
            </w:pPr>
            <w:r w:rsidRPr="00421E20">
              <w:rPr>
                <w:sz w:val="20"/>
              </w:rPr>
              <w:t>MPCE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B581B6" w14:textId="77777777" w:rsidR="007C42D1" w:rsidRPr="00421E20" w:rsidRDefault="007C42D1" w:rsidP="00F44590">
            <w:pPr>
              <w:jc w:val="center"/>
              <w:rPr>
                <w:sz w:val="20"/>
              </w:rPr>
            </w:pPr>
            <w:r w:rsidRPr="00421E20">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93E18D5" w14:textId="77777777" w:rsidR="007C42D1" w:rsidRPr="00421E20" w:rsidRDefault="007C42D1" w:rsidP="00F44590">
            <w:pPr>
              <w:jc w:val="center"/>
              <w:rPr>
                <w:sz w:val="20"/>
              </w:rPr>
            </w:pPr>
            <w:r w:rsidRPr="00421E20">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E4B6492" w14:textId="77777777" w:rsidR="007C42D1" w:rsidRPr="00421E20" w:rsidRDefault="007C42D1" w:rsidP="00F44590">
            <w:pPr>
              <w:jc w:val="center"/>
              <w:rPr>
                <w:sz w:val="20"/>
              </w:rPr>
            </w:pPr>
            <w:r w:rsidRPr="00421E20">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D5DE990" w14:textId="77777777" w:rsidR="007C42D1" w:rsidRPr="00421E20" w:rsidRDefault="007C42D1" w:rsidP="00F44590">
            <w:pPr>
              <w:jc w:val="center"/>
              <w:rPr>
                <w:sz w:val="20"/>
              </w:rPr>
            </w:pPr>
            <w:r w:rsidRPr="00421E20">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26D61FD1" w14:textId="77777777" w:rsidR="007C42D1" w:rsidRPr="00421E20" w:rsidRDefault="007C42D1" w:rsidP="00F44590">
            <w:pPr>
              <w:jc w:val="center"/>
              <w:rPr>
                <w:sz w:val="20"/>
              </w:rPr>
            </w:pPr>
            <w:r w:rsidRPr="00421E20">
              <w:rPr>
                <w:sz w:val="20"/>
              </w:rPr>
              <w:t>8 781</w:t>
            </w:r>
          </w:p>
        </w:tc>
      </w:tr>
      <w:tr w:rsidR="007C42D1" w:rsidRPr="00421E20" w14:paraId="3C6D1E3C" w14:textId="77777777" w:rsidTr="00F44590">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9A24905" w14:textId="77777777" w:rsidR="007C42D1" w:rsidRPr="00421E20" w:rsidRDefault="007C42D1" w:rsidP="00F44590">
            <w:pPr>
              <w:jc w:val="center"/>
              <w:rPr>
                <w:b/>
                <w:bCs/>
                <w:sz w:val="20"/>
                <w14:textOutline w14:w="0" w14:cap="flat" w14:cmpd="sng" w14:algn="ctr">
                  <w14:noFill/>
                  <w14:prstDash w14:val="solid"/>
                  <w14:bevel/>
                </w14:textOutline>
              </w:rPr>
            </w:pPr>
            <w:r w:rsidRPr="00421E20">
              <w:rPr>
                <w:b/>
                <w:sz w:val="20"/>
                <w14:textOutline w14:w="0" w14:cap="flat" w14:cmpd="sng" w14:algn="ctr">
                  <w14:noFill/>
                  <w14:prstDash w14:val="solid"/>
                  <w14:bevel/>
                </w14:textOutline>
              </w:rPr>
              <w:t>TOTAL</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1D805C8" w14:textId="77777777" w:rsidR="007C42D1" w:rsidRPr="00421E20" w:rsidRDefault="007C42D1" w:rsidP="00F44590">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7628FA3" w14:textId="77777777" w:rsidR="007C42D1" w:rsidRPr="00421E20" w:rsidRDefault="007C42D1" w:rsidP="00F44590">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B2D5315" w14:textId="77777777" w:rsidR="007C42D1" w:rsidRPr="00421E20" w:rsidRDefault="007C42D1" w:rsidP="00F44590">
            <w:pPr>
              <w:jc w:val="center"/>
              <w:rPr>
                <w:b/>
                <w:bCs/>
                <w:sz w:val="20"/>
              </w:rPr>
            </w:pPr>
            <w:r w:rsidRPr="00421E20">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34D911A4" w14:textId="77777777" w:rsidR="007C42D1" w:rsidRPr="00421E20" w:rsidRDefault="007C42D1" w:rsidP="00F44590">
            <w:pPr>
              <w:jc w:val="center"/>
              <w:rPr>
                <w:b/>
                <w:bCs/>
                <w:sz w:val="20"/>
              </w:rPr>
            </w:pPr>
            <w:r w:rsidRPr="00421E20">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06867F39" w14:textId="77777777" w:rsidR="007C42D1" w:rsidRPr="00421E20" w:rsidRDefault="007C42D1" w:rsidP="00F44590">
            <w:pPr>
              <w:jc w:val="center"/>
              <w:rPr>
                <w:b/>
                <w:bCs/>
                <w:sz w:val="20"/>
              </w:rPr>
            </w:pPr>
            <w:r w:rsidRPr="00421E20">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0CB5B7C" w14:textId="77777777" w:rsidR="007C42D1" w:rsidRPr="00421E20" w:rsidRDefault="007C42D1" w:rsidP="00F44590">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4481A393" w14:textId="77777777" w:rsidR="007C42D1" w:rsidRPr="00421E20" w:rsidRDefault="007C42D1" w:rsidP="00F44590">
            <w:pPr>
              <w:jc w:val="center"/>
              <w:rPr>
                <w:b/>
                <w:bCs/>
                <w:sz w:val="20"/>
              </w:rPr>
            </w:pPr>
            <w:r w:rsidRPr="00421E20">
              <w:rPr>
                <w:b/>
                <w:sz w:val="20"/>
              </w:rPr>
              <w:t>2 576 842</w:t>
            </w:r>
          </w:p>
        </w:tc>
      </w:tr>
    </w:tbl>
    <w:p w14:paraId="26BE7C9A" w14:textId="3ED4223B" w:rsidR="00E365E1" w:rsidRPr="00421E20" w:rsidRDefault="00E365E1" w:rsidP="003B7212"/>
    <w:sectPr w:rsidR="00E365E1" w:rsidRPr="00421E20" w:rsidSect="003B721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FF1E6" w14:textId="77777777" w:rsidR="00DC3855" w:rsidRPr="00AC2FED" w:rsidRDefault="00DC3855">
      <w:r w:rsidRPr="00AC2FED">
        <w:separator/>
      </w:r>
    </w:p>
  </w:endnote>
  <w:endnote w:type="continuationSeparator" w:id="0">
    <w:p w14:paraId="50E100F5" w14:textId="77777777" w:rsidR="00DC3855" w:rsidRPr="00AC2FED" w:rsidRDefault="00DC3855">
      <w:r w:rsidRPr="00AC2F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ICTFontTextStyleBody">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B2F3" w14:textId="77777777" w:rsidR="007C42D1" w:rsidRPr="00AC2FED" w:rsidRDefault="007C42D1" w:rsidP="00207C01">
    <w:pPr>
      <w:pStyle w:val="EPFooter"/>
    </w:pPr>
    <w:r w:rsidRPr="00AC2FED">
      <w:t>PE</w:t>
    </w:r>
    <w:r w:rsidRPr="00AC2FED">
      <w:rPr>
        <w:rStyle w:val="HideTWBExt"/>
      </w:rPr>
      <w:t>&lt;</w:t>
    </w:r>
    <w:proofErr w:type="spellStart"/>
    <w:r w:rsidRPr="00AC2FED">
      <w:rPr>
        <w:rStyle w:val="HideTWBExt"/>
      </w:rPr>
      <w:t>NoPE</w:t>
    </w:r>
    <w:proofErr w:type="spellEnd"/>
    <w:r w:rsidRPr="00AC2FED">
      <w:rPr>
        <w:rStyle w:val="HideTWBExt"/>
      </w:rPr>
      <w:t>&gt;</w:t>
    </w:r>
    <w:r w:rsidRPr="00AC2FED">
      <w:t>776.734</w:t>
    </w:r>
    <w:r w:rsidRPr="00AC2FED">
      <w:rPr>
        <w:rStyle w:val="HideTWBExt"/>
      </w:rPr>
      <w:t>&lt;/</w:t>
    </w:r>
    <w:proofErr w:type="spellStart"/>
    <w:r w:rsidRPr="00AC2FED">
      <w:rPr>
        <w:rStyle w:val="HideTWBExt"/>
      </w:rPr>
      <w:t>NoPE</w:t>
    </w:r>
    <w:proofErr w:type="spellEnd"/>
    <w:r w:rsidRPr="00AC2FED">
      <w:rPr>
        <w:rStyle w:val="HideTWBExt"/>
      </w:rPr>
      <w:t>&gt;&lt;Version&gt;</w:t>
    </w:r>
    <w:r w:rsidRPr="00AC2FED">
      <w:t>v02-00</w:t>
    </w:r>
    <w:r w:rsidRPr="00AC2FED">
      <w:rPr>
        <w:rStyle w:val="HideTWBExt"/>
      </w:rPr>
      <w:t>&lt;/</w:t>
    </w:r>
    <w:proofErr w:type="spellStart"/>
    <w:r w:rsidRPr="00AC2FED">
      <w:rPr>
        <w:rStyle w:val="HideTWBExt"/>
      </w:rPr>
      <w:t>Version</w:t>
    </w:r>
    <w:proofErr w:type="spellEnd"/>
    <w:r w:rsidRPr="00AC2FED">
      <w:rPr>
        <w:rStyle w:val="HideTWBExt"/>
      </w:rPr>
      <w:t>&gt;</w:t>
    </w:r>
    <w:r w:rsidRPr="00AC2FED">
      <w:tab/>
    </w:r>
    <w:r w:rsidRPr="00AC2FED">
      <w:fldChar w:fldCharType="begin"/>
    </w:r>
    <w:r w:rsidRPr="00AC2FED">
      <w:instrText xml:space="preserve"> PAGE  \* MERGEFORMAT </w:instrText>
    </w:r>
    <w:r w:rsidRPr="00AC2FED">
      <w:fldChar w:fldCharType="separate"/>
    </w:r>
    <w:r w:rsidRPr="00AC2FED">
      <w:rPr>
        <w:noProof/>
      </w:rPr>
      <w:t>44</w:t>
    </w:r>
    <w:r w:rsidRPr="00AC2FED">
      <w:fldChar w:fldCharType="end"/>
    </w:r>
    <w:r w:rsidRPr="00AC2FED">
      <w:t>/</w:t>
    </w:r>
    <w:fldSimple w:instr=" NUMPAGES  \* MERGEFORMAT ">
      <w:r w:rsidRPr="00AC2FED">
        <w:rPr>
          <w:noProof/>
        </w:rPr>
        <w:t>46</w:t>
      </w:r>
    </w:fldSimple>
    <w:r w:rsidRPr="00AC2FED">
      <w:tab/>
    </w:r>
    <w:r w:rsidRPr="00AC2FED">
      <w:rPr>
        <w:rStyle w:val="HideTWBExt"/>
      </w:rPr>
      <w:t>&lt;PathFdR&gt;</w:t>
    </w:r>
    <w:r w:rsidRPr="00AC2FED">
      <w:t>RR\1340476RO.docx</w:t>
    </w:r>
    <w:r w:rsidRPr="00AC2FED">
      <w:rPr>
        <w:rStyle w:val="HideTWBExt"/>
      </w:rPr>
      <w:t>&lt;/</w:t>
    </w:r>
    <w:proofErr w:type="spellStart"/>
    <w:r w:rsidRPr="00AC2FED">
      <w:rPr>
        <w:rStyle w:val="HideTWBExt"/>
      </w:rPr>
      <w:t>PathFdR</w:t>
    </w:r>
    <w:proofErr w:type="spellEnd"/>
    <w:r w:rsidRPr="00AC2FED">
      <w:rPr>
        <w:rStyle w:val="HideTWBExt"/>
      </w:rPr>
      <w:t>&gt;</w:t>
    </w:r>
  </w:p>
  <w:p w14:paraId="24AF1BF9" w14:textId="77777777" w:rsidR="007C42D1" w:rsidRPr="00AC2FED" w:rsidRDefault="007C42D1" w:rsidP="00207C01">
    <w:pPr>
      <w:pStyle w:val="EPFooter2"/>
    </w:pPr>
    <w:r w:rsidRPr="00AC2FED">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7AB92" w14:textId="77777777" w:rsidR="007C42D1" w:rsidRPr="00AC2FED" w:rsidRDefault="007C42D1" w:rsidP="00207C01">
    <w:pPr>
      <w:pStyle w:val="EPFooter"/>
    </w:pPr>
    <w:r w:rsidRPr="00AC2FED">
      <w:rPr>
        <w:rStyle w:val="HideTWBExt"/>
      </w:rPr>
      <w:t>&lt;PathFdR&gt;</w:t>
    </w:r>
    <w:r w:rsidRPr="00AC2FED">
      <w:t>RR\1340476RO.docx</w:t>
    </w:r>
    <w:r w:rsidRPr="00AC2FED">
      <w:rPr>
        <w:rStyle w:val="HideTWBExt"/>
      </w:rPr>
      <w:t>&lt;/</w:t>
    </w:r>
    <w:proofErr w:type="spellStart"/>
    <w:r w:rsidRPr="00AC2FED">
      <w:rPr>
        <w:rStyle w:val="HideTWBExt"/>
      </w:rPr>
      <w:t>PathFdR</w:t>
    </w:r>
    <w:proofErr w:type="spellEnd"/>
    <w:r w:rsidRPr="00AC2FED">
      <w:rPr>
        <w:rStyle w:val="HideTWBExt"/>
      </w:rPr>
      <w:t>&gt;</w:t>
    </w:r>
    <w:r w:rsidRPr="00AC2FED">
      <w:tab/>
    </w:r>
    <w:r w:rsidRPr="00AC2FED">
      <w:tab/>
      <w:t>PE</w:t>
    </w:r>
    <w:r w:rsidRPr="00AC2FED">
      <w:rPr>
        <w:rStyle w:val="HideTWBExt"/>
      </w:rPr>
      <w:t>&lt;</w:t>
    </w:r>
    <w:proofErr w:type="spellStart"/>
    <w:r w:rsidRPr="00AC2FED">
      <w:rPr>
        <w:rStyle w:val="HideTWBExt"/>
      </w:rPr>
      <w:t>NoPE</w:t>
    </w:r>
    <w:proofErr w:type="spellEnd"/>
    <w:r w:rsidRPr="00AC2FED">
      <w:rPr>
        <w:rStyle w:val="HideTWBExt"/>
      </w:rPr>
      <w:t>&gt;</w:t>
    </w:r>
    <w:r w:rsidRPr="00AC2FED">
      <w:t>776.734</w:t>
    </w:r>
    <w:r w:rsidRPr="00AC2FED">
      <w:rPr>
        <w:rStyle w:val="HideTWBExt"/>
      </w:rPr>
      <w:t>&lt;/</w:t>
    </w:r>
    <w:proofErr w:type="spellStart"/>
    <w:r w:rsidRPr="00AC2FED">
      <w:rPr>
        <w:rStyle w:val="HideTWBExt"/>
      </w:rPr>
      <w:t>NoPE</w:t>
    </w:r>
    <w:proofErr w:type="spellEnd"/>
    <w:r w:rsidRPr="00AC2FED">
      <w:rPr>
        <w:rStyle w:val="HideTWBExt"/>
      </w:rPr>
      <w:t>&gt;&lt;Version&gt;</w:t>
    </w:r>
    <w:r w:rsidRPr="00AC2FED">
      <w:t>v02-00</w:t>
    </w:r>
    <w:r w:rsidRPr="00AC2FED">
      <w:rPr>
        <w:rStyle w:val="HideTWBExt"/>
      </w:rPr>
      <w:t>&lt;/</w:t>
    </w:r>
    <w:proofErr w:type="spellStart"/>
    <w:r w:rsidRPr="00AC2FED">
      <w:rPr>
        <w:rStyle w:val="HideTWBExt"/>
      </w:rPr>
      <w:t>Version</w:t>
    </w:r>
    <w:proofErr w:type="spellEnd"/>
    <w:r w:rsidRPr="00AC2FED">
      <w:rPr>
        <w:rStyle w:val="HideTWBExt"/>
      </w:rPr>
      <w:t>&gt;</w:t>
    </w:r>
  </w:p>
  <w:p w14:paraId="0B9DCE31" w14:textId="77777777" w:rsidR="007C42D1" w:rsidRPr="00AC2FED" w:rsidRDefault="007C42D1" w:rsidP="00207C01">
    <w:pPr>
      <w:pStyle w:val="EPFooter2"/>
    </w:pPr>
    <w:r w:rsidRPr="00AC2FED">
      <w:t>RO</w:t>
    </w:r>
    <w:r w:rsidRPr="00AC2FED">
      <w:tab/>
    </w:r>
    <w:r w:rsidRPr="00AC2FED">
      <w:rPr>
        <w:b w:val="0"/>
        <w:i/>
        <w:color w:val="C0C0C0"/>
        <w:sz w:val="22"/>
      </w:rPr>
      <w:t>Unită în diversitate</w:t>
    </w:r>
    <w:r w:rsidRPr="00AC2FED">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239E" w14:textId="77777777" w:rsidR="00064002" w:rsidRPr="00AC2FE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727BF" w14:textId="77777777" w:rsidR="00064002" w:rsidRPr="00AC2FE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F459A" w14:textId="77777777" w:rsidR="00064002" w:rsidRPr="00AC2F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A3E02" w14:textId="77777777" w:rsidR="00DC3855" w:rsidRPr="00AC2FED" w:rsidRDefault="00DC3855">
      <w:r w:rsidRPr="00AC2FED">
        <w:separator/>
      </w:r>
    </w:p>
  </w:footnote>
  <w:footnote w:type="continuationSeparator" w:id="0">
    <w:p w14:paraId="5CF1BFDE" w14:textId="77777777" w:rsidR="00DC3855" w:rsidRPr="00AC2FED" w:rsidRDefault="00DC3855">
      <w:r w:rsidRPr="00AC2FED">
        <w:continuationSeparator/>
      </w:r>
    </w:p>
  </w:footnote>
  <w:footnote w:id="1">
    <w:p w14:paraId="2CDED2A9" w14:textId="5B08A74B"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JO L</w:t>
      </w:r>
      <w:r w:rsidR="009A42A2" w:rsidRPr="00421E20">
        <w:rPr>
          <w:sz w:val="24"/>
          <w:lang w:val="ro-RO"/>
        </w:rPr>
        <w:t>,</w:t>
      </w:r>
      <w:r w:rsidRPr="00421E20">
        <w:rPr>
          <w:sz w:val="24"/>
          <w:lang w:val="ro-RO"/>
        </w:rPr>
        <w:t xml:space="preserve"> </w:t>
      </w:r>
      <w:r w:rsidR="009A42A2" w:rsidRPr="00421E20">
        <w:rPr>
          <w:sz w:val="24"/>
          <w:lang w:val="ro-RO"/>
        </w:rPr>
        <w:t>2024/</w:t>
      </w:r>
      <w:r w:rsidRPr="00421E20">
        <w:rPr>
          <w:sz w:val="24"/>
          <w:lang w:val="ro-RO"/>
        </w:rPr>
        <w:t xml:space="preserve">207, 22.2.2024, ELI: </w:t>
      </w:r>
      <w:hyperlink r:id="rId1" w:history="1">
        <w:r w:rsidRPr="00421E20">
          <w:rPr>
            <w:rStyle w:val="Hyperlink"/>
            <w:color w:val="0563C1"/>
            <w:sz w:val="24"/>
            <w:lang w:val="ro-RO"/>
          </w:rPr>
          <w:t>http://data.europa.eu/eli/budget/2024/207/oj</w:t>
        </w:r>
      </w:hyperlink>
      <w:r w:rsidRPr="00421E20">
        <w:rPr>
          <w:sz w:val="24"/>
          <w:lang w:val="ro-RO"/>
        </w:rPr>
        <w:t>.</w:t>
      </w:r>
    </w:p>
  </w:footnote>
  <w:footnote w:id="2">
    <w:p w14:paraId="7B445656" w14:textId="77592471"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 xml:space="preserve">JO C, C/2025/4944, 13.10.2025, ELI: </w:t>
      </w:r>
      <w:hyperlink r:id="rId2" w:history="1">
        <w:r w:rsidRPr="00421E20">
          <w:rPr>
            <w:rStyle w:val="Hyperlink"/>
            <w:sz w:val="24"/>
            <w:lang w:val="ro-RO"/>
          </w:rPr>
          <w:t>http://data.europa.eu/eli/C/2025/4944/oj</w:t>
        </w:r>
      </w:hyperlink>
      <w:r w:rsidRPr="00421E20">
        <w:rPr>
          <w:sz w:val="24"/>
          <w:lang w:val="ro-RO"/>
        </w:rPr>
        <w:t xml:space="preserve">. </w:t>
      </w:r>
    </w:p>
  </w:footnote>
  <w:footnote w:id="3">
    <w:p w14:paraId="07B1233F" w14:textId="44A60185"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 xml:space="preserve">JO C, C/2025/2817, 6.6.2025, ELI: </w:t>
      </w:r>
      <w:hyperlink r:id="rId3" w:history="1">
        <w:r w:rsidRPr="00421E20">
          <w:rPr>
            <w:rStyle w:val="Hyperlink"/>
            <w:sz w:val="24"/>
            <w:lang w:val="ro-RO"/>
          </w:rPr>
          <w:t>http://data.europa.eu/eli/C/2025/2817/oj</w:t>
        </w:r>
      </w:hyperlink>
      <w:r w:rsidRPr="00421E20">
        <w:rPr>
          <w:sz w:val="24"/>
          <w:lang w:val="ro-RO"/>
        </w:rPr>
        <w:t>.</w:t>
      </w:r>
    </w:p>
  </w:footnote>
  <w:footnote w:id="4">
    <w:p w14:paraId="31A1E10F" w14:textId="062FB32F"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 xml:space="preserve">JO C, C/2025/5409, 8.10.2025, ELI: </w:t>
      </w:r>
      <w:hyperlink r:id="rId4" w:history="1">
        <w:r w:rsidRPr="00421E20">
          <w:rPr>
            <w:rStyle w:val="Hyperlink"/>
            <w:sz w:val="24"/>
            <w:lang w:val="ro-RO"/>
          </w:rPr>
          <w:t>http://data.europa.eu/eli/C/2025/5409/oj</w:t>
        </w:r>
      </w:hyperlink>
      <w:r w:rsidRPr="00421E20">
        <w:rPr>
          <w:sz w:val="24"/>
          <w:lang w:val="ro-RO"/>
        </w:rPr>
        <w:t>.</w:t>
      </w:r>
    </w:p>
  </w:footnote>
  <w:footnote w:id="5">
    <w:p w14:paraId="2A43C6A1" w14:textId="7EA6A932"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 xml:space="preserve">JO C, C/2025/5407, 13.10.2025, ELI: </w:t>
      </w:r>
      <w:hyperlink r:id="rId5" w:history="1">
        <w:r w:rsidRPr="00421E20">
          <w:rPr>
            <w:rStyle w:val="Hyperlink"/>
            <w:sz w:val="24"/>
            <w:lang w:val="ro-RO"/>
          </w:rPr>
          <w:t>http://data.europa.eu/eli/C/2025/5407/oj</w:t>
        </w:r>
      </w:hyperlink>
      <w:r w:rsidRPr="00421E20">
        <w:rPr>
          <w:sz w:val="24"/>
          <w:lang w:val="ro-RO"/>
        </w:rPr>
        <w:t xml:space="preserve">. </w:t>
      </w:r>
    </w:p>
  </w:footnote>
  <w:footnote w:id="6">
    <w:p w14:paraId="0527E196" w14:textId="0B6546FD"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 xml:space="preserve">JO L 193, 30.7.2018, p. 1, ELI: </w:t>
      </w:r>
      <w:hyperlink r:id="rId6" w:history="1">
        <w:r w:rsidRPr="00421E20">
          <w:rPr>
            <w:rStyle w:val="Hyperlink"/>
            <w:sz w:val="24"/>
            <w:lang w:val="ro-RO"/>
          </w:rPr>
          <w:t>http://data.europa.eu/eli/reg/2018/1046/oj</w:t>
        </w:r>
      </w:hyperlink>
      <w:r w:rsidRPr="00421E20">
        <w:rPr>
          <w:sz w:val="24"/>
          <w:lang w:val="ro-RO"/>
        </w:rPr>
        <w:t>.</w:t>
      </w:r>
    </w:p>
  </w:footnote>
  <w:footnote w:id="7">
    <w:p w14:paraId="6605FBD3" w14:textId="73B36777"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 xml:space="preserve">JO L, 2024/2509, 26.9.2024, ELI: </w:t>
      </w:r>
      <w:hyperlink r:id="rId7" w:history="1">
        <w:r w:rsidRPr="00421E20">
          <w:rPr>
            <w:rStyle w:val="Hyperlink"/>
            <w:sz w:val="24"/>
            <w:lang w:val="ro-RO"/>
          </w:rPr>
          <w:t>http://data.europa.eu/eli/reg/2024/2509/oj</w:t>
        </w:r>
      </w:hyperlink>
      <w:r w:rsidRPr="00421E20">
        <w:rPr>
          <w:sz w:val="24"/>
          <w:lang w:val="ro-RO"/>
        </w:rPr>
        <w:t>.</w:t>
      </w:r>
    </w:p>
  </w:footnote>
  <w:footnote w:id="8">
    <w:p w14:paraId="0E9AC0AC" w14:textId="2D684D8D"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 xml:space="preserve">Regulamentul (UE, Euratom) 2020/2093 al Consiliului din 17 decembrie 2020 de stabilire a cadrului financiar multianual pentru perioada 2021-2027 (JO L 433 I, 22.12.2020, p. 11, </w:t>
      </w:r>
      <w:r w:rsidRPr="00421E20">
        <w:rPr>
          <w:color w:val="333333"/>
          <w:sz w:val="24"/>
          <w:shd w:val="clear" w:color="auto" w:fill="FFFFFF"/>
          <w:lang w:val="ro-RO"/>
        </w:rPr>
        <w:t xml:space="preserve">ELI: </w:t>
      </w:r>
      <w:hyperlink r:id="rId8" w:history="1">
        <w:r w:rsidRPr="00421E20">
          <w:rPr>
            <w:rStyle w:val="Hyperlink"/>
            <w:sz w:val="24"/>
            <w:shd w:val="clear" w:color="auto" w:fill="FFFFFF"/>
            <w:lang w:val="ro-RO"/>
          </w:rPr>
          <w:t>http://data.europa.eu/eli/reg/2020/2093/oj</w:t>
        </w:r>
      </w:hyperlink>
      <w:r w:rsidRPr="00421E20">
        <w:rPr>
          <w:sz w:val="24"/>
          <w:lang w:val="ro-RO"/>
        </w:rPr>
        <w:t>).</w:t>
      </w:r>
    </w:p>
  </w:footnote>
  <w:footnote w:id="9">
    <w:p w14:paraId="61DE32FD" w14:textId="1BAC03E5"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 xml:space="preserve">Regulamentul (UE, Euratom) 2023/2841 al Parlamentului European și al Consiliului din 13 decembrie 2023 privind măsuri pentru un nivel comun ridicat de securitate cibernetică în instituțiile, organele, oficiile și agențiile Uniunii (JO L, 2023/2841, 18.12.2023, ELI: </w:t>
      </w:r>
      <w:hyperlink r:id="rId9" w:history="1">
        <w:r w:rsidRPr="00421E20">
          <w:rPr>
            <w:rStyle w:val="Hyperlink"/>
            <w:sz w:val="24"/>
            <w:lang w:val="ro-RO"/>
          </w:rPr>
          <w:t>http://data.europa.eu/eli/reg/2023/2841/oj</w:t>
        </w:r>
      </w:hyperlink>
      <w:r w:rsidRPr="00421E20">
        <w:rPr>
          <w:sz w:val="24"/>
          <w:lang w:val="ro-RO"/>
        </w:rPr>
        <w:t>).</w:t>
      </w:r>
    </w:p>
  </w:footnote>
  <w:footnote w:id="10">
    <w:p w14:paraId="24571011" w14:textId="6AED22BB"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 xml:space="preserve">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 </w:t>
      </w:r>
      <w:hyperlink r:id="rId10" w:history="1">
        <w:r w:rsidRPr="00421E20">
          <w:rPr>
            <w:rStyle w:val="Hyperlink"/>
            <w:sz w:val="24"/>
            <w:lang w:val="ro-RO"/>
          </w:rPr>
          <w:t>http://data.europa.eu/eli/reg/2024/1689/oj</w:t>
        </w:r>
      </w:hyperlink>
      <w:r w:rsidRPr="00421E20">
        <w:rPr>
          <w:sz w:val="24"/>
          <w:lang w:val="ro-RO"/>
        </w:rPr>
        <w:t>).</w:t>
      </w:r>
    </w:p>
  </w:footnote>
  <w:footnote w:id="11">
    <w:p w14:paraId="3B103531" w14:textId="71D9AB0C"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Decizia Biroului Parlamentului European din 12 iunie 2023 de modificare a Normelor de aplicare a Statutului deputaților în Parlamentul European (JO C 227, 29.6.2023, p. 5).</w:t>
      </w:r>
    </w:p>
  </w:footnote>
  <w:footnote w:id="12">
    <w:p w14:paraId="77D56A8B" w14:textId="180C04BA"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Regulamentul (UE, Euratom) 2025/2445 al Parlamentului European și al Consiliului din 26 noiembrie 2025 privind statutul și finanțarea partidelor politice europene și a fundațiilor politice europene (JO L, 2025/2445, 8.12.2025, ELI:</w:t>
      </w:r>
      <w:r w:rsidR="003B7212" w:rsidRPr="00421E20">
        <w:rPr>
          <w:sz w:val="24"/>
          <w:lang w:val="ro-RO"/>
        </w:rPr>
        <w:t xml:space="preserve">  </w:t>
      </w:r>
      <w:hyperlink r:id="rId11" w:history="1">
        <w:r w:rsidR="003B7212" w:rsidRPr="00421E20">
          <w:rPr>
            <w:rStyle w:val="Hyperlink"/>
            <w:sz w:val="24"/>
            <w:lang w:val="ro-RO"/>
          </w:rPr>
          <w:t>http://data.europa.eu/eli/reg/2025/2445/oj</w:t>
        </w:r>
      </w:hyperlink>
      <w:r w:rsidRPr="00421E20">
        <w:rPr>
          <w:sz w:val="24"/>
          <w:lang w:val="ro-RO"/>
        </w:rPr>
        <w:t>).</w:t>
      </w:r>
    </w:p>
  </w:footnote>
  <w:footnote w:id="13">
    <w:p w14:paraId="51655D37" w14:textId="6855981B"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 xml:space="preserve">Toate sumele sunt exprimate în EUR. </w:t>
      </w:r>
    </w:p>
  </w:footnote>
  <w:footnote w:id="14">
    <w:p w14:paraId="38B5F799" w14:textId="77629316"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Compusă din a doua parte a finanțării finale din 2023 și prima parte a finanțării finale pentru 2024, în conformitate cu Decizia Biroului din 9 martie 2026.</w:t>
      </w:r>
    </w:p>
  </w:footnote>
  <w:footnote w:id="15">
    <w:p w14:paraId="37E882A6" w14:textId="07F59C5D"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Conturile GAAP pe 2024 ajustate cu impactul reclasificărilor din închiderea exercițiului 2024.</w:t>
      </w:r>
    </w:p>
  </w:footnote>
  <w:footnote w:id="16">
    <w:p w14:paraId="6DE8DA84" w14:textId="624114C2"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„Patriots.eu” începând din iulie 2024.</w:t>
      </w:r>
    </w:p>
  </w:footnote>
  <w:footnote w:id="17">
    <w:p w14:paraId="1913ED58" w14:textId="504698F1"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„Partidul Politic Creștin European” din martie 2025.</w:t>
      </w:r>
    </w:p>
  </w:footnote>
  <w:footnote w:id="18">
    <w:p w14:paraId="2C851852" w14:textId="4D93E83E" w:rsidR="007C42D1" w:rsidRPr="00421E20" w:rsidRDefault="007C42D1" w:rsidP="00AC2FED">
      <w:pPr>
        <w:pStyle w:val="FootnoteText"/>
        <w:ind w:left="567" w:hanging="567"/>
        <w:rPr>
          <w:sz w:val="24"/>
          <w:szCs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 xml:space="preserve">Toate sumele sunt exprimate în EUR. </w:t>
      </w:r>
    </w:p>
  </w:footnote>
  <w:footnote w:id="19">
    <w:p w14:paraId="0902C2FB" w14:textId="6EECBD32"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Conturile GAAP pe 2024 ajustate cu impactul reclasificărilor din închiderea exercițiului 2024.</w:t>
      </w:r>
    </w:p>
  </w:footnote>
  <w:footnote w:id="20">
    <w:p w14:paraId="49FECBB5" w14:textId="5D5CA1E5" w:rsidR="007C42D1" w:rsidRPr="00421E20"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„Noua Direcție – Fundația pentru Conservatism European” începând din iulie 2025.</w:t>
      </w:r>
    </w:p>
  </w:footnote>
  <w:footnote w:id="21">
    <w:p w14:paraId="4ED9C541" w14:textId="4ECA82CE" w:rsidR="007C42D1" w:rsidRPr="00AC2FED" w:rsidRDefault="007C42D1" w:rsidP="00AC2FED">
      <w:pPr>
        <w:pStyle w:val="FootnoteText"/>
        <w:ind w:left="567" w:hanging="567"/>
        <w:rPr>
          <w:sz w:val="24"/>
          <w:lang w:val="ro-RO"/>
        </w:rPr>
      </w:pPr>
      <w:r w:rsidRPr="00421E20">
        <w:rPr>
          <w:rStyle w:val="FootnoteReference"/>
          <w:sz w:val="24"/>
          <w:lang w:val="ro-RO"/>
        </w:rPr>
        <w:footnoteRef/>
      </w:r>
      <w:r w:rsidR="00AC2FED" w:rsidRPr="00421E20">
        <w:rPr>
          <w:sz w:val="24"/>
          <w:lang w:val="ro-RO"/>
        </w:rPr>
        <w:t xml:space="preserve"> </w:t>
      </w:r>
      <w:r w:rsidR="00AC2FED" w:rsidRPr="00421E20">
        <w:rPr>
          <w:sz w:val="24"/>
          <w:lang w:val="ro-RO"/>
        </w:rPr>
        <w:tab/>
      </w:r>
      <w:r w:rsidRPr="00421E20">
        <w:rPr>
          <w:sz w:val="24"/>
          <w:lang w:val="ro-RO"/>
        </w:rPr>
        <w:t>Fundația „Patrioți pentru Europa” din octombrie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813B" w14:textId="77777777" w:rsidR="00064002" w:rsidRPr="00AC2F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5B048" w14:textId="77777777" w:rsidR="00064002" w:rsidRPr="00AC2F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13A4" w14:textId="77777777" w:rsidR="00064002" w:rsidRPr="00AC2F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5960598">
    <w:abstractNumId w:val="9"/>
  </w:num>
  <w:num w:numId="2" w16cid:durableId="740755919">
    <w:abstractNumId w:val="9"/>
  </w:num>
  <w:num w:numId="3" w16cid:durableId="1577936106">
    <w:abstractNumId w:val="7"/>
  </w:num>
  <w:num w:numId="4" w16cid:durableId="590743593">
    <w:abstractNumId w:val="7"/>
  </w:num>
  <w:num w:numId="5" w16cid:durableId="766389165">
    <w:abstractNumId w:val="6"/>
  </w:num>
  <w:num w:numId="6" w16cid:durableId="1690905937">
    <w:abstractNumId w:val="6"/>
  </w:num>
  <w:num w:numId="7" w16cid:durableId="14120338">
    <w:abstractNumId w:val="5"/>
  </w:num>
  <w:num w:numId="8" w16cid:durableId="491677668">
    <w:abstractNumId w:val="5"/>
  </w:num>
  <w:num w:numId="9" w16cid:durableId="1801535872">
    <w:abstractNumId w:val="4"/>
  </w:num>
  <w:num w:numId="10" w16cid:durableId="189144195">
    <w:abstractNumId w:val="4"/>
  </w:num>
  <w:num w:numId="11" w16cid:durableId="1329753274">
    <w:abstractNumId w:val="8"/>
  </w:num>
  <w:num w:numId="12" w16cid:durableId="735592019">
    <w:abstractNumId w:val="8"/>
  </w:num>
  <w:num w:numId="13" w16cid:durableId="1543596569">
    <w:abstractNumId w:val="3"/>
  </w:num>
  <w:num w:numId="14" w16cid:durableId="1631744845">
    <w:abstractNumId w:val="3"/>
  </w:num>
  <w:num w:numId="15" w16cid:durableId="1393893637">
    <w:abstractNumId w:val="2"/>
  </w:num>
  <w:num w:numId="16" w16cid:durableId="369456185">
    <w:abstractNumId w:val="2"/>
  </w:num>
  <w:num w:numId="17" w16cid:durableId="109594911">
    <w:abstractNumId w:val="1"/>
  </w:num>
  <w:num w:numId="18" w16cid:durableId="1528253418">
    <w:abstractNumId w:val="1"/>
  </w:num>
  <w:num w:numId="19" w16cid:durableId="191111473">
    <w:abstractNumId w:val="0"/>
  </w:num>
  <w:num w:numId="20" w16cid:durableId="1183781678">
    <w:abstractNumId w:val="0"/>
  </w:num>
  <w:num w:numId="21" w16cid:durableId="2049334208">
    <w:abstractNumId w:val="9"/>
  </w:num>
  <w:num w:numId="22" w16cid:durableId="1757365700">
    <w:abstractNumId w:val="7"/>
  </w:num>
  <w:num w:numId="23" w16cid:durableId="508953641">
    <w:abstractNumId w:val="6"/>
  </w:num>
  <w:num w:numId="24" w16cid:durableId="546721266">
    <w:abstractNumId w:val="5"/>
  </w:num>
  <w:num w:numId="25" w16cid:durableId="1076509658">
    <w:abstractNumId w:val="4"/>
  </w:num>
  <w:num w:numId="26" w16cid:durableId="936325124">
    <w:abstractNumId w:val="8"/>
  </w:num>
  <w:num w:numId="27" w16cid:durableId="1153258330">
    <w:abstractNumId w:val="3"/>
  </w:num>
  <w:num w:numId="28" w16cid:durableId="148791305">
    <w:abstractNumId w:val="2"/>
  </w:num>
  <w:num w:numId="29" w16cid:durableId="728455249">
    <w:abstractNumId w:val="1"/>
  </w:num>
  <w:num w:numId="30" w16cid:durableId="126171174">
    <w:abstractNumId w:val="0"/>
  </w:num>
  <w:num w:numId="31" w16cid:durableId="1687904419">
    <w:abstractNumId w:val="9"/>
  </w:num>
  <w:num w:numId="32" w16cid:durableId="1310591957">
    <w:abstractNumId w:val="7"/>
  </w:num>
  <w:num w:numId="33" w16cid:durableId="1562910820">
    <w:abstractNumId w:val="6"/>
  </w:num>
  <w:num w:numId="34" w16cid:durableId="1964116707">
    <w:abstractNumId w:val="5"/>
  </w:num>
  <w:num w:numId="35" w16cid:durableId="896938771">
    <w:abstractNumId w:val="4"/>
  </w:num>
  <w:num w:numId="36" w16cid:durableId="1763796942">
    <w:abstractNumId w:val="8"/>
  </w:num>
  <w:num w:numId="37" w16cid:durableId="1879582926">
    <w:abstractNumId w:val="3"/>
  </w:num>
  <w:num w:numId="38" w16cid:durableId="542982853">
    <w:abstractNumId w:val="2"/>
  </w:num>
  <w:num w:numId="39" w16cid:durableId="255749435">
    <w:abstractNumId w:val="1"/>
  </w:num>
  <w:num w:numId="40" w16cid:durableId="66273325">
    <w:abstractNumId w:val="0"/>
  </w:num>
  <w:num w:numId="41" w16cid:durableId="1612468710">
    <w:abstractNumId w:val="10"/>
  </w:num>
  <w:num w:numId="42" w16cid:durableId="465393004">
    <w:abstractNumId w:val="10"/>
  </w:num>
  <w:num w:numId="43" w16cid:durableId="328991889">
    <w:abstractNumId w:val="10"/>
  </w:num>
  <w:num w:numId="44" w16cid:durableId="2739503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RO"/>
    <w:docVar w:name="dvnumam" w:val="0"/>
    <w:docVar w:name="dvpe" w:val="776.734"/>
    <w:docVar w:name="dvrapporteur" w:val="Raportor: "/>
    <w:docVar w:name="dvtitre" w:val="Decizia Parlamentului European din 28 aprilie 2026 privind descărcarea de gestiune pentru execuția bugetului general al Uniunii Europene aferent exercițiului financiar 2024, secțiunea I - Parlamentul European(2025/2146(DEC))"/>
  </w:docVars>
  <w:rsids>
    <w:rsidRoot w:val="00DC3855"/>
    <w:rsid w:val="00002272"/>
    <w:rsid w:val="00064002"/>
    <w:rsid w:val="000677B9"/>
    <w:rsid w:val="000831BA"/>
    <w:rsid w:val="000A42CC"/>
    <w:rsid w:val="000E7DD9"/>
    <w:rsid w:val="0010095E"/>
    <w:rsid w:val="00125B37"/>
    <w:rsid w:val="00187494"/>
    <w:rsid w:val="001F32AE"/>
    <w:rsid w:val="001F5B91"/>
    <w:rsid w:val="002767FF"/>
    <w:rsid w:val="002B18FE"/>
    <w:rsid w:val="002B5493"/>
    <w:rsid w:val="002B760D"/>
    <w:rsid w:val="002D14F5"/>
    <w:rsid w:val="00343214"/>
    <w:rsid w:val="00361C00"/>
    <w:rsid w:val="00395FA1"/>
    <w:rsid w:val="003B7212"/>
    <w:rsid w:val="003E15D4"/>
    <w:rsid w:val="00411CCE"/>
    <w:rsid w:val="0041666E"/>
    <w:rsid w:val="00421060"/>
    <w:rsid w:val="00421E20"/>
    <w:rsid w:val="0046710F"/>
    <w:rsid w:val="00471C19"/>
    <w:rsid w:val="004867E3"/>
    <w:rsid w:val="00494A28"/>
    <w:rsid w:val="004C0004"/>
    <w:rsid w:val="004C5D52"/>
    <w:rsid w:val="0050519A"/>
    <w:rsid w:val="005072A1"/>
    <w:rsid w:val="00514517"/>
    <w:rsid w:val="00545827"/>
    <w:rsid w:val="00560270"/>
    <w:rsid w:val="00572BD0"/>
    <w:rsid w:val="005C2568"/>
    <w:rsid w:val="005C28D7"/>
    <w:rsid w:val="005F1B17"/>
    <w:rsid w:val="006037C0"/>
    <w:rsid w:val="00653751"/>
    <w:rsid w:val="006631B6"/>
    <w:rsid w:val="00680577"/>
    <w:rsid w:val="00694D1E"/>
    <w:rsid w:val="006B1879"/>
    <w:rsid w:val="006F74FA"/>
    <w:rsid w:val="00705D3F"/>
    <w:rsid w:val="00712212"/>
    <w:rsid w:val="00731ADD"/>
    <w:rsid w:val="00734777"/>
    <w:rsid w:val="0074466D"/>
    <w:rsid w:val="00747932"/>
    <w:rsid w:val="00751A4A"/>
    <w:rsid w:val="00756632"/>
    <w:rsid w:val="00762C74"/>
    <w:rsid w:val="00786EC0"/>
    <w:rsid w:val="007C42D1"/>
    <w:rsid w:val="007D1690"/>
    <w:rsid w:val="007E22AD"/>
    <w:rsid w:val="00817416"/>
    <w:rsid w:val="00842779"/>
    <w:rsid w:val="008641CB"/>
    <w:rsid w:val="00865F67"/>
    <w:rsid w:val="00881A7B"/>
    <w:rsid w:val="008840E5"/>
    <w:rsid w:val="00887B3E"/>
    <w:rsid w:val="008C2AC6"/>
    <w:rsid w:val="00930C23"/>
    <w:rsid w:val="0093193B"/>
    <w:rsid w:val="00931AB6"/>
    <w:rsid w:val="009509D8"/>
    <w:rsid w:val="00950B64"/>
    <w:rsid w:val="00981893"/>
    <w:rsid w:val="009A42A2"/>
    <w:rsid w:val="00A1687D"/>
    <w:rsid w:val="00A43E52"/>
    <w:rsid w:val="00A4678D"/>
    <w:rsid w:val="00A778C7"/>
    <w:rsid w:val="00AA6658"/>
    <w:rsid w:val="00AB441E"/>
    <w:rsid w:val="00AB6293"/>
    <w:rsid w:val="00AC2FED"/>
    <w:rsid w:val="00AE0928"/>
    <w:rsid w:val="00AF3B82"/>
    <w:rsid w:val="00B039C9"/>
    <w:rsid w:val="00B12E95"/>
    <w:rsid w:val="00B13B02"/>
    <w:rsid w:val="00B22876"/>
    <w:rsid w:val="00B558F0"/>
    <w:rsid w:val="00BD48FE"/>
    <w:rsid w:val="00BD7BD8"/>
    <w:rsid w:val="00BE6ADC"/>
    <w:rsid w:val="00C05BFE"/>
    <w:rsid w:val="00C23CD4"/>
    <w:rsid w:val="00C61C0C"/>
    <w:rsid w:val="00C941CB"/>
    <w:rsid w:val="00CC2357"/>
    <w:rsid w:val="00CF071A"/>
    <w:rsid w:val="00CF69AE"/>
    <w:rsid w:val="00D058B8"/>
    <w:rsid w:val="00D27A41"/>
    <w:rsid w:val="00D56C11"/>
    <w:rsid w:val="00D834A0"/>
    <w:rsid w:val="00D872DF"/>
    <w:rsid w:val="00D91E21"/>
    <w:rsid w:val="00DA7FCD"/>
    <w:rsid w:val="00DC3855"/>
    <w:rsid w:val="00E336DF"/>
    <w:rsid w:val="00E365E1"/>
    <w:rsid w:val="00E820A4"/>
    <w:rsid w:val="00EB006A"/>
    <w:rsid w:val="00EB4772"/>
    <w:rsid w:val="00ED169E"/>
    <w:rsid w:val="00ED4235"/>
    <w:rsid w:val="00F04346"/>
    <w:rsid w:val="00F075DC"/>
    <w:rsid w:val="00F149E9"/>
    <w:rsid w:val="00F5134D"/>
    <w:rsid w:val="00F74202"/>
    <w:rsid w:val="00F87713"/>
    <w:rsid w:val="00F91739"/>
    <w:rsid w:val="00FB0A2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8167EC"/>
  <w15:chartTrackingRefBased/>
  <w15:docId w15:val="{A58B3B90-CB28-493A-AA74-EC31AF1A3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C42D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C42D1"/>
    <w:pPr>
      <w:spacing w:before="480" w:after="240"/>
    </w:pPr>
  </w:style>
  <w:style w:type="paragraph" w:customStyle="1" w:styleId="PageHeading">
    <w:name w:val="PageHeading"/>
    <w:basedOn w:val="Normal"/>
    <w:rsid w:val="007C42D1"/>
    <w:pPr>
      <w:keepNext/>
      <w:spacing w:after="480"/>
      <w:jc w:val="center"/>
    </w:pPr>
    <w:rPr>
      <w:rFonts w:ascii="Arial" w:hAnsi="Arial" w:cs="Arial"/>
      <w:b/>
    </w:rPr>
  </w:style>
  <w:style w:type="paragraph" w:customStyle="1" w:styleId="NormalBold">
    <w:name w:val="NormalBold"/>
    <w:basedOn w:val="Normal"/>
    <w:rsid w:val="007C42D1"/>
    <w:rPr>
      <w:b/>
    </w:rPr>
  </w:style>
  <w:style w:type="paragraph" w:customStyle="1" w:styleId="NormalHanging12a">
    <w:name w:val="NormalHanging12a"/>
    <w:basedOn w:val="Normal"/>
    <w:link w:val="NormalHanging12aChar"/>
    <w:rsid w:val="007C42D1"/>
    <w:pPr>
      <w:spacing w:after="240"/>
      <w:ind w:left="567" w:hanging="567"/>
    </w:pPr>
  </w:style>
  <w:style w:type="paragraph" w:customStyle="1" w:styleId="EPFooter">
    <w:name w:val="EPFooter"/>
    <w:basedOn w:val="Normal"/>
    <w:rsid w:val="007C42D1"/>
    <w:pPr>
      <w:tabs>
        <w:tab w:val="center" w:pos="4535"/>
        <w:tab w:val="right" w:pos="9071"/>
      </w:tabs>
      <w:spacing w:before="240" w:after="240"/>
    </w:pPr>
    <w:rPr>
      <w:color w:val="010000"/>
      <w:sz w:val="22"/>
    </w:rPr>
  </w:style>
  <w:style w:type="paragraph" w:styleId="Header">
    <w:name w:val="header"/>
    <w:basedOn w:val="Normal"/>
    <w:link w:val="HeaderChar"/>
    <w:rsid w:val="007C42D1"/>
    <w:pPr>
      <w:tabs>
        <w:tab w:val="center" w:pos="4513"/>
        <w:tab w:val="right" w:pos="9026"/>
      </w:tabs>
    </w:pPr>
  </w:style>
  <w:style w:type="character" w:customStyle="1" w:styleId="HeaderChar">
    <w:name w:val="Header Char"/>
    <w:basedOn w:val="DefaultParagraphFont"/>
    <w:link w:val="Header"/>
    <w:rsid w:val="007C42D1"/>
    <w:rPr>
      <w:sz w:val="24"/>
      <w:lang w:val="ro-RO"/>
    </w:rPr>
  </w:style>
  <w:style w:type="character" w:styleId="Hyperlink">
    <w:name w:val="Hyperlink"/>
    <w:basedOn w:val="DefaultParagraphFont"/>
    <w:rsid w:val="007C42D1"/>
    <w:rPr>
      <w:color w:val="0563C1" w:themeColor="hyperlink"/>
      <w:u w:val="single"/>
    </w:rPr>
  </w:style>
  <w:style w:type="character" w:customStyle="1" w:styleId="s1">
    <w:name w:val="s1"/>
    <w:basedOn w:val="DefaultParagraphFont"/>
    <w:rsid w:val="007C42D1"/>
  </w:style>
  <w:style w:type="character" w:customStyle="1" w:styleId="NormalHanging12aChar">
    <w:name w:val="NormalHanging12a Char"/>
    <w:basedOn w:val="DefaultParagraphFont"/>
    <w:link w:val="NormalHanging12a"/>
    <w:rsid w:val="007C42D1"/>
    <w:rPr>
      <w:sz w:val="24"/>
      <w:lang w:val="ro-RO"/>
    </w:rPr>
  </w:style>
  <w:style w:type="paragraph" w:customStyle="1" w:styleId="Normal24a">
    <w:name w:val="Normal24a"/>
    <w:basedOn w:val="Normal"/>
    <w:rsid w:val="007C42D1"/>
    <w:pPr>
      <w:spacing w:after="480"/>
    </w:pPr>
    <w:rPr>
      <w:szCs w:val="24"/>
    </w:rPr>
  </w:style>
  <w:style w:type="paragraph" w:styleId="Footer">
    <w:name w:val="footer"/>
    <w:basedOn w:val="Normal"/>
    <w:link w:val="FooterChar"/>
    <w:rsid w:val="002B760D"/>
    <w:pPr>
      <w:tabs>
        <w:tab w:val="center" w:pos="4513"/>
        <w:tab w:val="right" w:pos="9026"/>
      </w:tabs>
    </w:pPr>
  </w:style>
  <w:style w:type="character" w:customStyle="1" w:styleId="FooterChar">
    <w:name w:val="Footer Char"/>
    <w:basedOn w:val="DefaultParagraphFont"/>
    <w:link w:val="Footer"/>
    <w:rsid w:val="002B760D"/>
    <w:rPr>
      <w:sz w:val="24"/>
      <w:lang w:val="ro-RO"/>
    </w:rPr>
  </w:style>
  <w:style w:type="character" w:styleId="UnresolvedMention">
    <w:name w:val="Unresolved Mention"/>
    <w:basedOn w:val="DefaultParagraphFont"/>
    <w:uiPriority w:val="99"/>
    <w:semiHidden/>
    <w:unhideWhenUsed/>
    <w:rsid w:val="003B7212"/>
    <w:rPr>
      <w:color w:val="605E5C"/>
      <w:shd w:val="clear" w:color="auto" w:fill="E1DFDD"/>
    </w:rPr>
  </w:style>
  <w:style w:type="paragraph" w:styleId="Revision">
    <w:name w:val="Revision"/>
    <w:hidden/>
    <w:uiPriority w:val="99"/>
    <w:semiHidden/>
    <w:rsid w:val="009A42A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14992</Words>
  <Characters>88186</Characters>
  <Application>Microsoft Office Word</Application>
  <DocSecurity>0</DocSecurity>
  <Lines>734</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2026-05-19T14:24:00Z</dcterms:created>
  <dcterms:modified xsi:type="dcterms:W3CDTF">2026-05-19T14:24:00Z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P10_TA(2026)0126_</vt:lpwstr>
  </property>
  <property fmtid="{D5CDD505-2E9C-101B-9397-08002B2CF9AE}" pid="4" name="&lt;Type&gt;">
    <vt:lpwstr>RR</vt:lpwstr>
  </property>
</Properties>
</file>