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2F6C" w14:paraId="5ADF532F" w14:textId="77777777" w:rsidTr="0010095E">
        <w:trPr>
          <w:trHeight w:hRule="exact" w:val="1418"/>
        </w:trPr>
        <w:tc>
          <w:tcPr>
            <w:tcW w:w="6804" w:type="dxa"/>
            <w:shd w:val="clear" w:color="auto" w:fill="auto"/>
            <w:vAlign w:val="center"/>
          </w:tcPr>
          <w:p w14:paraId="635DBAB8" w14:textId="77777777" w:rsidR="00751A4A" w:rsidRPr="00642F6C" w:rsidRDefault="00B526C3" w:rsidP="0010095E">
            <w:pPr>
              <w:pStyle w:val="EPName"/>
            </w:pPr>
            <w:r w:rsidRPr="00642F6C">
              <w:t>Evropski parlament</w:t>
            </w:r>
          </w:p>
          <w:p w14:paraId="1DD1043B" w14:textId="77777777" w:rsidR="00751A4A" w:rsidRPr="00642F6C" w:rsidRDefault="005F1B17" w:rsidP="005F1B17">
            <w:pPr>
              <w:pStyle w:val="EPTerm"/>
              <w:rPr>
                <w:rStyle w:val="HideTWBExt"/>
                <w:noProof w:val="0"/>
                <w:vanish w:val="0"/>
                <w:color w:val="auto"/>
              </w:rPr>
            </w:pPr>
            <w:r w:rsidRPr="00642F6C">
              <w:t>2024</w:t>
            </w:r>
            <w:r w:rsidR="00817416" w:rsidRPr="00642F6C">
              <w:t>-202</w:t>
            </w:r>
            <w:r w:rsidRPr="00642F6C">
              <w:t>9</w:t>
            </w:r>
          </w:p>
        </w:tc>
        <w:tc>
          <w:tcPr>
            <w:tcW w:w="2268" w:type="dxa"/>
            <w:shd w:val="clear" w:color="auto" w:fill="auto"/>
          </w:tcPr>
          <w:p w14:paraId="769C07AC" w14:textId="77777777" w:rsidR="00751A4A" w:rsidRPr="00642F6C" w:rsidRDefault="00187494" w:rsidP="0010095E">
            <w:pPr>
              <w:pStyle w:val="EPLogo"/>
            </w:pPr>
            <w:r w:rsidRPr="00642F6C">
              <w:rPr>
                <w:noProof/>
                <w:lang w:eastAsia="ja-JP"/>
              </w:rPr>
              <w:drawing>
                <wp:inline distT="0" distB="0" distL="0" distR="0" wp14:anchorId="3963EB8F" wp14:editId="4950A8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871C19" w14:textId="77777777" w:rsidR="00D058B8" w:rsidRPr="00642F6C" w:rsidRDefault="00D058B8" w:rsidP="004C5D52">
      <w:pPr>
        <w:pStyle w:val="LineTop"/>
      </w:pPr>
    </w:p>
    <w:p w14:paraId="0E4DC5C0" w14:textId="77777777" w:rsidR="00680577" w:rsidRPr="00642F6C" w:rsidRDefault="00B526C3" w:rsidP="00680577">
      <w:pPr>
        <w:pStyle w:val="EPBodyTA1"/>
      </w:pPr>
      <w:r w:rsidRPr="00642F6C">
        <w:t>SPREJETA BESEDILA</w:t>
      </w:r>
    </w:p>
    <w:p w14:paraId="58A801FC" w14:textId="77777777" w:rsidR="00D058B8" w:rsidRPr="00642F6C" w:rsidRDefault="00D058B8" w:rsidP="00D058B8">
      <w:pPr>
        <w:pStyle w:val="LineBottom"/>
      </w:pPr>
    </w:p>
    <w:p w14:paraId="4060F2F8" w14:textId="530DCBD9" w:rsidR="00B526C3" w:rsidRPr="00642F6C" w:rsidRDefault="00B526C3" w:rsidP="00B526C3">
      <w:pPr>
        <w:pStyle w:val="ATHeading1"/>
      </w:pPr>
      <w:bookmarkStart w:id="0" w:name="TANumber"/>
      <w:r w:rsidRPr="00642F6C">
        <w:t>P10_TA(2026)</w:t>
      </w:r>
      <w:bookmarkEnd w:id="0"/>
      <w:r w:rsidR="008D1007" w:rsidRPr="00642F6C">
        <w:t>0126</w:t>
      </w:r>
    </w:p>
    <w:p w14:paraId="6255E670" w14:textId="002F3904" w:rsidR="00B526C3" w:rsidRPr="00642F6C" w:rsidRDefault="00F6327D" w:rsidP="00B526C3">
      <w:pPr>
        <w:pStyle w:val="ATHeading2"/>
      </w:pPr>
      <w:bookmarkStart w:id="1" w:name="title"/>
      <w:r w:rsidRPr="00642F6C">
        <w:t>Razrešnica za leto 2024: splošni proračun EU – Evropski parlament</w:t>
      </w:r>
      <w:bookmarkEnd w:id="1"/>
    </w:p>
    <w:p w14:paraId="1476486E" w14:textId="77777777" w:rsidR="00B526C3" w:rsidRPr="00642F6C" w:rsidRDefault="00B526C3" w:rsidP="00B526C3">
      <w:pPr>
        <w:rPr>
          <w:i/>
          <w:vanish/>
        </w:rPr>
      </w:pPr>
      <w:r w:rsidRPr="00642F6C">
        <w:rPr>
          <w:i/>
        </w:rPr>
        <w:fldChar w:fldCharType="begin"/>
      </w:r>
      <w:r w:rsidRPr="00642F6C">
        <w:rPr>
          <w:i/>
        </w:rPr>
        <w:instrText xml:space="preserve"> TC"(</w:instrText>
      </w:r>
      <w:bookmarkStart w:id="2" w:name="DocNumber"/>
      <w:r w:rsidRPr="00642F6C">
        <w:rPr>
          <w:i/>
        </w:rPr>
        <w:instrText>A10-0081/2026</w:instrText>
      </w:r>
      <w:bookmarkEnd w:id="2"/>
      <w:r w:rsidRPr="00642F6C">
        <w:rPr>
          <w:i/>
        </w:rPr>
        <w:instrText xml:space="preserve"> - Poročevalec: </w:instrText>
      </w:r>
      <w:proofErr w:type="spellStart"/>
      <w:r w:rsidRPr="00642F6C">
        <w:rPr>
          <w:i/>
        </w:rPr>
        <w:instrText>Gerben</w:instrText>
      </w:r>
      <w:proofErr w:type="spellEnd"/>
      <w:r w:rsidRPr="00642F6C">
        <w:rPr>
          <w:i/>
        </w:rPr>
        <w:instrText xml:space="preserve">-Jan </w:instrText>
      </w:r>
      <w:proofErr w:type="spellStart"/>
      <w:r w:rsidRPr="00642F6C">
        <w:rPr>
          <w:i/>
        </w:rPr>
        <w:instrText>Gerbrandy</w:instrText>
      </w:r>
      <w:proofErr w:type="spellEnd"/>
      <w:r w:rsidRPr="00642F6C">
        <w:rPr>
          <w:i/>
        </w:rPr>
        <w:instrText xml:space="preserve">)"\l3 \n&gt; \* MERGEFORMAT </w:instrText>
      </w:r>
      <w:r w:rsidRPr="00642F6C">
        <w:rPr>
          <w:i/>
        </w:rPr>
        <w:fldChar w:fldCharType="end"/>
      </w:r>
    </w:p>
    <w:p w14:paraId="18C57376" w14:textId="77777777" w:rsidR="00B526C3" w:rsidRPr="00642F6C" w:rsidRDefault="00B526C3" w:rsidP="00B526C3">
      <w:pPr>
        <w:rPr>
          <w:vanish/>
        </w:rPr>
      </w:pPr>
      <w:bookmarkStart w:id="3" w:name="Commission"/>
      <w:r w:rsidRPr="00642F6C">
        <w:rPr>
          <w:vanish/>
        </w:rPr>
        <w:t>Odbor za proračunski nadzor</w:t>
      </w:r>
      <w:bookmarkEnd w:id="3"/>
    </w:p>
    <w:p w14:paraId="69EB44FD" w14:textId="77777777" w:rsidR="00B526C3" w:rsidRPr="00642F6C" w:rsidRDefault="00B526C3" w:rsidP="00B526C3">
      <w:pPr>
        <w:rPr>
          <w:vanish/>
        </w:rPr>
      </w:pPr>
      <w:bookmarkStart w:id="4" w:name="PE"/>
      <w:r w:rsidRPr="00642F6C">
        <w:rPr>
          <w:vanish/>
        </w:rPr>
        <w:t>PE776.734</w:t>
      </w:r>
      <w:bookmarkEnd w:id="4"/>
    </w:p>
    <w:p w14:paraId="01C296EC" w14:textId="2A1AB982" w:rsidR="00B526C3" w:rsidRPr="00642F6C" w:rsidRDefault="00063CF7" w:rsidP="00B526C3">
      <w:pPr>
        <w:pStyle w:val="ATHeading3"/>
      </w:pPr>
      <w:bookmarkStart w:id="5" w:name="Sujet"/>
      <w:r w:rsidRPr="00642F6C">
        <w:t xml:space="preserve">1. </w:t>
      </w:r>
      <w:r w:rsidR="00B526C3" w:rsidRPr="00642F6C">
        <w:t xml:space="preserve">Sklep Evropskega parlamenta z dne </w:t>
      </w:r>
      <w:r w:rsidR="00430000" w:rsidRPr="00642F6C">
        <w:t>29. aprila</w:t>
      </w:r>
      <w:r w:rsidR="00B526C3" w:rsidRPr="00642F6C">
        <w:t xml:space="preserve"> 2026 o razrešnici glede izvrševanja splošnega proračuna Evropske unije za proračunsko leto 2024, oddelek I – Evropski parlament</w:t>
      </w:r>
      <w:bookmarkEnd w:id="5"/>
      <w:r w:rsidR="00B526C3" w:rsidRPr="00642F6C">
        <w:t xml:space="preserve"> </w:t>
      </w:r>
      <w:bookmarkStart w:id="6" w:name="References"/>
      <w:r w:rsidR="00B526C3" w:rsidRPr="00642F6C">
        <w:t>(2025/2146(DEC))</w:t>
      </w:r>
      <w:bookmarkEnd w:id="6"/>
    </w:p>
    <w:p w14:paraId="1A6AA5BE" w14:textId="77777777" w:rsidR="002777A2" w:rsidRPr="00642F6C" w:rsidRDefault="002777A2" w:rsidP="002777A2">
      <w:pPr>
        <w:pStyle w:val="EPComma"/>
        <w:rPr>
          <w:noProof/>
        </w:rPr>
      </w:pPr>
      <w:bookmarkStart w:id="7" w:name="TextBodyBegin"/>
      <w:bookmarkEnd w:id="7"/>
      <w:r w:rsidRPr="00642F6C">
        <w:rPr>
          <w:i/>
        </w:rPr>
        <w:t>Evropski parlament</w:t>
      </w:r>
      <w:r w:rsidRPr="00642F6C">
        <w:t>,</w:t>
      </w:r>
    </w:p>
    <w:p w14:paraId="0865297E" w14:textId="77777777" w:rsidR="002777A2" w:rsidRPr="00642F6C" w:rsidRDefault="002777A2" w:rsidP="002777A2">
      <w:pPr>
        <w:pStyle w:val="NormalHanging12a"/>
        <w:rPr>
          <w:noProof/>
        </w:rPr>
      </w:pPr>
      <w:r w:rsidRPr="00642F6C">
        <w:t>–</w:t>
      </w:r>
      <w:r w:rsidRPr="00642F6C">
        <w:tab/>
        <w:t>ob upoštevanju splošnega proračuna Evropske unije za proračunsko leto 2024</w:t>
      </w:r>
      <w:r w:rsidRPr="00642F6C">
        <w:rPr>
          <w:rStyle w:val="FootnoteReference"/>
          <w:noProof/>
        </w:rPr>
        <w:footnoteReference w:id="1"/>
      </w:r>
      <w:r w:rsidRPr="00642F6C">
        <w:t>,</w:t>
      </w:r>
    </w:p>
    <w:p w14:paraId="2BF5747B" w14:textId="77777777" w:rsidR="002777A2" w:rsidRPr="00642F6C" w:rsidRDefault="002777A2" w:rsidP="002777A2">
      <w:pPr>
        <w:pStyle w:val="NormalHanging12a"/>
        <w:rPr>
          <w:noProof/>
        </w:rPr>
      </w:pPr>
      <w:r w:rsidRPr="00642F6C">
        <w:t>–</w:t>
      </w:r>
      <w:r w:rsidRPr="00642F6C">
        <w:tab/>
        <w:t>ob upoštevanju konsolidiranega zaključnega računa Evropske unije za proračunsko leto 2024 (COM(2025)0359 – C10</w:t>
      </w:r>
      <w:r w:rsidRPr="00642F6C">
        <w:noBreakHyphen/>
        <w:t>0146/2025)</w:t>
      </w:r>
      <w:r w:rsidRPr="00642F6C">
        <w:rPr>
          <w:rStyle w:val="FootnoteReference"/>
          <w:noProof/>
        </w:rPr>
        <w:footnoteReference w:id="2"/>
      </w:r>
      <w:r w:rsidRPr="00642F6C">
        <w:t>,</w:t>
      </w:r>
    </w:p>
    <w:p w14:paraId="028264E2" w14:textId="77777777" w:rsidR="002777A2" w:rsidRPr="00642F6C" w:rsidRDefault="002777A2" w:rsidP="002777A2">
      <w:pPr>
        <w:pStyle w:val="NormalHanging12a"/>
        <w:rPr>
          <w:noProof/>
        </w:rPr>
      </w:pPr>
      <w:r w:rsidRPr="00642F6C">
        <w:t>–</w:t>
      </w:r>
      <w:r w:rsidRPr="00642F6C">
        <w:tab/>
        <w:t xml:space="preserve">ob upoštevanju poročila o upravljanju proračuna in finančnem </w:t>
      </w:r>
      <w:proofErr w:type="spellStart"/>
      <w:r w:rsidRPr="00642F6C">
        <w:t>poslovodenju</w:t>
      </w:r>
      <w:proofErr w:type="spellEnd"/>
      <w:r w:rsidRPr="00642F6C">
        <w:t xml:space="preserve"> za proračunsko leto 2024, oddelek I – Evropski parlament</w:t>
      </w:r>
      <w:r w:rsidRPr="00642F6C">
        <w:rPr>
          <w:rStyle w:val="FootnoteReference"/>
          <w:noProof/>
        </w:rPr>
        <w:footnoteReference w:id="3"/>
      </w:r>
      <w:r w:rsidRPr="00642F6C">
        <w:t>,</w:t>
      </w:r>
    </w:p>
    <w:p w14:paraId="5F64EF8B" w14:textId="77777777" w:rsidR="002777A2" w:rsidRPr="00642F6C" w:rsidRDefault="002777A2" w:rsidP="002777A2">
      <w:pPr>
        <w:pStyle w:val="NormalHanging12a"/>
        <w:rPr>
          <w:noProof/>
        </w:rPr>
      </w:pPr>
      <w:r w:rsidRPr="00642F6C">
        <w:t>–</w:t>
      </w:r>
      <w:r w:rsidRPr="00642F6C">
        <w:tab/>
        <w:t>ob upoštevanju letnega poročila notranjega revizorja za proračunsko leto 2024,</w:t>
      </w:r>
    </w:p>
    <w:p w14:paraId="3E467F3D" w14:textId="77777777" w:rsidR="002777A2" w:rsidRPr="00642F6C" w:rsidRDefault="002777A2" w:rsidP="002777A2">
      <w:pPr>
        <w:pStyle w:val="NormalHanging12a"/>
        <w:rPr>
          <w:noProof/>
        </w:rPr>
      </w:pPr>
      <w:r w:rsidRPr="00642F6C">
        <w:t>–</w:t>
      </w:r>
      <w:r w:rsidRPr="00642F6C">
        <w:tab/>
        <w:t>ob upoštevanju letnega poročila Računskega sodišča glede izvrševanja proračuna za proračunsko leto 2024 z odgovori institucij</w:t>
      </w:r>
      <w:r w:rsidRPr="00642F6C">
        <w:rPr>
          <w:rStyle w:val="FootnoteReference"/>
          <w:noProof/>
        </w:rPr>
        <w:footnoteReference w:id="4"/>
      </w:r>
      <w:r w:rsidRPr="00642F6C">
        <w:t>,</w:t>
      </w:r>
    </w:p>
    <w:p w14:paraId="318C2C8A" w14:textId="77777777" w:rsidR="002777A2" w:rsidRPr="00642F6C" w:rsidRDefault="002777A2" w:rsidP="002777A2">
      <w:pPr>
        <w:pStyle w:val="NormalHanging12a"/>
        <w:rPr>
          <w:noProof/>
        </w:rPr>
      </w:pPr>
      <w:r w:rsidRPr="00642F6C">
        <w:t>–</w:t>
      </w:r>
      <w:r w:rsidRPr="00642F6C">
        <w:tab/>
        <w:t>ob upoštevanju izjave o zanesljivosti</w:t>
      </w:r>
      <w:r w:rsidRPr="00642F6C">
        <w:rPr>
          <w:rStyle w:val="FootnoteReference"/>
          <w:noProof/>
        </w:rPr>
        <w:footnoteReference w:id="5"/>
      </w:r>
      <w:r w:rsidRPr="00642F6C">
        <w:t xml:space="preserve"> računovodskih izkazov ter o zakonitosti in pravilnosti z njimi povezanih transakcij, ki jo je za proračunsko leto 2024 v skladu s členom 287 Pogodbe o delovanju Evropske unije predložilo Računsko sodišče,</w:t>
      </w:r>
    </w:p>
    <w:p w14:paraId="69957AC1" w14:textId="77777777" w:rsidR="002777A2" w:rsidRPr="00642F6C" w:rsidRDefault="002777A2" w:rsidP="002777A2">
      <w:pPr>
        <w:pStyle w:val="NormalHanging12a"/>
        <w:rPr>
          <w:noProof/>
        </w:rPr>
      </w:pPr>
      <w:r w:rsidRPr="00642F6C">
        <w:t>–</w:t>
      </w:r>
      <w:r w:rsidRPr="00642F6C">
        <w:tab/>
        <w:t>ob upoštevanju člena 314(10) in člena 318 Pogodbe o delovanju Evropske unije,</w:t>
      </w:r>
    </w:p>
    <w:p w14:paraId="2693290A" w14:textId="77777777" w:rsidR="002777A2" w:rsidRPr="00642F6C" w:rsidRDefault="002777A2" w:rsidP="002777A2">
      <w:pPr>
        <w:pStyle w:val="NormalHanging12a"/>
        <w:rPr>
          <w:noProof/>
        </w:rPr>
      </w:pPr>
      <w:r w:rsidRPr="00642F6C">
        <w:t>–</w:t>
      </w:r>
      <w:r w:rsidRPr="00642F6C">
        <w:tab/>
        <w:t xml:space="preserve">ob upoštevanju Uredbe (EU, </w:t>
      </w:r>
      <w:proofErr w:type="spellStart"/>
      <w:r w:rsidRPr="00642F6C">
        <w:t>Euratom</w:t>
      </w:r>
      <w:proofErr w:type="spellEnd"/>
      <w:r w:rsidRPr="00642F6C">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642F6C">
        <w:t>Euratom</w:t>
      </w:r>
      <w:proofErr w:type="spellEnd"/>
      <w:r w:rsidRPr="00642F6C">
        <w:t xml:space="preserve">) št. </w:t>
      </w:r>
      <w:r w:rsidRPr="00642F6C">
        <w:lastRenderedPageBreak/>
        <w:t>966/2012</w:t>
      </w:r>
      <w:r w:rsidRPr="00642F6C">
        <w:rPr>
          <w:rStyle w:val="FootnoteReference"/>
          <w:noProof/>
        </w:rPr>
        <w:footnoteReference w:id="6"/>
      </w:r>
      <w:r w:rsidRPr="00642F6C">
        <w:t xml:space="preserve"> in zlasti členov 260, 261 in 262,</w:t>
      </w:r>
    </w:p>
    <w:p w14:paraId="769A1FD3" w14:textId="77777777" w:rsidR="002777A2" w:rsidRPr="00642F6C" w:rsidRDefault="002777A2" w:rsidP="002777A2">
      <w:pPr>
        <w:pStyle w:val="NormalHanging12a"/>
        <w:rPr>
          <w:noProof/>
        </w:rPr>
      </w:pPr>
      <w:r w:rsidRPr="00642F6C">
        <w:t>–</w:t>
      </w:r>
      <w:r w:rsidRPr="00642F6C">
        <w:tab/>
        <w:t xml:space="preserve">ob upoštevanju Uredbe (EU, </w:t>
      </w:r>
      <w:proofErr w:type="spellStart"/>
      <w:r w:rsidRPr="00642F6C">
        <w:t>Euratom</w:t>
      </w:r>
      <w:proofErr w:type="spellEnd"/>
      <w:r w:rsidRPr="00642F6C">
        <w:t>) 2024/2509 Evropskega parlamenta in Sveta z dne 23. septembra 2024 o finančnih pravilih, ki se uporabljajo za splošni proračun Unije</w:t>
      </w:r>
      <w:r w:rsidRPr="00642F6C">
        <w:rPr>
          <w:rStyle w:val="FootnoteReference"/>
          <w:noProof/>
        </w:rPr>
        <w:footnoteReference w:id="7"/>
      </w:r>
      <w:r w:rsidRPr="00642F6C">
        <w:t>, in zlasti členov 266, 267 in 268,</w:t>
      </w:r>
    </w:p>
    <w:p w14:paraId="11C3CE87" w14:textId="100D1C81" w:rsidR="002777A2" w:rsidRPr="00642F6C" w:rsidRDefault="002777A2" w:rsidP="002777A2">
      <w:pPr>
        <w:pStyle w:val="NormalHanging12a"/>
        <w:rPr>
          <w:noProof/>
        </w:rPr>
      </w:pPr>
      <w:r w:rsidRPr="00642F6C">
        <w:t>–</w:t>
      </w:r>
      <w:r w:rsidRPr="00642F6C">
        <w:tab/>
        <w:t>ob upoštevanju sklepa predsedstva z dne 10</w:t>
      </w:r>
      <w:r w:rsidR="00FB3EB3">
        <w:t>.</w:t>
      </w:r>
      <w:r w:rsidRPr="00642F6C">
        <w:t xml:space="preserve"> decembra 2018 o notranjih pravilih o izvrševanju proračuna Evropskega parlamenta in zlasti člena 34,</w:t>
      </w:r>
    </w:p>
    <w:p w14:paraId="1FD6C1AC" w14:textId="77777777" w:rsidR="002777A2" w:rsidRPr="00642F6C" w:rsidRDefault="002777A2" w:rsidP="002777A2">
      <w:pPr>
        <w:pStyle w:val="NormalHanging12a"/>
        <w:rPr>
          <w:noProof/>
        </w:rPr>
      </w:pPr>
      <w:r w:rsidRPr="00642F6C">
        <w:t>–</w:t>
      </w:r>
      <w:r w:rsidRPr="00642F6C">
        <w:tab/>
        <w:t>ob upoštevanju člena 102, člena 106(3) in Priloge V Poslovnika,</w:t>
      </w:r>
    </w:p>
    <w:p w14:paraId="0CD0B8E8" w14:textId="77777777" w:rsidR="002777A2" w:rsidRPr="00642F6C" w:rsidRDefault="002777A2" w:rsidP="002777A2">
      <w:pPr>
        <w:pStyle w:val="NormalHanging12a"/>
      </w:pPr>
      <w:r w:rsidRPr="00642F6C">
        <w:t>–</w:t>
      </w:r>
      <w:r w:rsidRPr="00642F6C">
        <w:tab/>
        <w:t>ob upoštevanju mnenja Odbora za pravice žensk in enakost spolov,</w:t>
      </w:r>
    </w:p>
    <w:p w14:paraId="3E525274" w14:textId="77777777" w:rsidR="002777A2" w:rsidRPr="00642F6C" w:rsidRDefault="002777A2" w:rsidP="002777A2">
      <w:pPr>
        <w:pStyle w:val="NormalHanging12a"/>
      </w:pPr>
      <w:r w:rsidRPr="00642F6C">
        <w:t>–</w:t>
      </w:r>
      <w:r w:rsidRPr="00642F6C">
        <w:tab/>
        <w:t>ob upoštevanju poročila Odbora za proračunski nadzor (A10</w:t>
      </w:r>
      <w:r w:rsidRPr="00642F6C">
        <w:noBreakHyphen/>
        <w:t>0081/2026),</w:t>
      </w:r>
    </w:p>
    <w:p w14:paraId="7732127D" w14:textId="77777777" w:rsidR="002777A2" w:rsidRPr="00642F6C" w:rsidRDefault="002777A2" w:rsidP="002777A2">
      <w:pPr>
        <w:pStyle w:val="NormalHanging12a"/>
        <w:rPr>
          <w:noProof/>
        </w:rPr>
      </w:pPr>
      <w:r w:rsidRPr="00642F6C">
        <w:t>1.</w:t>
      </w:r>
      <w:r w:rsidRPr="00642F6C">
        <w:tab/>
        <w:t>podeli razrešnico svoji predsednici glede izvrševanja proračuna Evropskega parlamenta za proračunsko leto 2024;</w:t>
      </w:r>
    </w:p>
    <w:p w14:paraId="56FC4A42" w14:textId="1B7CCD9D" w:rsidR="002777A2" w:rsidRPr="00642F6C" w:rsidRDefault="002777A2" w:rsidP="002777A2">
      <w:pPr>
        <w:pStyle w:val="NormalHanging12a"/>
        <w:rPr>
          <w:noProof/>
        </w:rPr>
      </w:pPr>
      <w:r w:rsidRPr="00642F6C">
        <w:t>2.</w:t>
      </w:r>
      <w:r w:rsidRPr="00642F6C">
        <w:tab/>
        <w:t xml:space="preserve">navaja svoje pripombe v </w:t>
      </w:r>
      <w:r w:rsidR="00681E36" w:rsidRPr="00642F6C">
        <w:t xml:space="preserve">spodnji </w:t>
      </w:r>
      <w:r w:rsidRPr="00642F6C">
        <w:t>resoluciji;</w:t>
      </w:r>
    </w:p>
    <w:p w14:paraId="27B9A1C4" w14:textId="77777777" w:rsidR="002777A2" w:rsidRPr="00642F6C" w:rsidRDefault="002777A2" w:rsidP="002777A2">
      <w:pPr>
        <w:pStyle w:val="NormalHanging12a"/>
        <w:rPr>
          <w:noProof/>
        </w:rPr>
      </w:pPr>
      <w:r w:rsidRPr="00642F6C">
        <w:t>3.</w:t>
      </w:r>
      <w:r w:rsidRPr="00642F6C">
        <w:tab/>
        <w:t xml:space="preserve">naroči svoji predsednici, naj ta sklep in resolucijo, ki je del sklepa, posreduje Svetu, Komisiji in Računskemu sodišču in poskrbi za objavo v </w:t>
      </w:r>
      <w:r w:rsidRPr="00642F6C">
        <w:rPr>
          <w:i/>
        </w:rPr>
        <w:t>Uradnem listu Evropske unije</w:t>
      </w:r>
      <w:r w:rsidRPr="00642F6C">
        <w:t xml:space="preserve"> (serija L).</w:t>
      </w:r>
    </w:p>
    <w:p w14:paraId="177FA33D" w14:textId="77777777" w:rsidR="002777A2" w:rsidRPr="00642F6C" w:rsidRDefault="002777A2" w:rsidP="002777A2"/>
    <w:p w14:paraId="16A61622" w14:textId="77777777" w:rsidR="002777A2" w:rsidRPr="00642F6C" w:rsidRDefault="002777A2" w:rsidP="002777A2">
      <w:pPr>
        <w:pStyle w:val="PageHeading"/>
        <w:sectPr w:rsidR="002777A2" w:rsidRPr="00642F6C" w:rsidSect="00767F0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9E628F" w14:textId="77777777" w:rsidR="008A2928" w:rsidRPr="00642F6C" w:rsidRDefault="008A2928" w:rsidP="008A2928">
      <w:pPr>
        <w:pStyle w:val="ATHeading3"/>
      </w:pPr>
      <w:r w:rsidRPr="00642F6C">
        <w:lastRenderedPageBreak/>
        <w:t>2. Resolucija Evropskega parlamenta z dne 29. aprila 2026 s pripombami, ki so del sklepa o razrešnici glede izvrševanja splošnega proračuna Evropske unije za proračunsko leto 2024, oddelek I – Evropski parlament (2025/2146(DEC))</w:t>
      </w:r>
    </w:p>
    <w:p w14:paraId="7280D78A" w14:textId="77777777" w:rsidR="002777A2" w:rsidRPr="00642F6C" w:rsidRDefault="002777A2" w:rsidP="002777A2">
      <w:pPr>
        <w:pStyle w:val="EPComma"/>
        <w:rPr>
          <w:noProof/>
        </w:rPr>
      </w:pPr>
      <w:r w:rsidRPr="00642F6C">
        <w:rPr>
          <w:i/>
        </w:rPr>
        <w:t>Evropski parlament</w:t>
      </w:r>
      <w:r w:rsidRPr="00642F6C">
        <w:t>,</w:t>
      </w:r>
    </w:p>
    <w:p w14:paraId="53D9C271" w14:textId="77777777" w:rsidR="002777A2" w:rsidRPr="00642F6C" w:rsidRDefault="002777A2" w:rsidP="002777A2">
      <w:pPr>
        <w:pStyle w:val="NormalHanging12a"/>
        <w:rPr>
          <w:noProof/>
        </w:rPr>
      </w:pPr>
      <w:r w:rsidRPr="00642F6C">
        <w:t>–</w:t>
      </w:r>
      <w:r w:rsidRPr="00642F6C">
        <w:tab/>
        <w:t>ob upoštevanju sklepa o razrešnici glede izvrševanja splošnega proračuna Evropske unije za proračunsko leto 2024, oddelek I – Evropski parlament,</w:t>
      </w:r>
    </w:p>
    <w:p w14:paraId="6405516D" w14:textId="77777777" w:rsidR="002777A2" w:rsidRPr="00642F6C" w:rsidRDefault="002777A2" w:rsidP="002777A2">
      <w:pPr>
        <w:pStyle w:val="NormalHanging12a"/>
        <w:rPr>
          <w:noProof/>
        </w:rPr>
      </w:pPr>
      <w:r w:rsidRPr="00642F6C">
        <w:t>–</w:t>
      </w:r>
      <w:r w:rsidRPr="00642F6C">
        <w:tab/>
        <w:t>ob upoštevanju člena 102, člena 106(3) in Priloge V Poslovnika,</w:t>
      </w:r>
    </w:p>
    <w:p w14:paraId="3B119D69" w14:textId="77777777" w:rsidR="002777A2" w:rsidRPr="00642F6C" w:rsidRDefault="002777A2" w:rsidP="002777A2">
      <w:pPr>
        <w:pStyle w:val="NormalHanging12a"/>
      </w:pPr>
      <w:r w:rsidRPr="00642F6C">
        <w:t>–</w:t>
      </w:r>
      <w:r w:rsidRPr="00642F6C">
        <w:tab/>
        <w:t>ob upoštevanju mnenja Odbora za pravice žensk in enakost spolov,</w:t>
      </w:r>
    </w:p>
    <w:p w14:paraId="2DD0A4AE" w14:textId="77777777" w:rsidR="002777A2" w:rsidRPr="00642F6C" w:rsidRDefault="002777A2" w:rsidP="002777A2">
      <w:pPr>
        <w:pStyle w:val="NormalHanging12a"/>
      </w:pPr>
      <w:r w:rsidRPr="00642F6C">
        <w:t>–</w:t>
      </w:r>
      <w:r w:rsidRPr="00642F6C">
        <w:tab/>
        <w:t>ob upoštevanju poročila Odbora za proračunski nadzor (A10</w:t>
      </w:r>
      <w:r w:rsidRPr="00642F6C">
        <w:noBreakHyphen/>
        <w:t>0081/2026),</w:t>
      </w:r>
    </w:p>
    <w:p w14:paraId="384A7164" w14:textId="77777777" w:rsidR="002777A2" w:rsidRPr="00642F6C" w:rsidRDefault="002777A2" w:rsidP="002777A2">
      <w:pPr>
        <w:pStyle w:val="NormalHanging12a"/>
        <w:rPr>
          <w:noProof/>
        </w:rPr>
      </w:pPr>
      <w:r w:rsidRPr="00642F6C">
        <w:t>A.</w:t>
      </w:r>
      <w:r w:rsidRPr="00642F6C">
        <w:tab/>
        <w:t>ker je računovodja Evropskega parlamenta (v nadaljnjem besedilu: Parlament) v potrditvi končnega zaključnega računa dal razumno zagotovilo, da računovodski izkazi v vseh pomembnih vidikih predstavljajo pošteno sliko finančnega stanja, rezultatov poslovanja in denarnih tokov Parlamenta;</w:t>
      </w:r>
    </w:p>
    <w:p w14:paraId="1AECDC6D" w14:textId="77777777" w:rsidR="002777A2" w:rsidRPr="00642F6C" w:rsidRDefault="002777A2" w:rsidP="002777A2">
      <w:pPr>
        <w:pStyle w:val="NormalHanging12a"/>
        <w:rPr>
          <w:noProof/>
        </w:rPr>
      </w:pPr>
      <w:r w:rsidRPr="00642F6C">
        <w:t>B.</w:t>
      </w:r>
      <w:r w:rsidRPr="00642F6C">
        <w:tab/>
        <w:t>ker je bilo upravi Parlamenta po običajnem postopku poslanih 55 vprašanj in ker je parlamentarni Odbor za proračunski nadzor prejel pisne odgovore in 8. decembra 2025 javno razpravljal o njih v navzočnosti generalnega sekretarja, podpredsednikov Parlamenta, pristojnih za proračun, notranjega revizorja in direktorja Organa za evropske politične stranke in evropske politične fundacije;</w:t>
      </w:r>
    </w:p>
    <w:p w14:paraId="0BD105F0" w14:textId="77777777" w:rsidR="002777A2" w:rsidRPr="00642F6C" w:rsidRDefault="002777A2" w:rsidP="002777A2">
      <w:pPr>
        <w:pStyle w:val="NormalHanging12a"/>
      </w:pPr>
      <w:r w:rsidRPr="00642F6C">
        <w:t>C.</w:t>
      </w:r>
      <w:r w:rsidRPr="00642F6C">
        <w:tab/>
        <w:t>ker so izboljšave vedno mogoče in je nadzor potreben, da je delovanje političnega vodstva, poslancev in uprave Parlamenta pregledno in temelji na integriteti ter odgovornosti državljanom Unije, pa tudi da prispeva k večji kakovosti, učinkovitosti in uspešnosti upravljanja javnih financ, vključno s fiskalno disciplino, s čimer se zagotovi verodostojnost Parlamenta pri izvajanju pristojnosti za podelitev razrešnice pred drugimi institucijami;</w:t>
      </w:r>
    </w:p>
    <w:p w14:paraId="6CDD6E79" w14:textId="77777777" w:rsidR="002777A2" w:rsidRPr="00642F6C" w:rsidRDefault="002777A2" w:rsidP="002777A2">
      <w:pPr>
        <w:pStyle w:val="NormalHanging12a"/>
      </w:pPr>
      <w:r w:rsidRPr="00642F6C">
        <w:t>D.</w:t>
      </w:r>
      <w:r w:rsidRPr="00642F6C">
        <w:tab/>
        <w:t xml:space="preserve">ker je pravna varnost eno od vodilnih načel pri izvajanju upravnih odločb; ker vse večje število pravil in obveznosti lahko povzroči zmedo in dvoumnost v primerih, kjer je potrebna pravna varnost za poslance in njihove pisarne, zaradi česar mora uprava komunicirati jasno, celovito in pravno utemeljeno; </w:t>
      </w:r>
    </w:p>
    <w:p w14:paraId="05E41132" w14:textId="77777777" w:rsidR="002777A2" w:rsidRPr="00642F6C" w:rsidRDefault="002777A2" w:rsidP="002777A2">
      <w:pPr>
        <w:pStyle w:val="NormalHanging12a"/>
      </w:pPr>
      <w:r w:rsidRPr="00642F6C">
        <w:t>E.</w:t>
      </w:r>
      <w:r w:rsidRPr="00642F6C">
        <w:tab/>
        <w:t>ker uprava poslancem zagotavlja finančno in logistično podporo, da lahko v celoti opravljajo svoj mandat; ker odnosi med poslanci, njihovimi pisarnami in upravo temeljijo na medsebojnem zaupanju, ki bi moralo biti vodilno načelo pri zagotavljanju finančne podpore poslancem; ker bi se to moralo odražati na ravni predhodnih in naknadnih pregledov, ki jih izvaja uprava; ker je očitno, da so jasni, sorazmerni, ciljno usmerjeni, standardizirani in poenostavljeni postopki najboljši in najučinkovitejši način za izvajanje pregledov in kontrol finančnih pravic, končni cilj pa je zagotoviti najvišjo raven preglednosti in odgovornosti, povečati demokratično legitimnost in s tem zaupanje državljanov Unije;</w:t>
      </w:r>
    </w:p>
    <w:p w14:paraId="19745ABF" w14:textId="77777777" w:rsidR="002777A2" w:rsidRPr="00642F6C" w:rsidRDefault="002777A2" w:rsidP="002777A2">
      <w:pPr>
        <w:pStyle w:val="NormalHanging12a"/>
      </w:pPr>
      <w:r w:rsidRPr="00642F6C">
        <w:t>F.</w:t>
      </w:r>
      <w:r w:rsidRPr="00642F6C">
        <w:tab/>
        <w:t xml:space="preserve">ker je zaupanje v integriteto Parlamenta in pravno državo bistveno za delovanje evropske demokracije ob polnem spoštovanju pravic državljanov; </w:t>
      </w:r>
    </w:p>
    <w:p w14:paraId="1FCA11FA" w14:textId="77777777" w:rsidR="002777A2" w:rsidRPr="00642F6C" w:rsidRDefault="002777A2" w:rsidP="002777A2">
      <w:pPr>
        <w:pStyle w:val="NormalHanging12a"/>
      </w:pPr>
      <w:r w:rsidRPr="00642F6C">
        <w:lastRenderedPageBreak/>
        <w:t>G.</w:t>
      </w:r>
      <w:r w:rsidRPr="00642F6C">
        <w:tab/>
        <w:t>ker so poslanci zaščiteni z izvzetjem od odgovornosti za oddane glasove in mnenja, izražena pri opravljanju njihovih dolžnosti, ter zaščito pred pregonom in omejevanjem osebne svobode med opravljanjem dolžnosti v Parlamentu;</w:t>
      </w:r>
    </w:p>
    <w:p w14:paraId="26206D54" w14:textId="77777777" w:rsidR="002777A2" w:rsidRPr="00642F6C" w:rsidRDefault="002777A2" w:rsidP="002777A2">
      <w:pPr>
        <w:pStyle w:val="NormalHanging12a"/>
      </w:pPr>
      <w:r w:rsidRPr="00642F6C">
        <w:t>H.</w:t>
      </w:r>
      <w:r w:rsidRPr="00642F6C">
        <w:tab/>
        <w:t> ker sta enakost spolov in odprava neenakosti temeljni vrednoti Unije, zapisani v členu 2 Pogodbe o Evropski uniji (PEU); ker je Unija zavezana spodbujanju enakosti v vseh svojih dejavnostih v skladu s členom 8 Pogodbe o delovanju Evropske unije (PDEU), s čimer vzpostavlja načelo vključevanja vidika spola in priprave proračuna, ki upošteva vidik spola;</w:t>
      </w:r>
    </w:p>
    <w:p w14:paraId="450EEA42" w14:textId="77777777" w:rsidR="002777A2" w:rsidRPr="00642F6C" w:rsidRDefault="002777A2" w:rsidP="002777A2">
      <w:pPr>
        <w:pStyle w:val="NormalHanging12a"/>
      </w:pPr>
      <w:r w:rsidRPr="00642F6C">
        <w:t>I.</w:t>
      </w:r>
      <w:r w:rsidRPr="00642F6C">
        <w:tab/>
        <w:t>ker predsedstvo v skladu s členom 249 Poslovnika sprejme akcijski načrt za enakost spolov, da bi bil vidik spola vključen v vse dejavnosti Parlamenta;</w:t>
      </w:r>
    </w:p>
    <w:p w14:paraId="683DCF66"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Upravljanje proračuna in finančno upravljanje Parlamenta</w:t>
      </w:r>
    </w:p>
    <w:p w14:paraId="264A6BB3"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1</w:t>
      </w:r>
      <w:r w:rsidRPr="00642F6C">
        <w:t>.</w:t>
      </w:r>
      <w:r w:rsidRPr="00642F6C">
        <w:rPr>
          <w14:textOutline w14:w="0" w14:cap="flat" w14:cmpd="sng" w14:algn="ctr">
            <w14:noFill/>
            <w14:prstDash w14:val="solid"/>
            <w14:bevel/>
          </w14:textOutline>
        </w:rPr>
        <w:tab/>
      </w:r>
      <w:r w:rsidRPr="00642F6C">
        <w:t>ugotavlja, da je končni proračun Parlamenta za leto 2024 znašal 2 383 milijonov EUR oziroma 20,2 % razdelka 7 večletnega finančnega okvira</w:t>
      </w:r>
      <w:r w:rsidRPr="00642F6C">
        <w:rPr>
          <w:rStyle w:val="FootnoteReference"/>
        </w:rPr>
        <w:footnoteReference w:id="8"/>
      </w:r>
      <w:r w:rsidRPr="00642F6C">
        <w:t>, predvidenega za skupne upravne odhodke institucij Unije v letu 2024, kar je 6,05-odstotno povečanje v primerjavi s proračunom za leto 2023 (2 247 milijonov EUR);</w:t>
      </w:r>
    </w:p>
    <w:p w14:paraId="10127E3C"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2</w:t>
      </w:r>
      <w:r w:rsidRPr="00642F6C">
        <w:t>.</w:t>
      </w:r>
      <w:r w:rsidRPr="00642F6C">
        <w:rPr>
          <w14:textOutline w14:w="0" w14:cap="flat" w14:cmpd="sng" w14:algn="ctr">
            <w14:noFill/>
            <w14:prstDash w14:val="solid"/>
            <w14:bevel/>
          </w14:textOutline>
        </w:rPr>
        <w:tab/>
      </w:r>
      <w:r w:rsidRPr="00642F6C">
        <w:t>ugotavlja, da so skupni prihodki, vknjiženi v zaključni račun na dan 31. decembra 2024, znašali 281 517 001 EUR (v primerjavi z 255 205 473 EUR v letu 2023);</w:t>
      </w:r>
      <w:r w:rsidRPr="00642F6C">
        <w:rPr>
          <w14:textOutline w14:w="0" w14:cap="flat" w14:cmpd="sng" w14:algn="ctr">
            <w14:noFill/>
            <w14:prstDash w14:val="solid"/>
            <w14:bevel/>
          </w14:textOutline>
        </w:rPr>
        <w:t xml:space="preserve"> </w:t>
      </w:r>
      <w:r w:rsidRPr="00642F6C">
        <w:t>ugotavlja, da so namenski prejemki, ki so bili na voljo v letu 2024, znašali 40 277 555 EUR (v primerjavi s 50 186 995 EUR v letu 2023);</w:t>
      </w:r>
    </w:p>
    <w:p w14:paraId="30816CDC"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3</w:t>
      </w:r>
      <w:r w:rsidRPr="00642F6C">
        <w:t>.</w:t>
      </w:r>
      <w:r w:rsidRPr="00642F6C">
        <w:rPr>
          <w14:textOutline w14:w="0" w14:cap="flat" w14:cmpd="sng" w14:algn="ctr">
            <w14:noFill/>
            <w14:prstDash w14:val="solid"/>
            <w14:bevel/>
          </w14:textOutline>
        </w:rPr>
        <w:tab/>
      </w:r>
      <w:r w:rsidRPr="00642F6C">
        <w:t>poudarja, da je naslednjih šest poglavij zajemalo 85,7 % vseh obveznosti:</w:t>
      </w:r>
      <w:r w:rsidRPr="00642F6C">
        <w:rPr>
          <w14:textOutline w14:w="0" w14:cap="flat" w14:cmpd="sng" w14:algn="ctr">
            <w14:noFill/>
            <w14:prstDash w14:val="solid"/>
            <w14:bevel/>
          </w14:textOutline>
        </w:rPr>
        <w:t xml:space="preserve"> </w:t>
      </w:r>
      <w:r w:rsidRPr="00642F6C">
        <w:t>poglavje 1 0 – Poslanci, poglavje 1 2 – Uradniki in začasni uslužbenci, poglavje 1 4 – Drugo osebje in zunanje storitve, poglavje 2 0 – Nepremičnine in z njimi povezani stroški, poglavje 2 1 – Obdelava podatkov, oprema in premičnine ter poglavje 4 2 – Odhodki za parlamentarno pomoč;</w:t>
      </w:r>
    </w:p>
    <w:p w14:paraId="7039FC13"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4.</w:t>
      </w:r>
      <w:r w:rsidRPr="00642F6C">
        <w:rPr>
          <w14:textOutline w14:w="0" w14:cap="flat" w14:cmpd="sng" w14:algn="ctr">
            <w14:noFill/>
            <w14:prstDash w14:val="solid"/>
            <w14:bevel/>
          </w14:textOutline>
        </w:rPr>
        <w:tab/>
        <w:t xml:space="preserve">je seznanjen z zneski, na podlagi katerih so bili zaključeni računovodski izkazi za proračunsko leto 2024, ki so bili uporabljeni za zaključni račun Evropskega parlamenta za proračunsko leto 2024, Poročilo o upravljanju proračuna in finančnem </w:t>
      </w:r>
      <w:proofErr w:type="spellStart"/>
      <w:r w:rsidRPr="00642F6C">
        <w:rPr>
          <w14:textOutline w14:w="0" w14:cap="flat" w14:cmpd="sng" w14:algn="ctr">
            <w14:noFill/>
            <w14:prstDash w14:val="solid"/>
            <w14:bevel/>
          </w14:textOutline>
        </w:rPr>
        <w:t>poslovodenju</w:t>
      </w:r>
      <w:proofErr w:type="spellEnd"/>
      <w:r w:rsidRPr="00642F6C">
        <w:rPr>
          <w14:textOutline w14:w="0" w14:cap="flat" w14:cmpd="sng" w14:algn="ctr">
            <w14:noFill/>
            <w14:prstDash w14:val="solid"/>
            <w14:bevel/>
          </w14:textOutline>
        </w:rPr>
        <w:t xml:space="preserve"> za oddelek I: Evropski parlament, in poročilo o oddanih naročilih in koncesijah Evropskega parlamenta;</w:t>
      </w:r>
    </w:p>
    <w:p w14:paraId="7B886207"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5</w:t>
      </w:r>
      <w:r w:rsidRPr="00642F6C">
        <w:t>.</w:t>
      </w:r>
      <w:r w:rsidRPr="00642F6C">
        <w:rPr>
          <w14:textOutline w14:w="0" w14:cap="flat" w14:cmpd="sng" w14:algn="ctr">
            <w14:noFill/>
            <w14:prstDash w14:val="solid"/>
            <w14:bevel/>
          </w14:textOutline>
        </w:rPr>
        <w:tab/>
      </w:r>
      <w:r w:rsidRPr="00642F6C">
        <w:t>je seznanjen, da je Odbor Parlamenta za proračun v proračunskem letu 2024 v skladu s členoma 31 in 49 finančne uredbe odobril 12 prerazporeditev („prerazporeditve C“), ki so skupaj znašale 82 768 000 EUR oziroma 3,47 % končnih odobrenih sredstev;</w:t>
      </w:r>
      <w:r w:rsidRPr="00642F6C">
        <w:rPr>
          <w14:textOutline w14:w="0" w14:cap="flat" w14:cmpd="sng" w14:algn="ctr">
            <w14:noFill/>
            <w14:prstDash w14:val="solid"/>
            <w14:bevel/>
          </w14:textOutline>
        </w:rPr>
        <w:t xml:space="preserve"> </w:t>
      </w:r>
      <w:r w:rsidRPr="00642F6C">
        <w:t>ugotavlja, da je predsednica v skladu s členom 29 finančne uredbe odobrila devet prerazporeditev (prerazporeditve P) v skupnem znesku 11 479 000 EUR ali 0,4 % proračuna za leto 2024;</w:t>
      </w:r>
    </w:p>
    <w:p w14:paraId="3A25B3EF"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6</w:t>
      </w:r>
      <w:r w:rsidRPr="00642F6C">
        <w:t>.</w:t>
      </w:r>
      <w:r w:rsidRPr="00642F6C">
        <w:rPr>
          <w14:textOutline w14:w="0" w14:cap="flat" w14:cmpd="sng" w14:algn="ctr">
            <w14:noFill/>
            <w14:prstDash w14:val="solid"/>
            <w14:bevel/>
          </w14:textOutline>
        </w:rPr>
        <w:tab/>
      </w:r>
      <w:r w:rsidRPr="00642F6C">
        <w:t xml:space="preserve">pozdravlja, da je generalni sekretar zavezan poenostavitvi, dobremu upravljanju in okrepitvi nadzorne funkcije Parlamenta; z zadovoljstvom ugotavlja, da poenostavitev ni sprejeta le kot cilj, ki ga je treba doseči, temveč kot vodilno načelo, ki ga je treba sistematično uporabljati na vseh področjih dela Parlamenta, da se zagotovijo </w:t>
      </w:r>
      <w:r w:rsidRPr="00642F6C">
        <w:lastRenderedPageBreak/>
        <w:t>učinkovitejši in dostopnejši upravni postopki; pozdravlja, da so v ospredju glavne dejavnosti Parlamenta, njegove zakonodajne, proračunske in nadzorne dejavnosti, zlasti ustanovitev štirih tematskih generalnih direktoratov, vključno z generalnim direktoratom za proračunske zadeve;</w:t>
      </w:r>
    </w:p>
    <w:p w14:paraId="5374A85F"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Mnenje Evropskega računskega sodišča o zanesljivosti računovodskih izkazov za leto 2024 ter zakonitosti in pravilnosti z njimi povezanih transakcij</w:t>
      </w:r>
    </w:p>
    <w:p w14:paraId="3D6C2877" w14:textId="6DFB378D"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7</w:t>
      </w:r>
      <w:r w:rsidRPr="00642F6C">
        <w:t>.</w:t>
      </w:r>
      <w:r w:rsidRPr="00642F6C">
        <w:rPr>
          <w14:textOutline w14:w="0" w14:cap="flat" w14:cmpd="sng" w14:algn="ctr">
            <w14:noFill/>
            <w14:prstDash w14:val="solid"/>
            <w14:bevel/>
          </w14:textOutline>
        </w:rPr>
        <w:tab/>
        <w:t>želi spomniti, da Evropsko računsko sodišče (</w:t>
      </w:r>
      <w:r w:rsidR="006E15B7" w:rsidRPr="00642F6C">
        <w:rPr>
          <w14:textOutline w14:w="0" w14:cap="flat" w14:cmpd="sng" w14:algn="ctr">
            <w14:noFill/>
            <w14:prstDash w14:val="solid"/>
            <w14:bevel/>
          </w14:textOutline>
        </w:rPr>
        <w:t xml:space="preserve">v nadaljnjem besedilu: </w:t>
      </w:r>
      <w:r w:rsidRPr="00642F6C">
        <w:rPr>
          <w14:textOutline w14:w="0" w14:cap="flat" w14:cmpd="sng" w14:algn="ctr">
            <w14:noFill/>
            <w14:prstDash w14:val="solid"/>
            <w14:bevel/>
          </w14:textOutline>
        </w:rPr>
        <w:t xml:space="preserve">Računsko sodišče) za vse institucije Unije opravi posebno oceno upravnih in drugih odhodkov, ki jih obravnava kot eno samo skupino politik; </w:t>
      </w:r>
      <w:r w:rsidRPr="00642F6C">
        <w:t>poudarja, da med upravne odhodke sodijo odhodki za človeške vire, vključno s pokojninami, ki so leta 2024 znašali približno 69 % skupnih upravnih odhodkov, ter odhodki za stavbe, opremo, energijo, komunikacije in informacijsko tehnologijo;</w:t>
      </w:r>
      <w:r w:rsidRPr="00642F6C">
        <w:rPr>
          <w14:textOutline w14:w="0" w14:cap="flat" w14:cmpd="sng" w14:algn="ctr">
            <w14:noFill/>
            <w14:prstDash w14:val="solid"/>
            <w14:bevel/>
          </w14:textOutline>
        </w:rPr>
        <w:t xml:space="preserve"> poudarja, da večletno delo Računskega sodišča kaže, da je pri tej porabi tveganje na splošno majhno;</w:t>
      </w:r>
    </w:p>
    <w:p w14:paraId="795942E8"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8</w:t>
      </w:r>
      <w:r w:rsidRPr="00642F6C">
        <w:t>.</w:t>
      </w:r>
      <w:r w:rsidRPr="00642F6C">
        <w:rPr>
          <w14:textOutline w14:w="0" w14:cap="flat" w14:cmpd="sng" w14:algn="ctr">
            <w14:noFill/>
            <w14:prstDash w14:val="solid"/>
            <w14:bevel/>
          </w14:textOutline>
        </w:rPr>
        <w:tab/>
      </w:r>
      <w:r w:rsidRPr="00642F6C">
        <w:t xml:space="preserve">je seznanjen, da je v letu 2024 razdelek 7 večletnega finančnega okvira (Evropska javna uprava) obsegal 13,3 milijarde EUR ali 6,9 % proračuna Unije, od tega pa je Parlament dobil 2,4 milijarde EUR ali 18,1 %; </w:t>
      </w:r>
      <w:r w:rsidRPr="00642F6C">
        <w:rPr>
          <w14:textOutline w14:w="0" w14:cap="flat" w14:cmpd="sng" w14:algn="ctr">
            <w14:noFill/>
            <w14:prstDash w14:val="solid"/>
            <w14:bevel/>
          </w14:textOutline>
        </w:rPr>
        <w:t>poudarja ugotovitev Računskega sodišča, da stopnja napake pri porabi za Evropsko javno upravo ni bila pomembna;</w:t>
      </w:r>
    </w:p>
    <w:p w14:paraId="7068AAC6"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9</w:t>
      </w:r>
      <w:r w:rsidRPr="00642F6C">
        <w:t>.</w:t>
      </w:r>
      <w:r w:rsidRPr="00642F6C">
        <w:rPr>
          <w14:textOutline w14:w="0" w14:cap="flat" w14:cmpd="sng" w14:algn="ctr">
            <w14:noFill/>
            <w14:prstDash w14:val="solid"/>
            <w14:bevel/>
          </w14:textOutline>
        </w:rPr>
        <w:tab/>
      </w:r>
      <w:r w:rsidRPr="00642F6C">
        <w:t>ugotavlja, da je Računsko sodišče v letnem poročilu o izvrševanju proračuna za proračunsko leto 2024 posebej preučilo nadzorne in kontrolne sisteme Parlamenta, zlasti izvajanje standardov notranje kontrole, obvladovanje tveganja in delovanje ključnih kontrol, opredeljenih v finančni uredbi, vključno s predhodnimi in naknadnimi kontrolami plačil, ter statistično reprezentativen vzorec 70 transakcij, ki zajemajo celoten obseg porabe v tem razdelku večletnega finančnega okvira in informacije o skladnosti s pravili in predpisi iz letnih poročil o dejavnostih vseh institucij in organov Unije;</w:t>
      </w:r>
    </w:p>
    <w:p w14:paraId="7A6C6EBA" w14:textId="77777777" w:rsidR="002777A2" w:rsidRPr="00642F6C" w:rsidRDefault="002777A2" w:rsidP="002777A2">
      <w:pPr>
        <w:pStyle w:val="NormalHanging12a"/>
      </w:pPr>
      <w:r w:rsidRPr="00642F6C">
        <w:t>10.</w:t>
      </w:r>
      <w:r w:rsidRPr="00642F6C">
        <w:tab/>
        <w:t>je seznanjen z ugotovitvami Računskega sodišča v zvezi z notranjimi pravili Parlamenta; ugotavlja, da za upravo Parlamenta veljajo finančna uredba in njena pravila o javnem naročanju; vendar ugotavlja, da je predsedstvo za politične skupine sprejelo pravila o uporabi sredstev iz proračunske postavke 400, ki vsebujejo številne posebne določbe za nekatere postopke javnih naročil; opozarja, da politične skupine sredstva, ki so jim dodeljena, upravljajo v skladu z načeli posrednega upravljanja ob uporabi člena 62(1)(c) finančne uredbe; meni, da ta pravila nadomeščajo „sporazume o prispevkih“ iz člena 158(7) finančne uredbe; poudarja, da zunanji revizor izbran s seznama revizijskih podjetij, ki ga je pripravila uprava Parlamenta, za vsako skupino, potrdi njihove letne računovodske izkaze, da se zagotovi skladnost, ki zagotavlja nevtralno raven nadzora; poudarja, da Računsko sodišče v svojem letnem poročilu preučuje tudi dejavnosti političnih skupin;</w:t>
      </w:r>
    </w:p>
    <w:p w14:paraId="2CE0DF11" w14:textId="77777777" w:rsidR="002777A2" w:rsidRPr="00642F6C" w:rsidRDefault="002777A2" w:rsidP="002777A2">
      <w:pPr>
        <w:pStyle w:val="NormalHanging12a"/>
      </w:pPr>
      <w:r w:rsidRPr="00642F6C">
        <w:t>11.</w:t>
      </w:r>
      <w:r w:rsidRPr="00642F6C">
        <w:tab/>
        <w:t xml:space="preserve">ugotavlja, da so bili na seznam revizijskih podjetij, izbranih za revizijo računovodskih izkazov političnih skupin, vključeni le trije revizorji, in obžaluje, da je izbira omejena; poziva generalni direktorat za finance (GD FINS), naj si prizadeva za vključitev več zunanjih revizijskih podjetij na seznam, tako da dejavno povabi vse usposobljene evropske revizorje, tudi tiste s sedežem zunaj Belgije, in zagotovi zadostno število možnosti, da bodo imele politične skupine več možnosti za izbiro revizorja, ki bo izpolnjeval zahteve Odbora za mednarodne standarde revidiranja in dajanja zagotovil (IAASB); ugotavlja tudi, da bi bilo treba povečati proračune, dodeljene političnim </w:t>
      </w:r>
      <w:r w:rsidRPr="00642F6C">
        <w:lastRenderedPageBreak/>
        <w:t xml:space="preserve">skupinam za revizije, da bi zagotovili temeljitejšo revizijo dobrega finančnega </w:t>
      </w:r>
      <w:proofErr w:type="spellStart"/>
      <w:r w:rsidRPr="00642F6C">
        <w:t>poslovodenja</w:t>
      </w:r>
      <w:proofErr w:type="spellEnd"/>
      <w:r w:rsidRPr="00642F6C">
        <w:t xml:space="preserve"> in privabili širši nabor revizijskega strokovnega znanja; je seznanjen z usmeritvami in smernicami, ki so že bile zagotovljene zunanjim revizorjem, in spodbuja GD FINS, naj zagotovi kakovost zunanjih revizij, ki potrjujejo računovodske izkaze političnih skupin; </w:t>
      </w:r>
    </w:p>
    <w:p w14:paraId="49DA4EA4"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12</w:t>
      </w:r>
      <w:r w:rsidRPr="00642F6C">
        <w:t>.</w:t>
      </w:r>
      <w:r w:rsidRPr="00642F6C">
        <w:rPr>
          <w14:textOutline w14:w="0" w14:cap="flat" w14:cmpd="sng" w14:algn="ctr">
            <w14:noFill/>
            <w14:prstDash w14:val="solid"/>
            <w14:bevel/>
          </w14:textOutline>
        </w:rPr>
        <w:tab/>
      </w:r>
      <w:r w:rsidRPr="00642F6C">
        <w:t>ugotavlja, da so v skladu s členom 1.4 pravil o uporabi sredstev iz proračunske postavke 400 politične skupine odgovorne instituciji za uporabo proračunskih sredstev v mejah pristojnosti, ki jih nanje prenese predsedstvo; opozarja, da politične skupine jamčijo, da se sredstva uporabljajo v skladu s temi pravili; pozdravlja prizadevanja uprave Parlamenta za pomoč političnim skupinam pri zagotavljanju smernic za njihovo znanje in zmogljivosti na področju finančnega upravljanja;</w:t>
      </w:r>
    </w:p>
    <w:p w14:paraId="5707BDA6" w14:textId="77777777" w:rsidR="002777A2" w:rsidRPr="00642F6C" w:rsidRDefault="002777A2" w:rsidP="002777A2">
      <w:pPr>
        <w:spacing w:after="240"/>
        <w:ind w:left="567" w:hanging="567"/>
      </w:pPr>
      <w:r w:rsidRPr="00642F6C">
        <w:t>13.</w:t>
      </w:r>
      <w:r w:rsidRPr="00642F6C">
        <w:tab/>
        <w:t>opozarja, da se proračun Unije lahko dodeli evropskim političnim strankam, saj prispevajo k oblikovanju evropske politične zavesti in k izražanju politične volje državljanov Unije; ugotavlja, da je Računsko sodišče revidiralo eno transakcijo, pri kateri so bili odhodki po njegovem mnenju neupravičeni, in ugotovilo, da je uprava Parlamenta podala enako mnenje in sprejela ukrepe za izterjavo s tem povezanih odhodkov; pozdravlja ravnanje uprave Parlamenta v zvezi s tem, zlasti njegovo zavezanost uporabi horizontalnega pristopa, ki zagotavlja enako obravnavo vseh političnih strank;</w:t>
      </w:r>
    </w:p>
    <w:p w14:paraId="5F035B80"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Letno poročilo notranjega revizorja</w:t>
      </w:r>
    </w:p>
    <w:p w14:paraId="1EDA214F"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14.</w:t>
      </w:r>
      <w:r w:rsidRPr="00642F6C">
        <w:rPr>
          <w14:textOutline w14:w="0" w14:cap="flat" w14:cmpd="sng" w14:algn="ctr">
            <w14:noFill/>
            <w14:prstDash w14:val="solid"/>
            <w14:bevel/>
          </w14:textOutline>
        </w:rPr>
        <w:tab/>
      </w:r>
      <w:r w:rsidRPr="00642F6C">
        <w:t>ugotavlja, da je notranji revizor na srečanju med pristojnim odborom in notranjim revizorjem 8. decembra 2025 predstavil svoje letno poročilo;</w:t>
      </w:r>
    </w:p>
    <w:p w14:paraId="313C8514"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15.</w:t>
      </w:r>
      <w:r w:rsidRPr="00642F6C">
        <w:rPr>
          <w14:textOutline w14:w="0" w14:cap="flat" w14:cmpd="sng" w14:algn="ctr">
            <w14:noFill/>
            <w14:prstDash w14:val="solid"/>
            <w14:bevel/>
          </w14:textOutline>
        </w:rPr>
        <w:tab/>
      </w:r>
      <w:r w:rsidRPr="00642F6C">
        <w:t>pozdravlja in podpira ukrepe, o katerih se je notranji revizor dogovoril s pristojnimi generalnimi direktorati na podlagi zagotavljanja zanesljivosti službe za notranjo revizijo; ugotavlja, da se spremljanje izvajanja teh priporočil sistematično revidira;</w:t>
      </w:r>
    </w:p>
    <w:p w14:paraId="79CA1EA3"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16.</w:t>
      </w:r>
      <w:r w:rsidRPr="00642F6C">
        <w:rPr>
          <w14:textOutline w14:w="0" w14:cap="flat" w14:cmpd="sng" w14:algn="ctr">
            <w14:noFill/>
            <w14:prstDash w14:val="solid"/>
            <w14:bevel/>
          </w14:textOutline>
        </w:rPr>
        <w:tab/>
        <w:t>ugotavlja, da se je v postopku nadaljnjega ukrepanja v letu 2024 24 od 57 ukrepov štelo za učinkovito izvedene, zato jih je služba za notranjo revizijo potrdila; ugotavlja, da se je profil preostalega tveganja 33 zapoznelih ukrepov nanašal na 24 ukrepov z znatnim tveganjem, povezanih predvsem s kibernetsko varnostjo ter upravljanjem identitete in dostopa; je seznanjen z okrepljenim sodelovanjem Generalnega direktorata za informacijsko tehnologijo in kibernetsko varnost (GD ITEC) pri spremljanju izvajanja in preostalega tveganja;</w:t>
      </w:r>
    </w:p>
    <w:p w14:paraId="5A065344" w14:textId="77777777" w:rsidR="002777A2" w:rsidRPr="00642F6C" w:rsidRDefault="002777A2" w:rsidP="002777A2">
      <w:pPr>
        <w:pStyle w:val="NormalHanging12a"/>
      </w:pPr>
      <w:r w:rsidRPr="00642F6C">
        <w:t>17.</w:t>
      </w:r>
      <w:r w:rsidRPr="00642F6C">
        <w:tab/>
        <w:t>se zaveda, da naj bi v skladu s členom 118(9) finančne uredbe poročila in ugotovitve notranjega revizorja, pa tudi poročilo zadevne institucije Unije, postali dostopni javnosti takoj, ko notranji revizor potrdi ukrep, uveden za njihovo izvajanje, pri čemer je treba spoštovati pravila o varstvu podatkov in zaupnosti, takoj ko notranji revizor potrdi ukrep; ugotavlja, da so v praksi poročila objavljena šele, ko so izvedena vsa priporočila; je seznanjen, da imajo člani parlamentarnega Odbora za proračunski nadzor pravico zahtevati zaupen dostop do poročila o notranji reviziji v zvezi s postopkom razrešnice, in pozdravlja dejstvo, da notranji revizor poroča parlamentarnemu Odboru za proračunski nadzor o izvedenih letnih revizijskih dejavnostih;</w:t>
      </w:r>
    </w:p>
    <w:p w14:paraId="3FB541E0"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18.</w:t>
      </w:r>
      <w:r w:rsidRPr="00642F6C">
        <w:rPr>
          <w14:textOutline w14:w="0" w14:cap="flat" w14:cmpd="sng" w14:algn="ctr">
            <w14:noFill/>
            <w14:prstDash w14:val="solid"/>
            <w14:bevel/>
          </w14:textOutline>
        </w:rPr>
        <w:tab/>
        <w:t xml:space="preserve">pozdravlja stalni program zagotavljanja in izboljševanja kakovosti službe za notranjo revizijo, ki se pripravlja predvsem na uvedbo novih globalnih standardov notranje </w:t>
      </w:r>
      <w:r w:rsidRPr="00642F6C">
        <w:rPr>
          <w14:textOutline w14:w="0" w14:cap="flat" w14:cmpd="sng" w14:algn="ctr">
            <w14:noFill/>
            <w14:prstDash w14:val="solid"/>
            <w14:bevel/>
          </w14:textOutline>
        </w:rPr>
        <w:lastRenderedPageBreak/>
        <w:t>revizije, ki naj bi začeli veljati januarja 2025; zlasti pozdravlja, da je predsedstvo sprejelo posodobljeno listino o reviziji in pripravilo strategijo za funkcijo notranje revizije za obdobje 2025–2029, ki močno odraža potrebo po pozitivnih spremembah in pristopu, ki temelji na etiki; ugotavlja, da je 70 % uslužbencev službe za notranjo revizijo opravilo izpit za notranjega revizorja, kar je še en kazalnik izboljšanja kakovosti;</w:t>
      </w:r>
    </w:p>
    <w:p w14:paraId="27AD16FA" w14:textId="77777777" w:rsidR="002777A2" w:rsidRPr="00642F6C" w:rsidRDefault="002777A2" w:rsidP="002777A2">
      <w:pPr>
        <w:spacing w:after="240"/>
        <w:ind w:left="567" w:hanging="567"/>
        <w:rPr>
          <w:szCs w:val="24"/>
          <w14:textOutline w14:w="0" w14:cap="flat" w14:cmpd="sng" w14:algn="ctr">
            <w14:noFill/>
            <w14:prstDash w14:val="solid"/>
            <w14:bevel/>
          </w14:textOutline>
        </w:rPr>
      </w:pPr>
      <w:r w:rsidRPr="00642F6C">
        <w:rPr>
          <w:b/>
          <w:i/>
          <w14:textOutline w14:w="0" w14:cap="flat" w14:cmpd="sng" w14:algn="ctr">
            <w14:noFill/>
            <w14:prstDash w14:val="solid"/>
            <w14:bevel/>
          </w14:textOutline>
        </w:rPr>
        <w:t>Politične prednostne naloge</w:t>
      </w:r>
    </w:p>
    <w:p w14:paraId="36573E2D" w14:textId="77777777" w:rsidR="002777A2" w:rsidRPr="00642F6C" w:rsidRDefault="002777A2" w:rsidP="002777A2">
      <w:pPr>
        <w:pStyle w:val="NormalHanging12a"/>
      </w:pPr>
      <w:r w:rsidRPr="00642F6C">
        <w:t>19.</w:t>
      </w:r>
      <w:r w:rsidRPr="00642F6C">
        <w:tab/>
        <w:t>opozarja, da je nekdanja politična skupina Identiteta in demokracija (skupina ID) v skladu s členi 1.3.2, 2.7.1 in 2.7.2 pravil o uporabi sredstev iz proračunske postavke 400 8. oktobra 2024 predložila končno finančno poročilo za obdobje od 1. januarja do 15. julija 2024; opozarja, da je uprava Parlamenta prejela celoten finančni arhiv skupine ID v elektronski in papirni obliki ter izvedla naknadno preverjanje računovodskih izkazov za leto 2024 na podlagi tveganja, pri čemer se je osredotočila na preverjanje skladnosti in preizkušanje vzorcev pogodb in donacij z visokim tveganjem; opozarja na ugotovitve uprave Parlamenta, da je skupina v obdobju 2019–2024 neupravičeno porabila vsaj 4 333 635,78 EUR iz proračunske postavke 400, zaradi česar je bil Parlament izpostavljen znatnemu finančnemu tveganju in tveganju izgube ugleda; ugotovljene so bile pomanjkljivosti v postopkih javnega naročanja, ki pomenijo veliko tveganje za ugled Parlamenta;</w:t>
      </w:r>
    </w:p>
    <w:p w14:paraId="4BF91785" w14:textId="77777777" w:rsidR="002777A2" w:rsidRPr="00642F6C" w:rsidRDefault="002777A2" w:rsidP="002777A2">
      <w:pPr>
        <w:pStyle w:val="NormalHanging12a"/>
      </w:pPr>
      <w:r w:rsidRPr="00642F6C">
        <w:t>20.</w:t>
      </w:r>
      <w:r w:rsidRPr="00642F6C">
        <w:tab/>
        <w:t>ugotavlja, da je Evropsko javno tožilstvo (EJT) julija 2025 napovedalo, da je začelo preiskavo domnevne zlorabe sredstev Unije s strani skupine ID med letoma 2019 in 2024;</w:t>
      </w:r>
    </w:p>
    <w:p w14:paraId="2E08149F" w14:textId="77777777" w:rsidR="002777A2" w:rsidRPr="00642F6C" w:rsidRDefault="002777A2" w:rsidP="002777A2">
      <w:pPr>
        <w:pStyle w:val="NormalHanging12a"/>
      </w:pPr>
      <w:r w:rsidRPr="00642F6C">
        <w:t>21.</w:t>
      </w:r>
      <w:r w:rsidRPr="00642F6C">
        <w:tab/>
        <w:t xml:space="preserve">poudarja, da je uprava Parlamenta posredovala zadevo in v celoti sodeluje pri preiskavi Evropskega javnega tožilstva; ugotavlja, da bo predsedstvo počakalo na izid preiskave Evropskega javnega tožilstva, preden bo sprejelo kakršne koli ukrepe za izterjavo; poziva predsedstvo, naj Odboru Parlamenta za proračunski nadzor pred začetkom naslednjega cikla razrešnice predloži pisno poročilo o trenutnem stanju; poziva upravo Parlamenta, naj sprejme vse potrebne ukrepe vzporedno s kazensko preiskavo EJT in začasnimi upravnimi zaščitnimi ukrepi (vključno s previdnostnimi poboti in/ali rezervami, kadar je to pravno izvedljivo), da bi zaščitila finančne interese Unije in ugled Parlamenta; meni, da bo EJT v skladu s členom 3(3) delovnega dogovora med Evropskim parlamentom in Evropskim javnim tožilstvom Parlament obvestil o tekočih ali zaključenih preiskavah, pri katerih se zdi, da Parlament lahko sprejme previdnostne ukrepe za zaščito finančnih interesov Unije, vključno z disciplinskimi postopki ali postopki izterjave v veljavnih rokih; ugotavlja, da se kazenski postopki ne bi smeli samodejno uporabljati kot splošna utemeljitev za morebitno </w:t>
      </w:r>
      <w:proofErr w:type="spellStart"/>
      <w:r w:rsidRPr="00642F6C">
        <w:t>neukrepanje</w:t>
      </w:r>
      <w:proofErr w:type="spellEnd"/>
      <w:r w:rsidRPr="00642F6C">
        <w:t xml:space="preserve">; </w:t>
      </w:r>
    </w:p>
    <w:p w14:paraId="070BE04C" w14:textId="77777777" w:rsidR="002777A2" w:rsidRPr="00642F6C" w:rsidRDefault="002777A2" w:rsidP="002777A2">
      <w:pPr>
        <w:pStyle w:val="NormalHanging12a"/>
      </w:pPr>
      <w:r w:rsidRPr="00642F6C">
        <w:t>22.</w:t>
      </w:r>
      <w:r w:rsidRPr="00642F6C">
        <w:tab/>
        <w:t>poziva predsedstvo, naj poskrbi, da bodo zunanji revizorji v celoti spoštovali pismo o sodelovanju, in naj pri prihodnjih revizijah zagotovi ustrezen nadzor zunanjih revizorjev za skupine, tako da se za zunanje revizorje nameni več ur za opravljanje nadzorne vloge; poziva GD FINS, naj zagotovi ustrezno število zaposlenih v GD FINS, ki so pristojni za proračunsko postavko 400, da bi zagotovil jasnejše smernice o pravilni razlagi pravil za proračunsko postavko 400, s čimer bi se izognili neskladju med pomisleki zunanjih revizorjev in GD FINS, ob polnem spoštovanju neodvisnosti revizorjev, zlasti v zvezi z javnimi naročili, ter da bi skupinam zagotovil več usposabljanj in podpore pri javnih naročilih;</w:t>
      </w:r>
    </w:p>
    <w:p w14:paraId="6DA8707D" w14:textId="77777777" w:rsidR="002777A2" w:rsidRPr="00642F6C" w:rsidRDefault="002777A2" w:rsidP="002777A2">
      <w:pPr>
        <w:pStyle w:val="NormalHanging12a"/>
        <w:rPr>
          <w:bCs/>
          <w:iCs/>
        </w:rPr>
      </w:pPr>
      <w:r w:rsidRPr="00642F6C">
        <w:lastRenderedPageBreak/>
        <w:t>23.</w:t>
      </w:r>
      <w:r w:rsidRPr="00642F6C">
        <w:tab/>
        <w:t>poziva generalnega sekretarja, naj začne razpravo o sistemu zunanje revizije, vzpostavljenem za proračunsko postavko 400;</w:t>
      </w:r>
    </w:p>
    <w:p w14:paraId="71F0640B" w14:textId="77777777" w:rsidR="002777A2" w:rsidRPr="00642F6C" w:rsidRDefault="002777A2" w:rsidP="002777A2">
      <w:pPr>
        <w:pStyle w:val="NormalHanging12a"/>
        <w:rPr>
          <w:bCs/>
          <w:iCs/>
        </w:rPr>
      </w:pPr>
      <w:r w:rsidRPr="00642F6C">
        <w:t>24.</w:t>
      </w:r>
      <w:r w:rsidRPr="00642F6C">
        <w:tab/>
        <w:t xml:space="preserve">pozdravlja uporabo Parlamenta kot platforme za ozaveščanje o nasilju na podlagi spola in nasilju v družini ter poudarja pomen misij EU in Parlamenta, ki prispevajo k spodbujanju enakosti spolov, vključno s tistimi, ki zagotavljajo podporo, zaščito in osnovne storitve ženskam in dekletom, ki so žrtve spolnega nasilja v konfliktnih in </w:t>
      </w:r>
      <w:proofErr w:type="spellStart"/>
      <w:r w:rsidRPr="00642F6C">
        <w:t>pokonfliktnih</w:t>
      </w:r>
      <w:proofErr w:type="spellEnd"/>
      <w:r w:rsidRPr="00642F6C">
        <w:t xml:space="preserve"> razmerah;</w:t>
      </w:r>
    </w:p>
    <w:p w14:paraId="2E3AE4EC" w14:textId="77777777" w:rsidR="002777A2" w:rsidRPr="00642F6C" w:rsidRDefault="002777A2" w:rsidP="002777A2">
      <w:pPr>
        <w:pStyle w:val="NormalHanging12a"/>
        <w:rPr>
          <w:bCs/>
          <w:iCs/>
        </w:rPr>
      </w:pPr>
      <w:r w:rsidRPr="00642F6C">
        <w:t>25.</w:t>
      </w:r>
      <w:r w:rsidRPr="00642F6C">
        <w:tab/>
        <w:t>opozarja na mnenje Odbora Parlamenta za proračunski nadzor za predsedstvo o politični skupini Identiteta in demokracija – razpustitev in končno finančno poročilo za leto 2024, kot je bilo odobreno 4. septembra 2025, v katerem poziva, naj se preuči možnost takojšnjega začetka potrebnih postopkov za čimprejšnjo izterjavo zneska neupravičenih odhodkov, da bi ocenili morebitne obveznosti odgovornih (nekdanjih) poslancev in hierarhije za namerno odobritev nepravilnih odhodkov ali odobritev nepravilnih odhodkov iz hude malomarnosti; priporoča predsedstvu, naj zunanjega revizorja, ki je potrdil računovodske izkaze skupine ID, za čas preiskave začasno umakne s seznama odobrenih zunanjih revizijskih družb, ki je na voljo političnim skupinam, in ga nemudoma zamenja ter zagotovi, da bo političnim skupinam na voljo zadostno število alternativnih možnosti; pričakuje, da bo uprava Parlamenta analizirala računovodske izkaze skupine Domoljubi za Evropo (</w:t>
      </w:r>
      <w:proofErr w:type="spellStart"/>
      <w:r w:rsidRPr="00642F6C">
        <w:t>PfE</w:t>
      </w:r>
      <w:proofErr w:type="spellEnd"/>
      <w:r w:rsidRPr="00642F6C">
        <w:t>) za leto 2024;</w:t>
      </w:r>
    </w:p>
    <w:p w14:paraId="01CD0CD8" w14:textId="673EACAC" w:rsidR="002777A2" w:rsidRPr="00642F6C" w:rsidRDefault="00AB1879" w:rsidP="002777A2">
      <w:pPr>
        <w:pStyle w:val="NormalHanging12a"/>
      </w:pPr>
      <w:r w:rsidRPr="00642F6C">
        <w:rPr>
          <w:color w:val="000000" w:themeColor="text1"/>
        </w:rPr>
        <w:t>26</w:t>
      </w:r>
      <w:r w:rsidR="002777A2" w:rsidRPr="00642F6C">
        <w:t>.</w:t>
      </w:r>
      <w:r w:rsidR="002777A2" w:rsidRPr="00642F6C">
        <w:tab/>
        <w:t>ugotavlja, da imajo politične skupine precejšnjo avtonomijo pri svojih storitvah IT, ki se uporabljajo za shranjevanje informacij, povezanih z njihovimi dejavnostmi; ugotavlja, da bi morali v geopolitično nemirnem svetu evropski ponudniki te podatke hraniti na evropskih strežnikih, da bi preprečili zunanjo odvisnost in tveganja; zato pozdravlja, da je bila nedavno napovedana vzpostavitev varne in suverene infrastrukture v oblaku, da bi odpravili to odvisnost;</w:t>
      </w:r>
    </w:p>
    <w:p w14:paraId="327266E7" w14:textId="6A7324A4" w:rsidR="002777A2" w:rsidRPr="00642F6C" w:rsidRDefault="00AB1879" w:rsidP="002777A2">
      <w:pPr>
        <w:pStyle w:val="NormalHanging12a"/>
      </w:pPr>
      <w:r w:rsidRPr="00642F6C">
        <w:t>27</w:t>
      </w:r>
      <w:r w:rsidR="002777A2" w:rsidRPr="00642F6C">
        <w:t>.</w:t>
      </w:r>
      <w:r w:rsidR="002777A2" w:rsidRPr="00642F6C">
        <w:tab/>
        <w:t>poudarja, kako pomembno je ohraniti institucionalno integriteto in preprečiti neupravičeno zunanje vmešavanje; obsoja vsakršen neprimeren poskus vplivanja na zakonodajne dejavnosti Parlamenta;</w:t>
      </w:r>
    </w:p>
    <w:p w14:paraId="69E27ABE" w14:textId="5E519678" w:rsidR="002777A2" w:rsidRPr="00642F6C" w:rsidRDefault="00AB1879" w:rsidP="002777A2">
      <w:pPr>
        <w:pStyle w:val="NormalHanging12a"/>
        <w:rPr>
          <w:bCs/>
          <w:iCs/>
        </w:rPr>
      </w:pPr>
      <w:r w:rsidRPr="00642F6C">
        <w:t>28</w:t>
      </w:r>
      <w:r w:rsidR="002777A2" w:rsidRPr="00642F6C">
        <w:t>.</w:t>
      </w:r>
      <w:r w:rsidR="002777A2" w:rsidRPr="00642F6C">
        <w:tab/>
        <w:t>ugotavlja, da je Komisija priznala obtožbe v zvezi z uporabo sredstev Unije za dejavnosti zagovorništva, katerih tarča je s strani več subjektov Parlament, vendar je navedla, da te dejavnosti spadajo na področje uporabe veljavne uredbe; vendar priznava, da je to morda vseeno pomenilo tveganje za ugled;</w:t>
      </w:r>
    </w:p>
    <w:p w14:paraId="308BBF2A" w14:textId="7B067333" w:rsidR="002777A2" w:rsidRPr="00642F6C" w:rsidRDefault="00AB1879" w:rsidP="002777A2">
      <w:pPr>
        <w:pStyle w:val="NormalHanging12a"/>
      </w:pPr>
      <w:r w:rsidRPr="00642F6C">
        <w:t>29</w:t>
      </w:r>
      <w:r w:rsidR="002777A2" w:rsidRPr="00642F6C">
        <w:t>.</w:t>
      </w:r>
      <w:r w:rsidR="002777A2" w:rsidRPr="00642F6C">
        <w:tab/>
        <w:t>opozarja, da obtožbe o ruskem vplivu v Parlamentu resno ogrožajo demokratično integriteto, in ugotavlja, da nekateri poslanci odkrito podpirajo Rusijo, tudi v svojih stranskih dejavnostih, kar izpostavlja potrebo po strožjih zaščitnih ukrepih; ugotavlja, da je odziv Parlamenta na tuje vmešavanje postal bolj pozoren, vendar bi bilo treba sprejeti odločnejše ukrepe za zagotovitev učinkovite zaščite pred neprimernim zunanjim vplivom; v zvezi s tem poudarja bistveno odgovornost Evropskega urada za boj proti goljufijam (OLAF), da opravi vse potrebne poglobljene preiskave;</w:t>
      </w:r>
    </w:p>
    <w:p w14:paraId="7C31768F" w14:textId="417E642A" w:rsidR="002777A2" w:rsidRPr="00642F6C" w:rsidRDefault="00AB1879" w:rsidP="002777A2">
      <w:pPr>
        <w:pStyle w:val="NormalHanging12a"/>
        <w:rPr>
          <w:bCs/>
          <w:iCs/>
        </w:rPr>
      </w:pPr>
      <w:r w:rsidRPr="00642F6C">
        <w:t>30</w:t>
      </w:r>
      <w:r w:rsidR="002777A2" w:rsidRPr="00642F6C">
        <w:t>.</w:t>
      </w:r>
      <w:r w:rsidR="002777A2" w:rsidRPr="00642F6C">
        <w:tab/>
        <w:t xml:space="preserve">ugotavlja, da je leto 2024, tudi pred evropskimi volitvami, zaznamovalo povečano tveganje tujega vmešavanja in operacij vplivanja na demokratične institucije in izvoljene predstavnike; opozarja, da javne obtožbe in preiskave v zvezi s poskusi vplivanja na politična stališča in volilno vedenje izpostavljajo potrebo po trdnih mehanizmih za preprečevanje in odkrivanje v Parlamentu; zato poziva Parlament, naj </w:t>
      </w:r>
      <w:r w:rsidR="002777A2" w:rsidRPr="00642F6C">
        <w:lastRenderedPageBreak/>
        <w:t>zagotovi notranje zaščitne ukrepe, zahteve glede preglednosti in sodelovanje z ustreznimi organi Unije, da bi zaščitil integriteto Parlamenta in proračuna Unije;</w:t>
      </w:r>
    </w:p>
    <w:p w14:paraId="109E5705" w14:textId="28D563D2" w:rsidR="002777A2" w:rsidRPr="00642F6C" w:rsidRDefault="00AB1879" w:rsidP="002777A2">
      <w:pPr>
        <w:pStyle w:val="NormalHanging12a"/>
      </w:pPr>
      <w:r w:rsidRPr="00642F6C">
        <w:t>31</w:t>
      </w:r>
      <w:r w:rsidR="002777A2" w:rsidRPr="00642F6C">
        <w:t>.</w:t>
      </w:r>
      <w:r w:rsidR="002777A2" w:rsidRPr="00642F6C">
        <w:tab/>
        <w:t>opozarja, da člen 4 kodeksa ravnanja za poslance Evropskega parlamenta v zvezi z integriteto in preglednostjo zahteva natančne izjave poslancev o finančnih interesih; poziva, naj se v izjavah o plačanih ali neplačanih zunanjih dejavnostih zagotovi dovolj podrobnosti, da bi se izognili vsem pomislekom glede kakovosti preverjanja nasprotij interesov, ki so bistveni za učinkovito preprečevanje, prepoznavanje in obvladovanje nasprotij interesov;</w:t>
      </w:r>
    </w:p>
    <w:p w14:paraId="257D1317" w14:textId="1D632A7C" w:rsidR="002777A2" w:rsidRPr="00642F6C" w:rsidRDefault="00AB1879" w:rsidP="002777A2">
      <w:pPr>
        <w:pStyle w:val="NormalHanging12a"/>
        <w:rPr>
          <w:bCs/>
          <w:iCs/>
        </w:rPr>
      </w:pPr>
      <w:r w:rsidRPr="00642F6C">
        <w:t>32</w:t>
      </w:r>
      <w:r w:rsidR="002777A2" w:rsidRPr="00642F6C">
        <w:t>.</w:t>
      </w:r>
      <w:r w:rsidR="002777A2" w:rsidRPr="00642F6C">
        <w:tab/>
        <w:t>je seznanjen z obvezno objavo sestankov in izjav o zasebnih interesih, zlasti izjav o materialni in finančni podpori, ki je v interesu preglednosti; vendar ugotavlja, da se v sedanjem okviru vedno znova pojavljajo težave v zvezi s popolnostjo in jasnostjo, kar lahko zmanjša njegovo splošno učinkovitost; meni, da je treba posebno pozornost nameniti izboljšanju smernic za poslance ter sorazmernemu in doslednemu nadaljnjemu ukrepanju uprave, kadar se izjave zdijo netočne ali nedosledne, zlasti glede na pomisleke v zvezi s tujim vmešavanjem;</w:t>
      </w:r>
    </w:p>
    <w:p w14:paraId="4A521CA4" w14:textId="00619D8F" w:rsidR="002777A2" w:rsidRPr="00642F6C" w:rsidRDefault="00AB1879" w:rsidP="002777A2">
      <w:pPr>
        <w:pStyle w:val="NormalHanging12a"/>
      </w:pPr>
      <w:r w:rsidRPr="00642F6C">
        <w:t>33</w:t>
      </w:r>
      <w:r w:rsidR="002777A2" w:rsidRPr="00642F6C">
        <w:t>.</w:t>
      </w:r>
      <w:r w:rsidR="002777A2" w:rsidRPr="00642F6C">
        <w:tab/>
        <w:t>izraža resno zaskrbljenost v zvezi z obtožbami, da so države članice vohunile v Parlamentu; ugotavlja, da je Komisija ustanovila notranjo skupino za preiskavo teh trditev; poziva k tesnemu sodelovanju med Parlamentom in Komisijo ter poziva Komisijo, naj Parlamentu posreduje ugotovitve delovne skupine, če to ne ogroža tekočih ali morebitnih pravnih postopkov;</w:t>
      </w:r>
    </w:p>
    <w:p w14:paraId="4B219DC3" w14:textId="3BE62781" w:rsidR="002777A2" w:rsidRPr="00642F6C" w:rsidRDefault="00AB1879" w:rsidP="002777A2">
      <w:pPr>
        <w:pStyle w:val="NormalHanging12a"/>
        <w:rPr>
          <w:bCs/>
          <w:iCs/>
        </w:rPr>
      </w:pPr>
      <w:r w:rsidRPr="00642F6C">
        <w:t>34</w:t>
      </w:r>
      <w:r w:rsidR="002777A2" w:rsidRPr="00642F6C">
        <w:t>.</w:t>
      </w:r>
      <w:r w:rsidR="002777A2" w:rsidRPr="00642F6C">
        <w:tab/>
        <w:t>poziva Parlament, naj okrepi zaščitne ukrepe, vključno z varnim upravljanjem naprav, kanali za hitro poročanje o incidentih za poslance in uslužbence ter rednim poročanjem o grožnjah v sodelovanju s skupino CERT-EU in ustreznimi organi Unije, hkrati pa zagotovi popolno spoštovanje temeljnih pravic in varstva podatkov;</w:t>
      </w:r>
    </w:p>
    <w:p w14:paraId="63AE280A" w14:textId="07864E52" w:rsidR="002777A2" w:rsidRPr="00642F6C" w:rsidRDefault="00AB1879" w:rsidP="002777A2">
      <w:pPr>
        <w:pStyle w:val="NormalHanging12a"/>
      </w:pPr>
      <w:r w:rsidRPr="00642F6C">
        <w:t>35</w:t>
      </w:r>
      <w:r w:rsidR="002777A2" w:rsidRPr="00642F6C">
        <w:t>.</w:t>
      </w:r>
      <w:r w:rsidR="002777A2" w:rsidRPr="00642F6C">
        <w:tab/>
        <w:t>ugotavlja, da ima umetna inteligenca potencial za zagotavljanje točnih in preglednih informacij v Uniji ter njenih institucijah, organih, uradih in agencijah, ustrezno zasnovani in upravljani sistemi umetne inteligence pa lahko pomagajo odkrivati in blažiti napačne informacije in dezinformacije, spodbujati odgovornost in ohranjati visoke standarde preglednosti, da bi ohranili zaupanje javnosti in okrepili demokratično upravljanje; je zaskrbljen zaradi prevlade orodij umetne inteligence v podjetjih v tretjih državah ter pomislekov glede varstva podatkov in zaupnosti pri uporabi orodij umetne inteligence tretjih oseb; poziva k popolni preglednosti v zvezi z uporabo sistemov umetne inteligence pri odločitvah in postopkih Parlamenta, vključno z objavo podrobnih informacij o algoritmih in ocenah učinka; poziva upravo Parlamenta, naj poslancem in uslužbencem Parlamenta v skladu s potrebami vsake kategorije da na voljo nabor orodij umetne inteligence, ki bodo ustrezala potrebam poslovanja poslancev ter zagotavljala zaupnost, celovitost in razpoložljivost podatkov, ki se obdelujejo z umetno inteligenco, pri tem pa naj se uporablja infrastruktura v prostorih Parlamenta, da se prepreči uhajanje podatkov, in naj se prepreči razkrivanje informacij tretjim osebam v skladu s sedanjimi politikami o uporabi umetne inteligence;</w:t>
      </w:r>
    </w:p>
    <w:p w14:paraId="2B42FE8C" w14:textId="4677421B" w:rsidR="002777A2" w:rsidRPr="00642F6C" w:rsidRDefault="00AB1879" w:rsidP="002777A2">
      <w:pPr>
        <w:pStyle w:val="NormalHanging12a"/>
        <w:rPr>
          <w:bCs/>
          <w:iCs/>
        </w:rPr>
      </w:pPr>
      <w:r w:rsidRPr="00642F6C">
        <w:t>36</w:t>
      </w:r>
      <w:r w:rsidR="002777A2" w:rsidRPr="00642F6C">
        <w:t>.</w:t>
      </w:r>
      <w:r w:rsidR="002777A2" w:rsidRPr="00642F6C">
        <w:tab/>
        <w:t xml:space="preserve">je seznanjen z vse večjo uporabo umetne inteligence in velikih jezikovnih modelov pri upravljanju človeških virov ter priznava potencial, ki ga imajo za povečanje učinkovitosti, ki bi ga bilo treba dodatno preučiti; hkrati poudarja, da so potrebni jasno upravljanje, človeški nadzor, preglednost in zanesljivi zaščitni ukrepi za varstvo podatkov; poziva upravo, naj organ za podelitev razrešnice obvesti o obsegu, oceni </w:t>
      </w:r>
      <w:r w:rsidR="002777A2" w:rsidRPr="00642F6C">
        <w:lastRenderedPageBreak/>
        <w:t>tveganja in etičnih zaščitnih ukrepih teh orodij;</w:t>
      </w:r>
    </w:p>
    <w:p w14:paraId="442BFE73" w14:textId="682FE6FD" w:rsidR="002777A2" w:rsidRPr="00642F6C" w:rsidRDefault="00AB1879" w:rsidP="002777A2">
      <w:pPr>
        <w:pStyle w:val="NormalHanging12a"/>
      </w:pPr>
      <w:r w:rsidRPr="00642F6C">
        <w:t>37</w:t>
      </w:r>
      <w:r w:rsidR="002777A2" w:rsidRPr="00642F6C">
        <w:t>.</w:t>
      </w:r>
      <w:r w:rsidR="002777A2" w:rsidRPr="00642F6C">
        <w:tab/>
        <w:t>ugotavlja, da se v skladu s Poslovnikom Parlamenta tajno glasovanje na splošno uporablja za volitve in glasovanja v zvezi s posameznimi osebami; ugotavlja tudi, da bi bilo treba glasovati tajno, če tako zahtevajo poslanci ali politična skupina oziroma skupine, ki dosegajo vsaj visok prag; v zvezi s tem ugotavlja, da je bil Odbor Parlamenta za ustavne zadeve zadolžen za oceno uporabe slednje možnosti, in pričakuje sklepe in predloge odbora; meni, da je poimensko glasovanje ključni instrument za preglednost in odgovornost do državljanov Unije; poziva Parlament, naj predstavi ukrepe, ki preprečujejo zlorabo tajnega glasovanja;</w:t>
      </w:r>
    </w:p>
    <w:p w14:paraId="66CD6774" w14:textId="26DEFDB7" w:rsidR="002777A2" w:rsidRPr="00642F6C" w:rsidRDefault="00AB1879" w:rsidP="002777A2">
      <w:pPr>
        <w:pStyle w:val="NormalHanging12a"/>
        <w:rPr>
          <w:bCs/>
          <w:iCs/>
        </w:rPr>
      </w:pPr>
      <w:r w:rsidRPr="00642F6C">
        <w:t>38</w:t>
      </w:r>
      <w:r w:rsidR="002777A2" w:rsidRPr="00642F6C">
        <w:t>.</w:t>
      </w:r>
      <w:r w:rsidR="002777A2" w:rsidRPr="00642F6C">
        <w:tab/>
        <w:t xml:space="preserve">pozdravlja napredek pri vključevanju vidika spola in pripravi proračuna, ki upošteva vidik spola, ter sprejetje akcijskega načrta za enakost spolov za leto 2025; poziva, naj se ta akcijski načrt objavi in hitro izvede s časovnim načrtom akcijskega načrta za enakost spolov ter temeljito oceni z rednimi poročili o spremljanju doseženega napredka; pozdravlja delo mreže za vključevanje načela enakosti spolov v Parlamentu; </w:t>
      </w:r>
    </w:p>
    <w:p w14:paraId="7106B9A2"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Generalni direktorat predsedstvo</w:t>
      </w:r>
    </w:p>
    <w:p w14:paraId="2A0C7CA8" w14:textId="6381D82A"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39</w:t>
      </w:r>
      <w:r w:rsidR="002777A2" w:rsidRPr="00642F6C">
        <w:t>.</w:t>
      </w:r>
      <w:r w:rsidR="002777A2" w:rsidRPr="00642F6C">
        <w:rPr>
          <w14:textOutline w14:w="0" w14:cap="flat" w14:cmpd="sng" w14:algn="ctr">
            <w14:noFill/>
            <w14:prstDash w14:val="solid"/>
            <w14:bevel/>
          </w14:textOutline>
        </w:rPr>
        <w:tab/>
        <w:t xml:space="preserve">opozarja, da generalni direktorat predsedstvo (GD PRES) zagotavlja strokovno znanje in podpira zakonodajno in parlamentarno delo predsednice, plenarnega zasedanja ter vodstvenih organov in poslancev Parlamenta v vseh fazah parlamentarnega in zakonodajnega postopka; </w:t>
      </w:r>
      <w:r w:rsidR="002777A2" w:rsidRPr="00642F6C">
        <w:t>opozarja, da je odgovoren tudi za medinstitucionalne odnose, podporo protokolu pri uradnih obiskih in prireditvah, ki jih sponzorira predsednica, upravljanje tajnih podatkov Unije ter upravljanje uradne in priporočene pošte;</w:t>
      </w:r>
      <w:r w:rsidR="002777A2" w:rsidRPr="00642F6C">
        <w:rPr>
          <w14:textOutline w14:w="0" w14:cap="flat" w14:cmpd="sng" w14:algn="ctr">
            <w14:noFill/>
            <w14:prstDash w14:val="solid"/>
            <w14:bevel/>
          </w14:textOutline>
        </w:rPr>
        <w:t xml:space="preserve"> </w:t>
      </w:r>
      <w:r w:rsidR="002777A2" w:rsidRPr="00642F6C">
        <w:t>ugotavlja, da je bilo do 31. decembra 202</w:t>
      </w:r>
      <w:r w:rsidR="00FB3EB3">
        <w:t>4</w:t>
      </w:r>
      <w:r w:rsidR="002777A2" w:rsidRPr="00642F6C">
        <w:t xml:space="preserve"> v generalnem direktoratu 406 uslužbencev, od tega 320 uradnikov, 29 začasnih uslužbencev, 55 pogodbenih uslužbencev, en napoteni nacionalni strokovnjak in en agencijski delavec;</w:t>
      </w:r>
    </w:p>
    <w:p w14:paraId="3C16F5CC" w14:textId="59E58684"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40</w:t>
      </w:r>
      <w:r w:rsidR="002777A2" w:rsidRPr="00642F6C">
        <w:t>.</w:t>
      </w:r>
      <w:r w:rsidR="002777A2" w:rsidRPr="00642F6C">
        <w:rPr>
          <w14:textOutline w14:w="0" w14:cap="flat" w14:cmpd="sng" w14:algn="ctr">
            <w14:noFill/>
            <w14:prstDash w14:val="solid"/>
            <w14:bevel/>
          </w14:textOutline>
        </w:rPr>
        <w:tab/>
      </w:r>
      <w:r w:rsidR="002777A2" w:rsidRPr="00642F6C">
        <w:t>ugotavlja, da je končni proračun GD PRES v letu 2024 znašal 2 970 957 EUR, kar je 0,2 % proračuna Parlamenta;</w:t>
      </w:r>
      <w:r w:rsidR="002777A2" w:rsidRPr="00642F6C">
        <w:rPr>
          <w14:textOutline w14:w="0" w14:cap="flat" w14:cmpd="sng" w14:algn="ctr">
            <w14:noFill/>
            <w14:prstDash w14:val="solid"/>
            <w14:bevel/>
          </w14:textOutline>
        </w:rPr>
        <w:t xml:space="preserve"> </w:t>
      </w:r>
      <w:r w:rsidR="002777A2" w:rsidRPr="00642F6C">
        <w:t>poudarja, da so bile od tega zneska prevzete obveznosti v skupnem znesku 2 930 107 EUR;</w:t>
      </w:r>
      <w:r w:rsidR="002777A2" w:rsidRPr="00642F6C">
        <w:rPr>
          <w14:textOutline w14:w="0" w14:cap="flat" w14:cmpd="sng" w14:algn="ctr">
            <w14:noFill/>
            <w14:prstDash w14:val="solid"/>
            <w14:bevel/>
          </w14:textOutline>
        </w:rPr>
        <w:t xml:space="preserve"> pozdravlja obsežno uporabo odobrenih sredstev;</w:t>
      </w:r>
    </w:p>
    <w:p w14:paraId="57E078DC" w14:textId="55664E98" w:rsidR="002777A2" w:rsidRPr="00642F6C" w:rsidRDefault="00AB1879" w:rsidP="002777A2">
      <w:pPr>
        <w:spacing w:after="240"/>
        <w:ind w:left="567" w:hanging="567"/>
      </w:pPr>
      <w:r w:rsidRPr="00642F6C">
        <w:t>41</w:t>
      </w:r>
      <w:r w:rsidR="002777A2" w:rsidRPr="00642F6C">
        <w:t>.</w:t>
      </w:r>
      <w:r w:rsidR="002777A2" w:rsidRPr="00642F6C">
        <w:tab/>
        <w:t xml:space="preserve">ugotavlja, da sta na dejavnosti GD PRES vplivala konec devetega in začetek desetega zakonodajnega obdobja, kar je povzročilo težave pri načrtovanju in dokončanju plenarnih zasedanj ob koncu devetega zakonodajnega obdobja zaradi zelo velikega števila zadev v rednem zakonodajnem postopku, dogovorjenih v zadnjih mesecih zakonodajnega obdobja, in ustanovitve novega Parlamenta na začetku desetega zakonodajnega obdobja z izvolitvijo predsednika in predsedstva; </w:t>
      </w:r>
    </w:p>
    <w:p w14:paraId="59898363" w14:textId="50E1F27D" w:rsidR="002777A2" w:rsidRPr="00642F6C" w:rsidRDefault="00AB1879" w:rsidP="002777A2">
      <w:pPr>
        <w:pStyle w:val="NormalHanging12a"/>
      </w:pPr>
      <w:bookmarkStart w:id="8" w:name="_Hlk216613698"/>
      <w:r w:rsidRPr="00642F6C">
        <w:t>42</w:t>
      </w:r>
      <w:r w:rsidR="002777A2" w:rsidRPr="00642F6C">
        <w:t>.</w:t>
      </w:r>
      <w:r w:rsidR="002777A2" w:rsidRPr="00642F6C">
        <w:tab/>
        <w:t>izreka pohvalo GD PRES za njegove dejavnosti v zvezi z izvajanjem in spremljanjem novih pravil o integriteti in preglednosti, ki so vključevale prvo splošno oceno tehničnega izvajanja reforme, ter za dejavnosti ozaveščanja in zagotavljanje tehničnega strokovnega znanja in storitev o vprašanjih preglednosti, integritete in odgovornosti; pozdravlja tudi vlogo posvetovalnega odbora o ravnanju poslancev pri spremljanju, kako poslanci spoštujejo kodeks ravnanja in njegove izvedbene ukrepe;</w:t>
      </w:r>
    </w:p>
    <w:bookmarkEnd w:id="8"/>
    <w:p w14:paraId="0B824349" w14:textId="538089A4" w:rsidR="002777A2" w:rsidRPr="00642F6C" w:rsidRDefault="00AB1879" w:rsidP="002777A2">
      <w:pPr>
        <w:pStyle w:val="NormalHanging12a"/>
      </w:pPr>
      <w:r w:rsidRPr="00642F6C">
        <w:t>43</w:t>
      </w:r>
      <w:r w:rsidR="002777A2" w:rsidRPr="00642F6C">
        <w:t>.</w:t>
      </w:r>
      <w:r w:rsidR="002777A2" w:rsidRPr="00642F6C">
        <w:tab/>
        <w:t xml:space="preserve">poziva k nadaljevanju medinstitucionalnega sodelovanja in dialoga o integriteti in preglednosti </w:t>
      </w:r>
      <w:r w:rsidR="009C69CE" w:rsidRPr="00642F6C">
        <w:t xml:space="preserve">med institucijami Unije; opozarja, da sporazum o ustanovitvi medinstitucionalnega organa za etične standarde za člane institucij in posvetovalnih organov iz člena 13 Pogodbe o Evropski uniji še naprej zavezuje Parlament; opozarja, </w:t>
      </w:r>
      <w:r w:rsidR="009C69CE" w:rsidRPr="00642F6C">
        <w:lastRenderedPageBreak/>
        <w:t>da mora Parlament zato brez nadaljnjega odlašanja izpolniti njegove določbe;</w:t>
      </w:r>
      <w:r w:rsidR="002777A2" w:rsidRPr="00642F6C">
        <w:t>;</w:t>
      </w:r>
    </w:p>
    <w:p w14:paraId="1F5C0497" w14:textId="052D43CE" w:rsidR="002777A2" w:rsidRPr="00642F6C" w:rsidRDefault="00AB1879" w:rsidP="002777A2">
      <w:pPr>
        <w:pStyle w:val="NormalHanging12a"/>
        <w:rPr>
          <w:bCs/>
          <w:iCs/>
        </w:rPr>
      </w:pPr>
      <w:r w:rsidRPr="00642F6C">
        <w:t>44</w:t>
      </w:r>
      <w:r w:rsidR="002777A2" w:rsidRPr="00642F6C">
        <w:t>.</w:t>
      </w:r>
      <w:r w:rsidR="002777A2" w:rsidRPr="00642F6C">
        <w:tab/>
        <w:t>pozdravlja, da je GD PRES še naprej učinkovito sodeloval s Svetom in Komisijo pri vseh elementih v zvezi z medinstitucionalnim sekretariatom registra za preglednost, da bi še naprej krepil delovanje registra;</w:t>
      </w:r>
    </w:p>
    <w:p w14:paraId="2828C9C2" w14:textId="348EE68A" w:rsidR="002777A2" w:rsidRPr="00642F6C" w:rsidRDefault="00AB1879" w:rsidP="002777A2">
      <w:pPr>
        <w:pStyle w:val="NormalHanging12a"/>
      </w:pPr>
      <w:r w:rsidRPr="00642F6C">
        <w:t>45</w:t>
      </w:r>
      <w:r w:rsidR="002777A2" w:rsidRPr="00642F6C">
        <w:t>.</w:t>
      </w:r>
      <w:r w:rsidR="002777A2" w:rsidRPr="00642F6C">
        <w:tab/>
        <w:t>opozarja na stalne zamude Komisije pri obravnavi parlamentarnih vprašanj za pisne odgovore v zadnjih letih; obžaluje, da je proces vse bolj birokratski in počasen, zaradi česar prihaja do sistematičnega nespoštovanja rokov iz člena 144 Poslovnika Parlamenta; z zaskrbljenostjo ugotavlja, da je Komisija leta 2024 v rokih, določenih v Poslovniku Parlamenta, odgovorila le na omejen delež pisnih vprašanj, vključno s posebej nizko stopnjo za prednostna vprašanja, v številnih primerih pa tudi po roku; poudarja, da je bil najdaljši čas za odgovor 475 dni; opozarja, da so pravočasni odgovori bistven element parlamentarnega nadzora in demokratične odgovornosti; pozdravlja, da si GD PRES v zadnjih letih prizadeva za spoštovanje rokov; poziva GD PRES, naj si prizadeva za popolno spoštovanje rokov, ki jih je določil Parlament, in naj si prizadeva, tudi na politični ravni, za bolj zavezujoče dogovore s Komisijo glede odgovorov na pisna vprašanja v zastavljenih rokih ter organu za podelitev razrešnice poroča o doseženem napredku, da bi ponovno vzpostavili parlamentarna vprašanja za pisne odgovore kot učinkovit nadzorni instrument;</w:t>
      </w:r>
    </w:p>
    <w:p w14:paraId="3FD0D418" w14:textId="692F1884" w:rsidR="002777A2" w:rsidRPr="00642F6C" w:rsidRDefault="00AB1879" w:rsidP="002777A2">
      <w:pPr>
        <w:pStyle w:val="NormalHanging12a"/>
        <w:rPr>
          <w:bCs/>
          <w:iCs/>
        </w:rPr>
      </w:pPr>
      <w:r w:rsidRPr="00642F6C">
        <w:t>46</w:t>
      </w:r>
      <w:r w:rsidR="002777A2" w:rsidRPr="00642F6C">
        <w:t>.</w:t>
      </w:r>
      <w:r w:rsidR="002777A2" w:rsidRPr="00642F6C">
        <w:tab/>
        <w:t>ugotavlja, da notranja obdelava, vključno z urejanjem, prevajanjem in preverjanjem dopustnosti, prispeva k skupnemu času prenosa pisnih vprašanj; poziva upravo, naj še naprej racionalizira te postopke, pri tem pa v celoti spoštuje zahteve glede jezikovne kakovosti in varstva podatkov, da bi učinkoviteje podprla delo poslancev pri nadzoru;</w:t>
      </w:r>
    </w:p>
    <w:p w14:paraId="49657489" w14:textId="4ECC7EBB" w:rsidR="002777A2" w:rsidRPr="00642F6C" w:rsidRDefault="00AB1879" w:rsidP="002777A2">
      <w:pPr>
        <w:spacing w:after="240"/>
        <w:ind w:left="567" w:hanging="567"/>
      </w:pPr>
      <w:r w:rsidRPr="00642F6C">
        <w:t>47</w:t>
      </w:r>
      <w:r w:rsidR="002777A2" w:rsidRPr="00642F6C">
        <w:t xml:space="preserve">. </w:t>
      </w:r>
      <w:r w:rsidR="002777A2" w:rsidRPr="00642F6C">
        <w:tab/>
        <w:t>poziva GD PRES, naj dejavno sodeluje s parlamenti drugih držav članic in tretjih držav, da bi oblikovali predloge za učinkovite nadzorne mehanizme ter načine za izboljšanje kakovosti plenarnih razprav v Parlamentu in udeležbo na njih; poziva GD PRES, naj upošteva izkušnje, pridobljene s strukturo kongresnih predstavitev;</w:t>
      </w:r>
    </w:p>
    <w:p w14:paraId="5434811D" w14:textId="1626B2AA" w:rsidR="002777A2" w:rsidRPr="00642F6C" w:rsidRDefault="00AB1879" w:rsidP="002777A2">
      <w:pPr>
        <w:pStyle w:val="NormalHanging12a"/>
        <w:rPr>
          <w:bCs/>
          <w:iCs/>
        </w:rPr>
      </w:pPr>
      <w:r w:rsidRPr="00642F6C">
        <w:t>48</w:t>
      </w:r>
      <w:r w:rsidR="002777A2" w:rsidRPr="00642F6C">
        <w:t>.</w:t>
      </w:r>
      <w:r w:rsidR="002777A2" w:rsidRPr="00642F6C">
        <w:tab/>
        <w:t>pozdravlja, da je Parlament nedavno začel zakonodajni postopek za spremembo volilne zakonodaje Unije, da bi uvedel novo začasno možnost glasovanja prek pooblaščenca za poslance med pozno nosečnostjo in zgodnjim materinstvom; pozdravlja, da se je Parlament z glasovanjem na plenarnem zasedanju 13. novembra 2025 zavezal enakosti spolov, vključevanju ter usklajevanju poklicnega in zasebnega življenja, čeprav akt ne zajema širšega starševskega dopusta;</w:t>
      </w:r>
    </w:p>
    <w:p w14:paraId="7D4A0B1A" w14:textId="65A0D85B" w:rsidR="002777A2" w:rsidRPr="00642F6C" w:rsidRDefault="00AB1879" w:rsidP="002777A2">
      <w:pPr>
        <w:pStyle w:val="NormalHanging12a"/>
        <w:rPr>
          <w:bCs/>
          <w:iCs/>
        </w:rPr>
      </w:pPr>
      <w:r w:rsidRPr="00642F6C">
        <w:t>49</w:t>
      </w:r>
      <w:r w:rsidR="002777A2" w:rsidRPr="00642F6C">
        <w:t>.</w:t>
      </w:r>
      <w:r w:rsidR="002777A2" w:rsidRPr="00642F6C">
        <w:tab/>
        <w:t>ugotavlja, da posodobljeni podatki o udeležbi na ravni odbora trenutno niso na voljo; poziva službe Parlamenta, naj vsako leto objavijo podatke o udeležbi na ravni odborov, združene po posameznih odborih;</w:t>
      </w:r>
    </w:p>
    <w:p w14:paraId="1C98CEEC"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Generalni direktorat za komuniciranje</w:t>
      </w:r>
    </w:p>
    <w:p w14:paraId="2D46EB8F" w14:textId="66990887"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50</w:t>
      </w:r>
      <w:r w:rsidR="002777A2" w:rsidRPr="00642F6C">
        <w:t>.</w:t>
      </w:r>
      <w:r w:rsidR="002777A2" w:rsidRPr="00642F6C">
        <w:rPr>
          <w14:textOutline w14:w="0" w14:cap="flat" w14:cmpd="sng" w14:algn="ctr">
            <w14:noFill/>
            <w14:prstDash w14:val="solid"/>
            <w14:bevel/>
          </w14:textOutline>
        </w:rPr>
        <w:tab/>
      </w:r>
      <w:r w:rsidR="002777A2" w:rsidRPr="00642F6C">
        <w:t>ugotavlja, da je naloga generalnega direktorata za komuniciranje (GD COMM) zagotoviti, da državljani razumejo pomen Parlamenta, da bi lahko izboljšali sodelovanje v evropskem demokratičnem procesu;</w:t>
      </w:r>
      <w:r w:rsidR="002777A2" w:rsidRPr="00642F6C">
        <w:rPr>
          <w14:textOutline w14:w="0" w14:cap="flat" w14:cmpd="sng" w14:algn="ctr">
            <w14:noFill/>
            <w14:prstDash w14:val="solid"/>
            <w14:bevel/>
          </w14:textOutline>
        </w:rPr>
        <w:t xml:space="preserve"> poudarja, da so njegove glavne naloge sodelovanje z mediji, obveščanje, pojasnjevanje in povečanje prepoznavnosti dela Parlamenta, ozaveščanje državljanov v vseh državah članicah, deležnikov in oblikovalcev javnega mnenja o Parlamentu prek pisarn Evropskega parlamenta za stike v državah članicah, spodbujanje interakcije z državljani z okrepljenimi projekti za </w:t>
      </w:r>
      <w:r w:rsidR="002777A2" w:rsidRPr="00642F6C">
        <w:rPr>
          <w14:textOutline w14:w="0" w14:cap="flat" w14:cmpd="sng" w14:algn="ctr">
            <w14:noFill/>
            <w14:prstDash w14:val="solid"/>
            <w14:bevel/>
          </w14:textOutline>
        </w:rPr>
        <w:lastRenderedPageBreak/>
        <w:t>obiskovalce, prireditvami in informacijskimi kampanjami ter prisotnostjo v družbenih medijih, zagotavljanje strokovnega znanja poslancem in političnim skupinam o temah, kot so informacije o medijih in spremljanje javnega mnenja;</w:t>
      </w:r>
    </w:p>
    <w:p w14:paraId="14C78CCB" w14:textId="17E90B59"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51</w:t>
      </w:r>
      <w:r w:rsidR="002777A2" w:rsidRPr="00642F6C">
        <w:t>.</w:t>
      </w:r>
      <w:r w:rsidR="002777A2" w:rsidRPr="00642F6C">
        <w:rPr>
          <w14:textOutline w14:w="0" w14:cap="flat" w14:cmpd="sng" w14:algn="ctr">
            <w14:noFill/>
            <w14:prstDash w14:val="solid"/>
            <w14:bevel/>
          </w14:textOutline>
        </w:rPr>
        <w:tab/>
      </w:r>
      <w:r w:rsidR="002777A2" w:rsidRPr="00642F6C">
        <w:t>ugotavlja, da je končni proračun GD COMM v letu 2024 znašal 137 463 777 EUR, kar je 5,8 % proračuna Parlamenta;</w:t>
      </w:r>
      <w:r w:rsidR="002777A2" w:rsidRPr="00642F6C">
        <w:rPr>
          <w14:textOutline w14:w="0" w14:cap="flat" w14:cmpd="sng" w14:algn="ctr">
            <w14:noFill/>
            <w14:prstDash w14:val="solid"/>
            <w14:bevel/>
          </w14:textOutline>
        </w:rPr>
        <w:t xml:space="preserve"> </w:t>
      </w:r>
      <w:r w:rsidR="002777A2" w:rsidRPr="00642F6C">
        <w:t>poudarja, da so bile od tega zneska prevzete obveznosti v skupnem znesku 137 467 355 EUR;</w:t>
      </w:r>
      <w:r w:rsidR="002777A2" w:rsidRPr="00642F6C">
        <w:rPr>
          <w14:textOutline w14:w="0" w14:cap="flat" w14:cmpd="sng" w14:algn="ctr">
            <w14:noFill/>
            <w14:prstDash w14:val="solid"/>
            <w14:bevel/>
          </w14:textOutline>
        </w:rPr>
        <w:t xml:space="preserve"> pozdravlja obsežno uporabo odobrenih sredstev;</w:t>
      </w:r>
    </w:p>
    <w:p w14:paraId="4670F1EE" w14:textId="626502D0" w:rsidR="002777A2" w:rsidRPr="00642F6C" w:rsidRDefault="00AB1879" w:rsidP="002777A2">
      <w:pPr>
        <w:spacing w:after="240"/>
        <w:ind w:left="567" w:hanging="567"/>
      </w:pPr>
      <w:r w:rsidRPr="00642F6C">
        <w:t>52</w:t>
      </w:r>
      <w:r w:rsidR="002777A2" w:rsidRPr="00642F6C">
        <w:t>.</w:t>
      </w:r>
      <w:r w:rsidR="002777A2" w:rsidRPr="00642F6C">
        <w:tab/>
        <w:t>priznava, da je bila komunikacija v zvezi z evropskimi volitvami leta 2024 v ospredju dejavnosti GD COMM, zlasti je bila uspešna komunikacijska kampanja Go-to-</w:t>
      </w:r>
      <w:proofErr w:type="spellStart"/>
      <w:r w:rsidR="002777A2" w:rsidRPr="00642F6C">
        <w:t>vote</w:t>
      </w:r>
      <w:proofErr w:type="spellEnd"/>
      <w:r w:rsidR="002777A2" w:rsidRPr="00642F6C">
        <w:t>, vzpostavljena so bila partnerstva z več kot 300 organizacijami civilne družbe in obveščenih je bilo več kot 18 000 novinarjev; ugotavlja, da so bili vsi strateški projekti GD COMM v letu 2024 s 94-odstotno stopnjo dokončanja namenjeni evropskim volitvam, preostalih 6 % pa je bilo povezanih z izvajanjem nove strukture spletnega mesta;</w:t>
      </w:r>
    </w:p>
    <w:p w14:paraId="75FE1B6A" w14:textId="5829C937" w:rsidR="002777A2" w:rsidRPr="00642F6C" w:rsidRDefault="00AB1879" w:rsidP="002777A2">
      <w:pPr>
        <w:spacing w:after="240"/>
        <w:ind w:left="567" w:hanging="567"/>
      </w:pPr>
      <w:r w:rsidRPr="00642F6C">
        <w:t>53</w:t>
      </w:r>
      <w:r w:rsidR="002777A2" w:rsidRPr="00642F6C">
        <w:t xml:space="preserve">. </w:t>
      </w:r>
      <w:r w:rsidR="002777A2" w:rsidRPr="00642F6C">
        <w:tab/>
        <w:t>ugotavlja, da je GD COMM omogočal poročanje o evropskih volitvah, ki je doseglo rekorden obseg poročanja (+18 % v primerjavi s prejšnjimi volitvami), kar je po poročanju GD COMM še posebej pomembno v zadnjih trenutkih volilnega cikla na večer volitev (9. junija 2024), ki ga je pokrivalo 149 televizijskih kanalov v 51 državah in večina poročanja prek spleta;</w:t>
      </w:r>
    </w:p>
    <w:p w14:paraId="306E9730" w14:textId="56193326" w:rsidR="002777A2" w:rsidRPr="00642F6C" w:rsidRDefault="00AB1879" w:rsidP="002777A2">
      <w:pPr>
        <w:spacing w:after="240"/>
        <w:ind w:left="567" w:hanging="567"/>
      </w:pPr>
      <w:r w:rsidRPr="00642F6C">
        <w:rPr>
          <w14:textOutline w14:w="0" w14:cap="flat" w14:cmpd="sng" w14:algn="ctr">
            <w14:noFill/>
            <w14:prstDash w14:val="solid"/>
            <w14:bevel/>
          </w14:textOutline>
        </w:rPr>
        <w:t>54</w:t>
      </w:r>
      <w:r w:rsidR="002777A2" w:rsidRPr="00642F6C">
        <w:t>.</w:t>
      </w:r>
      <w:r w:rsidR="002777A2" w:rsidRPr="00642F6C">
        <w:rPr>
          <w14:textOutline w14:w="0" w14:cap="flat" w14:cmpd="sng" w14:algn="ctr">
            <w14:noFill/>
            <w14:prstDash w14:val="solid"/>
            <w14:bevel/>
          </w14:textOutline>
        </w:rPr>
        <w:tab/>
      </w:r>
      <w:r w:rsidR="002777A2" w:rsidRPr="00642F6C">
        <w:t>je seznanjen z vlogo pisarn za stike pri povezovanju Parlamenta z javnostjo in deležniki v državah članicah na splošno ter pri komuniciranju o evropskih volitvah;</w:t>
      </w:r>
      <w:r w:rsidR="002777A2" w:rsidRPr="00642F6C">
        <w:rPr>
          <w14:textOutline w14:w="0" w14:cap="flat" w14:cmpd="sng" w14:algn="ctr">
            <w14:noFill/>
            <w14:prstDash w14:val="solid"/>
            <w14:bevel/>
          </w14:textOutline>
        </w:rPr>
        <w:t xml:space="preserve"> </w:t>
      </w:r>
      <w:r w:rsidR="002777A2" w:rsidRPr="00642F6C">
        <w:t xml:space="preserve">ugotavlja, da so bile vse pisarne Evropskega parlamenta za stike opremljene z avdiovizualnimi storitvami, ki jih lahko poslanci, politične skupine in tretje osebe uporabljajo v državah članicah; </w:t>
      </w:r>
    </w:p>
    <w:p w14:paraId="1DAAD2A6" w14:textId="1FCC0F6D" w:rsidR="002777A2" w:rsidRPr="00642F6C" w:rsidRDefault="00AB1879" w:rsidP="002777A2">
      <w:pPr>
        <w:pStyle w:val="NormalHanging12a"/>
        <w:rPr>
          <w:bCs/>
          <w:iCs/>
        </w:rPr>
      </w:pPr>
      <w:r w:rsidRPr="00642F6C">
        <w:t>55</w:t>
      </w:r>
      <w:r w:rsidR="002777A2" w:rsidRPr="00642F6C">
        <w:t>.</w:t>
      </w:r>
      <w:r w:rsidR="002777A2" w:rsidRPr="00642F6C">
        <w:tab/>
        <w:t>poziva k ustreznemu spremljanju odhodkov pisarn Evropskega parlamenta za stike in središč Doživi Evropo;</w:t>
      </w:r>
    </w:p>
    <w:p w14:paraId="3D5FE559" w14:textId="72787B2C" w:rsidR="002777A2" w:rsidRPr="00642F6C" w:rsidRDefault="00AB1879" w:rsidP="002777A2">
      <w:pPr>
        <w:pStyle w:val="NormalHanging12a"/>
        <w:rPr>
          <w:bCs/>
          <w:iCs/>
        </w:rPr>
      </w:pPr>
      <w:r w:rsidRPr="00642F6C">
        <w:t>56</w:t>
      </w:r>
      <w:r w:rsidR="002777A2" w:rsidRPr="00642F6C">
        <w:t>.</w:t>
      </w:r>
      <w:r w:rsidR="002777A2" w:rsidRPr="00642F6C">
        <w:tab/>
        <w:t>poudarja ključno vlogo pisarne Evropskega parlamenta za stike v Washingtonu pri spodbujanju čezatlantskih odnosov in krepitvi povezav med parlamentoma ZDA in Unije; poudarja, da je glede na novo administracijo ZDA in nastajajoče svetovne izzive vloga pisarne Evropskega parlamenta za stike v Washingtonu še pomembnejša; poziva k ustreznemu proračunu in zaposlenim, da se podpre dejavnosti te pisarne;</w:t>
      </w:r>
    </w:p>
    <w:p w14:paraId="22EE6645" w14:textId="131A3821" w:rsidR="002777A2" w:rsidRPr="00642F6C" w:rsidRDefault="00AB1879" w:rsidP="002777A2">
      <w:pPr>
        <w:pStyle w:val="NormalHanging12a"/>
      </w:pPr>
      <w:r w:rsidRPr="00642F6C">
        <w:t>57</w:t>
      </w:r>
      <w:r w:rsidR="002777A2" w:rsidRPr="00642F6C">
        <w:t>.</w:t>
      </w:r>
      <w:r w:rsidR="002777A2" w:rsidRPr="00642F6C">
        <w:tab/>
        <w:t xml:space="preserve">ugotavlja, da je bilo leta 2024 odprtih 14 središč Doživi Evropo, ki so pritegnila skupno 957 209 obiskovalcev, pri čemer se število obiskovalcev zelo razlikuje; Strasbourg (381 687) in Berlin (122 672) sta pritegnila največ obiskovalcev, </w:t>
      </w:r>
      <w:proofErr w:type="spellStart"/>
      <w:r w:rsidR="002777A2" w:rsidRPr="00642F6C">
        <w:t>København</w:t>
      </w:r>
      <w:proofErr w:type="spellEnd"/>
      <w:r w:rsidR="002777A2" w:rsidRPr="00642F6C">
        <w:t xml:space="preserve"> (18 182) in Dublin (83 12) pa najmanj, vendar se je center v Dublinu odprl šele oktobra 2024; je seznanjen s pripombo, da se središča Doživi Evropo uporabljajo kot vozlišče Unije za demokratično udejstvovanje pisarn Evropskega parlamenta za stike, ki ponujajo priložnosti za ozaveščanje širšega občinstva o sporočilih Parlamenta v zadevnih državah članicah;</w:t>
      </w:r>
    </w:p>
    <w:p w14:paraId="2ED61DDD" w14:textId="6FE80840" w:rsidR="002777A2" w:rsidRPr="00642F6C" w:rsidRDefault="00AB1879" w:rsidP="002777A2">
      <w:pPr>
        <w:spacing w:after="240"/>
        <w:ind w:left="567" w:hanging="567"/>
      </w:pPr>
      <w:r w:rsidRPr="00642F6C">
        <w:rPr>
          <w14:textOutline w14:w="0" w14:cap="flat" w14:cmpd="sng" w14:algn="ctr">
            <w14:noFill/>
            <w14:prstDash w14:val="solid"/>
            <w14:bevel/>
          </w14:textOutline>
        </w:rPr>
        <w:t>58</w:t>
      </w:r>
      <w:r w:rsidR="002777A2" w:rsidRPr="00642F6C">
        <w:t>.</w:t>
      </w:r>
      <w:r w:rsidR="002777A2" w:rsidRPr="00642F6C">
        <w:rPr>
          <w14:textOutline w14:w="0" w14:cap="flat" w14:cmpd="sng" w14:algn="ctr">
            <w14:noFill/>
            <w14:prstDash w14:val="solid"/>
            <w14:bevel/>
          </w14:textOutline>
        </w:rPr>
        <w:tab/>
      </w:r>
      <w:r w:rsidR="002777A2" w:rsidRPr="00642F6C">
        <w:t xml:space="preserve">poudarja, da je treba temeljito oceniti izkušnje, pridobljene v središčih Doživi Evropo, zlasti v zvezi z iskanjem ustreznih stavb in učinkovitim naslavljanjem ciljnih skupin, opredeliti dobre prakse ter prihodnji razvoj središč prilagoditi lokalnim potrebam in dokazanemu učinku; poudarja, da bi morala ta ponovna ocena usmerjati prihodnje prilagoditve ali premisleke pri nadaljnji širitvi ter zagotoviti, da bodo vse prihodnje </w:t>
      </w:r>
      <w:r w:rsidR="002777A2" w:rsidRPr="00642F6C">
        <w:lastRenderedPageBreak/>
        <w:t>naložbe učinkovitejše pri izpolnjevanju predvidenega namena, tj. približati Parlament državljanom in izboljšati njihovo razumevanje demokratičnega procesa Unije;</w:t>
      </w:r>
    </w:p>
    <w:p w14:paraId="674474FC" w14:textId="33917D48" w:rsidR="002777A2" w:rsidRPr="00642F6C" w:rsidRDefault="00AB1879" w:rsidP="002777A2">
      <w:pPr>
        <w:pStyle w:val="NormalHanging12a"/>
      </w:pPr>
      <w:r w:rsidRPr="00642F6C">
        <w:t>59</w:t>
      </w:r>
      <w:r w:rsidR="002777A2" w:rsidRPr="00642F6C">
        <w:t>.</w:t>
      </w:r>
      <w:r w:rsidR="002777A2" w:rsidRPr="00642F6C">
        <w:tab/>
        <w:t xml:space="preserve">opozarja, da je predsedstvo nova pravila o izplačilu subvencij za sponzorirane skupine obiskovalcev sprejelo 11. septembra 2023, veljati pa so začela 1. januarja 2024; ugotavlja, da so poslanci v letu 2024 v Bruslju in Strasbourgu povabili 300 000 sponzoriranih in </w:t>
      </w:r>
      <w:proofErr w:type="spellStart"/>
      <w:r w:rsidR="002777A2" w:rsidRPr="00642F6C">
        <w:t>nesponzoriranih</w:t>
      </w:r>
      <w:proofErr w:type="spellEnd"/>
      <w:r w:rsidR="002777A2" w:rsidRPr="00642F6C">
        <w:t xml:space="preserve"> obiskovalcev; ugotavlja, da so subvencije za te skupine obiskovalcev v letu 2024 znašale 17 % odhodkov GD COMM; je seznanjen, da politične skupine z dodatnimi prizadevanji podpirajo svoje poslance pri stikih z državljani, vključno z mladimi, da bi zagotovile ustrezne informacije o delu poslancev v Strasbourgu in Bruslju s financiranjem iz proračunske postavke 400;</w:t>
      </w:r>
    </w:p>
    <w:p w14:paraId="4848CF3F" w14:textId="6F7FFAB6" w:rsidR="002777A2" w:rsidRPr="00642F6C" w:rsidRDefault="00AB1879" w:rsidP="002777A2">
      <w:pPr>
        <w:spacing w:after="240"/>
        <w:ind w:left="567" w:hanging="567"/>
      </w:pPr>
      <w:r w:rsidRPr="00642F6C">
        <w:t>60</w:t>
      </w:r>
      <w:r w:rsidR="002777A2" w:rsidRPr="00642F6C">
        <w:t>.</w:t>
      </w:r>
      <w:r w:rsidR="002777A2" w:rsidRPr="00642F6C">
        <w:tab/>
        <w:t>ugotavlja, da se Unija ves čas bori za ohranitev evropskih vrednot in celovitosti naših demokratičnih procesov; je seznanjen z vse pogostejšimi poskusi tujih akterjev, da bi vplivali na delo Parlamenta, in poudarja, da je potrebna previdnost pri boju proti dezinformacijam, ki izvirajo zunaj Unije; v zvezi s tem opozarja na resoluciji Evropskega parlamenta z dne 1. junija 2023 o tujem vmešavanju v vse demokratične procese v Evropski uniji, tudi o dezinformacijah (2022/2075(INI)), in z dne 23. januarja 2025 o dezinformacijah in zgodovinskem potvarjanju, s katerimi Rusija upravičuje svojo vojaško agresijo proti Ukrajini (2024/2988(RSP)); pozdravlja ukrepe, ki jih je Parlament sprejel za preprečevanje dezinformacij in odziv nanje; priznava, da še ni prišlo do pomembnega incidenta, vendar poudarja, da je treba ohraniti proaktivne ukrepe za zagotavljanje celovitosti javne razprave in glasovanj Parlamenta; poudarja dodano vrednost pobud, kot so srečanja za preverjanje dejstev in srečanja na vrhu, ki imajo ključno vlogo pri spodbujanju preglednosti, opremljanju deležnikov z orodji za boj proti napačnim informacijam in krepitvi sodelovanja med organizacijami za preverjanje dejstev v Uniji in zunaj nje;</w:t>
      </w:r>
    </w:p>
    <w:p w14:paraId="2C438CB7"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Generalni direktorat za kadrovske zadeve</w:t>
      </w:r>
    </w:p>
    <w:p w14:paraId="367A0061" w14:textId="1BC203DE"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61</w:t>
      </w:r>
      <w:r w:rsidR="002777A2" w:rsidRPr="00642F6C">
        <w:t>.</w:t>
      </w:r>
      <w:r w:rsidR="002777A2" w:rsidRPr="00642F6C">
        <w:rPr>
          <w14:textOutline w14:w="0" w14:cap="flat" w14:cmpd="sng" w14:algn="ctr">
            <w14:noFill/>
            <w14:prstDash w14:val="solid"/>
            <w14:bevel/>
          </w14:textOutline>
        </w:rPr>
        <w:tab/>
        <w:t xml:space="preserve">želi spomniti, da je generalni direktorat za kadrovske zadeve (GD PERS) odgovoren za ustrezno in učinkovito upravljanje človeških virov v Parlamentu in skrbi, da poslancem pomaga visoko usposobljena delovna sila, da lahko ustrezno opravljajo svoj mandat; </w:t>
      </w:r>
      <w:r w:rsidR="002777A2" w:rsidRPr="00642F6C">
        <w:t>ugotavlja, da je bilo do 31. decembra 2024 v generalnem direktoratu 499 uslužbencev, od tega 290 uradnikov, 82 začasnih uslužbencev, 120 pogodbenih uslužbencev, dva napotena nacionalna strokovnjaka in pet agencijskih delavcev;</w:t>
      </w:r>
    </w:p>
    <w:p w14:paraId="016D500D" w14:textId="7D1B16EA" w:rsidR="002777A2" w:rsidRPr="00642F6C" w:rsidRDefault="00AB1879" w:rsidP="002777A2">
      <w:pPr>
        <w:spacing w:after="240"/>
        <w:ind w:left="567" w:hanging="567"/>
        <w:rPr>
          <w:szCs w:val="24"/>
          <w14:textOutline w14:w="0" w14:cap="flat" w14:cmpd="sng" w14:algn="ctr">
            <w14:noFill/>
            <w14:prstDash w14:val="solid"/>
            <w14:bevel/>
          </w14:textOutline>
        </w:rPr>
      </w:pPr>
      <w:r w:rsidRPr="00642F6C">
        <w:rPr>
          <w14:textOutline w14:w="0" w14:cap="flat" w14:cmpd="sng" w14:algn="ctr">
            <w14:noFill/>
            <w14:prstDash w14:val="solid"/>
            <w14:bevel/>
          </w14:textOutline>
        </w:rPr>
        <w:t>62</w:t>
      </w:r>
      <w:r w:rsidR="002777A2" w:rsidRPr="00642F6C">
        <w:t>.</w:t>
      </w:r>
      <w:r w:rsidR="002777A2" w:rsidRPr="00642F6C">
        <w:rPr>
          <w14:textOutline w14:w="0" w14:cap="flat" w14:cmpd="sng" w14:algn="ctr">
            <w14:noFill/>
            <w14:prstDash w14:val="solid"/>
            <w14:bevel/>
          </w14:textOutline>
        </w:rPr>
        <w:tab/>
      </w:r>
      <w:r w:rsidR="002777A2" w:rsidRPr="00642F6C">
        <w:t>ugotavlja, da je končni proračun GD PERS v letu 2024 znašal 1 225 341 375 EUR (1 163 329 780 EUR v letu 2023), kar je bilo 51,4 % proračuna Parlamenta;</w:t>
      </w:r>
      <w:r w:rsidR="002777A2" w:rsidRPr="00642F6C">
        <w:rPr>
          <w14:textOutline w14:w="0" w14:cap="flat" w14:cmpd="sng" w14:algn="ctr">
            <w14:noFill/>
            <w14:prstDash w14:val="solid"/>
            <w14:bevel/>
          </w14:textOutline>
        </w:rPr>
        <w:t xml:space="preserve"> </w:t>
      </w:r>
      <w:r w:rsidR="002777A2" w:rsidRPr="00642F6C">
        <w:t>poudarja, da so bile od tega zneska prevzete obveznosti v skupnem znesku 1 160 835 147 EUR;</w:t>
      </w:r>
      <w:r w:rsidR="002777A2" w:rsidRPr="00642F6C">
        <w:rPr>
          <w14:textOutline w14:w="0" w14:cap="flat" w14:cmpd="sng" w14:algn="ctr">
            <w14:noFill/>
            <w14:prstDash w14:val="solid"/>
            <w14:bevel/>
          </w14:textOutline>
        </w:rPr>
        <w:t xml:space="preserve"> pozdravlja obsežno uporabo odobrenih sredstev;</w:t>
      </w:r>
    </w:p>
    <w:p w14:paraId="59A4A8C9" w14:textId="134B02DA" w:rsidR="002777A2" w:rsidRPr="00642F6C" w:rsidRDefault="00AB1879" w:rsidP="002777A2">
      <w:pPr>
        <w:pStyle w:val="NormalHanging12a"/>
      </w:pPr>
      <w:r w:rsidRPr="00642F6C">
        <w:t>63</w:t>
      </w:r>
      <w:r w:rsidR="002777A2" w:rsidRPr="00642F6C">
        <w:t>.</w:t>
      </w:r>
      <w:r w:rsidR="002777A2" w:rsidRPr="00642F6C">
        <w:tab/>
        <w:t xml:space="preserve">pozdravlja, da je GD PERS v letu 2024 še naprej organiziral natečaje in izbirne postopke, pri čemer je obravnaval vse večji nabor kandidatov, organiziral pa je tudi štiri natečaje za posamezne države; pozdravlja prizadevanja GD PERS za organizacijo natečajev, zagotovitev njihovega pravočasnega dokončanja in ohranjanje potrebnih standardov kakovosti; pozdravlja, da je bilo več kot 441 kandidatov uspešno uvrščenih v ožji izbor na rezervnih seznamih; vendar obžaluje, da se je Evropski urad za izbor osebja (EPSO) soočal s sistematičnimi težavami pri organizaciji natečajev in pomanjkanjem razpoložljivega nabora kandidatov, ki bi ustrezali potrebam Parlamenta; obžaluje, da je povprečno trajanje med objavo razpisa natečaja in končnim razgovorom </w:t>
      </w:r>
      <w:r w:rsidR="002777A2" w:rsidRPr="00642F6C">
        <w:lastRenderedPageBreak/>
        <w:t>za vsak natečaj več kot eno leto; je seznanjen s splošnimi težavami, s katerimi se srečujejo GD PERS in drugi generalni direktorati pri privabljanju in ohranjanju talentov, kar vpliva na uspešnost delovne sile Parlamenta; poziva k učinkovitejšim, bolje usmerjenim in krajšim izbirnim postopkom, ki bi povečali privlačnost Parlamenta kot delodajalca in bi generalnim direktoratom omogočili hitro zaposlovanje strokovnih profilov, ki jih potrebujejo pri svojem delu; poudarja, da je treba pri izvajanju izbirnih postopkov v celoti spoštovati načeli enake obravnave in geografske uravnoteženosti ter zagotoviti pravično zastopanost vseh držav članic;</w:t>
      </w:r>
    </w:p>
    <w:p w14:paraId="1CEC0B5A" w14:textId="3FB911C7" w:rsidR="002777A2" w:rsidRPr="00642F6C" w:rsidRDefault="00AB1879" w:rsidP="002777A2">
      <w:pPr>
        <w:spacing w:after="240"/>
        <w:ind w:left="567" w:hanging="567"/>
      </w:pPr>
      <w:r w:rsidRPr="00642F6C">
        <w:t>64</w:t>
      </w:r>
      <w:r w:rsidR="002777A2" w:rsidRPr="00642F6C">
        <w:t>.</w:t>
      </w:r>
      <w:r w:rsidR="002777A2" w:rsidRPr="00642F6C">
        <w:tab/>
        <w:t>pozdravlja natečaje Parlamenta za posamezne države, da bi se izboljšala geografska uravnoteženost med uslužbenci Parlamenta z oblikovanjem širšega nabora kandidatov iz premalo zastopanih držav članic; vendar ugotavlja, da analiza podatkov o uslužbencih Parlamenta po državljanstvu in funkcionalnih skupinah razkriva vztrajno neravnovesje pri poklicnem napredovanju, pri čemer so uslužbenci iz nekaterih držav članic, čeprav so dobro zastopani v upravi, še vedno premalo zastopani v višjih funkcionalnih skupinah in na položajih odločanja; obžaluje pomanjkanje geografske uravnoteženosti v višjem in srednjem vodstvu Parlamenta; zaposlovanje mora vedno temeljiti na dosežkih in bi moralo vedno spoštovati temeljna načela, kot so enakost, nediskriminacija in sorazmernost; poudarja, da so potrebne izboljšave, in poziva generalnega sekretarja, naj v sodelovanju z GD PERS predstavi konkretne, merljive in časovno omejene ukrepe za odpravo teh neravnovesij ter redno poroča Odboru Parlamenta za proračunski nadzor in organu za podelitev razrešnice o napredku, doseženem pri odpravljanju geografskega neravnovesja med uslužbenci Parlamenta; poziva generalnega sekretarja in GD PERS, naj v redno poročanje Odboru Parlamenta za proračunski nadzor vključita informacije, ki presegajo skupno število zaposlenih, in naj vključita zlasti podatke o poklicnem razvoju in napredovanju po državljanstvu in funkcionalni skupini, imenovanju na vodstvene in višje položaje, sodelovanju v programih upravljanja talentov in vodstvenih programih ter o uporabi začasnih imenovanj in dolžnosti v okviru poklicnih razvojnih poti;</w:t>
      </w:r>
    </w:p>
    <w:p w14:paraId="267C42F4" w14:textId="39EBDC0E" w:rsidR="002777A2" w:rsidRPr="00642F6C" w:rsidRDefault="00AB1879" w:rsidP="002777A2">
      <w:pPr>
        <w:spacing w:after="240"/>
        <w:ind w:left="567" w:hanging="567"/>
        <w:rPr>
          <w:noProof/>
        </w:rPr>
      </w:pPr>
      <w:r w:rsidRPr="00642F6C">
        <w:t>65</w:t>
      </w:r>
      <w:r w:rsidR="002777A2" w:rsidRPr="00642F6C">
        <w:t>.</w:t>
      </w:r>
      <w:r w:rsidR="002777A2" w:rsidRPr="00642F6C">
        <w:tab/>
        <w:t xml:space="preserve">je seznanjen s ključnim dosežkom GD PERS, ki je do julijske ustanovne seje učinkovito zaposlilo doslej največje število 1 339 akreditiranih parlamentarnih pomočnikov, pri čemer se je skupno število akreditiranih parlamentarnih pomočnikov z veljavnimi pogodbami do konca leta povečalo na 2 024, približno 800 akreditiranim parlamentarnim pomočnikom pa je bilo zaključeno delovno razmerje; meni, da so akreditirani parlamentarni pomočniki zelo pomembni za institucijo, in izreka pohvalo GD PERS za njegova prizadevanja, s tem ko poslancem zagotavlja podporo pri učinkovitem in uspešnem zaposlovanju akreditiranih parlamentarnih pomočnikov; </w:t>
      </w:r>
    </w:p>
    <w:p w14:paraId="08215A85" w14:textId="2865D9FB" w:rsidR="002777A2" w:rsidRPr="00642F6C" w:rsidRDefault="00AB1879" w:rsidP="002777A2">
      <w:pPr>
        <w:pStyle w:val="NormalHanging12a"/>
      </w:pPr>
      <w:r w:rsidRPr="00642F6C">
        <w:t>66</w:t>
      </w:r>
      <w:r w:rsidR="002777A2" w:rsidRPr="00642F6C">
        <w:t>.</w:t>
      </w:r>
      <w:r w:rsidR="002777A2" w:rsidRPr="00642F6C">
        <w:tab/>
        <w:t xml:space="preserve">se zaveda, da je delo akreditiranih parlamentarnih pomočnikov sestavni del dela poslancev in s tem Parlamenta; je seznanjen, da je bil v letih po sprejetju statuta akreditiranih parlamentarnih pomočnikov leta 2009 njihov status zaščiten s pravili; je seznanjen s prizadevanji Parlamenta, da bi uvedel okvir za nudenje podpore akreditiranim parlamentarnim pomočnikom; poziva k ustreznemu spoštovanju veljavnih pravil; ugotavlja, da se od takrat akreditirani parlamentarni pomočniki udeležujejo uradnih misij v tri kraje dela Parlamenta; pozdravlja, da so bila pravila o povračilu stroškov službenih potovanj akreditiranih parlamentarnih pomočnikov med tremi kraji dela usklajena s pravili, ki veljajo za uradnike, kar zagotavlja enako obravnavo akreditiranih parlamentarnih pomočnikov; poziva predsedstvo in upravo Parlamenta, naj se z odborom akreditiranih parlamentarnih pomočnikov uradno posvetujeta o revizijah in reformah, ki neposredno vplivajo na pravice akreditiranih parlamentarnih </w:t>
      </w:r>
      <w:r w:rsidR="002777A2" w:rsidRPr="00642F6C">
        <w:lastRenderedPageBreak/>
        <w:t>pomočnikov; poziva upravo Parlamenta, naj preuči izvedljivost uvedbe odpovednega roka v pogodbe akreditiranih parlamentarnih pomočnikov v primeru nepričakovanega odhoda poslanca; znova poziva konferenco predsednikov in predsedstvo, naj revidirata izvedbene določbe o delu delegacij in misij zunaj Unije; poudarja, da bi bilo treba pri tej reviziji preučiti, ali bi lahko akreditirani parlamentarni pomočniki pod določenimi pogoji spremljali poslance na uradnih parlamentarnih delegacijah in misijah; poudarja, da ta sprememba ne bi povzročila spremembe sredstev in bi bila proračunsko nevtralna;</w:t>
      </w:r>
    </w:p>
    <w:p w14:paraId="4BFCCE77" w14:textId="66C78BF3" w:rsidR="009C69CE" w:rsidRPr="00642F6C" w:rsidRDefault="00AB1879" w:rsidP="002777A2">
      <w:pPr>
        <w:pStyle w:val="NormalHanging12a"/>
      </w:pPr>
      <w:r w:rsidRPr="00642F6C">
        <w:t>67</w:t>
      </w:r>
      <w:r w:rsidR="009C69CE" w:rsidRPr="00642F6C">
        <w:t>.</w:t>
      </w:r>
      <w:r w:rsidR="009C69CE" w:rsidRPr="00642F6C">
        <w:tab/>
        <w:t>poudarja, da sta zdravje in varnost pri delu, vključno s psihosocialnimi tveganji (stres, izgorelost, nadlegovanje), prednostna naloga; poziva predsedstvo, naj psihosocialna tveganja uradno prizna kot poklicna tveganja in sprejme načrt preprečevanja na ravni Parlamenta z merljivimi cilji; poziva k uvedbi ocen tveganja, ki bi zajemale delo na daljavo, službena potovanja in kratke roke, pa tudi zaupne kanale za poročanje, usposabljanje vodstvenih delavcev in redni socialni dialog; vztraja pri uveljavljanju pravice do odklopa;</w:t>
      </w:r>
    </w:p>
    <w:p w14:paraId="029A458F" w14:textId="33688681" w:rsidR="002777A2" w:rsidRPr="00642F6C" w:rsidRDefault="002777A2" w:rsidP="002777A2">
      <w:pPr>
        <w:pStyle w:val="NormalHanging12a"/>
        <w:rPr>
          <w:bCs/>
          <w:iCs/>
        </w:rPr>
      </w:pPr>
      <w:r w:rsidRPr="00642F6C">
        <w:t>68.</w:t>
      </w:r>
      <w:r w:rsidRPr="00642F6C">
        <w:tab/>
        <w:t>opozarja, da akreditirani parlamentarni pomočniki ne morejo sodelovati na notranjih natečajih Parlamenta; poziva predsedstvo, naj preuči možnost, da se akreditiranim parlamentarnim pomočnikom pod pogoji, ki še niso določeni, omogoči sodelovanje na notranjih natečajih na podoben način kot uslužbencem Parlamenta; poudarja, da bi večja udeležba akreditiranih parlamentarnih pomočnikov v internih strukturah Parlamenta lahko prispevala k bolj vključujoči, raznoliki in geografsko uravnoteženi delovni sili; poudarja, da je pomembno znotraj Parlamenta ohranjati in prenašati znanje v zvezi z internimi delovnimi metodami;</w:t>
      </w:r>
    </w:p>
    <w:p w14:paraId="736B3CFD" w14:textId="77777777" w:rsidR="002777A2" w:rsidRPr="00642F6C" w:rsidRDefault="002777A2" w:rsidP="002777A2">
      <w:pPr>
        <w:pStyle w:val="NormalHanging12a"/>
      </w:pPr>
      <w:r w:rsidRPr="00642F6C">
        <w:t>69.</w:t>
      </w:r>
      <w:r w:rsidRPr="00642F6C">
        <w:tab/>
        <w:t>je zelo zaskrbljen zaradi poročil o kršitvi varstva podatkov, osredotočenih na aplikacijo Parlamenta za zaposlovanje PEOPLE, ki zadeva predvsem nestalno osebje Parlamenta, vključno z akreditiranimi parlamentarnimi pomočniki; obžaluje, da je kršitev varstva podatkov vključevala osebne izkaznice, rojstne liste, diplome, delovno dobo, zdravstveno kartoteko, pravice do nadomestil, zavarovanje in v nekaterih primerih dokumente v zvezi z dokazilom o delu v zadnjih desetih letih; pozdravlja sistem povračil, ki ga je generalni sekretar v skladu z dolžnostjo skrbnega ravnanja Parlamenta uvedel za kritje stroškov zamenjave osebnih izkaznic in/ali potnih listov prizadetih uporabnikov aplikacije PEOPLE, pri čemer je bilo doslej izplačanih 51 874 EUR; obžaluje, da niso bili kriti stroški potovanja v državo izvora za te upravne postopke; poziva upravo, naj zagotovi, da bodo podporni ukrepi učinkoviti in pravični, vključno z jasnim usmerjanjem prek ene kontaktne točke, podporo za zaščito identitete in povračilom stroškov, tako da prizadete osebe ne bodo nosile neizogibnih upravnih stroškov, povezanih s postopki zamenjave dokumentov; ugotavlja, da je uprava organu za podelitev razrešnice predložila svojo analizo razlogov za kršitev; poziva upravo, naj prizadetim uslužbencem, vključno z nekdanjimi uslužbenci, zagotovi jasno analizo razlogov za kršitev in ukrepov, sprejetih za ponovno vzpostavitev zadevnega sistema; se popolnoma zaveda, da bo Parlament tudi v prihodnje tarča kibernetskih napadov in da je previdnost nadvse pomembna; pozdravlja ukrepe, ki jih je uprava sprejela za nadaljnjo krepitev zrelosti kibernetske varnosti in upravljanja svojega okolja IT;</w:t>
      </w:r>
    </w:p>
    <w:p w14:paraId="740F9F09" w14:textId="77777777" w:rsidR="002777A2" w:rsidRPr="00642F6C" w:rsidRDefault="002777A2" w:rsidP="002777A2">
      <w:pPr>
        <w:spacing w:after="240"/>
        <w:ind w:left="567" w:hanging="567"/>
        <w:rPr>
          <w:noProof/>
        </w:rPr>
      </w:pPr>
      <w:r w:rsidRPr="00642F6C">
        <w:t>70.</w:t>
      </w:r>
      <w:r w:rsidRPr="00642F6C">
        <w:tab/>
        <w:t xml:space="preserve">ugotavlja, da je GD PERS uvedel nov informacijski sistem za akreditirane parlamentarne pomočnike, s katerim je izboljšal postopek zaposlovanja, tako da je centraliziral upravljanje pogodb in omogočil dostop poslancem, skupaj s popolnoma digitaliziranim postopkom za zdravniške preglede pri zaposlovanju; poziva GD PERS, naj v sodelovanju z GD ITEC zagotovi, da bo kibernetska varnost tega sistema ustrezala </w:t>
      </w:r>
      <w:r w:rsidRPr="00642F6C">
        <w:lastRenderedPageBreak/>
        <w:t>standardom, in prepreči uhajanje osebnih podatkov; meni, da je kibernetska varnost informacijskih sistemov, ki vsebujejo osebne podatke vseh zaposlenih, izjemno pomembna, in poziva GD PERS, naj tesno sodeluje z GD ITEC, da bi to dosegli;</w:t>
      </w:r>
    </w:p>
    <w:p w14:paraId="1655070C" w14:textId="77777777" w:rsidR="002777A2" w:rsidRPr="00642F6C" w:rsidRDefault="002777A2" w:rsidP="002777A2">
      <w:pPr>
        <w:spacing w:after="240"/>
        <w:ind w:left="567" w:hanging="567"/>
      </w:pPr>
      <w:r w:rsidRPr="00642F6C">
        <w:t>71.</w:t>
      </w:r>
      <w:r w:rsidRPr="00642F6C">
        <w:tab/>
        <w:t>ugotavlja, da je GD PERS leta 2024 podprl izvajanje časovnih načrtov za enakost spolov in raznolikost ter pripravil tečaje usposabljanja o raznolikosti in vključevanju za vse zaposlene; pozdravlja, da je oddelek za enakost, vključevanje in raznolikost (EIDU) GD PERS leta 2024 racionaliziral svoj notranji postopek za razumne prilagoditve, s čimer je spodbujal enakost, vključevanje in raznolikost, ter oddelku za učenje in razvoj svetoval o razumnih prilagoditvah za tečaje usposabljanja; pozdravlja, da je oddelek organiziral tudi 20 tečajev usposabljanja in dogodkov za ozaveščanje za 2334 udeležencev, vključno z novim tečajem o raznolikosti in vključevanju za vse zaposlene, ter gostil dogodke o enakosti spolov, invalidnosti in vključevanju oseb LGBTQI+;</w:t>
      </w:r>
    </w:p>
    <w:p w14:paraId="56FC04B1" w14:textId="77777777" w:rsidR="002777A2" w:rsidRPr="00642F6C" w:rsidRDefault="002777A2" w:rsidP="002777A2">
      <w:pPr>
        <w:pStyle w:val="NormalHanging12a"/>
      </w:pPr>
      <w:r w:rsidRPr="00642F6C">
        <w:t>72.</w:t>
      </w:r>
      <w:r w:rsidRPr="00642F6C">
        <w:tab/>
        <w:t>pozdravlja sprejetje skupnega medinstitucionalnega sklepa o stanovanjskem dodatku za uslužbence nižjega razreda, ki živijo v Luksemburgu; meni, da je to potreben podporni instrument za uslužbence nižjega razreda, da se uravnotežijo nesorazmerno visoki stanovanjski stroški, in tudi potrebno orodje za povečanje privlačnosti lokacije Parlamenta v Luxembourgu; ugotavlja, da je instrument začasen, in poziva Parlament, naj zagotovi dolgoročno predvidljivost za zadevne uslužbence;</w:t>
      </w:r>
    </w:p>
    <w:p w14:paraId="1D4CD005" w14:textId="77777777" w:rsidR="002777A2" w:rsidRPr="00642F6C" w:rsidRDefault="002777A2" w:rsidP="002777A2">
      <w:pPr>
        <w:pStyle w:val="NormalHanging12a"/>
      </w:pPr>
      <w:r w:rsidRPr="00642F6C">
        <w:t>73.</w:t>
      </w:r>
      <w:r w:rsidRPr="00642F6C">
        <w:tab/>
        <w:t>opozarja, da je Parlament 22. oktobra 2024 začel obsežno kampanjo proti nadlegovanju z naslovom Združeni proti nadlegovanju, ki prispeva k varnemu delovnemu okolju; pozdravlja, da je bil poleg informacijske kampanje obvezen tudi tečaj usposabljanja za poslance z naslovom Spoštovanje in dostojanstvo na delovnem mestu – preprečevanje konfliktov in nadlegovanja na delovnem mestu, ki so ga poslanci zaključili v prvem letu zakonodajnega obdobja; poudarja, da bi bilo treba oceniti učinkovitost teh ukrepov;</w:t>
      </w:r>
    </w:p>
    <w:p w14:paraId="26D521DD" w14:textId="77777777" w:rsidR="002777A2" w:rsidRPr="00642F6C" w:rsidRDefault="002777A2" w:rsidP="002777A2">
      <w:pPr>
        <w:pStyle w:val="NormalHanging12a"/>
      </w:pPr>
      <w:r w:rsidRPr="00642F6C">
        <w:t>74.</w:t>
      </w:r>
      <w:r w:rsidRPr="00642F6C">
        <w:tab/>
        <w:t>pozdravlja možnost, da lahko uslužbenci delajo na daljavo iz tujine; ugotavlja, da lahko uslužbenci Parlamenta to obliko dela na daljavo uporabljajo pet dni na leto; ugotavlja, da druge institucije Unije zagotavljajo v povprečju 15 dni na leto; poziva k proaktivnemu spremljanju in ocenjevanju novih načinov dela; opozarja na pomen pristnega dialoga z uslužbenci o ključnih zadevah, povezanih z novimi načini dela;</w:t>
      </w:r>
    </w:p>
    <w:p w14:paraId="5980F127" w14:textId="77777777" w:rsidR="002777A2" w:rsidRPr="00642F6C" w:rsidRDefault="002777A2" w:rsidP="002777A2">
      <w:pPr>
        <w:pStyle w:val="NormalHanging12a"/>
        <w:rPr>
          <w:bCs/>
          <w:iCs/>
        </w:rPr>
      </w:pPr>
      <w:r w:rsidRPr="00642F6C">
        <w:t>75.</w:t>
      </w:r>
      <w:r w:rsidRPr="00642F6C">
        <w:tab/>
        <w:t xml:space="preserve">poudarja, da so kakovostne storitve otroškega varstva za poslance in uslužbence ključni ukrepi, s katerimi se učinkovito izvaja politika usklajevanja poklicnega in zasebnega življenja; opozarja na dejstvo, da od leta 2020 kakovost storitev, ki jih ustanova za varstvo otrok </w:t>
      </w:r>
      <w:proofErr w:type="spellStart"/>
      <w:r w:rsidRPr="00642F6C">
        <w:t>Wayenberg</w:t>
      </w:r>
      <w:proofErr w:type="spellEnd"/>
      <w:r w:rsidRPr="00642F6C">
        <w:t xml:space="preserve"> v Bruslju zagotavlja predšolskim otrokom, trpi zaradi pogostih menjav ponudnikov storitev; v zvezi s tem poziva k razmisleku, ali bi bilo treba sprejeti standarde visoke kakovosti;</w:t>
      </w:r>
    </w:p>
    <w:p w14:paraId="42B04527" w14:textId="77777777" w:rsidR="002777A2" w:rsidRPr="00642F6C" w:rsidRDefault="002777A2" w:rsidP="002777A2">
      <w:pPr>
        <w:pStyle w:val="NormalHanging12a"/>
        <w:rPr>
          <w:bCs/>
          <w:iCs/>
        </w:rPr>
      </w:pPr>
      <w:r w:rsidRPr="00642F6C">
        <w:t>76.</w:t>
      </w:r>
      <w:r w:rsidRPr="00642F6C">
        <w:tab/>
        <w:t>opozarja na priporočilo Parlamenta Komisiji iz resolucije Evropskega parlamenta z dne 18. aprila 2018 o politiki Komisije glede poštenosti, zlasti o imenovanju generalnega sekretarja Evropske komisije (2018/2624(RSP)), naj „pregleda upravne postopke za imenovanje višjih uradnikov, s čimer bi v celoti zagotovila, da bodo ob upoštevanju kar največje preglednosti in enakih možnosti izbrani najboljši kandidati“; meni, da bi moral Parlament pri postopkih imenovanja vedno izpolnjevati najvišje standarde preglednosti, odgovornosti in dobrega upravljanja;</w:t>
      </w:r>
    </w:p>
    <w:p w14:paraId="7F59B6CA" w14:textId="77777777" w:rsidR="002777A2" w:rsidRPr="00642F6C" w:rsidRDefault="002777A2" w:rsidP="002777A2">
      <w:pPr>
        <w:pStyle w:val="NormalHanging12a"/>
        <w:rPr>
          <w:bCs/>
          <w:iCs/>
        </w:rPr>
      </w:pPr>
      <w:r w:rsidRPr="00642F6C">
        <w:t>77.</w:t>
      </w:r>
      <w:r w:rsidRPr="00642F6C">
        <w:tab/>
        <w:t xml:space="preserve">poziva Parlament, naj optimizira uporabo svojih človeških virov, tudi z izvajanjem ustreznih ukrepov stalnega usposabljanja, namenjenih povečanju učinkovitosti in </w:t>
      </w:r>
      <w:r w:rsidRPr="00642F6C">
        <w:lastRenderedPageBreak/>
        <w:t xml:space="preserve">uspešnosti notranjih služb; poziva, naj se usposabljanje za prvo pomoč na začetni in vmesni ravni redno zagotavlja, pri uvajanju novih uslužbencev pa naj postane prostovoljni del programa uvajanja; poziva upravo, naj preuči možnost namestitve dodatnih </w:t>
      </w:r>
      <w:proofErr w:type="spellStart"/>
      <w:r w:rsidRPr="00642F6C">
        <w:t>defibrilatorjev</w:t>
      </w:r>
      <w:proofErr w:type="spellEnd"/>
      <w:r w:rsidRPr="00642F6C">
        <w:t>, da bi izboljšala zdravje in varnost poslancev in uslužbencev, vključno z zagotavljanjem usposabljanja;</w:t>
      </w:r>
    </w:p>
    <w:p w14:paraId="2FC66A7B" w14:textId="77777777" w:rsidR="002777A2" w:rsidRPr="00642F6C" w:rsidRDefault="002777A2" w:rsidP="002777A2">
      <w:pPr>
        <w:spacing w:after="240"/>
        <w:rPr>
          <w:b/>
          <w:bCs/>
          <w:i/>
          <w:iCs/>
        </w:rPr>
      </w:pPr>
      <w:r w:rsidRPr="00642F6C">
        <w:rPr>
          <w:b/>
          <w:i/>
        </w:rPr>
        <w:t>Generalni direktorat za infrastrukturo in logistiko</w:t>
      </w:r>
    </w:p>
    <w:p w14:paraId="69EFB757" w14:textId="77777777" w:rsidR="002777A2" w:rsidRPr="00642F6C" w:rsidRDefault="002777A2" w:rsidP="002777A2">
      <w:pPr>
        <w:spacing w:after="240"/>
        <w:ind w:left="567" w:hanging="567"/>
      </w:pPr>
      <w:r w:rsidRPr="00642F6C">
        <w:t>78.</w:t>
      </w:r>
      <w:r w:rsidRPr="00642F6C">
        <w:tab/>
        <w:t>opozarja, da je generalni direktorat za infrastrukturo in logistiko (GD INLO) odgovoren za stavbe, dela, upravljanje objektov in logistiko Parlamenta; ugotavlja, da GD INLO zagotavlja tudi gostinske storitve in prevoz ter upravlja in opremlja pisarniške in sejne prostore Parlamenta; opozarja, da je GD INLO zlasti upravljal nepremičninski portfelj Parlamenta v velikosti približno 1,3 milijona m² v Bruslju, Luxembourgu, Strasbourgu, pisarnah za stike in središčih Doživi Evropo v državah članicah; je seznanjen, da je bilo na dan 31. decembra 2024 v GD INLO zaposlenih 635 uslužbencev, od tega 311 uradnikov, 20 začasnih uslužbencev in 326 pogodbenih uslužbencev;</w:t>
      </w:r>
    </w:p>
    <w:p w14:paraId="2C596976" w14:textId="77777777" w:rsidR="002777A2" w:rsidRPr="00642F6C" w:rsidRDefault="002777A2" w:rsidP="002777A2">
      <w:pPr>
        <w:pStyle w:val="NormalHanging12a"/>
      </w:pPr>
      <w:r w:rsidRPr="00642F6C">
        <w:t>79.</w:t>
      </w:r>
      <w:r w:rsidRPr="00642F6C">
        <w:tab/>
        <w:t>je seznanjen, da je končni proračun GD INLO v letu 2024 znašal 258 638 966 EUR, kar je bilo 10,9 % proračuna Parlamenta; poudarja, da so bile od tega zneska prevzete obveznosti v skupnem znesku 256 935 431 EUR; pozdravlja obsežno uporabo odobrenih sredstev;</w:t>
      </w:r>
    </w:p>
    <w:p w14:paraId="7D2F9A12" w14:textId="77777777" w:rsidR="002777A2" w:rsidRPr="00642F6C" w:rsidRDefault="002777A2" w:rsidP="002777A2">
      <w:pPr>
        <w:spacing w:after="240"/>
        <w:ind w:left="567" w:hanging="567"/>
      </w:pPr>
      <w:r w:rsidRPr="00642F6C">
        <w:t>80.</w:t>
      </w:r>
      <w:r w:rsidRPr="00642F6C">
        <w:tab/>
        <w:t>ponovno opozarja na podporo, ki jo je velika večina Parlamenta izrazila enemu samemu sedežu; ugotavlja, da ima Parlament v skladu s PEU sedež v Strasbourgu, kjer poteka 12 mesečnih plenarnih zasedanj, in da je za vsako spremembo Pogodb potrebno soglasje držav članic; ugotavlja, da je v sedanjem pogodbenem okviru prihranke mogoče doseči z optimizacijo operacij; poziva k določitvi konkretnih mejnikov in akcijskega načrta za doseganje opredeljenega zmanjšanja stroškov;</w:t>
      </w:r>
    </w:p>
    <w:p w14:paraId="2636AC50" w14:textId="77777777" w:rsidR="002777A2" w:rsidRPr="00642F6C" w:rsidRDefault="002777A2" w:rsidP="002777A2">
      <w:pPr>
        <w:pStyle w:val="NormalHanging12a"/>
        <w:rPr>
          <w:bCs/>
          <w:iCs/>
        </w:rPr>
      </w:pPr>
      <w:r w:rsidRPr="00642F6C">
        <w:t>81.</w:t>
      </w:r>
      <w:r w:rsidRPr="00642F6C">
        <w:tab/>
        <w:t>spodbuja upravo, naj še naprej ocenjuje kakovost, cene in obseg gostinskih storitev, ki se ponujajo v Parlamentu, da bi zagotovila, da bodo merila za javna naročila ustrezno uravnotežila vidike cen in kakovosti; poziva GD INLO, naj preuči možnosti za povečanje konkurence med ponudniki gostinskih storitev, da bi izboljšali standarde storitev, izbiro in stroškovno učinkovitost, zlasti v okviru uradnih dogodkov in storitev za obiskovalce; poziva upravo Parlamenta, naj parlamentarnemu Odboru za proračunski nadzor poroča o izidu;</w:t>
      </w:r>
    </w:p>
    <w:p w14:paraId="1A7D31A3" w14:textId="77777777" w:rsidR="002777A2" w:rsidRPr="00642F6C" w:rsidRDefault="002777A2" w:rsidP="002777A2">
      <w:pPr>
        <w:pStyle w:val="NormalHanging12a"/>
      </w:pPr>
      <w:r w:rsidRPr="00642F6C">
        <w:t>82.</w:t>
      </w:r>
      <w:r w:rsidRPr="00642F6C">
        <w:tab/>
        <w:t>pozdravlja, da je uprava leta 2024 izvedla nepremičninsko strategijo Parlamenta po letu 2019 in dosegla njene glavne cilje; z zadovoljstvom ugotavlja, da se GD INLO po letih širitve zaradi povečanja institucionalnih pristojnosti Parlamenta zdaj osredotoča na konsolidacijo stavbnega fonda Parlamenta in obnovo obstoječih prostorov; pozdravlja zavezo GD INLO, da bo še naprej razvijal vlogo Parlamenta v mestih Strasbourg, Bruselj in Luxembourg, spodbujal projekte skupnega interesa in povezoval lokacije z okoliškimi območji;</w:t>
      </w:r>
    </w:p>
    <w:p w14:paraId="4FE5F303" w14:textId="77777777" w:rsidR="002777A2" w:rsidRPr="00642F6C" w:rsidRDefault="002777A2" w:rsidP="002777A2">
      <w:pPr>
        <w:pStyle w:val="NormalHanging12a"/>
        <w:rPr>
          <w:bCs/>
          <w:iCs/>
        </w:rPr>
      </w:pPr>
      <w:r w:rsidRPr="00642F6C">
        <w:t>83.</w:t>
      </w:r>
      <w:r w:rsidRPr="00642F6C">
        <w:tab/>
        <w:t xml:space="preserve">poziva upravo Parlamenta, naj še naprej izvaja aktivno nepremičninsko strategijo, s katero se bodo povezovale infrastrukturne in logistične potrebe, pregledovali ukrepe za zmanjšanje stroškov, kot je uporaba tehnologij za hibridne seje, in konsolidirale parlamentarne dejavnosti; poziva Parlament, naj zagotovi, da se bodo njegovi cilji vključevanja biotske raznovrstnosti upoštevali tudi pri upravljanju stavb in projektih prenove, vključno z oceno s tem povezanih stroškov; ugotavlja, da veliki </w:t>
      </w:r>
      <w:r w:rsidRPr="00642F6C">
        <w:lastRenderedPageBreak/>
        <w:t>nepremičninski projekti vključujejo zapletena pogajanja in obsežen pravni nadzor; poziva upravo Parlamenta, naj zagotovi strukturirano naknadno poročanje organu za podelitev razrešnice o teh projektih, vključno s pogajalskimi procesi, ukrepi za zmanjševanje tveganja in pravnimi ocenami, da bi povečali preglednost in institucionalno učenje;</w:t>
      </w:r>
    </w:p>
    <w:p w14:paraId="43A887CA" w14:textId="77777777" w:rsidR="002777A2" w:rsidRPr="00642F6C" w:rsidRDefault="002777A2" w:rsidP="002777A2">
      <w:pPr>
        <w:pStyle w:val="NormalHanging12a"/>
      </w:pPr>
      <w:r w:rsidRPr="00642F6C">
        <w:t>84.</w:t>
      </w:r>
      <w:r w:rsidRPr="00642F6C">
        <w:tab/>
        <w:t>z zaskrbljenostjo ugotavlja, da v Parlamentu stalno primanjkuje sejnih sob in seminarjev, zaradi česar je rezervacija prostorov vse težja in jo je treba načrtovati veliko vnaprej; obžaluje, da te razmere ovirajo učinkovito organizacijo parlamentarnega dela ter omejujejo prožnost za poslance in uslužbence; je seznanjen s prihodnjo prenovo stavbe SPAAK, ki je v skladu z zahtevami Unije glede energetske učinkovitosti; poziva upravo Parlamenta, naj izvede ukrepe za ublažitev učinka prenove in zagotovi, da bo na voljo dovolj zmogljivosti za podporo operativnim potrebam Parlamenta;</w:t>
      </w:r>
    </w:p>
    <w:p w14:paraId="336E3816" w14:textId="77777777" w:rsidR="002777A2" w:rsidRPr="00642F6C" w:rsidRDefault="002777A2" w:rsidP="002777A2">
      <w:pPr>
        <w:pStyle w:val="NormalHanging12a"/>
      </w:pPr>
      <w:r w:rsidRPr="00642F6C">
        <w:t>85.</w:t>
      </w:r>
      <w:r w:rsidRPr="00642F6C">
        <w:tab/>
        <w:t xml:space="preserve">je seznanjen z gradbenimi projekti v letu 2024, zlasti z dokončanjem zahodnega krila stavbe ADENAUER II v Luxembourgu, ki združuje vse uslužbence in službe Parlamenta pod isto streho; ugotavlja, da je bil novi paviljon za varnost in sprejem obiskovalcev v stavbi WEISS v Strasbourgu dokončan pravočasno pred začetkom novega zakonodajnega obdobja julija 2024; je seznanjen z nakupom stavbe TRÈVES II v Bruslju, s čimer se je stavbni fond Parlamenta v evropski četrti mesta še povečal; poziva, naj se mu posreduje posodobljen časovni razpored za povezavo stavb TRÈVES I in TRÈVES II z glavnimi osrednjimi stavbami v Bruslju; zahteva, da se obravnavajo nekatere strukturne težave, ki so v stavbi TRÈVES I še vedno nerešene, kot so nestabilen ogrevalni sistem, pomanjkanje klimatskih naprav in stranišč za osebe z omejeno mobilnostjo, slaba zvočna izolacija in težave s kanalizacijo; spodbuja pogostejše čiščenje </w:t>
      </w:r>
      <w:proofErr w:type="spellStart"/>
      <w:r w:rsidRPr="00642F6C">
        <w:t>odzračevalnikov</w:t>
      </w:r>
      <w:proofErr w:type="spellEnd"/>
      <w:r w:rsidRPr="00642F6C">
        <w:t xml:space="preserve"> za ogrevanje v stavbi SPINELLI, da bi preprečili kopičenje prahu in plesni v pisarnah ter izboljšali zdravje zaposlenih pri delu;</w:t>
      </w:r>
    </w:p>
    <w:p w14:paraId="266A6675" w14:textId="77777777" w:rsidR="002777A2" w:rsidRPr="00642F6C" w:rsidRDefault="002777A2" w:rsidP="002777A2">
      <w:pPr>
        <w:pStyle w:val="NormalHanging12a"/>
      </w:pPr>
      <w:r w:rsidRPr="00642F6C">
        <w:t>86.</w:t>
      </w:r>
      <w:r w:rsidRPr="00642F6C">
        <w:tab/>
        <w:t xml:space="preserve">opozarja, da je predsedstvo na seji 12. junija 2023 razpravljalo o korakih za prenovo stavbe SPAAK; ugotavlja, da je predsedstvo dalo prednost celoviti </w:t>
      </w:r>
      <w:proofErr w:type="spellStart"/>
      <w:r w:rsidRPr="00642F6C">
        <w:t>okoljski</w:t>
      </w:r>
      <w:proofErr w:type="spellEnd"/>
      <w:r w:rsidRPr="00642F6C">
        <w:t xml:space="preserve"> prenovi in 11. decembra 2023 odobrilo projekt; ugotavlja, da je GD INLO dosegel napredek pri predhodnih projektih v zvezi z obnovo stavbe SPAAK, saj je začel izvajati študije v zvezi z novo osrednjo tehnično sobo generalnega direktorata za konferenčno logistiko in tolmačenje (GD LINC), reorganizacijo tiskarne, selitvijo kabinetov ter medijskim in tiskovnim prostorom;</w:t>
      </w:r>
    </w:p>
    <w:p w14:paraId="5AE94E66" w14:textId="77777777" w:rsidR="002777A2" w:rsidRPr="00642F6C" w:rsidRDefault="002777A2" w:rsidP="002777A2">
      <w:pPr>
        <w:pStyle w:val="NormalHanging12a"/>
        <w:rPr>
          <w:bCs/>
          <w:iCs/>
        </w:rPr>
      </w:pPr>
      <w:r w:rsidRPr="00642F6C">
        <w:t>87.</w:t>
      </w:r>
      <w:r w:rsidRPr="00642F6C">
        <w:tab/>
        <w:t>ugotavlja, da so v načrtu prihodkov in odhodkov za leto 2026 za študije in pripravljalna dela izvajalca v zvezi s prenovo stavbe SPAAK predvideni 4 milijoni EUR, skupni stroški pa so ocenjeni na 36 milijonov EUR; zato sklepa, da stroški prenove stavbe SPAAK v višini 32 milijonov EUR niso bili vključeni v načrt za leto 2026; ugotavlja, da namerava generalni sekretar te stroške kriti s prerazporeditvijo neizkoriščenih sredstev ali posojilom; poziva generalnega sekretarja, naj Odboru Parlamenta za proračunski nadzor čim prej posreduje podrobne informacije o morebitnem posojilu za kritje teh stroškov; ugotavlja, da so decembra 2024 neposredni stroški projekta SPAAK znašali 14,12 milijona EUR; meni, da je treba pozorno in skrbno spremljati razvoj stroškov prenove stavbe SPAAK;</w:t>
      </w:r>
    </w:p>
    <w:p w14:paraId="43718C3A" w14:textId="77777777" w:rsidR="002777A2" w:rsidRPr="00642F6C" w:rsidRDefault="002777A2" w:rsidP="002777A2">
      <w:pPr>
        <w:pStyle w:val="NormalHanging12a"/>
      </w:pPr>
      <w:r w:rsidRPr="00642F6C">
        <w:t>88.</w:t>
      </w:r>
      <w:r w:rsidRPr="00642F6C">
        <w:tab/>
        <w:t xml:space="preserve">ugotavlja, da GD INLO razvija koncept optimizacije pisarniških prostorov, da bi sedanje pisarne uporabljal na način, ki v celoti izkorišča potencial uslužbencev Parlamenta in omogoča njihovo družbeno udejstvovanje v Parlamentu; ugotavlja, da se pri tem konceptu kot navdih uporabljajo stavbe MARTENS, TRÈVES II in ARENDT v </w:t>
      </w:r>
      <w:r w:rsidRPr="00642F6C">
        <w:lastRenderedPageBreak/>
        <w:t>Bruslju, pri čemer se osredotoča na delovna mesta, ki temeljijo na dejavnostih, vključno z družbenimi območji za srečanja, neformalna srečanja in izmenjave; ugotavlja, da je bil ob upoštevanju strukturnih in proračunskih omejitev preučen tudi splošni koncept za stavbo KOHL; poziva GD INLO, naj stališča uporabnikov postavi v središče razvoja tega koncepta in prednostno obravnava njegovo izvajanje v stavbah, kjer je optimizacija najbolj potrebna, pri tem pa naj se stalno posvetuje s predstavniki zaposlenih;</w:t>
      </w:r>
    </w:p>
    <w:p w14:paraId="761D597F" w14:textId="77777777" w:rsidR="002777A2" w:rsidRPr="00642F6C" w:rsidRDefault="002777A2" w:rsidP="002777A2">
      <w:pPr>
        <w:pStyle w:val="NormalHanging12a"/>
        <w:rPr>
          <w:bCs/>
          <w:iCs/>
        </w:rPr>
      </w:pPr>
      <w:r w:rsidRPr="00642F6C">
        <w:t>89.</w:t>
      </w:r>
      <w:r w:rsidRPr="00642F6C">
        <w:tab/>
        <w:t>poudarja, da je velik delež sedežev v vozilih, ki med plenarnimi zasedanji potujejo med Brusljem in Strasbourgom, v letu 2024 ostal nezaseden; poziva upravo Parlamenta, naj razmisli o razširitvi skupine uporabnikov, da bi se službeni vozni park učinkoviteje uporabljal, hkrati pa naj poskrbi, da bodo sedeži poslancev zavarovani;</w:t>
      </w:r>
    </w:p>
    <w:p w14:paraId="5EFF4177" w14:textId="77777777" w:rsidR="002777A2" w:rsidRPr="00642F6C" w:rsidRDefault="002777A2" w:rsidP="002777A2">
      <w:pPr>
        <w:pStyle w:val="NormalHanging12a"/>
        <w:rPr>
          <w:bCs/>
          <w:iCs/>
        </w:rPr>
      </w:pPr>
      <w:r w:rsidRPr="00642F6C">
        <w:t>90.</w:t>
      </w:r>
      <w:r w:rsidRPr="00642F6C">
        <w:tab/>
        <w:t>spodbuja telovadnico, naj ponudi več tečajev, ki podpirajo telesno in duševno dobro počutje, da bi dosegla širši krog osebja;</w:t>
      </w:r>
    </w:p>
    <w:p w14:paraId="017F5477"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Generalni direktorat za finance</w:t>
      </w:r>
    </w:p>
    <w:p w14:paraId="0CD811BB" w14:textId="77777777" w:rsidR="002777A2" w:rsidRPr="00642F6C" w:rsidRDefault="002777A2"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91</w:t>
      </w:r>
      <w:r w:rsidRPr="00642F6C">
        <w:t>.</w:t>
      </w:r>
      <w:r w:rsidRPr="00642F6C">
        <w:rPr>
          <w14:textOutline w14:w="0" w14:cap="flat" w14:cmpd="sng" w14:algn="ctr">
            <w14:noFill/>
            <w14:prstDash w14:val="solid"/>
            <w14:bevel/>
          </w14:textOutline>
        </w:rPr>
        <w:tab/>
        <w:t>želi spomniti, da je generalni direktorat za finance (GD FINS) upravni organ, pristojen za proračunske in finančne zadeve Parlamenta; ugotavlja, da je bilo na dan 31. decembra 2024 v generalnem direktoratu 262 uslužbencev, od tega 134 uradnikov, 51 začasnih uslužbencev, 77 pogodbenih uslužbencev in nobenega agencijskega delavca;</w:t>
      </w:r>
    </w:p>
    <w:p w14:paraId="582CE4C3" w14:textId="77777777" w:rsidR="002777A2" w:rsidRPr="00642F6C" w:rsidRDefault="002777A2"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92</w:t>
      </w:r>
      <w:r w:rsidRPr="00642F6C">
        <w:t>.</w:t>
      </w:r>
      <w:r w:rsidRPr="00642F6C">
        <w:rPr>
          <w14:textOutline w14:w="0" w14:cap="flat" w14:cmpd="sng" w14:algn="ctr">
            <w14:noFill/>
            <w14:prstDash w14:val="solid"/>
            <w14:bevel/>
          </w14:textOutline>
        </w:rPr>
        <w:tab/>
      </w:r>
      <w:r w:rsidRPr="00642F6C">
        <w:t>je seznanjen, da je končni proračun GD FINS v letu 2024 znašal 442 954 175 EUR, kar je bilo 18,6 % proračuna Parlamenta;</w:t>
      </w:r>
      <w:r w:rsidRPr="00642F6C">
        <w:rPr>
          <w14:textOutline w14:w="0" w14:cap="flat" w14:cmpd="sng" w14:algn="ctr">
            <w14:noFill/>
            <w14:prstDash w14:val="solid"/>
            <w14:bevel/>
          </w14:textOutline>
        </w:rPr>
        <w:t xml:space="preserve"> </w:t>
      </w:r>
      <w:r w:rsidRPr="00642F6C">
        <w:t>poudarja, da so bile od tega zneska prevzete obveznosti v skupnem znesku 441 848 935 EUR (99,75 %);</w:t>
      </w:r>
      <w:r w:rsidRPr="00642F6C">
        <w:rPr>
          <w14:textOutline w14:w="0" w14:cap="flat" w14:cmpd="sng" w14:algn="ctr">
            <w14:noFill/>
            <w14:prstDash w14:val="solid"/>
            <w14:bevel/>
          </w14:textOutline>
        </w:rPr>
        <w:t xml:space="preserve"> pozdravlja obsežno uporabo odobrenih sredstev;</w:t>
      </w:r>
    </w:p>
    <w:p w14:paraId="4D50EA2A" w14:textId="77777777" w:rsidR="002777A2" w:rsidRPr="00642F6C" w:rsidRDefault="002777A2"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93.</w:t>
      </w:r>
      <w:r w:rsidRPr="00642F6C">
        <w:rPr>
          <w14:textOutline w14:w="0" w14:cap="flat" w14:cmpd="sng" w14:algn="ctr">
            <w14:noFill/>
            <w14:prstDash w14:val="solid"/>
            <w14:bevel/>
          </w14:textOutline>
        </w:rPr>
        <w:tab/>
        <w:t>poziva GD FINS, naj dejavno sodeluje pri priporočilih OECD o dobrih praksah za parlamente pri pripravi proračuna (2022–23) in okrepi izvajanje priprave proračuna na podlagi uspešnosti; opozarja, da so številne države članice že sprejele pripravo proračuna na podlagi uspešnosti in poročale o znatnih prihrankih;</w:t>
      </w:r>
    </w:p>
    <w:p w14:paraId="34341CD5" w14:textId="77777777" w:rsidR="002777A2" w:rsidRPr="00642F6C" w:rsidRDefault="002777A2" w:rsidP="002777A2">
      <w:pPr>
        <w:pStyle w:val="NormalHanging12a"/>
        <w:rPr>
          <w:bCs/>
          <w:iCs/>
        </w:rPr>
      </w:pPr>
      <w:r w:rsidRPr="00642F6C">
        <w:t>94.</w:t>
      </w:r>
      <w:r w:rsidRPr="00642F6C">
        <w:tab/>
        <w:t>ugotavlja, da sedanji fiskalni pritisk zahteva finančno preudarnost in učinkovitost, tudi v upravnem proračunu Parlamenta, da bi dokazali institucionalno odgovornost, kjer je to primerno, ne da bi ogrozili njegovo vlogo v institucionalnem okolju Unije in njegove temeljne funkcije; poziva upravo Parlamenta, naj preuči inovativna orodja za pripravo proračuna, vključno z oblikovanjem proračuna na podlagi smotrnosti, ki bi lahko povečala preglednost, odgovornost in učinkovitost postopka priprave proračuna ter zagotovila odgovorno porabo javnih sredstev; ugotavlja, da te možnosti ne bi smele škoditi že načrtovanim ali sprejetim finančnim obveznostim in nikakor ne bi smele vplivati na kakovost storitev za poslance in uslužbence niti na finančne obveznosti, nastale na podlagi veljavnih pravil;</w:t>
      </w:r>
    </w:p>
    <w:p w14:paraId="4E42ED79"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95</w:t>
      </w:r>
      <w:r w:rsidRPr="00642F6C">
        <w:t>.</w:t>
      </w:r>
      <w:r w:rsidRPr="00642F6C">
        <w:rPr>
          <w14:textOutline w14:w="0" w14:cap="flat" w14:cmpd="sng" w14:algn="ctr">
            <w14:noFill/>
            <w14:prstDash w14:val="solid"/>
            <w14:bevel/>
          </w14:textOutline>
        </w:rPr>
        <w:tab/>
      </w:r>
      <w:r w:rsidRPr="00642F6C">
        <w:t>je seznanjen, da je bilo leto 2024 posebno leto za GD FINS, saj je bilo leto evropskih volitev, ki so potekale junija 2024; ugotavlja, da so se podporne dejavnosti za poslance v letu 2024 znatno povečale, saj so se upravljale pravice in obveznosti odhajajočih in novoizvoljenih poslancev;</w:t>
      </w:r>
    </w:p>
    <w:p w14:paraId="789D097B" w14:textId="77777777" w:rsidR="002777A2" w:rsidRPr="00642F6C" w:rsidRDefault="002777A2" w:rsidP="002777A2">
      <w:pPr>
        <w:pStyle w:val="NormalHanging12a"/>
      </w:pPr>
      <w:r w:rsidRPr="00642F6C">
        <w:t>96.</w:t>
      </w:r>
      <w:r w:rsidRPr="00642F6C">
        <w:tab/>
        <w:t xml:space="preserve">priporoča, naj GD FINS vzpostavi pristop k nadzoru in reviziji odhodkov in postopkov poslancev, ki bo temeljil na tveganju in bo usklajen z načeli dobrega upravljanja, zlasti s </w:t>
      </w:r>
      <w:r w:rsidRPr="00642F6C">
        <w:lastRenderedPageBreak/>
        <w:t>preglednostjo, odgovornostjo, odzivnostjo in pravičnostjo; priznava, da je bistvena osnovna raven nadzora (na podlagi vzorca), da se zagotovi skladnost s pravili; pozdravlja, da lahko uprava v primeru večjega tveganja nepravilne porabe s strani poslanca uveljavlja pravico do preverjanja zadevnih sredstev; poudarja, da so takšne kontrole sicer dobrodošle, vendar je njihova učinkovitost odvisna od pravočasnega nadaljnjega ukrepanja v zvezi z ugotovljeno nepravilno porabo;</w:t>
      </w:r>
    </w:p>
    <w:p w14:paraId="3B819B4F"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97</w:t>
      </w:r>
      <w:r w:rsidRPr="00642F6C">
        <w:t>.</w:t>
      </w:r>
      <w:r w:rsidRPr="00642F6C">
        <w:rPr>
          <w14:textOutline w14:w="0" w14:cap="flat" w14:cmpd="sng" w14:algn="ctr">
            <w14:noFill/>
            <w14:prstDash w14:val="solid"/>
            <w14:bevel/>
          </w14:textOutline>
        </w:rPr>
        <w:tab/>
      </w:r>
      <w:r w:rsidRPr="00642F6C">
        <w:t xml:space="preserve">je seznanjen s težavami, ki jih ima GD FINS pri privabljanju uslužbencev, kar je posledica pomanjkanja kandidatov na seznamih EPSO na področju financ in IT, ter težav pri privabljanju uslužbencev v Luksemburg, kjer se nahaja 45 % delovnih mest GD FINS; ugotavlja, da je težko privabiti zaposlene v Luksemburg, saj je plačilo na lokalnem trgu dela enako ali boljše kot v Parlamentu, življenjski stroški pa so visoki, zlasti stanovanj; </w:t>
      </w:r>
    </w:p>
    <w:p w14:paraId="763007A1" w14:textId="77777777" w:rsidR="002777A2" w:rsidRPr="00642F6C" w:rsidRDefault="002777A2" w:rsidP="002777A2">
      <w:pPr>
        <w:spacing w:after="240"/>
        <w:ind w:left="567" w:hanging="567"/>
      </w:pPr>
      <w:r w:rsidRPr="00642F6C">
        <w:t>98.</w:t>
      </w:r>
      <w:r w:rsidRPr="00642F6C">
        <w:tab/>
        <w:t>je seznanjen s pobudo GD FINS za digitalno in kapitalsko preobrazbo za leto 2024, katere prva dva programa („digitalna preobrazba za boljše finančne storitve za poslance“ in „digitalna preobrazba za boljše storitve za upravo Parlamenta“) sta namenjena spodbujanju digitalne preobrazbe storitev, ki jih GD FINS ponuja, ne glede na to, ali so to poslanci ali finančni akterji institucije; ugotavlja, da je cilj tretjega strateškega programa („kapitalsko preoblikovanje za produktivnejše in bolj povezano delovno okolje“) ustvariti produktivnejše in bolj povezano delovno okolje;</w:t>
      </w:r>
    </w:p>
    <w:p w14:paraId="2BA194D7" w14:textId="77777777" w:rsidR="002777A2" w:rsidRPr="00642F6C" w:rsidRDefault="002777A2" w:rsidP="002777A2">
      <w:pPr>
        <w:spacing w:after="240"/>
        <w:ind w:left="567" w:hanging="567"/>
      </w:pPr>
      <w:r w:rsidRPr="00642F6C">
        <w:t xml:space="preserve">99. </w:t>
      </w:r>
      <w:r w:rsidRPr="00642F6C">
        <w:tab/>
        <w:t>pozdravlja delo, ki ga je opravil GD FINS po evropskih volitvah leta 2024, in sicer pri odhodu odhajajočih poslancev in sprejemu novih poslancev ter s tem povezanimi upravni postopki; opozarja na uspeh „</w:t>
      </w:r>
      <w:proofErr w:type="spellStart"/>
      <w:r w:rsidRPr="00642F6C">
        <w:t>welcome</w:t>
      </w:r>
      <w:proofErr w:type="spellEnd"/>
      <w:r w:rsidRPr="00642F6C">
        <w:t xml:space="preserve"> </w:t>
      </w:r>
      <w:proofErr w:type="spellStart"/>
      <w:r w:rsidRPr="00642F6C">
        <w:t>village</w:t>
      </w:r>
      <w:proofErr w:type="spellEnd"/>
      <w:r w:rsidRPr="00642F6C">
        <w:t>“ (stojnice za dobrodošlico) in informacije različnih služb, ki so bile zbrane, da bi poslanci lahko izkoristili možnost „vse na enem mestu“ za pridobivanje informacij in podajanje potrebnih izjav na začetku svojega mandata; izreka pohvalo GD FINS za pripravo 705 posameznih dosjejev, vključno s simulacijami stanja njihovih socialnih in finančnih pravic, ter za pripravo štirih obvestil kvestorjev za obveščanje poslancev o njihovih pravicah in obveznostih ob koncu parlamentarnega obdobja;</w:t>
      </w:r>
    </w:p>
    <w:p w14:paraId="70D7BE90" w14:textId="77777777" w:rsidR="002777A2" w:rsidRPr="00642F6C" w:rsidRDefault="002777A2" w:rsidP="002777A2">
      <w:pPr>
        <w:pStyle w:val="NormalHanging12a"/>
      </w:pPr>
      <w:r w:rsidRPr="00642F6C">
        <w:t>100.</w:t>
      </w:r>
      <w:r w:rsidRPr="00642F6C">
        <w:tab/>
        <w:t xml:space="preserve">je seznanjen z izjavo o zanesljivosti, ki jo je podpisal generalni direktor GD FINS; je seznanjen s pripombo iz izjave o zanesljivosti v zvezi s preostalim tveganjem napak ali nepravilnosti pri povračilu nekaterih potnih stroškov poslancev, zlasti v zvezi z zahtevki za povračilo potnih stroškov za potovanja z osebnim vozilom ter plačilom nadomestila za razdaljo in nadomestila za trajanje potovanja; je seznanjen z blažilnimi ukrepi, ki jih je predlagal GD FINS, in poziva k hitremu izvajanju ukrepov za zmanjšanje tveganja; zahteva, da se organu za podelitev razrešnice predloži poročilo o finančnih posledicah in učinkovitosti sprejetih ukrepov, </w:t>
      </w:r>
      <w:bookmarkStart w:id="9" w:name="_Hlk225523167"/>
      <w:r w:rsidRPr="00642F6C">
        <w:t>v katerem bodo predstavljeni stroški nadzora nad različnimi možnostmi, ki temeljijo na dokazih</w:t>
      </w:r>
      <w:bookmarkEnd w:id="9"/>
      <w:r w:rsidRPr="00642F6C">
        <w:t>;</w:t>
      </w:r>
    </w:p>
    <w:p w14:paraId="1FB69EF0" w14:textId="77777777" w:rsidR="002777A2" w:rsidRPr="00642F6C" w:rsidRDefault="002777A2" w:rsidP="002777A2">
      <w:pPr>
        <w:pStyle w:val="NormalHanging12a"/>
        <w:rPr>
          <w:bCs/>
          <w:iCs/>
        </w:rPr>
      </w:pPr>
      <w:r w:rsidRPr="00642F6C">
        <w:t>101.</w:t>
      </w:r>
      <w:r w:rsidRPr="00642F6C">
        <w:tab/>
        <w:t>z zaskrbljenostjo ugotavlja, da se potni stroški poslancem pogosto povrnejo po več kot treh mesecih; poziva upravo in GD FINS, naj znatno pospešita postopke povračil, tudi z nadaljnjo digitalizacijo, poenostavljenimi postopki preverjanja in jasnejšimi notranjimi roki, pri tem pa v celoti spoštujeta zahteve glede finančnega nadzora;</w:t>
      </w:r>
    </w:p>
    <w:p w14:paraId="3BFC2425" w14:textId="77777777" w:rsidR="002777A2" w:rsidRPr="00642F6C" w:rsidRDefault="002777A2" w:rsidP="002777A2">
      <w:pPr>
        <w:spacing w:after="240"/>
        <w:ind w:left="567" w:hanging="567"/>
        <w:rPr>
          <w14:textOutline w14:w="0" w14:cap="flat" w14:cmpd="sng" w14:algn="ctr">
            <w14:noFill/>
            <w14:prstDash w14:val="solid"/>
            <w14:bevel/>
          </w14:textOutline>
        </w:rPr>
      </w:pPr>
      <w:r w:rsidRPr="00642F6C">
        <w:t>102.</w:t>
      </w:r>
      <w:r w:rsidRPr="00642F6C">
        <w:tab/>
        <w:t xml:space="preserve">pozdravlja okrepljeno delo GD FINS v zvezi s „finančno akademijo EP“, katerega rezultat je bilo dvanajst spletnih video priročnikov, poleg obstoječe ponudbe tečajev usposabljanja v živo in hibridnih tečajev usposabljanja; poudarja pomen usposabljanja o finančnih zadevah za uslužbence v Parlamentu in pozdravlja usposabljanja o javnih </w:t>
      </w:r>
      <w:r w:rsidRPr="00642F6C">
        <w:lastRenderedPageBreak/>
        <w:t>naročilih za uslužbence političnih skupin ter poziva GD FINS, naj zagotovi večjo podporo političnim skupinam v postopkih javnega naročanja, zlasti ob upoštevanju ugotovitev Računskega sodišča; predlaga GD FINS, naj uskladi prakse, ki jih uporabljajo različne politične skupine na področju javnih naročil;</w:t>
      </w:r>
    </w:p>
    <w:p w14:paraId="530379CE" w14:textId="77777777" w:rsidR="002777A2" w:rsidRPr="00642F6C" w:rsidRDefault="002777A2" w:rsidP="002777A2">
      <w:pPr>
        <w:pStyle w:val="NormalHanging12a"/>
      </w:pPr>
      <w:r w:rsidRPr="00642F6C">
        <w:t>103.</w:t>
      </w:r>
      <w:r w:rsidRPr="00642F6C">
        <w:tab/>
        <w:t>ugotavlja, da poslanci lahko dokumentirajo uporabo sredstev, ki so jim na voljo iz naslova nadomestila splošnih stroškov; poudarja, da lahko v skladu s členom 11(2) Poslovnika Parlamenta to storijo sami ali s pomočjo zunanjega revizorja podrobno ali glede na vrsto stroškov in da lahko te informacije v celoti ali delno objavijo na svoji spletni strani na spletišču Parlamenta; pozdravlja, da izvedbeni ukrepi v zvezi s statutom poslancev zdaj vsebujejo poenostavljen seznam vrst stroškov in da je bil sprejet tudi predlog spremembe, ki pojasnjuje, da lahko poslanci uporabijo nadomestilo splošnih stroškov, če so preostala nadomestila že izčrpali; ugotavlja, da so bili vsi poslanci obveščeni o podrobnostih tega nadomestila; meni, da je največja preglednost dobra praksa;</w:t>
      </w:r>
    </w:p>
    <w:p w14:paraId="4764AFEC" w14:textId="77777777" w:rsidR="002777A2" w:rsidRPr="00642F6C" w:rsidRDefault="002777A2" w:rsidP="002777A2">
      <w:pPr>
        <w:pStyle w:val="NormalHanging12a"/>
      </w:pPr>
      <w:r w:rsidRPr="00642F6C">
        <w:t>104.</w:t>
      </w:r>
      <w:r w:rsidRPr="00642F6C">
        <w:tab/>
        <w:t>ugotavlja, da je nadomestilo splošnih stroškov v letu 2024 znašalo 4 950 EUR na mesec in predstavlja približno 40 milijonov EUR na leto; opozarja, da v letih 2022 in 2024 ni bila izvedena indeksacija nadomestila; ugotavlja, da Parlament spoštuje veljavna pravila v zvezi z nadomestilom splošnih stroškov; opozarja, da se je treba izogniti nepotrebnemu upravnemu bremenu za poslance;</w:t>
      </w:r>
    </w:p>
    <w:p w14:paraId="7CBDD3A3" w14:textId="4911412C" w:rsidR="002777A2" w:rsidRPr="00642F6C" w:rsidRDefault="002777A2" w:rsidP="002777A2">
      <w:pPr>
        <w:pStyle w:val="NormalHanging12a"/>
        <w:rPr>
          <w:bCs/>
          <w:iCs/>
        </w:rPr>
      </w:pPr>
      <w:r w:rsidRPr="00642F6C">
        <w:t>105.</w:t>
      </w:r>
      <w:r w:rsidRPr="00642F6C">
        <w:tab/>
        <w:t>ugotavlja, da veljavni izvedbeni ukrepi v zvezi s statutom poslancev določajo zahtev</w:t>
      </w:r>
      <w:r w:rsidR="00642F6C" w:rsidRPr="00642F6C">
        <w:t>e</w:t>
      </w:r>
      <w:r w:rsidRPr="00642F6C">
        <w:t xml:space="preserve"> glede preglednosti v zvezi s finančnim upravljanjem nadomestila splošnih stroškov; je seznanjen, da je predsedstvo na seji 17. oktobra 2022 ta sklep sprejelo;</w:t>
      </w:r>
    </w:p>
    <w:p w14:paraId="075C2E24"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Generalni direktorat za informacijske tehnologije in kibernetsko varnost</w:t>
      </w:r>
    </w:p>
    <w:p w14:paraId="7662D0E0" w14:textId="1B1A2298" w:rsidR="002777A2" w:rsidRPr="00642F6C" w:rsidRDefault="00AB1879"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106</w:t>
      </w:r>
      <w:r w:rsidR="002777A2" w:rsidRPr="00642F6C">
        <w:t>.</w:t>
      </w:r>
      <w:r w:rsidR="002777A2" w:rsidRPr="00642F6C">
        <w:rPr>
          <w14:textOutline w14:w="0" w14:cap="flat" w14:cmpd="sng" w14:algn="ctr">
            <w14:noFill/>
            <w14:prstDash w14:val="solid"/>
            <w14:bevel/>
          </w14:textOutline>
        </w:rPr>
        <w:tab/>
        <w:t xml:space="preserve">želi spomniti, da generalni direktorat za inovacije in tehnološko podporo (GD ITEC) Parlamentu zagotavlja storitve in opremo informacijske in komunikacijske tehnologije (IKT), videokonference in multimedijske storitve ter storitve založništva in tiskanja; </w:t>
      </w:r>
      <w:r w:rsidR="002777A2" w:rsidRPr="00642F6C">
        <w:t>ugotavlja, da je bilo na dan 31. decembra 2024 v GD ITEC 579 uslužbencev, od tega 369 uradnikov, 70 začasnih uslužbencev in 140 pogodbenih uslužbencev;</w:t>
      </w:r>
    </w:p>
    <w:p w14:paraId="47F40B40" w14:textId="54ADD332" w:rsidR="002777A2" w:rsidRPr="00642F6C" w:rsidRDefault="00AB1879" w:rsidP="002777A2">
      <w:pPr>
        <w:pStyle w:val="NormalHanging12a"/>
        <w:rPr>
          <w:bCs/>
          <w:iCs/>
        </w:rPr>
      </w:pPr>
      <w:r w:rsidRPr="00642F6C">
        <w:t>107</w:t>
      </w:r>
      <w:r w:rsidR="002777A2" w:rsidRPr="00642F6C">
        <w:t>.</w:t>
      </w:r>
      <w:r w:rsidR="002777A2" w:rsidRPr="00642F6C">
        <w:tab/>
        <w:t>poziva Parlament, naj sprejme celovito strategijo za digitalno preobrazbo, ki bo vključevala tehnične rešitve za upravljanje dokumentov in komunikacijo, da bi zagotovil preglednost, izboljšal učinkovitost, zagotovil varnost in prešel na brezpapirno upravo; poziva k razvoju uporabniku prijaznih digitalnih platform za povečanje e-udeležbe, ki bodo državljanom Unije omogočale, da predložijo povratne informacije o predlagani zakonodaji in da dostopajo do dejavnosti Parlamenta v realnem času;</w:t>
      </w:r>
    </w:p>
    <w:p w14:paraId="7860630C" w14:textId="2B8C04ED" w:rsidR="002777A2" w:rsidRPr="00642F6C" w:rsidRDefault="00AB1879"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108</w:t>
      </w:r>
      <w:r w:rsidR="002777A2" w:rsidRPr="00642F6C">
        <w:t>.</w:t>
      </w:r>
      <w:r w:rsidR="002777A2" w:rsidRPr="00642F6C">
        <w:rPr>
          <w14:textOutline w14:w="0" w14:cap="flat" w14:cmpd="sng" w14:algn="ctr">
            <w14:noFill/>
            <w14:prstDash w14:val="solid"/>
            <w14:bevel/>
          </w14:textOutline>
        </w:rPr>
        <w:tab/>
      </w:r>
      <w:r w:rsidR="002777A2" w:rsidRPr="00642F6C">
        <w:t>ugotavlja, da je končni proračun GD ITEC v letu 2024 znašal 179 396 522 EUR, kar je 7,5 % proračuna Parlamenta;</w:t>
      </w:r>
      <w:r w:rsidR="002777A2" w:rsidRPr="00642F6C">
        <w:rPr>
          <w14:textOutline w14:w="0" w14:cap="flat" w14:cmpd="sng" w14:algn="ctr">
            <w14:noFill/>
            <w14:prstDash w14:val="solid"/>
            <w14:bevel/>
          </w14:textOutline>
        </w:rPr>
        <w:t xml:space="preserve"> </w:t>
      </w:r>
      <w:r w:rsidR="002777A2" w:rsidRPr="00642F6C">
        <w:t>poudarja, da so bile od tega zneska prevzete obveznosti v skupnem znesku 179 349 479 EUR;</w:t>
      </w:r>
      <w:r w:rsidR="002777A2" w:rsidRPr="00642F6C">
        <w:rPr>
          <w14:textOutline w14:w="0" w14:cap="flat" w14:cmpd="sng" w14:algn="ctr">
            <w14:noFill/>
            <w14:prstDash w14:val="solid"/>
            <w14:bevel/>
          </w14:textOutline>
        </w:rPr>
        <w:t xml:space="preserve"> pozdravlja obsežno uporabo odobrenih sredstev;</w:t>
      </w:r>
    </w:p>
    <w:p w14:paraId="24C4CA88" w14:textId="35A5B0D2" w:rsidR="002777A2" w:rsidRPr="00642F6C" w:rsidRDefault="00AB1879" w:rsidP="002777A2">
      <w:pPr>
        <w:spacing w:after="240"/>
        <w:ind w:left="567" w:hanging="567"/>
      </w:pPr>
      <w:r w:rsidRPr="00642F6C">
        <w:t>109</w:t>
      </w:r>
      <w:r w:rsidR="002777A2" w:rsidRPr="00642F6C">
        <w:t>.</w:t>
      </w:r>
      <w:r w:rsidR="002777A2" w:rsidRPr="00642F6C">
        <w:tab/>
        <w:t xml:space="preserve">je seznanjen z nenehnimi prizadevanji GD ITEC za zagotavljanje kibernetske varnosti glede na vse večje grožnje in tveganja, s katerimi se spoprijema Parlament; je seznanjen, da je začela veljati Uredba (EU, </w:t>
      </w:r>
      <w:proofErr w:type="spellStart"/>
      <w:r w:rsidR="002777A2" w:rsidRPr="00642F6C">
        <w:t>Euratom</w:t>
      </w:r>
      <w:proofErr w:type="spellEnd"/>
      <w:r w:rsidR="002777A2" w:rsidRPr="00642F6C">
        <w:t xml:space="preserve">) 2023/2841 Evropskega </w:t>
      </w:r>
      <w:r w:rsidR="002777A2" w:rsidRPr="00642F6C">
        <w:lastRenderedPageBreak/>
        <w:t>parlamenta in Sveta</w:t>
      </w:r>
      <w:r w:rsidR="002777A2" w:rsidRPr="00642F6C">
        <w:rPr>
          <w:rStyle w:val="FootnoteReference"/>
          <w:noProof/>
        </w:rPr>
        <w:footnoteReference w:id="9"/>
      </w:r>
      <w:r w:rsidR="002777A2" w:rsidRPr="00642F6C">
        <w:t xml:space="preserve">, s katero je bilo formalizirano poslanstvo skupine CERT-EU kot službe za kibernetsko varnost za subjekte Unije; ugotavlja, da Uredba (EU, </w:t>
      </w:r>
      <w:proofErr w:type="spellStart"/>
      <w:r w:rsidR="002777A2" w:rsidRPr="00642F6C">
        <w:t>Euratom</w:t>
      </w:r>
      <w:proofErr w:type="spellEnd"/>
      <w:r w:rsidR="002777A2" w:rsidRPr="00642F6C">
        <w:t>) 2023/2841 ustanavlja tudi Medinstitucionalni odbor za kibernetsko varnost (IICB), ki je odgovoren za spremljanje in podpiranje izvajanja te uredbe v vseh subjektih Unije; ugotavlja, da Parlament predseduje temu odboru od leta 2024;</w:t>
      </w:r>
    </w:p>
    <w:p w14:paraId="2C9A90F5" w14:textId="3768F45B" w:rsidR="002777A2" w:rsidRPr="00642F6C" w:rsidRDefault="00AB1879" w:rsidP="002777A2">
      <w:pPr>
        <w:spacing w:after="240"/>
        <w:ind w:left="567" w:hanging="567"/>
        <w:rPr>
          <w:b/>
          <w:bCs/>
        </w:rPr>
      </w:pPr>
      <w:r w:rsidRPr="00642F6C">
        <w:t>110</w:t>
      </w:r>
      <w:r w:rsidR="002777A2" w:rsidRPr="00642F6C">
        <w:t>.</w:t>
      </w:r>
      <w:r w:rsidR="002777A2" w:rsidRPr="00642F6C">
        <w:tab/>
        <w:t>ugotavlja, da je na podlagi sklepa predsedstva iz februarja 2021 o tem, da je treba podatkovni center Parlamenta vključiti v najvišji razpoložljivi industrijski standard (stopnja IV), GD ITEC leta 2022 oddal javno naročilo, na podlagi katerega je bilo mogoče v letu 2023 vzpostaviti in začeti uporabljati podatkovni center; poudarja, da te pomembne naložbe zagotavljajo infrastrukturo, ki bo kos izzivom prihodnosti, in so ključne za ohranjanje trdnega hibridnega delovnega okolja za Parlament;</w:t>
      </w:r>
    </w:p>
    <w:p w14:paraId="40B7E0C5" w14:textId="5073113D" w:rsidR="002777A2" w:rsidRPr="00642F6C" w:rsidRDefault="00AB1879" w:rsidP="002777A2">
      <w:pPr>
        <w:spacing w:after="240"/>
        <w:ind w:left="567" w:hanging="567"/>
      </w:pPr>
      <w:r w:rsidRPr="00642F6C">
        <w:rPr>
          <w14:textOutline w14:w="0" w14:cap="flat" w14:cmpd="sng" w14:algn="ctr">
            <w14:noFill/>
            <w14:prstDash w14:val="solid"/>
            <w14:bevel/>
          </w14:textOutline>
        </w:rPr>
        <w:t>111</w:t>
      </w:r>
      <w:r w:rsidR="002777A2" w:rsidRPr="00642F6C">
        <w:t>.</w:t>
      </w:r>
      <w:r w:rsidR="002777A2" w:rsidRPr="00642F6C">
        <w:rPr>
          <w14:textOutline w14:w="0" w14:cap="flat" w14:cmpd="sng" w14:algn="ctr">
            <w14:noFill/>
            <w14:prstDash w14:val="solid"/>
            <w14:bevel/>
          </w14:textOutline>
        </w:rPr>
        <w:tab/>
      </w:r>
      <w:r w:rsidR="002777A2" w:rsidRPr="00642F6C">
        <w:t xml:space="preserve">poudarja, da je treba kibernetsko varnost obravnavati kot celovito in stalno prednostno nalogo v vseh fazah delovanja in ne zgolj kot cilj; poudarja, da je za kibernetsko varnost potrebna celovita strategija, ki bo zajemala vse vidike digitalnega upravljanja v Parlamentu; poziva k pregledu struktur Parlamenta za upravljanje informacijske tehnologije ter se zavzema za trdnejši in </w:t>
      </w:r>
      <w:proofErr w:type="spellStart"/>
      <w:r w:rsidR="002777A2" w:rsidRPr="00642F6C">
        <w:t>prilagodljivejši</w:t>
      </w:r>
      <w:proofErr w:type="spellEnd"/>
      <w:r w:rsidR="002777A2" w:rsidRPr="00642F6C">
        <w:t xml:space="preserve"> pristop h kibernetski varnosti, ki bo upošteval celoten življenjski cikel informacijskih sistemov, saj se povečuje število aplikacij (trenutno jih je več kot 20), ki so neposredno dostopne prek interneta; poudarja, da je v teh razmerah potreben okrepljen nadzor, da bi čim bolj zmanjšali ranljivosti in zaščitili institucionalne podatke pred zunanjimi grožnjami;</w:t>
      </w:r>
    </w:p>
    <w:p w14:paraId="6936B045" w14:textId="69692441" w:rsidR="002777A2" w:rsidRPr="00642F6C" w:rsidRDefault="00AB1879" w:rsidP="002777A2">
      <w:pPr>
        <w:spacing w:after="240"/>
        <w:ind w:left="567" w:hanging="567"/>
      </w:pPr>
      <w:r w:rsidRPr="00642F6C">
        <w:t>112</w:t>
      </w:r>
      <w:r w:rsidR="002777A2" w:rsidRPr="00642F6C">
        <w:t>.</w:t>
      </w:r>
      <w:r w:rsidR="002777A2" w:rsidRPr="00642F6C">
        <w:tab/>
        <w:t>poziva k nadaljnjim naložbam v infrastrukturo za kibernetsko varnost, pa tudi k stalnemu izobraževanju in zagotavljanju virov za zaposlene, da bi okrepili kulturo ozaveščenosti glede varnosti, ki krepi odpornost Parlamenta na morebitne digitalne grožnje;</w:t>
      </w:r>
    </w:p>
    <w:p w14:paraId="72152493" w14:textId="01A0BC51" w:rsidR="002777A2" w:rsidRPr="00642F6C" w:rsidRDefault="00AB1879" w:rsidP="002777A2">
      <w:pPr>
        <w:spacing w:after="240"/>
        <w:ind w:left="567" w:hanging="567"/>
      </w:pPr>
      <w:r w:rsidRPr="00642F6C">
        <w:t>113</w:t>
      </w:r>
      <w:r w:rsidR="002777A2" w:rsidRPr="00642F6C">
        <w:t>.</w:t>
      </w:r>
      <w:r w:rsidR="002777A2" w:rsidRPr="00642F6C">
        <w:tab/>
        <w:t>ugotavlja, da je poudarek na ozaveščanju vseh poslancev in zaposlenih o kibernetski varnosti; pozdravlja ponudbo usposabljanja, ki sta jo pripravila GD ITEC in GD PERS; je seznanjen, da se je tečajev usposabljanja o kibernetski varnosti udeležilo veliko število ljudi, 33 udeležencev na tečajih usposabljanja in vsaj 1800 udeležencev v dejavnostih ozaveščanja;</w:t>
      </w:r>
    </w:p>
    <w:p w14:paraId="30290F9E" w14:textId="0E6515B8" w:rsidR="002777A2" w:rsidRPr="00642F6C" w:rsidRDefault="00AB1879" w:rsidP="002777A2">
      <w:pPr>
        <w:spacing w:after="240"/>
        <w:ind w:left="567" w:hanging="567"/>
      </w:pPr>
      <w:r w:rsidRPr="00642F6C">
        <w:t>114</w:t>
      </w:r>
      <w:r w:rsidR="002777A2" w:rsidRPr="00642F6C">
        <w:t>.</w:t>
      </w:r>
      <w:r w:rsidR="002777A2" w:rsidRPr="00642F6C">
        <w:tab/>
        <w:t xml:space="preserve">ugotavlja, da sedanji sistem upravljanja človeških virov (portal HRM) še vedno ni dovolj povezan z drugimi sistemi Parlamenta; ugotavlja, da morajo akreditirani parlamentarni pomočniki za enostavne postopke, kot so prošnje za dopust, še vedno prenesti, natisniti, </w:t>
      </w:r>
      <w:proofErr w:type="spellStart"/>
      <w:r w:rsidR="002777A2" w:rsidRPr="00642F6C">
        <w:t>skenirati</w:t>
      </w:r>
      <w:proofErr w:type="spellEnd"/>
      <w:r w:rsidR="002777A2" w:rsidRPr="00642F6C">
        <w:t xml:space="preserve"> in ročno poslati dokumente, stanje dopusta pa je treba preveriti na ločeni platformi; poudarja, da ti razdrobljeni postopki povzročajo nepotrebno upravno breme in neučinkovitost delovnega postopka; poziva upravo, naj posodobi in racionalizira te postopke ter zagotovi popolno </w:t>
      </w:r>
      <w:proofErr w:type="spellStart"/>
      <w:r w:rsidR="002777A2" w:rsidRPr="00642F6C">
        <w:t>interoperabilnost</w:t>
      </w:r>
      <w:proofErr w:type="spellEnd"/>
      <w:r w:rsidR="002777A2" w:rsidRPr="00642F6C">
        <w:t xml:space="preserve"> med orodji za upravljanje človeških virov in drugimi sistemi Parlamenta;</w:t>
      </w:r>
    </w:p>
    <w:p w14:paraId="3248EFC0" w14:textId="56FEE05A" w:rsidR="002777A2" w:rsidRPr="00642F6C" w:rsidRDefault="00AB1879" w:rsidP="002777A2">
      <w:pPr>
        <w:spacing w:after="240"/>
        <w:ind w:left="567" w:hanging="567"/>
      </w:pPr>
      <w:r w:rsidRPr="00642F6C">
        <w:rPr>
          <w14:textOutline w14:w="0" w14:cap="flat" w14:cmpd="sng" w14:algn="ctr">
            <w14:noFill/>
            <w14:prstDash w14:val="solid"/>
            <w14:bevel/>
          </w14:textOutline>
        </w:rPr>
        <w:t>115</w:t>
      </w:r>
      <w:r w:rsidR="002777A2" w:rsidRPr="00642F6C">
        <w:t>.</w:t>
      </w:r>
      <w:r w:rsidR="002777A2" w:rsidRPr="00642F6C">
        <w:rPr>
          <w14:textOutline w14:w="0" w14:cap="flat" w14:cmpd="sng" w14:algn="ctr">
            <w14:noFill/>
            <w14:prstDash w14:val="solid"/>
            <w14:bevel/>
          </w14:textOutline>
        </w:rPr>
        <w:tab/>
      </w:r>
      <w:r w:rsidR="002777A2" w:rsidRPr="00642F6C">
        <w:t xml:space="preserve">poudarja, da je bila podpora poslancem razširjena in sedaj zajema tudi obdobje zunaj delovnega časa in dela proste dneve; ugotavlja, da so bile na podlagi anket med uporabniki in neposrednih zahtev upravnih organov opredeljene nove potrebe in </w:t>
      </w:r>
      <w:r w:rsidR="002777A2" w:rsidRPr="00642F6C">
        <w:lastRenderedPageBreak/>
        <w:t xml:space="preserve">delovne prakse poslancev, zato je bil uveden nov sklop namenskih podpornih storitev IT za zasebne naprave poslancev, ki uporabljajo sistema </w:t>
      </w:r>
      <w:proofErr w:type="spellStart"/>
      <w:r w:rsidR="002777A2" w:rsidRPr="00642F6C">
        <w:t>MacOS</w:t>
      </w:r>
      <w:proofErr w:type="spellEnd"/>
      <w:r w:rsidR="002777A2" w:rsidRPr="00642F6C">
        <w:t xml:space="preserve"> in </w:t>
      </w:r>
      <w:proofErr w:type="spellStart"/>
      <w:r w:rsidR="002777A2" w:rsidRPr="00642F6C">
        <w:t>iOS</w:t>
      </w:r>
      <w:proofErr w:type="spellEnd"/>
      <w:r w:rsidR="002777A2" w:rsidRPr="00642F6C">
        <w:t>; poudarja, da se spodbuja tehnična pomoč za družbene medije, skupaj z vrsto storitev, povezanih s tehničnimi vidiki avdiovizualnega ustvarjanja;</w:t>
      </w:r>
    </w:p>
    <w:p w14:paraId="332259F0" w14:textId="0AF1BDFE" w:rsidR="002777A2" w:rsidRPr="00642F6C" w:rsidRDefault="00AB1879" w:rsidP="002777A2">
      <w:pPr>
        <w:pStyle w:val="NormalHanging12a"/>
      </w:pPr>
      <w:r w:rsidRPr="00642F6C">
        <w:t>116</w:t>
      </w:r>
      <w:r w:rsidR="002777A2" w:rsidRPr="00642F6C">
        <w:t>.</w:t>
      </w:r>
      <w:r w:rsidR="002777A2" w:rsidRPr="00642F6C">
        <w:tab/>
        <w:t xml:space="preserve">pozdravlja vzpostavitev novega okvira upravljanja za umetno inteligenco z upravnim odborom za umetno inteligenco, ki bo nadzoroval strategijo in časovni načrt Parlamenta za umetno inteligenco ter zagotavljal skladnost z zakonodajo in etični nadzor, usmerjevalno skupino med generalnimi direktorati za umetno inteligenco, odgovorno za pripravo strategij za umetno inteligenco, razvoj ključnih zmogljivosti ter zagotavljanje dolgoročne varnosti in </w:t>
      </w:r>
      <w:proofErr w:type="spellStart"/>
      <w:r w:rsidR="002777A2" w:rsidRPr="00642F6C">
        <w:t>trajnostnosti</w:t>
      </w:r>
      <w:proofErr w:type="spellEnd"/>
      <w:r w:rsidR="002777A2" w:rsidRPr="00642F6C">
        <w:t>, ter strokovnim centrom za umetno inteligenco v GD ITEC, ki bo usmerjal, spodbujal in spremljal pobude na področju umetne inteligence v Parlamentu; ugotavlja, da bo ta okvir upravljanja zagotovil preglednost in skladnost z Uredbo (EU) 2024/1689 Evropskega parlamenta in Sveta</w:t>
      </w:r>
      <w:r w:rsidR="002777A2" w:rsidRPr="00642F6C">
        <w:rPr>
          <w:vertAlign w:val="superscript"/>
        </w:rPr>
        <w:footnoteReference w:id="10"/>
      </w:r>
      <w:r w:rsidR="002777A2" w:rsidRPr="00642F6C">
        <w:t>, ki je začela veljati 1. avgusta 2024, njene določbe pa se bodo začele uporabljati leta 2025; ugotavlja, da lahko uslužbenci Parlamenta uporabljajo javno dostopna orodja generativne umetne inteligence zunanjih ponudnikov, če spoštujejo smernice o uporabi javno dostopnih orodij umetne inteligence za uslužbence Parlamenta, ki jih je generalni sekretar odobril 16. aprila 2024, pri čemer se strogo razume, da podpirajo le poklicne dolžnosti; poziva upravo, naj si v večji meri prizadeva za usposabljanje osebja za učinkovito in varno uporabo novih tehnologij, kot je umetna inteligenca;</w:t>
      </w:r>
    </w:p>
    <w:p w14:paraId="47E12713"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 xml:space="preserve">Horizontalna vprašanja, ki so vplivala na proračun Parlamenta za proračunsko leto 2024 </w:t>
      </w:r>
    </w:p>
    <w:p w14:paraId="23A4EA68" w14:textId="77777777" w:rsidR="002777A2" w:rsidRPr="00642F6C" w:rsidRDefault="002777A2" w:rsidP="002777A2">
      <w:pPr>
        <w:spacing w:after="240"/>
        <w:rPr>
          <w:bCs/>
          <w:i/>
          <w:iCs/>
        </w:rPr>
      </w:pPr>
      <w:bookmarkStart w:id="10" w:name="_Hlk216615789"/>
      <w:r w:rsidRPr="00642F6C">
        <w:rPr>
          <w:bCs/>
          <w:i/>
          <w:iCs/>
        </w:rPr>
        <w:t>Preglednost in etika</w:t>
      </w:r>
    </w:p>
    <w:p w14:paraId="08C15DD8" w14:textId="77127A9C" w:rsidR="002777A2" w:rsidRPr="00642F6C" w:rsidRDefault="00AB1879" w:rsidP="002777A2">
      <w:pPr>
        <w:spacing w:after="240"/>
        <w:ind w:left="567" w:hanging="567"/>
        <w:rPr>
          <w:b/>
          <w:bCs/>
        </w:rPr>
      </w:pPr>
      <w:r w:rsidRPr="00642F6C">
        <w:t>117</w:t>
      </w:r>
      <w:r w:rsidR="002777A2" w:rsidRPr="00642F6C">
        <w:t>.</w:t>
      </w:r>
      <w:r w:rsidR="002777A2" w:rsidRPr="00642F6C">
        <w:tab/>
        <w:t>ugotavlja, da je bilo leta 2024 v skladu z notranjimi pravili za izvajanje člena 22c kadrovskih predpisov prejetih šest poročil o primerih nepravilnosti, pet po uradni poti in eno iz druge institucije Unije; ugotavlja, da je bil en primer predložen Evropskemu javnemu tožilstvu, dva sta privedla do upravnih preiskav, eden pa je bil poslan posvetovalnemu odboru za kodeks ravnanja poslancev, pri čemer je bila preiskava sprožena tudi na podlagi zunanjega poročila;</w:t>
      </w:r>
      <w:r w:rsidR="009C69CE" w:rsidRPr="00642F6C">
        <w:t xml:space="preserve"> izraža zaskrbljenost, ker je Sodišče Evropske unije leta 2024 v zadevi T-793/22 razsodilo, da Parlament ni sprejel vseh potrebnih ukrepov, da bi žvižgaču zagotovil uravnoteženo in učinkovito zaščito pred vsemi oblikami povračilnih ukrepov; je seznanjen tudi z njegovo ugotovitvijo, da Parlament ni ustrezno zaščitil zaupnosti žvižgačev; poziva Parlament, naj svoja notranja pravila v celoti uskladi z Direktivo (EU) 2019/1937;</w:t>
      </w:r>
    </w:p>
    <w:bookmarkEnd w:id="10"/>
    <w:p w14:paraId="7D39D492" w14:textId="5E71712A" w:rsidR="002777A2" w:rsidRPr="00642F6C" w:rsidRDefault="00AB1879" w:rsidP="002777A2">
      <w:pPr>
        <w:pStyle w:val="NormalHanging12a"/>
      </w:pPr>
      <w:r w:rsidRPr="00642F6C">
        <w:t>118</w:t>
      </w:r>
      <w:r w:rsidR="002777A2" w:rsidRPr="00642F6C">
        <w:t>.</w:t>
      </w:r>
      <w:r w:rsidR="002777A2" w:rsidRPr="00642F6C">
        <w:tab/>
        <w:t xml:space="preserve">pozdravlja, da je usposabljanje o etiki ostalo prednostna naloga, vendar obžaluje, da je 13 usposabljanj „Pogovarjajmo se o etiki“ omogočilo udeležbo le 178 uslužbencem, prilagojenih tečajev se je udeležilo 109 udeležencev, medtem ko je obvezno uvajanje za akreditirane parlamentarne pomočnike imelo 72-odstotno stopnjo realizacije; pozdravlja, da se je 33 usposabljanj za vodstvene delavce o etičnem vodenju in </w:t>
      </w:r>
      <w:r w:rsidR="002777A2" w:rsidRPr="00642F6C">
        <w:lastRenderedPageBreak/>
        <w:t>preprečevanju nadlegovanja udeležilo 320 vodstvenih delavcev;</w:t>
      </w:r>
    </w:p>
    <w:p w14:paraId="2E9CF294" w14:textId="410F407C" w:rsidR="002777A2" w:rsidRPr="00642F6C" w:rsidRDefault="00AB1879" w:rsidP="002777A2">
      <w:pPr>
        <w:pStyle w:val="NormalHanging12a"/>
      </w:pPr>
      <w:r w:rsidRPr="00642F6C">
        <w:t>119</w:t>
      </w:r>
      <w:r w:rsidR="002777A2" w:rsidRPr="00642F6C">
        <w:t>.</w:t>
      </w:r>
      <w:r w:rsidR="002777A2" w:rsidRPr="00642F6C">
        <w:tab/>
        <w:t>vztraja, da je treba okrepiti ukrepe za preglednost, odgovornost in etično upravljanje; meni, da mora Parlament zagotoviti svojo kulturo integritete, tako da vključi etične standarde v vsakodnevne dejavnosti, da ne bi ogrozil zaupanja državljanov in da bi okrepil svojo legitimnost pri nadzoru; poziva k nadaljevanju in krepitvi sodelovanja in dialoga o integriteti, preglednosti in pravilih ravnanja v institucijah Unije;</w:t>
      </w:r>
    </w:p>
    <w:p w14:paraId="5612F640" w14:textId="0129A1ED" w:rsidR="002777A2" w:rsidRPr="00642F6C" w:rsidRDefault="00AB1879" w:rsidP="002777A2">
      <w:pPr>
        <w:pStyle w:val="NormalHanging12a"/>
        <w:rPr>
          <w:bCs/>
          <w:iCs/>
        </w:rPr>
      </w:pPr>
      <w:r w:rsidRPr="00642F6C">
        <w:t>120</w:t>
      </w:r>
      <w:r w:rsidR="002777A2" w:rsidRPr="00642F6C">
        <w:t>.</w:t>
      </w:r>
      <w:r w:rsidR="002777A2" w:rsidRPr="00642F6C">
        <w:tab/>
        <w:t>je seznanjen s pozitivno oceno tehničnega izvajanja kodeksa ravnanja za poslance Evropskega parlamenta v zvezi z integriteto in preglednostjo, kot je bila sporočena predsedstvu; poziva k dodatnim prizadevanjem za povečanje preglednosti v vseh sektorjih in službah Parlamenta, s posebnim poudarkom na pripravi zakonodaje; v zvezi s tem poziva upravo Parlamenta, naj uvedbe zahtev glede preglednosti ne omeji na vodstveno raven;</w:t>
      </w:r>
    </w:p>
    <w:p w14:paraId="01D70102" w14:textId="27647953" w:rsidR="009C69CE" w:rsidRPr="00642F6C" w:rsidRDefault="00AB1879" w:rsidP="002777A2">
      <w:pPr>
        <w:pStyle w:val="NormalHanging12a"/>
      </w:pPr>
      <w:r w:rsidRPr="00642F6C">
        <w:t>121</w:t>
      </w:r>
      <w:r w:rsidR="009C69CE" w:rsidRPr="00642F6C">
        <w:t>.</w:t>
      </w:r>
      <w:r w:rsidR="009C69CE" w:rsidRPr="00642F6C">
        <w:tab/>
        <w:t>opozarja, da pravila poslancem prepovedujejo opravljanje plačanih dejavnosti lobiranja, ki so neposredno povezane s postopkom odločanja Unije; poudarja, da sočasno opravljanje plačanih funkcij v subjektih, ki se morajo vpisati v register za preglednost, ter parlamentarnih dejavnosti na istem področju politike oziroma navezovanje s tem povezanih stikov v Komisiji ali Svetu ni združljivo s pravili; poziva, naj se takšne situacije ustrezno preučijo in naj se v primeru ugotovljenih kršitev uporabijo sorazmerne sankcije;</w:t>
      </w:r>
    </w:p>
    <w:p w14:paraId="307DD0F7" w14:textId="2ABF240E" w:rsidR="002777A2" w:rsidRPr="00642F6C" w:rsidRDefault="002777A2" w:rsidP="002777A2">
      <w:pPr>
        <w:pStyle w:val="NormalHanging12a"/>
        <w:rPr>
          <w:bCs/>
          <w:iCs/>
        </w:rPr>
      </w:pPr>
      <w:r w:rsidRPr="00642F6C">
        <w:t>122.</w:t>
      </w:r>
      <w:r w:rsidRPr="00642F6C">
        <w:tab/>
        <w:t>pozdravlja večjo uporabo registra za preglednost kot informacijskega in referenčnega orodja za dejavnosti zastopanja interesov na ravni Unije; pozdravlja razvoj rešitev IT za izboljšanje registra za preglednost, vendar ugotavlja, da ima njegov sekretariat še vedno premalo sredstev in zaposlenih; ugotavlja, da se je kakovost vnosov v register za preglednost izboljšala in opozarja, da je treba še naprej izboljševati preverjanje kakovosti podatkov novih prosilcev; pozdravlja vzpostavitev trdnih standardov v Evropskem parlamentu o preglednosti in dostopu do institucij za subjekte, navedene v registru za preglednost; poziva k medsebojni povezavi med registrom za preglednost in sistemom finančne preglednosti, da bi omogočili navzkrižno preverjanje subjektov, vpisanih v register za preglednost, in preverili ustreznost predloženih podatkov; v zvezi s tem ponovno poudarja, da je potreben celovit finančni predhodni pregled vseh subjektov, preden se vpišejo v register za preglednost, in v zvezi s tem poziva, naj se registru za preglednost zagotovijo ustrezni viri za njegovo delovanje in učinkovito izvrševanje njegovih notranjih pravil; nadalje poziva upravo Parlamenta, naj zagotovi medinstitucionalno preglednost medijev in razkrije vse medijske hiše, ki prejemajo sredstva Unije;</w:t>
      </w:r>
    </w:p>
    <w:p w14:paraId="65C653CB" w14:textId="77777777" w:rsidR="002777A2" w:rsidRPr="00642F6C" w:rsidRDefault="002777A2" w:rsidP="002777A2">
      <w:pPr>
        <w:spacing w:after="240"/>
        <w:ind w:left="567" w:hanging="567"/>
      </w:pPr>
      <w:r w:rsidRPr="00642F6C">
        <w:t>123.</w:t>
      </w:r>
      <w:r w:rsidRPr="00642F6C">
        <w:tab/>
        <w:t>poziva Računsko sodišče, naj posebej preuči financiranje medijev;</w:t>
      </w:r>
    </w:p>
    <w:p w14:paraId="04897834" w14:textId="77777777" w:rsidR="002777A2" w:rsidRPr="00642F6C" w:rsidRDefault="002777A2" w:rsidP="002777A2">
      <w:pPr>
        <w:spacing w:after="240"/>
        <w:rPr>
          <w:bCs/>
          <w:i/>
          <w:iCs/>
        </w:rPr>
      </w:pPr>
      <w:r w:rsidRPr="00642F6C">
        <w:rPr>
          <w:bCs/>
          <w:i/>
          <w:iCs/>
        </w:rPr>
        <w:t>Digitalizacija, kibernetska varnost in umetna inteligenca</w:t>
      </w:r>
    </w:p>
    <w:p w14:paraId="28D5141F" w14:textId="77777777" w:rsidR="002777A2" w:rsidRPr="00642F6C" w:rsidRDefault="002777A2" w:rsidP="002777A2">
      <w:pPr>
        <w:spacing w:after="240"/>
        <w:ind w:left="567" w:hanging="567"/>
        <w:rPr>
          <w:b/>
          <w:bCs/>
        </w:rPr>
      </w:pPr>
      <w:r w:rsidRPr="00642F6C">
        <w:t>124.</w:t>
      </w:r>
      <w:r w:rsidRPr="00642F6C">
        <w:tab/>
        <w:t>poziva Parlament, naj še bolj poveča svoja prizadevanja in obravnava konkretne kritične izzive, kot sta kibernetska varnost in umetna inteligenca;</w:t>
      </w:r>
    </w:p>
    <w:p w14:paraId="1171A9B4" w14:textId="77777777" w:rsidR="002777A2" w:rsidRPr="00642F6C" w:rsidRDefault="002777A2" w:rsidP="002777A2">
      <w:pPr>
        <w:spacing w:after="240"/>
        <w:ind w:left="567" w:hanging="567"/>
      </w:pPr>
      <w:r w:rsidRPr="00642F6C">
        <w:t>125.</w:t>
      </w:r>
      <w:r w:rsidRPr="00642F6C">
        <w:tab/>
        <w:t>opozarja, da je predsedstvo marca 2024 vzpostavilo okvir za upravljanje umetne inteligence; poudarja, da je treba nujno sprejeti celovito strategijo in časovni načrt za umetno inteligenco, vključno s predlogom akcijskega načrta;</w:t>
      </w:r>
    </w:p>
    <w:p w14:paraId="508819F5" w14:textId="77777777" w:rsidR="002777A2" w:rsidRPr="00642F6C" w:rsidRDefault="002777A2" w:rsidP="002777A2">
      <w:pPr>
        <w:pStyle w:val="NormalHanging12a"/>
      </w:pPr>
      <w:r w:rsidRPr="00642F6C">
        <w:lastRenderedPageBreak/>
        <w:t>126.</w:t>
      </w:r>
      <w:r w:rsidRPr="00642F6C">
        <w:tab/>
        <w:t>ugotavlja, da delo na notranji platformi Parlamenta, namenjeni generativni umetni inteligenci, napreduje; ponovno poudarja, da je ta platforma ključni element za skladno in varno izvajanje projektov umetne inteligence, zlasti za podporo poslancem pri njihovem delu;</w:t>
      </w:r>
    </w:p>
    <w:p w14:paraId="1058B55B" w14:textId="77777777" w:rsidR="002777A2" w:rsidRPr="00642F6C" w:rsidRDefault="002777A2" w:rsidP="002777A2">
      <w:pPr>
        <w:spacing w:after="240"/>
        <w:ind w:left="567" w:hanging="567"/>
      </w:pPr>
      <w:r w:rsidRPr="00642F6C">
        <w:t>127.</w:t>
      </w:r>
      <w:r w:rsidRPr="00642F6C">
        <w:tab/>
        <w:t>poziva upravo Parlamenta, naj zagotovi, da se bodo projekti umetne inteligence izvajali popolnoma v skladu z zahtevami glede upravljanja, hkrati pa naj zagotovi dostop na način, ki bo varoval občutljive podatke in omogočal uporabo javno dostopnih informacij;</w:t>
      </w:r>
    </w:p>
    <w:p w14:paraId="3632265F" w14:textId="77777777" w:rsidR="002777A2" w:rsidRPr="00642F6C" w:rsidRDefault="002777A2" w:rsidP="002777A2">
      <w:pPr>
        <w:pStyle w:val="NormalHanging12a"/>
        <w:rPr>
          <w:bCs/>
          <w:iCs/>
        </w:rPr>
      </w:pPr>
      <w:r w:rsidRPr="00642F6C">
        <w:t>128.</w:t>
      </w:r>
      <w:r w:rsidRPr="00642F6C">
        <w:tab/>
        <w:t>poziva upravo Parlamenta, naj z uporabo rešitev umetne inteligence poveča preglednost in dostopnost parlamentarnega dela ter omogoči sistematično razpoložljivost digitalnih zapisov vseh razprav v odborih, po katerih je mogoče iskati in jih ponovno uporabiti, vključno z izmenjavami s komisarji, strokovnjaki in deležniki; poudarja, da bi morali biti ti zapisi pravočasno na voljo; poudarja, da bi boljši dostop do razprav v odborih okrepil demokratični nadzor, institucionalni spomin in razumevanje zakonodajnega dela Parlamenta med državljani;</w:t>
      </w:r>
    </w:p>
    <w:p w14:paraId="3CF6DAD6" w14:textId="77777777" w:rsidR="002777A2" w:rsidRPr="00642F6C" w:rsidRDefault="002777A2" w:rsidP="002777A2">
      <w:pPr>
        <w:pStyle w:val="NormalHanging12a"/>
        <w:rPr>
          <w:bCs/>
          <w:iCs/>
        </w:rPr>
      </w:pPr>
      <w:r w:rsidRPr="00642F6C">
        <w:t>129.</w:t>
      </w:r>
      <w:r w:rsidRPr="00642F6C">
        <w:tab/>
        <w:t>je seznanjen z znatnimi izboljšavami spletnega mesta plenarnega zasedanja, vključno z večjo dostopnostjo orodij za preverjanje poimenskega glasovanja, kar je prispevalo k večji preglednosti in točnosti evidenc parlamentarnega glasovanja; kljub temu poziva k nadaljnjim izboljšavam uporabnosti in predstavitve informacij, povezanih z glasovanjem;</w:t>
      </w:r>
    </w:p>
    <w:p w14:paraId="653612CA" w14:textId="77777777" w:rsidR="002777A2" w:rsidRPr="00642F6C" w:rsidRDefault="002777A2" w:rsidP="002777A2">
      <w:pPr>
        <w:spacing w:after="240"/>
        <w:rPr>
          <w:bCs/>
          <w:i/>
          <w:iCs/>
        </w:rPr>
      </w:pPr>
      <w:r w:rsidRPr="00642F6C">
        <w:rPr>
          <w:bCs/>
          <w:i/>
          <w:iCs/>
        </w:rPr>
        <w:t>Prostovoljni pokojninski sistem</w:t>
      </w:r>
    </w:p>
    <w:p w14:paraId="667BC16C" w14:textId="77777777" w:rsidR="002777A2" w:rsidRPr="00642F6C" w:rsidRDefault="002777A2" w:rsidP="002777A2">
      <w:pPr>
        <w:pStyle w:val="NormalHanging12a"/>
      </w:pPr>
      <w:r w:rsidRPr="00642F6C">
        <w:t>130.</w:t>
      </w:r>
      <w:r w:rsidRPr="00642F6C">
        <w:tab/>
        <w:t>je seznanjen s premajhnim financiranjem prostovoljnega pokojninskega sistema, saj je primanjkljaj konec leta 2024 znašal 105 milijonov EUR, omejena sredstva v višini 23,17 milijona EUR pa naj bi bila izčrpana do konca leta 2026; ugotavlja, da obveznosti izhajajo iz pravnih obveznosti v zvezi z izplačili več kot 900 članom vsaj do leta 2074;</w:t>
      </w:r>
    </w:p>
    <w:p w14:paraId="34B8379C" w14:textId="77777777" w:rsidR="002777A2" w:rsidRPr="00642F6C" w:rsidRDefault="002777A2" w:rsidP="002777A2">
      <w:pPr>
        <w:spacing w:after="240"/>
        <w:ind w:left="567" w:hanging="567"/>
      </w:pPr>
      <w:r w:rsidRPr="00642F6C">
        <w:t>131.</w:t>
      </w:r>
      <w:r w:rsidRPr="00642F6C">
        <w:tab/>
        <w:t>ugotavlja, da je predsedstvo na seji 12. junija 2023 sprejelo vrsto ukrepov za spremembo pogojev prostovoljnega pokojninskega sistema, da bi obravnavalo nastalo stanje; poudarja, da ti ukrepi predvidevajo, da se zmanjša nominalna pokojnina za 50 % ne le za prihodnje upravičence, ki šele pridobivajo pokojninske pravice, temveč tudi za sedanje upravičence, ki so pokojninske pravice že pridobili, da se zamrzne letna indeksacija zneskov pokojnin in da se upokojitvena starost za upravičence, ki še niso dosegli upokojitvene starosti, zviša s 65 na 67 let; poudarja, da se bo na podlagi tega po ocenah iz aktuarske predpostavke z dne 1. julija 2023 od tega dne zmanjšala pokojninska obveznost prostovoljne pokojnine;</w:t>
      </w:r>
    </w:p>
    <w:p w14:paraId="1A3A1A51" w14:textId="77777777" w:rsidR="002777A2" w:rsidRPr="00642F6C" w:rsidRDefault="002777A2" w:rsidP="002777A2">
      <w:pPr>
        <w:spacing w:after="240"/>
        <w:ind w:left="567" w:hanging="567"/>
      </w:pPr>
      <w:r w:rsidRPr="00642F6C">
        <w:t>132.</w:t>
      </w:r>
      <w:r w:rsidRPr="00642F6C">
        <w:tab/>
        <w:t>ugotavlja, da je predsedstvo uvedlo tudi „klavzulo o bistveno oteženih okoliščinah“, ki upravičencem omogoča, da kvestorjem predložijo zahtevek za zvišanje zneska pokojnine v primerih, ko je zmanjšanje znatno; ugotavlja, da je predsedstvo uvedlo tudi možnost prostovoljnega in dokončnega umika iz prostovoljnega pokojninskega sistema v obliki enkratnega dokončnega izplačila v pavšalnem znesku;</w:t>
      </w:r>
    </w:p>
    <w:p w14:paraId="42104335" w14:textId="77777777" w:rsidR="002777A2" w:rsidRPr="00642F6C" w:rsidRDefault="002777A2" w:rsidP="002777A2">
      <w:pPr>
        <w:pStyle w:val="NormalHanging12a"/>
      </w:pPr>
      <w:r w:rsidRPr="00642F6C">
        <w:t>133.</w:t>
      </w:r>
      <w:r w:rsidRPr="00642F6C">
        <w:tab/>
        <w:t xml:space="preserve">ugotavlja, da je 405 upravičencev prostovoljnega pokojninskega zavarovanja pred </w:t>
      </w:r>
      <w:r w:rsidRPr="00642F6C">
        <w:lastRenderedPageBreak/>
        <w:t>Splošnim sodiščem izpodbijalo sklep predsedstva z dne 12. junija 2023</w:t>
      </w:r>
      <w:r w:rsidRPr="00642F6C">
        <w:rPr>
          <w:vertAlign w:val="superscript"/>
        </w:rPr>
        <w:footnoteReference w:id="11"/>
      </w:r>
      <w:r w:rsidRPr="00642F6C">
        <w:t>; opozarja na pripombe, ki jih je generalni sekretar podal na predstavitvi 8. decembra v pričakovanju sodbe Splošnega sodišča in morebitnih ukrepov; ugotavlja, da je Splošno sodišče 17. decembra 2025 odločilo, da zavrne tožbe nekdanjih poslancev; poziva upravo in predsedstvo, naj obravnavata to vprašanje in sprejmeta potrebne ukrepe za izvršitev sodbe Splošnega sodišča;</w:t>
      </w:r>
    </w:p>
    <w:p w14:paraId="04EF216C" w14:textId="77777777" w:rsidR="002777A2" w:rsidRPr="00642F6C" w:rsidRDefault="002777A2" w:rsidP="002777A2">
      <w:pPr>
        <w:spacing w:after="240"/>
        <w:ind w:left="567" w:hanging="567"/>
        <w:rPr>
          <w:bCs/>
          <w:i/>
          <w:iCs/>
          <w14:textOutline w14:w="0" w14:cap="flat" w14:cmpd="sng" w14:algn="ctr">
            <w14:noFill/>
            <w14:prstDash w14:val="solid"/>
            <w14:bevel/>
          </w14:textOutline>
        </w:rPr>
      </w:pPr>
      <w:r w:rsidRPr="00642F6C">
        <w:rPr>
          <w:bCs/>
          <w:i/>
          <w:iCs/>
          <w14:textOutline w14:w="0" w14:cap="flat" w14:cmpd="sng" w14:algn="ctr">
            <w14:noFill/>
            <w14:prstDash w14:val="solid"/>
            <w14:bevel/>
          </w14:textOutline>
        </w:rPr>
        <w:t>Letno poročilo o oddanih naročilih</w:t>
      </w:r>
    </w:p>
    <w:p w14:paraId="64E1E58D" w14:textId="77777777" w:rsidR="002777A2" w:rsidRPr="00642F6C" w:rsidRDefault="002777A2" w:rsidP="002777A2">
      <w:pPr>
        <w:spacing w:after="240"/>
        <w:ind w:left="567" w:hanging="567"/>
      </w:pPr>
      <w:r w:rsidRPr="00642F6C">
        <w:t>134.</w:t>
      </w:r>
      <w:r w:rsidRPr="00642F6C">
        <w:tab/>
        <w:t>želi spomniti, da finančna uredba določa, katere informacije je treba posredovati proračunskemu organu in javnosti v zvezi z naročili, ki jih odda Parlament; ugotavlja, da je treba v skladu s finančno uredbo objaviti vsa javna naročila, ki presegajo vrednost 15 000 EUR, kar je prag, ko postane konkurenčni razpisni postopek obvezen; ugotavlja, da je bilo v letu 2024 od skupaj 192 oddanih naročil 95 naročil v vrednosti 814,2 milijona EUR oddanih v odprtem postopku, eno v skupni vrednosti 208 000 EUR pa v omejenem postopku; ugotavlja, da je bilo 81 pogodb v vrednosti 173 milijonov EUR oddanih v postopku s pogajanji;</w:t>
      </w:r>
    </w:p>
    <w:p w14:paraId="493050B4" w14:textId="77777777" w:rsidR="002777A2" w:rsidRPr="00642F6C" w:rsidRDefault="002777A2" w:rsidP="002777A2">
      <w:pPr>
        <w:pStyle w:val="NormalHanging12a"/>
        <w:rPr>
          <w:bCs/>
          <w:iCs/>
        </w:rPr>
      </w:pPr>
      <w:r w:rsidRPr="00642F6C">
        <w:t>135.</w:t>
      </w:r>
      <w:r w:rsidRPr="00642F6C">
        <w:tab/>
        <w:t>pozdravlja, da je Parlament objavil pogodbe v vrednosti nad 15 000 EUR; poziva Parlament, naj poveča preglednost svojih postopkov javnega naročanja, tudi z objavo strukturiranih strojno berljivih podatkov, kadar je to pravno in tehnično izvedljivo, ter z vključitvijo jasnih pričakovanj glede potrebne skrbnosti in mehanizmov izvrševanja v svoje dobavne verige prek upravljanja pogodb;</w:t>
      </w:r>
    </w:p>
    <w:p w14:paraId="5D94D43E" w14:textId="77777777" w:rsidR="002777A2" w:rsidRPr="00642F6C" w:rsidRDefault="002777A2" w:rsidP="002777A2">
      <w:pPr>
        <w:spacing w:after="240"/>
        <w:ind w:left="567" w:hanging="567"/>
      </w:pPr>
      <w:r w:rsidRPr="00642F6C">
        <w:t>136.</w:t>
      </w:r>
      <w:r w:rsidRPr="00642F6C">
        <w:tab/>
        <w:t>je seznanjen, da sta se število in vrednost oddanih naročil v letu 2024 (192) v primerjavi z letom 2023 (242) zmanjšala; ugotavlja, da so število odprtih postopkov in postopkov s pogajanji ter njihove vrednosti posledično nižje kot v letu 2023;</w:t>
      </w:r>
    </w:p>
    <w:p w14:paraId="319F39F9" w14:textId="77777777" w:rsidR="002777A2" w:rsidRPr="00642F6C" w:rsidRDefault="002777A2" w:rsidP="002777A2">
      <w:pPr>
        <w:spacing w:before="240" w:after="240"/>
        <w:rPr>
          <w:bCs/>
          <w:i/>
          <w:iCs/>
          <w14:textOutline w14:w="0" w14:cap="flat" w14:cmpd="sng" w14:algn="ctr">
            <w14:noFill/>
            <w14:prstDash w14:val="solid"/>
            <w14:bevel/>
          </w14:textOutline>
        </w:rPr>
      </w:pPr>
      <w:bookmarkStart w:id="11" w:name="_Hlk216793763"/>
      <w:r w:rsidRPr="00642F6C">
        <w:rPr>
          <w:bCs/>
          <w:i/>
          <w:iCs/>
          <w14:textOutline w14:w="0" w14:cap="flat" w14:cmpd="sng" w14:algn="ctr">
            <w14:noFill/>
            <w14:prstDash w14:val="solid"/>
            <w14:bevel/>
          </w14:textOutline>
        </w:rPr>
        <w:t>Politične skupine (proračunska postavka 400)</w:t>
      </w:r>
    </w:p>
    <w:p w14:paraId="447FCB11" w14:textId="77777777" w:rsidR="002777A2" w:rsidRPr="00642F6C" w:rsidRDefault="002777A2" w:rsidP="002777A2">
      <w:pPr>
        <w:pStyle w:val="NormalHanging12a"/>
      </w:pPr>
      <w:r w:rsidRPr="00642F6C">
        <w:t>137.</w:t>
      </w:r>
      <w:r w:rsidRPr="00642F6C">
        <w:tab/>
        <w:t xml:space="preserve">ugotavlja, da je bilo leto 2024 zahtevno za predstavitev odhodkov iz proračunske postavke 400 iz dveh razlogov: prvič, ker je bilo leto 2024 evropsko volilno leto, pri čemer so bili odhodki razdeljeni med prvo polovico leta 2024 (deveto zakonodajno obdobje) in drugo polovico leta 2024 (deseto zakonodajno obdobje), drugič pa, ker je končni zaključni račun ene od političnih skupin (skupina ID), ki je bil revidiran za prvo polovico leta 2024, vseboval resne nepravilnosti; ugotavlja, da so podpredsedniki na predstavitvi 8. decembra navedli tudi, da so bile zahtevane dodatne informacije v zvezi z računovodskimi izkazi za drugo polovico leta 2024, ki jih predsedstvo še vedno pričakuje, preden bo lahko sprejelo odločitev o posredovanju informacij organu za podelitev razrešnice; je seznanjen s pismom generalnega sekretarja Parlamenta predsedniku Odbora Parlamenta za proračunski nadzor z dne 20. januarja 2026, v katerem je predložil revizijska poročila za drugo polovico leta 2024 za sedem od osmih političnih skupin; je seznanjen z mnenjem brez pridržka za vsako poročilo; ugotavlja, da poročilo skupine </w:t>
      </w:r>
      <w:proofErr w:type="spellStart"/>
      <w:r w:rsidRPr="00642F6C">
        <w:t>PfE</w:t>
      </w:r>
      <w:proofErr w:type="spellEnd"/>
      <w:r w:rsidRPr="00642F6C">
        <w:t xml:space="preserve"> za drugo polovico leta 2024 še vedno manjka zaradi stalnih izmenjav med to politično skupino in pristojnimi službami Parlamenta; poziva skupino </w:t>
      </w:r>
      <w:proofErr w:type="spellStart"/>
      <w:r w:rsidRPr="00642F6C">
        <w:t>PfE</w:t>
      </w:r>
      <w:proofErr w:type="spellEnd"/>
      <w:r w:rsidRPr="00642F6C">
        <w:t xml:space="preserve"> in pristojne službe Parlamenta, naj hitro rešijo odprta vprašanja in organ za </w:t>
      </w:r>
      <w:r w:rsidRPr="00642F6C">
        <w:lastRenderedPageBreak/>
        <w:t>podelitev razrešnice obvestijo o izidu;</w:t>
      </w:r>
    </w:p>
    <w:p w14:paraId="759E1B32" w14:textId="77777777" w:rsidR="002777A2" w:rsidRPr="00642F6C" w:rsidRDefault="002777A2" w:rsidP="002777A2">
      <w:pPr>
        <w:pStyle w:val="NormalHanging12a"/>
      </w:pPr>
      <w:r w:rsidRPr="00642F6C">
        <w:t>138.</w:t>
      </w:r>
      <w:r w:rsidRPr="00642F6C">
        <w:tab/>
        <w:t xml:space="preserve">je seznanjen s poročili medijev, ki skupino </w:t>
      </w:r>
      <w:proofErr w:type="spellStart"/>
      <w:r w:rsidRPr="00642F6C">
        <w:t>PfE</w:t>
      </w:r>
      <w:proofErr w:type="spellEnd"/>
      <w:r w:rsidRPr="00642F6C">
        <w:t xml:space="preserve"> obtožujejo zlorabe sredstev v višini vsaj 171 644 EUR v drugi polovici leta 2024; ugotavlja, da je uprava Parlamenta od skupine </w:t>
      </w:r>
      <w:proofErr w:type="spellStart"/>
      <w:r w:rsidRPr="00642F6C">
        <w:t>PfE</w:t>
      </w:r>
      <w:proofErr w:type="spellEnd"/>
      <w:r w:rsidRPr="00642F6C">
        <w:t xml:space="preserve"> zahtevala pojasnilo; ugotavlja, da organ za podelitev razrešnice še ni bil obveščen, vendar pričakuje, da bo nemudoma obveščen o nadaljnjem razvoju dogodkov in izidu nadaljnjega upravnega ukrepanja v zvezi s tem;</w:t>
      </w:r>
    </w:p>
    <w:p w14:paraId="4D864D11" w14:textId="77777777" w:rsidR="002777A2" w:rsidRPr="00642F6C" w:rsidRDefault="002777A2" w:rsidP="002777A2">
      <w:pPr>
        <w:pStyle w:val="NormalHanging12a"/>
        <w:rPr>
          <w:bCs/>
          <w:iCs/>
        </w:rPr>
      </w:pPr>
      <w:r w:rsidRPr="00642F6C">
        <w:t>139.</w:t>
      </w:r>
      <w:r w:rsidRPr="00642F6C">
        <w:tab/>
        <w:t xml:space="preserve">je seznanjen s poročili nemške revije </w:t>
      </w:r>
      <w:proofErr w:type="spellStart"/>
      <w:r w:rsidRPr="00642F6C">
        <w:t>Stern</w:t>
      </w:r>
      <w:proofErr w:type="spellEnd"/>
      <w:r w:rsidRPr="00642F6C">
        <w:t>, v katerih je navedeno, da je članica skupine Evropa suverenih narodov (ESN) gostila skupinski kongres, na katerem so sodelovali uslužbenci in družinski člani, pri čemer so morebitni stroški bremenili proračun Parlamenta pod postavko 400, in da so bile na tem dogodku domnevno zbrane donacije za desničarsko žensko mrežo, povezano z ožjimi družinskimi člani in zaposlenimi članov skupine ESN; opozarja, da morajo biti odhodki iz proračunske postavke 400 strogo omejeni na parlamentarne dejavnosti političnih skupin in v celoti skladni z veljavnimi pravili; poziva GD FINS, naj razišče ta primer in nemudoma obvesti organ za podelitev razrešnice, če odkrije kakršno koli neskladnost;</w:t>
      </w:r>
    </w:p>
    <w:p w14:paraId="3447616A" w14:textId="77777777" w:rsidR="002777A2" w:rsidRPr="00642F6C" w:rsidRDefault="002777A2" w:rsidP="002777A2">
      <w:pPr>
        <w:pStyle w:val="NormalHanging12a"/>
      </w:pPr>
      <w:r w:rsidRPr="00642F6C">
        <w:t>140.</w:t>
      </w:r>
      <w:r w:rsidRPr="00642F6C">
        <w:tab/>
        <w:t xml:space="preserve">opozarja na izključno finančno odgovornost, zaupano političnim skupinam, in njihovo zavezanost zagotavljanju dobrega finančnega </w:t>
      </w:r>
      <w:proofErr w:type="spellStart"/>
      <w:r w:rsidRPr="00642F6C">
        <w:t>poslovodenja</w:t>
      </w:r>
      <w:proofErr w:type="spellEnd"/>
      <w:r w:rsidRPr="00642F6C">
        <w:t>, učinkovitega nadzora in popolne odgovornosti za javna sredstva; poziva, naj se za ustrezne nadzorne mehanizme v GD FINS zagotovi več virov;</w:t>
      </w:r>
    </w:p>
    <w:p w14:paraId="3170E9FD" w14:textId="77777777" w:rsidR="002777A2" w:rsidRPr="00642F6C" w:rsidRDefault="002777A2" w:rsidP="002777A2">
      <w:pPr>
        <w:spacing w:after="240"/>
        <w:rPr>
          <w:b/>
          <w:bCs/>
          <w:i/>
          <w:iCs/>
          <w14:textOutline w14:w="0" w14:cap="flat" w14:cmpd="sng" w14:algn="ctr">
            <w14:noFill/>
            <w14:prstDash w14:val="solid"/>
            <w14:bevel/>
          </w14:textOutline>
        </w:rPr>
      </w:pPr>
      <w:r w:rsidRPr="00642F6C">
        <w:rPr>
          <w:b/>
          <w:i/>
          <w14:textOutline w14:w="0" w14:cap="flat" w14:cmpd="sng" w14:algn="ctr">
            <w14:noFill/>
            <w14:prstDash w14:val="solid"/>
            <w14:bevel/>
          </w14:textOutline>
        </w:rPr>
        <w:t>Evropske politične stranke in evropske politične fundacije</w:t>
      </w:r>
    </w:p>
    <w:p w14:paraId="53CD5784" w14:textId="77777777" w:rsidR="002777A2" w:rsidRPr="00642F6C" w:rsidRDefault="002777A2" w:rsidP="002777A2">
      <w:pPr>
        <w:spacing w:after="240"/>
        <w:ind w:left="567" w:hanging="567"/>
        <w:rPr>
          <w:noProof/>
        </w:rPr>
      </w:pPr>
      <w:r w:rsidRPr="00642F6C">
        <w:t>141.</w:t>
      </w:r>
      <w:r w:rsidRPr="00642F6C">
        <w:tab/>
        <w:t>poudarja, da sta ohranjanje demokratične integritete in vzpostavitev pravičnega okolja za evropske politične stranke in evropske politične fundacije bistvena za učinkovito delovanje in verodostojnost Unije; ugotavlja, da je Organ za evropske politične stranke in evropske politične fundacije (v nadaljnjem besedilu: organ), ki je neodvisen organ Unije, dejavno vključen v ta prizadevanja od svoje ustanovitve 1. septembra 2016 oziroma 1. januarja 2017, ko je postal popolnoma operativen; ugotavlja, da je zakonodajalec Unije organu naložil registracijo, spremljanje skladnosti in po potrebi odreditev sankcij evropskim političnim strankam in evropskim političnim fundacijam;</w:t>
      </w:r>
    </w:p>
    <w:p w14:paraId="07A33D2C" w14:textId="77777777" w:rsidR="002777A2" w:rsidRPr="00642F6C" w:rsidRDefault="002777A2" w:rsidP="002777A2">
      <w:pPr>
        <w:spacing w:after="240"/>
        <w:ind w:left="567" w:hanging="567"/>
      </w:pPr>
      <w:r w:rsidRPr="00642F6C">
        <w:t>142.</w:t>
      </w:r>
      <w:r w:rsidRPr="00642F6C">
        <w:tab/>
        <w:t>z zadovoljstvom ugotavlja, da organ proaktivno povezuje in ozavešča mrežo organov in institucij, pomembnih za skupno obrambo evropske demokracije; poudarja, da je organ zlasti sodeloval s Parlamentom, ki je pristojen za sekretariat odbora neodvisnih uglednih oseb, da bi bil postopek čim bolj učinkovit; ugotavlja, da se je sodelovanje pri operativnih vidikih okrepilo tudi z več drugimi deležniki Unije, vključno z Evropsko službo za zunanje delovanje in Evropskim odborom za varstvo podatkov; ugotavlja, da je organ s podpisom memoranduma o soglasju o strateški izmenjavi informacij o nezakonitem kibernetskem vmešavanju v demokracijo Unije okrepil sodelovanje z Europolom;</w:t>
      </w:r>
    </w:p>
    <w:p w14:paraId="1C6E68C6" w14:textId="77777777" w:rsidR="002777A2" w:rsidRPr="00642F6C" w:rsidRDefault="002777A2" w:rsidP="002777A2">
      <w:pPr>
        <w:spacing w:after="240"/>
        <w:ind w:left="567" w:hanging="567"/>
      </w:pPr>
      <w:r w:rsidRPr="00642F6C">
        <w:t>143.</w:t>
      </w:r>
      <w:r w:rsidRPr="00642F6C">
        <w:tab/>
        <w:t>ugotavlja, da je organ leta 2024 evropskim političnim strankam in fundacijam izdal več preventivnih priporočil glede skladnosti, da bi obravnaval tveganja glede skladnosti, preden se uresničijo, zlasti da bi izboljšal njihove notranje postopke na področju donacij, prispevkov in dejavnosti, ki jih nameravajo organizirati; pozdravlja, da je agencija tudi zagotovila smernice na zahtevo v 11 primerih;</w:t>
      </w:r>
    </w:p>
    <w:p w14:paraId="52B638B7" w14:textId="77777777" w:rsidR="002777A2" w:rsidRPr="00642F6C" w:rsidRDefault="002777A2" w:rsidP="002777A2">
      <w:pPr>
        <w:spacing w:after="240"/>
        <w:ind w:left="567" w:hanging="567"/>
      </w:pPr>
      <w:r w:rsidRPr="00642F6C">
        <w:t>144.</w:t>
      </w:r>
      <w:r w:rsidRPr="00642F6C">
        <w:tab/>
        <w:t xml:space="preserve">ugotavlja, da je organ v osmih primerih evropskim političnim strankam in evropskim </w:t>
      </w:r>
      <w:r w:rsidRPr="00642F6C">
        <w:lastRenderedPageBreak/>
        <w:t>političnim fundacijam omogočil popravne ukrepe, povezane s kontrolami finančne skladnosti v zvezi s prepovedanimi donacijami in primeri financiranja drugih subjektov v okviru skupnih dejavnosti; je zadovoljen, da organ še naprej spremlja, ali korektivni ukrepi z dolgotrajnimi učinki zagotavljajo trajno skladnost na zadevnih področjih; ugotavlja, da je organ v letu 2024 sprejel eno odločbo o sankcijah;</w:t>
      </w:r>
    </w:p>
    <w:p w14:paraId="33AA9494" w14:textId="77777777" w:rsidR="002777A2" w:rsidRPr="00642F6C" w:rsidRDefault="002777A2" w:rsidP="002777A2">
      <w:pPr>
        <w:spacing w:after="240"/>
        <w:ind w:left="567" w:hanging="567"/>
      </w:pPr>
      <w:r w:rsidRPr="00642F6C">
        <w:t>145.</w:t>
      </w:r>
      <w:r w:rsidRPr="00642F6C">
        <w:tab/>
        <w:t>pozdravlja, da organ na svojem spletnem mestu še naprej objavlja obsežne smernice v zvezi z najpogosteje opredeljenimi področji tveganja in potencialno problematičnimi strukturami pri upravljanju evropskih političnih strank in evropskih političnih fundacij; pozdravlja, da je svoje ugotovitve in smernice v splošnem interesu sporočil tudi vsem evropskim političnim strankam in evropskim političnim fundacijam;</w:t>
      </w:r>
    </w:p>
    <w:p w14:paraId="3212D246" w14:textId="326025A5" w:rsidR="002777A2" w:rsidRPr="00642F6C" w:rsidRDefault="002777A2" w:rsidP="002777A2">
      <w:pPr>
        <w:spacing w:after="240"/>
        <w:ind w:left="567" w:hanging="567"/>
      </w:pPr>
      <w:r w:rsidRPr="00642F6C">
        <w:t>146.</w:t>
      </w:r>
      <w:r w:rsidRPr="00642F6C">
        <w:tab/>
        <w:t xml:space="preserve">pozdravlja objavo Uredbe (EU, </w:t>
      </w:r>
      <w:proofErr w:type="spellStart"/>
      <w:r w:rsidRPr="00642F6C">
        <w:t>Euratom</w:t>
      </w:r>
      <w:proofErr w:type="spellEnd"/>
      <w:r w:rsidRPr="00642F6C">
        <w:t>) 2025/2445 Evropskega parlamenta in Sveta</w:t>
      </w:r>
      <w:r w:rsidRPr="00642F6C">
        <w:rPr>
          <w:rStyle w:val="FootnoteReference"/>
        </w:rPr>
        <w:footnoteReference w:id="12"/>
      </w:r>
      <w:r w:rsidRPr="00642F6C">
        <w:t xml:space="preserve">, ki uvaja nove zahteve za evropske politične stranke in evropske politične fundacije, da bi okrepili demokratično integriteto in odpornost; zlasti poudarja, da morajo evropske politične stranke zdaj tudi zagotoviti, da njihove stranke članice in evropske politične fundacije njihovih organizacij članic spoštujejo vrednote, na katerih temelji Unija, kot je zapisano v členu 2 PEU; ugotavlja tudi, da so bili okrepljeni zaščitni ukrepi proti tujemu vmešavanju in da revidirani sistem sankcij zahteva, da se za količinsko opredeljive kršitve, kot so kršitve pravil o donacijah ali prepoved zagotavljanja financiranja nacionalnim strankam, naložijo sankcije, ne da bi ponudili priložnost za popravne ukrepe; v zvezi s tem pozitivno ocenjuje celovite preventivne smernice, ki jih je organ ponudil skupaj s svojim akcijskim načrtom za skladnost z zakonodajo (R-CAP), da bi olajšal nemoteno in učinkovito izvajanje; </w:t>
      </w:r>
      <w:r w:rsidR="006E15B7" w:rsidRPr="00642F6C">
        <w:t>spo</w:t>
      </w:r>
      <w:r w:rsidRPr="00642F6C">
        <w:t>dbuja odločitev o uvedbi preverjanja upravičenosti tudi v članskih organizacijah, da bi zagotovili popolno skladnost članskih organizacij z vrednotami iz člena 2 PEU in ohranili demokratično integriteto pri financiranju evropskih političnih strank s strani Parlamenta;</w:t>
      </w:r>
    </w:p>
    <w:p w14:paraId="17199F79" w14:textId="77777777" w:rsidR="002777A2" w:rsidRPr="00642F6C" w:rsidRDefault="002777A2" w:rsidP="002777A2">
      <w:pPr>
        <w:spacing w:after="240"/>
        <w:ind w:left="567" w:hanging="567"/>
      </w:pPr>
      <w:r w:rsidRPr="00642F6C">
        <w:t>147.</w:t>
      </w:r>
      <w:r w:rsidRPr="00642F6C">
        <w:tab/>
        <w:t>ugotavlja, da lahko organ začne preverjanje skladnosti z vrednotami, na katerih temelji Unija, le na zahtevo, ki jo je vložil Parlament, Svet ali Komisija;</w:t>
      </w:r>
    </w:p>
    <w:p w14:paraId="4D07A8D7" w14:textId="77777777" w:rsidR="002777A2" w:rsidRPr="00642F6C" w:rsidRDefault="002777A2" w:rsidP="002777A2">
      <w:pPr>
        <w:spacing w:after="240"/>
        <w:ind w:left="567" w:hanging="567"/>
        <w:rPr>
          <w:u w:val="single"/>
        </w:rPr>
      </w:pPr>
      <w:r w:rsidRPr="00642F6C">
        <w:t>148.</w:t>
      </w:r>
      <w:r w:rsidRPr="00642F6C">
        <w:tab/>
        <w:t xml:space="preserve">poudarja, da je glede na razširjen obseg postopka preverjanja vrednot, ki se zdaj uporablja tudi za stranke članice in organizacije članice, ter druge novosti v Uredbi (EU, </w:t>
      </w:r>
      <w:proofErr w:type="spellStart"/>
      <w:r w:rsidRPr="00642F6C">
        <w:t>Euratom</w:t>
      </w:r>
      <w:proofErr w:type="spellEnd"/>
      <w:r w:rsidRPr="00642F6C">
        <w:t>) 2025/2445, vključno z dobrodošlimi posodobitvami za zaščito evropske demokracije pred tujim vmešavanjem, bistveno ustrezno povečati človeške vire organa;</w:t>
      </w:r>
    </w:p>
    <w:bookmarkEnd w:id="11"/>
    <w:p w14:paraId="39E52FAD" w14:textId="77777777" w:rsidR="002777A2" w:rsidRPr="00642F6C" w:rsidRDefault="002777A2" w:rsidP="002777A2">
      <w:pPr>
        <w:spacing w:after="240"/>
        <w:ind w:left="567" w:hanging="567"/>
      </w:pPr>
      <w:r w:rsidRPr="00642F6C">
        <w:rPr>
          <w14:textOutline w14:w="0" w14:cap="flat" w14:cmpd="sng" w14:algn="ctr">
            <w14:noFill/>
            <w14:prstDash w14:val="solid"/>
            <w14:bevel/>
          </w14:textOutline>
        </w:rPr>
        <w:t>149</w:t>
      </w:r>
      <w:r w:rsidRPr="00642F6C">
        <w:t>.</w:t>
      </w:r>
      <w:r w:rsidRPr="00642F6C">
        <w:rPr>
          <w14:textOutline w14:w="0" w14:cap="flat" w14:cmpd="sng" w14:algn="ctr">
            <w14:noFill/>
            <w14:prstDash w14:val="solid"/>
            <w14:bevel/>
          </w14:textOutline>
        </w:rPr>
        <w:tab/>
      </w:r>
      <w:r w:rsidRPr="00642F6C">
        <w:t>ugotavlja, da so bila v letu 2024 odobrena sredstva iz proračunske postavke 402 uporabljena takole</w:t>
      </w:r>
      <w:r w:rsidRPr="00642F6C">
        <w:rPr>
          <w:rStyle w:val="FootnoteReference"/>
        </w:rPr>
        <w:footnoteReference w:id="13"/>
      </w:r>
      <w:r w:rsidRPr="00642F6C">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2777A2" w:rsidRPr="00642F6C" w14:paraId="2900FF18" w14:textId="77777777" w:rsidTr="0020432D">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862C515"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Stranka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2F8A2C"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Kratica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AD4A820"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Lastna sredstva</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B42D46C"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 xml:space="preserve">Končni </w:t>
            </w:r>
            <w:r w:rsidRPr="00642F6C">
              <w:rPr>
                <w:sz w:val="20"/>
                <w14:textOutline w14:w="0" w14:cap="flat" w14:cmpd="sng" w14:algn="ctr">
                  <w14:noFill/>
                  <w14:prstDash w14:val="solid"/>
                  <w14:bevel/>
                </w14:textOutline>
              </w:rPr>
              <w:lastRenderedPageBreak/>
              <w:t>prispevek EP</w:t>
            </w:r>
            <w:r w:rsidRPr="00642F6C">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DDC3CBA"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lastRenderedPageBreak/>
              <w:t>Prihodki skupaj</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5129167"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Prispevek EP kot % upravičenih odhodkov (največ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460CA2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Posebna rezerva po</w:t>
            </w:r>
          </w:p>
          <w:p w14:paraId="1036FFD3"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 xml:space="preserve">zaključku </w:t>
            </w:r>
            <w:r w:rsidRPr="00642F6C">
              <w:rPr>
                <w:sz w:val="20"/>
                <w14:textOutline w14:w="0" w14:cap="flat" w14:cmpd="sng" w14:algn="ctr">
                  <w14:noFill/>
                  <w14:prstDash w14:val="solid"/>
                  <w14:bevel/>
                </w14:textOutline>
              </w:rPr>
              <w:lastRenderedPageBreak/>
              <w:t>leta 2024</w:t>
            </w:r>
            <w:r w:rsidRPr="00642F6C">
              <w:rPr>
                <w:rStyle w:val="FootnoteReference"/>
                <w:sz w:val="20"/>
              </w:rPr>
              <w:footnoteReference w:id="15"/>
            </w:r>
          </w:p>
        </w:tc>
      </w:tr>
      <w:tr w:rsidR="002777A2" w:rsidRPr="00642F6C" w14:paraId="6635294A"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6471376"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lastRenderedPageBreak/>
              <w:t>Evropska ljudska stranka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FC2643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8C783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EC99B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D1E31D"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029D04"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B4E4EE2"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261 623</w:t>
            </w:r>
          </w:p>
        </w:tc>
      </w:tr>
      <w:tr w:rsidR="002777A2" w:rsidRPr="00642F6C" w14:paraId="3D688533"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07DD90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Stranka evropskih socialistov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6FB663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8C235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33B923"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523DF8"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202D2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713E1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987 745</w:t>
            </w:r>
          </w:p>
        </w:tc>
      </w:tr>
      <w:tr w:rsidR="002777A2" w:rsidRPr="00642F6C" w14:paraId="21119097"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CAC4E0"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Zavezništvo liberalcev in demokratov za Evropo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EFACEE"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C9DB24"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E89BC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AD789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F7009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EDF216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414 768</w:t>
            </w:r>
          </w:p>
        </w:tc>
      </w:tr>
      <w:tr w:rsidR="002777A2" w:rsidRPr="00642F6C" w14:paraId="201C1B61"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9E4A35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Evropska stranka zelenih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5BC43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83F40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35C69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11BB4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4B1DE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4C7628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993 646</w:t>
            </w:r>
          </w:p>
        </w:tc>
      </w:tr>
      <w:tr w:rsidR="002777A2" w:rsidRPr="00642F6C" w14:paraId="3D2AD871"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1532A9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Skupina evropskih konservativcev in reformistov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9587D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8A45A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9F4174"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9EEFE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667F5B"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330AB5D"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-273 939</w:t>
            </w:r>
          </w:p>
        </w:tc>
      </w:tr>
      <w:tr w:rsidR="002777A2" w:rsidRPr="00642F6C" w14:paraId="6AC4AAEF"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BE2FB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Identiteta in demokracija</w:t>
            </w:r>
            <w:r w:rsidRPr="00642F6C">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39FA1E"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3D1AE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3EE19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625D5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A3AA03"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8BDF74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22 063</w:t>
            </w:r>
          </w:p>
        </w:tc>
      </w:tr>
      <w:tr w:rsidR="002777A2" w:rsidRPr="00642F6C" w14:paraId="04A8455C"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DE7B4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Stranka evropske levice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2C0E3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2A0908"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A94277"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677870"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845D2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3F622F8"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-42 833</w:t>
            </w:r>
          </w:p>
        </w:tc>
      </w:tr>
      <w:tr w:rsidR="002777A2" w:rsidRPr="00642F6C" w14:paraId="4D40120B"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67995E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Evropska demokratska stranka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791464"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1006C2"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E036C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A2B5F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2B31E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327143C"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154 132</w:t>
            </w:r>
          </w:p>
        </w:tc>
      </w:tr>
      <w:tr w:rsidR="002777A2" w:rsidRPr="00642F6C" w14:paraId="44E8A7B0"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E011E7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Evropska svobodna zveza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BF9A4D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3603D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3DC48B"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A9CAE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D91766"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D6348B1"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-7 391</w:t>
            </w:r>
          </w:p>
        </w:tc>
      </w:tr>
      <w:tr w:rsidR="002777A2" w:rsidRPr="00642F6C" w14:paraId="3C3D0B58" w14:textId="77777777" w:rsidTr="0020432D">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C75DF4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Evropsko krščansko politično gibanje</w:t>
            </w:r>
            <w:r w:rsidRPr="00642F6C">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104A168"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B0E619"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784CAF"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22BC3A"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9BD110"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3B04468"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rPr>
              <w:t>-59 624</w:t>
            </w:r>
          </w:p>
        </w:tc>
      </w:tr>
      <w:tr w:rsidR="002777A2" w:rsidRPr="00642F6C" w14:paraId="34435CCC" w14:textId="77777777" w:rsidTr="0020432D">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E90657" w14:textId="77777777" w:rsidR="002777A2" w:rsidRPr="00642F6C" w:rsidRDefault="002777A2" w:rsidP="0020432D">
            <w:pPr>
              <w:jc w:val="center"/>
              <w:rPr>
                <w14:textOutline w14:w="0" w14:cap="flat" w14:cmpd="sng" w14:algn="ctr">
                  <w14:noFill/>
                  <w14:prstDash w14:val="solid"/>
                  <w14:bevel/>
                </w14:textOutline>
              </w:rPr>
            </w:pPr>
            <w:r w:rsidRPr="00642F6C">
              <w:rPr>
                <w:b/>
                <w:sz w:val="20"/>
                <w14:textOutline w14:w="0" w14:cap="flat" w14:cmpd="sng" w14:algn="ctr">
                  <w14:noFill/>
                  <w14:prstDash w14:val="solid"/>
                  <w14:bevel/>
                </w14:textOutline>
              </w:rPr>
              <w:t>SKUPAJ</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2A4E323" w14:textId="77777777" w:rsidR="002777A2" w:rsidRPr="00642F6C" w:rsidRDefault="002777A2" w:rsidP="0020432D">
            <w:pPr>
              <w:jc w:val="center"/>
              <w:rPr>
                <w:b/>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AAAA402" w14:textId="77777777" w:rsidR="002777A2" w:rsidRPr="00642F6C" w:rsidRDefault="002777A2" w:rsidP="0020432D">
            <w:pPr>
              <w:jc w:val="center"/>
              <w:rPr>
                <w:b/>
                <w:bCs/>
                <w:sz w:val="22"/>
                <w:szCs w:val="22"/>
              </w:rPr>
            </w:pPr>
            <w:r w:rsidRPr="00642F6C">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F62C8F4" w14:textId="77777777" w:rsidR="002777A2" w:rsidRPr="00642F6C" w:rsidRDefault="002777A2" w:rsidP="0020432D">
            <w:pPr>
              <w:jc w:val="center"/>
              <w:rPr>
                <w:b/>
                <w:bCs/>
                <w:sz w:val="22"/>
                <w:szCs w:val="22"/>
              </w:rPr>
            </w:pPr>
            <w:r w:rsidRPr="00642F6C">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BC40584" w14:textId="77777777" w:rsidR="002777A2" w:rsidRPr="00642F6C" w:rsidRDefault="002777A2" w:rsidP="0020432D">
            <w:pPr>
              <w:jc w:val="center"/>
              <w:rPr>
                <w:b/>
                <w:bCs/>
                <w:sz w:val="22"/>
                <w:szCs w:val="22"/>
              </w:rPr>
            </w:pPr>
            <w:r w:rsidRPr="00642F6C">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2A1480BB" w14:textId="77777777" w:rsidR="002777A2" w:rsidRPr="00642F6C" w:rsidRDefault="002777A2" w:rsidP="0020432D">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6F9B4F70" w14:textId="77777777" w:rsidR="002777A2" w:rsidRPr="00642F6C" w:rsidRDefault="002777A2" w:rsidP="0020432D">
            <w:pPr>
              <w:jc w:val="center"/>
              <w:rPr>
                <w:b/>
              </w:rPr>
            </w:pPr>
            <w:r w:rsidRPr="00642F6C">
              <w:rPr>
                <w:b/>
                <w:sz w:val="20"/>
              </w:rPr>
              <w:t>2 450 191</w:t>
            </w:r>
          </w:p>
        </w:tc>
      </w:tr>
    </w:tbl>
    <w:p w14:paraId="174BC12C" w14:textId="77777777" w:rsidR="002777A2" w:rsidRPr="00642F6C" w:rsidRDefault="002777A2" w:rsidP="002777A2">
      <w:pPr>
        <w:rPr>
          <w:noProof/>
        </w:rPr>
      </w:pPr>
    </w:p>
    <w:p w14:paraId="503E7E43" w14:textId="77777777" w:rsidR="002777A2" w:rsidRPr="00642F6C" w:rsidRDefault="002777A2" w:rsidP="002777A2">
      <w:pPr>
        <w:spacing w:after="240"/>
        <w:ind w:left="567" w:hanging="567"/>
        <w:rPr>
          <w14:textOutline w14:w="0" w14:cap="flat" w14:cmpd="sng" w14:algn="ctr">
            <w14:noFill/>
            <w14:prstDash w14:val="solid"/>
            <w14:bevel/>
          </w14:textOutline>
        </w:rPr>
      </w:pPr>
      <w:r w:rsidRPr="00642F6C">
        <w:rPr>
          <w14:textOutline w14:w="0" w14:cap="flat" w14:cmpd="sng" w14:algn="ctr">
            <w14:noFill/>
            <w14:prstDash w14:val="solid"/>
            <w14:bevel/>
          </w14:textOutline>
        </w:rPr>
        <w:t>150</w:t>
      </w:r>
      <w:r w:rsidRPr="00642F6C">
        <w:t>.</w:t>
      </w:r>
      <w:r w:rsidRPr="00642F6C">
        <w:rPr>
          <w14:textOutline w14:w="0" w14:cap="flat" w14:cmpd="sng" w14:algn="ctr">
            <w14:noFill/>
            <w14:prstDash w14:val="solid"/>
            <w14:bevel/>
          </w14:textOutline>
        </w:rPr>
        <w:tab/>
      </w:r>
      <w:r w:rsidRPr="00642F6C">
        <w:t>ugotavlja, da so bila v letu 2024 odobrena sredstva iz proračunske postavke 403 uporabljena takole</w:t>
      </w:r>
      <w:r w:rsidRPr="00642F6C">
        <w:rPr>
          <w:rStyle w:val="FootnoteReference"/>
        </w:rPr>
        <w:footnoteReference w:id="18"/>
      </w:r>
      <w:r w:rsidRPr="00642F6C">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2777A2" w:rsidRPr="00642F6C" w14:paraId="3B95B8C2" w14:textId="77777777" w:rsidTr="0020432D">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87EC2E9"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lastRenderedPageBreak/>
              <w:t>Fundacija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080DB6"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Kratica</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A02A0EA"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Pridružena stranki</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1E3E16A"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Lastna sredstva</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4B7704"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Končna nepovratna sredstva EP</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21A509"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Prihodki skupaj</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5C544DA"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Nepovratna sredstva EP kot % upravičenih stroškov (največ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BEF3F55" w14:textId="77777777" w:rsidR="002777A2" w:rsidRPr="00642F6C" w:rsidRDefault="002777A2" w:rsidP="0020432D">
            <w:pPr>
              <w:jc w:val="center"/>
              <w:rPr>
                <w:sz w:val="20"/>
                <w14:textOutline w14:w="0" w14:cap="flat" w14:cmpd="sng" w14:algn="ctr">
                  <w14:noFill/>
                  <w14:prstDash w14:val="solid"/>
                  <w14:bevel/>
                </w14:textOutline>
              </w:rPr>
            </w:pPr>
            <w:r w:rsidRPr="00642F6C">
              <w:rPr>
                <w:sz w:val="20"/>
                <w14:textOutline w14:w="0" w14:cap="flat" w14:cmpd="sng" w14:algn="ctr">
                  <w14:noFill/>
                  <w14:prstDash w14:val="solid"/>
                  <w14:bevel/>
                </w14:textOutline>
              </w:rPr>
              <w:t>Posebna rezerva po</w:t>
            </w:r>
          </w:p>
          <w:p w14:paraId="745D5513" w14:textId="77777777" w:rsidR="002777A2" w:rsidRPr="00642F6C" w:rsidRDefault="002777A2" w:rsidP="0020432D">
            <w:pPr>
              <w:jc w:val="center"/>
              <w:rPr>
                <w14:textOutline w14:w="0" w14:cap="flat" w14:cmpd="sng" w14:algn="ctr">
                  <w14:noFill/>
                  <w14:prstDash w14:val="solid"/>
                  <w14:bevel/>
                </w14:textOutline>
              </w:rPr>
            </w:pPr>
            <w:r w:rsidRPr="00642F6C">
              <w:rPr>
                <w:sz w:val="20"/>
                <w14:textOutline w14:w="0" w14:cap="flat" w14:cmpd="sng" w14:algn="ctr">
                  <w14:noFill/>
                  <w14:prstDash w14:val="solid"/>
                  <w14:bevel/>
                </w14:textOutline>
              </w:rPr>
              <w:t>zaključku leta 2024</w:t>
            </w:r>
            <w:r w:rsidRPr="00642F6C">
              <w:rPr>
                <w:rStyle w:val="FootnoteReference"/>
                <w:sz w:val="20"/>
              </w:rPr>
              <w:footnoteReference w:id="19"/>
            </w:r>
          </w:p>
        </w:tc>
      </w:tr>
      <w:tr w:rsidR="002777A2" w:rsidRPr="00642F6C" w14:paraId="560EA0F8"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DDB1E1" w14:textId="77777777" w:rsidR="002777A2" w:rsidRPr="00642F6C" w:rsidRDefault="002777A2" w:rsidP="0020432D">
            <w:pPr>
              <w:jc w:val="center"/>
              <w:rPr>
                <w:sz w:val="20"/>
                <w14:textOutline w14:w="0" w14:cap="flat" w14:cmpd="sng" w14:algn="ctr">
                  <w14:noFill/>
                  <w14:prstDash w14:val="solid"/>
                  <w14:bevel/>
                </w14:textOutline>
              </w:rPr>
            </w:pPr>
            <w:r w:rsidRPr="00642F6C">
              <w:t xml:space="preserve">Center za evropske študije </w:t>
            </w:r>
            <w:proofErr w:type="spellStart"/>
            <w:r w:rsidRPr="00642F6C">
              <w:t>Wilfried</w:t>
            </w:r>
            <w:proofErr w:type="spellEnd"/>
            <w:r w:rsidRPr="00642F6C">
              <w:t xml:space="preserve"> </w:t>
            </w:r>
            <w:proofErr w:type="spellStart"/>
            <w:r w:rsidRPr="00642F6C">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FE08E9" w14:textId="77777777" w:rsidR="002777A2" w:rsidRPr="00642F6C" w:rsidRDefault="002777A2" w:rsidP="0020432D">
            <w:pPr>
              <w:jc w:val="center"/>
              <w:rPr>
                <w:sz w:val="20"/>
              </w:rPr>
            </w:pPr>
            <w:r w:rsidRPr="00642F6C">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A8BC5E" w14:textId="77777777" w:rsidR="002777A2" w:rsidRPr="00642F6C" w:rsidRDefault="002777A2" w:rsidP="0020432D">
            <w:pPr>
              <w:jc w:val="center"/>
              <w:rPr>
                <w:sz w:val="20"/>
              </w:rPr>
            </w:pPr>
            <w:r w:rsidRPr="00642F6C">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4F474D" w14:textId="77777777" w:rsidR="002777A2" w:rsidRPr="00642F6C" w:rsidRDefault="002777A2" w:rsidP="0020432D">
            <w:pPr>
              <w:jc w:val="center"/>
              <w:rPr>
                <w:sz w:val="20"/>
              </w:rPr>
            </w:pPr>
            <w:r w:rsidRPr="00642F6C">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6F370E" w14:textId="77777777" w:rsidR="002777A2" w:rsidRPr="00642F6C" w:rsidRDefault="002777A2" w:rsidP="0020432D">
            <w:pPr>
              <w:jc w:val="center"/>
              <w:rPr>
                <w:sz w:val="20"/>
              </w:rPr>
            </w:pPr>
            <w:r w:rsidRPr="00642F6C">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9FE501" w14:textId="77777777" w:rsidR="002777A2" w:rsidRPr="00642F6C" w:rsidRDefault="002777A2" w:rsidP="0020432D">
            <w:pPr>
              <w:jc w:val="center"/>
              <w:rPr>
                <w:sz w:val="20"/>
              </w:rPr>
            </w:pPr>
            <w:r w:rsidRPr="00642F6C">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215E2A" w14:textId="77777777" w:rsidR="002777A2" w:rsidRPr="00642F6C" w:rsidRDefault="002777A2" w:rsidP="0020432D">
            <w:pPr>
              <w:jc w:val="center"/>
              <w:rPr>
                <w:sz w:val="20"/>
              </w:rPr>
            </w:pPr>
            <w:r w:rsidRPr="00642F6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9261C0B" w14:textId="77777777" w:rsidR="002777A2" w:rsidRPr="00642F6C" w:rsidRDefault="002777A2" w:rsidP="0020432D">
            <w:pPr>
              <w:jc w:val="center"/>
              <w:rPr>
                <w:sz w:val="20"/>
              </w:rPr>
            </w:pPr>
            <w:r w:rsidRPr="00642F6C">
              <w:rPr>
                <w:sz w:val="20"/>
              </w:rPr>
              <w:t>1 320 717</w:t>
            </w:r>
          </w:p>
        </w:tc>
      </w:tr>
      <w:tr w:rsidR="002777A2" w:rsidRPr="00642F6C" w14:paraId="74153553"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A42352B" w14:textId="77777777" w:rsidR="002777A2" w:rsidRPr="00642F6C" w:rsidRDefault="002777A2" w:rsidP="0020432D">
            <w:pPr>
              <w:jc w:val="center"/>
              <w:rPr>
                <w:sz w:val="20"/>
                <w14:textOutline w14:w="0" w14:cap="flat" w14:cmpd="sng" w14:algn="ctr">
                  <w14:noFill/>
                  <w14:prstDash w14:val="solid"/>
                  <w14:bevel/>
                </w14:textOutline>
              </w:rPr>
            </w:pPr>
            <w:r w:rsidRPr="00642F6C">
              <w:t>Fundacija za evropske progresivne študije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FE7BC1" w14:textId="77777777" w:rsidR="002777A2" w:rsidRPr="00642F6C" w:rsidRDefault="002777A2" w:rsidP="0020432D">
            <w:pPr>
              <w:jc w:val="center"/>
              <w:rPr>
                <w:sz w:val="20"/>
              </w:rPr>
            </w:pPr>
            <w:r w:rsidRPr="00642F6C">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DE5961" w14:textId="77777777" w:rsidR="002777A2" w:rsidRPr="00642F6C" w:rsidRDefault="002777A2" w:rsidP="0020432D">
            <w:pPr>
              <w:jc w:val="center"/>
              <w:rPr>
                <w:sz w:val="20"/>
              </w:rPr>
            </w:pPr>
            <w:r w:rsidRPr="00642F6C">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17B5E7" w14:textId="77777777" w:rsidR="002777A2" w:rsidRPr="00642F6C" w:rsidRDefault="002777A2" w:rsidP="0020432D">
            <w:pPr>
              <w:jc w:val="center"/>
              <w:rPr>
                <w:sz w:val="20"/>
              </w:rPr>
            </w:pPr>
            <w:r w:rsidRPr="00642F6C">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AA4CAF" w14:textId="77777777" w:rsidR="002777A2" w:rsidRPr="00642F6C" w:rsidRDefault="002777A2" w:rsidP="0020432D">
            <w:pPr>
              <w:jc w:val="center"/>
              <w:rPr>
                <w:sz w:val="20"/>
              </w:rPr>
            </w:pPr>
            <w:r w:rsidRPr="00642F6C">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4CD9D3" w14:textId="77777777" w:rsidR="002777A2" w:rsidRPr="00642F6C" w:rsidRDefault="002777A2" w:rsidP="0020432D">
            <w:pPr>
              <w:jc w:val="center"/>
              <w:rPr>
                <w:sz w:val="20"/>
              </w:rPr>
            </w:pPr>
            <w:r w:rsidRPr="00642F6C">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4D3E0F" w14:textId="77777777" w:rsidR="002777A2" w:rsidRPr="00642F6C" w:rsidRDefault="002777A2" w:rsidP="0020432D">
            <w:pPr>
              <w:jc w:val="center"/>
              <w:rPr>
                <w:sz w:val="20"/>
              </w:rPr>
            </w:pPr>
            <w:r w:rsidRPr="00642F6C">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7528716" w14:textId="77777777" w:rsidR="002777A2" w:rsidRPr="00642F6C" w:rsidRDefault="002777A2" w:rsidP="0020432D">
            <w:pPr>
              <w:jc w:val="center"/>
              <w:rPr>
                <w:sz w:val="20"/>
              </w:rPr>
            </w:pPr>
            <w:r w:rsidRPr="00642F6C">
              <w:rPr>
                <w:sz w:val="20"/>
              </w:rPr>
              <w:t>251 466</w:t>
            </w:r>
          </w:p>
        </w:tc>
      </w:tr>
      <w:tr w:rsidR="002777A2" w:rsidRPr="00642F6C" w14:paraId="1014AB35"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CABA54A" w14:textId="77777777" w:rsidR="002777A2" w:rsidRPr="00642F6C" w:rsidRDefault="002777A2" w:rsidP="0020432D">
            <w:pPr>
              <w:jc w:val="center"/>
              <w:rPr>
                <w:sz w:val="20"/>
                <w14:textOutline w14:w="0" w14:cap="flat" w14:cmpd="sng" w14:algn="ctr">
                  <w14:noFill/>
                  <w14:prstDash w14:val="solid"/>
                  <w14:bevel/>
                </w14:textOutline>
              </w:rPr>
            </w:pPr>
            <w:r w:rsidRPr="00642F6C">
              <w:t>Evropski liberalni forum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F0F6B4" w14:textId="77777777" w:rsidR="002777A2" w:rsidRPr="00642F6C" w:rsidRDefault="002777A2" w:rsidP="0020432D">
            <w:pPr>
              <w:jc w:val="center"/>
              <w:rPr>
                <w:sz w:val="20"/>
              </w:rPr>
            </w:pPr>
            <w:r w:rsidRPr="00642F6C">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3523BF" w14:textId="77777777" w:rsidR="002777A2" w:rsidRPr="00642F6C" w:rsidRDefault="002777A2" w:rsidP="0020432D">
            <w:pPr>
              <w:jc w:val="center"/>
              <w:rPr>
                <w:sz w:val="20"/>
              </w:rPr>
            </w:pPr>
            <w:r w:rsidRPr="00642F6C">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A90D62" w14:textId="77777777" w:rsidR="002777A2" w:rsidRPr="00642F6C" w:rsidRDefault="002777A2" w:rsidP="0020432D">
            <w:pPr>
              <w:jc w:val="center"/>
              <w:rPr>
                <w:sz w:val="20"/>
              </w:rPr>
            </w:pPr>
            <w:r w:rsidRPr="00642F6C">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734EE2" w14:textId="77777777" w:rsidR="002777A2" w:rsidRPr="00642F6C" w:rsidRDefault="002777A2" w:rsidP="0020432D">
            <w:pPr>
              <w:jc w:val="center"/>
              <w:rPr>
                <w:sz w:val="20"/>
              </w:rPr>
            </w:pPr>
            <w:r w:rsidRPr="00642F6C">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A5E541" w14:textId="77777777" w:rsidR="002777A2" w:rsidRPr="00642F6C" w:rsidRDefault="002777A2" w:rsidP="0020432D">
            <w:pPr>
              <w:jc w:val="center"/>
              <w:rPr>
                <w:sz w:val="20"/>
              </w:rPr>
            </w:pPr>
            <w:r w:rsidRPr="00642F6C">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58CE73" w14:textId="77777777" w:rsidR="002777A2" w:rsidRPr="00642F6C" w:rsidRDefault="002777A2" w:rsidP="0020432D">
            <w:pPr>
              <w:jc w:val="center"/>
              <w:rPr>
                <w:sz w:val="20"/>
              </w:rPr>
            </w:pPr>
            <w:r w:rsidRPr="00642F6C">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F4D178" w14:textId="77777777" w:rsidR="002777A2" w:rsidRPr="00642F6C" w:rsidRDefault="002777A2" w:rsidP="0020432D">
            <w:pPr>
              <w:jc w:val="center"/>
              <w:rPr>
                <w:sz w:val="20"/>
              </w:rPr>
            </w:pPr>
            <w:r w:rsidRPr="00642F6C">
              <w:rPr>
                <w:sz w:val="20"/>
              </w:rPr>
              <w:t>638 880</w:t>
            </w:r>
          </w:p>
        </w:tc>
      </w:tr>
      <w:tr w:rsidR="002777A2" w:rsidRPr="00642F6C" w14:paraId="23CC13BF"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3F8D617" w14:textId="77777777" w:rsidR="002777A2" w:rsidRPr="00642F6C" w:rsidRDefault="002777A2" w:rsidP="0020432D">
            <w:pPr>
              <w:jc w:val="center"/>
              <w:rPr>
                <w:sz w:val="20"/>
                <w14:textOutline w14:w="0" w14:cap="flat" w14:cmpd="sng" w14:algn="ctr">
                  <w14:noFill/>
                  <w14:prstDash w14:val="solid"/>
                  <w14:bevel/>
                </w14:textOutline>
              </w:rPr>
            </w:pPr>
            <w:r w:rsidRPr="00642F6C">
              <w:t>Zelena evropska fundacija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39EEEB" w14:textId="77777777" w:rsidR="002777A2" w:rsidRPr="00642F6C" w:rsidRDefault="002777A2" w:rsidP="0020432D">
            <w:pPr>
              <w:jc w:val="center"/>
              <w:rPr>
                <w:sz w:val="20"/>
              </w:rPr>
            </w:pPr>
            <w:r w:rsidRPr="00642F6C">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8FA0E9" w14:textId="77777777" w:rsidR="002777A2" w:rsidRPr="00642F6C" w:rsidRDefault="002777A2" w:rsidP="0020432D">
            <w:pPr>
              <w:jc w:val="center"/>
              <w:rPr>
                <w:sz w:val="20"/>
              </w:rPr>
            </w:pPr>
            <w:r w:rsidRPr="00642F6C">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1CE816" w14:textId="77777777" w:rsidR="002777A2" w:rsidRPr="00642F6C" w:rsidRDefault="002777A2" w:rsidP="0020432D">
            <w:pPr>
              <w:jc w:val="center"/>
              <w:rPr>
                <w:sz w:val="20"/>
              </w:rPr>
            </w:pPr>
            <w:r w:rsidRPr="00642F6C">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003483" w14:textId="77777777" w:rsidR="002777A2" w:rsidRPr="00642F6C" w:rsidRDefault="002777A2" w:rsidP="0020432D">
            <w:pPr>
              <w:jc w:val="center"/>
              <w:rPr>
                <w:sz w:val="20"/>
              </w:rPr>
            </w:pPr>
            <w:r w:rsidRPr="00642F6C">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EB58FC" w14:textId="77777777" w:rsidR="002777A2" w:rsidRPr="00642F6C" w:rsidRDefault="002777A2" w:rsidP="0020432D">
            <w:pPr>
              <w:jc w:val="center"/>
              <w:rPr>
                <w:sz w:val="20"/>
              </w:rPr>
            </w:pPr>
            <w:r w:rsidRPr="00642F6C">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C1B2C2" w14:textId="77777777" w:rsidR="002777A2" w:rsidRPr="00642F6C" w:rsidRDefault="002777A2" w:rsidP="0020432D">
            <w:pPr>
              <w:jc w:val="center"/>
              <w:rPr>
                <w:sz w:val="20"/>
              </w:rPr>
            </w:pPr>
            <w:r w:rsidRPr="00642F6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8F395F1" w14:textId="77777777" w:rsidR="002777A2" w:rsidRPr="00642F6C" w:rsidRDefault="002777A2" w:rsidP="0020432D">
            <w:pPr>
              <w:jc w:val="center"/>
              <w:rPr>
                <w:sz w:val="20"/>
              </w:rPr>
            </w:pPr>
            <w:r w:rsidRPr="00642F6C">
              <w:rPr>
                <w:sz w:val="20"/>
              </w:rPr>
              <w:t>40 821</w:t>
            </w:r>
          </w:p>
        </w:tc>
      </w:tr>
      <w:tr w:rsidR="002777A2" w:rsidRPr="00642F6C" w14:paraId="4D3F3F9A"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71E4E04" w14:textId="77777777" w:rsidR="002777A2" w:rsidRPr="00642F6C" w:rsidRDefault="002777A2" w:rsidP="0020432D">
            <w:pPr>
              <w:jc w:val="center"/>
              <w:rPr>
                <w:sz w:val="20"/>
                <w14:textOutline w14:w="0" w14:cap="flat" w14:cmpd="sng" w14:algn="ctr">
                  <w14:noFill/>
                  <w14:prstDash w14:val="solid"/>
                  <w14:bevel/>
                </w14:textOutline>
              </w:rPr>
            </w:pPr>
            <w:r w:rsidRPr="00642F6C">
              <w:t>Nova smer – fundacija za evropske reforme</w:t>
            </w:r>
            <w:r w:rsidRPr="00642F6C">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A3E22C" w14:textId="77777777" w:rsidR="002777A2" w:rsidRPr="00642F6C" w:rsidRDefault="002777A2" w:rsidP="0020432D">
            <w:pPr>
              <w:jc w:val="center"/>
              <w:rPr>
                <w:sz w:val="20"/>
              </w:rPr>
            </w:pPr>
            <w:r w:rsidRPr="00642F6C">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2868FB" w14:textId="77777777" w:rsidR="002777A2" w:rsidRPr="00642F6C" w:rsidRDefault="002777A2" w:rsidP="0020432D">
            <w:pPr>
              <w:jc w:val="center"/>
              <w:rPr>
                <w:sz w:val="20"/>
              </w:rPr>
            </w:pPr>
            <w:r w:rsidRPr="00642F6C">
              <w:rPr>
                <w:sz w:val="20"/>
              </w:rPr>
              <w:t>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504B75" w14:textId="77777777" w:rsidR="002777A2" w:rsidRPr="00642F6C" w:rsidRDefault="002777A2" w:rsidP="0020432D">
            <w:pPr>
              <w:jc w:val="center"/>
              <w:rPr>
                <w:sz w:val="20"/>
              </w:rPr>
            </w:pPr>
            <w:r w:rsidRPr="00642F6C">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6BC575" w14:textId="77777777" w:rsidR="002777A2" w:rsidRPr="00642F6C" w:rsidRDefault="002777A2" w:rsidP="0020432D">
            <w:pPr>
              <w:jc w:val="center"/>
              <w:rPr>
                <w:sz w:val="20"/>
              </w:rPr>
            </w:pPr>
            <w:r w:rsidRPr="00642F6C">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830062" w14:textId="77777777" w:rsidR="002777A2" w:rsidRPr="00642F6C" w:rsidRDefault="002777A2" w:rsidP="0020432D">
            <w:pPr>
              <w:jc w:val="center"/>
              <w:rPr>
                <w:sz w:val="20"/>
              </w:rPr>
            </w:pPr>
            <w:r w:rsidRPr="00642F6C">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B27223" w14:textId="77777777" w:rsidR="002777A2" w:rsidRPr="00642F6C" w:rsidRDefault="002777A2" w:rsidP="0020432D">
            <w:pPr>
              <w:jc w:val="center"/>
              <w:rPr>
                <w:sz w:val="20"/>
              </w:rPr>
            </w:pPr>
            <w:r w:rsidRPr="00642F6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7D18DF1" w14:textId="77777777" w:rsidR="002777A2" w:rsidRPr="00642F6C" w:rsidRDefault="002777A2" w:rsidP="0020432D">
            <w:pPr>
              <w:jc w:val="center"/>
              <w:rPr>
                <w:sz w:val="20"/>
              </w:rPr>
            </w:pPr>
            <w:r w:rsidRPr="00642F6C">
              <w:rPr>
                <w:sz w:val="20"/>
              </w:rPr>
              <w:t>134 704</w:t>
            </w:r>
          </w:p>
        </w:tc>
      </w:tr>
      <w:tr w:rsidR="002777A2" w:rsidRPr="00642F6C" w14:paraId="6EE1140C"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E77C3C0" w14:textId="77777777" w:rsidR="002777A2" w:rsidRPr="00642F6C" w:rsidRDefault="002777A2" w:rsidP="0020432D">
            <w:pPr>
              <w:jc w:val="center"/>
              <w:rPr>
                <w:sz w:val="20"/>
                <w14:textOutline w14:w="0" w14:cap="flat" w14:cmpd="sng" w14:algn="ctr">
                  <w14:noFill/>
                  <w14:prstDash w14:val="solid"/>
                  <w14:bevel/>
                </w14:textOutline>
              </w:rPr>
            </w:pPr>
            <w:r w:rsidRPr="00642F6C">
              <w:t>Fundacija Združenja za identiteto in demokracijo</w:t>
            </w:r>
            <w:r w:rsidRPr="00642F6C">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9D5732" w14:textId="77777777" w:rsidR="002777A2" w:rsidRPr="00642F6C" w:rsidRDefault="002777A2" w:rsidP="0020432D">
            <w:pPr>
              <w:jc w:val="center"/>
              <w:rPr>
                <w:sz w:val="20"/>
              </w:rPr>
            </w:pPr>
            <w:r w:rsidRPr="00642F6C">
              <w:rPr>
                <w:sz w:val="20"/>
              </w:rPr>
              <w:t>Fundacija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26E6B6" w14:textId="77777777" w:rsidR="002777A2" w:rsidRPr="00642F6C" w:rsidRDefault="002777A2" w:rsidP="0020432D">
            <w:pPr>
              <w:jc w:val="center"/>
              <w:rPr>
                <w:sz w:val="20"/>
              </w:rPr>
            </w:pPr>
            <w:r w:rsidRPr="00642F6C">
              <w:rPr>
                <w:sz w:val="20"/>
              </w:rPr>
              <w:t>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6DD43E" w14:textId="77777777" w:rsidR="002777A2" w:rsidRPr="00642F6C" w:rsidRDefault="002777A2" w:rsidP="0020432D">
            <w:pPr>
              <w:jc w:val="center"/>
              <w:rPr>
                <w:sz w:val="20"/>
              </w:rPr>
            </w:pPr>
            <w:r w:rsidRPr="00642F6C">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743F96" w14:textId="77777777" w:rsidR="002777A2" w:rsidRPr="00642F6C" w:rsidRDefault="002777A2" w:rsidP="0020432D">
            <w:pPr>
              <w:jc w:val="center"/>
              <w:rPr>
                <w:sz w:val="20"/>
              </w:rPr>
            </w:pPr>
            <w:r w:rsidRPr="00642F6C">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B86170" w14:textId="77777777" w:rsidR="002777A2" w:rsidRPr="00642F6C" w:rsidRDefault="002777A2" w:rsidP="0020432D">
            <w:pPr>
              <w:jc w:val="center"/>
              <w:rPr>
                <w:sz w:val="20"/>
              </w:rPr>
            </w:pPr>
            <w:r w:rsidRPr="00642F6C">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7F00F1" w14:textId="77777777" w:rsidR="002777A2" w:rsidRPr="00642F6C" w:rsidRDefault="002777A2" w:rsidP="0020432D">
            <w:pPr>
              <w:jc w:val="center"/>
              <w:rPr>
                <w:sz w:val="20"/>
              </w:rPr>
            </w:pPr>
            <w:r w:rsidRPr="00642F6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254161D" w14:textId="77777777" w:rsidR="002777A2" w:rsidRPr="00642F6C" w:rsidRDefault="002777A2" w:rsidP="0020432D">
            <w:pPr>
              <w:jc w:val="center"/>
              <w:rPr>
                <w:sz w:val="20"/>
              </w:rPr>
            </w:pPr>
            <w:r w:rsidRPr="00642F6C">
              <w:rPr>
                <w:sz w:val="20"/>
              </w:rPr>
              <w:t>-62 575</w:t>
            </w:r>
          </w:p>
        </w:tc>
      </w:tr>
      <w:tr w:rsidR="002777A2" w:rsidRPr="00642F6C" w14:paraId="25DCEB88"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CB156F" w14:textId="77777777" w:rsidR="002777A2" w:rsidRPr="00642F6C" w:rsidRDefault="002777A2" w:rsidP="0020432D">
            <w:pPr>
              <w:jc w:val="center"/>
              <w:rPr>
                <w:sz w:val="20"/>
                <w14:textOutline w14:w="0" w14:cap="flat" w14:cmpd="sng" w14:algn="ctr">
                  <w14:noFill/>
                  <w14:prstDash w14:val="solid"/>
                  <w14:bevel/>
                </w14:textOutline>
              </w:rPr>
            </w:pPr>
            <w:proofErr w:type="spellStart"/>
            <w:r w:rsidRPr="00642F6C">
              <w:t>Transform</w:t>
            </w:r>
            <w:proofErr w:type="spellEnd"/>
            <w:r w:rsidRPr="00642F6C">
              <w:t xml:space="preserve"> </w:t>
            </w:r>
            <w:proofErr w:type="spellStart"/>
            <w:r w:rsidRPr="00642F6C">
              <w:t>Europe</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0224A8" w14:textId="77777777" w:rsidR="002777A2" w:rsidRPr="00642F6C" w:rsidRDefault="002777A2" w:rsidP="0020432D">
            <w:pPr>
              <w:jc w:val="center"/>
              <w:rPr>
                <w:sz w:val="20"/>
              </w:rPr>
            </w:pPr>
            <w:r w:rsidRPr="00642F6C">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4518FF" w14:textId="77777777" w:rsidR="002777A2" w:rsidRPr="00642F6C" w:rsidRDefault="002777A2" w:rsidP="0020432D">
            <w:pPr>
              <w:jc w:val="center"/>
              <w:rPr>
                <w:sz w:val="20"/>
              </w:rPr>
            </w:pPr>
            <w:r w:rsidRPr="00642F6C">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DCD1EA" w14:textId="77777777" w:rsidR="002777A2" w:rsidRPr="00642F6C" w:rsidRDefault="002777A2" w:rsidP="0020432D">
            <w:pPr>
              <w:jc w:val="center"/>
              <w:rPr>
                <w:sz w:val="20"/>
              </w:rPr>
            </w:pPr>
            <w:r w:rsidRPr="00642F6C">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6DF1C6" w14:textId="77777777" w:rsidR="002777A2" w:rsidRPr="00642F6C" w:rsidRDefault="002777A2" w:rsidP="0020432D">
            <w:pPr>
              <w:jc w:val="center"/>
              <w:rPr>
                <w:sz w:val="20"/>
              </w:rPr>
            </w:pPr>
            <w:r w:rsidRPr="00642F6C">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E104C2" w14:textId="77777777" w:rsidR="002777A2" w:rsidRPr="00642F6C" w:rsidRDefault="002777A2" w:rsidP="0020432D">
            <w:pPr>
              <w:jc w:val="center"/>
              <w:rPr>
                <w:sz w:val="20"/>
              </w:rPr>
            </w:pPr>
            <w:r w:rsidRPr="00642F6C">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80596C" w14:textId="77777777" w:rsidR="002777A2" w:rsidRPr="00642F6C" w:rsidRDefault="002777A2" w:rsidP="0020432D">
            <w:pPr>
              <w:jc w:val="center"/>
              <w:rPr>
                <w:sz w:val="20"/>
              </w:rPr>
            </w:pPr>
            <w:r w:rsidRPr="00642F6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AF360FF" w14:textId="77777777" w:rsidR="002777A2" w:rsidRPr="00642F6C" w:rsidRDefault="002777A2" w:rsidP="0020432D">
            <w:pPr>
              <w:jc w:val="center"/>
              <w:rPr>
                <w:sz w:val="20"/>
              </w:rPr>
            </w:pPr>
            <w:r w:rsidRPr="00642F6C">
              <w:rPr>
                <w:sz w:val="20"/>
              </w:rPr>
              <w:t>69 496</w:t>
            </w:r>
          </w:p>
        </w:tc>
      </w:tr>
      <w:tr w:rsidR="002777A2" w:rsidRPr="00642F6C" w14:paraId="6421E2C2"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7449288" w14:textId="77777777" w:rsidR="002777A2" w:rsidRPr="00642F6C" w:rsidRDefault="002777A2" w:rsidP="0020432D">
            <w:pPr>
              <w:jc w:val="center"/>
              <w:rPr>
                <w:sz w:val="20"/>
                <w14:textOutline w14:w="0" w14:cap="flat" w14:cmpd="sng" w14:algn="ctr">
                  <w14:noFill/>
                  <w14:prstDash w14:val="solid"/>
                  <w14:bevel/>
                </w14:textOutline>
              </w:rPr>
            </w:pPr>
            <w:r w:rsidRPr="00642F6C">
              <w:t xml:space="preserve">Inštitut evropskih </w:t>
            </w:r>
            <w:r w:rsidRPr="00642F6C">
              <w:lastRenderedPageBreak/>
              <w:t>demokratov</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B621E2" w14:textId="77777777" w:rsidR="002777A2" w:rsidRPr="00642F6C" w:rsidRDefault="002777A2" w:rsidP="0020432D">
            <w:pPr>
              <w:jc w:val="center"/>
              <w:rPr>
                <w:sz w:val="20"/>
              </w:rPr>
            </w:pPr>
            <w:r w:rsidRPr="00642F6C">
              <w:rPr>
                <w:sz w:val="20"/>
              </w:rPr>
              <w:lastRenderedPageBreak/>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3E909A" w14:textId="77777777" w:rsidR="002777A2" w:rsidRPr="00642F6C" w:rsidRDefault="002777A2" w:rsidP="0020432D">
            <w:pPr>
              <w:jc w:val="center"/>
              <w:rPr>
                <w:sz w:val="20"/>
              </w:rPr>
            </w:pPr>
            <w:r w:rsidRPr="00642F6C">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3E31F1" w14:textId="77777777" w:rsidR="002777A2" w:rsidRPr="00642F6C" w:rsidRDefault="002777A2" w:rsidP="0020432D">
            <w:pPr>
              <w:jc w:val="center"/>
              <w:rPr>
                <w:sz w:val="20"/>
              </w:rPr>
            </w:pPr>
            <w:r w:rsidRPr="00642F6C">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0EEE1F" w14:textId="77777777" w:rsidR="002777A2" w:rsidRPr="00642F6C" w:rsidRDefault="002777A2" w:rsidP="0020432D">
            <w:pPr>
              <w:jc w:val="center"/>
              <w:rPr>
                <w:sz w:val="20"/>
              </w:rPr>
            </w:pPr>
            <w:r w:rsidRPr="00642F6C">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D219F7" w14:textId="77777777" w:rsidR="002777A2" w:rsidRPr="00642F6C" w:rsidRDefault="002777A2" w:rsidP="0020432D">
            <w:pPr>
              <w:jc w:val="center"/>
              <w:rPr>
                <w:sz w:val="20"/>
              </w:rPr>
            </w:pPr>
            <w:r w:rsidRPr="00642F6C">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3AF891" w14:textId="77777777" w:rsidR="002777A2" w:rsidRPr="00642F6C" w:rsidRDefault="002777A2" w:rsidP="0020432D">
            <w:pPr>
              <w:jc w:val="center"/>
              <w:rPr>
                <w:sz w:val="20"/>
              </w:rPr>
            </w:pPr>
            <w:r w:rsidRPr="00642F6C">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15E925D" w14:textId="77777777" w:rsidR="002777A2" w:rsidRPr="00642F6C" w:rsidRDefault="002777A2" w:rsidP="0020432D">
            <w:pPr>
              <w:jc w:val="center"/>
              <w:rPr>
                <w:sz w:val="20"/>
              </w:rPr>
            </w:pPr>
            <w:r w:rsidRPr="00642F6C">
              <w:rPr>
                <w:sz w:val="20"/>
              </w:rPr>
              <w:t>-113 763</w:t>
            </w:r>
          </w:p>
        </w:tc>
      </w:tr>
      <w:tr w:rsidR="002777A2" w:rsidRPr="00642F6C" w14:paraId="0213F952"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30518AD" w14:textId="77777777" w:rsidR="002777A2" w:rsidRPr="00642F6C" w:rsidRDefault="002777A2" w:rsidP="0020432D">
            <w:pPr>
              <w:jc w:val="center"/>
              <w:rPr>
                <w:sz w:val="20"/>
                <w14:textOutline w14:w="0" w14:cap="flat" w14:cmpd="sng" w14:algn="ctr">
                  <w14:noFill/>
                  <w14:prstDash w14:val="solid"/>
                  <w14:bevel/>
                </w14:textOutline>
              </w:rPr>
            </w:pPr>
            <w:r w:rsidRPr="00642F6C">
              <w:t xml:space="preserve">Fundacija </w:t>
            </w:r>
            <w:proofErr w:type="spellStart"/>
            <w:r w:rsidRPr="00642F6C">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906369" w14:textId="77777777" w:rsidR="002777A2" w:rsidRPr="00642F6C" w:rsidRDefault="002777A2" w:rsidP="0020432D">
            <w:pPr>
              <w:jc w:val="center"/>
              <w:rPr>
                <w:sz w:val="20"/>
              </w:rPr>
            </w:pPr>
            <w:proofErr w:type="spellStart"/>
            <w:r w:rsidRPr="00642F6C">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F42A6B0" w14:textId="77777777" w:rsidR="002777A2" w:rsidRPr="00642F6C" w:rsidRDefault="002777A2" w:rsidP="0020432D">
            <w:pPr>
              <w:jc w:val="center"/>
              <w:rPr>
                <w:sz w:val="20"/>
              </w:rPr>
            </w:pPr>
            <w:r w:rsidRPr="00642F6C">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017BEF" w14:textId="77777777" w:rsidR="002777A2" w:rsidRPr="00642F6C" w:rsidRDefault="002777A2" w:rsidP="0020432D">
            <w:pPr>
              <w:jc w:val="center"/>
              <w:rPr>
                <w:sz w:val="20"/>
              </w:rPr>
            </w:pPr>
            <w:r w:rsidRPr="00642F6C">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FC8367" w14:textId="77777777" w:rsidR="002777A2" w:rsidRPr="00642F6C" w:rsidRDefault="002777A2" w:rsidP="0020432D">
            <w:pPr>
              <w:jc w:val="center"/>
              <w:rPr>
                <w:sz w:val="20"/>
              </w:rPr>
            </w:pPr>
            <w:r w:rsidRPr="00642F6C">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49B866" w14:textId="77777777" w:rsidR="002777A2" w:rsidRPr="00642F6C" w:rsidRDefault="002777A2" w:rsidP="0020432D">
            <w:pPr>
              <w:jc w:val="center"/>
              <w:rPr>
                <w:sz w:val="20"/>
              </w:rPr>
            </w:pPr>
            <w:r w:rsidRPr="00642F6C">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33DA74" w14:textId="77777777" w:rsidR="002777A2" w:rsidRPr="00642F6C" w:rsidRDefault="002777A2" w:rsidP="0020432D">
            <w:pPr>
              <w:jc w:val="center"/>
              <w:rPr>
                <w:sz w:val="20"/>
              </w:rPr>
            </w:pPr>
            <w:r w:rsidRPr="00642F6C">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5063DE" w14:textId="77777777" w:rsidR="002777A2" w:rsidRPr="00642F6C" w:rsidRDefault="002777A2" w:rsidP="0020432D">
            <w:pPr>
              <w:jc w:val="center"/>
              <w:rPr>
                <w:sz w:val="20"/>
              </w:rPr>
            </w:pPr>
            <w:r w:rsidRPr="00642F6C">
              <w:rPr>
                <w:sz w:val="20"/>
              </w:rPr>
              <w:t>288 315</w:t>
            </w:r>
          </w:p>
        </w:tc>
      </w:tr>
      <w:tr w:rsidR="002777A2" w:rsidRPr="00642F6C" w14:paraId="6CDC275F" w14:textId="77777777" w:rsidTr="0020432D">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505EB5" w14:textId="77777777" w:rsidR="002777A2" w:rsidRPr="00642F6C" w:rsidRDefault="002777A2" w:rsidP="0020432D">
            <w:pPr>
              <w:jc w:val="center"/>
              <w:rPr>
                <w:sz w:val="20"/>
                <w14:textOutline w14:w="0" w14:cap="flat" w14:cmpd="sng" w14:algn="ctr">
                  <w14:noFill/>
                  <w14:prstDash w14:val="solid"/>
                  <w14:bevel/>
                </w14:textOutline>
              </w:rPr>
            </w:pPr>
            <w:proofErr w:type="spellStart"/>
            <w:r w:rsidRPr="00642F6C">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4E2E22" w14:textId="77777777" w:rsidR="002777A2" w:rsidRPr="00642F6C" w:rsidRDefault="002777A2" w:rsidP="0020432D">
            <w:pPr>
              <w:jc w:val="center"/>
              <w:rPr>
                <w:sz w:val="20"/>
              </w:rPr>
            </w:pPr>
            <w:r w:rsidRPr="00642F6C">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4C99CE" w14:textId="77777777" w:rsidR="002777A2" w:rsidRPr="00642F6C" w:rsidRDefault="002777A2" w:rsidP="0020432D">
            <w:pPr>
              <w:jc w:val="center"/>
              <w:rPr>
                <w:sz w:val="20"/>
              </w:rPr>
            </w:pPr>
            <w:r w:rsidRPr="00642F6C">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B54A4D" w14:textId="77777777" w:rsidR="002777A2" w:rsidRPr="00642F6C" w:rsidRDefault="002777A2" w:rsidP="0020432D">
            <w:pPr>
              <w:jc w:val="center"/>
              <w:rPr>
                <w:sz w:val="20"/>
              </w:rPr>
            </w:pPr>
            <w:r w:rsidRPr="00642F6C">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F05D57" w14:textId="77777777" w:rsidR="002777A2" w:rsidRPr="00642F6C" w:rsidRDefault="002777A2" w:rsidP="0020432D">
            <w:pPr>
              <w:jc w:val="center"/>
              <w:rPr>
                <w:sz w:val="20"/>
              </w:rPr>
            </w:pPr>
            <w:r w:rsidRPr="00642F6C">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39A5A1" w14:textId="77777777" w:rsidR="002777A2" w:rsidRPr="00642F6C" w:rsidRDefault="002777A2" w:rsidP="0020432D">
            <w:pPr>
              <w:jc w:val="center"/>
              <w:rPr>
                <w:sz w:val="20"/>
              </w:rPr>
            </w:pPr>
            <w:r w:rsidRPr="00642F6C">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93CEDB" w14:textId="77777777" w:rsidR="002777A2" w:rsidRPr="00642F6C" w:rsidRDefault="002777A2" w:rsidP="0020432D">
            <w:pPr>
              <w:jc w:val="center"/>
              <w:rPr>
                <w:sz w:val="20"/>
              </w:rPr>
            </w:pPr>
            <w:r w:rsidRPr="00642F6C">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4737855" w14:textId="77777777" w:rsidR="002777A2" w:rsidRPr="00642F6C" w:rsidRDefault="002777A2" w:rsidP="0020432D">
            <w:pPr>
              <w:jc w:val="center"/>
              <w:rPr>
                <w:sz w:val="20"/>
              </w:rPr>
            </w:pPr>
            <w:r w:rsidRPr="00642F6C">
              <w:rPr>
                <w:sz w:val="20"/>
              </w:rPr>
              <w:t>8 781</w:t>
            </w:r>
          </w:p>
        </w:tc>
      </w:tr>
      <w:tr w:rsidR="002777A2" w:rsidRPr="00767F0E" w14:paraId="7463864D" w14:textId="77777777" w:rsidTr="0020432D">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DF6730" w14:textId="77777777" w:rsidR="002777A2" w:rsidRPr="00642F6C" w:rsidRDefault="002777A2" w:rsidP="0020432D">
            <w:pPr>
              <w:jc w:val="center"/>
              <w:rPr>
                <w:b/>
                <w:bCs/>
                <w:sz w:val="20"/>
                <w14:textOutline w14:w="0" w14:cap="flat" w14:cmpd="sng" w14:algn="ctr">
                  <w14:noFill/>
                  <w14:prstDash w14:val="solid"/>
                  <w14:bevel/>
                </w14:textOutline>
              </w:rPr>
            </w:pPr>
            <w:r w:rsidRPr="00642F6C">
              <w:rPr>
                <w:b/>
                <w:sz w:val="20"/>
                <w14:textOutline w14:w="0" w14:cap="flat" w14:cmpd="sng" w14:algn="ctr">
                  <w14:noFill/>
                  <w14:prstDash w14:val="solid"/>
                  <w14:bevel/>
                </w14:textOutline>
              </w:rPr>
              <w:t>SKUPAJ</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9868A0F" w14:textId="77777777" w:rsidR="002777A2" w:rsidRPr="00642F6C" w:rsidRDefault="002777A2" w:rsidP="0020432D">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96B3152" w14:textId="77777777" w:rsidR="002777A2" w:rsidRPr="00642F6C" w:rsidRDefault="002777A2" w:rsidP="0020432D">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05008C2" w14:textId="77777777" w:rsidR="002777A2" w:rsidRPr="00642F6C" w:rsidRDefault="002777A2" w:rsidP="0020432D">
            <w:pPr>
              <w:jc w:val="center"/>
              <w:rPr>
                <w:b/>
                <w:bCs/>
                <w:sz w:val="20"/>
              </w:rPr>
            </w:pPr>
            <w:r w:rsidRPr="00642F6C">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96CB885" w14:textId="77777777" w:rsidR="002777A2" w:rsidRPr="00642F6C" w:rsidRDefault="002777A2" w:rsidP="0020432D">
            <w:pPr>
              <w:jc w:val="center"/>
              <w:rPr>
                <w:b/>
                <w:bCs/>
                <w:sz w:val="20"/>
              </w:rPr>
            </w:pPr>
            <w:r w:rsidRPr="00642F6C">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AEF8913" w14:textId="77777777" w:rsidR="002777A2" w:rsidRPr="00642F6C" w:rsidRDefault="002777A2" w:rsidP="0020432D">
            <w:pPr>
              <w:jc w:val="center"/>
              <w:rPr>
                <w:b/>
                <w:bCs/>
                <w:sz w:val="20"/>
              </w:rPr>
            </w:pPr>
            <w:r w:rsidRPr="00642F6C">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26AA667" w14:textId="77777777" w:rsidR="002777A2" w:rsidRPr="00642F6C" w:rsidRDefault="002777A2" w:rsidP="0020432D">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607E9D40" w14:textId="77777777" w:rsidR="002777A2" w:rsidRPr="00767F0E" w:rsidRDefault="002777A2" w:rsidP="0020432D">
            <w:pPr>
              <w:jc w:val="center"/>
              <w:rPr>
                <w:b/>
                <w:bCs/>
                <w:sz w:val="20"/>
              </w:rPr>
            </w:pPr>
            <w:r w:rsidRPr="00642F6C">
              <w:rPr>
                <w:b/>
                <w:sz w:val="20"/>
              </w:rPr>
              <w:t>2 576 842</w:t>
            </w:r>
          </w:p>
        </w:tc>
      </w:tr>
    </w:tbl>
    <w:p w14:paraId="5BC9FDB4" w14:textId="4D348A87" w:rsidR="00E365E1" w:rsidRPr="00767F0E" w:rsidRDefault="00E365E1" w:rsidP="00B526C3"/>
    <w:sectPr w:rsidR="00E365E1" w:rsidRPr="00767F0E" w:rsidSect="00767F0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02008" w14:textId="77777777" w:rsidR="00B526C3" w:rsidRPr="00767F0E" w:rsidRDefault="00B526C3">
      <w:r w:rsidRPr="00767F0E">
        <w:separator/>
      </w:r>
    </w:p>
  </w:endnote>
  <w:endnote w:type="continuationSeparator" w:id="0">
    <w:p w14:paraId="21252D60" w14:textId="77777777" w:rsidR="00B526C3" w:rsidRPr="00767F0E" w:rsidRDefault="00B526C3">
      <w:r w:rsidRPr="00767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869" w14:textId="77777777" w:rsidR="002777A2" w:rsidRPr="00767F0E" w:rsidRDefault="002777A2" w:rsidP="00C81BFF">
    <w:pPr>
      <w:pStyle w:val="EPFooter"/>
    </w:pPr>
    <w:r w:rsidRPr="00767F0E">
      <w:t>PE</w:t>
    </w:r>
    <w:r w:rsidRPr="00767F0E">
      <w:rPr>
        <w:rStyle w:val="HideTWBExt"/>
      </w:rPr>
      <w:t>&lt;</w:t>
    </w:r>
    <w:proofErr w:type="spellStart"/>
    <w:r w:rsidRPr="00767F0E">
      <w:rPr>
        <w:rStyle w:val="HideTWBExt"/>
      </w:rPr>
      <w:t>NoPE</w:t>
    </w:r>
    <w:proofErr w:type="spellEnd"/>
    <w:r w:rsidRPr="00767F0E">
      <w:rPr>
        <w:rStyle w:val="HideTWBExt"/>
      </w:rPr>
      <w:t>&gt;</w:t>
    </w:r>
    <w:r w:rsidRPr="00767F0E">
      <w:t>776.734</w:t>
    </w:r>
    <w:r w:rsidRPr="00767F0E">
      <w:rPr>
        <w:rStyle w:val="HideTWBExt"/>
      </w:rPr>
      <w:t>&lt;/</w:t>
    </w:r>
    <w:proofErr w:type="spellStart"/>
    <w:r w:rsidRPr="00767F0E">
      <w:rPr>
        <w:rStyle w:val="HideTWBExt"/>
      </w:rPr>
      <w:t>NoPE</w:t>
    </w:r>
    <w:proofErr w:type="spellEnd"/>
    <w:r w:rsidRPr="00767F0E">
      <w:rPr>
        <w:rStyle w:val="HideTWBExt"/>
      </w:rPr>
      <w:t>&gt;&lt;Version&gt;</w:t>
    </w:r>
    <w:r w:rsidRPr="00767F0E">
      <w:t>v02-00</w:t>
    </w:r>
    <w:r w:rsidRPr="00767F0E">
      <w:rPr>
        <w:rStyle w:val="HideTWBExt"/>
      </w:rPr>
      <w:t>&lt;/</w:t>
    </w:r>
    <w:proofErr w:type="spellStart"/>
    <w:r w:rsidRPr="00767F0E">
      <w:rPr>
        <w:rStyle w:val="HideTWBExt"/>
      </w:rPr>
      <w:t>Version</w:t>
    </w:r>
    <w:proofErr w:type="spellEnd"/>
    <w:r w:rsidRPr="00767F0E">
      <w:rPr>
        <w:rStyle w:val="HideTWBExt"/>
      </w:rPr>
      <w:t>&gt;</w:t>
    </w:r>
    <w:r w:rsidRPr="00767F0E">
      <w:tab/>
    </w:r>
    <w:r w:rsidRPr="00767F0E">
      <w:fldChar w:fldCharType="begin"/>
    </w:r>
    <w:r w:rsidRPr="00767F0E">
      <w:instrText xml:space="preserve"> PAGE  \* MERGEFORMAT </w:instrText>
    </w:r>
    <w:r w:rsidRPr="00767F0E">
      <w:fldChar w:fldCharType="separate"/>
    </w:r>
    <w:r w:rsidRPr="00767F0E">
      <w:rPr>
        <w:noProof/>
      </w:rPr>
      <w:t>42</w:t>
    </w:r>
    <w:r w:rsidRPr="00767F0E">
      <w:fldChar w:fldCharType="end"/>
    </w:r>
    <w:r w:rsidRPr="00767F0E">
      <w:t>/</w:t>
    </w:r>
    <w:fldSimple w:instr=" NUMPAGES  \* MERGEFORMAT ">
      <w:r w:rsidRPr="00767F0E">
        <w:rPr>
          <w:noProof/>
        </w:rPr>
        <w:t>43</w:t>
      </w:r>
    </w:fldSimple>
    <w:r w:rsidRPr="00767F0E">
      <w:tab/>
    </w:r>
    <w:r w:rsidRPr="00767F0E">
      <w:rPr>
        <w:rStyle w:val="HideTWBExt"/>
      </w:rPr>
      <w:t>&lt;PathFdR&gt;</w:t>
    </w:r>
    <w:r w:rsidRPr="00767F0E">
      <w:t>RR\1340476SL.docx</w:t>
    </w:r>
    <w:r w:rsidRPr="00767F0E">
      <w:rPr>
        <w:rStyle w:val="HideTWBExt"/>
      </w:rPr>
      <w:t>&lt;/</w:t>
    </w:r>
    <w:proofErr w:type="spellStart"/>
    <w:r w:rsidRPr="00767F0E">
      <w:rPr>
        <w:rStyle w:val="HideTWBExt"/>
      </w:rPr>
      <w:t>PathFdR</w:t>
    </w:r>
    <w:proofErr w:type="spellEnd"/>
    <w:r w:rsidRPr="00767F0E">
      <w:rPr>
        <w:rStyle w:val="HideTWBExt"/>
      </w:rPr>
      <w:t>&gt;</w:t>
    </w:r>
  </w:p>
  <w:p w14:paraId="49B12F11" w14:textId="77777777" w:rsidR="002777A2" w:rsidRPr="00767F0E" w:rsidRDefault="002777A2" w:rsidP="00C81BFF">
    <w:pPr>
      <w:pStyle w:val="EPFooter2"/>
    </w:pPr>
    <w:r w:rsidRPr="00767F0E">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698C" w14:textId="77777777" w:rsidR="002777A2" w:rsidRPr="00767F0E" w:rsidRDefault="002777A2" w:rsidP="00C81BFF">
    <w:pPr>
      <w:pStyle w:val="EPFooter"/>
    </w:pPr>
    <w:r w:rsidRPr="00767F0E">
      <w:rPr>
        <w:rStyle w:val="HideTWBExt"/>
      </w:rPr>
      <w:t>&lt;PathFdR&gt;</w:t>
    </w:r>
    <w:r w:rsidRPr="00767F0E">
      <w:t>RR\1340476SL.docx</w:t>
    </w:r>
    <w:r w:rsidRPr="00767F0E">
      <w:rPr>
        <w:rStyle w:val="HideTWBExt"/>
      </w:rPr>
      <w:t>&lt;/</w:t>
    </w:r>
    <w:proofErr w:type="spellStart"/>
    <w:r w:rsidRPr="00767F0E">
      <w:rPr>
        <w:rStyle w:val="HideTWBExt"/>
      </w:rPr>
      <w:t>PathFdR</w:t>
    </w:r>
    <w:proofErr w:type="spellEnd"/>
    <w:r w:rsidRPr="00767F0E">
      <w:rPr>
        <w:rStyle w:val="HideTWBExt"/>
      </w:rPr>
      <w:t>&gt;</w:t>
    </w:r>
    <w:r w:rsidRPr="00767F0E">
      <w:tab/>
    </w:r>
    <w:r w:rsidRPr="00767F0E">
      <w:tab/>
      <w:t>PE</w:t>
    </w:r>
    <w:r w:rsidRPr="00767F0E">
      <w:rPr>
        <w:rStyle w:val="HideTWBExt"/>
      </w:rPr>
      <w:t>&lt;</w:t>
    </w:r>
    <w:proofErr w:type="spellStart"/>
    <w:r w:rsidRPr="00767F0E">
      <w:rPr>
        <w:rStyle w:val="HideTWBExt"/>
      </w:rPr>
      <w:t>NoPE</w:t>
    </w:r>
    <w:proofErr w:type="spellEnd"/>
    <w:r w:rsidRPr="00767F0E">
      <w:rPr>
        <w:rStyle w:val="HideTWBExt"/>
      </w:rPr>
      <w:t>&gt;</w:t>
    </w:r>
    <w:r w:rsidRPr="00767F0E">
      <w:t>776.734</w:t>
    </w:r>
    <w:r w:rsidRPr="00767F0E">
      <w:rPr>
        <w:rStyle w:val="HideTWBExt"/>
      </w:rPr>
      <w:t>&lt;/</w:t>
    </w:r>
    <w:proofErr w:type="spellStart"/>
    <w:r w:rsidRPr="00767F0E">
      <w:rPr>
        <w:rStyle w:val="HideTWBExt"/>
      </w:rPr>
      <w:t>NoPE</w:t>
    </w:r>
    <w:proofErr w:type="spellEnd"/>
    <w:r w:rsidRPr="00767F0E">
      <w:rPr>
        <w:rStyle w:val="HideTWBExt"/>
      </w:rPr>
      <w:t>&gt;&lt;Version&gt;</w:t>
    </w:r>
    <w:r w:rsidRPr="00767F0E">
      <w:t>v02-00</w:t>
    </w:r>
    <w:r w:rsidRPr="00767F0E">
      <w:rPr>
        <w:rStyle w:val="HideTWBExt"/>
      </w:rPr>
      <w:t>&lt;/</w:t>
    </w:r>
    <w:proofErr w:type="spellStart"/>
    <w:r w:rsidRPr="00767F0E">
      <w:rPr>
        <w:rStyle w:val="HideTWBExt"/>
      </w:rPr>
      <w:t>Version</w:t>
    </w:r>
    <w:proofErr w:type="spellEnd"/>
    <w:r w:rsidRPr="00767F0E">
      <w:rPr>
        <w:rStyle w:val="HideTWBExt"/>
      </w:rPr>
      <w:t>&gt;</w:t>
    </w:r>
  </w:p>
  <w:p w14:paraId="5B13F547" w14:textId="77777777" w:rsidR="002777A2" w:rsidRPr="00767F0E" w:rsidRDefault="002777A2" w:rsidP="00C81BFF">
    <w:pPr>
      <w:pStyle w:val="EPFooter2"/>
    </w:pPr>
    <w:r w:rsidRPr="00767F0E">
      <w:t>SL</w:t>
    </w:r>
    <w:r w:rsidRPr="00767F0E">
      <w:tab/>
    </w:r>
    <w:r w:rsidRPr="00767F0E">
      <w:rPr>
        <w:b w:val="0"/>
        <w:i/>
        <w:color w:val="C0C0C0"/>
        <w:sz w:val="22"/>
      </w:rPr>
      <w:t>Združena v raznolikosti</w:t>
    </w:r>
    <w:r w:rsidRPr="00767F0E">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12226" w14:textId="77777777" w:rsidR="00064002" w:rsidRPr="00767F0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6FC4" w14:textId="77777777" w:rsidR="00064002" w:rsidRPr="00767F0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06D6" w14:textId="77777777" w:rsidR="00064002" w:rsidRPr="00767F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DCE85" w14:textId="77777777" w:rsidR="00B526C3" w:rsidRPr="00767F0E" w:rsidRDefault="00B526C3">
      <w:r w:rsidRPr="00767F0E">
        <w:separator/>
      </w:r>
    </w:p>
  </w:footnote>
  <w:footnote w:type="continuationSeparator" w:id="0">
    <w:p w14:paraId="4F7E76A6" w14:textId="77777777" w:rsidR="00B526C3" w:rsidRPr="00767F0E" w:rsidRDefault="00B526C3">
      <w:r w:rsidRPr="00767F0E">
        <w:continuationSeparator/>
      </w:r>
    </w:p>
  </w:footnote>
  <w:footnote w:id="1">
    <w:p w14:paraId="220F86F9" w14:textId="05E081AA"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UL L</w:t>
      </w:r>
      <w:r w:rsidR="00681E36">
        <w:rPr>
          <w:sz w:val="24"/>
          <w:lang w:val="sl-SI"/>
        </w:rPr>
        <w:t>,</w:t>
      </w:r>
      <w:r w:rsidRPr="00767F0E">
        <w:rPr>
          <w:sz w:val="24"/>
          <w:lang w:val="sl-SI"/>
        </w:rPr>
        <w:t xml:space="preserve"> </w:t>
      </w:r>
      <w:r w:rsidR="00681E36">
        <w:rPr>
          <w:sz w:val="24"/>
          <w:lang w:val="sl-SI"/>
        </w:rPr>
        <w:t>2024/</w:t>
      </w:r>
      <w:r w:rsidRPr="00767F0E">
        <w:rPr>
          <w:sz w:val="24"/>
          <w:lang w:val="sl-SI"/>
        </w:rPr>
        <w:t xml:space="preserve">207, 22.2.2024, ELI: </w:t>
      </w:r>
      <w:hyperlink r:id="rId1" w:history="1">
        <w:r w:rsidRPr="00767F0E">
          <w:rPr>
            <w:rStyle w:val="Hyperlink"/>
            <w:sz w:val="24"/>
            <w:lang w:val="sl-SI"/>
          </w:rPr>
          <w:t>http://data.europa.eu/eli/budget/2024/207/oj</w:t>
        </w:r>
      </w:hyperlink>
      <w:r w:rsidRPr="00767F0E">
        <w:rPr>
          <w:sz w:val="24"/>
          <w:lang w:val="sl-SI"/>
        </w:rPr>
        <w:t>.</w:t>
      </w:r>
    </w:p>
  </w:footnote>
  <w:footnote w:id="2">
    <w:p w14:paraId="48B9C783" w14:textId="3CA871EC"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C, C/2025/4944, 13.10.2025, ELI: </w:t>
      </w:r>
      <w:hyperlink r:id="rId2" w:history="1">
        <w:r w:rsidRPr="00767F0E">
          <w:rPr>
            <w:rStyle w:val="Hyperlink"/>
            <w:sz w:val="24"/>
            <w:lang w:val="sl-SI"/>
          </w:rPr>
          <w:t>http://data.europa.eu/eli/C/2025/4944/oj</w:t>
        </w:r>
      </w:hyperlink>
      <w:r w:rsidRPr="00767F0E">
        <w:rPr>
          <w:sz w:val="24"/>
          <w:lang w:val="sl-SI"/>
        </w:rPr>
        <w:t>.</w:t>
      </w:r>
    </w:p>
  </w:footnote>
  <w:footnote w:id="3">
    <w:p w14:paraId="1A27CA41" w14:textId="6FBABED9"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C, C/2025/2817, 6.6.2025, ELI: </w:t>
      </w:r>
      <w:hyperlink r:id="rId3" w:history="1">
        <w:r w:rsidRPr="00767F0E">
          <w:rPr>
            <w:rStyle w:val="Hyperlink"/>
            <w:sz w:val="24"/>
            <w:lang w:val="sl-SI"/>
          </w:rPr>
          <w:t>http://data.europa.eu/eli/C/2025/2817/oj</w:t>
        </w:r>
      </w:hyperlink>
      <w:r w:rsidRPr="00767F0E">
        <w:rPr>
          <w:sz w:val="24"/>
          <w:lang w:val="sl-SI"/>
        </w:rPr>
        <w:t>.</w:t>
      </w:r>
    </w:p>
  </w:footnote>
  <w:footnote w:id="4">
    <w:p w14:paraId="0386D50B" w14:textId="1177E0DB"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C, C/2025/5409, 8.10.2025, ELI: </w:t>
      </w:r>
      <w:hyperlink r:id="rId4" w:history="1">
        <w:r w:rsidRPr="00767F0E">
          <w:rPr>
            <w:rStyle w:val="Hyperlink"/>
            <w:sz w:val="24"/>
            <w:lang w:val="sl-SI"/>
          </w:rPr>
          <w:t>http://data.europa.eu/eli/C/2025/5409/oj</w:t>
        </w:r>
      </w:hyperlink>
      <w:r w:rsidRPr="00767F0E">
        <w:rPr>
          <w:sz w:val="24"/>
          <w:lang w:val="sl-SI"/>
        </w:rPr>
        <w:t>.</w:t>
      </w:r>
    </w:p>
  </w:footnote>
  <w:footnote w:id="5">
    <w:p w14:paraId="66A7A7AA" w14:textId="12338EB2"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C, C/2025/5407, 13.10.2025, ELI: </w:t>
      </w:r>
      <w:hyperlink r:id="rId5" w:history="1">
        <w:r w:rsidRPr="00767F0E">
          <w:rPr>
            <w:rStyle w:val="Hyperlink"/>
            <w:sz w:val="24"/>
            <w:lang w:val="sl-SI"/>
          </w:rPr>
          <w:t>http://data.europa.eu/eli/C/2025/5407/oj</w:t>
        </w:r>
      </w:hyperlink>
      <w:r w:rsidRPr="00767F0E">
        <w:rPr>
          <w:sz w:val="24"/>
          <w:lang w:val="sl-SI"/>
        </w:rPr>
        <w:t>.</w:t>
      </w:r>
    </w:p>
  </w:footnote>
  <w:footnote w:id="6">
    <w:p w14:paraId="48D80617" w14:textId="202F4F61"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L 193, 30.7.2018, str. </w:t>
      </w:r>
      <w:r w:rsidRPr="00767F0E">
        <w:rPr>
          <w:sz w:val="24"/>
          <w:lang w:val="sl-SI"/>
        </w:rPr>
        <w:t xml:space="preserve">1, ELI: </w:t>
      </w:r>
      <w:hyperlink r:id="rId6" w:history="1">
        <w:r w:rsidRPr="00767F0E">
          <w:rPr>
            <w:rStyle w:val="Hyperlink"/>
            <w:sz w:val="24"/>
            <w:lang w:val="sl-SI"/>
          </w:rPr>
          <w:t>http://data.europa.eu/eli/reg/2018/1046/oj</w:t>
        </w:r>
      </w:hyperlink>
      <w:r w:rsidRPr="00767F0E">
        <w:rPr>
          <w:sz w:val="24"/>
          <w:lang w:val="sl-SI"/>
        </w:rPr>
        <w:t>.</w:t>
      </w:r>
    </w:p>
  </w:footnote>
  <w:footnote w:id="7">
    <w:p w14:paraId="226E7853" w14:textId="10DB0165"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UL L, 2024/2509, 26.9.2024, ELI: </w:t>
      </w:r>
      <w:hyperlink r:id="rId7" w:history="1">
        <w:r w:rsidRPr="00767F0E">
          <w:rPr>
            <w:rStyle w:val="Hyperlink"/>
            <w:sz w:val="24"/>
            <w:lang w:val="sl-SI"/>
          </w:rPr>
          <w:t>http://data.europa.eu/eli/reg/2024/2509/oj</w:t>
        </w:r>
      </w:hyperlink>
      <w:r w:rsidRPr="00767F0E">
        <w:rPr>
          <w:sz w:val="24"/>
          <w:lang w:val="sl-SI"/>
        </w:rPr>
        <w:t>.</w:t>
      </w:r>
    </w:p>
  </w:footnote>
  <w:footnote w:id="8">
    <w:p w14:paraId="030AC513" w14:textId="3CD140BB"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Uredba Sveta (EU, </w:t>
      </w:r>
      <w:proofErr w:type="spellStart"/>
      <w:r w:rsidRPr="00767F0E">
        <w:rPr>
          <w:sz w:val="24"/>
          <w:lang w:val="sl-SI"/>
        </w:rPr>
        <w:t>Euratom</w:t>
      </w:r>
      <w:proofErr w:type="spellEnd"/>
      <w:r w:rsidRPr="00767F0E">
        <w:rPr>
          <w:sz w:val="24"/>
          <w:lang w:val="sl-SI"/>
        </w:rPr>
        <w:t>) 2020/2093 z dne 17. decembra 2020 o določitvi večletnega finančnega okvira za obdobje 2021–2027 (UL L 433</w:t>
      </w:r>
      <w:r w:rsidR="006E15B7">
        <w:rPr>
          <w:sz w:val="24"/>
          <w:lang w:val="sl-SI"/>
        </w:rPr>
        <w:t> </w:t>
      </w:r>
      <w:r w:rsidRPr="00767F0E">
        <w:rPr>
          <w:sz w:val="24"/>
          <w:lang w:val="sl-SI"/>
        </w:rPr>
        <w:t>I, 22.12.2020, str. </w:t>
      </w:r>
      <w:r w:rsidRPr="00767F0E">
        <w:rPr>
          <w:sz w:val="24"/>
          <w:lang w:val="sl-SI"/>
        </w:rPr>
        <w:t xml:space="preserve">11, </w:t>
      </w:r>
      <w:r w:rsidRPr="00767F0E">
        <w:rPr>
          <w:color w:val="333333"/>
          <w:sz w:val="24"/>
          <w:shd w:val="clear" w:color="auto" w:fill="FFFFFF"/>
          <w:lang w:val="sl-SI"/>
        </w:rPr>
        <w:t xml:space="preserve">ELI: </w:t>
      </w:r>
      <w:hyperlink r:id="rId8" w:history="1">
        <w:r w:rsidRPr="00767F0E">
          <w:rPr>
            <w:rStyle w:val="Hyperlink"/>
            <w:sz w:val="24"/>
            <w:shd w:val="clear" w:color="auto" w:fill="FFFFFF"/>
            <w:lang w:val="sl-SI"/>
          </w:rPr>
          <w:t>http://data.europa.eu/eli/reg/2020/2093/oj</w:t>
        </w:r>
      </w:hyperlink>
      <w:r w:rsidRPr="00767F0E">
        <w:rPr>
          <w:sz w:val="24"/>
          <w:lang w:val="sl-SI"/>
        </w:rPr>
        <w:t>).</w:t>
      </w:r>
    </w:p>
  </w:footnote>
  <w:footnote w:id="9">
    <w:p w14:paraId="4F3710DD" w14:textId="1DC4B123"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Uredba (EU, </w:t>
      </w:r>
      <w:proofErr w:type="spellStart"/>
      <w:r w:rsidRPr="00767F0E">
        <w:rPr>
          <w:sz w:val="24"/>
          <w:lang w:val="sl-SI"/>
        </w:rPr>
        <w:t>Euratom</w:t>
      </w:r>
      <w:proofErr w:type="spellEnd"/>
      <w:r w:rsidRPr="00767F0E">
        <w:rPr>
          <w:sz w:val="24"/>
          <w:lang w:val="sl-SI"/>
        </w:rPr>
        <w:t xml:space="preserve">) 2023/2841 Evropskega parlamenta in Sveta z dne 13. </w:t>
      </w:r>
      <w:r w:rsidRPr="00767F0E">
        <w:rPr>
          <w:sz w:val="24"/>
          <w:lang w:val="sl-SI"/>
        </w:rPr>
        <w:t xml:space="preserve">decembra 2023 o določitvi ukrepov za visoko skupno raven kibernetske varnosti v institucijah, organih, uradih in agencijah Unije (UL L, 2023/2841, 18.12.2023, ELI: </w:t>
      </w:r>
      <w:hyperlink r:id="rId9" w:history="1">
        <w:r w:rsidRPr="00767F0E">
          <w:rPr>
            <w:rStyle w:val="Hyperlink"/>
            <w:sz w:val="24"/>
            <w:lang w:val="sl-SI"/>
          </w:rPr>
          <w:t>http://data.europa.eu/eli/reg/2023/2841/oj</w:t>
        </w:r>
      </w:hyperlink>
      <w:r w:rsidRPr="00767F0E">
        <w:rPr>
          <w:sz w:val="24"/>
          <w:lang w:val="sl-SI"/>
        </w:rPr>
        <w:t>).</w:t>
      </w:r>
    </w:p>
  </w:footnote>
  <w:footnote w:id="10">
    <w:p w14:paraId="0E8ED983" w14:textId="42AD12E3"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Uredba (EU) 2024/1689 Evropskega parlamenta in Sveta z dne 13. junija 2024 o določitvi </w:t>
      </w:r>
      <w:proofErr w:type="spellStart"/>
      <w:r w:rsidRPr="00767F0E">
        <w:rPr>
          <w:sz w:val="24"/>
          <w:lang w:val="sl-SI"/>
        </w:rPr>
        <w:t>harmoniziranih</w:t>
      </w:r>
      <w:proofErr w:type="spellEnd"/>
      <w:r w:rsidRPr="00767F0E">
        <w:rPr>
          <w:sz w:val="24"/>
          <w:lang w:val="sl-SI"/>
        </w:rPr>
        <w:t xml:space="preserve"> pravil o umetni inteligenci in spremembi uredb (ES) št. 300/2008, (EU) št. 167/2013, (EU) št. </w:t>
      </w:r>
      <w:r w:rsidRPr="00767F0E">
        <w:rPr>
          <w:sz w:val="24"/>
          <w:lang w:val="sl-SI"/>
        </w:rPr>
        <w:t xml:space="preserve">168/2013, (EU) 2018/858, (EU) 2018/1139 in (EU) 2019/2144 ter direktiv 2014/90/EU, (EU) 2016/797 in (EU) 2020/1828 (Akt o umetni inteligenci) (UL L, 2024/1689, 12.7.2024, ELI: </w:t>
      </w:r>
      <w:hyperlink r:id="rId10" w:history="1">
        <w:r w:rsidRPr="00767F0E">
          <w:rPr>
            <w:rStyle w:val="Hyperlink"/>
            <w:sz w:val="24"/>
            <w:lang w:val="sl-SI"/>
          </w:rPr>
          <w:t>http://data.europa.eu/eli/reg/2024/1689/oj</w:t>
        </w:r>
      </w:hyperlink>
      <w:r w:rsidRPr="00767F0E">
        <w:rPr>
          <w:sz w:val="24"/>
          <w:lang w:val="sl-SI"/>
        </w:rPr>
        <w:t>).</w:t>
      </w:r>
    </w:p>
  </w:footnote>
  <w:footnote w:id="11">
    <w:p w14:paraId="193B3E4D" w14:textId="6E12DF3E"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Sklep predsedstva Evropskega parlamenta z dne 12. junija 2023 o spremembi izvedbenih ukrepov v zvezi s statutom poslancev Evropskega parlamenta (UL C 227, 29.6.2023, str. 5).</w:t>
      </w:r>
    </w:p>
  </w:footnote>
  <w:footnote w:id="12">
    <w:p w14:paraId="10D1BCEF" w14:textId="21DCF676"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Uredba (EU, </w:t>
      </w:r>
      <w:proofErr w:type="spellStart"/>
      <w:r w:rsidRPr="00767F0E">
        <w:rPr>
          <w:sz w:val="24"/>
          <w:lang w:val="sl-SI"/>
        </w:rPr>
        <w:t>Euratom</w:t>
      </w:r>
      <w:proofErr w:type="spellEnd"/>
      <w:r w:rsidRPr="00767F0E">
        <w:rPr>
          <w:sz w:val="24"/>
          <w:lang w:val="sl-SI"/>
        </w:rPr>
        <w:t>) 2025/2445 Evropskega parlamenta in Sveta z dne 26. novembra 2025 o statutu in financiranju evropskih političnih strank in evropskih političnih fundacij (UL L</w:t>
      </w:r>
      <w:r w:rsidR="00FB3EB3">
        <w:rPr>
          <w:sz w:val="24"/>
          <w:lang w:val="sl-SI"/>
        </w:rPr>
        <w:t>,</w:t>
      </w:r>
      <w:r w:rsidRPr="00767F0E">
        <w:rPr>
          <w:sz w:val="24"/>
          <w:lang w:val="sl-SI"/>
        </w:rPr>
        <w:t xml:space="preserve"> 2025/2445, 8.12.2025, ELI: </w:t>
      </w:r>
      <w:hyperlink r:id="rId11" w:history="1">
        <w:r w:rsidRPr="00767F0E">
          <w:rPr>
            <w:rStyle w:val="Hyperlink"/>
            <w:sz w:val="24"/>
            <w:lang w:val="sl-SI"/>
          </w:rPr>
          <w:t>http://data.europa.eu/eli/reg/2025/2445/oj</w:t>
        </w:r>
      </w:hyperlink>
      <w:r w:rsidRPr="00767F0E">
        <w:rPr>
          <w:sz w:val="24"/>
          <w:lang w:val="sl-SI"/>
        </w:rPr>
        <w:t>).</w:t>
      </w:r>
    </w:p>
  </w:footnote>
  <w:footnote w:id="13">
    <w:p w14:paraId="5949CFB3" w14:textId="7FC1F25A"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Vsi zneski so v EUR. </w:t>
      </w:r>
    </w:p>
  </w:footnote>
  <w:footnote w:id="14">
    <w:p w14:paraId="7FB1ECAD" w14:textId="6E33025E"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Seštevek končnega finančnega prispevka za drugi del leta 2023 in končnega finančnega prispevka za prvi del leta 2024 v skladu s sklepom predsedstva z dne 9. marca 2026.</w:t>
      </w:r>
    </w:p>
  </w:footnote>
  <w:footnote w:id="15">
    <w:p w14:paraId="67D1A334" w14:textId="22C220CA"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Računovodski izkazi v skladu s splošno sprejetimi računovodskimi načeli za leto 2024, popravljeni z učinkom prerazvrstitev iz zaključka za leto 2024.</w:t>
      </w:r>
    </w:p>
  </w:footnote>
  <w:footnote w:id="16">
    <w:p w14:paraId="706EF38E" w14:textId="5B596B68"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‘Patriots.eu’ od julija 2024.</w:t>
      </w:r>
    </w:p>
  </w:footnote>
  <w:footnote w:id="17">
    <w:p w14:paraId="6B827D7A" w14:textId="3F075CDB"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„Evropska krščanska politična stranka“ od marca 2025.</w:t>
      </w:r>
    </w:p>
  </w:footnote>
  <w:footnote w:id="18">
    <w:p w14:paraId="0814AAEF" w14:textId="52C28A79" w:rsidR="002777A2" w:rsidRPr="00767F0E" w:rsidRDefault="002777A2" w:rsidP="00767F0E">
      <w:pPr>
        <w:pStyle w:val="FootnoteText"/>
        <w:ind w:left="567" w:hanging="567"/>
        <w:rPr>
          <w:sz w:val="24"/>
          <w:szCs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 xml:space="preserve">Vsi zneski so v EUR. </w:t>
      </w:r>
    </w:p>
  </w:footnote>
  <w:footnote w:id="19">
    <w:p w14:paraId="1BEE3ECF" w14:textId="2300A23C"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Računovodski izkazi v skladu s splošno sprejetimi računovodskimi načeli za leto 2024, popravljeni z učinkom prerazvrstitev iz zaključka za leto 2024.</w:t>
      </w:r>
    </w:p>
  </w:footnote>
  <w:footnote w:id="20">
    <w:p w14:paraId="1DEC5694" w14:textId="7F0F434B"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„Nova smer – fundacija za evropski konservatizem“ od julija 2025.</w:t>
      </w:r>
    </w:p>
  </w:footnote>
  <w:footnote w:id="21">
    <w:p w14:paraId="0EC23B45" w14:textId="0D285716" w:rsidR="002777A2" w:rsidRPr="00767F0E" w:rsidRDefault="002777A2" w:rsidP="00767F0E">
      <w:pPr>
        <w:pStyle w:val="FootnoteText"/>
        <w:ind w:left="567" w:hanging="567"/>
        <w:rPr>
          <w:sz w:val="24"/>
          <w:lang w:val="sl-SI"/>
        </w:rPr>
      </w:pPr>
      <w:r w:rsidRPr="00767F0E">
        <w:rPr>
          <w:rStyle w:val="FootnoteReference"/>
          <w:sz w:val="24"/>
          <w:lang w:val="sl-SI"/>
        </w:rPr>
        <w:footnoteRef/>
      </w:r>
      <w:r w:rsidR="00767F0E" w:rsidRPr="00767F0E">
        <w:rPr>
          <w:sz w:val="24"/>
          <w:lang w:val="sl-SI"/>
        </w:rPr>
        <w:t xml:space="preserve"> </w:t>
      </w:r>
      <w:r w:rsidR="00767F0E" w:rsidRPr="00767F0E">
        <w:rPr>
          <w:sz w:val="24"/>
          <w:lang w:val="sl-SI"/>
        </w:rPr>
        <w:tab/>
      </w:r>
      <w:r w:rsidRPr="00767F0E">
        <w:rPr>
          <w:sz w:val="24"/>
          <w:lang w:val="sl-SI"/>
        </w:rPr>
        <w:t>Fundacija „Domoljubi za Evropo“ od oktobra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74E2" w14:textId="77777777" w:rsidR="00064002" w:rsidRPr="00767F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7E1C" w14:textId="77777777" w:rsidR="00064002" w:rsidRPr="00767F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F9BC" w14:textId="77777777" w:rsidR="00064002" w:rsidRPr="00767F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8844081">
    <w:abstractNumId w:val="9"/>
  </w:num>
  <w:num w:numId="2" w16cid:durableId="1712994359">
    <w:abstractNumId w:val="9"/>
  </w:num>
  <w:num w:numId="3" w16cid:durableId="1698971213">
    <w:abstractNumId w:val="7"/>
  </w:num>
  <w:num w:numId="4" w16cid:durableId="605233566">
    <w:abstractNumId w:val="7"/>
  </w:num>
  <w:num w:numId="5" w16cid:durableId="2138066902">
    <w:abstractNumId w:val="6"/>
  </w:num>
  <w:num w:numId="6" w16cid:durableId="718481015">
    <w:abstractNumId w:val="6"/>
  </w:num>
  <w:num w:numId="7" w16cid:durableId="52848870">
    <w:abstractNumId w:val="5"/>
  </w:num>
  <w:num w:numId="8" w16cid:durableId="34233898">
    <w:abstractNumId w:val="5"/>
  </w:num>
  <w:num w:numId="9" w16cid:durableId="1210460084">
    <w:abstractNumId w:val="4"/>
  </w:num>
  <w:num w:numId="10" w16cid:durableId="1373454379">
    <w:abstractNumId w:val="4"/>
  </w:num>
  <w:num w:numId="11" w16cid:durableId="1341196582">
    <w:abstractNumId w:val="8"/>
  </w:num>
  <w:num w:numId="12" w16cid:durableId="46297137">
    <w:abstractNumId w:val="8"/>
  </w:num>
  <w:num w:numId="13" w16cid:durableId="1956326464">
    <w:abstractNumId w:val="3"/>
  </w:num>
  <w:num w:numId="14" w16cid:durableId="1449157727">
    <w:abstractNumId w:val="3"/>
  </w:num>
  <w:num w:numId="15" w16cid:durableId="641007617">
    <w:abstractNumId w:val="2"/>
  </w:num>
  <w:num w:numId="16" w16cid:durableId="861477515">
    <w:abstractNumId w:val="2"/>
  </w:num>
  <w:num w:numId="17" w16cid:durableId="797917242">
    <w:abstractNumId w:val="1"/>
  </w:num>
  <w:num w:numId="18" w16cid:durableId="1755475573">
    <w:abstractNumId w:val="1"/>
  </w:num>
  <w:num w:numId="19" w16cid:durableId="101071693">
    <w:abstractNumId w:val="0"/>
  </w:num>
  <w:num w:numId="20" w16cid:durableId="1444615691">
    <w:abstractNumId w:val="0"/>
  </w:num>
  <w:num w:numId="21" w16cid:durableId="246353169">
    <w:abstractNumId w:val="9"/>
  </w:num>
  <w:num w:numId="22" w16cid:durableId="627201081">
    <w:abstractNumId w:val="7"/>
  </w:num>
  <w:num w:numId="23" w16cid:durableId="1721321794">
    <w:abstractNumId w:val="6"/>
  </w:num>
  <w:num w:numId="24" w16cid:durableId="1460760722">
    <w:abstractNumId w:val="5"/>
  </w:num>
  <w:num w:numId="25" w16cid:durableId="742936">
    <w:abstractNumId w:val="4"/>
  </w:num>
  <w:num w:numId="26" w16cid:durableId="620650704">
    <w:abstractNumId w:val="8"/>
  </w:num>
  <w:num w:numId="27" w16cid:durableId="312368230">
    <w:abstractNumId w:val="3"/>
  </w:num>
  <w:num w:numId="28" w16cid:durableId="146746505">
    <w:abstractNumId w:val="2"/>
  </w:num>
  <w:num w:numId="29" w16cid:durableId="367608784">
    <w:abstractNumId w:val="1"/>
  </w:num>
  <w:num w:numId="30" w16cid:durableId="1173685038">
    <w:abstractNumId w:val="0"/>
  </w:num>
  <w:num w:numId="31" w16cid:durableId="2135059396">
    <w:abstractNumId w:val="9"/>
  </w:num>
  <w:num w:numId="32" w16cid:durableId="1447579730">
    <w:abstractNumId w:val="7"/>
  </w:num>
  <w:num w:numId="33" w16cid:durableId="1250121427">
    <w:abstractNumId w:val="6"/>
  </w:num>
  <w:num w:numId="34" w16cid:durableId="1806704371">
    <w:abstractNumId w:val="5"/>
  </w:num>
  <w:num w:numId="35" w16cid:durableId="1585067315">
    <w:abstractNumId w:val="4"/>
  </w:num>
  <w:num w:numId="36" w16cid:durableId="296840416">
    <w:abstractNumId w:val="8"/>
  </w:num>
  <w:num w:numId="37" w16cid:durableId="13270896">
    <w:abstractNumId w:val="3"/>
  </w:num>
  <w:num w:numId="38" w16cid:durableId="928612084">
    <w:abstractNumId w:val="2"/>
  </w:num>
  <w:num w:numId="39" w16cid:durableId="1929848106">
    <w:abstractNumId w:val="1"/>
  </w:num>
  <w:num w:numId="40" w16cid:durableId="1333290389">
    <w:abstractNumId w:val="0"/>
  </w:num>
  <w:num w:numId="41" w16cid:durableId="710567924">
    <w:abstractNumId w:val="10"/>
  </w:num>
  <w:num w:numId="42" w16cid:durableId="1669823072">
    <w:abstractNumId w:val="10"/>
  </w:num>
  <w:num w:numId="43" w16cid:durableId="2022850171">
    <w:abstractNumId w:val="10"/>
  </w:num>
  <w:num w:numId="44" w16cid:durableId="1507592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SL"/>
    <w:docVar w:name="dvnumam" w:val="0"/>
    <w:docVar w:name="dvpe" w:val="776.734"/>
    <w:docVar w:name="dvrapporteur" w:val="Poročevalec: "/>
    <w:docVar w:name="dvtitre" w:val="Sklep Evropskega parlamenta z dne … 2026 o razrešnici glede izvrševanja splošnega proračuna Evropske unije za proračunsko leto 2024, oddelek I – Evropski parlament(2025/2146(DEC))"/>
  </w:docVars>
  <w:rsids>
    <w:rsidRoot w:val="00B526C3"/>
    <w:rsid w:val="00002272"/>
    <w:rsid w:val="00063CF7"/>
    <w:rsid w:val="00064002"/>
    <w:rsid w:val="000677B9"/>
    <w:rsid w:val="000831BA"/>
    <w:rsid w:val="000A42CC"/>
    <w:rsid w:val="000E7DD9"/>
    <w:rsid w:val="0010095E"/>
    <w:rsid w:val="00125B37"/>
    <w:rsid w:val="00136828"/>
    <w:rsid w:val="00187494"/>
    <w:rsid w:val="001F32AE"/>
    <w:rsid w:val="002767FF"/>
    <w:rsid w:val="002777A2"/>
    <w:rsid w:val="002B18FE"/>
    <w:rsid w:val="002B5493"/>
    <w:rsid w:val="00343214"/>
    <w:rsid w:val="00361C00"/>
    <w:rsid w:val="00395FA1"/>
    <w:rsid w:val="003E15D4"/>
    <w:rsid w:val="00406144"/>
    <w:rsid w:val="00411CCE"/>
    <w:rsid w:val="0041666E"/>
    <w:rsid w:val="00421060"/>
    <w:rsid w:val="00430000"/>
    <w:rsid w:val="00471C19"/>
    <w:rsid w:val="004867E3"/>
    <w:rsid w:val="00494A28"/>
    <w:rsid w:val="004C0004"/>
    <w:rsid w:val="004C5D52"/>
    <w:rsid w:val="0050519A"/>
    <w:rsid w:val="005072A1"/>
    <w:rsid w:val="00514517"/>
    <w:rsid w:val="00545827"/>
    <w:rsid w:val="00560270"/>
    <w:rsid w:val="005C2568"/>
    <w:rsid w:val="005F1B17"/>
    <w:rsid w:val="005F4576"/>
    <w:rsid w:val="006037C0"/>
    <w:rsid w:val="00642F6C"/>
    <w:rsid w:val="006631B6"/>
    <w:rsid w:val="00677D0B"/>
    <w:rsid w:val="00680577"/>
    <w:rsid w:val="00681E36"/>
    <w:rsid w:val="006E15B7"/>
    <w:rsid w:val="006F74FA"/>
    <w:rsid w:val="007054DB"/>
    <w:rsid w:val="00731ADD"/>
    <w:rsid w:val="00734777"/>
    <w:rsid w:val="00747932"/>
    <w:rsid w:val="00751A4A"/>
    <w:rsid w:val="00756632"/>
    <w:rsid w:val="00762C74"/>
    <w:rsid w:val="0076615C"/>
    <w:rsid w:val="00767F0E"/>
    <w:rsid w:val="00786EC0"/>
    <w:rsid w:val="007B69A9"/>
    <w:rsid w:val="007D1690"/>
    <w:rsid w:val="007E22AD"/>
    <w:rsid w:val="00817416"/>
    <w:rsid w:val="00842779"/>
    <w:rsid w:val="00865F67"/>
    <w:rsid w:val="00881A7B"/>
    <w:rsid w:val="008840E5"/>
    <w:rsid w:val="00887B3E"/>
    <w:rsid w:val="008A2928"/>
    <w:rsid w:val="008C2AC6"/>
    <w:rsid w:val="008D1007"/>
    <w:rsid w:val="00930C23"/>
    <w:rsid w:val="0093193B"/>
    <w:rsid w:val="009509D8"/>
    <w:rsid w:val="00950B64"/>
    <w:rsid w:val="00981893"/>
    <w:rsid w:val="009C69CE"/>
    <w:rsid w:val="00A1687D"/>
    <w:rsid w:val="00A43E52"/>
    <w:rsid w:val="00A457F5"/>
    <w:rsid w:val="00A4678D"/>
    <w:rsid w:val="00A778C7"/>
    <w:rsid w:val="00AB1879"/>
    <w:rsid w:val="00AB441E"/>
    <w:rsid w:val="00AB4B94"/>
    <w:rsid w:val="00AB6293"/>
    <w:rsid w:val="00AE0928"/>
    <w:rsid w:val="00AF3B82"/>
    <w:rsid w:val="00B12E95"/>
    <w:rsid w:val="00B22876"/>
    <w:rsid w:val="00B526C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27D"/>
    <w:rsid w:val="00F74202"/>
    <w:rsid w:val="00F87713"/>
    <w:rsid w:val="00FB3E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426E1"/>
  <w15:chartTrackingRefBased/>
  <w15:docId w15:val="{9C4C635A-6F01-4411-A2C3-AFDC20AF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77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77A2"/>
    <w:pPr>
      <w:spacing w:before="480" w:after="240"/>
    </w:pPr>
  </w:style>
  <w:style w:type="paragraph" w:customStyle="1" w:styleId="PageHeading">
    <w:name w:val="PageHeading"/>
    <w:basedOn w:val="Normal"/>
    <w:rsid w:val="002777A2"/>
    <w:pPr>
      <w:keepNext/>
      <w:spacing w:after="480"/>
      <w:jc w:val="center"/>
    </w:pPr>
    <w:rPr>
      <w:rFonts w:ascii="Arial" w:hAnsi="Arial" w:cs="Arial"/>
      <w:b/>
    </w:rPr>
  </w:style>
  <w:style w:type="paragraph" w:customStyle="1" w:styleId="NormalBold">
    <w:name w:val="NormalBold"/>
    <w:basedOn w:val="Normal"/>
    <w:rsid w:val="002777A2"/>
    <w:rPr>
      <w:b/>
    </w:rPr>
  </w:style>
  <w:style w:type="paragraph" w:customStyle="1" w:styleId="NormalHanging12a">
    <w:name w:val="NormalHanging12a"/>
    <w:basedOn w:val="Normal"/>
    <w:link w:val="NormalHanging12aChar"/>
    <w:rsid w:val="002777A2"/>
    <w:pPr>
      <w:spacing w:after="240"/>
      <w:ind w:left="567" w:hanging="567"/>
    </w:pPr>
  </w:style>
  <w:style w:type="paragraph" w:customStyle="1" w:styleId="EPFooter">
    <w:name w:val="EPFooter"/>
    <w:basedOn w:val="Normal"/>
    <w:rsid w:val="002777A2"/>
    <w:pPr>
      <w:tabs>
        <w:tab w:val="center" w:pos="4535"/>
        <w:tab w:val="right" w:pos="9071"/>
      </w:tabs>
      <w:spacing w:before="240" w:after="240"/>
    </w:pPr>
    <w:rPr>
      <w:color w:val="010000"/>
      <w:sz w:val="22"/>
    </w:rPr>
  </w:style>
  <w:style w:type="paragraph" w:styleId="Header">
    <w:name w:val="header"/>
    <w:basedOn w:val="Normal"/>
    <w:link w:val="HeaderChar"/>
    <w:rsid w:val="002777A2"/>
    <w:pPr>
      <w:tabs>
        <w:tab w:val="center" w:pos="4513"/>
        <w:tab w:val="right" w:pos="9026"/>
      </w:tabs>
    </w:pPr>
  </w:style>
  <w:style w:type="character" w:customStyle="1" w:styleId="HeaderChar">
    <w:name w:val="Header Char"/>
    <w:basedOn w:val="DefaultParagraphFont"/>
    <w:link w:val="Header"/>
    <w:rsid w:val="002777A2"/>
    <w:rPr>
      <w:sz w:val="24"/>
      <w:lang w:val="sl-SI"/>
    </w:rPr>
  </w:style>
  <w:style w:type="character" w:styleId="Hyperlink">
    <w:name w:val="Hyperlink"/>
    <w:basedOn w:val="DefaultParagraphFont"/>
    <w:rsid w:val="002777A2"/>
    <w:rPr>
      <w:color w:val="0563C1" w:themeColor="hyperlink"/>
      <w:u w:val="single"/>
    </w:rPr>
  </w:style>
  <w:style w:type="character" w:customStyle="1" w:styleId="NormalHanging12aChar">
    <w:name w:val="NormalHanging12a Char"/>
    <w:basedOn w:val="DefaultParagraphFont"/>
    <w:link w:val="NormalHanging12a"/>
    <w:rsid w:val="002777A2"/>
    <w:rPr>
      <w:sz w:val="24"/>
      <w:lang w:val="sl-SI"/>
    </w:rPr>
  </w:style>
  <w:style w:type="paragraph" w:styleId="Revision">
    <w:name w:val="Revision"/>
    <w:hidden/>
    <w:uiPriority w:val="99"/>
    <w:semiHidden/>
    <w:rsid w:val="00063CF7"/>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13051</Words>
  <Characters>78816</Characters>
  <Application>Microsoft Office Word</Application>
  <DocSecurity>0</DocSecurity>
  <Lines>656</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2026-05-05T07:43:00Z</dcterms:created>
  <dcterms:modified xsi:type="dcterms:W3CDTF">2026-05-05T07:43:00Z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P10_TA(2026)0126_</vt:lpwstr>
  </property>
  <property fmtid="{D5CDD505-2E9C-101B-9397-08002B2CF9AE}" pid="4" name="&lt;Type&gt;">
    <vt:lpwstr>RR</vt:lpwstr>
  </property>
</Properties>
</file>