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643E" w14:paraId="65D489A6" w14:textId="77777777" w:rsidTr="0010095E">
        <w:trPr>
          <w:trHeight w:hRule="exact" w:val="1418"/>
        </w:trPr>
        <w:tc>
          <w:tcPr>
            <w:tcW w:w="6804" w:type="dxa"/>
            <w:shd w:val="clear" w:color="auto" w:fill="auto"/>
            <w:vAlign w:val="center"/>
          </w:tcPr>
          <w:p w14:paraId="0FDF63C6" w14:textId="77777777" w:rsidR="00751A4A" w:rsidRPr="00E2643E" w:rsidRDefault="00CA25D3" w:rsidP="0010095E">
            <w:pPr>
              <w:pStyle w:val="EPName"/>
            </w:pPr>
            <w:r w:rsidRPr="00E2643E">
              <w:t>Europaparlamentet</w:t>
            </w:r>
          </w:p>
          <w:p w14:paraId="08034D6B" w14:textId="77777777" w:rsidR="00751A4A" w:rsidRPr="00E2643E" w:rsidRDefault="005F1B17" w:rsidP="005F1B17">
            <w:pPr>
              <w:pStyle w:val="EPTerm"/>
              <w:rPr>
                <w:rStyle w:val="HideTWBExt"/>
                <w:noProof w:val="0"/>
                <w:vanish w:val="0"/>
                <w:color w:val="auto"/>
              </w:rPr>
            </w:pPr>
            <w:r w:rsidRPr="00E2643E">
              <w:t>2024</w:t>
            </w:r>
            <w:r w:rsidR="00817416" w:rsidRPr="00E2643E">
              <w:t>-202</w:t>
            </w:r>
            <w:r w:rsidRPr="00E2643E">
              <w:t>9</w:t>
            </w:r>
          </w:p>
        </w:tc>
        <w:tc>
          <w:tcPr>
            <w:tcW w:w="2268" w:type="dxa"/>
            <w:shd w:val="clear" w:color="auto" w:fill="auto"/>
          </w:tcPr>
          <w:p w14:paraId="01BDB4FA" w14:textId="77777777" w:rsidR="00751A4A" w:rsidRPr="00E2643E" w:rsidRDefault="00187494" w:rsidP="0010095E">
            <w:pPr>
              <w:pStyle w:val="EPLogo"/>
            </w:pPr>
            <w:r w:rsidRPr="00E2643E">
              <w:rPr>
                <w:noProof/>
                <w:lang w:eastAsia="ja-JP"/>
              </w:rPr>
              <w:drawing>
                <wp:inline distT="0" distB="0" distL="0" distR="0" wp14:anchorId="1674DEEF" wp14:editId="1C993B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B1934E" w14:textId="77777777" w:rsidR="00D058B8" w:rsidRPr="00E2643E" w:rsidRDefault="00D058B8" w:rsidP="004C5D52">
      <w:pPr>
        <w:pStyle w:val="LineTop"/>
      </w:pPr>
    </w:p>
    <w:p w14:paraId="286CD454" w14:textId="77777777" w:rsidR="00680577" w:rsidRPr="00E2643E" w:rsidRDefault="00CA25D3" w:rsidP="00680577">
      <w:pPr>
        <w:pStyle w:val="EPBodyTA1"/>
      </w:pPr>
      <w:r w:rsidRPr="00E2643E">
        <w:t>ANTAGNA TEXTER</w:t>
      </w:r>
    </w:p>
    <w:p w14:paraId="721A6ECF" w14:textId="77777777" w:rsidR="00D058B8" w:rsidRPr="00E2643E" w:rsidRDefault="00D058B8" w:rsidP="00D058B8">
      <w:pPr>
        <w:pStyle w:val="LineBottom"/>
      </w:pPr>
    </w:p>
    <w:p w14:paraId="7B19E24C" w14:textId="60D5373E" w:rsidR="00CA25D3" w:rsidRPr="00E2643E" w:rsidRDefault="00CA25D3" w:rsidP="00CA25D3">
      <w:pPr>
        <w:pStyle w:val="ATHeading1"/>
      </w:pPr>
      <w:bookmarkStart w:id="0" w:name="TANumber"/>
      <w:r w:rsidRPr="00E2643E">
        <w:t>P10_TA(2026)0</w:t>
      </w:r>
      <w:bookmarkEnd w:id="0"/>
      <w:r w:rsidR="00B357FD" w:rsidRPr="00E2643E">
        <w:t>126</w:t>
      </w:r>
    </w:p>
    <w:p w14:paraId="2B0B7B6A" w14:textId="1CFABC33" w:rsidR="00CA25D3" w:rsidRPr="00E2643E" w:rsidRDefault="00CA25D3" w:rsidP="00CA25D3">
      <w:pPr>
        <w:pStyle w:val="ATHeading2"/>
      </w:pPr>
      <w:bookmarkStart w:id="1" w:name="title"/>
      <w:r w:rsidRPr="00E2643E">
        <w:t>Ansvarsfrihet 2024: EU:s allmänna budget – Europaparlamentet</w:t>
      </w:r>
      <w:bookmarkEnd w:id="1"/>
    </w:p>
    <w:p w14:paraId="728A6A72" w14:textId="77777777" w:rsidR="00CA25D3" w:rsidRPr="00E2643E" w:rsidRDefault="00CA25D3" w:rsidP="00CA25D3">
      <w:pPr>
        <w:rPr>
          <w:i/>
          <w:vanish/>
        </w:rPr>
      </w:pPr>
      <w:r w:rsidRPr="00E2643E">
        <w:rPr>
          <w:i/>
        </w:rPr>
        <w:fldChar w:fldCharType="begin"/>
      </w:r>
      <w:r w:rsidRPr="00E2643E">
        <w:rPr>
          <w:i/>
        </w:rPr>
        <w:instrText xml:space="preserve"> TC"(</w:instrText>
      </w:r>
      <w:bookmarkStart w:id="2" w:name="DocNumber"/>
      <w:r w:rsidRPr="00E2643E">
        <w:rPr>
          <w:i/>
        </w:rPr>
        <w:instrText>A10-0081/2026</w:instrText>
      </w:r>
      <w:bookmarkEnd w:id="2"/>
      <w:r w:rsidRPr="00E2643E">
        <w:rPr>
          <w:i/>
        </w:rPr>
        <w:instrText xml:space="preserve"> - Föredragande: </w:instrText>
      </w:r>
      <w:proofErr w:type="spellStart"/>
      <w:r w:rsidRPr="00E2643E">
        <w:rPr>
          <w:i/>
        </w:rPr>
        <w:instrText>Gerben</w:instrText>
      </w:r>
      <w:proofErr w:type="spellEnd"/>
      <w:r w:rsidRPr="00E2643E">
        <w:rPr>
          <w:i/>
        </w:rPr>
        <w:instrText xml:space="preserve">-Jan </w:instrText>
      </w:r>
      <w:proofErr w:type="spellStart"/>
      <w:r w:rsidRPr="00E2643E">
        <w:rPr>
          <w:i/>
        </w:rPr>
        <w:instrText>Gerbrandy</w:instrText>
      </w:r>
      <w:proofErr w:type="spellEnd"/>
      <w:r w:rsidRPr="00E2643E">
        <w:rPr>
          <w:i/>
        </w:rPr>
        <w:instrText xml:space="preserve">)"\l3 \n&gt; \* MERGEFORMAT </w:instrText>
      </w:r>
      <w:r w:rsidRPr="00E2643E">
        <w:rPr>
          <w:i/>
        </w:rPr>
        <w:fldChar w:fldCharType="end"/>
      </w:r>
    </w:p>
    <w:p w14:paraId="4322888E" w14:textId="77777777" w:rsidR="00CA25D3" w:rsidRPr="00E2643E" w:rsidRDefault="00CA25D3" w:rsidP="00CA25D3">
      <w:pPr>
        <w:rPr>
          <w:vanish/>
        </w:rPr>
      </w:pPr>
      <w:bookmarkStart w:id="3" w:name="Commission"/>
      <w:r w:rsidRPr="00E2643E">
        <w:rPr>
          <w:vanish/>
        </w:rPr>
        <w:t>Budgetkontrollutskottet</w:t>
      </w:r>
      <w:bookmarkEnd w:id="3"/>
    </w:p>
    <w:p w14:paraId="1EDD9438" w14:textId="77777777" w:rsidR="00CA25D3" w:rsidRPr="00E2643E" w:rsidRDefault="00CA25D3" w:rsidP="00CA25D3">
      <w:pPr>
        <w:rPr>
          <w:vanish/>
        </w:rPr>
      </w:pPr>
      <w:bookmarkStart w:id="4" w:name="PE"/>
      <w:r w:rsidRPr="00E2643E">
        <w:rPr>
          <w:vanish/>
        </w:rPr>
        <w:t>PE776.734</w:t>
      </w:r>
      <w:bookmarkEnd w:id="4"/>
    </w:p>
    <w:p w14:paraId="3FBA86A6" w14:textId="6714306F" w:rsidR="00ED6F45" w:rsidRPr="00E2643E" w:rsidRDefault="0013079B" w:rsidP="0013079B">
      <w:pPr>
        <w:pStyle w:val="ATHeading3"/>
      </w:pPr>
      <w:bookmarkStart w:id="5" w:name="_Toc26759888"/>
      <w:bookmarkStart w:id="6" w:name="_Toc86200285"/>
      <w:r w:rsidRPr="00E2643E">
        <w:t xml:space="preserve">1. Europaparlamentets beslut av den 29 april </w:t>
      </w:r>
      <w:r w:rsidR="007B5DB0" w:rsidRPr="00E2643E">
        <w:t xml:space="preserve">2026 </w:t>
      </w:r>
      <w:r w:rsidR="00ED6F45" w:rsidRPr="00E2643E">
        <w:t>om ansvarsfrihet för genomförandet av Europeiska unionens allmänna budget för budgetåret 2024, avsnitt I – Europaparlamentet</w:t>
      </w:r>
      <w:r w:rsidRPr="00E2643E">
        <w:t xml:space="preserve"> </w:t>
      </w:r>
      <w:r w:rsidR="00ED6F45" w:rsidRPr="00E2643E">
        <w:t>(2025/2146(DEC))</w:t>
      </w:r>
    </w:p>
    <w:p w14:paraId="71CC65E5" w14:textId="77777777" w:rsidR="00ED6F45" w:rsidRPr="00E2643E" w:rsidRDefault="00ED6F45" w:rsidP="00ED6F45">
      <w:pPr>
        <w:pStyle w:val="EPComma"/>
        <w:rPr>
          <w:noProof/>
        </w:rPr>
      </w:pPr>
      <w:r w:rsidRPr="00E2643E">
        <w:rPr>
          <w:i/>
        </w:rPr>
        <w:t>Europaparlamentet fattar detta beslut</w:t>
      </w:r>
    </w:p>
    <w:p w14:paraId="496DE8FE" w14:textId="77777777" w:rsidR="00ED6F45" w:rsidRPr="00E2643E" w:rsidRDefault="00ED6F45" w:rsidP="00ED6F45">
      <w:pPr>
        <w:pStyle w:val="NormalHanging12a"/>
        <w:rPr>
          <w:noProof/>
        </w:rPr>
      </w:pPr>
      <w:r w:rsidRPr="00E2643E">
        <w:t>–</w:t>
      </w:r>
      <w:r w:rsidRPr="00E2643E">
        <w:tab/>
        <w:t>med beaktande av Europeiska unionens allmänna budget för budgetåret 2024</w:t>
      </w:r>
      <w:r w:rsidRPr="00E2643E">
        <w:rPr>
          <w:rStyle w:val="FootnoteReference"/>
          <w:noProof/>
        </w:rPr>
        <w:footnoteReference w:id="1"/>
      </w:r>
      <w:r w:rsidRPr="00E2643E">
        <w:t>,</w:t>
      </w:r>
    </w:p>
    <w:p w14:paraId="18903A35" w14:textId="77777777" w:rsidR="00ED6F45" w:rsidRPr="00E2643E" w:rsidRDefault="00ED6F45" w:rsidP="00ED6F45">
      <w:pPr>
        <w:pStyle w:val="NormalHanging12a"/>
        <w:rPr>
          <w:noProof/>
        </w:rPr>
      </w:pPr>
      <w:r w:rsidRPr="00E2643E">
        <w:t>–</w:t>
      </w:r>
      <w:r w:rsidRPr="00E2643E">
        <w:tab/>
        <w:t>med beaktande av Europeiska unionens konsoliderade årsredovisning för budgetåret 2024 (COM(2025)0359 – C10</w:t>
      </w:r>
      <w:r w:rsidRPr="00E2643E">
        <w:noBreakHyphen/>
        <w:t>0146/2025)</w:t>
      </w:r>
      <w:r w:rsidRPr="00E2643E">
        <w:rPr>
          <w:rStyle w:val="FootnoteReference"/>
          <w:noProof/>
        </w:rPr>
        <w:footnoteReference w:id="2"/>
      </w:r>
      <w:r w:rsidRPr="00E2643E">
        <w:t>,</w:t>
      </w:r>
    </w:p>
    <w:p w14:paraId="7015C63D" w14:textId="77777777" w:rsidR="00ED6F45" w:rsidRPr="00E2643E" w:rsidRDefault="00ED6F45" w:rsidP="00ED6F45">
      <w:pPr>
        <w:pStyle w:val="NormalHanging12a"/>
        <w:rPr>
          <w:noProof/>
        </w:rPr>
      </w:pPr>
      <w:r w:rsidRPr="00E2643E">
        <w:t>–</w:t>
      </w:r>
      <w:r w:rsidRPr="00E2643E">
        <w:tab/>
        <w:t>med beaktande av rapporten om budgetförvaltningen och den ekonomiska förvaltningen för budgetåret 2024, avsnitt I – Europaparlamentet</w:t>
      </w:r>
      <w:r w:rsidRPr="00E2643E">
        <w:rPr>
          <w:rStyle w:val="FootnoteReference"/>
          <w:noProof/>
        </w:rPr>
        <w:footnoteReference w:id="3"/>
      </w:r>
      <w:r w:rsidRPr="00E2643E">
        <w:t>,</w:t>
      </w:r>
    </w:p>
    <w:p w14:paraId="0E62FAD7" w14:textId="77777777" w:rsidR="00ED6F45" w:rsidRPr="00E2643E" w:rsidRDefault="00ED6F45" w:rsidP="00ED6F45">
      <w:pPr>
        <w:pStyle w:val="NormalHanging12a"/>
        <w:rPr>
          <w:noProof/>
        </w:rPr>
      </w:pPr>
      <w:r w:rsidRPr="00E2643E">
        <w:t>–</w:t>
      </w:r>
      <w:r w:rsidRPr="00E2643E">
        <w:tab/>
        <w:t>med beaktande av internrevisorns årsrapport för budgetåret 2024,</w:t>
      </w:r>
    </w:p>
    <w:p w14:paraId="063DB425" w14:textId="77777777" w:rsidR="00ED6F45" w:rsidRPr="00E2643E" w:rsidRDefault="00ED6F45" w:rsidP="00ED6F45">
      <w:pPr>
        <w:pStyle w:val="NormalHanging12a"/>
        <w:rPr>
          <w:noProof/>
        </w:rPr>
      </w:pPr>
      <w:r w:rsidRPr="00E2643E">
        <w:t>–</w:t>
      </w:r>
      <w:r w:rsidRPr="00E2643E">
        <w:tab/>
        <w:t>med beaktande av revisionsrättens årsrapport om genomförandet av budgeten för budgetåret 2024, med institutionernas svar</w:t>
      </w:r>
      <w:r w:rsidRPr="00E2643E">
        <w:rPr>
          <w:rStyle w:val="FootnoteReference"/>
          <w:noProof/>
        </w:rPr>
        <w:footnoteReference w:id="4"/>
      </w:r>
      <w:r w:rsidRPr="00E2643E">
        <w:t>,</w:t>
      </w:r>
    </w:p>
    <w:p w14:paraId="08349F19" w14:textId="77777777" w:rsidR="00ED6F45" w:rsidRPr="00E2643E" w:rsidRDefault="00ED6F45" w:rsidP="00ED6F45">
      <w:pPr>
        <w:pStyle w:val="NormalHanging12a"/>
        <w:rPr>
          <w:noProof/>
        </w:rPr>
      </w:pPr>
      <w:r w:rsidRPr="00E2643E">
        <w:t>–</w:t>
      </w:r>
      <w:r w:rsidRPr="00E2643E">
        <w:tab/>
        <w:t>med beaktande av förklaringen om räkenskapernas tillförlitlighet</w:t>
      </w:r>
      <w:r w:rsidRPr="00E2643E">
        <w:rPr>
          <w:rStyle w:val="FootnoteReference"/>
          <w:noProof/>
        </w:rPr>
        <w:footnoteReference w:id="5"/>
      </w:r>
      <w:r w:rsidRPr="00E2643E">
        <w:t xml:space="preserve"> och de underliggande transaktionernas laglighet och korrekthet, som avgetts av revisionsrätten för budgetåret 2024 i enlighet med artikel 287 i fördraget om Europeiska unionens funktionssätt,</w:t>
      </w:r>
    </w:p>
    <w:p w14:paraId="65C849A3" w14:textId="77777777" w:rsidR="00ED6F45" w:rsidRPr="00E2643E" w:rsidRDefault="00ED6F45" w:rsidP="00ED6F45">
      <w:pPr>
        <w:pStyle w:val="NormalHanging12a"/>
        <w:rPr>
          <w:noProof/>
        </w:rPr>
      </w:pPr>
      <w:r w:rsidRPr="00E2643E">
        <w:t>–</w:t>
      </w:r>
      <w:r w:rsidRPr="00E2643E">
        <w:tab/>
        <w:t>med beaktande av artiklarna 314.10 och 318 i fördraget om Europeiska unionens funktionssätt,</w:t>
      </w:r>
    </w:p>
    <w:p w14:paraId="4FBDDDF6" w14:textId="77777777" w:rsidR="00ED6F45" w:rsidRPr="00E2643E" w:rsidRDefault="00ED6F45" w:rsidP="00ED6F45">
      <w:pPr>
        <w:pStyle w:val="NormalHanging12a"/>
        <w:rPr>
          <w:noProof/>
        </w:rPr>
      </w:pPr>
      <w:r w:rsidRPr="00E2643E">
        <w:t>–</w:t>
      </w:r>
      <w:r w:rsidRPr="00E2643E">
        <w:tab/>
        <w:t xml:space="preserve">med beaktande av Europaparlamentets och rådets förordning (EU, Euratom) 2018/1046 av den 18 juli 2018 om finansiella regler för unionens allmänna budget, om ändring av </w:t>
      </w:r>
      <w:r w:rsidRPr="00E2643E">
        <w:lastRenderedPageBreak/>
        <w:t>förordningarna (EU) nr 1296/2013, (EU) nr 1301/2013, (EU) nr 1303/2013, (EU) nr 1304/2013, (EU) nr 1309/2013, (EU) nr 1316/2013, (EU) nr 223/2014, (EU) nr 283/2014 och beslut nr 541/2014/EU samt om upphävande av förordning (EU, Euratom) nr 966/2012</w:t>
      </w:r>
      <w:r w:rsidRPr="00E2643E">
        <w:rPr>
          <w:rStyle w:val="FootnoteReference"/>
          <w:noProof/>
        </w:rPr>
        <w:footnoteReference w:id="6"/>
      </w:r>
      <w:r w:rsidRPr="00E2643E">
        <w:t>, särskilt artiklarna 260, 261 och 262,</w:t>
      </w:r>
    </w:p>
    <w:p w14:paraId="41F907D9" w14:textId="77777777" w:rsidR="00ED6F45" w:rsidRPr="00E2643E" w:rsidRDefault="00ED6F45" w:rsidP="00ED6F45">
      <w:pPr>
        <w:pStyle w:val="NormalHanging12a"/>
        <w:rPr>
          <w:noProof/>
        </w:rPr>
      </w:pPr>
      <w:r w:rsidRPr="00E2643E">
        <w:t>–</w:t>
      </w:r>
      <w:r w:rsidRPr="00E2643E">
        <w:tab/>
        <w:t>med beaktande av Europaparlamentets och rådets förordning (EU, Euratom) 2024/2509 av den 23 september 2024 om finansiella regler för unionens allmänna budget</w:t>
      </w:r>
      <w:r w:rsidRPr="00E2643E">
        <w:rPr>
          <w:rStyle w:val="FootnoteReference"/>
          <w:noProof/>
        </w:rPr>
        <w:footnoteReference w:id="7"/>
      </w:r>
      <w:r w:rsidRPr="00E2643E">
        <w:t>, särskilt artiklarna 266, 267 och 268,</w:t>
      </w:r>
    </w:p>
    <w:p w14:paraId="09AEF5BD" w14:textId="77777777" w:rsidR="00ED6F45" w:rsidRPr="00E2643E" w:rsidRDefault="00ED6F45" w:rsidP="00ED6F45">
      <w:pPr>
        <w:pStyle w:val="NormalHanging12a"/>
        <w:rPr>
          <w:noProof/>
        </w:rPr>
      </w:pPr>
      <w:r w:rsidRPr="00E2643E">
        <w:t>–</w:t>
      </w:r>
      <w:r w:rsidRPr="00E2643E">
        <w:tab/>
        <w:t>med beaktande av presidiets beslut av den 10 december 2018 om interna bestämmelser för genomförandet av Europaparlamentets budget, särskilt artikel 34,</w:t>
      </w:r>
    </w:p>
    <w:p w14:paraId="18160856" w14:textId="77777777" w:rsidR="00ED6F45" w:rsidRPr="00E2643E" w:rsidRDefault="00ED6F45" w:rsidP="00ED6F45">
      <w:pPr>
        <w:pStyle w:val="NormalHanging12a"/>
        <w:rPr>
          <w:noProof/>
        </w:rPr>
      </w:pPr>
      <w:r w:rsidRPr="00E2643E">
        <w:t>–</w:t>
      </w:r>
      <w:r w:rsidRPr="00E2643E">
        <w:tab/>
        <w:t>med beaktande av artiklarna 102 och 106.3 samt bilaga V i arbetsordningen,</w:t>
      </w:r>
    </w:p>
    <w:p w14:paraId="204A9952" w14:textId="77777777" w:rsidR="00ED6F45" w:rsidRPr="00E2643E" w:rsidRDefault="00ED6F45" w:rsidP="00ED6F45">
      <w:pPr>
        <w:pStyle w:val="NormalHanging12a"/>
      </w:pPr>
      <w:r w:rsidRPr="00E2643E">
        <w:t>–</w:t>
      </w:r>
      <w:r w:rsidRPr="00E2643E">
        <w:tab/>
        <w:t>med beaktande av yttrandet från utskottet för kvinnors rättigheter och jämställdhet,</w:t>
      </w:r>
    </w:p>
    <w:p w14:paraId="68E89C9A" w14:textId="77777777" w:rsidR="00ED6F45" w:rsidRPr="00E2643E" w:rsidRDefault="00ED6F45" w:rsidP="00ED6F45">
      <w:pPr>
        <w:pStyle w:val="NormalHanging12a"/>
      </w:pPr>
      <w:r w:rsidRPr="00E2643E">
        <w:t>–</w:t>
      </w:r>
      <w:r w:rsidRPr="00E2643E">
        <w:tab/>
        <w:t>med beaktande av betänkandet från budgetkontrollutskottet (A10-0081/2026).</w:t>
      </w:r>
    </w:p>
    <w:p w14:paraId="3ECCBA87" w14:textId="77777777" w:rsidR="00ED6F45" w:rsidRPr="00E2643E" w:rsidRDefault="00ED6F45" w:rsidP="00ED6F45">
      <w:pPr>
        <w:pStyle w:val="NormalHanging12a"/>
        <w:rPr>
          <w:noProof/>
        </w:rPr>
      </w:pPr>
      <w:r w:rsidRPr="00E2643E">
        <w:t>1.</w:t>
      </w:r>
      <w:r w:rsidRPr="00E2643E">
        <w:tab/>
        <w:t>Europaparlamentet beviljar talmannen ansvarsfrihet för genomförandet av Europaparlamentets budget för budgetåret 2024.</w:t>
      </w:r>
    </w:p>
    <w:p w14:paraId="4F1CAD2D" w14:textId="77777777" w:rsidR="00ED6F45" w:rsidRPr="00E2643E" w:rsidRDefault="00ED6F45" w:rsidP="00ED6F45">
      <w:pPr>
        <w:pStyle w:val="NormalHanging12a"/>
        <w:rPr>
          <w:noProof/>
        </w:rPr>
      </w:pPr>
      <w:r w:rsidRPr="00E2643E">
        <w:t>2.</w:t>
      </w:r>
      <w:r w:rsidRPr="00E2643E">
        <w:tab/>
        <w:t>Europaparlamentet redovisar sina iakttagelser i resolutionen nedan.</w:t>
      </w:r>
    </w:p>
    <w:p w14:paraId="1A2C72EA" w14:textId="77777777" w:rsidR="00ED6F45" w:rsidRPr="00E2643E" w:rsidRDefault="00ED6F45" w:rsidP="00ED6F45">
      <w:pPr>
        <w:pStyle w:val="NormalHanging12a"/>
        <w:rPr>
          <w:noProof/>
        </w:rPr>
      </w:pPr>
      <w:r w:rsidRPr="00E2643E">
        <w:t>3.</w:t>
      </w:r>
      <w:r w:rsidRPr="00E2643E">
        <w:tab/>
        <w:t xml:space="preserve">Europaparlamentet uppdrar åt talmannen att översända detta beslut och den resolution som utgör en del av beslutet till rådet, kommissionen och revisionsrätten, och att se till att de offentliggörs i </w:t>
      </w:r>
      <w:r w:rsidRPr="00E2643E">
        <w:rPr>
          <w:i/>
        </w:rPr>
        <w:t>Europeiska unionens officiella tidning</w:t>
      </w:r>
      <w:r w:rsidRPr="00E2643E">
        <w:t xml:space="preserve"> (L-serien).</w:t>
      </w:r>
    </w:p>
    <w:p w14:paraId="36412D23" w14:textId="77777777" w:rsidR="00ED6F45" w:rsidRPr="00E2643E" w:rsidRDefault="00ED6F45" w:rsidP="00ED6F45"/>
    <w:p w14:paraId="7D6D5F0B" w14:textId="77777777" w:rsidR="00ED6F45" w:rsidRPr="00E2643E" w:rsidRDefault="00ED6F45" w:rsidP="00ED6F45">
      <w:pPr>
        <w:pStyle w:val="PageHeading"/>
        <w:sectPr w:rsidR="00ED6F45" w:rsidRPr="00E2643E" w:rsidSect="009454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72E129" w14:textId="60CC4F8E" w:rsidR="00ED6F45" w:rsidRPr="00E2643E" w:rsidRDefault="00ED6F45" w:rsidP="0013079B">
      <w:pPr>
        <w:pStyle w:val="ATHeading3"/>
      </w:pPr>
      <w:bookmarkStart w:id="7" w:name="_Toc227316067"/>
      <w:bookmarkEnd w:id="5"/>
      <w:bookmarkEnd w:id="6"/>
      <w:r w:rsidRPr="00E2643E">
        <w:lastRenderedPageBreak/>
        <w:t>2. E</w:t>
      </w:r>
      <w:r w:rsidR="0013079B" w:rsidRPr="00E2643E">
        <w:t>uropaparlamentets resolution</w:t>
      </w:r>
      <w:bookmarkEnd w:id="7"/>
      <w:r w:rsidR="0013079B" w:rsidRPr="00E2643E">
        <w:t xml:space="preserve"> av den 29 april 2026 </w:t>
      </w:r>
      <w:r w:rsidRPr="00E2643E">
        <w:t>med de iakttagelser som utgör en del av beslutet om ansvarsfrihet för genomförandet av Europeiska unionens allmänna budget för budgetåret 2024, avsnitt I – Europaparlamentet</w:t>
      </w:r>
      <w:r w:rsidR="0013079B" w:rsidRPr="00E2643E">
        <w:t xml:space="preserve"> </w:t>
      </w:r>
      <w:r w:rsidRPr="00E2643E">
        <w:t>(2025/2146(DEC))</w:t>
      </w:r>
    </w:p>
    <w:p w14:paraId="6134C360" w14:textId="77777777" w:rsidR="00ED6F45" w:rsidRPr="00E2643E" w:rsidRDefault="00ED6F45" w:rsidP="00ED6F45">
      <w:pPr>
        <w:pStyle w:val="EPComma"/>
        <w:rPr>
          <w:noProof/>
        </w:rPr>
      </w:pPr>
      <w:r w:rsidRPr="00E2643E">
        <w:rPr>
          <w:i/>
        </w:rPr>
        <w:t>Europaparlamentet utfärdar denna resolution</w:t>
      </w:r>
    </w:p>
    <w:p w14:paraId="40381FC7" w14:textId="77777777" w:rsidR="00ED6F45" w:rsidRPr="00E2643E" w:rsidRDefault="00ED6F45" w:rsidP="00ED6F45">
      <w:pPr>
        <w:pStyle w:val="NormalHanging12a"/>
        <w:rPr>
          <w:noProof/>
        </w:rPr>
      </w:pPr>
      <w:r w:rsidRPr="00E2643E">
        <w:t>–</w:t>
      </w:r>
      <w:r w:rsidRPr="00E2643E">
        <w:tab/>
        <w:t>med beaktande av sitt beslut om ansvarsfrihet för genomförandet av Europeiska unionens allmänna budget för budgetåret 2024, avsnitt I – Europaparlamentet,</w:t>
      </w:r>
    </w:p>
    <w:p w14:paraId="4427F055" w14:textId="77777777" w:rsidR="00ED6F45" w:rsidRPr="00E2643E" w:rsidRDefault="00ED6F45" w:rsidP="00ED6F45">
      <w:pPr>
        <w:pStyle w:val="NormalHanging12a"/>
        <w:rPr>
          <w:noProof/>
        </w:rPr>
      </w:pPr>
      <w:r w:rsidRPr="00E2643E">
        <w:t>–</w:t>
      </w:r>
      <w:r w:rsidRPr="00E2643E">
        <w:tab/>
        <w:t>med beaktande av artiklarna 102 och 106.3 samt bilaga V i arbetsordningen,</w:t>
      </w:r>
    </w:p>
    <w:p w14:paraId="4B3BBAF4" w14:textId="77777777" w:rsidR="00ED6F45" w:rsidRPr="00E2643E" w:rsidRDefault="00ED6F45" w:rsidP="00ED6F45">
      <w:pPr>
        <w:pStyle w:val="NormalHanging12a"/>
      </w:pPr>
      <w:r w:rsidRPr="00E2643E">
        <w:t>–</w:t>
      </w:r>
      <w:r w:rsidRPr="00E2643E">
        <w:tab/>
        <w:t>med beaktande av yttrandet från utskottet för kvinnors rättigheter och jämställdhet,</w:t>
      </w:r>
    </w:p>
    <w:p w14:paraId="4D8006D2" w14:textId="77777777" w:rsidR="00ED6F45" w:rsidRPr="00E2643E" w:rsidRDefault="00ED6F45" w:rsidP="00ED6F45">
      <w:pPr>
        <w:pStyle w:val="NormalHanging12a"/>
      </w:pPr>
      <w:r w:rsidRPr="00E2643E">
        <w:t>–</w:t>
      </w:r>
      <w:r w:rsidRPr="00E2643E">
        <w:tab/>
        <w:t>med beaktande av betänkandet från budgetkontrollutskottet (A10-0081/2026), och av följande skäl:</w:t>
      </w:r>
    </w:p>
    <w:p w14:paraId="43927A82" w14:textId="77777777" w:rsidR="00ED6F45" w:rsidRPr="00E2643E" w:rsidRDefault="00ED6F45" w:rsidP="00ED6F45">
      <w:pPr>
        <w:pStyle w:val="NormalHanging12a"/>
        <w:rPr>
          <w:noProof/>
        </w:rPr>
      </w:pPr>
      <w:r w:rsidRPr="00E2643E">
        <w:t>A.</w:t>
      </w:r>
      <w:r w:rsidRPr="00E2643E">
        <w:tab/>
        <w:t>I attesteringen av de slutliga räkenskaperna uppgav Europaparlamentets räkenskapsförare att räkenskaperna med rimlig säkerhet i allt väsentligt ger en rättvis bild av parlamentets finansiella ställning, resultat och kassaflöde.</w:t>
      </w:r>
    </w:p>
    <w:p w14:paraId="6572AD5C" w14:textId="77777777" w:rsidR="00ED6F45" w:rsidRPr="00E2643E" w:rsidRDefault="00ED6F45" w:rsidP="00ED6F45">
      <w:pPr>
        <w:pStyle w:val="NormalHanging12a"/>
        <w:rPr>
          <w:noProof/>
        </w:rPr>
      </w:pPr>
      <w:r w:rsidRPr="00E2643E">
        <w:t>B.</w:t>
      </w:r>
      <w:r w:rsidRPr="00E2643E">
        <w:tab/>
        <w:t>I enlighet med det normala förfarandet skickades 55 frågor till parlamentets administration, och skriftliga svar mottogs och diskuterades offentligt av parlamentets budgetkontrollutskott den 8 december 2025, i närvaro av generalsekreteraren, parlamentets vice talman med ansvar för budgeten, internrevisorn och direktören för myndigheten för europeiska politiska partier och europeiska politiska stiftelser.</w:t>
      </w:r>
    </w:p>
    <w:p w14:paraId="7B717DFB" w14:textId="77777777" w:rsidR="00ED6F45" w:rsidRPr="00E2643E" w:rsidRDefault="00ED6F45" w:rsidP="00ED6F45">
      <w:pPr>
        <w:pStyle w:val="NormalHanging12a"/>
      </w:pPr>
      <w:r w:rsidRPr="00E2643E">
        <w:t>C.</w:t>
      </w:r>
      <w:r w:rsidRPr="00E2643E">
        <w:tab/>
        <w:t>Det finns alltid utrymme för förbättringar och granskning är nödvändig för att säkerställa att det politiska ledarskapet, ledamöterna och parlamentets administration är transparenta och har integritet, och därmed hålls ansvariga inför unionsmedborgarna och bidrar till ökad kvalitet, effektivitet och ändamålsenlighet i förvaltningen av de offentliga finanserna, inbegripet budgetdisciplin, vilket skyddar parlamentets trovärdighet när det utövar sin roll att bevilja ansvarsfrihet gentemot andra institutioner.</w:t>
      </w:r>
    </w:p>
    <w:p w14:paraId="4BFB0509" w14:textId="6F14B912" w:rsidR="00ED6F45" w:rsidRPr="00E2643E" w:rsidRDefault="00ED6F45" w:rsidP="00ED6F45">
      <w:pPr>
        <w:pStyle w:val="NormalHanging12a"/>
      </w:pPr>
      <w:r w:rsidRPr="00E2643E">
        <w:t>D.</w:t>
      </w:r>
      <w:r w:rsidRPr="00E2643E">
        <w:tab/>
        <w:t xml:space="preserve">Rättssäkerhet är en av de vägledande principerna för genomförandet av administrativa beslut. Ett ständigt ökande antal regler och skyldigheter kan leda till förvirring och tvetydighet, samtidigt som det behövs rättssäkerhet för ledamöterna och deras </w:t>
      </w:r>
      <w:r w:rsidR="007A4337" w:rsidRPr="00E2643E">
        <w:t>kanslier</w:t>
      </w:r>
      <w:r w:rsidRPr="00E2643E">
        <w:t xml:space="preserve">, vilket tvingar administrationen att kommunicera på ett sätt som är tydligt, heltäckande och rättsligt sunt. </w:t>
      </w:r>
    </w:p>
    <w:p w14:paraId="77FD1809" w14:textId="090CDD41" w:rsidR="00ED6F45" w:rsidRPr="00E2643E" w:rsidRDefault="00ED6F45" w:rsidP="00ED6F45">
      <w:pPr>
        <w:pStyle w:val="NormalHanging12a"/>
      </w:pPr>
      <w:r w:rsidRPr="00E2643E">
        <w:t>E.</w:t>
      </w:r>
      <w:r w:rsidRPr="00E2643E">
        <w:tab/>
        <w:t xml:space="preserve">Ledamöterna ska få ekonomiskt och logistiskt stöd från administrationen för att fullt ut kunna utföra sitt mandat. Förbindelserna mellan ledamöterna, deras </w:t>
      </w:r>
      <w:r w:rsidR="007A4337" w:rsidRPr="00E2643E">
        <w:t xml:space="preserve">kanslier </w:t>
      </w:r>
      <w:r w:rsidRPr="00E2643E">
        <w:t>och administrationen bygger på ömsesidigt förtroende, vilket bör vara en vägledande princip när ledamöterna förses med ekonomiskt stöd. Detta bör återspeglas i nivån på de kontroller och granskningar som administrationen genomför i förväg och i efterhand. Det är uppenbart att tydliga, proportionella, riktade, standardiserade och förenklade förfaranden är det bästa och effektivaste sättet att genomföra granskningar och kontroller av ekonomiska rättigheter, med det slutliga målet att tillhandahålla största möjliga transparens och ansvarsskyldighet, öka den demokratiska legitimiteten och därmed unionsmedborgarnas förtroende.</w:t>
      </w:r>
    </w:p>
    <w:p w14:paraId="43901571" w14:textId="77777777" w:rsidR="00ED6F45" w:rsidRPr="00E2643E" w:rsidRDefault="00ED6F45" w:rsidP="00ED6F45">
      <w:pPr>
        <w:pStyle w:val="NormalHanging12a"/>
      </w:pPr>
      <w:r w:rsidRPr="00E2643E">
        <w:lastRenderedPageBreak/>
        <w:t>F.</w:t>
      </w:r>
      <w:r w:rsidRPr="00E2643E">
        <w:tab/>
        <w:t xml:space="preserve">Förtroendet för parlamentets integritet och rättsstatsprincipen är av största vikt för att den europeiska demokratin ska fungera, samtidigt som medborgarnas rättigheter respekteras fullt ut. </w:t>
      </w:r>
    </w:p>
    <w:p w14:paraId="099379C7" w14:textId="77777777" w:rsidR="00ED6F45" w:rsidRPr="00E2643E" w:rsidRDefault="00ED6F45" w:rsidP="00ED6F45">
      <w:pPr>
        <w:pStyle w:val="NormalHanging12a"/>
      </w:pPr>
      <w:r w:rsidRPr="00E2643E">
        <w:t>G.</w:t>
      </w:r>
      <w:r w:rsidRPr="00E2643E">
        <w:tab/>
        <w:t>Ledamöterna skyddas av att de inte är ansvariga för avgivna röster och åsikter som de uttryckt under utövandet av sitt mandat och de skyddas mot åtal och begränsningar av sin personliga frihet när de fullgör sina uppgifter i parlamentet.</w:t>
      </w:r>
    </w:p>
    <w:p w14:paraId="79B38614" w14:textId="4650BE3B" w:rsidR="00ED6F45" w:rsidRPr="00E2643E" w:rsidRDefault="00ED6F45" w:rsidP="00ED6F45">
      <w:pPr>
        <w:pStyle w:val="NormalHanging12a"/>
      </w:pPr>
      <w:r w:rsidRPr="00E2643E">
        <w:t>H.</w:t>
      </w:r>
      <w:r w:rsidRPr="00E2643E">
        <w:tab/>
        <w:t>Jämställdhet och undanröjande av bristande jämställdhet är grundläggande värden som unionen bygger på i enlighet med artikel 2 i fördraget om Europeiska unionen (EU</w:t>
      </w:r>
      <w:r w:rsidRPr="00E2643E">
        <w:noBreakHyphen/>
        <w:t xml:space="preserve">fördraget). Unionen har åtagit sig att främja jämställdhet i all sin verksamhet i enlighet med artikel 8 i fördraget om Europeiska unionens funktionssätt och </w:t>
      </w:r>
      <w:r w:rsidR="007A4337" w:rsidRPr="00E2643E">
        <w:t xml:space="preserve">stadfäster </w:t>
      </w:r>
      <w:r w:rsidRPr="00E2643E">
        <w:t>därmed principen om jämställdhetsintegrering och jämställdhetsbudgetering.</w:t>
      </w:r>
    </w:p>
    <w:p w14:paraId="772BB5B5" w14:textId="77777777" w:rsidR="00ED6F45" w:rsidRPr="00E2643E" w:rsidRDefault="00ED6F45" w:rsidP="00ED6F45">
      <w:pPr>
        <w:pStyle w:val="NormalHanging12a"/>
      </w:pPr>
      <w:r w:rsidRPr="00E2643E">
        <w:t>I.</w:t>
      </w:r>
      <w:r w:rsidRPr="00E2643E">
        <w:tab/>
        <w:t>Enligt artikel 249 i arbetsordningen ska presidiet anta en jämställdhetshandlingsplan för integrering av ett jämställdhetsperspektiv i parlamentets alla verksamheter.</w:t>
      </w:r>
    </w:p>
    <w:p w14:paraId="62E6D81D" w14:textId="77777777" w:rsidR="00ED6F45" w:rsidRPr="00E2643E" w:rsidRDefault="00ED6F45" w:rsidP="00ED6F45">
      <w:pPr>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Parlamentets budgetförvaltning och ekonomiska förvaltning</w:t>
      </w:r>
    </w:p>
    <w:p w14:paraId="4CFDB803"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w:t>
      </w:r>
      <w:r w:rsidRPr="00E2643E">
        <w:t>.</w:t>
      </w:r>
      <w:r w:rsidRPr="00E2643E">
        <w:rPr>
          <w14:textOutline w14:w="0" w14:cap="flat" w14:cmpd="sng" w14:algn="ctr">
            <w14:noFill/>
            <w14:prstDash w14:val="solid"/>
            <w14:bevel/>
          </w14:textOutline>
        </w:rPr>
        <w:tab/>
      </w:r>
      <w:r w:rsidRPr="00E2643E">
        <w:t>Europaparlamentet noterar att parlamentets slutgiltiga anslag för 2024 uppgick till 2 383 miljoner EUR eller 20,2 % av rubrik 7 i den fleråriga budgetramen</w:t>
      </w:r>
      <w:r w:rsidRPr="00E2643E">
        <w:rPr>
          <w:rStyle w:val="FootnoteReference"/>
        </w:rPr>
        <w:footnoteReference w:id="8"/>
      </w:r>
      <w:r w:rsidRPr="00E2643E">
        <w:t xml:space="preserve"> av det belopp som totalt avsatts för administrativa utgifter under 2024 för unionens institutioner, dvs. en ökning med 6,05 % jämfört med 2023 års budget (2 247 miljoner EUR).</w:t>
      </w:r>
    </w:p>
    <w:p w14:paraId="3C891F03"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2</w:t>
      </w:r>
      <w:r w:rsidRPr="00E2643E">
        <w:t>.</w:t>
      </w:r>
      <w:r w:rsidRPr="00E2643E">
        <w:rPr>
          <w14:textOutline w14:w="0" w14:cap="flat" w14:cmpd="sng" w14:algn="ctr">
            <w14:noFill/>
            <w14:prstDash w14:val="solid"/>
            <w14:bevel/>
          </w14:textOutline>
        </w:rPr>
        <w:tab/>
      </w:r>
      <w:r w:rsidRPr="00E2643E">
        <w:t>Europaparlamentet noterar att de totala inkomsterna i räkenskaperna per den 31 december 2024 uppgick till 281 517 001 EUR (jämfört med 255 205 473 EUR 2023).</w:t>
      </w:r>
      <w:r w:rsidRPr="00E2643E">
        <w:rPr>
          <w14:textOutline w14:w="0" w14:cap="flat" w14:cmpd="sng" w14:algn="ctr">
            <w14:noFill/>
            <w14:prstDash w14:val="solid"/>
            <w14:bevel/>
          </w14:textOutline>
        </w:rPr>
        <w:t xml:space="preserve"> </w:t>
      </w:r>
      <w:r w:rsidRPr="00E2643E">
        <w:t>Parlamentet noterar att inkomster avsatta för särskilda ändamål som gjordes tillgängliga 2024 uppgick till 40 277 555 EUR (jämfört med 50 186 995 EUR 2023).</w:t>
      </w:r>
    </w:p>
    <w:p w14:paraId="73777A59"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3</w:t>
      </w:r>
      <w:r w:rsidRPr="00E2643E">
        <w:t>.</w:t>
      </w:r>
      <w:r w:rsidRPr="00E2643E">
        <w:rPr>
          <w14:textOutline w14:w="0" w14:cap="flat" w14:cmpd="sng" w14:algn="ctr">
            <w14:noFill/>
            <w14:prstDash w14:val="solid"/>
            <w14:bevel/>
          </w14:textOutline>
        </w:rPr>
        <w:tab/>
      </w:r>
      <w:r w:rsidRPr="00E2643E">
        <w:t>Europaparlamentet noterar att följande sex kapitel stod för 85,7 % av de totala åtagandena:</w:t>
      </w:r>
      <w:r w:rsidRPr="00E2643E">
        <w:rPr>
          <w14:textOutline w14:w="0" w14:cap="flat" w14:cmpd="sng" w14:algn="ctr">
            <w14:noFill/>
            <w14:prstDash w14:val="solid"/>
            <w14:bevel/>
          </w14:textOutline>
        </w:rPr>
        <w:t xml:space="preserve"> </w:t>
      </w:r>
      <w:r w:rsidRPr="00E2643E">
        <w:t>kapitel 1 0 ”Ledamöter”, kapitel 1 2 ”Tjänstemän och tillfälligt anställda”, kapitel 1 4 ”Övrig personal och externa tjänster”, kapitel 2 0 ”Fastigheter och utgifter i samband med dessa”, kapitel 2 1 ”Informationsteknik, utrustning och inventarier” och kapitel 4 2 ”Utgifter för assistentstöd till ledamöterna”.</w:t>
      </w:r>
    </w:p>
    <w:p w14:paraId="258BB2BA" w14:textId="77777777" w:rsidR="00E2643E" w:rsidRPr="00E2643E" w:rsidRDefault="00ED6F45" w:rsidP="00E2643E">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4.</w:t>
      </w:r>
      <w:r w:rsidRPr="00E2643E">
        <w:rPr>
          <w14:textOutline w14:w="0" w14:cap="flat" w14:cmpd="sng" w14:algn="ctr">
            <w14:noFill/>
            <w14:prstDash w14:val="solid"/>
            <w14:bevel/>
          </w14:textOutline>
        </w:rPr>
        <w:tab/>
        <w:t>Europaparlamentet noterar de siffror på grundval av vilka parlamentets räkenskaper för budgetåret 2024 avslutades och som rapporteras i Europaparlamentets årsredovisning för budgetåret 2024, rapporten om budgetförvaltningen och den ekonomiska förvaltningen för avsnitt I: Europaparlamentet och rapporten om tilldelningen av kontrakt och koncessioner av Europaparlamentet.</w:t>
      </w:r>
    </w:p>
    <w:p w14:paraId="3D522461" w14:textId="4C1A3C64" w:rsidR="00ED6F45" w:rsidRPr="00E2643E" w:rsidRDefault="00ED6F45" w:rsidP="00E2643E">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5</w:t>
      </w:r>
      <w:r w:rsidRPr="00E2643E">
        <w:t>.</w:t>
      </w:r>
      <w:r w:rsidRPr="00E2643E">
        <w:rPr>
          <w14:textOutline w14:w="0" w14:cap="flat" w14:cmpd="sng" w14:algn="ctr">
            <w14:noFill/>
            <w14:prstDash w14:val="solid"/>
            <w14:bevel/>
          </w14:textOutline>
        </w:rPr>
        <w:tab/>
      </w:r>
      <w:r w:rsidRPr="00E2643E">
        <w:t>Europaparlamentet noterar att 12 överföringar godkändes av parlamentets budgetutskott (C-överföringar) i enlighet med artiklarna 31 och 49 i budgetförordningen under budgetåret 2024, och att de uppgick till 82 768 000 EUR eller 3,47 % av de slutliga anslagen.</w:t>
      </w:r>
      <w:r w:rsidRPr="00E2643E">
        <w:rPr>
          <w14:textOutline w14:w="0" w14:cap="flat" w14:cmpd="sng" w14:algn="ctr">
            <w14:noFill/>
            <w14:prstDash w14:val="solid"/>
            <w14:bevel/>
          </w14:textOutline>
        </w:rPr>
        <w:t xml:space="preserve"> </w:t>
      </w:r>
      <w:r w:rsidRPr="00E2643E">
        <w:t>Parlamentet noterar att talmannen godkände 9 överföringar (P-överföringar), i enlighet med artikel 29 i budgetförordningen, som uppgick till 11 479 000 EUR eller 0,4 % av budgeten för 2024.</w:t>
      </w:r>
    </w:p>
    <w:p w14:paraId="134A8099" w14:textId="77777777" w:rsidR="00ED6F45" w:rsidRPr="00E2643E" w:rsidRDefault="00ED6F45" w:rsidP="00ED6F45">
      <w:pPr>
        <w:spacing w:after="240"/>
        <w:ind w:left="567" w:hanging="567"/>
      </w:pPr>
      <w:r w:rsidRPr="00E2643E">
        <w:rPr>
          <w14:textOutline w14:w="0" w14:cap="flat" w14:cmpd="sng" w14:algn="ctr">
            <w14:noFill/>
            <w14:prstDash w14:val="solid"/>
            <w14:bevel/>
          </w14:textOutline>
        </w:rPr>
        <w:lastRenderedPageBreak/>
        <w:t>6</w:t>
      </w:r>
      <w:r w:rsidRPr="00E2643E">
        <w:t>.</w:t>
      </w:r>
      <w:r w:rsidRPr="00E2643E">
        <w:rPr>
          <w14:textOutline w14:w="0" w14:cap="flat" w14:cmpd="sng" w14:algn="ctr">
            <w14:noFill/>
            <w14:prstDash w14:val="solid"/>
            <w14:bevel/>
          </w14:textOutline>
        </w:rPr>
        <w:tab/>
      </w:r>
      <w:r w:rsidRPr="00E2643E">
        <w:t>Europaparlamentet välkomnar generalsekreterarens åtagande om förenkling, god förvaltning och förstärkning av parlamentets kontrollfunktion. Parlamentet noterar med tillfredsställelse att förenkling inte bara används som ett mål att uppnå, utan som en vägledande princip som systematiskt ska tillämpas inom alla områden av parlamentets arbete och säkerställa effektivare och mer tillgängliga (administrativa) processer. Parlamentet välkomnar den fortsatta betoningen på parlamentets kärnverksamhet, dess lagstiftnings-, budget- och kontrollverksamhet, och i synnerhet inrättandet av fyra tematiska generaldirektorat, däribland generaldirektoratet för budgetfrågor.</w:t>
      </w:r>
    </w:p>
    <w:p w14:paraId="2C341B84" w14:textId="77777777" w:rsidR="00ED6F45" w:rsidRPr="00E2643E" w:rsidRDefault="00ED6F45" w:rsidP="00ED6F45">
      <w:pPr>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Revisionsrättens yttranden över räkenskapernas tillförlitlighet för budgetåret 2024 samt lagligheten och korrektheten i de transaktioner som ligger till grund för räkenskaperna</w:t>
      </w:r>
    </w:p>
    <w:p w14:paraId="661057B0"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7</w:t>
      </w:r>
      <w:r w:rsidRPr="00E2643E">
        <w:t>.</w:t>
      </w:r>
      <w:r w:rsidRPr="00E2643E">
        <w:rPr>
          <w14:textOutline w14:w="0" w14:cap="flat" w14:cmpd="sng" w14:algn="ctr">
            <w14:noFill/>
            <w14:prstDash w14:val="solid"/>
            <w14:bevel/>
          </w14:textOutline>
        </w:rPr>
        <w:tab/>
        <w:t xml:space="preserve">Europaparlamentet påminner om att revisionsrätten gör en särskild bedömning av administrativa och andra utgifter som ett enda verksamhetsområde för samtliga unionsinstitutioner. </w:t>
      </w:r>
      <w:r w:rsidRPr="00E2643E">
        <w:t>Parlamentet framhåller att de administrativa utgifterna omfattar personalutgifter, inklusive pensioner, som 2024 utgjorde cirka 69 % av de totala administrativa utgifterna, samt utgifter för byggnader, utrustning, energi, kommunikation och it.</w:t>
      </w:r>
      <w:r w:rsidRPr="00E2643E">
        <w:rPr>
          <w14:textOutline w14:w="0" w14:cap="flat" w14:cmpd="sng" w14:algn="ctr">
            <w14:noFill/>
            <w14:prstDash w14:val="solid"/>
            <w14:bevel/>
          </w14:textOutline>
        </w:rPr>
        <w:t xml:space="preserve"> Parlamentet framhåller att revisionsrättens arbete under många år visar att dessa utgifter på det stora hela är förknippade med låg risk.</w:t>
      </w:r>
    </w:p>
    <w:p w14:paraId="1C00F8BF"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8</w:t>
      </w:r>
      <w:r w:rsidRPr="00E2643E">
        <w:t>.</w:t>
      </w:r>
      <w:r w:rsidRPr="00E2643E">
        <w:rPr>
          <w14:textOutline w14:w="0" w14:cap="flat" w14:cmpd="sng" w14:algn="ctr">
            <w14:noFill/>
            <w14:prstDash w14:val="solid"/>
            <w14:bevel/>
          </w14:textOutline>
        </w:rPr>
        <w:tab/>
      </w:r>
      <w:r w:rsidRPr="00E2643E">
        <w:t xml:space="preserve">Europaparlamentet noterar att rubrik 7 i den fleråriga budgetramen, ”Europeisk offentlig förvaltning”, stod för 13,3 miljarder EUR eller 6,9 % av unionens budget 2024, varav parlamentets andel stod för 2,4 miljarder EUR eller 18,1 %. </w:t>
      </w:r>
      <w:r w:rsidRPr="00E2643E">
        <w:rPr>
          <w14:textOutline w14:w="0" w14:cap="flat" w14:cmpd="sng" w14:algn="ctr">
            <w14:noFill/>
            <w14:prstDash w14:val="solid"/>
            <w14:bevel/>
          </w14:textOutline>
        </w:rPr>
        <w:t>Parlamentet betonar att revisionsrätten konstaterade att felnivån i utgifterna för ”Europeisk offentlig förvaltning” inte var väsentlig.</w:t>
      </w:r>
    </w:p>
    <w:p w14:paraId="6AA99F36" w14:textId="77777777" w:rsidR="00450197" w:rsidRPr="00E2643E" w:rsidRDefault="00ED6F45" w:rsidP="00450197">
      <w:pPr>
        <w:spacing w:after="240"/>
        <w:ind w:left="567" w:hanging="567"/>
      </w:pPr>
      <w:r w:rsidRPr="00E2643E">
        <w:rPr>
          <w14:textOutline w14:w="0" w14:cap="flat" w14:cmpd="sng" w14:algn="ctr">
            <w14:noFill/>
            <w14:prstDash w14:val="solid"/>
            <w14:bevel/>
          </w14:textOutline>
        </w:rPr>
        <w:t>9</w:t>
      </w:r>
      <w:r w:rsidRPr="00E2643E">
        <w:t>.</w:t>
      </w:r>
      <w:r w:rsidRPr="00E2643E">
        <w:rPr>
          <w14:textOutline w14:w="0" w14:cap="flat" w14:cmpd="sng" w14:algn="ctr">
            <w14:noFill/>
            <w14:prstDash w14:val="solid"/>
            <w14:bevel/>
          </w14:textOutline>
        </w:rPr>
        <w:tab/>
      </w:r>
      <w:r w:rsidRPr="00E2643E">
        <w:t>Europaparlamentet noterar att revisionsrätten i sin årsrapport om genomförandet av budgeten för budgetåret 2024 särskilt granskade parlamentets system för övervakning och kontroll, särskilt genomförandet av normer för internkontroll, riskhantering och hur de nyckelkontroller som fastställs i budgetförordningen fungerar, inbegripet förhands- och efterhandskontroller av betalningar, samt ett statistiskt representativt urval av 70 transaktioner som omfattar alla typer av utgifter under denna rubrik i den fleråriga budgetramen och den information om efterlevnad av regler och förordningar som ges i de årliga verksamhetsrapporterna från alla unionens institutioner och organ.</w:t>
      </w:r>
    </w:p>
    <w:p w14:paraId="571213A3" w14:textId="1157A6E0" w:rsidR="00ED6F45" w:rsidRPr="00E2643E" w:rsidRDefault="00ED6F45" w:rsidP="00703214">
      <w:pPr>
        <w:spacing w:after="240"/>
        <w:ind w:left="567" w:hanging="567"/>
      </w:pPr>
      <w:r w:rsidRPr="00E2643E">
        <w:t>10.</w:t>
      </w:r>
      <w:r w:rsidRPr="00E2643E">
        <w:tab/>
        <w:t>Europaparlamentet noterar revisionsrättens iakttagelser om parlamentets interna bestämmelser. Parlamentet noterar att parlamentets administration omfattas av budgetförordningen och dess regler för offentlig upphandling. Parlamentet noterar dock att presidiet, när det gäller de politiska grupperna, har antagit bestämmelserna för utnyttjande av anslag under budgetpost 400, som innehåller ett antal särskilda bestämmelser för vissa upphandlingsförfaranden. Parlamentet påminner om att de politiska grupperna förvaltar de medel som tilldelats dem i enlighet med principerna för indirekt förvaltning av medel genom att tillämpa artikel 62.1 c i budgetförordningen på motsvarande sätt. Parlamentet anser att dessa bestämmelser i sig ersätter ”överenskommelser om medverkan” (som avses i artikel 158.7 i budgetförordningen). Parlamentet betonar att en extern revisor för varje grupp, som väljs från en förteckning över revisionsföretag som upprättats av parlamentets administration, certifierar deras respektive årsredovisning för att säkerställa efterlevnad, vilket säkerställer en neutral kontrollnivå. Parlamentet betonar att revisionsrätten också undersöker de politiska gruppernas verksamhet i sin årsrapport.</w:t>
      </w:r>
    </w:p>
    <w:p w14:paraId="6B883CE3" w14:textId="77777777" w:rsidR="00ED6F45" w:rsidRPr="00E2643E" w:rsidRDefault="00ED6F45" w:rsidP="00ED6F45">
      <w:pPr>
        <w:pStyle w:val="NormalHanging12a"/>
      </w:pPr>
      <w:r w:rsidRPr="00E2643E">
        <w:lastRenderedPageBreak/>
        <w:t>11.</w:t>
      </w:r>
      <w:r w:rsidRPr="00E2643E">
        <w:tab/>
        <w:t xml:space="preserve">Europaparlamentet noterar att endast tre revisorer fanns med på förteckningen över revisionsföretag som valts ut för att granska de politiska gruppernas räkenskaper, och beklagar det begränsade urval som finns tillgängligt. Parlamentet uppmanar generaldirektoratet för ekonomi (GD FINS) att sträva efter att inkludera fler externa revisionsföretag i förteckningen genom att aktivt bjuda in alla kvalificerade europeiska revisorer, även de som är baserade utanför Belgien, och tillhandahålla ett tillräckligt antal alternativ för att de politiska grupperna ska ha fler valmöjligheter att välja en revisor som uppfyller kraven från International Auditing and Assurance Standards Board (IAASB). Parlamentet anser vidare att de budgetar som anslås av de politiska grupperna för revisionerna bör ökas för att säkerställa en mer grundlig revision av sund ekonomisk förvaltning och locka till sig ett bredare spektrum av revisionsexpertis. Parlamentet noterar de anvisningar och den vägledning som redan ges till externa revisorer och uppmuntrar GD FINS att säkerställa kvaliteten på de externa revisioner som godkänner de politiska gruppernas räkenskaper. </w:t>
      </w:r>
    </w:p>
    <w:p w14:paraId="6494C726" w14:textId="77777777" w:rsidR="00ED6F45" w:rsidRPr="00E2643E" w:rsidRDefault="00ED6F45" w:rsidP="00ED6F45">
      <w:pPr>
        <w:spacing w:after="240"/>
        <w:ind w:left="567" w:hanging="567"/>
      </w:pPr>
      <w:r w:rsidRPr="00E2643E">
        <w:rPr>
          <w14:textOutline w14:w="0" w14:cap="flat" w14:cmpd="sng" w14:algn="ctr">
            <w14:noFill/>
            <w14:prstDash w14:val="solid"/>
            <w14:bevel/>
          </w14:textOutline>
        </w:rPr>
        <w:t>12</w:t>
      </w:r>
      <w:r w:rsidRPr="00E2643E">
        <w:t>.</w:t>
      </w:r>
      <w:r w:rsidRPr="00E2643E">
        <w:rPr>
          <w14:textOutline w14:w="0" w14:cap="flat" w14:cmpd="sng" w14:algn="ctr">
            <w14:noFill/>
            <w14:prstDash w14:val="solid"/>
            <w14:bevel/>
          </w14:textOutline>
        </w:rPr>
        <w:tab/>
      </w:r>
      <w:r w:rsidRPr="00E2643E">
        <w:t>Europaparlamentet noterar att enligt artikel 1.4 i bestämmelserna om utnyttjande av anslag från budgetpost 400 ska de politiska grupperna inför institutionen ansvara för användningen av anslagen, inom ramen för de befogenheter som de tilldelats av presidiet. Parlamentet påpekar att de ska se till att anslagen används i enlighet med dessa bestämmelser. Parlamentet välkomnar de insatser som parlamentets administration har gjort för att bistå de politiska grupperna i syfte att vägleda deras kunskaper och kapacitet när det gäller ekonomisk förvaltning.</w:t>
      </w:r>
    </w:p>
    <w:p w14:paraId="3AA8F238" w14:textId="77777777" w:rsidR="00ED6F45" w:rsidRPr="00E2643E" w:rsidRDefault="00ED6F45" w:rsidP="00ED6F45">
      <w:pPr>
        <w:spacing w:after="240"/>
        <w:ind w:left="567" w:hanging="567"/>
      </w:pPr>
      <w:r w:rsidRPr="00E2643E">
        <w:t>13.</w:t>
      </w:r>
      <w:r w:rsidRPr="00E2643E">
        <w:tab/>
        <w:t>Europaparlamentet påminner om att medel från unionens budget kan anslås till europeiska politiska partier för att bidra till att bygga upp en europeisk politisk medvetenhet och uttrycka unionsmedborgarnas politiska vilja. Parlamentet noterar att revisionsrätten granskade en transaktion där den ansåg att utgifterna inte var stödberättigande och konstaterade att parlamentets administration var av samma åsikt och hade vidtagit åtgärder för att återkräva utgifterna i fråga. Parlamentet välkomnar tillvägagångssättet av parlamentets administration i detta avseende, särskilt dess åtagande att tillämpa en övergripande strategi som garanterar likabehandling av alla politiska partier.</w:t>
      </w:r>
    </w:p>
    <w:p w14:paraId="7E611A05" w14:textId="77777777" w:rsidR="00ED6F45" w:rsidRPr="00E2643E" w:rsidRDefault="00ED6F45" w:rsidP="00ED6F45">
      <w:pPr>
        <w:keepNext/>
        <w:keepLines/>
        <w:widowControl/>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Internrevisorns årsrapport</w:t>
      </w:r>
    </w:p>
    <w:p w14:paraId="6E301D30" w14:textId="77777777" w:rsidR="00ED6F45" w:rsidRPr="00E2643E" w:rsidRDefault="00ED6F45" w:rsidP="00ED6F45">
      <w:pPr>
        <w:keepNext/>
        <w:keepLines/>
        <w:widowControl/>
        <w:spacing w:after="240"/>
        <w:ind w:left="567" w:hanging="567"/>
      </w:pPr>
      <w:r w:rsidRPr="00E2643E">
        <w:rPr>
          <w14:textOutline w14:w="0" w14:cap="flat" w14:cmpd="sng" w14:algn="ctr">
            <w14:noFill/>
            <w14:prstDash w14:val="solid"/>
            <w14:bevel/>
          </w14:textOutline>
        </w:rPr>
        <w:t>14.</w:t>
      </w:r>
      <w:r w:rsidRPr="00E2643E">
        <w:rPr>
          <w14:textOutline w14:w="0" w14:cap="flat" w14:cmpd="sng" w14:algn="ctr">
            <w14:noFill/>
            <w14:prstDash w14:val="solid"/>
            <w14:bevel/>
          </w14:textOutline>
        </w:rPr>
        <w:tab/>
      </w:r>
      <w:r w:rsidRPr="00E2643E">
        <w:t>Europaparlamentet noterar att internrevisorn lade fram sin årsrapport vid det sammanträde som hölls den 8 december 2025 mellan det ansvariga utskottet och internrevisorn.</w:t>
      </w:r>
    </w:p>
    <w:p w14:paraId="46DC9F84" w14:textId="77777777" w:rsidR="00ED6F45" w:rsidRPr="00E2643E" w:rsidRDefault="00ED6F45" w:rsidP="00ED6F45">
      <w:pPr>
        <w:spacing w:after="240"/>
        <w:ind w:left="567" w:hanging="567"/>
      </w:pPr>
      <w:r w:rsidRPr="00E2643E">
        <w:rPr>
          <w14:textOutline w14:w="0" w14:cap="flat" w14:cmpd="sng" w14:algn="ctr">
            <w14:noFill/>
            <w14:prstDash w14:val="solid"/>
            <w14:bevel/>
          </w14:textOutline>
        </w:rPr>
        <w:t>15.</w:t>
      </w:r>
      <w:r w:rsidRPr="00E2643E">
        <w:rPr>
          <w14:textOutline w14:w="0" w14:cap="flat" w14:cmpd="sng" w14:algn="ctr">
            <w14:noFill/>
            <w14:prstDash w14:val="solid"/>
            <w14:bevel/>
          </w14:textOutline>
        </w:rPr>
        <w:tab/>
      </w:r>
      <w:r w:rsidRPr="00E2643E">
        <w:t>Europaparlamentet välkomnar och stöder de åtgärder som internrevisorn har kommit överens om med de ansvariga generaldirektoraten till följd av internrevisionstjänstens revisionsuppdrag. Parlamentet noterar att uppföljningen av dessa rekommendationer granskas systematiskt.</w:t>
      </w:r>
    </w:p>
    <w:p w14:paraId="18E06625"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16.</w:t>
      </w:r>
      <w:r w:rsidRPr="00E2643E">
        <w:rPr>
          <w14:textOutline w14:w="0" w14:cap="flat" w14:cmpd="sng" w14:algn="ctr">
            <w14:noFill/>
            <w14:prstDash w14:val="solid"/>
            <w14:bevel/>
          </w14:textOutline>
        </w:rPr>
        <w:tab/>
        <w:t>Europaparlamentet noterar att 2024 års uppföljningsprocess resulterade i att 24 av de 57 åtgärderna ansågs vara effektivt genomförda och därför validerade av tjänsten för internrevision. Parlamentet noterar att den kvarstående riskprofilen för 33 försenade åtgärder gällde 24 åtgärder med en betydande risk, främst i samband med cybersäkerhet och identitets- och åtkomsthantering. Parlamentet noterar det förstärkta samarbetet med generaldirektoratet för informationsteknik och cybersäkerhet (GD ITEC) för att övervaka genomförandet och den kvarstående risken.</w:t>
      </w:r>
    </w:p>
    <w:p w14:paraId="73BB4F16" w14:textId="77777777" w:rsidR="00ED6F45" w:rsidRPr="00E2643E" w:rsidRDefault="00ED6F45" w:rsidP="00ED6F45">
      <w:pPr>
        <w:pStyle w:val="NormalHanging12a"/>
      </w:pPr>
      <w:r w:rsidRPr="00E2643E">
        <w:lastRenderedPageBreak/>
        <w:t>17.</w:t>
      </w:r>
      <w:r w:rsidRPr="00E2643E">
        <w:tab/>
        <w:t>Europaparlamentet konstaterar att i enlighet med artikel 118.9 i budgetförordningen ska internrevisorns rapporter och iakttagelser, liksom den berörda unionsinstitutionens rapport, bli tillgängliga för allmänheten så snart internrevisorn har godkänt åtgärderna, samtidigt som efterlevnaden av regler för dataskydd och sekretess säkerställs. Parlamentet noterar att rapporterna inte offentliggörs förrän alla rekommendationer har genomförts. Parlamentet noterar att ledamöterna i parlamentets budgetkontrollutskott har rätt att begära konfidentiell tillgång till internrevisionsrapporten inför ansvarsfrihetsförfarandet, och välkomnar att internrevisorn rapporterar till parlamentets budgetkontrollutskott om den årliga revisionsverksamhet som utförts.</w:t>
      </w:r>
    </w:p>
    <w:p w14:paraId="73D6014A"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18.</w:t>
      </w:r>
      <w:r w:rsidRPr="00E2643E">
        <w:rPr>
          <w14:textOutline w14:w="0" w14:cap="flat" w14:cmpd="sng" w14:algn="ctr">
            <w14:noFill/>
            <w14:prstDash w14:val="solid"/>
            <w14:bevel/>
          </w14:textOutline>
        </w:rPr>
        <w:tab/>
        <w:t>Europaparlamentet välkomnar internrevisionstjänstens fortsatta kvalitetssäkrings- och kvalitetsförbättringsprogram, som främst förberedde införandet av de nya globala standarder för internrevision som skulle träda i kraft i januari 2025. Parlamentet välkomnar särskilt presidiets antagande av den uppdaterade revisionsstadgan och utarbetandet av en strategi för internrevisionsfunktionen för 2025–2029 som i hög grad återspeglar behovet av positiva förändringar och ett etiskt drivet tillvägagångssätt. Parlamentet anser att det faktum att 70 % av internrevisionstjänstens personal har klarat certifieringsprovet för att bli internrevisor är ytterligare en indikator för kvalitetsförbättring.</w:t>
      </w:r>
    </w:p>
    <w:p w14:paraId="73FC6F49" w14:textId="77777777" w:rsidR="00ED6F45" w:rsidRPr="00E2643E" w:rsidRDefault="00ED6F45" w:rsidP="00ED6F45">
      <w:pPr>
        <w:keepNext/>
        <w:keepLines/>
        <w:widowControl/>
        <w:spacing w:after="240"/>
        <w:ind w:left="567" w:hanging="567"/>
        <w:rPr>
          <w:szCs w:val="24"/>
          <w14:textOutline w14:w="0" w14:cap="flat" w14:cmpd="sng" w14:algn="ctr">
            <w14:noFill/>
            <w14:prstDash w14:val="solid"/>
            <w14:bevel/>
          </w14:textOutline>
        </w:rPr>
      </w:pPr>
      <w:r w:rsidRPr="00E2643E">
        <w:rPr>
          <w:b/>
          <w:i/>
          <w14:textOutline w14:w="0" w14:cap="flat" w14:cmpd="sng" w14:algn="ctr">
            <w14:noFill/>
            <w14:prstDash w14:val="solid"/>
            <w14:bevel/>
          </w14:textOutline>
        </w:rPr>
        <w:t>Politiska prioriteringar</w:t>
      </w:r>
    </w:p>
    <w:p w14:paraId="36464A04" w14:textId="77777777" w:rsidR="00ED6F45" w:rsidRPr="00E2643E" w:rsidRDefault="00ED6F45" w:rsidP="00ED6F45">
      <w:pPr>
        <w:pStyle w:val="NormalHanging12a"/>
        <w:keepNext/>
        <w:keepLines/>
        <w:widowControl/>
      </w:pPr>
      <w:r w:rsidRPr="00E2643E">
        <w:t>19.</w:t>
      </w:r>
      <w:r w:rsidRPr="00E2643E">
        <w:tab/>
        <w:t>Europaparlamentet påminner om att i enlighet med artiklarna 1.3.2, 2.7.1 och 2.7.2 i bestämmelserna för utnyttjande av anslag från budgetpost 400 lämnade den tidigare politiska gruppen Identitet och demokrati (ID-gruppen) in sin slutliga finansiella rapport den 8 oktober 2024 för perioden 1 januari–15 juli 2024. Parlamentet påminner om att parlamentets administration tog emot ID-gruppens fullständiga finansiella arkiv i både elektroniskt format och pappersformat och genomförde en riskbaserad efterhandskontroll av räkenskaperna för 2024, med fokus på konsekvenskontroller och stickprovskontroller av högriskkontrakt och högriskdonationer. Parlamentet påminner om slutsatsen från parlamentets administration att minst 4 333 635,78 EUR av anslagen under budgetpost 400 använts felaktigt av gruppen under valperioden 2019–2024, vilket utsatte parlamentet för en betydande ekonomisk risk och anseenderisk. Parlamentet påminner om att brister i förfarandena för offentlig upphandling identifierades och utgör betydande anseenderisker för parlamentet.</w:t>
      </w:r>
    </w:p>
    <w:p w14:paraId="41925717" w14:textId="77777777" w:rsidR="00ED6F45" w:rsidRPr="00E2643E" w:rsidRDefault="00ED6F45" w:rsidP="00ED6F45">
      <w:pPr>
        <w:pStyle w:val="NormalHanging12a"/>
      </w:pPr>
      <w:r w:rsidRPr="00E2643E">
        <w:t>20.</w:t>
      </w:r>
      <w:r w:rsidRPr="00E2643E">
        <w:tab/>
        <w:t>Europaparlamentet noterar att Europeiska åklagarmyndigheten (</w:t>
      </w:r>
      <w:proofErr w:type="spellStart"/>
      <w:r w:rsidRPr="00E2643E">
        <w:t>Eppo</w:t>
      </w:r>
      <w:proofErr w:type="spellEnd"/>
      <w:r w:rsidRPr="00E2643E">
        <w:t>) i juli 2025 meddelade att den inlett en utredning av ID-gruppens påstådda missbruk av unionsmedel mellan 2019 och 2024.</w:t>
      </w:r>
    </w:p>
    <w:p w14:paraId="2623ECD1" w14:textId="77777777" w:rsidR="00ED6F45" w:rsidRPr="00E2643E" w:rsidRDefault="00ED6F45" w:rsidP="00ED6F45">
      <w:pPr>
        <w:pStyle w:val="NormalHanging12a"/>
      </w:pPr>
      <w:r w:rsidRPr="00E2643E">
        <w:t>21.</w:t>
      </w:r>
      <w:r w:rsidRPr="00E2643E">
        <w:tab/>
        <w:t xml:space="preserve">Europaparlamentet betonar att parlamentets administration har översänt ärendeakten och samarbetar fullt ut med </w:t>
      </w:r>
      <w:proofErr w:type="spellStart"/>
      <w:r w:rsidRPr="00E2643E">
        <w:t>Eppo</w:t>
      </w:r>
      <w:proofErr w:type="spellEnd"/>
      <w:r w:rsidRPr="00E2643E">
        <w:t xml:space="preserve">-utredningen. Parlamentet noterar att presidiet inväntar resultatet av </w:t>
      </w:r>
      <w:proofErr w:type="spellStart"/>
      <w:r w:rsidRPr="00E2643E">
        <w:t>Eppos</w:t>
      </w:r>
      <w:proofErr w:type="spellEnd"/>
      <w:r w:rsidRPr="00E2643E">
        <w:t xml:space="preserve"> utredning innan några åtgärder för återkrav vidtas. Parlamentet uppmanar presidiet att ge parlamentets budgetkontrollutskott en skriftlig uppdatering om läget innan nästa ansvarsfrihetscykel inleds. Parlamentets administration uppmanas att vidta alla nödvändiga åtgärder parallellt med </w:t>
      </w:r>
      <w:proofErr w:type="spellStart"/>
      <w:r w:rsidRPr="00E2643E">
        <w:t>Eppos</w:t>
      </w:r>
      <w:proofErr w:type="spellEnd"/>
      <w:r w:rsidRPr="00E2643E">
        <w:t xml:space="preserve"> brottsutredning och administrativa tillfälliga skyddsåtgärder (inbegripet kvittning och/eller reserver i förebyggande syfte, när så är rättsligt möjligt) för att skydda unionens ekonomiska intressen och parlamentets anseende. Parlamentet anser att </w:t>
      </w:r>
      <w:proofErr w:type="spellStart"/>
      <w:r w:rsidRPr="00E2643E">
        <w:t>Eppo</w:t>
      </w:r>
      <w:proofErr w:type="spellEnd"/>
      <w:r w:rsidRPr="00E2643E">
        <w:t xml:space="preserve"> enligt artikel 3.3 i samarbetsavtalet mellan Europaparlamentet och Europeiska åklagarmyndigheten kommer att informera parlamentet om pågående eller avslutade utredningar där </w:t>
      </w:r>
      <w:r w:rsidRPr="00E2643E">
        <w:lastRenderedPageBreak/>
        <w:t xml:space="preserve">parlamentet förefaller kunna vidta säkerhetsåtgärder för att skydda unionens ekonomiska intressen, inbegripet disciplinära förfaranden eller </w:t>
      </w:r>
      <w:proofErr w:type="spellStart"/>
      <w:r w:rsidRPr="00E2643E">
        <w:t>återkravsförfaranden</w:t>
      </w:r>
      <w:proofErr w:type="spellEnd"/>
      <w:r w:rsidRPr="00E2643E">
        <w:t xml:space="preserve"> inom de tillämpliga tidsfristerna. Parlamentet noterar att straffrättsliga förfaranden inte automatiskt bör användas som en generell motivering för eventuell passivitet. </w:t>
      </w:r>
    </w:p>
    <w:p w14:paraId="4B40D123" w14:textId="77777777" w:rsidR="00ED6F45" w:rsidRPr="00E2643E" w:rsidRDefault="00ED6F45" w:rsidP="00ED6F45">
      <w:pPr>
        <w:pStyle w:val="NormalHanging12a"/>
      </w:pPr>
      <w:r w:rsidRPr="00E2643E">
        <w:t>22.</w:t>
      </w:r>
      <w:r w:rsidRPr="00E2643E">
        <w:tab/>
        <w:t>Europaparlamentet uppmanar presidiet att se till att de externa revisorerna till fullo följer uppdragsbrevet och att, för framtida revisioner, säkerställa att externa revisorer utövar lämplig tillsyn över grupperna genom att göra fler timmar tillgängliga för externa revisorer så att de kan utöva sin tillsynsroll. Parlamentet uppmanar GD FINS att säkerställa tillräcklig personal inom GD FINS med ansvar för budgetpost 400 för att ge tydligare vägledning om den korrekta tolkningen av reglerna för budgetpost 400 för att undvika diskrepans mellan externa revisorers och GD FINS överväganden, med full respekt för revisorernas oberoende, särskilt när det gäller upphandling, och att tillhandahålla mer utbildning och stöd om upphandling till grupperna.</w:t>
      </w:r>
    </w:p>
    <w:p w14:paraId="10A402EF" w14:textId="77777777" w:rsidR="00ED6F45" w:rsidRPr="00E2643E" w:rsidRDefault="00ED6F45" w:rsidP="00ED6F45">
      <w:pPr>
        <w:pStyle w:val="NormalHanging12a"/>
        <w:rPr>
          <w:bCs/>
          <w:iCs/>
        </w:rPr>
      </w:pPr>
      <w:r w:rsidRPr="00E2643E">
        <w:t>23.</w:t>
      </w:r>
      <w:r w:rsidRPr="00E2643E">
        <w:tab/>
        <w:t>Europaparlamentet uppmanar generalsekreteraren att inleda en diskussion om det befintliga systemet för extern revision för budgetpost 400.</w:t>
      </w:r>
    </w:p>
    <w:p w14:paraId="7F114EC8" w14:textId="77777777" w:rsidR="00ED6F45" w:rsidRPr="00E2643E" w:rsidRDefault="00ED6F45" w:rsidP="00ED6F45">
      <w:pPr>
        <w:pStyle w:val="NormalHanging12a"/>
        <w:keepNext/>
        <w:keepLines/>
        <w:widowControl/>
        <w:rPr>
          <w:bCs/>
          <w:iCs/>
        </w:rPr>
      </w:pPr>
      <w:r w:rsidRPr="00E2643E">
        <w:t>24.</w:t>
      </w:r>
      <w:r w:rsidRPr="00E2643E">
        <w:tab/>
        <w:t>Europaparlamentet välkomnar användningen av parlamentet som en plattform för att öka medvetenheten om könsrelaterat våld och våld i hemmet, och betonar vikten av unionens och parlamentets uppdrag som bidrar till att främja jämställdhet, inbegripet tillhandahållande av stöd, skydd och grundläggande tjänster till kvinnor och flickor som utsatts för sexuellt våld i konfliktsituationer och efter konflikter.</w:t>
      </w:r>
    </w:p>
    <w:p w14:paraId="56084531" w14:textId="77777777" w:rsidR="00ED6F45" w:rsidRPr="00E2643E" w:rsidRDefault="00ED6F45" w:rsidP="00ED6F45">
      <w:pPr>
        <w:pStyle w:val="NormalHanging12a"/>
        <w:rPr>
          <w:bCs/>
          <w:iCs/>
        </w:rPr>
      </w:pPr>
      <w:r w:rsidRPr="00E2643E">
        <w:t>25.</w:t>
      </w:r>
      <w:r w:rsidRPr="00E2643E">
        <w:tab/>
        <w:t>Europaparlamentet påminner om yttrandet från parlamentets budgetkontrollutskott till presidiet om den politiska gruppen Identitet och demokrati – upplösning och slutlig finansiell rapport för 2024, som godkändes den 4 september 2025, där man efterlyste en undersökning av möjligheten att utan dröjsmål inleda de förfaranden som krävs för att omedelbart återkräva beloppet för icke stödberättigande utgifter, bedöma de ansvariga (tidigare) ledamöternas och hierarkins potentiella ansvar för avsiktligt eller grovt försumligt godkännande av oriktiga utgifter. Parlamentet rekommenderar presidiet att under den tid undersökningen pågår tillfälligt stryka den externa revisor som godkände ID-gruppens räkenskaper från den förteckning över godkända externa revisionsföretag som gjorts tillgänglig för de politiska grupperna, omedelbart ersätta den avstängda revisorn och se till att de politiska grupperna har tillgång till ett tillräckligt antal alternativ. Parlamentet inväntar sin administrations analys av räkenskaperna för 2024 för gruppen Patrioter för Europa (</w:t>
      </w:r>
      <w:proofErr w:type="spellStart"/>
      <w:r w:rsidRPr="00E2643E">
        <w:t>PfE</w:t>
      </w:r>
      <w:proofErr w:type="spellEnd"/>
      <w:r w:rsidRPr="00E2643E">
        <w:t>).</w:t>
      </w:r>
    </w:p>
    <w:p w14:paraId="15414775" w14:textId="06B9660E" w:rsidR="00ED6F45" w:rsidRPr="00E2643E" w:rsidRDefault="00450197" w:rsidP="00ED6F45">
      <w:pPr>
        <w:pStyle w:val="NormalHanging12a"/>
      </w:pPr>
      <w:r w:rsidRPr="00E2643E">
        <w:t>26</w:t>
      </w:r>
      <w:r w:rsidR="00ED6F45" w:rsidRPr="00E2643E">
        <w:t>.</w:t>
      </w:r>
      <w:r w:rsidR="00ED6F45" w:rsidRPr="00E2643E">
        <w:tab/>
        <w:t xml:space="preserve">Europaparlamentet noterar att de politiska grupperna har ett stort självbestämmande över sina </w:t>
      </w:r>
      <w:proofErr w:type="spellStart"/>
      <w:r w:rsidR="00ED6F45" w:rsidRPr="00E2643E">
        <w:t>it-tjänster</w:t>
      </w:r>
      <w:proofErr w:type="spellEnd"/>
      <w:r w:rsidR="00ED6F45" w:rsidRPr="00E2643E">
        <w:t>, som används för att lagra information som har samband med deras verksamhet. Parlamentet noterar att i en geopolitiskt turbulent värld bör sådana uppgifter lagras på europeiska servrar av europeiska leverantörer för att undvika externa beroenden och risker. Parlamentet välkomnar därför tillkännagivandet nyligen om att tillhandahålla en säker, suverän molninfrastruktur för att undanröja detta beroende.</w:t>
      </w:r>
    </w:p>
    <w:p w14:paraId="045F0F87" w14:textId="615649D6" w:rsidR="00ED6F45" w:rsidRPr="00E2643E" w:rsidRDefault="00450197" w:rsidP="00ED6F45">
      <w:pPr>
        <w:pStyle w:val="NormalHanging12a"/>
      </w:pPr>
      <w:r w:rsidRPr="00E2643E">
        <w:t>27</w:t>
      </w:r>
      <w:r w:rsidR="00ED6F45" w:rsidRPr="00E2643E">
        <w:t>.</w:t>
      </w:r>
      <w:r w:rsidR="00ED6F45" w:rsidRPr="00E2643E">
        <w:tab/>
        <w:t>Europaparlamentet betonar betydelsen av att bevara den institutionella integriteten och förhindra otillbörlig extern inblandning. Parlamentet fördömer alla otillbörliga försök att påverka parlamentets lagstiftningsarbete.</w:t>
      </w:r>
    </w:p>
    <w:p w14:paraId="4DE34E1D" w14:textId="465B851D" w:rsidR="00ED6F45" w:rsidRPr="00E2643E" w:rsidRDefault="00450197" w:rsidP="00ED6F45">
      <w:pPr>
        <w:pStyle w:val="NormalHanging12a"/>
        <w:rPr>
          <w:bCs/>
          <w:iCs/>
        </w:rPr>
      </w:pPr>
      <w:r w:rsidRPr="00E2643E">
        <w:t>28</w:t>
      </w:r>
      <w:r w:rsidR="00ED6F45" w:rsidRPr="00E2643E">
        <w:t>.</w:t>
      </w:r>
      <w:r w:rsidR="00ED6F45" w:rsidRPr="00E2643E">
        <w:tab/>
        <w:t xml:space="preserve">Europaparlamentet noterar att kommissionen har erkänt påståenden om att flera enheter har använt unionsmedel för opinionsbildande verksamhet riktad mot parlamentet, men </w:t>
      </w:r>
      <w:r w:rsidR="00ED6F45" w:rsidRPr="00E2643E">
        <w:lastRenderedPageBreak/>
        <w:t>har uppgett att sådan verksamhet omfattas av den tillämpliga förordningens tillämpningsområde. Parlamentet erkänner dock att detta ändå kan ha medfört anseenderisker.</w:t>
      </w:r>
    </w:p>
    <w:p w14:paraId="24387E7C" w14:textId="400E725E" w:rsidR="00ED6F45" w:rsidRPr="00E2643E" w:rsidRDefault="00450197" w:rsidP="00ED6F45">
      <w:pPr>
        <w:pStyle w:val="NormalHanging12a"/>
      </w:pPr>
      <w:r w:rsidRPr="00E2643E">
        <w:t>29</w:t>
      </w:r>
      <w:r w:rsidR="00ED6F45" w:rsidRPr="00E2643E">
        <w:t>.</w:t>
      </w:r>
      <w:r w:rsidR="00ED6F45" w:rsidRPr="00E2643E">
        <w:tab/>
        <w:t>Europaparlamentet påminner om att anklagelserna om ryskt inflytande i parlamentet utgjorde allvarliga risker för den demokratiska integriteten, och noterar att vissa ledamöter öppet stödde Ryssland, inklusive genom sina sidoverksamheter, vilket understryker behovet av starkare skyddsåtgärder. Parlamentet noterar att parlamentets reaktion på utländsk inblandning har blivit mer vaksam, men att kraftfullare åtgärder bör vidtas för att säkerställa ett effektivt skydd mot otillbörlig yttre påverkan. Parlamentet understryker i detta sammanhang det viktiga ansvar som Europeiska byrån för bedrägeribekämpning (Olaf) har för att genomföra alla nödvändiga djupgående utredningar.</w:t>
      </w:r>
    </w:p>
    <w:p w14:paraId="26592D9F" w14:textId="054648E8" w:rsidR="00ED6F45" w:rsidRPr="00E2643E" w:rsidRDefault="00450197" w:rsidP="00ED6F45">
      <w:pPr>
        <w:pStyle w:val="NormalHanging12a"/>
        <w:rPr>
          <w:bCs/>
          <w:iCs/>
        </w:rPr>
      </w:pPr>
      <w:r w:rsidRPr="00E2643E">
        <w:t>30</w:t>
      </w:r>
      <w:r w:rsidR="00ED6F45" w:rsidRPr="00E2643E">
        <w:t>.</w:t>
      </w:r>
      <w:r w:rsidR="00ED6F45" w:rsidRPr="00E2643E">
        <w:tab/>
        <w:t>Europaparlamentet noterar att 2024, inbegripet tiden inför valet till Europaparlamentet, präglades av ökade risker för utländsk inblandning och påverkansoperationer riktade mot demokratiska institutioner och förtroendevalda. Parlamentet påminner om att offentliga påståenden och utredningar om försök att påverka politiska ståndpunkter och röstningsbeteende understryker behovet av tillförlitliga mekanismer för förebyggande och upptäckt inom parlamentet. Parlamentet uppmanas därför säkerställa interna skyddsåtgärder, transparenskrav och samarbete med relevanta unionsorgan, i syfte att skydda parlamentets och unionsbudgetens integritet.</w:t>
      </w:r>
    </w:p>
    <w:p w14:paraId="4637E6AE" w14:textId="7467AE11" w:rsidR="00ED6F45" w:rsidRPr="00E2643E" w:rsidRDefault="00450197" w:rsidP="00ED6F45">
      <w:pPr>
        <w:pStyle w:val="NormalHanging12a"/>
      </w:pPr>
      <w:r w:rsidRPr="00E2643E">
        <w:t>31</w:t>
      </w:r>
      <w:r w:rsidR="00ED6F45" w:rsidRPr="00E2643E">
        <w:t>.</w:t>
      </w:r>
      <w:r w:rsidR="00ED6F45" w:rsidRPr="00E2643E">
        <w:tab/>
        <w:t>Europaparlamentet påminner om att artikel 4 i uppförandekoden för Europaparlamentets ledamöter avseende integritet och öppenhet kräver att ledamöterna lämnar exakta förklaringar om sina ekonomiska intressen. Parlamentet efterlyser tillräckligt detaljerade förklaringar om avlönad eller oavlönad extern verksamhet för att undvika farhågor om kvaliteten på kontrollerna av intressekonflikter, som är avgörande för att säkerställa ett effektivt förebyggande, en effektiv identifiering och en effektiv hantering av intressekonflikter.</w:t>
      </w:r>
    </w:p>
    <w:p w14:paraId="69998AB5" w14:textId="488DAE72" w:rsidR="00ED6F45" w:rsidRPr="00E2643E" w:rsidRDefault="00450197" w:rsidP="00ED6F45">
      <w:pPr>
        <w:pStyle w:val="NormalHanging12a"/>
        <w:rPr>
          <w:bCs/>
          <w:iCs/>
        </w:rPr>
      </w:pPr>
      <w:r w:rsidRPr="00E2643E">
        <w:t>32</w:t>
      </w:r>
      <w:r w:rsidR="00ED6F45" w:rsidRPr="00E2643E">
        <w:t>.</w:t>
      </w:r>
      <w:r w:rsidR="00ED6F45" w:rsidRPr="00E2643E">
        <w:tab/>
        <w:t>Europaparlamentet noterar, av transparensskäl, det obligatoriska offentliggörandet av möten och förklaringar om privata intressen, särskilt förklaringar om materiellt och ekonomiskt stöd. Parlamentet noterar dock att den nuvarande ramen har återkommande problem med fullständighet och tydlighet, vilket kan minska dess övergripande effektivitet. Parlamentet anser att förbättrad vägledning till ledamöterna samt proportionerlig och konsekvent uppföljning från administrationens sida när förklaringarna verkar vara felaktiga eller inkonsekventa förtjänar noggrann uppmärksamhet, särskilt mot bakgrund av farhågor avseende utländsk inblandning.</w:t>
      </w:r>
    </w:p>
    <w:p w14:paraId="426B385E" w14:textId="7E6A3762" w:rsidR="00ED6F45" w:rsidRPr="00E2643E" w:rsidRDefault="00450197" w:rsidP="00ED6F45">
      <w:pPr>
        <w:pStyle w:val="NormalHanging12a"/>
      </w:pPr>
      <w:r w:rsidRPr="00E2643E">
        <w:t>33</w:t>
      </w:r>
      <w:r w:rsidR="00ED6F45" w:rsidRPr="00E2643E">
        <w:t>.</w:t>
      </w:r>
      <w:r w:rsidR="00ED6F45" w:rsidRPr="00E2643E">
        <w:tab/>
        <w:t>Europaparlamentet uttrycker allvarlig oro över påståendena om att medlemsstater har ägnat sig åt spioneri riktat mot parlamentet. Parlamentet noterar att kommissionen har inrättat en intern grupp för att undersöka dessa påståenden. Parlamentet och kommissionen uppmanas med kraft att ha ett nära samarbete och att informera parlamentet om arbetsgruppens slutsatser, förutsatt att detta inte äventyrar pågående eller potentiella rättsliga förfaranden.</w:t>
      </w:r>
    </w:p>
    <w:p w14:paraId="265E363B" w14:textId="4BDBA0FD" w:rsidR="00ED6F45" w:rsidRPr="00E2643E" w:rsidRDefault="00450197" w:rsidP="00ED6F45">
      <w:pPr>
        <w:pStyle w:val="NormalHanging12a"/>
        <w:rPr>
          <w:bCs/>
          <w:iCs/>
        </w:rPr>
      </w:pPr>
      <w:r w:rsidRPr="00E2643E">
        <w:t>34</w:t>
      </w:r>
      <w:r w:rsidR="00ED6F45" w:rsidRPr="00E2643E">
        <w:t>.</w:t>
      </w:r>
      <w:r w:rsidR="00ED6F45" w:rsidRPr="00E2643E">
        <w:tab/>
        <w:t>Europaparlamentet uppmanas stärka sina skyddsåtgärder, inbegripet hantering av säkra enheter, kanaler för snabb incidentrapportering för ledamöter och personal och regelbundna briefingar om hot i samarbete med CERT-EU och relevanta unionsorgan, samtidigt som full respekt för de grundläggande rättigheterna och dataskydd säkerställs.</w:t>
      </w:r>
    </w:p>
    <w:p w14:paraId="0753453C" w14:textId="43BBE373" w:rsidR="00ED6F45" w:rsidRPr="00E2643E" w:rsidRDefault="00450197" w:rsidP="00ED6F45">
      <w:pPr>
        <w:pStyle w:val="NormalHanging12a"/>
        <w:keepNext/>
        <w:keepLines/>
        <w:widowControl/>
      </w:pPr>
      <w:r w:rsidRPr="00E2643E">
        <w:lastRenderedPageBreak/>
        <w:t>35</w:t>
      </w:r>
      <w:r w:rsidR="00ED6F45" w:rsidRPr="00E2643E">
        <w:t>.</w:t>
      </w:r>
      <w:r w:rsidR="00ED6F45" w:rsidRPr="00E2643E">
        <w:tab/>
        <w:t>Europaparlamentet noterar potentialen hos artificiell intelligens (AI) för att säkerställa korrekt och transparent information inom unionen och dess institutioner, organ och byråer, samtidigt som lämpligt utformade och styrda AI-system kan bidra till att upptäcka och begränsa felaktig information och desinformation, främjar ansvarsskyldighet och upprätthåller höga standarder för transparens för att bevara allmänhetens förtroende och stärka den demokratiska styrningen. Parlamentet är oroat över dominansen av AI-verktyg från företag i tredjeländer och av dataskydds- och sekretessöverväganden vid användning av AI-verktyg från tredje part. Parlamentet efterlyser full transparens när det gäller användningen av AI-system i parlamentets beslut och förfaranden, inbegripet offentliggörandet av detaljerad information om algoritmer och konsekvensbedömningar. Parlamentet uppmanar sin administration att göra en uppsättning AI-verktyg tillgängliga för både ledamöter och parlamentets personal, anpassad till vardera kategorins behov, som tillgodoser ledamöternas verksamhetsmässiga behov och garanterar sekretess, integritet och tillgänglighet när det gäller de uppgifter som administrationen behandlar genom att använda infrastruktur på plats för att förhindra dataläckor, och som inte lämnar ut information till tredje parter, i linje med nuvarande strategier för användning av AI.</w:t>
      </w:r>
    </w:p>
    <w:p w14:paraId="2093D36F" w14:textId="1A118EF1" w:rsidR="00ED6F45" w:rsidRPr="00E2643E" w:rsidRDefault="00450197" w:rsidP="00ED6F45">
      <w:pPr>
        <w:pStyle w:val="NormalHanging12a"/>
        <w:rPr>
          <w:bCs/>
          <w:iCs/>
        </w:rPr>
      </w:pPr>
      <w:r w:rsidRPr="00E2643E">
        <w:t>36</w:t>
      </w:r>
      <w:r w:rsidR="00ED6F45" w:rsidRPr="00E2643E">
        <w:t>.</w:t>
      </w:r>
      <w:r w:rsidR="00ED6F45" w:rsidRPr="00E2643E">
        <w:tab/>
        <w:t>Europaparlamentet noterar den ökande användningen av AI och verktyg för stora språkmodeller i personalförvaltningen och erkänner dess potential för effektivitetsvinster som bör utforskas ytterligare. Parlamentet betonar samtidigt behovet av tydlig styrning, mänsklig tillsyn, transparens och tillförlitliga dataskyddsgarantier. Parlamentet uppmanar administrationen att informera den ansvarsfrihetsbeviljande myndigheten om omfattningen, riskbedömningen och de etiska skyddsåtgärderna i samband med sådana verktyg.</w:t>
      </w:r>
    </w:p>
    <w:p w14:paraId="62230B7C" w14:textId="2EA57710" w:rsidR="00ED6F45" w:rsidRPr="00E2643E" w:rsidRDefault="00450197" w:rsidP="00ED6F45">
      <w:pPr>
        <w:pStyle w:val="NormalHanging12a"/>
      </w:pPr>
      <w:r w:rsidRPr="00E2643E">
        <w:t>37</w:t>
      </w:r>
      <w:r w:rsidR="00ED6F45" w:rsidRPr="00E2643E">
        <w:t>.</w:t>
      </w:r>
      <w:r w:rsidR="00ED6F45" w:rsidRPr="00E2643E">
        <w:tab/>
        <w:t>Europaparlamentet noterar att enligt parlamentets arbetsordning används slutna omröstningar i allmänhet vid val och vid omröstningar som rör enskilda personer. Parlamentet noterar vidare att en omröstning även ska vara sluten om ledamöter eller en eller flera politiska grupper som uppnår minst det höga tröskelvärdet begär detta. Parlamentet noterar i detta sammanhang att parlamentets utskott för konstitutionella frågor har fått i uppdrag att bedöma användningen av det sistnämnda alternativet och inväntar utskottets slutsatser och förslag. Parlamentet anser att omröstningar med namnupprop är ett viktigt instrument för att säkerställa transparens och ansvarsskyldighet gentemot unionens medborgare. Parlamentet uppmanas att lägga fram åtgärder för att undvika missbruk i samband med förfarandet för sluten omröstning.</w:t>
      </w:r>
    </w:p>
    <w:p w14:paraId="757C7CCB" w14:textId="1CD56D8B" w:rsidR="00ED6F45" w:rsidRPr="00E2643E" w:rsidRDefault="00450197" w:rsidP="00ED6F45">
      <w:pPr>
        <w:pStyle w:val="NormalHanging12a"/>
        <w:rPr>
          <w:bCs/>
          <w:iCs/>
        </w:rPr>
      </w:pPr>
      <w:r w:rsidRPr="00E2643E">
        <w:t>38</w:t>
      </w:r>
      <w:r w:rsidR="00ED6F45" w:rsidRPr="00E2643E">
        <w:t>.</w:t>
      </w:r>
      <w:r w:rsidR="00ED6F45" w:rsidRPr="00E2643E">
        <w:tab/>
        <w:t>Europaparlamentet välkomnar de framsteg som gjorts med jämställdhetsintegrering och jämställdhetsbudgetering och antagandet av 2025 års handlingsplan för jämställdhet. Parlamentet begär att denna handlingsplan offentliggörs och snabbt genomförs via färdplanen för handlingsplanen för jämställdhet och grundligt utvärderas med regelbundna lägesrapporter.</w:t>
      </w:r>
      <w:r w:rsidRPr="00E2643E">
        <w:t xml:space="preserve"> </w:t>
      </w:r>
      <w:r w:rsidR="00ED6F45" w:rsidRPr="00E2643E">
        <w:t>Parlamentet välkomnar det arbete som utförs av nätverket för jämställdhetsintegrering i parlamentet.</w:t>
      </w:r>
    </w:p>
    <w:p w14:paraId="43CC7567" w14:textId="77777777" w:rsidR="00ED6F45" w:rsidRPr="00E2643E" w:rsidRDefault="00ED6F45" w:rsidP="00ED6F45">
      <w:pPr>
        <w:keepNext/>
        <w:keepLines/>
        <w:widowControl/>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lastRenderedPageBreak/>
        <w:t>Generaldirektoratet för parlamentets ledning</w:t>
      </w:r>
    </w:p>
    <w:p w14:paraId="15C0BB6D" w14:textId="42D820F9" w:rsidR="00ED6F45" w:rsidRPr="00E2643E" w:rsidRDefault="00450197" w:rsidP="00ED6F45">
      <w:pPr>
        <w:keepNext/>
        <w:keepLines/>
        <w:widowControl/>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39</w:t>
      </w:r>
      <w:r w:rsidR="00ED6F45" w:rsidRPr="00E2643E">
        <w:t>.</w:t>
      </w:r>
      <w:r w:rsidR="00ED6F45" w:rsidRPr="00E2643E">
        <w:rPr>
          <w14:textOutline w14:w="0" w14:cap="flat" w14:cmpd="sng" w14:algn="ctr">
            <w14:noFill/>
            <w14:prstDash w14:val="solid"/>
            <w14:bevel/>
          </w14:textOutline>
        </w:rPr>
        <w:tab/>
        <w:t xml:space="preserve">Europaparlamentet påminner om att generaldirektoratet för parlamentets ledning (GD PRES) tillhandahåller sakkunskap och underlättar talmannens, plenarförsamlingens och parlamentets styrande organs och ledamöters lagstiftningsrelaterade och parlamentariska verksamhet i varje skede av den parlamentariska processen och lagstiftningsprocessen. </w:t>
      </w:r>
      <w:r w:rsidR="00ED6F45" w:rsidRPr="00E2643E">
        <w:t>Parlamentet påminner om att det också ansvarar för interinstitutionella förbindelser, för protokollstöd vid officiella besök och evenemang som sponsras av talmannen, för hantering av säkerhetsskyddsklassificerade EU</w:t>
      </w:r>
      <w:r w:rsidR="00ED6F45" w:rsidRPr="00E2643E">
        <w:noBreakHyphen/>
        <w:t>uppgifter och för hantering av officiell och rekommenderad post.</w:t>
      </w:r>
      <w:r w:rsidR="00ED6F45" w:rsidRPr="00E2643E">
        <w:rPr>
          <w14:textOutline w14:w="0" w14:cap="flat" w14:cmpd="sng" w14:algn="ctr">
            <w14:noFill/>
            <w14:prstDash w14:val="solid"/>
            <w14:bevel/>
          </w14:textOutline>
        </w:rPr>
        <w:t xml:space="preserve"> </w:t>
      </w:r>
      <w:r w:rsidR="00ED6F45" w:rsidRPr="00E2643E">
        <w:t>Parlamentet noterar att GD PRES den 31 december 2024 hade 406 anställda, varav 320 var tjänstemän, 29 tillfälligt anställda, 55 kontraktsanställda, en utstationerad nationell expert och en medlem av personalen som var inhyrd från bemanningsföretag.</w:t>
      </w:r>
    </w:p>
    <w:p w14:paraId="1DE2F142" w14:textId="7875C220" w:rsidR="00ED6F45" w:rsidRPr="00E2643E" w:rsidRDefault="00450197"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40</w:t>
      </w:r>
      <w:r w:rsidR="00ED6F45" w:rsidRPr="00E2643E">
        <w:t>.</w:t>
      </w:r>
      <w:r w:rsidR="00ED6F45" w:rsidRPr="00E2643E">
        <w:rPr>
          <w14:textOutline w14:w="0" w14:cap="flat" w14:cmpd="sng" w14:algn="ctr">
            <w14:noFill/>
            <w14:prstDash w14:val="solid"/>
            <w14:bevel/>
          </w14:textOutline>
        </w:rPr>
        <w:tab/>
      </w:r>
      <w:r w:rsidR="00ED6F45" w:rsidRPr="00E2643E">
        <w:t>Europaparlamentet noterar att GD PRES slutliga anslag uppgick till 2 970 957 EUR 2024, vilket motsvarar 0,2 % av parlamentets budget.</w:t>
      </w:r>
      <w:r w:rsidR="00ED6F45" w:rsidRPr="00E2643E">
        <w:rPr>
          <w14:textOutline w14:w="0" w14:cap="flat" w14:cmpd="sng" w14:algn="ctr">
            <w14:noFill/>
            <w14:prstDash w14:val="solid"/>
            <w14:bevel/>
          </w14:textOutline>
        </w:rPr>
        <w:t xml:space="preserve"> </w:t>
      </w:r>
      <w:r w:rsidR="00ED6F45" w:rsidRPr="00E2643E">
        <w:t>Parlamentet framhåller att av detta belopp anslogs totalt 2 930 107 EUR.</w:t>
      </w:r>
      <w:r w:rsidR="00ED6F45" w:rsidRPr="00E2643E">
        <w:rPr>
          <w14:textOutline w14:w="0" w14:cap="flat" w14:cmpd="sng" w14:algn="ctr">
            <w14:noFill/>
            <w14:prstDash w14:val="solid"/>
            <w14:bevel/>
          </w14:textOutline>
        </w:rPr>
        <w:t xml:space="preserve"> Parlamentet välkomnar den höga användningen av anslag.</w:t>
      </w:r>
    </w:p>
    <w:p w14:paraId="264E2E58" w14:textId="58A54560" w:rsidR="00ED6F45" w:rsidRPr="00E2643E" w:rsidRDefault="00450197" w:rsidP="00ED6F45">
      <w:pPr>
        <w:spacing w:after="240"/>
        <w:ind w:left="567" w:hanging="567"/>
      </w:pPr>
      <w:r w:rsidRPr="00E2643E">
        <w:t>41</w:t>
      </w:r>
      <w:r w:rsidR="00ED6F45" w:rsidRPr="00E2643E">
        <w:t>.</w:t>
      </w:r>
      <w:r w:rsidR="00ED6F45" w:rsidRPr="00E2643E">
        <w:tab/>
        <w:t xml:space="preserve">Europaparlamentet noterar att GD PRES verksamhet påverkades av slutet av den nionde och början av den tionde valperioden, vilket orsakade utmaningar för kapaciteten att planera och slutföra plenarsammanträdena i slutet av den nionde valperioden med tanke på det mycket stora antalet ärenden inom det ordinarie lagstiftningsförfarandet som man enades om under valperiodens sista månader, och inrättandet av det nya parlamentet i början av den tionde valperioden i och med valet av talman och presidium. </w:t>
      </w:r>
    </w:p>
    <w:p w14:paraId="2054B6BE" w14:textId="5763688A" w:rsidR="00ED6F45" w:rsidRPr="00E2643E" w:rsidRDefault="00450197" w:rsidP="00ED6F45">
      <w:pPr>
        <w:pStyle w:val="NormalHanging12a"/>
      </w:pPr>
      <w:bookmarkStart w:id="8" w:name="_Hlk216613698"/>
      <w:r w:rsidRPr="00E2643E">
        <w:t>42</w:t>
      </w:r>
      <w:r w:rsidR="00ED6F45" w:rsidRPr="00E2643E">
        <w:t>.</w:t>
      </w:r>
      <w:r w:rsidR="00ED6F45" w:rsidRPr="00E2643E">
        <w:tab/>
        <w:t>Europaparlamentet lovordar GD PRES för dess verksamhet när det gäller genomförandet och uppföljningen av de nya reglerna om integritet och transparens, som omfattade en första övergripande bedömning av det tekniska genomförandet av reformen, och medvetandehöjande verksamhet och tillhandahållande av teknisk expertis och tekniska tjänster om frågor som rör transparens, integritet och ansvarsskyldighet. Parlamentet välkomnar vidare den roll som den rådgivande kommittén för ledamöters uppförande spelar när det gäller att övervaka hur ledamöterna följer uppförandekoden och dess genomförandeåtgärder.</w:t>
      </w:r>
    </w:p>
    <w:bookmarkEnd w:id="8"/>
    <w:p w14:paraId="6CF36984" w14:textId="6C7E6545" w:rsidR="00ED6F45" w:rsidRPr="00E2643E" w:rsidRDefault="00ED6F45" w:rsidP="00ED6F45">
      <w:pPr>
        <w:pStyle w:val="NormalHanging12a"/>
      </w:pPr>
      <w:r w:rsidRPr="00E2643E">
        <w:t>4</w:t>
      </w:r>
      <w:r w:rsidR="00450197" w:rsidRPr="00E2643E">
        <w:t>3</w:t>
      </w:r>
      <w:r w:rsidRPr="00E2643E">
        <w:t>.</w:t>
      </w:r>
      <w:r w:rsidRPr="00E2643E">
        <w:tab/>
      </w:r>
      <w:r w:rsidR="00B357FD" w:rsidRPr="00E2643E">
        <w:rPr>
          <w:szCs w:val="24"/>
          <w:lang w:eastAsia="en-US"/>
        </w:rPr>
        <w:t xml:space="preserve">Europaparlamentet efterlyser en fortsättning av det interinstitutionella samarbetet och dialogen om integritet och transparens mellan unionens institutioner. Parlamentet påminner om att </w:t>
      </w:r>
      <w:r w:rsidR="00D20452" w:rsidRPr="00E2643E">
        <w:rPr>
          <w:szCs w:val="24"/>
          <w:lang w:eastAsia="en-US"/>
        </w:rPr>
        <w:t>det</w:t>
      </w:r>
      <w:r w:rsidR="00B357FD" w:rsidRPr="00E2643E">
        <w:rPr>
          <w:szCs w:val="24"/>
          <w:lang w:eastAsia="en-US"/>
        </w:rPr>
        <w:t xml:space="preserve"> fortfarande är bundet av avtalet om inrättande av ett interinstitutionellt organ för etiska normer för ledamöter av de institutioner och rådgivande organ som avses i artikel 13 i fördraget om Europeiska unionen. Parlamentet påminner därför om att det är skyldigt att följa dess bestämmelser utan ytterligare dröjsmål</w:t>
      </w:r>
      <w:r w:rsidR="00B357FD" w:rsidRPr="00E2643E">
        <w:rPr>
          <w:b/>
          <w:i/>
          <w:szCs w:val="24"/>
          <w:lang w:eastAsia="en-US"/>
        </w:rPr>
        <w:t>.</w:t>
      </w:r>
    </w:p>
    <w:p w14:paraId="5123ECA1" w14:textId="47FFFCE1" w:rsidR="00ED6F45" w:rsidRPr="00E2643E" w:rsidRDefault="00ED6F45" w:rsidP="00ED6F45">
      <w:pPr>
        <w:pStyle w:val="NormalHanging12a"/>
        <w:rPr>
          <w:bCs/>
          <w:iCs/>
        </w:rPr>
      </w:pPr>
      <w:r w:rsidRPr="00E2643E">
        <w:t>4</w:t>
      </w:r>
      <w:r w:rsidR="00450197" w:rsidRPr="00E2643E">
        <w:t>4</w:t>
      </w:r>
      <w:r w:rsidRPr="00E2643E">
        <w:t>.</w:t>
      </w:r>
      <w:r w:rsidRPr="00E2643E">
        <w:tab/>
        <w:t>Europaparlamentet välkomnar att GD PRES fortsatte sitt effektiva samarbete med rådet och kommissionen om alla delar som rör öppenhetsregistrets interinstitutionella sekretariat, i syfte att fortsätta att förbättra registrets funktion.</w:t>
      </w:r>
    </w:p>
    <w:p w14:paraId="6A39CA1B" w14:textId="42952479" w:rsidR="00ED6F45" w:rsidRPr="00E2643E" w:rsidRDefault="00ED6F45" w:rsidP="00ED6F45">
      <w:pPr>
        <w:pStyle w:val="NormalHanging12a"/>
        <w:keepNext/>
        <w:keepLines/>
        <w:widowControl/>
      </w:pPr>
      <w:r w:rsidRPr="00E2643E">
        <w:lastRenderedPageBreak/>
        <w:t>4</w:t>
      </w:r>
      <w:r w:rsidR="00450197" w:rsidRPr="00E2643E">
        <w:t>5</w:t>
      </w:r>
      <w:r w:rsidRPr="00E2643E">
        <w:t>.</w:t>
      </w:r>
      <w:r w:rsidRPr="00E2643E">
        <w:tab/>
        <w:t>Europaparlamentet framhåller de ständiga förseningarna i kommissionens hantering av parlamentsfrågor för skriftligt besvarande under de senaste åren. Parlamentet beklagar att processen har blivit alltmer byråkratisk och långsam, vilket har lett till en systematisk brist på respekt för de tidsfrister som fastställs i artikel 144 i parlamentets arbetsordning. Parlamentet noterar med oro att kommissionen under 2024 endast besvarade en begränsad andel skriftliga frågor inom de tidsfrister som fastställs i parlamentets arbetsordning, inbegripet en särskilt låg andel prioriterade frågor, och i många fall först efter tidsfristen. Parlamentet betonar att den längsta svarstiden var 475 dagar. Parlamentet påminner om att svar inom tidsfristen är en viktig del av den parlamentariska kontrollen och demokratiskt ansvarsutkrävande. Parlamentet välkomnar de insatser som GD PRES har gjort under de senaste åren för att hålla de fastställda tidsfristerna. Parlamentet uppmanar GD PRES att arbeta för att säkerställa fullständig efterlevnad av de tidsfrister som fastställts av parlamentet och att, även på politisk nivå, eftersträva mer bindande arrangemang med kommissionen om besvarande av skriftliga frågor inom tidsfristerna och att rapportera till den ansvarsfrihetsbeviljande myndigheten om de framsteg som gjorts så att parlamentsfrågor för skriftligt besvarande återigen blir ett effektivt övervakningsverktyg.</w:t>
      </w:r>
    </w:p>
    <w:p w14:paraId="460B640C" w14:textId="6EA4FC89" w:rsidR="00ED6F45" w:rsidRPr="00E2643E" w:rsidRDefault="00ED6F45" w:rsidP="00ED6F45">
      <w:pPr>
        <w:pStyle w:val="NormalHanging12a"/>
        <w:rPr>
          <w:bCs/>
          <w:iCs/>
        </w:rPr>
      </w:pPr>
      <w:r w:rsidRPr="00E2643E">
        <w:t>4</w:t>
      </w:r>
      <w:r w:rsidR="00450197" w:rsidRPr="00E2643E">
        <w:t>6</w:t>
      </w:r>
      <w:r w:rsidRPr="00E2643E">
        <w:t>.</w:t>
      </w:r>
      <w:r w:rsidRPr="00E2643E">
        <w:tab/>
        <w:t>Europaparlamentet noterar att intern behandling, inbegripet redigering, översättning och tillåtlighetsprövning, bidrar till den totala tiden för översändande av skriftliga frågor. Parlamentet uppmanar administrationen att fortsätta att effektivisera dessa förfaranden, samtidigt som kraven på språklig kvalitet och dataskydd respekteras fullt ut, för att stödja ledamöternas granskningsarbete mer effektivt.</w:t>
      </w:r>
    </w:p>
    <w:p w14:paraId="3E09EBF6" w14:textId="4A791805" w:rsidR="00ED6F45" w:rsidRPr="00E2643E" w:rsidRDefault="00ED6F45" w:rsidP="00ED6F45">
      <w:pPr>
        <w:spacing w:after="240"/>
        <w:ind w:left="567" w:hanging="567"/>
      </w:pPr>
      <w:r w:rsidRPr="00E2643E">
        <w:t>4</w:t>
      </w:r>
      <w:r w:rsidR="00450197" w:rsidRPr="00E2643E">
        <w:t>7</w:t>
      </w:r>
      <w:r w:rsidRPr="00E2643E">
        <w:t xml:space="preserve">. </w:t>
      </w:r>
      <w:r w:rsidRPr="00E2643E">
        <w:tab/>
        <w:t>Europaparlamentet uppmanar GD PRES att aktivt samarbeta med parlament i andra medlemsstater och tredjeländer för att utarbeta förslag till effektiva granskningsmekanismer samt sätt att förbättra kvaliteten på och närvaron vid plenardebatter i parlamentet. Parlamentet uppmanar GD PRES att dra lärdom av kongressutfrågningarnas struktur.</w:t>
      </w:r>
    </w:p>
    <w:p w14:paraId="1DAE20C6" w14:textId="229B4239" w:rsidR="00ED6F45" w:rsidRPr="00E2643E" w:rsidRDefault="00ED6F45" w:rsidP="00ED6F45">
      <w:pPr>
        <w:pStyle w:val="NormalHanging12a"/>
        <w:rPr>
          <w:bCs/>
          <w:iCs/>
        </w:rPr>
      </w:pPr>
      <w:r w:rsidRPr="00E2643E">
        <w:t>4</w:t>
      </w:r>
      <w:r w:rsidR="00450197" w:rsidRPr="00E2643E">
        <w:t>8</w:t>
      </w:r>
      <w:r w:rsidRPr="00E2643E">
        <w:t>.</w:t>
      </w:r>
      <w:r w:rsidRPr="00E2643E">
        <w:tab/>
        <w:t>Europaparlamentet välkomnar att parlamentet nyligen inledde lagstiftningsförfarandet för att ändra unionens vallag i syfte att införa ett nytt alternativ för tillfällig fullmaktsröstning för ledamöterna i slutet av graviditeten och i början av moderskapet. Parlamentet välkomnar att det i sin omröstning i kammaren den 13 november 2025 åtog sig att verka för jämställdhet, inkludering och balans mellan arbete och privatliv, trots att en bredare föräldraledighet inte omfattas av rättsakten.</w:t>
      </w:r>
    </w:p>
    <w:p w14:paraId="33C6BC1F" w14:textId="39484658" w:rsidR="0013079B" w:rsidRPr="00E2643E" w:rsidRDefault="00450197" w:rsidP="0013079B">
      <w:pPr>
        <w:pStyle w:val="NormalHanging12a"/>
        <w:rPr>
          <w:bCs/>
          <w:iCs/>
        </w:rPr>
      </w:pPr>
      <w:r w:rsidRPr="00E2643E">
        <w:t>49</w:t>
      </w:r>
      <w:r w:rsidR="00ED6F45" w:rsidRPr="00E2643E">
        <w:t>.</w:t>
      </w:r>
      <w:r w:rsidR="00ED6F45" w:rsidRPr="00E2643E">
        <w:tab/>
        <w:t>Europaparlamentet noterar att det för närvarande saknas aktuella närvarouppgifter på utskottsnivå. Parlamentet uppmanar sina avdelningar att årligen offentliggöra dessa närvarosiffror på utskottsnivå, aggregerade per utskott.</w:t>
      </w:r>
    </w:p>
    <w:p w14:paraId="52638B36" w14:textId="77777777" w:rsidR="0013079B" w:rsidRPr="00E2643E" w:rsidRDefault="00ED6F45" w:rsidP="0013079B">
      <w:pPr>
        <w:pStyle w:val="NormalHanging12a"/>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Generaldirektoratet för kommunikation</w:t>
      </w:r>
    </w:p>
    <w:p w14:paraId="06A43F3B" w14:textId="24BF7C4E" w:rsidR="00ED6F45" w:rsidRPr="00E2643E" w:rsidRDefault="00ED6F45" w:rsidP="0013079B">
      <w:pPr>
        <w:pStyle w:val="NormalHanging12a"/>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5</w:t>
      </w:r>
      <w:r w:rsidR="00450197" w:rsidRPr="00E2643E">
        <w:rPr>
          <w14:textOutline w14:w="0" w14:cap="flat" w14:cmpd="sng" w14:algn="ctr">
            <w14:noFill/>
            <w14:prstDash w14:val="solid"/>
            <w14:bevel/>
          </w14:textOutline>
        </w:rPr>
        <w:t>0</w:t>
      </w:r>
      <w:r w:rsidRPr="00E2643E">
        <w:t>.</w:t>
      </w:r>
      <w:r w:rsidRPr="00E2643E">
        <w:rPr>
          <w14:textOutline w14:w="0" w14:cap="flat" w14:cmpd="sng" w14:algn="ctr">
            <w14:noFill/>
            <w14:prstDash w14:val="solid"/>
            <w14:bevel/>
          </w14:textOutline>
        </w:rPr>
        <w:tab/>
      </w:r>
      <w:r w:rsidRPr="00E2643E">
        <w:t>Europaparlamentet noterar att generaldirektoratet för kommunikation (GD COMM) har i uppdrag att se till att medborgarna förstår parlamentets betydelse så att de kan öka sitt deltagande i den europeiska demokratiska processen.</w:t>
      </w:r>
      <w:r w:rsidRPr="00E2643E">
        <w:rPr>
          <w14:textOutline w14:w="0" w14:cap="flat" w14:cmpd="sng" w14:algn="ctr">
            <w14:noFill/>
            <w14:prstDash w14:val="solid"/>
            <w14:bevel/>
          </w14:textOutline>
        </w:rPr>
        <w:t xml:space="preserve"> Parlamentet framhåller att GD </w:t>
      </w:r>
      <w:proofErr w:type="spellStart"/>
      <w:r w:rsidRPr="00E2643E">
        <w:rPr>
          <w14:textOutline w14:w="0" w14:cap="flat" w14:cmpd="sng" w14:algn="ctr">
            <w14:noFill/>
            <w14:prstDash w14:val="solid"/>
            <w14:bevel/>
          </w14:textOutline>
        </w:rPr>
        <w:t>COMM:s</w:t>
      </w:r>
      <w:proofErr w:type="spellEnd"/>
      <w:r w:rsidRPr="00E2643E">
        <w:rPr>
          <w14:textOutline w14:w="0" w14:cap="flat" w14:cmpd="sng" w14:algn="ctr">
            <w14:noFill/>
            <w14:prstDash w14:val="solid"/>
            <w14:bevel/>
          </w14:textOutline>
        </w:rPr>
        <w:t xml:space="preserve"> huvuduppgifter är att samarbeta med medierna, informera, förklara och öka synligheten för parlamentets arbete, öka medvetenheten om parlamentet bland medborgare i alla medlemsstater, intressenter och opinionsbildare genom Europaparlamentets förbindelsekontor i medlemsstaterna, främja interaktion med </w:t>
      </w:r>
      <w:r w:rsidRPr="00E2643E">
        <w:rPr>
          <w14:textOutline w14:w="0" w14:cap="flat" w14:cmpd="sng" w14:algn="ctr">
            <w14:noFill/>
            <w14:prstDash w14:val="solid"/>
            <w14:bevel/>
          </w14:textOutline>
        </w:rPr>
        <w:lastRenderedPageBreak/>
        <w:t>medborgarna genom förbättrade besöksprojekt, evenemang och informationskampanjer och genom närvaro på sociala medier, och att tillhandahålla sakkunskap till ledamöter och politiska grupper i frågor såsom medieunderrättelseverksamhet och uppföljning av den allmänna opinionen.</w:t>
      </w:r>
    </w:p>
    <w:p w14:paraId="661A61FF" w14:textId="61108A1C"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5</w:t>
      </w:r>
      <w:r w:rsidR="00450197" w:rsidRPr="00E2643E">
        <w:rPr>
          <w14:textOutline w14:w="0" w14:cap="flat" w14:cmpd="sng" w14:algn="ctr">
            <w14:noFill/>
            <w14:prstDash w14:val="solid"/>
            <w14:bevel/>
          </w14:textOutline>
        </w:rPr>
        <w:t>1</w:t>
      </w:r>
      <w:r w:rsidRPr="00E2643E">
        <w:t>.</w:t>
      </w:r>
      <w:r w:rsidRPr="00E2643E">
        <w:rPr>
          <w14:textOutline w14:w="0" w14:cap="flat" w14:cmpd="sng" w14:algn="ctr">
            <w14:noFill/>
            <w14:prstDash w14:val="solid"/>
            <w14:bevel/>
          </w14:textOutline>
        </w:rPr>
        <w:tab/>
      </w:r>
      <w:r w:rsidRPr="00E2643E">
        <w:t xml:space="preserve">Europaparlamentet noterar att GD </w:t>
      </w:r>
      <w:proofErr w:type="spellStart"/>
      <w:r w:rsidRPr="00E2643E">
        <w:t>COMM:s</w:t>
      </w:r>
      <w:proofErr w:type="spellEnd"/>
      <w:r w:rsidRPr="00E2643E">
        <w:t xml:space="preserve"> slutliga anslag 2024 uppgick till 137 463 777 EUR, vilket motsvarar 5,8 % av parlamentets budget.</w:t>
      </w:r>
      <w:r w:rsidRPr="00E2643E">
        <w:rPr>
          <w14:textOutline w14:w="0" w14:cap="flat" w14:cmpd="sng" w14:algn="ctr">
            <w14:noFill/>
            <w14:prstDash w14:val="solid"/>
            <w14:bevel/>
          </w14:textOutline>
        </w:rPr>
        <w:t xml:space="preserve"> </w:t>
      </w:r>
      <w:r w:rsidRPr="00E2643E">
        <w:t>Parlamentet framhåller att av detta belopp anslogs totalt 137 467 355 EUR.</w:t>
      </w:r>
      <w:r w:rsidRPr="00E2643E">
        <w:rPr>
          <w14:textOutline w14:w="0" w14:cap="flat" w14:cmpd="sng" w14:algn="ctr">
            <w14:noFill/>
            <w14:prstDash w14:val="solid"/>
            <w14:bevel/>
          </w14:textOutline>
        </w:rPr>
        <w:t xml:space="preserve"> Parlamentet välkomnar den höga användningen av anslag.</w:t>
      </w:r>
    </w:p>
    <w:p w14:paraId="1D2E5561" w14:textId="528F42D7" w:rsidR="00ED6F45" w:rsidRPr="00E2643E" w:rsidRDefault="00ED6F45" w:rsidP="00ED6F45">
      <w:pPr>
        <w:spacing w:after="240"/>
        <w:ind w:left="567" w:hanging="567"/>
      </w:pPr>
      <w:r w:rsidRPr="00E2643E">
        <w:t>5</w:t>
      </w:r>
      <w:r w:rsidR="00450197" w:rsidRPr="00E2643E">
        <w:t>2</w:t>
      </w:r>
      <w:r w:rsidRPr="00E2643E">
        <w:t>.</w:t>
      </w:r>
      <w:r w:rsidRPr="00E2643E">
        <w:tab/>
        <w:t xml:space="preserve">Europaparlamentet konstaterar att kommunikation om valet till Europaparlamentet stod i förgrunden för GD </w:t>
      </w:r>
      <w:proofErr w:type="spellStart"/>
      <w:r w:rsidRPr="00E2643E">
        <w:t>COMM:s</w:t>
      </w:r>
      <w:proofErr w:type="spellEnd"/>
      <w:r w:rsidRPr="00E2643E">
        <w:t xml:space="preserve"> verksamhet under 2024, särskilt den framgångsrika kommunikationskampanjen ”Go-to-</w:t>
      </w:r>
      <w:proofErr w:type="spellStart"/>
      <w:r w:rsidRPr="00E2643E">
        <w:t>vote</w:t>
      </w:r>
      <w:proofErr w:type="spellEnd"/>
      <w:r w:rsidRPr="00E2643E">
        <w:t xml:space="preserve">”, partnerskap med över 300 organisationer i det civila samhället och information till över 18 000 journalister. Parlamentet noterar att alla GD </w:t>
      </w:r>
      <w:proofErr w:type="spellStart"/>
      <w:r w:rsidRPr="00E2643E">
        <w:t>COMM:s</w:t>
      </w:r>
      <w:proofErr w:type="spellEnd"/>
      <w:r w:rsidRPr="00E2643E">
        <w:t xml:space="preserve"> strategiska projekt under 2024, med en genomförandegrad på 94 %, var inriktade på valet till Europaparlamentet, medan återstående 6 % gällde genomförandet av den nya webbplatsstrukturen.</w:t>
      </w:r>
    </w:p>
    <w:p w14:paraId="158E2762" w14:textId="5D0416CF" w:rsidR="00ED6F45" w:rsidRPr="00E2643E" w:rsidRDefault="00ED6F45" w:rsidP="00ED6F45">
      <w:pPr>
        <w:spacing w:after="240"/>
        <w:ind w:left="567" w:hanging="567"/>
      </w:pPr>
      <w:r w:rsidRPr="00E2643E">
        <w:t>5</w:t>
      </w:r>
      <w:r w:rsidR="00450197" w:rsidRPr="00E2643E">
        <w:t>3</w:t>
      </w:r>
      <w:r w:rsidRPr="00E2643E">
        <w:t xml:space="preserve">. </w:t>
      </w:r>
      <w:r w:rsidRPr="00E2643E">
        <w:tab/>
        <w:t>Europaparlamentet noterar att GD COMM underlättade bevakningen av valet till Europaparlamentet, som var föremål för rekordmånga rapporter (+18 % jämfört med det föregående valet), vilket GD COMM anser vara särskilt anmärkningsvärt under kampanjens slutfas, eftersom valnatten (9 juni 2024) täcktes av 149 tv-kanaler från 51 länder och majoriteten av rapporteringen ägde rum online.</w:t>
      </w:r>
    </w:p>
    <w:p w14:paraId="09899679" w14:textId="00EBE1D6" w:rsidR="00ED6F45" w:rsidRPr="00E2643E" w:rsidRDefault="00ED6F45" w:rsidP="00ED6F45">
      <w:pPr>
        <w:spacing w:after="240"/>
        <w:ind w:left="567" w:hanging="567"/>
      </w:pPr>
      <w:r w:rsidRPr="00E2643E">
        <w:rPr>
          <w14:textOutline w14:w="0" w14:cap="flat" w14:cmpd="sng" w14:algn="ctr">
            <w14:noFill/>
            <w14:prstDash w14:val="solid"/>
            <w14:bevel/>
          </w14:textOutline>
        </w:rPr>
        <w:t>5</w:t>
      </w:r>
      <w:r w:rsidR="00450197" w:rsidRPr="00E2643E">
        <w:rPr>
          <w14:textOutline w14:w="0" w14:cap="flat" w14:cmpd="sng" w14:algn="ctr">
            <w14:noFill/>
            <w14:prstDash w14:val="solid"/>
            <w14:bevel/>
          </w14:textOutline>
        </w:rPr>
        <w:t>4</w:t>
      </w:r>
      <w:r w:rsidRPr="00E2643E">
        <w:t>.</w:t>
      </w:r>
      <w:r w:rsidRPr="00E2643E">
        <w:rPr>
          <w14:textOutline w14:w="0" w14:cap="flat" w14:cmpd="sng" w14:algn="ctr">
            <w14:noFill/>
            <w14:prstDash w14:val="solid"/>
            <w14:bevel/>
          </w14:textOutline>
        </w:rPr>
        <w:tab/>
      </w:r>
      <w:r w:rsidRPr="00E2643E">
        <w:t>Europaparlamentet noterar förbindelsekontorens roll i kontakterna mellan parlamentet och allmänheten och berörda parter i medlemsstaterna generellt, och i kommunikationen om valet till Europaparlamentet.</w:t>
      </w:r>
      <w:r w:rsidRPr="00E2643E">
        <w:rPr>
          <w14:textOutline w14:w="0" w14:cap="flat" w14:cmpd="sng" w14:algn="ctr">
            <w14:noFill/>
            <w14:prstDash w14:val="solid"/>
            <w14:bevel/>
          </w14:textOutline>
        </w:rPr>
        <w:t xml:space="preserve"> </w:t>
      </w:r>
      <w:r w:rsidRPr="00E2643E">
        <w:t xml:space="preserve">Parlamentet noterar att alla förbindelsekontor har utrustats med audiovisuella tjänster som ledamöterna, de politiska grupperna och tredje parter kan använda i medlemsstaterna. </w:t>
      </w:r>
    </w:p>
    <w:p w14:paraId="7E5E5873" w14:textId="74439206" w:rsidR="00ED6F45" w:rsidRPr="00E2643E" w:rsidRDefault="00ED6F45" w:rsidP="00ED6F45">
      <w:pPr>
        <w:pStyle w:val="NormalHanging12a"/>
        <w:rPr>
          <w:bCs/>
          <w:iCs/>
        </w:rPr>
      </w:pPr>
      <w:r w:rsidRPr="00E2643E">
        <w:t>5</w:t>
      </w:r>
      <w:r w:rsidR="00450197" w:rsidRPr="00E2643E">
        <w:t>5</w:t>
      </w:r>
      <w:r w:rsidRPr="00E2643E">
        <w:t>.</w:t>
      </w:r>
      <w:r w:rsidRPr="00E2643E">
        <w:tab/>
        <w:t xml:space="preserve">Europaparlamentet efterlyser lämplig övervakning av utgifterna för förbindelsekontoren och Europa </w:t>
      </w:r>
      <w:proofErr w:type="spellStart"/>
      <w:r w:rsidRPr="00E2643E">
        <w:t>Experience</w:t>
      </w:r>
      <w:proofErr w:type="spellEnd"/>
      <w:r w:rsidRPr="00E2643E">
        <w:t>-centrumen.</w:t>
      </w:r>
    </w:p>
    <w:p w14:paraId="1EC800B6" w14:textId="5F45F4BA" w:rsidR="0013079B" w:rsidRPr="00E2643E" w:rsidRDefault="00ED6F45" w:rsidP="0013079B">
      <w:pPr>
        <w:pStyle w:val="NormalHanging12a"/>
        <w:rPr>
          <w:bCs/>
          <w:iCs/>
        </w:rPr>
      </w:pPr>
      <w:r w:rsidRPr="00E2643E">
        <w:t>5</w:t>
      </w:r>
      <w:r w:rsidR="00450197" w:rsidRPr="00E2643E">
        <w:t>6</w:t>
      </w:r>
      <w:r w:rsidRPr="00E2643E">
        <w:t>.</w:t>
      </w:r>
      <w:r w:rsidRPr="00E2643E">
        <w:tab/>
        <w:t>Europaparlamentet betonar den avgörande roll som förbindelsekontoret i Washington spelar för att främja transatlantiska förbindelser och stärka förbindelserna mellan USA:s och unionens parlament. Parlamentet framhåller, mot bakgrund av USA:s nya administration och framväxande globala utmaningar, att den roll som förbindelsekontoret i Washington spelar har blivit ännu viktigare. Parlamentet efterlyser en tillräcklig budget och personal för att stödja förbindelsekontorets verksamhet i Washington.</w:t>
      </w:r>
    </w:p>
    <w:p w14:paraId="78BBB8C6" w14:textId="19CA7564" w:rsidR="00ED6F45" w:rsidRPr="00E2643E" w:rsidRDefault="00ED6F45" w:rsidP="0013079B">
      <w:pPr>
        <w:pStyle w:val="NormalHanging12a"/>
      </w:pPr>
      <w:r w:rsidRPr="00E2643E">
        <w:t>5</w:t>
      </w:r>
      <w:r w:rsidR="00450197" w:rsidRPr="00E2643E">
        <w:t>7</w:t>
      </w:r>
      <w:r w:rsidRPr="00E2643E">
        <w:t>.</w:t>
      </w:r>
      <w:r w:rsidRPr="00E2643E">
        <w:tab/>
        <w:t xml:space="preserve">Europaparlamentet noterar att 14 Europa </w:t>
      </w:r>
      <w:proofErr w:type="spellStart"/>
      <w:r w:rsidRPr="00E2643E">
        <w:t>Experience</w:t>
      </w:r>
      <w:proofErr w:type="spellEnd"/>
      <w:r w:rsidRPr="00E2643E">
        <w:t xml:space="preserve">-centrum var öppna under 2024 och lockade totalt 957 209 besökare, men att antalet besökare varierade mycket – Strasbourg (381 687) och Berlin (122 672) lockade flest besökare, och Köpenhamn (18 182) och Dublin (8 312) lägst antal, dock med beaktande av att centrumet i Dublin inte öppnades förrän i oktober 2024. Parlamentet noterar iakttagelsen att Europa </w:t>
      </w:r>
      <w:proofErr w:type="spellStart"/>
      <w:r w:rsidRPr="00E2643E">
        <w:t>Experience</w:t>
      </w:r>
      <w:proofErr w:type="spellEnd"/>
      <w:r w:rsidRPr="00E2643E">
        <w:t>‑centrumen fungerar som en EU-plattform för förbindelsekontorens demokratiska engagemang i respektive medlemsstat och att de gör det möjligt att locka till sig en bredare publik för parlamentets budskap.</w:t>
      </w:r>
    </w:p>
    <w:p w14:paraId="54AC7239" w14:textId="07062D70" w:rsidR="00ED6F45" w:rsidRPr="00E2643E" w:rsidRDefault="00ED6F45" w:rsidP="00ED6F45">
      <w:pPr>
        <w:spacing w:after="240"/>
        <w:ind w:left="567" w:hanging="567"/>
      </w:pPr>
      <w:r w:rsidRPr="00E2643E">
        <w:rPr>
          <w14:textOutline w14:w="0" w14:cap="flat" w14:cmpd="sng" w14:algn="ctr">
            <w14:noFill/>
            <w14:prstDash w14:val="solid"/>
            <w14:bevel/>
          </w14:textOutline>
        </w:rPr>
        <w:t>5</w:t>
      </w:r>
      <w:r w:rsidR="00450197" w:rsidRPr="00E2643E">
        <w:rPr>
          <w14:textOutline w14:w="0" w14:cap="flat" w14:cmpd="sng" w14:algn="ctr">
            <w14:noFill/>
            <w14:prstDash w14:val="solid"/>
            <w14:bevel/>
          </w14:textOutline>
        </w:rPr>
        <w:t>8</w:t>
      </w:r>
      <w:r w:rsidRPr="00E2643E">
        <w:t>.</w:t>
      </w:r>
      <w:r w:rsidRPr="00E2643E">
        <w:rPr>
          <w14:textOutline w14:w="0" w14:cap="flat" w14:cmpd="sng" w14:algn="ctr">
            <w14:noFill/>
            <w14:prstDash w14:val="solid"/>
            <w14:bevel/>
          </w14:textOutline>
        </w:rPr>
        <w:tab/>
      </w:r>
      <w:r w:rsidRPr="00E2643E">
        <w:t xml:space="preserve">Europaparlamentet understryker vikten av att grundligt utvärdera de lärdomar som </w:t>
      </w:r>
      <w:r w:rsidRPr="00E2643E">
        <w:lastRenderedPageBreak/>
        <w:t xml:space="preserve">hittills dragits med avseende på Europa </w:t>
      </w:r>
      <w:proofErr w:type="spellStart"/>
      <w:r w:rsidRPr="00E2643E">
        <w:t>Experience</w:t>
      </w:r>
      <w:proofErr w:type="spellEnd"/>
      <w:r w:rsidRPr="00E2643E">
        <w:t>-centrumen, särskilt när det gäller sökandet efter lämpliga byggnader och hur målgrupper kan nås på ett effektivt sätt, identifiera bästa praxis och anpassa den framtida utvecklingen av Europa </w:t>
      </w:r>
      <w:proofErr w:type="spellStart"/>
      <w:r w:rsidRPr="00E2643E">
        <w:t>Experience</w:t>
      </w:r>
      <w:proofErr w:type="spellEnd"/>
      <w:r w:rsidRPr="00E2643E">
        <w:noBreakHyphen/>
        <w:t>centrumen till lokala behov och påvisad inverkan. Parlamentet betonar att denna nya bedömning bör vägleda framtida anpassningar eller överväganden i samband med en ytterligare utbyggnad och säkerställa att alla framtida investeringar är effektivare när det gäller att tjäna sitt avsedda syfte att föra parlamentet närmare medborgarna och förbättra deras förståelse för unionens demokratiska process.</w:t>
      </w:r>
    </w:p>
    <w:p w14:paraId="76A6DCEE" w14:textId="1309C655" w:rsidR="00ED6F45" w:rsidRPr="00E2643E" w:rsidRDefault="00450197" w:rsidP="00ED6F45">
      <w:pPr>
        <w:pStyle w:val="NormalHanging12a"/>
      </w:pPr>
      <w:r w:rsidRPr="00E2643E">
        <w:t>59</w:t>
      </w:r>
      <w:r w:rsidR="00ED6F45" w:rsidRPr="00E2643E">
        <w:t>.</w:t>
      </w:r>
      <w:r w:rsidR="00ED6F45" w:rsidRPr="00E2643E">
        <w:tab/>
        <w:t>Europaparlamentet påminner om att nya bestämmelser om utbetalning av bidrag för sponsrade besöksgrupper antogs av presidiet den 11 september 2023 och trädde i kraft den 1 januari 2024. Parlamentet noterar att ledamöterna under 2024 bjöd in 300 000 sponsrade och icke-sponsrade besökare i Bryssel och Strasbourg. Parlamentet noterar att bidragen till sådana besöksgrupper 2024 uppgick till 17 % av GD </w:t>
      </w:r>
      <w:proofErr w:type="spellStart"/>
      <w:r w:rsidR="00ED6F45" w:rsidRPr="00E2643E">
        <w:t>COMM:s</w:t>
      </w:r>
      <w:proofErr w:type="spellEnd"/>
      <w:r w:rsidR="00ED6F45" w:rsidRPr="00E2643E">
        <w:t> utgifter. Parlamentet noterar de ytterligare ansträngningar som de politiska grupperna gör för att stödja sina ledamöter att interagera med medborgare, inbegripet ungdomar, i syfte att säkerställa tillräcklig information om ledamöternas arbete i Strasbourg och Bryssel, med hjälp av anslag från budgetpost 400.</w:t>
      </w:r>
    </w:p>
    <w:p w14:paraId="2C698C3A" w14:textId="052D8B75" w:rsidR="0013079B" w:rsidRPr="00E2643E" w:rsidRDefault="00ED6F45" w:rsidP="0013079B">
      <w:pPr>
        <w:spacing w:after="240"/>
        <w:ind w:left="567" w:hanging="567"/>
      </w:pPr>
      <w:r w:rsidRPr="00E2643E">
        <w:t>6</w:t>
      </w:r>
      <w:r w:rsidR="00450197" w:rsidRPr="00E2643E">
        <w:t>0</w:t>
      </w:r>
      <w:r w:rsidRPr="00E2643E">
        <w:t>.</w:t>
      </w:r>
      <w:r w:rsidRPr="00E2643E">
        <w:tab/>
        <w:t>Europaparlamentet noterar den ständiga kamp som unionen är involverad i för att skydda unionens värden och den demokratiska processens integritet. Parlamentet konstaterar att utländska aktörer i allt högre grad försöker påverka parlamentets arbete och betonar behovet av vaksamhet när det gäller att motverka desinformation från aktörer utanför unionen. Parlamentet påminner i detta avseende om sina resolutioner av den 1 juni 2023 om utländsk inblandning i alla demokratiska processer i Europeiska unionen, inbegripet desinformation (2022/2075(INI)), och av den 23 januari 2025 om Rysslands desinformation och historieförfalskning för att rättfärdiga landets anfallskrig mot Ukraina (2024/2988(RSP)). Parlamentet välkomnar de åtgärder som parlamentet vidtagit för att förebygga och reagera på desinformation. Parlamentet konstaterar att inga betydande incidenter ännu har inträffat, men betonar vikten av att upprätthålla proaktiva åtgärder för att bevara integriteten i parlamentets offentliga debatt och omröstningar. Parlamentet framhåller mervärdet av initiativ såsom möten och toppmöten för faktagranskning, som spelar en avgörande roll för att främja transparens, utrusta berörda parter med verktyg för att motverka desinformation och stärka samarbetet mellan faktagranskande organisationer inom och utanför unionen.</w:t>
      </w:r>
    </w:p>
    <w:p w14:paraId="2EB1F04C" w14:textId="77777777" w:rsidR="0013079B" w:rsidRPr="00E2643E" w:rsidRDefault="00ED6F45" w:rsidP="0013079B">
      <w:pPr>
        <w:spacing w:after="240"/>
        <w:ind w:left="567" w:hanging="567"/>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Generaldirektoratet för personal</w:t>
      </w:r>
    </w:p>
    <w:p w14:paraId="3F728B15" w14:textId="1CCD0680" w:rsidR="00ED6F45" w:rsidRPr="00E2643E" w:rsidRDefault="00ED6F45" w:rsidP="0013079B">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6</w:t>
      </w:r>
      <w:r w:rsidR="00450197" w:rsidRPr="00E2643E">
        <w:rPr>
          <w14:textOutline w14:w="0" w14:cap="flat" w14:cmpd="sng" w14:algn="ctr">
            <w14:noFill/>
            <w14:prstDash w14:val="solid"/>
            <w14:bevel/>
          </w14:textOutline>
        </w:rPr>
        <w:t>1</w:t>
      </w:r>
      <w:r w:rsidRPr="00E2643E">
        <w:t>.</w:t>
      </w:r>
      <w:r w:rsidRPr="00E2643E">
        <w:rPr>
          <w14:textOutline w14:w="0" w14:cap="flat" w14:cmpd="sng" w14:algn="ctr">
            <w14:noFill/>
            <w14:prstDash w14:val="solid"/>
            <w14:bevel/>
          </w14:textOutline>
        </w:rPr>
        <w:tab/>
        <w:t xml:space="preserve">Europaparlamentet påminner om att generaldirektoratet för personal (GD PERS) ansvarar för en lämplig och effektiv personalförvaltning inom parlamentet och ser till att ledamöterna stöds av en högkvalificerad arbetskraft så att de kan fullgöra sitt mandat på vederbörligt sätt. </w:t>
      </w:r>
      <w:r w:rsidRPr="00E2643E">
        <w:t>Parlamentet noterar att det den 31 december 2024 fanns 499 anställda, varav 290 var tjänstemän, 82 tillfälligt anställda, 120 kontraktsanställda, 2 utstationerade nationella experter och 5 medlemmar av personalen som var inhyrda från bemanningsföretag.</w:t>
      </w:r>
    </w:p>
    <w:p w14:paraId="284E7D7F" w14:textId="007F2D5A"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6</w:t>
      </w:r>
      <w:r w:rsidR="00450197" w:rsidRPr="00E2643E">
        <w:rPr>
          <w14:textOutline w14:w="0" w14:cap="flat" w14:cmpd="sng" w14:algn="ctr">
            <w14:noFill/>
            <w14:prstDash w14:val="solid"/>
            <w14:bevel/>
          </w14:textOutline>
        </w:rPr>
        <w:t>2</w:t>
      </w:r>
      <w:r w:rsidRPr="00E2643E">
        <w:t>.</w:t>
      </w:r>
      <w:r w:rsidRPr="00E2643E">
        <w:rPr>
          <w14:textOutline w14:w="0" w14:cap="flat" w14:cmpd="sng" w14:algn="ctr">
            <w14:noFill/>
            <w14:prstDash w14:val="solid"/>
            <w14:bevel/>
          </w14:textOutline>
        </w:rPr>
        <w:tab/>
      </w:r>
      <w:r w:rsidRPr="00E2643E">
        <w:t>Europaparlamentet noterar att GD PERS slutliga anslag 2024 uppgick till 1 225 341 375 EUR (1 163 329 780 EUR 2023), vilket motsvarar 51,4 % av parlamentets budget.</w:t>
      </w:r>
      <w:r w:rsidRPr="00E2643E">
        <w:rPr>
          <w14:textOutline w14:w="0" w14:cap="flat" w14:cmpd="sng" w14:algn="ctr">
            <w14:noFill/>
            <w14:prstDash w14:val="solid"/>
            <w14:bevel/>
          </w14:textOutline>
        </w:rPr>
        <w:t xml:space="preserve"> </w:t>
      </w:r>
      <w:r w:rsidRPr="00E2643E">
        <w:t>Parlamentet framhåller att av detta belopp anslogs totalt 1 160 835 147 EUR.</w:t>
      </w:r>
      <w:r w:rsidRPr="00E2643E">
        <w:rPr>
          <w14:textOutline w14:w="0" w14:cap="flat" w14:cmpd="sng" w14:algn="ctr">
            <w14:noFill/>
            <w14:prstDash w14:val="solid"/>
            <w14:bevel/>
          </w14:textOutline>
        </w:rPr>
        <w:t xml:space="preserve"> Parlamentet välkomnar den höga användningen av anslag.</w:t>
      </w:r>
    </w:p>
    <w:p w14:paraId="08DBB988" w14:textId="29FB88CC" w:rsidR="0013079B" w:rsidRPr="00E2643E" w:rsidRDefault="00ED6F45" w:rsidP="0013079B">
      <w:pPr>
        <w:pStyle w:val="NormalHanging12a"/>
      </w:pPr>
      <w:r w:rsidRPr="00E2643E">
        <w:lastRenderedPageBreak/>
        <w:t>6</w:t>
      </w:r>
      <w:r w:rsidR="00450197" w:rsidRPr="00E2643E">
        <w:t>3</w:t>
      </w:r>
      <w:r w:rsidRPr="00E2643E">
        <w:t>.</w:t>
      </w:r>
      <w:r w:rsidRPr="00E2643E">
        <w:tab/>
        <w:t>Europaparlamentet välkomnar att GD PERS under 2024 fortsatte att anordna uttagningsprov och urvalsförfaranden och hanterade en allt större grupp av sökande, och att man också anordnade fyra nationalitetsspecifika uttagningsprov. Parlamentet välkomnar de insatser som gjorts av GD PERS för att anordna uttagningsprov, se till att de slutförs i tid och upprätthålla de nödvändiga kvalitetsstandarderna. Parlamentet välkomnar att över 441 kandidater framgångsrikt fördes upp på reservlistorna. Parlamentet beklagar dock att Europeiska rekryteringsbyrån (</w:t>
      </w:r>
      <w:proofErr w:type="spellStart"/>
      <w:r w:rsidRPr="00E2643E">
        <w:t>Epso</w:t>
      </w:r>
      <w:proofErr w:type="spellEnd"/>
      <w:r w:rsidRPr="00E2643E">
        <w:t>) har stött på systematiska problem med anordnandet av uttagningsprov och bristen på en tillgänglig reserv av sökande som passar parlamentets behov. Parlamentet beklagar att den genomsnittliga tiden mellan offentliggörandet av meddelandet om uttagningsprov och den slutliga intervjun för varje uttagningsprov är mer än ett år. Parlamentet erkänner de allmänna svårigheter som GD PERS och andra generaldirektorat stött på när det gäller att locka till sig och behålla talanger, vilket påverkar prestationerna för parlamentets personalstyrka. Parlamentet efterlyser effektivare, bättre riktade och kortare urvalsförfaranden, vilket skulle öka parlamentets attraktionskraft som arbetsgivare och göra det möjligt för generaldirektoraten att snabbt rekrytera de specialistprofiler som de behöver till stöd för sitt arbete. Parlamentet betonar att urvalsförfarandena måste genomföras med full respekt för principerna om likabehandling och geografisk balans, så att en rättvis representation av alla medlemsstater säkerställs.</w:t>
      </w:r>
    </w:p>
    <w:p w14:paraId="08C91085" w14:textId="31BBCF4E" w:rsidR="00ED6F45" w:rsidRPr="00E2643E" w:rsidRDefault="00ED6F45" w:rsidP="0013079B">
      <w:pPr>
        <w:pStyle w:val="NormalHanging12a"/>
      </w:pPr>
      <w:r w:rsidRPr="00E2643E">
        <w:t>6</w:t>
      </w:r>
      <w:r w:rsidR="00450197" w:rsidRPr="00E2643E">
        <w:t>4</w:t>
      </w:r>
      <w:r w:rsidRPr="00E2643E">
        <w:t>.</w:t>
      </w:r>
      <w:r w:rsidRPr="00E2643E">
        <w:tab/>
        <w:t>Europaparlamentet välkomnar parlamentets nationalitetsspecifika uttagningsprov i syfte att förbättra den geografiska balansen bland parlamentets personal genom att utöka reserven med kandidater från underrepresenterade medlemsstater. Parlamentet noterar dock att en analys av uppgifter om parlamentets personal per nationalitet och tjänstegrupp visar på en ihållande obalans i karriärutvecklingen, vilket innebär att personal från vissa medlemsstater, även om de är väl representerade inom administrationen, fortfarande är underrepresenterade i högre tjänstegrupper och i beslutsfattande ställning. Parlamentet beklagar den geografiska obalansen inom parlamentets högsta ledning och bland mellancheferna. Parlamentet anser att rekrytering alltid ska baseras på meriter och alltid bör respektera grundläggande principer såsom jämlikhet, icke-diskriminering och proportionalitet. Parlamentet betonar att det behövs förbättringar, och uppmanar generalsekreteraren att i samarbete med GD PERS lägga fram konkreta, mätbara och tidsbundna åtgärder för att ta itu med dessa obalanser och att regelbundet rapportera till parlamentets budgetkontrollutskott och den ansvarsfrihetsbeviljande myndigheten om de framsteg som gjorts för att korrigera den geografiska obalansen bland parlamentets personal. Parlamentet uppmanar generalsekreteraren och GD PERS att i den information som de regelbundet lämnar till parlamentets budgetkontrollutskott inkludera information som går utöver det totala antalet anställda och i synnerhet uppgifter om karriärutveckling och befordringar per nationalitet och tjänstegrupp, om utnämning till ledande befattningar och ansvarsbefattningar, om deltagande i talanghanterings- och ledarskapsprogram och om användning av utnämningar och tillfälliga funktioner som en del av karriärutvecklingsvägar.</w:t>
      </w:r>
    </w:p>
    <w:p w14:paraId="6FE1C54F" w14:textId="0D0CB679" w:rsidR="0013079B" w:rsidRPr="00E2643E" w:rsidRDefault="00ED6F45" w:rsidP="0013079B">
      <w:pPr>
        <w:spacing w:after="240"/>
        <w:ind w:left="567" w:hanging="567"/>
        <w:rPr>
          <w:noProof/>
        </w:rPr>
      </w:pPr>
      <w:r w:rsidRPr="00E2643E">
        <w:t>6</w:t>
      </w:r>
      <w:r w:rsidR="00450197" w:rsidRPr="00E2643E">
        <w:t>5</w:t>
      </w:r>
      <w:r w:rsidRPr="00E2643E">
        <w:t>.</w:t>
      </w:r>
      <w:r w:rsidRPr="00E2643E">
        <w:tab/>
        <w:t xml:space="preserve">Europaparlamentet noterar att GD PERS lyckades rekrytera ett aldrig tidigare skådat antal ackrediterade assistenter (1 339) vid det konstituerande sammanträdet i juli, och att det totala antalet ackrediterade assistenter med ett faktiskt kontrakt i slutet av året ökade till 2 024 och att omkring 800 ackrediterade assistenter lämnade sina tjänster. Parlamentet anser att ackrediterade assistenter är en stor tillgång för institutionen och lovordar GD PERS för dess insatser för att stödja ledamöternas effektiva och </w:t>
      </w:r>
      <w:r w:rsidRPr="00E2643E">
        <w:lastRenderedPageBreak/>
        <w:t xml:space="preserve">ändamålsenliga rekrytering av dem. </w:t>
      </w:r>
    </w:p>
    <w:p w14:paraId="1220E6DF" w14:textId="3BC0F498" w:rsidR="00ED6F45" w:rsidRPr="00E2643E" w:rsidRDefault="00ED6F45" w:rsidP="0013079B">
      <w:pPr>
        <w:spacing w:after="240"/>
        <w:ind w:left="567" w:hanging="567"/>
      </w:pPr>
      <w:r w:rsidRPr="00E2643E">
        <w:t>6</w:t>
      </w:r>
      <w:r w:rsidR="00450197" w:rsidRPr="00E2643E">
        <w:t>6</w:t>
      </w:r>
      <w:r w:rsidRPr="00E2643E">
        <w:t>.</w:t>
      </w:r>
      <w:r w:rsidRPr="00E2643E">
        <w:tab/>
        <w:t>Europaparlamentet konstaterar att de ackrediterade assistenternas arbete är en integrerad del av ledamöternas och därmed parlamentets arbete. Parlamentet noterar att efter antagandet av stadgan för ackrediterade assistenter 2009 har deras status under årens lopp skyddats av reglerna. Parlamentet noterar parlamentets insatser för att skapa en ram för att ge stöd till ackrediterade assistenter. Parlamentet efterlyser vederbörlig efterlevnad av gällande regler. Parlamentet noterar att ackrediterade assistenter sedan dess deltar i officiella tjänsteresor till parlamentets tre arbetsorter. Parlamentet välkomnar att bestämmelserna om ersättning för ackrediterade assistenters tjänsteresor mellan de tre arbetsorterna har anpassats till reglerna för tjänstemän, vilket säkerställer likabehandling av ackrediterade assistenter. Parlamentet uppmanar presidiet och parlamentets administration att formellt samråda med kommittén för ackrediterade assistenter om översyner och reformer som direkt påverkar de ackrediterade assistenternas rättigheter. Parlamentet uppmanar sin administration att undersöka möjligheten att införa en uppsägningstid i ackrediterade assistenters kontrakt i händelse av att en ledamot oväntat skulle lämna sitt uppdrag. Parlamentet upprepar sin uppmaning till talmanskonferensen och presidiet att se över genomförandebestämmelserna för delegationernas arbete och tjänsteresor utanför unionen. Parlamentet understryker att man vid en sådan översyn bör beakta möjligheten för ackrediterade assistenter att på vissa villkor följa med ledamöter på parlamentets officiella delegationsresor och på officiella uppdrag. Parlamentet framhåller att denna ändring inte skulle leda till någon ändring av anslaget och att den skulle vara budgetneutral.</w:t>
      </w:r>
    </w:p>
    <w:p w14:paraId="5EAD05AE" w14:textId="05463639" w:rsidR="00B357FD" w:rsidRPr="00E2643E" w:rsidRDefault="00B357FD" w:rsidP="0013079B">
      <w:pPr>
        <w:spacing w:after="240"/>
        <w:ind w:left="567" w:hanging="567"/>
        <w:rPr>
          <w:bCs/>
          <w:iCs/>
        </w:rPr>
      </w:pPr>
      <w:r w:rsidRPr="00E2643E">
        <w:rPr>
          <w:bCs/>
          <w:iCs/>
          <w:szCs w:val="24"/>
          <w:lang w:eastAsia="en-US"/>
        </w:rPr>
        <w:t>67.</w:t>
      </w:r>
      <w:r w:rsidRPr="00E2643E">
        <w:rPr>
          <w:bCs/>
          <w:iCs/>
          <w:szCs w:val="24"/>
          <w:lang w:eastAsia="en-US"/>
        </w:rPr>
        <w:tab/>
        <w:t>Europaparlamentet betonar att hälsa och säkerhet på arbetsplatsen, inbegripet psykosociala risker (stress, utbrändhet, trakasserier), är en prioritering. Parlamentet uppmanar presidiet att formellt erkänna psykosociala risker som arbetsmiljörisker och att anta en parlamentsomfattande förebyggande plan med mätbara mål. Parlamentet efterlyser riskbedömningar som omfattar distansarbete, tjänsteresor och snäva tidsfrister samt konfidentiella rapporteringskanaler, utbildning för chefer och regelbunden social dialog. Parlamentet insisterar på att rätten att inte vara uppkopplad måste upprätthållas.</w:t>
      </w:r>
    </w:p>
    <w:p w14:paraId="3D653AC2" w14:textId="77777777" w:rsidR="0013079B" w:rsidRPr="00E2643E" w:rsidRDefault="00ED6F45" w:rsidP="0013079B">
      <w:pPr>
        <w:pStyle w:val="NormalHanging12a"/>
        <w:rPr>
          <w:bCs/>
          <w:iCs/>
        </w:rPr>
      </w:pPr>
      <w:r w:rsidRPr="00E2643E">
        <w:t>68.</w:t>
      </w:r>
      <w:r w:rsidRPr="00E2643E">
        <w:tab/>
        <w:t>Europaparlamentet påminner om att ackrediterade assistenter inte kan delta i parlamentets interna uttagningsprov. Parlamentet uppmanar presidiet att undersöka möjligheten att låta ackrediterade assistenter, på villkor som ännu inte fastställts, delta i interna uttagningsprov på ett liknande sätt som parlamentets personal. Parlamentet betonar att ett ökat deltagande av ackrediterade assistenter i parlamentets interna strukturer skulle kunna leda till en mer inkluderande, diversifierad och geografiskt balanserad personalstyrka. Parlamentet framhåller vikten av att bevara och överföra kunskap inom parlamentet när det gäller de interna arbetsmetoderna.</w:t>
      </w:r>
    </w:p>
    <w:p w14:paraId="76891FF4" w14:textId="204CCD1B" w:rsidR="00ED6F45" w:rsidRPr="00E2643E" w:rsidRDefault="00ED6F45" w:rsidP="0013079B">
      <w:pPr>
        <w:pStyle w:val="NormalHanging12a"/>
      </w:pPr>
      <w:r w:rsidRPr="00E2643E">
        <w:t>69.</w:t>
      </w:r>
      <w:r w:rsidRPr="00E2643E">
        <w:tab/>
        <w:t xml:space="preserve">Europaparlamentet noterar med stor oro rapporterna om en uppgiftsincident som berörde parlamentets rekryteringsapplikation PEOPLE och som främst påverkade parlamentets tillfälligt anställda, däribland ackrediterade assistenter. Parlamentet beklagar att uppgiftsincidenten i vissa fall gällde id‑kortsuppgifter, födelsebevis, examensbevis, anställningshistorik, patientjournaler, rättigheter, försäkringar och anställningsbevis från tio år tillbaka i tiden. Parlamentet välkomnar det ersättningssystem som generalsekreteraren införde, i linje med parlamentets aktsamhetsplikt, för att täcka kostnaderna för att ersätta id-kort och/eller pass för </w:t>
      </w:r>
      <w:r w:rsidRPr="00E2643E">
        <w:lastRenderedPageBreak/>
        <w:t xml:space="preserve">berörda användare av applikationen PEOPLE, som innebär att 51 874 EUR hittills har betalats ut. Parlamentet beklagar att kostnaden för resan till ursprungslandet i samband med dessa administrativa förfaranden inte täcktes. Parlamentet uppmanar administrationen att säkerställa att stödåtgärderna är effektiva och rättvisa, inbegriper tydlig vägledning vid en enda kontaktpunkt, stöd till identitetsskydd och ersättning som inte lämnar drabbade personer med oundvikliga administrativa kostnader i samband med förfaranden för utbyte av handlingar. Parlamentet noterar att administrationen lämnat sin analys av orsakerna till överträdelsen till den ansvarsfrihetsbeviljande myndigheten. Parlamentet uppmanar administrationen att förse den berörda personalen, inbegripet tidigare anställda, med en tydlig analys av orsakerna till överträdelsen och de åtgärder som vidtagits för att återställa det berörda systemet. Parlamentet är fullt medvetet om att parlamentet kommer att förbli ett mål för cyberattacker i framtiden och att största möjliga vaksamhet är avgörande. Parlamentet välkomnar de åtgärder som administrationen vidtagit för att ytterligare stärka </w:t>
      </w:r>
      <w:proofErr w:type="spellStart"/>
      <w:r w:rsidRPr="00E2643E">
        <w:t>it-säkerhetens</w:t>
      </w:r>
      <w:proofErr w:type="spellEnd"/>
      <w:r w:rsidRPr="00E2643E">
        <w:t xml:space="preserve"> mognad och styrningen av sin </w:t>
      </w:r>
      <w:proofErr w:type="spellStart"/>
      <w:r w:rsidRPr="00E2643E">
        <w:t>it-miljö</w:t>
      </w:r>
      <w:proofErr w:type="spellEnd"/>
      <w:r w:rsidRPr="00E2643E">
        <w:t>.</w:t>
      </w:r>
    </w:p>
    <w:p w14:paraId="059BCD41" w14:textId="77777777" w:rsidR="00ED6F45" w:rsidRPr="00E2643E" w:rsidRDefault="00ED6F45" w:rsidP="00ED6F45">
      <w:pPr>
        <w:spacing w:after="240"/>
        <w:ind w:left="567" w:hanging="567"/>
        <w:rPr>
          <w:noProof/>
        </w:rPr>
      </w:pPr>
      <w:r w:rsidRPr="00E2643E">
        <w:t>70.</w:t>
      </w:r>
      <w:r w:rsidRPr="00E2643E">
        <w:tab/>
        <w:t xml:space="preserve">Europaparlamentet noterar att GD PERS har infört ett nytt </w:t>
      </w:r>
      <w:proofErr w:type="spellStart"/>
      <w:r w:rsidRPr="00E2643E">
        <w:t>it-system</w:t>
      </w:r>
      <w:proofErr w:type="spellEnd"/>
      <w:r w:rsidRPr="00E2643E">
        <w:t>, APA-</w:t>
      </w:r>
      <w:proofErr w:type="spellStart"/>
      <w:r w:rsidRPr="00E2643E">
        <w:t>People</w:t>
      </w:r>
      <w:proofErr w:type="spellEnd"/>
      <w:r w:rsidRPr="00E2643E">
        <w:t xml:space="preserve">, som förbättrar rekryteringsprocessen genom att centralisera kontraktsförvaltningen och ge ledamöterna åtkomst, tillsammans med ett helt digitaliserat förfarande för läkarundersökningar i samband med rekryteringen. Parlamentet uppmanar GD PERS att i samarbete med GD ITEC se till att cybersäkerheten i detta system håller fullgod standard och förhindrar läckor av personuppgifter. Parlamentet anser att cybersäkerheten i </w:t>
      </w:r>
      <w:proofErr w:type="spellStart"/>
      <w:r w:rsidRPr="00E2643E">
        <w:t>it-system</w:t>
      </w:r>
      <w:proofErr w:type="spellEnd"/>
      <w:r w:rsidRPr="00E2643E">
        <w:t xml:space="preserve"> som innehåller personuppgifter om all personal är av yttersta vikt och uppmanar GD PERS att ha ett nära samarbete med GD ITEC för att uppnå detta.</w:t>
      </w:r>
    </w:p>
    <w:p w14:paraId="451DE299" w14:textId="77777777" w:rsidR="00ED6F45" w:rsidRPr="00E2643E" w:rsidRDefault="00ED6F45" w:rsidP="00ED6F45">
      <w:pPr>
        <w:spacing w:after="240"/>
        <w:ind w:left="567" w:hanging="567"/>
      </w:pPr>
      <w:r w:rsidRPr="00E2643E">
        <w:t>71.</w:t>
      </w:r>
      <w:r w:rsidRPr="00E2643E">
        <w:tab/>
        <w:t>Europaparlamentet noterar att GD PERS under 2024 stödde genomförandet av färdplaner för jämställdhet och mångfald och tog fram kurser om mångfald och inkludering för all personal. Parlamentet välkomnar att enheten för lika möjligheter, inkludering och mångfald vid GD PERS effektiviserade sitt interna förfarande för skälig anpassning under 2024, vilket främjade jämlikhet, inkludering och mångfald, och även gav råd till fortbildningsenheten om skälig anpassning för kurser. Parlamentet välkomnar att enheten också anordnade 20 utbildningar och evenemang för att öka medvetenheten med 2 334 deltagare, inbegripet en ny mångfalds- och inkluderingskurs för all personal, och anordnade evenemang om jämställdhet, funktionsnedsättning och inkludering av hbtqi+-personer.</w:t>
      </w:r>
    </w:p>
    <w:p w14:paraId="268AD2F6" w14:textId="77777777" w:rsidR="00ED6F45" w:rsidRPr="00E2643E" w:rsidRDefault="00ED6F45" w:rsidP="00ED6F45">
      <w:pPr>
        <w:pStyle w:val="NormalHanging12a"/>
        <w:keepNext/>
        <w:keepLines/>
        <w:widowControl/>
      </w:pPr>
      <w:r w:rsidRPr="00E2643E">
        <w:t>72.</w:t>
      </w:r>
      <w:r w:rsidRPr="00E2643E">
        <w:tab/>
        <w:t>Europaparlamentet välkomnar antagandet av ett gemensamt interinstitutionellt beslut om bostadsbidrag till personal i lägre lönegrader som bor i Luxemburg. Parlamentet anser att det är ett nödvändigt instrument för att hjälpa personal i lägre lönegrader att kompensera för de oproportionerligt höga boendekostnaderna, samt ett nödvändigt verktyg för att göra parlamentets arbetsplats i Luxemburg mer attraktiv. Parlamentet noterar att instrumentet är tillfälligt och uppmanar parlamentet att säkerställa långsiktig förutsägbarhet för den berörda personalen.</w:t>
      </w:r>
    </w:p>
    <w:p w14:paraId="36CBF6DE" w14:textId="77777777" w:rsidR="00ED6F45" w:rsidRPr="00E2643E" w:rsidRDefault="00ED6F45" w:rsidP="00ED6F45">
      <w:pPr>
        <w:pStyle w:val="NormalHanging12a"/>
      </w:pPr>
      <w:r w:rsidRPr="00E2643E">
        <w:t>73.</w:t>
      </w:r>
      <w:r w:rsidRPr="00E2643E">
        <w:tab/>
        <w:t xml:space="preserve">Europaparlamentet påminner om lanseringen av kampanjen mot trakasserier ”Förenade mot trakasserier” den 22 oktober 2024, som omfattar hela parlamentet och bidrar till en säker arbetsmiljö. Parlamentet välkomnar att utöver informationskampanjen var utbildningen ”Respekt och värdighet på arbetsplatsen – att förebygga konflikter och trakasserier på arbetsplatsen” obligatorisk för ledamöterna och genomfördes av dem under valperiodens första år. Parlamentet framhåller att dessa åtgärders effektivitet bör </w:t>
      </w:r>
      <w:r w:rsidRPr="00E2643E">
        <w:lastRenderedPageBreak/>
        <w:t>utvärderas.</w:t>
      </w:r>
    </w:p>
    <w:p w14:paraId="49CA71C6" w14:textId="77777777" w:rsidR="00ED6F45" w:rsidRPr="00E2643E" w:rsidRDefault="00ED6F45" w:rsidP="00ED6F45">
      <w:pPr>
        <w:pStyle w:val="NormalHanging12a"/>
      </w:pPr>
      <w:r w:rsidRPr="00E2643E">
        <w:t>74.</w:t>
      </w:r>
      <w:r w:rsidRPr="00E2643E">
        <w:tab/>
        <w:t>Europaparlamentet välkomnar möjligheten för personalen att distansarbeta på annan ort än anställningsorten. Parlamentet noterar att parlamentets personal kan använda denna form av distansarbete under fem dagar per år. Parlamentet noterar att andra unionsinstitutioner i genomsnitt tillåter 15 dagar per år. Parlamentet efterlyser en proaktiv övervakning och utvärdering av de nya arbetssätten. Parlamentet påminner om vikten av en verklig social dialog med personalen i viktiga frågor som rör nya arbetssätt.</w:t>
      </w:r>
    </w:p>
    <w:p w14:paraId="767B8B93" w14:textId="77777777" w:rsidR="00ED6F45" w:rsidRPr="00E2643E" w:rsidRDefault="00ED6F45" w:rsidP="00ED6F45">
      <w:pPr>
        <w:pStyle w:val="NormalHanging12a"/>
        <w:rPr>
          <w:bCs/>
          <w:iCs/>
        </w:rPr>
      </w:pPr>
      <w:r w:rsidRPr="00E2643E">
        <w:t>75.</w:t>
      </w:r>
      <w:r w:rsidRPr="00E2643E">
        <w:tab/>
        <w:t xml:space="preserve">Europaparlamentet betonar att barnomsorg av hög kvalitet som tillhandahålls ledamöterna och personalen är avgörande åtgärder för att säkerställa ett effektivt genomförande av politiken för balans mellan arbete och privatliv. Parlamentet uppmärksammar att kvaliteten på de tjänster som tillhandahålls av </w:t>
      </w:r>
      <w:proofErr w:type="spellStart"/>
      <w:r w:rsidRPr="00E2643E">
        <w:t>Wayenberg</w:t>
      </w:r>
      <w:proofErr w:type="spellEnd"/>
      <w:r w:rsidRPr="00E2643E">
        <w:noBreakHyphen/>
        <w:t>förskolan i Bryssel för barn i förskoleåldern har försämrats på grund av att tjänsteleverantörerna ofta bytts ut sedan 2020. Parlamentet efterlyser i detta avseende att man överväger behovet av att anta standarder av hög kvalitet.</w:t>
      </w:r>
    </w:p>
    <w:p w14:paraId="7CA66DA6" w14:textId="3F4BAADF" w:rsidR="00ED6F45" w:rsidRPr="00E2643E" w:rsidRDefault="00ED6F45" w:rsidP="00ED6F45">
      <w:pPr>
        <w:pStyle w:val="NormalHanging12a"/>
        <w:rPr>
          <w:bCs/>
          <w:iCs/>
        </w:rPr>
      </w:pPr>
      <w:r w:rsidRPr="00E2643E">
        <w:t>76.</w:t>
      </w:r>
      <w:r w:rsidRPr="00E2643E">
        <w:tab/>
        <w:t>Europaparlamentet påminner om sin rekommendation till kommissionen i Europaparlamentets resolution av den 18 april 2018 om kommissionens integritetspolicy, särskilt utnämningen av kommissionens generalsekreterare (2018/2624(RSP)) om att kommissionen bör granska sina administrativa förfaranden för utnämning av högre tjänstemän för att till fullo säkerställa att de bästa kandidaterna väljs ut inom ett ramverk med maximal transparens och lika möjligheter. Parlamentet anser att när det gäller utnämningsförfaranden bör parlamentet alltid uppfylla de högsta standarderna i fråga om transparens, ansvarsskyldighet och god förvaltning.</w:t>
      </w:r>
    </w:p>
    <w:p w14:paraId="17C98533" w14:textId="77777777" w:rsidR="00ED6F45" w:rsidRPr="00E2643E" w:rsidRDefault="00ED6F45" w:rsidP="00ED6F45">
      <w:pPr>
        <w:pStyle w:val="NormalHanging12a"/>
        <w:rPr>
          <w:bCs/>
          <w:iCs/>
        </w:rPr>
      </w:pPr>
      <w:r w:rsidRPr="00E2643E">
        <w:t>77.</w:t>
      </w:r>
      <w:r w:rsidRPr="00E2643E">
        <w:tab/>
        <w:t>Europaparlamentet uppmanas att optimera användningen av sina personalresurser, bland annat genom att genomföra lämpliga fortlöpande utbildningsåtgärder som syftar till att öka de interna tjänsternas ändamålsenlighet och effektivitet. Parlamentet efterlyser regelbunden utbildning i första hjälpen på nybörjarnivå och mellannivå samt att utbildning i första hjälpen görs till en frivillig del av introduktionsprogrammet för ny personal. Parlamentet uppmanar administrationen att undersöka möjligheten att installera ytterligare defibrillatorer i syfte att förbättra ledamöternas och personalens hälsa och säkerhet och även tillhanda utbildning.</w:t>
      </w:r>
    </w:p>
    <w:p w14:paraId="2907ADCD" w14:textId="77777777" w:rsidR="00ED6F45" w:rsidRPr="00E2643E" w:rsidRDefault="00ED6F45" w:rsidP="00ED6F45">
      <w:pPr>
        <w:spacing w:after="240"/>
        <w:rPr>
          <w:b/>
          <w:bCs/>
          <w:i/>
          <w:iCs/>
        </w:rPr>
      </w:pPr>
      <w:r w:rsidRPr="00E2643E">
        <w:rPr>
          <w:b/>
          <w:i/>
        </w:rPr>
        <w:t>Generaldirektoratet för infrastruktur och logistik</w:t>
      </w:r>
    </w:p>
    <w:p w14:paraId="26A354C3" w14:textId="77777777" w:rsidR="00ED6F45" w:rsidRPr="00E2643E" w:rsidRDefault="00ED6F45" w:rsidP="00ED6F45">
      <w:pPr>
        <w:spacing w:after="240"/>
        <w:ind w:left="567" w:hanging="567"/>
      </w:pPr>
      <w:r w:rsidRPr="00E2643E">
        <w:t>78.</w:t>
      </w:r>
      <w:r w:rsidRPr="00E2643E">
        <w:tab/>
        <w:t xml:space="preserve">Europaparlamentet påminner om att generaldirektoratet för infrastruktur och logistik (GD INLO) ansvarar för parlamentets byggnader, byggnadsarbete, fastighetsförvaltning och logistik. Parlamentet noterar att GD INLO också tillhandahåller catering och transport samt förvaltar och utrustar parlamentets kontors- och sammanträdesutrymmen. Parlamentet påminner om att GD INLO framför allt förvaltade parlamentets fastighetsportfölj på omkring 1,3 miljoner m² i Bryssel, Luxemburg, Strasbourg, förbindelsekontoren och Europa </w:t>
      </w:r>
      <w:proofErr w:type="spellStart"/>
      <w:r w:rsidRPr="00E2643E">
        <w:t>Experience</w:t>
      </w:r>
      <w:proofErr w:type="spellEnd"/>
      <w:r w:rsidRPr="00E2643E">
        <w:t>-centrumen i medlemsstaterna. Parlamentet noterar att GD INLO den 31 december 2024 hade 635 anställda, varav 311 var tjänstemän, 20 tillfälligt anställda och 326 kontraktsanställda.</w:t>
      </w:r>
    </w:p>
    <w:p w14:paraId="62F774A9" w14:textId="77777777" w:rsidR="00ED6F45" w:rsidRPr="00E2643E" w:rsidRDefault="00ED6F45" w:rsidP="00ED6F45">
      <w:pPr>
        <w:pStyle w:val="NormalHanging12a"/>
      </w:pPr>
      <w:r w:rsidRPr="00E2643E">
        <w:t>79.</w:t>
      </w:r>
      <w:r w:rsidRPr="00E2643E">
        <w:tab/>
        <w:t xml:space="preserve">Europaparlamentet noterar att GD </w:t>
      </w:r>
      <w:proofErr w:type="spellStart"/>
      <w:r w:rsidRPr="00E2643E">
        <w:t>INLO:s</w:t>
      </w:r>
      <w:proofErr w:type="spellEnd"/>
      <w:r w:rsidRPr="00E2643E">
        <w:t xml:space="preserve"> slutliga anslag uppgick till 258 638 966 EUR 2024, vilket motsvarar 10,9 % av parlamentets budget. Parlamentet framhåller att av </w:t>
      </w:r>
      <w:r w:rsidRPr="00E2643E">
        <w:lastRenderedPageBreak/>
        <w:t>detta belopp anslogs totalt 256 935 431 EUR. Parlamentet noterar den höga användningen av anslag.</w:t>
      </w:r>
    </w:p>
    <w:p w14:paraId="4A435D99" w14:textId="77777777" w:rsidR="00ED6F45" w:rsidRPr="00E2643E" w:rsidRDefault="00ED6F45" w:rsidP="00ED6F45">
      <w:pPr>
        <w:spacing w:after="240"/>
        <w:ind w:left="567" w:hanging="567"/>
      </w:pPr>
      <w:r w:rsidRPr="00E2643E">
        <w:t>80.</w:t>
      </w:r>
      <w:r w:rsidRPr="00E2643E">
        <w:tab/>
        <w:t>Europaparlamentet påminner om det stöd som uttryckts av den övervägande majoriteten av parlamentet för ett enda säte. Parlamentet noterar att enligt EU-fördraget ska parlamentet ha sitt säte i Strasbourg, där de 12 månatliga sammanträdesperioderna ska hållas, och att varje ändring av fördragen kräver enhällighet bland medlemsstaterna. Parlamentet noterar att besparingar kan uppnås inom den nuvarande fördragsramen genom optimering av verksamheten. Parlamentet efterlyser konkreta delmål och en handlingsplan för att uppnå identifierade kostnadsminskningar.</w:t>
      </w:r>
    </w:p>
    <w:p w14:paraId="156A8722" w14:textId="77777777" w:rsidR="00ED6F45" w:rsidRPr="00E2643E" w:rsidRDefault="00ED6F45" w:rsidP="00ED6F45">
      <w:pPr>
        <w:pStyle w:val="NormalHanging12a"/>
        <w:rPr>
          <w:bCs/>
          <w:iCs/>
        </w:rPr>
      </w:pPr>
      <w:r w:rsidRPr="00E2643E">
        <w:t>81.</w:t>
      </w:r>
      <w:r w:rsidRPr="00E2643E">
        <w:tab/>
        <w:t>Europaparlamentet uppmuntrar administrationen att fortsätta bedöma kvaliteten, prissättningen och utbudet av cateringtjänster som erbjuds inom parlamentet, i syfte att säkerställa att upphandlingskriterierna på ett adekvat sätt balanserar pris- och kvalitetshänsyn. Parlamentet uppmanar GD INLO att undersöka alternativ för att öka konkurrensen mellan leverantörer av cateringtjänster i syfte att förbättra tjänsternas standard, urvalet och kostnadseffektiviteten, särskilt i samband med officiella evenemang och besökstjänster. Parlamentets administration uppmanas att rapportera till parlamentets budgetkontrollutskott om resultatet.</w:t>
      </w:r>
    </w:p>
    <w:p w14:paraId="00936683" w14:textId="77777777" w:rsidR="00450197" w:rsidRPr="00E2643E" w:rsidRDefault="00ED6F45" w:rsidP="00450197">
      <w:pPr>
        <w:pStyle w:val="NormalHanging12a"/>
      </w:pPr>
      <w:r w:rsidRPr="00E2643E">
        <w:t>82.</w:t>
      </w:r>
      <w:r w:rsidRPr="00E2643E">
        <w:tab/>
        <w:t xml:space="preserve">Europaparlamentet välkomnar att administrationen under 2024 genomförde parlamentets fastighetsstrategi efter 2019 och uppnådde sina huvudsakliga mål. Parlamentet noterar med tillfredsställelse att GD INLO, efter flera års expansion till följd av parlamentets utökade institutionella befogenheter, nu koncentrerar sig på att konsolidera parlamentets byggnadsbestånd och renovera befintliga lokaler. Parlamentet välkomnar GD </w:t>
      </w:r>
      <w:proofErr w:type="spellStart"/>
      <w:r w:rsidRPr="00E2643E">
        <w:t>INLO:s</w:t>
      </w:r>
      <w:proofErr w:type="spellEnd"/>
      <w:r w:rsidRPr="00E2643E">
        <w:t xml:space="preserve"> åtagande att ytterligare utveckla parlamentets roll i städerna Strasbourg, Bryssel och Luxemburg, främja projekt av gemensamt intresse och koppla samman platserna med de omgivande områdena.</w:t>
      </w:r>
    </w:p>
    <w:p w14:paraId="4598633A" w14:textId="009C2065" w:rsidR="00ED6F45" w:rsidRPr="00E2643E" w:rsidRDefault="00ED6F45" w:rsidP="00703214">
      <w:pPr>
        <w:pStyle w:val="NormalHanging12a"/>
        <w:rPr>
          <w:bCs/>
          <w:iCs/>
        </w:rPr>
      </w:pPr>
      <w:r w:rsidRPr="00E2643E">
        <w:t>83.</w:t>
      </w:r>
      <w:r w:rsidRPr="00E2643E">
        <w:tab/>
        <w:t>Europaparlamentet uppmanar sin administration att fortsätta att eftersträva en aktiv fastighetsstrategi som integrerar infrastruktur- och logistikbehov, ser över kostnadsbesparande åtgärder, såsom användning av hybridsammanträdesteknik, och befäster den parlamentariska verksamheten. Parlamentet uppmanas att se till att dess mål för integrering av biologisk mångfald också beaktas i byggnadsförvaltnings- och renoveringsprojekt, inbegripet en uppskattning av de tillhörande kostnaderna. Parlamentet noterar att stora fastighetsprojekt inbegriper komplexa förhandlingar och betydande rättslig granskning. Parlamentets administration uppmanas att säkerställa strukturerad efterhandsrapportering till den ansvarsfrihetsbeviljande myndigheten om sådana projekt, inbegripet förhandlingsprocesser, riskreducerande åtgärder och rättsliga bedömningar, i syfte att stärka transparensen och det institutionella lärandet.</w:t>
      </w:r>
    </w:p>
    <w:p w14:paraId="02239492" w14:textId="77777777" w:rsidR="00ED6F45" w:rsidRPr="00E2643E" w:rsidRDefault="00ED6F45" w:rsidP="00ED6F45">
      <w:pPr>
        <w:pStyle w:val="NormalHanging12a"/>
      </w:pPr>
      <w:r w:rsidRPr="00E2643E">
        <w:t>84.</w:t>
      </w:r>
      <w:r w:rsidRPr="00E2643E">
        <w:tab/>
        <w:t>Europaparlamentet noterar med oro den ihållande bristen på sammanträdes- och seminarierum inom parlamentet, vilket gör det allt svårare att boka lokaler och kräver planering långt i förväg. Parlamentet beklagar att denna situation hindrar en effektiv organisation av det parlamentariska arbetet och begränsar flexibiliteten för ledamöter och personal. Parlamentet noterar den kommande renoveringen av SPAAK-byggnaden, som är i linje med unionens energiprestandakrav. Parlamentets administration uppmanas att vidta åtgärder för att mildra effekterna av renoveringen och se till att det finns tillräckliga faciliteter för att stödja parlamentets operativa behov.</w:t>
      </w:r>
    </w:p>
    <w:p w14:paraId="2A07591E" w14:textId="77777777" w:rsidR="00ED6F45" w:rsidRPr="00E2643E" w:rsidRDefault="00ED6F45" w:rsidP="00ED6F45">
      <w:pPr>
        <w:pStyle w:val="NormalHanging12a"/>
      </w:pPr>
      <w:r w:rsidRPr="00E2643E">
        <w:t>85.</w:t>
      </w:r>
      <w:r w:rsidRPr="00E2643E">
        <w:tab/>
        <w:t xml:space="preserve">Europaparlamentet noterar fastighetsprojekten under 2024, särskilt slutförandet av den </w:t>
      </w:r>
      <w:r w:rsidRPr="00E2643E">
        <w:lastRenderedPageBreak/>
        <w:t>västra flygeln av Adenauer II-byggnaden i Luxemburg, som samlar alla parlamentets anställda och tjänster under samma tak. Parlamentet noterar att den nya paviljongen för säkerhet och mottagande av besökare i WEISS-byggnaden i Strasbourg slutfördes i tid för inledningen av den nya valperioden i juli 2024. Parlamentet noterar förvärvet av TRÈVES II-byggnaden i Bryssel, vilket ytterligare konsoliderar parlamentets byggnadsbestånd i stadens EU-kvarter. Parlamentet begär att få en uppdaterad tidsplan för sammankopplingen av TRÈVES I och TRÈVES II med de viktigaste centrala byggnaderna i Bryssel. Parlamentet begär att man tar itu med vissa strukturella problem som fortfarande behöver åtgärdas i TRÈVES I-byggnaden, såsom det instabila uppvärmningssystemet, bristen på luftkonditionering och toaletter för personer med nedsatt rörlighet, bristande ljudisolering samt avloppsproblemet. Parlamentet uppmuntrar till tätare rengöring av ventilationsventiler för uppvärmning i SPINELLI</w:t>
      </w:r>
      <w:r w:rsidRPr="00E2643E">
        <w:noBreakHyphen/>
        <w:t>byggnaden för att förhindra ansamling av damm och mögel på kontoren och förbättra personalens hälsa på arbetsplatsen.</w:t>
      </w:r>
    </w:p>
    <w:p w14:paraId="6EA2B3DC" w14:textId="77777777" w:rsidR="00450197" w:rsidRPr="00E2643E" w:rsidRDefault="00ED6F45" w:rsidP="00450197">
      <w:pPr>
        <w:pStyle w:val="NormalHanging12a"/>
      </w:pPr>
      <w:r w:rsidRPr="00E2643E">
        <w:t>86.</w:t>
      </w:r>
      <w:r w:rsidRPr="00E2643E">
        <w:tab/>
        <w:t xml:space="preserve">Europaparlamentet påminner om att presidiet vid sitt sammanträde den 12 juni 2023 diskuterade nästa steg för renoveringen av SPAAK-byggnaden. Parlamentet noterar att presidiet föredrog en omfattande miljörenovering och godkände projektet den 11 december 2023. Parlamentet noterar att GD INLO har gjort framsteg med de preliminära projekten i samband med renoveringen av SPAAK-byggnaden genom att inleda studier i samband med det nya centrala tekniska rummet vid generaldirektoratet för logistik och tolkning för konferenser (GD LINC), omorganisationen av tryckeriet, flytten av kanslierna och medie- och </w:t>
      </w:r>
      <w:proofErr w:type="spellStart"/>
      <w:r w:rsidRPr="00E2643E">
        <w:t>pressområdet</w:t>
      </w:r>
      <w:proofErr w:type="spellEnd"/>
      <w:r w:rsidRPr="00E2643E">
        <w:t>.</w:t>
      </w:r>
    </w:p>
    <w:p w14:paraId="52A1E6A4" w14:textId="3A1910B5" w:rsidR="00ED6F45" w:rsidRPr="00E2643E" w:rsidRDefault="00ED6F45" w:rsidP="00703214">
      <w:pPr>
        <w:pStyle w:val="NormalHanging12a"/>
        <w:rPr>
          <w:bCs/>
          <w:iCs/>
        </w:rPr>
      </w:pPr>
      <w:r w:rsidRPr="00E2643E">
        <w:t>87.</w:t>
      </w:r>
      <w:r w:rsidRPr="00E2643E">
        <w:tab/>
        <w:t>Europaparlamentet noterar att 4 miljoner EUR ingår i budgetberäkningen för 2026 för studier och entreprenörens förberedande arbete i samband med renoveringen av SPAAK-byggnaden, och att de totala kostnaderna uppskattas till 36 miljoner EUR. Parlamentet noterar därför att 32 miljoner EUR i kostnader i samband med renoveringen av SPAAK-byggnaden inte ingår i budgetberäkningen för 2026. Parlamentet noterar att generalsekreteraren har för avsikt att täcka dessa kostnader genom en uppsamlingsöverföring eller genom att ta upp ett lån. Parlamentet uppmanar generalsekreteraren att så snart som möjligt förse parlamentets budgetkontrollutskott med detaljerad information om ett eventuellt lån för att täcka dessa kostnader. Parlamentet noterar att i december 2024 uppgick de direkta kostnaderna för SPAAK</w:t>
      </w:r>
      <w:r w:rsidRPr="00E2643E">
        <w:noBreakHyphen/>
        <w:t>projektet till 14,12 miljoner EUR. Parlamentet anser att kostnadsutvecklingen för renoveringen av SPAAK-byggnaden måste övervakas noggrant och uppmärksamt.</w:t>
      </w:r>
    </w:p>
    <w:p w14:paraId="281A1019" w14:textId="77777777" w:rsidR="00ED6F45" w:rsidRPr="00E2643E" w:rsidRDefault="00ED6F45" w:rsidP="00ED6F45">
      <w:pPr>
        <w:pStyle w:val="NormalHanging12a"/>
      </w:pPr>
      <w:r w:rsidRPr="00E2643E">
        <w:t>88.</w:t>
      </w:r>
      <w:r w:rsidRPr="00E2643E">
        <w:tab/>
        <w:t>Europaparlamentet noterar att GD INLO utvecklar ett koncept för optimering av kontorsutrymmen i syfte att använda de nuvarande kontoren på ett sätt som utnyttjar den fulla potentialen hos parlamentets personal och gör det möjligt för dem att bevara sina sociala kontakter inom parlamentet. Parlamentet noterar att för detta koncept används byggnaderna MARTENS, TRÈVES II och ARENDT i Bryssel som inspiration, med fokus på ”aktivitetsbaserade arbetsplatser”, inbegripet sociala områden för möten, informella sammankomster och utbyten. Parlamentet noterar att ett allmänt koncept också undersöktes för KOHL-byggnaden med hänsyn till dess strukturella och budgetmässiga begränsningar. Parlamentet uppmanar GD INLO att sätta användarnas perspektiv i centrum för utvecklingen av detta koncept och att prioritera dess genomförande i byggnader där det är störst behov av optimering, och alltid i samråd med personalföreträdarna.</w:t>
      </w:r>
    </w:p>
    <w:p w14:paraId="0AE865DA" w14:textId="77777777" w:rsidR="00ED6F45" w:rsidRPr="00E2643E" w:rsidRDefault="00ED6F45" w:rsidP="00ED6F45">
      <w:pPr>
        <w:pStyle w:val="NormalHanging12a"/>
        <w:rPr>
          <w:bCs/>
          <w:iCs/>
        </w:rPr>
      </w:pPr>
      <w:r w:rsidRPr="00E2643E">
        <w:t>89.</w:t>
      </w:r>
      <w:r w:rsidRPr="00E2643E">
        <w:tab/>
        <w:t xml:space="preserve">Europaparlamentet påpekar att en stor andel av de tillgängliga platserna i de fordon som </w:t>
      </w:r>
      <w:r w:rsidRPr="00E2643E">
        <w:lastRenderedPageBreak/>
        <w:t>pendlar mellan Bryssel och Strasbourg under sammanträdesperioderna inte utnyttjades under 2024. Parlamentet uppmanar sin administration att undersöka möjligheten att utvidga användargruppen och använda tjänstebilarna på ett effektivare sätt, samtidigt som man ser till att ledamöternas platser är säkrade.</w:t>
      </w:r>
    </w:p>
    <w:p w14:paraId="10981CB6" w14:textId="77777777" w:rsidR="00ED6F45" w:rsidRPr="00E2643E" w:rsidRDefault="00ED6F45" w:rsidP="00ED6F45">
      <w:pPr>
        <w:pStyle w:val="NormalHanging12a"/>
        <w:rPr>
          <w:bCs/>
          <w:iCs/>
        </w:rPr>
      </w:pPr>
      <w:r w:rsidRPr="00E2643E">
        <w:t>90.</w:t>
      </w:r>
      <w:r w:rsidRPr="00E2643E">
        <w:tab/>
        <w:t>Europaparlamentet uppmuntrar gymmet att erbjuda fler kurser som stöder fysiskt och psykiskt välbefinnande för att nå ut till fler anställda.</w:t>
      </w:r>
    </w:p>
    <w:p w14:paraId="369234A8" w14:textId="77777777" w:rsidR="00ED6F45" w:rsidRPr="00E2643E" w:rsidRDefault="00ED6F45" w:rsidP="00ED6F45">
      <w:pPr>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Generaldirektoratet för ekonomi</w:t>
      </w:r>
    </w:p>
    <w:p w14:paraId="21FACFE6"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91</w:t>
      </w:r>
      <w:r w:rsidRPr="00E2643E">
        <w:t>.</w:t>
      </w:r>
      <w:r w:rsidRPr="00E2643E">
        <w:rPr>
          <w14:textOutline w14:w="0" w14:cap="flat" w14:cmpd="sng" w14:algn="ctr">
            <w14:noFill/>
            <w14:prstDash w14:val="solid"/>
            <w14:bevel/>
          </w14:textOutline>
        </w:rPr>
        <w:tab/>
        <w:t>Europaparlamentet påminner om att GD FINS är det administrativa organ som ansvarar för parlamentets budget- och finansfrågor. Parlamentet noterar att GD FINS den 31 december 2024 hade 262 anställda, varav 134 var tjänstemän, 51 tillfälligt anställda, 77 kontraktsanställda och att det inte fanns några medlemmar av personalen som var inhyrda från bemanningsföretag.</w:t>
      </w:r>
    </w:p>
    <w:p w14:paraId="2E066D3E" w14:textId="77777777" w:rsidR="00ED6F45" w:rsidRPr="00E2643E" w:rsidRDefault="00ED6F45" w:rsidP="00ED6F45">
      <w:pPr>
        <w:spacing w:after="240"/>
        <w:ind w:left="567" w:hanging="567"/>
        <w:rPr>
          <w14:textOutline w14:w="0" w14:cap="flat" w14:cmpd="sng" w14:algn="ctr">
            <w14:noFill/>
            <w14:prstDash w14:val="solid"/>
            <w14:bevel/>
          </w14:textOutline>
        </w:rPr>
      </w:pPr>
      <w:r w:rsidRPr="00E2643E">
        <w:rPr>
          <w14:textOutline w14:w="0" w14:cap="flat" w14:cmpd="sng" w14:algn="ctr">
            <w14:noFill/>
            <w14:prstDash w14:val="solid"/>
            <w14:bevel/>
          </w14:textOutline>
        </w:rPr>
        <w:t>92</w:t>
      </w:r>
      <w:r w:rsidRPr="00E2643E">
        <w:t>.</w:t>
      </w:r>
      <w:r w:rsidRPr="00E2643E">
        <w:rPr>
          <w14:textOutline w14:w="0" w14:cap="flat" w14:cmpd="sng" w14:algn="ctr">
            <w14:noFill/>
            <w14:prstDash w14:val="solid"/>
            <w14:bevel/>
          </w14:textOutline>
        </w:rPr>
        <w:tab/>
      </w:r>
      <w:r w:rsidRPr="00E2643E">
        <w:t>Europaparlamentet noterar att GD FINS slutliga anslag 2024 uppgick till 442 954 175 EUR, vilket motsvarar 18,6 % av parlamentets budget.</w:t>
      </w:r>
      <w:r w:rsidRPr="00E2643E">
        <w:rPr>
          <w14:textOutline w14:w="0" w14:cap="flat" w14:cmpd="sng" w14:algn="ctr">
            <w14:noFill/>
            <w14:prstDash w14:val="solid"/>
            <w14:bevel/>
          </w14:textOutline>
        </w:rPr>
        <w:t xml:space="preserve"> </w:t>
      </w:r>
      <w:r w:rsidRPr="00E2643E">
        <w:t>Parlamentet framhåller att av detta belopp anslogs totalt 441 848 935 EUR (99,75 %).</w:t>
      </w:r>
      <w:r w:rsidRPr="00E2643E">
        <w:rPr>
          <w14:textOutline w14:w="0" w14:cap="flat" w14:cmpd="sng" w14:algn="ctr">
            <w14:noFill/>
            <w14:prstDash w14:val="solid"/>
            <w14:bevel/>
          </w14:textOutline>
        </w:rPr>
        <w:t xml:space="preserve"> Parlamentet välkomnar den höga användningen av anslag.</w:t>
      </w:r>
    </w:p>
    <w:p w14:paraId="4799B053" w14:textId="77777777" w:rsidR="00ED6F45" w:rsidRPr="00E2643E" w:rsidRDefault="00ED6F45" w:rsidP="00ED6F45">
      <w:pPr>
        <w:keepNext/>
        <w:keepLines/>
        <w:widowControl/>
        <w:spacing w:after="240"/>
        <w:ind w:left="567" w:hanging="567"/>
        <w:rPr>
          <w14:textOutline w14:w="0" w14:cap="flat" w14:cmpd="sng" w14:algn="ctr">
            <w14:noFill/>
            <w14:prstDash w14:val="solid"/>
            <w14:bevel/>
          </w14:textOutline>
        </w:rPr>
      </w:pPr>
      <w:r w:rsidRPr="00E2643E">
        <w:rPr>
          <w14:textOutline w14:w="0" w14:cap="flat" w14:cmpd="sng" w14:algn="ctr">
            <w14:noFill/>
            <w14:prstDash w14:val="solid"/>
            <w14:bevel/>
          </w14:textOutline>
        </w:rPr>
        <w:t>93.</w:t>
      </w:r>
      <w:r w:rsidRPr="00E2643E">
        <w:rPr>
          <w14:textOutline w14:w="0" w14:cap="flat" w14:cmpd="sng" w14:algn="ctr">
            <w14:noFill/>
            <w14:prstDash w14:val="solid"/>
            <w14:bevel/>
          </w14:textOutline>
        </w:rPr>
        <w:tab/>
        <w:t>Europaparlamentet uppmanar GD FINS att aktivt engagera sig i OECD:s rekommendationer om bästa praxis för parlament när det gäller budgetering (2022–2023) och stärka genomförandet av prestationsbaserad budgetering. Parlamentet påminner om att många medlemsstater redan har antagit prestationsbaserad budgetering och rapporterat betydande besparingar.</w:t>
      </w:r>
    </w:p>
    <w:p w14:paraId="6E0E40F5" w14:textId="77777777" w:rsidR="00ED6F45" w:rsidRPr="00E2643E" w:rsidRDefault="00ED6F45" w:rsidP="00ED6F45">
      <w:pPr>
        <w:pStyle w:val="NormalHanging12a"/>
        <w:rPr>
          <w:bCs/>
          <w:iCs/>
        </w:rPr>
      </w:pPr>
      <w:r w:rsidRPr="00E2643E">
        <w:t>94.</w:t>
      </w:r>
      <w:r w:rsidRPr="00E2643E">
        <w:tab/>
        <w:t>Europaparlamentet noterar att det nuvarande finanspolitiska trycket kräver finansiell försiktighet och effektivitet, även inom parlamentets administrativa budget, för att visa institutionellt ansvar, när så är lämpligt och utan att äventyra dess roll i unionens institutionella ram och dess kärnverksamhet. Parlamentet uppmanar sin administration att undersöka innovativa budgetverktyg, inbegripet resultatbaserad budgetering, som skulle kunna öka transparensen, ansvarsskyldigheten och effektiviteten i budgetprocessen och säkerställa att offentliga medel används på ett ansvarsfullt sätt. Parlamentet noterar att sådana alternativ inte bör vara till nackdel för de finansiella åtaganden som redan planerats eller ingåtts och inte på något sätt bör påverka kvaliteten på de tjänster som tillhandahålls ledamöterna och personalen och inte heller de finansiella skyldigheter som uppstår på grundval av gällande regler.</w:t>
      </w:r>
    </w:p>
    <w:p w14:paraId="33DEEAEB" w14:textId="77777777" w:rsidR="00ED6F45" w:rsidRPr="00E2643E" w:rsidRDefault="00ED6F45" w:rsidP="00ED6F45">
      <w:pPr>
        <w:spacing w:after="240"/>
        <w:ind w:left="567" w:hanging="567"/>
      </w:pPr>
      <w:r w:rsidRPr="00E2643E">
        <w:rPr>
          <w14:textOutline w14:w="0" w14:cap="flat" w14:cmpd="sng" w14:algn="ctr">
            <w14:noFill/>
            <w14:prstDash w14:val="solid"/>
            <w14:bevel/>
          </w14:textOutline>
        </w:rPr>
        <w:t>95</w:t>
      </w:r>
      <w:r w:rsidRPr="00E2643E">
        <w:t>.</w:t>
      </w:r>
      <w:r w:rsidRPr="00E2643E">
        <w:rPr>
          <w14:textOutline w14:w="0" w14:cap="flat" w14:cmpd="sng" w14:algn="ctr">
            <w14:noFill/>
            <w14:prstDash w14:val="solid"/>
            <w14:bevel/>
          </w14:textOutline>
        </w:rPr>
        <w:tab/>
      </w:r>
      <w:r w:rsidRPr="00E2643E">
        <w:t>Europaparlamentet noterar att 2024 var ett särskilt år för GD FINS, eftersom det var året för valet till Europaparlamentet, som ägde rum i juni 2024. Parlamentet noterar att stödverksamheten för ledamöterna ökade avsevärt under 2024 och innebar en hantering av både avgående och nyvalda ledamöters rättigheter och skyldigheter.</w:t>
      </w:r>
    </w:p>
    <w:p w14:paraId="09E71337" w14:textId="77777777" w:rsidR="00ED6F45" w:rsidRPr="00E2643E" w:rsidRDefault="00ED6F45" w:rsidP="00ED6F45">
      <w:pPr>
        <w:pStyle w:val="NormalHanging12a"/>
      </w:pPr>
      <w:r w:rsidRPr="00E2643E">
        <w:t>96.</w:t>
      </w:r>
      <w:r w:rsidRPr="00E2643E">
        <w:tab/>
        <w:t xml:space="preserve">Europaparlamentet rekommenderar att GD FINS fastställer en riskbaserad strategi för kontroll och revision av ledamöternas utgifter och processer som är anpassad till principerna om god förvaltning, särskilt transparens, ansvarsskyldighet, lyhördhet och rättvisa. Parlamentet erkänner att det är nödvändigt att ha en (stickprovsbaserad) grundläggande kontrollnivå för att säkerställa efterlevnad av reglerna. Parlamentet välkomnar att administrationen, i händelse av en högre risk för oriktiga utgifter från en ledamots sida, kan utöva sin rätt att kontrollera de berörda medlen. </w:t>
      </w:r>
      <w:r w:rsidRPr="00E2643E">
        <w:lastRenderedPageBreak/>
        <w:t>Parlamentet betonar att sådana kontroller visserligen välkomnas, men att deras effektivitet är beroende av att det i god tid görs en uppföljning av oriktiga utgifter som har identifierats.</w:t>
      </w:r>
    </w:p>
    <w:p w14:paraId="00D8D04B" w14:textId="77777777" w:rsidR="00ED6F45" w:rsidRPr="00E2643E" w:rsidRDefault="00ED6F45" w:rsidP="00ED6F45">
      <w:pPr>
        <w:spacing w:after="240"/>
        <w:ind w:left="567" w:hanging="567"/>
      </w:pPr>
      <w:r w:rsidRPr="00E2643E">
        <w:rPr>
          <w14:textOutline w14:w="0" w14:cap="flat" w14:cmpd="sng" w14:algn="ctr">
            <w14:noFill/>
            <w14:prstDash w14:val="solid"/>
            <w14:bevel/>
          </w14:textOutline>
        </w:rPr>
        <w:t>97</w:t>
      </w:r>
      <w:r w:rsidRPr="00E2643E">
        <w:t>.</w:t>
      </w:r>
      <w:r w:rsidRPr="00E2643E">
        <w:rPr>
          <w14:textOutline w14:w="0" w14:cap="flat" w14:cmpd="sng" w14:algn="ctr">
            <w14:noFill/>
            <w14:prstDash w14:val="solid"/>
            <w14:bevel/>
          </w14:textOutline>
        </w:rPr>
        <w:tab/>
      </w:r>
      <w:r w:rsidRPr="00E2643E">
        <w:t xml:space="preserve">Europaparlamentet är medvetet om problemet med att locka personal till GD FINS, vilket beror på bristen på sökande på </w:t>
      </w:r>
      <w:proofErr w:type="spellStart"/>
      <w:r w:rsidRPr="00E2643E">
        <w:t>Epsos</w:t>
      </w:r>
      <w:proofErr w:type="spellEnd"/>
      <w:r w:rsidRPr="00E2643E">
        <w:t xml:space="preserve"> listor på ekonomi- och </w:t>
      </w:r>
      <w:proofErr w:type="spellStart"/>
      <w:r w:rsidRPr="00E2643E">
        <w:t>it-områdena</w:t>
      </w:r>
      <w:proofErr w:type="spellEnd"/>
      <w:r w:rsidRPr="00E2643E">
        <w:t xml:space="preserve">, och svårigheter att locka personal till Luxemburg, där 45 % av tjänsterna vid GD FINS är baserade. Parlamentet noterar svårigheten att locka personal till Luxemburg eftersom lönerna på den lokala arbetsmarknaden är lika höga eller högre än i parlamentet och levnadskostnaderna är höga, särskilt när det gäller bostäder. </w:t>
      </w:r>
    </w:p>
    <w:p w14:paraId="18BB8046" w14:textId="77777777" w:rsidR="00ED6F45" w:rsidRPr="00E2643E" w:rsidRDefault="00ED6F45" w:rsidP="00ED6F45">
      <w:pPr>
        <w:spacing w:after="240"/>
        <w:ind w:left="567" w:hanging="567"/>
      </w:pPr>
      <w:r w:rsidRPr="00E2643E">
        <w:t>98.</w:t>
      </w:r>
      <w:r w:rsidRPr="00E2643E">
        <w:tab/>
        <w:t xml:space="preserve">Europaparlamentet noterar initiativet ”2024 DG FINS Digital and </w:t>
      </w:r>
      <w:proofErr w:type="spellStart"/>
      <w:r w:rsidRPr="00E2643E">
        <w:t>Capital</w:t>
      </w:r>
      <w:proofErr w:type="spellEnd"/>
      <w:r w:rsidRPr="00E2643E">
        <w:t xml:space="preserve"> Transformation”, vars två första program, som handlar om digital omvandling för förbättrade finansiella tjänster för ledamöterna och digital omvandling för förbättrade tjänster för parlamentets administration, syftar till att främja den digitala omvandlingen av de tjänster som erbjuds av GD FINS, oavsett om det handlar om ledamöter eller institutionens finansiella aktörer. Parlamentet noterar att det tredje strategiska programmet som handlar om kapitalomvandling för en mer produktiv och sammanhållen arbetsplats syftar till att skapa en mer produktiv och sammanhållen arbetsmiljö.</w:t>
      </w:r>
    </w:p>
    <w:p w14:paraId="6C34CBA7" w14:textId="77777777" w:rsidR="00ED6F45" w:rsidRPr="00E2643E" w:rsidRDefault="00ED6F45" w:rsidP="00ED6F45">
      <w:pPr>
        <w:spacing w:after="240"/>
        <w:ind w:left="567" w:hanging="567"/>
      </w:pPr>
      <w:r w:rsidRPr="00E2643E">
        <w:t xml:space="preserve">99. </w:t>
      </w:r>
      <w:r w:rsidRPr="00E2643E">
        <w:tab/>
        <w:t xml:space="preserve">Europaparlamentet välkomnar det arbete som utfördes av GD FINS efter valet till Europaparlamentet 2024 i samband med att avgående ledamöter lämnade parlamentet och de nya ledamöterna togs emot, och de administrativa förfarandena i samband med detta. Parlamentet påminner om framgången med </w:t>
      </w:r>
      <w:proofErr w:type="spellStart"/>
      <w:r w:rsidRPr="00E2643E">
        <w:t>Welcome</w:t>
      </w:r>
      <w:proofErr w:type="spellEnd"/>
      <w:r w:rsidRPr="00E2643E">
        <w:t xml:space="preserve"> </w:t>
      </w:r>
      <w:proofErr w:type="spellStart"/>
      <w:r w:rsidRPr="00E2643E">
        <w:t>Village</w:t>
      </w:r>
      <w:proofErr w:type="spellEnd"/>
      <w:r w:rsidRPr="00E2643E">
        <w:t xml:space="preserve"> och informationen från olika avdelningar som sammanfördes för att göra det möjligt för ledamöterna att hitta all information och lämna de nödvändiga förklaringarna på ett en enda ställe i början av sin mandatperiod. Parlamentet lovordar GD FINS för att ha utarbetat 705 olika ärenden, inbegripet simuleringar av ledamöternas sociala och ekonomiska rättigheter, och för att ha utarbetat de fyra meddelandena från kvestorerna för att informera ledamöterna om deras rättigheter och skyldigheter i slutet av valperioden.</w:t>
      </w:r>
    </w:p>
    <w:p w14:paraId="4075C349" w14:textId="77777777" w:rsidR="00ED6F45" w:rsidRPr="00E2643E" w:rsidRDefault="00ED6F45" w:rsidP="00ED6F45">
      <w:pPr>
        <w:pStyle w:val="NormalHanging12a"/>
      </w:pPr>
      <w:r w:rsidRPr="00E2643E">
        <w:t>100.</w:t>
      </w:r>
      <w:r w:rsidRPr="00E2643E">
        <w:tab/>
        <w:t xml:space="preserve">Europaparlamentet noterar den revisionsförklaring som undertecknats av generaldirektören för GD FINS. Parlamentet noterar den anmärkning som gjordes i revisionsförklaringen om den kvarstående risken för fel eller oriktigheter i ersättningen av vissa resekostnader till ledamöterna, främst när det gäller begäranden om ersättning för bilresor, samt betalning av avstånds- och tidsbaserade ersättningar. Parlamentet noterar de riskreducerande åtgärder som föreslagits av GD FINS och efterlyser ett snabbt genomförande av riskreducerande åtgärder. Parlamentet begär en rapport till den ansvarsfrihetsbeviljande myndigheten om de ekonomiska konsekvenserna av och effektiviteten i de åtgärder som vidtagits, med en </w:t>
      </w:r>
      <w:bookmarkStart w:id="9" w:name="_Hlk225523167"/>
      <w:r w:rsidRPr="00E2643E">
        <w:t>redogörelse för kostnaderna för kontroll av olika evidensbaserade alternativ</w:t>
      </w:r>
      <w:bookmarkEnd w:id="9"/>
      <w:r w:rsidRPr="00E2643E">
        <w:t>.</w:t>
      </w:r>
    </w:p>
    <w:p w14:paraId="00D1A243" w14:textId="77777777" w:rsidR="00ED6F45" w:rsidRPr="00E2643E" w:rsidRDefault="00ED6F45" w:rsidP="00ED6F45">
      <w:pPr>
        <w:pStyle w:val="NormalHanging12a"/>
        <w:rPr>
          <w:bCs/>
          <w:iCs/>
        </w:rPr>
      </w:pPr>
      <w:r w:rsidRPr="00E2643E">
        <w:t>101.</w:t>
      </w:r>
      <w:r w:rsidRPr="00E2643E">
        <w:tab/>
        <w:t>Europaparlamentet noterar med oro att ersättningen för ledamöternas resekostnader ofta tar mer än tre månader. Parlamentet uppmanar administrationen och GD FINS att avsevärt påskynda ersättningsförfarandena, bland annat genom ytterligare digitalisering, förenklade kontrollprocesser och tydligare interna tidsfrister, samtidigt som kraven på finansiell kontroll respekteras fullt ut.</w:t>
      </w:r>
    </w:p>
    <w:p w14:paraId="054A968C"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t>102.</w:t>
      </w:r>
      <w:r w:rsidRPr="00E2643E">
        <w:tab/>
        <w:t xml:space="preserve">Europaparlamentet välkomnar GD FINS intensifierade arbete med ”EP </w:t>
      </w:r>
      <w:proofErr w:type="spellStart"/>
      <w:r w:rsidRPr="00E2643E">
        <w:t>Finance</w:t>
      </w:r>
      <w:proofErr w:type="spellEnd"/>
      <w:r w:rsidRPr="00E2643E">
        <w:t xml:space="preserve"> Academy”, som omfattade tillhandahållandet av tolv videohandledningar online, utöver </w:t>
      </w:r>
      <w:r w:rsidRPr="00E2643E">
        <w:lastRenderedPageBreak/>
        <w:t>det befintliga utbudet av kurser på plats och hybridkurser. Parlamentet understryker vikten av utbildning i ekonomiska frågor för personal i hela parlamentet, och välkomnar utbildningarna i upphandling för personal i de politiska grupperna, och uppmanar GD FINS att ge ökat stöd till de politiska grupperna i samband med förfarandena för offentlig upphandling, särskilt mot bakgrund av revisionsrättens slutsatser. Parlamentet föreslår att GD FINS anpassar den praxis som tillämpas av olika politiska grupper på området för offentlig upphandling.</w:t>
      </w:r>
    </w:p>
    <w:p w14:paraId="197E20CD" w14:textId="77777777" w:rsidR="00ED6F45" w:rsidRPr="00E2643E" w:rsidRDefault="00ED6F45" w:rsidP="00ED6F45">
      <w:pPr>
        <w:pStyle w:val="NormalHanging12a"/>
      </w:pPr>
      <w:r w:rsidRPr="00E2643E">
        <w:t>103.</w:t>
      </w:r>
      <w:r w:rsidRPr="00E2643E">
        <w:tab/>
        <w:t>Europaparlamentet framhåller att ledamöterna är fria att dokumentera sin användning av medlen inom ramen för ersättningen för allmänna utgifter. Parlamentet framhåller att ledamöterna frivilligt kan dokumentera hur de använder medlen inom ramen för ersättningen för allmänna utgifter – i detalj eller efter typ av kostnad, på egen hand eller med stöd av en extern revisor – och helt eller delvis offentliggöra denna information på sin webbsida på parlamentets webbplats i enlighet med artikel 11.2 i parlamentets arbetsordning. Parlamentet välkomnar att en förenklad förteckning över typer av kostnader har integrerats i tillämpningsföreskrifterna för ledamotsstadgan och att ett ändringsförslag som förtydligar ledamöternas möjlighet att använda ersättningen för allmänna utgifter när andra ersättningar har förbrukats också har antagits. Parlamentet noterar att alla ledamöter har informerats om de särskilda omständigheterna kring denna ersättning. Parlamentet anser att största möjliga transparens är god praxis.</w:t>
      </w:r>
    </w:p>
    <w:p w14:paraId="16BD1054" w14:textId="77777777" w:rsidR="00ED6F45" w:rsidRPr="00E2643E" w:rsidRDefault="00ED6F45" w:rsidP="00ED6F45">
      <w:pPr>
        <w:pStyle w:val="NormalHanging12a"/>
      </w:pPr>
      <w:r w:rsidRPr="00E2643E">
        <w:t>104.</w:t>
      </w:r>
      <w:r w:rsidRPr="00E2643E">
        <w:tab/>
        <w:t>Europaparlamentet noterar att ersättningen för allmänna utgifter uppgick till 4 950 EUR per månad 2024 och står för cirka 40 miljoner EUR per år. Parlamentet påminner om att ingen indexering av ersättningen gjordes 2022 eller 2024. Parlamentet noterar att parlamentet följer de nuvarande reglerna för ersättningen för allmänna utgifter. Parlamentet påminner om behovet av att undvika en onödig administrativ börda för ledamöterna.</w:t>
      </w:r>
    </w:p>
    <w:p w14:paraId="6E283565" w14:textId="5C34A6FA" w:rsidR="00ED6F45" w:rsidRPr="00E2643E" w:rsidRDefault="00ED6F45" w:rsidP="00ED6F45">
      <w:pPr>
        <w:pStyle w:val="NormalHanging12a"/>
        <w:rPr>
          <w:bCs/>
          <w:iCs/>
        </w:rPr>
      </w:pPr>
      <w:r w:rsidRPr="00E2643E">
        <w:t>105.</w:t>
      </w:r>
      <w:r w:rsidRPr="00E2643E">
        <w:tab/>
        <w:t>Europaparlamentet noterar att de nuvarande tillämpningsföreskrifterna för ledamotsstadgan fastställer transparenskrav för den ekonomiska förvaltningen av ersättningen för allmänna utgifter. Parlamentet noterar att presidiet vid sitt sammanträde den 17 oktober 2022 antog detta beslut.</w:t>
      </w:r>
    </w:p>
    <w:p w14:paraId="561D44D5" w14:textId="77777777" w:rsidR="00ED6F45" w:rsidRPr="00E2643E" w:rsidRDefault="00ED6F45" w:rsidP="00ED6F45">
      <w:pPr>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t>Generaldirektoratet för informationsteknik och cybersäkerhet</w:t>
      </w:r>
    </w:p>
    <w:p w14:paraId="3BE67BB1" w14:textId="747448FD"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10</w:t>
      </w:r>
      <w:r w:rsidR="00450197" w:rsidRPr="00E2643E">
        <w:rPr>
          <w14:textOutline w14:w="0" w14:cap="flat" w14:cmpd="sng" w14:algn="ctr">
            <w14:noFill/>
            <w14:prstDash w14:val="solid"/>
            <w14:bevel/>
          </w14:textOutline>
        </w:rPr>
        <w:t>6</w:t>
      </w:r>
      <w:r w:rsidRPr="00E2643E">
        <w:t>.</w:t>
      </w:r>
      <w:r w:rsidRPr="00E2643E">
        <w:rPr>
          <w14:textOutline w14:w="0" w14:cap="flat" w14:cmpd="sng" w14:algn="ctr">
            <w14:noFill/>
            <w14:prstDash w14:val="solid"/>
            <w14:bevel/>
          </w14:textOutline>
        </w:rPr>
        <w:tab/>
        <w:t xml:space="preserve">Europaparlamentet påminner om att GD ITEC förser parlamentet med tjänster och utrustning för informations- och kommunikationsteknik (IKT), videokonferenser och multimedietjänster samt förlags- och tryckeritjänster. </w:t>
      </w:r>
      <w:r w:rsidRPr="00E2643E">
        <w:t>Parlamentet noterar att GD ITEC den 31 december 2024 hade 579 anställda, varav 369 var tjänstemän, 70 tillfälligt anställda och 140 kontraktsanställda.</w:t>
      </w:r>
    </w:p>
    <w:p w14:paraId="142406C0" w14:textId="2C210B4C" w:rsidR="00ED6F45" w:rsidRPr="00E2643E" w:rsidRDefault="00ED6F45" w:rsidP="00ED6F45">
      <w:pPr>
        <w:pStyle w:val="NormalHanging12a"/>
        <w:rPr>
          <w:bCs/>
          <w:iCs/>
        </w:rPr>
      </w:pPr>
      <w:r w:rsidRPr="00E2643E">
        <w:t>10</w:t>
      </w:r>
      <w:r w:rsidR="00450197" w:rsidRPr="00E2643E">
        <w:t>7</w:t>
      </w:r>
      <w:r w:rsidRPr="00E2643E">
        <w:t>.</w:t>
      </w:r>
      <w:r w:rsidRPr="00E2643E">
        <w:tab/>
        <w:t>Europaparlamentet uppmanas att anta en övergripande strategi för digital omställning där tekniska lösningar för dokumenthantering och kommunikation ingår, för att säkerställa transparens, förbättra effektiviteten, trygga säkerheten och övergå till en papperslös administration. Parlamentet efterlyser en utveckling av användarvänliga digitala plattformar för att öka e-deltagandet, så att unionsmedborgarna kan lämna synpunkter på den lagstiftning som föreslås och få tillgång till parlamentets verksamhet i realtid.</w:t>
      </w:r>
    </w:p>
    <w:p w14:paraId="5A21B3DE" w14:textId="0ABB1FFB" w:rsidR="0013079B" w:rsidRPr="00E2643E" w:rsidRDefault="00ED6F45" w:rsidP="0013079B">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10</w:t>
      </w:r>
      <w:r w:rsidR="00450197" w:rsidRPr="00E2643E">
        <w:rPr>
          <w14:textOutline w14:w="0" w14:cap="flat" w14:cmpd="sng" w14:algn="ctr">
            <w14:noFill/>
            <w14:prstDash w14:val="solid"/>
            <w14:bevel/>
          </w14:textOutline>
        </w:rPr>
        <w:t>8</w:t>
      </w:r>
      <w:r w:rsidRPr="00E2643E">
        <w:t>.</w:t>
      </w:r>
      <w:r w:rsidRPr="00E2643E">
        <w:rPr>
          <w14:textOutline w14:w="0" w14:cap="flat" w14:cmpd="sng" w14:algn="ctr">
            <w14:noFill/>
            <w14:prstDash w14:val="solid"/>
            <w14:bevel/>
          </w14:textOutline>
        </w:rPr>
        <w:tab/>
      </w:r>
      <w:r w:rsidRPr="00E2643E">
        <w:t xml:space="preserve">Europaparlamentet noterar att GD </w:t>
      </w:r>
      <w:proofErr w:type="spellStart"/>
      <w:r w:rsidRPr="00E2643E">
        <w:t>ITEC:s</w:t>
      </w:r>
      <w:proofErr w:type="spellEnd"/>
      <w:r w:rsidRPr="00E2643E">
        <w:t xml:space="preserve"> slutliga anslag 2024 uppgick till 179 396 522 EUR, vilket motsvarar 7,5 % av parlamentets budget.</w:t>
      </w:r>
      <w:r w:rsidRPr="00E2643E">
        <w:rPr>
          <w14:textOutline w14:w="0" w14:cap="flat" w14:cmpd="sng" w14:algn="ctr">
            <w14:noFill/>
            <w14:prstDash w14:val="solid"/>
            <w14:bevel/>
          </w14:textOutline>
        </w:rPr>
        <w:t xml:space="preserve"> </w:t>
      </w:r>
      <w:r w:rsidRPr="00E2643E">
        <w:lastRenderedPageBreak/>
        <w:t>Parlamentet framhåller att av detta belopp anslogs totalt 179 349 479 EUR.</w:t>
      </w:r>
      <w:r w:rsidRPr="00E2643E">
        <w:rPr>
          <w14:textOutline w14:w="0" w14:cap="flat" w14:cmpd="sng" w14:algn="ctr">
            <w14:noFill/>
            <w14:prstDash w14:val="solid"/>
            <w14:bevel/>
          </w14:textOutline>
        </w:rPr>
        <w:t xml:space="preserve"> Parlamentet välkomnar den höga användningen av anslag.</w:t>
      </w:r>
    </w:p>
    <w:p w14:paraId="065FB064" w14:textId="47C68A98" w:rsidR="00ED6F45" w:rsidRPr="00E2643E" w:rsidRDefault="00ED6F45" w:rsidP="0013079B">
      <w:pPr>
        <w:spacing w:after="240"/>
        <w:ind w:left="567" w:hanging="567"/>
      </w:pPr>
      <w:r w:rsidRPr="00E2643E">
        <w:t>1</w:t>
      </w:r>
      <w:r w:rsidR="00450197" w:rsidRPr="00E2643E">
        <w:t>09</w:t>
      </w:r>
      <w:r w:rsidRPr="00E2643E">
        <w:t>.</w:t>
      </w:r>
      <w:r w:rsidRPr="00E2643E">
        <w:tab/>
        <w:t xml:space="preserve">Europaparlamentet noterar GD </w:t>
      </w:r>
      <w:proofErr w:type="spellStart"/>
      <w:r w:rsidRPr="00E2643E">
        <w:t>ITEC:s</w:t>
      </w:r>
      <w:proofErr w:type="spellEnd"/>
      <w:r w:rsidRPr="00E2643E">
        <w:t xml:space="preserve"> fortsatta insatser för att tillhandahålla cybersäkerhet med tanke på de ständigt växande hoten och det risklandskap som påverkar parlamentet. Parlamentet noterar ikraftträdandet av Europaparlamentets och rådets förordning (EU, Euratom) 2023/2841</w:t>
      </w:r>
      <w:r w:rsidRPr="00E2643E">
        <w:rPr>
          <w:rStyle w:val="FootnoteReference"/>
          <w:noProof/>
        </w:rPr>
        <w:footnoteReference w:id="9"/>
      </w:r>
      <w:r w:rsidRPr="00E2643E">
        <w:t>, som formaliserade CERT-EU:s uppdrag som en cybersäkerhetstjänst för unionens enheter. Parlamentet noterar att det genom förordning (EU, Euratom) 2023/2841 också inrättas en interinstitutionell cybersäkerhetsstyrelse, som ansvarar för att övervaka och stödja genomförandet av denna förordning i alla unionens enheter. Parlamentet noterar att parlamentet har varit ordförande för denna styrelse sedan 2024.</w:t>
      </w:r>
    </w:p>
    <w:p w14:paraId="1FFE9099" w14:textId="26BFBBB7" w:rsidR="00ED6F45" w:rsidRPr="00E2643E" w:rsidRDefault="00ED6F45" w:rsidP="00ED6F45">
      <w:pPr>
        <w:spacing w:after="240"/>
        <w:ind w:left="567" w:hanging="567"/>
        <w:rPr>
          <w:b/>
          <w:bCs/>
        </w:rPr>
      </w:pPr>
      <w:r w:rsidRPr="00E2643E">
        <w:t>11</w:t>
      </w:r>
      <w:r w:rsidR="00450197" w:rsidRPr="00E2643E">
        <w:t>0</w:t>
      </w:r>
      <w:r w:rsidRPr="00E2643E">
        <w:t>.</w:t>
      </w:r>
      <w:r w:rsidRPr="00E2643E">
        <w:tab/>
        <w:t>Europaparlamentet noterar att efter presidiets beslut i februari 2021 om behovet av att ge parlamentets datacentral lokaler som motsvarar högsta tillgängliga branschstandard på det området (nivå IV), tilldelade GD ITEC kontraktet 2022, vilket gjorde det möjligt att inrätta och bygga ut datacentralen under 2023. Parlamentet framhåller att denna betydande investering säkerställer en framtidssäkrad infrastruktur under flera år framöver och är avgörande för att upprätthålla en robust hybridarbetsmiljö för parlamentet.</w:t>
      </w:r>
    </w:p>
    <w:p w14:paraId="03FDEDC4" w14:textId="249134CC" w:rsidR="00ED6F45" w:rsidRPr="00E2643E" w:rsidRDefault="00ED6F45" w:rsidP="00ED6F45">
      <w:pPr>
        <w:spacing w:after="240"/>
        <w:ind w:left="567" w:hanging="567"/>
      </w:pPr>
      <w:r w:rsidRPr="00E2643E">
        <w:rPr>
          <w14:textOutline w14:w="0" w14:cap="flat" w14:cmpd="sng" w14:algn="ctr">
            <w14:noFill/>
            <w14:prstDash w14:val="solid"/>
            <w14:bevel/>
          </w14:textOutline>
        </w:rPr>
        <w:t>11</w:t>
      </w:r>
      <w:r w:rsidR="00450197" w:rsidRPr="00E2643E">
        <w:rPr>
          <w14:textOutline w14:w="0" w14:cap="flat" w14:cmpd="sng" w14:algn="ctr">
            <w14:noFill/>
            <w14:prstDash w14:val="solid"/>
            <w14:bevel/>
          </w14:textOutline>
        </w:rPr>
        <w:t>1</w:t>
      </w:r>
      <w:r w:rsidRPr="00E2643E">
        <w:t>.</w:t>
      </w:r>
      <w:r w:rsidRPr="00E2643E">
        <w:rPr>
          <w14:textOutline w14:w="0" w14:cap="flat" w14:cmpd="sng" w14:algn="ctr">
            <w14:noFill/>
            <w14:prstDash w14:val="solid"/>
            <w14:bevel/>
          </w14:textOutline>
        </w:rPr>
        <w:tab/>
      </w:r>
      <w:r w:rsidRPr="00E2643E">
        <w:t>Europaparlamentet understryker att cybersäkerhet måste ses som en integrerad, pågående prioritering i alla skeden av verksamheten snarare än bara som ett mål. Parlamentet framhåller att cybersäkerhet kräver en övergripande strategi som omfattar alla aspekter av digital styrning inom parlamentet. Parlamentet efterlyser en översyn av parlamentets it-styrningsstruktur, och förespråkar en mer robust och anpassningsbar strategi för cybersäkerhet som beaktar informationssystemens hela livscykel, med tanke på det ökande antalet applikationer – för närvarande fler än 20 – som är direkt tillgängliga via internet. Parlamentet framhåller att denna situation kräver ökad tillsyn för att minimera sårbarheter och skydda institutionella data från externa hot.</w:t>
      </w:r>
    </w:p>
    <w:p w14:paraId="3F9723D0" w14:textId="71A33D5D" w:rsidR="00ED6F45" w:rsidRPr="00E2643E" w:rsidRDefault="00ED6F45" w:rsidP="00ED6F45">
      <w:pPr>
        <w:spacing w:after="240"/>
        <w:ind w:left="567" w:hanging="567"/>
      </w:pPr>
      <w:r w:rsidRPr="00E2643E">
        <w:t>11</w:t>
      </w:r>
      <w:r w:rsidR="00450197" w:rsidRPr="00E2643E">
        <w:t>2</w:t>
      </w:r>
      <w:r w:rsidRPr="00E2643E">
        <w:t>.</w:t>
      </w:r>
      <w:r w:rsidRPr="00E2643E">
        <w:tab/>
        <w:t>Europaparlamentet efterlyser fortsatta investeringar i cybersäkerhetsinfrastruktur samt löpande utbildning och personalresurser för att stärka en säkerhetskultur som ökar parlamentets motståndskraft mot potentiella digitala hot.</w:t>
      </w:r>
    </w:p>
    <w:p w14:paraId="47BC4AE5" w14:textId="1E760F06" w:rsidR="00703214" w:rsidRPr="00E2643E" w:rsidRDefault="00ED6F45" w:rsidP="00703214">
      <w:pPr>
        <w:spacing w:after="240"/>
        <w:ind w:left="567" w:hanging="567"/>
      </w:pPr>
      <w:r w:rsidRPr="00E2643E">
        <w:t>11</w:t>
      </w:r>
      <w:r w:rsidR="00450197" w:rsidRPr="00E2643E">
        <w:t>3</w:t>
      </w:r>
      <w:r w:rsidRPr="00E2643E">
        <w:t>.</w:t>
      </w:r>
      <w:r w:rsidRPr="00E2643E">
        <w:tab/>
        <w:t>Europaparlamentet noterar betoningen på att skapa medvetenhet bland alla ledamöter och all personal om cybersäkerhet. Parlamentet välkomnar utbildningserbjudandet från GD ITEC och GD PERS. Parlamentet noterar det stora antalet deltagare i cybersäkerhetsutbildningar och noterar att 33 personer deltog i utbildningar och att minst 1 800 personer deltog i medvetandehöjande verksamhet.</w:t>
      </w:r>
    </w:p>
    <w:p w14:paraId="20B5DFF9" w14:textId="322B24EF" w:rsidR="00ED6F45" w:rsidRPr="00E2643E" w:rsidRDefault="00ED6F45" w:rsidP="00703214">
      <w:pPr>
        <w:spacing w:after="240"/>
        <w:ind w:left="567" w:hanging="567"/>
      </w:pPr>
      <w:r w:rsidRPr="00E2643E">
        <w:t>11</w:t>
      </w:r>
      <w:r w:rsidR="00450197" w:rsidRPr="00E2643E">
        <w:t>4</w:t>
      </w:r>
      <w:r w:rsidRPr="00E2643E">
        <w:t>.</w:t>
      </w:r>
      <w:r w:rsidRPr="00E2643E">
        <w:tab/>
        <w:t>Europaparlamentet noterar att det nuvarande personalförvaltningssystemet (HRM</w:t>
      </w:r>
      <w:r w:rsidRPr="00E2643E">
        <w:noBreakHyphen/>
        <w:t xml:space="preserve">portalen) fortfarande inte är tillräckligt integrerat med parlamentets övriga system. Parlamentet noterar att enkla förfaranden såsom ledighetsansökningar fortfarande kräver att ackrediterade assistenter laddar ned, skriver ut, skannar och manuellt överför handlingar, medan ledighetssaldot måste kontrolleras på en separat </w:t>
      </w:r>
      <w:r w:rsidRPr="00E2643E">
        <w:lastRenderedPageBreak/>
        <w:t xml:space="preserve">plattform. Parlamentet betonar att dessa fragmenterade processer skapar en onödig administrativ börda och ineffektivitet i arbetsflödet. Parlamentet uppmanar administrationen att modernisera och rationalisera dessa förfaranden och att säkerställa full </w:t>
      </w:r>
      <w:proofErr w:type="spellStart"/>
      <w:r w:rsidRPr="00E2643E">
        <w:t>interoperabilitet</w:t>
      </w:r>
      <w:proofErr w:type="spellEnd"/>
      <w:r w:rsidRPr="00E2643E">
        <w:t xml:space="preserve"> mellan verktyg för personalförvaltning och parlamentets övriga system.</w:t>
      </w:r>
    </w:p>
    <w:p w14:paraId="7C5E20B4" w14:textId="3C34B0CD" w:rsidR="00ED6F45" w:rsidRPr="00E2643E" w:rsidRDefault="00ED6F45" w:rsidP="00ED6F45">
      <w:pPr>
        <w:spacing w:after="240"/>
        <w:ind w:left="567" w:hanging="567"/>
      </w:pPr>
      <w:r w:rsidRPr="00E2643E">
        <w:rPr>
          <w14:textOutline w14:w="0" w14:cap="flat" w14:cmpd="sng" w14:algn="ctr">
            <w14:noFill/>
            <w14:prstDash w14:val="solid"/>
            <w14:bevel/>
          </w14:textOutline>
        </w:rPr>
        <w:t>11</w:t>
      </w:r>
      <w:r w:rsidR="00450197" w:rsidRPr="00E2643E">
        <w:rPr>
          <w14:textOutline w14:w="0" w14:cap="flat" w14:cmpd="sng" w14:algn="ctr">
            <w14:noFill/>
            <w14:prstDash w14:val="solid"/>
            <w14:bevel/>
          </w14:textOutline>
        </w:rPr>
        <w:t>5</w:t>
      </w:r>
      <w:r w:rsidRPr="00E2643E">
        <w:t>.</w:t>
      </w:r>
      <w:r w:rsidRPr="00E2643E">
        <w:rPr>
          <w14:textOutline w14:w="0" w14:cap="flat" w14:cmpd="sng" w14:algn="ctr">
            <w14:noFill/>
            <w14:prstDash w14:val="solid"/>
            <w14:bevel/>
          </w14:textOutline>
        </w:rPr>
        <w:tab/>
      </w:r>
      <w:r w:rsidRPr="00E2643E">
        <w:t xml:space="preserve">Europaparlamentet framhåller att stödet till ledamöterna har utökats till att omfatta tid utanför arbetstiden och dagar då parlamentet är stängt. Parlamentet noterar att på grundval av användarundersökningar och direkta förfrågningar från de styrande organen har en ny uppsättning särskilda it-stödtjänster införts för ledamöternas privata </w:t>
      </w:r>
      <w:proofErr w:type="spellStart"/>
      <w:r w:rsidRPr="00E2643E">
        <w:t>MacOS</w:t>
      </w:r>
      <w:proofErr w:type="spellEnd"/>
      <w:r w:rsidRPr="00E2643E">
        <w:t xml:space="preserve">- och </w:t>
      </w:r>
      <w:proofErr w:type="spellStart"/>
      <w:r w:rsidRPr="00E2643E">
        <w:t>iOS</w:t>
      </w:r>
      <w:proofErr w:type="spellEnd"/>
      <w:r w:rsidRPr="00E2643E">
        <w:t>-enheter, för att tillmötesgå utvecklingen av ledamöternas behov och arbetsmetoder. Parlamentet framhåller att tekniskt stöd till sociala medier främjas, tillsammans med ett fullständigt utbud av tjänster som rör de tekniska aspekterna av audiovisuellt skapande.</w:t>
      </w:r>
    </w:p>
    <w:p w14:paraId="4219A402" w14:textId="4C6F895B" w:rsidR="00ED6F45" w:rsidRPr="00E2643E" w:rsidRDefault="00ED6F45" w:rsidP="00ED6F45">
      <w:pPr>
        <w:pStyle w:val="NormalHanging12a"/>
      </w:pPr>
      <w:r w:rsidRPr="00E2643E">
        <w:t>11</w:t>
      </w:r>
      <w:r w:rsidR="00450197" w:rsidRPr="00E2643E">
        <w:t>6</w:t>
      </w:r>
      <w:r w:rsidRPr="00E2643E">
        <w:t>.</w:t>
      </w:r>
      <w:r w:rsidRPr="00E2643E">
        <w:tab/>
        <w:t>Europaparlamentet välkomnar inrättandet av en ny styrningsram för AI, med en styrelse för AI-styrning som övervakar parlamentets AI-strategi och AI-färdplan och säkerställer regelefterlevnad och etisk tillsyn, en generaldirektoratsövergripande styrgrupp för AI med ansvar för att utarbeta AI-strategier, utveckla nyckelkapacitet och säkerställa långsiktig säkerhet och hållbarhet, och ett kompetenscentrum för AI inom GD ITEC, som vägleder, främjar och övervakar AI-initiativ i hela parlamentet. Parlamentet noterar att denna styrningsram kommer att säkerställa transparens och efterlevnad av Europaparlamentets och rådets förordning (EU) 2024/1689</w:t>
      </w:r>
      <w:r w:rsidRPr="00E2643E">
        <w:rPr>
          <w:vertAlign w:val="superscript"/>
        </w:rPr>
        <w:footnoteReference w:id="10"/>
      </w:r>
      <w:r w:rsidRPr="00E2643E">
        <w:t>, som trädde i kraft den 1 augusti 2024 och vars bestämmelser blir tillämpliga från och med 2025. Parlamentet noterar att parlamentets personal kan använda allmänt tillgängliga generativa AI</w:t>
      </w:r>
      <w:r w:rsidRPr="00E2643E">
        <w:noBreakHyphen/>
        <w:t>verktyg från tredje part om de respekterar riktlinjerna för användning av allmänt tillgängliga AI-verktyg för parlamentets personal, som godkändes av generalsekreteraren den 16 april 2024, på det uttryckliga villkoret att de endast använder dem för yrkesmässiga ändamål. Parlamentet uppmanar administrationen att öka sina insatser för att utbilda personalen i effektiv och säker användning av ny teknik såsom AI.</w:t>
      </w:r>
    </w:p>
    <w:p w14:paraId="15CD7F74" w14:textId="77777777" w:rsidR="00703214" w:rsidRPr="00E2643E" w:rsidRDefault="00ED6F45" w:rsidP="00703214">
      <w:pPr>
        <w:spacing w:after="240"/>
        <w:rPr>
          <w:b/>
          <w:i/>
          <w14:textOutline w14:w="0" w14:cap="flat" w14:cmpd="sng" w14:algn="ctr">
            <w14:noFill/>
            <w14:prstDash w14:val="solid"/>
            <w14:bevel/>
          </w14:textOutline>
        </w:rPr>
      </w:pPr>
      <w:r w:rsidRPr="00E2643E">
        <w:rPr>
          <w:b/>
          <w:i/>
          <w14:textOutline w14:w="0" w14:cap="flat" w14:cmpd="sng" w14:algn="ctr">
            <w14:noFill/>
            <w14:prstDash w14:val="solid"/>
            <w14:bevel/>
          </w14:textOutline>
        </w:rPr>
        <w:t xml:space="preserve">Övergripande frågor med konsekvenser för parlamentets budget för budgetåret 2024 </w:t>
      </w:r>
      <w:bookmarkStart w:id="10" w:name="_Hlk216615789"/>
    </w:p>
    <w:p w14:paraId="12FC9BC4" w14:textId="1F3D82BE" w:rsidR="00ED6F45" w:rsidRPr="00E2643E" w:rsidRDefault="00ED6F45" w:rsidP="00703214">
      <w:pPr>
        <w:spacing w:after="240"/>
        <w:rPr>
          <w:b/>
          <w:bCs/>
        </w:rPr>
      </w:pPr>
      <w:r w:rsidRPr="00E2643E">
        <w:rPr>
          <w:b/>
        </w:rPr>
        <w:t>Transparens och etik</w:t>
      </w:r>
    </w:p>
    <w:p w14:paraId="7FF05BAE" w14:textId="6DF53C93" w:rsidR="00ED6F45" w:rsidRPr="00E2643E" w:rsidRDefault="00ED6F45" w:rsidP="00ED6F45">
      <w:pPr>
        <w:keepNext/>
        <w:keepLines/>
        <w:widowControl/>
        <w:spacing w:after="240"/>
        <w:ind w:left="567" w:hanging="567"/>
        <w:rPr>
          <w:bCs/>
          <w:iCs/>
        </w:rPr>
      </w:pPr>
      <w:r w:rsidRPr="00E2643E">
        <w:lastRenderedPageBreak/>
        <w:t>11</w:t>
      </w:r>
      <w:r w:rsidR="00450197" w:rsidRPr="00E2643E">
        <w:t>7</w:t>
      </w:r>
      <w:r w:rsidRPr="00E2643E">
        <w:t>.</w:t>
      </w:r>
      <w:r w:rsidRPr="00E2643E">
        <w:tab/>
      </w:r>
      <w:r w:rsidR="00B357FD" w:rsidRPr="00E2643E">
        <w:rPr>
          <w:szCs w:val="24"/>
          <w:lang w:eastAsia="en-US"/>
        </w:rPr>
        <w:t xml:space="preserve">Europaparlamentet noterar att sex rapporter om fall av visselblåsning mottogs under 2024 enligt de interna bestämmelserna om genomförande av artikel 22c i tjänsteföreskrifterna, fem via officiella kanaler och en från en annan unionsinstitution. Parlamentet noterar att ett fall hänsköts till </w:t>
      </w:r>
      <w:proofErr w:type="spellStart"/>
      <w:r w:rsidR="00B357FD" w:rsidRPr="00E2643E">
        <w:rPr>
          <w:szCs w:val="24"/>
          <w:lang w:eastAsia="en-US"/>
        </w:rPr>
        <w:t>Eppo</w:t>
      </w:r>
      <w:proofErr w:type="spellEnd"/>
      <w:r w:rsidR="00B357FD" w:rsidRPr="00E2643E">
        <w:rPr>
          <w:szCs w:val="24"/>
          <w:lang w:eastAsia="en-US"/>
        </w:rPr>
        <w:t xml:space="preserve">, två ledde till administrativa utredningar och ett skickades till den rådgivande kommittén för ledamöternas uppförandekod, och att den externa rapporten också utlöste en utredning. </w:t>
      </w:r>
      <w:r w:rsidR="00B357FD" w:rsidRPr="00E2643E">
        <w:rPr>
          <w:bCs/>
          <w:iCs/>
          <w:szCs w:val="24"/>
          <w:lang w:eastAsia="en-US"/>
        </w:rPr>
        <w:t xml:space="preserve">Parlamentet uttrycker oro över att domstolen 2024 i mål T-793/22 slog fast att parlamentet inte hade vidtagit alla nödvändiga åtgärder för att säkerställa att en visselblåsare hade ett balanserat och effektivt skydd mot alla former av repressalier. Parlamentet noterar att domstolen också konstaterade att parlamentet inte på lämpligt sätt skyddade visselblåsarens </w:t>
      </w:r>
      <w:proofErr w:type="spellStart"/>
      <w:r w:rsidR="00B357FD" w:rsidRPr="00E2643E">
        <w:rPr>
          <w:bCs/>
          <w:iCs/>
          <w:szCs w:val="24"/>
          <w:lang w:eastAsia="en-US"/>
        </w:rPr>
        <w:t>konfidentialitet</w:t>
      </w:r>
      <w:proofErr w:type="spellEnd"/>
      <w:r w:rsidR="00B357FD" w:rsidRPr="00E2643E">
        <w:rPr>
          <w:bCs/>
          <w:iCs/>
          <w:szCs w:val="24"/>
          <w:lang w:eastAsia="en-US"/>
        </w:rPr>
        <w:t>. Parlamentet uppmanas med kraft att till fullo anpassa sina interna regler till direktiv (EU) 2019/1937.</w:t>
      </w:r>
    </w:p>
    <w:bookmarkEnd w:id="10"/>
    <w:p w14:paraId="42FA2C3B" w14:textId="63C52595" w:rsidR="00ED6F45" w:rsidRPr="00E2643E" w:rsidRDefault="00ED6F45" w:rsidP="00ED6F45">
      <w:pPr>
        <w:pStyle w:val="NormalHanging12a"/>
      </w:pPr>
      <w:r w:rsidRPr="00E2643E">
        <w:t>11</w:t>
      </w:r>
      <w:r w:rsidR="00450197" w:rsidRPr="00E2643E">
        <w:t>8</w:t>
      </w:r>
      <w:r w:rsidRPr="00E2643E">
        <w:t>.</w:t>
      </w:r>
      <w:r w:rsidRPr="00E2643E">
        <w:tab/>
        <w:t>Europaparlamentet välkomnar att etikutbildning förblev en prioritering och att så lite som 13 ”</w:t>
      </w:r>
      <w:proofErr w:type="spellStart"/>
      <w:r w:rsidRPr="00E2643E">
        <w:t>Let’s</w:t>
      </w:r>
      <w:proofErr w:type="spellEnd"/>
      <w:r w:rsidRPr="00E2643E">
        <w:t xml:space="preserve"> Talk </w:t>
      </w:r>
      <w:proofErr w:type="spellStart"/>
      <w:r w:rsidRPr="00E2643E">
        <w:t>Ethics</w:t>
      </w:r>
      <w:proofErr w:type="spellEnd"/>
      <w:r w:rsidRPr="00E2643E">
        <w:t>”-kurser innebar att 178 anställda deltog, att man nådde 109 deltagare genom skräddarsydda kurser och att den obligatoriska introduktionen för ackrediterade assistenter uppnådde en genomförandegrad på 72 %. Parlamentet välkomnar att den nya kursen för chefer om etiskt ledarskap och förebyggande av trakasserier tillhandahöll utbildning till 320 chefer vid 33 kurstillfällen.</w:t>
      </w:r>
    </w:p>
    <w:p w14:paraId="127F9D64" w14:textId="1D3FBCA4" w:rsidR="00ED6F45" w:rsidRPr="00E2643E" w:rsidRDefault="00ED6F45" w:rsidP="00ED6F45">
      <w:pPr>
        <w:pStyle w:val="NormalHanging12a"/>
      </w:pPr>
      <w:r w:rsidRPr="00E2643E">
        <w:t>1</w:t>
      </w:r>
      <w:r w:rsidR="00450197" w:rsidRPr="00E2643E">
        <w:t>19</w:t>
      </w:r>
      <w:r w:rsidRPr="00E2643E">
        <w:t>.</w:t>
      </w:r>
      <w:r w:rsidRPr="00E2643E">
        <w:tab/>
        <w:t>Europaparlamentet insisterar på att åtgärderna för transparens, ansvarsskyldighet och etisk styrning måste stärkas. Parlamentet anser att parlamentet måste säkerställa en integritetskultur som integrerar etiska normer i den dagliga verksamheten för att inte skada medborgarnas förtroende och stärka sin legitimitet på tillsynsområdet. Parlamentet efterlyser en fortsättning och förstärkning av samarbetet och dialogen om integritet, transparens och uppförandenormer inom unionens institutioner.</w:t>
      </w:r>
    </w:p>
    <w:p w14:paraId="44C5C385" w14:textId="3134AE8E" w:rsidR="00ED6F45" w:rsidRPr="00E2643E" w:rsidRDefault="00ED6F45" w:rsidP="00ED6F45">
      <w:pPr>
        <w:pStyle w:val="NormalHanging12a"/>
      </w:pPr>
      <w:r w:rsidRPr="00E2643E">
        <w:t>12</w:t>
      </w:r>
      <w:r w:rsidR="00450197" w:rsidRPr="00E2643E">
        <w:t>0</w:t>
      </w:r>
      <w:r w:rsidRPr="00E2643E">
        <w:t>.</w:t>
      </w:r>
      <w:r w:rsidRPr="00E2643E">
        <w:tab/>
        <w:t>Europaparlamentet tar fasta på den positiva utvärderingen av det tekniska genomförandet av uppförandekoden för Europaparlamentets ledamöter avseende integritet och transparens, enligt vad som rapporterats till presidiet. Parlamentet efterlyser ytterligare insatser för att öka transparensen på alla områden av parlamentets verksamhet och inom alla avdelningar, med särskild tonvikt på utarbetandet av lagstiftning. I detta sammanhang uppmanas parlamentets administration att se till att införandet av krav på transparens inte begränsas till ledningsnivån.</w:t>
      </w:r>
    </w:p>
    <w:p w14:paraId="138D0EF5" w14:textId="60310417" w:rsidR="00B357FD" w:rsidRPr="00E2643E" w:rsidRDefault="00B357FD" w:rsidP="00ED6F45">
      <w:pPr>
        <w:pStyle w:val="NormalHanging12a"/>
        <w:rPr>
          <w:bCs/>
          <w:iCs/>
        </w:rPr>
      </w:pPr>
      <w:r w:rsidRPr="00E2643E">
        <w:rPr>
          <w:bCs/>
          <w:iCs/>
          <w:szCs w:val="24"/>
          <w:lang w:eastAsia="en-US"/>
        </w:rPr>
        <w:t>121.</w:t>
      </w:r>
      <w:r w:rsidRPr="00E2643E">
        <w:rPr>
          <w:bCs/>
          <w:iCs/>
          <w:szCs w:val="24"/>
          <w:lang w:eastAsia="en-US"/>
        </w:rPr>
        <w:tab/>
        <w:t xml:space="preserve">Europaparlamentet </w:t>
      </w:r>
      <w:r w:rsidR="0058107C" w:rsidRPr="00E2643E">
        <w:rPr>
          <w:bCs/>
          <w:iCs/>
          <w:szCs w:val="24"/>
          <w:lang w:eastAsia="en-US"/>
        </w:rPr>
        <w:t>erinrar</w:t>
      </w:r>
      <w:r w:rsidRPr="00E2643E">
        <w:rPr>
          <w:bCs/>
          <w:iCs/>
          <w:szCs w:val="24"/>
          <w:lang w:eastAsia="en-US"/>
        </w:rPr>
        <w:t xml:space="preserve"> om att reglerna förbjuder ledamöterna att bedriva avlönad lobbyverksamhet som är direkt kopplad till unionens beslutsprocess. Parlamentet understryker att det är oförenligt med dessa regler för ledamöterna att inneha avlönade befattningar i enheter som omfattas av öppenhetsregistret, samtidigt som de utövar parlamentariska funktioner inom samma politikområde eller upprätthåller relaterade kontakter med kommissionen eller rådet. Parlamentet vill se att sådana situationer </w:t>
      </w:r>
      <w:r w:rsidR="0058107C" w:rsidRPr="00E2643E">
        <w:rPr>
          <w:bCs/>
          <w:iCs/>
          <w:szCs w:val="24"/>
          <w:lang w:eastAsia="en-US"/>
        </w:rPr>
        <w:t xml:space="preserve">vederbörligen </w:t>
      </w:r>
      <w:r w:rsidRPr="00E2643E">
        <w:rPr>
          <w:bCs/>
          <w:iCs/>
          <w:szCs w:val="24"/>
          <w:lang w:eastAsia="en-US"/>
        </w:rPr>
        <w:t>undersöks och att proportionerliga sanktioner tillämpas när överträdelser konstateras.</w:t>
      </w:r>
    </w:p>
    <w:p w14:paraId="71EA9603" w14:textId="77777777" w:rsidR="00ED6F45" w:rsidRPr="00E2643E" w:rsidRDefault="00ED6F45" w:rsidP="00ED6F45">
      <w:pPr>
        <w:pStyle w:val="NormalHanging12a"/>
        <w:rPr>
          <w:bCs/>
          <w:iCs/>
        </w:rPr>
      </w:pPr>
      <w:r w:rsidRPr="00E2643E">
        <w:t>122.</w:t>
      </w:r>
      <w:r w:rsidRPr="00E2643E">
        <w:tab/>
        <w:t xml:space="preserve">Europaparlamentet välkomnar den ökade användningen av öppenhetsregistret som ett informations- och referensverktyg för intressebevakning på unionsnivå. Parlamentet välkomnar utvecklingen av </w:t>
      </w:r>
      <w:proofErr w:type="spellStart"/>
      <w:r w:rsidRPr="00E2643E">
        <w:t>it-lösningar</w:t>
      </w:r>
      <w:proofErr w:type="spellEnd"/>
      <w:r w:rsidRPr="00E2643E">
        <w:t xml:space="preserve"> för att förbättra öppenhetsregistret, men noterar att dess sekretariat fortfarande är underfinansierat och underbemannat. Parlamentet noterar att kvaliteten på uppgifterna i öppenhetsregistret har förbättrats och påminner om behovet av att fortsätta att stärka kvalitetskontrollerna av nya sökande. Parlamentet välkomnar inrättandet av robusta standarder i parlamentet när det gäller </w:t>
      </w:r>
      <w:r w:rsidRPr="00E2643E">
        <w:lastRenderedPageBreak/>
        <w:t>transparens och tillgång till institutionerna för enheter som förtecknas i öppenhetsregistret. Parlamentet efterlyser en sammankoppling av öppenhetsregistret och systemet för finansiell transparens för att möjliggöra dubbelkontroller av enheter som förtecknas i öppenhetsregistret och kontrollera att de inlämnade uppgifterna är adekvata. Parlamentet upprepar i detta sammanhang behovet av en omfattande finansiell förhandsgranskning av alla enheter innan de förtecknas i öppenhetsregistret och begär i detta avseende att öppenhetsregistret förses med tillräckliga resurser för att det ska fungera och för att ett effektivt genomförande av dess interna regler ska säkerställas. Parlamentet uppmanar vidare sin administration att säkerställa interinstitutionell medietransparens och att offentliggöra alla mediekanaler som tar emot unionsmedel.</w:t>
      </w:r>
    </w:p>
    <w:p w14:paraId="4F89E2FB" w14:textId="77777777" w:rsidR="00ED6F45" w:rsidRPr="00E2643E" w:rsidRDefault="00ED6F45" w:rsidP="00ED6F45">
      <w:pPr>
        <w:keepNext/>
        <w:keepLines/>
        <w:widowControl/>
        <w:spacing w:after="240"/>
        <w:ind w:left="567" w:hanging="567"/>
      </w:pPr>
      <w:r w:rsidRPr="00E2643E">
        <w:t>123.</w:t>
      </w:r>
      <w:r w:rsidRPr="00E2643E">
        <w:tab/>
        <w:t>Europaparlamentet uppmanar revisionsrätten att särskilt undersöka mediefinansieringen.</w:t>
      </w:r>
    </w:p>
    <w:p w14:paraId="77D5949E" w14:textId="77777777" w:rsidR="00ED6F45" w:rsidRPr="00E2643E" w:rsidRDefault="00ED6F45" w:rsidP="00ED6F45">
      <w:pPr>
        <w:spacing w:after="240"/>
        <w:rPr>
          <w:b/>
          <w:bCs/>
        </w:rPr>
      </w:pPr>
      <w:r w:rsidRPr="00E2643E">
        <w:rPr>
          <w:b/>
        </w:rPr>
        <w:t>Digitalisering, cybersäkerhet och AI</w:t>
      </w:r>
    </w:p>
    <w:p w14:paraId="57B35EA5" w14:textId="77777777" w:rsidR="00ED6F45" w:rsidRPr="00E2643E" w:rsidRDefault="00ED6F45" w:rsidP="00ED6F45">
      <w:pPr>
        <w:spacing w:after="240"/>
        <w:ind w:left="567" w:hanging="567"/>
        <w:rPr>
          <w:b/>
          <w:bCs/>
        </w:rPr>
      </w:pPr>
      <w:r w:rsidRPr="00E2643E">
        <w:t>124.</w:t>
      </w:r>
      <w:r w:rsidRPr="00E2643E">
        <w:tab/>
        <w:t>Europaparlamentet uppmanas att fortsätta att stärka sina insatser och ta itu med konkreta kritiska utmaningar såsom cybersäkerhet och AI.</w:t>
      </w:r>
    </w:p>
    <w:p w14:paraId="1742B37D" w14:textId="77777777" w:rsidR="00ED6F45" w:rsidRPr="00E2643E" w:rsidRDefault="00ED6F45" w:rsidP="00ED6F45">
      <w:pPr>
        <w:spacing w:after="240"/>
        <w:ind w:left="567" w:hanging="567"/>
      </w:pPr>
      <w:r w:rsidRPr="00E2643E">
        <w:t>125.</w:t>
      </w:r>
      <w:r w:rsidRPr="00E2643E">
        <w:tab/>
        <w:t>Europaparlamentet påminner om att ramen för AI-styrning inrättades av presidiet i mars 2024. Parlamentet understryker det akuta behovet av att anta en övergripande AI</w:t>
      </w:r>
      <w:r w:rsidRPr="00E2643E">
        <w:noBreakHyphen/>
        <w:t>strategi och en färdplan, inbegripet ett förslag till handlingsplan.</w:t>
      </w:r>
    </w:p>
    <w:p w14:paraId="74EC8A30" w14:textId="77777777" w:rsidR="00ED6F45" w:rsidRPr="00E2643E" w:rsidRDefault="00ED6F45" w:rsidP="00ED6F45">
      <w:pPr>
        <w:pStyle w:val="NormalHanging12a"/>
      </w:pPr>
      <w:r w:rsidRPr="00E2643E">
        <w:t>126.</w:t>
      </w:r>
      <w:r w:rsidRPr="00E2643E">
        <w:tab/>
        <w:t>Europaparlamentet noterar att arbetet fortskrider med parlamentets interna plattform för generativ AI. Parlamentet upprepar att denna plattform är en viktig del av ett korrekt och säkert genomförande av AI-projekt, särskilt för att stödja ledamöterna i deras verksamhet.</w:t>
      </w:r>
    </w:p>
    <w:p w14:paraId="317E5417" w14:textId="77777777" w:rsidR="00ED6F45" w:rsidRPr="00E2643E" w:rsidRDefault="00ED6F45" w:rsidP="00ED6F45">
      <w:pPr>
        <w:spacing w:after="240"/>
        <w:ind w:left="567" w:hanging="567"/>
      </w:pPr>
      <w:r w:rsidRPr="00E2643E">
        <w:t>127.</w:t>
      </w:r>
      <w:r w:rsidRPr="00E2643E">
        <w:tab/>
        <w:t>Europaparlamentet uppmanar parlamentets administration att se till att AI-projekt genomförs i full överensstämmelse med styrningskraven, samtidigt som tillgång ges på ett sätt som både skyddar känsliga uppgifter och gör det möjligt att använda offentligt tillgänglig information.</w:t>
      </w:r>
    </w:p>
    <w:p w14:paraId="566CCB8C" w14:textId="77777777" w:rsidR="00ED6F45" w:rsidRPr="00E2643E" w:rsidRDefault="00ED6F45" w:rsidP="00ED6F45">
      <w:pPr>
        <w:pStyle w:val="NormalHanging12a"/>
        <w:rPr>
          <w:bCs/>
          <w:iCs/>
        </w:rPr>
      </w:pPr>
      <w:r w:rsidRPr="00E2643E">
        <w:t>128.</w:t>
      </w:r>
      <w:r w:rsidRPr="00E2643E">
        <w:tab/>
        <w:t>Europaparlamentet uppmanar parlamentets administration att stärka transparensen och tillgängligheten i parlamentets arbete genom att använda AI-lösningar för att möjliggöra systematisk tillgång till digitala, sökbara och återanvändbara transkriberingar av alla utskottsdebatter, inbegripet utbyten med kommissionsledamöter, experter och berörda parter. Parlamentet betonar att sådana transkriberingar bör göras tillgängliga i tid. Parlamentet understryker att förbättrad tillgång till utskottsdebatter skulle stärka den demokratiska kontrollen, det institutionella minnet och medborgarnas förståelse av parlamentets lagstiftningsarbete.</w:t>
      </w:r>
    </w:p>
    <w:p w14:paraId="26C9A7DB" w14:textId="77777777" w:rsidR="00ED6F45" w:rsidRPr="00E2643E" w:rsidRDefault="00ED6F45" w:rsidP="00ED6F45">
      <w:pPr>
        <w:pStyle w:val="NormalHanging12a"/>
        <w:rPr>
          <w:bCs/>
          <w:iCs/>
        </w:rPr>
      </w:pPr>
      <w:r w:rsidRPr="00E2643E">
        <w:t>129.</w:t>
      </w:r>
      <w:r w:rsidRPr="00E2643E">
        <w:tab/>
        <w:t>Europaparlamentet erkänner de betydande förbättringar som gjorts av webbplatsen för plenarsammanträden, inbegripet ökad tillgång till verktyg för verifiering av omröstningar med namnupprop, vilket har bidragit till större transparens och korrekthet när det gäller parlamentets omröstningsresultat. Parlamentet efterlyser dock ytterligare förbättringar av användbarheten och presentationen av röstningsrelaterad information.</w:t>
      </w:r>
    </w:p>
    <w:p w14:paraId="213948EA" w14:textId="77777777" w:rsidR="00ED6F45" w:rsidRPr="00E2643E" w:rsidRDefault="00ED6F45" w:rsidP="00ED6F45">
      <w:pPr>
        <w:spacing w:after="240"/>
        <w:rPr>
          <w:b/>
          <w:bCs/>
        </w:rPr>
      </w:pPr>
      <w:r w:rsidRPr="00E2643E">
        <w:rPr>
          <w:b/>
        </w:rPr>
        <w:t>Det frivilliga pensionssystemet</w:t>
      </w:r>
    </w:p>
    <w:p w14:paraId="2DAEF002" w14:textId="77777777" w:rsidR="00ED6F45" w:rsidRPr="00E2643E" w:rsidRDefault="00ED6F45" w:rsidP="00ED6F45">
      <w:pPr>
        <w:pStyle w:val="NormalHanging12a"/>
      </w:pPr>
      <w:r w:rsidRPr="00E2643E">
        <w:t>130.</w:t>
      </w:r>
      <w:r w:rsidRPr="00E2643E">
        <w:tab/>
        <w:t xml:space="preserve">Europaparlamentet noterar underfinansieringen av det frivilliga pensionssystemet, genom ett ihållande underskott på 105 miljoner EUR i slutet av 2024 och begränsade tillgångar på 23,17 miljoner EUR som beräknas vara uttömda i slutet av 2026. </w:t>
      </w:r>
      <w:r w:rsidRPr="00E2643E">
        <w:lastRenderedPageBreak/>
        <w:t>Parlamentet noterar att förpliktelserna härrör från rättsliga betalningsåtaganden till över 900 medlemmar fram till åtminstone 2074.</w:t>
      </w:r>
    </w:p>
    <w:p w14:paraId="2B3A3CA4" w14:textId="77777777" w:rsidR="00ED6F45" w:rsidRPr="00E2643E" w:rsidRDefault="00ED6F45" w:rsidP="00ED6F45">
      <w:pPr>
        <w:keepNext/>
        <w:keepLines/>
        <w:widowControl/>
        <w:spacing w:after="240"/>
        <w:ind w:left="567" w:hanging="567"/>
      </w:pPr>
      <w:r w:rsidRPr="00E2643E">
        <w:t>131.</w:t>
      </w:r>
      <w:r w:rsidRPr="00E2643E">
        <w:tab/>
        <w:t xml:space="preserve">Europaparlamentet noterar att presidiet vid sitt sammanträde den 12 juni 2023 beslutade om en kombination av åtgärder för att ändra villkoren för det frivilliga pensionssystemet för att ta itu med situationen. Parlamentet framhåller att dessa åtgärder inbegrep en minskning av den nominella pensionen med 50 %, inte bara för framtida förmånstagare som har pensionsrättigheter som håller på att förvärvas, utan även för nuvarande förmånstagare som redan har intjänade pensionsrättigheter, att den årliga indexeringen av pensionsbeloppen skulle frysas och att pensionsåldern skulle höjas från 65 till 67 för de förmånstagare som ännu inte har uppnått pensionsålder. Parlamentet framhåller att enligt aktuariernas uppskattningar skulle effekterna av dessa åtgärder minska det frivilliga pensionssystemets pensionsförpliktelser från och med den 1 juli 2023, baserat på </w:t>
      </w:r>
      <w:proofErr w:type="spellStart"/>
      <w:r w:rsidRPr="00E2643E">
        <w:t>aktuariella</w:t>
      </w:r>
      <w:proofErr w:type="spellEnd"/>
      <w:r w:rsidRPr="00E2643E">
        <w:t xml:space="preserve"> antaganden den 1 juli 2023.</w:t>
      </w:r>
    </w:p>
    <w:p w14:paraId="74353717" w14:textId="77777777" w:rsidR="00ED6F45" w:rsidRPr="00E2643E" w:rsidRDefault="00ED6F45" w:rsidP="00ED6F45">
      <w:pPr>
        <w:spacing w:after="240"/>
        <w:ind w:left="567" w:hanging="567"/>
      </w:pPr>
      <w:r w:rsidRPr="00E2643E">
        <w:t>132.</w:t>
      </w:r>
      <w:r w:rsidRPr="00E2643E">
        <w:tab/>
        <w:t>Europaparlamentet noterar att presidiet också infört en skälighetsklausul som gör det möjligt för förmånstagarna att lämna in en begäran till kvestorerna om en ökning av pensionsbeloppet i de fall där minskningen är betydande. Parlamentet noterar att presidiet dessutom infört möjligheten att frivilligt och slutgiltigt dra sig ur det frivilliga pensionssystemet mot utbetalning av ett slutligt engångsbelopp.</w:t>
      </w:r>
    </w:p>
    <w:p w14:paraId="388F738E" w14:textId="77777777" w:rsidR="00ED6F45" w:rsidRPr="00E2643E" w:rsidRDefault="00ED6F45" w:rsidP="00ED6F45">
      <w:pPr>
        <w:pStyle w:val="NormalHanging12a"/>
      </w:pPr>
      <w:r w:rsidRPr="00E2643E">
        <w:t>133.</w:t>
      </w:r>
      <w:r w:rsidRPr="00E2643E">
        <w:tab/>
        <w:t>Europaparlamentet noterar att presidiets beslut av den 12 juni 2023</w:t>
      </w:r>
      <w:r w:rsidRPr="00E2643E">
        <w:rPr>
          <w:vertAlign w:val="superscript"/>
        </w:rPr>
        <w:footnoteReference w:id="11"/>
      </w:r>
      <w:r w:rsidRPr="00E2643E">
        <w:t xml:space="preserve"> har överklagats till tribunalen av 405 förmånstagare till det frivilliga pensionssystemet. Parlamentet påminner om generalsekreterarens kommentarer vid utfrågningen den 8 december inför tribunalens dom och de möjliga tillvägagångssätten. Parlamentet noterar att tribunalen den 17 december 2025 beslutade att avvisa de före detta ledamöternas talan. Parlamentet uppmanar administrationen och presidiet att ta itu med frågan och vidta de åtgärder som krävs för att följa den dom som meddelats av tribunalen.</w:t>
      </w:r>
    </w:p>
    <w:p w14:paraId="7250CE59" w14:textId="77777777" w:rsidR="00ED6F45" w:rsidRPr="00E2643E" w:rsidRDefault="00ED6F45" w:rsidP="00ED6F45">
      <w:pPr>
        <w:spacing w:after="240"/>
        <w:ind w:left="567" w:hanging="567"/>
        <w:rPr>
          <w:b/>
          <w:bCs/>
          <w14:textOutline w14:w="0" w14:cap="flat" w14:cmpd="sng" w14:algn="ctr">
            <w14:noFill/>
            <w14:prstDash w14:val="solid"/>
            <w14:bevel/>
          </w14:textOutline>
        </w:rPr>
      </w:pPr>
      <w:r w:rsidRPr="00E2643E">
        <w:rPr>
          <w:b/>
          <w14:textOutline w14:w="0" w14:cap="flat" w14:cmpd="sng" w14:algn="ctr">
            <w14:noFill/>
            <w14:prstDash w14:val="solid"/>
            <w14:bevel/>
          </w14:textOutline>
        </w:rPr>
        <w:t>Årsrapport om tilldelade kontrakt</w:t>
      </w:r>
    </w:p>
    <w:p w14:paraId="21091C47" w14:textId="77777777" w:rsidR="00ED6F45" w:rsidRPr="00E2643E" w:rsidRDefault="00ED6F45" w:rsidP="00ED6F45">
      <w:pPr>
        <w:spacing w:after="240"/>
        <w:ind w:left="567" w:hanging="567"/>
      </w:pPr>
      <w:r w:rsidRPr="00E2643E">
        <w:t>134.</w:t>
      </w:r>
      <w:r w:rsidRPr="00E2643E">
        <w:tab/>
        <w:t>Europaparlamentet påminner om att det i budgetförordningen anges vilken information som ska lämnas till budgetmyndigheten och allmänheten i fråga om parlamentets tilldelning av kontrakt. Parlamentet noterar att budgetförordningen kräver offentliggörande av tilldelade kontrakt till ett värde som överstiger 15 000 EUR, vilket motsvarar det tröskelvärde över vilket ett konkurrensutsatt upphandlingsförfarande blir obligatoriskt. Parlamentet noterar att av 192 tilldelade kontrakt under 2024 baserades 95 på ett öppet eller selektivt förfarande, till ett värde av 814,2 miljoner EUR, och att ett baserades på ett förhandlat förfarande, till ett värde av 208 000 EUR. Parlamentet noterar att 81 kontrakt tilldelades genom förhandlade förfaranden till ett värde av 173 miljoner EUR.</w:t>
      </w:r>
    </w:p>
    <w:p w14:paraId="758E91A7" w14:textId="77777777" w:rsidR="00ED6F45" w:rsidRPr="00E2643E" w:rsidRDefault="00ED6F45" w:rsidP="00ED6F45">
      <w:pPr>
        <w:pStyle w:val="NormalHanging12a"/>
        <w:rPr>
          <w:bCs/>
          <w:iCs/>
        </w:rPr>
      </w:pPr>
      <w:r w:rsidRPr="00E2643E">
        <w:t>135.</w:t>
      </w:r>
      <w:r w:rsidRPr="00E2643E">
        <w:tab/>
        <w:t xml:space="preserve">Europaparlamentet välkomnar parlamentets offentliggörande av kontrakt som överstiger 15 000 EUR. Parlamentet uppmanas att öka transparensen i sina upphandlingsförfaranden, bland annat genom att offentliggöra strukturerade maskinläsbara uppgifter när så är rättsligt och tekniskt genomförbart, och genom att </w:t>
      </w:r>
      <w:r w:rsidRPr="00E2643E">
        <w:lastRenderedPageBreak/>
        <w:t>integrera tydliga förväntningar på tillbörlig aktsamhet och efterlevnadsmekanismer i sina leveranskedjor genom kontraktsförvaltning.</w:t>
      </w:r>
    </w:p>
    <w:p w14:paraId="7976A6E8" w14:textId="77777777" w:rsidR="00ED6F45" w:rsidRPr="00E2643E" w:rsidRDefault="00ED6F45" w:rsidP="00ED6F45">
      <w:pPr>
        <w:keepNext/>
        <w:keepLines/>
        <w:widowControl/>
        <w:spacing w:after="240"/>
        <w:ind w:left="567" w:hanging="567"/>
      </w:pPr>
      <w:r w:rsidRPr="00E2643E">
        <w:t>136.</w:t>
      </w:r>
      <w:r w:rsidRPr="00E2643E">
        <w:tab/>
        <w:t>Europaparlamentet noterar att det totala antalet tilldelade kontrakt och deras värde minskade under 2024 (192) jämfört med 2023 (242). Parlamentet noterar att antalet öppna och förhandlade förfaranden och deras värden därför är lägre än 2023.</w:t>
      </w:r>
    </w:p>
    <w:p w14:paraId="57EDFA35" w14:textId="77777777" w:rsidR="00ED6F45" w:rsidRPr="00E2643E" w:rsidRDefault="00ED6F45" w:rsidP="00ED6F45">
      <w:pPr>
        <w:spacing w:before="240" w:after="240"/>
        <w:jc w:val="both"/>
        <w:rPr>
          <w:b/>
          <w:bCs/>
          <w14:textOutline w14:w="0" w14:cap="flat" w14:cmpd="sng" w14:algn="ctr">
            <w14:noFill/>
            <w14:prstDash w14:val="solid"/>
            <w14:bevel/>
          </w14:textOutline>
        </w:rPr>
      </w:pPr>
      <w:bookmarkStart w:id="11" w:name="_Hlk216793763"/>
      <w:r w:rsidRPr="00E2643E">
        <w:rPr>
          <w:b/>
          <w14:textOutline w14:w="0" w14:cap="flat" w14:cmpd="sng" w14:algn="ctr">
            <w14:noFill/>
            <w14:prstDash w14:val="solid"/>
            <w14:bevel/>
          </w14:textOutline>
        </w:rPr>
        <w:t>Politiska grupper (budgetpost 400)</w:t>
      </w:r>
    </w:p>
    <w:p w14:paraId="5FA49AB2" w14:textId="77777777" w:rsidR="00ED6F45" w:rsidRPr="00E2643E" w:rsidRDefault="00ED6F45" w:rsidP="00ED6F45">
      <w:pPr>
        <w:pStyle w:val="NormalHanging12a"/>
      </w:pPr>
      <w:r w:rsidRPr="00E2643E">
        <w:t>137.</w:t>
      </w:r>
      <w:r w:rsidRPr="00E2643E">
        <w:tab/>
        <w:t xml:space="preserve">Europaparlamentet noterar att 2024 var ett utmanande år för redovisningen av utgifterna under budgetpost 400 av två skäl. För det första var det ett år med val till Europaparlamentet, med utgifter som delades upp mellan första halvåret 2024 (den nionde valperioden) och andra halvåret 2024 (den tionde valperioden), och för det andra innehöll de slutliga räkenskaper som granskades för första halvåret 2024 för en av de politiska grupperna (ID-gruppen) allvarliga oriktigheter. Parlamentet noterar att parlamentets vice talmän vid utfrågningen den 8 december också uppgav att det fanns ytterligare information som begärts om räkenskaperna för andra halvåret 2024, som presidiet fortfarande väntade på innan det fattade beslut om att tillhandahålla informationen till den ansvarsfrihetsbeviljande myndigheten. Parlamentet noterar skrivelsen av den 20 januari 2026 från parlamentets generalsekreterare till ordföranden för parlamentets budgetkontrollutskott med revisionsrapporterna för andra halvåret 2024 för sju av de åtta politiska grupperna. Parlamentet noterar uttalandet utan reservation för varje rapport. Parlamentet noterar att rapporten från </w:t>
      </w:r>
      <w:proofErr w:type="spellStart"/>
      <w:r w:rsidRPr="00E2643E">
        <w:t>PfE</w:t>
      </w:r>
      <w:proofErr w:type="spellEnd"/>
      <w:r w:rsidRPr="00E2643E">
        <w:t xml:space="preserve">-gruppen för andra halvåret 2024 fortfarande saknas på grund av de pågående utbytena mellan denna politiska grupp och parlamentets behöriga avdelningar. Parlamentet uppmanar både </w:t>
      </w:r>
      <w:proofErr w:type="spellStart"/>
      <w:r w:rsidRPr="00E2643E">
        <w:t>PfE</w:t>
      </w:r>
      <w:proofErr w:type="spellEnd"/>
      <w:r w:rsidRPr="00E2643E">
        <w:t>-gruppen och parlamentets behöriga avdelningar att snabbt lösa de olösta frågorna och informera den ansvarsfrihetsbeviljande myndigheten om resultatet.</w:t>
      </w:r>
    </w:p>
    <w:p w14:paraId="48CF7787" w14:textId="77777777" w:rsidR="00ED6F45" w:rsidRPr="00E2643E" w:rsidRDefault="00ED6F45" w:rsidP="00ED6F45">
      <w:pPr>
        <w:pStyle w:val="NormalHanging12a"/>
      </w:pPr>
      <w:r w:rsidRPr="00E2643E">
        <w:t>138.</w:t>
      </w:r>
      <w:r w:rsidRPr="00E2643E">
        <w:tab/>
        <w:t xml:space="preserve">Europaparlamentet noterar medierapporter där </w:t>
      </w:r>
      <w:proofErr w:type="spellStart"/>
      <w:r w:rsidRPr="00E2643E">
        <w:t>PfE</w:t>
      </w:r>
      <w:proofErr w:type="spellEnd"/>
      <w:r w:rsidRPr="00E2643E">
        <w:t xml:space="preserve">-gruppen anklagas för att ha missbrukat medel under andra halvåret 2024 på minst 171 644 EUR. Parlamentet noterar att parlamentets administration har begärt förtydliganden från </w:t>
      </w:r>
      <w:proofErr w:type="spellStart"/>
      <w:r w:rsidRPr="00E2643E">
        <w:t>PfE</w:t>
      </w:r>
      <w:proofErr w:type="spellEnd"/>
      <w:r w:rsidRPr="00E2643E">
        <w:t>-gruppen. Parlamentet noterar att den ansvarsfrihetsbeviljande myndigheten ännu inte har informerats, men förväntar sig att utan dröjsmål informeras om den fortsatta utvecklingen och om resultatet av den administrativa uppföljningen i denna fråga.</w:t>
      </w:r>
    </w:p>
    <w:p w14:paraId="5A296037" w14:textId="77777777" w:rsidR="00ED6F45" w:rsidRPr="00E2643E" w:rsidRDefault="00ED6F45" w:rsidP="00ED6F45">
      <w:pPr>
        <w:pStyle w:val="NormalHanging12a"/>
        <w:rPr>
          <w:bCs/>
          <w:iCs/>
        </w:rPr>
      </w:pPr>
      <w:r w:rsidRPr="00E2643E">
        <w:t>139.</w:t>
      </w:r>
      <w:r w:rsidRPr="00E2643E">
        <w:tab/>
        <w:t>Europaparlamentet noterar rapporteringen från den tyska tidskriften Stern, enligt vilken en ledamot av gruppen Europa av suveräna nationer (ESN-gruppen) stod värd för en gruppkongress där personal och familjemedlemmar deltog, med potentiella kostnader som belastar parlamentets budget under budgetpost 400, och att donationer enligt uppgift samlades in under detta evenemang för ett kvinnonätverk inom högergruppen med koppling till nära familjemedlemmar och anställda hos ESN-gruppens ledamöter. Parlamentet påminner om att utgifterna under budgetpost 400 måste vara strikt begränsade till de politiska gruppernas parlamentariska verksamhet och fullt ut följa tillämpliga bestämmelser. Parlamentet uppmanar med kraft GD FINS att utreda detta fall, och att utan dröjsmål informera den ansvarsfrihetsbeviljande myndigheten om bristande efterlevnad skulle konstateras.</w:t>
      </w:r>
    </w:p>
    <w:p w14:paraId="005D0696" w14:textId="77777777" w:rsidR="00ED6F45" w:rsidRPr="00E2643E" w:rsidRDefault="00ED6F45" w:rsidP="00ED6F45">
      <w:pPr>
        <w:pStyle w:val="NormalHanging12a"/>
      </w:pPr>
      <w:r w:rsidRPr="00E2643E">
        <w:t>140.</w:t>
      </w:r>
      <w:r w:rsidRPr="00E2643E">
        <w:tab/>
        <w:t>Europaparlamentet påminner om de politiska gruppernas exklusiva ekonomiska ansvar och deras åtagande att säkerställa sund ekonomisk förvaltning, effektiva kontroller och full ansvarsskyldighet för offentliga medel. Parlamentet efterlyser lämpliga tillsynsmekanismer inom GD FINS genom att göra mer resurser tillgängliga.</w:t>
      </w:r>
    </w:p>
    <w:p w14:paraId="0BD24B7D" w14:textId="77777777" w:rsidR="00ED6F45" w:rsidRPr="00E2643E" w:rsidRDefault="00ED6F45" w:rsidP="00ED6F45">
      <w:pPr>
        <w:keepNext/>
        <w:keepLines/>
        <w:widowControl/>
        <w:spacing w:after="240"/>
        <w:rPr>
          <w:b/>
          <w:bCs/>
          <w:i/>
          <w:iCs/>
          <w14:textOutline w14:w="0" w14:cap="flat" w14:cmpd="sng" w14:algn="ctr">
            <w14:noFill/>
            <w14:prstDash w14:val="solid"/>
            <w14:bevel/>
          </w14:textOutline>
        </w:rPr>
      </w:pPr>
      <w:r w:rsidRPr="00E2643E">
        <w:rPr>
          <w:b/>
          <w:i/>
          <w14:textOutline w14:w="0" w14:cap="flat" w14:cmpd="sng" w14:algn="ctr">
            <w14:noFill/>
            <w14:prstDash w14:val="solid"/>
            <w14:bevel/>
          </w14:textOutline>
        </w:rPr>
        <w:lastRenderedPageBreak/>
        <w:t>Europeiska politiska partier och europeiska politiska stiftelser</w:t>
      </w:r>
    </w:p>
    <w:p w14:paraId="1DA6A739" w14:textId="77777777" w:rsidR="00ED6F45" w:rsidRPr="00E2643E" w:rsidRDefault="00ED6F45" w:rsidP="00ED6F45">
      <w:pPr>
        <w:keepNext/>
        <w:keepLines/>
        <w:widowControl/>
        <w:spacing w:after="240"/>
        <w:ind w:left="567" w:hanging="567"/>
        <w:rPr>
          <w:noProof/>
        </w:rPr>
      </w:pPr>
      <w:r w:rsidRPr="00E2643E">
        <w:t>141.</w:t>
      </w:r>
      <w:r w:rsidRPr="00E2643E">
        <w:tab/>
        <w:t>Europaparlamentet framhåller att bevarandet av den demokratiska integriteten och inrättandet av en rättvis miljö för europeiska politiska partier och europeiska politiska stiftelser är avgörande för att unionen ska fungera effektivt och trovärdigt. Parlamentet påpekar att myndigheten för europeiska politiska partier och europeiska politiska stiftelser (</w:t>
      </w:r>
      <w:r w:rsidRPr="00E2643E">
        <w:rPr>
          <w:i/>
          <w:iCs/>
        </w:rPr>
        <w:t>myndigheten</w:t>
      </w:r>
      <w:r w:rsidRPr="00E2643E">
        <w:t xml:space="preserve">), som är ett oberoende unionsorgan, har varit aktivt involverad i </w:t>
      </w:r>
      <w:proofErr w:type="gramStart"/>
      <w:r w:rsidRPr="00E2643E">
        <w:t>denna strävan</w:t>
      </w:r>
      <w:proofErr w:type="gramEnd"/>
      <w:r w:rsidRPr="00E2643E">
        <w:t xml:space="preserve"> sedan den inrättades den 1 september 2016 och från och med den 1 januari 2017 då den blev fullständigt operativ. Parlamentet påpekar att myndigheten har fått i uppdrag av unionslagstiftaren att registrera, övervaka efterlevnaden och vid behov införa sanktioner mot europeiska politiska partier och europeiska politiska stiftelser.</w:t>
      </w:r>
    </w:p>
    <w:p w14:paraId="1D69E907" w14:textId="77777777" w:rsidR="00ED6F45" w:rsidRPr="00E2643E" w:rsidRDefault="00ED6F45" w:rsidP="00ED6F45">
      <w:pPr>
        <w:spacing w:after="240"/>
        <w:ind w:left="567" w:hanging="567"/>
      </w:pPr>
      <w:r w:rsidRPr="00E2643E">
        <w:t>142.</w:t>
      </w:r>
      <w:r w:rsidRPr="00E2643E">
        <w:tab/>
        <w:t xml:space="preserve">Europaparlamentet noterar med tillfredsställelse att myndigheten proaktivt har nått ut till och ökat medvetenheten bland ett nätverk av organ och institutioner som är relevanta för det gemensamma försvaret av den europeiska demokratin. Parlamentet framhåller att myndigheten särskilt samarbetade med parlamentet, som ansvarar för sekretariatet för kommittén bestående av oavhängiga framstående personer, för att maximera effektiviteten i förfarandena. Parlamentet noterar att samarbetet om de operativa aspekterna också stärktes med flera andra berörda parter i unionen, däribland Europeiska utrikestjänsten och Europeiska dataskyddsstyrelsen. Parlamentet noterar att myndigheten har stärkt sitt samarbete med Europol genom att underteckna ett samförståndsavtal om strategiskt informationsutbyte om </w:t>
      </w:r>
      <w:proofErr w:type="spellStart"/>
      <w:r w:rsidRPr="00E2643E">
        <w:t>it-baserad</w:t>
      </w:r>
      <w:proofErr w:type="spellEnd"/>
      <w:r w:rsidRPr="00E2643E">
        <w:t xml:space="preserve"> olaglig inblandning i unionens demokrati.</w:t>
      </w:r>
    </w:p>
    <w:p w14:paraId="031D6609" w14:textId="77777777" w:rsidR="00ED6F45" w:rsidRPr="00E2643E" w:rsidRDefault="00ED6F45" w:rsidP="00ED6F45">
      <w:pPr>
        <w:spacing w:after="240"/>
        <w:ind w:left="567" w:hanging="567"/>
      </w:pPr>
      <w:r w:rsidRPr="00E2643E">
        <w:t>143.</w:t>
      </w:r>
      <w:r w:rsidRPr="00E2643E">
        <w:tab/>
        <w:t>Europaparlamentet noterar att myndigheten under 2024 utfärdade flera förebyggande rekommendationer om regelefterlevnad till europeiska politiska partier och stiftelser för att hantera risker för regelöverträdelser innan de förverkligas, särskilt för att förbättra deras interna processer på områdena donationer och finansiering och deras planerade verksamhet. Parlamentet välkomnar att myndigheten också gav vägledning på begäran vid 11 tillfällen.</w:t>
      </w:r>
    </w:p>
    <w:p w14:paraId="19E010BF" w14:textId="77777777" w:rsidR="00ED6F45" w:rsidRPr="00E2643E" w:rsidRDefault="00ED6F45" w:rsidP="00ED6F45">
      <w:pPr>
        <w:spacing w:after="240"/>
        <w:ind w:left="567" w:hanging="567"/>
      </w:pPr>
      <w:r w:rsidRPr="00E2643E">
        <w:t>144.</w:t>
      </w:r>
      <w:r w:rsidRPr="00E2643E">
        <w:tab/>
        <w:t>Europaparlamentet noterar att myndigheten i åtta fall har gett europeiska politiska partier och europeiska politiska stiftelser möjlighet att vidta korrigerande åtgärder i samband med kontroller av finansiell efterlevnad när det gäller förbjudna donationer och fall av finansiering av andra enheter inom ramen för gemensam verksamhet. Parlamentet välkomnar att myndigheten fortsätter att övervaka att korrigerande åtgärder med långvariga effekter säkerställer varaktig efterlevnad inom de berörda områdena. Parlamentet noterar att myndigheten antog ett sanktionsbeslut under 2024.</w:t>
      </w:r>
    </w:p>
    <w:p w14:paraId="43EF2453" w14:textId="77777777" w:rsidR="00ED6F45" w:rsidRPr="00E2643E" w:rsidRDefault="00ED6F45" w:rsidP="00ED6F45">
      <w:pPr>
        <w:spacing w:after="240"/>
        <w:ind w:left="567" w:hanging="567"/>
      </w:pPr>
      <w:r w:rsidRPr="00E2643E">
        <w:t>145.</w:t>
      </w:r>
      <w:r w:rsidRPr="00E2643E">
        <w:tab/>
        <w:t>Europaparlamentet välkomnar att myndigheten också fortsatte att offentliggöra omfattande vägledning på sin webbplats om de vanligaste riskområdena och potentiellt problematiska strukturer i styrningen av europeiska politiska partier och europeiska politiska stiftelser. Parlamentet välkomnar att den också delgav alla europeiska politiska partier och europeiska politiska stiftelser sina resultat och sin vägledning av allmänt intresse.</w:t>
      </w:r>
    </w:p>
    <w:p w14:paraId="48516E70" w14:textId="77777777" w:rsidR="00ED6F45" w:rsidRPr="00E2643E" w:rsidRDefault="00ED6F45" w:rsidP="00ED6F45">
      <w:pPr>
        <w:keepNext/>
        <w:keepLines/>
        <w:widowControl/>
        <w:spacing w:after="240"/>
        <w:ind w:left="567" w:hanging="567"/>
      </w:pPr>
      <w:r w:rsidRPr="00E2643E">
        <w:lastRenderedPageBreak/>
        <w:t>146.</w:t>
      </w:r>
      <w:r w:rsidRPr="00E2643E">
        <w:tab/>
        <w:t>Europaparlamentet välkomnar offentliggörandet av Europaparlamentets och rådets förordning (EU, Euratom) 2025/2445</w:t>
      </w:r>
      <w:r w:rsidRPr="00E2643E">
        <w:rPr>
          <w:rStyle w:val="FootnoteReference"/>
        </w:rPr>
        <w:footnoteReference w:id="12"/>
      </w:r>
      <w:r w:rsidRPr="00E2643E">
        <w:t xml:space="preserve">, som inför nya krav för europeiska politiska partier och europeiska politiska stiftelser i syfte att stärka den demokratiska integriteten och </w:t>
      </w:r>
      <w:proofErr w:type="spellStart"/>
      <w:r w:rsidRPr="00E2643E">
        <w:t>resiliensen</w:t>
      </w:r>
      <w:proofErr w:type="spellEnd"/>
      <w:r w:rsidRPr="00E2643E">
        <w:t>. Parlamentet understryker särskilt att europeiska politiska partier nu också måste se till att deras medlemspartier och deras medlemsorganisationers europeiska politiska stiftelser respekterar de värden som unionen bygger på i enlighet med artikel 2 i EU-fördraget. Parlamentet noterar vidare att skyddsåtgärderna mot utländsk inblandning har förstärkts och att det reviderade sanktionssystemet kräver att sanktioner för kvantifierbara överträdelser – såsom överträdelser av donationsregler eller förbud mot att tillhandahålla finansiering till nationella partier – införs utan att det erbjuds någon möjlighet till korrigerande åtgärder. Parlamentet noterar i detta sammanhang med tillfredsställelse de omfattande förebyggande riktlinjer som myndigheten erbjuder i sin handlingsplan för regelefterlevnad (R-CAP) för att underlätta ett smidigt och effektivt genomförande.</w:t>
      </w:r>
      <w:r w:rsidRPr="00E2643E">
        <w:rPr>
          <w:b/>
          <w:u w:val="single"/>
        </w:rPr>
        <w:t xml:space="preserve"> </w:t>
      </w:r>
      <w:r w:rsidRPr="00E2643E">
        <w:t>Parlamentet uppmuntrar beslutet att införa kontroller av stödberättigande även inom medlemsorganisationer, för att säkerställa att även medlemsorganisationerna är helt samstämmiga med värdena i artikel 2 i EU-fördraget och för att upprätthålla den demokratiska integriteten i parlamentets finansiering av europeiska politiska partier.</w:t>
      </w:r>
    </w:p>
    <w:p w14:paraId="77069E98" w14:textId="77777777" w:rsidR="00ED6F45" w:rsidRPr="00E2643E" w:rsidRDefault="00ED6F45" w:rsidP="00ED6F45">
      <w:pPr>
        <w:spacing w:after="240"/>
        <w:ind w:left="567" w:hanging="567"/>
      </w:pPr>
      <w:r w:rsidRPr="00E2643E">
        <w:t>147.</w:t>
      </w:r>
      <w:r w:rsidRPr="00E2643E">
        <w:tab/>
        <w:t>Europaparlamentet noterar att myndigheten endast kan inleda en kontroll av efterlevnaden av de värden som ligger till grund för unionen på begäran av parlamentet, rådet eller kommissionen.</w:t>
      </w:r>
    </w:p>
    <w:p w14:paraId="53FF1A3D" w14:textId="77777777" w:rsidR="00ED6F45" w:rsidRPr="00E2643E" w:rsidRDefault="00ED6F45" w:rsidP="00ED6F45">
      <w:pPr>
        <w:spacing w:after="240"/>
        <w:ind w:left="567" w:hanging="567"/>
        <w:rPr>
          <w:u w:val="single"/>
        </w:rPr>
      </w:pPr>
      <w:r w:rsidRPr="00E2643E">
        <w:t>148.</w:t>
      </w:r>
      <w:r w:rsidRPr="00E2643E">
        <w:tab/>
        <w:t>Europaparlamentet betonar att det mot bakgrund av det utvidgade tillämpningsområdet för förfarandet för kontroll av värden, som nu även gäller medlemspartier och medlemsorganisationer, och andra nyheter i förordning (EU, Euratom) 2025/2445, inbegripet de välkomna uppdateringarna för att skydda den europeiska demokratin mot utländsk inblandning, är viktigt att på lämpligt sätt stärka myndighetens personalresurser.</w:t>
      </w:r>
    </w:p>
    <w:bookmarkEnd w:id="11"/>
    <w:p w14:paraId="05C02049" w14:textId="63019B3B" w:rsidR="0013079B" w:rsidRPr="00E2643E" w:rsidRDefault="00ED6F45" w:rsidP="0013079B">
      <w:pPr>
        <w:spacing w:after="240"/>
        <w:ind w:left="567" w:hanging="567"/>
      </w:pPr>
      <w:r w:rsidRPr="00E2643E">
        <w:rPr>
          <w14:textOutline w14:w="0" w14:cap="flat" w14:cmpd="sng" w14:algn="ctr">
            <w14:noFill/>
            <w14:prstDash w14:val="solid"/>
            <w14:bevel/>
          </w14:textOutline>
        </w:rPr>
        <w:t>149</w:t>
      </w:r>
      <w:r w:rsidRPr="00E2643E">
        <w:t>.</w:t>
      </w:r>
      <w:r w:rsidRPr="00E2643E">
        <w:rPr>
          <w14:textOutline w14:w="0" w14:cap="flat" w14:cmpd="sng" w14:algn="ctr">
            <w14:noFill/>
            <w14:prstDash w14:val="solid"/>
            <w14:bevel/>
          </w14:textOutline>
        </w:rPr>
        <w:tab/>
      </w:r>
      <w:r w:rsidRPr="00E2643E">
        <w:t>Europaparlamentet noterar att de anslag som 2024 förts upp under budgetpunkt 402 användes på följande sätt</w:t>
      </w:r>
      <w:r w:rsidRPr="00E2643E">
        <w:rPr>
          <w:rStyle w:val="FootnoteReference"/>
        </w:rPr>
        <w:footnoteReference w:id="13"/>
      </w:r>
      <w:r w:rsidRPr="00E2643E">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ED6F45" w:rsidRPr="00E2643E" w14:paraId="4BF91AC5" w14:textId="77777777" w:rsidTr="007307CA">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6E4EE88"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Parti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79FB4D7"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Förkortning</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E9895A"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Egna medel</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E47153D"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EP:s slutliga bidrag</w:t>
            </w:r>
            <w:r w:rsidRPr="00E2643E">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806B34F"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Inkomster totalt</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1991A0"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Bidrag från EP i % av stöd-berättigande utgifter (högst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3F47C3E"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Särskild reserv efter 2024 års</w:t>
            </w:r>
          </w:p>
          <w:p w14:paraId="054F3D8E"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avslut</w:t>
            </w:r>
            <w:r w:rsidRPr="00E2643E">
              <w:rPr>
                <w:rStyle w:val="FootnoteReference"/>
                <w:sz w:val="20"/>
              </w:rPr>
              <w:footnoteReference w:id="15"/>
            </w:r>
          </w:p>
        </w:tc>
      </w:tr>
      <w:tr w:rsidR="00ED6F45" w:rsidRPr="00E2643E" w14:paraId="18B8A38F"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E84DB8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folkpartiet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9E662F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7096C5"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54DE01"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D5AF6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B77AA7"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3E95041"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261 623</w:t>
            </w:r>
          </w:p>
        </w:tc>
      </w:tr>
      <w:tr w:rsidR="00ED6F45" w:rsidRPr="00E2643E" w14:paraId="605189CC"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E67658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lastRenderedPageBreak/>
              <w:t>Europeiska socialdemokraters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FAF28A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B6D665"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4BD115"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A0FE2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42EAB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2346D4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987 745</w:t>
            </w:r>
          </w:p>
        </w:tc>
      </w:tr>
      <w:tr w:rsidR="00ED6F45" w:rsidRPr="00E2643E" w14:paraId="34D536F1"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3202FC0"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Alliansen liberaler och demokrater för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D4AE0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24C46B"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90052E"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23740D"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27F55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5FC8DB5"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414 768</w:t>
            </w:r>
          </w:p>
        </w:tc>
      </w:tr>
      <w:tr w:rsidR="00ED6F45" w:rsidRPr="00E2643E" w14:paraId="45D049D7"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2A97B6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gröna 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EF7BE0"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70246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31702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A7DE10"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FEC79B"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B3C5D3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993 646</w:t>
            </w:r>
          </w:p>
        </w:tc>
      </w:tr>
      <w:tr w:rsidR="00ED6F45" w:rsidRPr="00E2643E" w14:paraId="67E695DE"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2AD8E8D"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konservativa och reformister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42A212"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506721"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91279E"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A9AEF1"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A92587"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411549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-273 939</w:t>
            </w:r>
          </w:p>
        </w:tc>
      </w:tr>
      <w:tr w:rsidR="00ED6F45" w:rsidRPr="00E2643E" w14:paraId="236D5336"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410594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Identitet och demokrati</w:t>
            </w:r>
            <w:r w:rsidRPr="00E2643E">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3D4398"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ID-partiet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56F96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AAE6C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64D5A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666F8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0D2009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22 063</w:t>
            </w:r>
          </w:p>
        </w:tc>
      </w:tr>
      <w:tr w:rsidR="00ED6F45" w:rsidRPr="00E2643E" w14:paraId="2AB0E649"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41DF47E"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vänsterpartiet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395040"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C89638"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37BCA2"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4C67F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3D7C1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3CF81B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-42 833</w:t>
            </w:r>
          </w:p>
        </w:tc>
      </w:tr>
      <w:tr w:rsidR="00ED6F45" w:rsidRPr="00E2643E" w14:paraId="3A5AB8D1"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F7F41F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demokratiska 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1219C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732BCD"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6428C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7CEA7A"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3C2D27"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D9CFB1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154 132</w:t>
            </w:r>
          </w:p>
        </w:tc>
      </w:tr>
      <w:tr w:rsidR="00ED6F45" w:rsidRPr="00E2643E" w14:paraId="0305E9B7"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570FAC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fria alliansen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A51576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EFA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9292E3"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19D61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37496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0904B0"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A0593DA"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-7 391</w:t>
            </w:r>
          </w:p>
        </w:tc>
      </w:tr>
      <w:tr w:rsidR="00ED6F45" w:rsidRPr="00E2643E" w14:paraId="4DF364E1" w14:textId="77777777" w:rsidTr="007307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4E3CAF4"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Europeiska kristna politiska rörelsen</w:t>
            </w:r>
            <w:r w:rsidRPr="00E2643E">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1EDB25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DF407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BA04E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5B0EAD"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4EC6E2"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D30A33D"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rPr>
              <w:t>-59 624</w:t>
            </w:r>
          </w:p>
        </w:tc>
      </w:tr>
      <w:tr w:rsidR="00ED6F45" w:rsidRPr="00E2643E" w14:paraId="7BBDCBD2" w14:textId="77777777" w:rsidTr="007307CA">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D71E030"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b/>
                <w:sz w:val="20"/>
                <w14:textOutline w14:w="0" w14:cap="flat" w14:cmpd="sng" w14:algn="ctr">
                  <w14:noFill/>
                  <w14:prstDash w14:val="solid"/>
                  <w14:bevel/>
                </w14:textOutline>
              </w:rPr>
              <w:t>TOTALT</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4B239BF" w14:textId="77777777" w:rsidR="00ED6F45" w:rsidRPr="00E2643E" w:rsidRDefault="00ED6F45" w:rsidP="007307CA">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245E49F4" w14:textId="77777777" w:rsidR="00ED6F45" w:rsidRPr="00E2643E" w:rsidRDefault="00ED6F45" w:rsidP="007307CA">
            <w:pPr>
              <w:jc w:val="center"/>
              <w:rPr>
                <w:b/>
                <w:bCs/>
                <w:sz w:val="22"/>
                <w:szCs w:val="22"/>
              </w:rPr>
            </w:pPr>
            <w:r w:rsidRPr="00E2643E">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047C8E4" w14:textId="77777777" w:rsidR="00ED6F45" w:rsidRPr="00E2643E" w:rsidRDefault="00ED6F45" w:rsidP="007307CA">
            <w:pPr>
              <w:jc w:val="center"/>
              <w:rPr>
                <w:b/>
                <w:bCs/>
                <w:sz w:val="22"/>
                <w:szCs w:val="22"/>
              </w:rPr>
            </w:pPr>
            <w:r w:rsidRPr="00E2643E">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CF2B5F5" w14:textId="77777777" w:rsidR="00ED6F45" w:rsidRPr="00E2643E" w:rsidRDefault="00ED6F45" w:rsidP="007307CA">
            <w:pPr>
              <w:jc w:val="center"/>
              <w:rPr>
                <w:b/>
                <w:bCs/>
                <w:sz w:val="22"/>
                <w:szCs w:val="22"/>
              </w:rPr>
            </w:pPr>
            <w:r w:rsidRPr="00E2643E">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63B5DC2" w14:textId="77777777" w:rsidR="00ED6F45" w:rsidRPr="00E2643E" w:rsidRDefault="00ED6F45" w:rsidP="007307CA">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1E88A8BB" w14:textId="77777777" w:rsidR="00ED6F45" w:rsidRPr="00E2643E" w:rsidRDefault="00ED6F45" w:rsidP="007307CA">
            <w:pPr>
              <w:jc w:val="center"/>
              <w:rPr>
                <w:b/>
              </w:rPr>
            </w:pPr>
            <w:r w:rsidRPr="00E2643E">
              <w:rPr>
                <w:b/>
                <w:sz w:val="20"/>
              </w:rPr>
              <w:t>2 450 191</w:t>
            </w:r>
          </w:p>
        </w:tc>
      </w:tr>
    </w:tbl>
    <w:p w14:paraId="3B4138D7" w14:textId="77777777" w:rsidR="00ED6F45" w:rsidRPr="00E2643E" w:rsidRDefault="00ED6F45" w:rsidP="00ED6F45">
      <w:pPr>
        <w:rPr>
          <w:noProof/>
        </w:rPr>
      </w:pPr>
    </w:p>
    <w:p w14:paraId="502E6C31" w14:textId="77777777" w:rsidR="00ED6F45" w:rsidRPr="00E2643E" w:rsidRDefault="00ED6F45" w:rsidP="00ED6F45">
      <w:pPr>
        <w:spacing w:after="240"/>
        <w:ind w:left="567" w:hanging="567"/>
        <w:rPr>
          <w:szCs w:val="24"/>
          <w14:textOutline w14:w="0" w14:cap="flat" w14:cmpd="sng" w14:algn="ctr">
            <w14:noFill/>
            <w14:prstDash w14:val="solid"/>
            <w14:bevel/>
          </w14:textOutline>
        </w:rPr>
      </w:pPr>
      <w:r w:rsidRPr="00E2643E">
        <w:rPr>
          <w14:textOutline w14:w="0" w14:cap="flat" w14:cmpd="sng" w14:algn="ctr">
            <w14:noFill/>
            <w14:prstDash w14:val="solid"/>
            <w14:bevel/>
          </w14:textOutline>
        </w:rPr>
        <w:t>150</w:t>
      </w:r>
      <w:r w:rsidRPr="00E2643E">
        <w:t>.</w:t>
      </w:r>
      <w:r w:rsidRPr="00E2643E">
        <w:rPr>
          <w14:textOutline w14:w="0" w14:cap="flat" w14:cmpd="sng" w14:algn="ctr">
            <w14:noFill/>
            <w14:prstDash w14:val="solid"/>
            <w14:bevel/>
          </w14:textOutline>
        </w:rPr>
        <w:tab/>
      </w:r>
      <w:r w:rsidRPr="00E2643E">
        <w:t>Europaparlamentet noterar att de anslag som 2024 förts upp under budgetpunkt 403 användes på följande sätt</w:t>
      </w:r>
      <w:r w:rsidRPr="00E2643E">
        <w:rPr>
          <w:rStyle w:val="FootnoteReference"/>
        </w:rPr>
        <w:footnoteReference w:id="18"/>
      </w:r>
      <w:r w:rsidRPr="00E2643E">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583"/>
        <w:gridCol w:w="974"/>
        <w:gridCol w:w="984"/>
        <w:gridCol w:w="1133"/>
        <w:gridCol w:w="1247"/>
        <w:gridCol w:w="1247"/>
        <w:gridCol w:w="920"/>
        <w:gridCol w:w="961"/>
      </w:tblGrid>
      <w:tr w:rsidR="00ED6F45" w:rsidRPr="00E2643E" w14:paraId="4BF1E348" w14:textId="77777777" w:rsidTr="007307CA">
        <w:trPr>
          <w:trHeight w:val="1327"/>
        </w:trPr>
        <w:tc>
          <w:tcPr>
            <w:tcW w:w="1583"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FF976B5"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Stiftelse (2024)</w:t>
            </w:r>
          </w:p>
        </w:tc>
        <w:tc>
          <w:tcPr>
            <w:tcW w:w="97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4BCE9A"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Förkortning</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741C369"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Ansluten till parti</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F26856"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Egna medel</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E99993D"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Slutligt bidrag från EP</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5988584"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Inkomster totalt</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746CFF3"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Bidrag från EP i % av stöd-berättigande utgifter (högst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2A4838F"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rPr>
                <w:sz w:val="20"/>
                <w14:textOutline w14:w="0" w14:cap="flat" w14:cmpd="sng" w14:algn="ctr">
                  <w14:noFill/>
                  <w14:prstDash w14:val="solid"/>
                  <w14:bevel/>
                </w14:textOutline>
              </w:rPr>
              <w:t>Särskild reserv efter 2024 års</w:t>
            </w:r>
          </w:p>
          <w:p w14:paraId="7C57B619" w14:textId="77777777" w:rsidR="00ED6F45" w:rsidRPr="00E2643E" w:rsidRDefault="00ED6F45" w:rsidP="007307CA">
            <w:pPr>
              <w:widowControl/>
              <w:jc w:val="center"/>
              <w:rPr>
                <w:szCs w:val="24"/>
                <w14:textOutline w14:w="0" w14:cap="flat" w14:cmpd="sng" w14:algn="ctr">
                  <w14:noFill/>
                  <w14:prstDash w14:val="solid"/>
                  <w14:bevel/>
                </w14:textOutline>
              </w:rPr>
            </w:pPr>
            <w:r w:rsidRPr="00E2643E">
              <w:rPr>
                <w:sz w:val="20"/>
                <w14:textOutline w14:w="0" w14:cap="flat" w14:cmpd="sng" w14:algn="ctr">
                  <w14:noFill/>
                  <w14:prstDash w14:val="solid"/>
                  <w14:bevel/>
                </w14:textOutline>
              </w:rPr>
              <w:t>avslut</w:t>
            </w:r>
            <w:r w:rsidRPr="00E2643E">
              <w:rPr>
                <w:rStyle w:val="FootnoteReference"/>
                <w:sz w:val="20"/>
              </w:rPr>
              <w:footnoteReference w:id="19"/>
            </w:r>
          </w:p>
        </w:tc>
      </w:tr>
      <w:tr w:rsidR="00ED6F45" w:rsidRPr="00E2643E" w14:paraId="0495334A"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9A917DA"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Wilfried Martens-centrumet för europeiska studier</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04BFBE" w14:textId="77777777" w:rsidR="00ED6F45" w:rsidRPr="00E2643E" w:rsidRDefault="00ED6F45" w:rsidP="007307CA">
            <w:pPr>
              <w:jc w:val="center"/>
              <w:rPr>
                <w:sz w:val="20"/>
              </w:rPr>
            </w:pPr>
            <w:r w:rsidRPr="00E2643E">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3CA2AE" w14:textId="77777777" w:rsidR="00ED6F45" w:rsidRPr="00E2643E" w:rsidRDefault="00ED6F45" w:rsidP="007307CA">
            <w:pPr>
              <w:jc w:val="center"/>
              <w:rPr>
                <w:sz w:val="20"/>
              </w:rPr>
            </w:pPr>
            <w:r w:rsidRPr="00E2643E">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39D211" w14:textId="77777777" w:rsidR="00ED6F45" w:rsidRPr="00E2643E" w:rsidRDefault="00ED6F45" w:rsidP="007307CA">
            <w:pPr>
              <w:jc w:val="center"/>
              <w:rPr>
                <w:sz w:val="20"/>
              </w:rPr>
            </w:pPr>
            <w:r w:rsidRPr="00E2643E">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3C9C62" w14:textId="77777777" w:rsidR="00ED6F45" w:rsidRPr="00E2643E" w:rsidRDefault="00ED6F45" w:rsidP="007307CA">
            <w:pPr>
              <w:jc w:val="center"/>
              <w:rPr>
                <w:sz w:val="20"/>
              </w:rPr>
            </w:pPr>
            <w:r w:rsidRPr="00E2643E">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483D03" w14:textId="77777777" w:rsidR="00ED6F45" w:rsidRPr="00E2643E" w:rsidRDefault="00ED6F45" w:rsidP="007307CA">
            <w:pPr>
              <w:jc w:val="center"/>
              <w:rPr>
                <w:sz w:val="20"/>
              </w:rPr>
            </w:pPr>
            <w:r w:rsidRPr="00E2643E">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5954AA" w14:textId="77777777" w:rsidR="00ED6F45" w:rsidRPr="00E2643E" w:rsidRDefault="00ED6F45" w:rsidP="007307CA">
            <w:pPr>
              <w:jc w:val="center"/>
              <w:rPr>
                <w:sz w:val="20"/>
              </w:rPr>
            </w:pPr>
            <w:r w:rsidRPr="00E2643E">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A11B68E" w14:textId="77777777" w:rsidR="00ED6F45" w:rsidRPr="00E2643E" w:rsidRDefault="00ED6F45" w:rsidP="007307CA">
            <w:pPr>
              <w:jc w:val="center"/>
              <w:rPr>
                <w:sz w:val="20"/>
              </w:rPr>
            </w:pPr>
            <w:r w:rsidRPr="00E2643E">
              <w:rPr>
                <w:sz w:val="20"/>
              </w:rPr>
              <w:t>1 320 717</w:t>
            </w:r>
          </w:p>
        </w:tc>
      </w:tr>
      <w:tr w:rsidR="00ED6F45" w:rsidRPr="00E2643E" w14:paraId="6313602F"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ADD5F38"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lastRenderedPageBreak/>
              <w:t>Stiftelsen för progressiva Europastudier</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9AD02B" w14:textId="77777777" w:rsidR="00ED6F45" w:rsidRPr="00E2643E" w:rsidRDefault="00ED6F45" w:rsidP="007307CA">
            <w:pPr>
              <w:jc w:val="center"/>
              <w:rPr>
                <w:sz w:val="20"/>
              </w:rPr>
            </w:pPr>
            <w:r w:rsidRPr="00E2643E">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30DFF4" w14:textId="77777777" w:rsidR="00ED6F45" w:rsidRPr="00E2643E" w:rsidRDefault="00ED6F45" w:rsidP="007307CA">
            <w:pPr>
              <w:jc w:val="center"/>
              <w:rPr>
                <w:sz w:val="20"/>
              </w:rPr>
            </w:pPr>
            <w:r w:rsidRPr="00E2643E">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0C87C8" w14:textId="77777777" w:rsidR="00ED6F45" w:rsidRPr="00E2643E" w:rsidRDefault="00ED6F45" w:rsidP="007307CA">
            <w:pPr>
              <w:jc w:val="center"/>
              <w:rPr>
                <w:sz w:val="20"/>
              </w:rPr>
            </w:pPr>
            <w:r w:rsidRPr="00E2643E">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C1CBF7" w14:textId="77777777" w:rsidR="00ED6F45" w:rsidRPr="00E2643E" w:rsidRDefault="00ED6F45" w:rsidP="007307CA">
            <w:pPr>
              <w:jc w:val="center"/>
              <w:rPr>
                <w:sz w:val="20"/>
              </w:rPr>
            </w:pPr>
            <w:r w:rsidRPr="00E2643E">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BA8112" w14:textId="77777777" w:rsidR="00ED6F45" w:rsidRPr="00E2643E" w:rsidRDefault="00ED6F45" w:rsidP="007307CA">
            <w:pPr>
              <w:jc w:val="center"/>
              <w:rPr>
                <w:sz w:val="20"/>
              </w:rPr>
            </w:pPr>
            <w:r w:rsidRPr="00E2643E">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F66E2C" w14:textId="77777777" w:rsidR="00ED6F45" w:rsidRPr="00E2643E" w:rsidRDefault="00ED6F45" w:rsidP="007307CA">
            <w:pPr>
              <w:jc w:val="center"/>
              <w:rPr>
                <w:sz w:val="20"/>
              </w:rPr>
            </w:pPr>
            <w:r w:rsidRPr="00E2643E">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AED77A2" w14:textId="77777777" w:rsidR="00ED6F45" w:rsidRPr="00E2643E" w:rsidRDefault="00ED6F45" w:rsidP="007307CA">
            <w:pPr>
              <w:jc w:val="center"/>
              <w:rPr>
                <w:sz w:val="20"/>
              </w:rPr>
            </w:pPr>
            <w:r w:rsidRPr="00E2643E">
              <w:rPr>
                <w:sz w:val="20"/>
              </w:rPr>
              <w:t>251 466</w:t>
            </w:r>
          </w:p>
        </w:tc>
      </w:tr>
      <w:tr w:rsidR="00ED6F45" w:rsidRPr="00E2643E" w14:paraId="6A83B28F"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5DDF36"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Europeiskt liberalt forum</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49094A" w14:textId="77777777" w:rsidR="00ED6F45" w:rsidRPr="00E2643E" w:rsidRDefault="00ED6F45" w:rsidP="007307CA">
            <w:pPr>
              <w:jc w:val="center"/>
              <w:rPr>
                <w:sz w:val="20"/>
              </w:rPr>
            </w:pPr>
            <w:r w:rsidRPr="00E2643E">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F61A4D" w14:textId="77777777" w:rsidR="00ED6F45" w:rsidRPr="00E2643E" w:rsidRDefault="00ED6F45" w:rsidP="007307CA">
            <w:pPr>
              <w:jc w:val="center"/>
              <w:rPr>
                <w:sz w:val="20"/>
              </w:rPr>
            </w:pPr>
            <w:r w:rsidRPr="00E2643E">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5BBB36" w14:textId="77777777" w:rsidR="00ED6F45" w:rsidRPr="00E2643E" w:rsidRDefault="00ED6F45" w:rsidP="007307CA">
            <w:pPr>
              <w:jc w:val="center"/>
              <w:rPr>
                <w:sz w:val="20"/>
              </w:rPr>
            </w:pPr>
            <w:r w:rsidRPr="00E2643E">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29EC24" w14:textId="77777777" w:rsidR="00ED6F45" w:rsidRPr="00E2643E" w:rsidRDefault="00ED6F45" w:rsidP="007307CA">
            <w:pPr>
              <w:jc w:val="center"/>
              <w:rPr>
                <w:sz w:val="20"/>
              </w:rPr>
            </w:pPr>
            <w:r w:rsidRPr="00E2643E">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552601" w14:textId="77777777" w:rsidR="00ED6F45" w:rsidRPr="00E2643E" w:rsidRDefault="00ED6F45" w:rsidP="007307CA">
            <w:pPr>
              <w:jc w:val="center"/>
              <w:rPr>
                <w:sz w:val="20"/>
              </w:rPr>
            </w:pPr>
            <w:r w:rsidRPr="00E2643E">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9FB0D5" w14:textId="77777777" w:rsidR="00ED6F45" w:rsidRPr="00E2643E" w:rsidRDefault="00ED6F45" w:rsidP="007307CA">
            <w:pPr>
              <w:jc w:val="center"/>
              <w:rPr>
                <w:sz w:val="20"/>
              </w:rPr>
            </w:pPr>
            <w:r w:rsidRPr="00E2643E">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4FA542" w14:textId="77777777" w:rsidR="00ED6F45" w:rsidRPr="00E2643E" w:rsidRDefault="00ED6F45" w:rsidP="007307CA">
            <w:pPr>
              <w:jc w:val="center"/>
              <w:rPr>
                <w:sz w:val="20"/>
              </w:rPr>
            </w:pPr>
            <w:r w:rsidRPr="00E2643E">
              <w:rPr>
                <w:sz w:val="20"/>
              </w:rPr>
              <w:t>638 880</w:t>
            </w:r>
          </w:p>
        </w:tc>
      </w:tr>
      <w:tr w:rsidR="00ED6F45" w:rsidRPr="00E2643E" w14:paraId="09E5783E"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9661321"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Gröna Europastiftelsen</w:t>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F8CA81" w14:textId="77777777" w:rsidR="00ED6F45" w:rsidRPr="00E2643E" w:rsidRDefault="00ED6F45" w:rsidP="007307CA">
            <w:pPr>
              <w:jc w:val="center"/>
              <w:rPr>
                <w:sz w:val="20"/>
              </w:rPr>
            </w:pPr>
            <w:r w:rsidRPr="00E2643E">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7D97D2" w14:textId="77777777" w:rsidR="00ED6F45" w:rsidRPr="00E2643E" w:rsidRDefault="00ED6F45" w:rsidP="007307CA">
            <w:pPr>
              <w:jc w:val="center"/>
              <w:rPr>
                <w:sz w:val="20"/>
              </w:rPr>
            </w:pPr>
            <w:r w:rsidRPr="00E2643E">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362EC7" w14:textId="77777777" w:rsidR="00ED6F45" w:rsidRPr="00E2643E" w:rsidRDefault="00ED6F45" w:rsidP="007307CA">
            <w:pPr>
              <w:jc w:val="center"/>
              <w:rPr>
                <w:sz w:val="20"/>
              </w:rPr>
            </w:pPr>
            <w:r w:rsidRPr="00E2643E">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AD59D1" w14:textId="77777777" w:rsidR="00ED6F45" w:rsidRPr="00E2643E" w:rsidRDefault="00ED6F45" w:rsidP="007307CA">
            <w:pPr>
              <w:jc w:val="center"/>
              <w:rPr>
                <w:sz w:val="20"/>
              </w:rPr>
            </w:pPr>
            <w:r w:rsidRPr="00E2643E">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5B7260" w14:textId="77777777" w:rsidR="00ED6F45" w:rsidRPr="00E2643E" w:rsidRDefault="00ED6F45" w:rsidP="007307CA">
            <w:pPr>
              <w:jc w:val="center"/>
              <w:rPr>
                <w:sz w:val="20"/>
              </w:rPr>
            </w:pPr>
            <w:r w:rsidRPr="00E2643E">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3FC9B5" w14:textId="77777777" w:rsidR="00ED6F45" w:rsidRPr="00E2643E" w:rsidRDefault="00ED6F45" w:rsidP="007307CA">
            <w:pPr>
              <w:jc w:val="center"/>
              <w:rPr>
                <w:sz w:val="20"/>
              </w:rPr>
            </w:pPr>
            <w:r w:rsidRPr="00E2643E">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E29EFE8" w14:textId="77777777" w:rsidR="00ED6F45" w:rsidRPr="00E2643E" w:rsidRDefault="00ED6F45" w:rsidP="007307CA">
            <w:pPr>
              <w:jc w:val="center"/>
              <w:rPr>
                <w:sz w:val="20"/>
              </w:rPr>
            </w:pPr>
            <w:r w:rsidRPr="00E2643E">
              <w:rPr>
                <w:sz w:val="20"/>
              </w:rPr>
              <w:t>40 821</w:t>
            </w:r>
          </w:p>
        </w:tc>
      </w:tr>
      <w:tr w:rsidR="00ED6F45" w:rsidRPr="00E2643E" w14:paraId="6FDD1CE1"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34297A6" w14:textId="77777777" w:rsidR="00ED6F45" w:rsidRPr="00E2643E" w:rsidRDefault="00ED6F45" w:rsidP="007307CA">
            <w:pPr>
              <w:widowControl/>
              <w:jc w:val="center"/>
              <w:rPr>
                <w:sz w:val="20"/>
                <w:lang w:val="en-GB"/>
                <w14:textOutline w14:w="0" w14:cap="flat" w14:cmpd="sng" w14:algn="ctr">
                  <w14:noFill/>
                  <w14:prstDash w14:val="solid"/>
                  <w14:bevel/>
                </w14:textOutline>
              </w:rPr>
            </w:pPr>
            <w:r w:rsidRPr="00E2643E">
              <w:rPr>
                <w:lang w:val="en-GB"/>
              </w:rPr>
              <w:t>New Direction – Foundation for European Reform</w:t>
            </w:r>
            <w:r w:rsidRPr="00E2643E">
              <w:rPr>
                <w:rStyle w:val="FootnoteReference"/>
              </w:rPr>
              <w:footnoteReference w:id="20"/>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C08CD3" w14:textId="77777777" w:rsidR="00ED6F45" w:rsidRPr="00E2643E" w:rsidRDefault="00ED6F45" w:rsidP="007307CA">
            <w:pPr>
              <w:jc w:val="center"/>
              <w:rPr>
                <w:sz w:val="20"/>
              </w:rPr>
            </w:pPr>
            <w:r w:rsidRPr="00E2643E">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E76C78" w14:textId="77777777" w:rsidR="00ED6F45" w:rsidRPr="00E2643E" w:rsidRDefault="00ED6F45" w:rsidP="007307CA">
            <w:pPr>
              <w:jc w:val="center"/>
              <w:rPr>
                <w:sz w:val="20"/>
              </w:rPr>
            </w:pPr>
            <w:r w:rsidRPr="00E2643E">
              <w:rPr>
                <w:sz w:val="20"/>
              </w:rPr>
              <w:t>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390E24" w14:textId="77777777" w:rsidR="00ED6F45" w:rsidRPr="00E2643E" w:rsidRDefault="00ED6F45" w:rsidP="007307CA">
            <w:pPr>
              <w:jc w:val="center"/>
              <w:rPr>
                <w:sz w:val="20"/>
              </w:rPr>
            </w:pPr>
            <w:r w:rsidRPr="00E2643E">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E026B0" w14:textId="77777777" w:rsidR="00ED6F45" w:rsidRPr="00E2643E" w:rsidRDefault="00ED6F45" w:rsidP="007307CA">
            <w:pPr>
              <w:jc w:val="center"/>
              <w:rPr>
                <w:sz w:val="20"/>
              </w:rPr>
            </w:pPr>
            <w:r w:rsidRPr="00E2643E">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38FCD7" w14:textId="77777777" w:rsidR="00ED6F45" w:rsidRPr="00E2643E" w:rsidRDefault="00ED6F45" w:rsidP="007307CA">
            <w:pPr>
              <w:jc w:val="center"/>
              <w:rPr>
                <w:sz w:val="20"/>
              </w:rPr>
            </w:pPr>
            <w:r w:rsidRPr="00E2643E">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4881D8" w14:textId="77777777" w:rsidR="00ED6F45" w:rsidRPr="00E2643E" w:rsidRDefault="00ED6F45" w:rsidP="007307CA">
            <w:pPr>
              <w:jc w:val="center"/>
              <w:rPr>
                <w:sz w:val="20"/>
              </w:rPr>
            </w:pPr>
            <w:r w:rsidRPr="00E2643E">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4AA2F15" w14:textId="77777777" w:rsidR="00ED6F45" w:rsidRPr="00E2643E" w:rsidRDefault="00ED6F45" w:rsidP="007307CA">
            <w:pPr>
              <w:jc w:val="center"/>
              <w:rPr>
                <w:sz w:val="20"/>
              </w:rPr>
            </w:pPr>
            <w:r w:rsidRPr="00E2643E">
              <w:rPr>
                <w:sz w:val="20"/>
              </w:rPr>
              <w:t>134 704</w:t>
            </w:r>
          </w:p>
        </w:tc>
      </w:tr>
      <w:tr w:rsidR="00ED6F45" w:rsidRPr="00E2643E" w14:paraId="30974C47"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A9E54B"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Stiftelsen Identitet och demokrati</w:t>
            </w:r>
            <w:r w:rsidRPr="00E2643E">
              <w:rPr>
                <w:rStyle w:val="FootnoteReference"/>
              </w:rPr>
              <w:footnoteReference w:id="21"/>
            </w:r>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CE23F8" w14:textId="77777777" w:rsidR="00ED6F45" w:rsidRPr="00E2643E" w:rsidRDefault="00ED6F45" w:rsidP="007307CA">
            <w:pPr>
              <w:jc w:val="center"/>
              <w:rPr>
                <w:sz w:val="20"/>
              </w:rPr>
            </w:pPr>
            <w:r w:rsidRPr="00E2643E">
              <w:rPr>
                <w:sz w:val="20"/>
              </w:rPr>
              <w:t>ID-stiftelsen</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46C3FF" w14:textId="77777777" w:rsidR="00ED6F45" w:rsidRPr="00E2643E" w:rsidRDefault="00ED6F45" w:rsidP="007307CA">
            <w:pPr>
              <w:jc w:val="center"/>
              <w:rPr>
                <w:sz w:val="20"/>
              </w:rPr>
            </w:pPr>
            <w:r w:rsidRPr="00E2643E">
              <w:rPr>
                <w:sz w:val="20"/>
              </w:rPr>
              <w:t>ID-partiet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DA04D9" w14:textId="77777777" w:rsidR="00ED6F45" w:rsidRPr="00E2643E" w:rsidRDefault="00ED6F45" w:rsidP="007307CA">
            <w:pPr>
              <w:jc w:val="center"/>
              <w:rPr>
                <w:sz w:val="20"/>
              </w:rPr>
            </w:pPr>
            <w:r w:rsidRPr="00E2643E">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F8D24C" w14:textId="77777777" w:rsidR="00ED6F45" w:rsidRPr="00E2643E" w:rsidRDefault="00ED6F45" w:rsidP="007307CA">
            <w:pPr>
              <w:jc w:val="center"/>
              <w:rPr>
                <w:sz w:val="20"/>
              </w:rPr>
            </w:pPr>
            <w:r w:rsidRPr="00E2643E">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AA882CD" w14:textId="77777777" w:rsidR="00ED6F45" w:rsidRPr="00E2643E" w:rsidRDefault="00ED6F45" w:rsidP="007307CA">
            <w:pPr>
              <w:jc w:val="center"/>
              <w:rPr>
                <w:sz w:val="20"/>
              </w:rPr>
            </w:pPr>
            <w:r w:rsidRPr="00E2643E">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AEE078" w14:textId="77777777" w:rsidR="00ED6F45" w:rsidRPr="00E2643E" w:rsidRDefault="00ED6F45" w:rsidP="007307CA">
            <w:pPr>
              <w:jc w:val="center"/>
              <w:rPr>
                <w:sz w:val="20"/>
              </w:rPr>
            </w:pPr>
            <w:r w:rsidRPr="00E2643E">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8E627F1" w14:textId="77777777" w:rsidR="00ED6F45" w:rsidRPr="00E2643E" w:rsidRDefault="00ED6F45" w:rsidP="007307CA">
            <w:pPr>
              <w:jc w:val="center"/>
              <w:rPr>
                <w:sz w:val="20"/>
              </w:rPr>
            </w:pPr>
            <w:r w:rsidRPr="00E2643E">
              <w:rPr>
                <w:sz w:val="20"/>
              </w:rPr>
              <w:t>-62 575</w:t>
            </w:r>
          </w:p>
        </w:tc>
      </w:tr>
      <w:tr w:rsidR="00ED6F45" w:rsidRPr="00E2643E" w14:paraId="7DA23367"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755FFDC"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 xml:space="preserve">Transform </w:t>
            </w:r>
            <w:proofErr w:type="spellStart"/>
            <w:r w:rsidRPr="00E2643E">
              <w:t>Europe</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455A02" w14:textId="77777777" w:rsidR="00ED6F45" w:rsidRPr="00E2643E" w:rsidRDefault="00ED6F45" w:rsidP="007307CA">
            <w:pPr>
              <w:jc w:val="center"/>
              <w:rPr>
                <w:sz w:val="20"/>
              </w:rPr>
            </w:pPr>
            <w:r w:rsidRPr="00E2643E">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9AFCAE" w14:textId="77777777" w:rsidR="00ED6F45" w:rsidRPr="00E2643E" w:rsidRDefault="00ED6F45" w:rsidP="007307CA">
            <w:pPr>
              <w:jc w:val="center"/>
              <w:rPr>
                <w:sz w:val="20"/>
              </w:rPr>
            </w:pPr>
            <w:r w:rsidRPr="00E2643E">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DC8616" w14:textId="77777777" w:rsidR="00ED6F45" w:rsidRPr="00E2643E" w:rsidRDefault="00ED6F45" w:rsidP="007307CA">
            <w:pPr>
              <w:jc w:val="center"/>
              <w:rPr>
                <w:sz w:val="20"/>
              </w:rPr>
            </w:pPr>
            <w:r w:rsidRPr="00E2643E">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F10E2F8" w14:textId="77777777" w:rsidR="00ED6F45" w:rsidRPr="00E2643E" w:rsidRDefault="00ED6F45" w:rsidP="007307CA">
            <w:pPr>
              <w:jc w:val="center"/>
              <w:rPr>
                <w:sz w:val="20"/>
              </w:rPr>
            </w:pPr>
            <w:r w:rsidRPr="00E2643E">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5E00A01" w14:textId="77777777" w:rsidR="00ED6F45" w:rsidRPr="00E2643E" w:rsidRDefault="00ED6F45" w:rsidP="007307CA">
            <w:pPr>
              <w:jc w:val="center"/>
              <w:rPr>
                <w:sz w:val="20"/>
              </w:rPr>
            </w:pPr>
            <w:r w:rsidRPr="00E2643E">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EC8DE5" w14:textId="77777777" w:rsidR="00ED6F45" w:rsidRPr="00E2643E" w:rsidRDefault="00ED6F45" w:rsidP="007307CA">
            <w:pPr>
              <w:jc w:val="center"/>
              <w:rPr>
                <w:sz w:val="20"/>
              </w:rPr>
            </w:pPr>
            <w:r w:rsidRPr="00E2643E">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40C799C" w14:textId="77777777" w:rsidR="00ED6F45" w:rsidRPr="00E2643E" w:rsidRDefault="00ED6F45" w:rsidP="007307CA">
            <w:pPr>
              <w:jc w:val="center"/>
              <w:rPr>
                <w:sz w:val="20"/>
              </w:rPr>
            </w:pPr>
            <w:r w:rsidRPr="00E2643E">
              <w:rPr>
                <w:sz w:val="20"/>
              </w:rPr>
              <w:t>69 496</w:t>
            </w:r>
          </w:p>
        </w:tc>
      </w:tr>
      <w:tr w:rsidR="00ED6F45" w:rsidRPr="00E2643E" w14:paraId="0FCC0995"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29AFF89" w14:textId="77777777" w:rsidR="00ED6F45" w:rsidRPr="00E2643E" w:rsidRDefault="00ED6F45" w:rsidP="007307CA">
            <w:pPr>
              <w:widowControl/>
              <w:jc w:val="center"/>
              <w:rPr>
                <w:sz w:val="20"/>
                <w14:textOutline w14:w="0" w14:cap="flat" w14:cmpd="sng" w14:algn="ctr">
                  <w14:noFill/>
                  <w14:prstDash w14:val="solid"/>
                  <w14:bevel/>
                </w14:textOutline>
              </w:rPr>
            </w:pPr>
            <w:r w:rsidRPr="00E2643E">
              <w:t>Europeiska demokraters institut</w:t>
            </w:r>
          </w:p>
        </w:tc>
        <w:tc>
          <w:tcPr>
            <w:tcW w:w="97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4A1432" w14:textId="77777777" w:rsidR="00ED6F45" w:rsidRPr="00E2643E" w:rsidRDefault="00ED6F45" w:rsidP="007307CA">
            <w:pPr>
              <w:jc w:val="center"/>
              <w:rPr>
                <w:sz w:val="20"/>
              </w:rPr>
            </w:pPr>
            <w:r w:rsidRPr="00E2643E">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F58B71" w14:textId="77777777" w:rsidR="00ED6F45" w:rsidRPr="00E2643E" w:rsidRDefault="00ED6F45" w:rsidP="007307CA">
            <w:pPr>
              <w:jc w:val="center"/>
              <w:rPr>
                <w:sz w:val="20"/>
              </w:rPr>
            </w:pPr>
            <w:r w:rsidRPr="00E2643E">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F3609E" w14:textId="77777777" w:rsidR="00ED6F45" w:rsidRPr="00E2643E" w:rsidRDefault="00ED6F45" w:rsidP="007307CA">
            <w:pPr>
              <w:jc w:val="center"/>
              <w:rPr>
                <w:sz w:val="20"/>
              </w:rPr>
            </w:pPr>
            <w:r w:rsidRPr="00E2643E">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CE5CE7" w14:textId="77777777" w:rsidR="00ED6F45" w:rsidRPr="00E2643E" w:rsidRDefault="00ED6F45" w:rsidP="007307CA">
            <w:pPr>
              <w:jc w:val="center"/>
              <w:rPr>
                <w:sz w:val="20"/>
              </w:rPr>
            </w:pPr>
            <w:r w:rsidRPr="00E2643E">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CEB2AE" w14:textId="77777777" w:rsidR="00ED6F45" w:rsidRPr="00E2643E" w:rsidRDefault="00ED6F45" w:rsidP="007307CA">
            <w:pPr>
              <w:jc w:val="center"/>
              <w:rPr>
                <w:sz w:val="20"/>
              </w:rPr>
            </w:pPr>
            <w:r w:rsidRPr="00E2643E">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A98FDC" w14:textId="77777777" w:rsidR="00ED6F45" w:rsidRPr="00E2643E" w:rsidRDefault="00ED6F45" w:rsidP="007307CA">
            <w:pPr>
              <w:jc w:val="center"/>
              <w:rPr>
                <w:sz w:val="20"/>
              </w:rPr>
            </w:pPr>
            <w:r w:rsidRPr="00E2643E">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00ABD0" w14:textId="77777777" w:rsidR="00ED6F45" w:rsidRPr="00E2643E" w:rsidRDefault="00ED6F45" w:rsidP="007307CA">
            <w:pPr>
              <w:jc w:val="center"/>
              <w:rPr>
                <w:sz w:val="20"/>
              </w:rPr>
            </w:pPr>
            <w:r w:rsidRPr="00E2643E">
              <w:rPr>
                <w:sz w:val="20"/>
              </w:rPr>
              <w:t>-113 763</w:t>
            </w:r>
          </w:p>
        </w:tc>
      </w:tr>
      <w:tr w:rsidR="00ED6F45" w:rsidRPr="00E2643E" w14:paraId="41BC1083"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1984364" w14:textId="77777777" w:rsidR="00ED6F45" w:rsidRPr="00E2643E" w:rsidRDefault="00ED6F45" w:rsidP="007307CA">
            <w:pPr>
              <w:widowControl/>
              <w:jc w:val="center"/>
              <w:rPr>
                <w:sz w:val="20"/>
                <w14:textOutline w14:w="0" w14:cap="flat" w14:cmpd="sng" w14:algn="ctr">
                  <w14:noFill/>
                  <w14:prstDash w14:val="solid"/>
                  <w14:bevel/>
                </w14:textOutline>
              </w:rPr>
            </w:pPr>
            <w:proofErr w:type="spellStart"/>
            <w:r w:rsidRPr="00E2643E">
              <w:t>Coppieters</w:t>
            </w:r>
            <w:proofErr w:type="spellEnd"/>
            <w:r w:rsidRPr="00E2643E">
              <w:t xml:space="preserve"> Foundation</w:t>
            </w:r>
          </w:p>
        </w:tc>
        <w:tc>
          <w:tcPr>
            <w:tcW w:w="97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5E17E3" w14:textId="77777777" w:rsidR="00ED6F45" w:rsidRPr="00E2643E" w:rsidRDefault="00ED6F45" w:rsidP="007307CA">
            <w:pPr>
              <w:jc w:val="center"/>
              <w:rPr>
                <w:sz w:val="20"/>
              </w:rPr>
            </w:pPr>
            <w:proofErr w:type="spellStart"/>
            <w:r w:rsidRPr="00E2643E">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9C74105" w14:textId="77777777" w:rsidR="00ED6F45" w:rsidRPr="00E2643E" w:rsidRDefault="00ED6F45" w:rsidP="007307CA">
            <w:pPr>
              <w:jc w:val="center"/>
              <w:rPr>
                <w:sz w:val="20"/>
              </w:rPr>
            </w:pPr>
            <w:r w:rsidRPr="00E2643E">
              <w:rPr>
                <w:sz w:val="20"/>
              </w:rPr>
              <w:t>Verts/ALE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1649B0" w14:textId="77777777" w:rsidR="00ED6F45" w:rsidRPr="00E2643E" w:rsidRDefault="00ED6F45" w:rsidP="007307CA">
            <w:pPr>
              <w:jc w:val="center"/>
              <w:rPr>
                <w:sz w:val="20"/>
              </w:rPr>
            </w:pPr>
            <w:r w:rsidRPr="00E2643E">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15BBDC" w14:textId="77777777" w:rsidR="00ED6F45" w:rsidRPr="00E2643E" w:rsidRDefault="00ED6F45" w:rsidP="007307CA">
            <w:pPr>
              <w:jc w:val="center"/>
              <w:rPr>
                <w:sz w:val="20"/>
              </w:rPr>
            </w:pPr>
            <w:r w:rsidRPr="00E2643E">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D48F01" w14:textId="77777777" w:rsidR="00ED6F45" w:rsidRPr="00E2643E" w:rsidRDefault="00ED6F45" w:rsidP="007307CA">
            <w:pPr>
              <w:jc w:val="center"/>
              <w:rPr>
                <w:sz w:val="20"/>
              </w:rPr>
            </w:pPr>
            <w:r w:rsidRPr="00E2643E">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7F2062" w14:textId="77777777" w:rsidR="00ED6F45" w:rsidRPr="00E2643E" w:rsidRDefault="00ED6F45" w:rsidP="007307CA">
            <w:pPr>
              <w:jc w:val="center"/>
              <w:rPr>
                <w:sz w:val="20"/>
              </w:rPr>
            </w:pPr>
            <w:r w:rsidRPr="00E2643E">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B0A35BB" w14:textId="77777777" w:rsidR="00ED6F45" w:rsidRPr="00E2643E" w:rsidRDefault="00ED6F45" w:rsidP="007307CA">
            <w:pPr>
              <w:jc w:val="center"/>
              <w:rPr>
                <w:sz w:val="20"/>
              </w:rPr>
            </w:pPr>
            <w:r w:rsidRPr="00E2643E">
              <w:rPr>
                <w:sz w:val="20"/>
              </w:rPr>
              <w:t>288 315</w:t>
            </w:r>
          </w:p>
        </w:tc>
      </w:tr>
      <w:tr w:rsidR="00ED6F45" w:rsidRPr="00E2643E" w14:paraId="28247210" w14:textId="77777777" w:rsidTr="007307CA">
        <w:trPr>
          <w:trHeight w:val="339"/>
        </w:trPr>
        <w:tc>
          <w:tcPr>
            <w:tcW w:w="1583"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D259AA" w14:textId="77777777" w:rsidR="00ED6F45" w:rsidRPr="00E2643E" w:rsidRDefault="00ED6F45" w:rsidP="007307CA">
            <w:pPr>
              <w:widowControl/>
              <w:jc w:val="center"/>
              <w:rPr>
                <w:sz w:val="20"/>
                <w14:textOutline w14:w="0" w14:cap="flat" w14:cmpd="sng" w14:algn="ctr">
                  <w14:noFill/>
                  <w14:prstDash w14:val="solid"/>
                  <w14:bevel/>
                </w14:textOutline>
              </w:rPr>
            </w:pPr>
            <w:proofErr w:type="spellStart"/>
            <w:r w:rsidRPr="00E2643E">
              <w:t>Sallux</w:t>
            </w:r>
            <w:proofErr w:type="spellEnd"/>
            <w:r w:rsidRPr="00E2643E">
              <w:t xml:space="preserve"> </w:t>
            </w:r>
          </w:p>
        </w:tc>
        <w:tc>
          <w:tcPr>
            <w:tcW w:w="97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C6B410" w14:textId="77777777" w:rsidR="00ED6F45" w:rsidRPr="00E2643E" w:rsidRDefault="00ED6F45" w:rsidP="007307CA">
            <w:pPr>
              <w:jc w:val="center"/>
              <w:rPr>
                <w:sz w:val="20"/>
              </w:rPr>
            </w:pPr>
            <w:r w:rsidRPr="00E2643E">
              <w:rPr>
                <w:sz w:val="20"/>
              </w:rPr>
              <w:t xml:space="preserve">SALLUX </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7F69378" w14:textId="77777777" w:rsidR="00ED6F45" w:rsidRPr="00E2643E" w:rsidRDefault="00ED6F45" w:rsidP="007307CA">
            <w:pPr>
              <w:jc w:val="center"/>
              <w:rPr>
                <w:sz w:val="20"/>
              </w:rPr>
            </w:pPr>
            <w:r w:rsidRPr="00E2643E">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842B46" w14:textId="77777777" w:rsidR="00ED6F45" w:rsidRPr="00E2643E" w:rsidRDefault="00ED6F45" w:rsidP="007307CA">
            <w:pPr>
              <w:jc w:val="center"/>
              <w:rPr>
                <w:sz w:val="20"/>
              </w:rPr>
            </w:pPr>
            <w:r w:rsidRPr="00E2643E">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7CFD9D" w14:textId="77777777" w:rsidR="00ED6F45" w:rsidRPr="00E2643E" w:rsidRDefault="00ED6F45" w:rsidP="007307CA">
            <w:pPr>
              <w:jc w:val="center"/>
              <w:rPr>
                <w:sz w:val="20"/>
              </w:rPr>
            </w:pPr>
            <w:r w:rsidRPr="00E2643E">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1A3A10" w14:textId="77777777" w:rsidR="00ED6F45" w:rsidRPr="00E2643E" w:rsidRDefault="00ED6F45" w:rsidP="007307CA">
            <w:pPr>
              <w:jc w:val="center"/>
              <w:rPr>
                <w:sz w:val="20"/>
              </w:rPr>
            </w:pPr>
            <w:r w:rsidRPr="00E2643E">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326356" w14:textId="77777777" w:rsidR="00ED6F45" w:rsidRPr="00E2643E" w:rsidRDefault="00ED6F45" w:rsidP="007307CA">
            <w:pPr>
              <w:jc w:val="center"/>
              <w:rPr>
                <w:sz w:val="20"/>
              </w:rPr>
            </w:pPr>
            <w:r w:rsidRPr="00E2643E">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3919A6E5" w14:textId="77777777" w:rsidR="00ED6F45" w:rsidRPr="00E2643E" w:rsidRDefault="00ED6F45" w:rsidP="007307CA">
            <w:pPr>
              <w:jc w:val="center"/>
              <w:rPr>
                <w:sz w:val="20"/>
              </w:rPr>
            </w:pPr>
            <w:r w:rsidRPr="00E2643E">
              <w:rPr>
                <w:sz w:val="20"/>
              </w:rPr>
              <w:t>8 781</w:t>
            </w:r>
          </w:p>
        </w:tc>
      </w:tr>
      <w:tr w:rsidR="00ED6F45" w:rsidRPr="00E2643E" w14:paraId="2A48E585" w14:textId="77777777" w:rsidTr="007307CA">
        <w:trPr>
          <w:trHeight w:val="339"/>
        </w:trPr>
        <w:tc>
          <w:tcPr>
            <w:tcW w:w="1583"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938A59C" w14:textId="77777777" w:rsidR="00ED6F45" w:rsidRPr="00E2643E" w:rsidRDefault="00ED6F45" w:rsidP="007307CA">
            <w:pPr>
              <w:jc w:val="center"/>
              <w:rPr>
                <w:b/>
                <w:bCs/>
                <w:sz w:val="20"/>
                <w14:textOutline w14:w="0" w14:cap="flat" w14:cmpd="sng" w14:algn="ctr">
                  <w14:noFill/>
                  <w14:prstDash w14:val="solid"/>
                  <w14:bevel/>
                </w14:textOutline>
              </w:rPr>
            </w:pPr>
            <w:r w:rsidRPr="00E2643E">
              <w:rPr>
                <w:b/>
                <w:sz w:val="20"/>
                <w14:textOutline w14:w="0" w14:cap="flat" w14:cmpd="sng" w14:algn="ctr">
                  <w14:noFill/>
                  <w14:prstDash w14:val="solid"/>
                  <w14:bevel/>
                </w14:textOutline>
              </w:rPr>
              <w:t>TOTALT</w:t>
            </w:r>
          </w:p>
        </w:tc>
        <w:tc>
          <w:tcPr>
            <w:tcW w:w="97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360453" w14:textId="77777777" w:rsidR="00ED6F45" w:rsidRPr="00E2643E" w:rsidRDefault="00ED6F45" w:rsidP="007307CA">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50B5E7" w14:textId="77777777" w:rsidR="00ED6F45" w:rsidRPr="00E2643E" w:rsidRDefault="00ED6F45" w:rsidP="007307CA">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F5F18EA" w14:textId="77777777" w:rsidR="00ED6F45" w:rsidRPr="00E2643E" w:rsidRDefault="00ED6F45" w:rsidP="007307CA">
            <w:pPr>
              <w:jc w:val="center"/>
              <w:rPr>
                <w:b/>
                <w:bCs/>
                <w:sz w:val="20"/>
              </w:rPr>
            </w:pPr>
            <w:r w:rsidRPr="00E2643E">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E4B931D" w14:textId="77777777" w:rsidR="00ED6F45" w:rsidRPr="00E2643E" w:rsidRDefault="00ED6F45" w:rsidP="007307CA">
            <w:pPr>
              <w:jc w:val="center"/>
              <w:rPr>
                <w:b/>
                <w:bCs/>
                <w:sz w:val="20"/>
              </w:rPr>
            </w:pPr>
            <w:r w:rsidRPr="00E2643E">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4578BAA" w14:textId="77777777" w:rsidR="00ED6F45" w:rsidRPr="00E2643E" w:rsidRDefault="00ED6F45" w:rsidP="007307CA">
            <w:pPr>
              <w:jc w:val="center"/>
              <w:rPr>
                <w:b/>
                <w:bCs/>
                <w:sz w:val="20"/>
              </w:rPr>
            </w:pPr>
            <w:r w:rsidRPr="00E2643E">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D95C136" w14:textId="77777777" w:rsidR="00ED6F45" w:rsidRPr="00E2643E" w:rsidRDefault="00ED6F45" w:rsidP="007307CA">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25222742" w14:textId="77777777" w:rsidR="00ED6F45" w:rsidRPr="00E2643E" w:rsidRDefault="00ED6F45" w:rsidP="007307CA">
            <w:pPr>
              <w:jc w:val="center"/>
              <w:rPr>
                <w:b/>
                <w:bCs/>
                <w:sz w:val="20"/>
              </w:rPr>
            </w:pPr>
            <w:r w:rsidRPr="00E2643E">
              <w:rPr>
                <w:b/>
                <w:sz w:val="20"/>
              </w:rPr>
              <w:t>2 576 842</w:t>
            </w:r>
          </w:p>
        </w:tc>
      </w:tr>
    </w:tbl>
    <w:p w14:paraId="4C1580D2" w14:textId="4FADF15C" w:rsidR="00E365E1" w:rsidRPr="00E2643E" w:rsidRDefault="00E365E1" w:rsidP="00CA25D3"/>
    <w:sectPr w:rsidR="00E365E1" w:rsidRPr="00E2643E" w:rsidSect="0094543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A9DC1" w14:textId="77777777" w:rsidR="00CA25D3" w:rsidRPr="00945439" w:rsidRDefault="00CA25D3">
      <w:r w:rsidRPr="00945439">
        <w:separator/>
      </w:r>
    </w:p>
  </w:endnote>
  <w:endnote w:type="continuationSeparator" w:id="0">
    <w:p w14:paraId="5A617DBE" w14:textId="77777777" w:rsidR="00CA25D3" w:rsidRPr="00945439" w:rsidRDefault="00CA25D3">
      <w:r w:rsidRPr="009454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C050" w14:textId="77777777" w:rsidR="00ED6F45" w:rsidRPr="00945439" w:rsidRDefault="00ED6F45" w:rsidP="009D637C">
    <w:pPr>
      <w:pStyle w:val="EPFooter"/>
    </w:pPr>
    <w:r w:rsidRPr="00945439">
      <w:t>PE</w:t>
    </w:r>
    <w:r w:rsidRPr="00945439">
      <w:rPr>
        <w:rStyle w:val="HideTWBExt"/>
      </w:rPr>
      <w:t>&lt;</w:t>
    </w:r>
    <w:proofErr w:type="spellStart"/>
    <w:r w:rsidRPr="00945439">
      <w:rPr>
        <w:rStyle w:val="HideTWBExt"/>
      </w:rPr>
      <w:t>NoPE</w:t>
    </w:r>
    <w:proofErr w:type="spellEnd"/>
    <w:r w:rsidRPr="00945439">
      <w:rPr>
        <w:rStyle w:val="HideTWBExt"/>
      </w:rPr>
      <w:t>&gt;</w:t>
    </w:r>
    <w:r w:rsidRPr="00945439">
      <w:t>776.734</w:t>
    </w:r>
    <w:r w:rsidRPr="00945439">
      <w:rPr>
        <w:rStyle w:val="HideTWBExt"/>
      </w:rPr>
      <w:t>&lt;/</w:t>
    </w:r>
    <w:proofErr w:type="spellStart"/>
    <w:r w:rsidRPr="00945439">
      <w:rPr>
        <w:rStyle w:val="HideTWBExt"/>
      </w:rPr>
      <w:t>NoPE</w:t>
    </w:r>
    <w:proofErr w:type="spellEnd"/>
    <w:r w:rsidRPr="00945439">
      <w:rPr>
        <w:rStyle w:val="HideTWBExt"/>
      </w:rPr>
      <w:t>&gt;&lt;Version&gt;</w:t>
    </w:r>
    <w:r w:rsidRPr="00945439">
      <w:t>v02-00</w:t>
    </w:r>
    <w:r w:rsidRPr="00945439">
      <w:rPr>
        <w:rStyle w:val="HideTWBExt"/>
      </w:rPr>
      <w:t>&lt;/Version&gt;</w:t>
    </w:r>
    <w:r w:rsidRPr="00945439">
      <w:tab/>
    </w:r>
    <w:r w:rsidRPr="00945439">
      <w:fldChar w:fldCharType="begin"/>
    </w:r>
    <w:r w:rsidRPr="00945439">
      <w:instrText xml:space="preserve"> PAGE  \* MERGEFORMAT </w:instrText>
    </w:r>
    <w:r w:rsidRPr="00945439">
      <w:fldChar w:fldCharType="separate"/>
    </w:r>
    <w:r w:rsidRPr="00945439">
      <w:rPr>
        <w:noProof/>
      </w:rPr>
      <w:t>42</w:t>
    </w:r>
    <w:r w:rsidRPr="00945439">
      <w:fldChar w:fldCharType="end"/>
    </w:r>
    <w:r w:rsidRPr="00945439">
      <w:t>/</w:t>
    </w:r>
    <w:fldSimple w:instr=" NUMPAGES  \* MERGEFORMAT ">
      <w:r w:rsidRPr="00945439">
        <w:rPr>
          <w:noProof/>
        </w:rPr>
        <w:t>43</w:t>
      </w:r>
    </w:fldSimple>
    <w:r w:rsidRPr="00945439">
      <w:tab/>
    </w:r>
    <w:r w:rsidRPr="00945439">
      <w:rPr>
        <w:rStyle w:val="HideTWBExt"/>
      </w:rPr>
      <w:t>&lt;PathFdR&gt;</w:t>
    </w:r>
    <w:r w:rsidRPr="00945439">
      <w:t>RR\1340476SV.docx</w:t>
    </w:r>
    <w:r w:rsidRPr="00945439">
      <w:rPr>
        <w:rStyle w:val="HideTWBExt"/>
      </w:rPr>
      <w:t>&lt;/</w:t>
    </w:r>
    <w:proofErr w:type="spellStart"/>
    <w:r w:rsidRPr="00945439">
      <w:rPr>
        <w:rStyle w:val="HideTWBExt"/>
      </w:rPr>
      <w:t>PathFdR</w:t>
    </w:r>
    <w:proofErr w:type="spellEnd"/>
    <w:r w:rsidRPr="00945439">
      <w:rPr>
        <w:rStyle w:val="HideTWBExt"/>
      </w:rPr>
      <w:t>&gt;</w:t>
    </w:r>
  </w:p>
  <w:p w14:paraId="6900B82B" w14:textId="77777777" w:rsidR="00ED6F45" w:rsidRPr="00945439" w:rsidRDefault="00ED6F45" w:rsidP="009D637C">
    <w:pPr>
      <w:pStyle w:val="EPFooter2"/>
    </w:pPr>
    <w:r w:rsidRPr="0094543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C024" w14:textId="5C7A151D" w:rsidR="00ED6F45" w:rsidRPr="00945439" w:rsidRDefault="00ED6F45" w:rsidP="009D637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C136" w14:textId="77777777" w:rsidR="00ED6F45" w:rsidRPr="00945439" w:rsidRDefault="00ED6F45" w:rsidP="009D637C">
    <w:pPr>
      <w:pStyle w:val="EPFooter"/>
    </w:pPr>
    <w:r w:rsidRPr="00945439">
      <w:rPr>
        <w:rStyle w:val="HideTWBExt"/>
      </w:rPr>
      <w:t>&lt;PathFdR&gt;</w:t>
    </w:r>
    <w:r w:rsidRPr="00945439">
      <w:t>RR\1340476SV.docx</w:t>
    </w:r>
    <w:r w:rsidRPr="00945439">
      <w:rPr>
        <w:rStyle w:val="HideTWBExt"/>
      </w:rPr>
      <w:t>&lt;/</w:t>
    </w:r>
    <w:proofErr w:type="spellStart"/>
    <w:r w:rsidRPr="00945439">
      <w:rPr>
        <w:rStyle w:val="HideTWBExt"/>
      </w:rPr>
      <w:t>PathFdR</w:t>
    </w:r>
    <w:proofErr w:type="spellEnd"/>
    <w:r w:rsidRPr="00945439">
      <w:rPr>
        <w:rStyle w:val="HideTWBExt"/>
      </w:rPr>
      <w:t>&gt;</w:t>
    </w:r>
    <w:r w:rsidRPr="00945439">
      <w:tab/>
    </w:r>
    <w:r w:rsidRPr="00945439">
      <w:tab/>
      <w:t>PE</w:t>
    </w:r>
    <w:r w:rsidRPr="00945439">
      <w:rPr>
        <w:rStyle w:val="HideTWBExt"/>
      </w:rPr>
      <w:t>&lt;</w:t>
    </w:r>
    <w:proofErr w:type="spellStart"/>
    <w:r w:rsidRPr="00945439">
      <w:rPr>
        <w:rStyle w:val="HideTWBExt"/>
      </w:rPr>
      <w:t>NoPE</w:t>
    </w:r>
    <w:proofErr w:type="spellEnd"/>
    <w:r w:rsidRPr="00945439">
      <w:rPr>
        <w:rStyle w:val="HideTWBExt"/>
      </w:rPr>
      <w:t>&gt;</w:t>
    </w:r>
    <w:r w:rsidRPr="00945439">
      <w:t>776.734</w:t>
    </w:r>
    <w:r w:rsidRPr="00945439">
      <w:rPr>
        <w:rStyle w:val="HideTWBExt"/>
      </w:rPr>
      <w:t>&lt;/</w:t>
    </w:r>
    <w:proofErr w:type="spellStart"/>
    <w:r w:rsidRPr="00945439">
      <w:rPr>
        <w:rStyle w:val="HideTWBExt"/>
      </w:rPr>
      <w:t>NoPE</w:t>
    </w:r>
    <w:proofErr w:type="spellEnd"/>
    <w:r w:rsidRPr="00945439">
      <w:rPr>
        <w:rStyle w:val="HideTWBExt"/>
      </w:rPr>
      <w:t>&gt;&lt;Version&gt;</w:t>
    </w:r>
    <w:r w:rsidRPr="00945439">
      <w:t>v02-00</w:t>
    </w:r>
    <w:r w:rsidRPr="00945439">
      <w:rPr>
        <w:rStyle w:val="HideTWBExt"/>
      </w:rPr>
      <w:t>&lt;/Version&gt;</w:t>
    </w:r>
  </w:p>
  <w:p w14:paraId="272A21F0" w14:textId="77777777" w:rsidR="00ED6F45" w:rsidRPr="00945439" w:rsidRDefault="00ED6F45" w:rsidP="009D637C">
    <w:pPr>
      <w:pStyle w:val="EPFooter2"/>
    </w:pPr>
    <w:r w:rsidRPr="00945439">
      <w:t>SV</w:t>
    </w:r>
    <w:r w:rsidRPr="00945439">
      <w:tab/>
    </w:r>
    <w:r w:rsidRPr="00945439">
      <w:rPr>
        <w:b w:val="0"/>
        <w:i/>
        <w:color w:val="C0C0C0"/>
        <w:sz w:val="22"/>
      </w:rPr>
      <w:t>Förenade i mångfalden</w:t>
    </w:r>
    <w:r w:rsidRPr="00945439">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14A7" w14:textId="77777777" w:rsidR="00064002" w:rsidRPr="0094543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B5D9" w14:textId="77777777" w:rsidR="00064002" w:rsidRPr="0094543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A242" w14:textId="77777777" w:rsidR="00064002" w:rsidRPr="009454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AFCDB" w14:textId="77777777" w:rsidR="00CA25D3" w:rsidRPr="00945439" w:rsidRDefault="00CA25D3">
      <w:r w:rsidRPr="00945439">
        <w:separator/>
      </w:r>
    </w:p>
  </w:footnote>
  <w:footnote w:type="continuationSeparator" w:id="0">
    <w:p w14:paraId="49E8D789" w14:textId="77777777" w:rsidR="00CA25D3" w:rsidRPr="00945439" w:rsidRDefault="00CA25D3">
      <w:r w:rsidRPr="00945439">
        <w:continuationSeparator/>
      </w:r>
    </w:p>
  </w:footnote>
  <w:footnote w:id="1">
    <w:p w14:paraId="67FF4865" w14:textId="51E3EEC3"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EUT L</w:t>
      </w:r>
      <w:r w:rsidR="0013079B" w:rsidRPr="007B5DB0">
        <w:rPr>
          <w:sz w:val="24"/>
          <w:lang w:val="fi-FI"/>
        </w:rPr>
        <w:t>, 2024/</w:t>
      </w:r>
      <w:r w:rsidRPr="007B5DB0">
        <w:rPr>
          <w:sz w:val="24"/>
          <w:lang w:val="fi-FI"/>
        </w:rPr>
        <w:t xml:space="preserve">207, 22.2.2024, ELI: </w:t>
      </w:r>
      <w:hyperlink r:id="rId1" w:history="1">
        <w:r w:rsidRPr="007B5DB0">
          <w:rPr>
            <w:rStyle w:val="Hyperlink"/>
            <w:color w:val="0563C1"/>
            <w:sz w:val="24"/>
            <w:lang w:val="fi-FI"/>
          </w:rPr>
          <w:t>http://data.europa.eu/eli/budget/2024/207/oj</w:t>
        </w:r>
      </w:hyperlink>
      <w:r w:rsidRPr="007B5DB0">
        <w:rPr>
          <w:sz w:val="24"/>
          <w:lang w:val="fi-FI"/>
        </w:rPr>
        <w:t>.</w:t>
      </w:r>
    </w:p>
  </w:footnote>
  <w:footnote w:id="2">
    <w:p w14:paraId="47892B20" w14:textId="38251E27"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C, C/2025/4944, 13.10.2025, ELI: </w:t>
      </w:r>
      <w:hyperlink r:id="rId2" w:history="1">
        <w:r w:rsidRPr="007B5DB0">
          <w:rPr>
            <w:rStyle w:val="Hyperlink"/>
            <w:sz w:val="24"/>
            <w:lang w:val="fi-FI"/>
          </w:rPr>
          <w:t>http://data.europa.eu/eli/C/2025/4944/oj</w:t>
        </w:r>
      </w:hyperlink>
      <w:r w:rsidRPr="007B5DB0">
        <w:rPr>
          <w:sz w:val="24"/>
          <w:lang w:val="fi-FI"/>
        </w:rPr>
        <w:t xml:space="preserve">. </w:t>
      </w:r>
    </w:p>
  </w:footnote>
  <w:footnote w:id="3">
    <w:p w14:paraId="74483BB2" w14:textId="16602CF6"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C, C/2025/2817, 6.6.2025, ELI: </w:t>
      </w:r>
      <w:hyperlink r:id="rId3" w:history="1">
        <w:r w:rsidRPr="007B5DB0">
          <w:rPr>
            <w:rStyle w:val="Hyperlink"/>
            <w:sz w:val="24"/>
            <w:lang w:val="fi-FI"/>
          </w:rPr>
          <w:t>http://data.europa.eu/eli/C/2025/2817/oj</w:t>
        </w:r>
      </w:hyperlink>
      <w:r w:rsidRPr="007B5DB0">
        <w:rPr>
          <w:sz w:val="24"/>
          <w:lang w:val="fi-FI"/>
        </w:rPr>
        <w:t>.</w:t>
      </w:r>
    </w:p>
  </w:footnote>
  <w:footnote w:id="4">
    <w:p w14:paraId="12270A09" w14:textId="3E64B972"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C, C/2025/5409, 8.10.2025, ELI: </w:t>
      </w:r>
      <w:hyperlink r:id="rId4" w:history="1">
        <w:r w:rsidRPr="007B5DB0">
          <w:rPr>
            <w:rStyle w:val="Hyperlink"/>
            <w:sz w:val="24"/>
            <w:lang w:val="fi-FI"/>
          </w:rPr>
          <w:t>http://data.europa.eu/eli/C/2025/5409/oj</w:t>
        </w:r>
      </w:hyperlink>
      <w:r w:rsidRPr="007B5DB0">
        <w:rPr>
          <w:sz w:val="24"/>
          <w:lang w:val="fi-FI"/>
        </w:rPr>
        <w:t>.</w:t>
      </w:r>
    </w:p>
  </w:footnote>
  <w:footnote w:id="5">
    <w:p w14:paraId="7EB8C42C" w14:textId="455A4E77"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C, C/2025/5407, 13.10.2025, ELI: </w:t>
      </w:r>
      <w:hyperlink r:id="rId5" w:history="1">
        <w:r w:rsidRPr="007B5DB0">
          <w:rPr>
            <w:rStyle w:val="Hyperlink"/>
            <w:sz w:val="24"/>
            <w:lang w:val="fi-FI"/>
          </w:rPr>
          <w:t>http://data.europa.eu/eli/C/2025/5407/oj</w:t>
        </w:r>
      </w:hyperlink>
      <w:r w:rsidRPr="007B5DB0">
        <w:rPr>
          <w:sz w:val="24"/>
          <w:lang w:val="fi-FI"/>
        </w:rPr>
        <w:t xml:space="preserve">. </w:t>
      </w:r>
    </w:p>
  </w:footnote>
  <w:footnote w:id="6">
    <w:p w14:paraId="114AC213" w14:textId="51DAD5AC"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L 193, 30.7.2018, s. 1, ELI: </w:t>
      </w:r>
      <w:hyperlink r:id="rId6" w:history="1">
        <w:r w:rsidRPr="007B5DB0">
          <w:rPr>
            <w:rStyle w:val="Hyperlink"/>
            <w:sz w:val="24"/>
            <w:lang w:val="fi-FI"/>
          </w:rPr>
          <w:t>http://data.europa.eu/eli/reg/2018/1046/oj</w:t>
        </w:r>
      </w:hyperlink>
      <w:r w:rsidRPr="007B5DB0">
        <w:rPr>
          <w:sz w:val="24"/>
          <w:lang w:val="fi-FI"/>
        </w:rPr>
        <w:t>.</w:t>
      </w:r>
    </w:p>
  </w:footnote>
  <w:footnote w:id="7">
    <w:p w14:paraId="7C041091" w14:textId="72ABC20E" w:rsidR="00ED6F45" w:rsidRPr="007B5DB0" w:rsidRDefault="00ED6F45" w:rsidP="00945439">
      <w:pPr>
        <w:pStyle w:val="FootnoteText"/>
        <w:ind w:left="567" w:hanging="567"/>
        <w:rPr>
          <w:sz w:val="24"/>
          <w:lang w:val="fi-FI"/>
        </w:rPr>
      </w:pPr>
      <w:r w:rsidRPr="00945439">
        <w:rPr>
          <w:rStyle w:val="FootnoteReference"/>
          <w:sz w:val="24"/>
          <w:lang w:val="sv-SE"/>
        </w:rPr>
        <w:footnoteRef/>
      </w:r>
      <w:r w:rsidR="00945439" w:rsidRPr="007B5DB0">
        <w:rPr>
          <w:sz w:val="24"/>
          <w:lang w:val="fi-FI"/>
        </w:rPr>
        <w:t xml:space="preserve"> </w:t>
      </w:r>
      <w:r w:rsidR="00945439" w:rsidRPr="007B5DB0">
        <w:rPr>
          <w:sz w:val="24"/>
          <w:lang w:val="fi-FI"/>
        </w:rPr>
        <w:tab/>
      </w:r>
      <w:r w:rsidRPr="007B5DB0">
        <w:rPr>
          <w:sz w:val="24"/>
          <w:lang w:val="fi-FI"/>
        </w:rPr>
        <w:t xml:space="preserve">EUT L, 2024/2509, 26.9.2024, ELI: </w:t>
      </w:r>
      <w:hyperlink r:id="rId7" w:history="1">
        <w:r w:rsidRPr="007B5DB0">
          <w:rPr>
            <w:rStyle w:val="Hyperlink"/>
            <w:sz w:val="24"/>
            <w:lang w:val="fi-FI"/>
          </w:rPr>
          <w:t>http://data.europa.eu/eli/reg/2024/2509/oj</w:t>
        </w:r>
      </w:hyperlink>
      <w:r w:rsidRPr="007B5DB0">
        <w:rPr>
          <w:sz w:val="24"/>
          <w:lang w:val="fi-FI"/>
        </w:rPr>
        <w:t>.</w:t>
      </w:r>
    </w:p>
  </w:footnote>
  <w:footnote w:id="8">
    <w:p w14:paraId="42FC7752" w14:textId="407F4527"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Rådets förordning (EU, Euratom) 2020/2093 av den 17 december 2020 om den fleråriga budgetramen 2021−2027 (EUT L 433 I, 22.12.2020, s. 11,ELI:</w:t>
      </w:r>
      <w:r w:rsidRPr="00945439">
        <w:rPr>
          <w:color w:val="333333"/>
          <w:sz w:val="24"/>
          <w:shd w:val="clear" w:color="auto" w:fill="FFFFFF"/>
          <w:lang w:val="sv-SE"/>
        </w:rPr>
        <w:t xml:space="preserve"> </w:t>
      </w:r>
      <w:hyperlink r:id="rId8" w:history="1">
        <w:r w:rsidRPr="00945439">
          <w:rPr>
            <w:rStyle w:val="Hyperlink"/>
            <w:sz w:val="24"/>
            <w:shd w:val="clear" w:color="auto" w:fill="FFFFFF"/>
            <w:lang w:val="sv-SE"/>
          </w:rPr>
          <w:t>http://data.europa.eu/eli/reg/2020/2093/oj</w:t>
        </w:r>
      </w:hyperlink>
      <w:r w:rsidRPr="00945439">
        <w:rPr>
          <w:sz w:val="24"/>
          <w:lang w:val="sv-SE"/>
        </w:rPr>
        <w:t>).</w:t>
      </w:r>
    </w:p>
  </w:footnote>
  <w:footnote w:id="9">
    <w:p w14:paraId="6A7A6D50" w14:textId="192E1249"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Europaparlamentets och rådets förordning (EU, Euratom) 2023/2841 av den 13 december 2023 om åtgärder för en hög gemensam cybersäkerhetsnivå vid unionens institutioner, organ och byråer (</w:t>
      </w:r>
      <w:r w:rsidR="000E4E9A">
        <w:rPr>
          <w:sz w:val="24"/>
          <w:lang w:val="sv-SE"/>
        </w:rPr>
        <w:t>EUT</w:t>
      </w:r>
      <w:r w:rsidRPr="00945439">
        <w:rPr>
          <w:sz w:val="24"/>
          <w:lang w:val="sv-SE"/>
        </w:rPr>
        <w:t xml:space="preserve"> L, 2023/2841, 18.12.2023, ELI: </w:t>
      </w:r>
      <w:hyperlink r:id="rId9" w:history="1">
        <w:r w:rsidRPr="00945439">
          <w:rPr>
            <w:rStyle w:val="Hyperlink"/>
            <w:sz w:val="24"/>
            <w:lang w:val="sv-SE"/>
          </w:rPr>
          <w:t>http://data.europa.eu/eli/reg/2023/2841/oj</w:t>
        </w:r>
      </w:hyperlink>
      <w:r w:rsidRPr="00945439">
        <w:rPr>
          <w:sz w:val="24"/>
          <w:lang w:val="sv-SE"/>
        </w:rPr>
        <w:t>).</w:t>
      </w:r>
    </w:p>
  </w:footnote>
  <w:footnote w:id="10">
    <w:p w14:paraId="75C07ECF" w14:textId="4AE7E302"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0" w:history="1">
        <w:r w:rsidRPr="00945439">
          <w:rPr>
            <w:rStyle w:val="Hyperlink"/>
            <w:sz w:val="24"/>
            <w:lang w:val="sv-SE"/>
          </w:rPr>
          <w:t>http://data.europa.eu/eli/reg/2024/1689/oj</w:t>
        </w:r>
      </w:hyperlink>
      <w:r w:rsidRPr="00945439">
        <w:rPr>
          <w:sz w:val="24"/>
          <w:lang w:val="sv-SE"/>
        </w:rPr>
        <w:t>).</w:t>
      </w:r>
    </w:p>
  </w:footnote>
  <w:footnote w:id="11">
    <w:p w14:paraId="74CDC8DA" w14:textId="41C29A85"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Beslut av Europaparlamentets presidium av den 12 juni 2023 om ändring av tillämpningsföreskrifterna för Europaparlamentets ledamotsstadga (EUT C 227, 29.6.2023, s. 5).</w:t>
      </w:r>
    </w:p>
  </w:footnote>
  <w:footnote w:id="12">
    <w:p w14:paraId="159F4491" w14:textId="6466B7E7"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Europaparlamentets och rådets förordning (EU, Euratom) 2025/2445 av den 26 november 2025 om stadgar för och finansiering av europeiska politiska partier och europeiska politiska stiftelser (EUT L</w:t>
      </w:r>
      <w:r w:rsidR="000E4E9A" w:rsidRPr="000E4E9A">
        <w:rPr>
          <w:sz w:val="24"/>
          <w:lang w:val="sv-SE"/>
        </w:rPr>
        <w:t>, 2025/2445, 8.12.2025</w:t>
      </w:r>
      <w:r w:rsidRPr="00945439">
        <w:rPr>
          <w:sz w:val="24"/>
          <w:lang w:val="sv-SE"/>
        </w:rPr>
        <w:t xml:space="preserve">, ELI: </w:t>
      </w:r>
      <w:hyperlink r:id="rId11" w:history="1">
        <w:r w:rsidRPr="00945439">
          <w:rPr>
            <w:rStyle w:val="Hyperlink"/>
            <w:sz w:val="24"/>
            <w:lang w:val="sv-SE"/>
          </w:rPr>
          <w:t>http://data.europa.eu/eli/reg/2025/2445/oj</w:t>
        </w:r>
      </w:hyperlink>
      <w:r w:rsidRPr="00945439">
        <w:rPr>
          <w:sz w:val="24"/>
          <w:lang w:val="sv-SE"/>
        </w:rPr>
        <w:t>).</w:t>
      </w:r>
    </w:p>
  </w:footnote>
  <w:footnote w:id="13">
    <w:p w14:paraId="1A161B69" w14:textId="7083DBFC"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 xml:space="preserve">Alla belopp i tusen EUR. </w:t>
      </w:r>
    </w:p>
  </w:footnote>
  <w:footnote w:id="14">
    <w:p w14:paraId="5D264F7A" w14:textId="1655D474"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Består av den andra delen av 2023 års slutliga finansiering och den första delen av 2024 års slutliga finansiering enligt presidiets beslut av den 9 mars 2026.</w:t>
      </w:r>
    </w:p>
  </w:footnote>
  <w:footnote w:id="15">
    <w:p w14:paraId="21C3EE56" w14:textId="01EED35B"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 xml:space="preserve">2024 års räkenskaper enligt god redovisningssed justerade med effekten av </w:t>
      </w:r>
      <w:proofErr w:type="spellStart"/>
      <w:r w:rsidRPr="00945439">
        <w:rPr>
          <w:sz w:val="24"/>
          <w:lang w:val="sv-SE"/>
        </w:rPr>
        <w:t>omklassificeringarna</w:t>
      </w:r>
      <w:proofErr w:type="spellEnd"/>
      <w:r w:rsidRPr="00945439">
        <w:rPr>
          <w:sz w:val="24"/>
          <w:lang w:val="sv-SE"/>
        </w:rPr>
        <w:t xml:space="preserve"> från 2024 års avslut.</w:t>
      </w:r>
    </w:p>
  </w:footnote>
  <w:footnote w:id="16">
    <w:p w14:paraId="749B2C1C" w14:textId="1EAD4EDD"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”Patriots.eu” från och med juli 2024.</w:t>
      </w:r>
    </w:p>
  </w:footnote>
  <w:footnote w:id="17">
    <w:p w14:paraId="7FF82A53" w14:textId="01EA9C1D"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”Europeiska kristliga politiska rörelsen” från och med mars 2025.</w:t>
      </w:r>
    </w:p>
  </w:footnote>
  <w:footnote w:id="18">
    <w:p w14:paraId="6E7CB19A" w14:textId="0F593FF2" w:rsidR="00ED6F45" w:rsidRPr="00945439" w:rsidRDefault="00ED6F45" w:rsidP="00945439">
      <w:pPr>
        <w:pStyle w:val="FootnoteText"/>
        <w:ind w:left="567" w:hanging="567"/>
        <w:rPr>
          <w:sz w:val="24"/>
          <w:szCs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 xml:space="preserve">Alla belopp i tusen EUR. </w:t>
      </w:r>
    </w:p>
  </w:footnote>
  <w:footnote w:id="19">
    <w:p w14:paraId="40B66019" w14:textId="31086CCE"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 xml:space="preserve">2024 års räkenskaper enligt god redovisningssed justerade med effekten av </w:t>
      </w:r>
      <w:proofErr w:type="spellStart"/>
      <w:r w:rsidRPr="00945439">
        <w:rPr>
          <w:sz w:val="24"/>
          <w:lang w:val="sv-SE"/>
        </w:rPr>
        <w:t>omklassificeringarna</w:t>
      </w:r>
      <w:proofErr w:type="spellEnd"/>
      <w:r w:rsidRPr="00945439">
        <w:rPr>
          <w:sz w:val="24"/>
          <w:lang w:val="sv-SE"/>
        </w:rPr>
        <w:t xml:space="preserve"> från 2024 års avslut.</w:t>
      </w:r>
    </w:p>
  </w:footnote>
  <w:footnote w:id="20">
    <w:p w14:paraId="2F91825D" w14:textId="40897B5A" w:rsidR="00ED6F45" w:rsidRPr="007B5DB0" w:rsidRDefault="00ED6F45" w:rsidP="00945439">
      <w:pPr>
        <w:pStyle w:val="FootnoteText"/>
        <w:ind w:left="567" w:hanging="567"/>
        <w:rPr>
          <w:sz w:val="24"/>
          <w:lang w:val="en-GB"/>
        </w:rPr>
      </w:pPr>
      <w:r w:rsidRPr="00945439">
        <w:rPr>
          <w:rStyle w:val="FootnoteReference"/>
          <w:sz w:val="24"/>
          <w:lang w:val="sv-SE"/>
        </w:rPr>
        <w:footnoteRef/>
      </w:r>
      <w:r w:rsidR="00945439" w:rsidRPr="007B5DB0">
        <w:rPr>
          <w:sz w:val="24"/>
          <w:lang w:val="en-GB"/>
        </w:rPr>
        <w:t xml:space="preserve"> </w:t>
      </w:r>
      <w:r w:rsidR="00945439" w:rsidRPr="007B5DB0">
        <w:rPr>
          <w:sz w:val="24"/>
          <w:lang w:val="en-GB"/>
        </w:rPr>
        <w:tab/>
      </w:r>
      <w:proofErr w:type="gramStart"/>
      <w:r w:rsidRPr="007B5DB0">
        <w:rPr>
          <w:sz w:val="24"/>
          <w:lang w:val="en-GB"/>
        </w:rPr>
        <w:t>”New</w:t>
      </w:r>
      <w:proofErr w:type="gramEnd"/>
      <w:r w:rsidRPr="007B5DB0">
        <w:rPr>
          <w:sz w:val="24"/>
          <w:lang w:val="en-GB"/>
        </w:rPr>
        <w:t xml:space="preserve"> Direction – The Foundation for European Conservatism” </w:t>
      </w:r>
      <w:proofErr w:type="spellStart"/>
      <w:r w:rsidRPr="007B5DB0">
        <w:rPr>
          <w:sz w:val="24"/>
          <w:lang w:val="en-GB"/>
        </w:rPr>
        <w:t>från</w:t>
      </w:r>
      <w:proofErr w:type="spellEnd"/>
      <w:r w:rsidRPr="007B5DB0">
        <w:rPr>
          <w:sz w:val="24"/>
          <w:lang w:val="en-GB"/>
        </w:rPr>
        <w:t xml:space="preserve"> </w:t>
      </w:r>
      <w:proofErr w:type="spellStart"/>
      <w:r w:rsidRPr="007B5DB0">
        <w:rPr>
          <w:sz w:val="24"/>
          <w:lang w:val="en-GB"/>
        </w:rPr>
        <w:t>och</w:t>
      </w:r>
      <w:proofErr w:type="spellEnd"/>
      <w:r w:rsidRPr="007B5DB0">
        <w:rPr>
          <w:sz w:val="24"/>
          <w:lang w:val="en-GB"/>
        </w:rPr>
        <w:t xml:space="preserve"> med </w:t>
      </w:r>
      <w:proofErr w:type="spellStart"/>
      <w:r w:rsidRPr="007B5DB0">
        <w:rPr>
          <w:sz w:val="24"/>
          <w:lang w:val="en-GB"/>
        </w:rPr>
        <w:t>juli</w:t>
      </w:r>
      <w:proofErr w:type="spellEnd"/>
      <w:r w:rsidRPr="007B5DB0">
        <w:rPr>
          <w:sz w:val="24"/>
          <w:lang w:val="en-GB"/>
        </w:rPr>
        <w:t xml:space="preserve"> 2025.</w:t>
      </w:r>
    </w:p>
  </w:footnote>
  <w:footnote w:id="21">
    <w:p w14:paraId="7C42F71C" w14:textId="754DF6B2" w:rsidR="00ED6F45" w:rsidRPr="00945439" w:rsidRDefault="00ED6F45" w:rsidP="00945439">
      <w:pPr>
        <w:pStyle w:val="FootnoteText"/>
        <w:ind w:left="567" w:hanging="567"/>
        <w:rPr>
          <w:sz w:val="24"/>
          <w:lang w:val="sv-SE"/>
        </w:rPr>
      </w:pPr>
      <w:r w:rsidRPr="00945439">
        <w:rPr>
          <w:rStyle w:val="FootnoteReference"/>
          <w:sz w:val="24"/>
          <w:lang w:val="sv-SE"/>
        </w:rPr>
        <w:footnoteRef/>
      </w:r>
      <w:r w:rsidR="00945439" w:rsidRPr="00945439">
        <w:rPr>
          <w:sz w:val="24"/>
          <w:lang w:val="sv-SE"/>
        </w:rPr>
        <w:t xml:space="preserve"> </w:t>
      </w:r>
      <w:r w:rsidR="00945439" w:rsidRPr="00945439">
        <w:rPr>
          <w:sz w:val="24"/>
          <w:lang w:val="sv-SE"/>
        </w:rPr>
        <w:tab/>
      </w:r>
      <w:r w:rsidRPr="00945439">
        <w:rPr>
          <w:sz w:val="24"/>
          <w:lang w:val="sv-SE"/>
        </w:rPr>
        <w:t>”Stiftelsen Patrioter för Europa” från och med oktober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71D5" w14:textId="77777777" w:rsidR="00ED6F45" w:rsidRPr="00945439" w:rsidRDefault="00ED6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8F97" w14:textId="77777777" w:rsidR="00ED6F45" w:rsidRPr="00945439" w:rsidRDefault="00ED6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75752" w14:textId="77777777" w:rsidR="00ED6F45" w:rsidRPr="00945439" w:rsidRDefault="00ED6F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BDD9" w14:textId="77777777" w:rsidR="00064002" w:rsidRPr="0094543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C2D3" w14:textId="77777777" w:rsidR="00064002" w:rsidRPr="0094543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C14B" w14:textId="77777777" w:rsidR="00064002" w:rsidRPr="009454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8910065">
    <w:abstractNumId w:val="9"/>
  </w:num>
  <w:num w:numId="2" w16cid:durableId="1098453371">
    <w:abstractNumId w:val="9"/>
  </w:num>
  <w:num w:numId="3" w16cid:durableId="1407652653">
    <w:abstractNumId w:val="7"/>
  </w:num>
  <w:num w:numId="4" w16cid:durableId="1575434349">
    <w:abstractNumId w:val="7"/>
  </w:num>
  <w:num w:numId="5" w16cid:durableId="1190408203">
    <w:abstractNumId w:val="6"/>
  </w:num>
  <w:num w:numId="6" w16cid:durableId="2058701896">
    <w:abstractNumId w:val="6"/>
  </w:num>
  <w:num w:numId="7" w16cid:durableId="752943618">
    <w:abstractNumId w:val="5"/>
  </w:num>
  <w:num w:numId="8" w16cid:durableId="597954494">
    <w:abstractNumId w:val="5"/>
  </w:num>
  <w:num w:numId="9" w16cid:durableId="847788499">
    <w:abstractNumId w:val="4"/>
  </w:num>
  <w:num w:numId="10" w16cid:durableId="2056269525">
    <w:abstractNumId w:val="4"/>
  </w:num>
  <w:num w:numId="11" w16cid:durableId="339046015">
    <w:abstractNumId w:val="8"/>
  </w:num>
  <w:num w:numId="12" w16cid:durableId="1149634884">
    <w:abstractNumId w:val="8"/>
  </w:num>
  <w:num w:numId="13" w16cid:durableId="535893623">
    <w:abstractNumId w:val="3"/>
  </w:num>
  <w:num w:numId="14" w16cid:durableId="1937865509">
    <w:abstractNumId w:val="3"/>
  </w:num>
  <w:num w:numId="15" w16cid:durableId="861095682">
    <w:abstractNumId w:val="2"/>
  </w:num>
  <w:num w:numId="16" w16cid:durableId="614750750">
    <w:abstractNumId w:val="2"/>
  </w:num>
  <w:num w:numId="17" w16cid:durableId="1177043004">
    <w:abstractNumId w:val="1"/>
  </w:num>
  <w:num w:numId="18" w16cid:durableId="1856654974">
    <w:abstractNumId w:val="1"/>
  </w:num>
  <w:num w:numId="19" w16cid:durableId="1936480548">
    <w:abstractNumId w:val="0"/>
  </w:num>
  <w:num w:numId="20" w16cid:durableId="198593913">
    <w:abstractNumId w:val="0"/>
  </w:num>
  <w:num w:numId="21" w16cid:durableId="1750424143">
    <w:abstractNumId w:val="9"/>
  </w:num>
  <w:num w:numId="22" w16cid:durableId="1079909747">
    <w:abstractNumId w:val="7"/>
  </w:num>
  <w:num w:numId="23" w16cid:durableId="2142535462">
    <w:abstractNumId w:val="6"/>
  </w:num>
  <w:num w:numId="24" w16cid:durableId="631523263">
    <w:abstractNumId w:val="5"/>
  </w:num>
  <w:num w:numId="25" w16cid:durableId="1376352102">
    <w:abstractNumId w:val="4"/>
  </w:num>
  <w:num w:numId="26" w16cid:durableId="1769957489">
    <w:abstractNumId w:val="8"/>
  </w:num>
  <w:num w:numId="27" w16cid:durableId="699550271">
    <w:abstractNumId w:val="3"/>
  </w:num>
  <w:num w:numId="28" w16cid:durableId="1709063739">
    <w:abstractNumId w:val="2"/>
  </w:num>
  <w:num w:numId="29" w16cid:durableId="2062173997">
    <w:abstractNumId w:val="1"/>
  </w:num>
  <w:num w:numId="30" w16cid:durableId="1451047670">
    <w:abstractNumId w:val="0"/>
  </w:num>
  <w:num w:numId="31" w16cid:durableId="2057655037">
    <w:abstractNumId w:val="9"/>
  </w:num>
  <w:num w:numId="32" w16cid:durableId="1616328421">
    <w:abstractNumId w:val="7"/>
  </w:num>
  <w:num w:numId="33" w16cid:durableId="1591768676">
    <w:abstractNumId w:val="6"/>
  </w:num>
  <w:num w:numId="34" w16cid:durableId="1704011683">
    <w:abstractNumId w:val="5"/>
  </w:num>
  <w:num w:numId="35" w16cid:durableId="225184853">
    <w:abstractNumId w:val="4"/>
  </w:num>
  <w:num w:numId="36" w16cid:durableId="406271645">
    <w:abstractNumId w:val="8"/>
  </w:num>
  <w:num w:numId="37" w16cid:durableId="1288119174">
    <w:abstractNumId w:val="3"/>
  </w:num>
  <w:num w:numId="38" w16cid:durableId="1039278278">
    <w:abstractNumId w:val="2"/>
  </w:num>
  <w:num w:numId="39" w16cid:durableId="1971520538">
    <w:abstractNumId w:val="1"/>
  </w:num>
  <w:num w:numId="40" w16cid:durableId="284237040">
    <w:abstractNumId w:val="0"/>
  </w:num>
  <w:num w:numId="41" w16cid:durableId="1370765255">
    <w:abstractNumId w:val="10"/>
  </w:num>
  <w:num w:numId="42" w16cid:durableId="93794943">
    <w:abstractNumId w:val="10"/>
  </w:num>
  <w:num w:numId="43" w16cid:durableId="1053426481">
    <w:abstractNumId w:val="10"/>
  </w:num>
  <w:num w:numId="44" w16cid:durableId="4779146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SV"/>
    <w:docVar w:name="dvnumam" w:val="0"/>
    <w:docVar w:name="dvpe" w:val="776.734"/>
    <w:docVar w:name="dvrapporteur" w:val="Föredragande: "/>
    <w:docVar w:name="dvtitre" w:val="Europaparlamentets beslut av den xx xx 2026 om ansvarsfrihet för genomförandet av Europeiska unionens allmänna budget för budgetåret 2024, avsnitt I – Europaparlamentet(2025/2146(DEC))"/>
  </w:docVars>
  <w:rsids>
    <w:rsidRoot w:val="00CA25D3"/>
    <w:rsid w:val="00002272"/>
    <w:rsid w:val="00064002"/>
    <w:rsid w:val="000677B9"/>
    <w:rsid w:val="000831BA"/>
    <w:rsid w:val="000A42CC"/>
    <w:rsid w:val="000E4E9A"/>
    <w:rsid w:val="000E7DD9"/>
    <w:rsid w:val="0010095E"/>
    <w:rsid w:val="00125B37"/>
    <w:rsid w:val="0013079B"/>
    <w:rsid w:val="00187494"/>
    <w:rsid w:val="001F32AE"/>
    <w:rsid w:val="002767FF"/>
    <w:rsid w:val="002774EF"/>
    <w:rsid w:val="002B18FE"/>
    <w:rsid w:val="002B5493"/>
    <w:rsid w:val="00343214"/>
    <w:rsid w:val="00361C00"/>
    <w:rsid w:val="0037689E"/>
    <w:rsid w:val="00395FA1"/>
    <w:rsid w:val="003E15D4"/>
    <w:rsid w:val="00411CCE"/>
    <w:rsid w:val="0041666E"/>
    <w:rsid w:val="00421060"/>
    <w:rsid w:val="00450197"/>
    <w:rsid w:val="00471C19"/>
    <w:rsid w:val="004867E3"/>
    <w:rsid w:val="00494A28"/>
    <w:rsid w:val="004C0004"/>
    <w:rsid w:val="004C5D52"/>
    <w:rsid w:val="0050519A"/>
    <w:rsid w:val="005072A1"/>
    <w:rsid w:val="00514517"/>
    <w:rsid w:val="00545827"/>
    <w:rsid w:val="00560270"/>
    <w:rsid w:val="0058107C"/>
    <w:rsid w:val="005C2568"/>
    <w:rsid w:val="005F1B17"/>
    <w:rsid w:val="006037C0"/>
    <w:rsid w:val="0065762B"/>
    <w:rsid w:val="006631B6"/>
    <w:rsid w:val="00680577"/>
    <w:rsid w:val="0069266C"/>
    <w:rsid w:val="006F74FA"/>
    <w:rsid w:val="00703214"/>
    <w:rsid w:val="00731ADD"/>
    <w:rsid w:val="00734777"/>
    <w:rsid w:val="00747932"/>
    <w:rsid w:val="00751A4A"/>
    <w:rsid w:val="00756632"/>
    <w:rsid w:val="00762C74"/>
    <w:rsid w:val="00786EC0"/>
    <w:rsid w:val="007873AC"/>
    <w:rsid w:val="007A4337"/>
    <w:rsid w:val="007B5DB0"/>
    <w:rsid w:val="007D1690"/>
    <w:rsid w:val="007E22AD"/>
    <w:rsid w:val="00817416"/>
    <w:rsid w:val="00842779"/>
    <w:rsid w:val="00865F67"/>
    <w:rsid w:val="00881A7B"/>
    <w:rsid w:val="008840E5"/>
    <w:rsid w:val="00887B3E"/>
    <w:rsid w:val="008C2AC6"/>
    <w:rsid w:val="00922FFC"/>
    <w:rsid w:val="00930C23"/>
    <w:rsid w:val="0093193B"/>
    <w:rsid w:val="00945439"/>
    <w:rsid w:val="009509D8"/>
    <w:rsid w:val="00950B64"/>
    <w:rsid w:val="00981893"/>
    <w:rsid w:val="00A1687D"/>
    <w:rsid w:val="00A43E52"/>
    <w:rsid w:val="00A4678D"/>
    <w:rsid w:val="00A778C7"/>
    <w:rsid w:val="00A926A4"/>
    <w:rsid w:val="00AB441E"/>
    <w:rsid w:val="00AB6293"/>
    <w:rsid w:val="00AE0928"/>
    <w:rsid w:val="00AF3B82"/>
    <w:rsid w:val="00B12E95"/>
    <w:rsid w:val="00B22876"/>
    <w:rsid w:val="00B357FD"/>
    <w:rsid w:val="00B558F0"/>
    <w:rsid w:val="00BD48FE"/>
    <w:rsid w:val="00BD7BD8"/>
    <w:rsid w:val="00BE6ADC"/>
    <w:rsid w:val="00C05BFE"/>
    <w:rsid w:val="00C23CD4"/>
    <w:rsid w:val="00C61C0C"/>
    <w:rsid w:val="00C941CB"/>
    <w:rsid w:val="00CA25D3"/>
    <w:rsid w:val="00CC2357"/>
    <w:rsid w:val="00CF071A"/>
    <w:rsid w:val="00D058B8"/>
    <w:rsid w:val="00D20452"/>
    <w:rsid w:val="00D56C11"/>
    <w:rsid w:val="00D671BF"/>
    <w:rsid w:val="00D834A0"/>
    <w:rsid w:val="00D872DF"/>
    <w:rsid w:val="00D91E21"/>
    <w:rsid w:val="00DA7FCD"/>
    <w:rsid w:val="00E06ABA"/>
    <w:rsid w:val="00E21960"/>
    <w:rsid w:val="00E2643E"/>
    <w:rsid w:val="00E365E1"/>
    <w:rsid w:val="00E820A4"/>
    <w:rsid w:val="00EB006A"/>
    <w:rsid w:val="00EB4772"/>
    <w:rsid w:val="00ED169E"/>
    <w:rsid w:val="00ED4235"/>
    <w:rsid w:val="00ED49B2"/>
    <w:rsid w:val="00ED6F45"/>
    <w:rsid w:val="00F01BD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FEE7A"/>
  <w15:chartTrackingRefBased/>
  <w15:docId w15:val="{54FA4D3F-0B55-42A3-9946-95B67009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D6F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6F45"/>
    <w:pPr>
      <w:spacing w:before="480" w:after="240"/>
    </w:pPr>
  </w:style>
  <w:style w:type="paragraph" w:customStyle="1" w:styleId="PageHeading">
    <w:name w:val="PageHeading"/>
    <w:basedOn w:val="Normal"/>
    <w:rsid w:val="00ED6F45"/>
    <w:pPr>
      <w:keepNext/>
      <w:spacing w:after="480"/>
      <w:jc w:val="center"/>
    </w:pPr>
    <w:rPr>
      <w:rFonts w:ascii="Arial" w:hAnsi="Arial" w:cs="Arial"/>
      <w:b/>
    </w:rPr>
  </w:style>
  <w:style w:type="paragraph" w:customStyle="1" w:styleId="NormalBold">
    <w:name w:val="NormalBold"/>
    <w:basedOn w:val="Normal"/>
    <w:rsid w:val="00ED6F45"/>
    <w:rPr>
      <w:b/>
    </w:rPr>
  </w:style>
  <w:style w:type="paragraph" w:customStyle="1" w:styleId="NormalHanging12a">
    <w:name w:val="NormalHanging12a"/>
    <w:basedOn w:val="Normal"/>
    <w:link w:val="NormalHanging12aChar"/>
    <w:rsid w:val="00ED6F45"/>
    <w:pPr>
      <w:spacing w:after="240"/>
      <w:ind w:left="567" w:hanging="567"/>
    </w:pPr>
  </w:style>
  <w:style w:type="paragraph" w:customStyle="1" w:styleId="EPFooter">
    <w:name w:val="EPFooter"/>
    <w:basedOn w:val="Normal"/>
    <w:rsid w:val="00ED6F45"/>
    <w:pPr>
      <w:tabs>
        <w:tab w:val="center" w:pos="4535"/>
        <w:tab w:val="right" w:pos="9071"/>
      </w:tabs>
      <w:spacing w:before="240" w:after="240"/>
    </w:pPr>
    <w:rPr>
      <w:color w:val="010000"/>
      <w:sz w:val="22"/>
    </w:rPr>
  </w:style>
  <w:style w:type="paragraph" w:styleId="Header">
    <w:name w:val="header"/>
    <w:basedOn w:val="Normal"/>
    <w:link w:val="HeaderChar"/>
    <w:rsid w:val="00ED6F45"/>
    <w:pPr>
      <w:tabs>
        <w:tab w:val="center" w:pos="4513"/>
        <w:tab w:val="right" w:pos="9026"/>
      </w:tabs>
    </w:pPr>
  </w:style>
  <w:style w:type="character" w:customStyle="1" w:styleId="HeaderChar">
    <w:name w:val="Header Char"/>
    <w:basedOn w:val="DefaultParagraphFont"/>
    <w:link w:val="Header"/>
    <w:rsid w:val="00ED6F45"/>
    <w:rPr>
      <w:sz w:val="24"/>
      <w:lang w:val="sv-SE"/>
    </w:rPr>
  </w:style>
  <w:style w:type="character" w:styleId="Hyperlink">
    <w:name w:val="Hyperlink"/>
    <w:basedOn w:val="DefaultParagraphFont"/>
    <w:rsid w:val="00ED6F45"/>
    <w:rPr>
      <w:color w:val="0563C1" w:themeColor="hyperlink"/>
      <w:u w:val="single"/>
    </w:rPr>
  </w:style>
  <w:style w:type="character" w:customStyle="1" w:styleId="NormalHanging12aChar">
    <w:name w:val="NormalHanging12a Char"/>
    <w:basedOn w:val="DefaultParagraphFont"/>
    <w:link w:val="NormalHanging12a"/>
    <w:rsid w:val="00ED6F45"/>
    <w:rPr>
      <w:sz w:val="24"/>
      <w:lang w:val="sv-SE"/>
    </w:rPr>
  </w:style>
  <w:style w:type="paragraph" w:customStyle="1" w:styleId="Normal12a">
    <w:name w:val="Normal12a"/>
    <w:basedOn w:val="Normal"/>
    <w:rsid w:val="00ED6F45"/>
    <w:pPr>
      <w:spacing w:after="240"/>
    </w:pPr>
  </w:style>
  <w:style w:type="paragraph" w:customStyle="1" w:styleId="PageHeadingNotTOC">
    <w:name w:val="PageHeadingNotTOC"/>
    <w:basedOn w:val="Normal"/>
    <w:rsid w:val="00ED6F45"/>
    <w:pPr>
      <w:keepNext/>
      <w:spacing w:after="480"/>
      <w:jc w:val="center"/>
    </w:pPr>
    <w:rPr>
      <w:rFonts w:ascii="Arial" w:hAnsi="Arial" w:cs="Arial"/>
      <w:b/>
    </w:rPr>
  </w:style>
  <w:style w:type="paragraph" w:customStyle="1" w:styleId="Normal24a">
    <w:name w:val="Normal24a"/>
    <w:basedOn w:val="Normal"/>
    <w:rsid w:val="00ED6F45"/>
    <w:pPr>
      <w:spacing w:after="480"/>
    </w:pPr>
    <w:rPr>
      <w:szCs w:val="24"/>
    </w:rPr>
  </w:style>
  <w:style w:type="paragraph" w:customStyle="1" w:styleId="Footprint12b">
    <w:name w:val="Footprint12b"/>
    <w:basedOn w:val="Normal"/>
    <w:rsid w:val="00ED6F45"/>
    <w:pPr>
      <w:spacing w:before="240"/>
    </w:pPr>
    <w:rPr>
      <w:szCs w:val="24"/>
    </w:rPr>
  </w:style>
  <w:style w:type="paragraph" w:styleId="Revision">
    <w:name w:val="Revision"/>
    <w:hidden/>
    <w:uiPriority w:val="99"/>
    <w:semiHidden/>
    <w:rsid w:val="00B357FD"/>
    <w:rPr>
      <w:sz w:val="24"/>
      <w:lang w:val="sv-SE"/>
    </w:rPr>
  </w:style>
  <w:style w:type="character" w:styleId="CommentReference">
    <w:name w:val="annotation reference"/>
    <w:basedOn w:val="DefaultParagraphFont"/>
    <w:rsid w:val="00B357FD"/>
    <w:rPr>
      <w:sz w:val="16"/>
      <w:szCs w:val="16"/>
    </w:rPr>
  </w:style>
  <w:style w:type="paragraph" w:styleId="CommentText">
    <w:name w:val="annotation text"/>
    <w:basedOn w:val="Normal"/>
    <w:link w:val="CommentTextChar"/>
    <w:rsid w:val="00B357FD"/>
    <w:rPr>
      <w:sz w:val="20"/>
    </w:rPr>
  </w:style>
  <w:style w:type="character" w:customStyle="1" w:styleId="CommentTextChar">
    <w:name w:val="Comment Text Char"/>
    <w:basedOn w:val="DefaultParagraphFont"/>
    <w:link w:val="CommentText"/>
    <w:rsid w:val="00B357FD"/>
    <w:rPr>
      <w:lang w:val="sv-SE"/>
    </w:rPr>
  </w:style>
  <w:style w:type="paragraph" w:styleId="CommentSubject">
    <w:name w:val="annotation subject"/>
    <w:basedOn w:val="CommentText"/>
    <w:next w:val="CommentText"/>
    <w:link w:val="CommentSubjectChar"/>
    <w:rsid w:val="00B357FD"/>
    <w:rPr>
      <w:b/>
      <w:bCs/>
    </w:rPr>
  </w:style>
  <w:style w:type="character" w:customStyle="1" w:styleId="CommentSubjectChar">
    <w:name w:val="Comment Subject Char"/>
    <w:basedOn w:val="CommentTextChar"/>
    <w:link w:val="CommentSubject"/>
    <w:rsid w:val="00B357F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13323</Words>
  <Characters>88915</Characters>
  <Application>Microsoft Office Word</Application>
  <DocSecurity>0</DocSecurity>
  <Lines>740</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2026-05-05T08:22:00Z</dcterms:created>
  <dcterms:modified xsi:type="dcterms:W3CDTF">2026-05-05T08:22:00Z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P10_TA(2026)0126_</vt:lpwstr>
  </property>
  <property fmtid="{D5CDD505-2E9C-101B-9397-08002B2CF9AE}" pid="4" name="&lt;Type&gt;">
    <vt:lpwstr>RR</vt:lpwstr>
  </property>
</Properties>
</file>