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1152" w14:paraId="0CA89CFA" w14:textId="77777777" w:rsidTr="0010095E">
        <w:trPr>
          <w:trHeight w:hRule="exact" w:val="1418"/>
        </w:trPr>
        <w:tc>
          <w:tcPr>
            <w:tcW w:w="6804" w:type="dxa"/>
            <w:shd w:val="clear" w:color="auto" w:fill="auto"/>
            <w:vAlign w:val="center"/>
          </w:tcPr>
          <w:p w14:paraId="78191FC1" w14:textId="77777777" w:rsidR="00751A4A" w:rsidRPr="00D31152" w:rsidRDefault="00C746D5" w:rsidP="0010095E">
            <w:pPr>
              <w:pStyle w:val="EPName"/>
            </w:pPr>
            <w:r w:rsidRPr="00D31152">
              <w:t>Evropský parlament</w:t>
            </w:r>
          </w:p>
          <w:p w14:paraId="76E4213A" w14:textId="77777777" w:rsidR="00751A4A" w:rsidRPr="00D31152" w:rsidRDefault="005F1B17" w:rsidP="005F1B17">
            <w:pPr>
              <w:pStyle w:val="EPTerm"/>
              <w:rPr>
                <w:rStyle w:val="HideTWBExt"/>
                <w:noProof w:val="0"/>
                <w:vanish w:val="0"/>
                <w:color w:val="auto"/>
              </w:rPr>
            </w:pPr>
            <w:r w:rsidRPr="00D31152">
              <w:t>2024</w:t>
            </w:r>
            <w:r w:rsidR="00817416" w:rsidRPr="00D31152">
              <w:t>-202</w:t>
            </w:r>
            <w:r w:rsidRPr="00D31152">
              <w:t>9</w:t>
            </w:r>
          </w:p>
        </w:tc>
        <w:tc>
          <w:tcPr>
            <w:tcW w:w="2268" w:type="dxa"/>
            <w:shd w:val="clear" w:color="auto" w:fill="auto"/>
          </w:tcPr>
          <w:p w14:paraId="28DBA07D" w14:textId="77777777" w:rsidR="00751A4A" w:rsidRPr="00D31152" w:rsidRDefault="00187494" w:rsidP="0010095E">
            <w:pPr>
              <w:pStyle w:val="EPLogo"/>
            </w:pPr>
            <w:r w:rsidRPr="00D31152">
              <w:rPr>
                <w:noProof/>
                <w:lang w:eastAsia="ja-JP"/>
              </w:rPr>
              <w:drawing>
                <wp:inline distT="0" distB="0" distL="0" distR="0" wp14:anchorId="17BCA6C6" wp14:editId="3B56B4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9AD3D3" w14:textId="77777777" w:rsidR="00D058B8" w:rsidRPr="00D31152" w:rsidRDefault="00D058B8" w:rsidP="004C5D52">
      <w:pPr>
        <w:pStyle w:val="LineTop"/>
      </w:pPr>
    </w:p>
    <w:p w14:paraId="3DBD178D" w14:textId="77777777" w:rsidR="00680577" w:rsidRPr="00D31152" w:rsidRDefault="00C746D5" w:rsidP="00680577">
      <w:pPr>
        <w:pStyle w:val="EPBodyTA1"/>
      </w:pPr>
      <w:r w:rsidRPr="00D31152">
        <w:t>PŘIJATÉ TEXTY</w:t>
      </w:r>
    </w:p>
    <w:p w14:paraId="1A3D4428" w14:textId="77777777" w:rsidR="00D058B8" w:rsidRPr="00D31152" w:rsidRDefault="00D058B8" w:rsidP="00D058B8">
      <w:pPr>
        <w:pStyle w:val="LineBottom"/>
      </w:pPr>
    </w:p>
    <w:p w14:paraId="3B6C7465" w14:textId="3E700EC6" w:rsidR="00C746D5" w:rsidRPr="00D31152" w:rsidRDefault="00C746D5" w:rsidP="00C746D5">
      <w:pPr>
        <w:pStyle w:val="ATHeading1"/>
      </w:pPr>
      <w:bookmarkStart w:id="0" w:name="TANumber"/>
      <w:r w:rsidRPr="00D31152">
        <w:t>P10_</w:t>
      </w:r>
      <w:proofErr w:type="gramStart"/>
      <w:r w:rsidRPr="00D31152">
        <w:t>TA(</w:t>
      </w:r>
      <w:proofErr w:type="gramEnd"/>
      <w:r w:rsidRPr="00D31152">
        <w:t>2026)0</w:t>
      </w:r>
      <w:r w:rsidR="00FE6565">
        <w:t>127</w:t>
      </w:r>
      <w:bookmarkEnd w:id="0"/>
    </w:p>
    <w:p w14:paraId="4ABA1391" w14:textId="0E3A3FF5" w:rsidR="00C746D5" w:rsidRPr="00A60723" w:rsidRDefault="00A60723" w:rsidP="00C746D5">
      <w:pPr>
        <w:pStyle w:val="ATHeading2"/>
      </w:pPr>
      <w:r w:rsidRPr="00A60723">
        <w:t>Udělení absolutoria za rok 2024: souhrnný rozpočet EU – Evropská rada a Rada</w:t>
      </w:r>
    </w:p>
    <w:p w14:paraId="5F8D8973" w14:textId="77777777" w:rsidR="00C746D5" w:rsidRPr="00D31152" w:rsidRDefault="00C746D5" w:rsidP="00C746D5">
      <w:pPr>
        <w:rPr>
          <w:i/>
          <w:vanish/>
        </w:rPr>
      </w:pPr>
      <w:r w:rsidRPr="00D31152">
        <w:rPr>
          <w:i/>
        </w:rPr>
        <w:fldChar w:fldCharType="begin"/>
      </w:r>
      <w:r w:rsidRPr="00D31152">
        <w:rPr>
          <w:i/>
        </w:rPr>
        <w:instrText xml:space="preserve"> TC"(</w:instrText>
      </w:r>
      <w:bookmarkStart w:id="1" w:name="DocNumber"/>
      <w:r w:rsidRPr="00D31152">
        <w:rPr>
          <w:i/>
        </w:rPr>
        <w:instrText>A10-0051/2026</w:instrText>
      </w:r>
      <w:bookmarkEnd w:id="1"/>
      <w:r w:rsidRPr="00D31152">
        <w:rPr>
          <w:i/>
        </w:rPr>
        <w:instrText xml:space="preserve"> - Zpravodaj: </w:instrText>
      </w:r>
      <w:proofErr w:type="spellStart"/>
      <w:r w:rsidRPr="00D31152">
        <w:rPr>
          <w:i/>
        </w:rPr>
        <w:instrText>Pasquale</w:instrText>
      </w:r>
      <w:proofErr w:type="spellEnd"/>
      <w:r w:rsidRPr="00D31152">
        <w:rPr>
          <w:i/>
        </w:rPr>
        <w:instrText xml:space="preserve"> </w:instrText>
      </w:r>
      <w:proofErr w:type="spellStart"/>
      <w:r w:rsidRPr="00D31152">
        <w:rPr>
          <w:i/>
        </w:rPr>
        <w:instrText>Tridico</w:instrText>
      </w:r>
      <w:proofErr w:type="spellEnd"/>
      <w:r w:rsidRPr="00D31152">
        <w:rPr>
          <w:i/>
        </w:rPr>
        <w:instrText xml:space="preserve">)"\l3 \n&gt; \* MERGEFORMAT </w:instrText>
      </w:r>
      <w:r w:rsidRPr="00D31152">
        <w:rPr>
          <w:i/>
        </w:rPr>
        <w:fldChar w:fldCharType="end"/>
      </w:r>
    </w:p>
    <w:p w14:paraId="53DEF092" w14:textId="77777777" w:rsidR="00C746D5" w:rsidRPr="00D31152" w:rsidRDefault="00C746D5" w:rsidP="00C746D5">
      <w:pPr>
        <w:rPr>
          <w:vanish/>
        </w:rPr>
      </w:pPr>
      <w:bookmarkStart w:id="2" w:name="Commission"/>
      <w:r w:rsidRPr="00D31152">
        <w:rPr>
          <w:vanish/>
        </w:rPr>
        <w:t>Výbor pro rozpočtovou kontrolu</w:t>
      </w:r>
      <w:bookmarkEnd w:id="2"/>
    </w:p>
    <w:p w14:paraId="2ABFEB2E" w14:textId="77777777" w:rsidR="00C746D5" w:rsidRPr="00D31152" w:rsidRDefault="00C746D5" w:rsidP="00C746D5">
      <w:pPr>
        <w:rPr>
          <w:vanish/>
        </w:rPr>
      </w:pPr>
      <w:bookmarkStart w:id="3" w:name="PE"/>
      <w:r w:rsidRPr="00D31152">
        <w:rPr>
          <w:vanish/>
        </w:rPr>
        <w:t>PE778.049</w:t>
      </w:r>
      <w:bookmarkEnd w:id="3"/>
    </w:p>
    <w:p w14:paraId="1FAE0AE5" w14:textId="04DFA418" w:rsidR="00C746D5" w:rsidRPr="00D31152" w:rsidRDefault="00611444" w:rsidP="00C746D5">
      <w:pPr>
        <w:pStyle w:val="ATHeading3"/>
      </w:pPr>
      <w:bookmarkStart w:id="4" w:name="Sujet"/>
      <w:r>
        <w:t xml:space="preserve">1. </w:t>
      </w:r>
      <w:r w:rsidR="00C746D5" w:rsidRPr="00D31152">
        <w:t>Rozhodnutí Evropského parlamentu ze dne</w:t>
      </w:r>
      <w:r w:rsidR="00A60723">
        <w:t xml:space="preserve"> </w:t>
      </w:r>
      <w:r>
        <w:t>29</w:t>
      </w:r>
      <w:r w:rsidR="00A60723">
        <w:t>. dubna</w:t>
      </w:r>
      <w:r w:rsidR="00C746D5" w:rsidRPr="00D31152">
        <w:t xml:space="preserve"> 2026 o udělení absolutoria za plnění souhrnného rozpočtu Evropské unie na rozpočtový rok 2024, oddíl II – Evropská rada a Rada</w:t>
      </w:r>
      <w:bookmarkEnd w:id="4"/>
      <w:r w:rsidR="00C746D5" w:rsidRPr="00D31152">
        <w:t xml:space="preserve"> </w:t>
      </w:r>
      <w:bookmarkStart w:id="5" w:name="References"/>
      <w:r w:rsidR="00C746D5" w:rsidRPr="00D31152">
        <w:t>(2025/2147(DEC))</w:t>
      </w:r>
      <w:bookmarkEnd w:id="5"/>
    </w:p>
    <w:p w14:paraId="21EE0F10" w14:textId="77777777" w:rsidR="00E1334D" w:rsidRPr="00D31152" w:rsidRDefault="00E1334D" w:rsidP="00E1334D">
      <w:pPr>
        <w:pStyle w:val="EPComma"/>
      </w:pPr>
      <w:bookmarkStart w:id="6" w:name="TextBodyBegin"/>
      <w:bookmarkEnd w:id="6"/>
      <w:r w:rsidRPr="00D31152">
        <w:rPr>
          <w:i/>
        </w:rPr>
        <w:t>Evropský parlament</w:t>
      </w:r>
      <w:r w:rsidRPr="00D31152">
        <w:t>,</w:t>
      </w:r>
    </w:p>
    <w:p w14:paraId="44C48E29" w14:textId="77777777" w:rsidR="00E1334D" w:rsidRPr="00D31152" w:rsidRDefault="00E1334D" w:rsidP="00E1334D">
      <w:pPr>
        <w:pStyle w:val="NormalHanging12a"/>
      </w:pPr>
      <w:r w:rsidRPr="00D31152">
        <w:t>–</w:t>
      </w:r>
      <w:r w:rsidRPr="00D31152">
        <w:tab/>
        <w:t>s ohledem na souhrnný rozpočet Evropské unie na rozpočtový rok 2024</w:t>
      </w:r>
      <w:r w:rsidRPr="00D31152">
        <w:rPr>
          <w:rStyle w:val="FootnoteReference"/>
        </w:rPr>
        <w:footnoteReference w:id="1"/>
      </w:r>
      <w:r w:rsidRPr="00D31152">
        <w:t>,</w:t>
      </w:r>
    </w:p>
    <w:p w14:paraId="438EA152" w14:textId="77777777" w:rsidR="00E1334D" w:rsidRPr="00D31152" w:rsidRDefault="00E1334D" w:rsidP="00E1334D">
      <w:pPr>
        <w:pStyle w:val="NormalHanging12a"/>
      </w:pPr>
      <w:r w:rsidRPr="00D31152">
        <w:t>–</w:t>
      </w:r>
      <w:r w:rsidRPr="00D31152">
        <w:tab/>
        <w:t>s ohledem na konsolidovanou roční účetní závěrku Evropské unie za rozpočtový rok 2024 (</w:t>
      </w:r>
      <w:proofErr w:type="gramStart"/>
      <w:r w:rsidRPr="00D31152">
        <w:t>COM(</w:t>
      </w:r>
      <w:proofErr w:type="gramEnd"/>
      <w:r w:rsidRPr="00D31152">
        <w:t>2025)0359 – C10</w:t>
      </w:r>
      <w:r w:rsidRPr="00D31152">
        <w:noBreakHyphen/>
        <w:t>0147/2025)</w:t>
      </w:r>
      <w:r w:rsidRPr="00D31152">
        <w:rPr>
          <w:rStyle w:val="FootnoteReference"/>
        </w:rPr>
        <w:footnoteReference w:id="2"/>
      </w:r>
      <w:r w:rsidRPr="00D31152">
        <w:t>,</w:t>
      </w:r>
    </w:p>
    <w:p w14:paraId="51CFAC3E" w14:textId="77777777" w:rsidR="00E1334D" w:rsidRPr="00D31152" w:rsidRDefault="00E1334D" w:rsidP="00E1334D">
      <w:pPr>
        <w:pStyle w:val="NormalHanging12a"/>
      </w:pPr>
      <w:r w:rsidRPr="00D31152">
        <w:t>–</w:t>
      </w:r>
      <w:r w:rsidRPr="00D31152">
        <w:tab/>
        <w:t>s ohledem na výroční zprávu Rady předkládanou orgánu příslušnému k udělení absolutoria o provedených interních auditech v roce 2024,</w:t>
      </w:r>
    </w:p>
    <w:p w14:paraId="270F9E1E" w14:textId="77777777" w:rsidR="00E1334D" w:rsidRPr="00D31152" w:rsidRDefault="00E1334D" w:rsidP="00E1334D">
      <w:pPr>
        <w:pStyle w:val="NormalHanging12a"/>
      </w:pPr>
      <w:r w:rsidRPr="00D31152">
        <w:t>–</w:t>
      </w:r>
      <w:r w:rsidRPr="00D31152">
        <w:tab/>
        <w:t>s ohledem na výroční zprávu Účetního dvora o plnění rozpočtu na rozpočtový rok 2024, spolu s odpověďmi orgánů</w:t>
      </w:r>
      <w:r w:rsidRPr="00D31152">
        <w:rPr>
          <w:rStyle w:val="FootnoteReference"/>
        </w:rPr>
        <w:footnoteReference w:id="3"/>
      </w:r>
      <w:r w:rsidRPr="00D31152">
        <w:t>,</w:t>
      </w:r>
    </w:p>
    <w:p w14:paraId="1D31A557" w14:textId="77777777" w:rsidR="00E1334D" w:rsidRPr="00D31152" w:rsidRDefault="00E1334D" w:rsidP="00E1334D">
      <w:pPr>
        <w:pStyle w:val="NormalHanging12a"/>
      </w:pPr>
      <w:r w:rsidRPr="00D31152">
        <w:t>–</w:t>
      </w:r>
      <w:r w:rsidRPr="00D31152">
        <w:tab/>
        <w:t>s ohledem na prohlášení o věrohodnosti</w:t>
      </w:r>
      <w:r w:rsidRPr="00D31152">
        <w:rPr>
          <w:rStyle w:val="FootnoteReference"/>
        </w:rPr>
        <w:footnoteReference w:id="4"/>
      </w:r>
      <w:r w:rsidRPr="00D31152">
        <w:t xml:space="preserve"> účetnictví a o legalitě a správnosti uskutečněných operací, které předložil Účetní dvůr za rozpočtový rok 2024 podle článku 287 Smlouvy o fungování Evropské unie,</w:t>
      </w:r>
    </w:p>
    <w:p w14:paraId="14A0B62D" w14:textId="77777777" w:rsidR="00E1334D" w:rsidRPr="00D31152" w:rsidRDefault="00E1334D" w:rsidP="00E1334D">
      <w:pPr>
        <w:pStyle w:val="NormalHanging12a"/>
      </w:pPr>
      <w:r w:rsidRPr="00D31152">
        <w:t>–</w:t>
      </w:r>
      <w:r w:rsidRPr="00D31152">
        <w:tab/>
        <w:t>s ohledem na čl. 314 odst. 10 a články 317, 318 a 319 Smlouvy o fungování Evropské unie,</w:t>
      </w:r>
    </w:p>
    <w:p w14:paraId="74799F55" w14:textId="0CBAD941" w:rsidR="00E1334D" w:rsidRPr="00D31152" w:rsidRDefault="00E1334D" w:rsidP="00E1334D">
      <w:pPr>
        <w:pStyle w:val="NormalHanging12a"/>
      </w:pPr>
      <w:r w:rsidRPr="00D31152">
        <w:t>–</w:t>
      </w:r>
      <w:r w:rsidRPr="00D31152">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w:t>
      </w:r>
      <w:r w:rsidRPr="00D31152">
        <w:lastRenderedPageBreak/>
        <w:t>č. 966/2012</w:t>
      </w:r>
      <w:r w:rsidRPr="00D31152">
        <w:rPr>
          <w:rStyle w:val="FootnoteReference"/>
        </w:rPr>
        <w:footnoteReference w:id="5"/>
      </w:r>
      <w:r w:rsidRPr="00D31152">
        <w:t>, a zejména na články 59, 118, 260, 261 a 262 tohoto nařízení,</w:t>
      </w:r>
    </w:p>
    <w:p w14:paraId="78E2688D" w14:textId="77777777" w:rsidR="00E1334D" w:rsidRPr="00D31152" w:rsidRDefault="00E1334D" w:rsidP="00E1334D">
      <w:pPr>
        <w:pStyle w:val="NormalHanging12a"/>
      </w:pPr>
      <w:r w:rsidRPr="00D31152">
        <w:t>–</w:t>
      </w:r>
      <w:r w:rsidRPr="00D31152">
        <w:tab/>
        <w:t>s ohledem na nařízení Evropského parlamentu a Rady (EU, Euratom) 2024/2509 ze dne 23. září 2024, kterým se stanoví finanční pravidla pro souhrnný rozpočet Unie</w:t>
      </w:r>
      <w:r w:rsidRPr="00D31152">
        <w:rPr>
          <w:rStyle w:val="FootnoteReference"/>
        </w:rPr>
        <w:footnoteReference w:id="6"/>
      </w:r>
      <w:r w:rsidRPr="00D31152">
        <w:t>, a zejména na články 59, 118, 266, 267 a 268 tohoto nařízení,</w:t>
      </w:r>
    </w:p>
    <w:p w14:paraId="20D1DFFC" w14:textId="77777777" w:rsidR="00E1334D" w:rsidRPr="00D31152" w:rsidRDefault="00E1334D" w:rsidP="00E1334D">
      <w:pPr>
        <w:pStyle w:val="NormalHanging12a"/>
      </w:pPr>
      <w:r w:rsidRPr="00D31152">
        <w:t>–</w:t>
      </w:r>
      <w:r w:rsidRPr="00D31152">
        <w:tab/>
        <w:t>s ohledem na článek 102 a přílohu V jednacího řádu,</w:t>
      </w:r>
    </w:p>
    <w:p w14:paraId="2E8A9CA4" w14:textId="77777777" w:rsidR="00E1334D" w:rsidRPr="00D31152" w:rsidRDefault="00E1334D" w:rsidP="00E1334D">
      <w:pPr>
        <w:pStyle w:val="NormalHanging12a"/>
      </w:pPr>
      <w:r w:rsidRPr="00D31152">
        <w:t>–</w:t>
      </w:r>
      <w:r w:rsidRPr="00D31152">
        <w:tab/>
        <w:t>s ohledem na zprávu Výboru pro rozpočtovou kontrolu (A10</w:t>
      </w:r>
      <w:r w:rsidRPr="00D31152">
        <w:noBreakHyphen/>
        <w:t>0051/2026),</w:t>
      </w:r>
    </w:p>
    <w:p w14:paraId="16A80E1B" w14:textId="77777777" w:rsidR="00E1334D" w:rsidRPr="00D31152" w:rsidRDefault="00E1334D" w:rsidP="00E1334D">
      <w:pPr>
        <w:pStyle w:val="NormalHanging12a"/>
      </w:pPr>
      <w:bookmarkStart w:id="7" w:name="_Hlk216800694"/>
      <w:r w:rsidRPr="00D31152">
        <w:t>1.</w:t>
      </w:r>
      <w:r w:rsidRPr="00D31152">
        <w:tab/>
        <w:t>odkládá rozhodnutí o udělení absolutoria generální tajemnici Rady za plnění rozpočtu Evropské rady a Rady na rozpočtový rok 2024;</w:t>
      </w:r>
    </w:p>
    <w:bookmarkEnd w:id="7"/>
    <w:p w14:paraId="4831E312" w14:textId="77777777" w:rsidR="00E1334D" w:rsidRPr="00D31152" w:rsidRDefault="00E1334D" w:rsidP="00E1334D">
      <w:pPr>
        <w:pStyle w:val="NormalHanging12a"/>
      </w:pPr>
      <w:r w:rsidRPr="00D31152">
        <w:t>2.</w:t>
      </w:r>
      <w:r w:rsidRPr="00D31152">
        <w:tab/>
        <w:t>předkládá své připomínky v níže uvedeném usnesení;</w:t>
      </w:r>
    </w:p>
    <w:p w14:paraId="3CE10B65" w14:textId="77777777" w:rsidR="00E1334D" w:rsidRPr="00D31152" w:rsidRDefault="00E1334D" w:rsidP="00E1334D">
      <w:pPr>
        <w:pStyle w:val="NormalHanging12a"/>
      </w:pPr>
      <w:r w:rsidRPr="00D31152">
        <w:t>3.</w:t>
      </w:r>
      <w:r w:rsidRPr="00D31152">
        <w:tab/>
        <w:t>pověřuje svou předsedkyni, aby předala toto rozhodnutí a usnesení, které je jeho nedílnou součástí, Evropské radě, Radě, Komisi a Účetnímu dvoru a aby zajistila jejich zveřejnění v </w:t>
      </w:r>
      <w:r w:rsidRPr="00D31152">
        <w:rPr>
          <w:i/>
        </w:rPr>
        <w:t>Úředním věstníku Evropské unie</w:t>
      </w:r>
      <w:r w:rsidRPr="00D31152">
        <w:t xml:space="preserve"> (řada L).</w:t>
      </w:r>
    </w:p>
    <w:p w14:paraId="207F0413" w14:textId="77777777" w:rsidR="00E1334D" w:rsidRPr="00D31152" w:rsidRDefault="00E1334D" w:rsidP="00E1334D">
      <w:pPr>
        <w:pStyle w:val="PageHeading"/>
        <w:sectPr w:rsidR="00E1334D" w:rsidRPr="00D31152" w:rsidSect="00D3115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A38ACA" w14:textId="2150B639" w:rsidR="00536BE2" w:rsidRDefault="00536BE2" w:rsidP="00536BE2">
      <w:pPr>
        <w:pStyle w:val="ATHeading3"/>
      </w:pPr>
      <w:r>
        <w:lastRenderedPageBreak/>
        <w:t>2. Usnesení Evropského parlamentu ze dne 29. dubna 2026 obsahující připomínky, které jsou nedílnou součástí rozhodnutí o udělení absolutoria za plnění souhrnného rozpočtu Evropské unie na rozpočtový rok 2024, oddíl II – Evropská rada a Rada (2025/2147(DEC))</w:t>
      </w:r>
    </w:p>
    <w:p w14:paraId="27D348CC" w14:textId="77777777" w:rsidR="00E1334D" w:rsidRPr="00D31152" w:rsidRDefault="00E1334D" w:rsidP="00E1334D">
      <w:pPr>
        <w:pStyle w:val="EPComma"/>
      </w:pPr>
      <w:r w:rsidRPr="00D31152">
        <w:rPr>
          <w:i/>
        </w:rPr>
        <w:t>Evropský parlament</w:t>
      </w:r>
      <w:r w:rsidRPr="00D31152">
        <w:t>,</w:t>
      </w:r>
    </w:p>
    <w:p w14:paraId="6F9C7D3E" w14:textId="77777777" w:rsidR="00E1334D" w:rsidRPr="00D31152" w:rsidRDefault="00E1334D" w:rsidP="00E1334D">
      <w:pPr>
        <w:pStyle w:val="NormalHanging12a"/>
      </w:pPr>
      <w:r w:rsidRPr="00D31152">
        <w:t>–</w:t>
      </w:r>
      <w:r w:rsidRPr="00D31152">
        <w:tab/>
        <w:t>s ohledem na své rozhodnutí o udělení absolutoria za plnění souhrnného rozpočtu Evropské unie na rozpočtový rok 2024, oddíl II – Evropská rada a Rada,</w:t>
      </w:r>
    </w:p>
    <w:p w14:paraId="617DAA22" w14:textId="77777777" w:rsidR="00E1334D" w:rsidRPr="00D31152" w:rsidRDefault="00E1334D" w:rsidP="00E1334D">
      <w:pPr>
        <w:pStyle w:val="NormalHanging12a"/>
      </w:pPr>
      <w:r w:rsidRPr="00D31152">
        <w:t>–</w:t>
      </w:r>
      <w:r w:rsidRPr="00D31152">
        <w:tab/>
        <w:t>s ohledem na článek 102 a přílohu V jednacího řádu,</w:t>
      </w:r>
    </w:p>
    <w:p w14:paraId="2CF4C8DF" w14:textId="77777777" w:rsidR="00E1334D" w:rsidRPr="00D31152" w:rsidRDefault="00E1334D" w:rsidP="00E1334D">
      <w:pPr>
        <w:pStyle w:val="NormalHanging12a"/>
      </w:pPr>
      <w:r w:rsidRPr="00D31152">
        <w:t>–</w:t>
      </w:r>
      <w:r w:rsidRPr="00D31152">
        <w:tab/>
        <w:t>s ohledem na zprávu Výboru pro rozpočtovou kontrolu (A10-0051/2026),</w:t>
      </w:r>
    </w:p>
    <w:p w14:paraId="45CAE9C7" w14:textId="77777777" w:rsidR="00E1334D" w:rsidRPr="00D31152" w:rsidRDefault="00E1334D" w:rsidP="00E1334D">
      <w:pPr>
        <w:pStyle w:val="NormalHanging12a"/>
        <w:rPr>
          <w:bCs/>
          <w:iCs/>
        </w:rPr>
      </w:pPr>
      <w:r w:rsidRPr="00D31152">
        <w:t>A.</w:t>
      </w:r>
      <w:r w:rsidRPr="00D31152">
        <w:tab/>
        <w:t>vzhledem k tomu, že demokratická legitimita orgánů Unie vyplývá především z přísného dodržování Smluv, které stanoví institucionální rovnováhu a jasné rozdělení pravomocí; vzhledem k tomu, že transparentnost, odpovědnost a řádné finanční řízení jsou základními povinnostmi všech orgánů, institucí a jiných subjektů Unie při vynakládání peněz daňových poplatníků; 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koncepce sestavování rozpočtu podle výkonnosti a řádným řízením lidských zdrojů;</w:t>
      </w:r>
    </w:p>
    <w:p w14:paraId="14775E2C" w14:textId="77777777" w:rsidR="00E1334D" w:rsidRPr="00D31152" w:rsidRDefault="00E1334D" w:rsidP="00E1334D">
      <w:pPr>
        <w:pStyle w:val="NormalHanging12a"/>
      </w:pPr>
      <w:r w:rsidRPr="00D31152">
        <w:t>B.</w:t>
      </w:r>
      <w:r w:rsidRPr="00D31152">
        <w:tab/>
        <w:t>vzhledem k tomu, že Parlament má v souladu s článkem 319 Smlouvy o fungování Evropské unie (dále jen „Smlouva o fungování EU“) výhradní odpovědnost za udělování absolutoria za plnění souhrnného rozpočtu Unie, a vzhledem k tomu, že rozpočet Evropské rady a Rady je jedním z oddílů rozpočtu Unie, a proto je právně vázán Smlouvami a finančním nařízením, aby se zajistila transparentnost, odpovědnost a řádné finanční řízení bez ohledu na jeho mezivládní povahu;</w:t>
      </w:r>
    </w:p>
    <w:p w14:paraId="42648085" w14:textId="77777777" w:rsidR="00E1334D" w:rsidRPr="00D31152" w:rsidRDefault="00E1334D" w:rsidP="00E1334D">
      <w:pPr>
        <w:pStyle w:val="NormalHanging12a"/>
      </w:pPr>
      <w:r w:rsidRPr="00D31152">
        <w:t>C.</w:t>
      </w:r>
      <w:r w:rsidRPr="00D31152">
        <w:tab/>
        <w:t>vzhledem k tomu, že podle čl. 15 odst. 1 Smlouvy o Evropské unii nevykonává Evropská rada legislativní funkci;</w:t>
      </w:r>
    </w:p>
    <w:p w14:paraId="24A3538C" w14:textId="77777777" w:rsidR="00E1334D" w:rsidRPr="00D31152" w:rsidRDefault="00E1334D" w:rsidP="00E1334D">
      <w:pPr>
        <w:pStyle w:val="NormalHanging12a"/>
      </w:pPr>
      <w:r w:rsidRPr="00D31152">
        <w:t>D.</w:t>
      </w:r>
      <w:r w:rsidRPr="00D31152">
        <w:tab/>
        <w:t>vzhledem k tomu, že podle článku 317 Smlouvy o fungování EU plní Komise rozpočet Unie na vlastní odpovědnost a v souladu se zásadami řádného finančního řízení, a vzhledem k tomu, že v souladu s platným rámcem přiznává Komise ostatním orgánům Unie pravomoci potřebné k plnění těch oddílů rozpočtu, které se jich týkají;</w:t>
      </w:r>
    </w:p>
    <w:p w14:paraId="28C8E48C" w14:textId="77777777" w:rsidR="00E1334D" w:rsidRPr="00D31152" w:rsidRDefault="00E1334D" w:rsidP="00E1334D">
      <w:pPr>
        <w:pStyle w:val="NormalHanging12a"/>
      </w:pPr>
      <w:r w:rsidRPr="00D31152">
        <w:t>E.</w:t>
      </w:r>
      <w:r w:rsidRPr="00D31152">
        <w:tab/>
        <w:t>vzhledem k tomu, že podle čl. 235 odst. 4 a čl. 240 odst. 2 Smlouvy o fungování EU je Radě nápomocen generální sekretariát Rady (dále jen „sekretariát Rady“), a vzhledem k tomu, že za řádné hospodaření s prostředky zapsanými v oddílu II rozpočtu Unie nese plnou odpovědnost generální tajemník Rady;</w:t>
      </w:r>
    </w:p>
    <w:p w14:paraId="3DF49BA9" w14:textId="77777777" w:rsidR="00E1334D" w:rsidRPr="00D31152" w:rsidRDefault="00E1334D" w:rsidP="00E1334D">
      <w:pPr>
        <w:pStyle w:val="NormalHanging12a"/>
      </w:pPr>
      <w:r w:rsidRPr="00D31152">
        <w:t>F.</w:t>
      </w:r>
      <w:r w:rsidRPr="00D31152">
        <w:tab/>
        <w:t>vzhledem k tomu, že posledních více než dvacet let Parlament uplatňuje zavedený a respektovaný způsob udělování absolutoria všem orgánům, institucím a jiným subjektům Unie, a vzhledem k tomu, že Komise je pro to, aby se tento postup udělování absolutoria všem orgánům, institucím a jiným subjektům Unie v souvislosti s jejich správními výdaji uplatňoval i v budoucnu;</w:t>
      </w:r>
    </w:p>
    <w:p w14:paraId="6C048333" w14:textId="77777777" w:rsidR="00E1334D" w:rsidRPr="00D31152" w:rsidRDefault="00E1334D" w:rsidP="00E1334D">
      <w:pPr>
        <w:pStyle w:val="NormalHanging12a"/>
      </w:pPr>
      <w:r w:rsidRPr="00D31152">
        <w:t>G.</w:t>
      </w:r>
      <w:r w:rsidRPr="00D31152">
        <w:tab/>
        <w:t xml:space="preserve">vzhledem k tomu, že podle čl. 59 odst. 1 finančního nařízení dává Komise ostatním </w:t>
      </w:r>
      <w:r w:rsidRPr="00D31152">
        <w:lastRenderedPageBreak/>
        <w:t>orgánům Unie pravomoci potřebné k plnění těch oddílů rozpočtu, které se jich týkají;</w:t>
      </w:r>
    </w:p>
    <w:p w14:paraId="042A2F72" w14:textId="77777777" w:rsidR="00E1334D" w:rsidRPr="00D31152" w:rsidRDefault="00E1334D" w:rsidP="00E1334D">
      <w:pPr>
        <w:pStyle w:val="NormalHanging12a"/>
      </w:pPr>
      <w:r w:rsidRPr="00D31152">
        <w:t>H.</w:t>
      </w:r>
      <w:r w:rsidRPr="00D31152">
        <w:tab/>
        <w:t>vzhledem k tomu, že v důsledku nedostatečné spolupráce Rady při postupu udělování absolutoria nemůže Parlament už od udělení absolutoria za rok 2009 vykonávat svou úlohu demokratické kontroly a opakovaně neměl jinou možnost než udělení absolutoria generálnímu tajemníkovi Rady odmítat;</w:t>
      </w:r>
    </w:p>
    <w:p w14:paraId="616ADBE3" w14:textId="77777777" w:rsidR="00E1334D" w:rsidRPr="00D31152" w:rsidRDefault="00E1334D" w:rsidP="00E1334D">
      <w:pPr>
        <w:pStyle w:val="NormalHanging12a"/>
      </w:pPr>
      <w:r w:rsidRPr="00D31152">
        <w:t>I.</w:t>
      </w:r>
      <w:r w:rsidRPr="00D31152">
        <w:tab/>
        <w:t>vzhledem k tomu, že Evropská rada a Rada jakožto unijní orgány a příjemci prostředků ze souhrnného rozpočtu Unie by měly být transparentní a demokraticky odpovědné občanům Unie a podléhat demokratické kontrole výdajů z veřejných prostředků;</w:t>
      </w:r>
    </w:p>
    <w:p w14:paraId="5B828B80" w14:textId="77777777" w:rsidR="00E1334D" w:rsidRPr="00D31152" w:rsidRDefault="00E1334D" w:rsidP="00E1334D">
      <w:pPr>
        <w:pStyle w:val="NormalHanging12a"/>
        <w:rPr>
          <w:b/>
          <w:i/>
        </w:rPr>
      </w:pPr>
      <w:r w:rsidRPr="00D31152">
        <w:t>J.</w:t>
      </w:r>
      <w:r w:rsidRPr="00D31152">
        <w:tab/>
        <w:t>vzhledem k tomu, že se v čl. 15 odst. 3 Smlouvy o fungování EU vyžaduje, aby unijní orgány ve svém jednacím řádu zajistily transparentnost svých postupů, avšak evropský veřejný ochránce práv v několika svých šetřeních a rozhodnutích kritizoval Radu za nedostatek transparentnosti, což naznačuje, že Rada plně nepochopila zásadní vazbu mezi demokracií a transparentností rozhodování;</w:t>
      </w:r>
    </w:p>
    <w:p w14:paraId="3A2E86E4" w14:textId="77777777" w:rsidR="00E1334D" w:rsidRPr="00D31152" w:rsidRDefault="00E1334D" w:rsidP="00E1334D">
      <w:pPr>
        <w:pStyle w:val="NormalHanging12a"/>
      </w:pPr>
      <w:r w:rsidRPr="00D31152">
        <w:t>K.</w:t>
      </w:r>
      <w:r w:rsidRPr="00D31152">
        <w:tab/>
        <w:t>vzhledem k tomu, že judikatura Soudního dvora Evropské unie potvrzuje právo daňových poplatníků a veřejnosti na informace o využívání veřejných prostředků a že Tribunál v rozsudku ze dne 25. ledna 2023 ve věci T-163/21</w:t>
      </w:r>
      <w:r w:rsidRPr="00D31152">
        <w:rPr>
          <w:rStyle w:val="FootnoteReference"/>
        </w:rPr>
        <w:footnoteReference w:id="7"/>
      </w:r>
      <w:r w:rsidRPr="00D31152">
        <w:t xml:space="preserve">, De </w:t>
      </w:r>
      <w:proofErr w:type="spellStart"/>
      <w:r w:rsidRPr="00D31152">
        <w:t>Capitani</w:t>
      </w:r>
      <w:proofErr w:type="spellEnd"/>
      <w:r w:rsidRPr="00D31152">
        <w:t xml:space="preserve"> v. Rada, uvedl k transparentnosti legislativního procesu Unie, že dokumenty vypracované Radou v jejích pracovních skupinách nemají technickou, nýbrž legislativní povahu, a mohou být tudíž předmětem žádosti o přístup k dokumentům;</w:t>
      </w:r>
    </w:p>
    <w:p w14:paraId="25F9A70E" w14:textId="77777777" w:rsidR="00E1334D" w:rsidRPr="00D31152" w:rsidRDefault="00E1334D" w:rsidP="00E1334D">
      <w:pPr>
        <w:pStyle w:val="NormalHanging12a"/>
      </w:pPr>
      <w:r w:rsidRPr="00D31152">
        <w:t>1.</w:t>
      </w:r>
      <w:r w:rsidRPr="00D31152">
        <w:tab/>
        <w:t>konstatuje, že rozpočet Rady spadá do okruhu 7 VFR „Evropská veřejná správa“, který v roce 2024 činil 13,3 miliardy EUR (což představuje 6,9 % celkového rozpočtu Unie); podotýká, že rozpočet Rady ve výši přibližně 0,7 miliardy EUR představuje 5,26 % celkových správních výdajů Unie;</w:t>
      </w:r>
    </w:p>
    <w:p w14:paraId="758A8FD6" w14:textId="77777777" w:rsidR="00E1334D" w:rsidRPr="00D31152" w:rsidRDefault="00E1334D" w:rsidP="00E1334D">
      <w:pPr>
        <w:pStyle w:val="NormalHanging12a"/>
      </w:pPr>
      <w:r w:rsidRPr="00D31152">
        <w:t>2.</w:t>
      </w:r>
      <w:r w:rsidRPr="00D31152">
        <w:tab/>
        <w:t>konstatuje, že Evropský účetní dvůr (dále jen „Účetní dvůr“) ve výroční zprávě za rozpočtový rok 2024 (dále jen „zpráva Účetního dvora“) zkoumal vzorek 70 transakcí v okruhu „Správa“, což je stejný počet jako v roce 2023, a že Účetní dvůr dále uvádí, že správní výdaje zahrnují výdaje na lidské zdroje včetně výdajů na důchody, které v roce 2024 představovaly přibližně 69 % celkových správních výdajů, a výdaje na budovy, vybavení, energie a komunikační a informační technologie (IT), a že z jeho dlouholeté práce vyplývá, že tyto výdaje celkově vykazují nízké riziko;</w:t>
      </w:r>
    </w:p>
    <w:p w14:paraId="5FBCF715" w14:textId="77777777" w:rsidR="00E1334D" w:rsidRPr="00D31152" w:rsidRDefault="00E1334D" w:rsidP="00E1334D">
      <w:pPr>
        <w:pStyle w:val="NormalHanging12a"/>
      </w:pPr>
      <w:r w:rsidRPr="00D31152">
        <w:t>3.</w:t>
      </w:r>
      <w:r w:rsidRPr="00D31152">
        <w:tab/>
        <w:t>konstatuje, že 16 (23 %) ze 70 operací obsahovalo chyby, ale že Účetní dvůr na základě tří chyb, které byly vyčísleny, odhaduje, že výše chyb nedosahuje prahu významnosti; konstatuje, že zpráva Účetního dvora neuvedla žádné konkrétní problémy týkající se Rady;</w:t>
      </w:r>
    </w:p>
    <w:p w14:paraId="6F5FC1A9" w14:textId="77777777" w:rsidR="00E1334D" w:rsidRPr="00D31152" w:rsidRDefault="00E1334D" w:rsidP="00E1334D">
      <w:pPr>
        <w:pStyle w:val="NormalHanging12a"/>
        <w:rPr>
          <w:b/>
          <w:i/>
          <w:iCs/>
        </w:rPr>
      </w:pPr>
      <w:r w:rsidRPr="00D31152">
        <w:rPr>
          <w:b/>
          <w:i/>
        </w:rPr>
        <w:t>Aktuální stav postupu udělování absolutoria</w:t>
      </w:r>
    </w:p>
    <w:p w14:paraId="479552DA" w14:textId="77777777" w:rsidR="00E1334D" w:rsidRPr="00D31152" w:rsidRDefault="00E1334D" w:rsidP="00E1334D">
      <w:pPr>
        <w:pStyle w:val="NormalHanging12a"/>
      </w:pPr>
      <w:r w:rsidRPr="00D31152">
        <w:t>4.</w:t>
      </w:r>
      <w:r w:rsidRPr="00D31152">
        <w:tab/>
        <w:t xml:space="preserve">vyjadřuje hluboké politování nad tím, že od roku 2009 a opětovně i pro rozpočtový rok 2023 musel Parlament odmítnout udělit Radě absolutorium, protože Rada nadále odmítá s Parlamentem na postupu udělování absolutoria spolupracovat, a to navzdory opakovanému úsilí Parlamentu navázat konstruktivní spolupráci, čímž Rada brání Parlamentu přijmout informované rozhodnutí založené na seriózní a důkladné kontrole </w:t>
      </w:r>
      <w:r w:rsidRPr="00D31152">
        <w:lastRenderedPageBreak/>
        <w:t>plnění rozpočtu Rady;</w:t>
      </w:r>
    </w:p>
    <w:p w14:paraId="469842BF" w14:textId="77777777" w:rsidR="00E1334D" w:rsidRPr="00D31152" w:rsidRDefault="00E1334D" w:rsidP="00E1334D">
      <w:pPr>
        <w:pStyle w:val="NormalHanging12a"/>
      </w:pPr>
      <w:r w:rsidRPr="00D31152">
        <w:t>5.</w:t>
      </w:r>
      <w:r w:rsidRPr="00D31152">
        <w:tab/>
        <w:t>konstatuje, že příslušné útvary Parlamentu předaly dne 22. září 2025 jménem zpravodaje pro postup udělování absolutoria sekretariátu Rady dotazník obsahující 103 otázek, které jsou pro Parlament důležité, aby mohl důkladně přezkoumat plnění rozpočtu Rady a její řízení; konstatuje dále, že podobné dotazníky byly zaslány všem ostatním orgánům a ty Parlamentu podrobné odpovědi na všechny otázky poskytly;</w:t>
      </w:r>
    </w:p>
    <w:p w14:paraId="5A457326" w14:textId="77777777" w:rsidR="00E1334D" w:rsidRPr="00D31152" w:rsidRDefault="00E1334D" w:rsidP="00E1334D">
      <w:pPr>
        <w:pStyle w:val="NormalHanging12a"/>
      </w:pPr>
      <w:r w:rsidRPr="00D31152">
        <w:t>6.</w:t>
      </w:r>
      <w:r w:rsidRPr="00D31152">
        <w:tab/>
        <w:t>lituje, že sekretariát Rady dne 3. října 2025 opět informoval Parlament, že na jeho dotazník odpovídat nebude a že se Rada nezúčastní slyšení, které bylo v rámci procesu udělování absolutoria uspořádáno dne 6. listopadu 2025 a kterého se všechny ostatní pozvané orgány zúčastnily;</w:t>
      </w:r>
    </w:p>
    <w:p w14:paraId="355F69DF" w14:textId="77777777" w:rsidR="00E1334D" w:rsidRPr="00D31152" w:rsidRDefault="00E1334D" w:rsidP="00E1334D">
      <w:pPr>
        <w:pStyle w:val="NormalHanging12a"/>
      </w:pPr>
      <w:r w:rsidRPr="00D31152">
        <w:t>7.</w:t>
      </w:r>
      <w:r w:rsidRPr="00D31152">
        <w:tab/>
        <w:t>opětovně poukazuje na výsadu Parlamentu udělovat absolutorium podle článku 319 Smlouvy o fungování EU a podle příslušných ustanovení finančního nařízení a jednacího řádu Parlamentu v souladu se současným výkladem a praxí, konkrétně pravomoc udělovat absolutorium za účelem zachování transparentnosti a zajištění demokratické odpovědnosti vůči daňovým poplatníkům v Unii;</w:t>
      </w:r>
    </w:p>
    <w:p w14:paraId="286D6D86" w14:textId="77777777" w:rsidR="00E1334D" w:rsidRPr="00D31152" w:rsidRDefault="00E1334D" w:rsidP="00E1334D">
      <w:pPr>
        <w:pStyle w:val="NormalHanging12a"/>
      </w:pPr>
      <w:r w:rsidRPr="00D31152">
        <w:t>8.</w:t>
      </w:r>
      <w:r w:rsidRPr="00D31152">
        <w:tab/>
        <w:t>zdůrazňuje, že v čl. 59 odst. 1 finančního nařízení je stanoveno, že Komise přiznává ostatním orgánům Unie pravomoci potřebné k plnění těch oddílů rozpočtu, které se jich týkají, a proto považuje za nepochopitelné, že Rada pokládá za náležité, aby bylo absolutorium za plnění rozpočtu Rady udělováno Komisi;</w:t>
      </w:r>
    </w:p>
    <w:p w14:paraId="090F7B89" w14:textId="77777777" w:rsidR="00E1334D" w:rsidRPr="00D31152" w:rsidRDefault="00E1334D" w:rsidP="00E1334D">
      <w:pPr>
        <w:pStyle w:val="NormalHanging12a"/>
      </w:pPr>
      <w:r w:rsidRPr="00D31152">
        <w:t>9.</w:t>
      </w:r>
      <w:r w:rsidRPr="00D31152">
        <w:tab/>
        <w:t>poukazuje na zavedený a respektovaný postup udělování absolutoria všem orgánům, institucím a jiným subjektům Unie včetně Rady, který Parlament uplatňuje už více než dvacet let; připomíná, že Komise prohlásila, že není schopna dohlížet na plnění rozpočtu ostatních orgánů Unie; zdůrazňuje, že Komise opakovaně vyjádřila názor, že k tomu, aby byl zachován soulad se zásadou řádného finančního řízení, by měl Parlament i v budoucnu přímo udělovat absolutorium všem orgánům Unie v souvislosti s jejich správními výdaji a plněním rozpočtu Unie; připomíná, že všechny ostatní orgány, instituce a jiné subjekty plně s Parlamentem v rámci postupu udělování absolutoria spolupracují, a domnívá se, že odmítnutí Rady tak činit je neodůvodněné a neslučitelné se zásadou institucionální loajality podle Smluv;</w:t>
      </w:r>
    </w:p>
    <w:p w14:paraId="3202DFAE" w14:textId="77777777" w:rsidR="00E1334D" w:rsidRPr="00D31152" w:rsidRDefault="00E1334D" w:rsidP="00E1334D">
      <w:pPr>
        <w:pStyle w:val="NormalHanging12a"/>
        <w:rPr>
          <w:b/>
          <w:i/>
        </w:rPr>
      </w:pPr>
      <w:r w:rsidRPr="00D31152">
        <w:t>10.</w:t>
      </w:r>
      <w:r w:rsidRPr="00D31152">
        <w:tab/>
        <w:t>poukazuje na to, že současná situace znamená, že Parlament může kontrolovat pouze zprávy Účetního dvora a veřejného ochránce práv a informace veřejně dostupné na internetových stránkách Rady, což mu znemožňuje o udělení absolutoria informovaně rozhodnout; zdůrazňuje, že nedostatečná spolupráce Rady oslabuje výsadu Parlamentu účinně plnit svou úlohu dohledu;</w:t>
      </w:r>
    </w:p>
    <w:p w14:paraId="334BF6CB" w14:textId="77777777" w:rsidR="00E1334D" w:rsidRPr="00D31152" w:rsidRDefault="00E1334D" w:rsidP="00E1334D">
      <w:pPr>
        <w:pStyle w:val="NormalHanging12a"/>
      </w:pPr>
      <w:r w:rsidRPr="00D31152">
        <w:t>11.</w:t>
      </w:r>
      <w:r w:rsidRPr="00D31152">
        <w:tab/>
        <w:t>vyjadřuje politování nad tím, že Rada už více než deset let nemá politickou vůli ke spolupráci s Parlamentem na každoročním postupu udělování absolutoria, a vytváří tak v systému brzd a protivah strukturální mrtvý úhel, což má dlouhodobý negativní dopad na oba orgány i na důvěru občanů v Unii jako transparentní subjekt a </w:t>
      </w:r>
      <w:proofErr w:type="spellStart"/>
      <w:r w:rsidRPr="00D31152">
        <w:t>znevěrohodňuje</w:t>
      </w:r>
      <w:proofErr w:type="spellEnd"/>
      <w:r w:rsidRPr="00D31152">
        <w:t xml:space="preserve"> správu a demokratickou kontrolu rozpočtu Unie; zdůrazňuje, že tyto přetrvávající institucionální překážky oslabují zásadu loajální spolupráce stanovenou ve Smlouvách; domnívá se, že pokračování nedostatečné spolupráce může dále narušit legitimitu rámce správy rozpočtu Unie; zdůrazňuje, že Rada musí sama dodržovat stejné standardy odpovědnosti a transparentnosti, jaké očekává od ostatních orgánů Unie;</w:t>
      </w:r>
    </w:p>
    <w:p w14:paraId="0447A8C2" w14:textId="77777777" w:rsidR="00E1334D" w:rsidRPr="00D31152" w:rsidRDefault="00E1334D" w:rsidP="00E1334D">
      <w:pPr>
        <w:pStyle w:val="NormalHanging12a"/>
      </w:pPr>
      <w:r w:rsidRPr="00D31152">
        <w:lastRenderedPageBreak/>
        <w:t>12.</w:t>
      </w:r>
      <w:r w:rsidRPr="00D31152">
        <w:tab/>
        <w:t>opakuje, že neustálé odmítání Rady zapojit se do postupu udělování absolutoria je nepřijatelným porušením demokratické odpovědnosti; žádá, aby byla prozkoumáním praktických opatření v souladu s čl. 59 odst. 1 finančního nařízení zavedena konkrétní a účinná opatření, jež zajistí, aby každý orgán Unie, který neplní povinnosti týkající se transparentnosti, nesl plnou odpovědnost, a dále aby byla zavedena zásada řádného finančního řízení, která bude motivovat ke spolupráci, včetně posílené podmíněnosti ve správních ujednáních a v požadavcích na podávání zpráv;</w:t>
      </w:r>
    </w:p>
    <w:p w14:paraId="4C21DA3D" w14:textId="77777777" w:rsidR="00E1334D" w:rsidRPr="00D31152" w:rsidRDefault="00E1334D" w:rsidP="00E1334D">
      <w:pPr>
        <w:pStyle w:val="NormalHanging12a"/>
      </w:pPr>
      <w:r w:rsidRPr="00D31152">
        <w:t>13.</w:t>
      </w:r>
      <w:r w:rsidRPr="00D31152">
        <w:tab/>
        <w:t>připomíná, že judikatura Soudního dvora EU podporuje právo daňových poplatníků a veřejnosti na informace o využívání veřejných prostředků; požaduje proto, aby byla výsada Parlamentu a jeho úloha garanta zásady demokratické odpovědnosti řádně respektována; vyzývá Radu, aby se doporučeními přijatými Parlamentem v souvislosti s postupem udělování absolutoria náležitě řídila, a trvá na neomezeném uplatňování čl. 14 odst. 1 Smlouvy o EU;</w:t>
      </w:r>
    </w:p>
    <w:p w14:paraId="49BE461A" w14:textId="77777777" w:rsidR="00E1334D" w:rsidRPr="00D31152" w:rsidRDefault="00E1334D" w:rsidP="00E1334D">
      <w:pPr>
        <w:pStyle w:val="NormalHanging12a"/>
      </w:pPr>
      <w:r w:rsidRPr="00D31152">
        <w:t>14.</w:t>
      </w:r>
      <w:r w:rsidRPr="00D31152">
        <w:tab/>
        <w:t>konstatuje, že dne 6. května 2025 vyjádřil zástupce předsednictví Rady během vystoupení na plenárním zasedání Parlamentu ochotu Rady „navázat smysluplnou a pragmatickou spolupráci mezi našimi orgány“, pokud jde o udělování absolutoria v souvislosti s oddílem rozpočtu Unie věnovaným Radě, a žádá, aby se tento záměr promítl do konkrétních a okamžitých kroků; vyzývá proto Radu, aby co nejdříve obnovila jednání s Parlamentem na nejvyšší úrovni – za účasti generálních tajemníků a předsedů obou orgánů – s cílem překonat patovou situaci a nalézt řešení, které bude v rámci postupu udělování absolutoria respektovat kompetence Parlamentu i Rady a zajistí transparentnost a silnou demokratickou kontrolu plnění rozpočtu; opětovně žádá právní služby Komise a Rady, aby poskytly stanovisko ohledně možných řešení založených na Smlouvách, kterými se vynutí odpovědnost Rady v rámci postupu udělování absolutoria;</w:t>
      </w:r>
    </w:p>
    <w:p w14:paraId="23943B86" w14:textId="77777777" w:rsidR="00E1334D" w:rsidRPr="00D31152" w:rsidRDefault="00E1334D" w:rsidP="00E1334D">
      <w:pPr>
        <w:pStyle w:val="NormalHanging12a"/>
      </w:pPr>
      <w:r w:rsidRPr="00D31152">
        <w:t>15.</w:t>
      </w:r>
      <w:r w:rsidRPr="00D31152">
        <w:tab/>
        <w:t>zdůrazňuje, že ačkoli je současnou situaci nutné zlepšit užší interinstitucionální spoluprací podle Smluv, mohla by větší jasnost a transparentnost do postupu udělování absolutoria vnést revize Smluv, v níž by byla Parlamentu výslovně svěřena pravomoc udělovat absolutorium jednotlivě všem orgánům, institucím a jiným subjektům Unie; zdůrazňuje však, že než dojde k přepracování Smluv, je nutné zajistit zlepšení stávající situace na základě hlubší interinstitucionální spolupráce; naléhavě v tomto smyslu vyzývá Radu, aby s Parlamentem aktivně spolupracovala;</w:t>
      </w:r>
    </w:p>
    <w:p w14:paraId="08BC42A0" w14:textId="77777777" w:rsidR="00E1334D" w:rsidRPr="00D31152" w:rsidRDefault="00E1334D" w:rsidP="00E1334D">
      <w:pPr>
        <w:pStyle w:val="NormalHanging12a"/>
      </w:pPr>
      <w:r w:rsidRPr="00D31152">
        <w:t>16.</w:t>
      </w:r>
      <w:r w:rsidRPr="00D31152">
        <w:tab/>
        <w:t>konstatuje, že navzdory dlouhodobé neochotě Rady na postupu udělování absolutoria spolupracovat Parlament v této zprávě přesto poukazuje na některé politické priority a uvádí některé připomínky týkající se rozpočtového a finančního řízení Rady a další připomínky důležité v rámci postupu udělování absolutoria, a to způsobem, jenž respektuje národní svrchovanost, Smlouvy i zásadu řádného finančního řízení;</w:t>
      </w:r>
    </w:p>
    <w:p w14:paraId="3954976B" w14:textId="77777777" w:rsidR="00E1334D" w:rsidRPr="00D31152" w:rsidRDefault="00E1334D" w:rsidP="00E1334D">
      <w:pPr>
        <w:pStyle w:val="NormalHanging12a"/>
        <w:rPr>
          <w:color w:val="000000" w:themeColor="text1"/>
        </w:rPr>
      </w:pPr>
      <w:r w:rsidRPr="00D31152">
        <w:rPr>
          <w:color w:val="000000" w:themeColor="text1"/>
        </w:rPr>
        <w:t>17.</w:t>
      </w:r>
      <w:r w:rsidRPr="00D31152">
        <w:rPr>
          <w:color w:val="000000" w:themeColor="text1"/>
        </w:rPr>
        <w:tab/>
        <w:t>konstatuje, že vzhledem k nedostatečné spolupráci Rady s Parlamentem se připomínky v následujících oddílech opírají především o souhrnné informace zveřejněné na internetových stránkách Rady, které nejsou plně podrobné;</w:t>
      </w:r>
    </w:p>
    <w:p w14:paraId="7D41AC8C" w14:textId="77777777" w:rsidR="00E1334D" w:rsidRPr="00D31152" w:rsidRDefault="00E1334D" w:rsidP="00E1334D">
      <w:pPr>
        <w:pStyle w:val="NormalHanging12a"/>
        <w:keepNext/>
        <w:rPr>
          <w:b/>
          <w:i/>
          <w:iCs/>
        </w:rPr>
      </w:pPr>
      <w:r w:rsidRPr="00D31152">
        <w:rPr>
          <w:b/>
          <w:i/>
        </w:rPr>
        <w:t>Politické priority</w:t>
      </w:r>
    </w:p>
    <w:p w14:paraId="5B857E67" w14:textId="77777777" w:rsidR="00E1334D" w:rsidRPr="00D31152" w:rsidRDefault="00E1334D" w:rsidP="00E1334D">
      <w:pPr>
        <w:pStyle w:val="NormalHanging12a"/>
        <w:rPr>
          <w:bCs/>
          <w:iCs/>
        </w:rPr>
      </w:pPr>
      <w:r w:rsidRPr="00D31152">
        <w:t>18.</w:t>
      </w:r>
      <w:r w:rsidRPr="00D31152">
        <w:tab/>
        <w:t xml:space="preserve">připomíná, že v roce 2024 se Unie dohodla na poskytnutí předvídatelné finanční podpory Ukrajině prostřednictvím Nástroje pro Ukrajinu na období 2024–2027; zdůrazňuje, že v této souvislosti mají Rada a její sekretariát zvýšenou odpovědnost za </w:t>
      </w:r>
      <w:r w:rsidRPr="00D31152">
        <w:lastRenderedPageBreak/>
        <w:t>zajištění transparentnosti, integrity a řádného finančního řízení ve všech správních výdajích týkajících se Rady, které souvisejí s rozhodováním, schůzemi a logistickými opatřeními týkajícími se Ukrajiny, včetně jasného vykazování souvisejících nákladů a řízení smluv;</w:t>
      </w:r>
    </w:p>
    <w:p w14:paraId="2B4F25E3" w14:textId="77777777" w:rsidR="00E1334D" w:rsidRPr="00D31152" w:rsidRDefault="00E1334D" w:rsidP="00E1334D">
      <w:pPr>
        <w:pStyle w:val="NormalHanging12a"/>
      </w:pPr>
      <w:r w:rsidRPr="00D31152">
        <w:t>19.</w:t>
      </w:r>
      <w:r w:rsidRPr="00D31152">
        <w:tab/>
        <w:t>vyjadřuje politování nad tím, že Rada uplatňuje své výsadní právo na navrhování a jmenování kandidátů do mnoha orgánů, institucí a jiných subjektů Unie, aniž by přihlížela k názorům zúčastněných stran nebo k doporučením Evropského úřadu pro boj proti podvodům (OLAF);</w:t>
      </w:r>
    </w:p>
    <w:p w14:paraId="166D4198" w14:textId="77777777" w:rsidR="00E1334D" w:rsidRPr="00D31152" w:rsidRDefault="00E1334D" w:rsidP="00E1334D">
      <w:pPr>
        <w:pStyle w:val="NormalHanging12a"/>
      </w:pPr>
      <w:r w:rsidRPr="00D31152">
        <w:t>20.</w:t>
      </w:r>
      <w:r w:rsidRPr="00D31152">
        <w:tab/>
        <w:t>se znepokojením bere na vědomí praxi Rady, pokud jde o jmenování na většinu pozic jednotlivými členskými státy, která může omezit rozsah kontroly odborné kvalifikace kandidátů; trvá proto na tom, že výsadní právo Rady je třeba přezkoumat s cílem zaručit a posílit účast dotčených orgánů, institucí a jiných subjektů Unie a zvýšit legitimitu jmenovaných osob; domnívá se, že jednou z možností, jak zajistit, aby kandidáti měli potřebné kvalifikace, by bylo uplatňovat stejný postup prověřování externí komisí, jaký se používá v případě kandidátů na soudce a generální advokáty Soudního dvora EU;</w:t>
      </w:r>
    </w:p>
    <w:p w14:paraId="787A2CAC" w14:textId="77777777" w:rsidR="00E1334D" w:rsidRPr="00D31152" w:rsidRDefault="00E1334D" w:rsidP="00E1334D">
      <w:pPr>
        <w:pStyle w:val="NormalHanging12a"/>
      </w:pPr>
      <w:r w:rsidRPr="00D31152">
        <w:t>21.</w:t>
      </w:r>
      <w:r w:rsidRPr="00D31152">
        <w:tab/>
        <w:t>připomíná, že podle čl. 286 odst. 2 Smlouvy o fungování EU jmenuje Rada členy Účetního dvora po konzultaci s Parlamentem; připomíná, že na základě této nezbytné podmínky vydává Parlament ke kandidátům své stanovisko; vyjadřuje politování nad tím, že doporučení týkající se jmenování členů Účetního dvora, která Parlament vydává v rámci své poradní úlohy, Rada opakovaně ignoruje; připomíná, že ačkoli stanovisko Parlamentu není pro Radu závazné, kandidáti, kteří obdrželi záporné stanovisko, rozhodnutí Parlamentu přijali a kandidaturu stáhli, čímž uznali úlohu Parlamentu jako demokratického orgánu dohledu, která se pojí s ochranou rozpočtu Unie; vyzývá Radu, aby uznala úlohu Parlamentu a v rámci postupu udělování absolutoria s ním spolupracovala;</w:t>
      </w:r>
    </w:p>
    <w:p w14:paraId="0210B521" w14:textId="77777777" w:rsidR="00E1334D" w:rsidRPr="00D31152" w:rsidRDefault="00E1334D" w:rsidP="00E1334D">
      <w:pPr>
        <w:pStyle w:val="NormalHanging12a"/>
      </w:pPr>
      <w:r w:rsidRPr="00D31152">
        <w:t>22.</w:t>
      </w:r>
      <w:r w:rsidRPr="00D31152">
        <w:tab/>
        <w:t>zdůrazňuje, že přetrvávající genderová nerovnováha mezi členy Účetního dvora oslabuje cíle Unie v oblasti rovnosti; opětovně vyzývá Radu, aby se touto otázkou zabývala a postup navrhování přezkoumala a aby přijala konkrétní opatření, například požadavek, aby členské státy musely navrhnout alespoň dva kandidáty různého pohlaví, čímž by se zajistilo vyváženější a reprezentativnější složení Účetního dvora, jež bude respektovat zásady zásluhovosti, excelence i rovných příležitostí;</w:t>
      </w:r>
    </w:p>
    <w:p w14:paraId="5601632B" w14:textId="77777777" w:rsidR="00E1334D" w:rsidRPr="00D31152" w:rsidRDefault="00E1334D" w:rsidP="00E1334D">
      <w:pPr>
        <w:pStyle w:val="NormalHanging12a"/>
        <w:rPr>
          <w:bCs/>
          <w:iCs/>
        </w:rPr>
      </w:pPr>
      <w:r w:rsidRPr="00D31152">
        <w:t>23.</w:t>
      </w:r>
      <w:r w:rsidRPr="00D31152">
        <w:tab/>
        <w:t>znovu vyzývá k vytvoření Rady ministrů obrany jako institucionálního fóra pro politickou a strategickou koordinaci; má za to, že stálé složení Rady specificky věnované obraně by odráželo skutečnost, že je zapotřebí, aby Unie převzala větší odpovědnost za svou vlastní bezpečnost a obranu, a doplňovalo by zřízení Výboru pro bezpečnost a obranu v Parlamentu a funkce komisaře pro obranu a vesmír v Komisi;</w:t>
      </w:r>
    </w:p>
    <w:p w14:paraId="0E463A99" w14:textId="77777777" w:rsidR="00E1334D" w:rsidRPr="00D31152" w:rsidRDefault="00E1334D" w:rsidP="00E1334D">
      <w:pPr>
        <w:pStyle w:val="NormalHanging12a"/>
      </w:pPr>
      <w:r w:rsidRPr="00D31152">
        <w:t>24.</w:t>
      </w:r>
      <w:r w:rsidRPr="00D31152">
        <w:tab/>
        <w:t>vyjadřuje politování nad tím, že Rada dosud ignorovala usnesení Parlamentu ze dne 17. prosince 2020 o nutnosti sestavit Radu ve složení pro rovnost pohlaví, a trvá na tom, že existence specializovaného institucionálního fóra by zajistila důslednější začleňování rovnosti pohlaví do politik a strategií Unie a zásadní koordinaci a pokrok v hlavních spisech týkajících se rovnosti pohlaví;</w:t>
      </w:r>
    </w:p>
    <w:p w14:paraId="3742BF1F" w14:textId="77777777" w:rsidR="00E1334D" w:rsidRPr="00D31152" w:rsidRDefault="00E1334D" w:rsidP="00E1334D">
      <w:pPr>
        <w:pStyle w:val="NormalHanging12a"/>
      </w:pPr>
      <w:r w:rsidRPr="00D31152">
        <w:t>25.</w:t>
      </w:r>
      <w:r w:rsidRPr="00D31152">
        <w:tab/>
        <w:t xml:space="preserve">připomíná, že soudci a generální advokáti Soudního dvora jsou jmenováni na základě společné dohody vlád členských států po konzultaci s komisí odpovědnou za vypracování stanoviska ohledně toho, zda jsou případní uchazeči vhodní k výkonu </w:t>
      </w:r>
      <w:r w:rsidRPr="00D31152">
        <w:lastRenderedPageBreak/>
        <w:t>požadovaných povinností;</w:t>
      </w:r>
    </w:p>
    <w:p w14:paraId="16AAE34D" w14:textId="77777777" w:rsidR="00E1334D" w:rsidRPr="00D31152" w:rsidRDefault="00E1334D" w:rsidP="00E1334D">
      <w:pPr>
        <w:pStyle w:val="NormalHanging12a"/>
      </w:pPr>
      <w:r w:rsidRPr="00D31152">
        <w:t>26.</w:t>
      </w:r>
      <w:r w:rsidRPr="00D31152">
        <w:tab/>
        <w:t>konstatuje, že veřejná ochránkyně práv v rozhodnutí ze dne 9. září 2024 o strategické iniciativě týkající se sponzorství předsednictví Rady vybídla Radu, aby zhodnotila, jak předsednictví Rady uplatňuje nezávazná pravidla přijatá Radou ohledně využívání sponzorství (dále jen „pokyny“), a aby prozkoumala jiná možná opatření, která by mohla pomoci zmírnit rizika spojená s využíváním sponzorství, mezi něž patří riziko střetu zájmů a riziko poškození pověsti; na základě výroční zprávy veřejné ochránkyně práv za rok 2024 se znepokojením konstatuje, že Rada stále plně nevyřešila obavy veřejnosti ohledně využívání podnikového sponzorství, neboť se opakovaně objevuje „nedostatečná transparentnost ohledně identity sponzorů, povahy jejich podpory a toho, co za ni získávají“, a sponzoři mohli stále používat logo předsednictví ke komerčním účelům; vyzývá Radu, aby učinila pokyny závaznými; znovu vyzývá Radu, aby v zájmu zajištění přiměřených jednotných norem týkajících se účinnosti a účelnosti její pracovní činnosti obecně předložila rozpočet pro předsednictví Rady;</w:t>
      </w:r>
    </w:p>
    <w:p w14:paraId="34DECF0D" w14:textId="77777777" w:rsidR="00E1334D" w:rsidRPr="00D31152" w:rsidRDefault="00E1334D" w:rsidP="00E1334D">
      <w:pPr>
        <w:pStyle w:val="NormalHanging12a"/>
      </w:pPr>
      <w:r w:rsidRPr="00D31152">
        <w:t>27.</w:t>
      </w:r>
      <w:r w:rsidRPr="00D31152">
        <w:tab/>
        <w:t>vyzývá rotující předsednictví Rady, aby v souladu se závěry pracovního semináře, který dne 27. června 2023 uspořádal parlamentní Výbor pro rozpočtovou kontrolu, přestala využívat podnikové sponzorství k úhradě části svých nákladů, protože to s sebou nese riziko vzniku střetu zájmů;</w:t>
      </w:r>
    </w:p>
    <w:p w14:paraId="62B9E389" w14:textId="77777777" w:rsidR="00E1334D" w:rsidRPr="00D31152" w:rsidRDefault="00E1334D" w:rsidP="00E1334D">
      <w:pPr>
        <w:pStyle w:val="NormalHanging12a"/>
      </w:pPr>
      <w:r w:rsidRPr="00D31152">
        <w:t>28.</w:t>
      </w:r>
      <w:r w:rsidRPr="00D31152">
        <w:tab/>
        <w:t>bere na vědomí, že se Evropská rada stále více zapojuje do legislativních návrhů, avšak tato úloha vyžaduje dohled a posílenou spolupráci s rozpočtovým orgánem v rámci postupu udělování absolutoria; vyzývá Radu, aby v zájmu zachování důvěry občanů zajistila, aby svou činnost prováděla transparentně a odpovědně v souladu s normami platnými pro jiné orgány Unie;</w:t>
      </w:r>
    </w:p>
    <w:p w14:paraId="105AF95B" w14:textId="77777777" w:rsidR="00E1334D" w:rsidRPr="00D31152" w:rsidRDefault="00E1334D" w:rsidP="00E1334D">
      <w:pPr>
        <w:pStyle w:val="NormalHanging12a"/>
        <w:rPr>
          <w:bCs/>
          <w:iCs/>
        </w:rPr>
      </w:pPr>
      <w:r w:rsidRPr="00D31152">
        <w:t>29.</w:t>
      </w:r>
      <w:r w:rsidRPr="00D31152">
        <w:tab/>
        <w:t>vyjadřuje hluboké politování nad tím, že maďarská vláda zneužila v rotujícím předsednictví Rady v roce 2024 svou úlohu tím, že se zapojila do mezinárodních zasedání na vysoké úrovni, která oslabila základní hodnoty a dohodnuté společné postoje Unie; vyzývá Radu, aby důrazně odsoudila veškeré jednání členského státu vykonávajícího předsednictví, které není v souladu s hodnotami Unie, a aby přijala veškerá nezbytná opatření k zajištění toho, aby budoucí předsednictví vykonávala své funkce v plném souladu s unijními zásadami, a chránila tak integritu a důvěryhodnost Unie;</w:t>
      </w:r>
    </w:p>
    <w:p w14:paraId="0D1CD1D5" w14:textId="77777777" w:rsidR="00E1334D" w:rsidRPr="00D31152" w:rsidRDefault="00E1334D" w:rsidP="00E1334D">
      <w:pPr>
        <w:pStyle w:val="NormalHanging12a"/>
      </w:pPr>
      <w:r w:rsidRPr="00D31152">
        <w:t>30.</w:t>
      </w:r>
      <w:r w:rsidRPr="00D31152">
        <w:tab/>
        <w:t xml:space="preserve">zdůrazňuje, že ačkoli jednomyslné hlasování zůstává základní zásadou Smluv, jeho uplatňování může za určitých okolností ovlivnit v kritických oblastech politiky harmonogram a účinnost Unie, mimo jiné tím, že ochromí rozhodovací proces Unie, čímž ji učiní náchylnou k vydírání ze strany některých členských států, zejména těch, které nedodržují zásady právního státu; v tomto smyslu znovu vyjadřuje politování nad obstrukčním postojem, který zaujala maďarská vláda v Evropské radě; konstatuje, že patové politické situace, jež stále přetrvávají, nepřestávají podrývat důvěru a účinnost Evropské rady; žádá, aby byly v zájmu posílení transparentnosti, demokratického rozhodování, odpovědnosti a efektivnosti práce Evropské rady uskutečněny cílené reformy Smluv nebo případně provedena praktická zlepšení ve stávajícím smluvním rámci; v této souvislosti opakuje svou výzvu Radě ministrů, aby u rozhodnutí v oblastech strategického zájmu Unie přešla od jednomyslnosti k hlasování kvalifikovanou většinou; dále konstatuje, že požadavek jednomyslnosti je významnou překážkou pro účinnou reakci na kroky Ruska, zejména pokud jde o ukládání sankcí, které musí být každé tři měsíce obnovovány, což přináší riziko, že bude oslabena </w:t>
      </w:r>
      <w:r w:rsidRPr="00D31152">
        <w:lastRenderedPageBreak/>
        <w:t>schopnost Unie jednat rozhodně a transparentně, a podkopává důvěru občanů i důvěryhodnost Unie jako geopolitického aktéra; vyzývá Radu, aby v kritických oblastech, k nimž patří zejména sankční režimy, přešla k hlasování kvalifikovanou většinou, a Unie tak mohla účinně čelit globálním výzvám;</w:t>
      </w:r>
    </w:p>
    <w:p w14:paraId="25AA8D94" w14:textId="77777777" w:rsidR="00E1334D" w:rsidRPr="00D31152" w:rsidRDefault="00E1334D" w:rsidP="00E1334D">
      <w:pPr>
        <w:pStyle w:val="NormalHanging12a"/>
        <w:rPr>
          <w:b/>
          <w:i/>
        </w:rPr>
      </w:pPr>
      <w:r w:rsidRPr="00D31152">
        <w:rPr>
          <w:b/>
          <w:i/>
        </w:rPr>
        <w:t>Rozpočtové a finanční řízení</w:t>
      </w:r>
    </w:p>
    <w:p w14:paraId="1B063F42" w14:textId="77777777" w:rsidR="00E1334D" w:rsidRPr="00D31152" w:rsidRDefault="00E1334D" w:rsidP="00E1334D">
      <w:pPr>
        <w:pStyle w:val="NormalHanging12a"/>
        <w:rPr>
          <w:bCs/>
          <w:iCs/>
        </w:rPr>
      </w:pPr>
      <w:r w:rsidRPr="00D31152">
        <w:t>31.</w:t>
      </w:r>
      <w:r w:rsidRPr="00D31152">
        <w:tab/>
        <w:t>připomíná, že podle článku 15 Smlouvy o EU hraje Evropská rada ústřední strategickou úlohu, neboť poskytuje Unii nezbytné podněty pro její rozvoj a určuje obecné politické směry a priority, aniž by vykonávala legislativní funkci; poukazuje na jedinečnou přidanou hodnotu Evropské rady jako fóra pro politickou koordinaci na vysoké úrovni mezi členskými státy;</w:t>
      </w:r>
    </w:p>
    <w:p w14:paraId="59B58E4F" w14:textId="77777777" w:rsidR="00E1334D" w:rsidRPr="00D31152" w:rsidRDefault="00E1334D" w:rsidP="00E1334D">
      <w:pPr>
        <w:pStyle w:val="NormalHanging12a"/>
      </w:pPr>
      <w:r w:rsidRPr="00D31152">
        <w:t>32.</w:t>
      </w:r>
      <w:r w:rsidRPr="00D31152">
        <w:tab/>
        <w:t>opětovně vyjadřuje politování nad tím, že rozpočet Evropské rady a Rady nebyl v zájmu větší transparentnosti a odpovědnosti – v neposlední řadě, pokud jde o Evropskou radu – rozdělen na dva jasně oddělené rozpočty, jak Parlament doporučil v předchozích usneseních o udělení absolutoria, a to tím spíše, že v současnosti není možné získat o nákladech Evropské rady spolehlivé informace; žádá, aby toto oddělení zahrnovalo samostatné rozpočtové položky pro výdaje na schůze, cesty, komunikaci a reprezentaci, aby mohl orgán příslušný k udělení absolutoria rozlišovat mezi činnostmi Evropské rady a Rady a posuzovat trendy v průběhu času;</w:t>
      </w:r>
    </w:p>
    <w:p w14:paraId="2521438B" w14:textId="77777777" w:rsidR="00E1334D" w:rsidRPr="00D31152" w:rsidRDefault="00E1334D" w:rsidP="00E1334D">
      <w:pPr>
        <w:pStyle w:val="Default"/>
        <w:spacing w:after="240"/>
        <w:ind w:left="567" w:hanging="567"/>
      </w:pPr>
      <w:r w:rsidRPr="00D31152">
        <w:rPr>
          <w:rFonts w:ascii="Times New Roman" w:hAnsi="Times New Roman"/>
        </w:rPr>
        <w:t>33.</w:t>
      </w:r>
      <w:r w:rsidRPr="00D31152">
        <w:rPr>
          <w:rFonts w:ascii="Times New Roman" w:hAnsi="Times New Roman"/>
        </w:rPr>
        <w:tab/>
        <w:t>konstatuje, že rozpočet Rady na rok 2024 činil 676 881 123 EUR, což představuje nárůst o 4,47 % oproti roku 2023; podotýká, že toto navýšení souvisí hlavně s revizí parametrů pro aktualizaci platů kvůli inflaci;</w:t>
      </w:r>
    </w:p>
    <w:p w14:paraId="0828F2FB" w14:textId="77777777" w:rsidR="00E1334D" w:rsidRPr="00D31152" w:rsidRDefault="00E1334D" w:rsidP="00E1334D">
      <w:pPr>
        <w:pStyle w:val="NormalHanging12a"/>
      </w:pPr>
      <w:r w:rsidRPr="00D31152">
        <w:t>34.</w:t>
      </w:r>
      <w:r w:rsidRPr="00D31152">
        <w:tab/>
        <w:t>konstatuje, že míra čerpání prostředků Rady na závazky v běžném roce činila v roce 2024 96,40 % (oproti 97,01 % v roce 2023) a míra čerpání prostředků na platby v běžném roce činila v roce 2024 87,95 % (oproti 86,39 % v roce 2023); podotýká, že na konci roku 2024 byly zrušeny prostředky ve výši přibližně 24 milionů EUR, z nichž přibližně 62 % pocházelo z rozpočtových položek souvisejících s výdaji na zaměstnance; konstatuje, že míra čerpání celkové částky přenesené z roku 2023 do roku 2024, tj. 85 520 696 EUR, činila 91 %;</w:t>
      </w:r>
    </w:p>
    <w:p w14:paraId="25FE459A" w14:textId="77777777" w:rsidR="00E1334D" w:rsidRPr="00D31152" w:rsidRDefault="00E1334D" w:rsidP="00E1334D">
      <w:pPr>
        <w:pStyle w:val="NormalHanging12a"/>
      </w:pPr>
      <w:r w:rsidRPr="00D31152">
        <w:t>35.</w:t>
      </w:r>
      <w:r w:rsidRPr="00D31152">
        <w:tab/>
        <w:t>konstatuje, že prostředky přenesené z roku 2024 do roku 2025 dosahovaly celkové výše 78,6 milionu EUR (což představuje pokles oproti předchozímu roku, kdy činily přibližně 85,5 milionu EUR) a zahrnovaly hlavně náklady na počítačové systémy, na tlumočení poskytnuté v roce 2024, za které nebyly v době uzávěrky ještě odsouhlaseny faktury s útvary Komise, na budovy, informační a veřejné akce, technické vybavení, bezpečnost a ochranu, zasedání a konference, které se většinou týkaly dosud neobdržených faktur za pořádání zasedání Evropské rady a Rady a summitů v roce 2024, na nábytek a na jiné výdaje na zaměstnance;</w:t>
      </w:r>
    </w:p>
    <w:p w14:paraId="26C0E430" w14:textId="77777777" w:rsidR="00E1334D" w:rsidRPr="00D31152" w:rsidRDefault="00E1334D" w:rsidP="00E1334D">
      <w:pPr>
        <w:pStyle w:val="NormalHanging12a"/>
      </w:pPr>
      <w:r w:rsidRPr="00D31152">
        <w:t>36.</w:t>
      </w:r>
      <w:r w:rsidRPr="00D31152">
        <w:tab/>
        <w:t>konstatuje, že Rada v roce 2024 provedla 42 rozpočtových převodů v souladu s článkem 29 finančního nařízení s cílem navýšit nejrůznější rozpočtové položky, včetně položek „Práce spojené s úpravou a zařízením prostor“, „Zabezpečovací práce“, „Nákup vybavení a softwaru“ a „Nákup a výměna technického vybavení a zařízení“; konstatuje, že tři z těchto převodů, o nichž bylo nutné v souladu s čl. 29 odst. 2 finančního nařízení informovat rozpočtový orgán, dosáhly celkové výše přibližně 12,8 milionu EUR;</w:t>
      </w:r>
    </w:p>
    <w:p w14:paraId="50FEC49A" w14:textId="77777777" w:rsidR="00E1334D" w:rsidRPr="00D31152" w:rsidRDefault="00E1334D" w:rsidP="00E1334D">
      <w:pPr>
        <w:pStyle w:val="NormalHanging12a"/>
      </w:pPr>
      <w:r w:rsidRPr="00D31152">
        <w:lastRenderedPageBreak/>
        <w:t>37.</w:t>
      </w:r>
      <w:r w:rsidRPr="00D31152">
        <w:tab/>
        <w:t>konstatuje, že průměrná doba na uhrazení faktur se v roce 2025 zvýšila oproti roku 2023 z 13 na 15 dnů, což je však výrazně méně než maximální 30denní lhůta, čímž se předešlo úrokům z prodlení;</w:t>
      </w:r>
    </w:p>
    <w:p w14:paraId="58C92681" w14:textId="77777777" w:rsidR="00E1334D" w:rsidRPr="00D31152" w:rsidRDefault="00E1334D" w:rsidP="00E1334D">
      <w:pPr>
        <w:pStyle w:val="NormalHanging12a"/>
      </w:pPr>
      <w:r w:rsidRPr="00D31152">
        <w:t>38.</w:t>
      </w:r>
      <w:r w:rsidRPr="00D31152">
        <w:tab/>
        <w:t>konstatuje, že výdaje na služební cesty, které zahrnují jak výdaje na služební cesty sekretariátu, tak výdaje na služební cesty zaměstnanců v souvislosti s Evropskou radou, se snížily o 18,50 % z přibližně 5,2 milionu EUR v roce 2023 na přibližně 4,3 milionu EUR v roce 2024, zatímco cestovní výdaje delegací souvisejících s předsednictvím a národních delegací se snížily o 2,61 % z přibližně 15,3 milionu EUR v roce 2023 na přibližně 14,9 milionu EUR v roce 2024;</w:t>
      </w:r>
    </w:p>
    <w:p w14:paraId="37D7058B" w14:textId="77777777" w:rsidR="00E1334D" w:rsidRPr="00D31152" w:rsidRDefault="00E1334D" w:rsidP="00E1334D">
      <w:pPr>
        <w:pStyle w:val="NormalHanging12a"/>
        <w:rPr>
          <w:b/>
          <w:i/>
        </w:rPr>
      </w:pPr>
      <w:r w:rsidRPr="00D31152">
        <w:t>39.</w:t>
      </w:r>
      <w:r w:rsidRPr="00D31152">
        <w:tab/>
        <w:t>vyzývá Radu, aby zveřejňovala roční rozpis cestovních výdajů vyšších úředníků, včetně předsedy Evropské rady, vysoké představitelky Unie pro zahraniční věci a bezpečnostní politiku a sekretariátu, a jejich výdajů na reprezentaci, a to v uživatelsky vstřícném formátu přístupném veřejnosti;</w:t>
      </w:r>
    </w:p>
    <w:p w14:paraId="4EFC87CD" w14:textId="77777777" w:rsidR="00E1334D" w:rsidRPr="00D31152" w:rsidRDefault="00E1334D" w:rsidP="00E1334D">
      <w:pPr>
        <w:pStyle w:val="NormalHanging12a"/>
      </w:pPr>
      <w:r w:rsidRPr="00D31152">
        <w:t>40.</w:t>
      </w:r>
      <w:r w:rsidRPr="00D31152">
        <w:tab/>
        <w:t>vyjadřuje znepokojení nad nedostatečnými kontrolními mechanismy, pokud jde o využívání poradenských služeb a externích dodavatelů Radou; v zájmu zabránění možnému zneužívání veřejných prostředků vyzývá k úplnému zveřejňování všech zakázek přesahujících 50 000 EUR s podrobným popisem rozsahu, výsledků a subjektů, které zakázky obdržely;</w:t>
      </w:r>
    </w:p>
    <w:p w14:paraId="48F2A94D" w14:textId="77777777" w:rsidR="00E1334D" w:rsidRPr="00D31152" w:rsidRDefault="00E1334D" w:rsidP="00E1334D">
      <w:pPr>
        <w:pStyle w:val="NormalHanging12a"/>
        <w:rPr>
          <w:b/>
          <w:i/>
          <w:iCs/>
        </w:rPr>
      </w:pPr>
      <w:r w:rsidRPr="00D31152">
        <w:rPr>
          <w:b/>
          <w:i/>
        </w:rPr>
        <w:t>Vnitřní řízení, výkonnost a vnitřní kontrola</w:t>
      </w:r>
    </w:p>
    <w:p w14:paraId="2055C30B" w14:textId="77777777" w:rsidR="00E1334D" w:rsidRPr="00D31152" w:rsidRDefault="00E1334D" w:rsidP="00E1334D">
      <w:pPr>
        <w:pStyle w:val="NormalHanging12a"/>
        <w:rPr>
          <w:bCs/>
          <w:iCs/>
        </w:rPr>
      </w:pPr>
      <w:r w:rsidRPr="00D31152">
        <w:t>41.</w:t>
      </w:r>
      <w:r w:rsidRPr="00D31152">
        <w:tab/>
        <w:t>je znepokojen omezenou transparentností, pokud jde o využívání poradenských služeb a externích dodavatelů Radou; vyzývá k proaktivnímu zveřejňování všech zakázek vysoké hodnoty a rámcových smluv, včetně změn smluv, výsledků a ukazatelů výkonnosti; naléhavě vyzývá k transparentnosti založené na posouzení rizik se zvláštním důrazem na smlouvy spojené s informačními a komunikačními službami a službami zaměřenými na ochranu dobré pověsti a požaduje, aby byly každoročně podávány zprávy o využívání externích dodavatelů v porovnání s využíváním vnitřní kapacity;</w:t>
      </w:r>
    </w:p>
    <w:p w14:paraId="15284F32" w14:textId="77777777" w:rsidR="00E1334D" w:rsidRPr="00D31152" w:rsidRDefault="00E1334D" w:rsidP="00E1334D">
      <w:pPr>
        <w:pStyle w:val="NormalHanging12a"/>
      </w:pPr>
      <w:r w:rsidRPr="00D31152">
        <w:t>42.</w:t>
      </w:r>
      <w:r w:rsidRPr="00D31152">
        <w:tab/>
        <w:t xml:space="preserve">konstatuje, že činnost sekretariátu se řídila víceletými cíli přijatými v roce 2022 a souborem konkrétních cílů, které zajišťují v Radě průběžné rozhodování a jsou každoročně přezkoumávány; bere na vědomí priority sekretariátu pro rok 2024, mezi něž patří optimalizace pracovního prostředí, podpora kultury orientované na klienta, vedení ekologické transformace, využívání výhod digitální transformace a zvyšování celkové efektivity organizace; oceňuje, že sekretariát v roce 2024 poskytl podporu při pořádání šesti zasedání Evropské rady, dvou neformálních zasedání hlav států nebo předsedů vlád a jednoho </w:t>
      </w:r>
      <w:proofErr w:type="spellStart"/>
      <w:r w:rsidRPr="00D31152">
        <w:t>eurosummitu</w:t>
      </w:r>
      <w:proofErr w:type="spellEnd"/>
      <w:r w:rsidRPr="00D31152">
        <w:t>;</w:t>
      </w:r>
    </w:p>
    <w:p w14:paraId="4672EE9B" w14:textId="77777777" w:rsidR="00E1334D" w:rsidRPr="00D31152" w:rsidRDefault="00E1334D" w:rsidP="00E1334D">
      <w:pPr>
        <w:pStyle w:val="NormalHanging12a"/>
      </w:pPr>
      <w:r w:rsidRPr="00D31152">
        <w:t>43.</w:t>
      </w:r>
      <w:r w:rsidRPr="00D31152">
        <w:tab/>
        <w:t>vítá využívání dat při rozhodování, zejména na základě měsíčního finančního přehledu, jenž zobrazujíce klíčové ukazatele výkonnosti ve všech útvarech sekretariátu, a přehledu vedoucích pracovníků s klíčovými postřehy vyvozenými z údajů personálního oddělení, jehož cílem je usnadnit každodenní řízení a rozhodování v oblasti lidských zdrojů;</w:t>
      </w:r>
    </w:p>
    <w:p w14:paraId="4238880D" w14:textId="77777777" w:rsidR="00E1334D" w:rsidRPr="00D31152" w:rsidRDefault="00E1334D" w:rsidP="00E1334D">
      <w:pPr>
        <w:pStyle w:val="NormalHanging12a"/>
      </w:pPr>
      <w:r w:rsidRPr="00D31152">
        <w:t>44.</w:t>
      </w:r>
      <w:r w:rsidRPr="00D31152">
        <w:tab/>
        <w:t>konstatuje, že v roce 2024 sekretariát pomohl uspořádat 4 164 zasedání Rady (pokles oproti 4 429 zasedáním v roce 2023) a 152 schůzí / návštěv / služebních cest předsedy Evropské rady (nárůst oproti 124 schůzím / návštěvám / služebním cestám v roce 2023);</w:t>
      </w:r>
    </w:p>
    <w:p w14:paraId="0DC8291A" w14:textId="77777777" w:rsidR="00E1334D" w:rsidRPr="00D31152" w:rsidRDefault="00E1334D" w:rsidP="00E1334D">
      <w:pPr>
        <w:pStyle w:val="NormalHanging12a"/>
      </w:pPr>
      <w:r w:rsidRPr="00D31152">
        <w:lastRenderedPageBreak/>
        <w:t>45.</w:t>
      </w:r>
      <w:r w:rsidRPr="00D31152">
        <w:tab/>
        <w:t>vítá zavedení a fungování vnitřní kontroly sekretariátu, která je založena na mezinárodně uznávaných standardech a jejímž cílem je zajišťovat účinnost, účelnost a hospodárnost operací, spolehlivost podávání zpráv, ochranu aktiv a informací, prevenci a odhalování nesrovnalostí a odpovídající řízení rizik; konstatuje, že v roce 2024 bylo u finančních procesů zachováno oddělení funkcí, že byly pravidelně monitorovány rejstříky rizik a že automatizované kontroly a finanční školení pro zaměstnance přispěly k vytvoření spolehlivého kontrolního prostředí;</w:t>
      </w:r>
    </w:p>
    <w:p w14:paraId="52DD7DC5" w14:textId="77777777" w:rsidR="00E1334D" w:rsidRPr="00D31152" w:rsidRDefault="00E1334D" w:rsidP="00E1334D">
      <w:pPr>
        <w:pStyle w:val="NormalHanging12a"/>
      </w:pPr>
      <w:r w:rsidRPr="00D31152">
        <w:t>46.</w:t>
      </w:r>
      <w:r w:rsidRPr="00D31152">
        <w:tab/>
        <w:t>konstatuje, že Rada v souladu s článkem 118 finančního nařízení zaslala orgánu příslušnému k udělení absolutoria svou výroční zprávu o interních auditech provedených v roce 2024; poukazuje na to, že na konci roku 2024 již bylo provedeno 82 % doporučení vydaných v letech 2022–2024, 17 % bylo stále nedořešeno a u 1 % vedení riziko přijalo nebo doporučení už neplatila; konstatuje, že v roce 2024 byly dokončeny čtyři interní audity; konstatuje, že u dvou z těchto auditů (jeden se týkal podpory Evropského mírového nástroje a druhý účetních postupů týkajících se nehmotných aktiv sekretariátu) vydal interní auditor několik doporučení s vysokou prioritou, která auditované útvary přijaly; žádá Radu, aby orgánu příslušnému k udělení absolutoria poskytla veřejné shrnutí doporučení s vysokou prioritou a jasný harmonogram provádění, zejména pokud se audity týkají podpory Evropského mírového nástroje a správy nehmotných aktiv, a to s ohledem na zvýšený veřejný zájem a reputační citlivost těchto výdajů;</w:t>
      </w:r>
    </w:p>
    <w:p w14:paraId="162ED8AB" w14:textId="77777777" w:rsidR="00E1334D" w:rsidRPr="00D31152" w:rsidRDefault="00E1334D" w:rsidP="00E1334D">
      <w:pPr>
        <w:pStyle w:val="NormalHanging12a"/>
        <w:rPr>
          <w:b/>
          <w:i/>
          <w:iCs/>
        </w:rPr>
      </w:pPr>
      <w:r w:rsidRPr="00D31152">
        <w:rPr>
          <w:b/>
          <w:i/>
        </w:rPr>
        <w:t>Lidské zdroje, rovnost a dobré pracovní podmínky zaměstnanců</w:t>
      </w:r>
    </w:p>
    <w:p w14:paraId="1E3AD364" w14:textId="77777777" w:rsidR="00E1334D" w:rsidRPr="00D31152" w:rsidRDefault="00E1334D" w:rsidP="00E1334D">
      <w:pPr>
        <w:pStyle w:val="NormalHanging12a"/>
        <w:rPr>
          <w:color w:val="000000" w:themeColor="text1"/>
        </w:rPr>
      </w:pPr>
      <w:r w:rsidRPr="00D31152">
        <w:rPr>
          <w:color w:val="000000" w:themeColor="text1"/>
        </w:rPr>
        <w:t>47.</w:t>
      </w:r>
      <w:r w:rsidRPr="00D31152">
        <w:rPr>
          <w:color w:val="000000" w:themeColor="text1"/>
        </w:rPr>
        <w:tab/>
      </w:r>
      <w:r w:rsidRPr="00D31152">
        <w:t>konstatuje, že sekretariát na konci roku 2024 zaměstnával 3 124 zaměstnanců (nárůst oproti 3 115 v roce 2023);</w:t>
      </w:r>
      <w:r w:rsidRPr="00D31152">
        <w:rPr>
          <w:color w:val="000000" w:themeColor="text1"/>
        </w:rPr>
        <w:t xml:space="preserve"> </w:t>
      </w:r>
      <w:r w:rsidRPr="00D31152">
        <w:t>bere na vědomí rozdělení zaměstnanců podle funkcí, přičemž sekretariát v roce 2024 zaměstnával 2 720 stálých zaměstnanců, 401 dočasných zaměstnanců, 222 smluvních zaměstnanců a 26 vyslaných národních odborníků;</w:t>
      </w:r>
      <w:r w:rsidRPr="00D31152">
        <w:rPr>
          <w:color w:val="000000" w:themeColor="text1"/>
        </w:rPr>
        <w:t xml:space="preserve"> </w:t>
      </w:r>
      <w:r w:rsidRPr="00D31152">
        <w:t>konstatuje, že rozdělení trvalých a dočasných zaměstnanců mezi kategoriemi pracovních míst zůstalo v roce 2024 stabilní: 1 497 administrátorů (AD), 1 146 asistentů (AST) a 232 administrativních pracovníků (SC) oproti 1 474 administrátorům, 1 159 asistentům a 295 administrativním pracovníkům v roce 2023;</w:t>
      </w:r>
      <w:r w:rsidRPr="00D31152">
        <w:rPr>
          <w:color w:val="000000" w:themeColor="text1"/>
        </w:rPr>
        <w:t xml:space="preserve"> konstatuje, že na konci roku 2024 činila obsazenost v plánu pracovních míst 97,4 % (nárůst oproti 97,10 % v roce 2023); </w:t>
      </w:r>
    </w:p>
    <w:p w14:paraId="51CC70CE" w14:textId="77777777" w:rsidR="00E1334D" w:rsidRPr="00D31152" w:rsidRDefault="00E1334D" w:rsidP="00E1334D">
      <w:pPr>
        <w:pStyle w:val="NormalHanging12a"/>
      </w:pPr>
      <w:r w:rsidRPr="00D31152">
        <w:t>48.</w:t>
      </w:r>
      <w:r w:rsidRPr="00D31152">
        <w:tab/>
        <w:t>lituje, že je nedostatek veřejně dostupných informací týkajících se genderového a zeměpisného zastoupení zaměstnanců sekretariátu; vyzývá Radu, aby poskytla Parlamentu informace o vyváženosti zastoupení žen a mužů mezi zaměstnanci, o zeměpisném zastoupení a výskytu zdravotního postižení u svých zaměstnanců a o příslušných interních opatřeních; vybízí Radu, aby zeměpisnou vyváženost svých zaměstnanců podporovala tím, že bude nabízet širší skupinu kandidátů z nedostatečně zastoupených členských států;</w:t>
      </w:r>
    </w:p>
    <w:p w14:paraId="2B1061A2" w14:textId="77777777" w:rsidR="00E1334D" w:rsidRPr="00D31152" w:rsidRDefault="00E1334D" w:rsidP="00E1334D">
      <w:pPr>
        <w:pStyle w:val="NormalHanging12a"/>
      </w:pPr>
      <w:r w:rsidRPr="00D31152">
        <w:t>49.</w:t>
      </w:r>
      <w:r w:rsidRPr="00D31152">
        <w:tab/>
        <w:t>vítá úsilí sekretariátu v roce 2024 přilákat, udržet a motivovat zaměstnance; konstatuje, že sekretariát se účastnil kariérních dnů, veletrhů pracovních příležitostí, akcí zaměřených na lidské zdroje pro stálá zastoupení a informačních setkání pro zástupce členských států, posílil výměny se zaměstnanci jiných orgánů prostřednictvím interinstitucionálního stínování na pracovišti (</w:t>
      </w:r>
      <w:proofErr w:type="spellStart"/>
      <w:r w:rsidRPr="00D31152">
        <w:t>job</w:t>
      </w:r>
      <w:proofErr w:type="spellEnd"/>
      <w:r w:rsidRPr="00D31152">
        <w:t xml:space="preserve"> </w:t>
      </w:r>
      <w:proofErr w:type="spellStart"/>
      <w:r w:rsidRPr="00D31152">
        <w:t>shadowing</w:t>
      </w:r>
      <w:proofErr w:type="spellEnd"/>
      <w:r w:rsidRPr="00D31152">
        <w:t>), kterého se aktivně zúčastnilo 23 zaměstnanců sekretariátu, přispěl k modernizaci činnosti úřadu EPSO a uspořádal 518 výběrových řízení a 127 pohovorů a vnitřní výběrová řízení na všechny typy pracovních pozic;</w:t>
      </w:r>
    </w:p>
    <w:p w14:paraId="2E7E52AD" w14:textId="77777777" w:rsidR="00E1334D" w:rsidRPr="00D31152" w:rsidRDefault="00E1334D" w:rsidP="00E1334D">
      <w:pPr>
        <w:pStyle w:val="NormalHanging12a"/>
      </w:pPr>
      <w:r w:rsidRPr="00D31152">
        <w:lastRenderedPageBreak/>
        <w:t>50.</w:t>
      </w:r>
      <w:r w:rsidRPr="00D31152">
        <w:tab/>
        <w:t>s uspokojením konstatuje, že sekretariát nabízí řadu školení a osvětových kampaní na konkrétní témata, jako jsou mimo jiné finance, bezpečnostní opatření či etiketa; zejména poukazuje na zlepšení ukazatelů týkajících se kampaně sekretariátu zaměřené na zvyšování povědomí o etice a na to, že se v roce 2024 výrazně zvýšila angažovanost zaměstnanců v etických otázkách;</w:t>
      </w:r>
    </w:p>
    <w:p w14:paraId="3F3693FC" w14:textId="77777777" w:rsidR="00E1334D" w:rsidRPr="00D31152" w:rsidRDefault="00E1334D" w:rsidP="00E1334D">
      <w:pPr>
        <w:pStyle w:val="NormalHanging12a"/>
      </w:pPr>
      <w:r w:rsidRPr="00D31152">
        <w:t>51.</w:t>
      </w:r>
      <w:r w:rsidRPr="00D31152">
        <w:tab/>
        <w:t>bere na vědomí celou řadu opatření, která Rada v roce 2024 přijala ve prospěch zdraví a dobrých pracovních podmínek zaměstnanců; v této souvislosti podotýká, že sekretariát nabídl podporu mimo jiné prostřednictvím pracovních a klinických psychologů a vzdělávacích kurzů zaměřených na zachování duševního zdraví a zvládání stresu; vítá zapojení sekretariátu do organizace interinstitucionálního týdne zdraví a bezpečnosti v říjnu 2024 a zveřejňování všech služeb a aktivit, které sekretariát na podporu zdraví a dobrých pracovních podmínek zajišťuje, na jeho intranetu; bere na vědomí, že sekretariát vypracoval přehled s ukazateli týkajícími se psychosociálních rizik, jehož cílem je lépe cílit preventivní opatření, a vytvořil multidisciplinární tým, který pro sekretariát vyvíjí systém řízení bezpečnosti a ochrany zdraví při práci, aby bylo možné lépe kontrolovat veškerá rizika na pracovišti;</w:t>
      </w:r>
    </w:p>
    <w:p w14:paraId="2BD7FBEC" w14:textId="77777777" w:rsidR="00E1334D" w:rsidRPr="00D31152" w:rsidRDefault="00E1334D" w:rsidP="00E1334D">
      <w:pPr>
        <w:pStyle w:val="NormalHanging12a"/>
      </w:pPr>
      <w:r w:rsidRPr="00D31152">
        <w:t>52.</w:t>
      </w:r>
      <w:r w:rsidRPr="00D31152">
        <w:tab/>
        <w:t>s uspokojením konstatuje, že sekretariát má několik skupin nebo sítí, jako je zájmová skupina a síť generálního sekretariátu Rady pro rozmanitost a začlenění, síť Olympia (pro administrátorky), síť LGBTI a síť pro osoby se zdravotním postižením;</w:t>
      </w:r>
    </w:p>
    <w:p w14:paraId="17E84A41" w14:textId="77777777" w:rsidR="00E1334D" w:rsidRPr="00D31152" w:rsidRDefault="00E1334D" w:rsidP="00E1334D">
      <w:pPr>
        <w:pStyle w:val="NormalHanging12a"/>
      </w:pPr>
      <w:r w:rsidRPr="00D31152">
        <w:t>53.</w:t>
      </w:r>
      <w:r w:rsidRPr="00D31152">
        <w:tab/>
        <w:t>s uspokojením bere na vědomí opatření, jež sekretariát přijal v rámci své činnosti pro osoby se zdravotním postižením; bere na vědomí, že sekretariát zavedl zjednodušený postup pro vyřizování žádostí stážistů, zaměstnanců a uchazečů se zdravotním postižením o přiměřené úpravy; dále poznamenává, že v roce 2024 byla uspořádána další školení pro recepční zaměřená na vítání a doprovázení návštěvníků s různými druhy zdravotního postižení; konstatuje, že sekretariát v roce 2024 přijal 115 stážistů, z nichž pět bylo přijato v rámci programu pozitivních opatření sekretariátu pro stážisty se zdravotním postižením; připomíná, že v souladu s usnesením Parlamentu ze dne 14. června 2023 o kvalitních stážích v Unii (2020/2005(INL)), jež obsahuje výzvu, aby byly všechny stáže v Unii placené, by měla být za stáže vyplácena odměna; zdůrazňuje, že neplacené stáže představují formu vykořisťování mladých pracovníků a jsou překážkou pro rovné příležitosti;</w:t>
      </w:r>
    </w:p>
    <w:p w14:paraId="457557F6" w14:textId="77777777" w:rsidR="00E1334D" w:rsidRPr="00D31152" w:rsidRDefault="00E1334D" w:rsidP="00E1334D">
      <w:pPr>
        <w:pStyle w:val="NormalHanging12a"/>
      </w:pPr>
      <w:r w:rsidRPr="00D31152">
        <w:t>54.</w:t>
      </w:r>
      <w:r w:rsidRPr="00D31152">
        <w:tab/>
        <w:t>bere na vědomí, že sekretariát zavedl nová pravidla pro pracovní dobu, práci na dálku a dovolenou a současně spustil nový IT modul pro správu pracovní doby (</w:t>
      </w:r>
      <w:proofErr w:type="spellStart"/>
      <w:r w:rsidRPr="00D31152">
        <w:t>Sysper</w:t>
      </w:r>
      <w:proofErr w:type="spellEnd"/>
      <w:r w:rsidRPr="00D31152">
        <w:t xml:space="preserve">-TIM); s uspokojením bere na vědomí, že v souvislosti s těmito novými pravidly a novým modulem byla uspořádána školení a komunikační aktivity, mimo jiné v podobě </w:t>
      </w:r>
      <w:proofErr w:type="spellStart"/>
      <w:r w:rsidRPr="00D31152">
        <w:t>videonávodů</w:t>
      </w:r>
      <w:proofErr w:type="spellEnd"/>
      <w:r w:rsidRPr="00D31152">
        <w:t>, často kladených dotazů, webinářů atd.;</w:t>
      </w:r>
    </w:p>
    <w:p w14:paraId="41BC429F" w14:textId="77777777" w:rsidR="00E1334D" w:rsidRPr="00D31152" w:rsidRDefault="00E1334D" w:rsidP="00E1334D">
      <w:pPr>
        <w:pStyle w:val="NormalHanging12a"/>
        <w:keepNext/>
        <w:ind w:left="0" w:firstLine="0"/>
        <w:rPr>
          <w:i/>
          <w:iCs/>
        </w:rPr>
      </w:pPr>
      <w:r w:rsidRPr="00D31152">
        <w:rPr>
          <w:b/>
          <w:i/>
        </w:rPr>
        <w:t>Etický rámec a transparentnost</w:t>
      </w:r>
    </w:p>
    <w:p w14:paraId="6E54A7D3" w14:textId="77777777" w:rsidR="00E1334D" w:rsidRPr="00D31152" w:rsidRDefault="00E1334D" w:rsidP="00E1334D">
      <w:pPr>
        <w:pStyle w:val="NormalHanging12a"/>
      </w:pPr>
      <w:r w:rsidRPr="00D31152">
        <w:t>55.</w:t>
      </w:r>
      <w:r w:rsidRPr="00D31152">
        <w:tab/>
        <w:t>opakuje, že etické chování přispívá k řádnému finančnímu řízení a zvyšuje důvěru veřejnosti a že, jak zdůraznil Účetní dvůr ve své zvláštní zprávě 13/2019, existuje prostor pro zlepšení etických rámců orgánů Unie; připomíná zejména doporučení Účetního dvora týkající se zdokonalení etického rámce Rady; vyjadřuje znepokojení nad tím, že podle zjištění Účetního dvora neexistuje společný etický rámec na úrovni Unie, kterým by se řídila práce zástupců členských států v Radě; zdůrazňuje, že žádný orgán Unie by neměl být při účasti na rozhodování Unie, které zahrnuje veřejné výdaje, osvobozen od dodržování jasných, závazných a vymahatelných etických pravidel;</w:t>
      </w:r>
    </w:p>
    <w:p w14:paraId="40B7303B" w14:textId="77777777" w:rsidR="00E1334D" w:rsidRPr="00D31152" w:rsidRDefault="00E1334D" w:rsidP="00E1334D">
      <w:pPr>
        <w:pStyle w:val="NormalHanging12a"/>
      </w:pPr>
      <w:r w:rsidRPr="00D31152">
        <w:lastRenderedPageBreak/>
        <w:t>56.</w:t>
      </w:r>
      <w:r w:rsidRPr="00D31152">
        <w:tab/>
        <w:t>lituje, že na internetových stránkách Rady jsou dostupné dvě klíčové složky etického rámce Rady – „Průvodce etikou a chováním“ (</w:t>
      </w:r>
      <w:proofErr w:type="spellStart"/>
      <w:r w:rsidRPr="00D31152">
        <w:t>Guide</w:t>
      </w:r>
      <w:proofErr w:type="spellEnd"/>
      <w:r w:rsidRPr="00D31152">
        <w:t xml:space="preserve"> to </w:t>
      </w:r>
      <w:proofErr w:type="spellStart"/>
      <w:r w:rsidRPr="00D31152">
        <w:t>Ethics</w:t>
      </w:r>
      <w:proofErr w:type="spellEnd"/>
      <w:r w:rsidRPr="00D31152">
        <w:t xml:space="preserve"> and </w:t>
      </w:r>
      <w:proofErr w:type="spellStart"/>
      <w:r w:rsidRPr="00D31152">
        <w:t>Conduct</w:t>
      </w:r>
      <w:proofErr w:type="spellEnd"/>
      <w:r w:rsidRPr="00D31152">
        <w:t>) pro zaměstnance sekretariátu a „Kodex chování pro předsedu Evropské rady“ (</w:t>
      </w:r>
      <w:proofErr w:type="spellStart"/>
      <w:r w:rsidRPr="00D31152">
        <w:t>Code</w:t>
      </w:r>
      <w:proofErr w:type="spellEnd"/>
      <w:r w:rsidRPr="00D31152">
        <w:t xml:space="preserve"> </w:t>
      </w:r>
      <w:proofErr w:type="spellStart"/>
      <w:r w:rsidRPr="00D31152">
        <w:t>of</w:t>
      </w:r>
      <w:proofErr w:type="spellEnd"/>
      <w:r w:rsidRPr="00D31152">
        <w:t xml:space="preserve"> </w:t>
      </w:r>
      <w:proofErr w:type="spellStart"/>
      <w:r w:rsidRPr="00D31152">
        <w:t>Conduct</w:t>
      </w:r>
      <w:proofErr w:type="spellEnd"/>
      <w:r w:rsidRPr="00D31152">
        <w:t xml:space="preserve"> </w:t>
      </w:r>
      <w:proofErr w:type="spellStart"/>
      <w:r w:rsidRPr="00D31152">
        <w:t>for</w:t>
      </w:r>
      <w:proofErr w:type="spellEnd"/>
      <w:r w:rsidRPr="00D31152">
        <w:t xml:space="preserve"> </w:t>
      </w:r>
      <w:proofErr w:type="spellStart"/>
      <w:r w:rsidRPr="00D31152">
        <w:t>the</w:t>
      </w:r>
      <w:proofErr w:type="spellEnd"/>
      <w:r w:rsidRPr="00D31152">
        <w:t xml:space="preserve"> President </w:t>
      </w:r>
      <w:proofErr w:type="spellStart"/>
      <w:r w:rsidRPr="00D31152">
        <w:t>of</w:t>
      </w:r>
      <w:proofErr w:type="spellEnd"/>
      <w:r w:rsidRPr="00D31152">
        <w:t xml:space="preserve"> </w:t>
      </w:r>
      <w:proofErr w:type="spellStart"/>
      <w:r w:rsidRPr="00D31152">
        <w:t>the</w:t>
      </w:r>
      <w:proofErr w:type="spellEnd"/>
      <w:r w:rsidRPr="00D31152">
        <w:t xml:space="preserve"> </w:t>
      </w:r>
      <w:proofErr w:type="spellStart"/>
      <w:r w:rsidRPr="00D31152">
        <w:t>European</w:t>
      </w:r>
      <w:proofErr w:type="spellEnd"/>
      <w:r w:rsidRPr="00D31152">
        <w:t xml:space="preserve"> </w:t>
      </w:r>
      <w:proofErr w:type="spellStart"/>
      <w:r w:rsidRPr="00D31152">
        <w:t>Council</w:t>
      </w:r>
      <w:proofErr w:type="spellEnd"/>
      <w:r w:rsidRPr="00D31152">
        <w:t>) – bez dalších pokynů či data zveřejnění; kritizuje, že navzdory několika žádostem Parlamentu nebyl kodex chování pro předsedu Evropské rady uveden do souladu s kodexy Parlamentu a Komise, zejména pokud jde o činnost po skončení mandátu;</w:t>
      </w:r>
    </w:p>
    <w:p w14:paraId="4EC21489" w14:textId="77777777" w:rsidR="00E1334D" w:rsidRPr="00D31152" w:rsidRDefault="00E1334D" w:rsidP="00E1334D">
      <w:pPr>
        <w:pStyle w:val="NormalHanging12a"/>
      </w:pPr>
      <w:r w:rsidRPr="00D31152">
        <w:t>57.</w:t>
      </w:r>
      <w:r w:rsidRPr="00D31152">
        <w:tab/>
        <w:t xml:space="preserve">poukazuje na to, že sekretariát zveřejňuje výroční zprávu s informacemi o profesní činnosti bývalých vyšších úředníků sekretariátu po odchodu ze služby podle čl. 16 třetího a čtvrtého pododstavce služebního řádu úředníků Unie; konstatuje, že podle zprávy za rok 2024 uvedl jeden bývalý vyšší úředník, že má v úmyslu zahájit profesní činnost více než 12 měsíců po odchodu ze sekretariátu; konstatuje, že před vydáním rozhodnutí v této věci byla konzultována </w:t>
      </w:r>
      <w:proofErr w:type="spellStart"/>
      <w:r w:rsidRPr="00D31152">
        <w:t>commission</w:t>
      </w:r>
      <w:proofErr w:type="spellEnd"/>
      <w:r w:rsidRPr="00D31152">
        <w:t xml:space="preserve"> </w:t>
      </w:r>
      <w:proofErr w:type="spellStart"/>
      <w:r w:rsidRPr="00D31152">
        <w:t>paritaire</w:t>
      </w:r>
      <w:proofErr w:type="spellEnd"/>
      <w:r w:rsidRPr="00D31152">
        <w:t>; s politováním bere na vědomí, že na internetových stránkách Rady chybí informace o tom, zda bylo ve věci udělení povolení k výkonu požadované činnosti přijato kladné, či záporné rozhodnutí; znovu vyzývá Radu, aby pro zaměstnávání vyšších úředníků po skončení pracovního poměru stanovila jasná, přiměřená a vymahatelná pravidla, jež budou vycházet ze stávajícího právního rámce, a aby zajistila odpovídající transparentnost, zahrnující případně zveřejňování informací o vazbách na soukromý sektor, a to při plném dodržování základních práv a zásady proporcionality;</w:t>
      </w:r>
    </w:p>
    <w:p w14:paraId="069AA217" w14:textId="77777777" w:rsidR="00E1334D" w:rsidRPr="00D31152" w:rsidRDefault="00E1334D" w:rsidP="00E1334D">
      <w:pPr>
        <w:pStyle w:val="NormalHanging12a"/>
      </w:pPr>
      <w:r w:rsidRPr="00D31152">
        <w:t>58.</w:t>
      </w:r>
      <w:r w:rsidRPr="00D31152">
        <w:tab/>
        <w:t>lituje, že účast stálých zástupců členských států v povinném rejstříku transparentnosti zřízeném interinstitucionální dohodou ze dne 20. května 2021 mezi Parlamentem, Radou a Komisí je zcela dobrovolná, protože uplatňování zásady podmíněnosti je ponecháno na uvážení stálých zastoupení jednotlivých členských států; konstatuje, že osvědčeným postupem, kdy ve svém regulačním rámci uplatňují povinnou širokou definici „lobbisty“, se řídí pouze omezený počet členských států a orgány Unie, a trvá na tom, aby se povinného rejstříku transparentnosti před tím, než bude Radě předsedat daný členský stát, během předsednictví i po jeho skončení aktivně účastnila všechna stálá zastoupení; připomíná postoj Parlamentu, že zástupcům členských států, kteří mají přímý prospěch z dotací Unie prostřednictvím podniků, které vlastní, by nemělo být povoleno účastnit se jednání a hlasování o politice nebo rozpočtu, jež se těchto dotací týkají; vyjadřuje politování nad tím, že Rada plně nevyužívá povinný rejstřík transparentnosti ani nepřijímá návrhy na jeho zlepšení; znovu vyzývá Radu, aby se zdržela spolupráce s neregistrovanými lobbisty a zajistila, aby její vyšší úředníci, včetně stálých zástupců a vedoucích delegací, zveřejňovali svá setkání se zájmovými skupinami a lobbisty ve standardizovaném rejstříku transparentnosti, tak aby pro ně platily podobné povinnosti, jako mají poslanci Parlamentu a členové Komise;</w:t>
      </w:r>
    </w:p>
    <w:p w14:paraId="7549096B" w14:textId="77777777" w:rsidR="00E1334D" w:rsidRPr="00D31152" w:rsidRDefault="00E1334D" w:rsidP="00E1334D">
      <w:pPr>
        <w:pStyle w:val="NormalHanging12a"/>
      </w:pPr>
      <w:r w:rsidRPr="00D31152">
        <w:t>59.</w:t>
      </w:r>
      <w:r w:rsidRPr="00D31152">
        <w:tab/>
        <w:t xml:space="preserve">vyjadřuje politování nad tím, že rozhodovací proces v Radě ještě zdaleka není plně transparentní, což ovlivňuje důvěru občanů v Unii jako transparentní subjekt, a tím ohrožuje pověst Unie jako celku; připomíná a podporuje doporučení evropské veřejné ochránkyně práv vydaná v rámci strategického šetření OI/2/2017/TE, která se týkají transparentnosti legislativního procesu Rady; naléhavě žádá Radu, aby neprodleně přijala veškerá nezbytná opatření k uplatňování doporučení veřejné ochránkyně práv a příslušných rozhodnutí Soudního dvora EU; připomíná, že Soudní dvůr EU ve svém rozsudku ve věci T-163/21, De </w:t>
      </w:r>
      <w:proofErr w:type="spellStart"/>
      <w:r w:rsidRPr="00D31152">
        <w:t>Capitani</w:t>
      </w:r>
      <w:proofErr w:type="spellEnd"/>
      <w:r w:rsidRPr="00D31152">
        <w:t xml:space="preserve"> v. Rada, zdůraznil, že má-li se zajistit přístup k legislativním dokumentům, bude od Rady zapotřebí jasnější legislativní transparentnost, což ovšem pouze odpovídá povinnosti Rady v oblasti veřejné kontroly a odpovědnosti </w:t>
      </w:r>
      <w:proofErr w:type="spellStart"/>
      <w:r w:rsidRPr="00D31152">
        <w:t>spolunormotvůrců</w:t>
      </w:r>
      <w:proofErr w:type="spellEnd"/>
      <w:r w:rsidRPr="00D31152">
        <w:t xml:space="preserve"> jako základu jakékoli demokratické legitimity;</w:t>
      </w:r>
    </w:p>
    <w:p w14:paraId="0DFB4F80" w14:textId="77777777" w:rsidR="00E1334D" w:rsidRPr="00D31152" w:rsidRDefault="00E1334D" w:rsidP="00E1334D">
      <w:pPr>
        <w:pStyle w:val="NormalHanging12a"/>
      </w:pPr>
      <w:r w:rsidRPr="00D31152">
        <w:lastRenderedPageBreak/>
        <w:t>60.</w:t>
      </w:r>
      <w:r w:rsidRPr="00D31152">
        <w:tab/>
        <w:t>konstatuje, že veřejná ochránkyně práv zahájila v roce 2023 nové šetření z vlastní iniciativy, které se týkalo způsobu, jakým Rada vyřizuje žádosti o přístup veřejnosti k legislativním dokumentům, a v roce 2024 jej dokončila; bere na vědomí závěry tohoto šetření, podle nichž Rada odůvodňovala odepření přístupu k dokumentům poukazem na ochranu probíhajících rozhodovacích procesů, a to s argumenty, které byly „vágní, abstraktní a nepodložené“; připomíná, že Soudní dvůr EU odmítl argumenty, jejichž součástí byla nutnost zabránit vnějšímu tlaku nebo nesprávnému výkladu ze strany veřejnosti nebo nutnost chránit právní poradenství; je proto znepokojen tím, že Rada nejedná v souladu s judikaturou Unie; žádá Radu, aby tyto nedostatky napravila a legislativní dokumenty neprodleně zveřejňovala, i kdyby to mohlo vyvolat vnější tlak, neboť ten je součástí každého demokratického procesu vytváření právních předpisů, a aby přístup k legislativním dokumentům odmítala pouze za skutečně výjimečných okolností; vyzývá Radu, aby závěry veřejné ochránkyně práv a příslušnou judikaturu neprodleně provedla a zajistila, aby odmítnutí na základě „ochrany probíhajícího rozhodování“ byla případ od případu náležitě odůvodněna, aby byly vysvětleny důvody, které k nim vedly, a aby podléhala důkladnému internímu přezkumu; vyzývá k proaktivnímu a standardnímu zveřejňování klíčových legislativních dokumentů (včetně dokumentů pracovních skupin a vyjednávacích postojů) a k předkládání veřejných výročních zpráv o použitých důvodech zamítnutí;</w:t>
      </w:r>
    </w:p>
    <w:p w14:paraId="7D259E43" w14:textId="77777777" w:rsidR="00E1334D" w:rsidRPr="00D31152" w:rsidRDefault="00E1334D" w:rsidP="00E1334D">
      <w:pPr>
        <w:pStyle w:val="NormalHanging12a"/>
      </w:pPr>
      <w:r w:rsidRPr="00D31152">
        <w:t>61.</w:t>
      </w:r>
      <w:r w:rsidRPr="00D31152">
        <w:tab/>
        <w:t>konstatuje, že tým pro přístup k dokumentům uvedl, že v roce 2024 obdržel a zodpověděl vysoký počet žádostí o přístup veřejnosti k dokumentům, konkrétně 2 872 prvotních žádostí o přístup k dokumentům (pokles oproti 3 732 žádostem v roce 2023), které vyžadovaly analýzu 10 096 dokumentů (pokles oproti 13 912 dokumentům v roce 2023), a 30 opakovaných žádostí (pokles oproti 40 žádostem v roce 2023); bere na vědomí pokles tohoto druhu pracovní zátěže, který byl pravděpodobně způsoben zastavením legislativní činnosti Unie v souvislosti s volbami do Evropského parlamentu v roce 2024;</w:t>
      </w:r>
    </w:p>
    <w:p w14:paraId="27357C75" w14:textId="77777777" w:rsidR="00E1334D" w:rsidRPr="00D31152" w:rsidRDefault="00E1334D" w:rsidP="00E1334D">
      <w:pPr>
        <w:pStyle w:val="NormalHanging12a"/>
      </w:pPr>
      <w:r w:rsidRPr="00D31152">
        <w:t>62.</w:t>
      </w:r>
      <w:r w:rsidRPr="00D31152">
        <w:tab/>
        <w:t>konstatuje, že v rámci prvotních žádostí o přístup k dokumentům byl udělen neomezený přístup k 7 323 dokumentům (72,5 %) a částečný přístup k 1 181 dokumentům (11,70 %), ale k 1 592 dokumentům (15,80 %) byl přístup odepřen; konstatuje, že v případě opakovaných žádostí byl udělen neomezený přístup k 36 dokumentům a částečný přístup ke 45 dokumentům, ale ke 45 dokumentům byl přístup odepřen; konstatuje, že prvotní žádosti byly zpracovány v průměru za 17 pracovních dní a opakované žádosti za 31 pracovních dní;</w:t>
      </w:r>
    </w:p>
    <w:p w14:paraId="49F461C1" w14:textId="77777777" w:rsidR="00E1334D" w:rsidRPr="00D31152" w:rsidRDefault="00E1334D" w:rsidP="00E1334D">
      <w:pPr>
        <w:pStyle w:val="NormalHanging12a"/>
      </w:pPr>
      <w:r w:rsidRPr="00D31152">
        <w:t>63.</w:t>
      </w:r>
      <w:r w:rsidRPr="00D31152">
        <w:tab/>
        <w:t>konstatuje, že v rámci uplatňování rozhodnutí generálního tajemníka 23/2021 o psychickém a sexuálním obtěžování v práci bylo v roce 2024 provedeno několik opatření, jako jsou povinná školení na téma boje proti obtěžování a nevhodnému chování pro nové zaměstnance, nové vedoucí pracovníky a stážisty; konstatuje, že sekretariát má skupinu důvěrných poradců pro boj proti obtěžování, kteří v roce 2024 vyřídili v souvislosti s možným obtěžováním nebo nevhodným chováním 13 žádostí o důvěrné poradenství;</w:t>
      </w:r>
    </w:p>
    <w:p w14:paraId="3F570D5E" w14:textId="77777777" w:rsidR="00E1334D" w:rsidRPr="00D31152" w:rsidRDefault="00E1334D" w:rsidP="00E1334D">
      <w:pPr>
        <w:pStyle w:val="NormalHanging12a"/>
      </w:pPr>
      <w:r w:rsidRPr="00D31152">
        <w:t>64.</w:t>
      </w:r>
      <w:r w:rsidRPr="00D31152">
        <w:tab/>
        <w:t>vítá, že podle veřejně dostupných výročních zpráv nebyly v průběhu roku 2024 příslušné pověřené schvalující osoby upozorněny na žádné případy podvodů či nesrovnalostí ani se neobjevily žádné případy, které by spadaly do působnosti daného výboru (článek 145 finančního nařízení) nebo úřadu OLAF;</w:t>
      </w:r>
    </w:p>
    <w:p w14:paraId="09A8AA57" w14:textId="77777777" w:rsidR="00E1334D" w:rsidRPr="00D31152" w:rsidRDefault="00E1334D" w:rsidP="00E1334D">
      <w:pPr>
        <w:pStyle w:val="NormalHanging12a"/>
        <w:ind w:left="357" w:hanging="357"/>
        <w:rPr>
          <w:b/>
          <w:i/>
          <w:iCs/>
        </w:rPr>
      </w:pPr>
      <w:r w:rsidRPr="00D31152">
        <w:rPr>
          <w:b/>
          <w:i/>
        </w:rPr>
        <w:t>Digitalizace, kybernetická bezpečnost a ochrana údajů</w:t>
      </w:r>
    </w:p>
    <w:p w14:paraId="269B8142" w14:textId="77777777" w:rsidR="00E1334D" w:rsidRPr="00D31152" w:rsidRDefault="00E1334D" w:rsidP="00E1334D">
      <w:pPr>
        <w:pStyle w:val="NormalHanging12a"/>
      </w:pPr>
      <w:r w:rsidRPr="00D31152">
        <w:lastRenderedPageBreak/>
        <w:t>65.</w:t>
      </w:r>
      <w:r w:rsidRPr="00D31152">
        <w:tab/>
        <w:t>konstatuje, že v souladu s prioritami uvedenými v digitální strategii na období 2022–2025 sledoval sekretariát v roce 2024 i nadále cíl digitální transformace; konstatuje, že ze 103 projektů v oblasti IT v ročním pracovním plánu na rok 2024 bylo na konci roku dokončeno 11 %, zatímco 3 % byla zrušena nebo sloučena a většina projektů (62 %) stále pokračovala;</w:t>
      </w:r>
    </w:p>
    <w:p w14:paraId="36BA768D" w14:textId="77777777" w:rsidR="00E1334D" w:rsidRPr="00D31152" w:rsidRDefault="00E1334D" w:rsidP="00E1334D">
      <w:pPr>
        <w:pStyle w:val="NormalHanging12a"/>
      </w:pPr>
      <w:r w:rsidRPr="00D31152">
        <w:t>66.</w:t>
      </w:r>
      <w:r w:rsidRPr="00D31152">
        <w:tab/>
        <w:t>s uspokojením konstatuje, že v roce 2024 bylo 98 % faktur předloženo elektronicky (nárůst oproti 97 % v roce 2023) a 49 % smluv a objednávek sekretariátu bylo podepsáno elektronickým podpisem; dále konstatuje, že všechna nová zadávací řízení v hodnotě vyšší než 143 000 EUR byla řízena pomocí nástroje Komise pro řízení veřejných zakázek;</w:t>
      </w:r>
    </w:p>
    <w:p w14:paraId="2A62D431" w14:textId="77777777" w:rsidR="00E1334D" w:rsidRPr="00D31152" w:rsidRDefault="00E1334D" w:rsidP="00E1334D">
      <w:pPr>
        <w:pStyle w:val="NormalHanging12a"/>
      </w:pPr>
      <w:r w:rsidRPr="00D31152">
        <w:t>67.</w:t>
      </w:r>
      <w:r w:rsidRPr="00D31152">
        <w:tab/>
        <w:t>bere na vědomí hlavní priority sekretariátu, pokud jde o interinstitucionální součinnost a sladění postupů v oblasti provozních procesů týkajících se lidských zdrojů s využitím jednotného portálu služeb (lidské zdroje a informační technologie); bere na vědomí, že v roce 2024 podepsal sekretariát s Komisí memorandum o porozumění týkající se víceletého programu transformace lidských zdrojů, k němuž se sekretariát připojil v červenci 2024;</w:t>
      </w:r>
    </w:p>
    <w:p w14:paraId="2C7334E4" w14:textId="77777777" w:rsidR="00E1334D" w:rsidRPr="00D31152" w:rsidRDefault="00E1334D" w:rsidP="00E1334D">
      <w:pPr>
        <w:pStyle w:val="NormalHanging12a"/>
      </w:pPr>
      <w:r w:rsidRPr="00D31152">
        <w:t>68.</w:t>
      </w:r>
      <w:r w:rsidRPr="00D31152">
        <w:tab/>
        <w:t>vítá další pokrok, kterého sekretariát dosáhl v roce 2024 v oblasti informačních technologií a digitalizace, jako je spuštění nového nástroje pro správu lékařských prohlídek a očkování, nové platformy pro správu žádostí o stáže, první fáze projektu POMME, který zlepšuje pracovní postupy v souvislosti s plánováním zasedání a tlumočení, platformy (</w:t>
      </w:r>
      <w:proofErr w:type="spellStart"/>
      <w:r w:rsidRPr="00D31152">
        <w:t>PreSY</w:t>
      </w:r>
      <w:proofErr w:type="spellEnd"/>
      <w:r w:rsidRPr="00D31152">
        <w:t>) pro komplexní přehled monitorovacích činností ve třech budovách Rady, platformy (e-</w:t>
      </w:r>
      <w:proofErr w:type="spellStart"/>
      <w:r w:rsidRPr="00D31152">
        <w:t>Resto</w:t>
      </w:r>
      <w:proofErr w:type="spellEnd"/>
      <w:r w:rsidRPr="00D31152">
        <w:t xml:space="preserve"> catering) pro činnosti a požadavky související se stravováním a nástroje </w:t>
      </w:r>
      <w:proofErr w:type="spellStart"/>
      <w:r w:rsidRPr="00D31152">
        <w:t>Collab</w:t>
      </w:r>
      <w:proofErr w:type="spellEnd"/>
      <w:r w:rsidRPr="00D31152">
        <w:t xml:space="preserve"> </w:t>
      </w:r>
      <w:proofErr w:type="spellStart"/>
      <w:r w:rsidRPr="00D31152">
        <w:t>Conseil</w:t>
      </w:r>
      <w:proofErr w:type="spellEnd"/>
      <w:r w:rsidRPr="00D31152">
        <w:t>, určeného k ukládání všech logistických dokumentů potřebných při přípravě zasedání Rady ministrů;</w:t>
      </w:r>
    </w:p>
    <w:p w14:paraId="5AC0E78B" w14:textId="77777777" w:rsidR="00E1334D" w:rsidRPr="00D31152" w:rsidRDefault="00E1334D" w:rsidP="00E1334D">
      <w:pPr>
        <w:pStyle w:val="NormalHanging12a"/>
      </w:pPr>
      <w:r w:rsidRPr="00D31152">
        <w:t>69.</w:t>
      </w:r>
      <w:r w:rsidRPr="00D31152">
        <w:tab/>
        <w:t>bere na vědomí, že sekretariát testoval různé nástroje založené na umělé inteligenci určené k zodpovídání otázek týkajících se služebního řádu, vytváření vzdělávacích materiálů (strukturovaný obsah, případové studie, kvízy nebo videa na základě specifického promptu) nebo k podpoře vedoucích pracovníků při posuzování životopisů; zdůrazňuje, že umělou inteligenci je nutné využívat tak, aby byly zaručeny přísné zásady etického využívání, transparentnosti, ochrany údajů, lidského dohledu a ochrany před algoritmickou předpojatostí či zneužitím;</w:t>
      </w:r>
    </w:p>
    <w:p w14:paraId="357F9BBC" w14:textId="77777777" w:rsidR="00E1334D" w:rsidRPr="00D31152" w:rsidRDefault="00E1334D" w:rsidP="00E1334D">
      <w:pPr>
        <w:pStyle w:val="NormalHanging12a"/>
      </w:pPr>
      <w:r w:rsidRPr="00D31152">
        <w:t>70.</w:t>
      </w:r>
      <w:r w:rsidRPr="00D31152">
        <w:tab/>
        <w:t>konstatuje, že v roce 2024 provedl evropský inspektor ochrany údajů audit zpracování zdravotních údajů, zejména jejich uchovávání, v klíčových evropských orgánech, včetně sekretariátu; vyzývá sekretariát, aby provedl doporučení evropského inspektora ochrany údajů týkající se zajištění řádné politiky uchovávání údajů;</w:t>
      </w:r>
    </w:p>
    <w:p w14:paraId="7B8645C6" w14:textId="77777777" w:rsidR="00E1334D" w:rsidRPr="00D31152" w:rsidRDefault="00E1334D" w:rsidP="00E1334D">
      <w:pPr>
        <w:pStyle w:val="NormalHanging12a"/>
        <w:rPr>
          <w:b/>
        </w:rPr>
      </w:pPr>
      <w:r w:rsidRPr="00D31152">
        <w:t>71.</w:t>
      </w:r>
      <w:r w:rsidRPr="00D31152">
        <w:tab/>
        <w:t xml:space="preserve">bere na vědomí činnost sekretariátu v rámci jeho struktury digitálních služeb, jejímž cílem je dosáhnout souladu s novým nařízením o kybernetické bezpečnosti, které vstoupilo v platnost na začátku roku 2024; v této souvislosti konstatuje, že v roce 2024 vypracoval sekretariát interní postupy pro podávání zpráv o kybernetických bezpečnostních incidentech, poskytl podklady pro všechny pokyny Služby kybernetické bezpečnosti pro orgány, instituce a jiné subjekty Unie (CERT-EU) a zřídil útvar pro řízení dodržování předpisů v oblasti kybernetické bezpečnosti a že v tomto roce bylo dokončeno 11 zpráv o dodržování předpisů; vítá úsilí sekretariátu o dokončení počátečního přezkumu kybernetické bezpečnosti všech digitálních sítí a informačních systémů sekretariátu; oceňuje zapojení Rady do přípravy Evropského měsíce </w:t>
      </w:r>
      <w:r w:rsidRPr="00D31152">
        <w:lastRenderedPageBreak/>
        <w:t>kybernetické bezpečnosti 2024, zaměřeného na sociální inženýrství;</w:t>
      </w:r>
    </w:p>
    <w:p w14:paraId="692FABE5" w14:textId="77777777" w:rsidR="00E1334D" w:rsidRPr="00D31152" w:rsidRDefault="00E1334D" w:rsidP="00E1334D">
      <w:pPr>
        <w:pStyle w:val="NormalHanging12a"/>
        <w:ind w:left="360" w:hanging="360"/>
        <w:rPr>
          <w:b/>
          <w:bCs/>
          <w:i/>
        </w:rPr>
      </w:pPr>
      <w:r w:rsidRPr="00D31152">
        <w:rPr>
          <w:b/>
          <w:i/>
        </w:rPr>
        <w:t>Budovy</w:t>
      </w:r>
    </w:p>
    <w:p w14:paraId="64E270D7" w14:textId="77777777" w:rsidR="00E1334D" w:rsidRPr="00D31152" w:rsidRDefault="00E1334D" w:rsidP="00E1334D">
      <w:pPr>
        <w:pStyle w:val="NormalHanging12a"/>
      </w:pPr>
      <w:r w:rsidRPr="00D31152">
        <w:t>72.</w:t>
      </w:r>
      <w:r w:rsidRPr="00D31152">
        <w:tab/>
        <w:t xml:space="preserve">bere na vědomí, že v roce 2024 byly realizovány klíčové projekty, jako je renovace zasedacích místností Rady, včetně nového nábytku, kancelářských chodeb a akreditačního pultu v budově </w:t>
      </w:r>
      <w:proofErr w:type="spellStart"/>
      <w:r w:rsidRPr="00D31152">
        <w:t>Justus</w:t>
      </w:r>
      <w:proofErr w:type="spellEnd"/>
      <w:r w:rsidRPr="00D31152">
        <w:t xml:space="preserve"> </w:t>
      </w:r>
      <w:proofErr w:type="spellStart"/>
      <w:r w:rsidRPr="00D31152">
        <w:t>Lipsius</w:t>
      </w:r>
      <w:proofErr w:type="spellEnd"/>
      <w:r w:rsidRPr="00D31152">
        <w:t>;</w:t>
      </w:r>
    </w:p>
    <w:p w14:paraId="5E0FE396" w14:textId="77777777" w:rsidR="00E1334D" w:rsidRPr="00D31152" w:rsidRDefault="00E1334D" w:rsidP="00E1334D">
      <w:pPr>
        <w:pStyle w:val="NormalHanging12a"/>
      </w:pPr>
      <w:r w:rsidRPr="00D31152">
        <w:t>73.</w:t>
      </w:r>
      <w:r w:rsidRPr="00D31152">
        <w:tab/>
        <w:t xml:space="preserve">bere na vědomí, že sekretariát zahájil přípravné činnosti na renovaci svých budov, včetně budovy </w:t>
      </w:r>
      <w:proofErr w:type="spellStart"/>
      <w:r w:rsidRPr="00D31152">
        <w:t>Justus</w:t>
      </w:r>
      <w:proofErr w:type="spellEnd"/>
      <w:r w:rsidRPr="00D31152">
        <w:t xml:space="preserve"> </w:t>
      </w:r>
      <w:proofErr w:type="spellStart"/>
      <w:r w:rsidRPr="00D31152">
        <w:t>Lipsius</w:t>
      </w:r>
      <w:proofErr w:type="spellEnd"/>
      <w:r w:rsidRPr="00D31152">
        <w:t xml:space="preserve"> a hlavní administrativní budovy; je informován o vyjádřené potřebě provést celkovou rekonstrukci těchto budov, aby byl zajištěn jejich účinný provoz a plný soulad s regulačním rámcem Unie v oblasti environmentální výkonnosti;</w:t>
      </w:r>
    </w:p>
    <w:p w14:paraId="229AD885" w14:textId="77777777" w:rsidR="00E1334D" w:rsidRPr="00D31152" w:rsidRDefault="00E1334D" w:rsidP="00E1334D">
      <w:pPr>
        <w:pStyle w:val="NormalHanging12a"/>
      </w:pPr>
      <w:r w:rsidRPr="00D31152">
        <w:t>74.</w:t>
      </w:r>
      <w:r w:rsidRPr="00D31152">
        <w:tab/>
        <w:t xml:space="preserve">konstatuje, že v roce 2024 došlo prostřednictvím převodu rozpočtových prostředků k navýšení rozpočtové položky 2011 „Voda, plyn, elektřina a topení“ o 33 %; poukazuje na to, že sekretariát pokračoval ve snižování spotřeby energie, například tím, že omezil vytápění budov a v budově </w:t>
      </w:r>
      <w:proofErr w:type="spellStart"/>
      <w:r w:rsidRPr="00D31152">
        <w:t>Justus</w:t>
      </w:r>
      <w:proofErr w:type="spellEnd"/>
      <w:r w:rsidRPr="00D31152">
        <w:t xml:space="preserve"> </w:t>
      </w:r>
      <w:proofErr w:type="spellStart"/>
      <w:r w:rsidRPr="00D31152">
        <w:t>Lipsius</w:t>
      </w:r>
      <w:proofErr w:type="spellEnd"/>
      <w:r w:rsidRPr="00D31152">
        <w:t> vyměnil kotle;</w:t>
      </w:r>
    </w:p>
    <w:p w14:paraId="297136CB" w14:textId="77777777" w:rsidR="00E1334D" w:rsidRPr="00D31152" w:rsidRDefault="00E1334D" w:rsidP="00E1334D">
      <w:pPr>
        <w:pStyle w:val="NormalHanging12a"/>
      </w:pPr>
      <w:r w:rsidRPr="00D31152">
        <w:t>75.</w:t>
      </w:r>
      <w:r w:rsidRPr="00D31152">
        <w:tab/>
        <w:t>konstatuje, že v roce 2024 byly realizovány klíčové projekty, jako je renovace některých zasedacích místností v budově LEX a </w:t>
      </w:r>
      <w:proofErr w:type="spellStart"/>
      <w:r w:rsidRPr="00D31152">
        <w:t>Justus</w:t>
      </w:r>
      <w:proofErr w:type="spellEnd"/>
      <w:r w:rsidRPr="00D31152">
        <w:t xml:space="preserve"> </w:t>
      </w:r>
      <w:proofErr w:type="spellStart"/>
      <w:r w:rsidRPr="00D31152">
        <w:t>Lipsius</w:t>
      </w:r>
      <w:proofErr w:type="spellEnd"/>
      <w:r w:rsidRPr="00D31152">
        <w:t xml:space="preserve">, průběžná renovace kancelářských chodeb v budově </w:t>
      </w:r>
      <w:proofErr w:type="spellStart"/>
      <w:r w:rsidRPr="00D31152">
        <w:t>Justus</w:t>
      </w:r>
      <w:proofErr w:type="spellEnd"/>
      <w:r w:rsidRPr="00D31152">
        <w:t xml:space="preserve"> </w:t>
      </w:r>
      <w:proofErr w:type="spellStart"/>
      <w:r w:rsidRPr="00D31152">
        <w:t>Lipsius</w:t>
      </w:r>
      <w:proofErr w:type="spellEnd"/>
      <w:r w:rsidRPr="00D31152">
        <w:t xml:space="preserve">, zlepšení zařízení a infrastruktury pro jízdní kola v prostorách generálního sekretariátu Rady a modernizace recepce v budově </w:t>
      </w:r>
      <w:proofErr w:type="spellStart"/>
      <w:r w:rsidRPr="00D31152">
        <w:t>Justus</w:t>
      </w:r>
      <w:proofErr w:type="spellEnd"/>
      <w:r w:rsidRPr="00D31152">
        <w:t xml:space="preserve"> </w:t>
      </w:r>
      <w:proofErr w:type="spellStart"/>
      <w:r w:rsidRPr="00D31152">
        <w:t>Lipsius</w:t>
      </w:r>
      <w:proofErr w:type="spellEnd"/>
      <w:r w:rsidRPr="00D31152">
        <w:t>;</w:t>
      </w:r>
    </w:p>
    <w:p w14:paraId="774FC05E" w14:textId="77777777" w:rsidR="00E1334D" w:rsidRPr="00D31152" w:rsidRDefault="00E1334D" w:rsidP="00E1334D">
      <w:pPr>
        <w:pStyle w:val="NormalHanging12a"/>
      </w:pPr>
      <w:r w:rsidRPr="00D31152">
        <w:t>76.</w:t>
      </w:r>
      <w:r w:rsidRPr="00D31152">
        <w:tab/>
        <w:t>vyjadřuje politování nad tím, že Rada stále nezavedla zjednodušené akreditační řízení, které by usnadnilo přístup zaměstnanců jiných orgánů Unie do prostor Rady; vyzývá Radu, aby tento postup v duchu interinstitucionální spolupráce neprodleně zavedla;</w:t>
      </w:r>
    </w:p>
    <w:p w14:paraId="4993BFF2" w14:textId="77777777" w:rsidR="00E1334D" w:rsidRPr="00D31152" w:rsidRDefault="00E1334D" w:rsidP="00E1334D">
      <w:pPr>
        <w:pStyle w:val="NormalHanging12a"/>
        <w:rPr>
          <w:b/>
          <w:i/>
        </w:rPr>
      </w:pPr>
      <w:r w:rsidRPr="00D31152">
        <w:rPr>
          <w:b/>
          <w:i/>
        </w:rPr>
        <w:t>Životní prostředí a udržitelnost</w:t>
      </w:r>
    </w:p>
    <w:p w14:paraId="44379309" w14:textId="77777777" w:rsidR="00E1334D" w:rsidRPr="00D31152" w:rsidRDefault="00E1334D" w:rsidP="00E1334D">
      <w:pPr>
        <w:pStyle w:val="NormalHanging12a"/>
      </w:pPr>
      <w:r w:rsidRPr="00D31152">
        <w:t>77.</w:t>
      </w:r>
      <w:r w:rsidRPr="00D31152">
        <w:tab/>
        <w:t>konstatuje, že v návaznosti na externí audit provedený v roce 2024 byla zachována certifikace sekretariátu v rámci systému pro environmentální řízení podniků a audit (EMAS);</w:t>
      </w:r>
    </w:p>
    <w:p w14:paraId="23109E3B" w14:textId="77777777" w:rsidR="00E1334D" w:rsidRPr="00D31152" w:rsidRDefault="00E1334D" w:rsidP="00E1334D">
      <w:pPr>
        <w:pStyle w:val="NormalHanging12a"/>
      </w:pPr>
      <w:r w:rsidRPr="00D31152">
        <w:t>78.</w:t>
      </w:r>
      <w:r w:rsidRPr="00D31152">
        <w:tab/>
        <w:t>konstatuje, že sekretariát dosáhl v roce 2024 úspor energie zlepšením energetické účinnosti svých technických infrastruktur, jako jsou systémy osvětlení v budovách, které využívá; bere na vědomí snížení spotřeby energie sekretariátu o 24,40 % mezi roky 2018 a 2024 a snížení spotřeby vody o 17 % mezi roky 2023 a 2024; vítá iniciativy sekretariátu k dalšímu snížení spotřeby papíru;</w:t>
      </w:r>
    </w:p>
    <w:p w14:paraId="4F930EBB" w14:textId="77777777" w:rsidR="00E1334D" w:rsidRPr="00D31152" w:rsidRDefault="00E1334D" w:rsidP="00E1334D">
      <w:pPr>
        <w:pStyle w:val="NormalHanging12a"/>
      </w:pPr>
      <w:r w:rsidRPr="00D31152">
        <w:t>79.</w:t>
      </w:r>
      <w:r w:rsidRPr="00D31152">
        <w:tab/>
        <w:t xml:space="preserve">vítá udržitelné postupy sekretariátu, které jsou součástí některých jeho činností; mimo jiné konstatuje, že několik zadávacích řízení a rámcových smluv obsahuje kritéria týkající se snižování množství odpadu a recyklace zařízení, že projekty spojené se zadáváním veřejných zakázek vysoké hodnoty v sekretariátu jsou konzultovány s oddělením „Green Office“ a že restaurace sekretariátu získaly v roce 2024 certifikaci </w:t>
      </w:r>
      <w:proofErr w:type="spellStart"/>
      <w:r w:rsidRPr="00D31152">
        <w:t>Good</w:t>
      </w:r>
      <w:proofErr w:type="spellEnd"/>
      <w:r w:rsidRPr="00D31152">
        <w:t xml:space="preserve"> Food; vítá skutečnost, že sekretariát v roce 2024 revidoval příručku pro služební cesty zaměstnanců, která vstoupila v platnost v roce 2025 a zahrnuje nové pobídky ke snížení uhlíkové stopy způsobené cestami zaměstnanců; s uspokojením konstatuje zvýšení počtu zaměstnanců, kteří do práce dojíždějí udržitelnými prostředky, jako je veřejná doprava nebo jízdní kolo, a to z 67 % v roce 2023 na 78 % v roce 2024;</w:t>
      </w:r>
    </w:p>
    <w:p w14:paraId="57A8F8D8" w14:textId="77777777" w:rsidR="00E1334D" w:rsidRPr="00D31152" w:rsidRDefault="00E1334D" w:rsidP="00E1334D">
      <w:pPr>
        <w:pStyle w:val="NormalHanging12a"/>
      </w:pPr>
      <w:r w:rsidRPr="00D31152">
        <w:lastRenderedPageBreak/>
        <w:t>80.</w:t>
      </w:r>
      <w:r w:rsidRPr="00D31152">
        <w:tab/>
        <w:t>vítá skutečnost, že sekretariát vypracoval environmentální strategii, která vymezuje cestu ke zlepšení environmentální výkonnosti sekretariátu na období od roku 2025 do roku 2030, a zavedl komunikační opatření s cílem zvýšit povědomí zaměstnanců, delegátů i návštěvníků o opatřeních, která lze v oblasti životního prostředí přijmout;</w:t>
      </w:r>
    </w:p>
    <w:p w14:paraId="085F594E" w14:textId="77777777" w:rsidR="00E1334D" w:rsidRPr="00D31152" w:rsidRDefault="00E1334D" w:rsidP="00E1334D">
      <w:pPr>
        <w:pStyle w:val="NormalHanging12a"/>
      </w:pPr>
      <w:r w:rsidRPr="00D31152">
        <w:t>81.</w:t>
      </w:r>
      <w:r w:rsidRPr="00D31152">
        <w:tab/>
        <w:t xml:space="preserve">bere na vědomí, že sekretariát zakoupil udržitelnější dopravní prostředky, tj. jeden elektrický sedan a tři hybridní minivany; dále konstatuje, že byla zlepšena infrastruktura a zařízení pro jízdní kola před budovou </w:t>
      </w:r>
      <w:proofErr w:type="spellStart"/>
      <w:r w:rsidRPr="00D31152">
        <w:t>Justus</w:t>
      </w:r>
      <w:proofErr w:type="spellEnd"/>
      <w:r w:rsidRPr="00D31152">
        <w:t xml:space="preserve"> </w:t>
      </w:r>
      <w:proofErr w:type="spellStart"/>
      <w:r w:rsidRPr="00D31152">
        <w:t>Lipsius</w:t>
      </w:r>
      <w:proofErr w:type="spellEnd"/>
      <w:r w:rsidRPr="00D31152">
        <w:t>;</w:t>
      </w:r>
    </w:p>
    <w:p w14:paraId="4CF1A8DA" w14:textId="77777777" w:rsidR="00E1334D" w:rsidRPr="00D31152" w:rsidRDefault="00E1334D" w:rsidP="00E1334D">
      <w:pPr>
        <w:spacing w:after="240"/>
        <w:ind w:left="360" w:hanging="567"/>
        <w:rPr>
          <w:b/>
          <w:i/>
          <w:iCs/>
        </w:rPr>
      </w:pPr>
      <w:r w:rsidRPr="00D31152">
        <w:rPr>
          <w:b/>
          <w:i/>
        </w:rPr>
        <w:t>Interinstitucionální spolupráce</w:t>
      </w:r>
    </w:p>
    <w:p w14:paraId="6DE790C7" w14:textId="77777777" w:rsidR="00E1334D" w:rsidRPr="00D31152" w:rsidRDefault="00E1334D" w:rsidP="00E1334D">
      <w:pPr>
        <w:pStyle w:val="NormalHanging12a"/>
      </w:pPr>
      <w:r w:rsidRPr="00D31152">
        <w:t>82.</w:t>
      </w:r>
      <w:r w:rsidRPr="00D31152">
        <w:tab/>
        <w:t>zdůrazňuje, že je třeba revidovat článek 319 Smlouvy o fungování EU tak, aby výslovně stanovil, že Parlament vedle udělování absolutoria Komisi uděluje absolutorium také dalším orgánům, institucím a jiným subjektům Unie, pokud jde o plnění jejich rozpočtových oddílů nebo jejich rozpočtů, aby se tak zajistila právní jistota, soudržnost a rovné zacházení s orgány Unie; vyzývá Radu, aby včas podnikla konkrétní kroky k překonání interinstitucionálního konfliktu a obnovila rozhovory s Parlamentem s cílem dosáhnout společné dohody o bezproblémovém obnovení postupu udělování absolutoria, jenž bude v souladu se Smlouvami;</w:t>
      </w:r>
    </w:p>
    <w:p w14:paraId="67AA1D79" w14:textId="77777777" w:rsidR="00E1334D" w:rsidRPr="00D31152" w:rsidRDefault="00E1334D" w:rsidP="00E1334D">
      <w:pPr>
        <w:pStyle w:val="NormalHanging12a"/>
      </w:pPr>
      <w:r w:rsidRPr="00D31152">
        <w:t>83.</w:t>
      </w:r>
      <w:r w:rsidRPr="00D31152">
        <w:tab/>
        <w:t>vyzývá Radu, aby v zájmu vyřešení dlouhodobé patové situace při udělování absolutoria obnovila jednání na nejvyšší úrovni; žádá Komisi a právní službu Rady, aby poskytly právní stanovisko k možným řešením založeným na Smlouvě, jimiž se prosadí odpovědnost Rady v rámci postupu udělování absolutoria;</w:t>
      </w:r>
    </w:p>
    <w:p w14:paraId="04399C7A" w14:textId="77777777" w:rsidR="00E1334D" w:rsidRPr="00D31152" w:rsidRDefault="00E1334D" w:rsidP="00E1334D">
      <w:pPr>
        <w:pStyle w:val="NormalHanging12a"/>
        <w:rPr>
          <w:b/>
          <w:i/>
          <w:iCs/>
        </w:rPr>
      </w:pPr>
      <w:r w:rsidRPr="00D31152">
        <w:rPr>
          <w:b/>
          <w:i/>
        </w:rPr>
        <w:t>Komunikace</w:t>
      </w:r>
    </w:p>
    <w:p w14:paraId="3134AEEA" w14:textId="77777777" w:rsidR="00E1334D" w:rsidRPr="00D31152" w:rsidRDefault="00E1334D" w:rsidP="00E1334D">
      <w:pPr>
        <w:pStyle w:val="NormalHanging12a"/>
      </w:pPr>
      <w:r w:rsidRPr="00D31152">
        <w:t>84.</w:t>
      </w:r>
      <w:r w:rsidRPr="00D31152">
        <w:tab/>
        <w:t>konstatuje, že v roce 2024 činil celkový rozpočet na komunikaci, při zohlednění převodů provedených v průběhu roku, 12 518 610 EUR, tj. byl o 5,45 % vyšší než rozpočet na rok 2023;</w:t>
      </w:r>
    </w:p>
    <w:p w14:paraId="4D27227F" w14:textId="77777777" w:rsidR="00E1334D" w:rsidRPr="00D31152" w:rsidRDefault="00E1334D" w:rsidP="00E1334D">
      <w:pPr>
        <w:pStyle w:val="NormalHanging12a"/>
      </w:pPr>
      <w:r w:rsidRPr="00D31152">
        <w:t>85.</w:t>
      </w:r>
      <w:r w:rsidRPr="00D31152">
        <w:tab/>
        <w:t>podotýká, že v roce 2024 poskytoval sekretariát komunikační služby předsedovi Evropské rady, předsedovi Euroskupiny, rotujícím předsednictvím (Belgie a Maďarsko), vysokému představiteli Unie pro zahraniční věci a bezpečnostní politiku, místopředsedovi Komise, členským státům a sekretariátu; konstatuje, že v roce 2024 zajišťoval sekretariát nepřetržitou podporu vztahů s médii a podporu přítomnosti na sociálních médiích a na internetu po celou dobu výměny držitelů funkcí, organizoval audiovizuální zpravodajství a streamování klíčových mezinárodních schůzí a udržoval vysoce kvalitní provozní podporu včetně živého vysílání událostí, tiskových služeb a budování vizuální identity pro institucionální summity a zasedání;</w:t>
      </w:r>
    </w:p>
    <w:p w14:paraId="716333A8" w14:textId="77777777" w:rsidR="00E1334D" w:rsidRPr="00D31152" w:rsidRDefault="00E1334D" w:rsidP="00E1334D">
      <w:pPr>
        <w:pStyle w:val="NormalHanging12a"/>
      </w:pPr>
      <w:r w:rsidRPr="00D31152">
        <w:t>86.</w:t>
      </w:r>
      <w:r w:rsidRPr="00D31152">
        <w:tab/>
        <w:t>poukazuje na to, že podle jednoho online průzkumu provedeného v posledním čtvrtletí roku 2024 bylo s fungováním internetových stránek Rady, které zaznamenaly v roce 2024 více než 26 milionů návštěv (nárůst o 7 % oproti roku 2023) a které měly 71 400 odběratelů (oproti 57 900 odběratelům v roce 2023), spokojeno 68,30 % uživatelů (nárůst oproti 67 % v roce 2023);</w:t>
      </w:r>
    </w:p>
    <w:p w14:paraId="05C1A5DA" w14:textId="77777777" w:rsidR="00E1334D" w:rsidRPr="00D31152" w:rsidRDefault="00E1334D" w:rsidP="00E1334D">
      <w:pPr>
        <w:spacing w:after="240"/>
        <w:ind w:left="567" w:hanging="567"/>
      </w:pPr>
      <w:r w:rsidRPr="00D31152">
        <w:t>87.</w:t>
      </w:r>
      <w:r w:rsidRPr="00D31152">
        <w:tab/>
        <w:t xml:space="preserve">konstatuje, že generální ředitelství pro komunikaci (GŘ COMM) uskutečnilo v průběhu roku 2024 rozsáhlé aktivity pro tisk a média, včetně 76 tiskových brífinků, 771 tiskových zpráv, 84 tiskových konferencí a komplexní podpory akreditace médií a mediálního zpravodajství; dále konstatuje, že tiskové středisko a internetové stránky </w:t>
      </w:r>
      <w:r w:rsidRPr="00D31152">
        <w:lastRenderedPageBreak/>
        <w:t>Rady byly hojně využívány, přičemž tisková sekce internetových stránek Rady zaznamenala více než 6,4 milionu návštěv a stránky věnované zasedáním téměř 2 miliony návštěv, což svědčí o trvalém zájmu veřejnosti a médií o rozhodování Rady;</w:t>
      </w:r>
    </w:p>
    <w:p w14:paraId="71044C5F" w14:textId="3A12D03D" w:rsidR="00D31152" w:rsidRPr="00D31152" w:rsidRDefault="00E1334D" w:rsidP="00D31152">
      <w:pPr>
        <w:pStyle w:val="NormalHanging12a"/>
      </w:pPr>
      <w:r w:rsidRPr="00D31152">
        <w:t>88.</w:t>
      </w:r>
      <w:r w:rsidRPr="00D31152">
        <w:tab/>
        <w:t>bere na vědomí, že v roce 2024 digitální týmy sekretariátu v úzké spolupráci s předsednictvími monitorovaly a vylepšovaly internetové stránky belgického a maďarského předsednictví, které dohromady zaznamenaly přibližně 407 000 návštěv a 1,2 milionu zobrazení stránek, a pokračovaly ve vylepšování hlavních internetových stránek Rady, kde provedly 19 souborů uživatelsky orientovaných vylepšení; dále bere na vědomí, že byla zavedena funkce strojového překladu a vylepšena přístupnost a byl proveden rozsáhlý průzkum mezi uživateli s cílem zlepšit srozumitelnost online obsahu ve všech úředních jazycích Unie a orientaci v tomto obsahu, a tím posílit digitální dosah Rady a její kontakt se zúčastněnými stranami a občany.</w:t>
      </w:r>
    </w:p>
    <w:p w14:paraId="3DA6F4DE" w14:textId="2D95CEC0" w:rsidR="00E365E1" w:rsidRPr="00D31152" w:rsidRDefault="00E365E1" w:rsidP="00C746D5"/>
    <w:sectPr w:rsidR="00E365E1" w:rsidRPr="00D31152" w:rsidSect="00D3115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64700" w14:textId="77777777" w:rsidR="00C746D5" w:rsidRPr="00D31152" w:rsidRDefault="00C746D5">
      <w:r w:rsidRPr="00D31152">
        <w:separator/>
      </w:r>
    </w:p>
  </w:endnote>
  <w:endnote w:type="continuationSeparator" w:id="0">
    <w:p w14:paraId="5FAC3C69" w14:textId="77777777" w:rsidR="00C746D5" w:rsidRPr="00D31152" w:rsidRDefault="00C746D5">
      <w:r w:rsidRPr="00D311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6C018" w14:textId="77777777" w:rsidR="00E1334D" w:rsidRPr="00D31152" w:rsidRDefault="00E1334D" w:rsidP="00225BFF">
    <w:pPr>
      <w:pStyle w:val="EPFooter"/>
    </w:pPr>
    <w:r w:rsidRPr="00D31152">
      <w:t>PE</w:t>
    </w:r>
    <w:r w:rsidRPr="00D31152">
      <w:rPr>
        <w:rStyle w:val="HideTWBExt"/>
      </w:rPr>
      <w:t>&lt;</w:t>
    </w:r>
    <w:proofErr w:type="spellStart"/>
    <w:r w:rsidRPr="00D31152">
      <w:rPr>
        <w:rStyle w:val="HideTWBExt"/>
      </w:rPr>
      <w:t>NoPE</w:t>
    </w:r>
    <w:proofErr w:type="spellEnd"/>
    <w:r w:rsidRPr="00D31152">
      <w:rPr>
        <w:rStyle w:val="HideTWBExt"/>
      </w:rPr>
      <w:t>&gt;</w:t>
    </w:r>
    <w:r w:rsidRPr="00D31152">
      <w:t>778.049</w:t>
    </w:r>
    <w:r w:rsidRPr="00D31152">
      <w:rPr>
        <w:rStyle w:val="HideTWBExt"/>
      </w:rPr>
      <w:t>&lt;/</w:t>
    </w:r>
    <w:proofErr w:type="spellStart"/>
    <w:r w:rsidRPr="00D31152">
      <w:rPr>
        <w:rStyle w:val="HideTWBExt"/>
      </w:rPr>
      <w:t>NoPE</w:t>
    </w:r>
    <w:proofErr w:type="spellEnd"/>
    <w:r w:rsidRPr="00D31152">
      <w:rPr>
        <w:rStyle w:val="HideTWBExt"/>
      </w:rPr>
      <w:t>&gt;&lt;Version&gt;</w:t>
    </w:r>
    <w:r w:rsidRPr="00D31152">
      <w:t>v03-00</w:t>
    </w:r>
    <w:r w:rsidRPr="00D31152">
      <w:rPr>
        <w:rStyle w:val="HideTWBExt"/>
      </w:rPr>
      <w:t>&lt;/</w:t>
    </w:r>
    <w:proofErr w:type="spellStart"/>
    <w:r w:rsidRPr="00D31152">
      <w:rPr>
        <w:rStyle w:val="HideTWBExt"/>
      </w:rPr>
      <w:t>Version</w:t>
    </w:r>
    <w:proofErr w:type="spellEnd"/>
    <w:r w:rsidRPr="00D31152">
      <w:rPr>
        <w:rStyle w:val="HideTWBExt"/>
      </w:rPr>
      <w:t>&gt;</w:t>
    </w:r>
    <w:r w:rsidRPr="00D31152">
      <w:tab/>
    </w:r>
    <w:r w:rsidRPr="00D31152">
      <w:fldChar w:fldCharType="begin"/>
    </w:r>
    <w:r w:rsidRPr="00D31152">
      <w:instrText xml:space="preserve"> PAGE  \* MERGEFORMAT </w:instrText>
    </w:r>
    <w:r w:rsidRPr="00D31152">
      <w:fldChar w:fldCharType="separate"/>
    </w:r>
    <w:r w:rsidRPr="00D31152">
      <w:rPr>
        <w:noProof/>
      </w:rPr>
      <w:t>6</w:t>
    </w:r>
    <w:r w:rsidRPr="00D31152">
      <w:fldChar w:fldCharType="end"/>
    </w:r>
    <w:r w:rsidRPr="00D31152">
      <w:t>/</w:t>
    </w:r>
    <w:fldSimple w:instr=" NUMPAGES  \* MERGEFORMAT ">
      <w:r w:rsidRPr="00D31152">
        <w:rPr>
          <w:noProof/>
        </w:rPr>
        <w:t>23</w:t>
      </w:r>
    </w:fldSimple>
    <w:r w:rsidRPr="00D31152">
      <w:tab/>
    </w:r>
    <w:r w:rsidRPr="00D31152">
      <w:rPr>
        <w:rStyle w:val="HideTWBExt"/>
      </w:rPr>
      <w:t>&lt;PathFdR&gt;</w:t>
    </w:r>
    <w:r w:rsidRPr="00D31152">
      <w:t>RR\1340408CS.docx</w:t>
    </w:r>
    <w:r w:rsidRPr="00D31152">
      <w:rPr>
        <w:rStyle w:val="HideTWBExt"/>
      </w:rPr>
      <w:t>&lt;/</w:t>
    </w:r>
    <w:proofErr w:type="spellStart"/>
    <w:r w:rsidRPr="00D31152">
      <w:rPr>
        <w:rStyle w:val="HideTWBExt"/>
      </w:rPr>
      <w:t>PathFdR</w:t>
    </w:r>
    <w:proofErr w:type="spellEnd"/>
    <w:r w:rsidRPr="00D31152">
      <w:rPr>
        <w:rStyle w:val="HideTWBExt"/>
      </w:rPr>
      <w:t>&gt;</w:t>
    </w:r>
  </w:p>
  <w:p w14:paraId="3594407F" w14:textId="77777777" w:rsidR="00E1334D" w:rsidRPr="00D31152" w:rsidRDefault="00E1334D" w:rsidP="00225BFF">
    <w:pPr>
      <w:pStyle w:val="EPFooter2"/>
    </w:pPr>
    <w:r w:rsidRPr="00D31152">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2222" w14:textId="77777777" w:rsidR="00E1334D" w:rsidRPr="00D31152" w:rsidRDefault="00E1334D" w:rsidP="00225BFF">
    <w:pPr>
      <w:pStyle w:val="EPFooter"/>
    </w:pPr>
    <w:r w:rsidRPr="00D31152">
      <w:rPr>
        <w:rStyle w:val="HideTWBExt"/>
      </w:rPr>
      <w:t>&lt;PathFdR&gt;</w:t>
    </w:r>
    <w:r w:rsidRPr="00D31152">
      <w:t>RR\1340408CS.docx</w:t>
    </w:r>
    <w:r w:rsidRPr="00D31152">
      <w:rPr>
        <w:rStyle w:val="HideTWBExt"/>
      </w:rPr>
      <w:t>&lt;/</w:t>
    </w:r>
    <w:proofErr w:type="spellStart"/>
    <w:r w:rsidRPr="00D31152">
      <w:rPr>
        <w:rStyle w:val="HideTWBExt"/>
      </w:rPr>
      <w:t>PathFdR</w:t>
    </w:r>
    <w:proofErr w:type="spellEnd"/>
    <w:r w:rsidRPr="00D31152">
      <w:rPr>
        <w:rStyle w:val="HideTWBExt"/>
      </w:rPr>
      <w:t>&gt;</w:t>
    </w:r>
    <w:r w:rsidRPr="00D31152">
      <w:tab/>
    </w:r>
    <w:r w:rsidRPr="00D31152">
      <w:tab/>
      <w:t>PE</w:t>
    </w:r>
    <w:r w:rsidRPr="00D31152">
      <w:rPr>
        <w:rStyle w:val="HideTWBExt"/>
      </w:rPr>
      <w:t>&lt;</w:t>
    </w:r>
    <w:proofErr w:type="spellStart"/>
    <w:r w:rsidRPr="00D31152">
      <w:rPr>
        <w:rStyle w:val="HideTWBExt"/>
      </w:rPr>
      <w:t>NoPE</w:t>
    </w:r>
    <w:proofErr w:type="spellEnd"/>
    <w:r w:rsidRPr="00D31152">
      <w:rPr>
        <w:rStyle w:val="HideTWBExt"/>
      </w:rPr>
      <w:t>&gt;</w:t>
    </w:r>
    <w:r w:rsidRPr="00D31152">
      <w:t>778.049</w:t>
    </w:r>
    <w:r w:rsidRPr="00D31152">
      <w:rPr>
        <w:rStyle w:val="HideTWBExt"/>
      </w:rPr>
      <w:t>&lt;/</w:t>
    </w:r>
    <w:proofErr w:type="spellStart"/>
    <w:r w:rsidRPr="00D31152">
      <w:rPr>
        <w:rStyle w:val="HideTWBExt"/>
      </w:rPr>
      <w:t>NoPE</w:t>
    </w:r>
    <w:proofErr w:type="spellEnd"/>
    <w:r w:rsidRPr="00D31152">
      <w:rPr>
        <w:rStyle w:val="HideTWBExt"/>
      </w:rPr>
      <w:t>&gt;&lt;Version&gt;</w:t>
    </w:r>
    <w:r w:rsidRPr="00D31152">
      <w:t>v03-00</w:t>
    </w:r>
    <w:r w:rsidRPr="00D31152">
      <w:rPr>
        <w:rStyle w:val="HideTWBExt"/>
      </w:rPr>
      <w:t>&lt;/</w:t>
    </w:r>
    <w:proofErr w:type="spellStart"/>
    <w:r w:rsidRPr="00D31152">
      <w:rPr>
        <w:rStyle w:val="HideTWBExt"/>
      </w:rPr>
      <w:t>Version</w:t>
    </w:r>
    <w:proofErr w:type="spellEnd"/>
    <w:r w:rsidRPr="00D31152">
      <w:rPr>
        <w:rStyle w:val="HideTWBExt"/>
      </w:rPr>
      <w:t>&gt;</w:t>
    </w:r>
  </w:p>
  <w:p w14:paraId="53AB2DB2" w14:textId="77777777" w:rsidR="00E1334D" w:rsidRPr="00D31152" w:rsidRDefault="00E1334D" w:rsidP="00225BFF">
    <w:pPr>
      <w:pStyle w:val="EPFooter2"/>
    </w:pPr>
    <w:r w:rsidRPr="00D31152">
      <w:t>CS</w:t>
    </w:r>
    <w:r w:rsidRPr="00D31152">
      <w:tab/>
    </w:r>
    <w:r w:rsidRPr="00D31152">
      <w:rPr>
        <w:b w:val="0"/>
        <w:i/>
        <w:color w:val="C0C0C0"/>
        <w:sz w:val="22"/>
      </w:rPr>
      <w:t>Jednotná v rozmanitosti</w:t>
    </w:r>
    <w:r w:rsidRPr="00D31152">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6F29B" w14:textId="77777777" w:rsidR="00064002" w:rsidRPr="00D3115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21233" w14:textId="77777777" w:rsidR="00064002" w:rsidRPr="00D3115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8D983" w14:textId="77777777" w:rsidR="00064002" w:rsidRPr="00D311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8427C" w14:textId="77777777" w:rsidR="00C746D5" w:rsidRPr="00D31152" w:rsidRDefault="00C746D5">
      <w:r w:rsidRPr="00D31152">
        <w:separator/>
      </w:r>
    </w:p>
  </w:footnote>
  <w:footnote w:type="continuationSeparator" w:id="0">
    <w:p w14:paraId="3051B0E0" w14:textId="77777777" w:rsidR="00C746D5" w:rsidRPr="00D31152" w:rsidRDefault="00C746D5">
      <w:r w:rsidRPr="00D31152">
        <w:continuationSeparator/>
      </w:r>
    </w:p>
  </w:footnote>
  <w:footnote w:id="1">
    <w:p w14:paraId="1A42E3E2" w14:textId="6BF38DE8"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L</w:t>
      </w:r>
      <w:r w:rsidR="00944C28">
        <w:rPr>
          <w:sz w:val="24"/>
          <w:lang w:val="cs-CZ"/>
        </w:rPr>
        <w:t>,</w:t>
      </w:r>
      <w:r w:rsidRPr="00D31152">
        <w:rPr>
          <w:sz w:val="24"/>
          <w:lang w:val="cs-CZ"/>
        </w:rPr>
        <w:t xml:space="preserve"> </w:t>
      </w:r>
      <w:r w:rsidR="00A5615C">
        <w:rPr>
          <w:sz w:val="24"/>
          <w:lang w:val="cs-CZ"/>
        </w:rPr>
        <w:t>2024/</w:t>
      </w:r>
      <w:r w:rsidRPr="00D31152">
        <w:rPr>
          <w:sz w:val="24"/>
          <w:lang w:val="cs-CZ"/>
        </w:rPr>
        <w:t xml:space="preserve">207, 22.2.2024, ELI: </w:t>
      </w:r>
      <w:hyperlink r:id="rId1" w:history="1">
        <w:r w:rsidRPr="00D31152">
          <w:rPr>
            <w:rStyle w:val="Hyperlink"/>
            <w:sz w:val="24"/>
            <w:lang w:val="cs-CZ"/>
          </w:rPr>
          <w:t>http://data.europa.eu/eli/budget/2024/207/oj</w:t>
        </w:r>
      </w:hyperlink>
      <w:r w:rsidRPr="00D31152">
        <w:rPr>
          <w:sz w:val="24"/>
          <w:lang w:val="cs-CZ"/>
        </w:rPr>
        <w:t>.</w:t>
      </w:r>
    </w:p>
  </w:footnote>
  <w:footnote w:id="2">
    <w:p w14:paraId="132D20C8" w14:textId="787C7053"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C, C/2025/4944, 13.10.2025, ELI: </w:t>
      </w:r>
      <w:hyperlink r:id="rId2" w:tgtFrame="_blank" w:tooltip="Umožňuje přístup k tomuto dokumentu prostřednictvím jeho identifikátoru URI v rámci ELI." w:history="1">
        <w:r w:rsidRPr="00D31152">
          <w:rPr>
            <w:rStyle w:val="Hyperlink"/>
            <w:sz w:val="24"/>
            <w:lang w:val="cs-CZ"/>
          </w:rPr>
          <w:t>http://data.europa.eu/eli/C/2025/4944/oj</w:t>
        </w:r>
      </w:hyperlink>
      <w:r w:rsidRPr="00D31152">
        <w:rPr>
          <w:sz w:val="24"/>
          <w:lang w:val="cs-CZ"/>
        </w:rPr>
        <w:t>.</w:t>
      </w:r>
    </w:p>
  </w:footnote>
  <w:footnote w:id="3">
    <w:p w14:paraId="454F5DAA" w14:textId="6D9ECCFB"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xml:space="preserve">. C, C/2025/5409, 8.10.2025, ELI: </w:t>
      </w:r>
      <w:hyperlink r:id="rId3" w:history="1">
        <w:r w:rsidRPr="00D31152">
          <w:rPr>
            <w:rStyle w:val="Hyperlink"/>
            <w:sz w:val="24"/>
            <w:lang w:val="cs-CZ"/>
          </w:rPr>
          <w:t>http://data.europa.eu/eli/C/2025/5409/oj</w:t>
        </w:r>
      </w:hyperlink>
      <w:r w:rsidRPr="00D31152">
        <w:rPr>
          <w:sz w:val="24"/>
          <w:lang w:val="cs-CZ"/>
        </w:rPr>
        <w:t>.</w:t>
      </w:r>
    </w:p>
  </w:footnote>
  <w:footnote w:id="4">
    <w:p w14:paraId="10C927C4" w14:textId="6426CF0F"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xml:space="preserve">. C, C/2025/5407, 13.10.2025, ELI: </w:t>
      </w:r>
      <w:hyperlink r:id="rId4" w:history="1">
        <w:r w:rsidRPr="00D31152">
          <w:rPr>
            <w:rStyle w:val="Hyperlink"/>
            <w:sz w:val="24"/>
            <w:lang w:val="cs-CZ"/>
          </w:rPr>
          <w:t>http://data.europa.eu/eli/C/2025/5407/oj</w:t>
        </w:r>
      </w:hyperlink>
      <w:r w:rsidRPr="00D31152">
        <w:rPr>
          <w:sz w:val="24"/>
          <w:lang w:val="cs-CZ"/>
        </w:rPr>
        <w:t>.</w:t>
      </w:r>
    </w:p>
  </w:footnote>
  <w:footnote w:id="5">
    <w:p w14:paraId="100737FD" w14:textId="7DBEA9E9"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xml:space="preserve">. L 193, 30.7.2018, s. 1, ELI: </w:t>
      </w:r>
      <w:hyperlink r:id="rId5" w:history="1">
        <w:r w:rsidRPr="00D31152">
          <w:rPr>
            <w:rStyle w:val="Hyperlink"/>
            <w:sz w:val="24"/>
            <w:lang w:val="cs-CZ"/>
          </w:rPr>
          <w:t>http://data.europa.eu/eli/reg/2018/1046/oj</w:t>
        </w:r>
      </w:hyperlink>
      <w:r w:rsidRPr="00D31152">
        <w:rPr>
          <w:sz w:val="24"/>
          <w:lang w:val="cs-CZ"/>
        </w:rPr>
        <w:t>.</w:t>
      </w:r>
    </w:p>
  </w:footnote>
  <w:footnote w:id="6">
    <w:p w14:paraId="7FFB97B5" w14:textId="415E3EE5"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proofErr w:type="spellStart"/>
      <w:r w:rsidRPr="00D31152">
        <w:rPr>
          <w:sz w:val="24"/>
          <w:lang w:val="cs-CZ"/>
        </w:rPr>
        <w:t>Úř</w:t>
      </w:r>
      <w:proofErr w:type="spellEnd"/>
      <w:r w:rsidRPr="00D31152">
        <w:rPr>
          <w:sz w:val="24"/>
          <w:lang w:val="cs-CZ"/>
        </w:rPr>
        <w:t>. </w:t>
      </w:r>
      <w:proofErr w:type="spellStart"/>
      <w:r w:rsidRPr="00D31152">
        <w:rPr>
          <w:sz w:val="24"/>
          <w:lang w:val="cs-CZ"/>
        </w:rPr>
        <w:t>věst</w:t>
      </w:r>
      <w:proofErr w:type="spellEnd"/>
      <w:r w:rsidRPr="00D31152">
        <w:rPr>
          <w:sz w:val="24"/>
          <w:lang w:val="cs-CZ"/>
        </w:rPr>
        <w:t xml:space="preserve">. L, 2024/2509, 26.9.2024, ELI: </w:t>
      </w:r>
      <w:hyperlink r:id="rId6" w:history="1">
        <w:r w:rsidRPr="00D31152">
          <w:rPr>
            <w:rStyle w:val="Hyperlink"/>
            <w:sz w:val="24"/>
            <w:lang w:val="cs-CZ"/>
          </w:rPr>
          <w:t>http://data.europa.eu/eli/reg/2024/2509/oj</w:t>
        </w:r>
      </w:hyperlink>
      <w:r w:rsidRPr="00D31152">
        <w:rPr>
          <w:sz w:val="24"/>
          <w:lang w:val="cs-CZ"/>
        </w:rPr>
        <w:t>.</w:t>
      </w:r>
    </w:p>
  </w:footnote>
  <w:footnote w:id="7">
    <w:p w14:paraId="71F800CC" w14:textId="319E514E" w:rsidR="00E1334D" w:rsidRPr="00D31152" w:rsidRDefault="00E1334D" w:rsidP="00D31152">
      <w:pPr>
        <w:pStyle w:val="FootnoteText"/>
        <w:ind w:left="567" w:hanging="567"/>
        <w:rPr>
          <w:sz w:val="24"/>
          <w:lang w:val="cs-CZ"/>
        </w:rPr>
      </w:pPr>
      <w:r w:rsidRPr="00D31152">
        <w:rPr>
          <w:rStyle w:val="FootnoteReference"/>
          <w:sz w:val="24"/>
          <w:lang w:val="cs-CZ"/>
        </w:rPr>
        <w:footnoteRef/>
      </w:r>
      <w:r w:rsidR="00D31152" w:rsidRPr="00D31152">
        <w:rPr>
          <w:sz w:val="24"/>
          <w:lang w:val="cs-CZ"/>
        </w:rPr>
        <w:t xml:space="preserve"> </w:t>
      </w:r>
      <w:r w:rsidR="00D31152" w:rsidRPr="00D31152">
        <w:rPr>
          <w:sz w:val="24"/>
          <w:lang w:val="cs-CZ"/>
        </w:rPr>
        <w:tab/>
      </w:r>
      <w:r w:rsidRPr="00D31152">
        <w:rPr>
          <w:sz w:val="24"/>
          <w:lang w:val="cs-CZ"/>
        </w:rPr>
        <w:t xml:space="preserve">Rozsudek Tribunálu ze dne 25. ledna 2023, De </w:t>
      </w:r>
      <w:proofErr w:type="spellStart"/>
      <w:r w:rsidRPr="00D31152">
        <w:rPr>
          <w:sz w:val="24"/>
          <w:lang w:val="cs-CZ"/>
        </w:rPr>
        <w:t>Capitani</w:t>
      </w:r>
      <w:proofErr w:type="spellEnd"/>
      <w:r w:rsidRPr="00D31152">
        <w:rPr>
          <w:sz w:val="24"/>
          <w:lang w:val="cs-CZ"/>
        </w:rPr>
        <w:t xml:space="preserve"> v. Rada, T-163/21, CLI:</w:t>
      </w:r>
      <w:proofErr w:type="gramStart"/>
      <w:r w:rsidRPr="00D31152">
        <w:rPr>
          <w:sz w:val="24"/>
          <w:lang w:val="cs-CZ"/>
        </w:rPr>
        <w:t>EU:T</w:t>
      </w:r>
      <w:proofErr w:type="gramEnd"/>
      <w:r w:rsidRPr="00D31152">
        <w:rPr>
          <w:sz w:val="24"/>
          <w:lang w:val="cs-CZ"/>
        </w:rPr>
        <w:t xml:space="preserve">:2023:15.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401D" w14:textId="77777777" w:rsidR="00064002" w:rsidRPr="00D3115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A1A6" w14:textId="77777777" w:rsidR="00064002" w:rsidRPr="00D3115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76304" w14:textId="77777777" w:rsidR="00064002" w:rsidRPr="00D311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19072A8"/>
    <w:multiLevelType w:val="hybridMultilevel"/>
    <w:tmpl w:val="37D8ACA0"/>
    <w:lvl w:ilvl="0" w:tplc="5B38D7C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5E224A"/>
    <w:multiLevelType w:val="hybridMultilevel"/>
    <w:tmpl w:val="2C30784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003B5D"/>
    <w:multiLevelType w:val="hybridMultilevel"/>
    <w:tmpl w:val="FB3612C4"/>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0668059">
    <w:abstractNumId w:val="9"/>
  </w:num>
  <w:num w:numId="2" w16cid:durableId="1919288652">
    <w:abstractNumId w:val="9"/>
  </w:num>
  <w:num w:numId="3" w16cid:durableId="236019180">
    <w:abstractNumId w:val="7"/>
  </w:num>
  <w:num w:numId="4" w16cid:durableId="873736597">
    <w:abstractNumId w:val="7"/>
  </w:num>
  <w:num w:numId="5" w16cid:durableId="1198346899">
    <w:abstractNumId w:val="6"/>
  </w:num>
  <w:num w:numId="6" w16cid:durableId="533930187">
    <w:abstractNumId w:val="6"/>
  </w:num>
  <w:num w:numId="7" w16cid:durableId="1643345774">
    <w:abstractNumId w:val="5"/>
  </w:num>
  <w:num w:numId="8" w16cid:durableId="336881019">
    <w:abstractNumId w:val="5"/>
  </w:num>
  <w:num w:numId="9" w16cid:durableId="781074208">
    <w:abstractNumId w:val="4"/>
  </w:num>
  <w:num w:numId="10" w16cid:durableId="276719770">
    <w:abstractNumId w:val="4"/>
  </w:num>
  <w:num w:numId="11" w16cid:durableId="1194879027">
    <w:abstractNumId w:val="8"/>
  </w:num>
  <w:num w:numId="12" w16cid:durableId="1586109677">
    <w:abstractNumId w:val="8"/>
  </w:num>
  <w:num w:numId="13" w16cid:durableId="609554745">
    <w:abstractNumId w:val="3"/>
  </w:num>
  <w:num w:numId="14" w16cid:durableId="1015233732">
    <w:abstractNumId w:val="3"/>
  </w:num>
  <w:num w:numId="15" w16cid:durableId="1313560383">
    <w:abstractNumId w:val="2"/>
  </w:num>
  <w:num w:numId="16" w16cid:durableId="342827026">
    <w:abstractNumId w:val="2"/>
  </w:num>
  <w:num w:numId="17" w16cid:durableId="1567641199">
    <w:abstractNumId w:val="1"/>
  </w:num>
  <w:num w:numId="18" w16cid:durableId="1816219201">
    <w:abstractNumId w:val="1"/>
  </w:num>
  <w:num w:numId="19" w16cid:durableId="947276254">
    <w:abstractNumId w:val="0"/>
  </w:num>
  <w:num w:numId="20" w16cid:durableId="1147167064">
    <w:abstractNumId w:val="0"/>
  </w:num>
  <w:num w:numId="21" w16cid:durableId="243497710">
    <w:abstractNumId w:val="9"/>
  </w:num>
  <w:num w:numId="22" w16cid:durableId="1011103352">
    <w:abstractNumId w:val="7"/>
  </w:num>
  <w:num w:numId="23" w16cid:durableId="1798134508">
    <w:abstractNumId w:val="6"/>
  </w:num>
  <w:num w:numId="24" w16cid:durableId="1238520745">
    <w:abstractNumId w:val="5"/>
  </w:num>
  <w:num w:numId="25" w16cid:durableId="701831147">
    <w:abstractNumId w:val="4"/>
  </w:num>
  <w:num w:numId="26" w16cid:durableId="1321545021">
    <w:abstractNumId w:val="8"/>
  </w:num>
  <w:num w:numId="27" w16cid:durableId="14356822">
    <w:abstractNumId w:val="3"/>
  </w:num>
  <w:num w:numId="28" w16cid:durableId="1847162882">
    <w:abstractNumId w:val="2"/>
  </w:num>
  <w:num w:numId="29" w16cid:durableId="578833126">
    <w:abstractNumId w:val="1"/>
  </w:num>
  <w:num w:numId="30" w16cid:durableId="1410345931">
    <w:abstractNumId w:val="0"/>
  </w:num>
  <w:num w:numId="31" w16cid:durableId="74016553">
    <w:abstractNumId w:val="9"/>
  </w:num>
  <w:num w:numId="32" w16cid:durableId="2134246710">
    <w:abstractNumId w:val="7"/>
  </w:num>
  <w:num w:numId="33" w16cid:durableId="986016244">
    <w:abstractNumId w:val="6"/>
  </w:num>
  <w:num w:numId="34" w16cid:durableId="430860113">
    <w:abstractNumId w:val="5"/>
  </w:num>
  <w:num w:numId="35" w16cid:durableId="687219452">
    <w:abstractNumId w:val="4"/>
  </w:num>
  <w:num w:numId="36" w16cid:durableId="717901060">
    <w:abstractNumId w:val="8"/>
  </w:num>
  <w:num w:numId="37" w16cid:durableId="2091391573">
    <w:abstractNumId w:val="3"/>
  </w:num>
  <w:num w:numId="38" w16cid:durableId="761989849">
    <w:abstractNumId w:val="2"/>
  </w:num>
  <w:num w:numId="39" w16cid:durableId="1727684467">
    <w:abstractNumId w:val="1"/>
  </w:num>
  <w:num w:numId="40" w16cid:durableId="1649242558">
    <w:abstractNumId w:val="0"/>
  </w:num>
  <w:num w:numId="41" w16cid:durableId="1370374881">
    <w:abstractNumId w:val="10"/>
  </w:num>
  <w:num w:numId="42" w16cid:durableId="1806265830">
    <w:abstractNumId w:val="10"/>
  </w:num>
  <w:num w:numId="43" w16cid:durableId="965622339">
    <w:abstractNumId w:val="10"/>
  </w:num>
  <w:num w:numId="44" w16cid:durableId="1372418301">
    <w:abstractNumId w:val="11"/>
  </w:num>
  <w:num w:numId="45" w16cid:durableId="1594052396">
    <w:abstractNumId w:val="13"/>
  </w:num>
  <w:num w:numId="46" w16cid:durableId="729305504">
    <w:abstractNumId w:val="12"/>
  </w:num>
  <w:num w:numId="47" w16cid:durableId="7100399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1/2026"/>
    <w:docVar w:name="dvlangue" w:val="CS"/>
    <w:docVar w:name="dvnumam" w:val="0"/>
    <w:docVar w:name="dvpe" w:val="778.049"/>
    <w:docVar w:name="dvrapporteur" w:val="Zpravodaj: "/>
    <w:docVar w:name="dvtitre" w:val="Rozhodnutí Evropského parlamentu ze dne.... 2026 o udělení absolutoria za plnění souhrnného rozpočtu Evropské unie na rozpočtový rok 2024, oddíl II – Evropská rada a Rada(2025/2147(DEC))"/>
  </w:docVars>
  <w:rsids>
    <w:rsidRoot w:val="00C746D5"/>
    <w:rsid w:val="00002272"/>
    <w:rsid w:val="00032D13"/>
    <w:rsid w:val="00064002"/>
    <w:rsid w:val="000677B9"/>
    <w:rsid w:val="000831BA"/>
    <w:rsid w:val="000A42CC"/>
    <w:rsid w:val="000E7DD9"/>
    <w:rsid w:val="0010095E"/>
    <w:rsid w:val="00125B37"/>
    <w:rsid w:val="00187494"/>
    <w:rsid w:val="001F32AE"/>
    <w:rsid w:val="00263E12"/>
    <w:rsid w:val="002767FF"/>
    <w:rsid w:val="0028274D"/>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6BE2"/>
    <w:rsid w:val="00545827"/>
    <w:rsid w:val="00560270"/>
    <w:rsid w:val="0058490A"/>
    <w:rsid w:val="005C239B"/>
    <w:rsid w:val="005C2568"/>
    <w:rsid w:val="005F1B17"/>
    <w:rsid w:val="006037C0"/>
    <w:rsid w:val="00611444"/>
    <w:rsid w:val="006631B6"/>
    <w:rsid w:val="00680577"/>
    <w:rsid w:val="006B4858"/>
    <w:rsid w:val="006F74FA"/>
    <w:rsid w:val="00731ADD"/>
    <w:rsid w:val="00734777"/>
    <w:rsid w:val="00747932"/>
    <w:rsid w:val="00751A4A"/>
    <w:rsid w:val="00756632"/>
    <w:rsid w:val="00762C74"/>
    <w:rsid w:val="00786EC0"/>
    <w:rsid w:val="007D1690"/>
    <w:rsid w:val="007E22AD"/>
    <w:rsid w:val="00817416"/>
    <w:rsid w:val="00821B84"/>
    <w:rsid w:val="00842779"/>
    <w:rsid w:val="00865F67"/>
    <w:rsid w:val="00881A7B"/>
    <w:rsid w:val="008840E5"/>
    <w:rsid w:val="00887B3E"/>
    <w:rsid w:val="008C2AC6"/>
    <w:rsid w:val="00930C23"/>
    <w:rsid w:val="0093193B"/>
    <w:rsid w:val="00944C28"/>
    <w:rsid w:val="009509D8"/>
    <w:rsid w:val="00950B64"/>
    <w:rsid w:val="00981893"/>
    <w:rsid w:val="00A1687D"/>
    <w:rsid w:val="00A43E52"/>
    <w:rsid w:val="00A4678D"/>
    <w:rsid w:val="00A5615C"/>
    <w:rsid w:val="00A6072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46D5"/>
    <w:rsid w:val="00C941CB"/>
    <w:rsid w:val="00CC2357"/>
    <w:rsid w:val="00CF071A"/>
    <w:rsid w:val="00D058B8"/>
    <w:rsid w:val="00D31152"/>
    <w:rsid w:val="00D56C11"/>
    <w:rsid w:val="00D834A0"/>
    <w:rsid w:val="00D872DF"/>
    <w:rsid w:val="00D91E21"/>
    <w:rsid w:val="00DA7FCD"/>
    <w:rsid w:val="00E1334D"/>
    <w:rsid w:val="00E365E1"/>
    <w:rsid w:val="00E820A4"/>
    <w:rsid w:val="00EB006A"/>
    <w:rsid w:val="00EB4772"/>
    <w:rsid w:val="00ED169E"/>
    <w:rsid w:val="00ED4235"/>
    <w:rsid w:val="00F04346"/>
    <w:rsid w:val="00F075DC"/>
    <w:rsid w:val="00F149E9"/>
    <w:rsid w:val="00F5134D"/>
    <w:rsid w:val="00F74202"/>
    <w:rsid w:val="00F75899"/>
    <w:rsid w:val="00F87713"/>
    <w:rsid w:val="00FB4360"/>
    <w:rsid w:val="00FD0C70"/>
    <w:rsid w:val="00FE656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3B3587"/>
  <w15:chartTrackingRefBased/>
  <w15:docId w15:val="{CE5F7CBD-6552-46A1-9550-069BA76B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1334D"/>
    <w:rPr>
      <w:b/>
      <w:kern w:val="28"/>
      <w:sz w:val="28"/>
      <w:lang w:val="fr-FR" w:eastAsia="fr-FR"/>
    </w:rPr>
  </w:style>
  <w:style w:type="character" w:customStyle="1" w:styleId="Heading2Char">
    <w:name w:val="Heading 2 Char"/>
    <w:basedOn w:val="DefaultParagraphFont"/>
    <w:link w:val="Heading2"/>
    <w:semiHidden/>
    <w:rsid w:val="00E1334D"/>
    <w:rPr>
      <w:sz w:val="24"/>
      <w:lang w:val="fr-FR" w:eastAsia="fr-FR"/>
    </w:rPr>
  </w:style>
  <w:style w:type="character" w:customStyle="1" w:styleId="Heading3Char">
    <w:name w:val="Heading 3 Char"/>
    <w:basedOn w:val="DefaultParagraphFont"/>
    <w:link w:val="Heading3"/>
    <w:semiHidden/>
    <w:rsid w:val="00E1334D"/>
    <w:rPr>
      <w:rFonts w:ascii="Arial" w:hAnsi="Arial"/>
      <w:sz w:val="24"/>
      <w:lang w:val="fr-FR" w:eastAsia="fr-FR"/>
    </w:rPr>
  </w:style>
  <w:style w:type="character" w:customStyle="1" w:styleId="Heading4Char">
    <w:name w:val="Heading 4 Char"/>
    <w:basedOn w:val="DefaultParagraphFont"/>
    <w:link w:val="Heading4"/>
    <w:semiHidden/>
    <w:rsid w:val="00E1334D"/>
    <w:rPr>
      <w:sz w:val="24"/>
      <w:lang w:val="en-US" w:eastAsia="fr-FR"/>
    </w:rPr>
  </w:style>
  <w:style w:type="character" w:customStyle="1" w:styleId="Heading5Char">
    <w:name w:val="Heading 5 Char"/>
    <w:basedOn w:val="DefaultParagraphFont"/>
    <w:link w:val="Heading5"/>
    <w:semiHidden/>
    <w:rsid w:val="00E1334D"/>
    <w:rPr>
      <w:sz w:val="24"/>
      <w:lang w:val="en-US" w:eastAsia="fr-FR"/>
    </w:rPr>
  </w:style>
  <w:style w:type="character" w:customStyle="1" w:styleId="Heading6Char">
    <w:name w:val="Heading 6 Char"/>
    <w:basedOn w:val="DefaultParagraphFont"/>
    <w:link w:val="Heading6"/>
    <w:semiHidden/>
    <w:rsid w:val="00E1334D"/>
    <w:rPr>
      <w:i/>
      <w:sz w:val="22"/>
      <w:lang w:val="cs-CZ"/>
    </w:rPr>
  </w:style>
  <w:style w:type="character" w:customStyle="1" w:styleId="Heading7Char">
    <w:name w:val="Heading 7 Char"/>
    <w:basedOn w:val="DefaultParagraphFont"/>
    <w:link w:val="Heading7"/>
    <w:semiHidden/>
    <w:rsid w:val="00E1334D"/>
    <w:rPr>
      <w:rFonts w:ascii="Arial" w:hAnsi="Arial"/>
      <w:sz w:val="24"/>
      <w:lang w:val="cs-CZ"/>
    </w:rPr>
  </w:style>
  <w:style w:type="character" w:customStyle="1" w:styleId="Heading8Char">
    <w:name w:val="Heading 8 Char"/>
    <w:basedOn w:val="DefaultParagraphFont"/>
    <w:link w:val="Heading8"/>
    <w:semiHidden/>
    <w:rsid w:val="00E1334D"/>
    <w:rPr>
      <w:rFonts w:ascii="Arial" w:hAnsi="Arial"/>
      <w:i/>
      <w:sz w:val="24"/>
      <w:lang w:val="cs-CZ"/>
    </w:rPr>
  </w:style>
  <w:style w:type="character" w:customStyle="1" w:styleId="Heading9Char">
    <w:name w:val="Heading 9 Char"/>
    <w:basedOn w:val="DefaultParagraphFont"/>
    <w:link w:val="Heading9"/>
    <w:semiHidden/>
    <w:rsid w:val="00E1334D"/>
    <w:rPr>
      <w:rFonts w:ascii="Arial" w:hAnsi="Arial"/>
      <w:b/>
      <w:i/>
      <w:sz w:val="18"/>
      <w:lang w:val="cs-CZ"/>
    </w:rPr>
  </w:style>
  <w:style w:type="paragraph" w:styleId="TOCHeading">
    <w:name w:val="TOC Heading"/>
    <w:basedOn w:val="Normal"/>
    <w:next w:val="Normal"/>
    <w:unhideWhenUsed/>
    <w:qFormat/>
    <w:rsid w:val="00E1334D"/>
    <w:pPr>
      <w:widowControl/>
      <w:spacing w:after="240"/>
    </w:pPr>
    <w:rPr>
      <w:lang w:val="en-GB"/>
    </w:rPr>
  </w:style>
  <w:style w:type="paragraph" w:customStyle="1" w:styleId="EPFooter2">
    <w:name w:val="EPFooter2"/>
    <w:basedOn w:val="Normal"/>
    <w:next w:val="Normal"/>
    <w:rsid w:val="00E1334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334D"/>
    <w:pPr>
      <w:spacing w:before="480" w:after="240"/>
    </w:pPr>
  </w:style>
  <w:style w:type="paragraph" w:customStyle="1" w:styleId="TOCPage">
    <w:name w:val="TOC Page"/>
    <w:basedOn w:val="Normal"/>
    <w:next w:val="TOC1"/>
    <w:rsid w:val="00E1334D"/>
    <w:pPr>
      <w:keepNext/>
      <w:spacing w:after="240"/>
      <w:jc w:val="right"/>
    </w:pPr>
    <w:rPr>
      <w:rFonts w:ascii="Arial" w:hAnsi="Arial"/>
      <w:b/>
    </w:rPr>
  </w:style>
  <w:style w:type="paragraph" w:customStyle="1" w:styleId="PageHeading">
    <w:name w:val="PageHeading"/>
    <w:basedOn w:val="Normal"/>
    <w:rsid w:val="00E1334D"/>
    <w:pPr>
      <w:keepNext/>
      <w:spacing w:after="480"/>
      <w:jc w:val="center"/>
    </w:pPr>
    <w:rPr>
      <w:rFonts w:ascii="Arial" w:hAnsi="Arial" w:cs="Arial"/>
      <w:b/>
    </w:rPr>
  </w:style>
  <w:style w:type="paragraph" w:customStyle="1" w:styleId="NormalBold">
    <w:name w:val="NormalBold"/>
    <w:basedOn w:val="Normal"/>
    <w:rsid w:val="00E1334D"/>
    <w:rPr>
      <w:b/>
    </w:rPr>
  </w:style>
  <w:style w:type="paragraph" w:customStyle="1" w:styleId="NormalHanging12a">
    <w:name w:val="NormalHanging12a"/>
    <w:basedOn w:val="Normal"/>
    <w:link w:val="NormalHanging12aChar"/>
    <w:qFormat/>
    <w:rsid w:val="00E1334D"/>
    <w:pPr>
      <w:spacing w:after="240"/>
      <w:ind w:left="567" w:hanging="567"/>
    </w:pPr>
  </w:style>
  <w:style w:type="paragraph" w:customStyle="1" w:styleId="CoverNormal24a">
    <w:name w:val="CoverNormal24a"/>
    <w:basedOn w:val="Normal"/>
    <w:rsid w:val="00E1334D"/>
    <w:pPr>
      <w:spacing w:after="480"/>
      <w:ind w:left="1417"/>
    </w:pPr>
  </w:style>
  <w:style w:type="paragraph" w:customStyle="1" w:styleId="CoverNormal">
    <w:name w:val="CoverNormal"/>
    <w:basedOn w:val="Normal"/>
    <w:rsid w:val="00E1334D"/>
    <w:pPr>
      <w:ind w:left="1418"/>
    </w:pPr>
  </w:style>
  <w:style w:type="paragraph" w:customStyle="1" w:styleId="CoverReference">
    <w:name w:val="CoverReference"/>
    <w:basedOn w:val="Normal"/>
    <w:rsid w:val="00E1334D"/>
    <w:pPr>
      <w:spacing w:before="1080"/>
      <w:jc w:val="right"/>
    </w:pPr>
    <w:rPr>
      <w:rFonts w:ascii="Arial" w:hAnsi="Arial" w:cs="Arial"/>
      <w:b/>
    </w:rPr>
  </w:style>
  <w:style w:type="paragraph" w:customStyle="1" w:styleId="CoverDocType24a">
    <w:name w:val="CoverDocType24a"/>
    <w:basedOn w:val="Normal"/>
    <w:rsid w:val="00E1334D"/>
    <w:pPr>
      <w:spacing w:after="480"/>
      <w:ind w:left="1418"/>
    </w:pPr>
    <w:rPr>
      <w:rFonts w:ascii="Arial" w:hAnsi="Arial"/>
      <w:b/>
      <w:sz w:val="48"/>
    </w:rPr>
  </w:style>
  <w:style w:type="paragraph" w:customStyle="1" w:styleId="CoverDate">
    <w:name w:val="CoverDate"/>
    <w:basedOn w:val="Normal"/>
    <w:rsid w:val="00E1334D"/>
    <w:pPr>
      <w:spacing w:before="240" w:after="1200"/>
    </w:pPr>
  </w:style>
  <w:style w:type="paragraph" w:styleId="Header">
    <w:name w:val="header"/>
    <w:basedOn w:val="Normal"/>
    <w:link w:val="HeaderChar"/>
    <w:rsid w:val="00E1334D"/>
    <w:pPr>
      <w:tabs>
        <w:tab w:val="center" w:pos="4513"/>
        <w:tab w:val="right" w:pos="9026"/>
      </w:tabs>
    </w:pPr>
  </w:style>
  <w:style w:type="character" w:customStyle="1" w:styleId="HeaderChar">
    <w:name w:val="Header Char"/>
    <w:basedOn w:val="DefaultParagraphFont"/>
    <w:link w:val="Header"/>
    <w:rsid w:val="00E1334D"/>
    <w:rPr>
      <w:sz w:val="24"/>
      <w:lang w:val="cs-CZ"/>
    </w:rPr>
  </w:style>
  <w:style w:type="paragraph" w:customStyle="1" w:styleId="EPBody">
    <w:name w:val="EPBody"/>
    <w:basedOn w:val="Normal"/>
    <w:rsid w:val="00E1334D"/>
    <w:pPr>
      <w:jc w:val="center"/>
    </w:pPr>
    <w:rPr>
      <w:rFonts w:ascii="Arial" w:hAnsi="Arial" w:cs="Arial"/>
      <w:i/>
      <w:sz w:val="22"/>
      <w:szCs w:val="22"/>
    </w:rPr>
  </w:style>
  <w:style w:type="paragraph" w:customStyle="1" w:styleId="EPFooter">
    <w:name w:val="EPFooter"/>
    <w:basedOn w:val="Normal"/>
    <w:rsid w:val="00E1334D"/>
    <w:pPr>
      <w:tabs>
        <w:tab w:val="center" w:pos="4535"/>
        <w:tab w:val="right" w:pos="9071"/>
      </w:tabs>
      <w:spacing w:before="240" w:after="240"/>
    </w:pPr>
    <w:rPr>
      <w:color w:val="010000"/>
      <w:sz w:val="22"/>
    </w:rPr>
  </w:style>
  <w:style w:type="character" w:styleId="Hyperlink">
    <w:name w:val="Hyperlink"/>
    <w:basedOn w:val="DefaultParagraphFont"/>
    <w:rsid w:val="00E1334D"/>
    <w:rPr>
      <w:color w:val="0563C1" w:themeColor="hyperlink"/>
      <w:u w:val="single"/>
    </w:rPr>
  </w:style>
  <w:style w:type="paragraph" w:styleId="BalloonText">
    <w:name w:val="Balloon Text"/>
    <w:basedOn w:val="Normal"/>
    <w:link w:val="BalloonTextChar"/>
    <w:unhideWhenUsed/>
    <w:rsid w:val="00E1334D"/>
    <w:rPr>
      <w:rFonts w:ascii="Segoe UI" w:hAnsi="Segoe UI" w:cs="Segoe UI"/>
      <w:sz w:val="18"/>
      <w:szCs w:val="18"/>
    </w:rPr>
  </w:style>
  <w:style w:type="character" w:customStyle="1" w:styleId="BalloonTextChar">
    <w:name w:val="Balloon Text Char"/>
    <w:basedOn w:val="DefaultParagraphFont"/>
    <w:link w:val="BalloonText"/>
    <w:rsid w:val="00E1334D"/>
    <w:rPr>
      <w:rFonts w:ascii="Segoe UI" w:hAnsi="Segoe UI" w:cs="Segoe UI"/>
      <w:sz w:val="18"/>
      <w:szCs w:val="18"/>
      <w:lang w:val="cs-CZ"/>
    </w:rPr>
  </w:style>
  <w:style w:type="paragraph" w:customStyle="1" w:styleId="Normal12">
    <w:name w:val="Normal 12"/>
    <w:basedOn w:val="Normal"/>
    <w:link w:val="Normal12Char"/>
    <w:rsid w:val="00E1334D"/>
    <w:pPr>
      <w:widowControl/>
      <w:tabs>
        <w:tab w:val="left" w:pos="-720"/>
      </w:tabs>
    </w:pPr>
  </w:style>
  <w:style w:type="character" w:customStyle="1" w:styleId="Normal12Char">
    <w:name w:val="Normal 12 Char"/>
    <w:link w:val="Normal12"/>
    <w:rsid w:val="00E1334D"/>
    <w:rPr>
      <w:sz w:val="24"/>
      <w:lang w:val="cs-CZ"/>
    </w:rPr>
  </w:style>
  <w:style w:type="paragraph" w:styleId="Footer">
    <w:name w:val="footer"/>
    <w:basedOn w:val="Normal"/>
    <w:link w:val="FooterChar"/>
    <w:rsid w:val="00E1334D"/>
    <w:pPr>
      <w:tabs>
        <w:tab w:val="center" w:pos="4513"/>
        <w:tab w:val="right" w:pos="9026"/>
      </w:tabs>
    </w:pPr>
  </w:style>
  <w:style w:type="character" w:customStyle="1" w:styleId="FooterChar">
    <w:name w:val="Footer Char"/>
    <w:basedOn w:val="DefaultParagraphFont"/>
    <w:link w:val="Footer"/>
    <w:rsid w:val="00E1334D"/>
    <w:rPr>
      <w:sz w:val="24"/>
      <w:lang w:val="cs-CZ"/>
    </w:rPr>
  </w:style>
  <w:style w:type="character" w:styleId="CommentReference">
    <w:name w:val="annotation reference"/>
    <w:basedOn w:val="DefaultParagraphFont"/>
    <w:rsid w:val="00E1334D"/>
    <w:rPr>
      <w:sz w:val="16"/>
      <w:szCs w:val="16"/>
    </w:rPr>
  </w:style>
  <w:style w:type="paragraph" w:styleId="CommentText">
    <w:name w:val="annotation text"/>
    <w:basedOn w:val="Normal"/>
    <w:link w:val="CommentTextChar"/>
    <w:rsid w:val="00E1334D"/>
    <w:rPr>
      <w:sz w:val="20"/>
    </w:rPr>
  </w:style>
  <w:style w:type="character" w:customStyle="1" w:styleId="CommentTextChar">
    <w:name w:val="Comment Text Char"/>
    <w:basedOn w:val="DefaultParagraphFont"/>
    <w:link w:val="CommentText"/>
    <w:rsid w:val="00E1334D"/>
    <w:rPr>
      <w:lang w:val="cs-CZ"/>
    </w:rPr>
  </w:style>
  <w:style w:type="paragraph" w:styleId="CommentSubject">
    <w:name w:val="annotation subject"/>
    <w:basedOn w:val="CommentText"/>
    <w:next w:val="CommentText"/>
    <w:link w:val="CommentSubjectChar"/>
    <w:unhideWhenUsed/>
    <w:rsid w:val="00E1334D"/>
    <w:rPr>
      <w:b/>
      <w:bCs/>
    </w:rPr>
  </w:style>
  <w:style w:type="character" w:customStyle="1" w:styleId="CommentSubjectChar">
    <w:name w:val="Comment Subject Char"/>
    <w:basedOn w:val="CommentTextChar"/>
    <w:link w:val="CommentSubject"/>
    <w:rsid w:val="00E1334D"/>
    <w:rPr>
      <w:b/>
      <w:bCs/>
      <w:lang w:val="cs-CZ"/>
    </w:rPr>
  </w:style>
  <w:style w:type="character" w:styleId="UnresolvedMention">
    <w:name w:val="Unresolved Mention"/>
    <w:basedOn w:val="DefaultParagraphFont"/>
    <w:uiPriority w:val="99"/>
    <w:semiHidden/>
    <w:unhideWhenUsed/>
    <w:rsid w:val="00E1334D"/>
    <w:rPr>
      <w:color w:val="605E5C"/>
      <w:shd w:val="clear" w:color="auto" w:fill="E1DFDD"/>
    </w:rPr>
  </w:style>
  <w:style w:type="paragraph" w:styleId="ListParagraph">
    <w:name w:val="List Paragraph"/>
    <w:basedOn w:val="Normal"/>
    <w:uiPriority w:val="34"/>
    <w:qFormat/>
    <w:rsid w:val="00E1334D"/>
    <w:pPr>
      <w:ind w:left="720"/>
      <w:contextualSpacing/>
    </w:pPr>
  </w:style>
  <w:style w:type="character" w:customStyle="1" w:styleId="NormalHanging12aChar">
    <w:name w:val="NormalHanging12a Char"/>
    <w:basedOn w:val="DefaultParagraphFont"/>
    <w:link w:val="NormalHanging12a"/>
    <w:locked/>
    <w:rsid w:val="00E1334D"/>
    <w:rPr>
      <w:sz w:val="24"/>
      <w:lang w:val="cs-CZ"/>
    </w:rPr>
  </w:style>
  <w:style w:type="paragraph" w:customStyle="1" w:styleId="Default">
    <w:name w:val="Default"/>
    <w:rsid w:val="00E1334D"/>
    <w:pPr>
      <w:autoSpaceDE w:val="0"/>
      <w:autoSpaceDN w:val="0"/>
      <w:adjustRightInd w:val="0"/>
    </w:pPr>
    <w:rPr>
      <w:rFonts w:ascii="Source Sans Pro" w:hAnsi="Source Sans Pro" w:cs="Source Sans Pro"/>
      <w:color w:val="000000"/>
      <w:sz w:val="24"/>
      <w:szCs w:val="24"/>
      <w:lang w:val="cs-CZ"/>
    </w:rPr>
  </w:style>
  <w:style w:type="paragraph" w:styleId="Revision">
    <w:name w:val="Revision"/>
    <w:hidden/>
    <w:uiPriority w:val="99"/>
    <w:semiHidden/>
    <w:rsid w:val="00E1334D"/>
    <w:rPr>
      <w:sz w:val="24"/>
      <w:lang w:val="cs-CZ"/>
    </w:rPr>
  </w:style>
  <w:style w:type="paragraph" w:customStyle="1" w:styleId="Normal24a">
    <w:name w:val="Normal24a"/>
    <w:basedOn w:val="Normal"/>
    <w:rsid w:val="00E1334D"/>
    <w:pPr>
      <w:spacing w:after="480"/>
    </w:pPr>
  </w:style>
  <w:style w:type="paragraph" w:customStyle="1" w:styleId="NormalBoldCenter">
    <w:name w:val="NormalBoldCenter"/>
    <w:basedOn w:val="Normal"/>
    <w:rsid w:val="00E1334D"/>
    <w:pPr>
      <w:jc w:val="center"/>
    </w:pPr>
    <w:rPr>
      <w:b/>
    </w:rPr>
  </w:style>
  <w:style w:type="paragraph" w:customStyle="1" w:styleId="Footprint12b">
    <w:name w:val="Footprint12b"/>
    <w:basedOn w:val="Normal"/>
    <w:rsid w:val="00E1334D"/>
    <w:pPr>
      <w:spacing w:before="240"/>
    </w:pPr>
    <w:rPr>
      <w:szCs w:val="24"/>
    </w:rPr>
  </w:style>
  <w:style w:type="paragraph" w:customStyle="1" w:styleId="NormalSingle">
    <w:name w:val="NormalSingle"/>
    <w:basedOn w:val="Normal"/>
    <w:qFormat/>
    <w:rsid w:val="00E1334D"/>
    <w:rPr>
      <w:szCs w:val="24"/>
    </w:rPr>
  </w:style>
  <w:style w:type="paragraph" w:customStyle="1" w:styleId="Normal12a">
    <w:name w:val="Normal12a"/>
    <w:basedOn w:val="Normal"/>
    <w:rsid w:val="00E1334D"/>
    <w:pPr>
      <w:spacing w:after="240"/>
    </w:pPr>
  </w:style>
  <w:style w:type="paragraph" w:customStyle="1" w:styleId="RollCallVotes">
    <w:name w:val="RollCallVotes"/>
    <w:basedOn w:val="Normal"/>
    <w:rsid w:val="00E1334D"/>
    <w:pPr>
      <w:spacing w:before="120" w:after="120"/>
      <w:jc w:val="center"/>
    </w:pPr>
    <w:rPr>
      <w:b/>
      <w:bCs/>
      <w:snapToGrid w:val="0"/>
      <w:sz w:val="16"/>
      <w:lang w:eastAsia="en-US"/>
    </w:rPr>
  </w:style>
  <w:style w:type="paragraph" w:customStyle="1" w:styleId="RollCallTabs">
    <w:name w:val="RollCallTabs"/>
    <w:basedOn w:val="Normal"/>
    <w:qFormat/>
    <w:rsid w:val="00E1334D"/>
    <w:pPr>
      <w:tabs>
        <w:tab w:val="center" w:pos="284"/>
        <w:tab w:val="left" w:pos="426"/>
      </w:tabs>
    </w:pPr>
    <w:rPr>
      <w:snapToGrid w:val="0"/>
      <w:lang w:eastAsia="en-US"/>
    </w:rPr>
  </w:style>
  <w:style w:type="paragraph" w:customStyle="1" w:styleId="RollCallSymbols14pt">
    <w:name w:val="RollCallSymbols14pt"/>
    <w:basedOn w:val="Normal"/>
    <w:rsid w:val="00E1334D"/>
    <w:pPr>
      <w:spacing w:before="120" w:after="120"/>
      <w:jc w:val="center"/>
    </w:pPr>
    <w:rPr>
      <w:rFonts w:ascii="Arial" w:hAnsi="Arial"/>
      <w:b/>
      <w:bCs/>
      <w:snapToGrid w:val="0"/>
      <w:sz w:val="28"/>
      <w:lang w:eastAsia="en-US"/>
    </w:rPr>
  </w:style>
  <w:style w:type="paragraph" w:customStyle="1" w:styleId="RollCallTable">
    <w:name w:val="RollCallTable"/>
    <w:basedOn w:val="Normal"/>
    <w:rsid w:val="00E1334D"/>
    <w:pPr>
      <w:spacing w:before="120" w:after="120"/>
    </w:pPr>
    <w:rPr>
      <w:snapToGrid w:val="0"/>
      <w:sz w:val="16"/>
      <w:lang w:eastAsia="en-US"/>
    </w:rPr>
  </w:style>
  <w:style w:type="character" w:styleId="FollowedHyperlink">
    <w:name w:val="FollowedHyperlink"/>
    <w:basedOn w:val="DefaultParagraphFont"/>
    <w:rsid w:val="00944C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7664</Words>
  <Characters>45804</Characters>
  <Application>Microsoft Office Word</Application>
  <DocSecurity>0</DocSecurity>
  <Lines>381</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2026-04-29T11:21:00Z</dcterms:created>
  <dcterms:modified xsi:type="dcterms:W3CDTF">2026-04-29T11:21:00Z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A10-0051/2026</vt:lpwstr>
  </property>
  <property fmtid="{D5CDD505-2E9C-101B-9397-08002B2CF9AE}" pid="4" name="&lt;Type&gt;">
    <vt:lpwstr>RR</vt:lpwstr>
  </property>
</Properties>
</file>