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22A6" w14:paraId="531CA6B9" w14:textId="77777777" w:rsidTr="0010095E">
        <w:trPr>
          <w:trHeight w:hRule="exact" w:val="1418"/>
        </w:trPr>
        <w:tc>
          <w:tcPr>
            <w:tcW w:w="6804" w:type="dxa"/>
            <w:shd w:val="clear" w:color="auto" w:fill="auto"/>
            <w:vAlign w:val="center"/>
          </w:tcPr>
          <w:p w14:paraId="19A1C324" w14:textId="77777777" w:rsidR="00751A4A" w:rsidRPr="004C22A6" w:rsidRDefault="007534EC" w:rsidP="0010095E">
            <w:pPr>
              <w:pStyle w:val="EPName"/>
            </w:pPr>
            <w:r w:rsidRPr="004C22A6">
              <w:t>Ευρωπαϊκό Κοινοβούλιο</w:t>
            </w:r>
          </w:p>
          <w:p w14:paraId="6DC80E32" w14:textId="77777777" w:rsidR="00751A4A" w:rsidRPr="004C22A6" w:rsidRDefault="005F1B17" w:rsidP="005F1B17">
            <w:pPr>
              <w:pStyle w:val="EPTerm"/>
              <w:rPr>
                <w:rStyle w:val="HideTWBExt"/>
                <w:noProof w:val="0"/>
                <w:vanish w:val="0"/>
                <w:color w:val="auto"/>
              </w:rPr>
            </w:pPr>
            <w:r w:rsidRPr="004C22A6">
              <w:t>2024</w:t>
            </w:r>
            <w:r w:rsidR="00817416" w:rsidRPr="004C22A6">
              <w:t>-202</w:t>
            </w:r>
            <w:r w:rsidRPr="004C22A6">
              <w:t>9</w:t>
            </w:r>
          </w:p>
        </w:tc>
        <w:tc>
          <w:tcPr>
            <w:tcW w:w="2268" w:type="dxa"/>
            <w:shd w:val="clear" w:color="auto" w:fill="auto"/>
          </w:tcPr>
          <w:p w14:paraId="2ED5975D" w14:textId="77777777" w:rsidR="00751A4A" w:rsidRPr="004C22A6" w:rsidRDefault="00187494" w:rsidP="0010095E">
            <w:pPr>
              <w:pStyle w:val="EPLogo"/>
            </w:pPr>
            <w:r w:rsidRPr="004C22A6">
              <w:rPr>
                <w:noProof/>
                <w:lang w:eastAsia="ja-JP"/>
              </w:rPr>
              <w:drawing>
                <wp:inline distT="0" distB="0" distL="0" distR="0" wp14:anchorId="1392BF0A" wp14:editId="7FB78D7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34DC2E" w14:textId="77777777" w:rsidR="00D058B8" w:rsidRPr="004C22A6" w:rsidRDefault="00D058B8" w:rsidP="004C5D52">
      <w:pPr>
        <w:pStyle w:val="LineTop"/>
      </w:pPr>
    </w:p>
    <w:p w14:paraId="3FEF8370" w14:textId="77777777" w:rsidR="00680577" w:rsidRPr="004C22A6" w:rsidRDefault="007534EC" w:rsidP="00680577">
      <w:pPr>
        <w:pStyle w:val="EPBodyTA1"/>
      </w:pPr>
      <w:r w:rsidRPr="004C22A6">
        <w:t>ΚΕΙΜΕΝΑ ΠΟΥ ΕΓΚΡΙΘΗΚΑΝ</w:t>
      </w:r>
    </w:p>
    <w:p w14:paraId="62923867" w14:textId="77777777" w:rsidR="00D058B8" w:rsidRPr="004C22A6" w:rsidRDefault="00D058B8" w:rsidP="00D058B8">
      <w:pPr>
        <w:pStyle w:val="LineBottom"/>
      </w:pPr>
    </w:p>
    <w:p w14:paraId="1E8AA3A8" w14:textId="03D9B308" w:rsidR="007534EC" w:rsidRPr="004C22A6" w:rsidRDefault="007534EC" w:rsidP="007534EC">
      <w:pPr>
        <w:pStyle w:val="ATHeading1"/>
      </w:pPr>
      <w:bookmarkStart w:id="0" w:name="TANumber"/>
      <w:r w:rsidRPr="004C22A6">
        <w:t>P10_TA(2026)0</w:t>
      </w:r>
      <w:r w:rsidR="004C22A6" w:rsidRPr="004C22A6">
        <w:t>127</w:t>
      </w:r>
      <w:bookmarkEnd w:id="0"/>
    </w:p>
    <w:p w14:paraId="47B52E83" w14:textId="736D7B78" w:rsidR="007534EC" w:rsidRPr="004C22A6" w:rsidRDefault="00D51B93" w:rsidP="007534EC">
      <w:pPr>
        <w:pStyle w:val="ATHeading2"/>
      </w:pPr>
      <w:bookmarkStart w:id="1" w:name="title"/>
      <w:r w:rsidRPr="004C22A6">
        <w:t>Απαλλαγή 2024: Γενικός προϋπολογισμός της ΕΕ – Ευρωπαϊκό Συμβούλιο και Συμβούλιο</w:t>
      </w:r>
      <w:bookmarkEnd w:id="1"/>
    </w:p>
    <w:p w14:paraId="0CC62033" w14:textId="0F505CBD" w:rsidR="007534EC" w:rsidRPr="004C22A6" w:rsidRDefault="007534EC" w:rsidP="007534EC">
      <w:pPr>
        <w:rPr>
          <w:i/>
          <w:vanish/>
        </w:rPr>
      </w:pPr>
      <w:r w:rsidRPr="004C22A6">
        <w:rPr>
          <w:i/>
        </w:rPr>
        <w:fldChar w:fldCharType="begin"/>
      </w:r>
      <w:r w:rsidRPr="004C22A6">
        <w:rPr>
          <w:i/>
        </w:rPr>
        <w:instrText xml:space="preserve"> TC"(</w:instrText>
      </w:r>
      <w:bookmarkStart w:id="2" w:name="DocNumber"/>
      <w:r w:rsidRPr="004C22A6">
        <w:rPr>
          <w:i/>
        </w:rPr>
        <w:instrText>A10-0051/2026</w:instrText>
      </w:r>
      <w:bookmarkEnd w:id="2"/>
      <w:r w:rsidRPr="004C22A6">
        <w:rPr>
          <w:i/>
        </w:rPr>
        <w:instrText xml:space="preserve"> - Εισηγητής: Pasquale Tridico)"\l3 \n&gt; \* MERGEFORMAT </w:instrText>
      </w:r>
      <w:r w:rsidRPr="004C22A6">
        <w:rPr>
          <w:i/>
        </w:rPr>
        <w:fldChar w:fldCharType="end"/>
      </w:r>
    </w:p>
    <w:p w14:paraId="27CDF861" w14:textId="77777777" w:rsidR="007534EC" w:rsidRPr="004C22A6" w:rsidRDefault="007534EC" w:rsidP="007534EC">
      <w:pPr>
        <w:rPr>
          <w:vanish/>
        </w:rPr>
      </w:pPr>
      <w:bookmarkStart w:id="3" w:name="Commission"/>
      <w:r w:rsidRPr="004C22A6">
        <w:rPr>
          <w:vanish/>
        </w:rPr>
        <w:t>Επιτροπή Ελέγχου του Προϋπολογισμού</w:t>
      </w:r>
      <w:bookmarkEnd w:id="3"/>
    </w:p>
    <w:p w14:paraId="23BE6F64" w14:textId="77777777" w:rsidR="007534EC" w:rsidRPr="004C22A6" w:rsidRDefault="007534EC" w:rsidP="007534EC">
      <w:pPr>
        <w:rPr>
          <w:vanish/>
        </w:rPr>
      </w:pPr>
      <w:bookmarkStart w:id="4" w:name="PE"/>
      <w:r w:rsidRPr="004C22A6">
        <w:rPr>
          <w:vanish/>
        </w:rPr>
        <w:t>PE778.049</w:t>
      </w:r>
      <w:bookmarkEnd w:id="4"/>
    </w:p>
    <w:p w14:paraId="5BC4141C" w14:textId="539660C4" w:rsidR="007534EC" w:rsidRPr="004C22A6" w:rsidRDefault="00571F3A" w:rsidP="007534EC">
      <w:pPr>
        <w:pStyle w:val="ATHeading3"/>
      </w:pPr>
      <w:bookmarkStart w:id="5" w:name="Sujet"/>
      <w:r w:rsidRPr="004C22A6">
        <w:t>1. Α</w:t>
      </w:r>
      <w:r w:rsidR="007534EC" w:rsidRPr="004C22A6">
        <w:t xml:space="preserve">πόφαση του Ευρωπαϊκού Κοινοβουλίου της </w:t>
      </w:r>
      <w:r w:rsidR="00ED7E5A" w:rsidRPr="004C22A6">
        <w:t>29ης Απριλίου</w:t>
      </w:r>
      <w:r w:rsidR="007534EC" w:rsidRPr="004C22A6">
        <w:t xml:space="preserve"> 2026 σχετικά με την απαλλαγή όσον αφορά την εκτέλεση του γενικού προϋπολογισμού της Ευρωπαϊκής Ένωσης για το οικονομικό έτος 2024, τμήμα II – Ευρωπαϊκό Συμβούλιο και Συμβούλιο</w:t>
      </w:r>
      <w:bookmarkEnd w:id="5"/>
      <w:r w:rsidR="007534EC" w:rsidRPr="004C22A6">
        <w:t xml:space="preserve"> </w:t>
      </w:r>
      <w:bookmarkStart w:id="6" w:name="References"/>
      <w:r w:rsidR="007534EC" w:rsidRPr="004C22A6">
        <w:t>(2025/2147(DEC))</w:t>
      </w:r>
      <w:bookmarkEnd w:id="6"/>
    </w:p>
    <w:p w14:paraId="02B20B3C" w14:textId="77777777" w:rsidR="0065749F" w:rsidRPr="004C22A6" w:rsidRDefault="0065749F" w:rsidP="0065749F">
      <w:pPr>
        <w:pStyle w:val="EPComma"/>
      </w:pPr>
      <w:bookmarkStart w:id="7" w:name="TextBodyBegin"/>
      <w:bookmarkEnd w:id="7"/>
      <w:r w:rsidRPr="004C22A6">
        <w:rPr>
          <w:i/>
        </w:rPr>
        <w:t>Το Ευρωπαϊκό Κοινοβούλιο</w:t>
      </w:r>
      <w:r w:rsidRPr="004C22A6">
        <w:t>,</w:t>
      </w:r>
    </w:p>
    <w:p w14:paraId="0365A749" w14:textId="77777777" w:rsidR="0065749F" w:rsidRPr="004C22A6" w:rsidRDefault="0065749F" w:rsidP="00417804">
      <w:pPr>
        <w:pStyle w:val="NormalHanging12a"/>
        <w:widowControl/>
      </w:pPr>
      <w:r w:rsidRPr="004C22A6">
        <w:t>–</w:t>
      </w:r>
      <w:r w:rsidRPr="004C22A6">
        <w:tab/>
        <w:t>έχοντας υπόψη τον γενικό προϋπολογισμό της Ευρωπαϊκής Ένωσης για το οικονομικό έτος 2024</w:t>
      </w:r>
      <w:r w:rsidRPr="004C22A6">
        <w:rPr>
          <w:rStyle w:val="FootnoteReference"/>
        </w:rPr>
        <w:footnoteReference w:id="1"/>
      </w:r>
      <w:r w:rsidRPr="004C22A6">
        <w:t>,</w:t>
      </w:r>
    </w:p>
    <w:p w14:paraId="6DCF4E9F" w14:textId="77777777" w:rsidR="0065749F" w:rsidRPr="004C22A6" w:rsidRDefault="0065749F" w:rsidP="00417804">
      <w:pPr>
        <w:pStyle w:val="NormalHanging12a"/>
        <w:widowControl/>
      </w:pPr>
      <w:r w:rsidRPr="004C22A6">
        <w:t>–</w:t>
      </w:r>
      <w:r w:rsidRPr="004C22A6">
        <w:tab/>
        <w:t>έχοντας υπόψη τους ενοποιημένους ετήσιους λογαριασμούς της Ευρωπαϊκής Ένωσης για το οικονομικό έτος 2024 (COM(2025)0359 – C10</w:t>
      </w:r>
      <w:r w:rsidRPr="004C22A6">
        <w:noBreakHyphen/>
        <w:t>0147/2025)</w:t>
      </w:r>
      <w:r w:rsidRPr="004C22A6">
        <w:rPr>
          <w:rStyle w:val="FootnoteReference"/>
        </w:rPr>
        <w:footnoteReference w:id="2"/>
      </w:r>
      <w:r w:rsidRPr="004C22A6">
        <w:t>,</w:t>
      </w:r>
    </w:p>
    <w:p w14:paraId="450815F3" w14:textId="77777777" w:rsidR="0065749F" w:rsidRPr="004C22A6" w:rsidRDefault="0065749F" w:rsidP="00417804">
      <w:pPr>
        <w:pStyle w:val="NormalHanging12a"/>
        <w:widowControl/>
      </w:pPr>
      <w:r w:rsidRPr="004C22A6">
        <w:t>–</w:t>
      </w:r>
      <w:r w:rsidRPr="004C22A6">
        <w:tab/>
        <w:t>έχοντας υπόψη την ετήσια έκθεση του Συμβουλίου προς την αρμόδια για την απαλλαγή αρχή σχετικά με τους εσωτερικούς ελέγχους που πραγματοποιήθηκαν το 2024,</w:t>
      </w:r>
    </w:p>
    <w:p w14:paraId="623EE112" w14:textId="77777777" w:rsidR="0065749F" w:rsidRPr="004C22A6" w:rsidRDefault="0065749F" w:rsidP="00417804">
      <w:pPr>
        <w:pStyle w:val="NormalHanging12a"/>
        <w:widowControl/>
      </w:pPr>
      <w:r w:rsidRPr="004C22A6">
        <w:t>–</w:t>
      </w:r>
      <w:r w:rsidRPr="004C22A6">
        <w:tab/>
        <w:t>έχοντας υπόψη την ετήσια έκθεση του Ελεγκτικού Συνεδρίου σχετικά με την εκτέλεση του προϋπολογισμού για το οικονομικό έτος 2024, που συνοδεύεται από τις απαντήσεις των οργάνων</w:t>
      </w:r>
      <w:r w:rsidRPr="004C22A6">
        <w:rPr>
          <w:rStyle w:val="FootnoteReference"/>
        </w:rPr>
        <w:footnoteReference w:id="3"/>
      </w:r>
      <w:r w:rsidRPr="004C22A6">
        <w:t>,</w:t>
      </w:r>
    </w:p>
    <w:p w14:paraId="214D488E" w14:textId="77777777" w:rsidR="0065749F" w:rsidRPr="004C22A6" w:rsidRDefault="0065749F" w:rsidP="00417804">
      <w:pPr>
        <w:pStyle w:val="NormalHanging12a"/>
        <w:widowControl/>
      </w:pPr>
      <w:r w:rsidRPr="004C22A6">
        <w:t>–</w:t>
      </w:r>
      <w:r w:rsidRPr="004C22A6">
        <w:tab/>
        <w:t>έχοντας υπόψη τη δήλωση αξιοπιστίας</w:t>
      </w:r>
      <w:r w:rsidRPr="004C22A6">
        <w:rPr>
          <w:rStyle w:val="FootnoteReference"/>
        </w:rPr>
        <w:footnoteReference w:id="4"/>
      </w:r>
      <w:r w:rsidRPr="004C22A6">
        <w:t xml:space="preserve"> η οποία βεβαιώνει την ακρίβεια των λογαριασμών και τη νομιμότητα και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2CE54156" w14:textId="77777777" w:rsidR="0065749F" w:rsidRPr="004C22A6" w:rsidRDefault="0065749F" w:rsidP="00417804">
      <w:pPr>
        <w:pStyle w:val="NormalHanging12a"/>
        <w:widowControl/>
      </w:pPr>
      <w:r w:rsidRPr="004C22A6">
        <w:t>–</w:t>
      </w:r>
      <w:r w:rsidRPr="004C22A6">
        <w:tab/>
        <w:t>έχοντας υπόψη το άρθρο 314 παράγραφος 10 και τα άρθρα 317, 318 και 319 της Συνθήκης για τη λειτουργία της Ευρωπαϊκής Ένωσης,</w:t>
      </w:r>
    </w:p>
    <w:p w14:paraId="72083A3C" w14:textId="77777777" w:rsidR="0065749F" w:rsidRPr="004C22A6" w:rsidRDefault="0065749F" w:rsidP="00417804">
      <w:pPr>
        <w:pStyle w:val="NormalHanging12a"/>
        <w:widowControl/>
      </w:pPr>
      <w:r w:rsidRPr="004C22A6">
        <w:t>–</w:t>
      </w:r>
      <w:r w:rsidRPr="004C22A6">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w:t>
      </w:r>
      <w:r w:rsidRPr="004C22A6">
        <w:lastRenderedPageBreak/>
        <w:t>(ΕΕ) αριθ. 223/2014, (ΕΕ) αριθ. 283/2014 και της απόφασης αριθ. 541/2014/ΕΕ και για την κατάργηση του κανονισμού (ΕΕ, Ευρατόμ) αριθ. 966/2012</w:t>
      </w:r>
      <w:r w:rsidRPr="004C22A6">
        <w:rPr>
          <w:rStyle w:val="FootnoteReference"/>
        </w:rPr>
        <w:footnoteReference w:id="5"/>
      </w:r>
      <w:r w:rsidRPr="004C22A6">
        <w:t>, και ιδίως τα άρθρα 59, 118, 260, 261 και 262,</w:t>
      </w:r>
    </w:p>
    <w:p w14:paraId="40AF0044" w14:textId="77777777" w:rsidR="0065749F" w:rsidRPr="004C22A6" w:rsidRDefault="0065749F" w:rsidP="00417804">
      <w:pPr>
        <w:pStyle w:val="NormalHanging12a"/>
        <w:widowControl/>
      </w:pPr>
      <w:r w:rsidRPr="004C22A6">
        <w:t>–</w:t>
      </w:r>
      <w:r w:rsidRPr="004C22A6">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4C22A6">
        <w:rPr>
          <w:rStyle w:val="FootnoteReference"/>
        </w:rPr>
        <w:footnoteReference w:id="6"/>
      </w:r>
      <w:r w:rsidRPr="004C22A6">
        <w:t>, και ιδίως τα άρθρα 59, 118, 266, 267 και 268,</w:t>
      </w:r>
    </w:p>
    <w:p w14:paraId="14A9FCE8" w14:textId="77777777" w:rsidR="0065749F" w:rsidRPr="004C22A6" w:rsidRDefault="0065749F" w:rsidP="00417804">
      <w:pPr>
        <w:pStyle w:val="NormalHanging12a"/>
        <w:widowControl/>
      </w:pPr>
      <w:r w:rsidRPr="004C22A6">
        <w:t>–</w:t>
      </w:r>
      <w:r w:rsidRPr="004C22A6">
        <w:tab/>
        <w:t>έχοντας υπόψη το άρθρο 102 και το παράρτημα V του Κανονισμού του,</w:t>
      </w:r>
    </w:p>
    <w:p w14:paraId="58581FB4" w14:textId="77777777" w:rsidR="0065749F" w:rsidRPr="004C22A6" w:rsidRDefault="0065749F" w:rsidP="00417804">
      <w:pPr>
        <w:pStyle w:val="NormalHanging12a"/>
        <w:widowControl/>
      </w:pPr>
      <w:r w:rsidRPr="004C22A6">
        <w:t>–</w:t>
      </w:r>
      <w:r w:rsidRPr="004C22A6">
        <w:tab/>
        <w:t>έχοντας υπόψη την έκθεση της Επιτροπής Ελέγχου του Προϋπολογισμού (A10-0051/2026),</w:t>
      </w:r>
    </w:p>
    <w:p w14:paraId="47C52AE9" w14:textId="77777777" w:rsidR="0065749F" w:rsidRPr="004C22A6" w:rsidRDefault="0065749F" w:rsidP="00417804">
      <w:pPr>
        <w:pStyle w:val="NormalHanging12a"/>
        <w:widowControl/>
      </w:pPr>
      <w:bookmarkStart w:id="8" w:name="_Hlk216800694"/>
      <w:r w:rsidRPr="004C22A6">
        <w:t>1.</w:t>
      </w:r>
      <w:r w:rsidRPr="004C22A6">
        <w:tab/>
        <w:t>αναβάλλει την απόφασή του για τη χορήγηση απαλλαγής στη Γενική Γραμματέα του Συμβουλίου όσον αφορά την εκτέλεση του προϋπολογισμού του Ευρωπαϊκού Συμβουλίου και του Συμβουλίου για το οικονομικό έτος 2024·</w:t>
      </w:r>
    </w:p>
    <w:bookmarkEnd w:id="8"/>
    <w:p w14:paraId="720C0369" w14:textId="77777777" w:rsidR="0065749F" w:rsidRPr="004C22A6" w:rsidRDefault="0065749F" w:rsidP="00417804">
      <w:pPr>
        <w:pStyle w:val="NormalHanging12a"/>
        <w:widowControl/>
      </w:pPr>
      <w:r w:rsidRPr="004C22A6">
        <w:t>2.</w:t>
      </w:r>
      <w:r w:rsidRPr="004C22A6">
        <w:tab/>
        <w:t>εκθέτει τις παρατηρήσεις του στο ψήφισμα που ακολουθεί·</w:t>
      </w:r>
    </w:p>
    <w:p w14:paraId="51EBBA05" w14:textId="1009CAAB" w:rsidR="0065749F" w:rsidRPr="004C22A6" w:rsidRDefault="0065749F" w:rsidP="00417804">
      <w:pPr>
        <w:pStyle w:val="NormalHanging12a"/>
        <w:widowControl/>
      </w:pPr>
      <w:r w:rsidRPr="004C22A6">
        <w:t>3.</w:t>
      </w:r>
      <w:r w:rsidRPr="004C22A6">
        <w:tab/>
        <w:t xml:space="preserve">αναθέτει στην Πρόεδρό του να διαβιβάσει την παρούσα απόφαση και το ψήφισμα που αποτελεί αναπόσπαστο μέρος της στο Ευρωπαϊκό Συμβούλιο, στο Συμβούλιο, στην Επιτροπή και στο Ελεγκτικό Συνέδριο, και να μεριμνήσει για τη δημοσίευσή τους στην </w:t>
      </w:r>
      <w:r w:rsidRPr="004C22A6">
        <w:rPr>
          <w:i/>
        </w:rPr>
        <w:t>Επίσημη Εφημερίδα της Ευρωπαϊκής Ένωσης</w:t>
      </w:r>
      <w:r w:rsidRPr="004C22A6">
        <w:t xml:space="preserve"> (σειρά L)</w:t>
      </w:r>
      <w:r w:rsidR="00207A09" w:rsidRPr="004C22A6">
        <w:t>.</w:t>
      </w:r>
    </w:p>
    <w:p w14:paraId="5B4C3ACA" w14:textId="77777777" w:rsidR="0065749F" w:rsidRPr="004C22A6" w:rsidRDefault="0065749F" w:rsidP="0065749F">
      <w:pPr>
        <w:pStyle w:val="PageHeading"/>
        <w:sectPr w:rsidR="0065749F" w:rsidRPr="004C22A6" w:rsidSect="00B465ED">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EB5DB3E" w14:textId="77777777" w:rsidR="00A537B4" w:rsidRPr="004C22A6" w:rsidRDefault="00A537B4" w:rsidP="00A537B4">
      <w:pPr>
        <w:pStyle w:val="ATHeading3"/>
      </w:pPr>
      <w:r w:rsidRPr="004C22A6">
        <w:lastRenderedPageBreak/>
        <w:t>2. Ψήφισμα του Ευρωπαϊκού Κοινοβουλίου της 29ης Απριλίου 2026 με τις παρατηρήσεις που αποτελούν αναπόσπαστο μέρος της απόφασης σχετικά με την απαλλαγή όσον αφορά την εκτέλεση του γενικού προϋπολογισμού της Ευρωπαϊκής Ένωσης για το οικονομικό έτος 2024, τμήμα II – Ευρωπαϊκό Συμβούλιο και Συμβούλιο (2025/2147(DEC))</w:t>
      </w:r>
    </w:p>
    <w:p w14:paraId="12FE7B65" w14:textId="77777777" w:rsidR="0065749F" w:rsidRPr="004C22A6" w:rsidRDefault="0065749F" w:rsidP="0065749F">
      <w:pPr>
        <w:pStyle w:val="EPComma"/>
      </w:pPr>
      <w:r w:rsidRPr="004C22A6">
        <w:rPr>
          <w:i/>
        </w:rPr>
        <w:t>Το Ευρωπαϊκό Κοινοβούλιο</w:t>
      </w:r>
      <w:r w:rsidRPr="004C22A6">
        <w:t>,</w:t>
      </w:r>
    </w:p>
    <w:p w14:paraId="47D08AA3" w14:textId="77777777" w:rsidR="0065749F" w:rsidRPr="004C22A6" w:rsidRDefault="0065749F" w:rsidP="00417804">
      <w:pPr>
        <w:pStyle w:val="NormalHanging12a"/>
        <w:widowControl/>
      </w:pPr>
      <w:r w:rsidRPr="004C22A6">
        <w:t>–</w:t>
      </w:r>
      <w:r w:rsidRPr="004C22A6">
        <w:tab/>
        <w:t>έχοντας υπόψη την απόφασή του σχετικά με την απαλλαγή όσον αφορά την εκτέλεση του γενικού προϋπολογισμού της Ευρωπαϊκής Ένωσης για το οικονομικό έτος 2024, τμήμα II – Ευρωπαϊκό Συμβούλιο και Συμβούλιο,</w:t>
      </w:r>
    </w:p>
    <w:p w14:paraId="26636ADB" w14:textId="77777777" w:rsidR="0065749F" w:rsidRPr="004C22A6" w:rsidRDefault="0065749F" w:rsidP="00417804">
      <w:pPr>
        <w:pStyle w:val="NormalHanging12a"/>
        <w:widowControl/>
      </w:pPr>
      <w:r w:rsidRPr="004C22A6">
        <w:t>–</w:t>
      </w:r>
      <w:r w:rsidRPr="004C22A6">
        <w:tab/>
        <w:t>έχοντας υπόψη το άρθρο 102 και το παράρτημα V του Κανονισμού του,</w:t>
      </w:r>
    </w:p>
    <w:p w14:paraId="4F070CA7" w14:textId="77777777" w:rsidR="0065749F" w:rsidRPr="004C22A6" w:rsidRDefault="0065749F" w:rsidP="00417804">
      <w:pPr>
        <w:pStyle w:val="NormalHanging12a"/>
        <w:widowControl/>
      </w:pPr>
      <w:r w:rsidRPr="004C22A6">
        <w:t>–</w:t>
      </w:r>
      <w:r w:rsidRPr="004C22A6">
        <w:tab/>
        <w:t>έχοντας υπόψη την έκθεση της Επιτροπής Ελέγχου του Προϋπολογισμού (A10-0051/2026),</w:t>
      </w:r>
    </w:p>
    <w:p w14:paraId="5C7D4C3E" w14:textId="77777777" w:rsidR="0065749F" w:rsidRPr="004C22A6" w:rsidRDefault="0065749F" w:rsidP="00417804">
      <w:pPr>
        <w:pStyle w:val="NormalHanging12a"/>
        <w:widowControl/>
        <w:rPr>
          <w:bCs/>
          <w:iCs/>
        </w:rPr>
      </w:pPr>
      <w:r w:rsidRPr="004C22A6">
        <w:t>Α.</w:t>
      </w:r>
      <w:r w:rsidRPr="004C22A6">
        <w:tab/>
        <w:t>λαμβάνοντας υπόψη ότι η δημοκρατική νομιμότητα των θεσμικών οργάνων της Ένωσης απορρέει πρωτίστως από την αυστηρή τήρηση των Συνθηκών, οι οποίες καθορίζουν τη θεσμική ισορροπία και τη σαφή κατανομή αρμοδιοτήτων· λαμβάνοντας υπόψη ότι η διαφάνεια, η λογοδοσία και η χρηστή δημοσιονομική διαχείριση αποτελούν βασικές υποχρεώσεις όλων των θεσμικών και λοιπών οργάνων και οργανισμών της Ένωσης όταν δαπανούν τα χρήματα των φορολογουμένων· λαμβάνοντας υπόψη ότι, στο πλαίσιο της διαδικασίας απαλλαγής, η αρμόδια για την απαλλαγή αρχή επιθυμεί να τονίσει την ιδιαίτερη σημασία που έχουν η περαιτέρω ενίσχυση της δημοκρατικής νομιμοποίησης των θεσμικών οργάνων της Ένωσης μέσω της βελτίωσης της διαφάνειας και της λογοδοσίας, όπως επίσης και η εφαρμογή της προσέγγισης της κατάρτισης του προϋπολογισμού βάσει επιδόσεων και της χρηστής διαχείρισης των ανθρώπινων πόρων·</w:t>
      </w:r>
    </w:p>
    <w:p w14:paraId="4DE2BDBD" w14:textId="62B0B479" w:rsidR="0065749F" w:rsidRPr="004C22A6" w:rsidRDefault="0065749F" w:rsidP="00417804">
      <w:pPr>
        <w:pStyle w:val="NormalHanging12a"/>
        <w:widowControl/>
      </w:pPr>
      <w:r w:rsidRPr="004C22A6">
        <w:t>Β.</w:t>
      </w:r>
      <w:r w:rsidRPr="004C22A6">
        <w:tab/>
        <w:t>λαμβάνοντας υπόψη, βάσει του άρθρου 319 της Συνθήκης για τη λειτουργία της Ευρωπαϊκής Ένωσης (ΣΛΕΕ), ότι το Ευρωπαϊκό Κοινοβούλιο έχει την αποκλειστική ευθύνη να χορηγεί απαλλαγή για την εκτέλεση του γενικού προϋπολογισμού της Ευρωπαϊκής Ένωσης και ότι ο προϋπολογισμός του Ευρωπαϊκού Συμβουλίου και του Συμβουλίου («το Συμβούλιο») αποτελεί τμήμα του προϋπολογισμού της Ένωσης και, ως εκ τούτου, δεσμεύεται νομικά από τις Συνθήκες και τον δημοσιονομικό κανονισμό να διασφαλίζει τη διαφάνεια, τη λογοδοσία και τη χρηστή δημοσιονομική διαχείριση, ανεξάρτητα από τον διακυβερνητικό χαρακτήρα του·</w:t>
      </w:r>
    </w:p>
    <w:p w14:paraId="0E95E5FD" w14:textId="77777777" w:rsidR="0065749F" w:rsidRPr="004C22A6" w:rsidRDefault="0065749F" w:rsidP="00417804">
      <w:pPr>
        <w:pStyle w:val="NormalHanging12a"/>
        <w:widowControl/>
      </w:pPr>
      <w:r w:rsidRPr="004C22A6">
        <w:t>Γ.</w:t>
      </w:r>
      <w:r w:rsidRPr="004C22A6">
        <w:tab/>
        <w:t>λαμβάνοντας υπόψη ότι, σύμφωνα με το άρθρο 15 παράγραφος 1 της Συνθήκης για την Ευρωπαϊκή Ένωση (ΣΕΕ), το Ευρωπαϊκό Συμβούλιο δεν ασκεί νομοθετική λειτουργία·</w:t>
      </w:r>
    </w:p>
    <w:p w14:paraId="27A4C4B9" w14:textId="77777777" w:rsidR="0065749F" w:rsidRPr="004C22A6" w:rsidRDefault="0065749F" w:rsidP="00417804">
      <w:pPr>
        <w:pStyle w:val="NormalHanging12a"/>
        <w:widowControl/>
      </w:pPr>
      <w:r w:rsidRPr="004C22A6">
        <w:t>Δ.</w:t>
      </w:r>
      <w:r w:rsidRPr="004C22A6">
        <w:tab/>
        <w:t>λαμβάνοντας υπόψη ότι, σύμφωνα με το άρθρο 317 ΣΛΕΕ, η Επιτροπή εκτελεί τον προϋπολογισμό με δική της ευθύνη, σύμφωνα με τις αρχές της χρηστής δημοσιονομικής διαχείρισης, και ότι, στο ισχύον πλαίσιο, η Επιτροπή αναθέτει στα άλλα θεσμικά όργανα της Ένωσης τις αρμοδιότητες που απαιτούνται για την εκτέλεση των τμημάτων του προϋπολογισμού που τα αφορούν·</w:t>
      </w:r>
    </w:p>
    <w:p w14:paraId="771BAE51" w14:textId="30086232" w:rsidR="0065749F" w:rsidRPr="004C22A6" w:rsidRDefault="0065749F" w:rsidP="00417804">
      <w:pPr>
        <w:pStyle w:val="NormalHanging12a"/>
        <w:widowControl/>
      </w:pPr>
      <w:r w:rsidRPr="004C22A6">
        <w:t>Ε.</w:t>
      </w:r>
      <w:r w:rsidRPr="004C22A6">
        <w:tab/>
        <w:t xml:space="preserve">λαμβάνοντας υπόψη ότι, σύμφωνα με το άρθρο 235 παράγραφος 4 και το άρθρο 240 παράγραφος 2 ΣΛΕΕ, το Συμβούλιο επικουρείται από τη Γενική Γραμματεία του Συμβουλίου («η Γραμματεία») και λαμβάνοντας υπόψη ότι ο Γενικός Γραμματέας του </w:t>
      </w:r>
      <w:r w:rsidRPr="004C22A6">
        <w:lastRenderedPageBreak/>
        <w:t>Συμβουλίου είναι εξ ολοκλήρου υπεύθυνος για τη χρηστή διαχείριση των πιστώσεων που εγγράφονται στο τμήμα ΙΙ του προϋπολογισμού της Ένωσης·</w:t>
      </w:r>
    </w:p>
    <w:p w14:paraId="7BFB53B5" w14:textId="77777777" w:rsidR="0065749F" w:rsidRPr="004C22A6" w:rsidRDefault="0065749F" w:rsidP="00417804">
      <w:pPr>
        <w:pStyle w:val="NormalHanging12a"/>
        <w:widowControl/>
      </w:pPr>
      <w:r w:rsidRPr="004C22A6">
        <w:t>ΣΤ.</w:t>
      </w:r>
      <w:r w:rsidRPr="004C22A6">
        <w:tab/>
        <w:t>λαμβάνοντας υπόψη ότι, εδώ και περισσότερο από είκοσι έτη, το Κοινοβούλιο εφαρμόζει την καθιερωμένη και σεβαστή πρακτική της χορήγησης απαλλαγής σε όλα τα θεσμικά και λοιπά όργανα και οργανισμούς της Ένωσης, και λαμβάνοντας υπόψη ότι η Επιτροπή υποστηρίζει ότι θα πρέπει να συνεχιστεί η πρακτική της χορήγησης απαλλαγής σε κάθε θεσμικό και λοιπό όργανο και οργανισμό της Ένωσης για τις διοικητικές του δαπάνες·</w:t>
      </w:r>
    </w:p>
    <w:p w14:paraId="73C73160" w14:textId="77777777" w:rsidR="0065749F" w:rsidRPr="004C22A6" w:rsidRDefault="0065749F" w:rsidP="00417804">
      <w:pPr>
        <w:pStyle w:val="NormalHanging12a"/>
        <w:widowControl/>
      </w:pPr>
      <w:r w:rsidRPr="004C22A6">
        <w:t>Ζ.</w:t>
      </w:r>
      <w:r w:rsidRPr="004C22A6">
        <w:tab/>
        <w:t>λαμβάνοντας υπόψη ότι, σύμφωνα με το άρθρο 59 παράγραφος 1 του δημοσιονομικού κανονισμού, η Επιτροπή αναγνωρίζει στα άλλα θεσμικά όργανα της Ένωσης τις αρμοδιότητες που είναι αναγκαίες για την εκτέλεση των τμημάτων του προϋπολογισμού που τους αντιστοιχούν·</w:t>
      </w:r>
    </w:p>
    <w:p w14:paraId="3BBE1BFF" w14:textId="77777777" w:rsidR="0065749F" w:rsidRPr="004C22A6" w:rsidRDefault="0065749F" w:rsidP="00417804">
      <w:pPr>
        <w:pStyle w:val="NormalHanging12a"/>
        <w:widowControl/>
      </w:pPr>
      <w:r w:rsidRPr="004C22A6">
        <w:t>Η.</w:t>
      </w:r>
      <w:r w:rsidRPr="004C22A6">
        <w:tab/>
        <w:t>λαμβάνοντας υπόψη ότι, από την χορήγηση απαλλαγής για τον προϋπολογισμό του 2009 και μετά, η έλλειψη συνεργασίας εκ μέρους του Συμβουλίου στο πλαίσιο της διαδικασίας απαλλαγής εμπόδισε το Κοινοβούλιο να επιτελέσει τον ρόλο του όσον αφορά την άσκηση δημοκρατικού ελέγχου και οδήγησε επανειλημμένα στην άρνηση του Κοινοβουλίου να χορηγεί απαλλαγή στον Γενικό Γραμματέα του Συμβουλίου·</w:t>
      </w:r>
    </w:p>
    <w:p w14:paraId="0744E3AD" w14:textId="77777777" w:rsidR="0065749F" w:rsidRPr="004C22A6" w:rsidRDefault="0065749F" w:rsidP="00417804">
      <w:pPr>
        <w:pStyle w:val="NormalHanging12a"/>
        <w:widowControl/>
      </w:pPr>
      <w:r w:rsidRPr="004C22A6">
        <w:t>Θ.</w:t>
      </w:r>
      <w:r w:rsidRPr="004C22A6">
        <w:tab/>
        <w:t>λαμβάνοντας υπόψη ότι το Ευρωπαϊκό Συμβούλιο και το Συμβούλιο, ως θεσμικά όργανα της Ένωσης και ως αποδέκτες του γενικού προϋπολογισμού της Ένωσης, θα πρέπει να είναι διαφανή και δημοκρατικά υπόλογα έναντι των πολιτών της Ένωσης και να υπόκεινται σε δημοκρατικό έλεγχο της δαπάνης των δημόσιων πόρων·</w:t>
      </w:r>
    </w:p>
    <w:p w14:paraId="78DF15BF" w14:textId="4CABE2A4" w:rsidR="0065749F" w:rsidRPr="004C22A6" w:rsidRDefault="0065749F" w:rsidP="00417804">
      <w:pPr>
        <w:pStyle w:val="NormalHanging12a"/>
        <w:widowControl/>
        <w:rPr>
          <w:b/>
          <w:i/>
        </w:rPr>
      </w:pPr>
      <w:r w:rsidRPr="004C22A6">
        <w:t>Ι.</w:t>
      </w:r>
      <w:r w:rsidRPr="004C22A6">
        <w:tab/>
        <w:t>λαμβάνοντας υπόψη ότι το άρθρο 15 παράγραφος 3 ΣΛΕΕ απαιτεί από τα θεσμικά όργανα της Ένωσης να διασφαλίζουν στον εσωτερικό κανονισμό τους ότι οι εργασίες τους είναι διαφανείς, αλλά σε αρκετές από τις έρευνες και αποφάσεις του ο Ευρωπαίος Διαμεσολαβητής («ο Διαμεσολαβητής») έχει επικρίνει το Συμβούλιο για την έλλειψη διαφάνειας που το διακρίνει, υποδηλώνοντας ότι το Συμβούλιο δεν έχει κατανοήσει πλήρως την κρίσιμη σχέση μεταξύ δημοκρατίας και διαφάνειας στη λήψη αποφάσεων·</w:t>
      </w:r>
    </w:p>
    <w:p w14:paraId="21523F8B" w14:textId="77777777" w:rsidR="0065749F" w:rsidRPr="004C22A6" w:rsidRDefault="0065749F" w:rsidP="00417804">
      <w:pPr>
        <w:pStyle w:val="NormalHanging12a"/>
        <w:widowControl/>
      </w:pPr>
      <w:r w:rsidRPr="004C22A6">
        <w:t>ΙΑ.</w:t>
      </w:r>
      <w:r w:rsidRPr="004C22A6">
        <w:tab/>
        <w:t>λαμβάνοντας υπόψη ότι η νομολογία του Δικαστηρίου της Ευρωπαϊκής Ένωσης (ΔΕΕ) επιβεβαιώνει το δικαίωμα των φορολογουμένων και του κοινού να ενημερώνονται σχετικά με τη χρήση των δημόσιων εσόδων και ότι το Γενικό Δικαστήριο, στην απόφασή του της 25ης Ιανουαρίου 2023 στην υπόθεση T-163/21</w:t>
      </w:r>
      <w:r w:rsidRPr="004C22A6">
        <w:rPr>
          <w:rStyle w:val="FootnoteReference"/>
        </w:rPr>
        <w:footnoteReference w:id="7"/>
      </w:r>
      <w:r w:rsidRPr="004C22A6">
        <w:t xml:space="preserve">, De </w:t>
      </w:r>
      <w:proofErr w:type="spellStart"/>
      <w:r w:rsidRPr="004C22A6">
        <w:t>Capitani</w:t>
      </w:r>
      <w:proofErr w:type="spellEnd"/>
      <w:r w:rsidRPr="004C22A6">
        <w:t xml:space="preserve"> κατά Συμβουλίου, δήλωσε σχετικά με τη διαφάνεια στο πλαίσιο της νομοθετικής διαδικασίας της Ένωσης ότι τα έγγραφα που παράγονται από το Συμβούλιο στις ομάδες εργασίας του δεν έχουν τεχνικό αλλά νομοθετικό χαρακτήρα και, ως εκ τούτου, υπόκεινται στους όρους που διέπουν αιτήσεις πρόσβασης σε έγγραφα·</w:t>
      </w:r>
    </w:p>
    <w:p w14:paraId="6B5C7469" w14:textId="376845F8" w:rsidR="0065749F" w:rsidRPr="004C22A6" w:rsidRDefault="004C22A6" w:rsidP="004C22A6">
      <w:pPr>
        <w:pStyle w:val="NormalHanging12a"/>
        <w:widowControl/>
      </w:pPr>
      <w:r w:rsidRPr="004C22A6">
        <w:t>1.</w:t>
      </w:r>
      <w:r w:rsidRPr="004C22A6">
        <w:tab/>
      </w:r>
      <w:r w:rsidR="0065749F" w:rsidRPr="004C22A6">
        <w:t xml:space="preserve">σημειώνει ότι ο προϋπολογισμός του Συμβουλίου εμπίπτει στον τομέα 7 του ΠΔΠ («Ευρωπαϊκή δημόσια διοίκηση»), ο οποίος ανήλθε σε 13,3 δισεκατομμύρια EUR το 2023 (ποσό που αντιστοιχεί στο 6,9 % του συνολικού προϋπολογισμού της Ένωσης)· σημειώνει ότι ο προϋπολογισμός του Συμβουλίου, ύψους περίπου </w:t>
      </w:r>
      <w:r w:rsidR="0065749F" w:rsidRPr="004C22A6">
        <w:lastRenderedPageBreak/>
        <w:t>0,7 δισεκατομμυρίου EUR, συνιστά περίπου το 5,26 % των συνολικών διοικητικών δαπανών της Ένωσης·</w:t>
      </w:r>
    </w:p>
    <w:p w14:paraId="54EAD3D5" w14:textId="439E9FE1" w:rsidR="0065749F" w:rsidRPr="004C22A6" w:rsidRDefault="004C22A6" w:rsidP="004C22A6">
      <w:pPr>
        <w:pStyle w:val="NormalHanging12a"/>
        <w:widowControl/>
      </w:pPr>
      <w:r w:rsidRPr="004C22A6">
        <w:t>2.</w:t>
      </w:r>
      <w:r w:rsidRPr="004C22A6">
        <w:tab/>
      </w:r>
      <w:r w:rsidR="0065749F" w:rsidRPr="004C22A6">
        <w:t>σημειώνει ότι το Ελεγκτικό Συνέδριο, στην ετήσια έκθεσή του για το οικονομικό έτος 2024 («έκθεση του Ελεγκτικού Συνεδρίου»), εξέτασε δείγμα 70 πράξεων στο πλαίσιο του τομέα «Διοίκηση», αριθμός ίδιος με εκείνον του 2023, λαμβάνοντας υπόψη ότι το Ελεγκτικό Συνέδριο αναφέρει περαιτέρω ότι οι διοικητικές δαπάνες περιλαμβάνουν δαπάνες για ανθρώπινους πόρους, συμπεριλαμβανομένων των δαπανών για συντάξεις, οι οποίες το 2024 αντιπροσώπευαν περίπου το 69 % των συνολικών διοικητικών δαπανών, καθώς και δαπάνες για κτίρια, εξοπλισμό, ενέργεια, επικοινωνίες και τεχνολογία των πληροφοριών (ΤΠ), και ότι το έργο του επί σειρά ετών δείχνει ότι, συνολικά, οι δαπάνες αυτές είναι χαμηλού κινδύνου·</w:t>
      </w:r>
    </w:p>
    <w:p w14:paraId="4FCD7D9A" w14:textId="282C394A" w:rsidR="0065749F" w:rsidRPr="004C22A6" w:rsidRDefault="004C22A6" w:rsidP="004C22A6">
      <w:pPr>
        <w:pStyle w:val="NormalHanging12a"/>
        <w:widowControl/>
      </w:pPr>
      <w:r w:rsidRPr="004C22A6">
        <w:t>3.</w:t>
      </w:r>
      <w:r w:rsidRPr="004C22A6">
        <w:tab/>
      </w:r>
      <w:r w:rsidR="0065749F" w:rsidRPr="004C22A6">
        <w:t>σημειώνει ότι 16 (23 %) από τις 70 πράξεις περιείχαν σφάλματα, αλλά ότι το Ελεγκτικό Συνέδριο, βάσει των τριών σφαλμάτων που ποσοτικοποιήθηκαν, εκτιμά ότι το επίπεδο σφάλματος είναι χαμηλότερο από το όριο σημαντικότητας· σημειώνει ότι η έκθεση του Ελεγκτικού Συνεδρίου δεν εντόπισε συγκεκριμένα ζητήματα σχετικά με το Συμβούλιο·</w:t>
      </w:r>
    </w:p>
    <w:p w14:paraId="19585404" w14:textId="77777777" w:rsidR="0065749F" w:rsidRPr="004C22A6" w:rsidRDefault="0065749F" w:rsidP="00417804">
      <w:pPr>
        <w:pStyle w:val="NormalHanging12a"/>
        <w:widowControl/>
        <w:rPr>
          <w:b/>
          <w:i/>
          <w:iCs/>
        </w:rPr>
      </w:pPr>
      <w:r w:rsidRPr="004C22A6">
        <w:rPr>
          <w:b/>
          <w:i/>
        </w:rPr>
        <w:t>Τρέχουσα κατάσταση όσον αφορά τη διαδικασία απαλλαγής</w:t>
      </w:r>
    </w:p>
    <w:p w14:paraId="6C9BD379" w14:textId="7069DC10" w:rsidR="0065749F" w:rsidRPr="004C22A6" w:rsidRDefault="004C22A6" w:rsidP="004C22A6">
      <w:pPr>
        <w:pStyle w:val="NormalHanging12a"/>
        <w:widowControl/>
      </w:pPr>
      <w:r w:rsidRPr="004C22A6">
        <w:t>4.</w:t>
      </w:r>
      <w:r w:rsidRPr="004C22A6">
        <w:tab/>
      </w:r>
      <w:r w:rsidR="0065749F" w:rsidRPr="004C22A6">
        <w:t>εκφράζει τη βαθιά του λύπη για το γεγονός ότι όπως το 2009 και για άλλη μια φορά στην περίπτωση οικονομικού έτους 2023, το Κοινοβούλιο είναι αναγκασμένο να αρνηθεί τη χορήγηση απαλλαγής στο Συμβούλιο, διότι το Συμβούλιο εξακολουθεί να αρνείται να συνεργαστεί με το Κοινοβούλιο στο πλαίσιο της διαδικασίας απαλλαγής, παρά τις επανειλημμένες προσπάθειες του Κοινοβουλίου να καθιερώσει εποικοδομητική συνεργασία, γεγονός που εμποδίζει το Κοινοβούλιο να λάβει τεκμηριωμένη απόφαση βάσει σοβαρού και διεξοδικού ελέγχου της εκτέλεσης του προϋπολογισμού του Συμβουλίου·</w:t>
      </w:r>
    </w:p>
    <w:p w14:paraId="310CC7BD" w14:textId="64B43533" w:rsidR="0065749F" w:rsidRPr="004C22A6" w:rsidRDefault="004C22A6" w:rsidP="004C22A6">
      <w:pPr>
        <w:pStyle w:val="NormalHanging12a"/>
        <w:widowControl/>
      </w:pPr>
      <w:r w:rsidRPr="004C22A6">
        <w:t>5.</w:t>
      </w:r>
      <w:r w:rsidRPr="004C22A6">
        <w:tab/>
      </w:r>
      <w:r w:rsidR="0065749F" w:rsidRPr="004C22A6">
        <w:t>σημειώνει ότι, στις 22 Σεπτεμβρίου 2025, οι αρμόδιες υπηρεσίες του Κοινοβουλίου, εξ ονόματος του εισηγητή για τη διαδικασία απαλλαγής, διαβίβασαν στη Γραμματεία ερωτηματολόγιο που περιείχε 103 σημαντικές ερωτήσεις με σκοπό να δοθεί στο Κοινοβούλιο η δυνατότητα να ελέγξει διεξοδικά την εκτέλεση του προϋπολογισμού του Συμβουλίου, καθώς και τη διαχείριση του Συμβουλίου· σημειώνει περαιτέρω ότι παρόμοια ερωτηματολόγια εστάλησαν σε όλα τα άλλα θεσμικά όργανα, τα οποία παρείχαν όλα στο Κοινοβούλιο λεπτομερείς απαντήσεις σε όλες τις ερωτήσεις·</w:t>
      </w:r>
    </w:p>
    <w:p w14:paraId="52575E06" w14:textId="2B7FE656" w:rsidR="0065749F" w:rsidRPr="004C22A6" w:rsidRDefault="004C22A6" w:rsidP="004C22A6">
      <w:pPr>
        <w:pStyle w:val="NormalHanging12a"/>
        <w:widowControl/>
      </w:pPr>
      <w:r w:rsidRPr="004C22A6">
        <w:t>6.</w:t>
      </w:r>
      <w:r w:rsidRPr="004C22A6">
        <w:tab/>
      </w:r>
      <w:r w:rsidR="0065749F" w:rsidRPr="004C22A6">
        <w:t>εκφράζει τη λύπη του για το γεγονός ότι, στις 3 Οκτωβρίου 2025, η Γραμματεία ενημέρωσε για άλλη μια φορά το Κοινοβούλιο ότι δεν θα απαντήσει στο ερωτηματολόγιο του Κοινοβουλίου και ότι το Συμβούλιο δεν θα συμμετάσχει στην ακρόαση που οργανώθηκε στις 6 Νοεμβρίου 2025 στο πλαίσιο της διαδικασίας απαλλαγής και στην οποία συμμετείχαν όλα τα άλλα προσκεκλημένα θεσμικά όργανα·</w:t>
      </w:r>
    </w:p>
    <w:p w14:paraId="7CBEE724" w14:textId="725E6CC6" w:rsidR="0065749F" w:rsidRPr="004C22A6" w:rsidRDefault="004C22A6" w:rsidP="004C22A6">
      <w:pPr>
        <w:pStyle w:val="NormalHanging12a"/>
        <w:widowControl/>
      </w:pPr>
      <w:r w:rsidRPr="004C22A6">
        <w:t>7.</w:t>
      </w:r>
      <w:r w:rsidRPr="004C22A6">
        <w:tab/>
      </w:r>
      <w:r w:rsidR="0065749F" w:rsidRPr="004C22A6">
        <w:t>επαναλαμβάνει ότι το Κοινοβούλιο έχει το προνόμιο να χορηγεί απαλλαγή δυνάμει του άρθρου 319 ΣΛΕΕ και των εφαρμοστέων διατάξεων του δημοσιονομικού κανονισμού και του Κανονισμού του Κοινοβουλίου, σύμφωνα με την τρέχουσα ερμηνεία και πρακτική, δηλαδή την εξουσία να χορηγεί απαλλαγή για να διαφυλάσσεται η διαφάνεια και να διασφαλίζεται η δημοκρατική λογοδοσία προς τους φορολογουμένους της Ένωσης·</w:t>
      </w:r>
    </w:p>
    <w:p w14:paraId="42B63D8C" w14:textId="1EC7CF0A" w:rsidR="0065749F" w:rsidRPr="004C22A6" w:rsidRDefault="004C22A6" w:rsidP="004C22A6">
      <w:pPr>
        <w:pStyle w:val="NormalHanging12a"/>
        <w:widowControl/>
      </w:pPr>
      <w:r w:rsidRPr="004C22A6">
        <w:lastRenderedPageBreak/>
        <w:t>8.</w:t>
      </w:r>
      <w:r w:rsidRPr="004C22A6">
        <w:tab/>
      </w:r>
      <w:r w:rsidR="0065749F" w:rsidRPr="004C22A6">
        <w:t>υπογραμμίζει ότι το άρθρο 59 παράγραφος 1 του δημοσιονομικού κανονισμού ορίζει ότι η Επιτροπή αναγνωρίζει στα άλλα θεσμικά όργανα της Ένωσης τις αρμοδιότητες που είναι αναγκαίες για την εκτέλεση των τμημάτων του προϋπολογισμού που τα αφορούν και, συνεπώς, θεωρεί ακατανόητο το γεγονός ότι το Συμβούλιο κρίνει σκόπιμο να χορηγείται απαλλαγή στην Επιτροπή για την εκτέλεση του προϋπολογισμού του Συμβουλίου·</w:t>
      </w:r>
    </w:p>
    <w:p w14:paraId="64640C3C" w14:textId="60FB2BAF" w:rsidR="0065749F" w:rsidRPr="004C22A6" w:rsidRDefault="004C22A6" w:rsidP="004C22A6">
      <w:pPr>
        <w:pStyle w:val="NormalHanging12a"/>
        <w:widowControl/>
      </w:pPr>
      <w:r w:rsidRPr="004C22A6">
        <w:t>9.</w:t>
      </w:r>
      <w:r w:rsidRPr="004C22A6">
        <w:tab/>
      </w:r>
      <w:r w:rsidR="0065749F" w:rsidRPr="004C22A6">
        <w:t>τονίζει την καθιερωμένη και σεβαστή πρακτική που ακολουθεί το Κοινοβούλιο εδώ και περισσότερο από 20 έτη, η οποία συνίσταται στη χορήγηση απαλλαγής σε όλα τα θεσμικά και λοιπά όργανα και οργανισμούς της Ένωσης, συμπεριλαμβανομένου του Συμβουλίου· υπενθυμίζει ότι η Επιτροπή έχει δηλώσει την αδυναμία της να επιβλέπει την εκτέλεση των προϋπολογισμών των άλλων θεσμικών οργάνων της Ένωσης· τονίζει την άποψη που έχει επανειλημμένα εκφράσει η Επιτροπή, σύμφωνα με την οποία θα πρέπει να συνεχιστεί η πρακτική της χορήγησης απαλλαγής σε κάθε θεσμικό όργανο της Ένωσης για τις διοικητικές του δαπάνες και την εκτέλεση του προϋπολογισμού της Ένωσης απευθείας από το Κοινοβούλιο, προκειμένου να διαφυλαχθεί η συμμόρφωση με την αρχή της χρηστής δημοσιονομικής διαχείρισης· υπενθυμίζει ότι όλα τα άλλα θεσμικά και λοιπά όργανα και οργανισμοί συνεργάζονται πλήρως με το Κοινοβούλιο στο πλαίσιο της διαδικασίας απαλλαγής και θεωρεί ότι η άρνηση του Συμβουλίου να συνεργαστεί είναι αδικαιολόγητη και ασυμβίβαστη με την αρχή της θεσμικής αφοσίωσης που προβλέπεται στις Συνθήκες·</w:t>
      </w:r>
    </w:p>
    <w:p w14:paraId="6D36349C" w14:textId="1204E613" w:rsidR="0065749F" w:rsidRPr="004C22A6" w:rsidRDefault="004C22A6" w:rsidP="004C22A6">
      <w:pPr>
        <w:pStyle w:val="NormalHanging12a"/>
        <w:widowControl/>
        <w:rPr>
          <w:bCs/>
          <w:iCs/>
        </w:rPr>
      </w:pPr>
      <w:r w:rsidRPr="004C22A6">
        <w:rPr>
          <w:bCs/>
          <w:iCs/>
        </w:rPr>
        <w:t>10.</w:t>
      </w:r>
      <w:r w:rsidRPr="004C22A6">
        <w:rPr>
          <w:bCs/>
          <w:iCs/>
        </w:rPr>
        <w:tab/>
      </w:r>
      <w:r w:rsidR="0065749F" w:rsidRPr="004C22A6">
        <w:t>τονίζει ότι η τρέχουσα κατάσταση συνεπάγεται ότι το Κοινοβούλιο μπορεί να ελέγχει μόνο τις εκθέσεις του Ελεγκτικού Συνεδρίου και του Διαμεσολαβητή, καθώς και τις δημόσια διαθέσιμες πληροφορίες στον ιστότοπο του Συμβουλίου, γεγονός που καθιστά αδύνατο για το Κοινοβούλιο να λάβει τεκμηριωμένη απόφαση σχετικά με τη χορήγηση απαλλαγής· υπογραμμίζει ότι η απροθυμία του Συμβουλίου να συνεργαστεί υπονομεύει το προνόμιο του Κοινοβουλίου να εκπληρώνει αποτελεσματικά τον εποπτικό του ρόλο·</w:t>
      </w:r>
    </w:p>
    <w:p w14:paraId="538D2434" w14:textId="1281A0DC" w:rsidR="0065749F" w:rsidRPr="004C22A6" w:rsidRDefault="004C22A6" w:rsidP="004C22A6">
      <w:pPr>
        <w:pStyle w:val="NormalHanging12a"/>
        <w:widowControl/>
      </w:pPr>
      <w:r w:rsidRPr="004C22A6">
        <w:t>11.</w:t>
      </w:r>
      <w:r w:rsidRPr="004C22A6">
        <w:tab/>
      </w:r>
      <w:r w:rsidR="0065749F" w:rsidRPr="004C22A6">
        <w:t>εκφράζει τη λύπη του για την έλλειψη πολιτικής βούλησης που επιδεικνύει το Συμβούλιο, εδώ και περισσότερο από μία δεκαετία, να συνεργαστεί με το Κοινοβούλιο στο πλαίσιο της ετήσιας διαδικασίας απαλλαγής, δημιουργώντας με αυτόν τον τρόπο ένα διαρθρωτικό «τυφλό σημείο» στο σύστημα ελέγχων και ισορροπιών της ΕΕ, καθώς και για το γεγονός ότι η κατάσταση αυτή έχει μακροχρόνιες αρνητικές επιπτώσεις σε αμφότερα τα θεσμικά όργανα και έχει απαξιώσει τη διαχείριση και τον δημοκρατικό έλεγχο του προϋπολογισμού της Ένωσης, ενώ επιπλέον έχει υπονομεύσει την εμπιστοσύνη των πολιτών στην Ένωση ως διαφανή οντότητα· τονίζει ότι τα εν λόγω επίμονα θεσμικά προσκόμματα υπονομεύουν την αρχή της καλόπιστης συνεργασίας που ορίζεται στις Συνθήκες· θεωρεί ότι η συνεχιζόμενη άρνηση συνεργασίας ενέχει τον κίνδυνο περαιτέρω διάβρωσης της νομιμότητας του πλαισίου δημοσιονομικής διακυβέρνησης της Ένωσης· υπογραμμίζει ότι το Συμβούλιο πρέπει να πληροί τα ίδια πρότυπα λογοδοσίας και διαφάνειας με τα άλλα θεσμικά όργανα της Ένωσης·</w:t>
      </w:r>
    </w:p>
    <w:p w14:paraId="68B2CF81" w14:textId="38438CE9" w:rsidR="0065749F" w:rsidRPr="004C22A6" w:rsidRDefault="004C22A6" w:rsidP="004C22A6">
      <w:pPr>
        <w:pStyle w:val="NormalHanging12a"/>
        <w:widowControl/>
      </w:pPr>
      <w:r w:rsidRPr="004C22A6">
        <w:t>12.</w:t>
      </w:r>
      <w:r w:rsidRPr="004C22A6">
        <w:tab/>
      </w:r>
      <w:r w:rsidR="0065749F" w:rsidRPr="004C22A6">
        <w:t>επαναλαμβάνει ότι η συνεχιζόμενη άρνηση του Συμβουλίου να συμμετάσχει στη διαδικασία απαλλαγής συνιστά απαράδεκτη παραβίαση της δημοκρατικής λογοδοσίας· ζητεί να θεσπιστούν συγκεκριμένα και αποτελεσματικά μέτρα για να διασφαλιστεί ότι κάθε θεσμικό όργανο της Ένωσης που δεν συμμορφώνεται με τις υποχρεώσεις διαφάνειας θα καλείται να λογοδοτήσει πλήρως και να διερευνηθούν για τον σκοπό αυτό πρακτικά μέτρα σύμφωνα με το άρθρο 59 παράγραφος 1 του δημοσιονομικού κανονισμού και την αρχή της χρηστής δημοσιονομικής διαχείρισης, τα οποία θα παρέχουν κίνητρα για συνεργασία, συμπεριλαμβανομένης της ενισχυμένης αιρεσιμότητας στις διοικητικές ρυθμίσεις και στις απαιτήσεις υποβολής εκθέσεων·</w:t>
      </w:r>
    </w:p>
    <w:p w14:paraId="2ECF884B" w14:textId="0F6F34A6" w:rsidR="0065749F" w:rsidRPr="004C22A6" w:rsidRDefault="004C22A6" w:rsidP="004C22A6">
      <w:pPr>
        <w:pStyle w:val="NormalHanging12a"/>
        <w:widowControl/>
      </w:pPr>
      <w:r w:rsidRPr="004C22A6">
        <w:t>13.</w:t>
      </w:r>
      <w:r w:rsidRPr="004C22A6">
        <w:tab/>
      </w:r>
      <w:r w:rsidR="0065749F" w:rsidRPr="004C22A6">
        <w:t>υπενθυμίζει ότι η νομολογία του ΔΕΕ υποστηρίζει το δικαίωμα των φορολογουμένων και του κοινού να ενημερώνονται σχετικά με τη χρήση των δημόσιων εσόδων· ζητεί, για τον λόγο αυτό, πλήρη σεβασμό του προνομίου και του ρόλου του Κοινοβουλίου ως εγγυητή της αρχής της δημοκρατικής λογοδοσίας· καλεί το Συμβούλιο να δώσει τη δέουσα συνέχεια στις συστάσεις που ενέκρινε το Κοινοβούλιο στο πλαίσιο της διαδικασίας απαλλαγής και επιμένει στην πλήρη εφαρμογή του άρθρου 14 παράγραφος 1 ΣΕΕ·</w:t>
      </w:r>
    </w:p>
    <w:p w14:paraId="6AAC6575" w14:textId="7577C937" w:rsidR="0065749F" w:rsidRPr="004C22A6" w:rsidRDefault="004C22A6" w:rsidP="004C22A6">
      <w:pPr>
        <w:pStyle w:val="NormalHanging12a"/>
        <w:widowControl/>
      </w:pPr>
      <w:r w:rsidRPr="004C22A6">
        <w:t>14.</w:t>
      </w:r>
      <w:r w:rsidRPr="004C22A6">
        <w:tab/>
      </w:r>
      <w:r w:rsidR="0065749F" w:rsidRPr="004C22A6">
        <w:t>σημειώνει ότι στις 6 Μαΐου 2025, κατά την παρέμβασή του στην ολομέλεια του Κοινοβουλίου, ο εκπρόσωπος της Προεδρίας του Συμβουλίου εξέφρασε την προθυμία του Συμβουλίου «να συμμετάσχει σε μια ουσιαστική και ρεαλιστική συνεργασία μεταξύ των θεσμικών μας οργάνων» όσον αφορά την απαλλαγή σε σχέση με το τμήμα του προϋπολογισμού της Ένωσης που αφορά το Συμβούλιο, και ζητεί αυτή η πρόθεση να μετουσιωθεί σε συγκεκριμένες και άμεσες ενέργειες· καλεί, για τον λόγο αυτό, το Συμβούλιο να επαναλάβει τις διαπραγματεύσεις με το Κοινοβούλιο σε ανώτατο επίπεδο το συντομότερο δυνατό, με τη συμμετοχή των Γενικών Γραμματέων και των Προέδρων αμφότερων των θεσμικών οργάνων, προκειμένου να αρθεί το αδιέξοδο και να βρεθεί λύση, με την οποία να διαφυλάσσονται οι θεσμικές αρμοδιότητες του Κοινοβουλίου και του Συμβουλίου στη διαδικασία απαλλαγής και να διασφαλίζονται η διαφάνεια και ο αυστηρός δημοκρατικός έλεγχος της εκτέλεσης του προϋπολογισμού· επαναλαμβάνει το αίτημά του να παράσχουν οι νομικές υπηρεσίες της Επιτροπής και του Συμβουλίου νομική γνωμοδότηση σχετικά με πιθανές λύσεις βάσει της Συνθήκης για την επιβολή της λογοδοσίας του Συμβουλίου στο πλαίσιο της διαδικασίας απαλλαγής·</w:t>
      </w:r>
    </w:p>
    <w:p w14:paraId="72BD2CE4" w14:textId="5805E6E5" w:rsidR="0065749F" w:rsidRPr="004C22A6" w:rsidRDefault="004C22A6" w:rsidP="004C22A6">
      <w:pPr>
        <w:pStyle w:val="NormalHanging12a"/>
        <w:widowControl/>
      </w:pPr>
      <w:r w:rsidRPr="004C22A6">
        <w:t>15.</w:t>
      </w:r>
      <w:r w:rsidRPr="004C22A6">
        <w:tab/>
      </w:r>
      <w:r w:rsidR="0065749F" w:rsidRPr="004C22A6">
        <w:t>επισημαίνει ότι, αν και η παρούσα κατάσταση πρέπει να βελτιωθεί μέσω καλύτερης διοργανικής συνεργασίας εντός του πλαισίου των Συνθηκών, η αναθεώρηση των Συνθηκών θα μπορούσε να καταστήσει τη διαδικασία χορήγησης απαλλαγής σαφέστερη και διαφανέστερη, μέσω της ρητής ανάθεσης στο Ευρωπαϊκό Κοινοβούλιο της αρμοδιότητας να χορηγεί απαλλαγή σε όλα τα θεσμικά όργανα και σε όλους τους οργανισμούς της Ένωσης χωριστά· τονίζει, ωστόσο, ότι εν αναμονή αυτής της αναθεώρησης, η τρέχουσα κατάσταση πρέπει να βελτιωθεί μέσω ενισχυμένης διοργανικής συνεργασίας· παροτρύνει, στο πλαίσιο αυτό, το Συμβούλιο να συνεργαστεί ενεργά με το Κοινοβούλιο·</w:t>
      </w:r>
    </w:p>
    <w:p w14:paraId="5E701C8A" w14:textId="022B73CB" w:rsidR="0065749F" w:rsidRPr="004C22A6" w:rsidRDefault="004C22A6" w:rsidP="004C22A6">
      <w:pPr>
        <w:pStyle w:val="NormalHanging12a"/>
        <w:widowControl/>
      </w:pPr>
      <w:r w:rsidRPr="004C22A6">
        <w:t>16.</w:t>
      </w:r>
      <w:r w:rsidRPr="004C22A6">
        <w:tab/>
      </w:r>
      <w:r w:rsidR="0065749F" w:rsidRPr="004C22A6">
        <w:t>σημειώνει ότι, παρά τη μακροχρόνια απροθυμία του Συμβουλίου να συνεργαστεί στο πλαίσιο της διαδικασίας απαλλαγής, το Κοινοβούλιο επισημαίνει, ωστόσο, ορισμένες πολιτικές προτεραιότητες και διατυπώνει ορισμένες παρατηρήσεις σχετικά με τη δημοσιονομική και χρηματοοικονομική διαχείριση του Συμβουλίου και άλλες παρατηρήσεις σχετικά με τη διαδικασία απαλλαγής στην παρούσα έκθεση, κατά τρόπο που σέβεται την εθνική κυριαρχία, τις Συνθήκες και την αρχή της χρηστής δημοσιονομικής διαχείρισης·</w:t>
      </w:r>
    </w:p>
    <w:p w14:paraId="0E03C1C3" w14:textId="68182AB6" w:rsidR="0065749F" w:rsidRPr="004C22A6" w:rsidRDefault="004C22A6" w:rsidP="004C22A6">
      <w:pPr>
        <w:pStyle w:val="NormalHanging12a"/>
        <w:widowControl/>
        <w:rPr>
          <w:color w:val="000000" w:themeColor="text1"/>
        </w:rPr>
      </w:pPr>
      <w:r w:rsidRPr="004C22A6">
        <w:rPr>
          <w:color w:val="000000" w:themeColor="text1"/>
        </w:rPr>
        <w:t>17.</w:t>
      </w:r>
      <w:r w:rsidRPr="004C22A6">
        <w:rPr>
          <w:color w:val="000000" w:themeColor="text1"/>
        </w:rPr>
        <w:tab/>
      </w:r>
      <w:r w:rsidR="0065749F" w:rsidRPr="004C22A6">
        <w:rPr>
          <w:color w:val="000000" w:themeColor="text1"/>
        </w:rPr>
        <w:t>σημειώνει ότι, δεδομένης της έλλειψης συνεργασίας του Συμβουλίου με το Κοινοβούλιο, οι παρατηρήσεις στα ακόλουθα τμήματα βασίζονται πρωτίστως σε συγκεντρωτικές πληροφορίες που δημοσιεύονται στον ιστότοπο του Συμβουλίου, όπου παρέχονται περιορισμένες λεπτομέρειες·</w:t>
      </w:r>
    </w:p>
    <w:p w14:paraId="412D1155" w14:textId="77777777" w:rsidR="0065749F" w:rsidRPr="004C22A6" w:rsidRDefault="0065749F" w:rsidP="00417804">
      <w:pPr>
        <w:pStyle w:val="NormalHanging12a"/>
        <w:widowControl/>
        <w:rPr>
          <w:b/>
          <w:i/>
          <w:iCs/>
        </w:rPr>
      </w:pPr>
      <w:r w:rsidRPr="004C22A6">
        <w:rPr>
          <w:b/>
          <w:i/>
        </w:rPr>
        <w:t>Πολιτικές προτεραιότητες</w:t>
      </w:r>
    </w:p>
    <w:p w14:paraId="78FECC42" w14:textId="0B7D7C59" w:rsidR="0065749F" w:rsidRPr="004C22A6" w:rsidRDefault="004C22A6" w:rsidP="004C22A6">
      <w:pPr>
        <w:pStyle w:val="NormalHanging12a"/>
        <w:widowControl/>
        <w:rPr>
          <w:bCs/>
          <w:iCs/>
        </w:rPr>
      </w:pPr>
      <w:r w:rsidRPr="004C22A6">
        <w:rPr>
          <w:bCs/>
          <w:iCs/>
        </w:rPr>
        <w:t>18.</w:t>
      </w:r>
      <w:r w:rsidRPr="004C22A6">
        <w:rPr>
          <w:bCs/>
          <w:iCs/>
        </w:rPr>
        <w:tab/>
      </w:r>
      <w:r w:rsidR="0065749F" w:rsidRPr="004C22A6">
        <w:t>υπενθυμίζει ότι το 2024 η Ένωση συμφώνησε να παράσχει προβλέψιμη χρηματοδοτική στήριξη στην Ουκρανία με το Μέσο Διευκόλυνσης για την Ουκρανία για την περίοδο 2024-2027· τονίζει ότι, στο πλαίσιο αυτό, το Συμβούλιο και η Γραμματεία του έχουν αυξημένη ευθύνη να διασφαλίζουν τη διαφάνεια, την ακεραιότητα και τη χρηστή δημοσιονομική διαχείριση σε όλες τις διοικητικές δαπάνες που σχετίζονται με το Συμβούλιο και συνδέονται με τη λήψη αποφάσεων, τις συνεδριάσεις και τις υλικοτεχνικές ρυθμίσεις που αφορούν την Ουκρανία, συμπεριλαμβανομένης της υποβολής σαφών εκθέσεων για τις σχετικές δαπάνες και τη διαχείριση των συμβάσεων·</w:t>
      </w:r>
    </w:p>
    <w:p w14:paraId="61EEECC5" w14:textId="4A070CA9" w:rsidR="0065749F" w:rsidRPr="004C22A6" w:rsidRDefault="004C22A6" w:rsidP="004C22A6">
      <w:pPr>
        <w:pStyle w:val="NormalHanging12a"/>
        <w:widowControl/>
      </w:pPr>
      <w:r w:rsidRPr="004C22A6">
        <w:t>19.</w:t>
      </w:r>
      <w:r w:rsidRPr="004C22A6">
        <w:tab/>
      </w:r>
      <w:r w:rsidR="0065749F" w:rsidRPr="004C22A6">
        <w:t>εκφράζει τη λύπη του για το γεγονός ότι το Συμβούλιο ασκεί το προνόμιό του στις διαδικασίες ορισμού και διορισμού πολλών θεσμικών και λοιπών οργάνων και οργανισμών της Ένωσης χωρίς να λαμβάνει υπόψη τις απόψεις των ενδιαφερόμενων μερών ή τις συστάσεις της Ευρωπαϊκής Υπηρεσίας Καταπολέμησης της Απάτης (OLAF)·</w:t>
      </w:r>
    </w:p>
    <w:p w14:paraId="25FE37E1" w14:textId="0C91A22B" w:rsidR="0065749F" w:rsidRPr="004C22A6" w:rsidRDefault="004C22A6" w:rsidP="004C22A6">
      <w:pPr>
        <w:pStyle w:val="NormalHanging12a"/>
        <w:widowControl/>
      </w:pPr>
      <w:r w:rsidRPr="004C22A6">
        <w:t>20.</w:t>
      </w:r>
      <w:r w:rsidRPr="004C22A6">
        <w:tab/>
      </w:r>
      <w:r w:rsidR="0065749F" w:rsidRPr="004C22A6">
        <w:t>σημειώνει με ανησυχία την πρακτική του Συμβουλίου όσον αφορά τους διορισμούς που πραγματοποιούνται από μεμονωμένα κράτη μέλη για τις περισσότερες θέσεις, η οποία μπορεί να περιορίσει τον βαθμό στον οποίο ελέγχονται τα επαγγελματικά προσόντα των υποψηφίων· εμμένει, συνεπώς, στην ανάγκη για αναθεώρηση αυτού του προνομίου του Συμβουλίου, ώστε να διασφαλιστεί και να ενισχυθεί η συμμετοχή των ενδιαφερόμενων θεσμικών και λοιπών οργάνων και οργανισμών και να αυξηθεί η νομιμοποίηση των διοριζόμενων· προτείνει, ως δυνατότητα που θα μπορούσε να δημιουργηθεί για να διασφαλιστεί ότι οι υποψήφιοι θα διαθέτουν τα απαραίτητα προσόντα, να διενεργείται ο ίδιος έλεγχος, από εξωτερική επιτροπή, που χρησιμοποιείται για τους διορισμούς των δικαστών και των γενικών εισαγγελέων του ΔΕΕ·</w:t>
      </w:r>
    </w:p>
    <w:p w14:paraId="24B28550" w14:textId="14794D28" w:rsidR="0065749F" w:rsidRPr="004C22A6" w:rsidRDefault="004C22A6" w:rsidP="004C22A6">
      <w:pPr>
        <w:pStyle w:val="NormalHanging12a"/>
        <w:widowControl/>
      </w:pPr>
      <w:r w:rsidRPr="004C22A6">
        <w:t>21.</w:t>
      </w:r>
      <w:r w:rsidRPr="004C22A6">
        <w:tab/>
      </w:r>
      <w:r w:rsidR="0065749F" w:rsidRPr="004C22A6">
        <w:t>υπενθυμίζει ότι, σύμφωνα με το άρθρο 286 παράγραφος 2 ΣΛΕΕ, το Συμβούλιο διορίζει τα μέλη του Ελεγκτικού Συνεδρίου μετά από διαβούλευση με το Κοινοβούλιο· υπενθυμίζει ότι, βάσει αυτής της προϋπόθεσης, το Κοινοβούλιο γνωμοδοτεί σχετικά με τους υποψηφίους· εκφράζει τη λύπη του για το γεγονός ότι το Συμβούλιο έχει επανειλημμένα αγνοήσει τις συστάσεις που διατυπώνει το Κοινοβούλιο στο πλαίσιο του συμβουλευτικού του ρόλου σχετικά με τον διορισμό των μελών του Ελεγκτικού Συνεδρίου· υπενθυμίζει ότι, παρόλο που η γνώμη του Κοινοβουλίου είναι μη δεσμευτική για το Συμβούλιο, οι υποψήφιοι που έλαβαν αρνητική γνώμη απέσυραν τις υποψηφιότητές τους αποδεχόμενοι την απόφαση του Κοινοβουλίου, αναγνωρίζοντας έτσι τον ρόλο του Κοινοβουλίου ως δημοκρατικής εποπτικής αρχής που συνδέεται με την περιφρούρηση του προϋπολογισμού της Ένωσης· καλεί το Συμβούλιο να αναγνωρίσει τον ρόλο του Κοινοβουλίου μέσω της συνεργασίας του στη διαδικασία απαλλαγής·</w:t>
      </w:r>
    </w:p>
    <w:p w14:paraId="6FB107FB" w14:textId="612CF329" w:rsidR="0065749F" w:rsidRPr="004C22A6" w:rsidRDefault="004C22A6" w:rsidP="004C22A6">
      <w:pPr>
        <w:pStyle w:val="NormalHanging12a"/>
        <w:widowControl/>
      </w:pPr>
      <w:r w:rsidRPr="004C22A6">
        <w:t>22.</w:t>
      </w:r>
      <w:r w:rsidRPr="004C22A6">
        <w:tab/>
      </w:r>
      <w:r w:rsidR="0065749F" w:rsidRPr="004C22A6">
        <w:t>τονίζει ότι η συνεχιζόμενη ανισορροπία στην εκπροσώπηση των φύλων μεταξύ των μελών του Ελεγκτικού Συνεδρίου υπονομεύει τους στόχους της Ένωσης για την ισότητα· επαναλαμβάνει την έκκλησή του προς το Συμβούλιο να αντιμετωπίσει το ζήτημα αυτό αναθεωρώντας τη διαδικασία διορισμού και λαμβάνοντας συγκεκριμένα μέτρα, όπως η απαίτηση από τα κράτη μέλη να υποβάλλουν τουλάχιστον δύο υποψηφίους διαφορετικού φύλου, εξασφαλίζοντας με αυτόν τον τρόπο μεγαλύτερη ισορροπία και αντιπροσωπευτικότητα στη σύνθεση του Ελεγκτικού Συνεδρίου με παράλληλη τήρηση των αρχών της αξιοκρατίας, της αριστείας και της ισότητας ευκαιριών·</w:t>
      </w:r>
    </w:p>
    <w:p w14:paraId="758C11AE" w14:textId="3BB9C7A6" w:rsidR="0065749F" w:rsidRPr="004C22A6" w:rsidRDefault="004C22A6" w:rsidP="004C22A6">
      <w:pPr>
        <w:pStyle w:val="NormalHanging12a"/>
        <w:widowControl/>
        <w:rPr>
          <w:bCs/>
          <w:iCs/>
        </w:rPr>
      </w:pPr>
      <w:r w:rsidRPr="004C22A6">
        <w:rPr>
          <w:bCs/>
          <w:iCs/>
        </w:rPr>
        <w:t>23.</w:t>
      </w:r>
      <w:r w:rsidRPr="004C22A6">
        <w:rPr>
          <w:bCs/>
          <w:iCs/>
        </w:rPr>
        <w:tab/>
      </w:r>
      <w:r w:rsidR="0065749F" w:rsidRPr="004C22A6">
        <w:t>επαναλαμβάνει την έκκλησή του για τη δημιουργία ενός Συμβουλίου Υπουργών Άμυνας ως θεσμικού φόρουμ πολιτικού και στρατηγικού συντονισμού· θεωρεί ότι μια μόνιμη και ειδική σύνθεση του Συμβουλίου για την άμυνα θα αντικατοπτρίζει την ανάγκη να αναλάβει η Ένωση μεγαλύτερη ευθύνη για τη δική της ασφάλεια και άμυνα, συμπληρώνοντας τη σύσταση της Επιτροπής Ασφάλειας και Άμυνας στο Κοινοβούλιο και τη θέσπιση του χαρτοφυλακίου του επιτρόπου Άμυνας και Διαστήματος στην Επιτροπή·</w:t>
      </w:r>
    </w:p>
    <w:p w14:paraId="198F36D3" w14:textId="3043FFD1" w:rsidR="0065749F" w:rsidRPr="004C22A6" w:rsidRDefault="004C22A6" w:rsidP="004C22A6">
      <w:pPr>
        <w:pStyle w:val="NormalHanging12a"/>
        <w:widowControl/>
      </w:pPr>
      <w:r w:rsidRPr="004C22A6">
        <w:t>24.</w:t>
      </w:r>
      <w:r w:rsidRPr="004C22A6">
        <w:tab/>
      </w:r>
      <w:r w:rsidR="0065749F" w:rsidRPr="004C22A6">
        <w:t>εκφράζει τη λύπη του για το γεγονός ότι το Συμβούλιο έχει μέχρι στιγμής αγνοήσει το ψήφισμα του Κοινοβουλίου της 17ης Δεκεμβρίου 2020 σχετικά με την ανάγκη για ειδική σύνθεση του Συμβουλίου για την ισότητα των φύλων και επιμένει ότι ένα ειδικό θεσμικό φόρουμ θα εξασφάλιζε μεγαλύτερη ενσωμάτωση της ισότητας των φύλων στις πολιτικές και τις στρατηγικές της Ένωσης, καθώς και ουσιαστικό συντονισμό και πρόοδο στους κύριους φακέλους που σχετίζονται με την ισότητα των φύλων·</w:t>
      </w:r>
    </w:p>
    <w:p w14:paraId="263704CF" w14:textId="44955754" w:rsidR="0065749F" w:rsidRPr="004C22A6" w:rsidRDefault="004C22A6" w:rsidP="004C22A6">
      <w:pPr>
        <w:pStyle w:val="NormalHanging12a"/>
        <w:widowControl/>
      </w:pPr>
      <w:r w:rsidRPr="004C22A6">
        <w:t>25.</w:t>
      </w:r>
      <w:r w:rsidRPr="004C22A6">
        <w:tab/>
      </w:r>
      <w:r w:rsidR="0065749F" w:rsidRPr="004C22A6">
        <w:t>υπενθυμίζει ότι οι δικαστές και οι γενικοί εισαγγελείς του Δικαστηρίου διορίζονται με κοινή συμφωνία των κυβερνήσεων των κρατών μελών κατόπιν διαβούλευσης με την επιτροπή που είναι αρμόδια να γνωμοδοτεί σχετικά με την επάρκεια των υποψηφίων για την άσκηση των απαιτούμενων καθηκόντων·</w:t>
      </w:r>
    </w:p>
    <w:p w14:paraId="27C04FF8" w14:textId="3772A79F" w:rsidR="0065749F" w:rsidRPr="004C22A6" w:rsidRDefault="004C22A6" w:rsidP="004C22A6">
      <w:pPr>
        <w:pStyle w:val="NormalHanging12a"/>
        <w:widowControl/>
      </w:pPr>
      <w:r w:rsidRPr="004C22A6">
        <w:t>26.</w:t>
      </w:r>
      <w:r w:rsidRPr="004C22A6">
        <w:tab/>
      </w:r>
      <w:r w:rsidR="0065749F" w:rsidRPr="004C22A6">
        <w:t>σημειώνει ότι, στην απόφαση που εξέδωσε στις 9 Σεπτεμβρίου 2024 σχετικά με τη στρατηγική πρωτοβουλία για τις χορηγίες της Προεδρίας του Συμβουλίου της ΕΕ, η Ευρωπαία Διαμεσολαβήτρια ενθάρρυνε το Συμβούλιο να προβεί σε απολογισμό του τρόπου με τον οποίο έχουν εφαρμοστεί οι μη δεσμευτικοί κανόνες που ενέκρινε το Συμβούλιο για τη χρήση χορηγιών από την Προεδρία του («κατευθυντήριες γραμμές») και να διερευνήσει άλλα πιθανά μέτρα που θα μπορούσαν να συμβάλουν στον μετριασμό των κινδύνων που συνδέονται με τη χρήση χορηγιών, στους οποίους περιλαμβάνεται ο κίνδυνος συγκρούσεων συμφερόντων, καθώς και οι κίνδυνοι δυσφήμισης· σημειώνει με ανησυχία, με βάση την ετήσια έκθεση της Διαμεσολαβήτριας για το 2024, ότι το Συμβούλιο δεν έχει ακόμη αντιμετωπίσει πλήρως τις ανησυχίες του κοινού σχετικά με τη χρήση εταιρικών χορηγιών, καθώς υπάρχει επαναλαμβανόμενη «έλλειψη διαφάνειας όσον αφορά την ταυτότητα των χορηγών, τη φύση της στήριξής τους και το τι κερδίζουν ως αντάλλαγμα», και οι χορηγοί συνεχίζουν να μπορούν να χρησιμοποιούν το λογότυπο της Προεδρίας για εμπορικούς σκοπούς· καλεί το Συμβούλιο να καταστήσει τις κατευθυντήριες γραμμές δεσμευτικές· επαναλαμβάνει την έκκλησή του προς το Συμβούλιο να διαθέσει κονδύλια για τις Προεδρίες του Συμβουλίου προκειμένου να διασφαλιστούν κατάλληλα και ενιαία πρότυπα αποδοτικότητας και αποτελεσματικότητας για τις εργασίες του Συμβουλίου εν γένει·</w:t>
      </w:r>
    </w:p>
    <w:p w14:paraId="17C89D9C" w14:textId="67EE2E49" w:rsidR="0065749F" w:rsidRPr="004C22A6" w:rsidRDefault="004C22A6" w:rsidP="004C22A6">
      <w:pPr>
        <w:pStyle w:val="NormalHanging12a"/>
        <w:widowControl/>
      </w:pPr>
      <w:r w:rsidRPr="004C22A6">
        <w:t>27.</w:t>
      </w:r>
      <w:r w:rsidRPr="004C22A6">
        <w:tab/>
      </w:r>
      <w:r w:rsidR="0065749F" w:rsidRPr="004C22A6">
        <w:t xml:space="preserve">καλεί τις εκ περιτροπής Προεδρίες του Συμβουλίου να σταματήσουν να χρησιμοποιούν εταιρικές χορηγίες για να συμβάλλουν στην κάλυψη των δαπανών τους, καθώς αυτό ενέχει τον κίνδυνο δημιουργίας συγκρούσεων συμφερόντων, σύμφωνα με τα συμπεράσματα του εργαστηρίου που διοργάνωσε η Επιτροπή Ελέγχου του Προϋπολογισμού του Κοινοβουλίου στις 27 Ιουνίου 2023· </w:t>
      </w:r>
    </w:p>
    <w:p w14:paraId="06532C36" w14:textId="741F1825" w:rsidR="0065749F" w:rsidRPr="004C22A6" w:rsidRDefault="004C22A6" w:rsidP="004C22A6">
      <w:pPr>
        <w:pStyle w:val="NormalHanging12a"/>
        <w:widowControl/>
      </w:pPr>
      <w:r w:rsidRPr="004C22A6">
        <w:t>28.</w:t>
      </w:r>
      <w:r w:rsidRPr="004C22A6">
        <w:tab/>
      </w:r>
      <w:r w:rsidR="0065749F" w:rsidRPr="004C22A6">
        <w:t>σημειώνει την αυξανόμενη συμμετοχή του Ευρωπαϊκού Συμβουλίου σε νομοθετικούς φακέλους, και ότι ο ρόλος αυτός απαιτεί εποπτεία και ενισχυμένη συνεργασία με την αρμόδια για τον προϋπολογισμό αρχή στο πλαίσιο της διαδικασίας απαλλαγής· καλεί το Συμβούλιο να διασφαλίσει ότι οι δράσεις του θα χαρακτηρίζονται από διαφάνεια και λογοδοσία, σύμφωνα με τα πρότυπα που ισχύουν για τα άλλα θεσμικά όργανα της Ένωσης, ώστε να διατηρείται η εμπιστοσύνη των πολιτών·</w:t>
      </w:r>
    </w:p>
    <w:p w14:paraId="3FD3D27B" w14:textId="31D9304F" w:rsidR="0065749F" w:rsidRPr="004C22A6" w:rsidRDefault="004C22A6" w:rsidP="004C22A6">
      <w:pPr>
        <w:pStyle w:val="NormalHanging12a"/>
        <w:widowControl/>
        <w:rPr>
          <w:bCs/>
          <w:iCs/>
        </w:rPr>
      </w:pPr>
      <w:r w:rsidRPr="004C22A6">
        <w:rPr>
          <w:bCs/>
          <w:iCs/>
        </w:rPr>
        <w:t>29.</w:t>
      </w:r>
      <w:r w:rsidRPr="004C22A6">
        <w:rPr>
          <w:bCs/>
          <w:iCs/>
        </w:rPr>
        <w:tab/>
      </w:r>
      <w:r w:rsidR="0065749F" w:rsidRPr="004C22A6">
        <w:t>εκφράζει τη βαθιά του λύπη για το γεγονός ότι η ουγγρική κυβέρνηση καταχράστηκε τον ρόλο της κατά την άσκηση της εκ περιτροπής Προεδρίας του Συμβουλίου το 2024, με τη συμμετοχή της σε διεθνείς συναντήσεις υψηλού επιπέδου που υπονόμευσαν τις βασικές αξίες της Ένωσης και τις συμφωνηθείσες κοινές θέσεις· καλεί το Συμβούλιο να καταδικάσει απερίφραστα κάθε συμπεριφορά ασκούντος την Προεδρία κράτους μέλους που δεν συνάδει με τις αξίες της Ένωσης και να λάβει όλα τα αναγκαία μέτρα για να διασφαλίσει ότι οι μελλοντικές Προεδρίες θα εκτελούν τα καθήκοντά τους σε πλήρη συμμόρφωση με τις αρχές της ΕΕ, διαφυλάσσοντας κατ' αυτόν τον τρόπο την ακεραιότητα και την αξιοπιστία της Ένωσης·</w:t>
      </w:r>
    </w:p>
    <w:p w14:paraId="3C3EA1BC" w14:textId="362E860B" w:rsidR="0065749F" w:rsidRPr="004C22A6" w:rsidRDefault="004C22A6" w:rsidP="004C22A6">
      <w:pPr>
        <w:pStyle w:val="NormalHanging12a"/>
        <w:widowControl/>
      </w:pPr>
      <w:r w:rsidRPr="004C22A6">
        <w:t>30.</w:t>
      </w:r>
      <w:r w:rsidRPr="004C22A6">
        <w:tab/>
      </w:r>
      <w:r w:rsidR="0065749F" w:rsidRPr="004C22A6">
        <w:t xml:space="preserve">τονίζει ότι, παρόλο που η ψηφοφορία με ομοφωνία παραμένει βασική αρχή των Συνθηκών, η εφαρμογή της μπορεί, σε συγκεκριμένες περιπτώσεις και σε τομείς πολιτικής κρίσιμης σημασίας, να επηρεάσει τα χρονοδιαγράμματα και την αποτελεσματικότητα της Ένωσης, μεταξύ άλλων, παραλύοντας τη διαδικασία λήψης αποφάσεων της Ένωσης και καθιστώντας την, κατά συνέπεια, ευεπίφορη σε εκβιασμό από τα κράτη μέλη και, ιδίως, από εκείνα που δεν σέβονται το κράτος δικαίου· επαναλαμβάνει, στο πλαίσιο αυτό, τη λύπη του για την </w:t>
      </w:r>
      <w:proofErr w:type="spellStart"/>
      <w:r w:rsidR="0065749F" w:rsidRPr="004C22A6">
        <w:t>παρακωλυτική</w:t>
      </w:r>
      <w:proofErr w:type="spellEnd"/>
      <w:r w:rsidR="0065749F" w:rsidRPr="004C22A6">
        <w:t xml:space="preserve"> στάση της ουγγρικής κυβέρνησης στο Ευρωπαϊκό Συμβούλιο· σημειώνει ότι τα συνεχιζόμενα πολιτικά αδιέξοδα εξακολουθούν να υπονομεύουν την εμπιστοσύνη και την αποτελεσματικότητα του Ευρωπαϊκού Συμβουλίου· ζητεί στοχευμένες μεταρρυθμίσεις των Συνθηκών ή, εναλλακτικά, πρακτικές βελτιώσεις, εντός του υφιστάμενου πλαισίου των Συνθηκών, για την ενίσχυση της διαφάνειας, της δημοκρατικής λήψης αποφάσεων, της λογοδοσίας και της αποτελεσματικότητας του έργου του Ευρωπαϊκού Συμβουλίου· επαναλαμβάνει στο πλαίσιο αυτό την έκκλησή του προς το Συμβούλιο Υπουργών να μεταβεί από την ομοφωνία στην ψηφοφορία με ειδική πλειοψηφία για αποφάσεις σε τομείς στρατηγικού ενδιαφέροντος για την Ένωση· σημειώνει περαιτέρω ότι η απαίτηση για ομοφωνία παρεμπόδισε σημαντικά την αποτελεσματική αντίδραση στη δράση της Ρωσίας, ιδίως όσον αφορά την επιβολή κυρώσεων που υπόκεινται σε ανανέωση κάθε τρεις μήνες, προκαλώντας με αυτόν τον τρόπο κίνδυνο αποδυνάμωσης της ικανότητας της Ένωσης να ενεργεί με αποφασιστικότητα και διαφάνεια και υπονομεύοντας την εμπιστοσύνη των πολιτών και την αξιοπιστία της Ένωσης ως γεωπολιτικού παράγοντα· καλεί το Συμβούλιο να στραφεί στην ψηφοφορία με ειδική πλειοψηφία σε κρίσιμους τομείς και, ιδίως, όταν πρόκειται για καθεστώτα κυρώσεων, προκειμένου η Ένωση να είναι σε θέση να ενεργεί αποτελεσματικά έναντι των παγκόσμιων προκλήσεων·</w:t>
      </w:r>
    </w:p>
    <w:p w14:paraId="49CF7619" w14:textId="77777777" w:rsidR="0065749F" w:rsidRPr="004C22A6" w:rsidRDefault="0065749F" w:rsidP="00417804">
      <w:pPr>
        <w:pStyle w:val="NormalHanging12a"/>
        <w:widowControl/>
        <w:rPr>
          <w:b/>
          <w:i/>
        </w:rPr>
      </w:pPr>
      <w:r w:rsidRPr="004C22A6">
        <w:rPr>
          <w:b/>
          <w:i/>
        </w:rPr>
        <w:t>Δημοσιονομική και οικονομική διαχείριση</w:t>
      </w:r>
    </w:p>
    <w:p w14:paraId="36F27DE4" w14:textId="3FDA5653" w:rsidR="0065749F" w:rsidRPr="004C22A6" w:rsidRDefault="004C22A6" w:rsidP="004C22A6">
      <w:pPr>
        <w:pStyle w:val="NormalHanging12a"/>
        <w:widowControl/>
        <w:rPr>
          <w:bCs/>
          <w:iCs/>
        </w:rPr>
      </w:pPr>
      <w:r w:rsidRPr="004C22A6">
        <w:rPr>
          <w:bCs/>
          <w:iCs/>
        </w:rPr>
        <w:t>31.</w:t>
      </w:r>
      <w:r w:rsidRPr="004C22A6">
        <w:rPr>
          <w:bCs/>
          <w:iCs/>
        </w:rPr>
        <w:tab/>
      </w:r>
      <w:r w:rsidR="0065749F" w:rsidRPr="004C22A6">
        <w:t>υπενθυμίζει ότι, σύμφωνα με το άρθρο 15 της Συνθήκης για την Ευρωπαϊκή Ένωση, το Ευρωπαϊκό Συμβούλιο διαδραματίζει κεντρικό στρατηγικό ρόλο, παρέχοντας στην Ένωση την αναγκαία για την ανάπτυξή της ώθηση και καθορίζοντας τους γενικούς της πολιτικούς προσανατολισμούς και προτεραιότητες, χωρίς να ασκεί νομοθετική λειτουργία· τονίζει τη μοναδική προστιθέμενη αξία του Ευρωπαϊκού Συμβουλίου ως φόρουμ πολιτικού συντονισμού υψηλού επιπέδου μεταξύ των κρατών μελών·</w:t>
      </w:r>
    </w:p>
    <w:p w14:paraId="0FD46162" w14:textId="20B44C28" w:rsidR="0065749F" w:rsidRPr="004C22A6" w:rsidRDefault="004C22A6" w:rsidP="004C22A6">
      <w:pPr>
        <w:pStyle w:val="NormalHanging12a"/>
        <w:widowControl/>
      </w:pPr>
      <w:r w:rsidRPr="004C22A6">
        <w:t>32.</w:t>
      </w:r>
      <w:r w:rsidRPr="004C22A6">
        <w:tab/>
      </w:r>
      <w:r w:rsidR="0065749F" w:rsidRPr="004C22A6">
        <w:t>εκφράζει και πάλι τη δυσαρέσκειά του για το γεγονός ότι ο προϋπολογισμός του Ευρωπαϊκού Συμβουλίου και του Συμβουλίου δεν έχει διαιρεθεί σε δύο σαφώς χωριστούς προϋπολογισμούς, όπως συνιστά το Κοινοβούλιο σε προηγούμενα ψηφίσματά του σχετικά με την απαλλαγή, με σκοπό τη βελτίωση της διαφάνειας και της λογοδοσίας, αν μη τι άλλο όσον αφορά το Ευρωπαϊκό Συμβούλιο, δεδομένου ότι είναι επί του παρόντος αδύνατο να συλλεχθούν αξιόπιστες πληροφορίες σχετικά με τις δαπάνες του· ζητεί ο διαχωρισμός αυτός να περιλαμβάνει χωριστές γραμμές του προϋπολογισμού για τις δαπάνες που σχετίζονται με συνεδριάσεις και έξοδα ταξιδίου και τις δαπάνες επικοινωνίας και παράστασης, ώστε η αρμόδια για την απαλλαγή αρχή να μπορεί να κάνει τη διάκριση μεταξύ των δραστηριοτήτων του Ευρωπαϊκού Συμβουλίου και του Συμβουλίου και να αξιολογεί τις τάσεις με την πάροδο του χρόνου·</w:t>
      </w:r>
    </w:p>
    <w:p w14:paraId="61A8A000" w14:textId="174A83F0" w:rsidR="0065749F" w:rsidRPr="004C22A6" w:rsidRDefault="004C22A6" w:rsidP="004C22A6">
      <w:pPr>
        <w:pStyle w:val="Default"/>
        <w:spacing w:after="240"/>
        <w:ind w:left="567" w:hanging="567"/>
      </w:pPr>
      <w:r w:rsidRPr="004C22A6">
        <w:t>33.</w:t>
      </w:r>
      <w:r w:rsidRPr="004C22A6">
        <w:tab/>
      </w:r>
      <w:r w:rsidR="0065749F" w:rsidRPr="004C22A6">
        <w:rPr>
          <w:rFonts w:ascii="Times New Roman" w:hAnsi="Times New Roman"/>
        </w:rPr>
        <w:t>σημειώνει ότι ο προϋπολογισμός για το Συμβούλιο ανήλθε σε 676 881 123 EUR για το 2024, ποσό που συνιστά αύξηση κατά 4,47 % σε σχέση με το 2023· σημειώνει ότι η αύξηση αυτή σχετίζεται κυρίως με την αναθεώρηση των παραμέτρων επικαιροποίησης των μισθών λόγω πληθωρισμού·</w:t>
      </w:r>
    </w:p>
    <w:p w14:paraId="1D0F1112" w14:textId="7A93E87A" w:rsidR="0065749F" w:rsidRPr="004C22A6" w:rsidRDefault="004C22A6" w:rsidP="004C22A6">
      <w:pPr>
        <w:pStyle w:val="NormalHanging12a"/>
        <w:widowControl/>
      </w:pPr>
      <w:r w:rsidRPr="004C22A6">
        <w:t>34.</w:t>
      </w:r>
      <w:r w:rsidRPr="004C22A6">
        <w:tab/>
      </w:r>
      <w:r w:rsidR="0065749F" w:rsidRPr="004C22A6">
        <w:t>σημειώνει ότι το ποσοστό εκτέλεσης των πιστώσεων αναλήψεων υποχρεώσεων του τρέχοντος έτους από το Συμβούλιο ήταν 96,40 % το 2024 (σε σύγκριση με 97,01 % το 2023) και το ποσοστό εκτέλεσης των πιστώσεων πληρωμών του τρέχοντος έτους ήταν 87,95 % το 2024 (σε σύγκριση με 86,39 % το 2023)· σημειώνει ότι ακυρώθηκαν πιστώσεις περίπου 24 εκατομμυρίων EUR στο τέλος του 2024, εκ των οποίων περίπου το 62 % προήλθε από γραμμές του προϋπολογισμού που συνδέονται με δαπάνες προσωπικού· σημειώνει ότι το ποσοστό εκτέλεσης του συνολικού ποσού που μεταφέρθηκε από το 2023 στο 2024, ήτοι 85 520 696 EUR, ήταν 91 %·</w:t>
      </w:r>
    </w:p>
    <w:p w14:paraId="660E96AF" w14:textId="735E0FE0" w:rsidR="0065749F" w:rsidRPr="004C22A6" w:rsidRDefault="004C22A6" w:rsidP="004C22A6">
      <w:pPr>
        <w:pStyle w:val="NormalHanging12a"/>
        <w:widowControl/>
      </w:pPr>
      <w:r w:rsidRPr="004C22A6">
        <w:t>35.</w:t>
      </w:r>
      <w:r w:rsidRPr="004C22A6">
        <w:tab/>
      </w:r>
      <w:r w:rsidR="0065749F" w:rsidRPr="004C22A6">
        <w:t>σημειώνει ότι οι πιστώσεις που μεταφέρθηκαν από το 2024 στο 2025 ανήλθαν συνολικά σε 78,6 εκατομμύρια EUR (από περίπου 85,5 εκατομμύρια EUR το προηγούμενο έτος) και κάλυπταν κυρίως τα συστήματα πληροφορικής, το κόστος της διερμηνείας που παρασχέθηκε το 2024 για το οποίο δεν είχαν ακόμη συμφωνηθεί τιμολόγια με τις υπηρεσίες της Επιτροπής κατά τον χρόνο του κλεισίματος, τα κτίρια, την πληροφόρηση και τις δημόσιες εκδηλώσεις, τον τεχνικό εξοπλισμό, την ασφάλεια και την προστασία, τις συνεδριάσεις και τις διασκέψεις, σε σχέση κυρίως με τιμολόγια που δεν είχαν ακόμη παραληφθεί για τη διοργάνωση συνεδριάσεων και συνόδων κορυφής του Ευρωπαϊκού Συμβουλίου, του Συμβουλίου το 2024, τα έπιπλα και άλλες δαπάνες προσωπικού·</w:t>
      </w:r>
    </w:p>
    <w:p w14:paraId="58B7ABC9" w14:textId="54950141" w:rsidR="0065749F" w:rsidRPr="004C22A6" w:rsidRDefault="004C22A6" w:rsidP="004C22A6">
      <w:pPr>
        <w:pStyle w:val="NormalHanging12a"/>
        <w:widowControl/>
      </w:pPr>
      <w:r w:rsidRPr="004C22A6">
        <w:t>36.</w:t>
      </w:r>
      <w:r w:rsidRPr="004C22A6">
        <w:tab/>
      </w:r>
      <w:r w:rsidR="0065749F" w:rsidRPr="004C22A6">
        <w:t>σημειώνει ότι το Συμβούλιο πραγματοποίησε 42 μεταφορές πιστώσεων το 2024 σύμφωνα με το άρθρο 29 του δημοσιονομικού κανονισμού, προκειμένου να ενισχύσει διάφορες γραμμές του προϋπολογισμού, όπως μεταξύ άλλων «Εργασίες εξοπλισμού και εγκατάστασης», «Εργασίες ασφάλισης των χώρων», «Απόκτηση εξοπλισμού και λογισμικών» και «Αγορά και ανανέωση εξοπλισμού και τεχνικών εγκαταστάσεων»· σημειώνει ότι τρεις από τις εν λόγω μεταφορές, για τις οποίες έπρεπε να ενημερωθεί η αρμόδια για τον προϋπολογισμό αρχή σύμφωνα με το άρθρο 29 παράγραφος 2 του δημοσιονομικού κανονισμού, ανήλθαν συνολικά σε περίπου 12,8 εκατομμύρια EUR·</w:t>
      </w:r>
    </w:p>
    <w:p w14:paraId="194633A9" w14:textId="5A5045DC" w:rsidR="0065749F" w:rsidRPr="004C22A6" w:rsidRDefault="004C22A6" w:rsidP="004C22A6">
      <w:pPr>
        <w:pStyle w:val="NormalHanging12a"/>
        <w:widowControl/>
      </w:pPr>
      <w:r w:rsidRPr="004C22A6">
        <w:t>37.</w:t>
      </w:r>
      <w:r w:rsidRPr="004C22A6">
        <w:tab/>
      </w:r>
      <w:r w:rsidR="0065749F" w:rsidRPr="004C22A6">
        <w:t>σημειώνει ότι ο μέσος χρόνος για τις πληρωμές τιμολογίων αυξήθηκε από 13 σε 15 ημέρες από το 2023 έως το 2025, πολύ κάτω από τη μέγιστη προθεσμία των 30 ημερών, με αποτέλεσμα να αποφευχθούν οι τόκοι υπερημερίας·</w:t>
      </w:r>
    </w:p>
    <w:p w14:paraId="3538949D" w14:textId="2FB5537A" w:rsidR="0065749F" w:rsidRPr="004C22A6" w:rsidRDefault="004C22A6" w:rsidP="004C22A6">
      <w:pPr>
        <w:pStyle w:val="NormalHanging12a"/>
        <w:widowControl/>
      </w:pPr>
      <w:r w:rsidRPr="004C22A6">
        <w:t>38.</w:t>
      </w:r>
      <w:r w:rsidRPr="004C22A6">
        <w:tab/>
      </w:r>
      <w:r w:rsidR="0065749F" w:rsidRPr="004C22A6">
        <w:t>σημειώνει ότι τα έξοδα αποστολών, στα οποία περιλαμβάνονται τόσο τα έξοδα αποστολών από τη Γραμματεία όσο και τα έξοδα αποστολών των μελών του προσωπικού που σχετίζονται με το Ευρωπαϊκό Συμβούλιο, μειώθηκαν κατά 18,50 %, από περίπου 5,2 εκατομμύρια EUR το 2023 σε περίπου 4,3 εκατομμύρια EUR το 2024, ενώ τα έξοδα ταξιδίου των αντιπροσωπειών στα οποία υποβλήθηκαν οι Προεδρίες και οι εθνικές αντιπροσωπείες μειώθηκαν κατά 2,61 %, από περίπου 15,3 εκατομμύρια EUR το 2023 σε περίπου 14,9 εκατομμύρια EUR το 2024·</w:t>
      </w:r>
    </w:p>
    <w:p w14:paraId="56AA2A0B" w14:textId="65274CAC" w:rsidR="0065749F" w:rsidRPr="004C22A6" w:rsidRDefault="004C22A6" w:rsidP="004C22A6">
      <w:pPr>
        <w:pStyle w:val="NormalHanging12a"/>
        <w:widowControl/>
        <w:rPr>
          <w:bCs/>
          <w:iCs/>
        </w:rPr>
      </w:pPr>
      <w:r w:rsidRPr="004C22A6">
        <w:rPr>
          <w:bCs/>
          <w:iCs/>
        </w:rPr>
        <w:t>39.</w:t>
      </w:r>
      <w:r w:rsidRPr="004C22A6">
        <w:rPr>
          <w:bCs/>
          <w:iCs/>
        </w:rPr>
        <w:tab/>
      </w:r>
      <w:r w:rsidR="0065749F" w:rsidRPr="004C22A6">
        <w:t>καλεί το Συμβούλιο να δημοσιεύει ετήσια ανάλυση των εξόδων ταξιδίου και παράστασης των ανώτερων υπαλλήλων, συμπεριλαμβανομένων του Προέδρου του Ευρωπαϊκού Συμβουλίου, του Ύπατου Εκπροσώπου της Ένωσης για Θέματα Εξωτερικής Πολιτικής και Πολιτικής Ασφαλείας, και της Γραμματείας, σε φιλική προς τον χρήστη μορφή που να είναι προσβάσιμη στο κοινό·</w:t>
      </w:r>
    </w:p>
    <w:p w14:paraId="591BCE1F" w14:textId="27222D0E" w:rsidR="0065749F" w:rsidRPr="004C22A6" w:rsidRDefault="004C22A6" w:rsidP="004C22A6">
      <w:pPr>
        <w:pStyle w:val="NormalHanging12a"/>
        <w:widowControl/>
      </w:pPr>
      <w:r w:rsidRPr="004C22A6">
        <w:t>40.</w:t>
      </w:r>
      <w:r w:rsidRPr="004C22A6">
        <w:tab/>
      </w:r>
      <w:r w:rsidR="0065749F" w:rsidRPr="004C22A6">
        <w:t>εκφράζει την ανησυχία του για τους ανεπαρκείς μηχανισμούς ελέγχου όσον αφορά τη χρήση συμβουλευτικών υπηρεσιών και εξωτερικών αναδόχων από το Συμβούλιο· ζητεί την πλήρη δημοσιοποίηση όλων των συμβάσεων που υπερβαίνουν τα 50 000 EUR, με λεπτομερή αναφορά του πεδίου εφαρμογής, των παραδοτέων και των αναδόχων, για να αποτρέπεται η πιθανή κατάχρηση δημόσιων πόρων·</w:t>
      </w:r>
    </w:p>
    <w:p w14:paraId="1ABF6B35" w14:textId="77777777" w:rsidR="0065749F" w:rsidRPr="004C22A6" w:rsidRDefault="0065749F" w:rsidP="00417804">
      <w:pPr>
        <w:pStyle w:val="NormalHanging12a"/>
        <w:widowControl/>
        <w:rPr>
          <w:b/>
          <w:i/>
          <w:iCs/>
        </w:rPr>
      </w:pPr>
      <w:r w:rsidRPr="004C22A6">
        <w:rPr>
          <w:b/>
          <w:i/>
        </w:rPr>
        <w:t>Εσωτερική διαχείριση, επιδόσεις και εσωτερικός έλεγχος</w:t>
      </w:r>
    </w:p>
    <w:p w14:paraId="3C8091F7" w14:textId="4A151DB9" w:rsidR="0065749F" w:rsidRPr="004C22A6" w:rsidRDefault="004C22A6" w:rsidP="004C22A6">
      <w:pPr>
        <w:pStyle w:val="NormalHanging12a"/>
        <w:widowControl/>
        <w:rPr>
          <w:bCs/>
          <w:iCs/>
        </w:rPr>
      </w:pPr>
      <w:r w:rsidRPr="004C22A6">
        <w:rPr>
          <w:bCs/>
          <w:iCs/>
        </w:rPr>
        <w:t>41.</w:t>
      </w:r>
      <w:r w:rsidRPr="004C22A6">
        <w:rPr>
          <w:bCs/>
          <w:iCs/>
        </w:rPr>
        <w:tab/>
      </w:r>
      <w:r w:rsidR="0065749F" w:rsidRPr="004C22A6">
        <w:t>εκφράζει την ανησυχία του για την περιορισμένη διαφάνεια όσον αφορά τη χρήση συμβουλευτικών υπηρεσιών και εξωτερικών αναδόχων από το Συμβούλιο· ζητεί την προορατική δημοσίευση όλων των συμβάσεων υψηλής αξίας και των συμβάσεων-πλαισίων, συμπεριλαμβανομένων των τροποποιήσεων των συμβάσεων, των παραδοτέων και των δεικτών επιδόσεων· ζητεί διαφάνεια βάσει κινδύνου με ιδιαίτερο έλεγχο των συμβάσεων που συνδέονται με υπηρεσίες ΤΠ, επικοινωνιών και φήμης και ζητεί την υποβολή ετήσιων εκθέσεων σχετικά με την εξάρτηση από εξωτερικούς αναδόχους έναντι της εσωτερικής ικανότητας·</w:t>
      </w:r>
    </w:p>
    <w:p w14:paraId="2B6C9609" w14:textId="3C314AF3" w:rsidR="0065749F" w:rsidRPr="004C22A6" w:rsidRDefault="004C22A6" w:rsidP="004C22A6">
      <w:pPr>
        <w:pStyle w:val="NormalHanging12a"/>
        <w:widowControl/>
      </w:pPr>
      <w:r w:rsidRPr="004C22A6">
        <w:t>42.</w:t>
      </w:r>
      <w:r w:rsidRPr="004C22A6">
        <w:tab/>
      </w:r>
      <w:r w:rsidR="0065749F" w:rsidRPr="004C22A6">
        <w:t>σημειώνει ότι οι δραστηριότητες της Γραμματείας καθοδηγήθηκαν από τους πολυετείς στόχους που εγκρίθηκαν το 2022 και από ένα σύνολο ειδικών στόχων που διασφαλίζουν τη συνεχή λήψη αποφάσεων στο Συμβούλιο και επανεξετάζονται σε ετήσια βάση· σημειώνει τις προτεραιότητες της Γραμματείας για το 2024, οι οποίες περιλαμβάνουν τη βελτιστοποίηση του εργασιακού περιβάλλοντος, την προώθηση μιας νοοτροπίας προσανατολισμένης στον πελάτη, την πρωτοπορία στον πράσινο μετασχηματισμό, την αξιοποίηση των οφελών του ψηφιακού μετασχηματισμού και την αύξηση της συνολικής οργανωτικής αποδοτικότητας· εκτιμά το γεγονός ότι η Γραμματεία υποστήριξε τη διοργάνωση έξι Ευρωπαϊκών Συμβουλίων, δύο άτυπων συνόδων αρχηγών κρατών ή κυβερνήσεων, και μίας συνόδου κορυφής για το ευρώ το 2024·</w:t>
      </w:r>
    </w:p>
    <w:p w14:paraId="7FC4A0EC" w14:textId="41A398FF" w:rsidR="0065749F" w:rsidRPr="004C22A6" w:rsidRDefault="004C22A6" w:rsidP="004C22A6">
      <w:pPr>
        <w:pStyle w:val="NormalHanging12a"/>
        <w:widowControl/>
      </w:pPr>
      <w:r w:rsidRPr="004C22A6">
        <w:t>43.</w:t>
      </w:r>
      <w:r w:rsidRPr="004C22A6">
        <w:tab/>
      </w:r>
      <w:r w:rsidR="0065749F" w:rsidRPr="004C22A6">
        <w:t>εκφράζει την ικανοποίησή του για τη χρήση δεδομένων στη διαδικασία λήψης αποφάσεων, ιδίως με βάση τον μηνιαίο οικονομικό πίνακα, που παρουσιάζει βασικούς δείκτες επιδόσεων σε όλες τις υπηρεσίες της Γραμματείας και τον πίνακα δεικτών των διαχειριστών με βασικές πληροφορίες από τα δεδομένα για τους ανθρώπινους πόρους, προκειμένου να διευκολυνθούν η καθημερινή διαχείριση και οι αποφάσεις στον τομέα των ανθρώπινων πόρων·</w:t>
      </w:r>
    </w:p>
    <w:p w14:paraId="355E6CC7" w14:textId="0CB61DD8" w:rsidR="0065749F" w:rsidRPr="004C22A6" w:rsidRDefault="004C22A6" w:rsidP="004C22A6">
      <w:pPr>
        <w:pStyle w:val="NormalHanging12a"/>
        <w:widowControl/>
      </w:pPr>
      <w:r w:rsidRPr="004C22A6">
        <w:t>44.</w:t>
      </w:r>
      <w:r w:rsidRPr="004C22A6">
        <w:tab/>
      </w:r>
      <w:r w:rsidR="0065749F" w:rsidRPr="004C22A6">
        <w:t>σημειώνει ότι το 2024 η Γραμματεία συνέβαλε στη διοργάνωση 4 164 συνεδριάσεων για το Συμβούλιο (έναντι 4 429 συνεδριάσεων το 2023) και 152 συνεδριάσεων/επισκέψεων/αποστολών για τον Πρόεδρο του Ευρωπαϊκού Συμβουλίου (έναντι 124 το 2023)·</w:t>
      </w:r>
    </w:p>
    <w:p w14:paraId="027FEFA1" w14:textId="6E21408C" w:rsidR="0065749F" w:rsidRPr="004C22A6" w:rsidRDefault="004C22A6" w:rsidP="004C22A6">
      <w:pPr>
        <w:pStyle w:val="NormalHanging12a"/>
        <w:widowControl/>
      </w:pPr>
      <w:r w:rsidRPr="004C22A6">
        <w:t>45.</w:t>
      </w:r>
      <w:r w:rsidRPr="004C22A6">
        <w:tab/>
      </w:r>
      <w:r w:rsidR="0065749F" w:rsidRPr="004C22A6">
        <w:t>επικροτεί την εφαρμογή και τη λειτουργία του εσωτερικού ελέγχου της Γραμματείας, ο οποίος βασίζεται σε διεθνώς αποδεκτά πρότυπα και έχει σχεδιαστεί με σκοπό να διασφαλίζει την αποτελεσματικότητα, την αποδοτικότητα και την οικονομία των πράξεων, την αξιοπιστία της υποβολής εκθέσεων, τη διασφάλιση των περιουσιακών στοιχείων και των πληροφοριών, την πρόληψη και την ανίχνευση παρατυπιών, και την κατάλληλη διαχείριση των κινδύνων· σημειώνει ότι διατηρήθηκε ο διαχωρισμός των καθηκόντων στις οικονομικές διαδικασίες, ότι τα μητρώα κινδύνων παρακολουθούνταν περιοδικά και ότι οι αυτοματοποιημένοι έλεγχοι και η χρηματοοικονομική κατάρτιση για τα μέλη του προσωπικού συνέβαλαν σε ένα ισχυρό περιβάλλον ελέγχου το 2024·</w:t>
      </w:r>
    </w:p>
    <w:p w14:paraId="0118A518" w14:textId="4E1DF3DD" w:rsidR="0065749F" w:rsidRPr="004C22A6" w:rsidRDefault="004C22A6" w:rsidP="004C22A6">
      <w:pPr>
        <w:pStyle w:val="NormalHanging12a"/>
        <w:widowControl/>
      </w:pPr>
      <w:r w:rsidRPr="004C22A6">
        <w:t>46.</w:t>
      </w:r>
      <w:r w:rsidRPr="004C22A6">
        <w:tab/>
      </w:r>
      <w:r w:rsidR="0065749F" w:rsidRPr="004C22A6">
        <w:t>σημειώνει ότι το Συμβούλιο διαβίβασε στην αρμόδια για την απαλλαγή αρχή την ετήσια έκθεσή του σχετικά με τους εσωτερικούς ελέγχους που πραγματοποιήθηκαν το 2024, σύμφωνα με το άρθρο 118 του δημοσιονομικού κανονισμού· σημειώνει ότι, στο τέλος του 2024, το 82 % των συστάσεων που εκδόθηκαν κατά τη διάρκεια των ετών 2022-2024 είχαν υλοποιηθεί, το 17 % εξακολουθούσαν να εκκρεμούν και για το 1 % είτε η διοίκηση είχε αποδεχθεί τον κίνδυνο είτε οι συστάσεις δεν ίσχυαν πλέον· σημειώνει ότι το 2024 ολοκληρώθηκαν τέσσερις εσωτερικοί έλεγχοι· σημειώνει ότι, σε δύο από αυτούς τους ελέγχους (έναν σχετικά με τη στήριξη του Ευρωπαϊκού Μηχανισμού για την Ειρήνη και έναν άλλο σχετικά με τις λογιστικές διαδικασίες που αφορούν τα άυλα περιουσιακά στοιχεία της Γραμματείας), ο εσωτερικός ελεγκτής εξέδωσε διάφορες συστάσεις υψηλής προτεραιότητας που έχουν γίνει δεκτές από τις ελεγχθείσες υπηρεσίες· ζητεί από το Συμβούλιο να παράσχει στην αρμόδια για την απαλλαγή αρχή δημόσια σύνοψη των συστάσεων υψηλής προτεραιότητας και σαφές χρονοδιάγραμμα εφαρμογής, ιδίως όταν οι έλεγχοι αφορούν τη στήριξη του Ευρωπαϊκού Μηχανισμού για την Ειρήνη και τη διαχείριση άυλων περιουσιακών στοιχείων, δεδομένου του αυξημένου δημόσιου συμφέροντος και της ευαισθησίας των εν λόγω δαπανών όσον αφορά τη φήμη·</w:t>
      </w:r>
    </w:p>
    <w:p w14:paraId="298246A4" w14:textId="77777777" w:rsidR="0065749F" w:rsidRPr="004C22A6" w:rsidRDefault="0065749F" w:rsidP="00417804">
      <w:pPr>
        <w:pStyle w:val="NormalHanging12a"/>
        <w:widowControl/>
        <w:rPr>
          <w:b/>
          <w:i/>
          <w:iCs/>
        </w:rPr>
      </w:pPr>
      <w:r w:rsidRPr="004C22A6">
        <w:rPr>
          <w:b/>
          <w:i/>
        </w:rPr>
        <w:t>Ανθρώπινοι πόροι, ισότητα και ευημερία του προσωπικού</w:t>
      </w:r>
    </w:p>
    <w:p w14:paraId="05DCBF8B" w14:textId="09138D3C" w:rsidR="0065749F" w:rsidRPr="004C22A6" w:rsidRDefault="004C22A6" w:rsidP="004C22A6">
      <w:pPr>
        <w:pStyle w:val="NormalHanging12a"/>
        <w:widowControl/>
        <w:rPr>
          <w:color w:val="000000" w:themeColor="text1"/>
        </w:rPr>
      </w:pPr>
      <w:r w:rsidRPr="004C22A6">
        <w:rPr>
          <w:color w:val="000000" w:themeColor="text1"/>
        </w:rPr>
        <w:t>47.</w:t>
      </w:r>
      <w:r w:rsidRPr="004C22A6">
        <w:rPr>
          <w:color w:val="000000" w:themeColor="text1"/>
        </w:rPr>
        <w:tab/>
      </w:r>
      <w:r w:rsidR="0065749F" w:rsidRPr="004C22A6">
        <w:t>σημειώνει ότι η Γραμματεία απασχολούσε 3 124 υπαλλήλους στο τέλος του 2024 (έναντι 3 115 το 2023)·</w:t>
      </w:r>
      <w:r w:rsidR="0065749F" w:rsidRPr="004C22A6">
        <w:rPr>
          <w:color w:val="000000" w:themeColor="text1"/>
        </w:rPr>
        <w:t xml:space="preserve"> </w:t>
      </w:r>
      <w:r w:rsidR="0065749F" w:rsidRPr="004C22A6">
        <w:t>σημειώνει την κατανομή του προσωπικού ανά ιδιότητα, λαμβάνοντας υπόψη ότι η Γραμματεία απασχολούσε 2 720 μόνιμους υπαλλήλους, 401 έκτακτους υπαλλήλους, 222 συμβασιούχους υπαλλήλους και 26 αποσπασμένους εθνικούς εμπειρογνώμονες το 2024·</w:t>
      </w:r>
      <w:r w:rsidR="0065749F" w:rsidRPr="004C22A6">
        <w:rPr>
          <w:color w:val="000000" w:themeColor="text1"/>
        </w:rPr>
        <w:t xml:space="preserve"> </w:t>
      </w:r>
      <w:r w:rsidR="0065749F" w:rsidRPr="004C22A6">
        <w:t>σημειώνει ότι η κατανομή των μόνιμων και των έκτακτων υπαλλήλων μεταξύ των κατηγοριών θέσεων εργασίας παρέμεινε σταθερή με 1 497 διοικητικούς υπαλλήλους (AD), 1 146 βοηθούς (AST) και 232 γραμματείς (AST-SC) το 2024, σε σύγκριση με 1 474, 1 159 και 295 αντίστοιχα το 2023·</w:t>
      </w:r>
      <w:r w:rsidR="0065749F" w:rsidRPr="004C22A6">
        <w:rPr>
          <w:color w:val="000000" w:themeColor="text1"/>
        </w:rPr>
        <w:t xml:space="preserve"> σημειώνει ότι το ποσοστό κάλυψης του οργανογράμματος ήταν 97,4 % στο τέλος του 2024 (από 97,10 % το 2023)· </w:t>
      </w:r>
    </w:p>
    <w:p w14:paraId="00ACE026" w14:textId="73AB2E13" w:rsidR="0065749F" w:rsidRPr="004C22A6" w:rsidRDefault="004C22A6" w:rsidP="004C22A6">
      <w:pPr>
        <w:pStyle w:val="NormalHanging12a"/>
        <w:widowControl/>
      </w:pPr>
      <w:r w:rsidRPr="004C22A6">
        <w:t>48.</w:t>
      </w:r>
      <w:r w:rsidRPr="004C22A6">
        <w:tab/>
      </w:r>
      <w:r w:rsidR="0065749F" w:rsidRPr="004C22A6">
        <w:t>εκφράζει τη λύπη του για την έλλειψη δημόσια διαθέσιμων πληροφοριών σχετικά με το φύλο και τη γεωγραφική κατανομή των μελών του προσωπικού στη Γραμματεία· καλεί το Συμβούλιο να παράσχει πληροφορίες στο Κοινοβούλιο σχετικά με την ισόρροπη εκπροσώπηση των φύλων, τη γεωγραφική κατανομή και τις αναπηρίες των μελών του προσωπικού του, καθώς και τις σχετικές εσωτερικές πολιτικές· ενθαρρύνει το Συμβούλιο να προωθήσει τη γεωγραφική ισορροπία των μελών του προσωπικού του, με την προσφορά ευρύτερης δεξαμενής υποψηφίων από υποεκπροσωπούμενα κράτη μέλη·</w:t>
      </w:r>
    </w:p>
    <w:p w14:paraId="031FC6D2" w14:textId="589F55CB" w:rsidR="0065749F" w:rsidRPr="004C22A6" w:rsidRDefault="004C22A6" w:rsidP="004C22A6">
      <w:pPr>
        <w:pStyle w:val="NormalHanging12a"/>
        <w:widowControl/>
      </w:pPr>
      <w:r w:rsidRPr="004C22A6">
        <w:t>49.</w:t>
      </w:r>
      <w:r w:rsidRPr="004C22A6">
        <w:tab/>
      </w:r>
      <w:r w:rsidR="0065749F" w:rsidRPr="004C22A6">
        <w:t>εκφράζει την ικανοποίησή του για τις προσπάθειες της Γραμματείας το 2024 να προσελκύσει, να διατηρήσει και να δώσει κίνητρα στα μέλη του προσωπικού· σημειώνει ότι η Γραμματεία συμμετείχε σε ημέρες και εκθέσεις σταδιοδρομίας, εκδηλώσεις ανθρώπινων πόρων για τις μόνιμες αντιπροσωπείες και ενημερωτικές συναντήσεις για εκπροσώπους των κρατών μελών, επίσης ενίσχυσε τις ανταλλαγές με υπαλλήλους άλλων θεσμικών οργάνων μέσω διοργανικής άσκησης παρακολούθησης εργασίας με την ενεργό συμμετοχή 23 υπαλλήλων της Γραμματείας, συνέβαλε στον εκσυγχρονισμό των δραστηριοτήτων της EPSO, διοργάνωσε 518 διαδικασίες επιλογής και 127 συνεντεύξεις, καθώς και εσωτερικούς διαγωνισμούς για κάθε είδους ρόλο·</w:t>
      </w:r>
    </w:p>
    <w:p w14:paraId="751B1A2D" w14:textId="24E3F79F" w:rsidR="0065749F" w:rsidRPr="004C22A6" w:rsidRDefault="004C22A6" w:rsidP="004C22A6">
      <w:pPr>
        <w:pStyle w:val="NormalHanging12a"/>
        <w:widowControl/>
      </w:pPr>
      <w:r w:rsidRPr="004C22A6">
        <w:t>50.</w:t>
      </w:r>
      <w:r w:rsidRPr="004C22A6">
        <w:tab/>
      </w:r>
      <w:r w:rsidR="0065749F" w:rsidRPr="004C22A6">
        <w:t>σημειώνει με ικανοποίηση ότι η Γραμματεία προσφέρει μια σειρά σεμιναρίων κατάρτισης και εκστρατειών ενημέρωσης για συγκεκριμένα θέματα, όπως, μεταξύ άλλων, τα οικονομικά, τα μέτρα ασφάλειας και η ορθή συμπεριφορά· σημειώνει ιδίως τη βελτίωση των μετρήσεων όσον αφορά την εκστρατεία ενημέρωσης της Γραμματείας σχετικά με τη δεοντολογία, ενώ η συμμετοχή του προσωπικού σε δεοντολογικά ζητήματα ενισχύθηκε σημαντικά το 2024·</w:t>
      </w:r>
    </w:p>
    <w:p w14:paraId="2BC820AA" w14:textId="231983DA" w:rsidR="0065749F" w:rsidRPr="004C22A6" w:rsidRDefault="004C22A6" w:rsidP="004C22A6">
      <w:pPr>
        <w:pStyle w:val="NormalHanging12a"/>
        <w:widowControl/>
      </w:pPr>
      <w:r w:rsidRPr="004C22A6">
        <w:t>51.</w:t>
      </w:r>
      <w:r w:rsidRPr="004C22A6">
        <w:tab/>
      </w:r>
      <w:r w:rsidR="0065749F" w:rsidRPr="004C22A6">
        <w:t xml:space="preserve">σημειώνει τα ποικίλα μέτρα που έλαβε το Συμβούλιο για την υγεία και την ευεξία των μελών του προσωπικού του το 2024· σημειώνει, στο πλαίσιο αυτό, ότι η Γραμματεία προσέφερε στήριξη, μεταξύ άλλων, με εργασιακούς και κλινικούς ψυχολόγους και προγράμματα επιμόρφωσης για τη διατήρηση της ψυχικής υγείας και τη διαχείριση του άγχους· εκφράζει την ικανοποίησή του για τη συμμετοχή της Γραμματείας στη διοργάνωση της διοργανικής εβδομάδας για την υγεία και την ασφάλεια, τον Οκτώβριο του 2024, και για τη δημοσίευση στο </w:t>
      </w:r>
      <w:proofErr w:type="spellStart"/>
      <w:r w:rsidR="0065749F" w:rsidRPr="004C22A6">
        <w:t>ενδοδίκτυό</w:t>
      </w:r>
      <w:proofErr w:type="spellEnd"/>
      <w:r w:rsidR="0065749F" w:rsidRPr="004C22A6">
        <w:t xml:space="preserve"> της όλων των υπηρεσιών και των δραστηριοτήτων που υπάρχουν στη Γραμματεία για τη στήριξη της ευεξίας και της υγείας· σημειώνει ότι η Γραμματεία ανέπτυξε έναν πίνακα δεικτών σχετικά με τους ψυχοκοινωνικούς κινδύνους, ο οποίος αποσκοπεί στην καλύτερη στόχευση των μέτρων πρόληψης, και έχει δημιουργήσει μια διεπιστημονική ομάδα που αναπτύσσει ένα σύστημα διαχείρισης της υγείας και της ασφάλειας για τη Γραμματεία με σκοπό τον καλύτερο έλεγχο των όποιων κινδύνων στον χώρο εργασίας·</w:t>
      </w:r>
    </w:p>
    <w:p w14:paraId="3799E776" w14:textId="3FC27BF0" w:rsidR="0065749F" w:rsidRPr="004C22A6" w:rsidRDefault="004C22A6" w:rsidP="004C22A6">
      <w:pPr>
        <w:pStyle w:val="NormalHanging12a"/>
        <w:widowControl/>
      </w:pPr>
      <w:r w:rsidRPr="004C22A6">
        <w:t>52.</w:t>
      </w:r>
      <w:r w:rsidRPr="004C22A6">
        <w:tab/>
      </w:r>
      <w:r w:rsidR="0065749F" w:rsidRPr="004C22A6">
        <w:t xml:space="preserve">σημειώνει με ικανοποίηση ότι η Γραμματεία έχει διάφορες ομάδες ή δίκτυα, όπως η ομάδα και το δίκτυο της Γραμματείας για την πολυμορφία και την ένταξη, το δίκτυο </w:t>
      </w:r>
      <w:proofErr w:type="spellStart"/>
      <w:r w:rsidR="0065749F" w:rsidRPr="004C22A6">
        <w:t>Olympia</w:t>
      </w:r>
      <w:proofErr w:type="spellEnd"/>
      <w:r w:rsidR="0065749F" w:rsidRPr="004C22A6">
        <w:t xml:space="preserve"> (για γυναίκες διοικητικούς υπαλλήλους), το δίκτυο ΛΟΑΤΚΙ, το δίκτυο ατόμων με αναπηρία·</w:t>
      </w:r>
    </w:p>
    <w:p w14:paraId="26515B35" w14:textId="50A75DB3" w:rsidR="0065749F" w:rsidRPr="004C22A6" w:rsidRDefault="004C22A6" w:rsidP="004C22A6">
      <w:pPr>
        <w:pStyle w:val="NormalHanging12a"/>
        <w:widowControl/>
      </w:pPr>
      <w:r w:rsidRPr="004C22A6">
        <w:t>53.</w:t>
      </w:r>
      <w:r w:rsidRPr="004C22A6">
        <w:tab/>
      </w:r>
      <w:r w:rsidR="0065749F" w:rsidRPr="004C22A6">
        <w:t>σημειώνει με ικανοποίηση τα μέτρα της Γραμματείας για τα άτομα με αναπηρία στο πλαίσιο των δραστηριοτήτων της· σημειώνει ότι η Γραμματεία έχει θέσει σε εφαρμογή απλουστευμένη διαδικασία για τη διεκπεραίωση των αιτημάτων εύλογων προσαρμογών από ασκούμενους, μέλη του προσωπικού και υποψηφίους με αναπηρία· σημειώνει περαιτέρω ότι το 2024 διοργανώθηκαν σεμινάρια επακόλουθης κατάρτισης για βοηθητικό προσωπικό σχετικά με την υποδοχή και τη συνοδεία επισκεπτών με διάφορες αναπηρίες· σημειώνει ότι η Γραμματεία υποδέχθηκε 115 ασκούμενους το 2024, εκ των οποίων πέντε έγιναν δεκτοί στο πλαίσιο του προγράμματος θετικής δράσης της Γραμματείας για ασκούμενους με αναπηρία· υπενθυμίζει ότι η πρακτική άσκηση θα πρέπει να αμείβεται σύμφωνα με το ψήφισμα του Ευρωπαϊκού Κοινοβουλίου της 14ης Ιουνίου 2023 για ποιοτικές θέσεις πρακτικής άσκησης στην Ένωση (2020/2005(INL)), στο οποίο διατυπώνεται το αίτημα να αμείβονται όλοι οι ασκούμενοι στην Ευρώπη· επισημαίνει ότι η μη αμειβόμενη πρακτική άσκηση συνιστά μορφή εκμετάλλευσης των νέων εργαζομένων και φραγμό στην ισότητα των ευκαιριών·</w:t>
      </w:r>
    </w:p>
    <w:p w14:paraId="1A24C2B8" w14:textId="0231EEEB" w:rsidR="0065749F" w:rsidRPr="004C22A6" w:rsidRDefault="004C22A6" w:rsidP="004C22A6">
      <w:pPr>
        <w:pStyle w:val="NormalHanging12a"/>
        <w:widowControl/>
      </w:pPr>
      <w:r w:rsidRPr="004C22A6">
        <w:t>54.</w:t>
      </w:r>
      <w:r w:rsidRPr="004C22A6">
        <w:tab/>
      </w:r>
      <w:r w:rsidR="0065749F" w:rsidRPr="004C22A6">
        <w:t>σημειώνει ότι η Γραμματεία εφάρμοσε νέους κανόνες σχετικά με τον χρόνο εργασίας, την τηλεργασία και την άδεια, ξεκινώντας παράλληλα τη λειτουργία μιας νέας μονάδας ΤΠ (</w:t>
      </w:r>
      <w:proofErr w:type="spellStart"/>
      <w:r w:rsidR="0065749F" w:rsidRPr="004C22A6">
        <w:t>Sysper</w:t>
      </w:r>
      <w:proofErr w:type="spellEnd"/>
      <w:r w:rsidR="0065749F" w:rsidRPr="004C22A6">
        <w:t>-TIM) για τη διαχείριση του χρόνου εργασίας· σημειώνει με ικανοποίηση τη διοργάνωση σεμιναρίων κατάρτισης και δραστηριοτήτων επικοινωνίας, όπως εκπαιδευτικά βίντεο, συχνές ερωτήσεις, διαδικτυακά σεμινάρια κ.λπ. σχετικά με τους νέους κανόνες και τη νέα μονάδα·</w:t>
      </w:r>
    </w:p>
    <w:p w14:paraId="0F4EC4BE" w14:textId="77777777" w:rsidR="0065749F" w:rsidRPr="004C22A6" w:rsidRDefault="0065749F" w:rsidP="00417804">
      <w:pPr>
        <w:pStyle w:val="NormalHanging12a"/>
        <w:widowControl/>
        <w:rPr>
          <w:i/>
          <w:iCs/>
        </w:rPr>
      </w:pPr>
      <w:r w:rsidRPr="004C22A6">
        <w:rPr>
          <w:b/>
          <w:i/>
        </w:rPr>
        <w:t>Δεοντολογικό πλαίσιο και διαφάνεια</w:t>
      </w:r>
    </w:p>
    <w:p w14:paraId="5BDE73D4" w14:textId="1C5BA0BB" w:rsidR="0065749F" w:rsidRPr="004C22A6" w:rsidRDefault="004C22A6" w:rsidP="004C22A6">
      <w:pPr>
        <w:pStyle w:val="NormalHanging12a"/>
        <w:widowControl/>
      </w:pPr>
      <w:r w:rsidRPr="004C22A6">
        <w:t>55.</w:t>
      </w:r>
      <w:r w:rsidRPr="004C22A6">
        <w:tab/>
      </w:r>
      <w:r w:rsidR="0065749F" w:rsidRPr="004C22A6">
        <w:t>επαναλαμβάνει ότι η δεοντολογική συμπεριφορά συμβάλλει στη χρηστή δημοσιονομική διαχείριση και αυξάνει την εμπιστοσύνη του κοινού και ότι, όπως τόνισε το Ελεγκτικό Συνέδριο στην ειδική έκθεσή του αριθ. 13/2019, υπάρχουν περιθώρια βελτίωσης των πλαισίων δεοντολογίας των θεσμικών οργάνων της Ένωσης· υπενθυμίζει ειδικότερα τη σύσταση που εξέδωσε το Ελεγκτικό Συνέδριο όσον αφορά τη βελτίωση του δεοντολογικού πλαισίου του Συμβουλίου· εκφράζει την ανησυχία του για την έλλειψη κοινού ενωσιακού δεοντολογικού πλαισίου που να διέπει το έργο των εκπροσώπων των κρατών μελών στο Συμβούλιο, όπως διαπιστώθηκε από το Ελεγκτικό Συνέδριο· τονίζει ότι κανένα θεσμικό όργανο της Ένωσης δεν θα πρέπει να εξαιρείται από σαφείς, δεσμευτικούς και εκτελεστούς δεοντολογικούς κανόνες κατά τη συμμετοχή του σε ενωσιακές διαδικασίες λήψης αποφάσεων που συνεπάγονται δημόσιες δαπάνες·</w:t>
      </w:r>
    </w:p>
    <w:p w14:paraId="000E7ECF" w14:textId="0D79FFEB" w:rsidR="0065749F" w:rsidRPr="004C22A6" w:rsidRDefault="004C22A6" w:rsidP="004C22A6">
      <w:pPr>
        <w:pStyle w:val="NormalHanging12a"/>
        <w:widowControl/>
      </w:pPr>
      <w:r w:rsidRPr="004C22A6">
        <w:t>56.</w:t>
      </w:r>
      <w:r w:rsidRPr="004C22A6">
        <w:tab/>
      </w:r>
      <w:r w:rsidR="0065749F" w:rsidRPr="004C22A6">
        <w:t>εκφράζει τη λύπη του για το γεγονός ότι δύο βασικές συνιστώσες του δεοντολογικού πλαισίου του Συμβουλίου, ο «Οδηγός για θέματα δεοντολογίας και συμπεριφοράς» για το προσωπικό της Γραμματείας και ο «Κώδικας Δεοντολογίας για τον Πρόεδρο του Ευρωπαϊκού Συμβουλίου», είναι διαθέσιμες στον ιστότοπο του Συμβουλίου χωρίς περαιτέρω καθοδήγηση ή ημερομηνία δημοσίευσης· επικρίνει το γεγονός ότι, παρά τα διάφορα αιτήματα του Κοινοβουλίου, ο κώδικας δεοντολογίας για τον Πρόεδρο του Ευρωπαϊκού Συμβουλίου δεν έχει ευθυγραμμιστεί με εκείνους του Κοινοβουλίου και της Επιτροπής, ιδίως όσον αφορά τις δραστηριότητες μετά τη θητεία·</w:t>
      </w:r>
    </w:p>
    <w:p w14:paraId="4723892A" w14:textId="722B982E" w:rsidR="0065749F" w:rsidRPr="004C22A6" w:rsidRDefault="004C22A6" w:rsidP="004C22A6">
      <w:pPr>
        <w:pStyle w:val="NormalHanging12a"/>
        <w:widowControl/>
      </w:pPr>
      <w:r w:rsidRPr="004C22A6">
        <w:t>57.</w:t>
      </w:r>
      <w:r w:rsidRPr="004C22A6">
        <w:tab/>
      </w:r>
      <w:r w:rsidR="0065749F" w:rsidRPr="004C22A6">
        <w:t>σημειώνει ότι η Γραμματεία δημοσιεύει ετήσια έκθεση με πληροφορίες σχετικά με τις επαγγελματικές δραστηριότητες πρώην ανώτερων υπαλλήλων της μετά την αποχώρησή τους από την υπηρεσία, σύμφωνα με το άρθρο 16, τρίτο και τέταρτο εδάφιο, του κανονισμού υπηρεσιακής κατάστασης των υπαλλήλων της Ένωσης· σημειώνει ότι, σύμφωνα με την έκθεση για το 2024, ένας πρώην ανώτερος υπάλληλος δήλωσε την πρόθεσή του να ασκήσει επαγγελματικές δραστηριότητες πάνω από 12 μήνες μετά την αποχώρησή του από τη Γραμματεία· σημειώνει ότι ζητήθηκε η γνώμη της επιτροπής ίσης εκπροσώπησης πριν από την έκδοση απόφασης στη συγκεκριμένη περίπτωση· σημειώνει με λύπη την έλλειψη πληροφοριών στον ιστότοπο του Συμβουλίου σχετικά με το αν η απόφαση που ελήφθη ήταν υπέρ ή κατά της χορήγησης άδειας για άσκηση της ζητούμενης δραστηριότητας· επαναλαμβάνει την έκκλησή του προς το Συμβούλιο να θεσπίσει σαφείς, αναλογικούς και εφαρμόσιμους κανόνες για την απασχόληση των ανώτερων υπαλλήλων μετά τη λήξη της θητείας τους, με βάση το υφιστάμενο νομικό πλαίσιο, και να διασφαλίσει την κατάλληλη διαφάνεια και, μεταξύ άλλων, κατά περίπτωση, τη δημοσιοποίηση των σχέσεων με τον ιδιωτικό τομέα, με πλήρη σεβασμό των θεμελιωδών δικαιωμάτων και των αρχών της αναλογικότητας·</w:t>
      </w:r>
    </w:p>
    <w:p w14:paraId="3951F26A" w14:textId="0E8A7EB5" w:rsidR="0065749F" w:rsidRPr="004C22A6" w:rsidRDefault="004C22A6" w:rsidP="004C22A6">
      <w:pPr>
        <w:pStyle w:val="NormalHanging12a"/>
        <w:widowControl/>
      </w:pPr>
      <w:r w:rsidRPr="004C22A6">
        <w:t>58.</w:t>
      </w:r>
      <w:r w:rsidRPr="004C22A6">
        <w:tab/>
      </w:r>
      <w:r w:rsidR="0065749F" w:rsidRPr="004C22A6">
        <w:t>εκφράζει τη λύπη του για το γεγονός ότι η συμμετοχή των Μόνιμων Αντιπροσώπων των κρατών μελών στο υποχρεωτικό μητρώο διαφάνειας, που θεσπίστηκε με τη διοργανική συμφωνία της 20ής Μαΐου 2021 μεταξύ του Κοινοβουλίου, του Συμβουλίου και της Επιτροπής, είναι εντελώς εθελοντική, δεδομένου ότι η εφαρμογή της αρχής της αιρεσιμότητας επαφίεται στη διακριτική ευχέρεια της Μόνιμης Αντιπροσωπείας κάθε κράτους μέλους· σημειώνει ότι μόνο ένας περιορισμένος αριθμός κρατών μελών και θεσμικών οργάνων της Ένωσης τηρούν τη βέλτιστη πρακτική της εφαρμογής υποχρεωτικού ορισμού ευρείας κλίμακας για τους εκπροσώπους ομάδων συμφερόντων στο κανονιστικό τους πλαίσιο και επιμένει ότι όλες οι μόνιμες αντιπροσωπείες θα πρέπει να συμμετέχουν ενεργά στο υποχρεωτικό μητρώο διαφάνειας πριν, κατά τη διάρκεια και μετά την άσκηση της προεδρίας του Συμβουλίου από το κράτος μέλος τους· υπενθυμίζει τη θέση του Κοινοβουλίου ότι εκπρόσωποι κρατών μελών που ωφελούνται άμεσα από επιδοτήσεις της Ένωσης μέσω των ιδιόκτητων επιχειρήσεών τους δεν θα πρέπει να επιτρέπεται να συμμετέχουν στις συζητήσεις και τις ψηφοφορίες για θέματα πολιτικής και προϋπολογισμού σχετικά με τις συγκεκριμένες επιδοτήσεις· εκφράζει τη λύπη του για το γεγονός ότι το Συμβούλιο δεν χρησιμοποιεί πλήρως το υποχρεωτικό μητρώο διαφάνειας ούτε αποδέχεται προτάσεις για τη βελτίωσή του· επαναλαμβάνει την έκκλησή του προς το Συμβούλιο να μη συνεργάζεται με μη εγγεγραμμένους εκπροσώπους ομάδων συμφερόντων και να διασφαλίσει ότι οι ανώτεροι υπάλληλοί του, συμπεριλαμβανομένων των μόνιμων αντιπροσώπων και των επικεφαλής αντιπροσωπειών, θα δημοσιοποιούν τις συναντήσεις τους με ομάδες συμφερόντων και τους εκπροσώπους τους σε ένα τυποποιημένο μητρώο διαφάνειας, παρόμοιο με τις υποχρεώσεις που επιβάλλονται στους βουλευτές του Κοινοβουλίου και την Επιτροπή·</w:t>
      </w:r>
    </w:p>
    <w:p w14:paraId="17CDB20A" w14:textId="75350840" w:rsidR="0065749F" w:rsidRPr="004C22A6" w:rsidRDefault="004C22A6" w:rsidP="004C22A6">
      <w:pPr>
        <w:pStyle w:val="NormalHanging12a"/>
        <w:widowControl/>
      </w:pPr>
      <w:r w:rsidRPr="004C22A6">
        <w:t>59.</w:t>
      </w:r>
      <w:r w:rsidRPr="004C22A6">
        <w:tab/>
      </w:r>
      <w:r w:rsidR="0065749F" w:rsidRPr="004C22A6">
        <w:t xml:space="preserve">εκφράζει τη λύπη του για το γεγονός ότι η διαδικασία λήψης αποφάσεων στο Συμβούλιο απέχει ακόμα πολύ από την πλήρη διαφάνεια, γεγονός που επηρεάζει την εμπιστοσύνη των πολιτών στην Ένωση ως διαφανή οντότητα και, συνεπώς, θέτει σε κίνδυνο τη φήμη της Ένωσης στο σύνολό της· υπενθυμίζει και υποστηρίζει τις συστάσεις του Διαμεσολαβητή σχετικά με τη διαφάνεια της νομοθετικής διαδικασίας του Συμβουλίου στο πλαίσιο της στρατηγικής έρευνας OI/2/2017/TE· παροτρύνει το Συμβούλιο να λάβει όλα τα αναγκαία μέτρα για την εφαρμογή των συστάσεων του Διαμεσολαβητή και των σχετικών αποφάσεων του ΔΕΕ χωρίς αδικαιολόγητη καθυστέρηση· υπενθυμίζει ότι το ΔΕΕ, στην απόφασή του στην υπόθεση T-163/21, De </w:t>
      </w:r>
      <w:proofErr w:type="spellStart"/>
      <w:r w:rsidR="0065749F" w:rsidRPr="004C22A6">
        <w:t>Capitani</w:t>
      </w:r>
      <w:proofErr w:type="spellEnd"/>
      <w:r w:rsidR="0065749F" w:rsidRPr="004C22A6">
        <w:t xml:space="preserve"> κατά Συμβουλίου, υπογράμμισε ότι απαιτείται σαφέστερη νομοθετική διαφάνεια εκ μέρους του Συμβουλίου, προκειμένου να διασφαλιστεί η πρόσβαση στα νομοθετικά έγγραφα, κάτι που αντιστοιχεί απλώς στην υποχρέωση του Συμβουλίου όσον αφορά τον δημόσιο έλεγχο και τη λογοδοσία των συννομοθετών ως βάση κάθε δημοκρατικής νομιμότητας·</w:t>
      </w:r>
    </w:p>
    <w:p w14:paraId="4933E1D4" w14:textId="3AE819DD" w:rsidR="0065749F" w:rsidRPr="004C22A6" w:rsidRDefault="004C22A6" w:rsidP="004C22A6">
      <w:pPr>
        <w:pStyle w:val="NormalHanging12a"/>
        <w:widowControl/>
      </w:pPr>
      <w:r w:rsidRPr="004C22A6">
        <w:t>60.</w:t>
      </w:r>
      <w:r w:rsidRPr="004C22A6">
        <w:tab/>
      </w:r>
      <w:r w:rsidR="0065749F" w:rsidRPr="004C22A6">
        <w:t>σημειώνει ότι η Διαμεσολαβήτρια κίνησε νέα αυτεπάγγελτη έρευνα το 2023 και την ολοκλήρωσε το 2024 σχετικά με τον τρόπο με τον οποίο το Συμβούλιο χειρίζεται τα αιτήματα πρόσβασης του κοινού σε νομοθετικά έγγραφα· σημειώνει τα συμπεράσματα της εν λόγω έρευνας, σύμφωνα με τα οποία το Συμβούλιο χρησιμοποίησε την προστασία των εν εξελίξει διαδικασιών λήψης αποφάσεων ως λόγο άρνησης της πρόσβασης σε έγγραφα, με επιχειρήματα που ήταν «ασαφή, αφηρημένα και ατεκμηρίωτα»· υπενθυμίζει το γεγονός ότι το ΔΕΕ απέρριψε επιχειρήματα που περιλάμβαναν την ανάγκη αποφυγής εξωτερικών πιέσεων ή δημόσιας παρερμηνείας ή την ανάγκη προστασίας των νομικών συμβουλών· εκφράζει, ως εκ τούτου, την ανησυχία του για το γεγονός ότι το Συμβούλιο δεν ακολουθεί τη νομολογία της Ένωσης· ζητεί από το Συμβούλιο να διορθώσει αυτές τις αδυναμίες δημοσιοποιώντας αμέσως τα νομοθετικά έγγραφα, ακόμη και αν με αυτόν τον τρόπο θα προκαλούσε εξωτερική πίεση, καθώς αυτό αποτελεί παράγοντα σε κάθε δημοκρατική νομοθετική διαδικασία, και να αρνείται την πρόσβαση σε νομοθετικά έγγραφα μόνο σε πραγματικά εξαιρετικές περιστάσεις· καλεί το Συμβούλιο να εφαρμόσει χωρίς καθυστέρηση τα συμπεράσματα της Διαμεσολαβήτριας και τη σχετική νομολογία διασφαλίζοντας ότι οι αρνήσεις στο πλαίσιο της «προστασίας των εν εξελίξει διαδικασιών λήψης αποφάσεων» είναι απόλυτα δικαιολογημένες κατά περίπτωση, αιτιολογούνται με συγκεκριμένο σκεπτικό και υπόκεινται σε αυστηρή εσωτερική επανεξέταση· ζητεί την προορατική δημοσίευση βασικών νομοθετικών εγγράφων (συμπεριλαμβανομένων εγγράφων των ομάδων εργασίας και διαπραγματευτικών θέσεων) ως προκαθορισμένη διαδικασία, καθώς και την ετήσια δημόσια υποβολή στοιχείων σχετικά με τους λόγους άρνησης των οποίων γίνεται επίκληση·</w:t>
      </w:r>
    </w:p>
    <w:p w14:paraId="666B64B2" w14:textId="0594DCD2" w:rsidR="0065749F" w:rsidRPr="004C22A6" w:rsidRDefault="004C22A6" w:rsidP="004C22A6">
      <w:pPr>
        <w:pStyle w:val="NormalHanging12a"/>
        <w:widowControl/>
      </w:pPr>
      <w:r w:rsidRPr="004C22A6">
        <w:t>61.</w:t>
      </w:r>
      <w:r w:rsidRPr="004C22A6">
        <w:tab/>
      </w:r>
      <w:r w:rsidR="0065749F" w:rsidRPr="004C22A6">
        <w:t>σημειώνει ότι η ομάδα για την πρόσβαση στα έγγραφα ανέφερε ότι έλαβε και απάντησε σε μεγάλο αριθμό αιτημάτων για πρόσβαση του κοινού σε έγγραφα το 2024, και συγκεκριμένα σε 2 872 αρχικά αιτήματα για πρόσβαση σε έγγραφα (μείωση από τα 3 732), τα οποία ζητούσαν την ανάλυση 10 096 εγγράφων (μείωση από 13 912 έγγραφα το 2023) και 30 επιβεβαιωτικές αιτήσεις (μείωση από 40 το 2023)· αναγνωρίζει μια μείωση στον συγκεκριμένο φόρτο εργασίας, που ενδέχεται να οφείλεται στη διακοπή του νομοθετικού έργου της Ένωσης λόγω των ευρωπαϊκών εκλογών του 2024·</w:t>
      </w:r>
    </w:p>
    <w:p w14:paraId="4102E2F8" w14:textId="5BE89B26" w:rsidR="0065749F" w:rsidRPr="004C22A6" w:rsidRDefault="004C22A6" w:rsidP="004C22A6">
      <w:pPr>
        <w:pStyle w:val="NormalHanging12a"/>
        <w:widowControl/>
      </w:pPr>
      <w:r w:rsidRPr="004C22A6">
        <w:t>62.</w:t>
      </w:r>
      <w:r w:rsidRPr="004C22A6">
        <w:tab/>
      </w:r>
      <w:r w:rsidR="0065749F" w:rsidRPr="004C22A6">
        <w:t>σημειώνει ότι, μεταξύ των αρχικών αιτημάτων πρόσβασης, χορηγήθηκε πλήρης πρόσβαση σε 7 323 έγγραφα (72,5 %) και μερική πρόσβαση σε 1 181 έγγραφα (11,70 %), ενώ απορρίφθηκε η πρόσβαση σε 1 592 έγγραφα (15,80 %)· σημειώνει ότι, όσον αφορά τις επιβεβαιωτικές αιτήσεις, χορηγήθηκε πλήρης πρόσβαση σε 36 έγγραφα και μερική πρόσβαση σε 45 έγγραφα, ενώ απορρίφθηκε η πρόσβαση σε 45 έγγραφα· σημειώνει ότι τα αρχικά αιτήματα διεκπεραιώθηκαν, κατά μέσο όρο, σε 17 εργάσιμες ημέρες και οι επιβεβαιωτικές αιτήσεις σε 31 εργάσιμες ημέρες·</w:t>
      </w:r>
    </w:p>
    <w:p w14:paraId="26CA29EC" w14:textId="14F025D8" w:rsidR="0065749F" w:rsidRPr="004C22A6" w:rsidRDefault="004C22A6" w:rsidP="004C22A6">
      <w:pPr>
        <w:pStyle w:val="NormalHanging12a"/>
        <w:widowControl/>
      </w:pPr>
      <w:r w:rsidRPr="004C22A6">
        <w:t>63.</w:t>
      </w:r>
      <w:r w:rsidRPr="004C22A6">
        <w:tab/>
      </w:r>
      <w:r w:rsidR="0065749F" w:rsidRPr="004C22A6">
        <w:t>σημειώνει ότι, στο πλαίσιο της εφαρμογής της απόφασης 23/2021 του Γενικού Γραμματέα σχετικά με την ψυχολογική και σεξουαλική παρενόχληση στην εργασία, ελήφθησαν διάφορα μέτρα το 2024, όπως υποχρεωτικά σεμινάρια κατάρτισης σχετικά με την καταπολέμηση της παρενόχλησης και την ανάρμοστη συμπεριφορά για τους νεοπροσληφθέντες, τα νέα διοικητικά στελέχη και τους ασκούμενους· σημειώνει ότι η Γραμματεία διαθέτει μια ομάδα εμπιστευτικών συμβούλων κατά της παρενόχλησης, οι οποίοι χειρίστηκαν 13 αιτήματα για παροχή εμπιστευτικών συμβουλών σχετικά με πιθανή παρενόχληση ή ανάρμοστη συμπεριφορά το 2024·</w:t>
      </w:r>
    </w:p>
    <w:p w14:paraId="34B716CE" w14:textId="01EA4F48" w:rsidR="0065749F" w:rsidRPr="004C22A6" w:rsidRDefault="004C22A6" w:rsidP="004C22A6">
      <w:pPr>
        <w:pStyle w:val="NormalHanging12a"/>
        <w:widowControl/>
      </w:pPr>
      <w:r w:rsidRPr="004C22A6">
        <w:t>64.</w:t>
      </w:r>
      <w:r w:rsidRPr="004C22A6">
        <w:tab/>
      </w:r>
      <w:r w:rsidR="0065749F" w:rsidRPr="004C22A6">
        <w:t>εκφράζει την ικανοποίησή του για το γεγονός ότι, σύμφωνα με τις διαθέσιμες στο κοινό ετήσιες εκθέσεις, καμία περίπτωση απάτης ή παρατυπίας δεν τέθηκε υπόψη των αρμόδιων κύριων διατακτών κατά τη διάρκεια του 2024 και ότι οι υποθέσεις αυτές δεν ενέπιπταν στην αρμοδιότητα της επιτροπής (άρθρο 145 του δημοσιονομικού κανονισμού) ή της OLAF·</w:t>
      </w:r>
    </w:p>
    <w:p w14:paraId="6EF2AF08" w14:textId="77777777" w:rsidR="0065749F" w:rsidRPr="004C22A6" w:rsidRDefault="0065749F" w:rsidP="00417804">
      <w:pPr>
        <w:pStyle w:val="NormalHanging12a"/>
        <w:widowControl/>
        <w:rPr>
          <w:b/>
          <w:i/>
          <w:iCs/>
        </w:rPr>
      </w:pPr>
      <w:r w:rsidRPr="004C22A6">
        <w:rPr>
          <w:b/>
          <w:i/>
        </w:rPr>
        <w:t>Ψηφιοποίηση, κυβερνοασφάλεια και προστασία δεδομένων</w:t>
      </w:r>
    </w:p>
    <w:p w14:paraId="6F31A9B5" w14:textId="59072383" w:rsidR="0065749F" w:rsidRPr="004C22A6" w:rsidRDefault="004C22A6" w:rsidP="004C22A6">
      <w:pPr>
        <w:pStyle w:val="NormalHanging12a"/>
        <w:widowControl/>
      </w:pPr>
      <w:r w:rsidRPr="004C22A6">
        <w:t>65.</w:t>
      </w:r>
      <w:r w:rsidRPr="004C22A6">
        <w:tab/>
      </w:r>
      <w:r w:rsidR="0065749F" w:rsidRPr="004C22A6">
        <w:t>σημειώνει ότι, το 2024, η Γραμματεία συνέχισε να επιδιώκει τον στόχο της για ψηφιακό μετασχηματισμό, σύμφωνα με τις προτεραιότητες της ψηφιακής στρατηγικής της για την περίοδο 2022-2025· σημειώνει ότι από τα 103 έργα ΤΠ στο ετήσιο πρόγραμμα εργασίας για το 2024, το 11 % ολοκληρώθηκαν στο τέλος του έτους, ενώ το 3 % ακυρώθηκαν ή συγχωνεύθηκαν και η πλειονότητα των έργων (62 %) είναι ακόμη σε εξέλιξη·</w:t>
      </w:r>
    </w:p>
    <w:p w14:paraId="5F4882DB" w14:textId="413CEAC3" w:rsidR="0065749F" w:rsidRPr="004C22A6" w:rsidRDefault="004C22A6" w:rsidP="004C22A6">
      <w:pPr>
        <w:pStyle w:val="NormalHanging12a"/>
        <w:widowControl/>
      </w:pPr>
      <w:r w:rsidRPr="004C22A6">
        <w:t>66.</w:t>
      </w:r>
      <w:r w:rsidRPr="004C22A6">
        <w:tab/>
      </w:r>
      <w:r w:rsidR="0065749F" w:rsidRPr="004C22A6">
        <w:t>σημειώνει με ικανοποίηση ότι το 98 % των τιμολογίων υποβλήθηκαν ηλεκτρονικά το 2024 (έναντι 97 % το 2023) και ότι το 49 % των συμβάσεων και των εντολών αγοράς της Γραμματείας υπογράφηκαν με τη χρήση ηλεκτρονικής υπογραφής· σημειώνει περαιτέρω ότι η διαχείριση όλων των νέων διαδικασιών σύναψης συμβάσεων άνω των 143 000 EUR πραγματοποιήθηκε με το εργαλείο διαχείρισης δημόσιων συμβάσεων της Επιτροπής·</w:t>
      </w:r>
    </w:p>
    <w:p w14:paraId="7BD1005E" w14:textId="1953DC73" w:rsidR="0065749F" w:rsidRPr="004C22A6" w:rsidRDefault="004C22A6" w:rsidP="004C22A6">
      <w:pPr>
        <w:pStyle w:val="NormalHanging12a"/>
        <w:widowControl/>
      </w:pPr>
      <w:r w:rsidRPr="004C22A6">
        <w:t>67.</w:t>
      </w:r>
      <w:r w:rsidRPr="004C22A6">
        <w:tab/>
      </w:r>
      <w:r w:rsidR="0065749F" w:rsidRPr="004C22A6">
        <w:t>σημειώνει τις κύριες προτεραιότητες της Γραμματείας όσον αφορά τις διοργανικές συνέργειες και την ευθυγράμμιση των διαδικασιών στον τομέα των επιχειρησιακών διαδικασιών ανθρώπινων πόρων με τη βοήθεια μιας ενιαίας πύλης υπηρεσιών (HR-IT)· σημειώνει ότι το 2024 η Γραμματεία υπέγραψε μνημόνιο συνεννόησης με την Επιτροπή για το πολυετές πρόγραμμα μετασχηματισμού των ανθρώπινων πόρων, στο οποίο εντάχθηκε η Γραμματεία τον Ιούλιο του 2024·</w:t>
      </w:r>
    </w:p>
    <w:p w14:paraId="1C081D2C" w14:textId="1A35B455" w:rsidR="0065749F" w:rsidRPr="004C22A6" w:rsidRDefault="004C22A6" w:rsidP="004C22A6">
      <w:pPr>
        <w:pStyle w:val="NormalHanging12a"/>
        <w:widowControl/>
      </w:pPr>
      <w:r w:rsidRPr="004C22A6">
        <w:t>68.</w:t>
      </w:r>
      <w:r w:rsidRPr="004C22A6">
        <w:tab/>
      </w:r>
      <w:r w:rsidR="0065749F" w:rsidRPr="004C22A6">
        <w:t>εκφράζει την ικανοποίησή του για την περαιτέρω πρόοδο που σημείωσε η Γραμματεία το 2024 στον τομέα της ΤΠ και της ψηφιοποίησης, όπως η δρομολόγηση ενός νέου εργαλείου για τη διαχείριση των ιατρικών ραντεβού και των ραντεβού εμβολιασμού, μιας νέας πλατφόρμας για τη διαχείριση των αιτήσεων πρακτικής άσκησης, της πρώτης φάσης του έργου POMME, που βελτιώνει την εφαρμογή ροής εργασιών όσον αφορά τον προγραμματισμό των συνεδριάσεων και της διερμηνείας, μιας πλατφόρμας (</w:t>
      </w:r>
      <w:proofErr w:type="spellStart"/>
      <w:r w:rsidR="0065749F" w:rsidRPr="004C22A6">
        <w:t>PreSY</w:t>
      </w:r>
      <w:proofErr w:type="spellEnd"/>
      <w:r w:rsidR="0065749F" w:rsidRPr="004C22A6">
        <w:t>) για ολοκληρωμένη επισκόπηση των δραστηριοτήτων παρακολούθησης στα τρία κτίρια του Συμβουλίου, μιας πλατφόρμας (e-</w:t>
      </w:r>
      <w:proofErr w:type="spellStart"/>
      <w:r w:rsidR="0065749F" w:rsidRPr="004C22A6">
        <w:t>Resto</w:t>
      </w:r>
      <w:proofErr w:type="spellEnd"/>
      <w:r w:rsidR="0065749F" w:rsidRPr="004C22A6">
        <w:t xml:space="preserve"> </w:t>
      </w:r>
      <w:proofErr w:type="spellStart"/>
      <w:r w:rsidR="0065749F" w:rsidRPr="004C22A6">
        <w:t>catering</w:t>
      </w:r>
      <w:proofErr w:type="spellEnd"/>
      <w:r w:rsidR="0065749F" w:rsidRPr="004C22A6">
        <w:t xml:space="preserve">) για δραστηριότητες και αιτήματα που σχετίζονται με την τροφοδοσία, και του </w:t>
      </w:r>
      <w:proofErr w:type="spellStart"/>
      <w:r w:rsidR="0065749F" w:rsidRPr="004C22A6">
        <w:t>Collab</w:t>
      </w:r>
      <w:proofErr w:type="spellEnd"/>
      <w:r w:rsidR="0065749F" w:rsidRPr="004C22A6">
        <w:t xml:space="preserve"> </w:t>
      </w:r>
      <w:proofErr w:type="spellStart"/>
      <w:r w:rsidR="0065749F" w:rsidRPr="004C22A6">
        <w:t>Conseil</w:t>
      </w:r>
      <w:proofErr w:type="spellEnd"/>
      <w:r w:rsidR="0065749F" w:rsidRPr="004C22A6">
        <w:t>, ενός εργαλείου σχεδιασμένου για την αποθήκευση όλων των εγγράφων υλικοτεχνικής υποστήριξης που απαιτούνται για την προετοιμασία των υπουργικών συμβουλίων·</w:t>
      </w:r>
    </w:p>
    <w:p w14:paraId="7E53E0BF" w14:textId="54213D33" w:rsidR="0065749F" w:rsidRPr="004C22A6" w:rsidRDefault="004C22A6" w:rsidP="004C22A6">
      <w:pPr>
        <w:pStyle w:val="NormalHanging12a"/>
        <w:widowControl/>
      </w:pPr>
      <w:r w:rsidRPr="004C22A6">
        <w:t>69.</w:t>
      </w:r>
      <w:r w:rsidRPr="004C22A6">
        <w:tab/>
      </w:r>
      <w:r w:rsidR="0065749F" w:rsidRPr="004C22A6">
        <w:t>σημειώνει ότι η Γραμματεία δοκίμασε διάφορα εργαλεία που βασίζονται στην τεχνητή νοημοσύνη για να απαντήσει σε ερωτήσεις σχετικά με τον κανονισμό υπηρεσιακής κατάστασης, να δημιουργήσει μαθησιακό υλικό (δομημένο περιεχόμενο, περιπτωσιολογικές μελέτες, κουίζ ή βίντεο βάσει συγκεκριμένης εντολής) ή να βοηθήσει τα διοικητικά στελέχη στην εξέταση βιογραφικών σημειωμάτων· τονίζει ότι η χρήση της τεχνητής νοημοσύνης πρέπει να πραγματοποιείται εφόσον εξασφαλίζονται αυστηρές αρχές δεοντολογικής χρήσης, διαφάνειας, προστασίας των δεδομένων, ανθρώπινης εποπτείας και προστασίας από αλγοριθμική μεροληψία ή κατάχρηση·</w:t>
      </w:r>
    </w:p>
    <w:p w14:paraId="72E1EF54" w14:textId="1E58EA4D" w:rsidR="0065749F" w:rsidRPr="004C22A6" w:rsidRDefault="004C22A6" w:rsidP="004C22A6">
      <w:pPr>
        <w:pStyle w:val="NormalHanging12a"/>
        <w:widowControl/>
      </w:pPr>
      <w:r w:rsidRPr="004C22A6">
        <w:t>70.</w:t>
      </w:r>
      <w:r w:rsidRPr="004C22A6">
        <w:tab/>
      </w:r>
      <w:r w:rsidR="0065749F" w:rsidRPr="004C22A6">
        <w:t>σημειώνει ότι το 2024 ο ΕΕΠΔ διενήργησε έλεγχο σχετικά με την επεξεργασία των ιατρικών δεδομένων, ιδίως τη διατήρησή τους, εντός βασικών ευρωπαϊκών θεσμικών οργάνων, συμπεριλαμβανομένης της Γραμματείας· καλεί τη Γραμματεία να εφαρμόσει τις συστάσεις του ΕΕΠΔ όσον αφορά τη διασφάλιση κατάλληλων πολιτικών διατήρησης δεδομένων·</w:t>
      </w:r>
    </w:p>
    <w:p w14:paraId="60A751BD" w14:textId="6E9D29C9" w:rsidR="0065749F" w:rsidRPr="004C22A6" w:rsidRDefault="004C22A6" w:rsidP="004C22A6">
      <w:pPr>
        <w:pStyle w:val="NormalHanging12a"/>
        <w:widowControl/>
        <w:rPr>
          <w:bCs/>
        </w:rPr>
      </w:pPr>
      <w:r w:rsidRPr="004C22A6">
        <w:rPr>
          <w:bCs/>
        </w:rPr>
        <w:t>71.</w:t>
      </w:r>
      <w:r w:rsidRPr="004C22A6">
        <w:rPr>
          <w:bCs/>
        </w:rPr>
        <w:tab/>
      </w:r>
      <w:r w:rsidR="0065749F" w:rsidRPr="004C22A6">
        <w:t>σημειώνει τις δραστηριότητες της Γραμματείας, μέσω της δομής ψηφιακών υπηρεσιών της, που αποσκοπούν στη συμμόρφωση με τον νέο κανονισμό για την κυβερνοασφάλεια, ο οποίος τέθηκε σε ισχύ στις αρχές του 2024· σημειώνει, στο πλαίσιο αυτό, ότι το 2024 η Γραμματεία ανέπτυξε εσωτερικές διαδικασίες για την αναφορά περιστατικών κυβερνοασφάλειας, παρείχε στοιχεία για όλες τις κατευθυντήριες γραμμές της Υπηρεσίας Κυβερνοασφάλειας για τα θεσμικά και λοιπά όργανα και τους οργανισμούς της Ένωσης (CERT-ΕΕ) και εφάρμοσε υπηρεσία διαχείρισης της συμμόρφωσης στον τομέα της κυβερνοασφάλειας, ενώ το συγκεκριμένο έτος ολοκληρώθηκαν 11 εκθέσεις συμμόρφωσης· εκφράζει την ικανοποίησή του για τις προσπάθειες της Γραμματείας να ολοκληρώσει την αρχική αξιολόγηση της κυβερνοασφάλειας όλων των ψηφιακών δικτύων και συστημάτων πληροφοριών της Γραμματείας· συγχαίρει το Συμβούλιο για τη συμμετοχή του στην προετοιμασία του ευρωπαϊκού μήνα κυβερνοασφάλειας 2024 με έμφαση στην κοινωνική μηχανική·</w:t>
      </w:r>
    </w:p>
    <w:p w14:paraId="0DF7B2FA" w14:textId="77777777" w:rsidR="0065749F" w:rsidRPr="004C22A6" w:rsidRDefault="0065749F" w:rsidP="00417804">
      <w:pPr>
        <w:pStyle w:val="NormalHanging12a"/>
        <w:widowControl/>
        <w:rPr>
          <w:b/>
          <w:bCs/>
          <w:i/>
        </w:rPr>
      </w:pPr>
      <w:r w:rsidRPr="004C22A6">
        <w:rPr>
          <w:b/>
          <w:i/>
        </w:rPr>
        <w:t>Κτίρια</w:t>
      </w:r>
    </w:p>
    <w:p w14:paraId="7299E933" w14:textId="2E6B8A16" w:rsidR="0065749F" w:rsidRPr="004C22A6" w:rsidRDefault="004C22A6" w:rsidP="004C22A6">
      <w:pPr>
        <w:pStyle w:val="NormalHanging12a"/>
        <w:widowControl/>
      </w:pPr>
      <w:r w:rsidRPr="004C22A6">
        <w:t>72.</w:t>
      </w:r>
      <w:r w:rsidRPr="004C22A6">
        <w:tab/>
      </w:r>
      <w:r w:rsidR="0065749F" w:rsidRPr="004C22A6">
        <w:t xml:space="preserve">σημειώνει ότι το 2024 εκτελέστηκαν βασικά έργα, όπως η ανακαίνιση των αιθουσών συνεδριάσεων του Συμβουλίου, συμπεριλαμβανομένων νέων επίπλων, διαδρόμων γραφείων και του γραφείου διαπίστευσης του </w:t>
      </w:r>
      <w:proofErr w:type="spellStart"/>
      <w:r w:rsidR="0065749F" w:rsidRPr="004C22A6">
        <w:t>Justus</w:t>
      </w:r>
      <w:proofErr w:type="spellEnd"/>
      <w:r w:rsidR="0065749F" w:rsidRPr="004C22A6">
        <w:t xml:space="preserve"> </w:t>
      </w:r>
      <w:proofErr w:type="spellStart"/>
      <w:r w:rsidR="0065749F" w:rsidRPr="004C22A6">
        <w:t>Lipsius</w:t>
      </w:r>
      <w:proofErr w:type="spellEnd"/>
      <w:r w:rsidR="0065749F" w:rsidRPr="004C22A6">
        <w:t>.</w:t>
      </w:r>
    </w:p>
    <w:p w14:paraId="15943534" w14:textId="004D3EB6" w:rsidR="0065749F" w:rsidRPr="004C22A6" w:rsidRDefault="004C22A6" w:rsidP="004C22A6">
      <w:pPr>
        <w:pStyle w:val="NormalHanging12a"/>
        <w:widowControl/>
      </w:pPr>
      <w:r w:rsidRPr="004C22A6">
        <w:t>73.</w:t>
      </w:r>
      <w:r w:rsidRPr="004C22A6">
        <w:tab/>
      </w:r>
      <w:r w:rsidR="0065749F" w:rsidRPr="004C22A6">
        <w:t xml:space="preserve">σημειώνει ότι η Γραμματεία ξεκίνησε προπαρασκευαστικές δραστηριότητες για την ανακαίνιση των κτιρίων της, συμπεριλαμβανομένων του </w:t>
      </w:r>
      <w:proofErr w:type="spellStart"/>
      <w:r w:rsidR="0065749F" w:rsidRPr="004C22A6">
        <w:t>Justus</w:t>
      </w:r>
      <w:proofErr w:type="spellEnd"/>
      <w:r w:rsidR="0065749F" w:rsidRPr="004C22A6">
        <w:t xml:space="preserve"> </w:t>
      </w:r>
      <w:proofErr w:type="spellStart"/>
      <w:r w:rsidR="0065749F" w:rsidRPr="004C22A6">
        <w:t>Lipsius</w:t>
      </w:r>
      <w:proofErr w:type="spellEnd"/>
      <w:r w:rsidR="0065749F" w:rsidRPr="004C22A6">
        <w:t xml:space="preserve"> και του κύριου διοικητικού κτιρίου· είναι ενήμερο για την εκφρασμένη ανάγκη πλήρους αναδιαμόρφωσης των εν λόγω κτιρίων, ώστε να διασφαλιστεί η αποδοτική λειτουργία και η πλήρης συμμόρφωση με το κανονιστικό πλαίσιο της Ένωσης όσον αφορά τις περιβαλλοντικές επιδόσεις·</w:t>
      </w:r>
    </w:p>
    <w:p w14:paraId="71C9C01D" w14:textId="529D86E7" w:rsidR="0065749F" w:rsidRPr="004C22A6" w:rsidRDefault="004C22A6" w:rsidP="004C22A6">
      <w:pPr>
        <w:pStyle w:val="NormalHanging12a"/>
        <w:widowControl/>
      </w:pPr>
      <w:r w:rsidRPr="004C22A6">
        <w:t>74.</w:t>
      </w:r>
      <w:r w:rsidRPr="004C22A6">
        <w:tab/>
      </w:r>
      <w:r w:rsidR="0065749F" w:rsidRPr="004C22A6">
        <w:t xml:space="preserve">σημειώνει ότι η γραμμή 2011 του προϋπολογισμού «Νερό, υγραέριο, ηλεκτρική ενέργεια και θέρμανση» ενισχύθηκε κατά 33 % μέσω μεταφοράς πιστώσεων το 2024· σημειώνει ότι η Γραμματεία συνέχισε να μειώνει την κατανάλωση ενέργειας, για παράδειγμα μειώνοντας τη θέρμανση του κτιρίου και αντικαθιστώντας τους λέβητες στο κτίριο </w:t>
      </w:r>
      <w:proofErr w:type="spellStart"/>
      <w:r w:rsidR="0065749F" w:rsidRPr="004C22A6">
        <w:t>Justus</w:t>
      </w:r>
      <w:proofErr w:type="spellEnd"/>
      <w:r w:rsidR="0065749F" w:rsidRPr="004C22A6">
        <w:t xml:space="preserve"> </w:t>
      </w:r>
      <w:proofErr w:type="spellStart"/>
      <w:r w:rsidR="0065749F" w:rsidRPr="004C22A6">
        <w:t>Lipsius</w:t>
      </w:r>
      <w:proofErr w:type="spellEnd"/>
      <w:r w:rsidR="0065749F" w:rsidRPr="004C22A6">
        <w:t>·</w:t>
      </w:r>
    </w:p>
    <w:p w14:paraId="63DC0986" w14:textId="14566CED" w:rsidR="0065749F" w:rsidRPr="004C22A6" w:rsidRDefault="004C22A6" w:rsidP="004C22A6">
      <w:pPr>
        <w:pStyle w:val="NormalHanging12a"/>
        <w:widowControl/>
      </w:pPr>
      <w:r w:rsidRPr="004C22A6">
        <w:t>75.</w:t>
      </w:r>
      <w:r w:rsidRPr="004C22A6">
        <w:tab/>
      </w:r>
      <w:r w:rsidR="0065749F" w:rsidRPr="004C22A6">
        <w:t xml:space="preserve">σημειώνει ότι το 2024 εκτελέστηκαν βασικά έργα, όπως η ανακαίνιση ορισμένων αιθουσών συνεδριάσεων στα κτίρια LEX και </w:t>
      </w:r>
      <w:proofErr w:type="spellStart"/>
      <w:r w:rsidR="0065749F" w:rsidRPr="004C22A6">
        <w:t>Justus</w:t>
      </w:r>
      <w:proofErr w:type="spellEnd"/>
      <w:r w:rsidR="0065749F" w:rsidRPr="004C22A6">
        <w:t xml:space="preserve"> </w:t>
      </w:r>
      <w:proofErr w:type="spellStart"/>
      <w:r w:rsidR="0065749F" w:rsidRPr="004C22A6">
        <w:t>Lipsius</w:t>
      </w:r>
      <w:proofErr w:type="spellEnd"/>
      <w:r w:rsidR="0065749F" w:rsidRPr="004C22A6">
        <w:t xml:space="preserve">, η συνεχής ανακαίνιση των διαδρόμων γραφείων στο κτίριο </w:t>
      </w:r>
      <w:proofErr w:type="spellStart"/>
      <w:r w:rsidR="0065749F" w:rsidRPr="004C22A6">
        <w:t>Justus</w:t>
      </w:r>
      <w:proofErr w:type="spellEnd"/>
      <w:r w:rsidR="0065749F" w:rsidRPr="004C22A6">
        <w:t xml:space="preserve"> </w:t>
      </w:r>
      <w:proofErr w:type="spellStart"/>
      <w:r w:rsidR="0065749F" w:rsidRPr="004C22A6">
        <w:t>Lipsius</w:t>
      </w:r>
      <w:proofErr w:type="spellEnd"/>
      <w:r w:rsidR="0065749F" w:rsidRPr="004C22A6">
        <w:t xml:space="preserve">, η βελτίωση των εγκαταστάσεων/υποδομών για τα ποδήλατα στους χώρους της Γενικής Γραμματείας και ο εκσυγχρονισμός των γραφείων υποδοχής του </w:t>
      </w:r>
      <w:proofErr w:type="spellStart"/>
      <w:r w:rsidR="0065749F" w:rsidRPr="004C22A6">
        <w:t>Justus</w:t>
      </w:r>
      <w:proofErr w:type="spellEnd"/>
      <w:r w:rsidR="0065749F" w:rsidRPr="004C22A6">
        <w:t xml:space="preserve"> </w:t>
      </w:r>
      <w:proofErr w:type="spellStart"/>
      <w:r w:rsidR="0065749F" w:rsidRPr="004C22A6">
        <w:t>Lipsius</w:t>
      </w:r>
      <w:proofErr w:type="spellEnd"/>
      <w:r w:rsidR="0065749F" w:rsidRPr="004C22A6">
        <w:t>·</w:t>
      </w:r>
    </w:p>
    <w:p w14:paraId="0B665697" w14:textId="71CE59C2" w:rsidR="0065749F" w:rsidRPr="004C22A6" w:rsidRDefault="004C22A6" w:rsidP="004C22A6">
      <w:pPr>
        <w:pStyle w:val="NormalHanging12a"/>
        <w:widowControl/>
      </w:pPr>
      <w:r w:rsidRPr="004C22A6">
        <w:t>76.</w:t>
      </w:r>
      <w:r w:rsidRPr="004C22A6">
        <w:tab/>
      </w:r>
      <w:r w:rsidR="0065749F" w:rsidRPr="004C22A6">
        <w:t>εκφράζει τη λύπη του για το γεγονός ότι το Συμβούλιο δεν έχει ακόμη εφαρμόσει απλουστευμένη διαδικασία διαπίστευσης για να διευκολύνει την πρόσβαση των μελών του προσωπικού των άλλων θεσμικών οργάνων της Ένωσης στις εγκαταστάσεις του Συμβουλίου· καλεί το Συμβούλιο να εγκρίνει και να εφαρμόσει χωρίς περαιτέρω καθυστέρηση αυτή τη διαδικασία υπό το πνεύμα της διοργανικής συνεργασίας·</w:t>
      </w:r>
    </w:p>
    <w:p w14:paraId="70148A76" w14:textId="77777777" w:rsidR="0065749F" w:rsidRPr="004C22A6" w:rsidRDefault="0065749F" w:rsidP="00417804">
      <w:pPr>
        <w:pStyle w:val="NormalHanging12a"/>
        <w:widowControl/>
        <w:rPr>
          <w:b/>
          <w:i/>
        </w:rPr>
      </w:pPr>
      <w:r w:rsidRPr="004C22A6">
        <w:rPr>
          <w:b/>
          <w:i/>
        </w:rPr>
        <w:t>Περιβάλλον και βιωσιμότητα</w:t>
      </w:r>
    </w:p>
    <w:p w14:paraId="5F10C621" w14:textId="7833AF05" w:rsidR="0065749F" w:rsidRPr="004C22A6" w:rsidRDefault="004C22A6" w:rsidP="004C22A6">
      <w:pPr>
        <w:pStyle w:val="NormalHanging12a"/>
        <w:widowControl/>
      </w:pPr>
      <w:r w:rsidRPr="004C22A6">
        <w:t>77.</w:t>
      </w:r>
      <w:r w:rsidRPr="004C22A6">
        <w:tab/>
      </w:r>
      <w:r w:rsidR="0065749F" w:rsidRPr="004C22A6">
        <w:t>σημειώνει ότι, μετά από εξωτερικό έλεγχο που διενεργήθηκε το 2024, διατηρήθηκε η πιστοποίηση της Γραμματείας στο πλαίσιο του συστήματος οικολογικής διαχείρισης και οικολογικού ελέγχου (EMAS)·</w:t>
      </w:r>
    </w:p>
    <w:p w14:paraId="218DC42B" w14:textId="1D1CE2C0" w:rsidR="0065749F" w:rsidRPr="004C22A6" w:rsidRDefault="004C22A6" w:rsidP="004C22A6">
      <w:pPr>
        <w:pStyle w:val="NormalHanging12a"/>
        <w:widowControl/>
      </w:pPr>
      <w:r w:rsidRPr="004C22A6">
        <w:t>78.</w:t>
      </w:r>
      <w:r w:rsidRPr="004C22A6">
        <w:tab/>
      </w:r>
      <w:r w:rsidR="0065749F" w:rsidRPr="004C22A6">
        <w:t>σημειώνει ότι η Γραμματεία πέτυχε εξοικονόμηση ενέργειας το 2024 βελτιώνοντας την ενεργειακή απόδοση των τεχνικών υποδομών της, όπως τα συστήματα φωτισμού στα κτίρια όπου στεγάζεται· σημειώνει τη μείωση της κατανάλωσης ενέργειας της Γραμματείας κατά 24,40 % μεταξύ 2018 και 2024 και τη μείωση της κατανάλωσης νερού κατά 17 % μεταξύ 2023 και 2024· επικροτεί τις πρωτοβουλίες της Γραμματείας για περαιτέρω μείωση της κατανάλωσης χαρτιού·</w:t>
      </w:r>
    </w:p>
    <w:p w14:paraId="56AB79D7" w14:textId="4B948E1E" w:rsidR="0065749F" w:rsidRPr="004C22A6" w:rsidRDefault="004C22A6" w:rsidP="004C22A6">
      <w:pPr>
        <w:pStyle w:val="NormalHanging12a"/>
        <w:widowControl/>
      </w:pPr>
      <w:r w:rsidRPr="004C22A6">
        <w:t>79.</w:t>
      </w:r>
      <w:r w:rsidRPr="004C22A6">
        <w:tab/>
      </w:r>
      <w:r w:rsidR="0065749F" w:rsidRPr="004C22A6">
        <w:t>εκφράζει την ικανοποίησή του για τις βιώσιμες πρακτικές που έχει ενσωματώσει η Γραμματεία σε ορισμένες από τις δραστηριότητές της· σημειώνει, μεταξύ άλλων, ότι αρκετές διαδικασίες προμηθειών και συμβάσεις-πλαίσια περιλαμβάνουν κριτήρια για τη μείωση των αποβλήτων και την ανακύκλωση εξοπλισμού, ότι ζητείται η γνώμη του Πράσινου Γραφείου σχετικά με έργα προμηθειών υψηλής αξίας στη Γραμματεία, και ότι τα εστιατόριά της έλαβαν την πιστοποίηση «</w:t>
      </w:r>
      <w:proofErr w:type="spellStart"/>
      <w:r w:rsidR="0065749F" w:rsidRPr="004C22A6">
        <w:t>Good</w:t>
      </w:r>
      <w:proofErr w:type="spellEnd"/>
      <w:r w:rsidR="0065749F" w:rsidRPr="004C22A6">
        <w:t xml:space="preserve"> </w:t>
      </w:r>
      <w:proofErr w:type="spellStart"/>
      <w:r w:rsidR="0065749F" w:rsidRPr="004C22A6">
        <w:t>Food</w:t>
      </w:r>
      <w:proofErr w:type="spellEnd"/>
      <w:r w:rsidR="0065749F" w:rsidRPr="004C22A6">
        <w:t>» το 2024· εκφράζει την ικανοποίησή του για το γεγονός ότι η Γραμματεία αναθεώρησε τον οδηγό για τις αποστολές των μελών του προσωπικού το 2024, ο οποίος τέθηκε σε ισχύ το 2025 και καλύπτει νέα κίνητρα για τη μείωση του αποτυπώματος άνθρακα από τα ταξίδια των μελών του προσωπικού· σημειώνει με ικανοποίηση την αύξηση στα μέλη του προσωπικού που έρχονταν στην εργασία τους με βιώσιμα μέσα, όπως δημόσιες μεταφορές ή ποδήλατα, από 67 % το 2023 σε 78 % το 2024·</w:t>
      </w:r>
    </w:p>
    <w:p w14:paraId="0B6E0D3E" w14:textId="6B62E268" w:rsidR="0065749F" w:rsidRPr="004C22A6" w:rsidRDefault="004C22A6" w:rsidP="004C22A6">
      <w:pPr>
        <w:pStyle w:val="NormalHanging12a"/>
        <w:widowControl/>
      </w:pPr>
      <w:r w:rsidRPr="004C22A6">
        <w:t>80.</w:t>
      </w:r>
      <w:r w:rsidRPr="004C22A6">
        <w:tab/>
      </w:r>
      <w:r w:rsidR="0065749F" w:rsidRPr="004C22A6">
        <w:t>εκφράζει την ικανοποίησή του για το γεγονός ότι η Γραμματεία ανέπτυξε μια περιβαλλοντική στρατηγική που καθορίζει μια πορεία από το 2025 έως το 2030 για τη βελτίωση των περιβαλλοντικών επιδόσεων της Γραμματείας, και εφάρμοσε επικοινωνιακές δράσεις για την αύξηση της ευαισθητοποίησης των μελών του προσωπικού, των αντιπροσώπων και των επισκεπτών σχετικά με τις δράσεις που μπορούν να αναληφθούν σε σχέση με το περιβάλλον·</w:t>
      </w:r>
    </w:p>
    <w:p w14:paraId="17FEB8BA" w14:textId="68DC6D88" w:rsidR="0065749F" w:rsidRPr="004C22A6" w:rsidRDefault="004C22A6" w:rsidP="004C22A6">
      <w:pPr>
        <w:pStyle w:val="NormalHanging12a"/>
        <w:widowControl/>
      </w:pPr>
      <w:r w:rsidRPr="004C22A6">
        <w:t>81.</w:t>
      </w:r>
      <w:r w:rsidRPr="004C22A6">
        <w:tab/>
      </w:r>
      <w:r w:rsidR="0065749F" w:rsidRPr="004C22A6">
        <w:t xml:space="preserve">σημειώνει ότι η Γραμματεία αγόρασε πιο βιώσιμα οχήματα μεταφοράς, δηλαδή ένα ηλεκτρικό επιβατικό αυτοκίνητο και τρία υβριδικά </w:t>
      </w:r>
      <w:proofErr w:type="spellStart"/>
      <w:r w:rsidR="0065749F" w:rsidRPr="004C22A6">
        <w:t>μίνιβαν</w:t>
      </w:r>
      <w:proofErr w:type="spellEnd"/>
      <w:r w:rsidR="0065749F" w:rsidRPr="004C22A6">
        <w:t xml:space="preserve">· σημειώνει περαιτέρω ότι οι υποδομές και οι εγκαταστάσεις για ποδήλατα μπροστά από τα κτίρια </w:t>
      </w:r>
      <w:proofErr w:type="spellStart"/>
      <w:r w:rsidR="0065749F" w:rsidRPr="004C22A6">
        <w:t>Justus</w:t>
      </w:r>
      <w:proofErr w:type="spellEnd"/>
      <w:r w:rsidR="0065749F" w:rsidRPr="004C22A6">
        <w:t xml:space="preserve"> </w:t>
      </w:r>
      <w:proofErr w:type="spellStart"/>
      <w:r w:rsidR="0065749F" w:rsidRPr="004C22A6">
        <w:t>Lipsius</w:t>
      </w:r>
      <w:proofErr w:type="spellEnd"/>
      <w:r w:rsidR="0065749F" w:rsidRPr="004C22A6">
        <w:t xml:space="preserve"> έχουν βελτιωθεί·</w:t>
      </w:r>
    </w:p>
    <w:p w14:paraId="220169B3" w14:textId="77777777" w:rsidR="0065749F" w:rsidRPr="004C22A6" w:rsidRDefault="0065749F" w:rsidP="00417804">
      <w:pPr>
        <w:widowControl/>
        <w:spacing w:after="240"/>
        <w:ind w:left="567" w:hanging="567"/>
        <w:rPr>
          <w:b/>
          <w:i/>
          <w:iCs/>
        </w:rPr>
      </w:pPr>
      <w:r w:rsidRPr="004C22A6">
        <w:rPr>
          <w:b/>
          <w:i/>
        </w:rPr>
        <w:t>Διοργανική συνεργασία</w:t>
      </w:r>
    </w:p>
    <w:p w14:paraId="2B40BF5C" w14:textId="4A8B9B95" w:rsidR="0065749F" w:rsidRPr="004C22A6" w:rsidRDefault="004C22A6" w:rsidP="004C22A6">
      <w:pPr>
        <w:pStyle w:val="NormalHanging12a"/>
        <w:widowControl/>
      </w:pPr>
      <w:r w:rsidRPr="004C22A6">
        <w:t>82.</w:t>
      </w:r>
      <w:r w:rsidRPr="004C22A6">
        <w:tab/>
      </w:r>
      <w:r w:rsidR="0065749F" w:rsidRPr="004C22A6">
        <w:t>τονίζει ότι είναι αναγκαίο να αναθεωρηθεί το άρθρο 319 της ΣΛΕΕ προκειμένου να οριστεί ρητά ότι το Κοινοβούλιο, εκτός από τη χορήγηση απαλλαγής στην Επιτροπή, χορηγεί απαλλαγή και σε άλλα θεσμικά και λοιπά όργανα και οργανισμούς της Ένωσης όσον αφορά την εκτέλεση των τμημάτων του προϋπολογισμού που τους αντιστοιχούν ή του προϋπολογισμού τους, προκειμένου να διασφαλιστoύν η ασφάλεια δικαίου, η συνοχή και η ίση μεταχείριση των θεσμικών οργάνων της Ένωσης· καλεί το Συμβούλιο να λάβει συγκεκριμένα μέτρα σε εύθετο χρόνο για ξεπεράσει τη διοργανική διένεξη και να αρχίσει ξανά τις συνομιλίες με το Κοινοβούλιο προκειμένου να επιτευχθεί κοινή συμφωνία για την ομαλή επανέναρξη της διαδικασίας απαλλαγής σύμφωνα με τις Συνθήκες·</w:t>
      </w:r>
    </w:p>
    <w:p w14:paraId="6DFA0343" w14:textId="455E37B3" w:rsidR="0065749F" w:rsidRPr="004C22A6" w:rsidRDefault="004C22A6" w:rsidP="004C22A6">
      <w:pPr>
        <w:pStyle w:val="NormalHanging12a"/>
        <w:widowControl/>
      </w:pPr>
      <w:r w:rsidRPr="004C22A6">
        <w:t>83.</w:t>
      </w:r>
      <w:r w:rsidRPr="004C22A6">
        <w:tab/>
      </w:r>
      <w:r w:rsidR="0065749F" w:rsidRPr="004C22A6">
        <w:t>καλεί το Συμβούλιο να επανεκκινήσει τις διαπραγματεύσεις στο ανώτατο επίπεδο προκειμένου να επιλυθεί το επί μακρόν άλυτο πρόβλημα της απαλλαγής· ζητεί από την Επιτροπή και τη Νομική Υπηρεσία του Συμβουλίου να παράσχουν νομική γνωμοδότηση σχετικά με πιθανές λύσεις βάσει των Συνθηκών για την επιβολή της λογοδοσίας του Συμβουλίου στο πλαίσιο της διαδικασίας απαλλαγής·</w:t>
      </w:r>
    </w:p>
    <w:p w14:paraId="2B5C0F30" w14:textId="77777777" w:rsidR="0065749F" w:rsidRPr="004C22A6" w:rsidRDefault="0065749F" w:rsidP="00417804">
      <w:pPr>
        <w:pStyle w:val="NormalHanging12a"/>
        <w:widowControl/>
        <w:rPr>
          <w:b/>
          <w:i/>
          <w:iCs/>
        </w:rPr>
      </w:pPr>
      <w:r w:rsidRPr="004C22A6">
        <w:rPr>
          <w:b/>
          <w:i/>
        </w:rPr>
        <w:t>Επικοινωνία</w:t>
      </w:r>
    </w:p>
    <w:p w14:paraId="05BF6302" w14:textId="023EFC35" w:rsidR="0065749F" w:rsidRPr="004C22A6" w:rsidRDefault="004C22A6" w:rsidP="004C22A6">
      <w:pPr>
        <w:pStyle w:val="NormalHanging12a"/>
        <w:widowControl/>
      </w:pPr>
      <w:r w:rsidRPr="004C22A6">
        <w:t>84.</w:t>
      </w:r>
      <w:r w:rsidRPr="004C22A6">
        <w:tab/>
      </w:r>
      <w:r w:rsidR="0065749F" w:rsidRPr="004C22A6">
        <w:t>σημειώνει ότι, το 2024, ο συνολικός προϋπολογισμός για την επικοινωνία, λαμβανομένων υπόψη των μεταφορών που εκτελέστηκαν κατά τη διάρκεια του έτους, ήταν 12 518 610 EUR, δηλαδή 5,45 % υψηλότερος από τον προϋπολογισμό του 2023·</w:t>
      </w:r>
    </w:p>
    <w:p w14:paraId="1A45EA8B" w14:textId="247A4893" w:rsidR="0065749F" w:rsidRPr="004C22A6" w:rsidRDefault="004C22A6" w:rsidP="004C22A6">
      <w:pPr>
        <w:pStyle w:val="NormalHanging12a"/>
        <w:widowControl/>
      </w:pPr>
      <w:r w:rsidRPr="004C22A6">
        <w:t>85.</w:t>
      </w:r>
      <w:r w:rsidRPr="004C22A6">
        <w:tab/>
      </w:r>
      <w:r w:rsidR="0065749F" w:rsidRPr="004C22A6">
        <w:t xml:space="preserve">σημειώνει ότι, το 2024, η Γραμματεία παρείχε υπηρεσίες επικοινωνίας στον Πρόεδρο του Ευρωπαϊκού Συμβουλίου, στον Πρόεδρο της </w:t>
      </w:r>
      <w:proofErr w:type="spellStart"/>
      <w:r w:rsidR="0065749F" w:rsidRPr="004C22A6">
        <w:t>Ευρωομάδας</w:t>
      </w:r>
      <w:proofErr w:type="spellEnd"/>
      <w:r w:rsidR="0065749F" w:rsidRPr="004C22A6">
        <w:t>, στις εκ περιτροπής Προεδρίες (Βέλγιο και Ουγγαρία), στον Αντιπρόεδρο της Ευρωπαϊκής Επιτροπής / Ύπατο Εκπρόσωπο της Ένωσης για Θέματα Εξωτερικής Πολιτικής και Πολιτικής Ασφαλείας, στα κράτη μέλη και στη Γραμματεία· σημειώνει ότι, το 2024, η Γραμματεία εξασφάλισε συνεχείς σχέσεις με τα μέσα ενημέρωσης, υποστήριξη διαδικτυακής παρουσίας και προβολής στα μέσα κοινωνικής δικτύωσης καθ’ όλη τη διάρκεια της εναλλαγής των αξιωματούχων, οργανωμένη οπτικοακουστική κάλυψη και μετάδοση σε συνεχή ροή βασικών διεθνών αλληλεπιδράσεων, ενώ επίσης διατήρησε υψηλής ποιότητας επιχειρησιακή υποστήριξη, συμπεριλαμβανομένης της ζωντανής μετάδοσης εκδηλώσεων, των υπηρεσιών Τύπου και της προβολής της επωνυμίας της σε συνόδους κορυφής και συνεδριάσεις·</w:t>
      </w:r>
    </w:p>
    <w:p w14:paraId="07438D6C" w14:textId="57E9193E" w:rsidR="0065749F" w:rsidRPr="004C22A6" w:rsidRDefault="004C22A6" w:rsidP="004C22A6">
      <w:pPr>
        <w:pStyle w:val="NormalHanging12a"/>
        <w:widowControl/>
      </w:pPr>
      <w:r w:rsidRPr="004C22A6">
        <w:t>86.</w:t>
      </w:r>
      <w:r w:rsidRPr="004C22A6">
        <w:tab/>
      </w:r>
      <w:r w:rsidR="0065749F" w:rsidRPr="004C22A6">
        <w:t>σημειώνει ότι, σύμφωνα με διαδικτυακή έρευνα που πραγματοποιήθηκε το τελευταίο τρίμηνο του 2024, το 68,30 % των χρηστών (από 67 % το 2023) ήταν ικανοποιημένοι από τη συνολική εμπειρία τους με τον ιστότοπο του Συμβουλίου, ο οποίος δέχθηκε πάνω από 26 εκατομμύρια επισκέψεις το 2024 (αύξηση κατά +7 % σε σύγκριση με το 2023), και 71 400 συνδρομητές, σε σύγκριση με 57 900 το 2023.</w:t>
      </w:r>
    </w:p>
    <w:p w14:paraId="2D7FCA91" w14:textId="5B293BD4" w:rsidR="00571F3A" w:rsidRPr="004C22A6" w:rsidRDefault="004C22A6" w:rsidP="004C22A6">
      <w:pPr>
        <w:widowControl/>
        <w:spacing w:after="240"/>
        <w:ind w:left="567" w:hanging="567"/>
      </w:pPr>
      <w:r w:rsidRPr="004C22A6">
        <w:t>87.</w:t>
      </w:r>
      <w:r w:rsidRPr="004C22A6">
        <w:tab/>
      </w:r>
      <w:r w:rsidR="0065749F" w:rsidRPr="004C22A6">
        <w:t>σημειώνει ότι η Γενική Διεύθυνση Επικοινωνίας (ΓΔ COMM) πραγματοποίησε εκτεταμένες δραστηριότητες αλληλεπίδρασης με τον Τύπο και τα μέσα ενημέρωσης καθ’ όλη τη διάρκεια του 2024, που περιλάμβαναν 76 ενημερώσεις Τύπου, 771 δελτία Τύπου, 84 συνεντεύξεις Τύπου και ολοκληρωμένη υποστήριξη για τη διαπίστευση και την κάλυψη από τα μέσα ενημέρωσης· σημειώνει περαιτέρω ότι το κέντρο Τύπου και ο ιστότοπος του Συμβουλίου χρησιμοποιήθηκαν ευρέως, με το τμήμα Τύπου του ιστοτόπου του Συμβουλίου να προσελκύει πάνω από 6,4 εκατομμύρια επισκέψεις και σχεδόν 2 εκατομμύρια επισκέψεις σε σελίδες συνεδριάσεων, γεγονός που καταδεικνύει το διαρκές ενδιαφέρον του κοινού και των μέσων ενημέρωσης για τη διαδικασία λήψης αποφάσεων του Συμβουλίου·</w:t>
      </w:r>
    </w:p>
    <w:p w14:paraId="34D89877" w14:textId="6D6DE241" w:rsidR="00E365E1" w:rsidRPr="004C22A6" w:rsidRDefault="004C22A6" w:rsidP="004C22A6">
      <w:pPr>
        <w:widowControl/>
        <w:spacing w:after="240"/>
        <w:ind w:left="567" w:hanging="567"/>
      </w:pPr>
      <w:r w:rsidRPr="004C22A6">
        <w:t>88.</w:t>
      </w:r>
      <w:r w:rsidRPr="004C22A6">
        <w:tab/>
      </w:r>
      <w:r w:rsidR="0065749F" w:rsidRPr="004C22A6">
        <w:t>σημειώνει ότι, το 2024, οι ψηφιακές ομάδες της Γραμματείας, σε στενή συνεργασία με τις Προεδρίες, παρακολούθησαν και αναβάθμισαν τους ιστοτόπους της βελγικής και της ουγγρικής Προεδρίας, καταγράφοντας περίπου 407 000 επισκέψεις και 1,2 εκατομμύρια προβολές σελίδων συνολικά, και πραγματοποίησαν συνεχείς βελτιώσεις στον κύριο ιστότοπο του Συμβουλίου με 19 δέσμες αναβαθμίσεων με γνώμονα τον χρήστη· σημειώνει περαιτέρω την εφαρμογή δυνατοτήτων αυτόματης μετάφρασης και αναβαθμίσεων προσβασιμότητας, παράλληλα με τη διενέργεια εκτενούς έρευνας μεταξύ των χρηστών για τη βελτίωση της σαφήνειας και της πλοηγησιμότητας του επιγραμμικού περιεχομένου σε όλες τις επίσημες γλώσσες της Ένωσης, ώστε να ενισχυθεί η ψηφιακή εμβέλεια και η αλληλεπίδραση του Συμβουλίου με τους ενδιαφερόμενους φορείς και τους πολίτες.</w:t>
      </w:r>
    </w:p>
    <w:sectPr w:rsidR="00E365E1" w:rsidRPr="004C22A6" w:rsidSect="00B465ED">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1F696" w14:textId="77777777" w:rsidR="007534EC" w:rsidRPr="00B465ED" w:rsidRDefault="007534EC">
      <w:r w:rsidRPr="00B465ED">
        <w:separator/>
      </w:r>
    </w:p>
  </w:endnote>
  <w:endnote w:type="continuationSeparator" w:id="0">
    <w:p w14:paraId="443D5170" w14:textId="77777777" w:rsidR="007534EC" w:rsidRPr="00B465ED" w:rsidRDefault="007534EC">
      <w:r w:rsidRPr="00B465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ource Sans Pro">
    <w:charset w:val="00"/>
    <w:family w:val="swiss"/>
    <w:pitch w:val="variable"/>
    <w:sig w:usb0="600002F7" w:usb1="02000001"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47C8D" w14:textId="77777777" w:rsidR="0065749F" w:rsidRPr="00B465ED" w:rsidRDefault="0065749F" w:rsidP="00386064">
    <w:pPr>
      <w:pStyle w:val="EPFooter"/>
    </w:pPr>
    <w:r w:rsidRPr="00B465ED">
      <w:t>PE</w:t>
    </w:r>
    <w:r w:rsidRPr="00B465ED">
      <w:rPr>
        <w:rStyle w:val="HideTWBExt"/>
      </w:rPr>
      <w:t>&lt;NoPE&gt;</w:t>
    </w:r>
    <w:r w:rsidRPr="00B465ED">
      <w:t>778.049</w:t>
    </w:r>
    <w:r w:rsidRPr="00B465ED">
      <w:rPr>
        <w:rStyle w:val="HideTWBExt"/>
      </w:rPr>
      <w:t>&lt;/NoPE&gt;&lt;Version&gt;</w:t>
    </w:r>
    <w:r w:rsidRPr="00B465ED">
      <w:t>v03-00</w:t>
    </w:r>
    <w:r w:rsidRPr="00B465ED">
      <w:rPr>
        <w:rStyle w:val="HideTWBExt"/>
      </w:rPr>
      <w:t>&lt;/Version&gt;</w:t>
    </w:r>
    <w:r w:rsidRPr="00B465ED">
      <w:tab/>
    </w:r>
    <w:r w:rsidRPr="00B465ED">
      <w:fldChar w:fldCharType="begin"/>
    </w:r>
    <w:r w:rsidRPr="00B465ED">
      <w:instrText xml:space="preserve"> PAGE  \* MERGEFORMAT </w:instrText>
    </w:r>
    <w:r w:rsidRPr="00B465ED">
      <w:fldChar w:fldCharType="separate"/>
    </w:r>
    <w:r w:rsidRPr="00B465ED">
      <w:rPr>
        <w:noProof/>
      </w:rPr>
      <w:t>28</w:t>
    </w:r>
    <w:r w:rsidRPr="00B465ED">
      <w:fldChar w:fldCharType="end"/>
    </w:r>
    <w:r w:rsidRPr="00B465ED">
      <w:t>/</w:t>
    </w:r>
    <w:fldSimple w:instr=" NUMPAGES  \* MERGEFORMAT ">
      <w:r w:rsidRPr="00B465ED">
        <w:rPr>
          <w:noProof/>
        </w:rPr>
        <w:t>29</w:t>
      </w:r>
    </w:fldSimple>
    <w:r w:rsidRPr="00B465ED">
      <w:tab/>
    </w:r>
    <w:r w:rsidRPr="00B465ED">
      <w:rPr>
        <w:rStyle w:val="HideTWBExt"/>
      </w:rPr>
      <w:t>&lt;PathFdR&gt;</w:t>
    </w:r>
    <w:r w:rsidRPr="00B465ED">
      <w:t>RR\1340408EL.docx</w:t>
    </w:r>
    <w:r w:rsidRPr="00B465ED">
      <w:rPr>
        <w:rStyle w:val="HideTWBExt"/>
      </w:rPr>
      <w:t>&lt;/PathFdR&gt;</w:t>
    </w:r>
  </w:p>
  <w:p w14:paraId="1EDB13E0" w14:textId="77777777" w:rsidR="0065749F" w:rsidRPr="00B465ED" w:rsidRDefault="0065749F" w:rsidP="00386064">
    <w:pPr>
      <w:pStyle w:val="EPFooter2"/>
    </w:pPr>
    <w:r w:rsidRPr="00B465ED">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F3000" w14:textId="77777777" w:rsidR="0065749F" w:rsidRPr="00B465ED" w:rsidRDefault="0065749F" w:rsidP="00386064">
    <w:pPr>
      <w:pStyle w:val="EPFooter"/>
    </w:pPr>
    <w:r w:rsidRPr="00B465ED">
      <w:rPr>
        <w:rStyle w:val="HideTWBExt"/>
      </w:rPr>
      <w:t>&lt;PathFdR&gt;</w:t>
    </w:r>
    <w:r w:rsidRPr="00B465ED">
      <w:t>RR\1340408EL.docx</w:t>
    </w:r>
    <w:r w:rsidRPr="00B465ED">
      <w:rPr>
        <w:rStyle w:val="HideTWBExt"/>
      </w:rPr>
      <w:t>&lt;/PathFdR&gt;</w:t>
    </w:r>
    <w:r w:rsidRPr="00B465ED">
      <w:tab/>
    </w:r>
    <w:r w:rsidRPr="00B465ED">
      <w:tab/>
      <w:t>PE</w:t>
    </w:r>
    <w:r w:rsidRPr="00B465ED">
      <w:rPr>
        <w:rStyle w:val="HideTWBExt"/>
      </w:rPr>
      <w:t>&lt;NoPE&gt;</w:t>
    </w:r>
    <w:r w:rsidRPr="00B465ED">
      <w:t>778.049</w:t>
    </w:r>
    <w:r w:rsidRPr="00B465ED">
      <w:rPr>
        <w:rStyle w:val="HideTWBExt"/>
      </w:rPr>
      <w:t>&lt;/NoPE&gt;&lt;Version&gt;</w:t>
    </w:r>
    <w:r w:rsidRPr="00B465ED">
      <w:t>v03-00</w:t>
    </w:r>
    <w:r w:rsidRPr="00B465ED">
      <w:rPr>
        <w:rStyle w:val="HideTWBExt"/>
      </w:rPr>
      <w:t>&lt;/Version&gt;</w:t>
    </w:r>
  </w:p>
  <w:p w14:paraId="42E16EA1" w14:textId="77777777" w:rsidR="0065749F" w:rsidRPr="00B465ED" w:rsidRDefault="0065749F" w:rsidP="00386064">
    <w:pPr>
      <w:pStyle w:val="EPFooter2"/>
    </w:pPr>
    <w:r w:rsidRPr="00B465ED">
      <w:t>EL</w:t>
    </w:r>
    <w:r w:rsidRPr="00B465ED">
      <w:tab/>
    </w:r>
    <w:r w:rsidRPr="00B465ED">
      <w:rPr>
        <w:b w:val="0"/>
        <w:i/>
        <w:color w:val="C0C0C0"/>
        <w:sz w:val="22"/>
      </w:rPr>
      <w:t>Ενωμένη στην πολυμορφία</w:t>
    </w:r>
    <w:r w:rsidRPr="00B465ED">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2805B" w14:textId="77777777" w:rsidR="00064002" w:rsidRPr="00B465ED"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7113C" w14:textId="77777777" w:rsidR="00064002" w:rsidRPr="00B465ED"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3B959" w14:textId="77777777" w:rsidR="00064002" w:rsidRPr="00B465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E8382" w14:textId="77777777" w:rsidR="007534EC" w:rsidRPr="00B465ED" w:rsidRDefault="007534EC">
      <w:r w:rsidRPr="00B465ED">
        <w:separator/>
      </w:r>
    </w:p>
  </w:footnote>
  <w:footnote w:type="continuationSeparator" w:id="0">
    <w:p w14:paraId="2820CA04" w14:textId="77777777" w:rsidR="007534EC" w:rsidRPr="00B465ED" w:rsidRDefault="007534EC">
      <w:r w:rsidRPr="00B465ED">
        <w:continuationSeparator/>
      </w:r>
    </w:p>
  </w:footnote>
  <w:footnote w:id="1">
    <w:p w14:paraId="3A3ADECB" w14:textId="3FDC8113" w:rsidR="0065749F" w:rsidRPr="00207A09" w:rsidRDefault="0065749F" w:rsidP="00571F3A">
      <w:pPr>
        <w:pStyle w:val="FootnoteText"/>
        <w:spacing w:line="240" w:lineRule="auto"/>
        <w:ind w:left="567" w:hanging="567"/>
        <w:rPr>
          <w:sz w:val="24"/>
          <w:lang w:val="fi-FI"/>
        </w:rPr>
      </w:pPr>
      <w:r w:rsidRPr="00B465ED">
        <w:rPr>
          <w:rStyle w:val="FootnoteReference"/>
          <w:sz w:val="24"/>
          <w:lang w:val="el-GR"/>
        </w:rPr>
        <w:footnoteRef/>
      </w:r>
      <w:r w:rsidR="00B465ED" w:rsidRPr="00207A09">
        <w:rPr>
          <w:sz w:val="24"/>
          <w:lang w:val="fi-FI"/>
        </w:rPr>
        <w:t xml:space="preserve"> </w:t>
      </w:r>
      <w:r w:rsidR="00B465ED" w:rsidRPr="00207A09">
        <w:rPr>
          <w:sz w:val="24"/>
          <w:lang w:val="fi-FI"/>
        </w:rPr>
        <w:tab/>
      </w:r>
      <w:r w:rsidRPr="00B465ED">
        <w:rPr>
          <w:sz w:val="24"/>
          <w:lang w:val="el-GR"/>
        </w:rPr>
        <w:t>ΕΕ</w:t>
      </w:r>
      <w:r w:rsidRPr="00207A09">
        <w:rPr>
          <w:sz w:val="24"/>
          <w:lang w:val="fi-FI"/>
        </w:rPr>
        <w:t xml:space="preserve"> </w:t>
      </w:r>
      <w:r w:rsidRPr="00571F3A">
        <w:rPr>
          <w:sz w:val="24"/>
          <w:lang w:val="fi-FI"/>
        </w:rPr>
        <w:t>L</w:t>
      </w:r>
      <w:r w:rsidR="00207A09">
        <w:rPr>
          <w:sz w:val="24"/>
          <w:lang w:val="fi-FI"/>
        </w:rPr>
        <w:t>,</w:t>
      </w:r>
      <w:r w:rsidRPr="00207A09">
        <w:rPr>
          <w:sz w:val="24"/>
          <w:lang w:val="fi-FI"/>
        </w:rPr>
        <w:t xml:space="preserve"> </w:t>
      </w:r>
      <w:r w:rsidR="00207A09">
        <w:rPr>
          <w:sz w:val="24"/>
          <w:lang w:val="fi-FI"/>
        </w:rPr>
        <w:t>2024/</w:t>
      </w:r>
      <w:r w:rsidRPr="00207A09">
        <w:rPr>
          <w:sz w:val="24"/>
          <w:lang w:val="fi-FI"/>
        </w:rPr>
        <w:t xml:space="preserve">207, 22.2.2024, </w:t>
      </w:r>
      <w:r w:rsidRPr="00571F3A">
        <w:rPr>
          <w:sz w:val="24"/>
          <w:lang w:val="fi-FI"/>
        </w:rPr>
        <w:t>ELI</w:t>
      </w:r>
      <w:r w:rsidRPr="00207A09">
        <w:rPr>
          <w:sz w:val="24"/>
          <w:lang w:val="fi-FI"/>
        </w:rPr>
        <w:t xml:space="preserve">: </w:t>
      </w:r>
      <w:hyperlink r:id="rId1" w:history="1">
        <w:r w:rsidRPr="00571F3A">
          <w:rPr>
            <w:rStyle w:val="Hyperlink"/>
            <w:sz w:val="24"/>
            <w:lang w:val="fi-FI"/>
          </w:rPr>
          <w:t>http</w:t>
        </w:r>
        <w:r w:rsidRPr="00207A09">
          <w:rPr>
            <w:rStyle w:val="Hyperlink"/>
            <w:sz w:val="24"/>
            <w:lang w:val="fi-FI"/>
          </w:rPr>
          <w:t>://</w:t>
        </w:r>
        <w:r w:rsidRPr="00571F3A">
          <w:rPr>
            <w:rStyle w:val="Hyperlink"/>
            <w:sz w:val="24"/>
            <w:lang w:val="fi-FI"/>
          </w:rPr>
          <w:t>data</w:t>
        </w:r>
        <w:r w:rsidRPr="00207A09">
          <w:rPr>
            <w:rStyle w:val="Hyperlink"/>
            <w:sz w:val="24"/>
            <w:lang w:val="fi-FI"/>
          </w:rPr>
          <w:t>.</w:t>
        </w:r>
        <w:r w:rsidRPr="00571F3A">
          <w:rPr>
            <w:rStyle w:val="Hyperlink"/>
            <w:sz w:val="24"/>
            <w:lang w:val="fi-FI"/>
          </w:rPr>
          <w:t>europa</w:t>
        </w:r>
        <w:r w:rsidRPr="00207A09">
          <w:rPr>
            <w:rStyle w:val="Hyperlink"/>
            <w:sz w:val="24"/>
            <w:lang w:val="fi-FI"/>
          </w:rPr>
          <w:t>.</w:t>
        </w:r>
        <w:r w:rsidRPr="00571F3A">
          <w:rPr>
            <w:rStyle w:val="Hyperlink"/>
            <w:sz w:val="24"/>
            <w:lang w:val="fi-FI"/>
          </w:rPr>
          <w:t>eu</w:t>
        </w:r>
        <w:r w:rsidRPr="00207A09">
          <w:rPr>
            <w:rStyle w:val="Hyperlink"/>
            <w:sz w:val="24"/>
            <w:lang w:val="fi-FI"/>
          </w:rPr>
          <w:t>/</w:t>
        </w:r>
        <w:r w:rsidRPr="00571F3A">
          <w:rPr>
            <w:rStyle w:val="Hyperlink"/>
            <w:sz w:val="24"/>
            <w:lang w:val="fi-FI"/>
          </w:rPr>
          <w:t>eli</w:t>
        </w:r>
        <w:r w:rsidRPr="00207A09">
          <w:rPr>
            <w:rStyle w:val="Hyperlink"/>
            <w:sz w:val="24"/>
            <w:lang w:val="fi-FI"/>
          </w:rPr>
          <w:t>/</w:t>
        </w:r>
        <w:r w:rsidRPr="00571F3A">
          <w:rPr>
            <w:rStyle w:val="Hyperlink"/>
            <w:sz w:val="24"/>
            <w:lang w:val="fi-FI"/>
          </w:rPr>
          <w:t>budget</w:t>
        </w:r>
        <w:r w:rsidRPr="00207A09">
          <w:rPr>
            <w:rStyle w:val="Hyperlink"/>
            <w:sz w:val="24"/>
            <w:lang w:val="fi-FI"/>
          </w:rPr>
          <w:t>/2024/207/</w:t>
        </w:r>
        <w:r w:rsidRPr="00571F3A">
          <w:rPr>
            <w:rStyle w:val="Hyperlink"/>
            <w:sz w:val="24"/>
            <w:lang w:val="fi-FI"/>
          </w:rPr>
          <w:t>oj</w:t>
        </w:r>
      </w:hyperlink>
      <w:r w:rsidRPr="00207A09">
        <w:rPr>
          <w:sz w:val="24"/>
          <w:lang w:val="fi-FI"/>
        </w:rPr>
        <w:t>.</w:t>
      </w:r>
    </w:p>
  </w:footnote>
  <w:footnote w:id="2">
    <w:p w14:paraId="7F81D4F4" w14:textId="0A7198E2" w:rsidR="0065749F" w:rsidRPr="00B465ED" w:rsidRDefault="0065749F" w:rsidP="00571F3A">
      <w:pPr>
        <w:pStyle w:val="FootnoteText"/>
        <w:spacing w:line="240" w:lineRule="auto"/>
        <w:ind w:left="567" w:hanging="567"/>
        <w:rPr>
          <w:sz w:val="24"/>
          <w:lang w:val="el-GR"/>
        </w:rPr>
      </w:pPr>
      <w:r w:rsidRPr="00B465ED">
        <w:rPr>
          <w:rStyle w:val="FootnoteReference"/>
          <w:sz w:val="24"/>
          <w:lang w:val="el-GR"/>
        </w:rPr>
        <w:footnoteRef/>
      </w:r>
      <w:r w:rsidR="00B465ED" w:rsidRPr="00B465ED">
        <w:rPr>
          <w:sz w:val="24"/>
          <w:lang w:val="el-GR"/>
        </w:rPr>
        <w:t xml:space="preserve"> </w:t>
      </w:r>
      <w:r w:rsidR="00B465ED" w:rsidRPr="00B465ED">
        <w:rPr>
          <w:sz w:val="24"/>
          <w:lang w:val="el-GR"/>
        </w:rPr>
        <w:tab/>
      </w:r>
      <w:r w:rsidRPr="00B465ED">
        <w:rPr>
          <w:sz w:val="24"/>
          <w:lang w:val="el-GR"/>
        </w:rPr>
        <w:t>ΕΕ C, C/2025/4944, 13.10.2025, ELI: </w:t>
      </w:r>
      <w:hyperlink r:id="rId2" w:tgtFrame="_blank" w:tooltip="Πρόσβαση στο έγγραφο μέσω URI τύπου ELI." w:history="1">
        <w:r w:rsidRPr="00B465ED">
          <w:rPr>
            <w:rStyle w:val="Hyperlink"/>
            <w:sz w:val="24"/>
            <w:lang w:val="el-GR"/>
          </w:rPr>
          <w:t>http://data.europa.eu/eli/C/2025/4944/oj</w:t>
        </w:r>
      </w:hyperlink>
      <w:r w:rsidRPr="00B465ED">
        <w:rPr>
          <w:sz w:val="24"/>
          <w:lang w:val="el-GR"/>
        </w:rPr>
        <w:t>.</w:t>
      </w:r>
    </w:p>
  </w:footnote>
  <w:footnote w:id="3">
    <w:p w14:paraId="32D39239" w14:textId="76139856" w:rsidR="0065749F" w:rsidRPr="00571F3A" w:rsidRDefault="0065749F" w:rsidP="00571F3A">
      <w:pPr>
        <w:pStyle w:val="FootnoteText"/>
        <w:spacing w:line="240" w:lineRule="auto"/>
        <w:ind w:left="567" w:hanging="567"/>
        <w:rPr>
          <w:sz w:val="24"/>
          <w:lang w:val="fi-FI"/>
        </w:rPr>
      </w:pPr>
      <w:r w:rsidRPr="00B465ED">
        <w:rPr>
          <w:rStyle w:val="FootnoteReference"/>
          <w:sz w:val="24"/>
          <w:lang w:val="el-GR"/>
        </w:rPr>
        <w:footnoteRef/>
      </w:r>
      <w:r w:rsidR="00B465ED" w:rsidRPr="00571F3A">
        <w:rPr>
          <w:sz w:val="24"/>
          <w:lang w:val="fi-FI"/>
        </w:rPr>
        <w:t xml:space="preserve"> </w:t>
      </w:r>
      <w:r w:rsidR="00B465ED" w:rsidRPr="00571F3A">
        <w:rPr>
          <w:sz w:val="24"/>
          <w:lang w:val="fi-FI"/>
        </w:rPr>
        <w:tab/>
      </w:r>
      <w:r w:rsidRPr="00B465ED">
        <w:rPr>
          <w:sz w:val="24"/>
          <w:lang w:val="el-GR"/>
        </w:rPr>
        <w:t>ΕΕ</w:t>
      </w:r>
      <w:r w:rsidRPr="00571F3A">
        <w:rPr>
          <w:sz w:val="24"/>
          <w:lang w:val="fi-FI"/>
        </w:rPr>
        <w:t xml:space="preserve"> C, C/2025/5409, 8.10.2025, ELI: </w:t>
      </w:r>
      <w:hyperlink r:id="rId3" w:history="1">
        <w:r w:rsidRPr="00571F3A">
          <w:rPr>
            <w:rStyle w:val="Hyperlink"/>
            <w:sz w:val="24"/>
            <w:lang w:val="fi-FI"/>
          </w:rPr>
          <w:t>http://data.europa.eu/eli/C/2025/5409/oj</w:t>
        </w:r>
      </w:hyperlink>
      <w:r w:rsidRPr="00571F3A">
        <w:rPr>
          <w:sz w:val="24"/>
          <w:lang w:val="fi-FI"/>
        </w:rPr>
        <w:t>.</w:t>
      </w:r>
    </w:p>
  </w:footnote>
  <w:footnote w:id="4">
    <w:p w14:paraId="799D58AA" w14:textId="76385992" w:rsidR="0065749F" w:rsidRPr="00571F3A" w:rsidRDefault="0065749F" w:rsidP="00571F3A">
      <w:pPr>
        <w:pStyle w:val="FootnoteText"/>
        <w:spacing w:line="240" w:lineRule="auto"/>
        <w:ind w:left="567" w:hanging="567"/>
        <w:rPr>
          <w:sz w:val="24"/>
          <w:lang w:val="fi-FI"/>
        </w:rPr>
      </w:pPr>
      <w:r w:rsidRPr="00B465ED">
        <w:rPr>
          <w:rStyle w:val="FootnoteReference"/>
          <w:sz w:val="24"/>
          <w:lang w:val="el-GR"/>
        </w:rPr>
        <w:footnoteRef/>
      </w:r>
      <w:r w:rsidR="00B465ED" w:rsidRPr="00571F3A">
        <w:rPr>
          <w:sz w:val="24"/>
          <w:lang w:val="fi-FI"/>
        </w:rPr>
        <w:t xml:space="preserve"> </w:t>
      </w:r>
      <w:r w:rsidR="00B465ED" w:rsidRPr="00571F3A">
        <w:rPr>
          <w:sz w:val="24"/>
          <w:lang w:val="fi-FI"/>
        </w:rPr>
        <w:tab/>
      </w:r>
      <w:r w:rsidRPr="00B465ED">
        <w:rPr>
          <w:sz w:val="24"/>
          <w:lang w:val="el-GR"/>
        </w:rPr>
        <w:t>ΕΕ</w:t>
      </w:r>
      <w:r w:rsidRPr="00571F3A">
        <w:rPr>
          <w:sz w:val="24"/>
          <w:lang w:val="fi-FI"/>
        </w:rPr>
        <w:t xml:space="preserve"> C, C/2025/5407, 13.10.2025, ELI: </w:t>
      </w:r>
      <w:hyperlink r:id="rId4" w:history="1">
        <w:r w:rsidRPr="00571F3A">
          <w:rPr>
            <w:rStyle w:val="Hyperlink"/>
            <w:sz w:val="24"/>
            <w:lang w:val="fi-FI"/>
          </w:rPr>
          <w:t>http://data.europa.eu/eli/C/2025/5407/oj</w:t>
        </w:r>
      </w:hyperlink>
      <w:r w:rsidRPr="00571F3A">
        <w:rPr>
          <w:sz w:val="24"/>
          <w:lang w:val="fi-FI"/>
        </w:rPr>
        <w:t>.</w:t>
      </w:r>
    </w:p>
  </w:footnote>
  <w:footnote w:id="5">
    <w:p w14:paraId="245F684C" w14:textId="500B7375" w:rsidR="0065749F" w:rsidRPr="00B465ED" w:rsidRDefault="0065749F" w:rsidP="00571F3A">
      <w:pPr>
        <w:pStyle w:val="FootnoteText"/>
        <w:spacing w:line="240" w:lineRule="auto"/>
        <w:ind w:left="567" w:hanging="567"/>
        <w:rPr>
          <w:sz w:val="24"/>
          <w:lang w:val="el-GR"/>
        </w:rPr>
      </w:pPr>
      <w:r w:rsidRPr="00B465ED">
        <w:rPr>
          <w:rStyle w:val="FootnoteReference"/>
          <w:sz w:val="24"/>
          <w:lang w:val="el-GR"/>
        </w:rPr>
        <w:footnoteRef/>
      </w:r>
      <w:r w:rsidR="00B465ED" w:rsidRPr="00B465ED">
        <w:rPr>
          <w:sz w:val="24"/>
          <w:lang w:val="el-GR"/>
        </w:rPr>
        <w:t xml:space="preserve"> </w:t>
      </w:r>
      <w:r w:rsidR="00B465ED" w:rsidRPr="00B465ED">
        <w:rPr>
          <w:sz w:val="24"/>
          <w:lang w:val="el-GR"/>
        </w:rPr>
        <w:tab/>
      </w:r>
      <w:r w:rsidRPr="00B465ED">
        <w:rPr>
          <w:sz w:val="24"/>
          <w:lang w:val="el-GR"/>
        </w:rPr>
        <w:t xml:space="preserve">ΕΕ L 193 της 30.7.2018, σ. </w:t>
      </w:r>
      <w:r w:rsidRPr="00B465ED">
        <w:rPr>
          <w:sz w:val="24"/>
          <w:lang w:val="el-GR"/>
        </w:rPr>
        <w:t xml:space="preserve">1, ELI: </w:t>
      </w:r>
      <w:hyperlink r:id="rId5" w:history="1">
        <w:r w:rsidRPr="00B465ED">
          <w:rPr>
            <w:rStyle w:val="Hyperlink"/>
            <w:sz w:val="24"/>
            <w:lang w:val="el-GR"/>
          </w:rPr>
          <w:t>http://data.europa.eu/eli/reg/2018/1046/oj</w:t>
        </w:r>
      </w:hyperlink>
      <w:r w:rsidRPr="00B465ED">
        <w:rPr>
          <w:sz w:val="24"/>
          <w:lang w:val="el-GR"/>
        </w:rPr>
        <w:t>.</w:t>
      </w:r>
    </w:p>
  </w:footnote>
  <w:footnote w:id="6">
    <w:p w14:paraId="7B30ECDE" w14:textId="7BC4A97F" w:rsidR="0065749F" w:rsidRPr="00571F3A" w:rsidRDefault="0065749F" w:rsidP="00571F3A">
      <w:pPr>
        <w:pStyle w:val="FootnoteText"/>
        <w:spacing w:line="240" w:lineRule="auto"/>
        <w:ind w:left="567" w:hanging="567"/>
        <w:rPr>
          <w:sz w:val="24"/>
          <w:szCs w:val="24"/>
          <w:lang w:val="fi-FI"/>
        </w:rPr>
      </w:pPr>
      <w:r w:rsidRPr="00B465ED">
        <w:rPr>
          <w:rStyle w:val="FootnoteReference"/>
          <w:sz w:val="24"/>
          <w:lang w:val="el-GR"/>
        </w:rPr>
        <w:footnoteRef/>
      </w:r>
      <w:r w:rsidR="00B465ED" w:rsidRPr="00571F3A">
        <w:rPr>
          <w:sz w:val="24"/>
          <w:lang w:val="fi-FI"/>
        </w:rPr>
        <w:t xml:space="preserve"> </w:t>
      </w:r>
      <w:r w:rsidR="00B465ED" w:rsidRPr="00571F3A">
        <w:rPr>
          <w:sz w:val="24"/>
          <w:lang w:val="fi-FI"/>
        </w:rPr>
        <w:tab/>
      </w:r>
      <w:r w:rsidRPr="00B465ED">
        <w:rPr>
          <w:sz w:val="24"/>
          <w:lang w:val="el-GR"/>
        </w:rPr>
        <w:t>ΕΕ</w:t>
      </w:r>
      <w:r w:rsidRPr="00571F3A">
        <w:rPr>
          <w:sz w:val="24"/>
          <w:lang w:val="fi-FI"/>
        </w:rPr>
        <w:t xml:space="preserve"> L, 2024/2509, 26.9.2024, ELI: </w:t>
      </w:r>
      <w:hyperlink r:id="rId6" w:history="1">
        <w:r w:rsidRPr="00571F3A">
          <w:rPr>
            <w:rStyle w:val="Hyperlink"/>
            <w:sz w:val="24"/>
            <w:lang w:val="fi-FI"/>
          </w:rPr>
          <w:t>http://data.europa.eu/eli/reg/2024/2509/oj</w:t>
        </w:r>
      </w:hyperlink>
      <w:r w:rsidRPr="00571F3A">
        <w:rPr>
          <w:sz w:val="24"/>
          <w:lang w:val="fi-FI"/>
        </w:rPr>
        <w:t>.</w:t>
      </w:r>
    </w:p>
  </w:footnote>
  <w:footnote w:id="7">
    <w:p w14:paraId="1EFC08DF" w14:textId="7A12AC89" w:rsidR="0065749F" w:rsidRPr="00B465ED" w:rsidRDefault="0065749F" w:rsidP="00571F3A">
      <w:pPr>
        <w:pStyle w:val="FootnoteText"/>
        <w:spacing w:line="240" w:lineRule="auto"/>
        <w:ind w:left="567" w:hanging="567"/>
        <w:rPr>
          <w:sz w:val="24"/>
          <w:lang w:val="el-GR"/>
        </w:rPr>
      </w:pPr>
      <w:r w:rsidRPr="00B465ED">
        <w:rPr>
          <w:rStyle w:val="FootnoteReference"/>
          <w:sz w:val="24"/>
          <w:szCs w:val="24"/>
          <w:lang w:val="el-GR"/>
        </w:rPr>
        <w:footnoteRef/>
      </w:r>
      <w:r w:rsidR="00B465ED" w:rsidRPr="00B465ED">
        <w:rPr>
          <w:sz w:val="24"/>
          <w:lang w:val="el-GR"/>
        </w:rPr>
        <w:t xml:space="preserve"> </w:t>
      </w:r>
      <w:r w:rsidR="00B465ED" w:rsidRPr="00B465ED">
        <w:rPr>
          <w:sz w:val="24"/>
          <w:lang w:val="el-GR"/>
        </w:rPr>
        <w:tab/>
      </w:r>
      <w:r w:rsidRPr="00B465ED">
        <w:rPr>
          <w:sz w:val="24"/>
          <w:lang w:val="el-GR"/>
        </w:rPr>
        <w:t xml:space="preserve">Απόφαση του Γενικού Δικαστηρίου, της 25ης Ιανουαρίου 2023, De </w:t>
      </w:r>
      <w:proofErr w:type="spellStart"/>
      <w:r w:rsidRPr="00B465ED">
        <w:rPr>
          <w:sz w:val="24"/>
          <w:lang w:val="el-GR"/>
        </w:rPr>
        <w:t>Capitani</w:t>
      </w:r>
      <w:proofErr w:type="spellEnd"/>
      <w:r w:rsidRPr="00B465ED">
        <w:rPr>
          <w:sz w:val="24"/>
          <w:lang w:val="el-GR"/>
        </w:rPr>
        <w:t xml:space="preserve"> κατά Συμβουλίου, T-163/21, CLI:EU:T:2023:15.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85A6A" w14:textId="77777777" w:rsidR="00064002" w:rsidRPr="00B465E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1B96B" w14:textId="77777777" w:rsidR="00064002" w:rsidRPr="00B465E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07E02" w14:textId="77777777" w:rsidR="00064002" w:rsidRPr="00B465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7B650C"/>
    <w:multiLevelType w:val="hybridMultilevel"/>
    <w:tmpl w:val="7DC201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3B92DEB"/>
    <w:multiLevelType w:val="hybridMultilevel"/>
    <w:tmpl w:val="A198B542"/>
    <w:lvl w:ilvl="0" w:tplc="E498340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66763446">
    <w:abstractNumId w:val="9"/>
  </w:num>
  <w:num w:numId="2" w16cid:durableId="1018854965">
    <w:abstractNumId w:val="9"/>
  </w:num>
  <w:num w:numId="3" w16cid:durableId="1676882014">
    <w:abstractNumId w:val="7"/>
  </w:num>
  <w:num w:numId="4" w16cid:durableId="447968127">
    <w:abstractNumId w:val="7"/>
  </w:num>
  <w:num w:numId="5" w16cid:durableId="1777795834">
    <w:abstractNumId w:val="6"/>
  </w:num>
  <w:num w:numId="6" w16cid:durableId="548105065">
    <w:abstractNumId w:val="6"/>
  </w:num>
  <w:num w:numId="7" w16cid:durableId="153030199">
    <w:abstractNumId w:val="5"/>
  </w:num>
  <w:num w:numId="8" w16cid:durableId="1887444914">
    <w:abstractNumId w:val="5"/>
  </w:num>
  <w:num w:numId="9" w16cid:durableId="616330534">
    <w:abstractNumId w:val="4"/>
  </w:num>
  <w:num w:numId="10" w16cid:durableId="1875116738">
    <w:abstractNumId w:val="4"/>
  </w:num>
  <w:num w:numId="11" w16cid:durableId="2108847823">
    <w:abstractNumId w:val="8"/>
  </w:num>
  <w:num w:numId="12" w16cid:durableId="1654531306">
    <w:abstractNumId w:val="8"/>
  </w:num>
  <w:num w:numId="13" w16cid:durableId="1826817926">
    <w:abstractNumId w:val="3"/>
  </w:num>
  <w:num w:numId="14" w16cid:durableId="354235885">
    <w:abstractNumId w:val="3"/>
  </w:num>
  <w:num w:numId="15" w16cid:durableId="1005674327">
    <w:abstractNumId w:val="2"/>
  </w:num>
  <w:num w:numId="16" w16cid:durableId="66997528">
    <w:abstractNumId w:val="2"/>
  </w:num>
  <w:num w:numId="17" w16cid:durableId="2102793518">
    <w:abstractNumId w:val="1"/>
  </w:num>
  <w:num w:numId="18" w16cid:durableId="2146921560">
    <w:abstractNumId w:val="1"/>
  </w:num>
  <w:num w:numId="19" w16cid:durableId="1700203249">
    <w:abstractNumId w:val="0"/>
  </w:num>
  <w:num w:numId="20" w16cid:durableId="549877863">
    <w:abstractNumId w:val="0"/>
  </w:num>
  <w:num w:numId="21" w16cid:durableId="1816602122">
    <w:abstractNumId w:val="9"/>
  </w:num>
  <w:num w:numId="22" w16cid:durableId="1906452982">
    <w:abstractNumId w:val="7"/>
  </w:num>
  <w:num w:numId="23" w16cid:durableId="1019938418">
    <w:abstractNumId w:val="6"/>
  </w:num>
  <w:num w:numId="24" w16cid:durableId="74785040">
    <w:abstractNumId w:val="5"/>
  </w:num>
  <w:num w:numId="25" w16cid:durableId="2028829568">
    <w:abstractNumId w:val="4"/>
  </w:num>
  <w:num w:numId="26" w16cid:durableId="396705496">
    <w:abstractNumId w:val="8"/>
  </w:num>
  <w:num w:numId="27" w16cid:durableId="754597592">
    <w:abstractNumId w:val="3"/>
  </w:num>
  <w:num w:numId="28" w16cid:durableId="27416755">
    <w:abstractNumId w:val="2"/>
  </w:num>
  <w:num w:numId="29" w16cid:durableId="1630628883">
    <w:abstractNumId w:val="1"/>
  </w:num>
  <w:num w:numId="30" w16cid:durableId="1743483000">
    <w:abstractNumId w:val="0"/>
  </w:num>
  <w:num w:numId="31" w16cid:durableId="1288465150">
    <w:abstractNumId w:val="9"/>
  </w:num>
  <w:num w:numId="32" w16cid:durableId="1558393924">
    <w:abstractNumId w:val="7"/>
  </w:num>
  <w:num w:numId="33" w16cid:durableId="261882493">
    <w:abstractNumId w:val="6"/>
  </w:num>
  <w:num w:numId="34" w16cid:durableId="486360397">
    <w:abstractNumId w:val="5"/>
  </w:num>
  <w:num w:numId="35" w16cid:durableId="2055346812">
    <w:abstractNumId w:val="4"/>
  </w:num>
  <w:num w:numId="36" w16cid:durableId="1674263089">
    <w:abstractNumId w:val="8"/>
  </w:num>
  <w:num w:numId="37" w16cid:durableId="1844204882">
    <w:abstractNumId w:val="3"/>
  </w:num>
  <w:num w:numId="38" w16cid:durableId="1024985176">
    <w:abstractNumId w:val="2"/>
  </w:num>
  <w:num w:numId="39" w16cid:durableId="521629641">
    <w:abstractNumId w:val="1"/>
  </w:num>
  <w:num w:numId="40" w16cid:durableId="565453573">
    <w:abstractNumId w:val="0"/>
  </w:num>
  <w:num w:numId="41" w16cid:durableId="123426261">
    <w:abstractNumId w:val="10"/>
  </w:num>
  <w:num w:numId="42" w16cid:durableId="244799725">
    <w:abstractNumId w:val="10"/>
  </w:num>
  <w:num w:numId="43" w16cid:durableId="100031381">
    <w:abstractNumId w:val="10"/>
  </w:num>
  <w:num w:numId="44" w16cid:durableId="1334726190">
    <w:abstractNumId w:val="12"/>
  </w:num>
  <w:num w:numId="45" w16cid:durableId="1772817592">
    <w:abstractNumId w:val="11"/>
  </w:num>
  <w:num w:numId="46" w16cid:durableId="91547345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1/2026"/>
    <w:docVar w:name="dvlangue" w:val="EL"/>
    <w:docVar w:name="dvnumam" w:val="0"/>
    <w:docVar w:name="dvpe" w:val="778.049"/>
    <w:docVar w:name="dvrapporteur" w:val="Εισηγητής: "/>
    <w:docVar w:name="dvtitre" w:val="Απόφαση του Ευρωπαϊκού Κοινοβουλίου της ... 2026 σχετικά με την απαλλαγή όσον αφορά την εκτέλεση του γενικού προϋπολογισμού της Ευρωπαϊκής Ένωσης για το οικονομικό έτος 2024, τμήμα II – Ευρωπαϊκό Συμβούλιο και Συμβούλιο(2025/2147(DEC))"/>
  </w:docVars>
  <w:rsids>
    <w:rsidRoot w:val="007534EC"/>
    <w:rsid w:val="00002272"/>
    <w:rsid w:val="00064002"/>
    <w:rsid w:val="000677B9"/>
    <w:rsid w:val="000831BA"/>
    <w:rsid w:val="000A42CC"/>
    <w:rsid w:val="000E7DD9"/>
    <w:rsid w:val="0010095E"/>
    <w:rsid w:val="00125B37"/>
    <w:rsid w:val="00187494"/>
    <w:rsid w:val="001F32AE"/>
    <w:rsid w:val="00207A09"/>
    <w:rsid w:val="002767FF"/>
    <w:rsid w:val="002B18FE"/>
    <w:rsid w:val="002B5493"/>
    <w:rsid w:val="00343214"/>
    <w:rsid w:val="00361C00"/>
    <w:rsid w:val="00395FA1"/>
    <w:rsid w:val="003E15D4"/>
    <w:rsid w:val="00411CCE"/>
    <w:rsid w:val="0041666E"/>
    <w:rsid w:val="00417804"/>
    <w:rsid w:val="00421060"/>
    <w:rsid w:val="00471C19"/>
    <w:rsid w:val="004867E3"/>
    <w:rsid w:val="00494A28"/>
    <w:rsid w:val="004C0004"/>
    <w:rsid w:val="004C22A6"/>
    <w:rsid w:val="004C5D52"/>
    <w:rsid w:val="0050519A"/>
    <w:rsid w:val="005072A1"/>
    <w:rsid w:val="00514517"/>
    <w:rsid w:val="00545827"/>
    <w:rsid w:val="00560270"/>
    <w:rsid w:val="00571F3A"/>
    <w:rsid w:val="005C2568"/>
    <w:rsid w:val="005F1B17"/>
    <w:rsid w:val="006037C0"/>
    <w:rsid w:val="0065749F"/>
    <w:rsid w:val="006631B6"/>
    <w:rsid w:val="006646FF"/>
    <w:rsid w:val="00680577"/>
    <w:rsid w:val="006B5793"/>
    <w:rsid w:val="006B775D"/>
    <w:rsid w:val="006F74FA"/>
    <w:rsid w:val="00731ADD"/>
    <w:rsid w:val="00734777"/>
    <w:rsid w:val="00747932"/>
    <w:rsid w:val="00751A4A"/>
    <w:rsid w:val="007534EC"/>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37B4"/>
    <w:rsid w:val="00A778C7"/>
    <w:rsid w:val="00AB441E"/>
    <w:rsid w:val="00AB6293"/>
    <w:rsid w:val="00AE0928"/>
    <w:rsid w:val="00AF3B82"/>
    <w:rsid w:val="00B12E95"/>
    <w:rsid w:val="00B22876"/>
    <w:rsid w:val="00B465ED"/>
    <w:rsid w:val="00B558F0"/>
    <w:rsid w:val="00BD48FE"/>
    <w:rsid w:val="00BD7BD8"/>
    <w:rsid w:val="00BE6ADC"/>
    <w:rsid w:val="00C05BFE"/>
    <w:rsid w:val="00C23CD4"/>
    <w:rsid w:val="00C61C0C"/>
    <w:rsid w:val="00C941CB"/>
    <w:rsid w:val="00CC2357"/>
    <w:rsid w:val="00CF071A"/>
    <w:rsid w:val="00D058B8"/>
    <w:rsid w:val="00D20557"/>
    <w:rsid w:val="00D51B93"/>
    <w:rsid w:val="00D56C11"/>
    <w:rsid w:val="00D834A0"/>
    <w:rsid w:val="00D872DF"/>
    <w:rsid w:val="00D91E21"/>
    <w:rsid w:val="00DA7FCD"/>
    <w:rsid w:val="00DB0178"/>
    <w:rsid w:val="00E365E1"/>
    <w:rsid w:val="00E820A4"/>
    <w:rsid w:val="00EB006A"/>
    <w:rsid w:val="00EB4772"/>
    <w:rsid w:val="00ED169E"/>
    <w:rsid w:val="00ED4235"/>
    <w:rsid w:val="00ED7E5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4A0452"/>
  <w15:chartTrackingRefBased/>
  <w15:docId w15:val="{4CCB8EF9-D213-4D7F-9BD6-20DF8E2DE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5749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5749F"/>
    <w:pPr>
      <w:spacing w:before="480" w:after="240"/>
    </w:pPr>
  </w:style>
  <w:style w:type="paragraph" w:customStyle="1" w:styleId="PageHeading">
    <w:name w:val="PageHeading"/>
    <w:basedOn w:val="Normal"/>
    <w:rsid w:val="0065749F"/>
    <w:pPr>
      <w:keepNext/>
      <w:spacing w:after="480"/>
      <w:jc w:val="center"/>
    </w:pPr>
    <w:rPr>
      <w:rFonts w:ascii="Arial" w:hAnsi="Arial" w:cs="Arial"/>
      <w:b/>
    </w:rPr>
  </w:style>
  <w:style w:type="paragraph" w:customStyle="1" w:styleId="NormalBold">
    <w:name w:val="NormalBold"/>
    <w:basedOn w:val="Normal"/>
    <w:rsid w:val="0065749F"/>
    <w:rPr>
      <w:b/>
    </w:rPr>
  </w:style>
  <w:style w:type="paragraph" w:customStyle="1" w:styleId="NormalHanging12a">
    <w:name w:val="NormalHanging12a"/>
    <w:basedOn w:val="Normal"/>
    <w:link w:val="NormalHanging12aChar"/>
    <w:qFormat/>
    <w:rsid w:val="0065749F"/>
    <w:pPr>
      <w:spacing w:after="240"/>
      <w:ind w:left="567" w:hanging="567"/>
    </w:pPr>
  </w:style>
  <w:style w:type="paragraph" w:styleId="Header">
    <w:name w:val="header"/>
    <w:basedOn w:val="Normal"/>
    <w:link w:val="HeaderChar"/>
    <w:rsid w:val="0065749F"/>
    <w:pPr>
      <w:tabs>
        <w:tab w:val="center" w:pos="4513"/>
        <w:tab w:val="right" w:pos="9026"/>
      </w:tabs>
    </w:pPr>
  </w:style>
  <w:style w:type="character" w:customStyle="1" w:styleId="HeaderChar">
    <w:name w:val="Header Char"/>
    <w:basedOn w:val="DefaultParagraphFont"/>
    <w:link w:val="Header"/>
    <w:rsid w:val="0065749F"/>
    <w:rPr>
      <w:sz w:val="24"/>
      <w:lang w:val="el-GR"/>
    </w:rPr>
  </w:style>
  <w:style w:type="paragraph" w:customStyle="1" w:styleId="EPFooter">
    <w:name w:val="EPFooter"/>
    <w:basedOn w:val="Normal"/>
    <w:rsid w:val="0065749F"/>
    <w:pPr>
      <w:tabs>
        <w:tab w:val="center" w:pos="4535"/>
        <w:tab w:val="right" w:pos="9071"/>
      </w:tabs>
      <w:spacing w:before="240" w:after="240"/>
    </w:pPr>
    <w:rPr>
      <w:color w:val="010000"/>
      <w:sz w:val="22"/>
    </w:rPr>
  </w:style>
  <w:style w:type="character" w:styleId="Hyperlink">
    <w:name w:val="Hyperlink"/>
    <w:basedOn w:val="DefaultParagraphFont"/>
    <w:rsid w:val="0065749F"/>
    <w:rPr>
      <w:color w:val="0563C1" w:themeColor="hyperlink"/>
      <w:u w:val="single"/>
    </w:rPr>
  </w:style>
  <w:style w:type="character" w:customStyle="1" w:styleId="NormalHanging12aChar">
    <w:name w:val="NormalHanging12a Char"/>
    <w:basedOn w:val="DefaultParagraphFont"/>
    <w:link w:val="NormalHanging12a"/>
    <w:locked/>
    <w:rsid w:val="0065749F"/>
    <w:rPr>
      <w:sz w:val="24"/>
      <w:lang w:val="el-GR"/>
    </w:rPr>
  </w:style>
  <w:style w:type="paragraph" w:customStyle="1" w:styleId="Default">
    <w:name w:val="Default"/>
    <w:rsid w:val="0065749F"/>
    <w:pPr>
      <w:autoSpaceDE w:val="0"/>
      <w:autoSpaceDN w:val="0"/>
      <w:adjustRightInd w:val="0"/>
    </w:pPr>
    <w:rPr>
      <w:rFonts w:ascii="Source Sans Pro" w:hAnsi="Source Sans Pro" w:cs="Source Sans Pro"/>
      <w:color w:val="000000"/>
      <w:sz w:val="24"/>
      <w:szCs w:val="24"/>
      <w:lang w:val="el-GR"/>
    </w:rPr>
  </w:style>
  <w:style w:type="paragraph" w:styleId="ListParagraph">
    <w:name w:val="List Paragraph"/>
    <w:basedOn w:val="Normal"/>
    <w:uiPriority w:val="34"/>
    <w:qFormat/>
    <w:rsid w:val="00571F3A"/>
    <w:pPr>
      <w:ind w:left="720"/>
      <w:contextualSpacing/>
    </w:pPr>
  </w:style>
  <w:style w:type="paragraph" w:styleId="Revision">
    <w:name w:val="Revision"/>
    <w:hidden/>
    <w:uiPriority w:val="99"/>
    <w:semiHidden/>
    <w:rsid w:val="00571F3A"/>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9235</Words>
  <Characters>54747</Characters>
  <Application>Microsoft Office Word</Application>
  <DocSecurity>0</DocSecurity>
  <Lines>2281</Lines>
  <Paragraphs>652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RELEC - Amalia</dc:creator>
  <cp:keywords/>
  <cp:lastModifiedBy>KOLOKYTHIA Amalia</cp:lastModifiedBy>
  <cp:revision>2</cp:revision>
  <cp:lastPrinted>2004-11-19T15:42:00Z</cp:lastPrinted>
  <dcterms:created xsi:type="dcterms:W3CDTF">2026-04-29T11:14:00Z</dcterms:created>
  <dcterms:modified xsi:type="dcterms:W3CDTF">2026-04-29T11:14:00Z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A10-0051/2026</vt:lpwstr>
  </property>
  <property fmtid="{D5CDD505-2E9C-101B-9397-08002B2CF9AE}" pid="4" name="&lt;Type&gt;">
    <vt:lpwstr>RR</vt:lpwstr>
  </property>
</Properties>
</file>