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D35" w14:paraId="0F2401B5" w14:textId="77777777" w:rsidTr="0010095E">
        <w:trPr>
          <w:trHeight w:hRule="exact" w:val="1418"/>
        </w:trPr>
        <w:tc>
          <w:tcPr>
            <w:tcW w:w="6804" w:type="dxa"/>
            <w:shd w:val="clear" w:color="auto" w:fill="auto"/>
            <w:vAlign w:val="center"/>
          </w:tcPr>
          <w:p w14:paraId="2DA34A48" w14:textId="77777777" w:rsidR="00751A4A" w:rsidRPr="00FF7D35" w:rsidRDefault="00271B95" w:rsidP="0010095E">
            <w:pPr>
              <w:pStyle w:val="EPName"/>
            </w:pPr>
            <w:r w:rsidRPr="00FF7D35">
              <w:t>Europski parlament</w:t>
            </w:r>
          </w:p>
          <w:p w14:paraId="6C657C07" w14:textId="77777777" w:rsidR="00751A4A" w:rsidRPr="00FF7D35" w:rsidRDefault="005F1B17" w:rsidP="005F1B17">
            <w:pPr>
              <w:pStyle w:val="EPTerm"/>
              <w:rPr>
                <w:rStyle w:val="HideTWBExt"/>
                <w:noProof w:val="0"/>
                <w:vanish w:val="0"/>
                <w:color w:val="auto"/>
              </w:rPr>
            </w:pPr>
            <w:r w:rsidRPr="00FF7D35">
              <w:t>2024</w:t>
            </w:r>
            <w:r w:rsidR="00817416" w:rsidRPr="00FF7D35">
              <w:t>-202</w:t>
            </w:r>
            <w:r w:rsidRPr="00FF7D35">
              <w:t>9</w:t>
            </w:r>
          </w:p>
        </w:tc>
        <w:tc>
          <w:tcPr>
            <w:tcW w:w="2268" w:type="dxa"/>
            <w:shd w:val="clear" w:color="auto" w:fill="auto"/>
          </w:tcPr>
          <w:p w14:paraId="0C540A83" w14:textId="77777777" w:rsidR="00751A4A" w:rsidRPr="00FF7D35" w:rsidRDefault="00187494" w:rsidP="0010095E">
            <w:pPr>
              <w:pStyle w:val="EPLogo"/>
            </w:pPr>
            <w:r w:rsidRPr="00FF7D35">
              <w:rPr>
                <w:noProof/>
                <w:lang w:eastAsia="ja-JP"/>
              </w:rPr>
              <w:drawing>
                <wp:inline distT="0" distB="0" distL="0" distR="0" wp14:anchorId="11AB80C2" wp14:editId="7B773B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62467B" w14:textId="77777777" w:rsidR="00D058B8" w:rsidRPr="00FF7D35" w:rsidRDefault="00D058B8" w:rsidP="004C5D52">
      <w:pPr>
        <w:pStyle w:val="LineTop"/>
      </w:pPr>
    </w:p>
    <w:p w14:paraId="1C36D2B3" w14:textId="77777777" w:rsidR="00680577" w:rsidRPr="00FF7D35" w:rsidRDefault="00271B95" w:rsidP="00680577">
      <w:pPr>
        <w:pStyle w:val="EPBodyTA1"/>
      </w:pPr>
      <w:r w:rsidRPr="00FF7D35">
        <w:t>USVOJENI TEKSTOVI</w:t>
      </w:r>
    </w:p>
    <w:p w14:paraId="7E3DD3CC" w14:textId="77777777" w:rsidR="00D058B8" w:rsidRPr="00FF7D35" w:rsidRDefault="00D058B8" w:rsidP="00D058B8">
      <w:pPr>
        <w:pStyle w:val="LineBottom"/>
      </w:pPr>
    </w:p>
    <w:p w14:paraId="24F330D9" w14:textId="45F6ACFF" w:rsidR="00271B95" w:rsidRPr="00FF7D35" w:rsidRDefault="00271B95" w:rsidP="00271B95">
      <w:pPr>
        <w:pStyle w:val="ATHeading1"/>
      </w:pPr>
      <w:bookmarkStart w:id="0" w:name="TANumber"/>
      <w:r w:rsidRPr="00FF7D35">
        <w:t>P10_TA(2026)0</w:t>
      </w:r>
      <w:r w:rsidR="001E0A26">
        <w:t>127</w:t>
      </w:r>
      <w:bookmarkEnd w:id="0"/>
    </w:p>
    <w:p w14:paraId="20A5B280" w14:textId="77777777" w:rsidR="00271B95" w:rsidRPr="00FF7D35" w:rsidRDefault="00271B95" w:rsidP="00271B95">
      <w:pPr>
        <w:pStyle w:val="ATHeading2"/>
      </w:pPr>
      <w:bookmarkStart w:id="1" w:name="title"/>
      <w:r w:rsidRPr="00FF7D35">
        <w:t>Razrješnica za 2024.: Opći proračun EU-a – Europsko vijeće i Vijeće</w:t>
      </w:r>
      <w:bookmarkEnd w:id="1"/>
    </w:p>
    <w:p w14:paraId="0FBD9EC9" w14:textId="77777777" w:rsidR="00271B95" w:rsidRPr="00FF7D35" w:rsidRDefault="00271B95" w:rsidP="00271B95">
      <w:pPr>
        <w:rPr>
          <w:i/>
          <w:vanish/>
        </w:rPr>
      </w:pPr>
      <w:r w:rsidRPr="00FF7D35">
        <w:rPr>
          <w:i/>
        </w:rPr>
        <w:fldChar w:fldCharType="begin"/>
      </w:r>
      <w:r w:rsidRPr="00FF7D35">
        <w:rPr>
          <w:i/>
        </w:rPr>
        <w:instrText xml:space="preserve"> TC"(</w:instrText>
      </w:r>
      <w:bookmarkStart w:id="2" w:name="DocNumber"/>
      <w:r w:rsidRPr="00FF7D35">
        <w:rPr>
          <w:i/>
        </w:rPr>
        <w:instrText>A10-0051/2026</w:instrText>
      </w:r>
      <w:bookmarkEnd w:id="2"/>
      <w:r w:rsidRPr="00FF7D35">
        <w:rPr>
          <w:i/>
        </w:rPr>
        <w:instrText xml:space="preserve"> - Izvjestitelj: </w:instrText>
      </w:r>
      <w:proofErr w:type="spellStart"/>
      <w:r w:rsidRPr="00FF7D35">
        <w:rPr>
          <w:i/>
        </w:rPr>
        <w:instrText>Pasquale</w:instrText>
      </w:r>
      <w:proofErr w:type="spellEnd"/>
      <w:r w:rsidRPr="00FF7D35">
        <w:rPr>
          <w:i/>
        </w:rPr>
        <w:instrText xml:space="preserve"> </w:instrText>
      </w:r>
      <w:proofErr w:type="spellStart"/>
      <w:r w:rsidRPr="00FF7D35">
        <w:rPr>
          <w:i/>
        </w:rPr>
        <w:instrText>Tridico</w:instrText>
      </w:r>
      <w:proofErr w:type="spellEnd"/>
      <w:r w:rsidRPr="00FF7D35">
        <w:rPr>
          <w:i/>
        </w:rPr>
        <w:instrText xml:space="preserve">)"\l3 \n&gt; \* MERGEFORMAT </w:instrText>
      </w:r>
      <w:r w:rsidRPr="00FF7D35">
        <w:rPr>
          <w:i/>
        </w:rPr>
        <w:fldChar w:fldCharType="end"/>
      </w:r>
    </w:p>
    <w:p w14:paraId="78814707" w14:textId="77777777" w:rsidR="00271B95" w:rsidRPr="00FF7D35" w:rsidRDefault="00271B95" w:rsidP="00271B95">
      <w:pPr>
        <w:rPr>
          <w:vanish/>
        </w:rPr>
      </w:pPr>
      <w:bookmarkStart w:id="3" w:name="Commission"/>
      <w:r w:rsidRPr="00FF7D35">
        <w:rPr>
          <w:vanish/>
        </w:rPr>
        <w:t>Odbor za proračunski nadzor</w:t>
      </w:r>
      <w:bookmarkEnd w:id="3"/>
    </w:p>
    <w:p w14:paraId="128ED8B9" w14:textId="77777777" w:rsidR="00271B95" w:rsidRPr="00FF7D35" w:rsidRDefault="00271B95" w:rsidP="00271B95">
      <w:pPr>
        <w:rPr>
          <w:vanish/>
        </w:rPr>
      </w:pPr>
      <w:bookmarkStart w:id="4" w:name="PE"/>
      <w:r w:rsidRPr="00FF7D35">
        <w:rPr>
          <w:vanish/>
        </w:rPr>
        <w:t>PE778.049</w:t>
      </w:r>
      <w:bookmarkEnd w:id="4"/>
    </w:p>
    <w:p w14:paraId="0D1CEA61" w14:textId="59322EE3" w:rsidR="00271B95" w:rsidRPr="00FF7D35" w:rsidRDefault="00DB13AE" w:rsidP="00271B95">
      <w:pPr>
        <w:pStyle w:val="ATHeading3"/>
      </w:pPr>
      <w:bookmarkStart w:id="5" w:name="Sujet"/>
      <w:r w:rsidRPr="00FF7D35">
        <w:t xml:space="preserve">1. </w:t>
      </w:r>
      <w:r w:rsidR="00271B95" w:rsidRPr="00FF7D35">
        <w:t xml:space="preserve">Odluka Europskog parlamenta od </w:t>
      </w:r>
      <w:r w:rsidRPr="00FF7D35">
        <w:t>29</w:t>
      </w:r>
      <w:r w:rsidR="00271B95" w:rsidRPr="00FF7D35">
        <w:t xml:space="preserve">. </w:t>
      </w:r>
      <w:r w:rsidRPr="00FF7D35">
        <w:t xml:space="preserve">travnja </w:t>
      </w:r>
      <w:r w:rsidR="00271B95" w:rsidRPr="00FF7D35">
        <w:t>2026. o razrješnici za izvršenje općeg proračuna Europske unije za financijsku godinu 2024., dio II. – Europsko vijeće i Vijeće</w:t>
      </w:r>
      <w:bookmarkEnd w:id="5"/>
      <w:r w:rsidR="00271B95" w:rsidRPr="00FF7D35">
        <w:t xml:space="preserve"> </w:t>
      </w:r>
      <w:bookmarkStart w:id="6" w:name="References"/>
      <w:r w:rsidR="00271B95" w:rsidRPr="00FF7D35">
        <w:t>(2025/2147(DEC))</w:t>
      </w:r>
      <w:bookmarkEnd w:id="6"/>
    </w:p>
    <w:p w14:paraId="5C42CCF4" w14:textId="77777777" w:rsidR="007C41BF" w:rsidRPr="00FF7D35" w:rsidRDefault="007C41BF" w:rsidP="007C41BF">
      <w:pPr>
        <w:pStyle w:val="EPComma"/>
      </w:pPr>
      <w:bookmarkStart w:id="7" w:name="TextBodyBegin"/>
      <w:bookmarkEnd w:id="7"/>
      <w:r w:rsidRPr="00FF7D35">
        <w:rPr>
          <w:i/>
        </w:rPr>
        <w:t>Europski parlament</w:t>
      </w:r>
      <w:r w:rsidRPr="00FF7D35">
        <w:t>,</w:t>
      </w:r>
    </w:p>
    <w:p w14:paraId="09BD89C8" w14:textId="77777777" w:rsidR="007C41BF" w:rsidRPr="00FF7D35" w:rsidRDefault="007C41BF" w:rsidP="007C41BF">
      <w:pPr>
        <w:pStyle w:val="NormalHanging12a"/>
      </w:pPr>
      <w:r w:rsidRPr="00FF7D35">
        <w:t>–</w:t>
      </w:r>
      <w:r w:rsidRPr="00FF7D35">
        <w:tab/>
        <w:t>uzimajući u obzir opći proračun Europske unije za financijsku godinu 2024.</w:t>
      </w:r>
      <w:r w:rsidRPr="00FF7D35">
        <w:rPr>
          <w:rStyle w:val="FootnoteReference"/>
        </w:rPr>
        <w:footnoteReference w:id="1"/>
      </w:r>
      <w:r w:rsidRPr="00FF7D35">
        <w:t>,</w:t>
      </w:r>
    </w:p>
    <w:p w14:paraId="475B68AA" w14:textId="77777777" w:rsidR="007C41BF" w:rsidRPr="00FF7D35" w:rsidRDefault="007C41BF" w:rsidP="007C41BF">
      <w:pPr>
        <w:pStyle w:val="NormalHanging12a"/>
      </w:pPr>
      <w:r w:rsidRPr="00FF7D35">
        <w:t>–</w:t>
      </w:r>
      <w:r w:rsidRPr="00FF7D35">
        <w:tab/>
        <w:t>uzimajući u obzir konsolidiranu godišnju računovodstvenu dokumentaciju Europske unije za financijsku godinu 2024. (COM(2025)0359 – C10</w:t>
      </w:r>
      <w:r w:rsidRPr="00FF7D35">
        <w:noBreakHyphen/>
        <w:t>0147/2025)</w:t>
      </w:r>
      <w:r w:rsidRPr="00FF7D35">
        <w:rPr>
          <w:rStyle w:val="FootnoteReference"/>
        </w:rPr>
        <w:footnoteReference w:id="2"/>
      </w:r>
      <w:r w:rsidRPr="00FF7D35">
        <w:t>,</w:t>
      </w:r>
    </w:p>
    <w:p w14:paraId="18CB25A4" w14:textId="77777777" w:rsidR="007C41BF" w:rsidRPr="00FF7D35" w:rsidRDefault="007C41BF" w:rsidP="007C41BF">
      <w:pPr>
        <w:pStyle w:val="NormalHanging12a"/>
      </w:pPr>
      <w:r w:rsidRPr="00FF7D35">
        <w:t>–</w:t>
      </w:r>
      <w:r w:rsidRPr="00FF7D35">
        <w:tab/>
        <w:t>uzimajući u obzir godišnje izvješće Vijeća tijelu koje daje razrješnicu o unutarnjim revizijama provedenima tijekom 2024.,</w:t>
      </w:r>
    </w:p>
    <w:p w14:paraId="446FBCED" w14:textId="62D464F1" w:rsidR="007C41BF" w:rsidRPr="00FF7D35" w:rsidRDefault="007C41BF" w:rsidP="007C41BF">
      <w:pPr>
        <w:pStyle w:val="NormalHanging12a"/>
      </w:pPr>
      <w:r w:rsidRPr="00FF7D35">
        <w:t>–</w:t>
      </w:r>
      <w:r w:rsidRPr="00FF7D35">
        <w:tab/>
        <w:t>uzimajući u obzir godišnje izvješće Revizorskog suda o izvršenju proračuna za financijsku godinu 2024.</w:t>
      </w:r>
      <w:r w:rsidR="002E1486">
        <w:t>,</w:t>
      </w:r>
      <w:r w:rsidRPr="00FF7D35">
        <w:t xml:space="preserve"> s odgovorima institucija</w:t>
      </w:r>
      <w:r w:rsidRPr="00FF7D35">
        <w:rPr>
          <w:rStyle w:val="FootnoteReference"/>
        </w:rPr>
        <w:footnoteReference w:id="3"/>
      </w:r>
      <w:r w:rsidRPr="00FF7D35">
        <w:t>,</w:t>
      </w:r>
    </w:p>
    <w:p w14:paraId="0DAF9A5B" w14:textId="5C2CA4EC" w:rsidR="007C41BF" w:rsidRPr="00FF7D35" w:rsidRDefault="007C41BF" w:rsidP="007C41BF">
      <w:pPr>
        <w:pStyle w:val="NormalHanging12a"/>
      </w:pPr>
      <w:r w:rsidRPr="00FF7D35">
        <w:t>–</w:t>
      </w:r>
      <w:r w:rsidRPr="00FF7D35">
        <w:tab/>
        <w:t>uzimajući u obzir izjavu o jamstvu</w:t>
      </w:r>
      <w:r w:rsidRPr="00FF7D35">
        <w:rPr>
          <w:rStyle w:val="FootnoteReference"/>
        </w:rPr>
        <w:footnoteReference w:id="4"/>
      </w:r>
      <w:r w:rsidRPr="00FF7D35">
        <w:t xml:space="preserve"> u pogledu pouzdanosti računovodstvene dokumentacije te zakonitosti i pravilnosti </w:t>
      </w:r>
      <w:r w:rsidR="002E1486">
        <w:t>temeljnih</w:t>
      </w:r>
      <w:r w:rsidRPr="00FF7D35">
        <w:t xml:space="preserve"> transakcija koju je u skladu s člankom 287. Ugovora o funkcioniranju Europske unije Revizorski sud podnio za financijsku godinu 2024.,</w:t>
      </w:r>
    </w:p>
    <w:p w14:paraId="24C148C3" w14:textId="77777777" w:rsidR="007C41BF" w:rsidRPr="00FF7D35" w:rsidRDefault="007C41BF" w:rsidP="007C41BF">
      <w:pPr>
        <w:pStyle w:val="NormalHanging12a"/>
      </w:pPr>
      <w:r w:rsidRPr="00FF7D35">
        <w:t>–</w:t>
      </w:r>
      <w:r w:rsidRPr="00FF7D35">
        <w:tab/>
        <w:t>uzimajući u obzir članak 314. stavak 10. te članke 317., 318. i 319. Ugovora o funkcioniranju Europske unije,</w:t>
      </w:r>
    </w:p>
    <w:p w14:paraId="2611210E" w14:textId="77777777" w:rsidR="007C41BF" w:rsidRPr="00FF7D35" w:rsidRDefault="007C41BF" w:rsidP="007C41BF">
      <w:pPr>
        <w:pStyle w:val="NormalHanging12a"/>
      </w:pPr>
      <w:r w:rsidRPr="00FF7D35">
        <w:t>–</w:t>
      </w:r>
      <w:r w:rsidRPr="00FF7D35">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FF7D35">
        <w:lastRenderedPageBreak/>
        <w:t>Euratom) br. 966/2012</w:t>
      </w:r>
      <w:r w:rsidRPr="00FF7D35">
        <w:rPr>
          <w:rStyle w:val="FootnoteReference"/>
        </w:rPr>
        <w:footnoteReference w:id="5"/>
      </w:r>
      <w:r w:rsidRPr="00FF7D35">
        <w:t>, a posebno njezine članke 59., 118., 260., 261. i 262.,</w:t>
      </w:r>
    </w:p>
    <w:p w14:paraId="7A2DE31C" w14:textId="77777777" w:rsidR="007C41BF" w:rsidRPr="00FF7D35" w:rsidRDefault="007C41BF" w:rsidP="007C41BF">
      <w:pPr>
        <w:pStyle w:val="NormalHanging12a"/>
      </w:pPr>
      <w:r w:rsidRPr="00FF7D35">
        <w:t>–</w:t>
      </w:r>
      <w:r w:rsidRPr="00FF7D35">
        <w:tab/>
        <w:t>uzimajući u obzir Uredbu (EU, Euratom) 2024/2509 Europskog parlamenta i Vijeća od 23. rujna 2024. o financijskim pravilima koja se primjenjuju na opći proračun Unije</w:t>
      </w:r>
      <w:r w:rsidRPr="00FF7D35">
        <w:rPr>
          <w:rStyle w:val="FootnoteReference"/>
        </w:rPr>
        <w:footnoteReference w:id="6"/>
      </w:r>
      <w:r w:rsidRPr="00FF7D35">
        <w:t>, a posebno njezine članke 59., 118., 266., 267. i 268.,</w:t>
      </w:r>
    </w:p>
    <w:p w14:paraId="4D6E9EE2" w14:textId="77777777" w:rsidR="007C41BF" w:rsidRPr="00FF7D35" w:rsidRDefault="007C41BF" w:rsidP="007C41BF">
      <w:pPr>
        <w:pStyle w:val="NormalHanging12a"/>
      </w:pPr>
      <w:r w:rsidRPr="00FF7D35">
        <w:t>–</w:t>
      </w:r>
      <w:r w:rsidRPr="00FF7D35">
        <w:tab/>
        <w:t>uzimajući u obzir članak 102. Poslovnika i Prilog V. Poslovniku,</w:t>
      </w:r>
    </w:p>
    <w:p w14:paraId="27D22BBB" w14:textId="77777777" w:rsidR="007C41BF" w:rsidRPr="00FF7D35" w:rsidRDefault="007C41BF" w:rsidP="007C41BF">
      <w:pPr>
        <w:pStyle w:val="NormalHanging12a"/>
      </w:pPr>
      <w:r w:rsidRPr="00FF7D35">
        <w:t>–</w:t>
      </w:r>
      <w:r w:rsidRPr="00FF7D35">
        <w:tab/>
        <w:t>uzimajući u obzir izvješće Odbora za proračunski nadzor (A10-0051/2026),</w:t>
      </w:r>
    </w:p>
    <w:p w14:paraId="44E4606D" w14:textId="77777777" w:rsidR="007C41BF" w:rsidRPr="00FF7D35" w:rsidRDefault="007C41BF" w:rsidP="007C41BF">
      <w:pPr>
        <w:pStyle w:val="NormalHanging12a"/>
      </w:pPr>
      <w:bookmarkStart w:id="8" w:name="_Hlk216800694"/>
      <w:r w:rsidRPr="00FF7D35">
        <w:t>1.</w:t>
      </w:r>
      <w:r w:rsidRPr="00FF7D35">
        <w:tab/>
        <w:t>odgađa svoju Odluku o razrješnici glavnoj tajnici Vijeća za izvršenje proračuna Europskog vijeća i Vijeća za financijsku godinu 2024.;</w:t>
      </w:r>
    </w:p>
    <w:bookmarkEnd w:id="8"/>
    <w:p w14:paraId="085417FB" w14:textId="77777777" w:rsidR="007C41BF" w:rsidRPr="00FF7D35" w:rsidRDefault="007C41BF" w:rsidP="007C41BF">
      <w:pPr>
        <w:pStyle w:val="NormalHanging12a"/>
      </w:pPr>
      <w:r w:rsidRPr="00FF7D35">
        <w:t>2.</w:t>
      </w:r>
      <w:r w:rsidRPr="00FF7D35">
        <w:tab/>
        <w:t>iznosi svoje primjedbe u Rezoluciji u nastavku;</w:t>
      </w:r>
    </w:p>
    <w:p w14:paraId="1D28BE9E" w14:textId="37BFD757" w:rsidR="007C41BF" w:rsidRPr="00FF7D35" w:rsidRDefault="007C41BF" w:rsidP="007C41BF">
      <w:pPr>
        <w:pStyle w:val="NormalHanging12a"/>
      </w:pPr>
      <w:r w:rsidRPr="00FF7D35">
        <w:t>3.</w:t>
      </w:r>
      <w:r w:rsidRPr="00FF7D35">
        <w:tab/>
        <w:t xml:space="preserve">nalaže svojoj predsjednici da ovu Odluku i Rezoluciju, koja je njezin sastavni dio, proslijedi Europskom vijeću, Vijeću, Komisiji i Revizorskom sudu te da ih da na objavu u </w:t>
      </w:r>
      <w:r w:rsidRPr="00FF7D35">
        <w:rPr>
          <w:i/>
        </w:rPr>
        <w:t>Službenom listu Europske unije</w:t>
      </w:r>
      <w:r w:rsidRPr="00FF7D35">
        <w:t xml:space="preserve"> (serija L)</w:t>
      </w:r>
      <w:r w:rsidR="002E1486">
        <w:t>.</w:t>
      </w:r>
    </w:p>
    <w:p w14:paraId="3F258359" w14:textId="77777777" w:rsidR="007C41BF" w:rsidRPr="00FF7D35" w:rsidRDefault="007C41BF" w:rsidP="007C41BF">
      <w:pPr>
        <w:pStyle w:val="PageHeading"/>
        <w:sectPr w:rsidR="007C41BF" w:rsidRPr="00FF7D35" w:rsidSect="003730D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2E4B06" w14:textId="70BAA96F" w:rsidR="007C41BF" w:rsidRPr="00FF7D35" w:rsidRDefault="007C41BF" w:rsidP="004E45B5">
      <w:pPr>
        <w:pStyle w:val="PageHeading"/>
        <w:jc w:val="left"/>
        <w:rPr>
          <w:rFonts w:ascii="Times New Roman" w:hAnsi="Times New Roman" w:cs="Times New Roman"/>
        </w:rPr>
      </w:pPr>
      <w:bookmarkStart w:id="9" w:name="_Toc225761092"/>
      <w:r w:rsidRPr="00FF7D35">
        <w:rPr>
          <w:rFonts w:ascii="Times New Roman" w:hAnsi="Times New Roman" w:cs="Times New Roman"/>
        </w:rPr>
        <w:lastRenderedPageBreak/>
        <w:t xml:space="preserve">2. </w:t>
      </w:r>
      <w:r w:rsidR="004E45B5" w:rsidRPr="00FF7D35">
        <w:rPr>
          <w:rFonts w:ascii="Times New Roman" w:hAnsi="Times New Roman" w:cs="Times New Roman"/>
        </w:rPr>
        <w:t>Rezolucija Europskog parlamenta</w:t>
      </w:r>
      <w:bookmarkEnd w:id="9"/>
      <w:r w:rsidR="004E45B5" w:rsidRPr="00FF7D35">
        <w:rPr>
          <w:rFonts w:ascii="Times New Roman" w:hAnsi="Times New Roman" w:cs="Times New Roman"/>
        </w:rPr>
        <w:t xml:space="preserve"> od 29. travnja 2026. </w:t>
      </w:r>
      <w:r w:rsidRPr="00FF7D35">
        <w:rPr>
          <w:rFonts w:ascii="Times New Roman" w:hAnsi="Times New Roman" w:cs="Times New Roman"/>
        </w:rPr>
        <w:t>s primjedbama koje su sastavni dio Odluke o razrješnici za izvršenje općeg proračuna Europske unije za financijsku godinu 2024., dio II. – Europsko vijeće i Vijeće</w:t>
      </w:r>
      <w:r w:rsidR="004E45B5" w:rsidRPr="00FF7D35">
        <w:rPr>
          <w:rFonts w:ascii="Times New Roman" w:hAnsi="Times New Roman" w:cs="Times New Roman"/>
        </w:rPr>
        <w:t xml:space="preserve"> </w:t>
      </w:r>
      <w:r w:rsidRPr="00FF7D35">
        <w:rPr>
          <w:rFonts w:ascii="Times New Roman" w:hAnsi="Times New Roman" w:cs="Times New Roman"/>
        </w:rPr>
        <w:t>(2025/2147(DEC))</w:t>
      </w:r>
    </w:p>
    <w:p w14:paraId="5D011BCA" w14:textId="77777777" w:rsidR="007C41BF" w:rsidRPr="00FF7D35" w:rsidRDefault="007C41BF" w:rsidP="007C41BF">
      <w:pPr>
        <w:pStyle w:val="EPComma"/>
      </w:pPr>
      <w:r w:rsidRPr="00FF7D35">
        <w:rPr>
          <w:i/>
        </w:rPr>
        <w:t>Europski parlament</w:t>
      </w:r>
      <w:r w:rsidRPr="00FF7D35">
        <w:t>,</w:t>
      </w:r>
    </w:p>
    <w:p w14:paraId="0E9402E8" w14:textId="77777777" w:rsidR="007C41BF" w:rsidRPr="00FF7D35" w:rsidRDefault="007C41BF" w:rsidP="007C41BF">
      <w:pPr>
        <w:pStyle w:val="NormalHanging12a"/>
      </w:pPr>
      <w:r w:rsidRPr="00FF7D35">
        <w:t>–</w:t>
      </w:r>
      <w:r w:rsidRPr="00FF7D35">
        <w:tab/>
        <w:t>uzimajući u obzir svoju Odluku o razrješnici za izvršenje općeg proračuna Europske unije za financijsku godinu 2024., dio II. – Europsko vijeće i Vijeće,</w:t>
      </w:r>
    </w:p>
    <w:p w14:paraId="5F402EAF" w14:textId="77777777" w:rsidR="007C41BF" w:rsidRPr="00FF7D35" w:rsidRDefault="007C41BF" w:rsidP="007C41BF">
      <w:pPr>
        <w:pStyle w:val="NormalHanging12a"/>
      </w:pPr>
      <w:r w:rsidRPr="00FF7D35">
        <w:t>–</w:t>
      </w:r>
      <w:r w:rsidRPr="00FF7D35">
        <w:tab/>
        <w:t>uzimajući u obzir članak 102. Poslovnika i Prilog V. Poslovniku,</w:t>
      </w:r>
    </w:p>
    <w:p w14:paraId="3C4BD674" w14:textId="77777777" w:rsidR="007C41BF" w:rsidRPr="00FF7D35" w:rsidRDefault="007C41BF" w:rsidP="007C41BF">
      <w:pPr>
        <w:pStyle w:val="NormalHanging12a"/>
      </w:pPr>
      <w:r w:rsidRPr="00FF7D35">
        <w:t>–</w:t>
      </w:r>
      <w:r w:rsidRPr="00FF7D35">
        <w:tab/>
        <w:t>uzimajući u obzir izvješće Odbora za proračunski nadzor (A10-0051/2026),</w:t>
      </w:r>
    </w:p>
    <w:p w14:paraId="446EE2AD" w14:textId="77777777" w:rsidR="007C41BF" w:rsidRPr="00FF7D35" w:rsidRDefault="007C41BF" w:rsidP="007C41BF">
      <w:pPr>
        <w:pStyle w:val="NormalHanging12a"/>
        <w:rPr>
          <w:bCs/>
          <w:iCs/>
        </w:rPr>
      </w:pPr>
      <w:r w:rsidRPr="00FF7D35">
        <w:t>A.</w:t>
      </w:r>
      <w:r w:rsidRPr="00FF7D35">
        <w:tab/>
        <w:t>budući da demokratski legitimitet institucija Unije prije svega proizlazi iz strogog poštovanja Ugovora, kojima se utvrđuju institucionalna ravnoteža i jasna raspodjela nadležnosti; budući da su transparentnost, odgovornost i dobro financijsko upravljanje ključne obveze svih institucija, tijela, ureda i agencija Unije kada raspolažu novcem poreznih obveznika; 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6CFAEC13" w14:textId="77777777" w:rsidR="007C41BF" w:rsidRPr="00FF7D35" w:rsidRDefault="007C41BF" w:rsidP="007C41BF">
      <w:pPr>
        <w:pStyle w:val="NormalHanging12a"/>
      </w:pPr>
      <w:r w:rsidRPr="00FF7D35">
        <w:t>B.</w:t>
      </w:r>
      <w:r w:rsidRPr="00FF7D35">
        <w:tab/>
        <w:t>budući da u skladu s člankom 319.Ugovora o funkcioniranju Europske unije (UFEU) Parlament ima isključivu nadležnost za davanje razrješnice za izvršenje općeg proračuna Unije i budući da je proračun Europskog vijeća i Vijeća („Vijeće”) dio proračuna Unije te je stoga pravno obvezan Ugovorima i Financijskom uredbom kako bi se osigurala transparentnost, odgovornost i dobro financijsko upravljanje, bez obzira na njegovu međuvladinu prirodu;</w:t>
      </w:r>
    </w:p>
    <w:p w14:paraId="713F7DF3" w14:textId="77777777" w:rsidR="007C41BF" w:rsidRPr="00FF7D35" w:rsidRDefault="007C41BF" w:rsidP="007C41BF">
      <w:pPr>
        <w:pStyle w:val="NormalHanging12a"/>
      </w:pPr>
      <w:r w:rsidRPr="00FF7D35">
        <w:t>C.</w:t>
      </w:r>
      <w:r w:rsidRPr="00FF7D35">
        <w:tab/>
        <w:t>budući da, u skladu s člankom 15. stavkom 1. Ugovora o Europskoj uniji (UEU), Europsko vijeće ne izvršava zakonodavne funkcije;</w:t>
      </w:r>
    </w:p>
    <w:p w14:paraId="2BCFC698" w14:textId="77777777" w:rsidR="007C41BF" w:rsidRPr="00FF7D35" w:rsidRDefault="007C41BF" w:rsidP="007C41BF">
      <w:pPr>
        <w:pStyle w:val="NormalHanging12a"/>
      </w:pPr>
      <w:r w:rsidRPr="00FF7D35">
        <w:t>D.</w:t>
      </w:r>
      <w:r w:rsidRPr="00FF7D35">
        <w:tab/>
        <w:t>budući da u skladu s člankom 317. UFEU-a Komisija izvršava proračun Unije na vlastitu odgovornost, uzimajući u obzir načela dobrog financijskog upravljanja, i budući da, u skladu s okvirom na snazi, Komisija dodjeljuje ostalim institucijama Unije potrebne ovlasti za izvršenje dijelova proračuna koji se na njih odnose;</w:t>
      </w:r>
    </w:p>
    <w:p w14:paraId="5D027DAC" w14:textId="77777777" w:rsidR="007C41BF" w:rsidRPr="00FF7D35" w:rsidRDefault="007C41BF" w:rsidP="007C41BF">
      <w:pPr>
        <w:pStyle w:val="NormalHanging12a"/>
      </w:pPr>
      <w:r w:rsidRPr="00FF7D35">
        <w:t>E.</w:t>
      </w:r>
      <w:r w:rsidRPr="00FF7D35">
        <w:tab/>
        <w:t>budući da u skladu s člankom 235. stavkom 4. i člankom 240. stavkom 2. UFEU-a „Vijeću” pomaže Glavno tajništvo Vijeća („Tajništvo”) te budući da je glavni tajnik Vijeća u potpunosti odgovoran za dobro upravljanje odobrenim sredstvima unesenima u dio II. proračuna Unije;</w:t>
      </w:r>
    </w:p>
    <w:p w14:paraId="439C2220" w14:textId="77777777" w:rsidR="007C41BF" w:rsidRPr="00FF7D35" w:rsidRDefault="007C41BF" w:rsidP="007C41BF">
      <w:pPr>
        <w:pStyle w:val="NormalHanging12a"/>
      </w:pPr>
      <w:r w:rsidRPr="00FF7D35">
        <w:t>F.</w:t>
      </w:r>
      <w:r w:rsidRPr="00FF7D35">
        <w:tab/>
        <w:t>budući da već više od dvadeset godina Parlament provodi ustaljenu i poštovanu praksu davanja razrješnice svim institucijama, tijelima, uredima i agencijama Unije te budući da se Komisija slaže da bi trebalo nastaviti s praksom davanja razrješnice svakoj instituciji, tijelu, uredu i agenciji Unije za njihove administrativne rashode;</w:t>
      </w:r>
    </w:p>
    <w:p w14:paraId="57D5FC04" w14:textId="77777777" w:rsidR="007C41BF" w:rsidRPr="00FF7D35" w:rsidRDefault="007C41BF" w:rsidP="007C41BF">
      <w:pPr>
        <w:pStyle w:val="NormalHanging12a"/>
      </w:pPr>
      <w:r w:rsidRPr="00FF7D35">
        <w:t>G.</w:t>
      </w:r>
      <w:r w:rsidRPr="00FF7D35">
        <w:tab/>
        <w:t>budući da, prema članku 59. stavku 1. Financijske uredbe, Komisija dodjeljuje ostalim institucijama Unije potrebne ovlasti za izvršenje dijelova proračuna koji se na njih odnose;</w:t>
      </w:r>
    </w:p>
    <w:p w14:paraId="47320FDA" w14:textId="77777777" w:rsidR="007C41BF" w:rsidRPr="00FF7D35" w:rsidRDefault="007C41BF" w:rsidP="007C41BF">
      <w:pPr>
        <w:pStyle w:val="NormalHanging12a"/>
      </w:pPr>
      <w:r w:rsidRPr="00FF7D35">
        <w:lastRenderedPageBreak/>
        <w:t>H.</w:t>
      </w:r>
      <w:r w:rsidRPr="00FF7D35">
        <w:tab/>
        <w:t>budući da je zbog izostanka suradnje Vijeća u postupku davanja razrješnice Parlament bio spriječen u izvršavanju svoje uloge demokratskog nadzora te je u više navrata bio prisiljen odbijati njezino davanje glavnom tajniku Vijeća;</w:t>
      </w:r>
    </w:p>
    <w:p w14:paraId="6696F556" w14:textId="77777777" w:rsidR="007C41BF" w:rsidRPr="00FF7D35" w:rsidRDefault="007C41BF" w:rsidP="007C41BF">
      <w:pPr>
        <w:pStyle w:val="NormalHanging12a"/>
      </w:pPr>
      <w:r w:rsidRPr="00FF7D35">
        <w:t>I.</w:t>
      </w:r>
      <w:r w:rsidRPr="00FF7D35">
        <w:tab/>
        <w:t>budući da bi Europsko vijeće i Vijeće, kao institucije Unije i kao primatelji općeg proračuna Unije, trebali biti transparentni i demokratski odgovorni prema građanima Unije te podlijegati demokratskoj kontroli trošenja javnih sredstava;</w:t>
      </w:r>
    </w:p>
    <w:p w14:paraId="484EC799" w14:textId="77777777" w:rsidR="007C41BF" w:rsidRPr="00FF7D35" w:rsidRDefault="007C41BF" w:rsidP="007C41BF">
      <w:pPr>
        <w:pStyle w:val="NormalHanging12a"/>
        <w:rPr>
          <w:bCs/>
          <w:iCs/>
        </w:rPr>
      </w:pPr>
      <w:r w:rsidRPr="00FF7D35">
        <w:t>J.</w:t>
      </w:r>
      <w:r w:rsidRPr="00FF7D35">
        <w:tab/>
        <w:t xml:space="preserve">budući da se člankom 15. stavkom 3. UFEU-a od institucija EU-a zahtijeva da u svojem Poslovniku osiguraju transparentnost svojih postupaka; budući da je u nekoliko svojih istraga i odluka Europski </w:t>
      </w:r>
      <w:proofErr w:type="spellStart"/>
      <w:r w:rsidRPr="00FF7D35">
        <w:t>ombudsman</w:t>
      </w:r>
      <w:proofErr w:type="spellEnd"/>
      <w:r w:rsidRPr="00FF7D35">
        <w:t xml:space="preserve"> („</w:t>
      </w:r>
      <w:proofErr w:type="spellStart"/>
      <w:r w:rsidRPr="00FF7D35">
        <w:t>Ombudsman</w:t>
      </w:r>
      <w:proofErr w:type="spellEnd"/>
      <w:r w:rsidRPr="00FF7D35">
        <w:t>”) kritizirao Vijeće zbog nedostatka transparentnosti, pri čemu je uputio na to da Vijeće nije u potpunosti razumjelo kritičnu vezu između demokracije i transparentnosti donošenja odluka;</w:t>
      </w:r>
    </w:p>
    <w:p w14:paraId="114C0CE1" w14:textId="77777777" w:rsidR="007C41BF" w:rsidRPr="00FF7D35" w:rsidRDefault="007C41BF" w:rsidP="007C41BF">
      <w:pPr>
        <w:pStyle w:val="NormalHanging12a"/>
      </w:pPr>
      <w:r w:rsidRPr="00FF7D35">
        <w:t>K.</w:t>
      </w:r>
      <w:r w:rsidRPr="00FF7D35">
        <w:tab/>
        <w:t>budući da sudska praksa Suda Europske unije potvrđuje pravo poreznih obveznika i javnosti da budu informirani o upotrebi javnih prihoda te da je Opći sud u svojoj presudi od 25. siječnja 2023. u predmetu T-163/21</w:t>
      </w:r>
      <w:r w:rsidRPr="00FF7D35">
        <w:rPr>
          <w:rStyle w:val="FootnoteReference"/>
        </w:rPr>
        <w:footnoteReference w:id="7"/>
      </w:r>
      <w:r w:rsidRPr="00FF7D35">
        <w:t xml:space="preserve">, </w:t>
      </w:r>
      <w:r w:rsidRPr="00FF7D35">
        <w:rPr>
          <w:i/>
          <w:iCs/>
        </w:rPr>
        <w:t xml:space="preserve">De </w:t>
      </w:r>
      <w:proofErr w:type="spellStart"/>
      <w:r w:rsidRPr="00FF7D35">
        <w:rPr>
          <w:i/>
          <w:iCs/>
        </w:rPr>
        <w:t>Capitani</w:t>
      </w:r>
      <w:proofErr w:type="spellEnd"/>
      <w:r w:rsidRPr="00FF7D35">
        <w:rPr>
          <w:i/>
          <w:iCs/>
        </w:rPr>
        <w:t xml:space="preserve"> / Vijeće</w:t>
      </w:r>
      <w:r w:rsidRPr="00FF7D35">
        <w:t>, u pogledu transparentnosti u zakonodavnom postupku Unije ustvrdio da dokumenti koje je Vijeće izradilo u svojim radnim skupinama nisu tehničke prirode nego zakonodavni te da stoga podliježu zahtjevima za pristup dokumentima;</w:t>
      </w:r>
    </w:p>
    <w:p w14:paraId="2D96D47A" w14:textId="77777777" w:rsidR="007C41BF" w:rsidRPr="00FF7D35" w:rsidRDefault="007C41BF" w:rsidP="007C41BF">
      <w:pPr>
        <w:pStyle w:val="NormalHanging12a"/>
      </w:pPr>
      <w:r w:rsidRPr="00FF7D35">
        <w:t>1.</w:t>
      </w:r>
      <w:r w:rsidRPr="00FF7D35">
        <w:tab/>
        <w:t>konstatira da je proračun Vijeća obuhvaćen naslovom 7. VFO-a „Europska javna uprava”, koji je 2023. iznosio 13,3 milijardi EUR (što predstavlja 6,9 % ukupnog proračuna Unije); konstatira da proračun Vijeća od približno 0,7 milijardi EUR predstavlja 5,26 % ukupnih administrativnih rashoda Unije;</w:t>
      </w:r>
    </w:p>
    <w:p w14:paraId="0E6223C4" w14:textId="77777777" w:rsidR="007C41BF" w:rsidRPr="00FF7D35" w:rsidRDefault="007C41BF" w:rsidP="007C41BF">
      <w:pPr>
        <w:pStyle w:val="NormalHanging12a"/>
      </w:pPr>
      <w:r w:rsidRPr="00FF7D35">
        <w:t>2.</w:t>
      </w:r>
      <w:r w:rsidRPr="00FF7D35">
        <w:tab/>
        <w:t xml:space="preserve">konstatira da je Revizorski sud u godišnjem izvješću za financijsku godinu 2024. („izvješće Revizorskog suda”) ispitao uzorak od 70 transakcija pod naslovom „Uprava”, što je isti broj kao i 2023., dok Revizorski sud nadalje navodi da administrativni rashodi obuhvaćaju rashode za ljudske resurse, uključujući rashode za mirovine, koji su 2024. činili oko 69 % ukupnih administrativnih rashoda, i rashode za zgrade, opremu, energiju, komunikacije i informacijsku tehnologiju (IT), te da njegov dugogodišnji rad upućuje na to da je ta potrošnja općenito </w:t>
      </w:r>
      <w:proofErr w:type="spellStart"/>
      <w:r w:rsidRPr="00FF7D35">
        <w:t>niskorizična</w:t>
      </w:r>
      <w:proofErr w:type="spellEnd"/>
      <w:r w:rsidRPr="00FF7D35">
        <w:t>;</w:t>
      </w:r>
    </w:p>
    <w:p w14:paraId="6602C8B4" w14:textId="77777777" w:rsidR="007C41BF" w:rsidRPr="00FF7D35" w:rsidRDefault="007C41BF" w:rsidP="007C41BF">
      <w:pPr>
        <w:pStyle w:val="NormalHanging12a"/>
      </w:pPr>
      <w:r w:rsidRPr="00FF7D35">
        <w:t>3.</w:t>
      </w:r>
      <w:r w:rsidRPr="00FF7D35">
        <w:tab/>
        <w:t>konstatira da je 16 (23 %) od 70 transakcija sadržavalo pogreške, ali da Revizorski sud, na temelju triju kvantificiranih pogrešaka, procjenjuje da je stopa pogreške ispod praga značajnosti; napominje da u izvješću Revizorskog suda nisu utvrđeni posebni problemi koji se odnose na Vijeće;</w:t>
      </w:r>
    </w:p>
    <w:p w14:paraId="13DA8B91" w14:textId="77777777" w:rsidR="007C41BF" w:rsidRPr="00FF7D35" w:rsidRDefault="007C41BF" w:rsidP="007C41BF">
      <w:pPr>
        <w:pStyle w:val="NormalHanging12a"/>
        <w:rPr>
          <w:b/>
          <w:i/>
          <w:iCs/>
        </w:rPr>
      </w:pPr>
      <w:r w:rsidRPr="00FF7D35">
        <w:rPr>
          <w:b/>
          <w:i/>
        </w:rPr>
        <w:t>Postojeće stanje u postupku davanja razrješnica</w:t>
      </w:r>
    </w:p>
    <w:p w14:paraId="4228FBEA" w14:textId="77777777" w:rsidR="007C41BF" w:rsidRPr="00FF7D35" w:rsidRDefault="007C41BF" w:rsidP="007C41BF">
      <w:pPr>
        <w:pStyle w:val="NormalHanging12a"/>
      </w:pPr>
      <w:r w:rsidRPr="00FF7D35">
        <w:t>4.</w:t>
      </w:r>
      <w:r w:rsidRPr="00FF7D35">
        <w:tab/>
        <w:t>duboko žali zbog toga što je Parlament od 2009. i ponovno za financijsku godinu 2023. morao odbiti davanje razrješnice Vijeću jer Vijeće i dalje odbija surađivati s Parlamentom u postupku davanja razrješnice, unatoč opetovanim naporima Parlamenta da uspostavi konstruktivnu suradnju, sprečavajući time Parlament da donese informiranu odluku na temelju ozbiljnog i temeljitog nadzora nad izvršenjem proračuna Vijeća;</w:t>
      </w:r>
    </w:p>
    <w:p w14:paraId="3955095D" w14:textId="77777777" w:rsidR="007C41BF" w:rsidRPr="00FF7D35" w:rsidRDefault="007C41BF" w:rsidP="007C41BF">
      <w:pPr>
        <w:pStyle w:val="NormalHanging12a"/>
      </w:pPr>
      <w:r w:rsidRPr="00FF7D35">
        <w:t>5.</w:t>
      </w:r>
      <w:r w:rsidRPr="00FF7D35">
        <w:tab/>
        <w:t xml:space="preserve">napominje da su 22. rujna 2025. relevantne službe Parlamenta, u ime izvjestitelja za </w:t>
      </w:r>
      <w:r w:rsidRPr="00FF7D35">
        <w:lastRenderedPageBreak/>
        <w:t>postupak davanja razrješnice, proslijedile Tajništvu upitnik koji sadržava 103 važna pitanja potrebna Parlamentu za provedbu temeljitog nadzora nad izvršenjem proračuna Vijeća i upravljanjem Vijećem; nadalje, napominje da su slični upitnici poslani svim drugim institucijama i da su sve one Parlamentu dostavile detaljne odgovore na sva pitanja;</w:t>
      </w:r>
    </w:p>
    <w:p w14:paraId="0E5507F5" w14:textId="77777777" w:rsidR="007C41BF" w:rsidRPr="00FF7D35" w:rsidRDefault="007C41BF" w:rsidP="007C41BF">
      <w:pPr>
        <w:pStyle w:val="NormalHanging12a"/>
      </w:pPr>
      <w:r w:rsidRPr="00FF7D35">
        <w:t>6.</w:t>
      </w:r>
      <w:r w:rsidRPr="00FF7D35">
        <w:tab/>
        <w:t>žali zbog toga što je 3. listopada 2025. Tajništvo ponovno obavijestilo Parlament da neće odgovoriti na upitnik Parlamenta i da Vijeće neće sudjelovati na saslušanju koje je sazvano 6. studenog 2025. u okviru postupka davanja razrješnice i na kojem su sudjelovale sve druge pozvane institucije;</w:t>
      </w:r>
    </w:p>
    <w:p w14:paraId="6F1F0D4E" w14:textId="77777777" w:rsidR="007C41BF" w:rsidRPr="00FF7D35" w:rsidRDefault="007C41BF" w:rsidP="007C41BF">
      <w:pPr>
        <w:pStyle w:val="NormalHanging12a"/>
      </w:pPr>
      <w:r w:rsidRPr="00FF7D35">
        <w:t>7.</w:t>
      </w:r>
      <w:r w:rsidRPr="00FF7D35">
        <w:tab/>
        <w:t>ponovno ističe ovlast Parlamenta da daje razrješnicu u skladu s člankom 319. UFEU-a te s primjenjivim odredbama Financijske uredbe i Poslovnika Europskog parlamenta u skladu s trenutačnim tumačenjem i praksom, odnosno ovlast za davanje razrješnice kako bi se održala transparentnost i osigurala demokratska odgovornost prema poreznim obveznicima Unije;</w:t>
      </w:r>
    </w:p>
    <w:p w14:paraId="154E583C" w14:textId="77777777" w:rsidR="007C41BF" w:rsidRPr="00FF7D35" w:rsidRDefault="007C41BF" w:rsidP="007C41BF">
      <w:pPr>
        <w:pStyle w:val="NormalHanging12a"/>
      </w:pPr>
      <w:r w:rsidRPr="00FF7D35">
        <w:t>8.</w:t>
      </w:r>
      <w:r w:rsidRPr="00FF7D35">
        <w:tab/>
        <w:t>naglašava da se u članku 59. stavku 1. Financijske uredbe navodi da Komisija dodjeljuje ostalim institucijama Unije potrebne ovlasti za izvršenje dijelova proračuna koji se na njih odnose te stoga smatra neshvatljivim da je prema mišljenju Vijeća primjereno da se razrješnica za izvršenje proračuna Vijeća daje Komisiji;</w:t>
      </w:r>
    </w:p>
    <w:p w14:paraId="799BA2AD" w14:textId="77777777" w:rsidR="007C41BF" w:rsidRPr="00FF7D35" w:rsidRDefault="007C41BF" w:rsidP="007C41BF">
      <w:pPr>
        <w:pStyle w:val="NormalHanging12a"/>
      </w:pPr>
      <w:r w:rsidRPr="00FF7D35">
        <w:t>9.</w:t>
      </w:r>
      <w:r w:rsidRPr="00FF7D35">
        <w:tab/>
        <w:t>ističe ustaljenu i poštovanu praksu davanja razrješnice svim institucijama, tijelima, uredima i agencijama Unije, uključujući Vijeće, koju Parlament provodi već više od dvadeset godina; podsjeća na to da je Komisija izjavila da ne može nadzirati izvršenje proračuna drugih institucija Unije; ističe ponovljeno stajalište Komisije da bi Parlament trebao izravno nastaviti s praksom davanja razrješnice svakoj instituciji Unije za njezine administrativne rashode i izvršenje proračuna Unije kako bi se očuvala sukladnost s načelom dobrog financijskog upravljanja; podsjeća da sve druge institucije, tijela, uredi i agencije u potpunosti surađuju s Parlamentom u postupku davanja razrješnice te smatra da je odbijanje Vijeća da to učini neopravdano i nespojivo s načelom institucionalne lojalnosti u skladu s Ugovorima;</w:t>
      </w:r>
    </w:p>
    <w:p w14:paraId="62BCBF7B" w14:textId="77777777" w:rsidR="007C41BF" w:rsidRPr="00FF7D35" w:rsidRDefault="007C41BF" w:rsidP="007C41BF">
      <w:pPr>
        <w:pStyle w:val="NormalHanging12a"/>
        <w:rPr>
          <w:bCs/>
          <w:iCs/>
        </w:rPr>
      </w:pPr>
      <w:r w:rsidRPr="00FF7D35">
        <w:t>10.</w:t>
      </w:r>
      <w:r w:rsidRPr="00FF7D35">
        <w:tab/>
        <w:t xml:space="preserve">naglašava da trenutačna situacija znači da Parlament može provjeravati samo izvješća Revizorskog suda i </w:t>
      </w:r>
      <w:proofErr w:type="spellStart"/>
      <w:r w:rsidRPr="00FF7D35">
        <w:t>Ombudsmana</w:t>
      </w:r>
      <w:proofErr w:type="spellEnd"/>
      <w:r w:rsidRPr="00FF7D35">
        <w:t>, kao i javno dostupne informacije na internetskim stranicama Vijeća, zbog čega Parlament ne može donijeti informiranu odluku o davanju razrješnice; ističe da nedostatak suradnje Vijeća potkopava ovlast Parlamenta da učinkovito ispunjava svoju nadzornu ulogu;</w:t>
      </w:r>
    </w:p>
    <w:p w14:paraId="7E0ABC9A" w14:textId="77777777" w:rsidR="007C41BF" w:rsidRPr="00FF7D35" w:rsidRDefault="007C41BF" w:rsidP="007C41BF">
      <w:pPr>
        <w:pStyle w:val="NormalHanging12a"/>
      </w:pPr>
      <w:r w:rsidRPr="00FF7D35">
        <w:t>11.</w:t>
      </w:r>
      <w:r w:rsidRPr="00FF7D35">
        <w:tab/>
        <w:t>žali zbog nedostatka političke volje Vijeća, već više od desetljeća, da surađuje s Parlamentom u kontekstu godišnjeg postupka davanja razrješnice, stvarajući tako strukturni mrtvi kut u sustavu provjera i ravnoteža Unije, što ima trajan negativan učinak na obje institucije i diskreditira upravljanje proračunom Unije i njegov demokratski nadzor te povjerenje građana u Uniju kao transparentan subjekt; naglašava da se takvim trajnim institucionalnim ometanjem ugrožava načelo lojalne suradnje utvrđeno u Ugovorima; smatra da bi kontinuirana nesuradnja mogla dodatno narušiti legitimnost okvira Unije za proračunsko upravljanje; naglašava da se Vijeće mora pridržavati istih standarda odgovornosti i transparentnosti kao i druge institucije Unije;</w:t>
      </w:r>
    </w:p>
    <w:p w14:paraId="7CF267DD" w14:textId="77777777" w:rsidR="007C41BF" w:rsidRPr="00FF7D35" w:rsidRDefault="007C41BF" w:rsidP="007C41BF">
      <w:pPr>
        <w:pStyle w:val="NormalHanging12a"/>
      </w:pPr>
      <w:r w:rsidRPr="00FF7D35">
        <w:t>12.</w:t>
      </w:r>
      <w:r w:rsidRPr="00FF7D35">
        <w:tab/>
        <w:t xml:space="preserve">ponavlja da kontinuirano odbijanje Vijeća da sudjeluje u postupku davanja razrješnice predstavlja neprihvatljivo kršenje demokratske odgovornosti; poziva na uvođenje </w:t>
      </w:r>
      <w:r w:rsidRPr="00FF7D35">
        <w:lastRenderedPageBreak/>
        <w:t>konkretnih i učinkovitih mjera kako bi se osiguralo da se svaka institucija Unije koja ne ispunjava obveze transparentnosti smatra u potpunosti odgovornom, i to razmatranjem praktičnih mjera u skladu s člankom 59. stavkom 1. Financijske uredbe i načelom dobrog financijskog upravljanja kojima se potiče suradnja, uključujući pojačanu uvjetovanost u administrativnim dogovorima i zahtjevima za izvješćivanje;</w:t>
      </w:r>
    </w:p>
    <w:p w14:paraId="7A87764D" w14:textId="77777777" w:rsidR="007C41BF" w:rsidRPr="00FF7D35" w:rsidRDefault="007C41BF" w:rsidP="007C41BF">
      <w:pPr>
        <w:pStyle w:val="NormalHanging12a"/>
      </w:pPr>
      <w:r w:rsidRPr="00FF7D35">
        <w:t>13.</w:t>
      </w:r>
      <w:r w:rsidRPr="00FF7D35">
        <w:tab/>
        <w:t>podsjeća na to da sudska praksa Suda Europske unije podupire pravo poreznih obveznika i javnosti da budu informirani o upotrebi javnih prihoda; stoga zahtijeva puno poštovanje ovlasti i uloge Parlamenta kao jamca načela demokratske odgovornosti; poziva Vijeće da propisno slijedi preporuke koje je donio Parlament u kontekstu postupka davanja razrješnice i ustraje na punoj primjeni članka 14. stavka 1. UEU-a;</w:t>
      </w:r>
    </w:p>
    <w:p w14:paraId="39D27344" w14:textId="77777777" w:rsidR="007C41BF" w:rsidRPr="00FF7D35" w:rsidRDefault="007C41BF" w:rsidP="007C41BF">
      <w:pPr>
        <w:pStyle w:val="NormalHanging12a"/>
      </w:pPr>
      <w:r w:rsidRPr="00FF7D35">
        <w:t>14.</w:t>
      </w:r>
      <w:r w:rsidRPr="00FF7D35">
        <w:tab/>
        <w:t>napominje da je 6. svibnja 2025., tijekom svog obraćanja na plenarnoj sjednici Parlamenta, predstavnik predsjedništva Vijeća izrazio spremnost tog predsjedništva „da se uključi u smislenu i pragmatičnu suradnju između naših institucija” kad je riječ o davanju razrješnice u vezi s dijelom proračuna Unije koji se odnosi na Vijeće te poziva da se ta namjera provede konkretno i hitno djelovanje; stoga poziva Vijeće da što prije nastavi pregovore s Parlamentom na najvišoj razini, uključujući glavne tajnike i predsjednike obiju institucija, kako bi se prekinuo zastoj i pronašlo rješenje kojim se poštuju institucionalne nadležnosti Parlamenta i Vijeća u postupku davanja razrješnice i jamči transparentnost i čvrst demokratski nadzor nad izvršenjem proračuna; ponavlja zahtjev da pravne službe Komisije i Vijeća daju mišljenje o mogućim rješenjima koja se temelje na Ugovorima kako bi Vijeće preuzelo odgovornost u postupku davanja razrješnice;</w:t>
      </w:r>
    </w:p>
    <w:p w14:paraId="599CC4F4" w14:textId="77777777" w:rsidR="007C41BF" w:rsidRPr="00FF7D35" w:rsidRDefault="007C41BF" w:rsidP="007C41BF">
      <w:pPr>
        <w:pStyle w:val="NormalHanging12a"/>
      </w:pPr>
      <w:r w:rsidRPr="00FF7D35">
        <w:t>15.</w:t>
      </w:r>
      <w:r w:rsidRPr="00FF7D35">
        <w:tab/>
        <w:t xml:space="preserve">naglašava da bi, iako se trenutačna situacija mora poboljšati boljom </w:t>
      </w:r>
      <w:proofErr w:type="spellStart"/>
      <w:r w:rsidRPr="00FF7D35">
        <w:t>međuinstitucijskom</w:t>
      </w:r>
      <w:proofErr w:type="spellEnd"/>
      <w:r w:rsidRPr="00FF7D35">
        <w:t xml:space="preserve"> suradnjom u okviru Ugovorâ, revizija Ugovorâ mogla učiniti postupak davanja razrješnice jasnijim i transparentnijim tako što bi se Parlamentu dala izričita nadležnost za pojedinačno davanje razrješnice svim institucijama, tijelima, uredima i agencijama Unije; naglašava, međutim, da se, sve dok ne se provede takva revizija, trenutačna situacija mora poboljšati pojačanom </w:t>
      </w:r>
      <w:proofErr w:type="spellStart"/>
      <w:r w:rsidRPr="00FF7D35">
        <w:t>međuinstitucijskom</w:t>
      </w:r>
      <w:proofErr w:type="spellEnd"/>
      <w:r w:rsidRPr="00FF7D35">
        <w:t xml:space="preserve"> suradnjom; u tom smislu potiče Vijeće da aktivno surađuje s Parlamentom;</w:t>
      </w:r>
    </w:p>
    <w:p w14:paraId="6E3CA8E4" w14:textId="77777777" w:rsidR="007C41BF" w:rsidRPr="00FF7D35" w:rsidRDefault="007C41BF" w:rsidP="007C41BF">
      <w:pPr>
        <w:pStyle w:val="NormalHanging12a"/>
      </w:pPr>
      <w:r w:rsidRPr="00FF7D35">
        <w:t>16.</w:t>
      </w:r>
      <w:r w:rsidRPr="00FF7D35">
        <w:tab/>
        <w:t>konstatira da je Parlament, unatoč dugogodišnjoj nespremnosti Vijeća na suradnju u postupku davanja razrješnice, u ovom izvješću ipak istaknuo neke političke prioritete te iznio neke primjedbe u vezi s proračunskim i financijskim upravljanjem Vijeća, kao i druge primjedbe relevantne za postupak davanja razrješnice, na način kojim se poštuje nacionalni suverenitet, Ugovori i načelo dobrog financijskog upravljanja;</w:t>
      </w:r>
    </w:p>
    <w:p w14:paraId="28283462" w14:textId="77777777" w:rsidR="007C41BF" w:rsidRPr="00FF7D35" w:rsidRDefault="007C41BF" w:rsidP="007C41BF">
      <w:pPr>
        <w:pStyle w:val="NormalHanging12a"/>
        <w:rPr>
          <w:color w:val="000000" w:themeColor="text1"/>
        </w:rPr>
      </w:pPr>
      <w:r w:rsidRPr="00FF7D35">
        <w:rPr>
          <w:color w:val="000000" w:themeColor="text1"/>
        </w:rPr>
        <w:t>17.</w:t>
      </w:r>
      <w:r w:rsidRPr="00FF7D35">
        <w:rPr>
          <w:color w:val="000000" w:themeColor="text1"/>
        </w:rPr>
        <w:tab/>
        <w:t>napominje da se, s obzirom na nedostatak suradnje Vijeća s Parlamentom, opažanja u odjeljcima u nastavku prvenstveno temelje na objedinjenim informacijama objavljenima na internetskim stranicama Vijeća, koje pružaju ograničene pojedinosti;</w:t>
      </w:r>
    </w:p>
    <w:p w14:paraId="296E4954" w14:textId="77777777" w:rsidR="007C41BF" w:rsidRPr="00FF7D35" w:rsidRDefault="007C41BF" w:rsidP="007C41BF">
      <w:pPr>
        <w:pStyle w:val="NormalHanging12a"/>
        <w:rPr>
          <w:b/>
          <w:i/>
          <w:iCs/>
        </w:rPr>
      </w:pPr>
      <w:r w:rsidRPr="00FF7D35">
        <w:rPr>
          <w:b/>
          <w:i/>
        </w:rPr>
        <w:t>Politički prioriteti</w:t>
      </w:r>
    </w:p>
    <w:p w14:paraId="06FFD810" w14:textId="77777777" w:rsidR="007C41BF" w:rsidRPr="00FF7D35" w:rsidRDefault="007C41BF" w:rsidP="007C41BF">
      <w:pPr>
        <w:pStyle w:val="NormalHanging12a"/>
        <w:rPr>
          <w:bCs/>
          <w:iCs/>
        </w:rPr>
      </w:pPr>
      <w:r w:rsidRPr="00FF7D35">
        <w:t>18.</w:t>
      </w:r>
      <w:r w:rsidRPr="00FF7D35">
        <w:tab/>
        <w:t xml:space="preserve">podsjeća da je Unija 2024. pristala pružiti predvidljivu financijsku potporu Ukrajini u okviru Instrumenta za Ukrajinu za razdoblje 2024. – 2027.; naglašava da u tom kontekstu Vijeće i Tajništvo imaju veću odgovornost osigurati transparentnost, integritet i dobro financijsko upravljanje u svim administrativnim rashodima povezanima s Vijećem koji se odnose na donošenje odluka, sastanke i logističke </w:t>
      </w:r>
      <w:r w:rsidRPr="00FF7D35">
        <w:lastRenderedPageBreak/>
        <w:t>dogovore povezane s Ukrajinom, uključujući jasno izvješćivanje o povezanim troškovima i upravljanju ugovorima;</w:t>
      </w:r>
    </w:p>
    <w:p w14:paraId="2010884D" w14:textId="77777777" w:rsidR="007C41BF" w:rsidRPr="00FF7D35" w:rsidRDefault="007C41BF" w:rsidP="007C41BF">
      <w:pPr>
        <w:pStyle w:val="NormalHanging12a"/>
      </w:pPr>
      <w:r w:rsidRPr="00FF7D35">
        <w:t>19.</w:t>
      </w:r>
      <w:r w:rsidRPr="00FF7D35">
        <w:tab/>
        <w:t>izražava žaljenje zbog toga što Vijeće izvršava svoje ovlasti u postupcima kandidiranja i imenovanja za brojne institucije, tijela, urede i agencije Unije, a da pritom ne uzima u obzir stajališta zainteresiranih strana ili preporuke Europskog ureda za borbu protiv prijevara (OLAF);</w:t>
      </w:r>
    </w:p>
    <w:p w14:paraId="3549A513" w14:textId="77777777" w:rsidR="007C41BF" w:rsidRPr="00FF7D35" w:rsidRDefault="007C41BF" w:rsidP="007C41BF">
      <w:pPr>
        <w:pStyle w:val="NormalHanging12a"/>
      </w:pPr>
      <w:r w:rsidRPr="00FF7D35">
        <w:t>20.</w:t>
      </w:r>
      <w:r w:rsidRPr="00FF7D35">
        <w:tab/>
        <w:t>sa zabrinutošću prima na znanje praksu Vijeća u pogledu imenovanja koja provode pojedinačne države članice za većinu položaja, što može ograničiti opseg provjere stručnih kvalifikacija kandidata; stoga ustraje u tome da je potrebno preispitati izvršavanje ovlasti Vijeća radi jamčenja i jačanja sudjelovanja relevantnih institucija, tijela, ureda i agencija te povećanja legitimiteta imenovanih osoba; predlaže da bi jedan od načina da se osigura da kandidati imaju potrebne kvalifikacije bila primjena iste provjere koja se koristi za imenovanje sudaca i nezavisnih odvjetnika Suda Europske unije, a koju bi provodilo vanjsko povjerenstvo.</w:t>
      </w:r>
    </w:p>
    <w:p w14:paraId="654E9F18" w14:textId="77777777" w:rsidR="007C41BF" w:rsidRPr="00FF7D35" w:rsidRDefault="007C41BF" w:rsidP="007C41BF">
      <w:pPr>
        <w:pStyle w:val="NormalHanging12a"/>
      </w:pPr>
      <w:r w:rsidRPr="00FF7D35">
        <w:t>21.</w:t>
      </w:r>
      <w:r w:rsidRPr="00FF7D35">
        <w:tab/>
        <w:t>podsjeća na to da u skladu s člankom 286. stavkom 2. UFEU-a Vijeće imenuje članove Revizorskog suda nakon savjetovanja s Parlamentom; podsjeća na to da na temelju tog preduvjeta Parlament daje mišljenje o kandidatima; izražava žaljenje zbog toga što je Vijeće u više navrata zanemarilo preporuke koje je Parlament u svojoj savjetodavnoj ulozi dao u vezi s imenovanjem članova Revizorskog suda; podsjeća na to da su, iako mišljenje Parlamenta nije obvezujuće za Vijeće, kandidati koji su primili nepovoljno mišljenje povukli svoje kandidature, čime su prihvatili odluku Parlamenta i priznali njegovu ulogu kao demokratskog nadzornog tijela povezanog sa zaštitom proračuna Unije; poziva Vijeće da potvrdi ulogu Parlamenta suradnjom u postupku davanja razrješnice;</w:t>
      </w:r>
    </w:p>
    <w:p w14:paraId="143A49B7" w14:textId="77777777" w:rsidR="007C41BF" w:rsidRPr="00FF7D35" w:rsidRDefault="007C41BF" w:rsidP="007C41BF">
      <w:pPr>
        <w:pStyle w:val="NormalHanging12a"/>
      </w:pPr>
      <w:r w:rsidRPr="00FF7D35">
        <w:t>22.</w:t>
      </w:r>
      <w:r w:rsidRPr="00FF7D35">
        <w:tab/>
        <w:t>naglašava da je kontinuirana rodna neravnoteža među članovima Revizorskog suda ugrožava ciljeve Unije o ravnopravnosti; ponavlja poziv Vijeću da riješi to pitanje preispitivanjem postupka imenovanja i poduzimanjem konkretnih mjera, kao što je zahtijevanje od država članica da predlože najmanje dva kandidata različitog roda, čime se osigurava više uravnotežen i reprezentativan sastav Suda, uz istodobno poštovanje načela zasluga, izvrsnosti i jednakih mogućnosti;</w:t>
      </w:r>
    </w:p>
    <w:p w14:paraId="1B2ABDD6" w14:textId="77777777" w:rsidR="007C41BF" w:rsidRPr="00FF7D35" w:rsidRDefault="007C41BF" w:rsidP="007C41BF">
      <w:pPr>
        <w:pStyle w:val="NormalHanging12a"/>
        <w:rPr>
          <w:bCs/>
          <w:iCs/>
        </w:rPr>
      </w:pPr>
      <w:r w:rsidRPr="00FF7D35">
        <w:t>23.</w:t>
      </w:r>
      <w:r w:rsidRPr="00FF7D35">
        <w:tab/>
        <w:t>ponovno poziva na osnivanje Vijeća ministara obrane kao institucijskog foruma za političku i stratešku koordinaciju; smatra da bi stalni i namjenski sastav Vijeća za obranu odražavao potrebu da Unija preuzme veću odgovornost za vlastitu sigurnost i obranu, čime bi se dopunila uspostava Odbora za sigurnost i obranu u Europskom parlamentu i povjerenika za obranu i svemir u Komisiji;</w:t>
      </w:r>
    </w:p>
    <w:p w14:paraId="51C171BD" w14:textId="77777777" w:rsidR="007C41BF" w:rsidRPr="00FF7D35" w:rsidRDefault="007C41BF" w:rsidP="007C41BF">
      <w:pPr>
        <w:pStyle w:val="NormalHanging12a"/>
      </w:pPr>
      <w:r w:rsidRPr="00FF7D35">
        <w:t>24.</w:t>
      </w:r>
      <w:r w:rsidRPr="00FF7D35">
        <w:tab/>
        <w:t>žali zbog toga što je Vijeće dosad zanemarivalo Rezoluciju Parlamenta od 17. prosinca 2020. o potrebi za posebnim sastavom Vijeća za rodnu ravnopravnost te ustraje u tome da bi se namjenskim institucijskim forumom osigurala jača integracija rodne ravnopravnosti u politike i strategije Unije, kao i nužna koordinacija i napredak u glavnim predmetima koji se odnose na rodnu ravnopravnost;</w:t>
      </w:r>
    </w:p>
    <w:p w14:paraId="053545F1" w14:textId="77777777" w:rsidR="007C41BF" w:rsidRPr="00FF7D35" w:rsidRDefault="007C41BF" w:rsidP="007C41BF">
      <w:pPr>
        <w:pStyle w:val="NormalHanging12a"/>
      </w:pPr>
      <w:r w:rsidRPr="00FF7D35">
        <w:t>25.</w:t>
      </w:r>
      <w:r w:rsidRPr="00FF7D35">
        <w:tab/>
        <w:t>podsjeća na to da suce i nezavisne odvjetnike Suda EU-a zajedničkim dogovorom imenuju vlade država članica nakon savjetovanja s povjerenstvom zaduženim za davanje mišljenja o prikladnosti kandidata za obavljanje traženih dužnosti;</w:t>
      </w:r>
    </w:p>
    <w:p w14:paraId="67C8DFB4" w14:textId="77777777" w:rsidR="007C41BF" w:rsidRPr="00FF7D35" w:rsidRDefault="007C41BF" w:rsidP="007C41BF">
      <w:pPr>
        <w:pStyle w:val="NormalHanging12a"/>
      </w:pPr>
      <w:r w:rsidRPr="00FF7D35">
        <w:lastRenderedPageBreak/>
        <w:t>26.</w:t>
      </w:r>
      <w:r w:rsidRPr="00FF7D35">
        <w:tab/>
        <w:t xml:space="preserve">konstatira da je </w:t>
      </w:r>
      <w:proofErr w:type="spellStart"/>
      <w:r w:rsidRPr="00FF7D35">
        <w:t>ombudsmanica</w:t>
      </w:r>
      <w:proofErr w:type="spellEnd"/>
      <w:r w:rsidRPr="00FF7D35">
        <w:t xml:space="preserve"> u svojoj odluci od 9. rujna 2024. o strateškoj inicijativi o sponzorstvu predsjedništva Vijeća pozvala Vijeće da analizira kako predsjedništvo Vijeća provodi neobvezujuća pravila o sponzorstvu („Smjernice”) koja je donijelo Vijeće i da istraži druge moguće mjere kojima bi se mogli ublažiti rizici povezani s upotrebom sponzorstva, među ostalim rizik od sukoba interesa i reputacijski rizici; sa zabrinutošću prima na znanje iz godišnjeg izvješća </w:t>
      </w:r>
      <w:proofErr w:type="spellStart"/>
      <w:r w:rsidRPr="00FF7D35">
        <w:t>Ombudsmana</w:t>
      </w:r>
      <w:proofErr w:type="spellEnd"/>
      <w:r w:rsidRPr="00FF7D35">
        <w:t xml:space="preserve"> za 2024. godinu da Vijeće još nije u potpunosti odgovorilo na zabrinutost javnosti zbog upotrebe korporativnog sponzorstva jer i dalje „nema transparentnosti po pitanju identiteta sponzora, prirode njihove potpore i onoga što dobivaju zauzvrat”, a sponzori su i dalje mogli upotrebljavati logotip predsjedništva u komercijalne svrhe; poziva Vijeće da Smjernice učini obvezujućima; ponavlja poziv Vijeću da predsjedanje Vijećem uvrsti u proračun kako bi se osigurali primjereni i jedinstveni standardi učinkovitosti i djelotvornosti rada Vijeća općenito;</w:t>
      </w:r>
    </w:p>
    <w:p w14:paraId="203ADC3A" w14:textId="77777777" w:rsidR="007C41BF" w:rsidRPr="00FF7D35" w:rsidRDefault="007C41BF" w:rsidP="007C41BF">
      <w:pPr>
        <w:pStyle w:val="NormalHanging12a"/>
      </w:pPr>
      <w:r w:rsidRPr="00FF7D35">
        <w:t>27.</w:t>
      </w:r>
      <w:r w:rsidRPr="00FF7D35">
        <w:tab/>
        <w:t xml:space="preserve">poziva rotirajuća predsjedništva Vijeća da prestanu upotrebljavati korporativno sponzorstvo kao dodatni izvor sredstava za pokrivanje vlastitih troškova jer to uzrokuje rizik od sukoba interesa, u skladu sa zaključcima radionice koju je 27. lipnja 2023. održao Odbor Parlamenta za proračunski nadzor; </w:t>
      </w:r>
    </w:p>
    <w:p w14:paraId="0D1F5CC3" w14:textId="77777777" w:rsidR="007C41BF" w:rsidRPr="00FF7D35" w:rsidRDefault="007C41BF" w:rsidP="007C41BF">
      <w:pPr>
        <w:pStyle w:val="NormalHanging12a"/>
      </w:pPr>
      <w:r w:rsidRPr="00FF7D35">
        <w:t>28.</w:t>
      </w:r>
      <w:r w:rsidRPr="00FF7D35">
        <w:tab/>
        <w:t>prima na znanje sve veću uključenost Europskog vijeća u zakonodavne predmete te ističe da takva uloga zahtijeva nadzor i pojačanu suradnju s proračunskim tijelom u okviru postupka davanja razrješnice; poziva Vijeće da osigura da se njegovo djelovanje provodi transparentno i odgovorno, u skladu sa standardima koji se primjenjuju na druge institucije Unije, kako bi se održalo povjerenje građana;</w:t>
      </w:r>
    </w:p>
    <w:p w14:paraId="07366774" w14:textId="77777777" w:rsidR="007C41BF" w:rsidRPr="00FF7D35" w:rsidRDefault="007C41BF" w:rsidP="007C41BF">
      <w:pPr>
        <w:pStyle w:val="NormalHanging12a"/>
        <w:rPr>
          <w:bCs/>
          <w:iCs/>
        </w:rPr>
      </w:pPr>
      <w:r w:rsidRPr="00FF7D35">
        <w:t>29.</w:t>
      </w:r>
      <w:r w:rsidRPr="00FF7D35">
        <w:tab/>
        <w:t>duboko žali zbog toga što mađarska vlada zloupotrebljava svoju ulogu u rotirajućem predsjedništvu Vijeća 2024. sudjelovanjem na međunarodnim sastancima na visokoj razini kojima se ugrožavaju temeljne vrijednosti Unije i dogovorena zajednička stajališta; poziva Vijeće da oštro osudi svako ponašanje države članice koja predsjeda Vijećem koje nije u skladu s vrijednostima Unije te da poduzme sve potrebne mjere kako bi se osiguralo da buduća predsjedništva izvršavaju svoje funkcije u potpunosti u skladu s načelima Unije, čime se štite integritet i vjerodostojnost Unije;</w:t>
      </w:r>
    </w:p>
    <w:p w14:paraId="4D2B92F9" w14:textId="77777777" w:rsidR="007C41BF" w:rsidRPr="00FF7D35" w:rsidRDefault="007C41BF" w:rsidP="007C41BF">
      <w:pPr>
        <w:pStyle w:val="NormalHanging12a"/>
      </w:pPr>
      <w:r w:rsidRPr="00FF7D35">
        <w:t>30.</w:t>
      </w:r>
      <w:r w:rsidRPr="00FF7D35">
        <w:tab/>
        <w:t xml:space="preserve">ističe da, iako je jednoglasno odlučivanje i dalje ključno načelo Ugovora, njegova primjena može u određenim okolnostima i određenim područjima politika utjecati na vremenske rokove i učinkovitost Unije, među ostalim paraliziranjem postupka donošenja odluka Unije, zbog čega je države članice mogu ucjenjivati, posebno one koje ne poštuju vladavinu prava; u tom smislu ponavlja da žali zbog opstruktivnog stava mađarske vlade u okviru Europskog vijeća; napominje da trenutačni politički zastoji i dalje narušavaju povjerenje i učinkovitost Europskog vijeća; poziva na ciljane reforme Ugovora ili, alternativno, praktična poboljšanja unutar postojećeg okvira Ugovora kako bi se ojačala transparentnost, demokratsko donošenje odluka, odgovornost i učinkovitost u radu Europskog vijeća; u tom kontekstu ponavlja svoj poziv Vijeću ministara da prijeđe s jednoglasnog odlučivanja na glasovanje kvalificiranom većinom u područjima od strateškog interesa za Uniju; nadalje napominje da je zahtjev u pogledu jednoglasnosti bio znatna prepreka učinkovitom odgovoru na djelovanje Rusije, posebno u pogledu uvođenja sankcija koje podliježu produljenju svaka tri mjeseca, čime se riskira slabljenje sposobnosti Unije da djeluje odlučno i transparentno te potkopava povjerenje građana i vjerodostojnost Unije kao geopolitičkog aktera; poziva Vijeće da prijeđe na glasovanje kvalificiranom većinom u ključnim područjima, posebno u režimima sankcija, kako bi Unija pri suočavanju s globalnim izazovima mogla </w:t>
      </w:r>
      <w:r w:rsidRPr="00FF7D35">
        <w:lastRenderedPageBreak/>
        <w:t>učinkovito djelovati;</w:t>
      </w:r>
    </w:p>
    <w:p w14:paraId="1BB23F63" w14:textId="77777777" w:rsidR="007C41BF" w:rsidRPr="00FF7D35" w:rsidRDefault="007C41BF" w:rsidP="007C41BF">
      <w:pPr>
        <w:pStyle w:val="NormalHanging12a"/>
        <w:rPr>
          <w:b/>
          <w:i/>
        </w:rPr>
      </w:pPr>
      <w:r w:rsidRPr="00FF7D35">
        <w:rPr>
          <w:b/>
          <w:i/>
        </w:rPr>
        <w:t>Proračunsko i financijsko upravljanje</w:t>
      </w:r>
    </w:p>
    <w:p w14:paraId="20368625" w14:textId="77777777" w:rsidR="007C41BF" w:rsidRPr="00FF7D35" w:rsidRDefault="007C41BF" w:rsidP="007C41BF">
      <w:pPr>
        <w:pStyle w:val="NormalHanging12a"/>
        <w:rPr>
          <w:bCs/>
          <w:iCs/>
        </w:rPr>
      </w:pPr>
      <w:r w:rsidRPr="00FF7D35">
        <w:t>31.</w:t>
      </w:r>
      <w:r w:rsidRPr="00FF7D35">
        <w:tab/>
        <w:t>podsjeća da, u skladu s člankom 15. Ugovora o Europskoj uniji, Europsko vijeće ima središnju stratešku ulogu u pružanju Uniji potrebnog poticaja za njezin razvoj i u definiranju njezinih općih političkih smjernica i prioriteta, a da pritom ne izvršava zakonodavne funkcije; naglašava jedinstvenu dodanu vrijednost Europskog vijeća kao foruma za političku koordinaciju na visokoj razini među državama članicama;</w:t>
      </w:r>
    </w:p>
    <w:p w14:paraId="66C4F05D" w14:textId="77777777" w:rsidR="007C41BF" w:rsidRPr="00FF7D35" w:rsidRDefault="007C41BF" w:rsidP="007C41BF">
      <w:pPr>
        <w:pStyle w:val="NormalHanging12a"/>
      </w:pPr>
      <w:r w:rsidRPr="00FF7D35">
        <w:t>32.</w:t>
      </w:r>
      <w:r w:rsidRPr="00FF7D35">
        <w:tab/>
        <w:t>ponovno žali zbog toga što proračun Europskog vijeća i Vijeća nije podijeljen na dva jasno odvojena proračuna kako je Parlament preporučio u prethodnim rezolucijama o razrješnici i to radi poboljšanja transparentnosti i odgovornosti, osobito u pogledu Europskog vijeća, s obzirom na to da je trenutačno nemoguće dobiti pouzdane informacije o troškovima te institucije; traži da to odvajanje uključuje zasebne proračunske linije za rashode povezane sa sastancima, putne troškove, troškove komunikacije i reprezentacije kako bi tijelo nadležno za davanje razrješnice moglo razlikovati aktivnosti Europskog vijeća i Vijeća te procijeniti trendove tijekom vremena;</w:t>
      </w:r>
    </w:p>
    <w:p w14:paraId="2C45FF18" w14:textId="77777777" w:rsidR="007C41BF" w:rsidRPr="00FF7D35" w:rsidRDefault="007C41BF" w:rsidP="007C41BF">
      <w:pPr>
        <w:pStyle w:val="Default"/>
        <w:spacing w:after="240"/>
        <w:ind w:left="567" w:hanging="567"/>
      </w:pPr>
      <w:r w:rsidRPr="00FF7D35">
        <w:rPr>
          <w:rFonts w:ascii="Times New Roman" w:hAnsi="Times New Roman"/>
        </w:rPr>
        <w:t>33.</w:t>
      </w:r>
      <w:r w:rsidRPr="00FF7D35">
        <w:rPr>
          <w:rFonts w:ascii="Times New Roman" w:hAnsi="Times New Roman"/>
        </w:rPr>
        <w:tab/>
        <w:t>konstatira da je proračun Vijeća za 2024. iznosio 676 881 123 EUR, što odgovara povećanju od 4,47 % u odnosu na 2023.; konstatira da je to povećanje uglavnom povezano s revizijom parametara ažuriranja plaća zbog inflacije;</w:t>
      </w:r>
    </w:p>
    <w:p w14:paraId="1458175C" w14:textId="77777777" w:rsidR="007C41BF" w:rsidRPr="00FF7D35" w:rsidRDefault="007C41BF" w:rsidP="007C41BF">
      <w:pPr>
        <w:pStyle w:val="NormalHanging12a"/>
      </w:pPr>
      <w:r w:rsidRPr="00FF7D35">
        <w:t>34.</w:t>
      </w:r>
      <w:r w:rsidRPr="00FF7D35">
        <w:tab/>
        <w:t>konstatira da je stopa izvršenja Vijeća za odobrena sredstva za preuzimanje obveza za tekuću godinu 2024. iznosila 96,40 % (u usporedbi s 97,01 % 2023.), a stopa izvršenja za odobrena sredstva za plaćanja za tekuću godinu 2024. iznosila je 87,95 % (u usporedbi s 86,39 % 2023.); napominje da je krajem 2024. ukinuto oko 24 milijuna EUR odobrenih sredstava, od čega oko 62 % potječe iz proračunskih linija povezanih s rashodima koji se odnose na osoblje; napominje da je stopa izvršenja ukupnog iznosa prenesenog iz 2023. u 2024., tj. 85 520 696 EUR, iznosila 91 %;</w:t>
      </w:r>
    </w:p>
    <w:p w14:paraId="1284DD85" w14:textId="77777777" w:rsidR="007C41BF" w:rsidRPr="00FF7D35" w:rsidRDefault="007C41BF" w:rsidP="007C41BF">
      <w:pPr>
        <w:pStyle w:val="NormalHanging12a"/>
      </w:pPr>
      <w:r w:rsidRPr="00FF7D35">
        <w:t>35.</w:t>
      </w:r>
      <w:r w:rsidRPr="00FF7D35">
        <w:tab/>
        <w:t>konstatira da su odobrena sredstva prenesena iz 2024. u 2025. ukupno iznosila 78,6 milijuna EUR (smanjenje s približno 85,5 milijuna EUR prethodne godine), što uglavnom obuhvaća računalne sustave, troškove poslova usmenog prevođenja obavljenih 2024. za koje računi još nisu bili dogovoreni sa službama Komisije u trenutku zaključenja, zgrade, informiranje i javna događanja, tehničku opremu, sigurnost i zaštitu, sastanke i konferencije uglavnom povezane s računima za organizaciju sastanaka Europskog vijeća, sastanaka Vijeća i sastanaka na vrhu 2024. koji još nisu zaprimljeni, namještaj te druge rashode za osoblje;</w:t>
      </w:r>
    </w:p>
    <w:p w14:paraId="0E32FA88" w14:textId="77777777" w:rsidR="007C41BF" w:rsidRPr="00FF7D35" w:rsidRDefault="007C41BF" w:rsidP="007C41BF">
      <w:pPr>
        <w:pStyle w:val="NormalHanging12a"/>
      </w:pPr>
      <w:r w:rsidRPr="00FF7D35">
        <w:t>36.</w:t>
      </w:r>
      <w:r w:rsidRPr="00FF7D35">
        <w:tab/>
        <w:t>napominje da je Vijeće 2024. provelo 42 proračunska prijenosa u skladu s člankom 29. Financijske uredbe kako bi ojačalo različite proračunske linije, uključujući „radove opremanja i ugradnje”, „poslove zaštite uredskih prostora”, „stjecanje opreme i softvera” te „kupnju i zamjenu tehničke opreme i instalacija”; napominje da su tri od tih prijenosa, za koje je bilo potrebno obavijestiti proračunsko tijelo u skladu s člankom 29. stavkom 2. Financijske uredbe, ukupno iznosila oko 12,8 milijuna EUR;</w:t>
      </w:r>
    </w:p>
    <w:p w14:paraId="54C1E442" w14:textId="77777777" w:rsidR="007C41BF" w:rsidRPr="00FF7D35" w:rsidRDefault="007C41BF" w:rsidP="007C41BF">
      <w:pPr>
        <w:pStyle w:val="NormalHanging12a"/>
      </w:pPr>
      <w:r w:rsidRPr="00FF7D35">
        <w:t>37.</w:t>
      </w:r>
      <w:r w:rsidRPr="00FF7D35">
        <w:tab/>
        <w:t>konstatira da se prosječni rok plaćanja računa od 2023. do 2025. produljio s 13 na 15 dana, što je znatno kraće od najvećeg dopuštenog roka od 30 dana, čime su izbjegnute zatezne kamate;</w:t>
      </w:r>
    </w:p>
    <w:p w14:paraId="2D5EA24D" w14:textId="77777777" w:rsidR="007C41BF" w:rsidRPr="00FF7D35" w:rsidRDefault="007C41BF" w:rsidP="007C41BF">
      <w:pPr>
        <w:pStyle w:val="NormalHanging12a"/>
      </w:pPr>
      <w:r w:rsidRPr="00FF7D35">
        <w:lastRenderedPageBreak/>
        <w:t>38.</w:t>
      </w:r>
      <w:r w:rsidRPr="00FF7D35">
        <w:tab/>
        <w:t>napominje da su se troškovi službenih putovanja, koji obuhvaćaju troškove službenih putovanja Tajništva i troškove službenih putovanja članova osoblja povezanih s Europskim vijećem, smanjili za 18,50 %, s približno 5,2 milijuna EUR 2023. na približno 4,3 milijuna EUR 2024., dok su se putni troškovi delegacija predsjedništava i nacionalnih delegacija smanjili za 2,61 %, s približno 15,3 milijuna EUR 2023. na približno 14,9 milijuna EUR 2024.;</w:t>
      </w:r>
    </w:p>
    <w:p w14:paraId="22853426" w14:textId="77777777" w:rsidR="007C41BF" w:rsidRPr="00FF7D35" w:rsidRDefault="007C41BF" w:rsidP="007C41BF">
      <w:pPr>
        <w:pStyle w:val="NormalHanging12a"/>
        <w:rPr>
          <w:b/>
          <w:i/>
        </w:rPr>
      </w:pPr>
      <w:r w:rsidRPr="00FF7D35">
        <w:t>39.</w:t>
      </w:r>
      <w:r w:rsidRPr="00FF7D35">
        <w:tab/>
        <w:t>poziva Vijeće da objavi godišnju raščlambu putnih troškova i troškova reprezentacije viših dužnosnika, uključujući predsjednika Europskog vijeća, Visokog predstavnika Unije za vanjske poslove i sigurnosnu politiku i Tajništvo, u formatu prilagođenom korisnicima koji je dostupan javnosti;</w:t>
      </w:r>
    </w:p>
    <w:p w14:paraId="6B2E56EA" w14:textId="77777777" w:rsidR="007C41BF" w:rsidRPr="00FF7D35" w:rsidRDefault="007C41BF" w:rsidP="007C41BF">
      <w:pPr>
        <w:pStyle w:val="NormalHanging12a"/>
      </w:pPr>
      <w:r w:rsidRPr="00FF7D35">
        <w:t>40.</w:t>
      </w:r>
      <w:r w:rsidRPr="00FF7D35">
        <w:tab/>
        <w:t>izražava zabrinutost zbog nedostatnih kontrolnih mehanizama povezanima sa savjetodavnim uslugama i vanjskim izvođačima koje zatraži odnosno angažira Vijeće; poziva na potpuno objavljivanje svih ugovora u vrijednosti većoj od 50 000 EUR, s pojedinostima u pogledu sadržaja, naručene robe i subjekata kojima je dodijeljen ugovor, kako bi se spriječila potencijalna zlouporaba javnih sredstava;</w:t>
      </w:r>
    </w:p>
    <w:p w14:paraId="6BC9494A" w14:textId="77777777" w:rsidR="007C41BF" w:rsidRPr="00FF7D35" w:rsidRDefault="007C41BF" w:rsidP="007C41BF">
      <w:pPr>
        <w:pStyle w:val="NormalHanging12a"/>
        <w:rPr>
          <w:b/>
          <w:i/>
          <w:iCs/>
        </w:rPr>
      </w:pPr>
      <w:r w:rsidRPr="00FF7D35">
        <w:rPr>
          <w:b/>
          <w:i/>
        </w:rPr>
        <w:t>Unutarnje upravljanje, uspješnost i unutarnja kontrola</w:t>
      </w:r>
    </w:p>
    <w:p w14:paraId="240D8682" w14:textId="77777777" w:rsidR="007C41BF" w:rsidRPr="00FF7D35" w:rsidRDefault="007C41BF" w:rsidP="007C41BF">
      <w:pPr>
        <w:pStyle w:val="NormalHanging12a"/>
        <w:rPr>
          <w:bCs/>
          <w:iCs/>
        </w:rPr>
      </w:pPr>
      <w:r w:rsidRPr="00FF7D35">
        <w:t>41.</w:t>
      </w:r>
      <w:r w:rsidRPr="00FF7D35">
        <w:tab/>
        <w:t>izražava zabrinutost zbog ograničene transparentnosti u pogledu savjetodavnih usluga i vanjskih izvođača koje zatraži odnosno angažira Vijeće; poziva na proaktivno objavljivanje svih ugovora visoke vrijednosti i okvirnih ugovora, uključujući izmjene ugovora, rezultate i pokazatelje uspješnosti; poziva na transparentnost temeljenu na riziku s posebnim nadzorom ugovora povezanih s informatičkim, komunikacijskim i reputacijskim uslugama te poziva na godišnje izvješćivanje o oslanjanju na vanjske izvođače u odnosu na unutarnje kapacitete;</w:t>
      </w:r>
    </w:p>
    <w:p w14:paraId="35EDEEFC" w14:textId="77777777" w:rsidR="007C41BF" w:rsidRPr="00FF7D35" w:rsidRDefault="007C41BF" w:rsidP="007C41BF">
      <w:pPr>
        <w:pStyle w:val="NormalHanging12a"/>
      </w:pPr>
      <w:r w:rsidRPr="00FF7D35">
        <w:t>42.</w:t>
      </w:r>
      <w:r w:rsidRPr="00FF7D35">
        <w:tab/>
        <w:t xml:space="preserve">napominje da su se aktivnosti Tajništva vodile višegodišnjim ciljevima donesenima 2022. i skupom posebnih ciljeva kojima se omogućuje kontinuirano donošenje odluka u Vijeću te da se preispituju na godišnjoj osnovi; prima na znanje prioritete Tajništva za 2024., koji uključuju optimizaciju radnog okruženja, poticanje kulture usmjerene na klijente, </w:t>
      </w:r>
      <w:proofErr w:type="spellStart"/>
      <w:r w:rsidRPr="00FF7D35">
        <w:t>predvodništvo</w:t>
      </w:r>
      <w:proofErr w:type="spellEnd"/>
      <w:r w:rsidRPr="00FF7D35">
        <w:t xml:space="preserve"> u području zelene transformacije, iskorištavanje prednosti digitalne transformacije i povećanje ukupne organizacijske učinkovitosti; cijeni činjenicu da je Tajništvo podržalo organizaciju šest sastanaka Europskog vijeća, dvaju neformalnih sastanaka čelnika država ili vlada i jednog sastanka na vrhu država </w:t>
      </w:r>
      <w:proofErr w:type="spellStart"/>
      <w:r w:rsidRPr="00FF7D35">
        <w:t>europodručja</w:t>
      </w:r>
      <w:proofErr w:type="spellEnd"/>
      <w:r w:rsidRPr="00FF7D35">
        <w:t xml:space="preserve"> 2024.;</w:t>
      </w:r>
    </w:p>
    <w:p w14:paraId="03F61783" w14:textId="77777777" w:rsidR="007C41BF" w:rsidRPr="00FF7D35" w:rsidRDefault="007C41BF" w:rsidP="007C41BF">
      <w:pPr>
        <w:pStyle w:val="NormalHanging12a"/>
      </w:pPr>
      <w:r w:rsidRPr="00FF7D35">
        <w:t>43.</w:t>
      </w:r>
      <w:r w:rsidRPr="00FF7D35">
        <w:tab/>
        <w:t>pozdravlja upotrebu podataka pri donošenju odluka, koja se posebno temelji na mjesečnom financijskom pregledu, koji prikazuje ključne pokazatelje uspješnosti u svim službama Tajništva, i na rukovoditeljskom pregledu, koji sadržava ključne kadrovske podatke koji olakšavaju svakodnevno upravljanje i donošenje odluka u području ljudskih resursa;</w:t>
      </w:r>
    </w:p>
    <w:p w14:paraId="12F0A787" w14:textId="77777777" w:rsidR="007C41BF" w:rsidRPr="00FF7D35" w:rsidRDefault="007C41BF" w:rsidP="007C41BF">
      <w:pPr>
        <w:pStyle w:val="NormalHanging12a"/>
      </w:pPr>
      <w:r w:rsidRPr="00FF7D35">
        <w:t>44.</w:t>
      </w:r>
      <w:r w:rsidRPr="00FF7D35">
        <w:tab/>
        <w:t>napominje da je Tajništvo 2024. pomoglo organizirati 4164 sastanka Vijeća (smanjenje u odnosu na 4429 sastanaka 2023.) i 152 sastanka/posjeta/službena putovanja za predsjednika Europskog vijeća (povećanje u odnosu na 124 sastanka 2023.);</w:t>
      </w:r>
    </w:p>
    <w:p w14:paraId="35579C97" w14:textId="77777777" w:rsidR="007C41BF" w:rsidRPr="00FF7D35" w:rsidRDefault="007C41BF" w:rsidP="007C41BF">
      <w:pPr>
        <w:pStyle w:val="NormalHanging12a"/>
      </w:pPr>
      <w:r w:rsidRPr="00FF7D35">
        <w:t>45.</w:t>
      </w:r>
      <w:r w:rsidRPr="00FF7D35">
        <w:tab/>
        <w:t xml:space="preserve">pozdravlja provedbu i funkcioniranje unutarnje kontrole Tajništva koja se temelji na međunarodno prihvaćenim standardima i osmišljena je kako bi se osigurala djelotvornost, učinkovitost i ekonomičnost poslovanja, pouzdanost izvješćivanja, zaštita </w:t>
      </w:r>
      <w:r w:rsidRPr="00FF7D35">
        <w:lastRenderedPageBreak/>
        <w:t>imovine i informacija, sprečavanje i otkrivanje nepravilnosti te odgovarajuće upravljanje rizicima; napominje da je zadržano razdvajanje dužnosti u financijskim procesima, da se registri rizika periodično prate i da su automatizirane kontrole i financijsko osposobljavanje za članove osoblja pridonijeli stabilnim sustavima kontrole tijekom 2024.;</w:t>
      </w:r>
    </w:p>
    <w:p w14:paraId="7D1F2FAF" w14:textId="77777777" w:rsidR="007C41BF" w:rsidRPr="00FF7D35" w:rsidRDefault="007C41BF" w:rsidP="007C41BF">
      <w:pPr>
        <w:pStyle w:val="NormalHanging12a"/>
      </w:pPr>
      <w:r w:rsidRPr="00FF7D35">
        <w:t>46.</w:t>
      </w:r>
      <w:r w:rsidRPr="00FF7D35">
        <w:tab/>
        <w:t>konstatira da je Vijeće, u skladu s člankom 118. Financijske uredbe, dostavilo tijelu nadležnom za davanje razrješnice svoje godišnje izvješće o unutarnjim revizijama provedenima 2024.; konstatira da je do kraja 2024. provedeno 82 % preporuka iznesenih u razdoblju 2022. – 2024., 17 % preporuka i dalje je bilo otvoreno, a za njih 1 % rukovodstvo je prihvatilo rizik ili preporuke više nisu bile primjenjive; napominje da su 2024. dovršene četiri unutarnje revizije; napominje da je za dvije od tih revizija (jedna se odnosila na potporu Europskom instrumentu mirovne pomoći, a druga na računovodstvene postupke povezane s nematerijalnom imovinom Tajništva) unutarnji revizor izdao nekoliko preporuka visokog prioriteta koje su službe obuhvaćene revizijom prihvatile; traži od Vijeća da tijelu nadležnom za davanje razrješnice dostavi javni sažetak preporuka visokog prioriteta i jasan vremenski okvir provedbe, posebno ako se revizije odnose na potporu Europskom instrumentu mirovne pomoći i upravljanje nematerijalnom imovinom, s obzirom na povećani javni interes i utjecaj takve potrošnje na ugled;</w:t>
      </w:r>
    </w:p>
    <w:p w14:paraId="30753CD1" w14:textId="77777777" w:rsidR="007C41BF" w:rsidRPr="00FF7D35" w:rsidRDefault="007C41BF" w:rsidP="007C41BF">
      <w:pPr>
        <w:pStyle w:val="NormalHanging12a"/>
        <w:rPr>
          <w:b/>
          <w:i/>
          <w:iCs/>
        </w:rPr>
      </w:pPr>
      <w:r w:rsidRPr="00FF7D35">
        <w:rPr>
          <w:b/>
          <w:i/>
        </w:rPr>
        <w:t>Ljudski resursi, jednakost i dobrobit osoblja</w:t>
      </w:r>
    </w:p>
    <w:p w14:paraId="1CAAFBAA" w14:textId="77777777" w:rsidR="007C41BF" w:rsidRPr="00FF7D35" w:rsidRDefault="007C41BF" w:rsidP="007C41BF">
      <w:pPr>
        <w:pStyle w:val="NormalHanging12a"/>
        <w:rPr>
          <w:color w:val="000000" w:themeColor="text1"/>
        </w:rPr>
      </w:pPr>
      <w:r w:rsidRPr="00FF7D35">
        <w:rPr>
          <w:color w:val="000000" w:themeColor="text1"/>
        </w:rPr>
        <w:t>47.</w:t>
      </w:r>
      <w:r w:rsidRPr="00FF7D35">
        <w:rPr>
          <w:color w:val="000000" w:themeColor="text1"/>
        </w:rPr>
        <w:tab/>
        <w:t>napominje da je Tajništvo</w:t>
      </w:r>
      <w:r w:rsidRPr="00FF7D35">
        <w:t xml:space="preserve"> </w:t>
      </w:r>
      <w:r w:rsidRPr="00FF7D35">
        <w:rPr>
          <w:color w:val="000000" w:themeColor="text1"/>
        </w:rPr>
        <w:t>krajem</w:t>
      </w:r>
      <w:r w:rsidRPr="00FF7D35">
        <w:t xml:space="preserve"> </w:t>
      </w:r>
      <w:r w:rsidRPr="00FF7D35">
        <w:rPr>
          <w:color w:val="000000" w:themeColor="text1"/>
        </w:rPr>
        <w:t>2024. zapošljavalo 3124 člana osoblja (porastu u odnosu na 3115 članova 2023.); prima na znanje raščlambu osoblja po funkciji, prema kojoj je Tajništvo 2024. zapošljavalo 2720 stalnih</w:t>
      </w:r>
      <w:r w:rsidRPr="00FF7D35">
        <w:t xml:space="preserve"> </w:t>
      </w:r>
      <w:r w:rsidRPr="00FF7D35">
        <w:rPr>
          <w:color w:val="000000" w:themeColor="text1"/>
        </w:rPr>
        <w:t>članova osoblja, 401 privremenog</w:t>
      </w:r>
      <w:r w:rsidRPr="00FF7D35">
        <w:t xml:space="preserve"> </w:t>
      </w:r>
      <w:r w:rsidRPr="00FF7D35">
        <w:rPr>
          <w:color w:val="000000" w:themeColor="text1"/>
        </w:rPr>
        <w:t>člana osoblja, 222 ugovorna djelatnika i 26 upućenih nacionalnih stručnjaka; konstatira da je raspodjela članova stalnog i privremenog</w:t>
      </w:r>
      <w:r w:rsidRPr="00FF7D35">
        <w:t xml:space="preserve"> </w:t>
      </w:r>
      <w:r w:rsidRPr="00FF7D35">
        <w:rPr>
          <w:color w:val="000000" w:themeColor="text1"/>
        </w:rPr>
        <w:t xml:space="preserve">osoblja među kategorijama radnih mjesta ostala nepromijenjena, pri čemu je 2024. bilo 1497 administratora (AD), 1 146 asistenata (AST), te 232 tajnika (SC), u usporedbi s 1474 administratora, 1159 asistenata i 295 tajnika 2023.; napominje da je stopa popunjenosti u planu radnih mjesta krajem 2024. iznosila 97,4 % (povećanje u odnosu na 97,10 % 2023.); </w:t>
      </w:r>
    </w:p>
    <w:p w14:paraId="66856526" w14:textId="77777777" w:rsidR="007C41BF" w:rsidRPr="00FF7D35" w:rsidRDefault="007C41BF" w:rsidP="007C41BF">
      <w:pPr>
        <w:pStyle w:val="NormalHanging12a"/>
      </w:pPr>
      <w:r w:rsidRPr="00FF7D35">
        <w:t>48.</w:t>
      </w:r>
      <w:r w:rsidRPr="00FF7D35">
        <w:tab/>
        <w:t>žali zbog nepostojanja javno dostupnih informacija o rodnoj i geografskoj raspodjeli članova osoblja u Tajništvu; poziva Vijeće da Parlamentu dostavi informacije o rodnoj ravnoteži, geografskoj raspodjeli i invaliditetima svojih članova osoblja te o unutarnjim politikama u pogledu tih pitanja; potiče Vijeće da promiče geografsku ravnotežu među svojim članovima osoblja predlaganjem većeg broja kandidata iz nedovoljno zastupljenih država članica;</w:t>
      </w:r>
    </w:p>
    <w:p w14:paraId="26864C15" w14:textId="77777777" w:rsidR="007C41BF" w:rsidRPr="00FF7D35" w:rsidRDefault="007C41BF" w:rsidP="007C41BF">
      <w:pPr>
        <w:pStyle w:val="NormalHanging12a"/>
      </w:pPr>
      <w:r w:rsidRPr="00FF7D35">
        <w:t>49.</w:t>
      </w:r>
      <w:r w:rsidRPr="00FF7D35">
        <w:tab/>
        <w:t xml:space="preserve">pozdravlja trud koji je Tajništvo uložilo 2024. kako bi privuklo, zadržalo i motiviralo članove osoblja; napominje da je Tajništvo sudjelovalo na danima karijera, sajmovima karijera, događanjima u području ljudskih resursa za stalna predstavništva i informativnim sastancima za predstavnike država članica, pojačanoj razmjeni s članovima osoblja drugih institucija putem </w:t>
      </w:r>
      <w:proofErr w:type="spellStart"/>
      <w:r w:rsidRPr="00FF7D35">
        <w:t>međuinstitucijske</w:t>
      </w:r>
      <w:proofErr w:type="spellEnd"/>
      <w:r w:rsidRPr="00FF7D35">
        <w:t xml:space="preserve"> vježbe praćenja rada uz aktivno sudjelovanje 23 članova osoblja Tajništva, pridonijelo modernizaciji poslovanja EPSO-a, organiziralo 518 postupaka odabira i 127 intervjua, kao i interne natječaje za sve vrste uloga;</w:t>
      </w:r>
    </w:p>
    <w:p w14:paraId="09217CFA" w14:textId="77777777" w:rsidR="007C41BF" w:rsidRPr="00FF7D35" w:rsidRDefault="007C41BF" w:rsidP="007C41BF">
      <w:pPr>
        <w:pStyle w:val="NormalHanging12a"/>
      </w:pPr>
      <w:r w:rsidRPr="00FF7D35">
        <w:t>50.</w:t>
      </w:r>
      <w:r w:rsidRPr="00FF7D35">
        <w:tab/>
        <w:t xml:space="preserve">sa zadovoljstvom prima na znanje da Tajništvo nudi niz tečajeva osposobljavanja i kampanja za podizanje razine informiranosti o određenim temama kao što su, među </w:t>
      </w:r>
      <w:r w:rsidRPr="00FF7D35">
        <w:lastRenderedPageBreak/>
        <w:t>ostalim, financije, sigurnosne mjere i pravila ponašanja; posebno prima na znanje poboljšane parametre u pogledu kampanje Tajništva za podizanje razine informiranosti o etici, dok je angažman osoblja u pogledu etičkih pitanja 2024. znatno povećan;</w:t>
      </w:r>
    </w:p>
    <w:p w14:paraId="64C430E6" w14:textId="77777777" w:rsidR="007C41BF" w:rsidRPr="00FF7D35" w:rsidRDefault="007C41BF" w:rsidP="007C41BF">
      <w:pPr>
        <w:pStyle w:val="NormalHanging12a"/>
      </w:pPr>
      <w:r w:rsidRPr="00FF7D35">
        <w:t>51.</w:t>
      </w:r>
      <w:r w:rsidRPr="00FF7D35">
        <w:tab/>
        <w:t xml:space="preserve">prima na znanje niz mjera koje je Vijeće poduzelo 2024. u korist zdravlja i dobrobiti svojih članova osoblja; u tom kontekstu napominje da je Tajništvo ponudilo potporu, među ostalim, u obliku usluga profesionalnih i kliničkih psihologa i tečajeva osposobljavanja za očuvanje mentalnog zdravlja i upravljanje stresom; pozdravlja sudjelovanje Tajništva u organizaciji </w:t>
      </w:r>
      <w:proofErr w:type="spellStart"/>
      <w:r w:rsidRPr="00FF7D35">
        <w:t>međuinstitucijskog</w:t>
      </w:r>
      <w:proofErr w:type="spellEnd"/>
      <w:r w:rsidRPr="00FF7D35">
        <w:t xml:space="preserve"> tjedna zdravlja i sigurnosti u listopadu 2024. i objavu svih usluga i aktivnosti koje provodi Tajništvo na njegovu intranetu radi potpore dobrobiti i zdravlju; napominje da je Tajništvo izradilo pregled pokazatelja koji se odnose na psihosocijalne rizike, s ciljem boljeg usmjeravanja preventivnih mjera, te je uspostavilo multidisciplinarni tim koji razvija sustav upravljanja zdravljem i sigurnošću kako bi Tajništvo bolje kontroliralo sve rizike na radnom mjestu;</w:t>
      </w:r>
    </w:p>
    <w:p w14:paraId="5594DC97" w14:textId="77777777" w:rsidR="007C41BF" w:rsidRPr="00FF7D35" w:rsidRDefault="007C41BF" w:rsidP="007C41BF">
      <w:pPr>
        <w:pStyle w:val="NormalHanging12a"/>
      </w:pPr>
      <w:r w:rsidRPr="00FF7D35">
        <w:t>52.</w:t>
      </w:r>
      <w:r w:rsidRPr="00FF7D35">
        <w:tab/>
        <w:t xml:space="preserve">sa zadovoljstvom konstatira da Tajništvo ima nekoliko skupina ili mreža, kao što su skupina i mreža Tajništva za raznolikost i </w:t>
      </w:r>
      <w:proofErr w:type="spellStart"/>
      <w:r w:rsidRPr="00FF7D35">
        <w:t>uključivost</w:t>
      </w:r>
      <w:proofErr w:type="spellEnd"/>
      <w:r w:rsidRPr="00FF7D35">
        <w:t>, mreža Olympia (za administratorice), mreža LGBTI i mreža osoba s invaliditetom;</w:t>
      </w:r>
    </w:p>
    <w:p w14:paraId="4ADF826B" w14:textId="77777777" w:rsidR="007C41BF" w:rsidRPr="00FF7D35" w:rsidRDefault="007C41BF" w:rsidP="007C41BF">
      <w:pPr>
        <w:pStyle w:val="NormalHanging12a"/>
      </w:pPr>
      <w:r w:rsidRPr="00FF7D35">
        <w:t>53.</w:t>
      </w:r>
      <w:r w:rsidRPr="00FF7D35">
        <w:tab/>
        <w:t>sa zadovoljstvom prima na znanje mjere Tajništva za osobe s invaliditetom u okviru njegovih aktivnosti; napominje da je Tajništvo uspostavilo pojednostavnjeni postupak za obradu zahtjeva stažista, članova osoblja i kandidata s invaliditetom za razumnu prilagodbu; nadalje, napominje da su 2024. organizirani naknadni tečajevi osposobljavanja za podvornike koji se odnose na dočekivanje i praćenje posjetitelja s različitim vrstama invaliditeta; napominje da je Tajništvo 2024. primilo 115 stažista, od kojih je pet primljeno u okviru programa pozitivnih mjera Tajništva za stažiste s invaliditetom; podsjeća na to da bi stažiranja trebala biti plaćena, u skladu s Rezolucijom parlamenta od 14. lipnja 2023. o kvalitetnim pripravništvima u Uniji (2020/2005(INL)), u kojoj se poziva na to da sva pripravništva u Uniji budu plaćena; ističe da je neplaćeno pripravništvo oblik iskorištavanja mladih radnika i prepreka ostvarivanju jednakih mogućnosti;</w:t>
      </w:r>
    </w:p>
    <w:p w14:paraId="7B9B1C7B" w14:textId="77777777" w:rsidR="007C41BF" w:rsidRPr="00FF7D35" w:rsidRDefault="007C41BF" w:rsidP="007C41BF">
      <w:pPr>
        <w:pStyle w:val="NormalHanging12a"/>
      </w:pPr>
      <w:r w:rsidRPr="00FF7D35">
        <w:t>54.</w:t>
      </w:r>
      <w:r w:rsidRPr="00FF7D35">
        <w:tab/>
        <w:t>napominje da je Tajništvo uvelo nova pravila o radnom vremenu, radu na daljinu i dopustu te pokrenulo novi informatički modul (</w:t>
      </w:r>
      <w:proofErr w:type="spellStart"/>
      <w:r w:rsidRPr="00FF7D35">
        <w:t>Sysper</w:t>
      </w:r>
      <w:proofErr w:type="spellEnd"/>
      <w:r w:rsidRPr="00FF7D35">
        <w:t>-TIM) za upravljanje radnim vremenom; sa zadovoljstvom prima na znanje organizaciju tečajeva osposobljavanja i komunikacijskih aktivnosti kao što su video upute, najčešća pitanja, internetski seminari itd. o novim pravilima i novom modulu;</w:t>
      </w:r>
    </w:p>
    <w:p w14:paraId="08A0A42E" w14:textId="77777777" w:rsidR="007C41BF" w:rsidRPr="00FF7D35" w:rsidRDefault="007C41BF" w:rsidP="007C41BF">
      <w:pPr>
        <w:pStyle w:val="NormalHanging12a"/>
        <w:ind w:left="0" w:firstLine="0"/>
        <w:rPr>
          <w:i/>
          <w:iCs/>
        </w:rPr>
      </w:pPr>
      <w:r w:rsidRPr="00FF7D35">
        <w:rPr>
          <w:b/>
          <w:i/>
        </w:rPr>
        <w:t>Etički okvir i transparentnost</w:t>
      </w:r>
    </w:p>
    <w:p w14:paraId="15C7382E" w14:textId="77777777" w:rsidR="007C41BF" w:rsidRPr="00FF7D35" w:rsidRDefault="007C41BF" w:rsidP="007C41BF">
      <w:pPr>
        <w:pStyle w:val="NormalHanging12a"/>
      </w:pPr>
      <w:r w:rsidRPr="00FF7D35">
        <w:t>55.</w:t>
      </w:r>
      <w:r w:rsidRPr="00FF7D35">
        <w:tab/>
        <w:t>ponavlja da etično ponašanje pridonosi dobrom financijskom upravljanju i povećava razinu povjerenja javnosti te da, kako je Revizorski sud istaknuo u svojem tematskom izvješću 13/2019, ima prostora za poboljšanje etičkih okvira institucija Unije; konkretno, podsjeća na preporuku Revizorskog suda za poboljšanje etičkog okvira Vijeća; izražava zabrinutost zbog nepostojanja zajedničkog etičkog okvira Unije, kako je utvrdio Revizorski sud, a kojim bi se regulirao rad predstavnika država članica u Vijeću; naglašava da nijedna institucija Unije ne bi trebala biti izuzeta od jasnih, obvezujućih i provedivih etičkih pravila kada sudjeluje u donošenju odluka Unije koje uključuju javne rashode;</w:t>
      </w:r>
    </w:p>
    <w:p w14:paraId="16C2EA6C" w14:textId="77777777" w:rsidR="007C41BF" w:rsidRPr="00FF7D35" w:rsidRDefault="007C41BF" w:rsidP="007C41BF">
      <w:pPr>
        <w:pStyle w:val="NormalHanging12a"/>
      </w:pPr>
      <w:r w:rsidRPr="00FF7D35">
        <w:lastRenderedPageBreak/>
        <w:t>56.</w:t>
      </w:r>
      <w:r w:rsidRPr="00FF7D35">
        <w:tab/>
        <w:t>žali zbog toga što su dvije ključne sastavnice etičkog okvira Vijeća, „Vodič za etiku i ponašanje” za osoblje Tajništva i „Kodeks ponašanja za predsjednika Europskog vijeća”, dostupne na internetskoj stranici Vijeća bez dodatnih smjernica i datuma objave; kritizira činjenicu što, unatoč nekoliko zahtjeva Parlamenta, kodeks ponašanja za predsjednika Europskog vijeća nije usklađen s istovjetnim dokumentom Parlamenta i Komisije, posebno u pogledu aktivnosti nakon prestanka obavljanja dužnosti;</w:t>
      </w:r>
    </w:p>
    <w:p w14:paraId="4EA7DD11" w14:textId="77777777" w:rsidR="007C41BF" w:rsidRPr="00FF7D35" w:rsidRDefault="007C41BF" w:rsidP="007C41BF">
      <w:pPr>
        <w:pStyle w:val="NormalHanging12a"/>
      </w:pPr>
      <w:r w:rsidRPr="00FF7D35">
        <w:t>57.</w:t>
      </w:r>
      <w:r w:rsidRPr="00FF7D35">
        <w:tab/>
        <w:t>konstatira da Tajništvo objavljuje godišnje izvješće s informacijama o profesionalnim aktivnostima bivših viših dužnosnika Tajništva nakon odlaska iz službe, u skladu s člankom 16. trećim i četvrtim stavkom Pravilnika o osoblju za dužnosnike Unije; napominje da je, prema izvješću za 2024., jedan bivši viši dužnosnik izjavio da se namjerava baviti profesionalnim aktivnostima više od 12 mjeseci nakon odlaska iz Tajništva; napominje da je prije donošenja odluke u tom slučaju provedeno savjetovanje sa zajedničkim odborom (</w:t>
      </w:r>
      <w:proofErr w:type="spellStart"/>
      <w:r w:rsidRPr="00FF7D35">
        <w:t>fr</w:t>
      </w:r>
      <w:proofErr w:type="spellEnd"/>
      <w:r w:rsidRPr="00FF7D35">
        <w:t xml:space="preserve">. </w:t>
      </w:r>
      <w:proofErr w:type="spellStart"/>
      <w:r w:rsidRPr="00FF7D35">
        <w:t>commission</w:t>
      </w:r>
      <w:proofErr w:type="spellEnd"/>
      <w:r w:rsidRPr="00FF7D35">
        <w:t xml:space="preserve"> </w:t>
      </w:r>
      <w:proofErr w:type="spellStart"/>
      <w:r w:rsidRPr="00FF7D35">
        <w:t>paritaire</w:t>
      </w:r>
      <w:proofErr w:type="spellEnd"/>
      <w:r w:rsidRPr="00FF7D35">
        <w:t>); sa žaljenjem prima na znanje nedostatak informacija na internetskim stranicama Vijeća o tome je li donesena odluka u korist ili protiv izdavanja dozvole za obavljanje tražene aktivnosti; ponavlja svoj poziv Vijeću da uspostavi jasna, razmjerna i provediva pravila o zapošljavanju viših dužnosnika nakon prestanka radnog odnosa, nadovezujući se na postojeći pravni okvir, te da osigura odgovarajuću transparentnost, uključujući, prema potrebi, veza s privatnim sektorom, uz potpuno poštovanje temeljnih prava i načela proporcionalnosti;</w:t>
      </w:r>
    </w:p>
    <w:p w14:paraId="18D8B8FC" w14:textId="77777777" w:rsidR="007C41BF" w:rsidRPr="00FF7D35" w:rsidRDefault="007C41BF" w:rsidP="007C41BF">
      <w:pPr>
        <w:pStyle w:val="NormalHanging12a"/>
      </w:pPr>
      <w:r w:rsidRPr="00FF7D35">
        <w:t>58.</w:t>
      </w:r>
      <w:r w:rsidRPr="00FF7D35">
        <w:tab/>
        <w:t xml:space="preserve">žali zbog činjenice da je sudjelovanje stalnih predstavnika država članica u obveznom registru transparentnosti, koji je uspostavljen </w:t>
      </w:r>
      <w:proofErr w:type="spellStart"/>
      <w:r w:rsidRPr="00FF7D35">
        <w:t>međuinstitucijskim</w:t>
      </w:r>
      <w:proofErr w:type="spellEnd"/>
      <w:r w:rsidRPr="00FF7D35">
        <w:t xml:space="preserve"> sporazumom od 20. svibnja 2021. između Parlamenta, Vijeća i Komisije, potpuno dobrovoljno jer je primjena načela uvjetovanosti prepuštena diskrecijskoj odluci stalnog predstavništva svake države članice; napominje da se samo ograničen broj država članica i institucije Unije u svojem regulatornom okviru pridržavaju najbolje prakse primjene obvezne široke definicije lobista i ustraje u tome da bi sva stalna predstavništva trebala aktivno sudjelovati u obveznom registru transparentnosti prije, tijekom i nakon predsjedanja svojih država članica Vijećem; podsjeća na stajalište Parlamenta prema kojem predstavnicima država članica koji izravno ostvaruju korist od subvencija Unije putem poduzeća čiji su vlasnici ne bi smjelo biti dozvoljeno da sudjeluju u raspravama i glasovanjima o politikama ili proračunu povezanima s tim subvencijama; žali zbog toga što se Vijeće u potpunosti ne koristi obveznim registrom transparentnosti i ne prihvaća prijedloge za njegovo poboljšanje; ponovno poziva Vijeće da se suzdrži od suradnje s neregistriranim lobistima i da se pobrine za to da njegovi viši dužnosnici, uključujući stalne predstavnike i voditelje delegacija, javno objave svoje sastanke s interesnim skupinama i lobistima u standardiziranom registru transparentnosti, slično obvezama kojima podliježu zastupnici u Parlamentu i članovi Komisije;</w:t>
      </w:r>
    </w:p>
    <w:p w14:paraId="4D3D4CED" w14:textId="77777777" w:rsidR="007C41BF" w:rsidRPr="00FF7D35" w:rsidRDefault="007C41BF" w:rsidP="007C41BF">
      <w:pPr>
        <w:pStyle w:val="NormalHanging12a"/>
      </w:pPr>
      <w:r w:rsidRPr="00FF7D35">
        <w:t>59.</w:t>
      </w:r>
      <w:r w:rsidRPr="00FF7D35">
        <w:tab/>
        <w:t xml:space="preserve">žali zbog toga što postupak donošenja odluka u Vijeću još uvijek nije potpuno transparentan, što utječe na povjerenje građana u Uniju kao transparentan subjekt i time ugrožava ugled Unije u cjelini; podsjeća na preporuke </w:t>
      </w:r>
      <w:proofErr w:type="spellStart"/>
      <w:r w:rsidRPr="00FF7D35">
        <w:t>Ombudsmana</w:t>
      </w:r>
      <w:proofErr w:type="spellEnd"/>
      <w:r w:rsidRPr="00FF7D35">
        <w:t xml:space="preserve"> o transparentnosti zakonodavnog postupka Vijeća u okviru strateške istrage OI/2/2017/TE </w:t>
      </w:r>
      <w:proofErr w:type="spellStart"/>
      <w:r w:rsidRPr="00FF7D35">
        <w:t>te</w:t>
      </w:r>
      <w:proofErr w:type="spellEnd"/>
      <w:r w:rsidRPr="00FF7D35">
        <w:t xml:space="preserve"> ih podržava; potiče Vijeće da bez nepotrebne odgode poduzme sve potrebne mjere za provedbu preporuka </w:t>
      </w:r>
      <w:proofErr w:type="spellStart"/>
      <w:r w:rsidRPr="00FF7D35">
        <w:t>Ombudsmana</w:t>
      </w:r>
      <w:proofErr w:type="spellEnd"/>
      <w:r w:rsidRPr="00FF7D35">
        <w:t xml:space="preserve"> i relevantnih presuda Suda Europske unije; podsjeća na to da je Sud EU-a, u svojoj presudi u predmetu T-163/21, </w:t>
      </w:r>
      <w:r w:rsidRPr="00FF7D35">
        <w:rPr>
          <w:i/>
          <w:iCs/>
        </w:rPr>
        <w:t xml:space="preserve">De </w:t>
      </w:r>
      <w:proofErr w:type="spellStart"/>
      <w:r w:rsidRPr="00FF7D35">
        <w:rPr>
          <w:i/>
          <w:iCs/>
        </w:rPr>
        <w:t>Capitani</w:t>
      </w:r>
      <w:proofErr w:type="spellEnd"/>
      <w:r w:rsidRPr="00FF7D35">
        <w:rPr>
          <w:i/>
          <w:iCs/>
        </w:rPr>
        <w:t xml:space="preserve"> / Vijeće</w:t>
      </w:r>
      <w:r w:rsidRPr="00FF7D35">
        <w:t xml:space="preserve">, naglasio da će biti potrebna veća zakonodavna transparentnost u Vijeću kada je riječ o pristupu zakonodavnim dokumentima, što bi bilo jednostavno u skladu s obvezom Vijeća u pogledu javnog nadzora i odgovornosti </w:t>
      </w:r>
      <w:proofErr w:type="spellStart"/>
      <w:r w:rsidRPr="00FF7D35">
        <w:t>suzakonodavaca</w:t>
      </w:r>
      <w:proofErr w:type="spellEnd"/>
      <w:r w:rsidRPr="00FF7D35">
        <w:t xml:space="preserve"> kao temelja svakog demokratskog legitimiteta;</w:t>
      </w:r>
    </w:p>
    <w:p w14:paraId="43BCEE79" w14:textId="77777777" w:rsidR="007C41BF" w:rsidRPr="00FF7D35" w:rsidRDefault="007C41BF" w:rsidP="007C41BF">
      <w:pPr>
        <w:pStyle w:val="NormalHanging12a"/>
      </w:pPr>
      <w:r w:rsidRPr="00FF7D35">
        <w:lastRenderedPageBreak/>
        <w:t>60.</w:t>
      </w:r>
      <w:r w:rsidRPr="00FF7D35">
        <w:tab/>
        <w:t xml:space="preserve">napominje da je </w:t>
      </w:r>
      <w:proofErr w:type="spellStart"/>
      <w:r w:rsidRPr="00FF7D35">
        <w:t>Ombudsman</w:t>
      </w:r>
      <w:proofErr w:type="spellEnd"/>
      <w:r w:rsidRPr="00FF7D35">
        <w:t xml:space="preserve"> 2023. na vlastitu inicijativu pokrenuo novu istragu u pogledu načina na koji Vijeće postupa sa zahtjevima za javni pristup zakonodavnim dokumentima i dovršio je 2024.; prima na znanje zaključke te istrage u kojima je utvrđeno da se Vijeće koristilo zaštitom postupaka donošenja odluka koji su u tijeku kao razlogom za odbijanje pristupa dokumentima s „nejasnim, apstraktnim i neutemeljenim argumentima”; podsjeća na činjenicu da je Sud Europske unije odbacio argumente koji su uključivali potrebu za izbjegavanjem vanjskog pritiska ili pogrešnog tumačenja javnosti ili potrebu za zaštitom pravnog savjeta; stoga je zabrinut zbog toga što Vijeće ne postupa sukladno sudskoj praksi Unije; traži od Vijeća da ispravi te nedostatke brzim objavljivanjem zakonodavnih dokumenata, čak i ako bi to dovelo do vanjskog pritiska jer je to čimbenik u svakom demokratskom zakonodavnom postupku, i da odbija pristup zakonodavnim dokumentima samo u istinski iznimnim okolnostima; poziva Vijeće da bez odgode provede zaključke </w:t>
      </w:r>
      <w:proofErr w:type="spellStart"/>
      <w:r w:rsidRPr="00FF7D35">
        <w:t>Ombudsmana</w:t>
      </w:r>
      <w:proofErr w:type="spellEnd"/>
      <w:r w:rsidRPr="00FF7D35">
        <w:t xml:space="preserve"> i relevantnu sudsku praksu tako što će zajamčiti da su odbijanja zbog „zaštite tekućeg donošenja odluka” strogo opravdana za svaki slučaj pojedinačno, obrazložena na konkretan način i podložna temeljitom internom preispitivanju; poziva na proaktivno objavljivanje ključnih zakonodavnih dokumenata (uključujući dokumente radnih skupina i pregovaračka stajališta) kao standardno postupanje te na godišnje javno izvješćivanje o razlozima za odbijanje;</w:t>
      </w:r>
    </w:p>
    <w:p w14:paraId="421571A5" w14:textId="77777777" w:rsidR="007C41BF" w:rsidRPr="00FF7D35" w:rsidRDefault="007C41BF" w:rsidP="007C41BF">
      <w:pPr>
        <w:pStyle w:val="NormalHanging12a"/>
      </w:pPr>
      <w:r w:rsidRPr="00FF7D35">
        <w:t>61.</w:t>
      </w:r>
      <w:r w:rsidRPr="00FF7D35">
        <w:tab/>
        <w:t>napominje da je tim za pristup dokumentima izvijestio da je 2024. primio velik broj zahtjeva za javni pristup dokumentima i odgovorio na njih, odnosno 2872 početna zahtjeva za pristup dokumentima (smanjenje u odnosu na 3732), u kojima se zahtijeva analiza 10 096 dokumenata (smanjenje u odnosu na 13 912 dokumenata 2023.) i 30 ponovnih zahtjeva (smanjenje u odnosu na 40 zahtjeva 2023.); potvrđuje smanjenje te vrste radnog opterećenja vjerojatno zbog zaustavljanja zakonodavnog rada Unije s obzirom na europske izbore 2024.;</w:t>
      </w:r>
    </w:p>
    <w:p w14:paraId="4BB5B10A" w14:textId="77777777" w:rsidR="007C41BF" w:rsidRPr="00FF7D35" w:rsidRDefault="007C41BF" w:rsidP="007C41BF">
      <w:pPr>
        <w:pStyle w:val="NormalHanging12a"/>
      </w:pPr>
      <w:r w:rsidRPr="00FF7D35">
        <w:t>62.</w:t>
      </w:r>
      <w:r w:rsidRPr="00FF7D35">
        <w:tab/>
        <w:t>konstatira da je, u pogledu početnih zahtjeva za pristup dokumentima, za 7323 dokumenta (72,5 %) odobren potpun pristup, za 1600 dokumenata (11,70 %) djelomičan pristup, dok je za 1 404 dokumenta (15,80 %) pristup odbijen; konstatira da je, u pogledu ponovnih zahtjeva, za 36 dokumenta odobren puni pristup, za 45 dokumenata djelomičan pristup, dok je za 45 dokumenata pristup odbijen; konstatira da je obrada početnih zahtjeva u prosjeku trajala 17 radnih dana, a ponovnih zahtjeva 31 radni dan;</w:t>
      </w:r>
    </w:p>
    <w:p w14:paraId="1455AE44" w14:textId="77777777" w:rsidR="007C41BF" w:rsidRPr="00FF7D35" w:rsidRDefault="007C41BF" w:rsidP="007C41BF">
      <w:pPr>
        <w:pStyle w:val="NormalHanging12a"/>
      </w:pPr>
      <w:r w:rsidRPr="00FF7D35">
        <w:t>63.</w:t>
      </w:r>
      <w:r w:rsidRPr="00FF7D35">
        <w:tab/>
        <w:t>napominje da je 2024. u okviru provedbe Odluke glavnog tajnika 23/2021 o psihološkom i seksualnom uznemiravanju na radnom mjestu poduzeto nekoliko mjera, kao što su obvezni tečajevi osposobljavanja u pogledu borbe protiv uznemiravanja i neprimjerenog ponašanja za nove zaposlenike, nove rukovoditelje i pripravnike; napominje da Tajništvo ima skupinu povjerljivih savjetnika za borbu protiv uznemiravanja koji su 2024. obradili 13 zahtjeva za povjerljivo savjetovanje povezanih s mogućim uznemiravanjem ili neprimjerenim ponašanjem;</w:t>
      </w:r>
    </w:p>
    <w:p w14:paraId="360B342E" w14:textId="77777777" w:rsidR="007C41BF" w:rsidRPr="00FF7D35" w:rsidRDefault="007C41BF" w:rsidP="007C41BF">
      <w:pPr>
        <w:pStyle w:val="NormalHanging12a"/>
      </w:pPr>
      <w:r w:rsidRPr="00FF7D35">
        <w:t>64.</w:t>
      </w:r>
      <w:r w:rsidRPr="00FF7D35">
        <w:tab/>
        <w:t>pozdravlja činjenicu da, prema javno dostupnim godišnjim izvješćima, odgovorni dužnosnici za ovjeravanje na osnovi delegiranja tijekom 2024. nisu obaviješteni ni o jednom slučaju prijevare ili nepravilnosti niti je ijedan takav slučaj proslijeđen povjerenstvu (članak 145. Financijske uredbe) ili OLAF-u;</w:t>
      </w:r>
    </w:p>
    <w:p w14:paraId="66DD9B81" w14:textId="77777777" w:rsidR="007C41BF" w:rsidRPr="00FF7D35" w:rsidRDefault="007C41BF" w:rsidP="007C41BF">
      <w:pPr>
        <w:pStyle w:val="NormalHanging12a"/>
        <w:ind w:left="357" w:hanging="357"/>
        <w:rPr>
          <w:b/>
          <w:i/>
          <w:iCs/>
        </w:rPr>
      </w:pPr>
      <w:r w:rsidRPr="00FF7D35">
        <w:rPr>
          <w:b/>
          <w:i/>
        </w:rPr>
        <w:t>Digitalizacija, kibernetička sigurnost i zaštita podataka</w:t>
      </w:r>
    </w:p>
    <w:p w14:paraId="5EA3990D" w14:textId="77777777" w:rsidR="007C41BF" w:rsidRPr="00FF7D35" w:rsidRDefault="007C41BF" w:rsidP="007C41BF">
      <w:pPr>
        <w:pStyle w:val="NormalHanging12a"/>
      </w:pPr>
      <w:r w:rsidRPr="00FF7D35">
        <w:t>65.</w:t>
      </w:r>
      <w:r w:rsidRPr="00FF7D35">
        <w:tab/>
        <w:t xml:space="preserve">konstatira da je Tajništvo 2024. nastavilo poduzimati mjere za ostvarenje cilja digitalne </w:t>
      </w:r>
      <w:r w:rsidRPr="00FF7D35">
        <w:lastRenderedPageBreak/>
        <w:t>transformacije, u skladu s prioritetima svoje digitalne strategije za razdoblje 2022. – 2025.; napominje da je od 103 projekta povezana s IT-</w:t>
      </w:r>
      <w:proofErr w:type="spellStart"/>
      <w:r w:rsidRPr="00FF7D35">
        <w:t>jem</w:t>
      </w:r>
      <w:proofErr w:type="spellEnd"/>
      <w:r w:rsidRPr="00FF7D35">
        <w:t xml:space="preserve"> u godišnjem planu rada za 2024. njih 11 % dovršeno na kraju godine, dok je 3 % otkazano ili spojeno, pri čemu je većina projekata (62 %) još u tijeku;</w:t>
      </w:r>
    </w:p>
    <w:p w14:paraId="453364DC" w14:textId="77777777" w:rsidR="007C41BF" w:rsidRPr="00FF7D35" w:rsidRDefault="007C41BF" w:rsidP="007C41BF">
      <w:pPr>
        <w:pStyle w:val="NormalHanging12a"/>
      </w:pPr>
      <w:r w:rsidRPr="00FF7D35">
        <w:t>66.</w:t>
      </w:r>
      <w:r w:rsidRPr="00FF7D35">
        <w:tab/>
        <w:t>sa zadovoljstvom prima na znanje da je 2024. 98 % računa poslano elektroničkim putem (porast u odnosu na 97 % 2023.), a 49 % ugovora i narudžbenica Tajništva potpisano je elektroničkim potpisom; nadalje, napominje da su svi novi postupci nabave u vrijednosti većoj od 143 000 EUR provedeni s pomoću Komisijina alata za upravljanje javnom nabavom;</w:t>
      </w:r>
    </w:p>
    <w:p w14:paraId="5FB11D4B" w14:textId="77777777" w:rsidR="007C41BF" w:rsidRPr="00FF7D35" w:rsidRDefault="007C41BF" w:rsidP="007C41BF">
      <w:pPr>
        <w:pStyle w:val="NormalHanging12a"/>
      </w:pPr>
      <w:r w:rsidRPr="00FF7D35">
        <w:t>67.</w:t>
      </w:r>
      <w:r w:rsidRPr="00FF7D35">
        <w:tab/>
        <w:t xml:space="preserve">prima na znanje glavne prioritete Tajništva u pogledu </w:t>
      </w:r>
      <w:proofErr w:type="spellStart"/>
      <w:r w:rsidRPr="00FF7D35">
        <w:t>međuinstitucijskih</w:t>
      </w:r>
      <w:proofErr w:type="spellEnd"/>
      <w:r w:rsidRPr="00FF7D35">
        <w:t xml:space="preserve"> sinergija i usklađivanja postupaka u području poslovnih procesa u području ljudskih resursa uz pomoć jedinstvenog portala za usluge (HR-IT); napominje da je Tajništvo 2024. potpisalo memorandum o razumijevanju s Komisijom za višegodišnji program transformacije ljudskih resursa, kojem se Tajništvo pridružilo u srpnju 2024.;</w:t>
      </w:r>
    </w:p>
    <w:p w14:paraId="28BDAA21" w14:textId="77777777" w:rsidR="007C41BF" w:rsidRPr="00FF7D35" w:rsidRDefault="007C41BF" w:rsidP="007C41BF">
      <w:pPr>
        <w:pStyle w:val="NormalHanging12a"/>
      </w:pPr>
      <w:r w:rsidRPr="00FF7D35">
        <w:t>68.</w:t>
      </w:r>
      <w:r w:rsidRPr="00FF7D35">
        <w:tab/>
        <w:t>pozdravlja daljnji napredak koji je Tajništvo ostvarilo 2024. u području IT-a i digitalizacije, kao što su pokretanje novog alata za upravljanje liječničkim terminima i terminima cijepljenja, nova platforma za upravljanje prijavama za stažiranje, prva faza projekta POMME kojim se poboljšava primjena radnih procedura u pogledu planiranja sastanaka i rasporeda usmenog prevođenja, platforma (</w:t>
      </w:r>
      <w:proofErr w:type="spellStart"/>
      <w:r w:rsidRPr="00FF7D35">
        <w:t>PreSY</w:t>
      </w:r>
      <w:proofErr w:type="spellEnd"/>
      <w:r w:rsidRPr="00FF7D35">
        <w:t>) za sveobuhvatan pregled aktivnosti praćenja u trima zgradama Vijeća, platforma (e-</w:t>
      </w:r>
      <w:proofErr w:type="spellStart"/>
      <w:r w:rsidRPr="00FF7D35">
        <w:t>Resto</w:t>
      </w:r>
      <w:proofErr w:type="spellEnd"/>
      <w:r w:rsidRPr="00FF7D35">
        <w:t xml:space="preserve"> catering) za aktivnosti i zahtjeve povezane s ugostiteljskim uslugama i </w:t>
      </w:r>
      <w:proofErr w:type="spellStart"/>
      <w:r w:rsidRPr="00FF7D35">
        <w:t>Collab</w:t>
      </w:r>
      <w:proofErr w:type="spellEnd"/>
      <w:r w:rsidRPr="00FF7D35">
        <w:t xml:space="preserve"> </w:t>
      </w:r>
      <w:proofErr w:type="spellStart"/>
      <w:r w:rsidRPr="00FF7D35">
        <w:t>Conseil</w:t>
      </w:r>
      <w:proofErr w:type="spellEnd"/>
      <w:r w:rsidRPr="00FF7D35">
        <w:t>, alat osmišljen za pohranu svih logističkih dokumenata potrebnih za pripreme ministarskih vijeća;</w:t>
      </w:r>
    </w:p>
    <w:p w14:paraId="0F346C56" w14:textId="77777777" w:rsidR="007C41BF" w:rsidRPr="00FF7D35" w:rsidRDefault="007C41BF" w:rsidP="007C41BF">
      <w:pPr>
        <w:pStyle w:val="NormalHanging12a"/>
      </w:pPr>
      <w:r w:rsidRPr="00FF7D35">
        <w:t>69.</w:t>
      </w:r>
      <w:r w:rsidRPr="00FF7D35">
        <w:tab/>
        <w:t>napominje da je Tajništvo testiralo razne alate koji se temelje na umjetnoj inteligenciji kako bi odgovorilo na pitanja o Pravilniku o osoblju, izradilo materijale za učenje (strukturirani sadržaj, studije slučaja, kvizove ili videozapise koji se temelje na konkretnom upitu) ili pomoglo rukovoditeljima u ispitivanju životopisa; naglašava da se upotreba umjetne inteligencije mora provoditi jamčenjem strogih načela etičke upotrebe, transparentnosti, zaštite podataka, ljudskog nadzora i zaštite od algoritamske pristranosti ili zlouporabe;</w:t>
      </w:r>
    </w:p>
    <w:p w14:paraId="692CE97E" w14:textId="77777777" w:rsidR="007C41BF" w:rsidRPr="00FF7D35" w:rsidRDefault="007C41BF" w:rsidP="007C41BF">
      <w:pPr>
        <w:pStyle w:val="NormalHanging12a"/>
      </w:pPr>
      <w:r w:rsidRPr="00FF7D35">
        <w:t>70.</w:t>
      </w:r>
      <w:r w:rsidRPr="00FF7D35">
        <w:tab/>
        <w:t>napominje da je Europski nadzornik za zaštitu podataka 2024. proveo reviziju obrade medicinskih podataka, posebno zadržavanja, unutar ključnih europskih institucija, uključujući Tajništvo; poziva Tajništvo da provede preporuke Europskog nadzornika za zaštitu podataka u pogledu osiguravanja odgovarajućih politika zadržavanja podataka;</w:t>
      </w:r>
    </w:p>
    <w:p w14:paraId="7B068732" w14:textId="77777777" w:rsidR="007C41BF" w:rsidRPr="00FF7D35" w:rsidRDefault="007C41BF" w:rsidP="007C41BF">
      <w:pPr>
        <w:pStyle w:val="NormalHanging12a"/>
        <w:rPr>
          <w:b/>
        </w:rPr>
      </w:pPr>
      <w:r w:rsidRPr="00FF7D35">
        <w:t>71.</w:t>
      </w:r>
      <w:r w:rsidRPr="00FF7D35">
        <w:tab/>
        <w:t>prima na znanje aktivnosti Tajništva, putem njegove strukture digitalnih usluga, čiji je cilj usklađivanje s novom Uredbom o kibernetičkoj sigurnosti koja je stupila na snagu početkom 2024.; u tom kontekstu napominje da je Tajništvo 2024. razvilo interne postupke za izvješćivanje o incidentima povezanima sa kibernetičkom sigurnosti, pružilo informacije za sve smjernice Službe za kibernetičku sigurnost institucija, tijela, ureda i agencija Unije (CERT-EU) i provelo uslugu upravljanja usklađenošću u području kibernetičke sigurnosti, dok je te godine dovršeno 11 izvješća o usklađenosti; pozdravlja napore Tajništva da dovrši početno preispitivanje kibernetičke sigurnosti svih digitalnih mreža i informacijskih sustava Tajništva; pohvaljuje Vijeće za njegovo sudjelovanje u pripremi Europskog mjeseca kibernetičke sigurnosti 2024. s naglaskom na socijalnom inženjeringu;</w:t>
      </w:r>
    </w:p>
    <w:p w14:paraId="447D961B" w14:textId="77777777" w:rsidR="007C41BF" w:rsidRPr="00FF7D35" w:rsidRDefault="007C41BF" w:rsidP="007C41BF">
      <w:pPr>
        <w:pStyle w:val="NormalHanging12a"/>
        <w:ind w:left="360" w:hanging="360"/>
        <w:rPr>
          <w:b/>
          <w:bCs/>
          <w:i/>
        </w:rPr>
      </w:pPr>
      <w:r w:rsidRPr="00FF7D35">
        <w:rPr>
          <w:b/>
          <w:i/>
        </w:rPr>
        <w:lastRenderedPageBreak/>
        <w:t>Zgrade</w:t>
      </w:r>
    </w:p>
    <w:p w14:paraId="20F456E9" w14:textId="77777777" w:rsidR="007C41BF" w:rsidRPr="00FF7D35" w:rsidRDefault="007C41BF" w:rsidP="007C41BF">
      <w:pPr>
        <w:pStyle w:val="NormalHanging12a"/>
      </w:pPr>
      <w:r w:rsidRPr="00FF7D35">
        <w:t>72.</w:t>
      </w:r>
      <w:r w:rsidRPr="00FF7D35">
        <w:tab/>
        <w:t xml:space="preserve">prima na znanje da su 2024. provedeni ključni projekti kao što je obnova dvorana za sastanke Vijeća, uključujući novi namještaj, uredske koridore i akreditacijski pult u zgradi Justus </w:t>
      </w:r>
      <w:proofErr w:type="spellStart"/>
      <w:r w:rsidRPr="00FF7D35">
        <w:t>Lipsius</w:t>
      </w:r>
      <w:proofErr w:type="spellEnd"/>
      <w:r w:rsidRPr="00FF7D35">
        <w:t>;</w:t>
      </w:r>
    </w:p>
    <w:p w14:paraId="58B6FEF6" w14:textId="77777777" w:rsidR="007C41BF" w:rsidRPr="00FF7D35" w:rsidRDefault="007C41BF" w:rsidP="007C41BF">
      <w:pPr>
        <w:pStyle w:val="NormalHanging12a"/>
      </w:pPr>
      <w:r w:rsidRPr="00FF7D35">
        <w:t>73.</w:t>
      </w:r>
      <w:r w:rsidRPr="00FF7D35">
        <w:tab/>
        <w:t xml:space="preserve">napominje da je Tajništvo pokrenulo pripremne aktivnosti za obnovu svojih zgrada, uključujući Justus </w:t>
      </w:r>
      <w:proofErr w:type="spellStart"/>
      <w:r w:rsidRPr="00FF7D35">
        <w:t>Lipsius</w:t>
      </w:r>
      <w:proofErr w:type="spellEnd"/>
      <w:r w:rsidRPr="00FF7D35">
        <w:t xml:space="preserve"> i glavnu administrativnu zgradu; obaviješten je o izraženoj potrebi za potpunom obnovom tih zgrada kako bi se osigurao učinkovit rad i potpuna usklađenost s regulatornim okvirom Unije u pogledu okolišne učinkovitosti;</w:t>
      </w:r>
    </w:p>
    <w:p w14:paraId="7F6006CB" w14:textId="77777777" w:rsidR="007C41BF" w:rsidRPr="00FF7D35" w:rsidRDefault="007C41BF" w:rsidP="007C41BF">
      <w:pPr>
        <w:pStyle w:val="NormalHanging12a"/>
      </w:pPr>
      <w:r w:rsidRPr="00FF7D35">
        <w:t>74.</w:t>
      </w:r>
      <w:r w:rsidRPr="00FF7D35">
        <w:tab/>
        <w:t xml:space="preserve">konstatira da je proračunska linija 2011 „Voda, plin, električna energija i grijanje” 2024. povećana za 33 % proračunskim prijenosom; konstatira da je Tajništvo nastavilo smanjivati potrošnju energije metodama kao što su smanjenje grijanja u zgradama i zamjena kotlova u zgradi Justus </w:t>
      </w:r>
      <w:proofErr w:type="spellStart"/>
      <w:r w:rsidRPr="00FF7D35">
        <w:t>Lipsius</w:t>
      </w:r>
      <w:proofErr w:type="spellEnd"/>
      <w:r w:rsidRPr="00FF7D35">
        <w:t>;</w:t>
      </w:r>
    </w:p>
    <w:p w14:paraId="21F19B60" w14:textId="77777777" w:rsidR="007C41BF" w:rsidRPr="00FF7D35" w:rsidRDefault="007C41BF" w:rsidP="007C41BF">
      <w:pPr>
        <w:pStyle w:val="NormalHanging12a"/>
      </w:pPr>
      <w:r w:rsidRPr="00FF7D35">
        <w:t>75.</w:t>
      </w:r>
      <w:r w:rsidRPr="00FF7D35">
        <w:tab/>
        <w:t xml:space="preserve">konstatira da su tijekom 2024. izvedeni određeni ključni projekti, kao što su obnova nekih dvorana za sastanke u zgradama LEX i Justus </w:t>
      </w:r>
      <w:proofErr w:type="spellStart"/>
      <w:r w:rsidRPr="00FF7D35">
        <w:t>Lipsius</w:t>
      </w:r>
      <w:proofErr w:type="spellEnd"/>
      <w:r w:rsidRPr="00FF7D35">
        <w:t xml:space="preserve">, kontinuirana obnova uredskih hodnika u zgradi Justus </w:t>
      </w:r>
      <w:proofErr w:type="spellStart"/>
      <w:r w:rsidRPr="00FF7D35">
        <w:t>Lipsius</w:t>
      </w:r>
      <w:proofErr w:type="spellEnd"/>
      <w:r w:rsidRPr="00FF7D35">
        <w:t xml:space="preserve">, poboljšanje objekata/infrastrukture za bicikle u prostorima Glavnog tajništva Vijeća i modernizacija recepcijskih pultova u zgradi Justus </w:t>
      </w:r>
      <w:proofErr w:type="spellStart"/>
      <w:r w:rsidRPr="00FF7D35">
        <w:t>Lipsius</w:t>
      </w:r>
      <w:proofErr w:type="spellEnd"/>
      <w:r w:rsidRPr="00FF7D35">
        <w:t>;</w:t>
      </w:r>
    </w:p>
    <w:p w14:paraId="4CE26EA4" w14:textId="77777777" w:rsidR="007C41BF" w:rsidRPr="00FF7D35" w:rsidRDefault="007C41BF" w:rsidP="007C41BF">
      <w:pPr>
        <w:pStyle w:val="NormalHanging12a"/>
      </w:pPr>
      <w:r w:rsidRPr="00FF7D35">
        <w:t>76.</w:t>
      </w:r>
      <w:r w:rsidRPr="00FF7D35">
        <w:tab/>
        <w:t xml:space="preserve">žali zbog toga što Vijeće još nije uvelo pojednostavnjeni postupak akreditacije kako bi se članovima osoblja drugih institucija Unije olakšao pristup zgradama Vijeća; poziva Vijeće da brzo donese i bez daljnje odgode primijeni takav postupak u duhu </w:t>
      </w:r>
      <w:proofErr w:type="spellStart"/>
      <w:r w:rsidRPr="00FF7D35">
        <w:t>međuinstitucijske</w:t>
      </w:r>
      <w:proofErr w:type="spellEnd"/>
      <w:r w:rsidRPr="00FF7D35">
        <w:t xml:space="preserve"> suradnje;</w:t>
      </w:r>
    </w:p>
    <w:p w14:paraId="25BB6F55" w14:textId="77777777" w:rsidR="007C41BF" w:rsidRPr="00FF7D35" w:rsidRDefault="007C41BF" w:rsidP="007C41BF">
      <w:pPr>
        <w:pStyle w:val="NormalHanging12a"/>
        <w:rPr>
          <w:b/>
          <w:i/>
        </w:rPr>
      </w:pPr>
      <w:r w:rsidRPr="00FF7D35">
        <w:rPr>
          <w:b/>
          <w:i/>
        </w:rPr>
        <w:t>Okoliš i održivost</w:t>
      </w:r>
    </w:p>
    <w:p w14:paraId="22AADCFB" w14:textId="77777777" w:rsidR="007C41BF" w:rsidRPr="00FF7D35" w:rsidRDefault="007C41BF" w:rsidP="007C41BF">
      <w:pPr>
        <w:pStyle w:val="NormalHanging12a"/>
      </w:pPr>
      <w:r w:rsidRPr="00FF7D35">
        <w:t>77.</w:t>
      </w:r>
      <w:r w:rsidRPr="00FF7D35">
        <w:tab/>
        <w:t>napominje da je nakon vanjske revizije provedene 2024. zadržana certifikacija Tajništva u okviru sustava upravljanja okolišem i neovisnog ocjenjivanja (EMAS);</w:t>
      </w:r>
    </w:p>
    <w:p w14:paraId="0FEC5F81" w14:textId="77777777" w:rsidR="007C41BF" w:rsidRPr="00FF7D35" w:rsidRDefault="007C41BF" w:rsidP="007C41BF">
      <w:pPr>
        <w:pStyle w:val="NormalHanging12a"/>
      </w:pPr>
      <w:r w:rsidRPr="00FF7D35">
        <w:t>78.</w:t>
      </w:r>
      <w:r w:rsidRPr="00FF7D35">
        <w:tab/>
        <w:t>napominje da je Tajništvo 2024. ostvarilo uštedu energije poboljšanjem energetske učinkovitosti svoje tehničke infrastrukture kao što su sustavi rasvjete u zgradama u kojima je smješteno; prima na znanje smanjenje potrošnje energije u Tajništvu za 24,40 % u razdoblju od 2018. do 2024. i smanjenje potrošnje vode za 17 % u razdoblju od 2023. do 2024.; pozdravlja inicijative Tajništva za daljnje smanjenje potrošnje papira;</w:t>
      </w:r>
    </w:p>
    <w:p w14:paraId="7A1894ED" w14:textId="77777777" w:rsidR="007C41BF" w:rsidRPr="00FF7D35" w:rsidRDefault="007C41BF" w:rsidP="007C41BF">
      <w:pPr>
        <w:pStyle w:val="NormalHanging12a"/>
      </w:pPr>
      <w:r w:rsidRPr="00FF7D35">
        <w:t>79.</w:t>
      </w:r>
      <w:r w:rsidRPr="00FF7D35">
        <w:tab/>
        <w:t xml:space="preserve">pozdravlja održive prakse Tajništva ugrađene u dio njegovog poslovanja; napominje, među ostalim, da nekoliko postupaka nabave i okvirnih ugovora uključuje kriterije za smanjenje otpada i recikliranje opreme, da se sa Zelenim uredom savjetuje o projektima nabave visoke vrijednosti u Tajništvu i da su njegovi restorani 2024. dobili certifikat </w:t>
      </w:r>
      <w:proofErr w:type="spellStart"/>
      <w:r w:rsidRPr="00FF7D35">
        <w:t>Good</w:t>
      </w:r>
      <w:proofErr w:type="spellEnd"/>
      <w:r w:rsidRPr="00FF7D35">
        <w:t xml:space="preserve"> </w:t>
      </w:r>
      <w:proofErr w:type="spellStart"/>
      <w:r w:rsidRPr="00FF7D35">
        <w:t>Food</w:t>
      </w:r>
      <w:proofErr w:type="spellEnd"/>
      <w:r w:rsidRPr="00FF7D35">
        <w:t>; pozdravlja činjenicu da je Tajništvo 2024. revidiralo vodič za službena putovanja članova osoblja, koji je stupio na snagu 2025. i obuhvaća nove poticaje za smanjenje ugljičnog otiska putovanja članova osoblja; sa zadovoljstvom prima na znanje povećanje u pogledu članova osoblja koji su dolazili na posao koristeći se održivim sredstvima kao što su javni prijevoz ili bicikl, sa 67 % 2023. na 78 % 2024.;</w:t>
      </w:r>
    </w:p>
    <w:p w14:paraId="1C1649BA" w14:textId="77777777" w:rsidR="007C41BF" w:rsidRPr="00FF7D35" w:rsidRDefault="007C41BF" w:rsidP="007C41BF">
      <w:pPr>
        <w:pStyle w:val="NormalHanging12a"/>
      </w:pPr>
      <w:r w:rsidRPr="00FF7D35">
        <w:t>80.</w:t>
      </w:r>
      <w:r w:rsidRPr="00FF7D35">
        <w:tab/>
        <w:t xml:space="preserve">pozdravlja činjenicu da je Tajništvo izradilo strategiju zaštite okoliša kojom se definira planirana strategija za poboljšanje okolišne učinkovitosti Tajništva u razdoblju od 2025. do 2030. i provelo komunikacijske mjere za podizanje razine informiranosti članova </w:t>
      </w:r>
      <w:r w:rsidRPr="00FF7D35">
        <w:lastRenderedPageBreak/>
        <w:t>osoblja, delegata i posjetitelja o mjerama povezanima s okolišem koje se mogu poduzeti;</w:t>
      </w:r>
    </w:p>
    <w:p w14:paraId="1E172157" w14:textId="77777777" w:rsidR="007C41BF" w:rsidRPr="00FF7D35" w:rsidRDefault="007C41BF" w:rsidP="007C41BF">
      <w:pPr>
        <w:pStyle w:val="NormalHanging12a"/>
      </w:pPr>
      <w:r w:rsidRPr="00FF7D35">
        <w:t>81.</w:t>
      </w:r>
      <w:r w:rsidRPr="00FF7D35">
        <w:tab/>
        <w:t xml:space="preserve">napominje da je Tajništvo kupilo vozila za održiviji prijevoz, tj. jedan veliki električni automobil i tri hibridna kombija; nadalje, napominje da su infrastruktura i objekti za bicikle ispred zgrade Justus </w:t>
      </w:r>
      <w:proofErr w:type="spellStart"/>
      <w:r w:rsidRPr="00FF7D35">
        <w:t>Lipsius</w:t>
      </w:r>
      <w:proofErr w:type="spellEnd"/>
      <w:r w:rsidRPr="00FF7D35">
        <w:t xml:space="preserve"> poboljšani;</w:t>
      </w:r>
    </w:p>
    <w:p w14:paraId="7866C5FE" w14:textId="77777777" w:rsidR="007C41BF" w:rsidRPr="00FF7D35" w:rsidRDefault="007C41BF" w:rsidP="007C41BF">
      <w:pPr>
        <w:spacing w:after="240"/>
        <w:ind w:left="360" w:hanging="567"/>
        <w:rPr>
          <w:b/>
          <w:i/>
          <w:iCs/>
        </w:rPr>
      </w:pPr>
      <w:proofErr w:type="spellStart"/>
      <w:r w:rsidRPr="00FF7D35">
        <w:rPr>
          <w:b/>
          <w:i/>
        </w:rPr>
        <w:t>Međuinstitucijska</w:t>
      </w:r>
      <w:proofErr w:type="spellEnd"/>
      <w:r w:rsidRPr="00FF7D35">
        <w:rPr>
          <w:b/>
          <w:i/>
        </w:rPr>
        <w:t xml:space="preserve"> suradnja</w:t>
      </w:r>
    </w:p>
    <w:p w14:paraId="19C694BE" w14:textId="77777777" w:rsidR="007C41BF" w:rsidRPr="00FF7D35" w:rsidRDefault="007C41BF" w:rsidP="007C41BF">
      <w:pPr>
        <w:pStyle w:val="NormalHanging12a"/>
      </w:pPr>
      <w:r w:rsidRPr="00FF7D35">
        <w:t>82.</w:t>
      </w:r>
      <w:r w:rsidRPr="00FF7D35">
        <w:tab/>
        <w:t xml:space="preserve">naglašava potrebu za revizijom članka 319. UFEU-a kako bi se izričito odredilo da Parlament, osim davanja razrješnice Komisiji, daje razrješnicu i drugim institucijama, tijelima, uredima i agencijama Unije u vezi s izvršenjem njihovih dijelova proračuna ili njihovih proračuna, s ciljem osiguranja pravne jasnoće, usklađenosti i jednakog postupanja među institucijama Unije; poziva Vijeće da pravodobno poduzme konkretne korake radi prevladavanja problema </w:t>
      </w:r>
      <w:proofErr w:type="spellStart"/>
      <w:r w:rsidRPr="00FF7D35">
        <w:t>međuinstitucijskog</w:t>
      </w:r>
      <w:proofErr w:type="spellEnd"/>
      <w:r w:rsidRPr="00FF7D35">
        <w:t xml:space="preserve"> sukoba i nastavka pregovora s Parlamentom kako bi se postigao zajednički dogovor o neometanom nastavku davanja razrješnice u skladu s Ugovorima;</w:t>
      </w:r>
    </w:p>
    <w:p w14:paraId="7244ED0D" w14:textId="77777777" w:rsidR="007C41BF" w:rsidRPr="00FF7D35" w:rsidRDefault="007C41BF" w:rsidP="007C41BF">
      <w:pPr>
        <w:pStyle w:val="NormalHanging12a"/>
      </w:pPr>
      <w:r w:rsidRPr="00FF7D35">
        <w:t>83.</w:t>
      </w:r>
      <w:r w:rsidRPr="00FF7D35">
        <w:tab/>
        <w:t>poziva Vijeće da nastavi pregovore na najvišoj razini kako bi se riješio problem dugotrajnog zastoja u davanju razrješnice; traži od Komisije i Pravne službe Vijeća da daju pravno mišljenje o mogućim rješenjima koja se temelje na Ugovorima kako bi se povećala odgovornost Vijeća u postupku davanja razrješnice;</w:t>
      </w:r>
    </w:p>
    <w:p w14:paraId="5946F61F" w14:textId="77777777" w:rsidR="007C41BF" w:rsidRPr="00FF7D35" w:rsidRDefault="007C41BF" w:rsidP="007C41BF">
      <w:pPr>
        <w:pStyle w:val="NormalHanging12a"/>
        <w:rPr>
          <w:b/>
          <w:i/>
          <w:iCs/>
        </w:rPr>
      </w:pPr>
      <w:r w:rsidRPr="00FF7D35">
        <w:rPr>
          <w:b/>
          <w:i/>
        </w:rPr>
        <w:t>Komunikacija</w:t>
      </w:r>
    </w:p>
    <w:p w14:paraId="125CDA68" w14:textId="77777777" w:rsidR="007C41BF" w:rsidRPr="00FF7D35" w:rsidRDefault="007C41BF" w:rsidP="007C41BF">
      <w:pPr>
        <w:pStyle w:val="NormalHanging12a"/>
      </w:pPr>
      <w:r w:rsidRPr="00FF7D35">
        <w:t>84.</w:t>
      </w:r>
      <w:r w:rsidRPr="00FF7D35">
        <w:tab/>
        <w:t>konstatira da je 2024. ukupni proračun za komunikaciju, uzimajući u obzir prijenose izvršene tijekom godine, iznosio 12 518 610 EUR, što je 5,45 % više od proračuna za 2023.;</w:t>
      </w:r>
    </w:p>
    <w:p w14:paraId="0F3384C7" w14:textId="77777777" w:rsidR="007C41BF" w:rsidRPr="00FF7D35" w:rsidRDefault="007C41BF" w:rsidP="007C41BF">
      <w:pPr>
        <w:pStyle w:val="NormalHanging12a"/>
      </w:pPr>
      <w:r w:rsidRPr="00FF7D35">
        <w:t>85.</w:t>
      </w:r>
      <w:r w:rsidRPr="00FF7D35">
        <w:tab/>
        <w:t xml:space="preserve">napominje da je Tajništvo 2024. pružalo komunikacijske usluge predsjedniku Europskog vijeća, predsjedniku </w:t>
      </w:r>
      <w:proofErr w:type="spellStart"/>
      <w:r w:rsidRPr="00FF7D35">
        <w:t>Euroskupine</w:t>
      </w:r>
      <w:proofErr w:type="spellEnd"/>
      <w:r w:rsidRPr="00FF7D35">
        <w:t xml:space="preserve">, rotirajućim predsjedništvima (Belgija i Mađarska), potpredsjednici Komisije / visokoj predstavnici Unije za vanjsku i sigurnosnu politiku, državama članicama i Tajništvu; napominje da je Tajništvo 2024. osiguralo stalne odnose s medijima te potporu društvenih medija i prisutnosti na internetu tijekom tranzicije obnašatelja dužnosti, organiziralo audiovizualnu pokrivenost i internetski prijenos ključnih međunarodnih angažmana te održalo visokokvalitetnu operativnu potporu, uključujući emitiranje događanja uživo, usluge tiska i </w:t>
      </w:r>
      <w:proofErr w:type="spellStart"/>
      <w:r w:rsidRPr="00FF7D35">
        <w:t>brendiranje</w:t>
      </w:r>
      <w:proofErr w:type="spellEnd"/>
      <w:r w:rsidRPr="00FF7D35">
        <w:t xml:space="preserve"> institucijskih sastanaka na vrhu i sastanaka;</w:t>
      </w:r>
    </w:p>
    <w:p w14:paraId="46797439" w14:textId="77777777" w:rsidR="007C41BF" w:rsidRPr="00FF7D35" w:rsidRDefault="007C41BF" w:rsidP="007C41BF">
      <w:pPr>
        <w:pStyle w:val="NormalHanging12a"/>
      </w:pPr>
      <w:r w:rsidRPr="00FF7D35">
        <w:t>86.</w:t>
      </w:r>
      <w:r w:rsidRPr="00FF7D35">
        <w:tab/>
        <w:t>konstatira da je, na temelju ankete provedene na internetu u posljednjem tromjesečju 2024., 68,30 % korisnika (povećanje u odnosu na 67 % 2023.) bilo zadovoljno svojim općim iskustvom s internetskim stranicama Vijeća, na kojima je 2024. bilo više od 26 milijuna posjeta (+7 % u odnosu na 2023)., i 71 400 pretplatnika, u usporedbi s njih 57 900 tijekom 2023;</w:t>
      </w:r>
    </w:p>
    <w:p w14:paraId="3C6C95CF" w14:textId="77777777" w:rsidR="007C41BF" w:rsidRPr="00FF7D35" w:rsidRDefault="007C41BF" w:rsidP="007C41BF">
      <w:pPr>
        <w:spacing w:after="240"/>
        <w:ind w:left="567" w:hanging="567"/>
      </w:pPr>
      <w:r w:rsidRPr="00FF7D35">
        <w:t>87.</w:t>
      </w:r>
      <w:r w:rsidRPr="00FF7D35">
        <w:tab/>
        <w:t xml:space="preserve">Napominje da je Glavna uprava za komunikaciju (DG COMM) tijekom 2024. provela opsežne aktivnosti uključivanja medija, uključujući 76 informativnih sastanaka za medije, 771 priopćenje za medije, 84 tiskovne konferencije i sveobuhvatnu potporu akreditaciji medija i medijskom izvješćivanju; nadalje, napominje da su centar za medije i internetske stranice Vijeća bili u širokoj upotrebi, pri čemu je odjeljak za medije na internetskim stranicama Vijeća privukao više od 6,4 milijuna posjeta i gotovo </w:t>
      </w:r>
      <w:r w:rsidRPr="00FF7D35">
        <w:lastRenderedPageBreak/>
        <w:t>2 milijuna posjeta stranicama koje se odnose na sastanke, što svjedoči o stalnom interesu javnosti i medija za donošenje odluka Vijeća;</w:t>
      </w:r>
    </w:p>
    <w:p w14:paraId="554B3A6D" w14:textId="1351C5AE" w:rsidR="00E365E1" w:rsidRPr="00FF7D35" w:rsidRDefault="007C41BF" w:rsidP="00DB13AE">
      <w:pPr>
        <w:ind w:left="567" w:hanging="567"/>
      </w:pPr>
      <w:r w:rsidRPr="00FF7D35">
        <w:t>88.</w:t>
      </w:r>
      <w:r w:rsidRPr="00FF7D35">
        <w:tab/>
        <w:t>napominje da su 2024. digitalni timovi Tajništva, u bliskoj suradnji s predsjedništvima, pratili i poboljšavali internetske stranice belgijskog i mađarskog predsjedništva, pri čemu su zajedno zabilježili oko 407 000 posjeta i 1,2 milijuna pregleda stranica, te su kontinuirano poboljšavali glavne internetske stranice Vijeća s 19 skupova poboljšanja usmjerenih na korisnike; nadalje, prima na znanje provedbu značajki strojnog prevođenja i poboljšanja pristupačnosti, uz opsežno istraživanje korisnika kako bi se poboljšala jasnoća i snabdijevanje internetskim sadržajem na svim službenim jezicima Unije, čime se jačaju digitalni doseg Vijeća i suradnja s dionicima i građanima.</w:t>
      </w:r>
    </w:p>
    <w:sectPr w:rsidR="00E365E1" w:rsidRPr="00FF7D35" w:rsidSect="003730D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31E0C" w14:textId="77777777" w:rsidR="00271B95" w:rsidRPr="003730D8" w:rsidRDefault="00271B95">
      <w:r w:rsidRPr="003730D8">
        <w:separator/>
      </w:r>
    </w:p>
  </w:endnote>
  <w:endnote w:type="continuationSeparator" w:id="0">
    <w:p w14:paraId="435E3A59" w14:textId="77777777" w:rsidR="00271B95" w:rsidRPr="003730D8" w:rsidRDefault="00271B95">
      <w:r w:rsidRPr="003730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90F3" w14:textId="77777777" w:rsidR="007C41BF" w:rsidRPr="003730D8" w:rsidRDefault="007C41BF" w:rsidP="005F6409">
    <w:pPr>
      <w:pStyle w:val="EPFooter"/>
    </w:pPr>
    <w:r w:rsidRPr="003730D8">
      <w:t>PE</w:t>
    </w:r>
    <w:r w:rsidRPr="003730D8">
      <w:rPr>
        <w:rStyle w:val="HideTWBExt"/>
      </w:rPr>
      <w:t>&lt;</w:t>
    </w:r>
    <w:proofErr w:type="spellStart"/>
    <w:r w:rsidRPr="003730D8">
      <w:rPr>
        <w:rStyle w:val="HideTWBExt"/>
      </w:rPr>
      <w:t>NoPE</w:t>
    </w:r>
    <w:proofErr w:type="spellEnd"/>
    <w:r w:rsidRPr="003730D8">
      <w:rPr>
        <w:rStyle w:val="HideTWBExt"/>
      </w:rPr>
      <w:t>&gt;</w:t>
    </w:r>
    <w:r w:rsidRPr="003730D8">
      <w:t>778.049</w:t>
    </w:r>
    <w:r w:rsidRPr="003730D8">
      <w:rPr>
        <w:rStyle w:val="HideTWBExt"/>
      </w:rPr>
      <w:t>&lt;/</w:t>
    </w:r>
    <w:proofErr w:type="spellStart"/>
    <w:r w:rsidRPr="003730D8">
      <w:rPr>
        <w:rStyle w:val="HideTWBExt"/>
      </w:rPr>
      <w:t>NoPE</w:t>
    </w:r>
    <w:proofErr w:type="spellEnd"/>
    <w:r w:rsidRPr="003730D8">
      <w:rPr>
        <w:rStyle w:val="HideTWBExt"/>
      </w:rPr>
      <w:t>&gt;&lt;Version&gt;</w:t>
    </w:r>
    <w:r w:rsidRPr="003730D8">
      <w:t>v03-00</w:t>
    </w:r>
    <w:r w:rsidRPr="003730D8">
      <w:rPr>
        <w:rStyle w:val="HideTWBExt"/>
      </w:rPr>
      <w:t>&lt;/</w:t>
    </w:r>
    <w:proofErr w:type="spellStart"/>
    <w:r w:rsidRPr="003730D8">
      <w:rPr>
        <w:rStyle w:val="HideTWBExt"/>
      </w:rPr>
      <w:t>Version</w:t>
    </w:r>
    <w:proofErr w:type="spellEnd"/>
    <w:r w:rsidRPr="003730D8">
      <w:rPr>
        <w:rStyle w:val="HideTWBExt"/>
      </w:rPr>
      <w:t>&gt;</w:t>
    </w:r>
    <w:r w:rsidRPr="003730D8">
      <w:tab/>
    </w:r>
    <w:r w:rsidRPr="003730D8">
      <w:fldChar w:fldCharType="begin"/>
    </w:r>
    <w:r w:rsidRPr="003730D8">
      <w:instrText xml:space="preserve"> PAGE  \* MERGEFORMAT </w:instrText>
    </w:r>
    <w:r w:rsidRPr="003730D8">
      <w:fldChar w:fldCharType="separate"/>
    </w:r>
    <w:r w:rsidRPr="003730D8">
      <w:rPr>
        <w:noProof/>
      </w:rPr>
      <w:t>2</w:t>
    </w:r>
    <w:r w:rsidRPr="003730D8">
      <w:fldChar w:fldCharType="end"/>
    </w:r>
    <w:r w:rsidRPr="003730D8">
      <w:t>/</w:t>
    </w:r>
    <w:fldSimple w:instr=" NUMPAGES  \* MERGEFORMAT ">
      <w:r w:rsidRPr="003730D8">
        <w:rPr>
          <w:noProof/>
        </w:rPr>
        <w:t>26</w:t>
      </w:r>
    </w:fldSimple>
    <w:r w:rsidRPr="003730D8">
      <w:tab/>
    </w:r>
    <w:r w:rsidRPr="003730D8">
      <w:rPr>
        <w:rStyle w:val="HideTWBExt"/>
      </w:rPr>
      <w:t>&lt;PathFdR&gt;</w:t>
    </w:r>
    <w:r w:rsidRPr="003730D8">
      <w:t>RR\1340408HR.docx</w:t>
    </w:r>
    <w:r w:rsidRPr="003730D8">
      <w:rPr>
        <w:rStyle w:val="HideTWBExt"/>
      </w:rPr>
      <w:t>&lt;/</w:t>
    </w:r>
    <w:proofErr w:type="spellStart"/>
    <w:r w:rsidRPr="003730D8">
      <w:rPr>
        <w:rStyle w:val="HideTWBExt"/>
      </w:rPr>
      <w:t>PathFdR</w:t>
    </w:r>
    <w:proofErr w:type="spellEnd"/>
    <w:r w:rsidRPr="003730D8">
      <w:rPr>
        <w:rStyle w:val="HideTWBExt"/>
      </w:rPr>
      <w:t>&gt;</w:t>
    </w:r>
  </w:p>
  <w:p w14:paraId="31CF7014" w14:textId="77777777" w:rsidR="007C41BF" w:rsidRPr="003730D8" w:rsidRDefault="007C41BF" w:rsidP="005F6409">
    <w:pPr>
      <w:pStyle w:val="EPFooter2"/>
    </w:pPr>
    <w:r w:rsidRPr="003730D8">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ADDA" w14:textId="77777777" w:rsidR="007C41BF" w:rsidRPr="003730D8" w:rsidRDefault="007C41BF" w:rsidP="005F6409">
    <w:pPr>
      <w:pStyle w:val="EPFooter"/>
    </w:pPr>
    <w:r w:rsidRPr="003730D8">
      <w:rPr>
        <w:rStyle w:val="HideTWBExt"/>
      </w:rPr>
      <w:t>&lt;PathFdR&gt;</w:t>
    </w:r>
    <w:r w:rsidRPr="003730D8">
      <w:t>RR\1340408HR.docx</w:t>
    </w:r>
    <w:r w:rsidRPr="003730D8">
      <w:rPr>
        <w:rStyle w:val="HideTWBExt"/>
      </w:rPr>
      <w:t>&lt;/</w:t>
    </w:r>
    <w:proofErr w:type="spellStart"/>
    <w:r w:rsidRPr="003730D8">
      <w:rPr>
        <w:rStyle w:val="HideTWBExt"/>
      </w:rPr>
      <w:t>PathFdR</w:t>
    </w:r>
    <w:proofErr w:type="spellEnd"/>
    <w:r w:rsidRPr="003730D8">
      <w:rPr>
        <w:rStyle w:val="HideTWBExt"/>
      </w:rPr>
      <w:t>&gt;</w:t>
    </w:r>
    <w:r w:rsidRPr="003730D8">
      <w:tab/>
    </w:r>
    <w:r w:rsidRPr="003730D8">
      <w:tab/>
      <w:t>PE</w:t>
    </w:r>
    <w:r w:rsidRPr="003730D8">
      <w:rPr>
        <w:rStyle w:val="HideTWBExt"/>
      </w:rPr>
      <w:t>&lt;</w:t>
    </w:r>
    <w:proofErr w:type="spellStart"/>
    <w:r w:rsidRPr="003730D8">
      <w:rPr>
        <w:rStyle w:val="HideTWBExt"/>
      </w:rPr>
      <w:t>NoPE</w:t>
    </w:r>
    <w:proofErr w:type="spellEnd"/>
    <w:r w:rsidRPr="003730D8">
      <w:rPr>
        <w:rStyle w:val="HideTWBExt"/>
      </w:rPr>
      <w:t>&gt;</w:t>
    </w:r>
    <w:r w:rsidRPr="003730D8">
      <w:t>778.049</w:t>
    </w:r>
    <w:r w:rsidRPr="003730D8">
      <w:rPr>
        <w:rStyle w:val="HideTWBExt"/>
      </w:rPr>
      <w:t>&lt;/</w:t>
    </w:r>
    <w:proofErr w:type="spellStart"/>
    <w:r w:rsidRPr="003730D8">
      <w:rPr>
        <w:rStyle w:val="HideTWBExt"/>
      </w:rPr>
      <w:t>NoPE</w:t>
    </w:r>
    <w:proofErr w:type="spellEnd"/>
    <w:r w:rsidRPr="003730D8">
      <w:rPr>
        <w:rStyle w:val="HideTWBExt"/>
      </w:rPr>
      <w:t>&gt;&lt;Version&gt;</w:t>
    </w:r>
    <w:r w:rsidRPr="003730D8">
      <w:t>v03-00</w:t>
    </w:r>
    <w:r w:rsidRPr="003730D8">
      <w:rPr>
        <w:rStyle w:val="HideTWBExt"/>
      </w:rPr>
      <w:t>&lt;/</w:t>
    </w:r>
    <w:proofErr w:type="spellStart"/>
    <w:r w:rsidRPr="003730D8">
      <w:rPr>
        <w:rStyle w:val="HideTWBExt"/>
      </w:rPr>
      <w:t>Version</w:t>
    </w:r>
    <w:proofErr w:type="spellEnd"/>
    <w:r w:rsidRPr="003730D8">
      <w:rPr>
        <w:rStyle w:val="HideTWBExt"/>
      </w:rPr>
      <w:t>&gt;</w:t>
    </w:r>
  </w:p>
  <w:p w14:paraId="40727689" w14:textId="77777777" w:rsidR="007C41BF" w:rsidRPr="003730D8" w:rsidRDefault="007C41BF" w:rsidP="005F6409">
    <w:pPr>
      <w:pStyle w:val="EPFooter2"/>
    </w:pPr>
    <w:r w:rsidRPr="003730D8">
      <w:t>HR</w:t>
    </w:r>
    <w:r w:rsidRPr="003730D8">
      <w:tab/>
    </w:r>
    <w:r w:rsidRPr="003730D8">
      <w:rPr>
        <w:b w:val="0"/>
        <w:i/>
        <w:color w:val="C0C0C0"/>
        <w:sz w:val="22"/>
      </w:rPr>
      <w:t>Ujedinjena u raznolikosti</w:t>
    </w:r>
    <w:r w:rsidRPr="003730D8">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DC70" w14:textId="77777777" w:rsidR="00064002" w:rsidRPr="003730D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BFA1" w14:textId="77777777" w:rsidR="00064002" w:rsidRPr="003730D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F30C" w14:textId="77777777" w:rsidR="00064002" w:rsidRPr="003730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9A361" w14:textId="77777777" w:rsidR="00271B95" w:rsidRPr="003730D8" w:rsidRDefault="00271B95">
      <w:r w:rsidRPr="003730D8">
        <w:separator/>
      </w:r>
    </w:p>
  </w:footnote>
  <w:footnote w:type="continuationSeparator" w:id="0">
    <w:p w14:paraId="2F86044A" w14:textId="77777777" w:rsidR="00271B95" w:rsidRPr="003730D8" w:rsidRDefault="00271B95">
      <w:r w:rsidRPr="003730D8">
        <w:continuationSeparator/>
      </w:r>
    </w:p>
  </w:footnote>
  <w:footnote w:id="1">
    <w:p w14:paraId="42FE5571" w14:textId="55B4E3C5" w:rsidR="007C41BF" w:rsidRPr="003730D8" w:rsidRDefault="007C41BF" w:rsidP="003730D8">
      <w:pPr>
        <w:pStyle w:val="FootnoteText"/>
        <w:ind w:left="567" w:hanging="567"/>
        <w:rPr>
          <w:sz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SL L</w:t>
      </w:r>
      <w:r w:rsidR="002E1486">
        <w:rPr>
          <w:sz w:val="24"/>
          <w:lang w:val="hr-HR"/>
        </w:rPr>
        <w:t>,</w:t>
      </w:r>
      <w:r w:rsidRPr="003730D8">
        <w:rPr>
          <w:sz w:val="24"/>
          <w:lang w:val="hr-HR"/>
        </w:rPr>
        <w:t xml:space="preserve"> </w:t>
      </w:r>
      <w:r w:rsidR="002E1486">
        <w:rPr>
          <w:sz w:val="24"/>
          <w:lang w:val="hr-HR"/>
        </w:rPr>
        <w:t>2024/</w:t>
      </w:r>
      <w:r w:rsidRPr="003730D8">
        <w:rPr>
          <w:sz w:val="24"/>
          <w:lang w:val="hr-HR"/>
        </w:rPr>
        <w:t xml:space="preserve">207, 22.2.2024., ELI: </w:t>
      </w:r>
      <w:hyperlink r:id="rId1" w:history="1">
        <w:r w:rsidRPr="003730D8">
          <w:rPr>
            <w:rStyle w:val="Hyperlink"/>
            <w:sz w:val="24"/>
            <w:lang w:val="hr-HR"/>
          </w:rPr>
          <w:t>http://data.europa.eu/eli/budget/2024/207/oj</w:t>
        </w:r>
      </w:hyperlink>
      <w:r w:rsidRPr="003730D8">
        <w:rPr>
          <w:sz w:val="24"/>
          <w:lang w:val="hr-HR"/>
        </w:rPr>
        <w:t>.</w:t>
      </w:r>
    </w:p>
  </w:footnote>
  <w:footnote w:id="2">
    <w:p w14:paraId="3220BA3A" w14:textId="1F5C5BA7" w:rsidR="007C41BF" w:rsidRPr="003730D8" w:rsidRDefault="007C41BF" w:rsidP="003730D8">
      <w:pPr>
        <w:pStyle w:val="FootnoteText"/>
        <w:ind w:left="567" w:hanging="567"/>
        <w:rPr>
          <w:sz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SL C, C/2025/4944, 13.10.2025., ELI: </w:t>
      </w:r>
      <w:hyperlink r:id="rId2" w:tgtFrame="_blank" w:tooltip="ELI URI za pristup dokumentu." w:history="1">
        <w:r w:rsidRPr="003730D8">
          <w:rPr>
            <w:rStyle w:val="Hyperlink"/>
            <w:sz w:val="24"/>
            <w:lang w:val="hr-HR"/>
          </w:rPr>
          <w:t>http://data.europa.eu/eli/C/2025/4944/oj</w:t>
        </w:r>
      </w:hyperlink>
      <w:r w:rsidRPr="003730D8">
        <w:rPr>
          <w:sz w:val="24"/>
          <w:lang w:val="hr-HR"/>
        </w:rPr>
        <w:t>.</w:t>
      </w:r>
    </w:p>
  </w:footnote>
  <w:footnote w:id="3">
    <w:p w14:paraId="2C95054F" w14:textId="16BAC3AE" w:rsidR="007C41BF" w:rsidRPr="003730D8" w:rsidRDefault="007C41BF" w:rsidP="003730D8">
      <w:pPr>
        <w:pStyle w:val="FootnoteText"/>
        <w:ind w:left="567" w:hanging="567"/>
        <w:rPr>
          <w:sz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 xml:space="preserve">SL C, C/2025/5409, 8.10.2025., ELI: </w:t>
      </w:r>
      <w:hyperlink r:id="rId3" w:history="1">
        <w:r w:rsidRPr="003730D8">
          <w:rPr>
            <w:rStyle w:val="Hyperlink"/>
            <w:sz w:val="24"/>
            <w:lang w:val="hr-HR"/>
          </w:rPr>
          <w:t>http://data.europa.eu/eli/C/2025/5409/oj</w:t>
        </w:r>
      </w:hyperlink>
      <w:r w:rsidRPr="003730D8">
        <w:rPr>
          <w:sz w:val="24"/>
          <w:lang w:val="hr-HR"/>
        </w:rPr>
        <w:t>.</w:t>
      </w:r>
    </w:p>
  </w:footnote>
  <w:footnote w:id="4">
    <w:p w14:paraId="6BF9710D" w14:textId="200FE5AF" w:rsidR="007C41BF" w:rsidRPr="003730D8" w:rsidRDefault="007C41BF" w:rsidP="003730D8">
      <w:pPr>
        <w:pStyle w:val="FootnoteText"/>
        <w:ind w:left="567" w:hanging="567"/>
        <w:rPr>
          <w:sz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 xml:space="preserve">SL C, C/2025/5407, 13.10.2025., ELI: </w:t>
      </w:r>
      <w:hyperlink r:id="rId4" w:history="1">
        <w:r w:rsidRPr="003730D8">
          <w:rPr>
            <w:rStyle w:val="Hyperlink"/>
            <w:sz w:val="24"/>
            <w:lang w:val="hr-HR"/>
          </w:rPr>
          <w:t>http://data.europa.eu/eli/C/2025/5407/oj</w:t>
        </w:r>
      </w:hyperlink>
      <w:r w:rsidRPr="003730D8">
        <w:rPr>
          <w:sz w:val="24"/>
          <w:lang w:val="hr-HR"/>
        </w:rPr>
        <w:t>.</w:t>
      </w:r>
    </w:p>
  </w:footnote>
  <w:footnote w:id="5">
    <w:p w14:paraId="5B72F941" w14:textId="06979B12" w:rsidR="007C41BF" w:rsidRPr="003730D8" w:rsidRDefault="007C41BF" w:rsidP="003730D8">
      <w:pPr>
        <w:pStyle w:val="FootnoteText"/>
        <w:ind w:left="567" w:hanging="567"/>
        <w:rPr>
          <w:sz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 xml:space="preserve">SL L 193, 30.7.2018., str. </w:t>
      </w:r>
      <w:r w:rsidRPr="003730D8">
        <w:rPr>
          <w:sz w:val="24"/>
          <w:lang w:val="hr-HR"/>
        </w:rPr>
        <w:t xml:space="preserve">1., ELI: </w:t>
      </w:r>
      <w:hyperlink r:id="rId5" w:history="1">
        <w:r w:rsidRPr="003730D8">
          <w:rPr>
            <w:rStyle w:val="Hyperlink"/>
            <w:sz w:val="24"/>
            <w:lang w:val="hr-HR"/>
          </w:rPr>
          <w:t>http://data.europa.eu/eli/reg/2018/1046/oj</w:t>
        </w:r>
      </w:hyperlink>
      <w:r w:rsidRPr="003730D8">
        <w:rPr>
          <w:sz w:val="24"/>
          <w:lang w:val="hr-HR"/>
        </w:rPr>
        <w:t>.</w:t>
      </w:r>
    </w:p>
  </w:footnote>
  <w:footnote w:id="6">
    <w:p w14:paraId="64D1246D" w14:textId="22B2B4D0" w:rsidR="007C41BF" w:rsidRPr="003730D8" w:rsidRDefault="007C41BF" w:rsidP="003730D8">
      <w:pPr>
        <w:pStyle w:val="FootnoteText"/>
        <w:ind w:left="567" w:hanging="567"/>
        <w:rPr>
          <w:sz w:val="24"/>
          <w:szCs w:val="24"/>
          <w:lang w:val="hr-HR"/>
        </w:rPr>
      </w:pPr>
      <w:r w:rsidRPr="003730D8">
        <w:rPr>
          <w:rStyle w:val="FootnoteReference"/>
          <w:sz w:val="24"/>
          <w:lang w:val="hr-HR"/>
        </w:rPr>
        <w:footnoteRef/>
      </w:r>
      <w:r w:rsidR="003730D8" w:rsidRPr="003730D8">
        <w:rPr>
          <w:sz w:val="24"/>
          <w:lang w:val="hr-HR"/>
        </w:rPr>
        <w:t xml:space="preserve"> </w:t>
      </w:r>
      <w:r w:rsidR="003730D8" w:rsidRPr="003730D8">
        <w:rPr>
          <w:sz w:val="24"/>
          <w:lang w:val="hr-HR"/>
        </w:rPr>
        <w:tab/>
      </w:r>
      <w:r w:rsidRPr="003730D8">
        <w:rPr>
          <w:sz w:val="24"/>
          <w:lang w:val="hr-HR"/>
        </w:rPr>
        <w:t xml:space="preserve">SL L, 2024/2509, 26.9.2024., ELI: </w:t>
      </w:r>
      <w:hyperlink r:id="rId6" w:history="1">
        <w:r w:rsidRPr="003730D8">
          <w:rPr>
            <w:rStyle w:val="Hyperlink"/>
            <w:sz w:val="24"/>
            <w:lang w:val="hr-HR"/>
          </w:rPr>
          <w:t>http://data.europa.eu/eli/reg/2024/2509/oj</w:t>
        </w:r>
      </w:hyperlink>
      <w:r w:rsidRPr="003730D8">
        <w:rPr>
          <w:sz w:val="24"/>
          <w:lang w:val="hr-HR"/>
        </w:rPr>
        <w:t>.</w:t>
      </w:r>
    </w:p>
  </w:footnote>
  <w:footnote w:id="7">
    <w:p w14:paraId="466F666E" w14:textId="472E52D4" w:rsidR="007C41BF" w:rsidRPr="003730D8" w:rsidRDefault="007C41BF" w:rsidP="003730D8">
      <w:pPr>
        <w:pStyle w:val="FootnoteText"/>
        <w:ind w:left="567" w:hanging="567"/>
        <w:rPr>
          <w:sz w:val="24"/>
          <w:lang w:val="hr-HR"/>
        </w:rPr>
      </w:pPr>
      <w:r w:rsidRPr="003730D8">
        <w:rPr>
          <w:rStyle w:val="FootnoteReference"/>
          <w:sz w:val="24"/>
          <w:szCs w:val="24"/>
          <w:lang w:val="hr-HR"/>
        </w:rPr>
        <w:footnoteRef/>
      </w:r>
      <w:r w:rsidR="003730D8" w:rsidRPr="003730D8">
        <w:rPr>
          <w:sz w:val="24"/>
          <w:lang w:val="hr-HR"/>
        </w:rPr>
        <w:t xml:space="preserve"> </w:t>
      </w:r>
      <w:r w:rsidR="003730D8" w:rsidRPr="003730D8">
        <w:rPr>
          <w:sz w:val="24"/>
          <w:lang w:val="hr-HR"/>
        </w:rPr>
        <w:tab/>
      </w:r>
      <w:r w:rsidRPr="003730D8">
        <w:rPr>
          <w:sz w:val="24"/>
          <w:lang w:val="hr-HR"/>
        </w:rPr>
        <w:t xml:space="preserve">Presuda Općeg suda od 25. siječnja 2023., </w:t>
      </w:r>
      <w:r w:rsidRPr="003730D8">
        <w:rPr>
          <w:i/>
          <w:iCs/>
          <w:sz w:val="24"/>
          <w:lang w:val="hr-HR"/>
        </w:rPr>
        <w:t xml:space="preserve">De </w:t>
      </w:r>
      <w:proofErr w:type="spellStart"/>
      <w:r w:rsidRPr="003730D8">
        <w:rPr>
          <w:i/>
          <w:iCs/>
          <w:sz w:val="24"/>
          <w:lang w:val="hr-HR"/>
        </w:rPr>
        <w:t>Capitani</w:t>
      </w:r>
      <w:proofErr w:type="spellEnd"/>
      <w:r w:rsidRPr="003730D8">
        <w:rPr>
          <w:i/>
          <w:iCs/>
          <w:sz w:val="24"/>
          <w:lang w:val="hr-HR"/>
        </w:rPr>
        <w:t xml:space="preserve"> / Vijeće,</w:t>
      </w:r>
      <w:r w:rsidRPr="003730D8">
        <w:rPr>
          <w:sz w:val="24"/>
          <w:lang w:val="hr-HR"/>
        </w:rPr>
        <w:t xml:space="preserve">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13D3" w14:textId="77777777" w:rsidR="00064002" w:rsidRPr="003730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BD1E" w14:textId="77777777" w:rsidR="00064002" w:rsidRPr="003730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ECBB" w14:textId="77777777" w:rsidR="00064002" w:rsidRPr="003730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156767">
    <w:abstractNumId w:val="9"/>
  </w:num>
  <w:num w:numId="2" w16cid:durableId="1475443633">
    <w:abstractNumId w:val="9"/>
  </w:num>
  <w:num w:numId="3" w16cid:durableId="1965118171">
    <w:abstractNumId w:val="7"/>
  </w:num>
  <w:num w:numId="4" w16cid:durableId="1743214375">
    <w:abstractNumId w:val="7"/>
  </w:num>
  <w:num w:numId="5" w16cid:durableId="1303535675">
    <w:abstractNumId w:val="6"/>
  </w:num>
  <w:num w:numId="6" w16cid:durableId="888420055">
    <w:abstractNumId w:val="6"/>
  </w:num>
  <w:num w:numId="7" w16cid:durableId="791754621">
    <w:abstractNumId w:val="5"/>
  </w:num>
  <w:num w:numId="8" w16cid:durableId="1699357204">
    <w:abstractNumId w:val="5"/>
  </w:num>
  <w:num w:numId="9" w16cid:durableId="1419594360">
    <w:abstractNumId w:val="4"/>
  </w:num>
  <w:num w:numId="10" w16cid:durableId="558977715">
    <w:abstractNumId w:val="4"/>
  </w:num>
  <w:num w:numId="11" w16cid:durableId="1809738347">
    <w:abstractNumId w:val="8"/>
  </w:num>
  <w:num w:numId="12" w16cid:durableId="759525331">
    <w:abstractNumId w:val="8"/>
  </w:num>
  <w:num w:numId="13" w16cid:durableId="1957591724">
    <w:abstractNumId w:val="3"/>
  </w:num>
  <w:num w:numId="14" w16cid:durableId="1997371291">
    <w:abstractNumId w:val="3"/>
  </w:num>
  <w:num w:numId="15" w16cid:durableId="1685353011">
    <w:abstractNumId w:val="2"/>
  </w:num>
  <w:num w:numId="16" w16cid:durableId="1365523102">
    <w:abstractNumId w:val="2"/>
  </w:num>
  <w:num w:numId="17" w16cid:durableId="1161198038">
    <w:abstractNumId w:val="1"/>
  </w:num>
  <w:num w:numId="18" w16cid:durableId="625311488">
    <w:abstractNumId w:val="1"/>
  </w:num>
  <w:num w:numId="19" w16cid:durableId="1876968637">
    <w:abstractNumId w:val="0"/>
  </w:num>
  <w:num w:numId="20" w16cid:durableId="175314637">
    <w:abstractNumId w:val="0"/>
  </w:num>
  <w:num w:numId="21" w16cid:durableId="834540546">
    <w:abstractNumId w:val="9"/>
  </w:num>
  <w:num w:numId="22" w16cid:durableId="2035381642">
    <w:abstractNumId w:val="7"/>
  </w:num>
  <w:num w:numId="23" w16cid:durableId="1818953081">
    <w:abstractNumId w:val="6"/>
  </w:num>
  <w:num w:numId="24" w16cid:durableId="1289043402">
    <w:abstractNumId w:val="5"/>
  </w:num>
  <w:num w:numId="25" w16cid:durableId="1780448738">
    <w:abstractNumId w:val="4"/>
  </w:num>
  <w:num w:numId="26" w16cid:durableId="63919204">
    <w:abstractNumId w:val="8"/>
  </w:num>
  <w:num w:numId="27" w16cid:durableId="554239720">
    <w:abstractNumId w:val="3"/>
  </w:num>
  <w:num w:numId="28" w16cid:durableId="191381052">
    <w:abstractNumId w:val="2"/>
  </w:num>
  <w:num w:numId="29" w16cid:durableId="1889534110">
    <w:abstractNumId w:val="1"/>
  </w:num>
  <w:num w:numId="30" w16cid:durableId="2021589356">
    <w:abstractNumId w:val="0"/>
  </w:num>
  <w:num w:numId="31" w16cid:durableId="56629087">
    <w:abstractNumId w:val="9"/>
  </w:num>
  <w:num w:numId="32" w16cid:durableId="1070734491">
    <w:abstractNumId w:val="7"/>
  </w:num>
  <w:num w:numId="33" w16cid:durableId="1225944219">
    <w:abstractNumId w:val="6"/>
  </w:num>
  <w:num w:numId="34" w16cid:durableId="1552889292">
    <w:abstractNumId w:val="5"/>
  </w:num>
  <w:num w:numId="35" w16cid:durableId="1347713230">
    <w:abstractNumId w:val="4"/>
  </w:num>
  <w:num w:numId="36" w16cid:durableId="178544537">
    <w:abstractNumId w:val="8"/>
  </w:num>
  <w:num w:numId="37" w16cid:durableId="1781995380">
    <w:abstractNumId w:val="3"/>
  </w:num>
  <w:num w:numId="38" w16cid:durableId="1157453157">
    <w:abstractNumId w:val="2"/>
  </w:num>
  <w:num w:numId="39" w16cid:durableId="253827798">
    <w:abstractNumId w:val="1"/>
  </w:num>
  <w:num w:numId="40" w16cid:durableId="1843203506">
    <w:abstractNumId w:val="0"/>
  </w:num>
  <w:num w:numId="41" w16cid:durableId="1540047143">
    <w:abstractNumId w:val="10"/>
  </w:num>
  <w:num w:numId="42" w16cid:durableId="773136679">
    <w:abstractNumId w:val="10"/>
  </w:num>
  <w:num w:numId="43" w16cid:durableId="2024894050">
    <w:abstractNumId w:val="10"/>
  </w:num>
  <w:num w:numId="44" w16cid:durableId="343484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HR"/>
    <w:docVar w:name="dvnumam" w:val="0"/>
    <w:docVar w:name="dvpe" w:val="778.049"/>
    <w:docVar w:name="dvrapporteur" w:val="Izvjestitelj: "/>
    <w:docVar w:name="dvtitre" w:val="Odluka Europskog parlamenta od .... 2026. o razrješnici za izvršenje općeg proračuna Europske unije za financijsku godinu 2024., dio II. – Europsko vijeće i Vijeće(2025/2147(DEC))"/>
  </w:docVars>
  <w:rsids>
    <w:rsidRoot w:val="00271B95"/>
    <w:rsid w:val="00002272"/>
    <w:rsid w:val="00064002"/>
    <w:rsid w:val="000677B9"/>
    <w:rsid w:val="000831BA"/>
    <w:rsid w:val="000A42CC"/>
    <w:rsid w:val="000C3AC1"/>
    <w:rsid w:val="000E7DD9"/>
    <w:rsid w:val="0010095E"/>
    <w:rsid w:val="00125B37"/>
    <w:rsid w:val="00187494"/>
    <w:rsid w:val="001E0A26"/>
    <w:rsid w:val="001F32AE"/>
    <w:rsid w:val="00271B95"/>
    <w:rsid w:val="002767FF"/>
    <w:rsid w:val="002B18FE"/>
    <w:rsid w:val="002B5493"/>
    <w:rsid w:val="002E1486"/>
    <w:rsid w:val="00343214"/>
    <w:rsid w:val="00361C00"/>
    <w:rsid w:val="003730D8"/>
    <w:rsid w:val="00395FA1"/>
    <w:rsid w:val="003E15D4"/>
    <w:rsid w:val="00411CCE"/>
    <w:rsid w:val="0041666E"/>
    <w:rsid w:val="00421060"/>
    <w:rsid w:val="00471C19"/>
    <w:rsid w:val="004867E3"/>
    <w:rsid w:val="00494A28"/>
    <w:rsid w:val="004C0004"/>
    <w:rsid w:val="004C5D52"/>
    <w:rsid w:val="004E45B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41BF"/>
    <w:rsid w:val="007D1690"/>
    <w:rsid w:val="007E22AD"/>
    <w:rsid w:val="00817416"/>
    <w:rsid w:val="00842779"/>
    <w:rsid w:val="00865F67"/>
    <w:rsid w:val="00881A7B"/>
    <w:rsid w:val="008840E5"/>
    <w:rsid w:val="00887B3E"/>
    <w:rsid w:val="008C2AC6"/>
    <w:rsid w:val="009163AA"/>
    <w:rsid w:val="00930C23"/>
    <w:rsid w:val="0093193B"/>
    <w:rsid w:val="009509D8"/>
    <w:rsid w:val="00950B64"/>
    <w:rsid w:val="00981893"/>
    <w:rsid w:val="009D62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A77"/>
    <w:rsid w:val="00C05BFE"/>
    <w:rsid w:val="00C23CD4"/>
    <w:rsid w:val="00C61C0C"/>
    <w:rsid w:val="00C941CB"/>
    <w:rsid w:val="00CC2357"/>
    <w:rsid w:val="00CF071A"/>
    <w:rsid w:val="00D058B8"/>
    <w:rsid w:val="00D56C11"/>
    <w:rsid w:val="00D834A0"/>
    <w:rsid w:val="00D872DF"/>
    <w:rsid w:val="00D91E21"/>
    <w:rsid w:val="00DA7FCD"/>
    <w:rsid w:val="00DB13A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D3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A0AA1"/>
  <w15:chartTrackingRefBased/>
  <w15:docId w15:val="{A81815FF-2DF7-499E-9C1F-53D98822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41B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C41BF"/>
    <w:pPr>
      <w:spacing w:before="480" w:after="240"/>
    </w:pPr>
  </w:style>
  <w:style w:type="paragraph" w:customStyle="1" w:styleId="PageHeading">
    <w:name w:val="PageHeading"/>
    <w:basedOn w:val="Normal"/>
    <w:rsid w:val="007C41BF"/>
    <w:pPr>
      <w:keepNext/>
      <w:spacing w:after="480"/>
      <w:jc w:val="center"/>
    </w:pPr>
    <w:rPr>
      <w:rFonts w:ascii="Arial" w:hAnsi="Arial" w:cs="Arial"/>
      <w:b/>
    </w:rPr>
  </w:style>
  <w:style w:type="paragraph" w:customStyle="1" w:styleId="NormalBold">
    <w:name w:val="NormalBold"/>
    <w:basedOn w:val="Normal"/>
    <w:rsid w:val="007C41BF"/>
    <w:rPr>
      <w:b/>
    </w:rPr>
  </w:style>
  <w:style w:type="paragraph" w:customStyle="1" w:styleId="NormalHanging12a">
    <w:name w:val="NormalHanging12a"/>
    <w:basedOn w:val="Normal"/>
    <w:link w:val="NormalHanging12aChar"/>
    <w:qFormat/>
    <w:rsid w:val="007C41BF"/>
    <w:pPr>
      <w:spacing w:after="240"/>
      <w:ind w:left="567" w:hanging="567"/>
    </w:pPr>
  </w:style>
  <w:style w:type="paragraph" w:styleId="Header">
    <w:name w:val="header"/>
    <w:basedOn w:val="Normal"/>
    <w:link w:val="HeaderChar"/>
    <w:rsid w:val="007C41BF"/>
    <w:pPr>
      <w:tabs>
        <w:tab w:val="center" w:pos="4513"/>
        <w:tab w:val="right" w:pos="9026"/>
      </w:tabs>
    </w:pPr>
  </w:style>
  <w:style w:type="character" w:customStyle="1" w:styleId="HeaderChar">
    <w:name w:val="Header Char"/>
    <w:basedOn w:val="DefaultParagraphFont"/>
    <w:link w:val="Header"/>
    <w:rsid w:val="007C41BF"/>
    <w:rPr>
      <w:sz w:val="24"/>
      <w:lang w:val="hr-HR"/>
    </w:rPr>
  </w:style>
  <w:style w:type="paragraph" w:customStyle="1" w:styleId="EPFooter">
    <w:name w:val="EPFooter"/>
    <w:basedOn w:val="Normal"/>
    <w:rsid w:val="007C41BF"/>
    <w:pPr>
      <w:tabs>
        <w:tab w:val="center" w:pos="4535"/>
        <w:tab w:val="right" w:pos="9071"/>
      </w:tabs>
      <w:spacing w:before="240" w:after="240"/>
    </w:pPr>
    <w:rPr>
      <w:color w:val="010000"/>
      <w:sz w:val="22"/>
    </w:rPr>
  </w:style>
  <w:style w:type="character" w:styleId="Hyperlink">
    <w:name w:val="Hyperlink"/>
    <w:basedOn w:val="DefaultParagraphFont"/>
    <w:rsid w:val="007C41BF"/>
    <w:rPr>
      <w:color w:val="0563C1" w:themeColor="hyperlink"/>
      <w:u w:val="single"/>
    </w:rPr>
  </w:style>
  <w:style w:type="character" w:customStyle="1" w:styleId="NormalHanging12aChar">
    <w:name w:val="NormalHanging12a Char"/>
    <w:basedOn w:val="DefaultParagraphFont"/>
    <w:link w:val="NormalHanging12a"/>
    <w:locked/>
    <w:rsid w:val="007C41BF"/>
    <w:rPr>
      <w:sz w:val="24"/>
      <w:lang w:val="hr-HR"/>
    </w:rPr>
  </w:style>
  <w:style w:type="paragraph" w:customStyle="1" w:styleId="Default">
    <w:name w:val="Default"/>
    <w:rsid w:val="007C41BF"/>
    <w:pPr>
      <w:autoSpaceDE w:val="0"/>
      <w:autoSpaceDN w:val="0"/>
      <w:adjustRightInd w:val="0"/>
    </w:pPr>
    <w:rPr>
      <w:rFonts w:ascii="Source Sans Pro" w:hAnsi="Source Sans Pro" w:cs="Source Sans Pro"/>
      <w:color w:val="000000"/>
      <w:sz w:val="24"/>
      <w:szCs w:val="24"/>
      <w:lang w:val="hr-HR"/>
    </w:rPr>
  </w:style>
  <w:style w:type="paragraph" w:styleId="Footer">
    <w:name w:val="footer"/>
    <w:basedOn w:val="Normal"/>
    <w:link w:val="FooterChar"/>
    <w:rsid w:val="00DB13AE"/>
    <w:pPr>
      <w:tabs>
        <w:tab w:val="center" w:pos="4513"/>
        <w:tab w:val="right" w:pos="9026"/>
      </w:tabs>
    </w:pPr>
  </w:style>
  <w:style w:type="character" w:customStyle="1" w:styleId="FooterChar">
    <w:name w:val="Footer Char"/>
    <w:basedOn w:val="DefaultParagraphFont"/>
    <w:link w:val="Footer"/>
    <w:rsid w:val="00DB13AE"/>
    <w:rPr>
      <w:sz w:val="24"/>
      <w:lang w:val="hr-HR"/>
    </w:rPr>
  </w:style>
  <w:style w:type="paragraph" w:styleId="Revision">
    <w:name w:val="Revision"/>
    <w:hidden/>
    <w:uiPriority w:val="99"/>
    <w:semiHidden/>
    <w:rsid w:val="002E1486"/>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7527</Words>
  <Characters>46398</Characters>
  <Application>Microsoft Office Word</Application>
  <DocSecurity>0</DocSecurity>
  <Lines>386</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3</cp:revision>
  <cp:lastPrinted>2004-11-19T15:42:00Z</cp:lastPrinted>
  <dcterms:created xsi:type="dcterms:W3CDTF">2026-04-23T15:00:00Z</dcterms:created>
  <dcterms:modified xsi:type="dcterms:W3CDTF">2026-04-29T12:10:00Z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A10-0051/2026</vt:lpwstr>
  </property>
  <property fmtid="{D5CDD505-2E9C-101B-9397-08002B2CF9AE}" pid="4" name="&lt;Type&gt;">
    <vt:lpwstr>RR</vt:lpwstr>
  </property>
</Properties>
</file>