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15D1E" w14:paraId="156AF23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D6FB74" w14:textId="77777777" w:rsidR="00751A4A" w:rsidRPr="00015D1E" w:rsidRDefault="00AB18F1" w:rsidP="0010095E">
            <w:pPr>
              <w:pStyle w:val="EPName"/>
            </w:pPr>
            <w:r w:rsidRPr="00015D1E">
              <w:t>Európsky parlament</w:t>
            </w:r>
          </w:p>
          <w:p w14:paraId="1E7970FA" w14:textId="77777777" w:rsidR="00751A4A" w:rsidRPr="00015D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5D1E">
              <w:t>2024</w:t>
            </w:r>
            <w:r w:rsidR="00817416" w:rsidRPr="00015D1E">
              <w:t>-202</w:t>
            </w:r>
            <w:r w:rsidRPr="00015D1E">
              <w:t>9</w:t>
            </w:r>
          </w:p>
        </w:tc>
        <w:tc>
          <w:tcPr>
            <w:tcW w:w="2268" w:type="dxa"/>
            <w:shd w:val="clear" w:color="auto" w:fill="auto"/>
          </w:tcPr>
          <w:p w14:paraId="33EFE683" w14:textId="77777777" w:rsidR="00751A4A" w:rsidRPr="00015D1E" w:rsidRDefault="00187494" w:rsidP="0010095E">
            <w:pPr>
              <w:pStyle w:val="EPLogo"/>
            </w:pPr>
            <w:r w:rsidRPr="00015D1E">
              <w:rPr>
                <w:noProof/>
                <w:lang w:eastAsia="ja-JP"/>
              </w:rPr>
              <w:drawing>
                <wp:inline distT="0" distB="0" distL="0" distR="0" wp14:anchorId="38DAEF50" wp14:editId="421BA43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DA7AB9" w14:textId="77777777" w:rsidR="00D058B8" w:rsidRPr="00015D1E" w:rsidRDefault="00D058B8" w:rsidP="004C5D52">
      <w:pPr>
        <w:pStyle w:val="LineTop"/>
      </w:pPr>
    </w:p>
    <w:p w14:paraId="52A2F022" w14:textId="77777777" w:rsidR="00680577" w:rsidRPr="00015D1E" w:rsidRDefault="00AB18F1" w:rsidP="00680577">
      <w:pPr>
        <w:pStyle w:val="EPBodyTA1"/>
      </w:pPr>
      <w:r w:rsidRPr="00015D1E">
        <w:t>PRIJATÉ TEXTY</w:t>
      </w:r>
    </w:p>
    <w:p w14:paraId="4FE33BE4" w14:textId="77777777" w:rsidR="00D058B8" w:rsidRPr="00015D1E" w:rsidRDefault="00D058B8" w:rsidP="00D058B8">
      <w:pPr>
        <w:pStyle w:val="LineBottom"/>
      </w:pPr>
    </w:p>
    <w:p w14:paraId="5B7D771D" w14:textId="356E104C" w:rsidR="00AB18F1" w:rsidRPr="00015D1E" w:rsidRDefault="00AB18F1" w:rsidP="00AB18F1">
      <w:pPr>
        <w:pStyle w:val="ATHeading1"/>
      </w:pPr>
      <w:bookmarkStart w:id="0" w:name="TANumber"/>
      <w:r w:rsidRPr="00015D1E">
        <w:t>P10_TA(2026)0</w:t>
      </w:r>
      <w:r w:rsidR="00015D1E" w:rsidRPr="00015D1E">
        <w:t>127</w:t>
      </w:r>
      <w:bookmarkEnd w:id="0"/>
    </w:p>
    <w:p w14:paraId="774F72D7" w14:textId="77777777" w:rsidR="00AB18F1" w:rsidRPr="00015D1E" w:rsidRDefault="00AB18F1" w:rsidP="00AB18F1">
      <w:pPr>
        <w:pStyle w:val="ATHeading2"/>
      </w:pPr>
      <w:bookmarkStart w:id="1" w:name="title"/>
      <w:r w:rsidRPr="00015D1E">
        <w:t>Absolutórium za rok 2024: všeobecný rozpočet EÚ – Európska rada a Rada</w:t>
      </w:r>
      <w:bookmarkEnd w:id="1"/>
    </w:p>
    <w:p w14:paraId="3DF5A41B" w14:textId="77777777" w:rsidR="00AB18F1" w:rsidRPr="00015D1E" w:rsidRDefault="00AB18F1" w:rsidP="00AB18F1">
      <w:pPr>
        <w:rPr>
          <w:i/>
          <w:vanish/>
        </w:rPr>
      </w:pPr>
      <w:r w:rsidRPr="00015D1E">
        <w:rPr>
          <w:i/>
        </w:rPr>
        <w:fldChar w:fldCharType="begin"/>
      </w:r>
      <w:r w:rsidRPr="00015D1E">
        <w:rPr>
          <w:i/>
        </w:rPr>
        <w:instrText xml:space="preserve"> TC"(</w:instrText>
      </w:r>
      <w:bookmarkStart w:id="2" w:name="DocNumber"/>
      <w:r w:rsidRPr="00015D1E">
        <w:rPr>
          <w:i/>
        </w:rPr>
        <w:instrText>A10-0051/2026</w:instrText>
      </w:r>
      <w:bookmarkEnd w:id="2"/>
      <w:r w:rsidRPr="00015D1E">
        <w:rPr>
          <w:i/>
        </w:rPr>
        <w:instrText xml:space="preserve"> - Spravodajca: Pasquale Tridico)"\l3 \n&gt; \* MERGEFORMAT </w:instrText>
      </w:r>
      <w:r w:rsidRPr="00015D1E">
        <w:rPr>
          <w:i/>
        </w:rPr>
        <w:fldChar w:fldCharType="end"/>
      </w:r>
    </w:p>
    <w:p w14:paraId="13A57F58" w14:textId="77777777" w:rsidR="00AB18F1" w:rsidRPr="00015D1E" w:rsidRDefault="00AB18F1" w:rsidP="00AB18F1">
      <w:pPr>
        <w:rPr>
          <w:vanish/>
        </w:rPr>
      </w:pPr>
      <w:bookmarkStart w:id="3" w:name="Commission"/>
      <w:r w:rsidRPr="00015D1E">
        <w:rPr>
          <w:vanish/>
        </w:rPr>
        <w:t>Výbor pre kontrolu rozpočtu</w:t>
      </w:r>
      <w:bookmarkEnd w:id="3"/>
    </w:p>
    <w:p w14:paraId="4F131D26" w14:textId="77777777" w:rsidR="00AB18F1" w:rsidRPr="00015D1E" w:rsidRDefault="00AB18F1" w:rsidP="00AB18F1">
      <w:pPr>
        <w:rPr>
          <w:vanish/>
        </w:rPr>
      </w:pPr>
      <w:bookmarkStart w:id="4" w:name="PE"/>
      <w:r w:rsidRPr="00015D1E">
        <w:rPr>
          <w:vanish/>
        </w:rPr>
        <w:t>PE778.049</w:t>
      </w:r>
      <w:bookmarkEnd w:id="4"/>
    </w:p>
    <w:p w14:paraId="2B520DE7" w14:textId="0E26B69F" w:rsidR="00AB18F1" w:rsidRPr="00015D1E" w:rsidRDefault="00AB18F1" w:rsidP="00AB18F1">
      <w:pPr>
        <w:pStyle w:val="ATHeading3"/>
      </w:pPr>
      <w:bookmarkStart w:id="5" w:name="Sujet"/>
      <w:r w:rsidRPr="00015D1E">
        <w:t>1. Rozhodnutie Európskeho parlamentu z</w:t>
      </w:r>
      <w:r w:rsidR="004C766B" w:rsidRPr="00015D1E">
        <w:t> 29. apríla</w:t>
      </w:r>
      <w:r w:rsidRPr="00015D1E">
        <w:t xml:space="preserve"> 2026 o absolutóriu za plnenie všeobecného rozpočtu Európskej únie za rozpočtový rok 2024, oddiel II – Európska rada a Rada</w:t>
      </w:r>
      <w:bookmarkEnd w:id="5"/>
      <w:r w:rsidRPr="00015D1E">
        <w:t xml:space="preserve"> </w:t>
      </w:r>
      <w:bookmarkStart w:id="6" w:name="References"/>
      <w:r w:rsidRPr="00015D1E">
        <w:t>(2025/2147(DEC))</w:t>
      </w:r>
      <w:bookmarkEnd w:id="6"/>
    </w:p>
    <w:p w14:paraId="2DE421C9" w14:textId="77777777" w:rsidR="00813D6A" w:rsidRPr="00015D1E" w:rsidRDefault="00813D6A" w:rsidP="00813D6A">
      <w:pPr>
        <w:pStyle w:val="EPComma"/>
      </w:pPr>
      <w:bookmarkStart w:id="7" w:name="TextBodyBegin"/>
      <w:bookmarkEnd w:id="7"/>
      <w:r w:rsidRPr="00015D1E">
        <w:rPr>
          <w:i/>
          <w:iCs/>
        </w:rPr>
        <w:t>Európsky parlament</w:t>
      </w:r>
      <w:r w:rsidRPr="00015D1E">
        <w:t>,</w:t>
      </w:r>
    </w:p>
    <w:p w14:paraId="23F0F364" w14:textId="77777777" w:rsidR="00813D6A" w:rsidRPr="00015D1E" w:rsidRDefault="00813D6A" w:rsidP="00813D6A">
      <w:pPr>
        <w:pStyle w:val="NormalHanging12a"/>
      </w:pPr>
      <w:r w:rsidRPr="00015D1E">
        <w:t>–</w:t>
      </w:r>
      <w:r w:rsidRPr="00015D1E">
        <w:tab/>
        <w:t>so zreteľom na všeobecný rozpočet Európskej únie na rozpočtový rok 2024</w:t>
      </w:r>
      <w:r w:rsidRPr="00015D1E">
        <w:rPr>
          <w:rStyle w:val="FootnoteReference"/>
        </w:rPr>
        <w:footnoteReference w:id="1"/>
      </w:r>
      <w:r w:rsidRPr="00015D1E">
        <w:t>,</w:t>
      </w:r>
    </w:p>
    <w:p w14:paraId="6DB605DD" w14:textId="77777777" w:rsidR="00813D6A" w:rsidRPr="00015D1E" w:rsidRDefault="00813D6A" w:rsidP="00813D6A">
      <w:pPr>
        <w:pStyle w:val="NormalHanging12a"/>
      </w:pPr>
      <w:r w:rsidRPr="00015D1E">
        <w:t>–</w:t>
      </w:r>
      <w:r w:rsidRPr="00015D1E">
        <w:tab/>
        <w:t>so zreteľom na konsolidovanú ročnú účtovnú závierku Európskej únie za rozpočtový rok 2024 (COM(2025)0359 – C10</w:t>
      </w:r>
      <w:r w:rsidRPr="00015D1E">
        <w:noBreakHyphen/>
        <w:t>0147/2025)</w:t>
      </w:r>
      <w:r w:rsidRPr="00015D1E">
        <w:rPr>
          <w:rStyle w:val="FootnoteReference"/>
        </w:rPr>
        <w:footnoteReference w:id="2"/>
      </w:r>
      <w:r w:rsidRPr="00015D1E">
        <w:t>,</w:t>
      </w:r>
    </w:p>
    <w:p w14:paraId="7B0BD483" w14:textId="77777777" w:rsidR="00813D6A" w:rsidRPr="00015D1E" w:rsidRDefault="00813D6A" w:rsidP="00813D6A">
      <w:pPr>
        <w:pStyle w:val="NormalHanging12a"/>
      </w:pPr>
      <w:r w:rsidRPr="00015D1E">
        <w:t>–</w:t>
      </w:r>
      <w:r w:rsidRPr="00015D1E">
        <w:tab/>
        <w:t>so zreteľom na výročnú správu Rady o vnútorných auditoch vykonaných v roku 2024 pre orgán udeľujúci absolutórium,</w:t>
      </w:r>
    </w:p>
    <w:p w14:paraId="0FE48EB8" w14:textId="77777777" w:rsidR="00813D6A" w:rsidRPr="00015D1E" w:rsidRDefault="00813D6A" w:rsidP="00813D6A">
      <w:pPr>
        <w:pStyle w:val="NormalHanging12a"/>
      </w:pPr>
      <w:r w:rsidRPr="00015D1E">
        <w:t>–</w:t>
      </w:r>
      <w:r w:rsidRPr="00015D1E">
        <w:tab/>
        <w:t>so zreteľom na výročnú správu Dvora audítorov o plnení rozpočtu za rozpočtový rok 2024 spolu s odpoveďami inštitúcií</w:t>
      </w:r>
      <w:r w:rsidRPr="00015D1E">
        <w:rPr>
          <w:rStyle w:val="FootnoteReference"/>
        </w:rPr>
        <w:footnoteReference w:id="3"/>
      </w:r>
      <w:r w:rsidRPr="00015D1E">
        <w:t>,</w:t>
      </w:r>
    </w:p>
    <w:p w14:paraId="4E43D653" w14:textId="77777777" w:rsidR="00813D6A" w:rsidRPr="00015D1E" w:rsidRDefault="00813D6A" w:rsidP="00813D6A">
      <w:pPr>
        <w:pStyle w:val="NormalHanging12a"/>
      </w:pPr>
      <w:r w:rsidRPr="00015D1E">
        <w:t>–</w:t>
      </w:r>
      <w:r w:rsidRPr="00015D1E">
        <w:tab/>
        <w:t>so zreteľom na vyhlásenie o vierohodnosti</w:t>
      </w:r>
      <w:r w:rsidRPr="00015D1E">
        <w:rPr>
          <w:rStyle w:val="FootnoteReference"/>
        </w:rPr>
        <w:footnoteReference w:id="4"/>
      </w:r>
      <w:r w:rsidRPr="00015D1E">
        <w:t xml:space="preserve"> vedenia účtov a zákonnosti a správnosti príslušných operácií, ktoré poskytol Dvor audítorov za rozpočtový rok 2024 v súlade s článkom 287 Zmluvy o fungovaní Európskej únie,</w:t>
      </w:r>
    </w:p>
    <w:p w14:paraId="1B8211CF" w14:textId="77777777" w:rsidR="00813D6A" w:rsidRPr="00015D1E" w:rsidRDefault="00813D6A" w:rsidP="00813D6A">
      <w:pPr>
        <w:pStyle w:val="NormalHanging12a"/>
      </w:pPr>
      <w:r w:rsidRPr="00015D1E">
        <w:t>–</w:t>
      </w:r>
      <w:r w:rsidRPr="00015D1E">
        <w:tab/>
        <w:t>so zreteľom na článok 314 ods. 10 a články 317, 318 a 319 Zmluvy o fungovaní Európskej únie,</w:t>
      </w:r>
    </w:p>
    <w:p w14:paraId="67F1FC00" w14:textId="77777777" w:rsidR="00813D6A" w:rsidRPr="00015D1E" w:rsidRDefault="00813D6A" w:rsidP="00813D6A">
      <w:pPr>
        <w:pStyle w:val="NormalHanging12a"/>
      </w:pPr>
      <w:r w:rsidRPr="00015D1E">
        <w:t>–</w:t>
      </w:r>
      <w:r w:rsidRPr="00015D1E">
        <w:tab/>
        <w:t xml:space="preserve">so zreteľom na nariadenie Európskeho parlamentu a Rady (EÚ, </w:t>
      </w:r>
      <w:proofErr w:type="spellStart"/>
      <w:r w:rsidRPr="00015D1E">
        <w:t>Euratom</w:t>
      </w:r>
      <w:proofErr w:type="spellEnd"/>
      <w:r w:rsidRPr="00015D1E">
        <w:t xml:space="preserve">) 2018/1046 z 18. júla 2018 o rozpočtových pravidlách, ktoré sa vzťahujú na všeobecný rozpočet Únie, o zmene nariadení (EÚ) č. 1296/2013, (EÚ) č. 1301/2013, (EÚ) č. 1303/2013, (EÚ) č. 1304/2013, (EÚ) č. 1309/2013, (EÚ) č. 1316/2013, (EÚ) č. 223/2014, (EÚ) č. 283/2014 a rozhodnutia č. 541/2014/EÚ a o zrušení nariadenia (EÚ, </w:t>
      </w:r>
      <w:proofErr w:type="spellStart"/>
      <w:r w:rsidRPr="00015D1E">
        <w:t>Euratom</w:t>
      </w:r>
      <w:proofErr w:type="spellEnd"/>
      <w:r w:rsidRPr="00015D1E">
        <w:t xml:space="preserve">) </w:t>
      </w:r>
      <w:r w:rsidRPr="00015D1E">
        <w:lastRenderedPageBreak/>
        <w:t>č. 966/2012</w:t>
      </w:r>
      <w:r w:rsidRPr="00015D1E">
        <w:rPr>
          <w:rStyle w:val="FootnoteReference"/>
        </w:rPr>
        <w:footnoteReference w:id="5"/>
      </w:r>
      <w:r w:rsidRPr="00015D1E">
        <w:t>, a najmä na jeho články 59, 118, 260, 261 a 262,</w:t>
      </w:r>
    </w:p>
    <w:p w14:paraId="495D88FB" w14:textId="77777777" w:rsidR="00813D6A" w:rsidRPr="00015D1E" w:rsidRDefault="00813D6A" w:rsidP="00813D6A">
      <w:pPr>
        <w:pStyle w:val="NormalHanging12a"/>
      </w:pPr>
      <w:r w:rsidRPr="00015D1E">
        <w:t>–</w:t>
      </w:r>
      <w:r w:rsidRPr="00015D1E">
        <w:tab/>
        <w:t xml:space="preserve">so zreteľom na nariadenie Európskeho parlamentu a Rady (EÚ, </w:t>
      </w:r>
      <w:proofErr w:type="spellStart"/>
      <w:r w:rsidRPr="00015D1E">
        <w:t>Euratom</w:t>
      </w:r>
      <w:proofErr w:type="spellEnd"/>
      <w:r w:rsidRPr="00015D1E">
        <w:t>) 2024/2509 z 23. septembra 2024 o rozpočtových pravidlách, ktoré sa vzťahujú na všeobecný rozpočet Únie</w:t>
      </w:r>
      <w:r w:rsidRPr="00015D1E">
        <w:rPr>
          <w:rStyle w:val="FootnoteReference"/>
        </w:rPr>
        <w:footnoteReference w:id="6"/>
      </w:r>
      <w:r w:rsidRPr="00015D1E">
        <w:t>, a najmä na jeho články 59, 118, 266, 267 a 268,</w:t>
      </w:r>
    </w:p>
    <w:p w14:paraId="245CDE20" w14:textId="0EDF11A4" w:rsidR="00813D6A" w:rsidRPr="00015D1E" w:rsidRDefault="00813D6A" w:rsidP="00813D6A">
      <w:pPr>
        <w:pStyle w:val="NormalHanging12a"/>
      </w:pPr>
      <w:r w:rsidRPr="00015D1E">
        <w:t>–</w:t>
      </w:r>
      <w:r w:rsidRPr="00015D1E">
        <w:tab/>
        <w:t>so zreteľom na článok 102 a prílohu V k rokovaciemu poriadku,</w:t>
      </w:r>
    </w:p>
    <w:p w14:paraId="19C23C68" w14:textId="77777777" w:rsidR="00813D6A" w:rsidRPr="00015D1E" w:rsidRDefault="00813D6A" w:rsidP="00813D6A">
      <w:pPr>
        <w:pStyle w:val="NormalHanging12a"/>
      </w:pPr>
      <w:r w:rsidRPr="00015D1E">
        <w:t>–</w:t>
      </w:r>
      <w:r w:rsidRPr="00015D1E">
        <w:tab/>
        <w:t>so zreteľom na správu Výboru pre kontrolu rozpočtu (A10-0051/2026),</w:t>
      </w:r>
    </w:p>
    <w:p w14:paraId="4B941FE5" w14:textId="77777777" w:rsidR="00813D6A" w:rsidRPr="00015D1E" w:rsidRDefault="00813D6A" w:rsidP="00813D6A">
      <w:pPr>
        <w:pStyle w:val="NormalHanging12a"/>
      </w:pPr>
      <w:bookmarkStart w:id="8" w:name="_Hlk216800694"/>
      <w:r w:rsidRPr="00015D1E">
        <w:t>1.</w:t>
      </w:r>
      <w:r w:rsidRPr="00015D1E">
        <w:tab/>
        <w:t>odkladá svoje rozhodnutie o udelení absolutória generálnej tajomníčke Rady za plnenie rozpočtu Európskej rady a Rady za rozpočtový rok 2024;</w:t>
      </w:r>
    </w:p>
    <w:bookmarkEnd w:id="8"/>
    <w:p w14:paraId="0C98844A" w14:textId="77777777" w:rsidR="00813D6A" w:rsidRPr="00015D1E" w:rsidRDefault="00813D6A" w:rsidP="00813D6A">
      <w:pPr>
        <w:pStyle w:val="NormalHanging12a"/>
      </w:pPr>
      <w:r w:rsidRPr="00015D1E">
        <w:t>2.</w:t>
      </w:r>
      <w:r w:rsidRPr="00015D1E">
        <w:tab/>
        <w:t>uvádza svoje poznámky v priloženom uznesení;</w:t>
      </w:r>
    </w:p>
    <w:p w14:paraId="5217B42B" w14:textId="77777777" w:rsidR="00813D6A" w:rsidRPr="00015D1E" w:rsidRDefault="00813D6A" w:rsidP="00813D6A">
      <w:pPr>
        <w:pStyle w:val="NormalHanging12a"/>
      </w:pPr>
      <w:r w:rsidRPr="00015D1E">
        <w:t>3.</w:t>
      </w:r>
      <w:r w:rsidRPr="00015D1E">
        <w:tab/>
        <w:t xml:space="preserve">poveruje svoju predsedníčku, aby postúpila toto rozhodnutie a uznesenie, ktoré je jeho neoddeliteľnou súčasťou, Európskej rade, Rade, Komisii a Dvoru audítorov a aby zabezpečila ich uverejnenie v </w:t>
      </w:r>
      <w:r w:rsidRPr="00015D1E">
        <w:rPr>
          <w:i/>
        </w:rPr>
        <w:t>Úradnom vestníku Európskej únie</w:t>
      </w:r>
      <w:r w:rsidRPr="00015D1E">
        <w:t xml:space="preserve"> (v sérii L).</w:t>
      </w:r>
    </w:p>
    <w:p w14:paraId="7267B2AE" w14:textId="77777777" w:rsidR="00813D6A" w:rsidRPr="00015D1E" w:rsidRDefault="00813D6A" w:rsidP="00813D6A">
      <w:pPr>
        <w:pStyle w:val="PageHeading"/>
        <w:sectPr w:rsidR="00813D6A" w:rsidRPr="00015D1E" w:rsidSect="00B4275C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2A3E07B" w14:textId="1EB46D50" w:rsidR="00B04181" w:rsidRPr="00015D1E" w:rsidRDefault="00B04181" w:rsidP="00B04181">
      <w:pPr>
        <w:pStyle w:val="ATHeading3"/>
      </w:pPr>
      <w:r w:rsidRPr="00015D1E">
        <w:lastRenderedPageBreak/>
        <w:t xml:space="preserve">2. Uznesenie Európskeho parlamentu z 29. apríla 2026 s poznámkami, ktoré </w:t>
      </w:r>
      <w:r w:rsidR="00DB016D" w:rsidRPr="00015D1E">
        <w:t>je</w:t>
      </w:r>
      <w:r w:rsidRPr="00015D1E">
        <w:t xml:space="preserve"> neoddeliteľnou súčasťou rozhodnutia o absolutóriu za plnenie všeobecného rozpočtu Európskej únie za rozpočtový rok 2024, oddiel II – Európska rada a Rada (2025/2147(DEC))</w:t>
      </w:r>
    </w:p>
    <w:p w14:paraId="039D9ECC" w14:textId="77777777" w:rsidR="00813D6A" w:rsidRPr="00015D1E" w:rsidRDefault="00813D6A" w:rsidP="00813D6A">
      <w:pPr>
        <w:pStyle w:val="EPComma"/>
      </w:pPr>
      <w:r w:rsidRPr="00015D1E">
        <w:rPr>
          <w:i/>
          <w:iCs/>
        </w:rPr>
        <w:t>Európsky parlament</w:t>
      </w:r>
      <w:r w:rsidRPr="00015D1E">
        <w:t>,</w:t>
      </w:r>
    </w:p>
    <w:p w14:paraId="50E19A6D" w14:textId="77777777" w:rsidR="00813D6A" w:rsidRPr="00015D1E" w:rsidRDefault="00813D6A" w:rsidP="00813D6A">
      <w:pPr>
        <w:pStyle w:val="NormalHanging12a"/>
      </w:pPr>
      <w:r w:rsidRPr="00015D1E">
        <w:t>–</w:t>
      </w:r>
      <w:r w:rsidRPr="00015D1E">
        <w:tab/>
        <w:t>so zreteľom na svoje rozhodnutie o absolutóriu za plnenie všeobecného rozpočtu Európskej únie za rozpočtový rok 2024, oddiel II – Európska rada a Rada,</w:t>
      </w:r>
    </w:p>
    <w:p w14:paraId="79EE28C7" w14:textId="0AD25A67" w:rsidR="00813D6A" w:rsidRPr="00015D1E" w:rsidRDefault="00813D6A" w:rsidP="00813D6A">
      <w:pPr>
        <w:pStyle w:val="NormalHanging12a"/>
      </w:pPr>
      <w:r w:rsidRPr="00015D1E">
        <w:t>–</w:t>
      </w:r>
      <w:r w:rsidRPr="00015D1E">
        <w:tab/>
        <w:t>so zreteľom na článok 102 a prílohu V k rokovaciemu poriadku,</w:t>
      </w:r>
    </w:p>
    <w:p w14:paraId="409F4AB0" w14:textId="77777777" w:rsidR="00813D6A" w:rsidRPr="00015D1E" w:rsidRDefault="00813D6A" w:rsidP="00813D6A">
      <w:pPr>
        <w:pStyle w:val="NormalHanging12a"/>
      </w:pPr>
      <w:r w:rsidRPr="00015D1E">
        <w:t>–</w:t>
      </w:r>
      <w:r w:rsidRPr="00015D1E">
        <w:tab/>
        <w:t>so zreteľom na správu Výboru pre kontrolu rozpočtu (A10-0051/2026),</w:t>
      </w:r>
    </w:p>
    <w:p w14:paraId="3A010719" w14:textId="77777777" w:rsidR="00813D6A" w:rsidRPr="00015D1E" w:rsidRDefault="00813D6A" w:rsidP="00813D6A">
      <w:pPr>
        <w:pStyle w:val="NormalHanging12a"/>
        <w:rPr>
          <w:bCs/>
          <w:iCs/>
        </w:rPr>
      </w:pPr>
      <w:r w:rsidRPr="00015D1E">
        <w:t>A.</w:t>
      </w:r>
      <w:r w:rsidRPr="00015D1E">
        <w:tab/>
        <w:t>keďže demokratická legitimita inštitúcií Únie vyplýva predovšetkým z prísneho dodržiavania zmlúv, ktoré stanovujú inštitucionálnu rovnováhu a jasné rozdelenie právomocí; keďže transparentnosť, zodpovednosť a správne finančné riadenie sú základnými povinnosťami všetkých inštitúcií, orgánov, úradov a agentúr Únie pri vynakladaní peňazí daňovníkov; keďže v súvislosti s postupom udelenia absolutória chce orgán udeľujúci absolutórium podčiarknuť mimoriadny význam ďalšieho posilňovania demokratickej legitimity inštitúcií Únie zvyšovaním transparentnosti a zodpovednosti a zavedením koncepcie zostavovania rozpočtu podľa výkonnosti a dobrého riadenia ľudských zdrojov;</w:t>
      </w:r>
    </w:p>
    <w:p w14:paraId="547A16A8" w14:textId="77777777" w:rsidR="00813D6A" w:rsidRPr="00015D1E" w:rsidRDefault="00813D6A" w:rsidP="00813D6A">
      <w:pPr>
        <w:pStyle w:val="NormalHanging12a"/>
      </w:pPr>
      <w:r w:rsidRPr="00015D1E">
        <w:t>B.</w:t>
      </w:r>
      <w:r w:rsidRPr="00015D1E">
        <w:tab/>
        <w:t>keďže podľa článku 319 Zmluvy o fungovaní Európskej únie (ďalej len „ZFEÚ“) má Európsky parlament výhradnú zodpovednosť za udelenie absolutória za plnenie všeobecného rozpočtu Únie a keďže rozpočet Európskej rady a Rady (ďalej len „Rada“) je jedným z oddielov rozpočtu Únie, a preto je právne viazaný zmluvami a nariadením o rozpočtových pravidlách s cieľom zabezpečiť transparentnosť, zodpovednosť a správne finančné riadenie bez ohľadu na jeho medzivládnu povahu;</w:t>
      </w:r>
    </w:p>
    <w:p w14:paraId="6AC41D4B" w14:textId="0118F052" w:rsidR="00813D6A" w:rsidRPr="00015D1E" w:rsidRDefault="00813D6A" w:rsidP="00813D6A">
      <w:pPr>
        <w:pStyle w:val="NormalHanging12a"/>
      </w:pPr>
      <w:r w:rsidRPr="00015D1E">
        <w:t>C.</w:t>
      </w:r>
      <w:r w:rsidRPr="00015D1E">
        <w:tab/>
        <w:t>keďže podľa článku 15 ods. 1 Zmluvy o Európskej únii (</w:t>
      </w:r>
      <w:r w:rsidR="00DB016D" w:rsidRPr="00015D1E">
        <w:t>ďalej len „</w:t>
      </w:r>
      <w:r w:rsidRPr="00015D1E">
        <w:t>Z</w:t>
      </w:r>
      <w:r w:rsidR="00DB016D" w:rsidRPr="00015D1E">
        <w:t xml:space="preserve">mluva o </w:t>
      </w:r>
      <w:r w:rsidRPr="00015D1E">
        <w:t>EÚ) Európska rada nevykonáva legislatívnu funkciu;</w:t>
      </w:r>
    </w:p>
    <w:p w14:paraId="00A4C687" w14:textId="77777777" w:rsidR="00813D6A" w:rsidRPr="00015D1E" w:rsidRDefault="00813D6A" w:rsidP="00813D6A">
      <w:pPr>
        <w:pStyle w:val="NormalHanging12a"/>
      </w:pPr>
      <w:r w:rsidRPr="00015D1E">
        <w:t>D.</w:t>
      </w:r>
      <w:r w:rsidRPr="00015D1E">
        <w:tab/>
        <w:t>keďže podľa článku 317 ZFEÚ Komisia plní rozpočet Únie na vlastnú zodpovednosť, a to podľa zásad správneho finančného riadenia, a keďže podľa platného rámca Komisia deleguje na ostatné inštitúcie Únie právomoci potrebné na implementáciu rozpočtových oddielov, ktoré sa ich týkajú;</w:t>
      </w:r>
    </w:p>
    <w:p w14:paraId="4C60DB52" w14:textId="77777777" w:rsidR="00813D6A" w:rsidRPr="00015D1E" w:rsidRDefault="00813D6A" w:rsidP="00813D6A">
      <w:pPr>
        <w:pStyle w:val="NormalHanging12a"/>
      </w:pPr>
      <w:r w:rsidRPr="00015D1E">
        <w:t>E.</w:t>
      </w:r>
      <w:r w:rsidRPr="00015D1E">
        <w:tab/>
        <w:t>keďže podľa článku 235 ods. 4 a článku 240 ods. 2 ZFEÚ Rade pomáha Generálny sekretariát Rady (ďalej len „sekretariát“) a keďže generálny tajomník Rady v plnej miere zodpovedá za správne riadenie rozpočtových prostriedkov v oddiele II rozpočtu Únie;</w:t>
      </w:r>
    </w:p>
    <w:p w14:paraId="3ACAAE0F" w14:textId="77777777" w:rsidR="00813D6A" w:rsidRPr="00015D1E" w:rsidRDefault="00813D6A" w:rsidP="00813D6A">
      <w:pPr>
        <w:pStyle w:val="NormalHanging12a"/>
      </w:pPr>
      <w:r w:rsidRPr="00015D1E">
        <w:t>F.</w:t>
      </w:r>
      <w:r w:rsidRPr="00015D1E">
        <w:tab/>
        <w:t>keďže v priebehu viac než dvadsiatich rokov Európsky parlament vykonáva osvedčený a rešpektovaný postup udeľovania absolutória všetkým inštitúciám, orgánom, úradom a agentúram Únie a keďže Komisia podporuje to, aby sa tento postup udeľovania absolutória jednotlivým inštitúciám za ich administratívne výdavky uplatňoval aj naďalej;</w:t>
      </w:r>
    </w:p>
    <w:p w14:paraId="0C844F84" w14:textId="77777777" w:rsidR="00813D6A" w:rsidRPr="00015D1E" w:rsidRDefault="00813D6A" w:rsidP="00813D6A">
      <w:pPr>
        <w:pStyle w:val="NormalHanging12a"/>
      </w:pPr>
      <w:r w:rsidRPr="00015D1E">
        <w:t>G.</w:t>
      </w:r>
      <w:r w:rsidRPr="00015D1E">
        <w:tab/>
        <w:t xml:space="preserve">keďže podľa článku 59 ods. 1 nariadenia o rozpočtových pravidlách Komisia deleguje </w:t>
      </w:r>
      <w:r w:rsidRPr="00015D1E">
        <w:lastRenderedPageBreak/>
        <w:t>na ostatné inštitúcie Únie právomoci potrebné na implementáciu rozpočtových oddielov, ktoré sa ich týkajú;</w:t>
      </w:r>
    </w:p>
    <w:p w14:paraId="4AEB3B2B" w14:textId="11143DA1" w:rsidR="00813D6A" w:rsidRPr="00015D1E" w:rsidRDefault="00813D6A" w:rsidP="00813D6A">
      <w:pPr>
        <w:pStyle w:val="NormalHanging12a"/>
      </w:pPr>
      <w:r w:rsidRPr="00015D1E">
        <w:t>H.</w:t>
      </w:r>
      <w:r w:rsidRPr="00015D1E">
        <w:tab/>
        <w:t xml:space="preserve">keďže od udeľovania absolutória za rok 2009 nedostatočná spolupráca Rady v rámci postupu udelenia absolutória bránila </w:t>
      </w:r>
      <w:r w:rsidR="00DB016D" w:rsidRPr="00015D1E">
        <w:t>Európskemu p</w:t>
      </w:r>
      <w:r w:rsidRPr="00015D1E">
        <w:t xml:space="preserve">arlamentu vykonávať jeho úlohu demokratickej kontroly a opakovane nútila </w:t>
      </w:r>
      <w:r w:rsidR="00DB016D" w:rsidRPr="00015D1E">
        <w:t>Európsky p</w:t>
      </w:r>
      <w:r w:rsidRPr="00015D1E">
        <w:t>arlament odmietať udelenie absolutória generálnemu tajomníkovi Rady;</w:t>
      </w:r>
    </w:p>
    <w:p w14:paraId="3D49ADA6" w14:textId="77777777" w:rsidR="00813D6A" w:rsidRPr="00015D1E" w:rsidRDefault="00813D6A" w:rsidP="00813D6A">
      <w:pPr>
        <w:pStyle w:val="NormalHanging12a"/>
      </w:pPr>
      <w:r w:rsidRPr="00015D1E">
        <w:t>I.</w:t>
      </w:r>
      <w:r w:rsidRPr="00015D1E">
        <w:tab/>
        <w:t>keďže Európska rada a Rada by ako inštitúcie Únie aj ako príjemcovia finančných prostriedkov zo všeobecného rozpočtu Únie mali byť transparentné a demokraticky sa zodpovedať občanom Únie a mali by podliehať demokratickej kontrole vynakladania verejných finančných prostriedkov;</w:t>
      </w:r>
    </w:p>
    <w:p w14:paraId="4E9788A7" w14:textId="77777777" w:rsidR="00813D6A" w:rsidRPr="00015D1E" w:rsidRDefault="00813D6A" w:rsidP="00813D6A">
      <w:pPr>
        <w:pStyle w:val="NormalHanging12a"/>
        <w:rPr>
          <w:b/>
          <w:i/>
        </w:rPr>
      </w:pPr>
      <w:r w:rsidRPr="00015D1E">
        <w:t>J.</w:t>
      </w:r>
      <w:r w:rsidRPr="00015D1E">
        <w:tab/>
        <w:t>keďže v článku 15 ods. 3 ZFEÚ sa od inštitúcií Únie vyžaduje, aby vo svojom rokovacom poriadku zabezpečili transparentnosť konaní, zatiaľ čo európska ombudsmanka (ďalej len „ombudsmanka“) vo viacerých vyšetrovaniach a rozhodnutiach kritizovala Radu za nedostatočnú transparentnosť, čo naznačuje, že Rada v plnej miere nepochopila zásadné prepojenie medzi demokraciou a transparentnosťou rozhodovania;</w:t>
      </w:r>
    </w:p>
    <w:p w14:paraId="26625639" w14:textId="539A2E03" w:rsidR="00813D6A" w:rsidRPr="00015D1E" w:rsidRDefault="00813D6A" w:rsidP="00813D6A">
      <w:pPr>
        <w:pStyle w:val="NormalHanging12a"/>
      </w:pPr>
      <w:r w:rsidRPr="00015D1E">
        <w:t>K.</w:t>
      </w:r>
      <w:r w:rsidRPr="00015D1E">
        <w:tab/>
        <w:t xml:space="preserve">keďže judikatúra Súdneho dvora Európskej únie </w:t>
      </w:r>
      <w:r w:rsidR="00852913" w:rsidRPr="00015D1E">
        <w:t xml:space="preserve">(ďalej len „Súdny dvor“) </w:t>
      </w:r>
      <w:r w:rsidRPr="00015D1E">
        <w:t>potvrdzuje právo daňovníkov a verejnosti na priebežné informácie o využívaní verejných príjmov a keďže Všeobecný súd vo svojom rozsudku z 25. januára 2023 vo veci T-163/21</w:t>
      </w:r>
      <w:r w:rsidRPr="00015D1E">
        <w:rPr>
          <w:rStyle w:val="FootnoteReference"/>
        </w:rPr>
        <w:footnoteReference w:id="7"/>
      </w:r>
      <w:r w:rsidRPr="00015D1E">
        <w:t xml:space="preserve">, De </w:t>
      </w:r>
      <w:proofErr w:type="spellStart"/>
      <w:r w:rsidRPr="00015D1E">
        <w:t>Capitani</w:t>
      </w:r>
      <w:proofErr w:type="spellEnd"/>
      <w:r w:rsidRPr="00015D1E">
        <w:t>/Rada, o transparentnosti v rámci legislatívneho procesu Únie uviedol, že dokumenty vypracované Radou v jej pracovných skupinách nie sú technickej, ale legislatívnej povahy, a preto podliehajú žiadostiam o prístup k dokumentom;</w:t>
      </w:r>
    </w:p>
    <w:p w14:paraId="25927D3C" w14:textId="02BB0549" w:rsidR="00813D6A" w:rsidRPr="00015D1E" w:rsidRDefault="00813D6A" w:rsidP="00813D6A">
      <w:pPr>
        <w:pStyle w:val="NormalHanging12a"/>
      </w:pPr>
      <w:r w:rsidRPr="00015D1E">
        <w:t>1.</w:t>
      </w:r>
      <w:r w:rsidRPr="00015D1E">
        <w:tab/>
        <w:t>konštatuje, že rozpočet Rady patrí do okruhu 7 VFR Európska verejná správa, ktorý v roku 2023 predstavoval 13,3 miliardy EUR (čo predstavuje 6,9 % celkového rozpočtu Únie); konštatuje, že rozpočet Rady vo výške približne 0,7 miliardy EUR predstavuje 5,26 % celkových administratívnych výdavkov Únie;</w:t>
      </w:r>
    </w:p>
    <w:p w14:paraId="7FDB26EF" w14:textId="77777777" w:rsidR="00813D6A" w:rsidRPr="00015D1E" w:rsidRDefault="00813D6A" w:rsidP="00813D6A">
      <w:pPr>
        <w:pStyle w:val="NormalHanging12a"/>
      </w:pPr>
      <w:r w:rsidRPr="00015D1E">
        <w:t>2.</w:t>
      </w:r>
      <w:r w:rsidRPr="00015D1E">
        <w:tab/>
        <w:t>konštatuje, že Dvor audítorov vo svojej výročnej správe za rozpočtový rok 2024 (ďalej len „správa Dvora audítorov“) preskúmal vzorku 70 operácií v okruhu Administratíva, čo je rovnaký počet ako v roku 2023, zatiaľ čo Dvor audítorov ďalej uvádza, že administratívne výdavky zahŕňajú výdavky na ľudské zdroje vrátane výdavkov na dôchodky, ktoré v roku 2024 predstavovali približne 69 % celkových administratívnych výdavkov, a výdavky na budovy, zariadenie, energie, komunikáciu a informačné technológie a že z jeho dlhoročnej práce vyplýva, že tieto výdavky sú celkovo nízkorizikové;</w:t>
      </w:r>
    </w:p>
    <w:p w14:paraId="15718B40" w14:textId="77777777" w:rsidR="00813D6A" w:rsidRPr="00015D1E" w:rsidRDefault="00813D6A" w:rsidP="00813D6A">
      <w:pPr>
        <w:pStyle w:val="NormalHanging12a"/>
      </w:pPr>
      <w:r w:rsidRPr="00015D1E">
        <w:t>3.</w:t>
      </w:r>
      <w:r w:rsidRPr="00015D1E">
        <w:tab/>
        <w:t>konštatuje, že 16 (23 %) zo 70 operácií obsahovalo chyby, ale že Dvor audítorov na základe troch vyčíslených chýb odhaduje, že chybovosť bola pod prahom významnosti; konštatuje, že v správe Dvora audítorov nie sú uvedené žiadne konkrétne problémy týkajúce sa Rady;</w:t>
      </w:r>
    </w:p>
    <w:p w14:paraId="3FF7C36F" w14:textId="77777777" w:rsidR="00813D6A" w:rsidRPr="00015D1E" w:rsidRDefault="00813D6A" w:rsidP="00813D6A">
      <w:pPr>
        <w:pStyle w:val="NormalHanging12a"/>
        <w:rPr>
          <w:b/>
          <w:i/>
          <w:iCs/>
        </w:rPr>
      </w:pPr>
      <w:r w:rsidRPr="00015D1E">
        <w:rPr>
          <w:b/>
          <w:i/>
        </w:rPr>
        <w:t>Stav postupu udelenia absolutória</w:t>
      </w:r>
    </w:p>
    <w:p w14:paraId="1F11411C" w14:textId="4B362863" w:rsidR="00813D6A" w:rsidRPr="00015D1E" w:rsidRDefault="00813D6A" w:rsidP="00813D6A">
      <w:pPr>
        <w:pStyle w:val="NormalHanging12a"/>
      </w:pPr>
      <w:r w:rsidRPr="00015D1E">
        <w:t>4.</w:t>
      </w:r>
      <w:r w:rsidRPr="00015D1E">
        <w:tab/>
        <w:t xml:space="preserve">vyjadruje hlboké poľutovanie nad tým, že </w:t>
      </w:r>
      <w:r w:rsidR="00DB016D" w:rsidRPr="00015D1E">
        <w:t>Európsky p</w:t>
      </w:r>
      <w:r w:rsidRPr="00015D1E">
        <w:t xml:space="preserve">arlament musí tak ako od roku </w:t>
      </w:r>
      <w:r w:rsidRPr="00015D1E">
        <w:lastRenderedPageBreak/>
        <w:t xml:space="preserve">2009 aj za rozpočtový rok 2023 odmietnuť udelenie absolutória Rade, pretože s ním naďalej odmieta spolupracovať v rámci postupu udelenia absolutória napriek opakovaným pokusom </w:t>
      </w:r>
      <w:r w:rsidR="00DB016D" w:rsidRPr="00015D1E">
        <w:t>Európskeho p</w:t>
      </w:r>
      <w:r w:rsidRPr="00015D1E">
        <w:t>arlamentu nadviazať konštruktívnu spoluprácu, a tak mu bráni prijať informované rozhodnutie na základe serióznej a dôkladnej kontroly plnenia rozpočtu Rady;</w:t>
      </w:r>
    </w:p>
    <w:p w14:paraId="73FB8318" w14:textId="77B82FB5" w:rsidR="00813D6A" w:rsidRPr="00015D1E" w:rsidRDefault="00813D6A" w:rsidP="00813D6A">
      <w:pPr>
        <w:pStyle w:val="NormalHanging12a"/>
      </w:pPr>
      <w:r w:rsidRPr="00015D1E">
        <w:t>5.</w:t>
      </w:r>
      <w:r w:rsidRPr="00015D1E">
        <w:tab/>
        <w:t xml:space="preserve">konštatuje, že príslušné útvary Európskeho parlamentu zaslali 22. septembra 2025 v mene spravodajcu pre postup udelenia absolutória sekretariátu dotazník so 103 otázkami, ktoré sú pre </w:t>
      </w:r>
      <w:r w:rsidR="00DB016D" w:rsidRPr="00015D1E">
        <w:t>Európsky p</w:t>
      </w:r>
      <w:r w:rsidRPr="00015D1E">
        <w:t>arlament dôležité, s cieľom umožniť dôkladnú kontrolu plnenia rozpočtu Rady a jej riadenia; ďalej konštatuje, že podobné dotazníky boli zaslané všetkým ostatným inštitúciám, ktoré poskytli Európskemu parlamentu podrobné odpovede na všetky položené otázky;</w:t>
      </w:r>
    </w:p>
    <w:p w14:paraId="12E12B34" w14:textId="77777777" w:rsidR="00813D6A" w:rsidRPr="00015D1E" w:rsidRDefault="00813D6A" w:rsidP="00813D6A">
      <w:pPr>
        <w:pStyle w:val="NormalHanging12a"/>
      </w:pPr>
      <w:r w:rsidRPr="00015D1E">
        <w:t>6.</w:t>
      </w:r>
      <w:r w:rsidRPr="00015D1E">
        <w:tab/>
        <w:t>vyjadruje poľutovanie nad tým, že sekretariát 3. októbra 2025 opätovne informoval Európsky parlament, že nebude odpovedať na jeho dotazník a že Rada sa nezúčastní na vypočutí usporiadanom 6. novembra 2025 v rámci postupu udelenia absolutória, na ktorom sa zúčastnili všetky ostatné prizvané inštitúcie;</w:t>
      </w:r>
    </w:p>
    <w:p w14:paraId="63432A8D" w14:textId="77777777" w:rsidR="00813D6A" w:rsidRPr="00015D1E" w:rsidRDefault="00813D6A" w:rsidP="00813D6A">
      <w:pPr>
        <w:pStyle w:val="NormalHanging12a"/>
      </w:pPr>
      <w:r w:rsidRPr="00015D1E">
        <w:t>7.</w:t>
      </w:r>
      <w:r w:rsidRPr="00015D1E">
        <w:tab/>
        <w:t>opätovne pripomína výsadu Európskeho parlamentu udeľovať absolutórium podľa článku 319 ZFEÚ, ako aj podľa uplatniteľných ustanovení nariadenia o rozpočtových pravidlách a rokovacieho poriadku Európskeho parlamentu v súlade so súčasným výkladom a praxou, konkrétne právomoc udeľovať absolutórium s cieľom zachovávať transparentnosť a zabezpečiť demokratickú zodpovednosť vo vzťahu k daňovníkom Únie;</w:t>
      </w:r>
    </w:p>
    <w:p w14:paraId="22C45A10" w14:textId="77777777" w:rsidR="00813D6A" w:rsidRPr="00015D1E" w:rsidRDefault="00813D6A" w:rsidP="00813D6A">
      <w:pPr>
        <w:pStyle w:val="NormalHanging12a"/>
      </w:pPr>
      <w:r w:rsidRPr="00015D1E">
        <w:t>8.</w:t>
      </w:r>
      <w:r w:rsidRPr="00015D1E">
        <w:tab/>
        <w:t>zdôrazňuje, že v článku 59 ods. 1 nariadenia o rozpočtových pravidlách sa uvádza, že Komisia deleguje na ostatné inštitúcie Únie právomoci potrebné na implementáciu rozpočtových oddielov, ktoré sa ich týkajú, a preto nerozumie tomu, že Rada považuje za vhodné, aby sa absolutórium za plnenie rozpočtu Rady udeľovalo Komisii;</w:t>
      </w:r>
    </w:p>
    <w:p w14:paraId="61BFCE6F" w14:textId="77777777" w:rsidR="00813D6A" w:rsidRPr="00015D1E" w:rsidRDefault="00813D6A" w:rsidP="00813D6A">
      <w:pPr>
        <w:pStyle w:val="NormalHanging12a"/>
      </w:pPr>
      <w:r w:rsidRPr="00015D1E">
        <w:t>9.</w:t>
      </w:r>
      <w:r w:rsidRPr="00015D1E">
        <w:tab/>
        <w:t>zdôrazňuje osvedčený a rešpektovaný postup udeľovania absolutória všetkým inštitúciám, orgánom, úradom a agentúram Únie vrátane Rady, ktorý Európsky parlament dodržiava už viac než 20 rokov; pripomína, že Komisia vyhlásila, že nedokáže dohliadať na plnenie rozpočtov ostatných inštitúcií Únie; zdôrazňuje opakovaný názor Komisie, že postup udeľovania absolutória každej inštitúcii Únie za jej administratívne výdavky a plnenie rozpočtu Únie by mal naďalej priamo presadzovať Európsky parlament, aby sa zachoval súlad so zásadou správneho finančného riadenia; pripomína, že všetky ostatné inštitúcie, orgány, úrady a agentúry plne spolupracujú s Európskym parlamentom v rámci postupu udelenia absolutória, a považuje odmietnutie Rady urobiť tak za neodôvodnené a nezlučiteľné so zásadou inštitucionálnej lojality podľa zmlúv;</w:t>
      </w:r>
    </w:p>
    <w:p w14:paraId="165F6220" w14:textId="5AFD2C8A" w:rsidR="00813D6A" w:rsidRPr="00015D1E" w:rsidRDefault="00813D6A" w:rsidP="00813D6A">
      <w:pPr>
        <w:pStyle w:val="NormalHanging12a"/>
        <w:rPr>
          <w:b/>
          <w:i/>
        </w:rPr>
      </w:pPr>
      <w:r w:rsidRPr="00015D1E">
        <w:t>10.</w:t>
      </w:r>
      <w:r w:rsidRPr="00015D1E">
        <w:tab/>
        <w:t xml:space="preserve">zdôrazňuje, že súčasná situácia znamená, že </w:t>
      </w:r>
      <w:r w:rsidR="00DB016D" w:rsidRPr="00015D1E">
        <w:t>Európsky p</w:t>
      </w:r>
      <w:r w:rsidRPr="00015D1E">
        <w:t xml:space="preserve">arlament môže kontrolovať len správy Dvora audítorov a ombudsmanky a verejne dostupné informácie na webovom sídle Rady, čo </w:t>
      </w:r>
      <w:r w:rsidR="00DB016D" w:rsidRPr="00015D1E">
        <w:t>Európskemu p</w:t>
      </w:r>
      <w:r w:rsidRPr="00015D1E">
        <w:t xml:space="preserve">arlamentu znemožňuje prijať informované rozhodnutie o udelení absolutória; zdôrazňuje, že nedostatočná spolupráca Rady oslabuje výsadu </w:t>
      </w:r>
      <w:r w:rsidR="00334AA6" w:rsidRPr="00015D1E">
        <w:t>Európskeho p</w:t>
      </w:r>
      <w:r w:rsidRPr="00015D1E">
        <w:t>arlamentu účinne plniť svoju úlohu dohľadu;</w:t>
      </w:r>
    </w:p>
    <w:p w14:paraId="64442B62" w14:textId="21A496FD" w:rsidR="00813D6A" w:rsidRPr="00015D1E" w:rsidRDefault="00813D6A" w:rsidP="00813D6A">
      <w:pPr>
        <w:pStyle w:val="NormalHanging12a"/>
      </w:pPr>
      <w:r w:rsidRPr="00015D1E">
        <w:t>11.</w:t>
      </w:r>
      <w:r w:rsidRPr="00015D1E">
        <w:tab/>
        <w:t>vyjadruje poľutovanie nad tým, že Rade už viac ako desať rokov chýba politická ochota spolupracovať s</w:t>
      </w:r>
      <w:r w:rsidR="00DB016D" w:rsidRPr="00015D1E">
        <w:t> Európskym p</w:t>
      </w:r>
      <w:r w:rsidRPr="00015D1E">
        <w:t xml:space="preserve">arlamentom v súvislosti s každoročným postupom udeľovania absolutória, čím vytvára štrukturálnu medzeru v systéme bŕzd a protiváh </w:t>
      </w:r>
      <w:r w:rsidRPr="00015D1E">
        <w:lastRenderedPageBreak/>
        <w:t xml:space="preserve">Únie, a že to má trvalý negatívny vplyv na obe inštitúcie a zdiskreditovalo to riadenie a demokratickú kontrolu rozpočtu Únie a dôveru občanov v Úniu ako transparentný subjekt; zdôrazňuje, že takéto pretrvávajúce inštitucionálne prekážky ohrozujú zásadu lojálnej spolupráce stanovenú v zmluvách; domnieva sa, že pretrvávajúca </w:t>
      </w:r>
      <w:proofErr w:type="spellStart"/>
      <w:r w:rsidRPr="00015D1E">
        <w:t>nespolupráca</w:t>
      </w:r>
      <w:proofErr w:type="spellEnd"/>
      <w:r w:rsidRPr="00015D1E">
        <w:t xml:space="preserve"> môže ešte viac narušiť legitímnosť rámca rozpočtového riadenia Únie; zdôrazňuje, že Rada musí dodržiavať rovnaké normy zodpovednosti a transparentnosti ako iné inštitúcie Únie;</w:t>
      </w:r>
    </w:p>
    <w:p w14:paraId="26412C90" w14:textId="77777777" w:rsidR="00813D6A" w:rsidRPr="00015D1E" w:rsidRDefault="00813D6A" w:rsidP="00813D6A">
      <w:pPr>
        <w:pStyle w:val="NormalHanging12a"/>
      </w:pPr>
      <w:r w:rsidRPr="00015D1E">
        <w:t>12.</w:t>
      </w:r>
      <w:r w:rsidRPr="00015D1E">
        <w:tab/>
        <w:t>opakuje, že pokračujúce odmietanie Rady zapájať sa do postupu udelenia absolutória je neprijateľným porušovaním demokratickej zodpovednosti; vyzýva na zavedenie konkrétnych a účinných opatrení na zabezpečenie toho, aby každá inštitúcia Únie, ktorá neplní povinnosti týkajúce sa transparentnosti, niesla plnú zodpovednosť, a to preskúmaním praktických opatrení v súlade s článkom 59 ods. 1 nariadenia o rozpočtových pravidlách a so zásadou správneho finančného riadenia, ktoré stimulujú spoluprácu, vrátane posilnenej podmienenosti v správnych dojednaniach a požiadavkách na podávanie správ;</w:t>
      </w:r>
    </w:p>
    <w:p w14:paraId="2D57619C" w14:textId="42413383" w:rsidR="00813D6A" w:rsidRPr="00015D1E" w:rsidRDefault="00813D6A" w:rsidP="00813D6A">
      <w:pPr>
        <w:pStyle w:val="NormalHanging12a"/>
      </w:pPr>
      <w:r w:rsidRPr="00015D1E">
        <w:t>13.</w:t>
      </w:r>
      <w:r w:rsidRPr="00015D1E">
        <w:tab/>
        <w:t>pripomína, že judikatúra S</w:t>
      </w:r>
      <w:r w:rsidR="00DB016D" w:rsidRPr="00015D1E">
        <w:t>údneho dvora</w:t>
      </w:r>
      <w:r w:rsidRPr="00015D1E">
        <w:t xml:space="preserve"> podporuje právo daňovníkov a verejnosti na priebežné informácie o využívaní verejných príjmov; požaduje preto plné rešpektovanie výsady Európskeho parlamentu a jeho úlohy garanta zásady demokratickej zodpovednosti; vyzýva Radu, aby náležite nadviazala na odporúčania prijaté Európskym parlamentom v kontexte postupu udelenia absolutória za plnenie rozpočtu a trvá na úplnom uplatňovaní článku 14 ods. 1 Z</w:t>
      </w:r>
      <w:r w:rsidR="00DB016D" w:rsidRPr="00015D1E">
        <w:t xml:space="preserve">mluvy o </w:t>
      </w:r>
      <w:r w:rsidRPr="00015D1E">
        <w:t>EÚ;</w:t>
      </w:r>
    </w:p>
    <w:p w14:paraId="0C487A96" w14:textId="25AF647E" w:rsidR="00813D6A" w:rsidRPr="00015D1E" w:rsidRDefault="00813D6A" w:rsidP="00813D6A">
      <w:pPr>
        <w:pStyle w:val="NormalHanging12a"/>
      </w:pPr>
      <w:r w:rsidRPr="00015D1E">
        <w:t>14.</w:t>
      </w:r>
      <w:r w:rsidRPr="00015D1E">
        <w:tab/>
        <w:t xml:space="preserve">konštatuje, že zástupca predsedníctva Rady počas svojho vystúpenia na plenárnej schôdzi </w:t>
      </w:r>
      <w:r w:rsidR="00334AA6" w:rsidRPr="00015D1E">
        <w:t>Európskeho p</w:t>
      </w:r>
      <w:r w:rsidRPr="00015D1E">
        <w:t>arlamentu 6. mája 2025 vyjadril ochotu predsedníctva Rady „nadviazať zmysluplnú a pragmatickú spoluprácu medzi našimi inštitúciami“, pokiaľ ide o udeľovanie absolutória v súvislosti s oddielom rozpočtu Únie týkajúcim sa Rady, a vyzýva, aby sa tento zámer premietol do konkrétnych a okamžitých krokov; vyzýva preto Radu, aby čo najskôr obnovila rokovania s</w:t>
      </w:r>
      <w:r w:rsidR="00DB016D" w:rsidRPr="00015D1E">
        <w:t> Európskym p</w:t>
      </w:r>
      <w:r w:rsidRPr="00015D1E">
        <w:t xml:space="preserve">arlamentom na najvyššej úrovni, na ktorých sa zúčastnia generálni tajomníci a predsedovia oboch inštitúcií, v snahe prekonať patovú situáciu a nájsť také riešenie, ktoré rešpektuje inštitucionálne právomoci </w:t>
      </w:r>
      <w:r w:rsidR="00DB016D" w:rsidRPr="00015D1E">
        <w:t>Európskeho p</w:t>
      </w:r>
      <w:r w:rsidRPr="00015D1E">
        <w:t>arlamentu a Rady v rámci postupu udelenia absolutória a zabezpečuje transparentnosť a silnú demokratickú kontrolu plnenia rozpočtu; opakuje svoju žiadosť adresovanú Komisii a právnemu servisu Rady, aby poskytli stanovisko k možným riešeniam vyplývajúcim zo zmluvy s cieľom posilniť zodpovednosť Rady v rámci postupu udeľovania absolutória;</w:t>
      </w:r>
    </w:p>
    <w:p w14:paraId="539388F5" w14:textId="77777777" w:rsidR="00813D6A" w:rsidRPr="00015D1E" w:rsidRDefault="00813D6A" w:rsidP="00813D6A">
      <w:pPr>
        <w:pStyle w:val="NormalHanging12a"/>
      </w:pPr>
      <w:r w:rsidRPr="00015D1E">
        <w:t>15.</w:t>
      </w:r>
      <w:r w:rsidRPr="00015D1E">
        <w:tab/>
        <w:t xml:space="preserve">zdôrazňuje, že hoci sa súčasný stav musí zlepšiť lepšou </w:t>
      </w:r>
      <w:proofErr w:type="spellStart"/>
      <w:r w:rsidRPr="00015D1E">
        <w:t>medziinštitucionálnou</w:t>
      </w:r>
      <w:proofErr w:type="spellEnd"/>
      <w:r w:rsidRPr="00015D1E">
        <w:t xml:space="preserve"> spoluprácou v rámci zmlúv, revízia zmlúv by mohla zaistiť väčšiu jasnosť a väčšiu transparentnosť postupu udeľovania absolutória tým, že by sa Európskemu parlamentu udelila výslovná právomoc udeľovať všetkým inštitúciám, orgánom, úradom a agentúram Únie absolutórium samostatne; zdôrazňuje však, že kým sa takáto revízia uskutoční, musí sa súčasný stav zlepšiť posilnenou </w:t>
      </w:r>
      <w:proofErr w:type="spellStart"/>
      <w:r w:rsidRPr="00015D1E">
        <w:t>medziinštitucionálnou</w:t>
      </w:r>
      <w:proofErr w:type="spellEnd"/>
      <w:r w:rsidRPr="00015D1E">
        <w:t xml:space="preserve"> spoluprácou; v tomto zmysle naliehavo vyzýva Radu, aby aktívne spolupracovala s Európskym parlamentom;</w:t>
      </w:r>
    </w:p>
    <w:p w14:paraId="5DFA0F3F" w14:textId="54AEEB45" w:rsidR="00813D6A" w:rsidRPr="00015D1E" w:rsidRDefault="00813D6A" w:rsidP="00813D6A">
      <w:pPr>
        <w:pStyle w:val="NormalHanging12a"/>
      </w:pPr>
      <w:r w:rsidRPr="00015D1E">
        <w:t>16.</w:t>
      </w:r>
      <w:r w:rsidRPr="00015D1E">
        <w:tab/>
        <w:t xml:space="preserve">konštatuje, že napriek dlhodobej neochote Rady spolupracovať na postupe udelenia absolutória </w:t>
      </w:r>
      <w:r w:rsidR="00DB016D" w:rsidRPr="00015D1E">
        <w:t>Európsky p</w:t>
      </w:r>
      <w:r w:rsidRPr="00015D1E">
        <w:t xml:space="preserve">arlament zdôrazňuje niektoré politické priority a v tejto správe uvádza niekoľko pripomienok týkajúcich sa rozpočtového a finančného riadenia Rady a ďalšie pripomienky týkajúce sa postupu udelenia absolutória, a to spôsobom, ktorý </w:t>
      </w:r>
      <w:r w:rsidRPr="00015D1E">
        <w:lastRenderedPageBreak/>
        <w:t>rešpektuje národnú zvrchovanosť, zmluvy a zásadu správneho finančného riadenia;</w:t>
      </w:r>
    </w:p>
    <w:p w14:paraId="5D27C178" w14:textId="5D8B1B2C" w:rsidR="00813D6A" w:rsidRPr="00015D1E" w:rsidRDefault="00813D6A" w:rsidP="00813D6A">
      <w:pPr>
        <w:pStyle w:val="NormalHanging12a"/>
        <w:rPr>
          <w:color w:val="000000" w:themeColor="text1"/>
        </w:rPr>
      </w:pPr>
      <w:r w:rsidRPr="00015D1E">
        <w:rPr>
          <w:color w:val="000000" w:themeColor="text1"/>
        </w:rPr>
        <w:t>17.</w:t>
      </w:r>
      <w:r w:rsidRPr="00015D1E">
        <w:rPr>
          <w:color w:val="000000" w:themeColor="text1"/>
        </w:rPr>
        <w:tab/>
        <w:t>konštatuje, že vzhľadom na nedostatočnú spoluprácu Rady s</w:t>
      </w:r>
      <w:r w:rsidR="00DB016D" w:rsidRPr="00015D1E">
        <w:rPr>
          <w:color w:val="000000" w:themeColor="text1"/>
        </w:rPr>
        <w:t> Európskym p</w:t>
      </w:r>
      <w:r w:rsidRPr="00015D1E">
        <w:rPr>
          <w:color w:val="000000" w:themeColor="text1"/>
        </w:rPr>
        <w:t>arlamentom sa pripomienky v nasledujúcich častiach opierajú predovšetkým o súhrnné informácie uverejnené na webovom sídle Rady, ktoré poskytujú len obmedzené konkrétne údaje;</w:t>
      </w:r>
    </w:p>
    <w:p w14:paraId="593613C6" w14:textId="77777777" w:rsidR="00813D6A" w:rsidRPr="00015D1E" w:rsidRDefault="00813D6A" w:rsidP="00813D6A">
      <w:pPr>
        <w:pStyle w:val="NormalHanging12a"/>
        <w:rPr>
          <w:b/>
          <w:i/>
          <w:iCs/>
        </w:rPr>
      </w:pPr>
      <w:r w:rsidRPr="00015D1E">
        <w:rPr>
          <w:b/>
          <w:i/>
        </w:rPr>
        <w:t>Politické priority</w:t>
      </w:r>
    </w:p>
    <w:p w14:paraId="0AA18473" w14:textId="77777777" w:rsidR="00813D6A" w:rsidRPr="00015D1E" w:rsidRDefault="00813D6A" w:rsidP="00813D6A">
      <w:pPr>
        <w:pStyle w:val="NormalHanging12a"/>
        <w:rPr>
          <w:bCs/>
          <w:iCs/>
        </w:rPr>
      </w:pPr>
      <w:r w:rsidRPr="00015D1E">
        <w:t>18.</w:t>
      </w:r>
      <w:r w:rsidRPr="00015D1E">
        <w:tab/>
        <w:t>pripomína, že v roku 2024 sa Únia dohodla na poskytovaní predvídateľnej finančnej podpory Ukrajine prostredníctvom Nástroja pre Ukrajinu na roky 2024 – 2027; zdôrazňuje, že Rada a sekretariát majú v tejto súvislosti zvýšenú zodpovednosť za zabezpečenie transparentnosti, integrity a správneho finančného riadenia pri všetkých administratívnych výdavkoch Rady, ktoré súvisia s rozhodovaním, zasadnutiami a logistickými opatreniami týkajúcimi sa Ukrajiny, vrátane jasného vykazovania súvisiacich nákladov a riadenia zmlúv;</w:t>
      </w:r>
    </w:p>
    <w:p w14:paraId="7162EA5E" w14:textId="77777777" w:rsidR="00813D6A" w:rsidRPr="00015D1E" w:rsidRDefault="00813D6A" w:rsidP="00813D6A">
      <w:pPr>
        <w:pStyle w:val="NormalHanging12a"/>
      </w:pPr>
      <w:r w:rsidRPr="00015D1E">
        <w:t>19.</w:t>
      </w:r>
      <w:r w:rsidRPr="00015D1E">
        <w:tab/>
        <w:t>vyjadruje poľutovanie nad tým, že Rada uplatňuje svoje právomoci v postupoch nominácie a vymenovania členov mnohých inštitúcií, orgánov, úradov a agentúr Únie bez toho, aby zohľadňovala názory zainteresovaných strán alebo odporúčania Európskeho úradu pre boj proti podvodom (ďalej len „OLAF“);</w:t>
      </w:r>
    </w:p>
    <w:p w14:paraId="7AC619FF" w14:textId="3C9E3F53" w:rsidR="00813D6A" w:rsidRPr="00015D1E" w:rsidRDefault="00813D6A" w:rsidP="00813D6A">
      <w:pPr>
        <w:pStyle w:val="NormalHanging12a"/>
      </w:pPr>
      <w:r w:rsidRPr="00015D1E">
        <w:t>20.</w:t>
      </w:r>
      <w:r w:rsidRPr="00015D1E">
        <w:tab/>
        <w:t>so znepokojením berie na vedomie prax Rady, pokiaľ ide o menovanie kandidátov jednotlivých členských štátov na väčšinu pozícií, ktorá môže obmedzovať rozsah, v akom sa preveruje odborná kvalifikácia kandidátov; preto trvá na potrebe preskúmať výsadu Rady s cieľom zaručiť a posilniť účasť dotknutých inštitúcií, orgánov, úradov a agentúr a zvýšiť legitímnosť vymenovaných osôb; navrhuje, aby jednou z možností, ktoré by sa mohli zaviesť s cieľom zabezpečiť, aby kandidáti mali potrebnú kvalifikáciu, bolo uplatniť rovnaký postup preverovania externou komisiou, ktorý sa používa pri nomináciách sudcov a generálnych advokátov S</w:t>
      </w:r>
      <w:r w:rsidR="00DB016D" w:rsidRPr="00015D1E">
        <w:t>údneho dvora</w:t>
      </w:r>
      <w:r w:rsidRPr="00015D1E">
        <w:t>;</w:t>
      </w:r>
    </w:p>
    <w:p w14:paraId="1CE04399" w14:textId="77777777" w:rsidR="00813D6A" w:rsidRPr="00015D1E" w:rsidRDefault="00813D6A" w:rsidP="00813D6A">
      <w:pPr>
        <w:pStyle w:val="NormalHanging12a"/>
      </w:pPr>
      <w:r w:rsidRPr="00015D1E">
        <w:t>21.</w:t>
      </w:r>
      <w:r w:rsidRPr="00015D1E">
        <w:tab/>
        <w:t>pripomína, že podľa článku 286 ods. 2 ZFEÚ Rada vymenúva členov Dvora audítorov po porade s Európskym parlamentom; pripomína, že na základe tohto predpokladu Európsky parlament vydáva stanovisko ku kandidátom; vyjadruje poľutovanie nad tým, že Rada opakovane ignorovala odporúčania Európskeho parlamentu v jeho poradnej úlohe, pokiaľ ide o vymenovanie členov Dvora audítorov; pripomína, že hoci stanovisko Európskeho parlamentu nie je pre Radu záväzné, kandidáti, ktorí dostali záporné stanovisko, akceptovali rozhodnutie Európskeho parlamentu a stiahli svoju kandidatúru, čím uznali jeho úlohu ako orgánu demokratického dohľadu v súvislosti s ochranou rozpočtu Únie; vyzýva Radu, aby uznala úlohu Európskeho parlamentu tým, že bude spolupracovať v postupe udeľovania absolutória;</w:t>
      </w:r>
    </w:p>
    <w:p w14:paraId="628E1714" w14:textId="77777777" w:rsidR="00813D6A" w:rsidRPr="00015D1E" w:rsidRDefault="00813D6A" w:rsidP="00813D6A">
      <w:pPr>
        <w:pStyle w:val="NormalHanging12a"/>
      </w:pPr>
      <w:r w:rsidRPr="00015D1E">
        <w:t>22.</w:t>
      </w:r>
      <w:r w:rsidRPr="00015D1E">
        <w:tab/>
        <w:t xml:space="preserve">zdôrazňuje, že pretrvávajúca rodová nerovnováha medzi členmi Dvora audítorov oslabuje ciele Únie v oblasti rovnosti; opakuje svoju výzvu Rade, aby tento problém riešila tak, že prehodnotí postup menovania a prijme konkrétne opatrenia, napríklad bude vyžadovať, aby členské štáty navrhli aspoň dvoch kandidátov rôzneho pohlavia, čo zabezpečí vyváženejšie a reprezentatívnejšie zloženie Dvora audítorov, pričom bude dodržiavať zásady zásluhovosti, </w:t>
      </w:r>
      <w:proofErr w:type="spellStart"/>
      <w:r w:rsidRPr="00015D1E">
        <w:t>excelentnosti</w:t>
      </w:r>
      <w:proofErr w:type="spellEnd"/>
      <w:r w:rsidRPr="00015D1E">
        <w:t xml:space="preserve"> a rovnakých príležitostí;</w:t>
      </w:r>
    </w:p>
    <w:p w14:paraId="00183396" w14:textId="22DDF3BB" w:rsidR="00813D6A" w:rsidRPr="00015D1E" w:rsidRDefault="00813D6A" w:rsidP="00813D6A">
      <w:pPr>
        <w:pStyle w:val="NormalHanging12a"/>
        <w:rPr>
          <w:bCs/>
          <w:iCs/>
        </w:rPr>
      </w:pPr>
      <w:r w:rsidRPr="00015D1E">
        <w:t>23.</w:t>
      </w:r>
      <w:r w:rsidRPr="00015D1E">
        <w:tab/>
        <w:t xml:space="preserve">opätovne potvrdzuje svoju výzvu na vytvorenie Rady ministrov obrany ako inštitucionálneho fóra pre politickú a strategickú koordináciu; domnieva sa, že stále a špecializované zloženie Rady pre obranu by odrážalo potrebu, aby Únia prevzala väčšiu </w:t>
      </w:r>
      <w:r w:rsidRPr="00015D1E">
        <w:lastRenderedPageBreak/>
        <w:t>zodpovednosť za vlastnú bezpečnosť a obranu, čím by sa doplnilo zriadenie Výboru pre bezpečnosť a obranu v</w:t>
      </w:r>
      <w:r w:rsidR="00334AA6" w:rsidRPr="00015D1E">
        <w:t> Európskom p</w:t>
      </w:r>
      <w:r w:rsidRPr="00015D1E">
        <w:t>arlamente a komisára pre obranu a vesmírnu agendu v Komisii;</w:t>
      </w:r>
    </w:p>
    <w:p w14:paraId="3B7FA263" w14:textId="37DC13AB" w:rsidR="00813D6A" w:rsidRPr="00015D1E" w:rsidRDefault="00813D6A" w:rsidP="00813D6A">
      <w:pPr>
        <w:pStyle w:val="NormalHanging12a"/>
      </w:pPr>
      <w:r w:rsidRPr="00015D1E">
        <w:t>24.</w:t>
      </w:r>
      <w:r w:rsidRPr="00015D1E">
        <w:tab/>
        <w:t xml:space="preserve">vyjadruje poľutovanie nad tým, že Rada dosiaľ ignoruje uznesenie </w:t>
      </w:r>
      <w:r w:rsidR="00DB016D" w:rsidRPr="00015D1E">
        <w:t>Európskeho p</w:t>
      </w:r>
      <w:r w:rsidRPr="00015D1E">
        <w:t>arlamentu zo 17. decembra 2020 o potrebe osobitného zloženia Rady pre rodovú rovnosť, a trvá na tom, že špecializované inštitucionálne fórum by zabezpečilo pevnejšie začlenenie rodovej rovnosti do politík a stratégií Únie, ako aj dôležitú koordináciu a pokrok v hlavných spisoch týkajúcich sa rodovej rovnosti;</w:t>
      </w:r>
    </w:p>
    <w:p w14:paraId="2A857FD7" w14:textId="77777777" w:rsidR="00813D6A" w:rsidRPr="00015D1E" w:rsidRDefault="00813D6A" w:rsidP="00813D6A">
      <w:pPr>
        <w:pStyle w:val="NormalHanging12a"/>
      </w:pPr>
      <w:r w:rsidRPr="00015D1E">
        <w:t>25.</w:t>
      </w:r>
      <w:r w:rsidRPr="00015D1E">
        <w:tab/>
        <w:t>pripomína, že sudcovia a generálni advokáti Súdneho dvora sú menovaní na základe vzájomnej dohody vlád členských štátov po porade s výborom zodpovedným za poskytnutie stanoviska k vhodnosti potenciálnych kandidátov vykonávať požadované úlohy;</w:t>
      </w:r>
    </w:p>
    <w:p w14:paraId="5E863458" w14:textId="77777777" w:rsidR="00813D6A" w:rsidRPr="00015D1E" w:rsidRDefault="00813D6A" w:rsidP="00813D6A">
      <w:pPr>
        <w:pStyle w:val="NormalHanging12a"/>
      </w:pPr>
      <w:r w:rsidRPr="00015D1E">
        <w:t>26.</w:t>
      </w:r>
      <w:r w:rsidRPr="00015D1E">
        <w:tab/>
        <w:t>konštatuje, že ombudsmanka vo svojom rozhodnutí z 9. septembra 2024 o strategickej iniciatíve týkajúcej sa sponzorstva predsedníctva Rady vyzvala Radu, aby zhodnotila, ako sa vykonávajú nezáväzné pravidlá, ktoré Rada prijala na využívanie sponzorstva jej predsedníctvom (ďalej len „usmernenie“), a aby preskúmala ďalšie možné opatrenia, ktoré by mohli pomôcť zmierniť riziká spojené s využívaním sponzorstva, medzi ktoré patrí riziko konfliktu záujmov, ako aj riziko poškodenia dobrého mena; so znepokojením konštatuje, že z výročnej správy ombudsmanky za rok 2024 vyplýva, že Rada sa ešte nezaoberala v plnej miere obavami verejnosti týkajúcimi sa využívania podnikového sponzorstva, keďže opakovane „naďalej chýba transparentnosť v súvislosti s identitou sponzorov, povahou ich podpory a tým, čo na oplátku získajú“, a sponzori stále mohli používať logo predsedníctva na komerčné účely; vyzýva Radu, aby zabezpečila záväznosť usmernenia; opakuje svoju výzvu Rade, aby poskytla rozpočet na predsedníctva Rady s cieľom zabezpečiť primerané a jednotné normy efektívnosti a účinnosti práce Rady vo všeobecnosti;</w:t>
      </w:r>
    </w:p>
    <w:p w14:paraId="5D92FA9E" w14:textId="77777777" w:rsidR="00813D6A" w:rsidRPr="00015D1E" w:rsidRDefault="00813D6A" w:rsidP="00813D6A">
      <w:pPr>
        <w:pStyle w:val="NormalHanging12a"/>
      </w:pPr>
      <w:r w:rsidRPr="00015D1E">
        <w:t>27.</w:t>
      </w:r>
      <w:r w:rsidRPr="00015D1E">
        <w:tab/>
        <w:t xml:space="preserve">vyzýva rotujúce predsedníctva Rady, aby v súlade so závermi seminára, ktorý 27. júna 2023 usporiadal Výbor Európskeho parlamentu pre kontrolu rozpočtu, prestali využívať podnikové sponzorstvo na prispievanie k pokrytiu svojich výdavkov, keďže to predstavuje riziko vzniku konfliktu záujmov; </w:t>
      </w:r>
    </w:p>
    <w:p w14:paraId="6AA579C1" w14:textId="77777777" w:rsidR="00813D6A" w:rsidRPr="00015D1E" w:rsidRDefault="00813D6A" w:rsidP="00813D6A">
      <w:pPr>
        <w:pStyle w:val="NormalHanging12a"/>
      </w:pPr>
      <w:r w:rsidRPr="00015D1E">
        <w:t>28.</w:t>
      </w:r>
      <w:r w:rsidRPr="00015D1E">
        <w:tab/>
        <w:t>berie na vedomie rastúce zapojenie Európskej rady do legislatívnych spisov a to, že táto úloha si vyžaduje dohľad a posilnenú spoluprácu s rozpočtovým orgánom v rámci postupu udeľovania absolutória; vyzýva Radu, aby zabezpečila, aby sa jej činnosti vykonávali transparentne a zodpovedne v súlade s normami uplatniteľnými na ostatné inštitúcie Únie s cieľom zachovať dôveru občanov;</w:t>
      </w:r>
    </w:p>
    <w:p w14:paraId="693CD2B4" w14:textId="77777777" w:rsidR="00813D6A" w:rsidRPr="00015D1E" w:rsidRDefault="00813D6A" w:rsidP="00813D6A">
      <w:pPr>
        <w:pStyle w:val="NormalHanging12a"/>
        <w:rPr>
          <w:bCs/>
          <w:iCs/>
        </w:rPr>
      </w:pPr>
      <w:r w:rsidRPr="00015D1E">
        <w:t>29.</w:t>
      </w:r>
      <w:r w:rsidRPr="00015D1E">
        <w:tab/>
        <w:t>vyjadruje hlboké poľutovanie nad tým, že maďarská vláda zneužila svoju úlohu v rotujúcom predsedníctve Rady v roku 2024 tým, že sa zapojila do medzinárodných stretnutí na vysokej úrovni, ktoré oslabili základné hodnoty Únie a dohodnuté spoločné pozície; vyzýva Radu, aby dôrazne odsúdila akékoľvek správanie členského štátu, ktorý vykonáva predsedníctvo, ktoré nie je v súlade s hodnotami Únie, a aby prijala všetky potrebné opatrenia na zabezpečenie toho, aby budúce predsedníctva vykonávali svoje funkcie v plnom súlade so zásadami Únie, čím sa zabezpečí integrita a dôveryhodnosť Únie;</w:t>
      </w:r>
    </w:p>
    <w:p w14:paraId="5D6C2B51" w14:textId="77777777" w:rsidR="00813D6A" w:rsidRPr="00015D1E" w:rsidRDefault="00813D6A" w:rsidP="00813D6A">
      <w:pPr>
        <w:pStyle w:val="NormalHanging12a"/>
      </w:pPr>
      <w:r w:rsidRPr="00015D1E">
        <w:t>30.</w:t>
      </w:r>
      <w:r w:rsidRPr="00015D1E">
        <w:tab/>
        <w:t xml:space="preserve">zdôrazňuje, že hoci jednomyseľné hlasovanie je aj naďalej základnou zásadou zmlúv, </w:t>
      </w:r>
      <w:r w:rsidRPr="00015D1E">
        <w:lastRenderedPageBreak/>
        <w:t>jeho uplatňovanie môže za určitých okolností a v rozhodujúcich oblastiach politiky ovplyvňovať lehoty a účinnosť Únie, a to aj tým, že ochromuje rozhodovací proces Únie, v dôsledku čoho vzniká priestor na jej vydieranie členskými štátmi, najmä tými, ktoré nedodržiavajú zásady právneho štátu; opakuje v tejto súvislosti poľutovanie nad obštrukčným postojom maďarskej vlády v Európskej rade; konštatuje, že pretrvávajúca patová politická situácia naďalej oslabuje dôveru a účinnosť Európskej rady; požaduje cielené reformy zmlúv, resp. praktické zlepšenia v rámci existujúceho zmluvného rámca s cieľom posilniť transparentnosť, demokratické rozhodovanie, zodpovednosť a efektívnosť práce Európskej rady; v tejto súvislosti opakuje svoju výzvu Rade ministrov, aby pri rozhodnutiach v oblastiach strategického záujmu Únie prešla od jednomyseľného hlasovania k hlasovaniu kvalifikovanou väčšinou; ďalej konštatuje, že požiadavka jednomyseľnosti bola významnou prekážkou účinnej reakcie na konanie Ruska, najmä pokiaľ ide o ukladanie sankcií, ktoré treba každé tri mesiace obnovovať, čo predstavuje riziko oslabenia schopnosti Únie konať rozhodne a transparentne a oslabuje dôveru občanov a dôveryhodnosť Únie ako geopolitického aktéra; vyzýva Radu, aby v kritických oblastiach, najmä pri sankčných režimoch, prešla na hlasovanie kvalifikovanou väčšinou, aby tak Únia mohla účinne reagovať na globálne výzvy;</w:t>
      </w:r>
    </w:p>
    <w:p w14:paraId="19C699CB" w14:textId="77777777" w:rsidR="00813D6A" w:rsidRPr="00015D1E" w:rsidRDefault="00813D6A" w:rsidP="00813D6A">
      <w:pPr>
        <w:pStyle w:val="NormalHanging12a"/>
        <w:rPr>
          <w:b/>
          <w:i/>
        </w:rPr>
      </w:pPr>
      <w:r w:rsidRPr="00015D1E">
        <w:rPr>
          <w:b/>
          <w:i/>
        </w:rPr>
        <w:t>Rozpočtové a finančné riadenie</w:t>
      </w:r>
    </w:p>
    <w:p w14:paraId="7306D2A4" w14:textId="1EEEE8CF" w:rsidR="00813D6A" w:rsidRPr="00015D1E" w:rsidRDefault="00813D6A" w:rsidP="00813D6A">
      <w:pPr>
        <w:pStyle w:val="NormalHanging12a"/>
        <w:rPr>
          <w:bCs/>
          <w:iCs/>
        </w:rPr>
      </w:pPr>
      <w:r w:rsidRPr="00015D1E">
        <w:t>31.</w:t>
      </w:r>
      <w:r w:rsidRPr="00015D1E">
        <w:tab/>
        <w:t>pripomína, že podľa článku 15 Zmluvy o Európskej únii Európska rada zohráva ústrednú strategickú úlohu pri poskytovaní podnetov potrebných na rozvoj Únie a pri vymedzovaní jej všeobecného politického smerovania a priorít, pričom nevykonáva legislatívne funkcie; zdôrazňuje jedinečnú pridanú hodnotu Európskej rady ako fóra pre politickú koordináciu medzi členskými štátmi na vysokej úrovni;</w:t>
      </w:r>
    </w:p>
    <w:p w14:paraId="67CBCBDF" w14:textId="77777777" w:rsidR="00813D6A" w:rsidRPr="00015D1E" w:rsidRDefault="00813D6A" w:rsidP="00813D6A">
      <w:pPr>
        <w:pStyle w:val="NormalHanging12a"/>
      </w:pPr>
      <w:r w:rsidRPr="00015D1E">
        <w:t>32.</w:t>
      </w:r>
      <w:r w:rsidRPr="00015D1E">
        <w:tab/>
        <w:t>znovu vyjadruje poľutovanie nad tým, že rozpočet Európskej rady a Rady nebol rozdelený na dva jasne oddelené rozpočty, ako to odporučil Európsky parlament v predchádzajúcich uzneseniach o absolutóriu s cieľom zvýšiť transparentnosť a zodpovednosť, najmä pokiaľ ide o Európsku radu, keďže v súčasnosti nemožno získať spoľahlivé informácie o jej nákladoch; žiada, aby toto rozdelenie zahŕňalo samostatné rozpočtové riadky pre výdavky súvisiace so zasadnutiami, cestovné a komunikačné náklady a náklady na reprezentáciu, aby orgán udeľujúci absolutórium mohol rozlišovať medzi činnosťami Európskej rady a Rady a posudzovať trendy v priebehu času;</w:t>
      </w:r>
    </w:p>
    <w:p w14:paraId="1059123D" w14:textId="77777777" w:rsidR="00813D6A" w:rsidRPr="00015D1E" w:rsidRDefault="00813D6A" w:rsidP="00813D6A">
      <w:pPr>
        <w:pStyle w:val="Default"/>
        <w:spacing w:after="240"/>
        <w:ind w:left="567" w:hanging="567"/>
      </w:pPr>
      <w:r w:rsidRPr="00015D1E">
        <w:rPr>
          <w:rFonts w:ascii="Times New Roman" w:hAnsi="Times New Roman"/>
        </w:rPr>
        <w:t>33.</w:t>
      </w:r>
      <w:r w:rsidRPr="00015D1E">
        <w:rPr>
          <w:rFonts w:ascii="Times New Roman" w:hAnsi="Times New Roman"/>
        </w:rPr>
        <w:tab/>
        <w:t>konštatuje, že rozpočet Rady v roku 2024 bol 676 881 123 EUR, čo v porovnaní s rokom 2023 predstavovalo zvýšenie o 4,47 %; konštatuje, že toto zvýšenie súvisí najmä s revíziou parametrov aktualizácie platov v dôsledku inflácie;</w:t>
      </w:r>
    </w:p>
    <w:p w14:paraId="441D7B09" w14:textId="77777777" w:rsidR="00813D6A" w:rsidRPr="00015D1E" w:rsidRDefault="00813D6A" w:rsidP="00813D6A">
      <w:pPr>
        <w:pStyle w:val="NormalHanging12a"/>
      </w:pPr>
      <w:r w:rsidRPr="00015D1E">
        <w:t>34.</w:t>
      </w:r>
      <w:r w:rsidRPr="00015D1E">
        <w:tab/>
        <w:t>konštatuje, že miera plnenia viazaných rozpočtových prostriedkov Rady v bežnom roku bola v roku 2024 na úrovni 96,40 % (v porovnaní s 97,01 % v roku 2023) a miera plnenia platobných rozpočtových prostriedkov v bežnom roku bola v roku 2024 na úrovni 87,95 % (v porovnaní s 86,39 % v roku 2023); konštatuje, že na konci roka 2024 boli zrušené pridelené rozpočtové prostriedky vo výške približne 24 miliónov EUR, z ktorých zhruba 62 % pochádzalo z rozpočtových riadkov súvisiacich s výdavkami na zamestnancov; konštatuje, že miera plnenia celkovej sumy prenesenej z roku 2023 do roku 2024, t. j. 85 520 696 EUR, bola 91 %;</w:t>
      </w:r>
    </w:p>
    <w:p w14:paraId="3A05F00C" w14:textId="77777777" w:rsidR="00813D6A" w:rsidRPr="00015D1E" w:rsidRDefault="00813D6A" w:rsidP="00813D6A">
      <w:pPr>
        <w:pStyle w:val="NormalHanging12a"/>
      </w:pPr>
      <w:r w:rsidRPr="00015D1E">
        <w:t>35.</w:t>
      </w:r>
      <w:r w:rsidRPr="00015D1E">
        <w:tab/>
        <w:t xml:space="preserve">konštatuje, že rozpočtové prostriedky prenesené z roku 2024 do roku 2025 dosiahli celkovo 78,6 milióna EUR (pokles z približne 85,5 milióna EUR v predchádzajúcom roku), pričom sa vzťahovali najmä na počítačové systémy, náklady na tlmočenie </w:t>
      </w:r>
      <w:r w:rsidRPr="00015D1E">
        <w:lastRenderedPageBreak/>
        <w:t>poskytnuté v roku 2024, za ktoré v čase uzavretia ešte neboli odsúhlasené faktúry s útvarmi Komisie, budovy, informačné a verejné podujatia, technické vybavenie, bezpečnosť a ochranu, zasadnutia a konferencie, ktoré sa týkali najmä ešte nedoručených faktúr za organizáciu zasadnutí Európskej rady, zasadnutí Rady a samitov v roku 2024, nábytok a iné výdavky na zamestnancov;</w:t>
      </w:r>
    </w:p>
    <w:p w14:paraId="10D6C5CB" w14:textId="77777777" w:rsidR="00813D6A" w:rsidRPr="00015D1E" w:rsidRDefault="00813D6A" w:rsidP="00813D6A">
      <w:pPr>
        <w:pStyle w:val="NormalHanging12a"/>
      </w:pPr>
      <w:r w:rsidRPr="00015D1E">
        <w:t>36.</w:t>
      </w:r>
      <w:r w:rsidRPr="00015D1E">
        <w:tab/>
        <w:t>konštatuje, že Rada v roku 2024 vykonala 42 rozpočtových presunov v súlade s článkom 29 nariadenia o rozpočtových pravidlách s cieľom posilniť rôzne rozpočtové riadky vrátane riadkov Zariadenie priestorov a inštalácia, Práce na zaručenie bezpečnosti priestorov, Nadobudnutie vybavenia a softvéru a Nákup a výmena technického zariadenia a vybavenia; konštatuje, že tri z týchto presunov, ktoré si vyžadovali informovanie rozpočtového orgánu v súlade s článkom 29 ods. 2 nariadenia o rozpočtových pravidlách, dosiahli celkovú výšku približne 12,8 milióna EUR;</w:t>
      </w:r>
    </w:p>
    <w:p w14:paraId="1A6EB086" w14:textId="77777777" w:rsidR="00813D6A" w:rsidRPr="00015D1E" w:rsidRDefault="00813D6A" w:rsidP="00813D6A">
      <w:pPr>
        <w:pStyle w:val="NormalHanging12a"/>
      </w:pPr>
      <w:r w:rsidRPr="00015D1E">
        <w:t>37.</w:t>
      </w:r>
      <w:r w:rsidRPr="00015D1E">
        <w:tab/>
        <w:t>konštatuje, že priemerný čas zaplatenia faktúr sa od roku 2023 do roku 2025 predĺžil z 13 na 15 dní, čo je výrazne pod maximálnou lehotou 30 dní, čím sa predchádza úrokom z omeškania;</w:t>
      </w:r>
    </w:p>
    <w:p w14:paraId="2376CBDD" w14:textId="77777777" w:rsidR="00813D6A" w:rsidRPr="00015D1E" w:rsidRDefault="00813D6A" w:rsidP="00813D6A">
      <w:pPr>
        <w:pStyle w:val="NormalHanging12a"/>
      </w:pPr>
      <w:r w:rsidRPr="00015D1E">
        <w:t>38.</w:t>
      </w:r>
      <w:r w:rsidRPr="00015D1E">
        <w:tab/>
        <w:t>konštatuje, že výdavky na služobné cesty, ktoré zahŕňajú výdavky na služobné cesty sekretariátu aj výdavky na služobné cesty zamestnancov súvisiace s Európskou radou, sa znížili o 18,50 % z približne 5,2 milióna EUR v roku 2023 na približne 4,3 milióna EUR v roku 2024, zatiaľ čo cestovné výdavky delegácií, ktoré vznikli predsedníctvam a národným delegáciám, sa znížili o 2,61 % z približne 15,3 milióna EUR v roku 2023 na približne 14,9 milióna EUR v roku 2024;</w:t>
      </w:r>
    </w:p>
    <w:p w14:paraId="1F77A631" w14:textId="77777777" w:rsidR="00813D6A" w:rsidRPr="00015D1E" w:rsidRDefault="00813D6A" w:rsidP="00813D6A">
      <w:pPr>
        <w:pStyle w:val="NormalHanging12a"/>
        <w:rPr>
          <w:b/>
          <w:i/>
        </w:rPr>
      </w:pPr>
      <w:r w:rsidRPr="00015D1E">
        <w:t>39.</w:t>
      </w:r>
      <w:r w:rsidRPr="00015D1E">
        <w:tab/>
        <w:t>vyzýva Radu, aby zverejňovala ročný prehľad cestovných výdavkov a výdavkov na reprezentáciu vyšších úradníkov vrátane predsedu Európskej rady, vysokého predstaviteľa Únie pre zahraničné veci a bezpečnostnú politiku a sekretariátu v používateľsky ústretovom formáte prístupnom verejnosti;</w:t>
      </w:r>
    </w:p>
    <w:p w14:paraId="4C2F7586" w14:textId="77777777" w:rsidR="00813D6A" w:rsidRPr="00015D1E" w:rsidRDefault="00813D6A" w:rsidP="00813D6A">
      <w:pPr>
        <w:pStyle w:val="NormalHanging12a"/>
      </w:pPr>
      <w:r w:rsidRPr="00015D1E">
        <w:t>40.</w:t>
      </w:r>
      <w:r w:rsidRPr="00015D1E">
        <w:tab/>
        <w:t>vyjadruje znepokojenie nad nedostatočnými kontrolnými mechanizmami, pokiaľ ide o využívanie konzultačných služieb a externých dodávateľov Radou; vyzýva na úplné zverejnenie všetkých zákaziek presahujúcich 50 000 EUR s podrobným uvedením rozsahu, výsledkov a subjektov, ktoré získali zákazky, s cieľom zabrániť možnému zneužitiu verejných finančných prostriedkov;</w:t>
      </w:r>
    </w:p>
    <w:p w14:paraId="53BC79B5" w14:textId="77777777" w:rsidR="00813D6A" w:rsidRPr="00015D1E" w:rsidRDefault="00813D6A" w:rsidP="00813D6A">
      <w:pPr>
        <w:pStyle w:val="NormalHanging12a"/>
        <w:rPr>
          <w:b/>
          <w:i/>
          <w:iCs/>
        </w:rPr>
      </w:pPr>
      <w:r w:rsidRPr="00015D1E">
        <w:rPr>
          <w:b/>
          <w:i/>
        </w:rPr>
        <w:t>Vnútorné riadenie, výkonnosť a vnútorná kontrola</w:t>
      </w:r>
    </w:p>
    <w:p w14:paraId="00960167" w14:textId="77777777" w:rsidR="00813D6A" w:rsidRPr="00015D1E" w:rsidRDefault="00813D6A" w:rsidP="00813D6A">
      <w:pPr>
        <w:pStyle w:val="NormalHanging12a"/>
        <w:rPr>
          <w:bCs/>
          <w:iCs/>
        </w:rPr>
      </w:pPr>
      <w:r w:rsidRPr="00015D1E">
        <w:t>41.</w:t>
      </w:r>
      <w:r w:rsidRPr="00015D1E">
        <w:tab/>
        <w:t xml:space="preserve">vyjadruje znepokojenie nad obmedzenou transparentnosťou, pokiaľ ide o využívanie konzultačných služieb a externých dodávateľov Radou; vyzýva na aktívne zverejňovanie všetkých zákaziek s vysokou hodnotou a rámcových zmlúv vrátane úprav zmlúv, výsledkov a ukazovateľov výkonnosti; naliehavo vyzýva na transparentnosť založenú na riziku s osobitnou kontrolou zmlúv súvisiacich s IT, komunikáciou a </w:t>
      </w:r>
      <w:proofErr w:type="spellStart"/>
      <w:r w:rsidRPr="00015D1E">
        <w:t>reputačnými</w:t>
      </w:r>
      <w:proofErr w:type="spellEnd"/>
      <w:r w:rsidRPr="00015D1E">
        <w:t xml:space="preserve"> službami a vyzýva na každoročné podávanie správ o spoliehaní sa na externých dodávateľov v porovnaní s vnútornou kapacitou;</w:t>
      </w:r>
    </w:p>
    <w:p w14:paraId="15C08E6F" w14:textId="77777777" w:rsidR="00813D6A" w:rsidRPr="00015D1E" w:rsidRDefault="00813D6A" w:rsidP="00813D6A">
      <w:pPr>
        <w:pStyle w:val="NormalHanging12a"/>
      </w:pPr>
      <w:r w:rsidRPr="00015D1E">
        <w:t>42.</w:t>
      </w:r>
      <w:r w:rsidRPr="00015D1E">
        <w:tab/>
        <w:t xml:space="preserve">konštatuje, že činnosti sekretariátu sa riadili viacročnými cieľmi prijatými v roku 2022 a súborom špecifických cieľov, ktoré zabezpečujú prebiehajúce rozhodovanie v Rade a ktoré sa každoročne preskúmavajú; berie na vedomie priority sekretariátu v roku 2024, ktoré zahŕňajú optimalizáciu pracovného prostredia, podporu </w:t>
      </w:r>
      <w:proofErr w:type="spellStart"/>
      <w:r w:rsidRPr="00015D1E">
        <w:t>proklientskej</w:t>
      </w:r>
      <w:proofErr w:type="spellEnd"/>
      <w:r w:rsidRPr="00015D1E">
        <w:t xml:space="preserve"> kultúry, vedenie zelenej transformácie, využívanie prínosov digitálnej transformácie a </w:t>
      </w:r>
      <w:r w:rsidRPr="00015D1E">
        <w:lastRenderedPageBreak/>
        <w:t>zvyšovanie celkovej organizačnej efektívnosti; oceňuje, že sekretariát v roku 2024 podporil zorganizovanie šiestich zasadnutí Európskej rady, dvoch neformálnych zasadnutí hláv štátov alebo predsedov vlád a jedného samitu eurozóny;</w:t>
      </w:r>
    </w:p>
    <w:p w14:paraId="1724ECC7" w14:textId="77777777" w:rsidR="00813D6A" w:rsidRPr="00015D1E" w:rsidRDefault="00813D6A" w:rsidP="00813D6A">
      <w:pPr>
        <w:pStyle w:val="NormalHanging12a"/>
      </w:pPr>
      <w:r w:rsidRPr="00015D1E">
        <w:t>43.</w:t>
      </w:r>
      <w:r w:rsidRPr="00015D1E">
        <w:tab/>
        <w:t>víta využívanie údajov pri rozhodovaní, najmä na základe mesačného finančného prehľadu, ktorý zobrazuje kľúčové ukazovatele výkonnosti v rámci útvarov sekretariátu, a prehľad manažérov s kľúčovými poznatkami na základe údajov v oblasti ľudských zdrojov a ktorý má uľahčiť každodenné riadenie a rozhodovanie v oblasti ľudských zdrojov;</w:t>
      </w:r>
    </w:p>
    <w:p w14:paraId="7E9C52F6" w14:textId="77777777" w:rsidR="00813D6A" w:rsidRPr="00015D1E" w:rsidRDefault="00813D6A" w:rsidP="00813D6A">
      <w:pPr>
        <w:pStyle w:val="NormalHanging12a"/>
      </w:pPr>
      <w:r w:rsidRPr="00015D1E">
        <w:t>44.</w:t>
      </w:r>
      <w:r w:rsidRPr="00015D1E">
        <w:tab/>
        <w:t>konštatuje, že v roku 2024 sekretariát pomohol zorganizovať 4 164 zasadnutí Rady (pokles zo 4 429 zasadnutí v roku 2023) a 152 zasadnutí/návštev/služobných ciest predsedu Európskej rady (nárast zo 124 v roku 2023);</w:t>
      </w:r>
    </w:p>
    <w:p w14:paraId="4E27A68F" w14:textId="77777777" w:rsidR="00813D6A" w:rsidRPr="00015D1E" w:rsidRDefault="00813D6A" w:rsidP="00813D6A">
      <w:pPr>
        <w:pStyle w:val="NormalHanging12a"/>
      </w:pPr>
      <w:r w:rsidRPr="00015D1E">
        <w:t>45.</w:t>
      </w:r>
      <w:r w:rsidRPr="00015D1E">
        <w:tab/>
        <w:t>víta zavedenie a fungovanie vnútornej kontroly sekretariátu, ktorá je založená na medzinárodne uznávaných normách a navrhnutá s cieľom zabezpečiť účinnosť, efektívnosť a hospodárnosť operácií, spoľahlivosť podávania správ, ochranu majetku a informácií, prevenciu a odhaľovanie nezrovnalostí a primerané riadenie rizík; konštatuje, že oddelenie povinností vo finančných procesoch sa zachovalo, že registre rizík sa pravidelne monitorovali a že automatizované kontroly a finančná odborná príprava zamestnancov prispeli v roku 2024 k spoľahlivému kontrolnému prostrediu;</w:t>
      </w:r>
    </w:p>
    <w:p w14:paraId="622D8F7E" w14:textId="77777777" w:rsidR="00813D6A" w:rsidRPr="00015D1E" w:rsidRDefault="00813D6A" w:rsidP="00813D6A">
      <w:pPr>
        <w:pStyle w:val="NormalHanging12a"/>
      </w:pPr>
      <w:r w:rsidRPr="00015D1E">
        <w:t>46.</w:t>
      </w:r>
      <w:r w:rsidRPr="00015D1E">
        <w:tab/>
        <w:t>konštatuje, že Rada postúpila svoju výročnú správu o vnútorných auditoch vykonaných v roku 2024 orgánu udeľujúcemu absolutórium v súlade s článkom 118 nariadenia o rozpočtových pravidlách; konštatuje, že na konci roka 2024 bolo vykonaných 82 % odporúčaní vydaných v rokoch 2022 – 2024, 17 % bolo stále otvorených a v prípade 1 % vedenie prijalo riziko alebo odporúčania už neplatili; konštatuje, že v roku 2024 boli dokončené štyri vnútorné audity; konštatuje, že v prípade dvoch z týchto auditov (jeden na podporu Európskeho mierového nástroja a druhý na účtovné procesy týkajúce sa nehmotných aktív sekretariátu) vnútorný audítor vydal niekoľko odporúčaní s vysokou prioritou, ktoré kontrolované útvary akceptovali; žiada, aby Rada poskytla orgánu udeľujúcemu absolutórium verejné zhrnutie odporúčaní s vysokou prioritou a jasný harmonogram ich vykonávania, najmä ak sa audity týkajú podpory Európskeho mierového nástroja a správy nehmotných aktív, a to vzhľadom na zvýšený verejný záujem o takéto výdavky a ich citlivosť z hľadiska reputácie;</w:t>
      </w:r>
    </w:p>
    <w:p w14:paraId="08E6C2EC" w14:textId="77777777" w:rsidR="00813D6A" w:rsidRPr="00015D1E" w:rsidRDefault="00813D6A" w:rsidP="00813D6A">
      <w:pPr>
        <w:pStyle w:val="NormalHanging12a"/>
        <w:rPr>
          <w:b/>
          <w:i/>
          <w:iCs/>
        </w:rPr>
      </w:pPr>
      <w:r w:rsidRPr="00015D1E">
        <w:rPr>
          <w:b/>
          <w:i/>
        </w:rPr>
        <w:t>Ľudské zdroje, rovnosť a dobré podmienky zamestnancov</w:t>
      </w:r>
    </w:p>
    <w:p w14:paraId="17D08BAA" w14:textId="10EB4C95" w:rsidR="00813D6A" w:rsidRPr="00015D1E" w:rsidRDefault="00813D6A" w:rsidP="00813D6A">
      <w:pPr>
        <w:pStyle w:val="NormalHanging12a"/>
        <w:rPr>
          <w:color w:val="000000" w:themeColor="text1"/>
        </w:rPr>
      </w:pPr>
      <w:r w:rsidRPr="00015D1E">
        <w:rPr>
          <w:color w:val="000000" w:themeColor="text1"/>
        </w:rPr>
        <w:t>47.</w:t>
      </w:r>
      <w:r w:rsidRPr="00015D1E">
        <w:rPr>
          <w:color w:val="000000" w:themeColor="text1"/>
        </w:rPr>
        <w:tab/>
      </w:r>
      <w:r w:rsidRPr="00015D1E">
        <w:t>konštatuje, že sekretariát na konci roka 2024 zamestnával 3 124 zamestnancov (nárast z 3 115 v roku 2023);</w:t>
      </w:r>
      <w:r w:rsidRPr="00015D1E">
        <w:rPr>
          <w:color w:val="000000" w:themeColor="text1"/>
        </w:rPr>
        <w:t xml:space="preserve"> </w:t>
      </w:r>
      <w:r w:rsidRPr="00015D1E">
        <w:t>berie na vedomie rozdelenie zamestnancov podľa funkcií, pričom sekretariát v roku 2024 zamestnával 2 720 stálych zamestnancov, 401 dočasných zamestnancov, 222 zmluvných zamestnancov a 26 vyslaných národných expertov;</w:t>
      </w:r>
      <w:r w:rsidRPr="00015D1E">
        <w:rPr>
          <w:color w:val="000000" w:themeColor="text1"/>
        </w:rPr>
        <w:t xml:space="preserve"> </w:t>
      </w:r>
      <w:r w:rsidRPr="00015D1E">
        <w:t>konštatuje, že rozdelenie stálych a dočasných zamestnancov v jednotlivých pracovných kategóriách zostalo v roku 2024 stabilné s 1 497 administrátormi (AD), 1 146 asistentmi (AST) a 232 tajomníkmi (SC) v porovnaní s 1 474 AD, 1 159 AST a 295 SC v roku 2023;</w:t>
      </w:r>
      <w:r w:rsidRPr="00015D1E">
        <w:rPr>
          <w:color w:val="000000" w:themeColor="text1"/>
        </w:rPr>
        <w:t xml:space="preserve"> konštatuje, že miera obsadenosti plánu pracovných miest na konci roka 2024 dosahovala 397,4</w:t>
      </w:r>
      <w:r w:rsidR="00DB016D" w:rsidRPr="00015D1E">
        <w:rPr>
          <w:color w:val="000000" w:themeColor="text1"/>
        </w:rPr>
        <w:t> </w:t>
      </w:r>
      <w:r w:rsidRPr="00015D1E">
        <w:rPr>
          <w:color w:val="000000" w:themeColor="text1"/>
        </w:rPr>
        <w:t xml:space="preserve">% (nárast z 97,10 % v roku 2023); </w:t>
      </w:r>
    </w:p>
    <w:p w14:paraId="368AA784" w14:textId="2DE5B238" w:rsidR="00813D6A" w:rsidRPr="00015D1E" w:rsidRDefault="00813D6A" w:rsidP="00813D6A">
      <w:pPr>
        <w:pStyle w:val="NormalHanging12a"/>
      </w:pPr>
      <w:r w:rsidRPr="00015D1E">
        <w:t>48.</w:t>
      </w:r>
      <w:r w:rsidRPr="00015D1E">
        <w:tab/>
        <w:t xml:space="preserve">vyjadruje poľutovanie nad nedostatkom verejne dostupných informácií o rodovom a geografickom rozdelení zamestnancov sekretariátu; vyzýva Radu, aby </w:t>
      </w:r>
      <w:r w:rsidR="00334AA6" w:rsidRPr="00015D1E">
        <w:t>Európskemu p</w:t>
      </w:r>
      <w:r w:rsidRPr="00015D1E">
        <w:t xml:space="preserve">arlamentu poskytla informácie o rodovej rovnováhe, geografickom rozdelení </w:t>
      </w:r>
      <w:r w:rsidRPr="00015D1E">
        <w:lastRenderedPageBreak/>
        <w:t>a zdravotnom postihnutí svojich zamestnancov, ako aj o súvisiacich vnútorných politikách; nabáda Radu, aby podporovala geografickú rovnováhu svojich zamestnancov tým, že ponúkne širší okruh kandidátov z nedostatočne zastúpených členských štátov;</w:t>
      </w:r>
    </w:p>
    <w:p w14:paraId="0049339F" w14:textId="77777777" w:rsidR="00813D6A" w:rsidRPr="00015D1E" w:rsidRDefault="00813D6A" w:rsidP="00813D6A">
      <w:pPr>
        <w:pStyle w:val="NormalHanging12a"/>
      </w:pPr>
      <w:r w:rsidRPr="00015D1E">
        <w:t>49.</w:t>
      </w:r>
      <w:r w:rsidRPr="00015D1E">
        <w:tab/>
        <w:t xml:space="preserve">víta úsilie sekretariátu v roku 2024, ktorého cieľom bolo prilákať, udržať a motivovať zamestnancov; konštatuje, že sekretariát sa zúčastnil na Dňoch kariéry, veľtrhoch kariéry, podujatiach v oblasti ľudských zdrojov určených pre stále zastúpenia a informačných stretnutiach pre zástupcov členských štátov, zintenzívnil výmeny so zamestnancami iných inštitúcií prostredníctvom </w:t>
      </w:r>
      <w:proofErr w:type="spellStart"/>
      <w:r w:rsidRPr="00015D1E">
        <w:t>medziinštitucionálneho</w:t>
      </w:r>
      <w:proofErr w:type="spellEnd"/>
      <w:r w:rsidRPr="00015D1E">
        <w:t xml:space="preserve"> pozorovania pri práci, na ktorých sa aktívne zúčastnilo 23 zamestnancov sekretariátu, prispel k modernizácii operácií úradu EPSO, zorganizoval 518 výberových konaní a 127 pohovorov, ako aj interné výberové konania pre všetky typy funkcií;</w:t>
      </w:r>
    </w:p>
    <w:p w14:paraId="134E04E0" w14:textId="77777777" w:rsidR="00813D6A" w:rsidRPr="00015D1E" w:rsidRDefault="00813D6A" w:rsidP="00813D6A">
      <w:pPr>
        <w:pStyle w:val="NormalHanging12a"/>
      </w:pPr>
      <w:r w:rsidRPr="00015D1E">
        <w:t>50.</w:t>
      </w:r>
      <w:r w:rsidRPr="00015D1E">
        <w:tab/>
        <w:t>s uspokojením konštatuje, že sekretariát ponúka celý rad školení a kampaní na zvyšovanie informovanosti o konkrétnych témach, ako sú okrem iného financie, bezpečnostné opatrenia a etiketa; osobitne si všíma zlepšené ukazovatele týkajúce sa kampane sekretariátu na zvyšovanie povedomia o etike, keďže angažovanosť zamestnancov v etických otázkach sa v roku 2024 výrazne zvýšila;</w:t>
      </w:r>
    </w:p>
    <w:p w14:paraId="331DBC00" w14:textId="77777777" w:rsidR="00813D6A" w:rsidRPr="00015D1E" w:rsidRDefault="00813D6A" w:rsidP="00813D6A">
      <w:pPr>
        <w:pStyle w:val="NormalHanging12a"/>
      </w:pPr>
      <w:r w:rsidRPr="00015D1E">
        <w:t>51.</w:t>
      </w:r>
      <w:r w:rsidRPr="00015D1E">
        <w:tab/>
        <w:t xml:space="preserve">berie na vedomie rôzne opatrenia, ktoré Rada prijala v roku 2024 v prospech zdravia a dobrých životných podmienok svojich zamestnancov; v tejto súvislosti konštatuje, že sekretariát ponúkol podporu okrem iného prostredníctvom pracovných a klinických psychológov a školení v oblasti ochrany duševného zdravia a zvládania stresu; víta zapojenie sekretariátu do organizácie </w:t>
      </w:r>
      <w:proofErr w:type="spellStart"/>
      <w:r w:rsidRPr="00015D1E">
        <w:t>medziinštitucionálneho</w:t>
      </w:r>
      <w:proofErr w:type="spellEnd"/>
      <w:r w:rsidRPr="00015D1E">
        <w:t xml:space="preserve"> týždňa bezpečnosti a ochrany zdravia v októbri 2024 a uverejnenie všetkých služieb a činností, ktoré existujú na sekretariáte, na jeho intranete na podporu dobrých životných podmienok a zdravia; konštatuje, že sekretariát vypracoval prehľad s ukazovateľmi psychosociálnych rizík, ktorého cieľom je lepšie zamerať preventívne opatrenia, a zaviedol multidisciplinárny tím, ktorý vyvíja systém riadenia bezpečnosti a ochrany zdravia na sekretariáte, aby mohol lepšie kontrolovať riziká na pracovisku;</w:t>
      </w:r>
    </w:p>
    <w:p w14:paraId="16C21DCE" w14:textId="77777777" w:rsidR="00813D6A" w:rsidRPr="00015D1E" w:rsidRDefault="00813D6A" w:rsidP="00813D6A">
      <w:pPr>
        <w:pStyle w:val="NormalHanging12a"/>
      </w:pPr>
      <w:r w:rsidRPr="00015D1E">
        <w:t>52.</w:t>
      </w:r>
      <w:r w:rsidRPr="00015D1E">
        <w:tab/>
        <w:t xml:space="preserve">s uspokojením konštatuje, že sekretariát má niekoľko skupín alebo sietí, ako je skupina a sieť sekretariátu pre rozmanitosť a začlenenie </w:t>
      </w:r>
      <w:proofErr w:type="spellStart"/>
      <w:r w:rsidRPr="00015D1E">
        <w:t>Affinity</w:t>
      </w:r>
      <w:proofErr w:type="spellEnd"/>
      <w:r w:rsidRPr="00015D1E">
        <w:t>, sieť Olympia (pre administrátorky), sieť LGBTI a sieť pre osoby so zdravotným postihnutím;</w:t>
      </w:r>
    </w:p>
    <w:p w14:paraId="2FFE30AB" w14:textId="77777777" w:rsidR="00813D6A" w:rsidRPr="00015D1E" w:rsidRDefault="00813D6A" w:rsidP="00813D6A">
      <w:pPr>
        <w:pStyle w:val="NormalHanging12a"/>
      </w:pPr>
      <w:r w:rsidRPr="00015D1E">
        <w:t>53.</w:t>
      </w:r>
      <w:r w:rsidRPr="00015D1E">
        <w:tab/>
        <w:t>s uspokojením berie na vedomie opatrenia sekretariátu pre osoby so zdravotným postihnutím v rámci jeho činností; konštatuje, že sekretariát zaviedol zjednodušený postup vybavovania žiadostí stážistov, zamestnancov a uchádzačov so zdravotným postihnutím o primerané úpravy; ďalej konštatuje, že v roku 2024 sa zorganizovali nadväzujúce školenia pre uvádzačov o prijímaní a sprevádzaní návštevníkov s rôznymi zdravotnými postihnutiami; konštatuje, že sekretariát v roku 2024 privítal 115 stážistov, päť z nich v rámci programu pozitívnych opatrení sekretariátu pre stážistov so zdravotným postihnutím; pripomína, že stáže by mali byť odmeňované v súlade s uznesením Európskeho parlamentu zo 14. júna 2023 o kvalitných stážach v Únii (2020/2005(INL)), v ktorom sa požaduje, aby všetky stáže v Únii boli platené; zdôrazňuje, že neplatené stáže predstavujú formu vykorisťovania mladých pracovníkov a prekážku v zabezpečovaní rovnakých príležitostí;</w:t>
      </w:r>
    </w:p>
    <w:p w14:paraId="459DD8E0" w14:textId="77777777" w:rsidR="00813D6A" w:rsidRPr="00015D1E" w:rsidRDefault="00813D6A" w:rsidP="00813D6A">
      <w:pPr>
        <w:pStyle w:val="NormalHanging12a"/>
      </w:pPr>
      <w:r w:rsidRPr="00015D1E">
        <w:t>54.</w:t>
      </w:r>
      <w:r w:rsidRPr="00015D1E">
        <w:tab/>
        <w:t xml:space="preserve">konštatuje, že sekretariát zaviedol nové pravidlá týkajúce sa pracovného času, </w:t>
      </w:r>
      <w:proofErr w:type="spellStart"/>
      <w:r w:rsidRPr="00015D1E">
        <w:t>telepráce</w:t>
      </w:r>
      <w:proofErr w:type="spellEnd"/>
      <w:r w:rsidRPr="00015D1E">
        <w:t xml:space="preserve"> a dovolenky zároveň so spustením nového IT modulu (</w:t>
      </w:r>
      <w:proofErr w:type="spellStart"/>
      <w:r w:rsidRPr="00015D1E">
        <w:t>Sysper</w:t>
      </w:r>
      <w:proofErr w:type="spellEnd"/>
      <w:r w:rsidRPr="00015D1E">
        <w:t xml:space="preserve">-TIM) na riadenie </w:t>
      </w:r>
      <w:r w:rsidRPr="00015D1E">
        <w:lastRenderedPageBreak/>
        <w:t xml:space="preserve">pracovného času; s uspokojením berie na vedomie organizovanie školení a komunikačných činností, ako sú inštruktážne videá, často kladené otázky, </w:t>
      </w:r>
      <w:proofErr w:type="spellStart"/>
      <w:r w:rsidRPr="00015D1E">
        <w:t>webináre</w:t>
      </w:r>
      <w:proofErr w:type="spellEnd"/>
      <w:r w:rsidRPr="00015D1E">
        <w:t xml:space="preserve"> atď., o nových pravidlách a novom module;</w:t>
      </w:r>
    </w:p>
    <w:p w14:paraId="5395F186" w14:textId="77777777" w:rsidR="00813D6A" w:rsidRPr="00015D1E" w:rsidRDefault="00813D6A" w:rsidP="00813D6A">
      <w:pPr>
        <w:pStyle w:val="NormalHanging12a"/>
        <w:ind w:left="0" w:firstLine="0"/>
        <w:rPr>
          <w:i/>
          <w:iCs/>
        </w:rPr>
      </w:pPr>
      <w:r w:rsidRPr="00015D1E">
        <w:rPr>
          <w:b/>
          <w:i/>
        </w:rPr>
        <w:t>Etický rámec a transparentnosť</w:t>
      </w:r>
    </w:p>
    <w:p w14:paraId="3A5F8DF4" w14:textId="77777777" w:rsidR="00813D6A" w:rsidRPr="00015D1E" w:rsidRDefault="00813D6A" w:rsidP="00813D6A">
      <w:pPr>
        <w:pStyle w:val="NormalHanging12a"/>
      </w:pPr>
      <w:r w:rsidRPr="00015D1E">
        <w:t>55.</w:t>
      </w:r>
      <w:r w:rsidRPr="00015D1E">
        <w:tab/>
        <w:t>opakuje, že etické správanie prispieva k správnemu finančnému riadeniu a zvyšuje dôveru verejnosti a že, ako zdôraznil Dvor audítorov vo svojej osobitnej správe č. 13/2019, existuje priestor na zlepšenie etických rámcov inštitúcií Únie; pripomína najmä odporúčanie Dvora audítorov týkajúce sa zlepšenia etického rámca Rady; vyjadruje znepokojenie nad tým, že podľa zistenia Dvora audítorov neexistuje spoločný etický rámec Únie upravujúci prácu zástupcov členských štátov v Rade; zdôrazňuje, že žiadna inštitúcia Únie by nemala byť oslobodená od jasných, záväzných a vynútiteľných etických pravidiel, keď sa zúčastňuje na rozhodovaní Únie, ktoré zahŕňa verejné výdavky;</w:t>
      </w:r>
    </w:p>
    <w:p w14:paraId="7ED58F2C" w14:textId="77777777" w:rsidR="00813D6A" w:rsidRPr="00015D1E" w:rsidRDefault="00813D6A" w:rsidP="00813D6A">
      <w:pPr>
        <w:pStyle w:val="NormalHanging12a"/>
      </w:pPr>
      <w:r w:rsidRPr="00015D1E">
        <w:t>56.</w:t>
      </w:r>
      <w:r w:rsidRPr="00015D1E">
        <w:tab/>
        <w:t>vyjadruje poľutovanie nad tým, že dve kľúčové zložky etického rámca Rady, „Zásady etického správania“ pre zamestnancov sekretariátu a „Kódex správania predsedu Európskej rady“, sú k dispozícii na webovom sídle Rady bez ďalšieho usmernenia alebo dátumu uverejnenia; kritizuje, že kódex správania predsedu Európskej rady nebol napriek viacerým žiadostiam Európskeho parlamentu zosúladený s kódexmi správania Európskeho parlamentu a Komisie, najmä pokiaľ ide o činnosti po skončení funkčného obdobia;</w:t>
      </w:r>
    </w:p>
    <w:p w14:paraId="61E27A67" w14:textId="77777777" w:rsidR="00813D6A" w:rsidRPr="00015D1E" w:rsidRDefault="00813D6A" w:rsidP="00813D6A">
      <w:pPr>
        <w:pStyle w:val="NormalHanging12a"/>
      </w:pPr>
      <w:r w:rsidRPr="00015D1E">
        <w:t>57.</w:t>
      </w:r>
      <w:r w:rsidRPr="00015D1E">
        <w:tab/>
        <w:t>konštatuje, že sekretariát uverejňuje výročnú správu obsahujúcu informácie o pracovných činnostiach bývalých vyšších úradníkov sekretariátu po odchode zo služby v súlade s článkom 16 tretím a štvrtým odsekom Služobného poriadku úradníkov Únie; konštatuje, že podľa správy týkajúcej sa roku 2024 jeden bývalý riadiaci pracovník oznámil svoj zámer vykonávať pracovné činnosti viac ako 12 mesiacov po odchode zo sekretariátu; konštatuje, že pred vydaním rozhodnutia v tejto veci sa uskutočnili konzultácie s paritným výborom; s poľutovaním konštatuje nedostatok informácií na webovom sídle Rady o tom, či bolo prijaté rozhodnutie o udelení alebo neudelení povolenia na vykonávanie činnosti, na ktorú sa žiadalo; opakuje svoju výzvu Rade, aby stanovila jasné, primerané a vynútiteľné pravidlá pre riadiacich pracovníkov po skončení pracovného pomeru, ktoré budú vychádzať z existujúceho právneho rámca, a aby zabezpečila primeranú transparentnosť, a to v relevantných prípadoch aj zverejňovaním prepojení na súkromný sektor, a to pri plnom dodržiavaní základných práv a zásad proporcionality;</w:t>
      </w:r>
    </w:p>
    <w:p w14:paraId="487E9F27" w14:textId="77777777" w:rsidR="00813D6A" w:rsidRPr="00015D1E" w:rsidRDefault="00813D6A" w:rsidP="00813D6A">
      <w:pPr>
        <w:pStyle w:val="NormalHanging12a"/>
      </w:pPr>
      <w:r w:rsidRPr="00015D1E">
        <w:t>58.</w:t>
      </w:r>
      <w:r w:rsidRPr="00015D1E">
        <w:tab/>
        <w:t xml:space="preserve">vyjadruje poľutovanie nad tým, že účasť stálych predstaviteľov členských štátov na povinnom registri transparentnosti zriadenom </w:t>
      </w:r>
      <w:proofErr w:type="spellStart"/>
      <w:r w:rsidRPr="00015D1E">
        <w:t>medziinštitucionálnou</w:t>
      </w:r>
      <w:proofErr w:type="spellEnd"/>
      <w:r w:rsidRPr="00015D1E">
        <w:t xml:space="preserve"> dohodou z 20. mája 2021 medzi Európskym parlamentom, Radou a Komisiou je úplne dobrovoľná, keďže uplatňovanie zásady podmienenosti je ponechané na uváženie stáleho zastúpenia každého členského štátu; konštatuje, že málo členských štátov a inštitúcií Únie dodržiava vo svojom regulačnom rámci osvedčené postupy uplatňovania povinného vymedzenia lobistov v širokom rozsahu, a trvá na tom, že všetky stále zastúpenia by sa mali aktívne zúčastňovať na povinnom registri transparentnosti pred predsedníctvom Rady svojho členského štátu, počas neho a po ňom; pripomína pozíciu Európskeho parlamentu, že zástupcom členských štátov, ktorí majú priame výhody z dotácií Únie prostredníctvom podnikov, ktoré vlastnia, by sa nemalo umožniť zúčastňovať na politických alebo rozpočtových diskusiách a na hlasovaniach o týchto dotáciách; </w:t>
      </w:r>
      <w:r w:rsidRPr="00015D1E">
        <w:lastRenderedPageBreak/>
        <w:t>vyjadruje poľutovanie nad tým, že Rada v plnej miere nevyužíva povinný register transparentnosti ani neprijíma návrhy na jeho zlepšenie; opakuje svoju výzvu Rade, aby sa nezapájala do rokovaní s neregistrovanými lobistami a aby zabezpečila, že všetci riadiaci pracovníci vrátane stálych zástupcov a vedúcich delegácií zverejňovali v štandardizovanom registri transparentnosti svoje stretnutia so záujmovými skupinami a lobistami, podobne ako sa tieto povinnosti ukladajú poslancom Európskeho parlamentu a členom Komisie;</w:t>
      </w:r>
    </w:p>
    <w:p w14:paraId="3CAC7DED" w14:textId="77777777" w:rsidR="00813D6A" w:rsidRPr="00015D1E" w:rsidRDefault="00813D6A" w:rsidP="00813D6A">
      <w:pPr>
        <w:pStyle w:val="NormalHanging12a"/>
      </w:pPr>
      <w:r w:rsidRPr="00015D1E">
        <w:t>59.</w:t>
      </w:r>
      <w:r w:rsidRPr="00015D1E">
        <w:tab/>
        <w:t xml:space="preserve">vyjadruje poľutovanie nad tým, že rozhodovací proces v Rade stále nie je ani zďaleka úplne transparentný, čo ovplyvňuje dôveru občanov v Úniu ako transparentný subjekt, a tým ohrozuje dobré meno Únie ako celku; pripomína a podporuje odporúčania ombudsmanky týkajúce sa transparentnosti legislatívneho procesu Rady v súvislosti so strategickým vyšetrovaním OI/2/2017/TE; naliehavo vyzýva Radu, aby bez zbytočného odkladu prijala všetky opatrenia potrebné na vykonanie odporúčaní ombudsmanky a príslušných rozsudkov SDEÚ; pripomína, že SDEÚ vo svojom rozsudku vo veci T-163/21 De </w:t>
      </w:r>
      <w:proofErr w:type="spellStart"/>
      <w:r w:rsidRPr="00015D1E">
        <w:t>Capitani</w:t>
      </w:r>
      <w:proofErr w:type="spellEnd"/>
      <w:r w:rsidRPr="00015D1E">
        <w:t xml:space="preserve">/Rada zdôraznil, že Rada bude potrebovať jasnejšiu legislatívnu transparentnosť s cieľom zabezpečiť prístup k legislatívnym dokumentom, čo jednoducho zodpovedá povinnosti Rady, pokiaľ ide o verejnú kontrolu a zodpovednosť </w:t>
      </w:r>
      <w:proofErr w:type="spellStart"/>
      <w:r w:rsidRPr="00015D1E">
        <w:t>spoluzákonodarcov</w:t>
      </w:r>
      <w:proofErr w:type="spellEnd"/>
      <w:r w:rsidRPr="00015D1E">
        <w:t xml:space="preserve"> ako základu akejkoľvek demokratickej legitimity;</w:t>
      </w:r>
    </w:p>
    <w:p w14:paraId="4067B002" w14:textId="5FF2C9C3" w:rsidR="00813D6A" w:rsidRPr="00015D1E" w:rsidRDefault="00813D6A" w:rsidP="00813D6A">
      <w:pPr>
        <w:pStyle w:val="NormalHanging12a"/>
      </w:pPr>
      <w:r w:rsidRPr="00015D1E">
        <w:t>60.</w:t>
      </w:r>
      <w:r w:rsidRPr="00015D1E">
        <w:tab/>
        <w:t>konštatuje, že európska ombudsmanka v roku 2023 začala a v roku 2024 dokončila nové vyšetrovanie z vlastného podnetu, pokiaľ ide o to, ako Rada vybavuje žiadosti verejnosti o prístup k legislatívnym dokumentom; berie na vedomie závery uvedeného vyšetrovania, podľa ktorých Rada použila ochranu prebiehajúcich rozhodovacích procesov ako dôvod zamietnutia prístupu k dokumentom s argumentmi, ktoré boli „vágne, hypotetické a nepodložené“; pripomína, že S</w:t>
      </w:r>
      <w:r w:rsidR="00DB016D" w:rsidRPr="00015D1E">
        <w:t>údny dvor</w:t>
      </w:r>
      <w:r w:rsidRPr="00015D1E">
        <w:t xml:space="preserve"> zamietol argumenty, ktoré zahŕňali potrebu zabrániť vonkajšiemu tlaku alebo nesprávnemu výkladu zo strany verejnosti či potrebu chrániť právne poradenstvo; vyjadruje preto znepokojenie nad tým, že Rada sa neriadi judikatúrou Únie; žiada Radu, aby napravila tieto nedostatky urýchleným zverejnením legislatívnych dokumentov, aj keby to viedlo k vonkajšiemu tlaku, keďže je to jeden z faktorov v akomkoľvek demokratickom zákonodarnom procese, a aby zamietala prístup k legislatívnym dokumentom len za skutočne výnimočných okolností; vyzýva Radu, aby bezodkladne vykonala závery ombudsmanky a príslušnú judikatúru tým, že zabezpečí, aby zamietnutia prístupu v rámci „ochrany prebiehajúceho rozhodovania“ boli v každom jednotlivom prípade striktne odôvodnené, konkrétne zdôvodnené a aby podliehali dôkladnému vnútornému preskúmaniu; požaduje aktívne zverejňovanie kľúčových legislatívnych dokumentov (vrátane dokumentov pracovných skupín a rokovacích pozícií) ako štandard a takisto každoročné zverejňovanie správ o použitých dôvodoch zamietnutia prístupu;</w:t>
      </w:r>
    </w:p>
    <w:p w14:paraId="64D81E6E" w14:textId="77777777" w:rsidR="00813D6A" w:rsidRPr="00015D1E" w:rsidRDefault="00813D6A" w:rsidP="00813D6A">
      <w:pPr>
        <w:pStyle w:val="NormalHanging12a"/>
      </w:pPr>
      <w:r w:rsidRPr="00015D1E">
        <w:t>61.</w:t>
      </w:r>
      <w:r w:rsidRPr="00015D1E">
        <w:tab/>
        <w:t>konštatuje, že tím pre prístup k dokumentom uviedol, že v roku 2024 prijal a odpovedal na vysoký počet žiadostí o prístup verejnosti k dokumentom, konkrétne na 2 872 prvých žiadostí o prístup k dokumentom (pokles z 3 732), čo si vyžaduje analýzu 10 096 dokumentov (pokles z 13 912 dokumentov v roku 2023) a 30 opakovaných žiadostí (pokles zo 40 v roku 2023); berie na vedomie pokles tohto druhu pracovného zaťaženia pravdepodobne v dôsledku pozastavenia legislatívnej činnosti Únie vzhľadom na voľby do Európskeho parlamentu v roku 2024;</w:t>
      </w:r>
    </w:p>
    <w:p w14:paraId="52145CC5" w14:textId="77777777" w:rsidR="00813D6A" w:rsidRPr="00015D1E" w:rsidRDefault="00813D6A" w:rsidP="00813D6A">
      <w:pPr>
        <w:pStyle w:val="NormalHanging12a"/>
      </w:pPr>
      <w:r w:rsidRPr="00015D1E">
        <w:t>62.</w:t>
      </w:r>
      <w:r w:rsidRPr="00015D1E">
        <w:tab/>
        <w:t xml:space="preserve">konštatuje, že spomedzi prvých žiadostí o prístup bol udelený úplný prístup k 7 323 dokumentom (72,5 %) a čiastočný prístup k 1 181 dokumentom (11,70 %), zatiaľ čo prístup bol zamietnutý k 1 592 dokumentom (15,80 %); konštatuje, že v prípade </w:t>
      </w:r>
      <w:r w:rsidRPr="00015D1E">
        <w:lastRenderedPageBreak/>
        <w:t>opakovaných žiadostí bol udelený úplný prístup k 36 dokumentom a čiastočný prístup k 45 dokumentom, zatiaľ čo prístup k 45 dokumentom bol zamietnutý; konštatuje, že prvé žiadosti boli spracované v priemere za 17 pracovných dní a opakované žiadosti za 31 pracovných dní;</w:t>
      </w:r>
    </w:p>
    <w:p w14:paraId="7237C03D" w14:textId="77777777" w:rsidR="00813D6A" w:rsidRPr="00015D1E" w:rsidRDefault="00813D6A" w:rsidP="00813D6A">
      <w:pPr>
        <w:pStyle w:val="NormalHanging12a"/>
      </w:pPr>
      <w:r w:rsidRPr="00015D1E">
        <w:t>63.</w:t>
      </w:r>
      <w:r w:rsidRPr="00015D1E">
        <w:tab/>
        <w:t>konštatuje, že v rámci vykonávania rozhodnutia generálneho tajomníka č. 23/2021 o psychologickom a sexuálnom obťažovaní na pracovisku sa v roku 2024 prijalo niekoľko opatrení, ako sú povinné školenia v oblasti boja proti obťažovaniu a nevhodnému správaniu pre nových zamestnancov, nových riadiacich pracovníkov a stážistov; konštatuje, že sekretariát má skupinu dôverných poradcov pre boj proti obťažovaniu, ktorí sa v roku 2024 zaoberali 13 žiadosťami o dôverné poradenstvo v súvislosti s potenciálnym obťažovaním alebo nevhodným správaním;</w:t>
      </w:r>
    </w:p>
    <w:p w14:paraId="5FD6D9B9" w14:textId="77777777" w:rsidR="00813D6A" w:rsidRPr="00015D1E" w:rsidRDefault="00813D6A" w:rsidP="00813D6A">
      <w:pPr>
        <w:pStyle w:val="NormalHanging12a"/>
      </w:pPr>
      <w:r w:rsidRPr="00015D1E">
        <w:t>64.</w:t>
      </w:r>
      <w:r w:rsidRPr="00015D1E">
        <w:tab/>
        <w:t>víta, že podľa verejne dostupných výročných správ neboli zodpovední povoľujúci úradníci vymenovaní delegovaním v roku 2024 upozornení na žiadne prípady podvodu alebo nezrovnalosti ani sa na takéto prípady nevzťahovala právomoc výboru (článok 145 nariadenia o rozpočtových pravidlách) alebo úradu OLAF;</w:t>
      </w:r>
    </w:p>
    <w:p w14:paraId="506B67E5" w14:textId="77777777" w:rsidR="00813D6A" w:rsidRPr="00015D1E" w:rsidRDefault="00813D6A" w:rsidP="00813D6A">
      <w:pPr>
        <w:pStyle w:val="NormalHanging12a"/>
        <w:ind w:left="357" w:hanging="357"/>
        <w:rPr>
          <w:b/>
          <w:i/>
          <w:iCs/>
        </w:rPr>
      </w:pPr>
      <w:r w:rsidRPr="00015D1E">
        <w:rPr>
          <w:b/>
          <w:i/>
        </w:rPr>
        <w:t>Digitalizácia, kybernetická bezpečnosť a ochrana údajov</w:t>
      </w:r>
    </w:p>
    <w:p w14:paraId="437DA64A" w14:textId="77777777" w:rsidR="00813D6A" w:rsidRPr="00015D1E" w:rsidRDefault="00813D6A" w:rsidP="00813D6A">
      <w:pPr>
        <w:pStyle w:val="NormalHanging12a"/>
      </w:pPr>
      <w:r w:rsidRPr="00015D1E">
        <w:t>65.</w:t>
      </w:r>
      <w:r w:rsidRPr="00015D1E">
        <w:tab/>
        <w:t>konštatuje, že v roku 2024 sekretariát pokračoval v plnení svojho cieľa digitálnej transformácie v súlade so svojimi prioritami digitálnej stratégie na roky 2022 – 2025; konštatuje, že zo 103 projektov súvisiacich s IT v ročnom pracovnom pláne na rok 2024 bolo11 % dokončených na konci roka, 3 % boli zrušené alebo zlúčené a väčšina projektov (62 %) ešte prebieha;</w:t>
      </w:r>
    </w:p>
    <w:p w14:paraId="46614684" w14:textId="77777777" w:rsidR="00813D6A" w:rsidRPr="00015D1E" w:rsidRDefault="00813D6A" w:rsidP="00813D6A">
      <w:pPr>
        <w:pStyle w:val="NormalHanging12a"/>
      </w:pPr>
      <w:r w:rsidRPr="00015D1E">
        <w:t>66.</w:t>
      </w:r>
      <w:r w:rsidRPr="00015D1E">
        <w:tab/>
        <w:t>s uspokojením konštatuje, že 98 % faktúr bolo v roku 2024 predložených elektronicky (nárast z 97 % v roku 2023) a 49 % zmlúv a nákupných objednávok sekretariátu bolo podpísaných elektronickým podpisom; ďalej konštatuje, že všetky nové postupy verejného obstarávania nad 143 000 EUR boli riadené pomocou nástroja Komisie na riadenie verejného obstarávania;</w:t>
      </w:r>
    </w:p>
    <w:p w14:paraId="1CDB036E" w14:textId="77777777" w:rsidR="00813D6A" w:rsidRPr="00015D1E" w:rsidRDefault="00813D6A" w:rsidP="00813D6A">
      <w:pPr>
        <w:pStyle w:val="NormalHanging12a"/>
      </w:pPr>
      <w:r w:rsidRPr="00015D1E">
        <w:t>67.</w:t>
      </w:r>
      <w:r w:rsidRPr="00015D1E">
        <w:tab/>
        <w:t xml:space="preserve">berie na vedomie hlavné priority sekretariátu, pokiaľ ide o </w:t>
      </w:r>
      <w:proofErr w:type="spellStart"/>
      <w:r w:rsidRPr="00015D1E">
        <w:t>medziinštitucionálne</w:t>
      </w:r>
      <w:proofErr w:type="spellEnd"/>
      <w:r w:rsidRPr="00015D1E">
        <w:t xml:space="preserve"> synergie a zosúladenie postupov v oblasti pracovných procesov v oblasti ľudských zdrojov pomocou jednotného portálu služieb (HR-IT); konštatuje, že v roku 2024 sekretariát podpísal s Komisiou memorandum o porozumení týkajúce sa viacročného programu transformácie ľudských zdrojov, ku ktorému sa sekretariát pripojil v júli 2024;</w:t>
      </w:r>
    </w:p>
    <w:p w14:paraId="191F65C2" w14:textId="77777777" w:rsidR="00813D6A" w:rsidRPr="00015D1E" w:rsidRDefault="00813D6A" w:rsidP="00813D6A">
      <w:pPr>
        <w:pStyle w:val="NormalHanging12a"/>
      </w:pPr>
      <w:r w:rsidRPr="00015D1E">
        <w:t>68.</w:t>
      </w:r>
      <w:r w:rsidRPr="00015D1E">
        <w:tab/>
        <w:t>víta ďalší pokrok, ktorý sekretariát dosiahol v roku 2024 v oblasti IT a digitalizácie, ako je spustenie nového nástroja na riadenie termínov lekárskych vyšetrení a očkovania, nová platforma na riadenie žiadostí o stáže, prvá fáza projektu POMME, ktorý zlepšuje využívanie pracovných procesov, pokiaľ ide o plánovanie zasadnutí a tlmočenia, platforma (</w:t>
      </w:r>
      <w:proofErr w:type="spellStart"/>
      <w:r w:rsidRPr="00015D1E">
        <w:t>PreSY</w:t>
      </w:r>
      <w:proofErr w:type="spellEnd"/>
      <w:r w:rsidRPr="00015D1E">
        <w:t>) pre komplexný prehľad monitorovacích činností v troch budovách Rady, platforma (e.-</w:t>
      </w:r>
      <w:proofErr w:type="spellStart"/>
      <w:r w:rsidRPr="00015D1E">
        <w:t>Resto</w:t>
      </w:r>
      <w:proofErr w:type="spellEnd"/>
      <w:r w:rsidRPr="00015D1E">
        <w:t xml:space="preserve"> catering) pre činnosti a žiadosti súvisiace so stravovaním a </w:t>
      </w:r>
      <w:proofErr w:type="spellStart"/>
      <w:r w:rsidRPr="00015D1E">
        <w:t>Collab</w:t>
      </w:r>
      <w:proofErr w:type="spellEnd"/>
      <w:r w:rsidRPr="00015D1E">
        <w:t xml:space="preserve"> </w:t>
      </w:r>
      <w:proofErr w:type="spellStart"/>
      <w:r w:rsidRPr="00015D1E">
        <w:t>Conseil</w:t>
      </w:r>
      <w:proofErr w:type="spellEnd"/>
      <w:r w:rsidRPr="00015D1E">
        <w:t>, nástroj určený na uchovávanie všetkých logistických dokumentov potrebných pri prípravách ministerskej rady;</w:t>
      </w:r>
    </w:p>
    <w:p w14:paraId="648F924D" w14:textId="77777777" w:rsidR="00813D6A" w:rsidRPr="00015D1E" w:rsidRDefault="00813D6A" w:rsidP="00813D6A">
      <w:pPr>
        <w:pStyle w:val="NormalHanging12a"/>
      </w:pPr>
      <w:r w:rsidRPr="00015D1E">
        <w:t>69.</w:t>
      </w:r>
      <w:r w:rsidRPr="00015D1E">
        <w:tab/>
        <w:t xml:space="preserve">konštatuje, že sekretariát testoval rôzne nástroje založené na umelej inteligencii s cieľom odpovedať na otázky týkajúce sa služobného poriadku, vypracovať vzdelávacie materiály (štruktúrovaný obsah, prípadové štúdie, kvízy alebo videá na základe </w:t>
      </w:r>
      <w:r w:rsidRPr="00015D1E">
        <w:lastRenderedPageBreak/>
        <w:t>konkrétneho podnetu) alebo pomôcť manažérom pri skúmaní životopisov; zdôrazňuje, že pri používaní umelej inteligencie sa musí zaručiť uplatňovanie prísnych zásad jej etického využívania, transparentnosti, ochrany údajov, ľudského dohľadu a ochrany pred zaujatosťou alebo zneužitím algoritmov;</w:t>
      </w:r>
    </w:p>
    <w:p w14:paraId="72EC711B" w14:textId="77777777" w:rsidR="00813D6A" w:rsidRPr="00015D1E" w:rsidRDefault="00813D6A" w:rsidP="00813D6A">
      <w:pPr>
        <w:pStyle w:val="NormalHanging12a"/>
      </w:pPr>
      <w:r w:rsidRPr="00015D1E">
        <w:t>70.</w:t>
      </w:r>
      <w:r w:rsidRPr="00015D1E">
        <w:tab/>
        <w:t>konštatuje, že v roku 2024 EDPS vykonal audit spracúvania zdravotných údajov, najmä ich uchovávania, v kľúčových európskych inštitúciách vrátane sekretariátu; vyzýva sekretariát, aby vykonal odporúčania EDPS, pokiaľ ide o zabezpečenie náležitých politík uchovávania údajov;</w:t>
      </w:r>
    </w:p>
    <w:p w14:paraId="73BC108B" w14:textId="77777777" w:rsidR="00813D6A" w:rsidRPr="00015D1E" w:rsidRDefault="00813D6A" w:rsidP="00813D6A">
      <w:pPr>
        <w:pStyle w:val="NormalHanging12a"/>
        <w:rPr>
          <w:b/>
        </w:rPr>
      </w:pPr>
      <w:r w:rsidRPr="00015D1E">
        <w:t>71.</w:t>
      </w:r>
      <w:r w:rsidRPr="00015D1E">
        <w:tab/>
        <w:t xml:space="preserve">berie na vedomie činnosti sekretariátu prostredníctvom jeho štruktúry digitálnych služieb, ktorých cieľom je dosiahnuť súlad s novým nariadením o kybernetickej bezpečnosti, ktoré nadobudlo účinnosť začiatkom roka 2024; v tejto súvislosti konštatuje, že v roku 2024 sekretariát vypracoval vnútorné postupy podávania správ o </w:t>
      </w:r>
      <w:proofErr w:type="spellStart"/>
      <w:r w:rsidRPr="00015D1E">
        <w:t>kybernetickobezpečnostných</w:t>
      </w:r>
      <w:proofErr w:type="spellEnd"/>
      <w:r w:rsidRPr="00015D1E">
        <w:t xml:space="preserve"> incidentoch, poskytol vstupy pre všetky usmernenia tímu reakcie na núdzové počítačové situácie v európskych inštitúciách orgánoch a agentúrach (CERT-EU) a zaviedol službu riadenia dodržiavania predpisov v oblasti kybernetickej bezpečnosti, pričom v danom roku bolo dokončených 11 správ o dodržiavaní predpisov; víta úsilie sekretariátu o dokončenie počiatočného preskúmania kybernetickej bezpečnosti všetkých digitálnych sietí a informačných systémov sekretariátu; oceňuje, že sa Rada zapojila do prípravy Európskeho mesiaca kybernetickej bezpečnosti 2024 so zameraním na sociálne inžinierstvo;</w:t>
      </w:r>
    </w:p>
    <w:p w14:paraId="10D38887" w14:textId="77777777" w:rsidR="00813D6A" w:rsidRPr="00015D1E" w:rsidRDefault="00813D6A" w:rsidP="00813D6A">
      <w:pPr>
        <w:pStyle w:val="NormalHanging12a"/>
        <w:ind w:left="360" w:hanging="360"/>
        <w:rPr>
          <w:b/>
          <w:bCs/>
          <w:i/>
        </w:rPr>
      </w:pPr>
      <w:r w:rsidRPr="00015D1E">
        <w:rPr>
          <w:b/>
          <w:i/>
        </w:rPr>
        <w:t>Budovy</w:t>
      </w:r>
    </w:p>
    <w:p w14:paraId="1E296967" w14:textId="77777777" w:rsidR="00813D6A" w:rsidRPr="00015D1E" w:rsidRDefault="00813D6A" w:rsidP="00813D6A">
      <w:pPr>
        <w:pStyle w:val="NormalHanging12a"/>
      </w:pPr>
      <w:r w:rsidRPr="00015D1E">
        <w:t>72.</w:t>
      </w:r>
      <w:r w:rsidRPr="00015D1E">
        <w:tab/>
        <w:t xml:space="preserve">berie na vedomie, že v roku 2024 sa vykonali kľúčové projekty, ako je renovácia zasadacích miestností Rady vrátane nového nábytku, kancelárskych chodieb a akreditačného pultu v budove </w:t>
      </w:r>
      <w:proofErr w:type="spellStart"/>
      <w:r w:rsidRPr="00015D1E">
        <w:t>Justus</w:t>
      </w:r>
      <w:proofErr w:type="spellEnd"/>
      <w:r w:rsidRPr="00015D1E">
        <w:t xml:space="preserve"> </w:t>
      </w:r>
      <w:proofErr w:type="spellStart"/>
      <w:r w:rsidRPr="00015D1E">
        <w:t>Lipsius</w:t>
      </w:r>
      <w:proofErr w:type="spellEnd"/>
      <w:r w:rsidRPr="00015D1E">
        <w:t>;</w:t>
      </w:r>
    </w:p>
    <w:p w14:paraId="35BD5D66" w14:textId="77777777" w:rsidR="00813D6A" w:rsidRPr="00015D1E" w:rsidRDefault="00813D6A" w:rsidP="00813D6A">
      <w:pPr>
        <w:pStyle w:val="NormalHanging12a"/>
      </w:pPr>
      <w:r w:rsidRPr="00015D1E">
        <w:t>73.</w:t>
      </w:r>
      <w:r w:rsidRPr="00015D1E">
        <w:tab/>
        <w:t xml:space="preserve">konštatuje, že sekretariát začal prípravné práce na renováciu svojich budov vrátane budovy </w:t>
      </w:r>
      <w:proofErr w:type="spellStart"/>
      <w:r w:rsidRPr="00015D1E">
        <w:t>Justus</w:t>
      </w:r>
      <w:proofErr w:type="spellEnd"/>
      <w:r w:rsidRPr="00015D1E">
        <w:t xml:space="preserve"> </w:t>
      </w:r>
      <w:proofErr w:type="spellStart"/>
      <w:r w:rsidRPr="00015D1E">
        <w:t>Lipsius</w:t>
      </w:r>
      <w:proofErr w:type="spellEnd"/>
      <w:r w:rsidRPr="00015D1E">
        <w:t xml:space="preserve"> a hlavnej administratívnej budovy; je informovaný o vyjadrenej potrebe generálnej opravy týchto budov s cieľom zabezpečiť efektívnu prevádzku a úplný súlad s regulačným rámcom Únie, pokiaľ ide o environmentálne vlastnosti;</w:t>
      </w:r>
    </w:p>
    <w:p w14:paraId="3CB4E8BF" w14:textId="77777777" w:rsidR="00813D6A" w:rsidRPr="00015D1E" w:rsidRDefault="00813D6A" w:rsidP="00813D6A">
      <w:pPr>
        <w:pStyle w:val="NormalHanging12a"/>
      </w:pPr>
      <w:r w:rsidRPr="00015D1E">
        <w:t>74.</w:t>
      </w:r>
      <w:r w:rsidRPr="00015D1E">
        <w:tab/>
        <w:t xml:space="preserve">konštatuje, že rozpočtový riadok na rok 2011 týkajúci sa vody, plynu, elektrickej energie a vykurovania bol posilnený o 33 % prostredníctvom rozpočtového presunu v roku 2024; konštatuje, že sekretariát pokračoval v znižovaní svojej spotreby energie napríklad znižovaním vykurovania budov a výmenou kotlov v budove </w:t>
      </w:r>
      <w:proofErr w:type="spellStart"/>
      <w:r w:rsidRPr="00015D1E">
        <w:t>Justus</w:t>
      </w:r>
      <w:proofErr w:type="spellEnd"/>
      <w:r w:rsidRPr="00015D1E">
        <w:t xml:space="preserve"> </w:t>
      </w:r>
      <w:proofErr w:type="spellStart"/>
      <w:r w:rsidRPr="00015D1E">
        <w:t>Lipsius</w:t>
      </w:r>
      <w:proofErr w:type="spellEnd"/>
      <w:r w:rsidRPr="00015D1E">
        <w:t>;</w:t>
      </w:r>
    </w:p>
    <w:p w14:paraId="0351C74D" w14:textId="77777777" w:rsidR="00813D6A" w:rsidRPr="00015D1E" w:rsidRDefault="00813D6A" w:rsidP="00813D6A">
      <w:pPr>
        <w:pStyle w:val="NormalHanging12a"/>
      </w:pPr>
      <w:r w:rsidRPr="00015D1E">
        <w:t>75.</w:t>
      </w:r>
      <w:r w:rsidRPr="00015D1E">
        <w:tab/>
        <w:t xml:space="preserve">konštatuje, že v roku 2024 sa uskutočnili kľúčové projekty, ako je renovácia niektorých zasadacích miestností v budovách LEX a </w:t>
      </w:r>
      <w:proofErr w:type="spellStart"/>
      <w:r w:rsidRPr="00015D1E">
        <w:t>Justus</w:t>
      </w:r>
      <w:proofErr w:type="spellEnd"/>
      <w:r w:rsidRPr="00015D1E">
        <w:t xml:space="preserve"> </w:t>
      </w:r>
      <w:proofErr w:type="spellStart"/>
      <w:r w:rsidRPr="00015D1E">
        <w:t>Lipsius</w:t>
      </w:r>
      <w:proofErr w:type="spellEnd"/>
      <w:r w:rsidRPr="00015D1E">
        <w:t xml:space="preserve">, nepretržitá obnova kancelárskych koridorov v budove </w:t>
      </w:r>
      <w:proofErr w:type="spellStart"/>
      <w:r w:rsidRPr="00015D1E">
        <w:t>Justus</w:t>
      </w:r>
      <w:proofErr w:type="spellEnd"/>
      <w:r w:rsidRPr="00015D1E">
        <w:t xml:space="preserve"> </w:t>
      </w:r>
      <w:proofErr w:type="spellStart"/>
      <w:r w:rsidRPr="00015D1E">
        <w:t>Lipsius</w:t>
      </w:r>
      <w:proofErr w:type="spellEnd"/>
      <w:r w:rsidRPr="00015D1E">
        <w:t xml:space="preserve">, zlepšenie zariadení/infraštruktúry pre bicykle v priestoroch sekretariátu Rady a modernizácia pultov na recepcii v budove </w:t>
      </w:r>
      <w:proofErr w:type="spellStart"/>
      <w:r w:rsidRPr="00015D1E">
        <w:t>Justus</w:t>
      </w:r>
      <w:proofErr w:type="spellEnd"/>
      <w:r w:rsidRPr="00015D1E">
        <w:t xml:space="preserve"> </w:t>
      </w:r>
      <w:proofErr w:type="spellStart"/>
      <w:r w:rsidRPr="00015D1E">
        <w:t>Lipsius</w:t>
      </w:r>
      <w:proofErr w:type="spellEnd"/>
      <w:r w:rsidRPr="00015D1E">
        <w:t>;</w:t>
      </w:r>
    </w:p>
    <w:p w14:paraId="73577544" w14:textId="77777777" w:rsidR="00813D6A" w:rsidRPr="00015D1E" w:rsidRDefault="00813D6A" w:rsidP="00813D6A">
      <w:pPr>
        <w:pStyle w:val="NormalHanging12a"/>
      </w:pPr>
      <w:r w:rsidRPr="00015D1E">
        <w:t>76.</w:t>
      </w:r>
      <w:r w:rsidRPr="00015D1E">
        <w:tab/>
        <w:t xml:space="preserve">vyjadruje poľutovanie nad tým, že Rada ešte stále nevykonala zjednodušený akreditačný postup na uľahčenie prístupu zamestnancov ostatných inštitúcií Únie do priestorov Rady; vyzýva Radu, aby urýchlene prijala a bezodkladne uplatňovala takýto postup v duchu </w:t>
      </w:r>
      <w:proofErr w:type="spellStart"/>
      <w:r w:rsidRPr="00015D1E">
        <w:t>medziinštitucionálnej</w:t>
      </w:r>
      <w:proofErr w:type="spellEnd"/>
      <w:r w:rsidRPr="00015D1E">
        <w:t xml:space="preserve"> spolupráce;</w:t>
      </w:r>
    </w:p>
    <w:p w14:paraId="7D3A968E" w14:textId="77777777" w:rsidR="00813D6A" w:rsidRPr="00015D1E" w:rsidRDefault="00813D6A" w:rsidP="00813D6A">
      <w:pPr>
        <w:pStyle w:val="NormalHanging12a"/>
        <w:rPr>
          <w:b/>
          <w:i/>
        </w:rPr>
      </w:pPr>
      <w:r w:rsidRPr="00015D1E">
        <w:rPr>
          <w:b/>
          <w:i/>
        </w:rPr>
        <w:t>Životné prostredie a udržateľnosť</w:t>
      </w:r>
    </w:p>
    <w:p w14:paraId="4BAEC93C" w14:textId="77777777" w:rsidR="00813D6A" w:rsidRPr="00015D1E" w:rsidRDefault="00813D6A" w:rsidP="00813D6A">
      <w:pPr>
        <w:pStyle w:val="NormalHanging12a"/>
      </w:pPr>
      <w:r w:rsidRPr="00015D1E">
        <w:lastRenderedPageBreak/>
        <w:t>77.</w:t>
      </w:r>
      <w:r w:rsidRPr="00015D1E">
        <w:tab/>
        <w:t>konštatuje, že v nadväznosti na externý audit vykonaný v roku 2024 sa zachovala certifikácia sekretariátu v rámci schémy pre environmentálne manažérstvo a audit (EMAS);</w:t>
      </w:r>
    </w:p>
    <w:p w14:paraId="0B6AE22F" w14:textId="77777777" w:rsidR="00813D6A" w:rsidRPr="00015D1E" w:rsidRDefault="00813D6A" w:rsidP="00813D6A">
      <w:pPr>
        <w:pStyle w:val="NormalHanging12a"/>
      </w:pPr>
      <w:r w:rsidRPr="00015D1E">
        <w:t>78.</w:t>
      </w:r>
      <w:r w:rsidRPr="00015D1E">
        <w:tab/>
        <w:t>konštatuje, že sekretariát dosiahol v roku 2024 úspory energie zlepšením energetickej hospodárnosti svojich technických infraštruktúr, ako sú systémy osvetlenia v budovách, v ktorých pôsobí; berie na vedomie zníženie spotreby energie sekretariátu o 24,40 % v rokoch 2018 až 2024 a zníženie spotreby vody o 17 % medzi rokmi 2023 až 2024; víta iniciatívy sekretariátu na ďalšie zníženie spotreby papiera;</w:t>
      </w:r>
    </w:p>
    <w:p w14:paraId="1E73E152" w14:textId="77777777" w:rsidR="00813D6A" w:rsidRPr="00015D1E" w:rsidRDefault="00813D6A" w:rsidP="00813D6A">
      <w:pPr>
        <w:pStyle w:val="NormalHanging12a"/>
      </w:pPr>
      <w:r w:rsidRPr="00015D1E">
        <w:t>79.</w:t>
      </w:r>
      <w:r w:rsidRPr="00015D1E">
        <w:tab/>
        <w:t xml:space="preserve">víta udržateľné postupy sekretariátu v rámci niektorých jeho činností; okrem iného konštatuje, že viaceré postupy verejného obstarávania a rámcové zmluvy zahŕňajú kritériá na zníženie množstva odpadu a recykláciu zariadení, že o projektoch verejného obstarávania vysokej hodnoty sa na sekretariáte vedú konzultácie so Zeleným oddelením a že jeho reštaurácie získali v roku 2024 certifikáciu </w:t>
      </w:r>
      <w:proofErr w:type="spellStart"/>
      <w:r w:rsidRPr="00015D1E">
        <w:t>Good</w:t>
      </w:r>
      <w:proofErr w:type="spellEnd"/>
      <w:r w:rsidRPr="00015D1E">
        <w:t xml:space="preserve"> </w:t>
      </w:r>
      <w:proofErr w:type="spellStart"/>
      <w:r w:rsidRPr="00015D1E">
        <w:t>Food</w:t>
      </w:r>
      <w:proofErr w:type="spellEnd"/>
      <w:r w:rsidRPr="00015D1E">
        <w:t>; víta, že sekretariát v roku 2024 zrevidoval príručku o služobných cestách zamestnancov, ktorá nadobudla účinnosť v roku 2025 a zahŕňa nové stimuly na zníženie uhlíkovej stopy z cestovania zamestnancov; s uspokojením berie na vedomie zvýšenie počtu zamestnancov, ktorí dochádzali do práce udržateľnými prostriedkami, napríklad verejnou dopravou alebo na bicykli, zo 67 % v roku 2023 na 78 % v roku 2024;</w:t>
      </w:r>
    </w:p>
    <w:p w14:paraId="5E97BBC3" w14:textId="77777777" w:rsidR="00813D6A" w:rsidRPr="00015D1E" w:rsidRDefault="00813D6A" w:rsidP="00813D6A">
      <w:pPr>
        <w:pStyle w:val="NormalHanging12a"/>
      </w:pPr>
      <w:r w:rsidRPr="00015D1E">
        <w:t>80.</w:t>
      </w:r>
      <w:r w:rsidRPr="00015D1E">
        <w:tab/>
        <w:t>víta, že sekretariát vypracoval environmentálnu stratégiu, v ktorej sa vymedzuje spôsob na zlepšenie environmentálneho správania sekretariátu od roku 2025 do roku 2030, a vykonal komunikačné opatrenia na zvýšenie informovanosti zamestnancov, delegátov a návštevníkov o tom, aké opatrenia súvisiace so životným prostredím možno prijať;</w:t>
      </w:r>
    </w:p>
    <w:p w14:paraId="7E0B11C9" w14:textId="77777777" w:rsidR="00813D6A" w:rsidRPr="00015D1E" w:rsidRDefault="00813D6A" w:rsidP="00813D6A">
      <w:pPr>
        <w:pStyle w:val="NormalHanging12a"/>
      </w:pPr>
      <w:r w:rsidRPr="00015D1E">
        <w:t>81.</w:t>
      </w:r>
      <w:r w:rsidRPr="00015D1E">
        <w:tab/>
        <w:t xml:space="preserve">konštatuje, že sekretariát kúpil udržateľnejšie dopravné prostriedky, t. j. jeden elektrický sedan a tri hybridné </w:t>
      </w:r>
      <w:proofErr w:type="spellStart"/>
      <w:r w:rsidRPr="00015D1E">
        <w:t>minivany</w:t>
      </w:r>
      <w:proofErr w:type="spellEnd"/>
      <w:r w:rsidRPr="00015D1E">
        <w:t xml:space="preserve">; ďalej konštatuje, že sa zlepšili infraštruktúra a zariadenia pre bicykle pred budovou </w:t>
      </w:r>
      <w:proofErr w:type="spellStart"/>
      <w:r w:rsidRPr="00015D1E">
        <w:t>Justus</w:t>
      </w:r>
      <w:proofErr w:type="spellEnd"/>
      <w:r w:rsidRPr="00015D1E">
        <w:t xml:space="preserve"> </w:t>
      </w:r>
      <w:proofErr w:type="spellStart"/>
      <w:r w:rsidRPr="00015D1E">
        <w:t>Lipsius</w:t>
      </w:r>
      <w:proofErr w:type="spellEnd"/>
      <w:r w:rsidRPr="00015D1E">
        <w:t>;</w:t>
      </w:r>
    </w:p>
    <w:p w14:paraId="09B64615" w14:textId="77777777" w:rsidR="00813D6A" w:rsidRPr="00015D1E" w:rsidRDefault="00813D6A" w:rsidP="00813D6A">
      <w:pPr>
        <w:spacing w:after="240"/>
        <w:ind w:left="360" w:hanging="567"/>
        <w:rPr>
          <w:b/>
          <w:i/>
          <w:iCs/>
        </w:rPr>
      </w:pPr>
      <w:proofErr w:type="spellStart"/>
      <w:r w:rsidRPr="00015D1E">
        <w:rPr>
          <w:b/>
          <w:i/>
        </w:rPr>
        <w:t>Medziinštitucionálna</w:t>
      </w:r>
      <w:proofErr w:type="spellEnd"/>
      <w:r w:rsidRPr="00015D1E">
        <w:rPr>
          <w:b/>
          <w:i/>
        </w:rPr>
        <w:t xml:space="preserve"> spolupráca</w:t>
      </w:r>
    </w:p>
    <w:p w14:paraId="30AB430F" w14:textId="435C9D2B" w:rsidR="00813D6A" w:rsidRPr="00015D1E" w:rsidRDefault="00813D6A" w:rsidP="00813D6A">
      <w:pPr>
        <w:pStyle w:val="NormalHanging12a"/>
      </w:pPr>
      <w:r w:rsidRPr="00015D1E">
        <w:t>82.</w:t>
      </w:r>
      <w:r w:rsidRPr="00015D1E">
        <w:tab/>
        <w:t xml:space="preserve">zdôrazňuje, že treba zrevidovať článok 319 ZFEÚ s cieľom výslovne stanoviť, že Európsky parlament okrem udelenia absolutória Komisii udeľuje absolutórium aj ostatným inštitúciám, orgánom, úradom a agentúram Únie za plnenie ich rozpočtových oddielov alebo ich rozpočtov, pričom sa snaží zabezpečiť právnu jasnosť, konzistentnosť a rovnaké zaobchádzanie s inštitúciami Únie; vyzýva Radu, aby včas prijala konkrétne opatrenia s cieľom prekonať </w:t>
      </w:r>
      <w:proofErr w:type="spellStart"/>
      <w:r w:rsidRPr="00015D1E">
        <w:t>medziinštitucionálny</w:t>
      </w:r>
      <w:proofErr w:type="spellEnd"/>
      <w:r w:rsidRPr="00015D1E">
        <w:t xml:space="preserve"> konflikt a obnoviť rozhovory s</w:t>
      </w:r>
      <w:r w:rsidR="00334AA6" w:rsidRPr="00015D1E">
        <w:t> Európskym p</w:t>
      </w:r>
      <w:r w:rsidRPr="00015D1E">
        <w:t>arlamentom s cieľom dosiahnuť spoločnú dohodu o bezproblémovom obnovení postupu udeľovania absolutória v súlade so zmluvami;</w:t>
      </w:r>
    </w:p>
    <w:p w14:paraId="35386F77" w14:textId="77777777" w:rsidR="00813D6A" w:rsidRPr="00015D1E" w:rsidRDefault="00813D6A" w:rsidP="00813D6A">
      <w:pPr>
        <w:pStyle w:val="NormalHanging12a"/>
      </w:pPr>
      <w:r w:rsidRPr="00015D1E">
        <w:t>83.</w:t>
      </w:r>
      <w:r w:rsidRPr="00015D1E">
        <w:tab/>
        <w:t>vyzýva Radu, aby obnovila rokovania na najvyššej úrovni s cieľom vyriešiť dlhodobú patovú situáciu v oblasti absolutória; žiada právne servisy Komisie a Rady, aby poskytli právne stanovisko k možným riešeniam vyplývajúcim zo zmlúv, ktoré by vynútili zodpovednosť Rady v rámci postupu udeľovania absolutória;</w:t>
      </w:r>
    </w:p>
    <w:p w14:paraId="5118F9FA" w14:textId="77777777" w:rsidR="00813D6A" w:rsidRPr="00015D1E" w:rsidRDefault="00813D6A" w:rsidP="00813D6A">
      <w:pPr>
        <w:pStyle w:val="NormalHanging12a"/>
        <w:rPr>
          <w:b/>
          <w:i/>
          <w:iCs/>
        </w:rPr>
      </w:pPr>
      <w:r w:rsidRPr="00015D1E">
        <w:rPr>
          <w:b/>
          <w:i/>
        </w:rPr>
        <w:t>Komunikácia</w:t>
      </w:r>
    </w:p>
    <w:p w14:paraId="463ACC2E" w14:textId="77777777" w:rsidR="00813D6A" w:rsidRPr="00015D1E" w:rsidRDefault="00813D6A" w:rsidP="00813D6A">
      <w:pPr>
        <w:pStyle w:val="NormalHanging12a"/>
      </w:pPr>
      <w:r w:rsidRPr="00015D1E">
        <w:t>84.</w:t>
      </w:r>
      <w:r w:rsidRPr="00015D1E">
        <w:tab/>
        <w:t>konštatuje, že v roku 2024 bol celkový rozpočet na komunikáciu po zohľadnení presunov vykonaných v priebehu roka 12 518 610 EUR, t. j. o 5,45 % vyšší ako rozpočet na rok 2023;</w:t>
      </w:r>
    </w:p>
    <w:p w14:paraId="58B7CAD0" w14:textId="77777777" w:rsidR="00813D6A" w:rsidRPr="00015D1E" w:rsidRDefault="00813D6A" w:rsidP="00813D6A">
      <w:pPr>
        <w:pStyle w:val="NormalHanging12a"/>
      </w:pPr>
      <w:r w:rsidRPr="00015D1E">
        <w:lastRenderedPageBreak/>
        <w:t>85.</w:t>
      </w:r>
      <w:r w:rsidRPr="00015D1E">
        <w:tab/>
        <w:t xml:space="preserve">konštatuje, že v roku 2024 sekretariát poskytol komunikačné služby predsedovi Európskej rady, predsedovi </w:t>
      </w:r>
      <w:proofErr w:type="spellStart"/>
      <w:r w:rsidRPr="00015D1E">
        <w:t>Euroskupiny</w:t>
      </w:r>
      <w:proofErr w:type="spellEnd"/>
      <w:r w:rsidRPr="00015D1E">
        <w:t>, rotujúcim predsedníctvam (Belgicka a Maďarska), podpredsedníčke Komisie/vysokej predstaviteľke Únie pre zahraničné veci a bezpečnostnú politiku, členským štátom a sekretariátu; konštatuje, že v roku 2024 sekretariát naďalej udržiaval vzťahy s médiami, podporu prítomnosti v sociálnych médiách a na internete počas celej výmeny funkcionárov, organizoval audiovizuálne pokrytie a vysielanie kľúčových medzinárodných podujatí a udržiaval kvalitnú operačnú podporu vrátane živého vysielania podujatí, tlačových služieb a označovania inštitucionálnych samitov a stretnutí;</w:t>
      </w:r>
    </w:p>
    <w:p w14:paraId="1DEC800E" w14:textId="53064A32" w:rsidR="00813D6A" w:rsidRPr="00015D1E" w:rsidRDefault="00813D6A" w:rsidP="00813D6A">
      <w:pPr>
        <w:pStyle w:val="NormalHanging12a"/>
      </w:pPr>
      <w:r w:rsidRPr="00015D1E">
        <w:t>86.</w:t>
      </w:r>
      <w:r w:rsidRPr="00015D1E">
        <w:tab/>
        <w:t>konštatuje, že podľa online prieskumu, ktorý sa uskutočnil v poslednom štvrťroku 2024, bolo 68,30 % používateľov spokojných so svojimi celkovými skúsenosťami s webovým sídlom Rady (nárast zo 67</w:t>
      </w:r>
      <w:r w:rsidR="00334AA6" w:rsidRPr="00015D1E">
        <w:t> </w:t>
      </w:r>
      <w:r w:rsidRPr="00015D1E">
        <w:t>% v roku 2023), ktoré v roku 2024 zaznamenalo viac ako 26 miliónov návštev (čo je v porovnaní s rokom 2023 nárast o 7 %), a 71 400 odberateľov noviniek v porovnaní s 57 900 v roku 2023.</w:t>
      </w:r>
    </w:p>
    <w:p w14:paraId="14F9618B" w14:textId="77777777" w:rsidR="00813D6A" w:rsidRPr="00015D1E" w:rsidRDefault="00813D6A" w:rsidP="00813D6A">
      <w:pPr>
        <w:spacing w:after="240"/>
        <w:ind w:left="567" w:hanging="567"/>
      </w:pPr>
      <w:r w:rsidRPr="00015D1E">
        <w:t>87.</w:t>
      </w:r>
      <w:r w:rsidRPr="00015D1E">
        <w:tab/>
        <w:t>konštatuje, že Generálne riaditeľstvo pre komunikáciu (GR COMM) uskutočnilo v priebehu roka 2024 rozsiahle tlačové a mediálne činnosti vrátane 76 tlačových brífingov, 771 tlačových správ, 84 tlačových konferencií a komplexnej podpory akreditácie médií a mediálneho pokrytia; ďalej konštatuje, že tlačové centrum a webové sídlo Rady sa vo veľkej miere využívali, pričom tlačová časť webového sídla Rady prilákala viac ako 6,4 milióna návštev a stránky týkajúce sa zasadnutí takmer 2 milióny návštev, čo svedčí o trvalom záujme verejnosti a médií o rozhodovanie Rady;</w:t>
      </w:r>
    </w:p>
    <w:p w14:paraId="3E1FDDC6" w14:textId="37CDD6EF" w:rsidR="00B4275C" w:rsidRPr="00015D1E" w:rsidRDefault="00813D6A" w:rsidP="00B4275C">
      <w:pPr>
        <w:ind w:left="567" w:hanging="567"/>
      </w:pPr>
      <w:r w:rsidRPr="00015D1E">
        <w:t>88.</w:t>
      </w:r>
      <w:r w:rsidRPr="00015D1E">
        <w:tab/>
        <w:t>konštatuje, že v roku 2024 digitálne tímy sekretariátu v úzkej spolupráci s predsedníctvami monitorovali a zlepšovali webové sídla belgického a maďarského predsedníctva, pričom zaznamenali približne 407 000 návštev a celkovo 1,2 milióna zobrazení stránok, a pokračovali v zlepšovaní hlavného webového sídla Rady 19 prostredníctvom súborov zlepšení zameraných na používateľov; ďalej berie na vedomie zavedenie funkcionalít strojového prekladu a modernizáciu prístupnosti spolu s rozsiahlym výskumom používateľov na zlepšenie zrozumiteľnosti online obsahu a možností orientovať sa v ňom, a to vo všetkých úradných jazykoch Únie, čím sa má posilniť digitálny dosah Rady a spolupráca so zainteresovanými stranami a občanmi.</w:t>
      </w:r>
    </w:p>
    <w:p w14:paraId="66135892" w14:textId="542DE1E0" w:rsidR="00E365E1" w:rsidRPr="00015D1E" w:rsidRDefault="00E365E1" w:rsidP="00AB18F1"/>
    <w:sectPr w:rsidR="00E365E1" w:rsidRPr="00015D1E" w:rsidSect="00B427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C4410" w14:textId="77777777" w:rsidR="00AB18F1" w:rsidRPr="00B4275C" w:rsidRDefault="00AB18F1">
      <w:r w:rsidRPr="00B4275C">
        <w:separator/>
      </w:r>
    </w:p>
  </w:endnote>
  <w:endnote w:type="continuationSeparator" w:id="0">
    <w:p w14:paraId="27864E12" w14:textId="77777777" w:rsidR="00AB18F1" w:rsidRPr="00B4275C" w:rsidRDefault="00AB18F1">
      <w:r w:rsidRPr="00B427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7C793" w14:textId="77777777" w:rsidR="00813D6A" w:rsidRPr="00B4275C" w:rsidRDefault="00813D6A" w:rsidP="001F6652">
    <w:pPr>
      <w:pStyle w:val="EPFooter"/>
    </w:pPr>
    <w:r w:rsidRPr="00B4275C">
      <w:t>PE</w:t>
    </w:r>
    <w:r w:rsidRPr="00B4275C">
      <w:rPr>
        <w:rStyle w:val="HideTWBExt"/>
      </w:rPr>
      <w:t>&lt;NoPE&gt;</w:t>
    </w:r>
    <w:r w:rsidRPr="00B4275C">
      <w:t>778.049</w:t>
    </w:r>
    <w:r w:rsidRPr="00B4275C">
      <w:rPr>
        <w:rStyle w:val="HideTWBExt"/>
      </w:rPr>
      <w:t>&lt;/NoPE&gt;&lt;Version&gt;</w:t>
    </w:r>
    <w:r w:rsidRPr="00B4275C">
      <w:t>v03-00</w:t>
    </w:r>
    <w:r w:rsidRPr="00B4275C">
      <w:rPr>
        <w:rStyle w:val="HideTWBExt"/>
      </w:rPr>
      <w:t>&lt;/Version&gt;</w:t>
    </w:r>
    <w:r w:rsidRPr="00B4275C">
      <w:tab/>
    </w:r>
    <w:r w:rsidRPr="00B4275C">
      <w:fldChar w:fldCharType="begin"/>
    </w:r>
    <w:r w:rsidRPr="00B4275C">
      <w:instrText xml:space="preserve"> PAGE  \* MERGEFORMAT </w:instrText>
    </w:r>
    <w:r w:rsidRPr="00B4275C">
      <w:fldChar w:fldCharType="separate"/>
    </w:r>
    <w:r w:rsidRPr="00B4275C">
      <w:rPr>
        <w:noProof/>
      </w:rPr>
      <w:t>28</w:t>
    </w:r>
    <w:r w:rsidRPr="00B4275C">
      <w:fldChar w:fldCharType="end"/>
    </w:r>
    <w:r w:rsidRPr="00B4275C">
      <w:t>/</w:t>
    </w:r>
    <w:fldSimple w:instr=" NUMPAGES  \* MERGEFORMAT ">
      <w:r w:rsidRPr="00B4275C">
        <w:rPr>
          <w:noProof/>
        </w:rPr>
        <w:t>28</w:t>
      </w:r>
    </w:fldSimple>
    <w:r w:rsidRPr="00B4275C">
      <w:tab/>
    </w:r>
    <w:r w:rsidRPr="00B4275C">
      <w:rPr>
        <w:rStyle w:val="HideTWBExt"/>
      </w:rPr>
      <w:t>&lt;PathFdR&gt;</w:t>
    </w:r>
    <w:r w:rsidRPr="00B4275C">
      <w:t>RR\1340408SK.docx</w:t>
    </w:r>
    <w:r w:rsidRPr="00B4275C">
      <w:rPr>
        <w:rStyle w:val="HideTWBExt"/>
      </w:rPr>
      <w:t>&lt;/PathFdR&gt;</w:t>
    </w:r>
  </w:p>
  <w:p w14:paraId="611FFA7D" w14:textId="77777777" w:rsidR="00813D6A" w:rsidRPr="00B4275C" w:rsidRDefault="00813D6A" w:rsidP="001F6652">
    <w:pPr>
      <w:pStyle w:val="EPFooter2"/>
    </w:pPr>
    <w:r w:rsidRPr="00B4275C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26BA1" w14:textId="77777777" w:rsidR="00813D6A" w:rsidRPr="00B4275C" w:rsidRDefault="00813D6A" w:rsidP="001F6652">
    <w:pPr>
      <w:pStyle w:val="EPFooter"/>
    </w:pPr>
    <w:r w:rsidRPr="00B4275C">
      <w:rPr>
        <w:rStyle w:val="HideTWBExt"/>
      </w:rPr>
      <w:t>&lt;PathFdR&gt;</w:t>
    </w:r>
    <w:r w:rsidRPr="00B4275C">
      <w:t>RR\1340408SK.docx</w:t>
    </w:r>
    <w:r w:rsidRPr="00B4275C">
      <w:rPr>
        <w:rStyle w:val="HideTWBExt"/>
      </w:rPr>
      <w:t>&lt;/PathFdR&gt;</w:t>
    </w:r>
    <w:r w:rsidRPr="00B4275C">
      <w:tab/>
    </w:r>
    <w:r w:rsidRPr="00B4275C">
      <w:tab/>
      <w:t>PE</w:t>
    </w:r>
    <w:r w:rsidRPr="00B4275C">
      <w:rPr>
        <w:rStyle w:val="HideTWBExt"/>
      </w:rPr>
      <w:t>&lt;NoPE&gt;</w:t>
    </w:r>
    <w:r w:rsidRPr="00B4275C">
      <w:t>778.049</w:t>
    </w:r>
    <w:r w:rsidRPr="00B4275C">
      <w:rPr>
        <w:rStyle w:val="HideTWBExt"/>
      </w:rPr>
      <w:t>&lt;/NoPE&gt;&lt;Version&gt;</w:t>
    </w:r>
    <w:r w:rsidRPr="00B4275C">
      <w:t>v03-00</w:t>
    </w:r>
    <w:r w:rsidRPr="00B4275C">
      <w:rPr>
        <w:rStyle w:val="HideTWBExt"/>
      </w:rPr>
      <w:t>&lt;/Version&gt;</w:t>
    </w:r>
  </w:p>
  <w:p w14:paraId="5B37BD9A" w14:textId="77777777" w:rsidR="00813D6A" w:rsidRPr="00B4275C" w:rsidRDefault="00813D6A" w:rsidP="001F6652">
    <w:pPr>
      <w:pStyle w:val="EPFooter2"/>
    </w:pPr>
    <w:r w:rsidRPr="00B4275C">
      <w:t>SK</w:t>
    </w:r>
    <w:r w:rsidRPr="00B4275C">
      <w:tab/>
    </w:r>
    <w:r w:rsidRPr="00B4275C">
      <w:rPr>
        <w:b w:val="0"/>
        <w:i/>
        <w:color w:val="C0C0C0"/>
        <w:sz w:val="22"/>
      </w:rPr>
      <w:t>Zjednotení v rozmanitosti</w:t>
    </w:r>
    <w:r w:rsidRPr="00B4275C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651B7" w14:textId="77777777" w:rsidR="00064002" w:rsidRPr="00B4275C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B7346" w14:textId="77777777" w:rsidR="00064002" w:rsidRPr="00B4275C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53616" w14:textId="77777777" w:rsidR="00064002" w:rsidRPr="00B427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E0E8E" w14:textId="77777777" w:rsidR="00AB18F1" w:rsidRPr="00B4275C" w:rsidRDefault="00AB18F1">
      <w:r w:rsidRPr="00B4275C">
        <w:separator/>
      </w:r>
    </w:p>
  </w:footnote>
  <w:footnote w:type="continuationSeparator" w:id="0">
    <w:p w14:paraId="1AE6053F" w14:textId="77777777" w:rsidR="00AB18F1" w:rsidRPr="00B4275C" w:rsidRDefault="00AB18F1">
      <w:r w:rsidRPr="00B4275C">
        <w:continuationSeparator/>
      </w:r>
    </w:p>
  </w:footnote>
  <w:footnote w:id="1">
    <w:p w14:paraId="7903F32F" w14:textId="39F49173" w:rsidR="00813D6A" w:rsidRPr="00B4275C" w:rsidRDefault="00813D6A" w:rsidP="00B4275C">
      <w:pPr>
        <w:pStyle w:val="FootnoteText"/>
        <w:ind w:left="567" w:hanging="567"/>
        <w:rPr>
          <w:sz w:val="24"/>
          <w:lang w:val="sk-SK"/>
        </w:rPr>
      </w:pPr>
      <w:r w:rsidRPr="00B4275C">
        <w:rPr>
          <w:rStyle w:val="FootnoteReference"/>
          <w:sz w:val="24"/>
          <w:lang w:val="sk-SK"/>
        </w:rPr>
        <w:footnoteRef/>
      </w:r>
      <w:r w:rsidR="00B4275C" w:rsidRPr="00B4275C">
        <w:rPr>
          <w:sz w:val="24"/>
          <w:lang w:val="sk-SK"/>
        </w:rPr>
        <w:t xml:space="preserve"> </w:t>
      </w:r>
      <w:r w:rsidR="00B4275C" w:rsidRPr="00B4275C">
        <w:rPr>
          <w:sz w:val="24"/>
          <w:lang w:val="sk-SK"/>
        </w:rPr>
        <w:tab/>
      </w:r>
      <w:r w:rsidRPr="00B4275C">
        <w:rPr>
          <w:sz w:val="24"/>
          <w:lang w:val="sk-SK"/>
        </w:rPr>
        <w:t>Ú. v. EÚ L</w:t>
      </w:r>
      <w:r w:rsidR="00AD4E9B">
        <w:rPr>
          <w:sz w:val="24"/>
          <w:lang w:val="sk-SK"/>
        </w:rPr>
        <w:t>,</w:t>
      </w:r>
      <w:r w:rsidRPr="00B4275C">
        <w:rPr>
          <w:sz w:val="24"/>
          <w:lang w:val="sk-SK"/>
        </w:rPr>
        <w:t xml:space="preserve"> </w:t>
      </w:r>
      <w:r w:rsidR="00852913">
        <w:rPr>
          <w:sz w:val="24"/>
          <w:lang w:val="sk-SK"/>
        </w:rPr>
        <w:t>2024/</w:t>
      </w:r>
      <w:r w:rsidRPr="00B4275C">
        <w:rPr>
          <w:sz w:val="24"/>
          <w:lang w:val="sk-SK"/>
        </w:rPr>
        <w:t xml:space="preserve">207, 22.2.2024, ELI: </w:t>
      </w:r>
      <w:hyperlink r:id="rId1" w:history="1">
        <w:r w:rsidRPr="00B4275C">
          <w:rPr>
            <w:rStyle w:val="Hyperlink"/>
            <w:sz w:val="24"/>
            <w:lang w:val="sk-SK"/>
          </w:rPr>
          <w:t>http://data.europa.eu/eli/budget/2024/207/oj?locale=sk</w:t>
        </w:r>
      </w:hyperlink>
      <w:r w:rsidRPr="00B4275C">
        <w:rPr>
          <w:sz w:val="24"/>
          <w:lang w:val="sk-SK"/>
        </w:rPr>
        <w:t>.</w:t>
      </w:r>
    </w:p>
  </w:footnote>
  <w:footnote w:id="2">
    <w:p w14:paraId="27954F95" w14:textId="15E7EBF7" w:rsidR="00813D6A" w:rsidRPr="00B4275C" w:rsidRDefault="00813D6A" w:rsidP="00B4275C">
      <w:pPr>
        <w:pStyle w:val="FootnoteText"/>
        <w:ind w:left="567" w:hanging="567"/>
        <w:rPr>
          <w:sz w:val="24"/>
          <w:lang w:val="sk-SK"/>
        </w:rPr>
      </w:pPr>
      <w:r w:rsidRPr="00B4275C">
        <w:rPr>
          <w:rStyle w:val="FootnoteReference"/>
          <w:sz w:val="24"/>
          <w:lang w:val="sk-SK"/>
        </w:rPr>
        <w:footnoteRef/>
      </w:r>
      <w:r w:rsidR="00B4275C" w:rsidRPr="00B4275C">
        <w:rPr>
          <w:sz w:val="24"/>
          <w:lang w:val="sk-SK"/>
        </w:rPr>
        <w:t xml:space="preserve"> </w:t>
      </w:r>
      <w:r w:rsidR="00B4275C" w:rsidRPr="00B4275C">
        <w:rPr>
          <w:sz w:val="24"/>
          <w:lang w:val="sk-SK"/>
        </w:rPr>
        <w:tab/>
      </w:r>
      <w:r w:rsidRPr="00B4275C">
        <w:rPr>
          <w:sz w:val="24"/>
          <w:lang w:val="sk-SK"/>
        </w:rPr>
        <w:t>Ú. v. </w:t>
      </w:r>
      <w:r w:rsidRPr="00B4275C">
        <w:rPr>
          <w:sz w:val="24"/>
          <w:lang w:val="sk-SK"/>
        </w:rPr>
        <w:t>EÚ </w:t>
      </w:r>
      <w:r w:rsidR="00AD4E9B">
        <w:rPr>
          <w:sz w:val="24"/>
          <w:lang w:val="sk-SK"/>
        </w:rPr>
        <w:t xml:space="preserve">C, </w:t>
      </w:r>
      <w:r w:rsidRPr="00B4275C">
        <w:rPr>
          <w:sz w:val="24"/>
          <w:lang w:val="sk-SK"/>
        </w:rPr>
        <w:t>C/2025/4944, 13.10.2025, ELI: </w:t>
      </w:r>
      <w:hyperlink r:id="rId2" w:tgtFrame="_blank" w:tooltip="Umožňuje prístup k tomuto dokumentu prostredníctvom identifikátora URI používaného v rámci ELI." w:history="1">
        <w:r w:rsidRPr="00B4275C">
          <w:rPr>
            <w:rStyle w:val="Hyperlink"/>
            <w:sz w:val="24"/>
            <w:lang w:val="sk-SK"/>
          </w:rPr>
          <w:t>http://data.europ</w:t>
        </w:r>
        <w:r w:rsidRPr="00B4275C">
          <w:rPr>
            <w:rStyle w:val="Hyperlink"/>
            <w:sz w:val="24"/>
            <w:lang w:val="sk-SK"/>
          </w:rPr>
          <w:t>a.eu/eli/C/2025/4944/oj?locale=sk</w:t>
        </w:r>
      </w:hyperlink>
      <w:r w:rsidRPr="00B4275C">
        <w:rPr>
          <w:sz w:val="24"/>
          <w:lang w:val="sk-SK"/>
        </w:rPr>
        <w:t>.</w:t>
      </w:r>
    </w:p>
  </w:footnote>
  <w:footnote w:id="3">
    <w:p w14:paraId="261AC433" w14:textId="43ED97AE" w:rsidR="00813D6A" w:rsidRPr="00B4275C" w:rsidRDefault="00813D6A" w:rsidP="00B4275C">
      <w:pPr>
        <w:pStyle w:val="FootnoteText"/>
        <w:ind w:left="567" w:hanging="567"/>
        <w:rPr>
          <w:sz w:val="24"/>
          <w:lang w:val="sk-SK"/>
        </w:rPr>
      </w:pPr>
      <w:r w:rsidRPr="00B4275C">
        <w:rPr>
          <w:rStyle w:val="FootnoteReference"/>
          <w:sz w:val="24"/>
          <w:lang w:val="sk-SK"/>
        </w:rPr>
        <w:footnoteRef/>
      </w:r>
      <w:r w:rsidR="00B4275C" w:rsidRPr="00B4275C">
        <w:rPr>
          <w:sz w:val="24"/>
          <w:lang w:val="sk-SK"/>
        </w:rPr>
        <w:t xml:space="preserve"> </w:t>
      </w:r>
      <w:r w:rsidR="00B4275C" w:rsidRPr="00B4275C">
        <w:rPr>
          <w:sz w:val="24"/>
          <w:lang w:val="sk-SK"/>
        </w:rPr>
        <w:tab/>
      </w:r>
      <w:r w:rsidRPr="00B4275C">
        <w:rPr>
          <w:sz w:val="24"/>
          <w:lang w:val="sk-SK"/>
        </w:rPr>
        <w:t>Ú. v. </w:t>
      </w:r>
      <w:r w:rsidRPr="00B4275C">
        <w:rPr>
          <w:sz w:val="24"/>
          <w:lang w:val="sk-SK"/>
        </w:rPr>
        <w:t>EÚ </w:t>
      </w:r>
      <w:r w:rsidR="00AD4E9B">
        <w:rPr>
          <w:sz w:val="24"/>
          <w:lang w:val="sk-SK"/>
        </w:rPr>
        <w:t xml:space="preserve">C, </w:t>
      </w:r>
      <w:r w:rsidRPr="00B4275C">
        <w:rPr>
          <w:sz w:val="24"/>
          <w:lang w:val="sk-SK"/>
        </w:rPr>
        <w:t xml:space="preserve">C/2025/5409, 8.10.2025, ELI: </w:t>
      </w:r>
      <w:hyperlink r:id="rId3" w:history="1">
        <w:r w:rsidRPr="00B4275C">
          <w:rPr>
            <w:rStyle w:val="Hyperlink"/>
            <w:sz w:val="24"/>
            <w:lang w:val="sk-SK"/>
          </w:rPr>
          <w:t>http://data.europa.eu</w:t>
        </w:r>
        <w:r w:rsidRPr="00B4275C">
          <w:rPr>
            <w:rStyle w:val="Hyperlink"/>
            <w:sz w:val="24"/>
            <w:lang w:val="sk-SK"/>
          </w:rPr>
          <w:t>/eli/C/2025/5409/oj?locale=sk</w:t>
        </w:r>
      </w:hyperlink>
      <w:r w:rsidRPr="00B4275C">
        <w:rPr>
          <w:sz w:val="24"/>
          <w:lang w:val="sk-SK"/>
        </w:rPr>
        <w:t>.</w:t>
      </w:r>
    </w:p>
  </w:footnote>
  <w:footnote w:id="4">
    <w:p w14:paraId="6BE58D6D" w14:textId="52B2656A" w:rsidR="00813D6A" w:rsidRPr="00B4275C" w:rsidRDefault="00813D6A" w:rsidP="00B4275C">
      <w:pPr>
        <w:pStyle w:val="FootnoteText"/>
        <w:ind w:left="567" w:hanging="567"/>
        <w:rPr>
          <w:sz w:val="24"/>
          <w:lang w:val="sk-SK"/>
        </w:rPr>
      </w:pPr>
      <w:r w:rsidRPr="00B4275C">
        <w:rPr>
          <w:rStyle w:val="FootnoteReference"/>
          <w:sz w:val="24"/>
          <w:lang w:val="sk-SK"/>
        </w:rPr>
        <w:footnoteRef/>
      </w:r>
      <w:r w:rsidR="00B4275C" w:rsidRPr="00B4275C">
        <w:rPr>
          <w:sz w:val="24"/>
          <w:lang w:val="sk-SK"/>
        </w:rPr>
        <w:t xml:space="preserve"> </w:t>
      </w:r>
      <w:r w:rsidR="00B4275C" w:rsidRPr="00B4275C">
        <w:rPr>
          <w:sz w:val="24"/>
          <w:lang w:val="sk-SK"/>
        </w:rPr>
        <w:tab/>
      </w:r>
      <w:r w:rsidRPr="00B4275C">
        <w:rPr>
          <w:sz w:val="24"/>
          <w:lang w:val="sk-SK"/>
        </w:rPr>
        <w:t>Ú. v. </w:t>
      </w:r>
      <w:r w:rsidRPr="00B4275C">
        <w:rPr>
          <w:sz w:val="24"/>
          <w:lang w:val="sk-SK"/>
        </w:rPr>
        <w:t>EÚ </w:t>
      </w:r>
      <w:r w:rsidR="00AD4E9B">
        <w:rPr>
          <w:sz w:val="24"/>
          <w:lang w:val="sk-SK"/>
        </w:rPr>
        <w:t xml:space="preserve">C, </w:t>
      </w:r>
      <w:r w:rsidRPr="00B4275C">
        <w:rPr>
          <w:sz w:val="24"/>
          <w:lang w:val="sk-SK"/>
        </w:rPr>
        <w:t xml:space="preserve">C/2025/5407, 13.10.2025, ELI: </w:t>
      </w:r>
      <w:hyperlink r:id="rId4" w:history="1">
        <w:r w:rsidRPr="00B4275C">
          <w:rPr>
            <w:rStyle w:val="Hyperlink"/>
            <w:sz w:val="24"/>
            <w:lang w:val="sk-SK"/>
          </w:rPr>
          <w:t>http://data.europa.eu/eli/C/2025/5</w:t>
        </w:r>
        <w:r w:rsidRPr="00B4275C">
          <w:rPr>
            <w:rStyle w:val="Hyperlink"/>
            <w:sz w:val="24"/>
            <w:lang w:val="sk-SK"/>
          </w:rPr>
          <w:t>407/oj?locale=sk</w:t>
        </w:r>
      </w:hyperlink>
      <w:r w:rsidRPr="00B4275C">
        <w:rPr>
          <w:sz w:val="24"/>
          <w:lang w:val="sk-SK"/>
        </w:rPr>
        <w:t>.</w:t>
      </w:r>
    </w:p>
  </w:footnote>
  <w:footnote w:id="5">
    <w:p w14:paraId="606F7194" w14:textId="4F7BB865" w:rsidR="00813D6A" w:rsidRPr="00B4275C" w:rsidRDefault="00813D6A" w:rsidP="00B4275C">
      <w:pPr>
        <w:pStyle w:val="FootnoteText"/>
        <w:ind w:left="567" w:hanging="567"/>
        <w:rPr>
          <w:sz w:val="24"/>
          <w:lang w:val="sk-SK"/>
        </w:rPr>
      </w:pPr>
      <w:r w:rsidRPr="00B4275C">
        <w:rPr>
          <w:rStyle w:val="FootnoteReference"/>
          <w:sz w:val="24"/>
          <w:lang w:val="sk-SK"/>
        </w:rPr>
        <w:footnoteRef/>
      </w:r>
      <w:r w:rsidR="00B4275C" w:rsidRPr="00B4275C">
        <w:rPr>
          <w:sz w:val="24"/>
          <w:lang w:val="sk-SK"/>
        </w:rPr>
        <w:t xml:space="preserve"> </w:t>
      </w:r>
      <w:r w:rsidR="00B4275C" w:rsidRPr="00B4275C">
        <w:rPr>
          <w:sz w:val="24"/>
          <w:lang w:val="sk-SK"/>
        </w:rPr>
        <w:tab/>
      </w:r>
      <w:r w:rsidRPr="00B4275C">
        <w:rPr>
          <w:sz w:val="24"/>
          <w:lang w:val="sk-SK"/>
        </w:rPr>
        <w:t xml:space="preserve">Ú. v. EÚ L 193, 30.7.2018, s. </w:t>
      </w:r>
      <w:r w:rsidRPr="00B4275C">
        <w:rPr>
          <w:sz w:val="24"/>
          <w:lang w:val="sk-SK"/>
        </w:rPr>
        <w:t xml:space="preserve">1, ELI: </w:t>
      </w:r>
      <w:hyperlink r:id="rId5" w:history="1">
        <w:r w:rsidRPr="00B4275C">
          <w:rPr>
            <w:rStyle w:val="Hyperlink"/>
            <w:sz w:val="24"/>
            <w:lang w:val="sk-SK"/>
          </w:rPr>
          <w:t>http://data.europa.e</w:t>
        </w:r>
        <w:r w:rsidRPr="00B4275C">
          <w:rPr>
            <w:rStyle w:val="Hyperlink"/>
            <w:sz w:val="24"/>
            <w:lang w:val="sk-SK"/>
          </w:rPr>
          <w:t>u/eli/reg/2018/1046/oj?locale=sk</w:t>
        </w:r>
      </w:hyperlink>
      <w:r w:rsidRPr="00B4275C">
        <w:rPr>
          <w:sz w:val="24"/>
          <w:lang w:val="sk-SK"/>
        </w:rPr>
        <w:t>.</w:t>
      </w:r>
    </w:p>
  </w:footnote>
  <w:footnote w:id="6">
    <w:p w14:paraId="2E6512A8" w14:textId="240547B1" w:rsidR="00813D6A" w:rsidRPr="00B4275C" w:rsidRDefault="00813D6A" w:rsidP="00B4275C">
      <w:pPr>
        <w:pStyle w:val="FootnoteText"/>
        <w:ind w:left="567" w:hanging="567"/>
        <w:rPr>
          <w:sz w:val="24"/>
          <w:szCs w:val="24"/>
          <w:lang w:val="sk-SK"/>
        </w:rPr>
      </w:pPr>
      <w:r w:rsidRPr="00B4275C">
        <w:rPr>
          <w:rStyle w:val="FootnoteReference"/>
          <w:sz w:val="24"/>
          <w:lang w:val="sk-SK"/>
        </w:rPr>
        <w:footnoteRef/>
      </w:r>
      <w:r w:rsidR="00B4275C" w:rsidRPr="00B4275C">
        <w:rPr>
          <w:sz w:val="24"/>
          <w:lang w:val="sk-SK"/>
        </w:rPr>
        <w:t xml:space="preserve"> </w:t>
      </w:r>
      <w:r w:rsidR="00B4275C" w:rsidRPr="00B4275C">
        <w:rPr>
          <w:sz w:val="24"/>
          <w:lang w:val="sk-SK"/>
        </w:rPr>
        <w:tab/>
      </w:r>
      <w:r w:rsidRPr="00B4275C">
        <w:rPr>
          <w:sz w:val="24"/>
          <w:lang w:val="sk-SK"/>
        </w:rPr>
        <w:t xml:space="preserve">Ú. v. </w:t>
      </w:r>
      <w:r w:rsidRPr="00B4275C">
        <w:rPr>
          <w:sz w:val="24"/>
          <w:lang w:val="sk-SK"/>
        </w:rPr>
        <w:t xml:space="preserve">EÚ L, 2024/2509, 26.9.2024, ELI: </w:t>
      </w:r>
      <w:hyperlink r:id="rId6" w:history="1">
        <w:r w:rsidRPr="00B4275C">
          <w:rPr>
            <w:rStyle w:val="Hyperlink"/>
            <w:sz w:val="24"/>
            <w:lang w:val="sk-SK"/>
          </w:rPr>
          <w:t>http://data.europa.eu/eli/reg/2024/2509/oj?locale=sk</w:t>
        </w:r>
      </w:hyperlink>
      <w:r w:rsidRPr="00B4275C">
        <w:rPr>
          <w:sz w:val="24"/>
          <w:lang w:val="sk-SK"/>
        </w:rPr>
        <w:t>.</w:t>
      </w:r>
    </w:p>
  </w:footnote>
  <w:footnote w:id="7">
    <w:p w14:paraId="76899357" w14:textId="2F35A6B7" w:rsidR="00813D6A" w:rsidRPr="00B4275C" w:rsidRDefault="00813D6A" w:rsidP="00B4275C">
      <w:pPr>
        <w:pStyle w:val="FootnoteText"/>
        <w:ind w:left="567" w:hanging="567"/>
        <w:rPr>
          <w:sz w:val="24"/>
          <w:lang w:val="sk-SK"/>
        </w:rPr>
      </w:pPr>
      <w:r w:rsidRPr="00B4275C">
        <w:rPr>
          <w:rStyle w:val="FootnoteReference"/>
          <w:sz w:val="24"/>
          <w:szCs w:val="24"/>
          <w:lang w:val="sk-SK"/>
        </w:rPr>
        <w:footnoteRef/>
      </w:r>
      <w:r w:rsidR="00B4275C" w:rsidRPr="00B4275C">
        <w:rPr>
          <w:sz w:val="24"/>
          <w:lang w:val="sk-SK"/>
        </w:rPr>
        <w:t xml:space="preserve"> </w:t>
      </w:r>
      <w:r w:rsidR="00B4275C" w:rsidRPr="00B4275C">
        <w:rPr>
          <w:sz w:val="24"/>
          <w:lang w:val="sk-SK"/>
        </w:rPr>
        <w:tab/>
      </w:r>
      <w:r w:rsidRPr="00B4275C">
        <w:rPr>
          <w:sz w:val="24"/>
          <w:lang w:val="sk-SK"/>
        </w:rPr>
        <w:t xml:space="preserve">Rozsudok Všeobecného súdu z 25. januára 2023, </w:t>
      </w:r>
      <w:r w:rsidRPr="00015D1E">
        <w:rPr>
          <w:sz w:val="24"/>
          <w:lang w:val="sk-SK"/>
        </w:rPr>
        <w:t xml:space="preserve">De </w:t>
      </w:r>
      <w:proofErr w:type="spellStart"/>
      <w:r w:rsidRPr="00015D1E">
        <w:rPr>
          <w:sz w:val="24"/>
          <w:lang w:val="sk-SK"/>
        </w:rPr>
        <w:t>Capitani</w:t>
      </w:r>
      <w:proofErr w:type="spellEnd"/>
      <w:r w:rsidRPr="00015D1E">
        <w:rPr>
          <w:sz w:val="24"/>
          <w:lang w:val="sk-SK"/>
        </w:rPr>
        <w:t>/Rada</w:t>
      </w:r>
      <w:r w:rsidRPr="00B4275C">
        <w:rPr>
          <w:sz w:val="24"/>
          <w:lang w:val="sk-SK"/>
        </w:rPr>
        <w:t xml:space="preserve">, T-163/21, CLI:EU:T:2023:15.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EB2FD" w14:textId="77777777" w:rsidR="00064002" w:rsidRPr="00B427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B0E2B" w14:textId="77777777" w:rsidR="00064002" w:rsidRPr="00B427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B11D7" w14:textId="77777777" w:rsidR="00064002" w:rsidRPr="00B427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34970994">
    <w:abstractNumId w:val="9"/>
  </w:num>
  <w:num w:numId="2" w16cid:durableId="1905680168">
    <w:abstractNumId w:val="9"/>
  </w:num>
  <w:num w:numId="3" w16cid:durableId="167141950">
    <w:abstractNumId w:val="7"/>
  </w:num>
  <w:num w:numId="4" w16cid:durableId="1485387836">
    <w:abstractNumId w:val="7"/>
  </w:num>
  <w:num w:numId="5" w16cid:durableId="2143376995">
    <w:abstractNumId w:val="6"/>
  </w:num>
  <w:num w:numId="6" w16cid:durableId="40063274">
    <w:abstractNumId w:val="6"/>
  </w:num>
  <w:num w:numId="7" w16cid:durableId="377749803">
    <w:abstractNumId w:val="5"/>
  </w:num>
  <w:num w:numId="8" w16cid:durableId="690451735">
    <w:abstractNumId w:val="5"/>
  </w:num>
  <w:num w:numId="9" w16cid:durableId="1574198005">
    <w:abstractNumId w:val="4"/>
  </w:num>
  <w:num w:numId="10" w16cid:durableId="147482801">
    <w:abstractNumId w:val="4"/>
  </w:num>
  <w:num w:numId="11" w16cid:durableId="865215257">
    <w:abstractNumId w:val="8"/>
  </w:num>
  <w:num w:numId="12" w16cid:durableId="1740400719">
    <w:abstractNumId w:val="8"/>
  </w:num>
  <w:num w:numId="13" w16cid:durableId="1018851510">
    <w:abstractNumId w:val="3"/>
  </w:num>
  <w:num w:numId="14" w16cid:durableId="494497083">
    <w:abstractNumId w:val="3"/>
  </w:num>
  <w:num w:numId="15" w16cid:durableId="760418087">
    <w:abstractNumId w:val="2"/>
  </w:num>
  <w:num w:numId="16" w16cid:durableId="244580608">
    <w:abstractNumId w:val="2"/>
  </w:num>
  <w:num w:numId="17" w16cid:durableId="2088960681">
    <w:abstractNumId w:val="1"/>
  </w:num>
  <w:num w:numId="18" w16cid:durableId="662660431">
    <w:abstractNumId w:val="1"/>
  </w:num>
  <w:num w:numId="19" w16cid:durableId="785123654">
    <w:abstractNumId w:val="0"/>
  </w:num>
  <w:num w:numId="20" w16cid:durableId="370611649">
    <w:abstractNumId w:val="0"/>
  </w:num>
  <w:num w:numId="21" w16cid:durableId="1653607147">
    <w:abstractNumId w:val="9"/>
  </w:num>
  <w:num w:numId="22" w16cid:durableId="2078477265">
    <w:abstractNumId w:val="7"/>
  </w:num>
  <w:num w:numId="23" w16cid:durableId="878588419">
    <w:abstractNumId w:val="6"/>
  </w:num>
  <w:num w:numId="24" w16cid:durableId="279990515">
    <w:abstractNumId w:val="5"/>
  </w:num>
  <w:num w:numId="25" w16cid:durableId="1987321824">
    <w:abstractNumId w:val="4"/>
  </w:num>
  <w:num w:numId="26" w16cid:durableId="1323045339">
    <w:abstractNumId w:val="8"/>
  </w:num>
  <w:num w:numId="27" w16cid:durableId="264655865">
    <w:abstractNumId w:val="3"/>
  </w:num>
  <w:num w:numId="28" w16cid:durableId="456529581">
    <w:abstractNumId w:val="2"/>
  </w:num>
  <w:num w:numId="29" w16cid:durableId="1251506607">
    <w:abstractNumId w:val="1"/>
  </w:num>
  <w:num w:numId="30" w16cid:durableId="747576816">
    <w:abstractNumId w:val="0"/>
  </w:num>
  <w:num w:numId="31" w16cid:durableId="1188057677">
    <w:abstractNumId w:val="9"/>
  </w:num>
  <w:num w:numId="32" w16cid:durableId="938489893">
    <w:abstractNumId w:val="7"/>
  </w:num>
  <w:num w:numId="33" w16cid:durableId="630980766">
    <w:abstractNumId w:val="6"/>
  </w:num>
  <w:num w:numId="34" w16cid:durableId="2019114211">
    <w:abstractNumId w:val="5"/>
  </w:num>
  <w:num w:numId="35" w16cid:durableId="362872965">
    <w:abstractNumId w:val="4"/>
  </w:num>
  <w:num w:numId="36" w16cid:durableId="1848133014">
    <w:abstractNumId w:val="8"/>
  </w:num>
  <w:num w:numId="37" w16cid:durableId="708530781">
    <w:abstractNumId w:val="3"/>
  </w:num>
  <w:num w:numId="38" w16cid:durableId="1938170994">
    <w:abstractNumId w:val="2"/>
  </w:num>
  <w:num w:numId="39" w16cid:durableId="227615726">
    <w:abstractNumId w:val="1"/>
  </w:num>
  <w:num w:numId="40" w16cid:durableId="1650865985">
    <w:abstractNumId w:val="0"/>
  </w:num>
  <w:num w:numId="41" w16cid:durableId="707728896">
    <w:abstractNumId w:val="10"/>
  </w:num>
  <w:num w:numId="42" w16cid:durableId="15425232">
    <w:abstractNumId w:val="10"/>
  </w:num>
  <w:num w:numId="43" w16cid:durableId="1404179750">
    <w:abstractNumId w:val="10"/>
  </w:num>
  <w:num w:numId="44" w16cid:durableId="17143099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1/2026"/>
    <w:docVar w:name="dvlangue" w:val="SK"/>
    <w:docVar w:name="dvnumam" w:val="0"/>
    <w:docVar w:name="dvpe" w:val="778.049"/>
    <w:docVar w:name="dvrapporteur" w:val="Spravodajca: "/>
    <w:docVar w:name="dvtitre" w:val="1. Rozhodnutie Európskeho parlamentu z/zo xx. xxx 2026 o absolutóriu za plnenie všeobecného rozpočtu Európskej únie za rozpočtový rok 2024, oddiel II – Európska rada a Rada(2025/2147(DEC))"/>
  </w:docVars>
  <w:rsids>
    <w:rsidRoot w:val="00AB18F1"/>
    <w:rsid w:val="00002272"/>
    <w:rsid w:val="00015D1E"/>
    <w:rsid w:val="00060A8F"/>
    <w:rsid w:val="00064002"/>
    <w:rsid w:val="000677B9"/>
    <w:rsid w:val="000831BA"/>
    <w:rsid w:val="000A42CC"/>
    <w:rsid w:val="000E7DD9"/>
    <w:rsid w:val="0010095E"/>
    <w:rsid w:val="00125B37"/>
    <w:rsid w:val="001308BE"/>
    <w:rsid w:val="00142BE0"/>
    <w:rsid w:val="00187494"/>
    <w:rsid w:val="001F32AE"/>
    <w:rsid w:val="002767FF"/>
    <w:rsid w:val="002B18FE"/>
    <w:rsid w:val="002B5493"/>
    <w:rsid w:val="003024F4"/>
    <w:rsid w:val="003079B2"/>
    <w:rsid w:val="00334AA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66B"/>
    <w:rsid w:val="0050519A"/>
    <w:rsid w:val="005072A1"/>
    <w:rsid w:val="00514517"/>
    <w:rsid w:val="00545827"/>
    <w:rsid w:val="00560270"/>
    <w:rsid w:val="00585C9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D6A"/>
    <w:rsid w:val="00817416"/>
    <w:rsid w:val="00837EF5"/>
    <w:rsid w:val="00842779"/>
    <w:rsid w:val="00852913"/>
    <w:rsid w:val="00865F67"/>
    <w:rsid w:val="00881A7B"/>
    <w:rsid w:val="008840E5"/>
    <w:rsid w:val="00887B3E"/>
    <w:rsid w:val="008C2AC6"/>
    <w:rsid w:val="00930C23"/>
    <w:rsid w:val="0093193B"/>
    <w:rsid w:val="009352E8"/>
    <w:rsid w:val="009509D8"/>
    <w:rsid w:val="00950B64"/>
    <w:rsid w:val="00981893"/>
    <w:rsid w:val="00A1687D"/>
    <w:rsid w:val="00A43E52"/>
    <w:rsid w:val="00A4678D"/>
    <w:rsid w:val="00A778C7"/>
    <w:rsid w:val="00AB18F1"/>
    <w:rsid w:val="00AB441E"/>
    <w:rsid w:val="00AB6293"/>
    <w:rsid w:val="00AD4E9B"/>
    <w:rsid w:val="00AE0928"/>
    <w:rsid w:val="00AF3B82"/>
    <w:rsid w:val="00B04181"/>
    <w:rsid w:val="00B12E95"/>
    <w:rsid w:val="00B22876"/>
    <w:rsid w:val="00B4275C"/>
    <w:rsid w:val="00B558F0"/>
    <w:rsid w:val="00B8674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16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74C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17AAD"/>
  <w15:chartTrackingRefBased/>
  <w15:docId w15:val="{F56E0292-E5E5-4DE5-95E4-2D891B28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13D6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13D6A"/>
    <w:pPr>
      <w:spacing w:before="480" w:after="240"/>
    </w:pPr>
  </w:style>
  <w:style w:type="paragraph" w:customStyle="1" w:styleId="PageHeading">
    <w:name w:val="PageHeading"/>
    <w:basedOn w:val="Normal"/>
    <w:rsid w:val="00813D6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13D6A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813D6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13D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3D6A"/>
    <w:rPr>
      <w:sz w:val="24"/>
      <w:lang w:val="sk-SK"/>
    </w:rPr>
  </w:style>
  <w:style w:type="paragraph" w:customStyle="1" w:styleId="EPFooter">
    <w:name w:val="EPFooter"/>
    <w:basedOn w:val="Normal"/>
    <w:rsid w:val="00813D6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813D6A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813D6A"/>
    <w:rPr>
      <w:sz w:val="24"/>
      <w:lang w:val="sk-SK"/>
    </w:rPr>
  </w:style>
  <w:style w:type="paragraph" w:customStyle="1" w:styleId="Default">
    <w:name w:val="Default"/>
    <w:rsid w:val="00813D6A"/>
    <w:pPr>
      <w:autoSpaceDE w:val="0"/>
      <w:autoSpaceDN w:val="0"/>
      <w:adjustRightInd w:val="0"/>
    </w:pPr>
    <w:rPr>
      <w:rFonts w:ascii="Source Sans Pro" w:hAnsi="Source Sans Pro" w:cs="Source Sans Pro"/>
      <w:color w:val="000000"/>
      <w:sz w:val="24"/>
      <w:szCs w:val="24"/>
      <w:lang w:val="sk-SK"/>
    </w:rPr>
  </w:style>
  <w:style w:type="paragraph" w:styleId="Footer">
    <w:name w:val="footer"/>
    <w:basedOn w:val="Normal"/>
    <w:link w:val="FooterChar"/>
    <w:rsid w:val="004C76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C766B"/>
    <w:rPr>
      <w:sz w:val="24"/>
      <w:lang w:val="sk-SK"/>
    </w:rPr>
  </w:style>
  <w:style w:type="paragraph" w:styleId="Revision">
    <w:name w:val="Revision"/>
    <w:hidden/>
    <w:uiPriority w:val="99"/>
    <w:semiHidden/>
    <w:rsid w:val="00DB016D"/>
    <w:rPr>
      <w:sz w:val="24"/>
      <w:lang w:val="sk-SK"/>
    </w:rPr>
  </w:style>
  <w:style w:type="character" w:styleId="FollowedHyperlink">
    <w:name w:val="FollowedHyperlink"/>
    <w:basedOn w:val="DefaultParagraphFont"/>
    <w:rsid w:val="00AD4E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5409/oj?locale=sk" TargetMode="External"/><Relationship Id="rId2" Type="http://schemas.openxmlformats.org/officeDocument/2006/relationships/hyperlink" Target="http://data.europa.eu/eli/C/2025/4944/oj?locale=sk" TargetMode="External"/><Relationship Id="rId1" Type="http://schemas.openxmlformats.org/officeDocument/2006/relationships/hyperlink" Target="http://data.europa.eu/eli/budget/2024/207/oj?locale=sk" TargetMode="External"/><Relationship Id="rId6" Type="http://schemas.openxmlformats.org/officeDocument/2006/relationships/hyperlink" Target="http://data.europa.eu/eli/reg/2024/2509/oj?locale=sk" TargetMode="External"/><Relationship Id="rId5" Type="http://schemas.openxmlformats.org/officeDocument/2006/relationships/hyperlink" Target="http://data.europa.eu/eli/reg/2018/1046/oj?locale=sk" TargetMode="External"/><Relationship Id="rId4" Type="http://schemas.openxmlformats.org/officeDocument/2006/relationships/hyperlink" Target="http://data.europa.eu/eli/C/2025/5407/oj?locale=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7458</Words>
  <Characters>46820</Characters>
  <Application>Microsoft Office Word</Application>
  <DocSecurity>0</DocSecurity>
  <Lines>390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2026-05-05T08:54:00Z</dcterms:created>
  <dcterms:modified xsi:type="dcterms:W3CDTF">2026-05-05T08:54:00Z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P10_TA(2026)0127_</vt:lpwstr>
  </property>
  <property fmtid="{D5CDD505-2E9C-101B-9397-08002B2CF9AE}" pid="4" name="&lt;Type&gt;">
    <vt:lpwstr>RR</vt:lpwstr>
  </property>
</Properties>
</file>