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5AEC" w14:paraId="6520935D" w14:textId="77777777" w:rsidTr="0010095E">
        <w:trPr>
          <w:trHeight w:hRule="exact" w:val="1418"/>
        </w:trPr>
        <w:tc>
          <w:tcPr>
            <w:tcW w:w="6804" w:type="dxa"/>
            <w:shd w:val="clear" w:color="auto" w:fill="auto"/>
            <w:vAlign w:val="center"/>
          </w:tcPr>
          <w:p w14:paraId="4E64B2BC" w14:textId="70FD6190" w:rsidR="00751A4A" w:rsidRPr="00975AEC" w:rsidRDefault="00DB6920" w:rsidP="0010095E">
            <w:pPr>
              <w:pStyle w:val="EPName"/>
            </w:pPr>
            <w:r w:rsidRPr="00975AEC">
              <w:t>Европейски</w:t>
            </w:r>
            <w:r w:rsidR="000D0324" w:rsidRPr="00975AEC">
              <w:t xml:space="preserve"> парламент</w:t>
            </w:r>
          </w:p>
          <w:p w14:paraId="0829C352" w14:textId="71779BFD" w:rsidR="00751A4A" w:rsidRPr="00975AEC" w:rsidRDefault="005F1B17" w:rsidP="005F1B17">
            <w:pPr>
              <w:pStyle w:val="EPTerm"/>
              <w:rPr>
                <w:rStyle w:val="HideTWBExt"/>
                <w:noProof w:val="0"/>
                <w:vanish w:val="0"/>
                <w:color w:val="auto"/>
              </w:rPr>
            </w:pPr>
            <w:r w:rsidRPr="00975AEC">
              <w:t>2024</w:t>
            </w:r>
            <w:r w:rsidR="00DB6920">
              <w:t> – </w:t>
            </w:r>
            <w:r w:rsidR="00817416" w:rsidRPr="00975AEC">
              <w:t>202</w:t>
            </w:r>
            <w:r w:rsidRPr="00975AEC">
              <w:t>9</w:t>
            </w:r>
          </w:p>
        </w:tc>
        <w:tc>
          <w:tcPr>
            <w:tcW w:w="2268" w:type="dxa"/>
            <w:shd w:val="clear" w:color="auto" w:fill="auto"/>
          </w:tcPr>
          <w:p w14:paraId="4536DF47" w14:textId="77777777" w:rsidR="00751A4A" w:rsidRPr="00975AEC" w:rsidRDefault="00187494" w:rsidP="0010095E">
            <w:pPr>
              <w:pStyle w:val="EPLogo"/>
            </w:pPr>
            <w:r w:rsidRPr="00975AEC">
              <w:rPr>
                <w:noProof/>
                <w:lang w:eastAsia="ja-JP"/>
              </w:rPr>
              <w:drawing>
                <wp:inline distT="0" distB="0" distL="0" distR="0" wp14:anchorId="0701ABB0" wp14:editId="662440F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C23832" w14:textId="77777777" w:rsidR="00D058B8" w:rsidRPr="00975AEC" w:rsidRDefault="00D058B8" w:rsidP="004C5D52">
      <w:pPr>
        <w:pStyle w:val="LineTop"/>
      </w:pPr>
    </w:p>
    <w:p w14:paraId="0EF28EBD" w14:textId="77777777" w:rsidR="00680577" w:rsidRPr="00975AEC" w:rsidRDefault="000D0324" w:rsidP="00680577">
      <w:pPr>
        <w:pStyle w:val="EPBodyTA1"/>
      </w:pPr>
      <w:r w:rsidRPr="00975AEC">
        <w:t>ПРИЕТИ ТЕКСТОВЕ</w:t>
      </w:r>
    </w:p>
    <w:p w14:paraId="0A5AA176" w14:textId="77777777" w:rsidR="00D058B8" w:rsidRPr="00975AEC" w:rsidRDefault="00D058B8" w:rsidP="00D058B8">
      <w:pPr>
        <w:pStyle w:val="LineBottom"/>
      </w:pPr>
    </w:p>
    <w:p w14:paraId="51F0D334" w14:textId="20DF6D43" w:rsidR="000D0324" w:rsidRPr="00975AEC" w:rsidRDefault="000D0324" w:rsidP="000D0324">
      <w:pPr>
        <w:pStyle w:val="ATHeading1"/>
      </w:pPr>
      <w:bookmarkStart w:id="0" w:name="TANumber"/>
      <w:r w:rsidRPr="00975AEC">
        <w:t>P10_TA(2026)0</w:t>
      </w:r>
      <w:r w:rsidR="00516017">
        <w:t>128</w:t>
      </w:r>
      <w:bookmarkEnd w:id="0"/>
    </w:p>
    <w:p w14:paraId="1EE35998" w14:textId="77777777" w:rsidR="000D0324" w:rsidRPr="00975AEC" w:rsidRDefault="000D0324" w:rsidP="000D0324">
      <w:pPr>
        <w:pStyle w:val="ATHeading2"/>
      </w:pPr>
      <w:bookmarkStart w:id="1" w:name="title"/>
      <w:r w:rsidRPr="00975AEC">
        <w:t>Освобождаване от отговорност във връзка с изпълнението на бюджета за 2024 г.: Общ бюджет на ЕС - Съд на ЕС</w:t>
      </w:r>
      <w:bookmarkEnd w:id="1"/>
    </w:p>
    <w:p w14:paraId="12F0DEAF" w14:textId="77777777" w:rsidR="000D0324" w:rsidRPr="00975AEC" w:rsidRDefault="000D0324" w:rsidP="000D0324">
      <w:pPr>
        <w:rPr>
          <w:i/>
          <w:vanish/>
        </w:rPr>
      </w:pPr>
      <w:r w:rsidRPr="00975AEC">
        <w:rPr>
          <w:i/>
        </w:rPr>
        <w:fldChar w:fldCharType="begin"/>
      </w:r>
      <w:r w:rsidRPr="00975AEC">
        <w:rPr>
          <w:i/>
        </w:rPr>
        <w:instrText xml:space="preserve"> TC"(</w:instrText>
      </w:r>
      <w:bookmarkStart w:id="2" w:name="DocNumber"/>
      <w:r w:rsidRPr="00975AEC">
        <w:rPr>
          <w:i/>
        </w:rPr>
        <w:instrText>A10-0055/2026</w:instrText>
      </w:r>
      <w:bookmarkEnd w:id="2"/>
      <w:r w:rsidRPr="00975AEC">
        <w:rPr>
          <w:i/>
        </w:rPr>
        <w:instrText xml:space="preserve"> - Докладчик: Паскуале Тридико)"\l3 \n&gt; \* MERGEFORMAT </w:instrText>
      </w:r>
      <w:r w:rsidRPr="00975AEC">
        <w:rPr>
          <w:i/>
        </w:rPr>
        <w:fldChar w:fldCharType="end"/>
      </w:r>
    </w:p>
    <w:p w14:paraId="3D9B9779" w14:textId="77777777" w:rsidR="000D0324" w:rsidRPr="00975AEC" w:rsidRDefault="000D0324" w:rsidP="000D0324">
      <w:pPr>
        <w:rPr>
          <w:vanish/>
        </w:rPr>
      </w:pPr>
      <w:bookmarkStart w:id="3" w:name="Commission"/>
      <w:r w:rsidRPr="00975AEC">
        <w:rPr>
          <w:vanish/>
        </w:rPr>
        <w:t>Комисия по бюджетен контрол</w:t>
      </w:r>
      <w:bookmarkEnd w:id="3"/>
    </w:p>
    <w:p w14:paraId="150EC3C4" w14:textId="77777777" w:rsidR="000D0324" w:rsidRPr="00975AEC" w:rsidRDefault="000D0324" w:rsidP="000D0324">
      <w:pPr>
        <w:rPr>
          <w:vanish/>
        </w:rPr>
      </w:pPr>
      <w:bookmarkStart w:id="4" w:name="PE"/>
      <w:r w:rsidRPr="00975AEC">
        <w:rPr>
          <w:vanish/>
        </w:rPr>
        <w:t>PE778.060</w:t>
      </w:r>
      <w:bookmarkEnd w:id="4"/>
    </w:p>
    <w:p w14:paraId="2766BED2" w14:textId="54451A3D" w:rsidR="000D0324" w:rsidRPr="00975AEC" w:rsidRDefault="000D0324" w:rsidP="00DB6920">
      <w:pPr>
        <w:pStyle w:val="ATHeading3"/>
      </w:pPr>
      <w:bookmarkStart w:id="5" w:name="Sujet"/>
      <w:r w:rsidRPr="00975AEC">
        <w:t xml:space="preserve">1. Решение на Европейския парламент от </w:t>
      </w:r>
      <w:r w:rsidR="00DB6920">
        <w:t>2</w:t>
      </w:r>
      <w:r w:rsidR="005A4BD5">
        <w:t>9</w:t>
      </w:r>
      <w:r w:rsidR="00DB6920">
        <w:t xml:space="preserve"> април</w:t>
      </w:r>
      <w:r w:rsidR="00DB6920" w:rsidRPr="00975AEC">
        <w:t xml:space="preserve"> </w:t>
      </w:r>
      <w:r w:rsidRPr="00975AEC">
        <w:t>2026 г. относно освобождаването от отговорност във връзка с изпълнението на общия бюджет на Европейския съюз за финансовата 2024 година, раздел IV ‒ Съд на Европейския съюз</w:t>
      </w:r>
      <w:bookmarkEnd w:id="5"/>
      <w:r w:rsidRPr="00975AEC">
        <w:t xml:space="preserve"> </w:t>
      </w:r>
      <w:bookmarkStart w:id="6" w:name="References"/>
      <w:r w:rsidRPr="00975AEC">
        <w:t>(2025/2148(DEC))</w:t>
      </w:r>
      <w:bookmarkEnd w:id="6"/>
    </w:p>
    <w:p w14:paraId="22CFE5D2" w14:textId="77777777" w:rsidR="00DC2930" w:rsidRPr="00975AEC" w:rsidRDefault="00DC2930" w:rsidP="00DC2930">
      <w:pPr>
        <w:pStyle w:val="EPComma"/>
      </w:pPr>
      <w:bookmarkStart w:id="7" w:name="TextBodyBegin"/>
      <w:bookmarkEnd w:id="7"/>
      <w:r w:rsidRPr="00975AEC">
        <w:rPr>
          <w:i/>
        </w:rPr>
        <w:t>Европейският парламент</w:t>
      </w:r>
      <w:r w:rsidRPr="00975AEC">
        <w:t>,</w:t>
      </w:r>
    </w:p>
    <w:p w14:paraId="1CB07FC3" w14:textId="77777777" w:rsidR="00DC2930" w:rsidRPr="00975AEC" w:rsidRDefault="00DC2930" w:rsidP="00DC2930">
      <w:pPr>
        <w:pStyle w:val="NormalHanging12a"/>
      </w:pPr>
      <w:r w:rsidRPr="00975AEC">
        <w:t>–</w:t>
      </w:r>
      <w:r w:rsidRPr="00975AEC">
        <w:tab/>
        <w:t>като взе предвид общия бюджет на Европейския съюз за финансовата 2024 година</w:t>
      </w:r>
      <w:r w:rsidRPr="00975AEC">
        <w:rPr>
          <w:rStyle w:val="FootnoteReference"/>
        </w:rPr>
        <w:footnoteReference w:id="1"/>
      </w:r>
      <w:r w:rsidRPr="00975AEC">
        <w:t>,</w:t>
      </w:r>
    </w:p>
    <w:p w14:paraId="3A22177C" w14:textId="77777777" w:rsidR="00DC2930" w:rsidRPr="00975AEC" w:rsidRDefault="00DC2930" w:rsidP="00DC2930">
      <w:pPr>
        <w:pStyle w:val="NormalHanging12a"/>
      </w:pPr>
      <w:r w:rsidRPr="00975AEC">
        <w:t>–</w:t>
      </w:r>
      <w:r w:rsidRPr="00975AEC">
        <w:tab/>
        <w:t>като взе предвид консолидираните годишни отчети на Европейския съюз за финансовата 2024 година (COM(2025)0359 – C10-0148/2025)</w:t>
      </w:r>
      <w:r w:rsidRPr="00975AEC">
        <w:rPr>
          <w:rStyle w:val="FootnoteReference"/>
        </w:rPr>
        <w:footnoteReference w:id="2"/>
      </w:r>
      <w:r w:rsidRPr="00975AEC">
        <w:t>,</w:t>
      </w:r>
    </w:p>
    <w:p w14:paraId="48EBBA00" w14:textId="77777777" w:rsidR="00DC2930" w:rsidRPr="00975AEC" w:rsidRDefault="00DC2930" w:rsidP="00DC2930">
      <w:pPr>
        <w:pStyle w:val="NormalHanging12a"/>
      </w:pPr>
      <w:r w:rsidRPr="00975AEC">
        <w:t>–</w:t>
      </w:r>
      <w:r w:rsidRPr="00975AEC">
        <w:tab/>
        <w:t>като взе предвид годишния доклад на Съда на Европейския съюз пред органа по освобождаване от отговорност относно вътрешните одити, осъществени през 2024 г.,</w:t>
      </w:r>
    </w:p>
    <w:p w14:paraId="164B768E" w14:textId="77777777" w:rsidR="00DC2930" w:rsidRPr="00975AEC" w:rsidRDefault="00DC2930" w:rsidP="00DC2930">
      <w:pPr>
        <w:pStyle w:val="NormalHanging12a"/>
      </w:pPr>
      <w:r w:rsidRPr="00975AEC">
        <w:t>–</w:t>
      </w:r>
      <w:r w:rsidRPr="00975AEC">
        <w:tab/>
        <w:t>като взе предвид годишния доклад на Сметната палата относно изпълнението на бюджета за финансовата 2024 година, придружен от отговорите на институциите</w:t>
      </w:r>
      <w:r w:rsidRPr="00975AEC">
        <w:rPr>
          <w:rStyle w:val="FootnoteReference"/>
        </w:rPr>
        <w:footnoteReference w:id="3"/>
      </w:r>
      <w:r w:rsidRPr="00975AEC">
        <w:t>,</w:t>
      </w:r>
    </w:p>
    <w:p w14:paraId="680FF648" w14:textId="77777777" w:rsidR="00DC2930" w:rsidRPr="00975AEC" w:rsidRDefault="00DC2930" w:rsidP="00DC2930">
      <w:pPr>
        <w:pStyle w:val="NormalHanging12a"/>
      </w:pPr>
      <w:r w:rsidRPr="00975AEC">
        <w:t>–</w:t>
      </w:r>
      <w:r w:rsidRPr="00975AEC">
        <w:tab/>
        <w:t>като взе предвид декларацията за достоверност</w:t>
      </w:r>
      <w:r w:rsidRPr="00975AEC">
        <w:rPr>
          <w:rStyle w:val="FootnoteReference"/>
        </w:rPr>
        <w:footnoteReference w:id="4"/>
      </w:r>
      <w:r w:rsidRPr="00975AEC">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47681A0C" w14:textId="77777777" w:rsidR="00DC2930" w:rsidRPr="00975AEC" w:rsidRDefault="00DC2930" w:rsidP="00DC2930">
      <w:pPr>
        <w:pStyle w:val="NormalHanging12a"/>
      </w:pPr>
      <w:r w:rsidRPr="00975AEC">
        <w:t>–</w:t>
      </w:r>
      <w:r w:rsidRPr="00975AEC">
        <w:tab/>
        <w:t>като взе предвид член 314, параграф 10 и членове 317, 318 и 319 от Договора за функционирането на Европейския съюз,</w:t>
      </w:r>
    </w:p>
    <w:p w14:paraId="7FBC1BCB" w14:textId="77777777" w:rsidR="00DC2930" w:rsidRPr="00975AEC" w:rsidRDefault="00DC2930" w:rsidP="00DC2930">
      <w:pPr>
        <w:pStyle w:val="NormalHanging12a"/>
      </w:pPr>
      <w:r w:rsidRPr="00975AEC">
        <w:t>–</w:t>
      </w:r>
      <w:r w:rsidRPr="00975AEC">
        <w:tab/>
        <w:t xml:space="preserve">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w:t>
      </w:r>
      <w:r w:rsidRPr="00975AEC">
        <w:lastRenderedPageBreak/>
        <w:t>за отмяна на Регламент (ЕС, Евратом) № 966/2012</w:t>
      </w:r>
      <w:r w:rsidRPr="00975AEC">
        <w:rPr>
          <w:rStyle w:val="FootnoteReference"/>
        </w:rPr>
        <w:footnoteReference w:id="5"/>
      </w:r>
      <w:r w:rsidRPr="00975AEC">
        <w:t>, и по-специално членове 59, 118, 260, 261 и 262 от него,</w:t>
      </w:r>
    </w:p>
    <w:p w14:paraId="6E8327FD" w14:textId="77777777" w:rsidR="00DC2930" w:rsidRPr="00975AEC" w:rsidRDefault="00DC2930" w:rsidP="00DC2930">
      <w:pPr>
        <w:pStyle w:val="NormalHanging12a"/>
      </w:pPr>
      <w:r w:rsidRPr="00975AEC">
        <w:t>–</w:t>
      </w:r>
      <w:r w:rsidRPr="00975AEC">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975AEC">
        <w:rPr>
          <w:rStyle w:val="FootnoteReference"/>
        </w:rPr>
        <w:footnoteReference w:id="6"/>
      </w:r>
      <w:r w:rsidRPr="00975AEC">
        <w:t>, и по-специално членове 59, 118, 266, 267 и 268 от него,</w:t>
      </w:r>
    </w:p>
    <w:p w14:paraId="38A20ED2" w14:textId="77777777" w:rsidR="00DC2930" w:rsidRPr="00975AEC" w:rsidRDefault="00DC2930" w:rsidP="00DC2930">
      <w:pPr>
        <w:pStyle w:val="NormalHanging12a"/>
      </w:pPr>
      <w:r w:rsidRPr="00975AEC">
        <w:t>–</w:t>
      </w:r>
      <w:r w:rsidRPr="00975AEC">
        <w:tab/>
        <w:t>като взе предвид член 102 и приложение V към своя Правилник за дейността,</w:t>
      </w:r>
    </w:p>
    <w:p w14:paraId="3C1F5625" w14:textId="77777777" w:rsidR="00DC2930" w:rsidRPr="00975AEC" w:rsidRDefault="00DC2930" w:rsidP="00DC2930">
      <w:pPr>
        <w:pStyle w:val="NormalHanging12a"/>
      </w:pPr>
      <w:r w:rsidRPr="00975AEC">
        <w:t>–</w:t>
      </w:r>
      <w:r w:rsidRPr="00975AEC">
        <w:tab/>
        <w:t>като взе предвид становището на комисията по правни въпроси,</w:t>
      </w:r>
    </w:p>
    <w:p w14:paraId="1938AAB3" w14:textId="77777777" w:rsidR="00DC2930" w:rsidRPr="00975AEC" w:rsidRDefault="00DC2930" w:rsidP="00DC2930">
      <w:pPr>
        <w:pStyle w:val="NormalHanging12a"/>
      </w:pPr>
      <w:r w:rsidRPr="00975AEC">
        <w:t>–</w:t>
      </w:r>
      <w:r w:rsidRPr="00975AEC">
        <w:tab/>
        <w:t>като взе предвид доклада на комисията по бюджетен контрол (A10-0055/2026),</w:t>
      </w:r>
    </w:p>
    <w:p w14:paraId="2DF96607" w14:textId="77777777" w:rsidR="00DC2930" w:rsidRPr="00975AEC" w:rsidRDefault="00DC2930" w:rsidP="00DC2930">
      <w:pPr>
        <w:pStyle w:val="NormalHanging12a"/>
      </w:pPr>
      <w:r w:rsidRPr="00975AEC">
        <w:t>1.</w:t>
      </w:r>
      <w:r w:rsidRPr="00975AEC">
        <w:tab/>
        <w:t>освобождава от отговорност секретаря на Съда във връзка с изпълнението на бюджета на Съда на Европейския съюз за финансовата 2024 година;</w:t>
      </w:r>
    </w:p>
    <w:p w14:paraId="53CBDB94" w14:textId="77777777" w:rsidR="00DC2930" w:rsidRPr="00975AEC" w:rsidRDefault="00DC2930" w:rsidP="00DC2930">
      <w:pPr>
        <w:pStyle w:val="NormalHanging12a"/>
      </w:pPr>
      <w:r w:rsidRPr="00975AEC">
        <w:t>2.</w:t>
      </w:r>
      <w:r w:rsidRPr="00975AEC">
        <w:tab/>
        <w:t>представя своите забележки в резолюцията по-долу;</w:t>
      </w:r>
    </w:p>
    <w:p w14:paraId="4EB3B014" w14:textId="77777777" w:rsidR="00DC2930" w:rsidRPr="00975AEC" w:rsidRDefault="00DC2930" w:rsidP="00DC2930">
      <w:pPr>
        <w:pStyle w:val="NormalHanging12a"/>
      </w:pPr>
      <w:r w:rsidRPr="00975AEC">
        <w:t>3.</w:t>
      </w:r>
      <w:r w:rsidRPr="00975AEC">
        <w:tab/>
        <w:t xml:space="preserve">възлага на своя председател да предаде настоящото решение, както и резолюцията, която е неразделна част от него, на Съда на Европейския съюз, Съвета, Комисията и Сметната палата и да осигури публикуването им в </w:t>
      </w:r>
      <w:r w:rsidRPr="00975AEC">
        <w:rPr>
          <w:i/>
        </w:rPr>
        <w:t>Официален вестник на Европейския съюз</w:t>
      </w:r>
      <w:r w:rsidRPr="00975AEC">
        <w:t xml:space="preserve"> (серия L).</w:t>
      </w:r>
    </w:p>
    <w:p w14:paraId="5E76DE02" w14:textId="77777777" w:rsidR="00DC2930" w:rsidRPr="00975AEC" w:rsidRDefault="00DC2930" w:rsidP="00DC2930">
      <w:pPr>
        <w:widowControl/>
      </w:pPr>
      <w:r w:rsidRPr="00975AEC">
        <w:br w:type="page"/>
      </w:r>
    </w:p>
    <w:p w14:paraId="112FDE67" w14:textId="77777777" w:rsidR="00DC2930" w:rsidRPr="00975AEC" w:rsidRDefault="00DC2930" w:rsidP="00DC2930">
      <w:pPr>
        <w:pStyle w:val="PageHeading"/>
        <w:sectPr w:rsidR="00DC2930" w:rsidRPr="00975AEC" w:rsidSect="00975AEC">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D503BD1" w14:textId="4A739EB2" w:rsidR="00C44425" w:rsidRDefault="00C44425" w:rsidP="00C44425">
      <w:pPr>
        <w:pStyle w:val="ATHeading3"/>
      </w:pPr>
      <w:r>
        <w:lastRenderedPageBreak/>
        <w:t>2. Резолюция на Европейския парламент от 2</w:t>
      </w:r>
      <w:r w:rsidR="005A4BD5">
        <w:t>9</w:t>
      </w:r>
      <w:r>
        <w:t xml:space="preserve"> април 2026 г.</w:t>
      </w:r>
      <w:r w:rsidR="009D2002">
        <w:t>,</w:t>
      </w:r>
      <w:r>
        <w:t xml:space="preserve"> съдържащ</w:t>
      </w:r>
      <w:r w:rsidR="009D2002">
        <w:t>а</w:t>
      </w:r>
      <w:r>
        <w:t xml:space="preserve"> забележките, които са неразделна част от решението за освобождаване от отговорност във връзка с изпълнението на общия бюджет на Европейския съюз за финансовата 2024 година, раздел IV – Съд на Европейския съюз (2025/2148(DEC))</w:t>
      </w:r>
    </w:p>
    <w:p w14:paraId="7FD3C1C4" w14:textId="77777777" w:rsidR="00DC2930" w:rsidRPr="00975AEC" w:rsidRDefault="00DC2930" w:rsidP="00DC2930">
      <w:pPr>
        <w:pStyle w:val="EPComma"/>
      </w:pPr>
      <w:r w:rsidRPr="00975AEC">
        <w:rPr>
          <w:i/>
        </w:rPr>
        <w:t>Европейският парламент</w:t>
      </w:r>
      <w:r w:rsidRPr="00975AEC">
        <w:t>,</w:t>
      </w:r>
    </w:p>
    <w:p w14:paraId="79BD7103" w14:textId="77777777" w:rsidR="00DC2930" w:rsidRPr="00975AEC" w:rsidRDefault="00DC2930" w:rsidP="00DC2930">
      <w:pPr>
        <w:pStyle w:val="NormalHanging12a"/>
      </w:pPr>
      <w:r w:rsidRPr="00975AEC">
        <w:t>–</w:t>
      </w:r>
      <w:r w:rsidRPr="00975AEC">
        <w:tab/>
        <w:t>като взе предвид своето решение за освобождаване от отговорност във връзка с изпълнението на общия бюджет на Европейския съюз за финансовата 2024 година, раздел IV ‒ Съд на Европейския съюз,</w:t>
      </w:r>
    </w:p>
    <w:p w14:paraId="73A5872F" w14:textId="77777777" w:rsidR="00DC2930" w:rsidRPr="00975AEC" w:rsidRDefault="00DC2930" w:rsidP="00DC2930">
      <w:pPr>
        <w:pStyle w:val="NormalHanging12a"/>
      </w:pPr>
      <w:r w:rsidRPr="00975AEC">
        <w:t>–</w:t>
      </w:r>
      <w:r w:rsidRPr="00975AEC">
        <w:tab/>
        <w:t>като взе предвид член 102 и приложение V към своя Правилник за дейността,</w:t>
      </w:r>
    </w:p>
    <w:p w14:paraId="30400319" w14:textId="77777777" w:rsidR="00DC2930" w:rsidRPr="00975AEC" w:rsidRDefault="00DC2930" w:rsidP="00DC2930">
      <w:pPr>
        <w:pStyle w:val="NormalHanging12a"/>
      </w:pPr>
      <w:r w:rsidRPr="00975AEC">
        <w:t>–</w:t>
      </w:r>
      <w:r w:rsidRPr="00975AEC">
        <w:tab/>
        <w:t>като взе предвид становището на комисията по правни въпроси,</w:t>
      </w:r>
    </w:p>
    <w:p w14:paraId="22C394A6" w14:textId="77777777" w:rsidR="00DC2930" w:rsidRPr="00975AEC" w:rsidRDefault="00DC2930" w:rsidP="00DC2930">
      <w:pPr>
        <w:pStyle w:val="NormalHanging12a"/>
        <w:tabs>
          <w:tab w:val="left" w:pos="720"/>
          <w:tab w:val="left" w:pos="1440"/>
          <w:tab w:val="left" w:pos="2160"/>
          <w:tab w:val="left" w:pos="2880"/>
          <w:tab w:val="left" w:pos="3600"/>
          <w:tab w:val="left" w:pos="4320"/>
          <w:tab w:val="left" w:pos="5040"/>
          <w:tab w:val="left" w:pos="5760"/>
          <w:tab w:val="left" w:pos="6480"/>
          <w:tab w:val="left" w:pos="7643"/>
        </w:tabs>
      </w:pPr>
      <w:r w:rsidRPr="00975AEC">
        <w:t>–</w:t>
      </w:r>
      <w:r w:rsidRPr="00975AEC">
        <w:tab/>
        <w:t>като взе предвид доклада на комисията по бюджетен контрол (A10-0055/2026),</w:t>
      </w:r>
    </w:p>
    <w:p w14:paraId="442A717B" w14:textId="77777777" w:rsidR="00DC2930" w:rsidRPr="00975AEC" w:rsidRDefault="00DC2930" w:rsidP="00DC2930">
      <w:pPr>
        <w:pStyle w:val="NormalHanging12a"/>
      </w:pPr>
      <w:r w:rsidRPr="00975AEC">
        <w:t>А.</w:t>
      </w:r>
      <w:r w:rsidRPr="00975AEC">
        <w:tab/>
        <w:t>като има предвид, че в контекста на процедурата по освобождаване от отговорност органът по освобождаване от отговорност желае да подчертае особеното значение на по-нататъшното укрепване на демократичната легитимност на институциите на Съюза чрез повишаване на прозрачността и отчетността и прилагане на концепцията за бюджетиране, основано на изпълнението, както и добро управление на човешките ресурси;</w:t>
      </w:r>
    </w:p>
    <w:p w14:paraId="2B5058F9" w14:textId="77777777" w:rsidR="00DC2930" w:rsidRPr="00975AEC" w:rsidRDefault="00DC2930" w:rsidP="00DC2930">
      <w:pPr>
        <w:pStyle w:val="NormalHanging12a"/>
        <w:rPr>
          <w:u w:val="single"/>
        </w:rPr>
      </w:pPr>
      <w:r w:rsidRPr="00975AEC">
        <w:t>Б.</w:t>
      </w:r>
      <w:r w:rsidRPr="00975AEC">
        <w:tab/>
        <w:t>като има предвид, че Съдът на Европейския съюз (Съдът на ЕС) е съдебната институция на Съюза, която има за задача да гарантира спазването на правото на Съюза, като следи за еднаквото тълкуване и прилагане на Договорите и осигурява законосъобразността на мерките, приети от институциите, органите, службите и агенциите на Съюза;</w:t>
      </w:r>
    </w:p>
    <w:p w14:paraId="44720167" w14:textId="77777777" w:rsidR="00DC2930" w:rsidRPr="00975AEC" w:rsidRDefault="00DC2930" w:rsidP="00DC2930">
      <w:pPr>
        <w:pStyle w:val="NormalHanging12a"/>
      </w:pPr>
      <w:r w:rsidRPr="00975AEC">
        <w:t>В.</w:t>
      </w:r>
      <w:r w:rsidRPr="00975AEC">
        <w:tab/>
        <w:t>като има предвид, че Съдът на ЕС спомага за опазването на ценностите на Съюза и чрез своята практика работи за изграждането на Европа, като същевременно остава отговорен пред гражданите чрез осигуряване на правна сигурност, последователност на съдебната практика и зачитане на границите на съдебното тълкуване;</w:t>
      </w:r>
    </w:p>
    <w:p w14:paraId="64ACA80E" w14:textId="77777777" w:rsidR="00DC2930" w:rsidRPr="00975AEC" w:rsidRDefault="00DC2930" w:rsidP="00DC2930">
      <w:pPr>
        <w:pStyle w:val="NormalHanging12a"/>
      </w:pPr>
      <w:r w:rsidRPr="00975AEC">
        <w:t>Г.</w:t>
      </w:r>
      <w:r w:rsidRPr="00975AEC">
        <w:tab/>
        <w:t>като има предвид, че Съдът на ЕС се състои от две съдилища: Съд и Общ съд;</w:t>
      </w:r>
    </w:p>
    <w:p w14:paraId="4EB8008B" w14:textId="77777777" w:rsidR="00DC2930" w:rsidRPr="00975AEC" w:rsidRDefault="00DC2930" w:rsidP="00DC2930">
      <w:pPr>
        <w:pStyle w:val="NormalHanging12a"/>
      </w:pPr>
      <w:r w:rsidRPr="00975AEC">
        <w:t>Д.</w:t>
      </w:r>
      <w:r w:rsidRPr="00975AEC">
        <w:tab/>
        <w:t>като има предвид, че през 2024 г. Парламентът и Съветът измениха Протокол № 3 относно Статута на Съда на ЕС („Статута“)</w:t>
      </w:r>
      <w:r w:rsidRPr="00975AEC">
        <w:rPr>
          <w:rStyle w:val="FootnoteReference"/>
        </w:rPr>
        <w:footnoteReference w:id="7"/>
      </w:r>
      <w:r w:rsidRPr="00975AEC">
        <w:t xml:space="preserve"> във връзка с прехвърлянето на компетентността за произнасяне по преюдициалните запитвания в специфични области към компетентността на Общия съд;</w:t>
      </w:r>
    </w:p>
    <w:p w14:paraId="03F9BE13" w14:textId="77777777" w:rsidR="00DC2930" w:rsidRPr="00975AEC" w:rsidRDefault="00DC2930" w:rsidP="00DC2930">
      <w:pPr>
        <w:pStyle w:val="NormalHanging12a"/>
      </w:pPr>
      <w:r w:rsidRPr="00975AEC">
        <w:t>1.</w:t>
      </w:r>
      <w:r w:rsidRPr="00975AEC">
        <w:tab/>
        <w:t xml:space="preserve">отбелязва, че бюджетът на Съда на ЕС попада в обхвата на функция 7 от МФР „Европейска публична администрация“, която през 2023 г. възлиза на общо 13,3 милиарда евро (което представлява 6,9% от общия бюджет на Съюза); отбелязва, </w:t>
      </w:r>
      <w:r w:rsidRPr="00975AEC">
        <w:lastRenderedPageBreak/>
        <w:t xml:space="preserve">че бюджетът на Съда на ЕС в размер на около 0,5 милиарда евро представлява приблизително 3,76% от общите административни разходи на Съюза, което представлява намаление от дела от 3,9% през 2023 г.; подчертава, че в случаите на разследване във връзка с бюджета на Съюза принципите на справедлив съдебен процес и зачитане на основните права трябва да се спазват изцяло от всички компетентни органи; </w:t>
      </w:r>
    </w:p>
    <w:p w14:paraId="1EFD8FC2" w14:textId="77777777" w:rsidR="00DC2930" w:rsidRPr="00975AEC" w:rsidRDefault="00DC2930" w:rsidP="00DC2930">
      <w:pPr>
        <w:pStyle w:val="NormalHanging12a"/>
      </w:pPr>
      <w:r w:rsidRPr="00975AEC">
        <w:t>2.</w:t>
      </w:r>
      <w:r w:rsidRPr="00975AEC">
        <w:tab/>
        <w:t>отбелязва, че в своя годишен доклад за финансовата 2024 година („доклада на Палатата“) Сметната палата („Палатата“) посочва, че е проверила извадка от 70 операции в обхвата на функция „Администрация“, което е същият брой проверени операции, както през 2023 г.; Палатата посочва освен това, че административните разходи включват разходи за човешки ресурси, в т.ч. разходи за пенсии, които през 2024 г. представляват приблизително 69% от общия размер на административните разходи и разходите за сгради, оборудване, енергия, комуникации и информационни технологии (ИТ), и че дългогодишната ѝ работа показва, че разходите в тази област като цяло се характеризират с ниско ниво на риск;</w:t>
      </w:r>
    </w:p>
    <w:p w14:paraId="0080C971" w14:textId="77777777" w:rsidR="00DC2930" w:rsidRPr="00975AEC" w:rsidRDefault="00DC2930" w:rsidP="00DC2930">
      <w:pPr>
        <w:pStyle w:val="NormalHanging12a"/>
      </w:pPr>
      <w:r w:rsidRPr="00975AEC">
        <w:t>3.</w:t>
      </w:r>
      <w:r w:rsidRPr="00975AEC">
        <w:tab/>
        <w:t xml:space="preserve">отбелязва, че 16 (23%) от 70-те операции съдържат грешки, но че въз основа на трите </w:t>
      </w:r>
      <w:proofErr w:type="spellStart"/>
      <w:r w:rsidRPr="00975AEC">
        <w:t>остойностени</w:t>
      </w:r>
      <w:proofErr w:type="spellEnd"/>
      <w:r w:rsidRPr="00975AEC">
        <w:t xml:space="preserve"> грешки изчисленият от Палатата процент на грешки е под прага на същественост; отбелязва, че в доклада на Палатата не са установени никакви конкретни проблеми, засягащи Съда на ЕС;</w:t>
      </w:r>
    </w:p>
    <w:p w14:paraId="67BC9DDC" w14:textId="77777777" w:rsidR="00DC2930" w:rsidRPr="00516017" w:rsidRDefault="00DC2930" w:rsidP="00DC2930">
      <w:pPr>
        <w:pStyle w:val="NormalHanging12a"/>
        <w:rPr>
          <w:b/>
          <w:i/>
          <w:iCs/>
        </w:rPr>
      </w:pPr>
      <w:r w:rsidRPr="00516017">
        <w:rPr>
          <w:b/>
          <w:i/>
          <w:iCs/>
        </w:rPr>
        <w:t>Бюджетно и финансово управление</w:t>
      </w:r>
    </w:p>
    <w:p w14:paraId="4A00E866" w14:textId="77777777" w:rsidR="00DC2930" w:rsidRPr="00975AEC" w:rsidRDefault="00DC2930" w:rsidP="00DC2930">
      <w:pPr>
        <w:pStyle w:val="NormalHanging12a"/>
      </w:pPr>
      <w:r w:rsidRPr="00975AEC">
        <w:t>4.</w:t>
      </w:r>
      <w:r w:rsidRPr="00975AEC">
        <w:tab/>
        <w:t>отбелязва, че през 2024 г. отпуснатият на Съда на ЕС бюджет възлиза на 503 837 531 EUR, което представлява увеличение с 3,66% в сравнение с 2023 г.; отбелязва, че това увеличение е свързано главно с корекциите на заплатите, прогнозирани за 2024 г.;</w:t>
      </w:r>
    </w:p>
    <w:p w14:paraId="1FE07071" w14:textId="77777777" w:rsidR="00DC2930" w:rsidRPr="00975AEC" w:rsidRDefault="00DC2930" w:rsidP="00DC2930">
      <w:pPr>
        <w:pStyle w:val="NormalHanging12a"/>
        <w:rPr>
          <w:bCs/>
          <w:iCs/>
        </w:rPr>
      </w:pPr>
      <w:r w:rsidRPr="00975AEC">
        <w:t>5.</w:t>
      </w:r>
      <w:r w:rsidRPr="00975AEC">
        <w:tab/>
        <w:t>отбелязва, че разходите за персонал представляват почти 80% от бюджета на Съда на ЕС и че актуализациите на заплатите са надвишили първоначалните прогнози през 2024 г.; подчертава, че макар тези увеличения да бяха усвоени без допълнителни бюджетни увеличения, техният повтарящ се характер повдига въпроси по отношение на средносрочната бюджетна устойчивост при настоящите ограничения на МФР; призовава за засилено многогодишно планиране на работната сила и разходите, без да се подкопава независимостта на съдебната власт;</w:t>
      </w:r>
    </w:p>
    <w:p w14:paraId="00465B4C" w14:textId="77777777" w:rsidR="00DC2930" w:rsidRPr="00975AEC" w:rsidRDefault="00DC2930" w:rsidP="00DC2930">
      <w:pPr>
        <w:pStyle w:val="NormalHanging12a"/>
      </w:pPr>
      <w:r w:rsidRPr="00975AEC">
        <w:t>6.</w:t>
      </w:r>
      <w:r w:rsidRPr="00975AEC">
        <w:tab/>
        <w:t>отбелязва въз основа на отговорите на Съда на ЕС на въпросника за освобождаването от отговорност във връзка с изпълнението на бюджета за 2024 г., че общата степен на временно изпълнение на бюджета в края на 2024 г. е била 97,72%, също както през 2023 г., докато окончателната степен на изпълнение за 2024 г. ще бъде налична в края на 2025 г.; отбелязва, че на бюджетния орган са представени три трансфера в съответствие с член 29 от Финансовия регламент с цел подсилване на бюджетните редове „Покупка, поддръжка и ремонт на оборудване и софтуерни продукти“, „Детска градина“ и „Сгради“ със средства от други бюджетни редове, главно бюджетния ред „Възнаграждения и надбавки“ за служителите;</w:t>
      </w:r>
    </w:p>
    <w:p w14:paraId="26292796" w14:textId="77777777" w:rsidR="00DC2930" w:rsidRPr="00975AEC" w:rsidRDefault="00DC2930" w:rsidP="00DC2930">
      <w:pPr>
        <w:pStyle w:val="NormalHanging12a"/>
      </w:pPr>
      <w:r w:rsidRPr="00975AEC">
        <w:t>7.</w:t>
      </w:r>
      <w:r w:rsidRPr="00975AEC">
        <w:tab/>
        <w:t xml:space="preserve">изразява съгласие, че способността на Съда на ЕС да реагира на непрекъснато </w:t>
      </w:r>
      <w:r w:rsidRPr="00975AEC">
        <w:lastRenderedPageBreak/>
        <w:t>увеличаващото се работно натоварване е изправена пред предизвикателство, от една страна, поради насоките на Комисията за изготвянето на бюджета, които ограничават увеличението на всички разходи, които не са свързани със заплати, до максимум 2% и възпират исканията за нови длъжности, и от друга страна, поради факта, че EPSO не предоставя на институциите на Съюза достатъчно голям резерв от успешни кандидати от конкурси, от които да се назначават служители; отбелязва освен това, че инфлационните последици от неправомерната агресивна война на Русия срещу Украйна продължиха да създават бюджетен натиск за Съда на ЕС, например поради повишаване на разходите за командировки или увеличаване на цените на закупуваните стоки и услуги; поздравява Съда на ЕС за неговите мерки за смекчаване на тези последици чрез намаляване на броя на командировките, ограничаване на разходите за енергия и преди всичко прилагане на приоритизиране на проектите при изготвянето на бюджетните прогнози; признава необходимостта всички институции на Съюза да подобрят своето бюджетно управление, като вземат предвид и нестабилността на цените, особено в енергийния сектор, при сключването на договори с доставчици на услуги; призовава Съда на ЕС да продължи да повишава ефективността на разходите и проактивното бюджетно планиране, за да се запази качеството на съдебната дейност в рамките на наличните ресурси;</w:t>
      </w:r>
    </w:p>
    <w:p w14:paraId="13E06915" w14:textId="77777777" w:rsidR="00DC2930" w:rsidRPr="00975AEC" w:rsidRDefault="00DC2930" w:rsidP="00DC2930">
      <w:pPr>
        <w:pStyle w:val="NormalHanging12a"/>
      </w:pPr>
      <w:r w:rsidRPr="00975AEC">
        <w:t>8.</w:t>
      </w:r>
      <w:r w:rsidRPr="00975AEC">
        <w:tab/>
        <w:t>отбелязва леко увеличение на средния срок за плащане от 23,1 дни през 2023 г. на 23,7 дни през 2024 г. и увеличение на дела на фактурите, получени по електронен път, от 81% през 2023 г. на 88% през 2024 г.; отбелязва въз основа на последващите действия на Съда на ЕС във връзка със забележките в резолюцията на Парламента относно освобождаването от отговорност във връзка с изпълнението на бюджета за 2023 г. („доклада за последващите действия“), че за фактурите, свързани с външни преводи, плащането зависи от процес на преглед на преводите, който е необходим, за да се гарантира необходимото високо качество на писмения превод;</w:t>
      </w:r>
    </w:p>
    <w:p w14:paraId="232C0659" w14:textId="77777777" w:rsidR="00DC2930" w:rsidRPr="00975AEC" w:rsidRDefault="00DC2930" w:rsidP="00DC2930">
      <w:pPr>
        <w:pStyle w:val="NormalHanging12a"/>
      </w:pPr>
      <w:r w:rsidRPr="00975AEC">
        <w:t>9.</w:t>
      </w:r>
      <w:r w:rsidRPr="00975AEC">
        <w:tab/>
        <w:t>отбелязва със задоволство, че бюджетът за командировки на членовете и служителите на Съда на ЕС е намалял за втора поредна година — от 638 000 EUR през 2023 г. на 616 000 EUR през 2024 г., което представлява намаление с приблизително 3,44%;</w:t>
      </w:r>
    </w:p>
    <w:p w14:paraId="6AFC5541" w14:textId="77777777" w:rsidR="00DC2930" w:rsidRPr="00516017" w:rsidRDefault="00DC2930" w:rsidP="00DC2930">
      <w:pPr>
        <w:pStyle w:val="NormalHanging12a"/>
        <w:rPr>
          <w:b/>
          <w:i/>
          <w:iCs/>
        </w:rPr>
      </w:pPr>
      <w:r w:rsidRPr="00516017">
        <w:rPr>
          <w:b/>
          <w:i/>
          <w:iCs/>
        </w:rPr>
        <w:t>Вътрешно управление, резултати от дейността и вътрешен контрол</w:t>
      </w:r>
    </w:p>
    <w:p w14:paraId="6D5F7F0B" w14:textId="77777777" w:rsidR="00DC2930" w:rsidRPr="00975AEC" w:rsidRDefault="00DC2930" w:rsidP="00DC2930">
      <w:pPr>
        <w:spacing w:after="240"/>
        <w:ind w:left="567" w:hanging="567"/>
      </w:pPr>
      <w:r w:rsidRPr="00975AEC">
        <w:t>10.</w:t>
      </w:r>
      <w:r w:rsidRPr="00975AEC">
        <w:tab/>
        <w:t>отбелязва със задоволство въз основа на отговорите на Съда на ЕС на въпросника за освобождаването от отговорност във връзка с изпълнението на бюджета за 2024 г. усилията, положени от Съда на ЕС за завършване на съдебната реформа за частично прехвърляне на компетентността за постановяване на преюдициални заключения от Съда на Европейския съюз към Общия съд и създаване на условия за прилагане на новата регулаторна рамка, считано от 1 октомври 2024 г.; отбелязва в този контекст реорганизацията на структурата на Общия съд, изменението на Процедурния правилник на Съда на ЕС, приемането на нов набор от практически правила на Общия съд за прилагането на Процедурния правилник, приемането на ново решение относно подаването и връчването на процесуални документи чрез e-</w:t>
      </w:r>
      <w:proofErr w:type="spellStart"/>
      <w:r w:rsidRPr="00975AEC">
        <w:t>Curia</w:t>
      </w:r>
      <w:proofErr w:type="spellEnd"/>
      <w:r w:rsidRPr="00975AEC">
        <w:t xml:space="preserve">, разработването на нов софтуер („обслужване на едно гише“) за бърз анализ и обработване на делата, по-голяма ефикасност и по-добро качество на съдебните резултати и хармонизирането на практиките на </w:t>
      </w:r>
      <w:r w:rsidRPr="00975AEC">
        <w:lastRenderedPageBreak/>
        <w:t>секретариатите на Съда и на Общия съд през 2024 г.; отбелязва със задоволство, че през първите три месеца след влизането в сила на реформата 19 преюдициални запитвания вече са били прехвърлени на Общия съд, като по този начин се отбелязват първите резултати към по-балансирано разпределение на работното натоварване между двете съдилища; отбелязва, че единствените допълнителни разходи, свързани с изпълнението на съдебната реформа, са тези, свързани с информационните технологии, за разработването на обслужването на едно гише, възлизащи приблизително на 805 000 EUR, докато по отношение на служителите реформата е останала бюджетно неутрална чрез преразпределяне на длъжности и задължения в рамките на институцията; призовава Съда на ЕС да докладва относно конкретното въздействие на съдебната реформа върху ефикасността, продължителността на производствата и разпределението на работното натоварване между Съда и Общия съд, включително въздействието на цифровите инструменти върху времето за обработка и баланса на работното натоварване; призовава Съда на ЕС да представи за следващата процедура по освобождаване от отговорност всеобхватна последваща оценка на реформата;</w:t>
      </w:r>
    </w:p>
    <w:p w14:paraId="0399C083" w14:textId="77777777" w:rsidR="00DC2930" w:rsidRPr="00975AEC" w:rsidRDefault="00DC2930" w:rsidP="00DC2930">
      <w:pPr>
        <w:pStyle w:val="NormalHanging12a"/>
      </w:pPr>
      <w:r w:rsidRPr="00975AEC">
        <w:t>11.</w:t>
      </w:r>
      <w:r w:rsidRPr="00975AEC">
        <w:tab/>
        <w:t>отбелязва, че през 2024 г. Съдът на ЕС се е произнесъл по 12 дела, свързани с принципа на предимство на правото на Съюза, от които 10 дела за преюдициални заключения и два дела за нарушения; отново подчертава основното значение на принципа на предимство на правото на ЕС, който гарантира еднаквото тълкуване и прилагане на правото на Съюза във всички държави членки и защитава принципите на правовата държава като основна ценност на Съюза; категорично потвърждава, че върховенството на правото на Съюза е крайъгълният камък на правния ред на Съюза, и подчертава ключовата роля на Съда на ЕС за утвърждаване на принципите на правовата държава в целия Съюз; отбелязва, че член 4, параграф 2 от Договора за Европейския съюз предвижда, че „Съюзът зачита равенството на държавите членки пред Договорите, както и националната им идентичност, присъща на техните основни политически и конституционни структури, включително по отношение на местното и регионалното самоуправление“;</w:t>
      </w:r>
    </w:p>
    <w:p w14:paraId="3C7B0A47" w14:textId="77777777" w:rsidR="00DC2930" w:rsidRPr="00975AEC" w:rsidRDefault="00DC2930" w:rsidP="00DC2930">
      <w:pPr>
        <w:pStyle w:val="NormalHanging12a"/>
      </w:pPr>
      <w:r w:rsidRPr="00975AEC">
        <w:t>12.</w:t>
      </w:r>
      <w:r w:rsidRPr="00975AEC">
        <w:tab/>
        <w:t>отбелязва въз основа на отговорите на Съда на ЕС на въпросника за освобождаването от отговорност във връзка с изпълнението на бюджета за 2024 г., че през 2024 г. в Съда на ЕС са заведени 920 нови дела (в сравнение с 821 през 2023 г.), от които 62,30% са били дела по преюдициални запитвания, а 277 са били по жалби срещу решения на Общия съд; отбелязва, че Общият съд е отбелязал значителен спад в броя на новите дела — от 1 271 през 2023 г. на 786 през 2024 г., от които 35,88% са били по жалби за отмяна на актове на институциите на Съюза, 34,10% са се отнасяли до искове, свързани с интелектуална собственост, а 9,67% — до спорове между институциите на Съюза и техните служители;</w:t>
      </w:r>
    </w:p>
    <w:p w14:paraId="57461178" w14:textId="77777777" w:rsidR="00DC2930" w:rsidRPr="00975AEC" w:rsidRDefault="00DC2930" w:rsidP="00DC2930">
      <w:pPr>
        <w:pStyle w:val="NormalHanging12a"/>
      </w:pPr>
      <w:r w:rsidRPr="00975AEC">
        <w:t>13.</w:t>
      </w:r>
      <w:r w:rsidRPr="00975AEC">
        <w:tab/>
        <w:t>изразява съгласие със становището на Съда на ЕС, че Комисията в качеството си на пазител на Договорите следва да наблюдава спазването от страна на държавите членки на решенията на Съда на ЕС; отново призовава Съда на ЕС да създаде, строго в рамките на своята роля, механизъм за установяване на най-добрите и лошите практики сред държавите членки;</w:t>
      </w:r>
    </w:p>
    <w:p w14:paraId="361913F8" w14:textId="77777777" w:rsidR="00DC2930" w:rsidRPr="00975AEC" w:rsidRDefault="00DC2930" w:rsidP="00DC2930">
      <w:pPr>
        <w:pStyle w:val="NormalHanging12a"/>
      </w:pPr>
      <w:r w:rsidRPr="00975AEC">
        <w:t>14.</w:t>
      </w:r>
      <w:r w:rsidRPr="00975AEC">
        <w:tab/>
        <w:t xml:space="preserve">отбелязва увеличаването на броя на приключените от Общия съд дела от 904 през 2023 г. на 922 през 2024 г. и увеличаването на броя на приключените от Съда на </w:t>
      </w:r>
      <w:r w:rsidRPr="00975AEC">
        <w:lastRenderedPageBreak/>
        <w:t xml:space="preserve">ЕС дела от 783 през 2023 г. на 863 през 2024 г., като последното увеличение беше ускорено от частичното обновяване на всеки три години на състава на съдиите и генералните адвокати на Съда на ЕС през 2024 г.; отбелязва освен това увеличение на броя на висящите дела в Съда на ЕС от 1 149 през 2023 г. на 1 206 през 2024 г. и намаляване на броя на висящите дела в Общия съд от 1 438 през 2023 г. на 1 302 през 2024 г. (включително поредица от 404 идентични по същество дела, отчитани като едно дело), отчасти поради приключването на някои големи групи дела; </w:t>
      </w:r>
    </w:p>
    <w:p w14:paraId="7B1FCFBB" w14:textId="77777777" w:rsidR="00DC2930" w:rsidRPr="00975AEC" w:rsidRDefault="00DC2930" w:rsidP="00DC2930">
      <w:pPr>
        <w:pStyle w:val="NormalHanging12a"/>
      </w:pPr>
      <w:r w:rsidRPr="00975AEC">
        <w:t>15.</w:t>
      </w:r>
      <w:r w:rsidRPr="00975AEC">
        <w:tab/>
        <w:t>същевременно приветства намаляването на средното време за приключване на делата по спешното производство пред Съда, което е намаляло от 4,3 месеца през 2023 г. на 3,3 месеца през 2024 г.;</w:t>
      </w:r>
    </w:p>
    <w:p w14:paraId="0E713372" w14:textId="77777777" w:rsidR="00DC2930" w:rsidRPr="00975AEC" w:rsidRDefault="00DC2930" w:rsidP="00DC2930">
      <w:pPr>
        <w:pStyle w:val="NormalHanging12a"/>
      </w:pPr>
      <w:r w:rsidRPr="00975AEC">
        <w:t>16.</w:t>
      </w:r>
      <w:r w:rsidRPr="00975AEC">
        <w:tab/>
        <w:t>отбелязва, че средната продължителност на производствата по делата, приключени от Съда на ЕС, е била 17,7 месеца през 2024 г. в сравнение с 16,1 месеца през 2023 г., докато съответното увеличение с приблизително шест седмици се дължи на сложността и обема на някои дела (като например по исковете, заведени през 2020 г. срещу т.нар. „пакет за мобилност“ на Съюза и приключени през 2024 г.); отбелязва, че средната продължителност на делата, приключени с решение или с определение на Общия съд, се е увеличила от 18,2 месеца през 2023 г. на 18,5 месеца през 2024 г.; подчертава, че навременността на съдебните производства трябва да остане основна цел за постигане на резултати, тъй като прекомерната продължителност засяга пряко правната сигурност за гражданите, националните съдилища и икономическите оператори;</w:t>
      </w:r>
    </w:p>
    <w:p w14:paraId="27CF4F4B" w14:textId="77777777" w:rsidR="00DC2930" w:rsidRPr="00975AEC" w:rsidRDefault="00DC2930" w:rsidP="00DC2930">
      <w:pPr>
        <w:pStyle w:val="NormalHanging12a"/>
      </w:pPr>
      <w:r w:rsidRPr="00975AEC">
        <w:t>17.</w:t>
      </w:r>
      <w:r w:rsidRPr="00975AEC">
        <w:tab/>
        <w:t>призовава Съда на ЕС да проучи в сътрудничество с националните съдилища инструменти за практически насоки (като насоки, образци за преюдициални запитвания и онлайн обучения) в подкрепа на ясното и целенасочено формулиране на въпросите, отправяни с преюдициалните запитвания, като по този начин се намали рискът от ненужни или прекомерно дълги производства;</w:t>
      </w:r>
    </w:p>
    <w:p w14:paraId="5721B089" w14:textId="77777777" w:rsidR="00DC2930" w:rsidRPr="00975AEC" w:rsidRDefault="00DC2930" w:rsidP="00DC2930">
      <w:pPr>
        <w:pStyle w:val="NormalHanging12a"/>
      </w:pPr>
      <w:r w:rsidRPr="00975AEC">
        <w:t>18.</w:t>
      </w:r>
      <w:r w:rsidRPr="00975AEC">
        <w:tab/>
        <w:t>поздравява Съда на ЕС за увеличението, регистрирано при използването на приложението e-</w:t>
      </w:r>
      <w:proofErr w:type="spellStart"/>
      <w:r w:rsidRPr="00975AEC">
        <w:t>Curia</w:t>
      </w:r>
      <w:proofErr w:type="spellEnd"/>
      <w:r w:rsidRPr="00975AEC">
        <w:t>, като се има предвид, че броят на профилите, открити от националните съдилища, е нараснал от 451 през 2023 г. на 566 през 2024 г., а процентът на процесуалните документи, подадени чрез e-</w:t>
      </w:r>
      <w:proofErr w:type="spellStart"/>
      <w:r w:rsidRPr="00975AEC">
        <w:t>Curia</w:t>
      </w:r>
      <w:proofErr w:type="spellEnd"/>
      <w:r w:rsidRPr="00975AEC">
        <w:t>, е достигнал 91% за делата в Съда на ЕС и 96% за делата в Общия съд;</w:t>
      </w:r>
    </w:p>
    <w:p w14:paraId="427E4BC4" w14:textId="77777777" w:rsidR="00DC2930" w:rsidRPr="00975AEC" w:rsidRDefault="00DC2930" w:rsidP="00DC2930">
      <w:pPr>
        <w:pStyle w:val="NormalHanging12a"/>
      </w:pPr>
      <w:r w:rsidRPr="00975AEC">
        <w:t>19.</w:t>
      </w:r>
      <w:r w:rsidRPr="00975AEC">
        <w:tab/>
        <w:t>приветства основания на резултатите подход, разработен от Съда на ЕС, който позволява на Съда на ЕС да взема решения въз основа на степента на постигане на своите цели, измерена чрез набор от показатели за работното натоварване и оперативни показатели (напр. ефективност на разходите, степен на изпълнение на проектите, удовлетвореност на потребителите и оптимизиране на ресурсите), съобразени с всеки отдел; отбелязва, че използваните от Съда на ЕС ключови показатели за изпълнението обхващат широк спектър от специфични области в подкрепа на петте управленски цели, свързани с правилното функциониране на двете съдилища, цифровизацията и нововъзникващите технологии, откритостта и прозрачността, многоезичието и управлението на човешките ресурси; подчертава необходимостта Съдът на ЕС да гарантира, че тези показатели са прозрачни, ориентирани към резултатите и редовно преразглеждани в подкрепа на ефективното управление и отчетността;</w:t>
      </w:r>
    </w:p>
    <w:p w14:paraId="022D696F" w14:textId="77777777" w:rsidR="00DC2930" w:rsidRPr="00975AEC" w:rsidRDefault="00DC2930" w:rsidP="00DC2930">
      <w:pPr>
        <w:pStyle w:val="NormalHanging12a"/>
      </w:pPr>
      <w:r w:rsidRPr="00975AEC">
        <w:lastRenderedPageBreak/>
        <w:t>20.</w:t>
      </w:r>
      <w:r w:rsidRPr="00975AEC">
        <w:tab/>
        <w:t>приветства неговия подход, преразгледан през 2024 г., по отношение на възвръщаемостта на инвестициите в инициативи за иновации, като се взема предвид оценката на разходите чрез параметри като изпълнение и усилия от страна на служителите, годишна поддръжка, разходи за изпълнители и други видове разходи, както и оценка на ползите чрез параметри като прогнозни ползи, стратегически предимства и брой засегнати ползватели; отбелязва, че през 2024 г. Съдът на ЕС също така е извършил задълбочено преразглеждане на своята система, за да следи управлението на проектите и финансовото проследяване на проектите, с цел да гарантира пълно докладване и контрол върху своите консултантски услуги за цифровизация, основани на времето, до 2025 г.; приканва Съда на ЕС да информира редовно органа по освобождаване от отговорност по този въпрос;</w:t>
      </w:r>
    </w:p>
    <w:p w14:paraId="233288E3" w14:textId="77777777" w:rsidR="00DC2930" w:rsidRPr="00975AEC" w:rsidRDefault="00DC2930" w:rsidP="00DC2930">
      <w:pPr>
        <w:pStyle w:val="NormalHanging12a"/>
      </w:pPr>
      <w:r w:rsidRPr="00975AEC">
        <w:t>21.</w:t>
      </w:r>
      <w:r w:rsidRPr="00975AEC">
        <w:tab/>
        <w:t>отбелязва въз основа на доклада за вътрешен одит на Съда на ЕС за 2024 г. („вътрешния доклад“), че основните одитни дейности, извършени от отдела за вътрешен одит на Съда на ЕС през 2024 г., се отнасят до одит на проекта на Съда на ЕС за модернизиране на неговите механизми за сигурност на инфраструктурата и проекти за опис на имуществото, както и до три проучвания: относно промените в потребностите от човешки капитал на Съда на ЕС в ерата на генеративния изкуствен интелект; относно компетентността на организациите и техните служители в променяща се среда; и относно благосъстоянието на служителите и нововъзникващите технологии); отбелязва със задоволство въз основа на вътрешния доклад, че съответните отдели са предприели действия за изпълнение на одитните препоръки, често още преди приключването на одитите; отбелязва освен това, че във връзка с програмата за 2024 г., през 2025 г. е била в ход работа по одит на ИТ лицензите и за последната част от одита на управлението на закупуването на обзавеждане и оборудване; отбелязва, че докладваното състояние по последния одит е останало непроменено в продължение на два последователни отчетни периода; приканва Съда на ЕС в бъдеще да представя актуална информация относно мониторинга на действията, предприети във връзка с препоръките от вътрешния одит, в табличен формат, с посочена степен на изпълнение за всяко действие и препоръка;</w:t>
      </w:r>
    </w:p>
    <w:p w14:paraId="64BA43D5" w14:textId="77777777" w:rsidR="00DC2930" w:rsidRPr="00516017" w:rsidRDefault="00DC2930" w:rsidP="00DC2930">
      <w:pPr>
        <w:pStyle w:val="NormalHanging12a"/>
        <w:rPr>
          <w:b/>
          <w:i/>
          <w:iCs/>
        </w:rPr>
      </w:pPr>
      <w:r w:rsidRPr="00516017">
        <w:rPr>
          <w:b/>
          <w:i/>
          <w:iCs/>
        </w:rPr>
        <w:t>Човешки ресурси, равенство и благосъстояние на служителите</w:t>
      </w:r>
    </w:p>
    <w:p w14:paraId="58C92B47" w14:textId="77777777" w:rsidR="00DC2930" w:rsidRPr="00975AEC" w:rsidRDefault="00DC2930" w:rsidP="00DC2930">
      <w:pPr>
        <w:pStyle w:val="NormalHanging12a"/>
      </w:pPr>
      <w:r w:rsidRPr="00975AEC">
        <w:t>22.</w:t>
      </w:r>
      <w:r w:rsidRPr="00975AEC">
        <w:tab/>
        <w:t>отбелязва, че общият брой на длъжностните лица към края на годината се е увеличил от 1 340 (58%) през 2023 г. на 1 354 (60%) през 2024 г., броят на срочно наетите служители е намалял от 765 (33%) през 2023 г. на 740 (33%) през 2024 г., а броят на договорно наетите служители е намалял от 198 (9%) през 2023 г. на 173 (7%) през 2024 г.; отбелязва, че процентът на заемане на длъжностите е намалял леко от 97,11% през 2023 г. на 96,70% през 2024 г., а годишното текучество на персонала е намаляло от 6,54% през 2023 г. на 6,32% през 2024 г., като 41% от случаите на напускане на служители са свързани с пенсиониране;</w:t>
      </w:r>
    </w:p>
    <w:p w14:paraId="388E2806" w14:textId="77777777" w:rsidR="00DC2930" w:rsidRPr="00975AEC" w:rsidRDefault="00DC2930" w:rsidP="00DC2930">
      <w:pPr>
        <w:pStyle w:val="NormalHanging12a"/>
      </w:pPr>
      <w:r w:rsidRPr="00975AEC">
        <w:t>23.</w:t>
      </w:r>
      <w:r w:rsidRPr="00975AEC">
        <w:tab/>
        <w:t xml:space="preserve">отбелязва, че Съдът се състои от 27 съдии и 11 генерални адвокати, а Общият съд се състои от 54 съдии; отбелязва освен това, че девет нови съдии в Съда и двама нови съдии в Общия съд встъпиха в длъжност поради частично обновяване на съдийския състав през 2024 г.; отбелязва, че съставът на Съда и на Общия съд от гледна точка на съотношението между половете продължава да бъде много небалансиран; изразява задоволство от писмото на председателя на Общия съд до председателя на Конференцията на представителите на държавите членки през </w:t>
      </w:r>
      <w:r w:rsidRPr="00975AEC">
        <w:lastRenderedPageBreak/>
        <w:t>2024 г., в което се отправя призив към държавите членки да вземат предвид необходимостта от баланс между половете при номинирането на кандидати за замяна на съдии и генерални адвокати; призовава отново държавите членки да вземат предвид необходимостта от баланс между половете при номинирането на кандидати за замяна на съдии, като същевременно гарантират, че номинациите продължават да се основават на критерии за заслуги, квалификация и независимост;</w:t>
      </w:r>
    </w:p>
    <w:p w14:paraId="40A230DE" w14:textId="77777777" w:rsidR="00DC2930" w:rsidRPr="00975AEC" w:rsidRDefault="00DC2930" w:rsidP="00DC2930">
      <w:pPr>
        <w:pStyle w:val="NormalHanging12a"/>
      </w:pPr>
      <w:r w:rsidRPr="00975AEC">
        <w:t>24.</w:t>
      </w:r>
      <w:r w:rsidRPr="00975AEC">
        <w:tab/>
        <w:t>отбелязва, че през 2024 г. персоналът на Съда на ЕС е бил съставен от 60,70% жени и 39,30% мъже; отбелязва, че представителството на жените е било най-силно сред степените за асистенти (69,14%), а най-слабо, което е повод за съжаление, сред висшите ръководни длъжности (35,71%); отбелязва освен това увеличение на дела на жените на средни ръководни длъжности от 43,33% през 2023 г. на 51,61% през 2024 г.; отбелязва със задоволство въз основа на доклада за управлението на оправомощения разпоредител с бюджетни кредити за 2024 г. възходяща тенденция в представителството на жените на ръководни длъжности като цяло — от 37,50% през 2018 г. на 48,70% през 2024 г.; подчертава, че продължаващото недостатъчно представителство на жените на висши ръководни длъжности продължава да буди безпокойство, и насърчава Съда на ЕС да продължи да засилва целенасочените мерки, насочени към подпомагане на кариерното развитие на жените и пътищата за заемане на ръководни длъжности от тях, при пълно зачитане на принципите на заслуги и на прозрачност;</w:t>
      </w:r>
    </w:p>
    <w:p w14:paraId="29398174" w14:textId="77777777" w:rsidR="00DC2930" w:rsidRPr="00975AEC" w:rsidRDefault="00DC2930" w:rsidP="00DC2930">
      <w:pPr>
        <w:pStyle w:val="NormalHanging12a"/>
        <w:rPr>
          <w:bCs/>
          <w:iCs/>
        </w:rPr>
      </w:pPr>
      <w:r w:rsidRPr="00975AEC">
        <w:t>25.</w:t>
      </w:r>
      <w:r w:rsidRPr="00975AEC">
        <w:tab/>
        <w:t>приветства създаването на план за действие относно Конвенцията на Съвета на Европа относно предотвратяването и борбата с насилието срещу жени и домашното насилие („Конвенцията от Истанбул“), който съгласува действията, отправя препоръки и организира информационни и обучителни дейности за всички служители с цел предотвратяване на случаи на тормоз; отбелязва обявените допълнителни действия, които включват продължаване на сътрудничеството с националните организации, работещи в областта на предотвратяването на насилието срещу жени, допълнителни инициативи за повишаване на осведомеността и обучения, които подчертават по-специално въздействието на микроагресиите и основаните на пола предубеждения; във връзка с това изразява съжаление относно липсата на задължително обучение за членовете на Съда на ЕС, както е посочено в отговорите на Съда на ЕС на въпросника за освобождаването от отговорност във връзка с изпълнението на бюджета за финансовата 2024 година; поради това настоятелно призовава за включването на всички лица, както служители, така и членове на Съда на ЕС, в задължителните обучения в областта на предотвратяването на насилието срещу жени;</w:t>
      </w:r>
    </w:p>
    <w:p w14:paraId="1E27F996" w14:textId="77777777" w:rsidR="00DC2930" w:rsidRPr="00975AEC" w:rsidRDefault="00DC2930" w:rsidP="00DC2930">
      <w:pPr>
        <w:pStyle w:val="NormalHanging12a"/>
      </w:pPr>
      <w:r w:rsidRPr="00975AEC">
        <w:t>26.</w:t>
      </w:r>
      <w:r w:rsidRPr="00975AEC">
        <w:tab/>
        <w:t xml:space="preserve">отбелязва със задоволство разнообразието от усилия и действия, предприети от Съда на ЕС по отношение на неговите служители, включително на етапа на набиране на служители, в полза на равенството, приобщаването, взаимното уважение и многообразието (многообразие и приобщаване); отбелязва по-специално стартирането през 2024 г. на ново обучение по многообразие и приобщаване с акцент върху предотвратяването на микроагресии и, считано от 2025 г., две нови обучения за определяне на здравословни граници с цел подобряване на резултатите и за среда без тормоз, организирани вследствие на препоръките на ведомствената работна група на Съда на ЕС относно Конвенцията от Истанбул; отбелязва със задоволство мерките на Съда на ЕС за </w:t>
      </w:r>
      <w:r w:rsidRPr="00975AEC">
        <w:lastRenderedPageBreak/>
        <w:t>персонализирана подкрепа (по отношение на задачите, работното време и работните помещения) от 2022 г. насам за служителите с увреждания, участието на институцията в седмицата за повишаване на осведомеността относно уврежданията, организирана през 2024 г., и разработването, считано от 2025 г., на пилотна програма за стажанти с увреждания; приканва Съда на ЕС да информира органа по освобождаване от отговорност за резултатите от тази програма;</w:t>
      </w:r>
    </w:p>
    <w:p w14:paraId="7E9EBD0A" w14:textId="77777777" w:rsidR="00DC2930" w:rsidRPr="00975AEC" w:rsidRDefault="00DC2930" w:rsidP="00DC2930">
      <w:pPr>
        <w:pStyle w:val="NormalHanging12a"/>
      </w:pPr>
      <w:r w:rsidRPr="00975AEC">
        <w:t>27.</w:t>
      </w:r>
      <w:r w:rsidRPr="00975AEC">
        <w:tab/>
        <w:t>приветства факта, че всички националности на Съюза са представени в персонала на Съда на ЕС; отбелязва обаче, че някои националности са представени в по-голяма степен от други, а някои от тях са до голяма степен прекомерно представени; подкрепя Съда на ЕС в усилията му да популяризира възможно най-широко обявленията за свободни длъжности чрез междуинституционални уебсайтове, мрежи на социалните медии и EPSO; отбелязва въз основа на доклада за последващите действия ангажимента на Съда на ЕС да анализира съответните данни за изпълнението на целенасочени действия, насочени към подобряване на географското представителство сред неговите служители, включително стажантите; приветства усилията на Съда на ЕС за повишаване на осведомеността относно стажантските програми сред националните администрации и постоянните представителства на по-слабо представените държави членки;  отбелязва със задоволство, че през 2024 г. за стажове в рамките на Европейската мрежа за съдебно обучение Съдът на ЕС е получил заявления от три нови държави членки, участващи за първи път в неговата дългосрочна програма за обучение на национални специалисти в областта на правосъдието;</w:t>
      </w:r>
    </w:p>
    <w:p w14:paraId="2AC728C3" w14:textId="77777777" w:rsidR="00DC2930" w:rsidRPr="00975AEC" w:rsidRDefault="00DC2930" w:rsidP="00DC2930">
      <w:pPr>
        <w:pStyle w:val="NormalHanging12a"/>
      </w:pPr>
      <w:r w:rsidRPr="00975AEC">
        <w:t>28.</w:t>
      </w:r>
      <w:r w:rsidRPr="00975AEC">
        <w:tab/>
        <w:t>приветства действията на Съда на ЕС в областта на (правното) многоезичие през 2024 г., като например финализирането и стартирането на уебсайт за многоезичието, съвместното организиране на първото издание на лятно училище заедно с други институции на Съюза, тясното сътрудничество с държавите членки за разработване на резерв от външен експертен опит за справяне с увеличаването на обема на писмените преводи и за обхващане на всички езикови комбинации, действията за повишаване на осведомеността за пазара на преводачески услуги на свободна практика и непрекъснатото модернизиране на процедурите и уменията за използване на цифрови инструменти (включително свързани с изкуствен интелект) за превод;</w:t>
      </w:r>
    </w:p>
    <w:p w14:paraId="35738BB2" w14:textId="77777777" w:rsidR="00DC2930" w:rsidRPr="00975AEC" w:rsidRDefault="00DC2930" w:rsidP="00DC2930">
      <w:pPr>
        <w:pStyle w:val="NormalHanging12a"/>
      </w:pPr>
      <w:r w:rsidRPr="00975AEC">
        <w:t>29.</w:t>
      </w:r>
      <w:r w:rsidRPr="00975AEC">
        <w:tab/>
        <w:t xml:space="preserve">поздравява Съда на ЕС за неговите действия за справяне с предизвикателствата, свързани с набирането на персонал, и за популяризиране на Люксембург сред младите висшисти като място на работа; отбелязва със задоволство приноса на Съда на ЕС за създаването и прилагането на жилищна надбавка, изплащана с обратно действие, считано от 1 януари 2025 г., на служителите с по-ниски степени, подготовката на конкурсите на EPSO, насочени специално към служителите, които ще бъдат назначени на работа в Люксембург, както и информационните сесии и летните училища; насърчава засиленото сътрудничество с EPSO и други институции с цел разширяване на резерва от квалифицирани кандидати и укрепване на състезателните процедури за подбор в специализирани области; отбелязва въз основа на доклада за последващите действия, че Съдът на ЕС е изпробвал от името на Междуинституционалната група на високо равнище проект/проучване, за да установи дали би било възможно да се сключат договори за краткосрочно отдаване под наем на жилища (т.е. за максимален период от една година) на пазарна цена (или по-ниска), която да се заплаща пряко от служителите; отбелязва освен това, че проучването е било </w:t>
      </w:r>
      <w:r w:rsidRPr="00975AEC">
        <w:lastRenderedPageBreak/>
        <w:t>успешно и впоследствие работната група е представила споразумение за нивото на обслужване на участващите институции, за да се възложи на Съда на ЕС да проведе процедура за договаряне за недвижими имоти със субекти, които са представили подходящи проекти; приканва Съда на ЕС да информира органа по освобождаване от отговорност за последващите действия по този въпрос;</w:t>
      </w:r>
    </w:p>
    <w:p w14:paraId="2CC2F0C0" w14:textId="77777777" w:rsidR="00DC2930" w:rsidRPr="00975AEC" w:rsidRDefault="00DC2930" w:rsidP="00DC2930">
      <w:pPr>
        <w:pStyle w:val="NormalHanging12a"/>
      </w:pPr>
      <w:r w:rsidRPr="00975AEC">
        <w:t>30.</w:t>
      </w:r>
      <w:r w:rsidRPr="00975AEC">
        <w:tab/>
        <w:t>отбелязва, че Съдът на ЕС е назначил 201 стажанти по общата схема за (платени) стажове; отбелязва освен това, че 34% от първоначално избраните кандидати са отхвърлили предложението на Съда на ЕС, след като са узнали за високите разходи за живот в Люксембург</w:t>
      </w:r>
      <w:bookmarkStart w:id="8" w:name="_Hlk215138302"/>
      <w:r w:rsidRPr="00975AEC">
        <w:t xml:space="preserve">; отново подчертава, че стажовете следва да бъдат платени в съответствие с резолюцията на Европейския парламент от 14 юни 2023 г. относно качествените стажове в Съюза (2020/2005(INL)), в която се призовава всички стажове в Съюза да бъдат платени; </w:t>
      </w:r>
      <w:bookmarkEnd w:id="8"/>
      <w:r w:rsidRPr="00975AEC">
        <w:t>приветства факта, че понастоящем всички стажанти в Съда на ЕС получават стипендия по време на престоя си, главно от Съда на ЕС, а в някои специфични случаи — от други източници; отбелязва, че Съдът на ЕС приема само няколко стажанти (седем през 2024 г.), които получават заплащане от други източници, и за кратки периоди;</w:t>
      </w:r>
    </w:p>
    <w:p w14:paraId="4D9ABB5C" w14:textId="77777777" w:rsidR="00DC2930" w:rsidRPr="00975AEC" w:rsidRDefault="00DC2930" w:rsidP="00DC2930">
      <w:pPr>
        <w:pStyle w:val="NormalHanging12a"/>
      </w:pPr>
      <w:r w:rsidRPr="00975AEC">
        <w:t>31.</w:t>
      </w:r>
      <w:r w:rsidRPr="00975AEC">
        <w:tab/>
        <w:t xml:space="preserve">отбелязва, че през 2024 г. са документирани 17 случая на професионално изчерпване, от които осем нови случая, докладвани през 2024 г., и девет случая, докладвани през 2023 г., като съответните служители са получили професионална подкрепа и насоки; отбелязва със задоволство, че през 2024 г. Съдът на ЕС е продължил да играе водеща роля в инициативи, които насърчават физическото и психичното благосъстояние на служителите и са насочени към преодоляване на професионалното изчерпване и </w:t>
      </w:r>
      <w:proofErr w:type="spellStart"/>
      <w:r w:rsidRPr="00975AEC">
        <w:t>психосоциалните</w:t>
      </w:r>
      <w:proofErr w:type="spellEnd"/>
      <w:r w:rsidRPr="00975AEC">
        <w:t xml:space="preserve"> рискове, като например консултации със социален работник или психолог, лекции относно осъзнаването и цифровия баланс, специализирани семинари и дейности за повишаване на осведомеността по здравни въпроси, обучения за оказване на първа помощ и наемане на двама психолози на непълно работно време; признава успеха по отношение на използването на гъвкави схеми на работа, включително схемата на Съда на ЕС за дистанционна работа, като в крайна сметка той се стреми към по-добро равновесие между професионалния и личния живот на служителите;</w:t>
      </w:r>
    </w:p>
    <w:p w14:paraId="44128872" w14:textId="77777777" w:rsidR="00DC2930" w:rsidRPr="00975AEC" w:rsidRDefault="00DC2930" w:rsidP="00DC2930">
      <w:pPr>
        <w:pStyle w:val="NormalHanging12a"/>
      </w:pPr>
      <w:r w:rsidRPr="00975AEC">
        <w:t>32.</w:t>
      </w:r>
      <w:r w:rsidRPr="00975AEC">
        <w:tab/>
        <w:t>отбелязва, че през 2023 г. е започнато административно разследване във връзка с предполагаем случай на сексуален тормоз, касаещ служител, и че този случай е приключен през 2024 г. с налагането на санкция; отбелязва, че през 2024 г. не са започвани нови административни разследвания във връзка с тормоз;</w:t>
      </w:r>
    </w:p>
    <w:p w14:paraId="160956F5" w14:textId="77777777" w:rsidR="00DC2930" w:rsidRPr="00516017" w:rsidRDefault="00DC2930" w:rsidP="00DC2930">
      <w:pPr>
        <w:pStyle w:val="NormalHanging12a"/>
        <w:rPr>
          <w:b/>
          <w:i/>
          <w:iCs/>
        </w:rPr>
      </w:pPr>
      <w:r w:rsidRPr="00516017">
        <w:rPr>
          <w:b/>
          <w:i/>
          <w:iCs/>
        </w:rPr>
        <w:t>Етична рамка, прозрачност и достъп до правосъдие за гражданите</w:t>
      </w:r>
    </w:p>
    <w:p w14:paraId="7F59AACD" w14:textId="77777777" w:rsidR="00DC2930" w:rsidRPr="00975AEC" w:rsidRDefault="00DC2930" w:rsidP="00DC2930">
      <w:pPr>
        <w:pStyle w:val="NormalHanging12a"/>
      </w:pPr>
      <w:r w:rsidRPr="00975AEC">
        <w:t>33.</w:t>
      </w:r>
      <w:r w:rsidRPr="00975AEC">
        <w:tab/>
        <w:t xml:space="preserve">отбелязва, че, както беше поискано в предишни препоръки във връзка с освобождаването от отговорност, новият кодекс за поведение на длъжностните лица и другите служители на Съда на ЕС, отразяващ ценностите и ангажимента на Съда на ЕС за високи етични стандарти, беше приет през март 2024 г., и отбелязва, че Кодексът за поведение включва разпоредби относно конфликтите на интереси, задължението за лоялност, задължението за поверителност и дискретност, външните дейности, професионалните дейности след прекратяване на служебното правоотношение и публикациите, разпоредбите срещу тормоза и се прилага и за командированите национални експерти и стажант-съдиите, приемани в рамките на Европейската мрежа за съдебно обучение; отбелязва със задоволство, че Съдът на ЕС е въвел мерки за възможно най-широко представяне </w:t>
      </w:r>
      <w:r w:rsidRPr="00975AEC">
        <w:lastRenderedPageBreak/>
        <w:t>и разясняване на Кодекса за поведение и за пълно разбиране от страна на служителите на новите правила и по-широката правна рамка, от която те са част, и че обучението относно Кодекса за поведение и правата и задълженията на служителите е задължително за новопостъпилите служители и силно препоръчително за всички служители на Съда на ЕС, като 561 лица (т.е. 24,75% от общия брой длъжностни лица и служители на Съда на ЕС) са участвали в такива обучения през 2024 г.; отбелязва освен това, че подобно обучение е било предложено и на новите членове на Съда на ЕС през 2024 г.; отбелязва със задоволство мрежата на Съда на ЕС от „доверени съветници“, които подпомагат служителите в случай на тормоз, както и програмата за управление на талантите, предлагана на администратори с висок потенциал, която обхваща, наред с другото, етичното лидерство; насърчава Съда на ЕС постепенно да засили предоставянето на обучение относно Кодекса за поведение на всички служители без изключение, за да се гарантира споделено разбиране на етичните стандарти в цялата институция;</w:t>
      </w:r>
    </w:p>
    <w:p w14:paraId="2DFA6459" w14:textId="77777777" w:rsidR="00DC2930" w:rsidRPr="00975AEC" w:rsidRDefault="00DC2930" w:rsidP="00DC2930">
      <w:pPr>
        <w:pStyle w:val="NormalHanging12a"/>
      </w:pPr>
      <w:r w:rsidRPr="00975AEC">
        <w:t>34.</w:t>
      </w:r>
      <w:r w:rsidRPr="00975AEC">
        <w:tab/>
        <w:t>отбелязва, че след приемането на Кодекса за поведение за членовете и бившите членове на Съда на ЕС декларацията за интереси на членовете на Съда на ЕС се публикува онлайн, за да се избегне всякакъв потенциален конфликт на интереси при разглеждането на делата; отбелязва със задоволство въз основа на доклада за последващите действия, че през 2024 г. Съдът на ЕС е подписал споразумението за създаване на междуинституционален „орган на ЕС по етика“, сред чиито задачи е изготвянето на общи минимални стандарти за поведение на членовете на институциите, подписали споразумението; признава, че Съдът на ЕС запазва статута си на наблюдател в рамките на този орган, за да се запази независимостта на съдебната система;</w:t>
      </w:r>
    </w:p>
    <w:p w14:paraId="79E87721" w14:textId="77777777" w:rsidR="00DC2930" w:rsidRPr="00975AEC" w:rsidRDefault="00DC2930" w:rsidP="00DC2930">
      <w:pPr>
        <w:pStyle w:val="NormalHanging12a"/>
      </w:pPr>
      <w:r w:rsidRPr="00975AEC">
        <w:t>35.</w:t>
      </w:r>
      <w:r w:rsidRPr="00975AEC">
        <w:tab/>
        <w:t>отбелязва неговата стабилна политика за откриване и предотвратяване на конфликти на интереси в рамките на институцията и на случаи на кадрова въртележка между държавния и частния сектор, като новият Кодекс за поведение определя специфични и по-строги правила за ръководителите и съдебните секретари; отбелязва, че през 2024 г. са били обработени три декларации на служители за потенциални конфликти на интереси, като нито една от тях не е изисквала корективни действия; отбелязва освен това, че през 2024 г. 57 служители са декларирали намерението си да работят, след като напуснат Съда на ЕС, като никой от тях не е бил поставен в период на прекъсване; отбелязва обаче, че периодът на прекъсване в един случай, представен през 2023 г. от бивш висш служител, е бил продължен и през 2024 г.; отбелязва, че през 2024 г. не е докладван случай на подаване на сигнал за нередности в Съда на ЕС;</w:t>
      </w:r>
    </w:p>
    <w:p w14:paraId="662F3428" w14:textId="77777777" w:rsidR="00DC2930" w:rsidRPr="00975AEC" w:rsidRDefault="00DC2930" w:rsidP="00DC2930">
      <w:pPr>
        <w:pStyle w:val="NormalHanging12a"/>
      </w:pPr>
      <w:r w:rsidRPr="00975AEC">
        <w:t>36.</w:t>
      </w:r>
      <w:r w:rsidRPr="00975AEC">
        <w:tab/>
        <w:t>отбелязва въз основа на доклада за последващите действия, че политиката за отвод на съдии в случаи на действителен или очевиден конфликт на интереси вече е задължителна и че Съдът на ЕС разчита на изпитан механизъм за предотвратяване на конфликти на интереси, като се има предвид, че този механизъм обхваща процеса на подбор на членовете на Съда на ЕС и поражда пълни последици при встъпването им в длъжност;</w:t>
      </w:r>
    </w:p>
    <w:p w14:paraId="3BF0D672" w14:textId="77777777" w:rsidR="00DC2930" w:rsidRPr="00975AEC" w:rsidRDefault="00DC2930" w:rsidP="00DC2930">
      <w:pPr>
        <w:pStyle w:val="NormalHanging12a"/>
      </w:pPr>
      <w:r w:rsidRPr="00975AEC">
        <w:t>37.</w:t>
      </w:r>
      <w:r w:rsidRPr="00975AEC">
        <w:tab/>
        <w:t>отбелязва, че през 2024 г. всички членове на Съда на ЕС са пребивавали в Люксембург в съответствие с член 14 от Статута;</w:t>
      </w:r>
    </w:p>
    <w:p w14:paraId="215FAD2E" w14:textId="77777777" w:rsidR="00DC2930" w:rsidRPr="00975AEC" w:rsidRDefault="00DC2930" w:rsidP="00DC2930">
      <w:pPr>
        <w:pStyle w:val="NormalHanging12a"/>
      </w:pPr>
      <w:r w:rsidRPr="00975AEC">
        <w:t>38.</w:t>
      </w:r>
      <w:r w:rsidRPr="00975AEC">
        <w:tab/>
        <w:t xml:space="preserve">отбелязва, че списъкът на външните дейности, извършвани от членовете както на </w:t>
      </w:r>
      <w:r w:rsidRPr="00975AEC">
        <w:lastRenderedPageBreak/>
        <w:t>Съда на Европейския съюз, така и на Общия съд, се публикува на уебсайта на Съда на ЕС от 2018 г. насам и че тези дейности се одобряват само ако са съвместими с изискванията на Кодекса за поведение на членовете на Съда на ЕС и със задълженията им да бъдат на разположение за съдебни дейности; приветства въз основа на доклада за последващите действия ангажимента на Съда на ЕС да анализира възможностите за подобряване на качеството и четивността на публикуваната информация, свързана с външни дейности;</w:t>
      </w:r>
    </w:p>
    <w:p w14:paraId="6E838869" w14:textId="77777777" w:rsidR="00DC2930" w:rsidRPr="00975AEC" w:rsidRDefault="00DC2930" w:rsidP="00DC2930">
      <w:pPr>
        <w:pStyle w:val="NormalHanging12a"/>
      </w:pPr>
      <w:r w:rsidRPr="00975AEC">
        <w:t>39.</w:t>
      </w:r>
      <w:r w:rsidRPr="00975AEC">
        <w:tab/>
        <w:t>припомня препоръката на Парламента от 2023 г. към всички институции на Съюза да се споразумеят за единна система за използването на служебни превозни средства, която да се прилага хоризонтално; отбелязва в този контекст и доклада за последващите действия, че през 2024 г. Съдът на ЕС, Палатата, Парламентът и Комисията са създали междуинституционална работна група с цел обмен на информация относно съответните практики и определяне на начини за хармонизиране на правилата, като същевременно се зачитат автономността и особеностите на всяка институция; припомня становището на Парламента, че при никакви обстоятелства автомобилният парк не следва да се използва извън стриктното изпълнение на задълженията на членовете на Съда на ЕС; отбелязва освен това въз основа на доклада за последващите действия, че работната група е извършила сравнителен анализ по въпроса и разглежда други въпроси, свързани с управлението на автомобилния парк; призовава работната група да действа бързо по този въпрос и да информира органа по освобождаване от отговорност за резултатите от своята работа и своите заключения възможно най-скоро;</w:t>
      </w:r>
    </w:p>
    <w:p w14:paraId="47152805" w14:textId="77777777" w:rsidR="00DC2930" w:rsidRPr="00975AEC" w:rsidRDefault="00DC2930" w:rsidP="00DC2930">
      <w:pPr>
        <w:pStyle w:val="NormalHanging12a"/>
      </w:pPr>
      <w:r w:rsidRPr="00975AEC">
        <w:t>40.</w:t>
      </w:r>
      <w:r w:rsidRPr="00975AEC">
        <w:tab/>
        <w:t>отбелязва, че Съдът на ЕС не е докладвал за случаи на измама, корупция или злоупотреба със средства на Съюза през 2024 г.; отбелязва, че стратегията на Съда на ЕС за борба с измамите е неразделна част от неговата интегрирана рамка за вътрешен контрол и управление на риска, със специален акцент върху рисковете от ненадлежно разкриване на информация; отбелязва, че неговата вътрешна регулаторна рамка включва решение относно разследванията, свързани с измама, корупция или незаконна дейност срещу интересите на Съюза, както и решение и насоки относно подаването на сигнали за нередности, включително разпоредби относно информацията и защитата на лицата, подаващи сигнали за нередности;</w:t>
      </w:r>
    </w:p>
    <w:p w14:paraId="11AD15AC" w14:textId="77777777" w:rsidR="00DC2930" w:rsidRPr="00975AEC" w:rsidRDefault="00DC2930" w:rsidP="00DC2930">
      <w:pPr>
        <w:pStyle w:val="NormalHanging12a"/>
      </w:pPr>
      <w:r w:rsidRPr="00975AEC">
        <w:t>41.</w:t>
      </w:r>
      <w:r w:rsidRPr="00975AEC">
        <w:tab/>
        <w:t xml:space="preserve">приветства ангажимента на Съда на ЕС за повишаване на прозрачността, достъпа до правосъдие и публичната откритост, като по този начин се допринася за насърчаване на общественото доверие в институциите на Съюза, като същевременно се постига баланс по отношение на други основни аспекти, като например нормалното протичане на съдебните производства, поверителността на производствата и защитата на личните данни; подчертава, че повишената прозрачност трябва също така да служи за укрепване на общественото доверие в практиката на Съда на ЕС; насърчава Съда на ЕС да продължи усилията си за подобряване на яснотата, достъпността и предвидимостта на своята съдебна практика, особено по дела със значително конституционно или обществено въздействие; отбелязва, че през 2024 г. Съдът на ЕС e консолидирал услугата за предаване чрез непрекъсната връзка на съдебните заседания на Съда на Европейския съюз и на Общия съд на уебсайта </w:t>
      </w:r>
      <w:proofErr w:type="spellStart"/>
      <w:r w:rsidRPr="00975AEC">
        <w:t>Curia</w:t>
      </w:r>
      <w:proofErr w:type="spellEnd"/>
      <w:r w:rsidRPr="00975AEC">
        <w:t xml:space="preserve">, като по този начин e улеснил достъпа на гражданите до съдебните дейности на Съда на ЕС; приветства в този контекст, в резултат на съдебната реформа, приета през 2024 г., повишената прозрачност на преюдициалното производство, като създадена възможност за публикуване на уебсайта на Съда на ЕС на писмени забележки в </w:t>
      </w:r>
      <w:r w:rsidRPr="00975AEC">
        <w:lastRenderedPageBreak/>
        <w:t>разумен срок след приключването на делото;</w:t>
      </w:r>
    </w:p>
    <w:p w14:paraId="38251065" w14:textId="77777777" w:rsidR="00DC2930" w:rsidRPr="00975AEC" w:rsidRDefault="00DC2930" w:rsidP="00DC2930">
      <w:pPr>
        <w:pStyle w:val="NormalHanging12a"/>
      </w:pPr>
      <w:r w:rsidRPr="00975AEC">
        <w:t>42.</w:t>
      </w:r>
      <w:r w:rsidRPr="00975AEC">
        <w:tab/>
        <w:t>отбелязва със задоволство въз основа на доклада за последващите действия, че след успешен пилотен проект, стартиран през 2022 г., и актуализирането на своя Процедурен правилник през 2024 г. Съдът на ЕС разшири услугата за предаване на заседанията чрез непрекъсната връзка, така че да включва заседания по важни дела, разглеждани от състав от петима съдии, както и излъчването почти на живо на изслушванията на устните изявления и излъчванията на живо на произнасянето на съдебни решения и на представянето становищата на генералните адвокати; отбелязва освен това, че от 1 септември 2024 г. насам видеозаписите от съдебните заседания за постановяване на съдебни решения и представяне на становища на генералните адвокати остават постоянно на разположение на уебсайта на Съда на ЕС, а видеозаписите от устните изявления са достъпни за един месец след заседанието; отбелязва със задоволство, че Общият съд е предприел подобни мерки, за да гарантира разширен достъп на обществеността до производствата пред него;</w:t>
      </w:r>
    </w:p>
    <w:p w14:paraId="00F2D347" w14:textId="77777777" w:rsidR="00DC2930" w:rsidRPr="00975AEC" w:rsidRDefault="00DC2930" w:rsidP="00DC2930">
      <w:pPr>
        <w:pStyle w:val="NormalHanging12a"/>
      </w:pPr>
      <w:r w:rsidRPr="00975AEC">
        <w:t>43.</w:t>
      </w:r>
      <w:r w:rsidRPr="00975AEC">
        <w:tab/>
        <w:t>отбелязва, че през 2024 г. Съдът на ЕС е регистрирал 20 заявления за публичен достъп до административни документи и е предоставил достъп до административни документи в 15 случая; отбелязва, че Европейският омбудсман не е разгледал нито един случай, засягащ Съда на ЕС;</w:t>
      </w:r>
    </w:p>
    <w:p w14:paraId="7EA0036F" w14:textId="77777777" w:rsidR="00DC2930" w:rsidRPr="00516017" w:rsidRDefault="00DC2930" w:rsidP="00DC2930">
      <w:pPr>
        <w:pStyle w:val="NormalHanging12a"/>
        <w:ind w:left="0" w:firstLine="0"/>
        <w:rPr>
          <w:b/>
          <w:i/>
          <w:iCs/>
        </w:rPr>
      </w:pPr>
      <w:r w:rsidRPr="00516017">
        <w:rPr>
          <w:b/>
          <w:i/>
          <w:iCs/>
        </w:rPr>
        <w:t>Цифровизация, киберсигурност и защита на данните</w:t>
      </w:r>
    </w:p>
    <w:p w14:paraId="5BB0C5D1" w14:textId="77777777" w:rsidR="00DC2930" w:rsidRPr="00975AEC" w:rsidRDefault="00DC2930" w:rsidP="00DC2930">
      <w:pPr>
        <w:spacing w:after="240"/>
        <w:ind w:left="567" w:hanging="567"/>
      </w:pPr>
      <w:r w:rsidRPr="00975AEC">
        <w:t>44.</w:t>
      </w:r>
      <w:r w:rsidRPr="00975AEC">
        <w:tab/>
        <w:t>отбелязва, че през 2024 г., в сравнение с 2023 г., бюджетните разходи са намалели с 9% за проекти в областта на информационните технологии и с 69% за проекти в областта на киберсигурността, като същевременно са се увеличили с 16% за ИТ оборудване и с 2% за услуги, лицензи и оборудване в областта на киберсигурността; отбелязва, че значителното намаление на проектите в областта на информационните технологии се дължи на факта, че някои проекти в областта на киберсигурността са навлезли в оперативната фаза през 2024 г. и следователно свързаните с тях разходи са включени в бюджета за стандартни операции;</w:t>
      </w:r>
    </w:p>
    <w:p w14:paraId="27A1B81F" w14:textId="77777777" w:rsidR="00DC2930" w:rsidRPr="00975AEC" w:rsidRDefault="00DC2930" w:rsidP="00DC2930">
      <w:pPr>
        <w:spacing w:after="240"/>
        <w:ind w:left="567" w:hanging="567"/>
      </w:pPr>
      <w:r w:rsidRPr="00975AEC">
        <w:t>45.</w:t>
      </w:r>
      <w:r w:rsidRPr="00975AEC">
        <w:tab/>
        <w:t>поздравява Съда на ЕС за напредъка, постигнат по различни цифрови проекти през 2024 г., като например въвеждането на модернизираната програма SIGA за интегрирано управление на данни и дела, засиленото и подобрено използване на приложението HAN/</w:t>
      </w:r>
      <w:proofErr w:type="spellStart"/>
      <w:r w:rsidRPr="00975AEC">
        <w:t>Ares</w:t>
      </w:r>
      <w:proofErr w:type="spellEnd"/>
      <w:r w:rsidRPr="00975AEC">
        <w:t xml:space="preserve"> (електронната система на Съда на ЕС за регистрация и управление на документи), въвеждането на EU </w:t>
      </w:r>
      <w:proofErr w:type="spellStart"/>
      <w:r w:rsidRPr="00975AEC">
        <w:t>Sign</w:t>
      </w:r>
      <w:proofErr w:type="spellEnd"/>
      <w:r w:rsidRPr="00975AEC">
        <w:t xml:space="preserve"> (система за електронен подпис) и преразглеждането както на уебсайта </w:t>
      </w:r>
      <w:proofErr w:type="spellStart"/>
      <w:r w:rsidRPr="00975AEC">
        <w:t>Curia</w:t>
      </w:r>
      <w:proofErr w:type="spellEnd"/>
      <w:r w:rsidRPr="00975AEC">
        <w:t xml:space="preserve">, така и на инструмента за търсене </w:t>
      </w:r>
      <w:proofErr w:type="spellStart"/>
      <w:r w:rsidRPr="00975AEC">
        <w:t>InfoCuria</w:t>
      </w:r>
      <w:proofErr w:type="spellEnd"/>
      <w:r w:rsidRPr="00975AEC">
        <w:t>; признава, че е важно да се увеличи използването на приложението e-</w:t>
      </w:r>
      <w:proofErr w:type="spellStart"/>
      <w:r w:rsidRPr="00975AEC">
        <w:t>Curia</w:t>
      </w:r>
      <w:proofErr w:type="spellEnd"/>
      <w:r w:rsidRPr="00975AEC">
        <w:t xml:space="preserve"> за подаване и съобщаване на процесуални документи по електронен път;</w:t>
      </w:r>
    </w:p>
    <w:p w14:paraId="022144E6" w14:textId="77777777" w:rsidR="00DC2930" w:rsidRPr="00975AEC" w:rsidRDefault="00DC2930" w:rsidP="00DC2930">
      <w:pPr>
        <w:spacing w:after="240"/>
        <w:ind w:left="567" w:hanging="567"/>
      </w:pPr>
      <w:r w:rsidRPr="00975AEC">
        <w:t>46.</w:t>
      </w:r>
      <w:r w:rsidRPr="00975AEC">
        <w:tab/>
        <w:t xml:space="preserve">отбелязва, че Съдът на ЕС е продължил да автоматизира своите процеси с използването, считано от 2024 г., на роботизиран софтуер за обработка на повтарящи се задачи, като например транскрипция на съдебни заседания и плащане на фактури; очаква, че прилагането на решения за роботизирана автоматизация на процесите ще спомогне за оптимизиране на ресурсите в целия Съд на ЕС; признава значението на междуинституционалното сътрудничество в полза на Съда на ЕС, що се отнася до ефективността, генерирана от използването на големи информационни системи за управление на документи и записи </w:t>
      </w:r>
      <w:r w:rsidRPr="00975AEC">
        <w:lastRenderedPageBreak/>
        <w:t>(HAN/</w:t>
      </w:r>
      <w:proofErr w:type="spellStart"/>
      <w:r w:rsidRPr="00975AEC">
        <w:t>Ares</w:t>
      </w:r>
      <w:proofErr w:type="spellEnd"/>
      <w:r w:rsidRPr="00975AEC">
        <w:t>), човешки ресурси (</w:t>
      </w:r>
      <w:proofErr w:type="spellStart"/>
      <w:r w:rsidRPr="00975AEC">
        <w:t>Sysper</w:t>
      </w:r>
      <w:proofErr w:type="spellEnd"/>
      <w:r w:rsidRPr="00975AEC">
        <w:t xml:space="preserve"> и въпроси, свързани с персонала), управление на финансови записи (SAP) и други системи на Комисията (основани на изкуствен интелект), например за преводачески услуги (</w:t>
      </w:r>
      <w:proofErr w:type="spellStart"/>
      <w:r w:rsidRPr="00975AEC">
        <w:t>eTranslation</w:t>
      </w:r>
      <w:proofErr w:type="spellEnd"/>
      <w:r w:rsidRPr="00975AEC">
        <w:t>);</w:t>
      </w:r>
    </w:p>
    <w:p w14:paraId="515CD18B" w14:textId="77777777" w:rsidR="00DC2930" w:rsidRPr="00975AEC" w:rsidRDefault="00DC2930" w:rsidP="00DC2930">
      <w:pPr>
        <w:spacing w:after="240"/>
        <w:ind w:left="567" w:hanging="567"/>
      </w:pPr>
      <w:r w:rsidRPr="00975AEC">
        <w:t>47.</w:t>
      </w:r>
      <w:r w:rsidRPr="00975AEC">
        <w:tab/>
        <w:t xml:space="preserve">отбелязва с интерес стартирането през 2024 г. на пилотен проект, който предоставя на всички служби на Съда на ЕС достъп до асистенти в областта на изкуствения интелект; подчертава, че е важно да се гарантира спазването на етичните принципи при използването на инструменти с изкуствен интелект, и по-специално на Насоките на Съда на ЕС относно изкуствения интелект, приети през 2024 г., като по този начин се гарантира човешки надзор по отношение на принципа на независимост на съдебните производства; подчертава, че използването на инструменти с изкуствен интелект в съдебна среда никога не трябва да замества правните съображения на човека или свободата на преценка на съда, нито да подкопава личната отговорност на съдиите; подчертава в този контекст надзорната роля на Управителния съвет по изкуствен интелект на Съда на ЕС; поздравява Съда на ЕС за всеобхватната програма за обучение, която е въвел през 2024 г., като се започне с „месец на осведомеността относно изкуствения интелект“, който включва сесии за обучение, кръгли маси, ръководени от експерти в областта на изкуствения интелект, </w:t>
      </w:r>
      <w:proofErr w:type="spellStart"/>
      <w:r w:rsidRPr="00975AEC">
        <w:t>уебинари</w:t>
      </w:r>
      <w:proofErr w:type="spellEnd"/>
      <w:r w:rsidRPr="00975AEC">
        <w:t xml:space="preserve"> и интензивни програми, като по този начин се предприема първа и важна стъпка към повишаване на осведомеността на служителите за стратегията и насоките на Съда на ЕС относно изкуствения интелект и изкуствения интелект като цяло; отбелязва, че служителите също така посещават курсове по управление на промените, трансфер на знания, наставничество и психическа гъвкавост, за да се подкрепи адаптирането към нововъзникващите технологии; приканва Съда на ЕС да продължи да организира такива програми за обучение и повишаване на осведомеността;</w:t>
      </w:r>
    </w:p>
    <w:p w14:paraId="70DF9EDB" w14:textId="77777777" w:rsidR="00DC2930" w:rsidRPr="00975AEC" w:rsidRDefault="00DC2930" w:rsidP="00DC2930">
      <w:pPr>
        <w:spacing w:after="240"/>
        <w:ind w:left="567" w:hanging="567"/>
      </w:pPr>
      <w:r w:rsidRPr="00975AEC">
        <w:t>48.</w:t>
      </w:r>
      <w:r w:rsidRPr="00975AEC">
        <w:tab/>
        <w:t>отбелязва въз основа на доклада за последващите действия, че след влизането в сила на новия Регламент за киберсигурността в началото на 2024 г. Съдът на ЕС е изготвил план за действие в областта на киберсигурността и изпълнява свързани с него проекти за инфраструктура в областта на информационните технологии; отбелязва, че Съдът на ЕС провежда годишно най-малко три изпитвания за възстановяване на дейността при бедствия, обхващащи системите на място, телекомуникационните услуги и евентуален срив на услугите на интернет доставчика;</w:t>
      </w:r>
    </w:p>
    <w:p w14:paraId="4DDE34D7" w14:textId="77777777" w:rsidR="00DC2930" w:rsidRPr="00975AEC" w:rsidRDefault="00DC2930" w:rsidP="00DC2930">
      <w:pPr>
        <w:spacing w:after="240"/>
        <w:ind w:left="567" w:hanging="567"/>
      </w:pPr>
      <w:r w:rsidRPr="00975AEC">
        <w:t>49.</w:t>
      </w:r>
      <w:r w:rsidRPr="00975AEC">
        <w:tab/>
        <w:t>отбелязва, че оперативните способности в областта на киберсигурността бяха допълнително укрепени през 2024 г. с цел спазване на Регламент (ЕС, Евратом) 2023/2841 и справяне с нарастващия брой кибератаки; отбелязва, че през 2024 г. не са извършени големи кибератаки; отбелязва със загриженост, че са регистрирани и анализирани средно 142 инцидента на месец, свързани със сигурността, някои от които изискват човешка намеса; подчертава, че киберсигурността е стратегическа инвестиция, която е от съществено значение за гарантиране на независимостта на съдебната власт, целостта на данните и непрекъснатостта на съдебната дейност, като следователно подчертава необходимостта от устойчиви и предвидими инвестиции в способностите в областта на киберсигурността, обучението на персонала и междуинституционалното сътрудничество;</w:t>
      </w:r>
    </w:p>
    <w:p w14:paraId="609DEA8E" w14:textId="77777777" w:rsidR="00DC2930" w:rsidRPr="00975AEC" w:rsidRDefault="00DC2930" w:rsidP="00DC2930">
      <w:pPr>
        <w:spacing w:after="240"/>
        <w:ind w:left="567" w:hanging="567"/>
      </w:pPr>
      <w:r w:rsidRPr="00975AEC">
        <w:t>50.</w:t>
      </w:r>
      <w:r w:rsidRPr="00975AEC">
        <w:tab/>
        <w:t xml:space="preserve">отбелязва, че проведеното от Европейския надзорен орган по защита на данните </w:t>
      </w:r>
      <w:r w:rsidRPr="00975AEC">
        <w:lastRenderedPageBreak/>
        <w:t xml:space="preserve">(ЕНОЗД) разследване на използването на услуги в облак, предоставяни от </w:t>
      </w:r>
      <w:proofErr w:type="spellStart"/>
      <w:r w:rsidRPr="00975AEC">
        <w:t>Amazon</w:t>
      </w:r>
      <w:proofErr w:type="spellEnd"/>
      <w:r w:rsidRPr="00975AEC">
        <w:t xml:space="preserve"> </w:t>
      </w:r>
      <w:proofErr w:type="spellStart"/>
      <w:r w:rsidRPr="00975AEC">
        <w:t>Web</w:t>
      </w:r>
      <w:proofErr w:type="spellEnd"/>
      <w:r w:rsidRPr="00975AEC">
        <w:t xml:space="preserve"> Services и Microsoft по договори „</w:t>
      </w:r>
      <w:proofErr w:type="spellStart"/>
      <w:r w:rsidRPr="00975AEC">
        <w:t>Cloud</w:t>
      </w:r>
      <w:proofErr w:type="spellEnd"/>
      <w:r w:rsidRPr="00975AEC">
        <w:t xml:space="preserve"> II“, от институциите, органите и агенциите на Съюза, беше приключено през 2025 г.; отбелязва освен това, че Съдът на ЕС не е получил никакви препоръки след това разследване;</w:t>
      </w:r>
    </w:p>
    <w:p w14:paraId="253C2A3F" w14:textId="77777777" w:rsidR="00DC2930" w:rsidRPr="00975AEC" w:rsidRDefault="00DC2930" w:rsidP="00DC2930">
      <w:pPr>
        <w:spacing w:after="240"/>
        <w:ind w:left="567" w:hanging="567"/>
      </w:pPr>
      <w:r w:rsidRPr="00975AEC">
        <w:t>51.</w:t>
      </w:r>
      <w:r w:rsidRPr="00975AEC">
        <w:tab/>
        <w:t xml:space="preserve">отбелязва, че, като част от всеобхватната си инициатива за увеличаване на достъпността и приобщаването на уязвимите лица, Съдът на ЕС продължава да прилага подхода „достъпност още при проектирането“ за всяка промяна и развитие на информационните си системи; отбелязва, че вследствие на одит на уебсайта </w:t>
      </w:r>
      <w:proofErr w:type="spellStart"/>
      <w:r w:rsidRPr="00975AEC">
        <w:t>Curia</w:t>
      </w:r>
      <w:proofErr w:type="spellEnd"/>
      <w:r w:rsidRPr="00975AEC">
        <w:t xml:space="preserve"> през 2023 г. Съдът на ЕС въвежда технологии за подобряване на достъпността на сайта за широк кръг потребители, като например хората със зрителни, слухови или когнитивни увреждания; приканва Съда на ЕС да информира редовно органа по освобождаване от отговорност по този въпрос;</w:t>
      </w:r>
    </w:p>
    <w:p w14:paraId="102D7281" w14:textId="77777777" w:rsidR="00DC2930" w:rsidRPr="00516017" w:rsidRDefault="00DC2930" w:rsidP="00DC2930">
      <w:pPr>
        <w:pStyle w:val="NormalHanging12a"/>
        <w:ind w:left="0" w:firstLine="0"/>
        <w:rPr>
          <w:b/>
          <w:i/>
          <w:iCs/>
        </w:rPr>
      </w:pPr>
      <w:r w:rsidRPr="00516017">
        <w:rPr>
          <w:b/>
          <w:i/>
          <w:iCs/>
        </w:rPr>
        <w:t>Сгради</w:t>
      </w:r>
    </w:p>
    <w:p w14:paraId="3A8E7A82" w14:textId="77777777" w:rsidR="00DC2930" w:rsidRPr="00975AEC" w:rsidRDefault="00DC2930" w:rsidP="00DC2930">
      <w:pPr>
        <w:pStyle w:val="NormalHanging12a"/>
      </w:pPr>
      <w:r w:rsidRPr="00975AEC">
        <w:t>52.</w:t>
      </w:r>
      <w:r w:rsidRPr="00975AEC">
        <w:tab/>
        <w:t xml:space="preserve">отбелязва въз основа на доклада за последващите действия, че в рамките на два пилотни проекта за най-ефективно използване на помещенията на Съда на ЕС през 2024 г. са проведени няколко семинара, което е довело до разработването на две схеми, съобразени с потребностите на всяка служба; отбелязва, че последващите действия във връзка с тези проекти са били спрени, за да се даде най-напред време за оценка на въздействието, което интегрирането на изкуствения интелект може да окаже върху методите на работа на Съда на ЕС и в крайна сметка върху използването на пространството и офисите; </w:t>
      </w:r>
    </w:p>
    <w:p w14:paraId="06FE972F" w14:textId="77777777" w:rsidR="00DC2930" w:rsidRPr="00975AEC" w:rsidRDefault="00DC2930" w:rsidP="00DC2930">
      <w:pPr>
        <w:pStyle w:val="NormalHanging12a"/>
      </w:pPr>
      <w:r w:rsidRPr="00975AEC">
        <w:t>53.</w:t>
      </w:r>
      <w:r w:rsidRPr="00975AEC">
        <w:tab/>
        <w:t>отбелязва, че през 2024 г. Съдът на ЕС продължи всеобхватната си инициатива за увеличаване на достъпността и приобщаването за хората с увреждания; отбелязва по-специално, че Съдът на ЕС е изготвил дългосрочен план за действие, за да гарантира, че неговите сгради отговарят на законовите стандарти за достъпност от 1 януари 2032 г., както се изисква от люксембургското законодателство; оценява факта, че Съдът на ЕС е създал опис на точките за отстраняване за части от своята инфраструктура и е възложил на архитект проучване за осъществимост, което ще определи необходимите действия, които да бъдат предприети; приканва Съда на ЕС да информира редовно органа по освобождаване от отговорност по този въпрос;</w:t>
      </w:r>
    </w:p>
    <w:p w14:paraId="6FFAA443" w14:textId="77777777" w:rsidR="00DC2930" w:rsidRPr="00516017" w:rsidRDefault="00DC2930" w:rsidP="00DC2930">
      <w:pPr>
        <w:pStyle w:val="NormalHanging12a"/>
        <w:ind w:left="0" w:firstLine="0"/>
        <w:rPr>
          <w:b/>
          <w:i/>
          <w:iCs/>
        </w:rPr>
      </w:pPr>
      <w:r w:rsidRPr="00516017">
        <w:rPr>
          <w:b/>
          <w:i/>
          <w:iCs/>
        </w:rPr>
        <w:t>Околна среда и устойчивост</w:t>
      </w:r>
    </w:p>
    <w:p w14:paraId="7D7C9566" w14:textId="77777777" w:rsidR="00DC2930" w:rsidRPr="00975AEC" w:rsidRDefault="00DC2930" w:rsidP="00DC2930">
      <w:pPr>
        <w:spacing w:after="240"/>
        <w:ind w:left="567" w:hanging="567"/>
      </w:pPr>
      <w:r w:rsidRPr="00975AEC">
        <w:t>54.</w:t>
      </w:r>
      <w:r w:rsidRPr="00975AEC">
        <w:tab/>
        <w:t>поздравява Съда на ЕС за непрекъснатите му усилия и значителния му напредък в намаляването на отпечатъка му върху околната среда през 2024 г., както се вижда от резултатите му спрямо базовата линия на Схемата за управление по околна среда и одит (EMAS) от 2015 г. с постигнати намаления на еквивалент на пълно работно време (ЕПРВ), постигнати при много видове потребление/емисии (отопление: - 37,5 %; електроенергия: -29,3 %; хартия: -64,2 %, отпадъци от офиси и столови: -40,4 %; емисии на парникови газове: -26,7 %); отбелязва цялостно подобрение в сравнение с намаленията, докладвани за 2023 г.; признава, че тези резултати, съчетани с пазарните условия, доведоха до намаляване на разходите за енергия с 18% в сравнение с прогнозите; приветства в този контекст стабилното интегриране на устойчивостта в рамката на Съда на ЕС за управление на риска и отчетност, както се изисква от неговото сертифициране по EMAS;</w:t>
      </w:r>
    </w:p>
    <w:p w14:paraId="2F7C5C06" w14:textId="77777777" w:rsidR="00DC2930" w:rsidRPr="00975AEC" w:rsidRDefault="00DC2930" w:rsidP="00DC2930">
      <w:pPr>
        <w:spacing w:after="240"/>
        <w:ind w:left="567" w:hanging="567"/>
      </w:pPr>
      <w:r w:rsidRPr="00975AEC">
        <w:lastRenderedPageBreak/>
        <w:t>55.</w:t>
      </w:r>
      <w:r w:rsidRPr="00975AEC">
        <w:tab/>
        <w:t>приветства значителните инвестиции през 2024 г. за повишаване на енергийната ефективност на сградите на Съда на ЕС, включително почти 1,5 милиона евро за широко разпространеното инсталиране на светодиодно осветление и над 0,4 милиона евро за работи по изолиране на сгради; отбелязва със задоволство, че цялата закупена електроенергия е от възобновяеми източници и че отоплението се доставя от районна система, захранвана с биомаса; приветства ангажимента на Съда на ЕС да подготви своите доставки на зелена енергия за бъдещето чрез планирано участие в споразумения за закупуване на електроенергия (СЗЕ);</w:t>
      </w:r>
    </w:p>
    <w:p w14:paraId="50E3104B" w14:textId="77777777" w:rsidR="00DC2930" w:rsidRPr="00975AEC" w:rsidRDefault="00DC2930" w:rsidP="00DC2930">
      <w:pPr>
        <w:spacing w:after="240"/>
        <w:ind w:left="567" w:hanging="567"/>
      </w:pPr>
      <w:r w:rsidRPr="00975AEC">
        <w:t>56.</w:t>
      </w:r>
      <w:r w:rsidRPr="00975AEC">
        <w:tab/>
        <w:t>поздравява Съда на ЕС за неговия строг подход към устойчивите обществени поръчки чрез категоризиране на поканите за представяне на оферти въз основа на въздействието („светлозелено“, „средно зелено“, „най-силно зелено“) на техните екологични клаузи, системното използване на инструменти като задължителната самооценка на „екологичните резултати“ и консултацията с междуинституционалното информационно бюро за устойчиви обществени поръчки; отбелязва, че през 2024 г. осем големи процедури за обществени поръчки на стойност над 60 000 EUR са били за „зелени покупки“, шест от които са включвали съществени екологични клаузи; приветства по-специално успешното изпълнение на новия договор за кетъринг, който изисква устойчиви практики в областта на храните и притежава сертификат ISO 14001, както и постигането на целта за ограничаване на „светлозелените“ оферти до доста под целта за 50%;</w:t>
      </w:r>
    </w:p>
    <w:p w14:paraId="31F4FD57" w14:textId="77777777" w:rsidR="00DC2930" w:rsidRPr="00975AEC" w:rsidRDefault="00DC2930" w:rsidP="00DC2930">
      <w:pPr>
        <w:spacing w:after="240"/>
        <w:ind w:left="567" w:hanging="567"/>
      </w:pPr>
      <w:r w:rsidRPr="00975AEC">
        <w:t>57.</w:t>
      </w:r>
      <w:r w:rsidRPr="00975AEC">
        <w:tab/>
        <w:t xml:space="preserve">поздравява Съда на ЕС за неговата всеобхватна и ефективна стратегия за устойчива мобилност за персонала и членовете; отбелязва в този контекст продължаващите субсидии за обществения транспорт за трансгранично пътуване до работното място и схемата за велосипеди </w:t>
      </w:r>
      <w:proofErr w:type="spellStart"/>
      <w:r w:rsidRPr="00975AEC">
        <w:t>Vel’Oh</w:t>
      </w:r>
      <w:proofErr w:type="spellEnd"/>
      <w:r w:rsidRPr="00975AEC">
        <w:t xml:space="preserve">! наред със значителните подобрения на инфраструктурата, включително инсталирането през 2024 г. на множество зарядни точки за електрически и хибридни превозни средства; </w:t>
      </w:r>
    </w:p>
    <w:p w14:paraId="1EA7C242" w14:textId="77777777" w:rsidR="00DC2930" w:rsidRPr="00975AEC" w:rsidRDefault="00DC2930" w:rsidP="00DC2930">
      <w:pPr>
        <w:spacing w:after="240"/>
        <w:ind w:left="567" w:hanging="567"/>
      </w:pPr>
      <w:r w:rsidRPr="00975AEC">
        <w:t>58.</w:t>
      </w:r>
      <w:r w:rsidRPr="00975AEC">
        <w:tab/>
        <w:t>отбелязва значителния преход към устойчиви методи на работа със значително увеличаване на използването на видеоконферентна връзка от членовете на Съда на ЕС с цел избягване на пътувания, за което свидетелстват 131 такива командировки през 2024 г. в сравнение само с три през 2019 г.; освен това приветства продължаващата цифровизация на процесите, която, в съчетание с премахването на 80% от личните принтери, е ключов фактор за драстичното намаляване на потреблението на хартия от Съда на ЕС;</w:t>
      </w:r>
    </w:p>
    <w:p w14:paraId="24D414AD" w14:textId="77777777" w:rsidR="00DC2930" w:rsidRPr="00516017" w:rsidRDefault="00DC2930" w:rsidP="00DC2930">
      <w:pPr>
        <w:pStyle w:val="NormalHanging12a"/>
        <w:rPr>
          <w:b/>
          <w:i/>
          <w:iCs/>
        </w:rPr>
      </w:pPr>
      <w:r w:rsidRPr="00516017">
        <w:rPr>
          <w:b/>
          <w:i/>
          <w:iCs/>
        </w:rPr>
        <w:t>Междуинституционално сътрудничество</w:t>
      </w:r>
    </w:p>
    <w:p w14:paraId="7729FB40" w14:textId="77777777" w:rsidR="00DC2930" w:rsidRPr="00975AEC" w:rsidRDefault="00DC2930" w:rsidP="00DC2930">
      <w:pPr>
        <w:pStyle w:val="NormalHanging12a"/>
      </w:pPr>
      <w:r w:rsidRPr="00975AEC">
        <w:t>59.</w:t>
      </w:r>
      <w:r w:rsidRPr="00975AEC">
        <w:tab/>
        <w:t>отбелязва сътрудничеството между Съда на ЕС и други институции и по-специално споделените приложения и хостинг услугите въз основа на споразумения за нивото на обслужване с Комисията, както и участието в междуинституционални процедури за възлагане на обществени поръчки, които са позволили на Съда на ЕС да оптимизира разходите и ресурсите; признава значението на междуинституционалното сътрудничество между Съда на ЕС и Службата за киберсигурност за институциите, органите, службите и агенциите на Съюза (CERT-EU) и Агенцията на Европейския съюз за киберсигурност (ENISA), включително участието в технически консултативни групи относно инструментите, методологиите и осведомеността, както и в инициативата на CERT-EU за генеративен изкуствен интелект;</w:t>
      </w:r>
    </w:p>
    <w:p w14:paraId="2098AE41" w14:textId="77777777" w:rsidR="00DC2930" w:rsidRPr="00975AEC" w:rsidRDefault="00DC2930" w:rsidP="00DC2930">
      <w:pPr>
        <w:pStyle w:val="NormalHanging12a"/>
      </w:pPr>
      <w:r w:rsidRPr="00975AEC">
        <w:lastRenderedPageBreak/>
        <w:t>60.</w:t>
      </w:r>
      <w:r w:rsidRPr="00975AEC">
        <w:tab/>
        <w:t>отбелязва, че Съдът на ЕС е сключил няколко споразумения за нивото на обслужване за поддръжка на инфраструктурата в областта на информационните технологии, използване на инструменти в областта на човешките ресурси, изплащане на суми по някои индивидуални права и използване на системата за управление на документи HAN/</w:t>
      </w:r>
      <w:proofErr w:type="spellStart"/>
      <w:r w:rsidRPr="00975AEC">
        <w:t>Ares</w:t>
      </w:r>
      <w:proofErr w:type="spellEnd"/>
      <w:r w:rsidRPr="00975AEC">
        <w:t>; приветства подновяването на годишното споразумение за финансиране, сключено със службите за писмени преводи на други институции на Съюза; отбелязва, че през 2024 г. той е подписал два меморандума за разбирателство с Комисията и Парламента: меморандум за разбирателство относно споделянето на финансовата тежест, свързана с използването на инструмент за дистанционно изпитване за междуинституционален тест за акредитация, и меморандум за разбирателство относно споделянето на разходите за съвместни информационни дейности на службите за устен превод;</w:t>
      </w:r>
    </w:p>
    <w:p w14:paraId="1C61AB96" w14:textId="77777777" w:rsidR="00DC2930" w:rsidRPr="00975AEC" w:rsidRDefault="00DC2930" w:rsidP="00DC2930">
      <w:pPr>
        <w:pStyle w:val="NormalHanging12a"/>
      </w:pPr>
      <w:r w:rsidRPr="00975AEC">
        <w:t>61.</w:t>
      </w:r>
      <w:r w:rsidRPr="00975AEC">
        <w:tab/>
        <w:t xml:space="preserve">оценява факта, че Съдът на ЕС си сътрудничи изцяло с Европейската служба за борба с измамите (OLAF), Палатата, ЕНОЗД и Европейския омбудсман; отбелязва партньорството на Съда на ЕС с Европейската мрежа за съдебно обучение, което помага на Съда на ЕС в работата му за насърчаване на обща съдебна култура в целия Съюз, като гарантира последователното и еднакво прилагане на правото на Съюза във всички държави членки и укрепва взаимното доверие между националните съдебни системи и Съда на ЕС; в този контекст оценява организирането на годишни срещи с кореспондентите на националните съдилища, тематичните групи, </w:t>
      </w:r>
      <w:proofErr w:type="spellStart"/>
      <w:r w:rsidRPr="00975AEC">
        <w:t>уебинарите</w:t>
      </w:r>
      <w:proofErr w:type="spellEnd"/>
      <w:r w:rsidRPr="00975AEC">
        <w:t xml:space="preserve"> и посещенията на представители на Съда на ЕС в националните съдилища и обратно; отбелязва по-специално за 2024 г. годишната среща на кореспондентите на Европейската мрежа за съдебно обучение, която се проведе в Брюксел, посещението във Варшава на делегация от Общия съд, както и годишната среща на съдиите в рамките на специална конференция, проведена в Съда на ЕС за отбелязване на 20-ата годишнина от разширяването през 2004 г.; отбелязва освен това въз основа на доклада за последващите действия, че през 2024 г. по-голям брой съдии са участвали в семинари, а специалисти в областта на националното правосъдие от три нови държави членки са подали заявленията си за първи път за дългосрочните програми на Съда на ЕС за обучение;</w:t>
      </w:r>
    </w:p>
    <w:p w14:paraId="6A006744" w14:textId="77777777" w:rsidR="00DC2930" w:rsidRPr="00975AEC" w:rsidRDefault="00DC2930" w:rsidP="00DC2930">
      <w:pPr>
        <w:pStyle w:val="NormalHanging12a"/>
      </w:pPr>
      <w:r w:rsidRPr="00975AEC">
        <w:t>62.</w:t>
      </w:r>
      <w:r w:rsidRPr="00975AEC">
        <w:tab/>
        <w:t>приветства факта, че Съдът на ЕС и Парламентът решиха да провеждат годишни срещи, които са замислени като диалози по теми от общ интерес, като например администрацията, потенциала за подобряване на съдебната система или възприемането от страна на гражданите на принципите на правовата държава; отбелязва, че първата такава среща беше проведена през март 2024 г.;</w:t>
      </w:r>
    </w:p>
    <w:p w14:paraId="2C868A60" w14:textId="77777777" w:rsidR="00DC2930" w:rsidRPr="00516017" w:rsidRDefault="00DC2930" w:rsidP="00DC2930">
      <w:pPr>
        <w:pStyle w:val="NormalHanging12a"/>
        <w:ind w:left="0" w:firstLine="0"/>
        <w:rPr>
          <w:b/>
          <w:i/>
          <w:iCs/>
        </w:rPr>
      </w:pPr>
      <w:r w:rsidRPr="00516017">
        <w:rPr>
          <w:b/>
          <w:i/>
          <w:iCs/>
        </w:rPr>
        <w:t>Комуникация</w:t>
      </w:r>
    </w:p>
    <w:p w14:paraId="40774337" w14:textId="77777777" w:rsidR="00DC2930" w:rsidRPr="00975AEC" w:rsidRDefault="00DC2930" w:rsidP="00DC2930">
      <w:pPr>
        <w:pStyle w:val="NormalHanging12a"/>
      </w:pPr>
      <w:r w:rsidRPr="00975AEC">
        <w:t>63.</w:t>
      </w:r>
      <w:r w:rsidRPr="00975AEC">
        <w:tab/>
        <w:t>отбелязва, че Съдът на ЕС организира редовни посещения с общо 16 319 посетители, регистрирани през 2024 г.; отбелязва, че през тази година около 2 500 от тези посетители са присъствали на Деня на отворените врати на Съда на ЕС; отбелязва освен това, че освен редовните посещения Съдът на ЕС организира и виртуални посещения; отбелязва, че 7% от всички посетители на Съда на ЕС през 2024 г. са били виртуални, като 43% от тях са били студенти;</w:t>
      </w:r>
    </w:p>
    <w:p w14:paraId="3A5A739E" w14:textId="77777777" w:rsidR="00DC2930" w:rsidRPr="00975AEC" w:rsidRDefault="00DC2930" w:rsidP="00DC2930">
      <w:pPr>
        <w:pStyle w:val="NormalHanging12a"/>
      </w:pPr>
      <w:r w:rsidRPr="00975AEC">
        <w:t>64.</w:t>
      </w:r>
      <w:r w:rsidRPr="00975AEC">
        <w:tab/>
        <w:t xml:space="preserve">отбелязва, че през 2024 г. Съдът на ЕС е засилил усилията си за диалог с гражданите на Съюза, като е разширил обхвата си в социалните медии; отбелязва, че в края на 2024 г. броят на абонатите на профила на Съда на ЕС в </w:t>
      </w:r>
      <w:proofErr w:type="spellStart"/>
      <w:r w:rsidRPr="00975AEC">
        <w:t>LinkedIn</w:t>
      </w:r>
      <w:proofErr w:type="spellEnd"/>
      <w:r w:rsidRPr="00975AEC">
        <w:t xml:space="preserve"> се е </w:t>
      </w:r>
      <w:r w:rsidRPr="00975AEC">
        <w:lastRenderedPageBreak/>
        <w:t xml:space="preserve">увеличил с 26%, а броят на последователите в двата профила на Съда на ЕС в X (преди </w:t>
      </w:r>
      <w:proofErr w:type="spellStart"/>
      <w:r w:rsidRPr="00975AEC">
        <w:t>Twitter</w:t>
      </w:r>
      <w:proofErr w:type="spellEnd"/>
      <w:r w:rsidRPr="00975AEC">
        <w:t xml:space="preserve">) — с 2,5%, докато гледанията на канала му в </w:t>
      </w:r>
      <w:proofErr w:type="spellStart"/>
      <w:r w:rsidRPr="00975AEC">
        <w:t>YouTube</w:t>
      </w:r>
      <w:proofErr w:type="spellEnd"/>
      <w:r w:rsidRPr="00975AEC">
        <w:t xml:space="preserve"> са се увеличили с 137%, а броят на абонатите му в </w:t>
      </w:r>
      <w:proofErr w:type="spellStart"/>
      <w:r w:rsidRPr="00975AEC">
        <w:t>YouTube</w:t>
      </w:r>
      <w:proofErr w:type="spellEnd"/>
      <w:r w:rsidRPr="00975AEC">
        <w:t xml:space="preserve"> се е увеличил с повече от 329% в сравнение с предходната година; отбелязва, че параболичното увеличение на гледанията и абонатите се дължи отчасти на рекламна кампания, организирана от Съда на ЕС;</w:t>
      </w:r>
    </w:p>
    <w:p w14:paraId="3B1237AF" w14:textId="77777777" w:rsidR="00DC2930" w:rsidRPr="00975AEC" w:rsidRDefault="00DC2930" w:rsidP="00DC2930">
      <w:pPr>
        <w:pStyle w:val="NormalHanging12a"/>
      </w:pPr>
      <w:r w:rsidRPr="00975AEC">
        <w:t>65.</w:t>
      </w:r>
      <w:r w:rsidRPr="00975AEC">
        <w:tab/>
        <w:t xml:space="preserve">отбелязва, че през 2024 г. Съдът на ЕС започна проучване относно разширяването на присъствието си в социалните медии, което доведе до решението за откриване на профили в Instagram, </w:t>
      </w:r>
      <w:proofErr w:type="spellStart"/>
      <w:r w:rsidRPr="00975AEC">
        <w:t>Bluesky</w:t>
      </w:r>
      <w:proofErr w:type="spellEnd"/>
      <w:r w:rsidRPr="00975AEC">
        <w:t xml:space="preserve">, </w:t>
      </w:r>
      <w:proofErr w:type="spellStart"/>
      <w:r w:rsidRPr="00975AEC">
        <w:t>Threads</w:t>
      </w:r>
      <w:proofErr w:type="spellEnd"/>
      <w:r w:rsidRPr="00975AEC">
        <w:t xml:space="preserve"> и </w:t>
      </w:r>
      <w:proofErr w:type="spellStart"/>
      <w:r w:rsidRPr="00975AEC">
        <w:t>WhatsApp</w:t>
      </w:r>
      <w:proofErr w:type="spellEnd"/>
      <w:r w:rsidRPr="00975AEC">
        <w:t xml:space="preserve"> през 2025 г.;</w:t>
      </w:r>
    </w:p>
    <w:p w14:paraId="44EF12C2" w14:textId="05E02957" w:rsidR="00975AEC" w:rsidRPr="00975AEC" w:rsidRDefault="00DC2930" w:rsidP="00975AEC">
      <w:pPr>
        <w:pStyle w:val="NormalHanging12a"/>
      </w:pPr>
      <w:r w:rsidRPr="00975AEC">
        <w:t>66.</w:t>
      </w:r>
      <w:r w:rsidRPr="00975AEC">
        <w:tab/>
        <w:t>отбелязва със задоволство други ключови действия и планове на Съда на ЕС за повишаване на прозрачността и достъпността и за посрещане на нуждите на практикуващите юристи, медиите и широката общественост (включително по-младите поколения), като например преразглеждането на уебсайта на Съда на ЕС с въвеждането на нова (единна) търсачка, стартирането на нова многоезична уеб телевизионна платформа със съдържание относно работата и решенията на Съда на ЕС, публикуването на видеоматериали в социалните медии, опростяването на езика, използван в съобщенията за медиите на Съда на ЕС, и преразглеждането на годишното докладване на Съда на ЕС, за да се предоставят по-ясни прегледи на съдебната практика и статистически данни.</w:t>
      </w:r>
    </w:p>
    <w:p w14:paraId="15CAEF65" w14:textId="47ED660F" w:rsidR="00E365E1" w:rsidRPr="00975AEC" w:rsidRDefault="00E365E1" w:rsidP="000D0324"/>
    <w:sectPr w:rsidR="00E365E1" w:rsidRPr="00975AEC" w:rsidSect="00975AEC">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02ADD" w14:textId="77777777" w:rsidR="000D0324" w:rsidRPr="00975AEC" w:rsidRDefault="000D0324">
      <w:r w:rsidRPr="00975AEC">
        <w:separator/>
      </w:r>
    </w:p>
  </w:endnote>
  <w:endnote w:type="continuationSeparator" w:id="0">
    <w:p w14:paraId="7D1C3C1D" w14:textId="77777777" w:rsidR="000D0324" w:rsidRPr="00975AEC" w:rsidRDefault="000D0324">
      <w:r w:rsidRPr="00975A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06CD9" w14:textId="77777777" w:rsidR="00DC2930" w:rsidRPr="00975AEC" w:rsidRDefault="00DC2930" w:rsidP="00C8140C">
    <w:pPr>
      <w:pStyle w:val="EPFooter"/>
    </w:pPr>
    <w:r w:rsidRPr="00975AEC">
      <w:t>PE</w:t>
    </w:r>
    <w:r w:rsidRPr="00975AEC">
      <w:rPr>
        <w:rStyle w:val="HideTWBExt"/>
      </w:rPr>
      <w:t>&lt;NoPE&gt;</w:t>
    </w:r>
    <w:r w:rsidRPr="00975AEC">
      <w:t>778.060</w:t>
    </w:r>
    <w:r w:rsidRPr="00975AEC">
      <w:rPr>
        <w:rStyle w:val="HideTWBExt"/>
      </w:rPr>
      <w:t>&lt;/NoPE&gt;&lt;Version&gt;</w:t>
    </w:r>
    <w:r w:rsidRPr="00975AEC">
      <w:t>v02-00</w:t>
    </w:r>
    <w:r w:rsidRPr="00975AEC">
      <w:rPr>
        <w:rStyle w:val="HideTWBExt"/>
      </w:rPr>
      <w:t>&lt;/Version&gt;</w:t>
    </w:r>
    <w:r w:rsidRPr="00975AEC">
      <w:tab/>
    </w:r>
    <w:r w:rsidRPr="00975AEC">
      <w:fldChar w:fldCharType="begin"/>
    </w:r>
    <w:r w:rsidRPr="00975AEC">
      <w:instrText xml:space="preserve"> PAGE  \* MERGEFORMAT </w:instrText>
    </w:r>
    <w:r w:rsidRPr="00975AEC">
      <w:fldChar w:fldCharType="separate"/>
    </w:r>
    <w:r w:rsidRPr="00975AEC">
      <w:rPr>
        <w:noProof/>
      </w:rPr>
      <w:t>1</w:t>
    </w:r>
    <w:r w:rsidRPr="00975AEC">
      <w:fldChar w:fldCharType="end"/>
    </w:r>
    <w:r w:rsidRPr="00975AEC">
      <w:t>/</w:t>
    </w:r>
    <w:fldSimple w:instr=" NUMPAGES  \* MERGEFORMAT ">
      <w:r w:rsidRPr="00975AEC">
        <w:rPr>
          <w:noProof/>
        </w:rPr>
        <w:t>1</w:t>
      </w:r>
    </w:fldSimple>
    <w:r w:rsidRPr="00975AEC">
      <w:tab/>
    </w:r>
    <w:r w:rsidRPr="00975AEC">
      <w:rPr>
        <w:rStyle w:val="HideTWBExt"/>
      </w:rPr>
      <w:t>&lt;PathFdR&gt;</w:t>
    </w:r>
    <w:r w:rsidRPr="00975AEC">
      <w:t>RR\1339440BG.docx</w:t>
    </w:r>
    <w:r w:rsidRPr="00975AEC">
      <w:rPr>
        <w:rStyle w:val="HideTWBExt"/>
      </w:rPr>
      <w:t>&lt;/PathFdR&gt;</w:t>
    </w:r>
  </w:p>
  <w:p w14:paraId="6E6CC082" w14:textId="77777777" w:rsidR="00DC2930" w:rsidRPr="00975AEC" w:rsidRDefault="00DC2930" w:rsidP="00C8140C">
    <w:pPr>
      <w:pStyle w:val="EPFooter2"/>
    </w:pPr>
    <w:r w:rsidRPr="00975AEC">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74F2C" w14:textId="77777777" w:rsidR="00DC2930" w:rsidRPr="00975AEC" w:rsidRDefault="00DC2930" w:rsidP="00C8140C">
    <w:pPr>
      <w:pStyle w:val="EPFooter"/>
    </w:pPr>
    <w:r w:rsidRPr="00975AEC">
      <w:rPr>
        <w:rStyle w:val="HideTWBExt"/>
      </w:rPr>
      <w:t>&lt;PathFdR&gt;</w:t>
    </w:r>
    <w:r w:rsidRPr="00975AEC">
      <w:t>RR\1339440BG.docx</w:t>
    </w:r>
    <w:r w:rsidRPr="00975AEC">
      <w:rPr>
        <w:rStyle w:val="HideTWBExt"/>
      </w:rPr>
      <w:t>&lt;/PathFdR&gt;</w:t>
    </w:r>
    <w:r w:rsidRPr="00975AEC">
      <w:tab/>
    </w:r>
    <w:r w:rsidRPr="00975AEC">
      <w:tab/>
      <w:t>PE</w:t>
    </w:r>
    <w:r w:rsidRPr="00975AEC">
      <w:rPr>
        <w:rStyle w:val="HideTWBExt"/>
      </w:rPr>
      <w:t>&lt;NoPE&gt;</w:t>
    </w:r>
    <w:r w:rsidRPr="00975AEC">
      <w:t>778.060</w:t>
    </w:r>
    <w:r w:rsidRPr="00975AEC">
      <w:rPr>
        <w:rStyle w:val="HideTWBExt"/>
      </w:rPr>
      <w:t>&lt;/NoPE&gt;&lt;Version&gt;</w:t>
    </w:r>
    <w:r w:rsidRPr="00975AEC">
      <w:t>v02-00</w:t>
    </w:r>
    <w:r w:rsidRPr="00975AEC">
      <w:rPr>
        <w:rStyle w:val="HideTWBExt"/>
      </w:rPr>
      <w:t>&lt;/Version&gt;</w:t>
    </w:r>
  </w:p>
  <w:p w14:paraId="1B8528B9" w14:textId="77777777" w:rsidR="00DC2930" w:rsidRPr="00975AEC" w:rsidRDefault="00DC2930" w:rsidP="00C8140C">
    <w:pPr>
      <w:pStyle w:val="EPFooter2"/>
    </w:pPr>
    <w:r w:rsidRPr="00975AEC">
      <w:t>BG</w:t>
    </w:r>
    <w:r w:rsidRPr="00975AEC">
      <w:tab/>
    </w:r>
    <w:r w:rsidRPr="00975AEC">
      <w:rPr>
        <w:b w:val="0"/>
        <w:i/>
        <w:color w:val="C0C0C0"/>
        <w:sz w:val="22"/>
      </w:rPr>
      <w:t>Единство в многообразието</w:t>
    </w:r>
    <w:r w:rsidRPr="00975AEC">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09265" w14:textId="77777777" w:rsidR="00064002" w:rsidRPr="00975AEC"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37D03" w14:textId="77777777" w:rsidR="00064002" w:rsidRPr="00975AE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E6D1F" w14:textId="77777777" w:rsidR="00064002" w:rsidRPr="00975AE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AA2E5" w14:textId="77777777" w:rsidR="000D0324" w:rsidRPr="00975AEC" w:rsidRDefault="000D0324">
      <w:r w:rsidRPr="00975AEC">
        <w:separator/>
      </w:r>
    </w:p>
  </w:footnote>
  <w:footnote w:type="continuationSeparator" w:id="0">
    <w:p w14:paraId="0C4D52D4" w14:textId="77777777" w:rsidR="000D0324" w:rsidRPr="00975AEC" w:rsidRDefault="000D0324">
      <w:r w:rsidRPr="00975AEC">
        <w:continuationSeparator/>
      </w:r>
    </w:p>
  </w:footnote>
  <w:footnote w:id="1">
    <w:p w14:paraId="42351DC2" w14:textId="6274B0D0" w:rsidR="00DC2930" w:rsidRPr="00975AEC" w:rsidRDefault="00DC2930" w:rsidP="00975AEC">
      <w:pPr>
        <w:pStyle w:val="FootnoteText"/>
        <w:ind w:left="567" w:hanging="567"/>
        <w:rPr>
          <w:sz w:val="24"/>
          <w:lang w:val="bg-BG"/>
        </w:rPr>
      </w:pPr>
      <w:r w:rsidRPr="00975AEC">
        <w:rPr>
          <w:rStyle w:val="FootnoteReference"/>
          <w:sz w:val="24"/>
          <w:lang w:val="bg-BG"/>
        </w:rPr>
        <w:footnoteRef/>
      </w:r>
      <w:r w:rsidR="00975AEC" w:rsidRPr="00975AEC">
        <w:rPr>
          <w:sz w:val="24"/>
          <w:lang w:val="bg-BG"/>
        </w:rPr>
        <w:t xml:space="preserve"> </w:t>
      </w:r>
      <w:r w:rsidR="00975AEC" w:rsidRPr="00975AEC">
        <w:rPr>
          <w:sz w:val="24"/>
          <w:lang w:val="bg-BG"/>
        </w:rPr>
        <w:tab/>
      </w:r>
      <w:r w:rsidRPr="00975AEC">
        <w:rPr>
          <w:sz w:val="24"/>
          <w:lang w:val="bg-BG"/>
        </w:rPr>
        <w:t>ОВ L</w:t>
      </w:r>
      <w:r w:rsidR="007346D0">
        <w:rPr>
          <w:sz w:val="24"/>
          <w:lang w:val="en-GB"/>
        </w:rPr>
        <w:t>,</w:t>
      </w:r>
      <w:r w:rsidRPr="00975AEC">
        <w:rPr>
          <w:sz w:val="24"/>
          <w:lang w:val="bg-BG"/>
        </w:rPr>
        <w:t> </w:t>
      </w:r>
      <w:r w:rsidR="007346D0">
        <w:rPr>
          <w:sz w:val="24"/>
          <w:lang w:val="en-GB"/>
        </w:rPr>
        <w:t>2024/</w:t>
      </w:r>
      <w:r w:rsidRPr="00975AEC">
        <w:rPr>
          <w:sz w:val="24"/>
          <w:lang w:val="bg-BG"/>
        </w:rPr>
        <w:t xml:space="preserve">207, 22.2.2024 г., ELI: </w:t>
      </w:r>
      <w:hyperlink r:id="rId1" w:history="1">
        <w:r w:rsidRPr="00975AEC">
          <w:rPr>
            <w:rStyle w:val="Hyperlink"/>
            <w:sz w:val="24"/>
            <w:lang w:val="bg-BG"/>
          </w:rPr>
          <w:t>http://data.europa.eu/eli/budget/2024/207/oj</w:t>
        </w:r>
      </w:hyperlink>
      <w:r w:rsidRPr="00975AEC">
        <w:rPr>
          <w:sz w:val="24"/>
          <w:lang w:val="bg-BG"/>
        </w:rPr>
        <w:t>.</w:t>
      </w:r>
    </w:p>
  </w:footnote>
  <w:footnote w:id="2">
    <w:p w14:paraId="0AC37F6F" w14:textId="1169EB1C" w:rsidR="00DC2930" w:rsidRPr="00975AEC" w:rsidRDefault="00DC2930" w:rsidP="00975AEC">
      <w:pPr>
        <w:pStyle w:val="FootnoteText"/>
        <w:ind w:left="567" w:hanging="567"/>
        <w:rPr>
          <w:sz w:val="24"/>
          <w:lang w:val="bg-BG"/>
        </w:rPr>
      </w:pPr>
      <w:r w:rsidRPr="00975AEC">
        <w:rPr>
          <w:rStyle w:val="FootnoteReference"/>
          <w:sz w:val="24"/>
          <w:lang w:val="bg-BG"/>
        </w:rPr>
        <w:footnoteRef/>
      </w:r>
      <w:r w:rsidR="00975AEC" w:rsidRPr="00975AEC">
        <w:rPr>
          <w:sz w:val="24"/>
          <w:lang w:val="bg-BG"/>
        </w:rPr>
        <w:t xml:space="preserve"> </w:t>
      </w:r>
      <w:r w:rsidR="00975AEC" w:rsidRPr="00975AEC">
        <w:rPr>
          <w:sz w:val="24"/>
          <w:lang w:val="bg-BG"/>
        </w:rPr>
        <w:tab/>
      </w:r>
      <w:r w:rsidRPr="00975AEC">
        <w:rPr>
          <w:sz w:val="24"/>
          <w:lang w:val="bg-BG"/>
        </w:rPr>
        <w:t>ОВ C, C/2025/4944, 13.10.2025 г., ELI: </w:t>
      </w:r>
      <w:hyperlink r:id="rId2"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975AEC">
          <w:rPr>
            <w:rStyle w:val="Hyperlink"/>
            <w:sz w:val="24"/>
            <w:lang w:val="bg-BG"/>
          </w:rPr>
          <w:t>http://data.europa.eu/eli/C/2025/4944/oj</w:t>
        </w:r>
      </w:hyperlink>
      <w:r w:rsidRPr="00975AEC">
        <w:rPr>
          <w:sz w:val="24"/>
          <w:lang w:val="bg-BG"/>
        </w:rPr>
        <w:t>.</w:t>
      </w:r>
    </w:p>
  </w:footnote>
  <w:footnote w:id="3">
    <w:p w14:paraId="08FC84A4" w14:textId="253D2DFF" w:rsidR="00DC2930" w:rsidRPr="00975AEC" w:rsidRDefault="00DC2930" w:rsidP="00975AEC">
      <w:pPr>
        <w:pStyle w:val="FootnoteText"/>
        <w:ind w:left="567" w:hanging="567"/>
        <w:rPr>
          <w:sz w:val="24"/>
          <w:lang w:val="bg-BG"/>
        </w:rPr>
      </w:pPr>
      <w:r w:rsidRPr="00975AEC">
        <w:rPr>
          <w:rStyle w:val="FootnoteReference"/>
          <w:sz w:val="24"/>
          <w:lang w:val="bg-BG"/>
        </w:rPr>
        <w:footnoteRef/>
      </w:r>
      <w:r w:rsidR="00975AEC" w:rsidRPr="00975AEC">
        <w:rPr>
          <w:sz w:val="24"/>
          <w:lang w:val="bg-BG"/>
        </w:rPr>
        <w:t xml:space="preserve"> </w:t>
      </w:r>
      <w:r w:rsidR="00975AEC" w:rsidRPr="00975AEC">
        <w:rPr>
          <w:sz w:val="24"/>
          <w:lang w:val="bg-BG"/>
        </w:rPr>
        <w:tab/>
      </w:r>
      <w:r w:rsidRPr="00975AEC">
        <w:rPr>
          <w:sz w:val="24"/>
          <w:lang w:val="bg-BG"/>
        </w:rPr>
        <w:t xml:space="preserve">ОВ C, C/2025/5409, 8.10.2025 г., ELI: </w:t>
      </w:r>
      <w:hyperlink r:id="rId3" w:history="1">
        <w:r w:rsidRPr="00975AEC">
          <w:rPr>
            <w:rStyle w:val="Hyperlink"/>
            <w:sz w:val="24"/>
            <w:lang w:val="bg-BG"/>
          </w:rPr>
          <w:t>http://data.europa.eu/eli/C/2025/5409/oj</w:t>
        </w:r>
      </w:hyperlink>
      <w:r w:rsidRPr="00975AEC">
        <w:rPr>
          <w:sz w:val="24"/>
          <w:lang w:val="bg-BG"/>
        </w:rPr>
        <w:t>.</w:t>
      </w:r>
    </w:p>
  </w:footnote>
  <w:footnote w:id="4">
    <w:p w14:paraId="5A794DB6" w14:textId="0947D646" w:rsidR="00DC2930" w:rsidRPr="00975AEC" w:rsidRDefault="00DC2930" w:rsidP="00975AEC">
      <w:pPr>
        <w:pStyle w:val="FootnoteText"/>
        <w:ind w:left="567" w:hanging="567"/>
        <w:rPr>
          <w:sz w:val="24"/>
          <w:lang w:val="bg-BG"/>
        </w:rPr>
      </w:pPr>
      <w:r w:rsidRPr="00975AEC">
        <w:rPr>
          <w:rStyle w:val="FootnoteReference"/>
          <w:sz w:val="24"/>
          <w:lang w:val="bg-BG"/>
        </w:rPr>
        <w:footnoteRef/>
      </w:r>
      <w:r w:rsidR="00975AEC" w:rsidRPr="00975AEC">
        <w:rPr>
          <w:sz w:val="24"/>
          <w:lang w:val="bg-BG"/>
        </w:rPr>
        <w:t xml:space="preserve"> </w:t>
      </w:r>
      <w:r w:rsidR="00975AEC" w:rsidRPr="00975AEC">
        <w:rPr>
          <w:sz w:val="24"/>
          <w:lang w:val="bg-BG"/>
        </w:rPr>
        <w:tab/>
      </w:r>
      <w:r w:rsidRPr="00975AEC">
        <w:rPr>
          <w:sz w:val="24"/>
          <w:lang w:val="bg-BG"/>
        </w:rPr>
        <w:t xml:space="preserve">ОВ C, C/2025/5407, 13.10.2025 г., ELI: </w:t>
      </w:r>
      <w:hyperlink r:id="rId4" w:history="1">
        <w:r w:rsidRPr="00975AEC">
          <w:rPr>
            <w:rStyle w:val="Hyperlink"/>
            <w:sz w:val="24"/>
            <w:lang w:val="bg-BG"/>
          </w:rPr>
          <w:t>http://data.europa.eu/eli/C/2025/5407/oj</w:t>
        </w:r>
      </w:hyperlink>
      <w:r w:rsidRPr="00975AEC">
        <w:rPr>
          <w:sz w:val="24"/>
          <w:lang w:val="bg-BG"/>
        </w:rPr>
        <w:t>.</w:t>
      </w:r>
    </w:p>
  </w:footnote>
  <w:footnote w:id="5">
    <w:p w14:paraId="7AA7198D" w14:textId="61FE367C" w:rsidR="00DC2930" w:rsidRPr="00975AEC" w:rsidRDefault="00DC2930" w:rsidP="00975AEC">
      <w:pPr>
        <w:pStyle w:val="FootnoteText"/>
        <w:ind w:left="567" w:hanging="567"/>
        <w:rPr>
          <w:sz w:val="24"/>
          <w:lang w:val="bg-BG"/>
        </w:rPr>
      </w:pPr>
      <w:r w:rsidRPr="00975AEC">
        <w:rPr>
          <w:rStyle w:val="FootnoteReference"/>
          <w:sz w:val="24"/>
          <w:lang w:val="bg-BG"/>
        </w:rPr>
        <w:footnoteRef/>
      </w:r>
      <w:r w:rsidR="00975AEC" w:rsidRPr="00975AEC">
        <w:rPr>
          <w:sz w:val="24"/>
          <w:lang w:val="bg-BG"/>
        </w:rPr>
        <w:t xml:space="preserve"> </w:t>
      </w:r>
      <w:r w:rsidR="00975AEC" w:rsidRPr="00975AEC">
        <w:rPr>
          <w:sz w:val="24"/>
          <w:lang w:val="bg-BG"/>
        </w:rPr>
        <w:tab/>
      </w:r>
      <w:r w:rsidRPr="00975AEC">
        <w:rPr>
          <w:sz w:val="24"/>
          <w:lang w:val="bg-BG"/>
        </w:rPr>
        <w:t xml:space="preserve">ОВ L 193, 30.7.2018 г., стр. 1, ELI: </w:t>
      </w:r>
      <w:hyperlink r:id="rId5" w:history="1">
        <w:r w:rsidRPr="00975AEC">
          <w:rPr>
            <w:rStyle w:val="Hyperlink"/>
            <w:sz w:val="24"/>
            <w:lang w:val="bg-BG"/>
          </w:rPr>
          <w:t>http://data.europa.eu/eli/reg/2018/1046/oj</w:t>
        </w:r>
      </w:hyperlink>
      <w:r w:rsidRPr="00975AEC">
        <w:rPr>
          <w:sz w:val="24"/>
          <w:lang w:val="bg-BG"/>
        </w:rPr>
        <w:t>.</w:t>
      </w:r>
    </w:p>
  </w:footnote>
  <w:footnote w:id="6">
    <w:p w14:paraId="778C3FA3" w14:textId="094A27CB" w:rsidR="00DC2930" w:rsidRPr="00975AEC" w:rsidRDefault="00DC2930" w:rsidP="00975AEC">
      <w:pPr>
        <w:pStyle w:val="FootnoteText"/>
        <w:ind w:left="567" w:hanging="567"/>
        <w:rPr>
          <w:sz w:val="24"/>
          <w:szCs w:val="24"/>
          <w:lang w:val="bg-BG"/>
        </w:rPr>
      </w:pPr>
      <w:r w:rsidRPr="00975AEC">
        <w:rPr>
          <w:rStyle w:val="FootnoteReference"/>
          <w:sz w:val="24"/>
          <w:lang w:val="bg-BG"/>
        </w:rPr>
        <w:footnoteRef/>
      </w:r>
      <w:r w:rsidR="00975AEC" w:rsidRPr="00975AEC">
        <w:rPr>
          <w:sz w:val="24"/>
          <w:lang w:val="bg-BG"/>
        </w:rPr>
        <w:t xml:space="preserve"> </w:t>
      </w:r>
      <w:r w:rsidR="00975AEC" w:rsidRPr="00975AEC">
        <w:rPr>
          <w:sz w:val="24"/>
          <w:lang w:val="bg-BG"/>
        </w:rPr>
        <w:tab/>
      </w:r>
      <w:r w:rsidRPr="00975AEC">
        <w:rPr>
          <w:sz w:val="24"/>
          <w:lang w:val="bg-BG"/>
        </w:rPr>
        <w:t xml:space="preserve">ОВ L, 2024/2509, 26.9.2024 г., ELI: </w:t>
      </w:r>
      <w:hyperlink r:id="rId6" w:history="1">
        <w:r w:rsidRPr="00975AEC">
          <w:rPr>
            <w:rStyle w:val="Hyperlink"/>
            <w:sz w:val="24"/>
            <w:lang w:val="bg-BG"/>
          </w:rPr>
          <w:t>http://data.europa.eu/eli/reg/2024/2509/oj</w:t>
        </w:r>
      </w:hyperlink>
      <w:r w:rsidRPr="00975AEC">
        <w:rPr>
          <w:sz w:val="24"/>
          <w:lang w:val="bg-BG"/>
        </w:rPr>
        <w:t>.</w:t>
      </w:r>
    </w:p>
  </w:footnote>
  <w:footnote w:id="7">
    <w:p w14:paraId="5A725583" w14:textId="05A7A400" w:rsidR="00DC2930" w:rsidRPr="00975AEC" w:rsidRDefault="00DC2930" w:rsidP="00975AEC">
      <w:pPr>
        <w:pStyle w:val="FootnoteText"/>
        <w:ind w:left="567" w:hanging="567"/>
        <w:rPr>
          <w:sz w:val="24"/>
          <w:szCs w:val="24"/>
          <w:lang w:val="bg-BG"/>
        </w:rPr>
      </w:pPr>
      <w:r w:rsidRPr="00975AEC">
        <w:rPr>
          <w:rStyle w:val="FootnoteReference"/>
          <w:sz w:val="24"/>
          <w:szCs w:val="24"/>
          <w:lang w:val="bg-BG"/>
        </w:rPr>
        <w:footnoteRef/>
      </w:r>
      <w:r w:rsidR="00975AEC" w:rsidRPr="00975AEC">
        <w:rPr>
          <w:sz w:val="24"/>
          <w:lang w:val="bg-BG"/>
        </w:rPr>
        <w:t xml:space="preserve"> </w:t>
      </w:r>
      <w:r w:rsidR="00975AEC" w:rsidRPr="00975AEC">
        <w:rPr>
          <w:sz w:val="24"/>
          <w:lang w:val="bg-BG"/>
        </w:rPr>
        <w:tab/>
      </w:r>
      <w:r w:rsidRPr="00975AEC">
        <w:rPr>
          <w:sz w:val="24"/>
          <w:lang w:val="bg-BG"/>
        </w:rPr>
        <w:t xml:space="preserve">Регламент (ЕС, Евратом) 2024/2019 на Европейския парламент и на Съвета от 11 април 2024 г. за изменение на Протокол № 3 относно Статута на Съда на Европейския съюз (ОВ L, 2024/2019, 12.8.2024 г., ELI: </w:t>
      </w:r>
      <w:hyperlink r:id="rId7" w:history="1">
        <w:r w:rsidRPr="00975AEC">
          <w:rPr>
            <w:rStyle w:val="Hyperlink"/>
            <w:sz w:val="24"/>
            <w:lang w:val="bg-BG"/>
          </w:rPr>
          <w:t>http://data.europa.eu/eli/reg/2024/2019/oj</w:t>
        </w:r>
      </w:hyperlink>
      <w:r w:rsidRPr="00975AEC">
        <w:rPr>
          <w:rStyle w:val="Hyperlink"/>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A11FE" w14:textId="77777777" w:rsidR="00064002" w:rsidRPr="00975AE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AF53B" w14:textId="77777777" w:rsidR="00064002" w:rsidRPr="00975AE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CF075" w14:textId="77777777" w:rsidR="00064002" w:rsidRPr="00975AE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44806094">
    <w:abstractNumId w:val="9"/>
  </w:num>
  <w:num w:numId="2" w16cid:durableId="1768958659">
    <w:abstractNumId w:val="9"/>
  </w:num>
  <w:num w:numId="3" w16cid:durableId="1280138423">
    <w:abstractNumId w:val="7"/>
  </w:num>
  <w:num w:numId="4" w16cid:durableId="1628051762">
    <w:abstractNumId w:val="7"/>
  </w:num>
  <w:num w:numId="5" w16cid:durableId="1505123766">
    <w:abstractNumId w:val="6"/>
  </w:num>
  <w:num w:numId="6" w16cid:durableId="1090659237">
    <w:abstractNumId w:val="6"/>
  </w:num>
  <w:num w:numId="7" w16cid:durableId="934436416">
    <w:abstractNumId w:val="5"/>
  </w:num>
  <w:num w:numId="8" w16cid:durableId="1168251414">
    <w:abstractNumId w:val="5"/>
  </w:num>
  <w:num w:numId="9" w16cid:durableId="1094860545">
    <w:abstractNumId w:val="4"/>
  </w:num>
  <w:num w:numId="10" w16cid:durableId="2114782761">
    <w:abstractNumId w:val="4"/>
  </w:num>
  <w:num w:numId="11" w16cid:durableId="2079093360">
    <w:abstractNumId w:val="8"/>
  </w:num>
  <w:num w:numId="12" w16cid:durableId="1960066735">
    <w:abstractNumId w:val="8"/>
  </w:num>
  <w:num w:numId="13" w16cid:durableId="1552352166">
    <w:abstractNumId w:val="3"/>
  </w:num>
  <w:num w:numId="14" w16cid:durableId="1254171196">
    <w:abstractNumId w:val="3"/>
  </w:num>
  <w:num w:numId="15" w16cid:durableId="1860586482">
    <w:abstractNumId w:val="2"/>
  </w:num>
  <w:num w:numId="16" w16cid:durableId="151532077">
    <w:abstractNumId w:val="2"/>
  </w:num>
  <w:num w:numId="17" w16cid:durableId="1071536064">
    <w:abstractNumId w:val="1"/>
  </w:num>
  <w:num w:numId="18" w16cid:durableId="916939580">
    <w:abstractNumId w:val="1"/>
  </w:num>
  <w:num w:numId="19" w16cid:durableId="1213156887">
    <w:abstractNumId w:val="0"/>
  </w:num>
  <w:num w:numId="20" w16cid:durableId="1870297155">
    <w:abstractNumId w:val="0"/>
  </w:num>
  <w:num w:numId="21" w16cid:durableId="400760138">
    <w:abstractNumId w:val="9"/>
  </w:num>
  <w:num w:numId="22" w16cid:durableId="47606315">
    <w:abstractNumId w:val="7"/>
  </w:num>
  <w:num w:numId="23" w16cid:durableId="677267727">
    <w:abstractNumId w:val="6"/>
  </w:num>
  <w:num w:numId="24" w16cid:durableId="567618638">
    <w:abstractNumId w:val="5"/>
  </w:num>
  <w:num w:numId="25" w16cid:durableId="1091195600">
    <w:abstractNumId w:val="4"/>
  </w:num>
  <w:num w:numId="26" w16cid:durableId="1516260732">
    <w:abstractNumId w:val="8"/>
  </w:num>
  <w:num w:numId="27" w16cid:durableId="819034762">
    <w:abstractNumId w:val="3"/>
  </w:num>
  <w:num w:numId="28" w16cid:durableId="1935744369">
    <w:abstractNumId w:val="2"/>
  </w:num>
  <w:num w:numId="29" w16cid:durableId="1847359956">
    <w:abstractNumId w:val="1"/>
  </w:num>
  <w:num w:numId="30" w16cid:durableId="228266868">
    <w:abstractNumId w:val="0"/>
  </w:num>
  <w:num w:numId="31" w16cid:durableId="870461591">
    <w:abstractNumId w:val="9"/>
  </w:num>
  <w:num w:numId="32" w16cid:durableId="1925262298">
    <w:abstractNumId w:val="7"/>
  </w:num>
  <w:num w:numId="33" w16cid:durableId="1647856718">
    <w:abstractNumId w:val="6"/>
  </w:num>
  <w:num w:numId="34" w16cid:durableId="205994020">
    <w:abstractNumId w:val="5"/>
  </w:num>
  <w:num w:numId="35" w16cid:durableId="1158232107">
    <w:abstractNumId w:val="4"/>
  </w:num>
  <w:num w:numId="36" w16cid:durableId="1075519170">
    <w:abstractNumId w:val="8"/>
  </w:num>
  <w:num w:numId="37" w16cid:durableId="1787698360">
    <w:abstractNumId w:val="3"/>
  </w:num>
  <w:num w:numId="38" w16cid:durableId="539365221">
    <w:abstractNumId w:val="2"/>
  </w:num>
  <w:num w:numId="39" w16cid:durableId="722603470">
    <w:abstractNumId w:val="1"/>
  </w:num>
  <w:num w:numId="40" w16cid:durableId="790560819">
    <w:abstractNumId w:val="0"/>
  </w:num>
  <w:num w:numId="41" w16cid:durableId="1156385223">
    <w:abstractNumId w:val="10"/>
  </w:num>
  <w:num w:numId="42" w16cid:durableId="693992801">
    <w:abstractNumId w:val="10"/>
  </w:num>
  <w:num w:numId="43" w16cid:durableId="1936397712">
    <w:abstractNumId w:val="10"/>
  </w:num>
  <w:num w:numId="44" w16cid:durableId="20564654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5/2026"/>
    <w:docVar w:name="dvlangue" w:val="BG"/>
    <w:docVar w:name="dvnumam" w:val="0"/>
    <w:docVar w:name="dvpe" w:val="778.060"/>
    <w:docVar w:name="dvrapporteur" w:val="Докладчик: "/>
    <w:docVar w:name="dvtitre" w:val="1. Решение на Европейския парламент от ... 2026 г. относно освобождаването от отговорност във връзка с изпълнението на общия бюджет на Европейския съюз за финансовата 2024 година, раздел IV ‒ Съд на Европейския съюз(2025/2148(DEC))"/>
  </w:docVars>
  <w:rsids>
    <w:rsidRoot w:val="000D0324"/>
    <w:rsid w:val="00002272"/>
    <w:rsid w:val="00064002"/>
    <w:rsid w:val="000677B9"/>
    <w:rsid w:val="000831BA"/>
    <w:rsid w:val="000A42CC"/>
    <w:rsid w:val="000D0324"/>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6017"/>
    <w:rsid w:val="00545827"/>
    <w:rsid w:val="00560270"/>
    <w:rsid w:val="005A4BD5"/>
    <w:rsid w:val="005C2568"/>
    <w:rsid w:val="005F1B17"/>
    <w:rsid w:val="006037C0"/>
    <w:rsid w:val="006631B6"/>
    <w:rsid w:val="00680577"/>
    <w:rsid w:val="006F74FA"/>
    <w:rsid w:val="00731ADD"/>
    <w:rsid w:val="007346D0"/>
    <w:rsid w:val="00734777"/>
    <w:rsid w:val="00747932"/>
    <w:rsid w:val="00751A4A"/>
    <w:rsid w:val="00756632"/>
    <w:rsid w:val="00762C74"/>
    <w:rsid w:val="00786EC0"/>
    <w:rsid w:val="007D1690"/>
    <w:rsid w:val="007E22AD"/>
    <w:rsid w:val="00817416"/>
    <w:rsid w:val="008252F2"/>
    <w:rsid w:val="00842779"/>
    <w:rsid w:val="00865F67"/>
    <w:rsid w:val="00881A7B"/>
    <w:rsid w:val="008840E5"/>
    <w:rsid w:val="00887B3E"/>
    <w:rsid w:val="008C2AC6"/>
    <w:rsid w:val="00930C23"/>
    <w:rsid w:val="0093193B"/>
    <w:rsid w:val="009509D8"/>
    <w:rsid w:val="00950B64"/>
    <w:rsid w:val="00975AEC"/>
    <w:rsid w:val="00981893"/>
    <w:rsid w:val="009D2002"/>
    <w:rsid w:val="00A1687D"/>
    <w:rsid w:val="00A43E52"/>
    <w:rsid w:val="00A4678D"/>
    <w:rsid w:val="00A47EC8"/>
    <w:rsid w:val="00A778C7"/>
    <w:rsid w:val="00AB441E"/>
    <w:rsid w:val="00AB6293"/>
    <w:rsid w:val="00AE0928"/>
    <w:rsid w:val="00AF3B82"/>
    <w:rsid w:val="00B12E95"/>
    <w:rsid w:val="00B22876"/>
    <w:rsid w:val="00B558F0"/>
    <w:rsid w:val="00B73939"/>
    <w:rsid w:val="00BD48FE"/>
    <w:rsid w:val="00BD7BD8"/>
    <w:rsid w:val="00BE6ADC"/>
    <w:rsid w:val="00C05BFE"/>
    <w:rsid w:val="00C23CD4"/>
    <w:rsid w:val="00C44425"/>
    <w:rsid w:val="00C61C0C"/>
    <w:rsid w:val="00C941CB"/>
    <w:rsid w:val="00CA6AB8"/>
    <w:rsid w:val="00CC2357"/>
    <w:rsid w:val="00CF071A"/>
    <w:rsid w:val="00D058B8"/>
    <w:rsid w:val="00D56C11"/>
    <w:rsid w:val="00D834A0"/>
    <w:rsid w:val="00D872DF"/>
    <w:rsid w:val="00D91E21"/>
    <w:rsid w:val="00DA7FCD"/>
    <w:rsid w:val="00DB6920"/>
    <w:rsid w:val="00DC293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AAF74B"/>
  <w15:chartTrackingRefBased/>
  <w15:docId w15:val="{14BE210B-F9F5-4220-A262-1F0831289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C293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C2930"/>
    <w:pPr>
      <w:spacing w:before="480" w:after="240"/>
    </w:pPr>
  </w:style>
  <w:style w:type="paragraph" w:customStyle="1" w:styleId="PageHeading">
    <w:name w:val="PageHeading"/>
    <w:basedOn w:val="Normal"/>
    <w:rsid w:val="00DC2930"/>
    <w:pPr>
      <w:keepNext/>
      <w:spacing w:after="480"/>
      <w:jc w:val="center"/>
    </w:pPr>
    <w:rPr>
      <w:rFonts w:ascii="Arial" w:hAnsi="Arial" w:cs="Arial"/>
      <w:b/>
    </w:rPr>
  </w:style>
  <w:style w:type="paragraph" w:customStyle="1" w:styleId="NormalBold">
    <w:name w:val="NormalBold"/>
    <w:basedOn w:val="Normal"/>
    <w:rsid w:val="00DC2930"/>
    <w:rPr>
      <w:b/>
    </w:rPr>
  </w:style>
  <w:style w:type="paragraph" w:customStyle="1" w:styleId="NormalHanging12a">
    <w:name w:val="NormalHanging12a"/>
    <w:basedOn w:val="Normal"/>
    <w:link w:val="NormalHanging12aChar"/>
    <w:qFormat/>
    <w:rsid w:val="00DC2930"/>
    <w:pPr>
      <w:spacing w:after="240"/>
      <w:ind w:left="567" w:hanging="567"/>
    </w:pPr>
  </w:style>
  <w:style w:type="paragraph" w:styleId="Header">
    <w:name w:val="header"/>
    <w:basedOn w:val="Normal"/>
    <w:link w:val="HeaderChar"/>
    <w:rsid w:val="00DC2930"/>
    <w:pPr>
      <w:tabs>
        <w:tab w:val="center" w:pos="4513"/>
        <w:tab w:val="right" w:pos="9026"/>
      </w:tabs>
    </w:pPr>
  </w:style>
  <w:style w:type="character" w:customStyle="1" w:styleId="HeaderChar">
    <w:name w:val="Header Char"/>
    <w:basedOn w:val="DefaultParagraphFont"/>
    <w:link w:val="Header"/>
    <w:rsid w:val="00DC2930"/>
    <w:rPr>
      <w:sz w:val="24"/>
      <w:lang w:val="bg-BG"/>
    </w:rPr>
  </w:style>
  <w:style w:type="paragraph" w:customStyle="1" w:styleId="EPFooter">
    <w:name w:val="EPFooter"/>
    <w:basedOn w:val="Normal"/>
    <w:rsid w:val="00DC2930"/>
    <w:pPr>
      <w:tabs>
        <w:tab w:val="center" w:pos="4535"/>
        <w:tab w:val="right" w:pos="9071"/>
      </w:tabs>
      <w:spacing w:before="240" w:after="240"/>
    </w:pPr>
    <w:rPr>
      <w:color w:val="010000"/>
      <w:sz w:val="22"/>
    </w:rPr>
  </w:style>
  <w:style w:type="character" w:styleId="Hyperlink">
    <w:name w:val="Hyperlink"/>
    <w:basedOn w:val="DefaultParagraphFont"/>
    <w:rsid w:val="00DC2930"/>
    <w:rPr>
      <w:color w:val="0563C1" w:themeColor="hyperlink"/>
      <w:u w:val="single"/>
    </w:rPr>
  </w:style>
  <w:style w:type="character" w:customStyle="1" w:styleId="NormalHanging12aChar">
    <w:name w:val="NormalHanging12a Char"/>
    <w:basedOn w:val="DefaultParagraphFont"/>
    <w:link w:val="NormalHanging12a"/>
    <w:locked/>
    <w:rsid w:val="00DC2930"/>
    <w:rPr>
      <w:sz w:val="24"/>
      <w:lang w:val="bg-BG"/>
    </w:rPr>
  </w:style>
  <w:style w:type="paragraph" w:styleId="Revision">
    <w:name w:val="Revision"/>
    <w:hidden/>
    <w:uiPriority w:val="99"/>
    <w:semiHidden/>
    <w:rsid w:val="00DB6920"/>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4/201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8479</Words>
  <Characters>47731</Characters>
  <Application>Microsoft Office Word</Application>
  <DocSecurity>0</DocSecurity>
  <Lines>397</Lines>
  <Paragraphs>112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GIRGINOV Kiril</cp:lastModifiedBy>
  <cp:revision>2</cp:revision>
  <cp:lastPrinted>2004-11-19T15:42:00Z</cp:lastPrinted>
  <dcterms:created xsi:type="dcterms:W3CDTF">2026-04-29T12:08:00Z</dcterms:created>
  <dcterms:modified xsi:type="dcterms:W3CDTF">2026-04-29T12:08:00Z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A10-0055/2026</vt:lpwstr>
  </property>
  <property fmtid="{D5CDD505-2E9C-101B-9397-08002B2CF9AE}" pid="4" name="&lt;Type&gt;">
    <vt:lpwstr>RR</vt:lpwstr>
  </property>
</Properties>
</file>