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65BF3" w14:paraId="0166221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7D14674" w14:textId="77777777" w:rsidR="00751A4A" w:rsidRPr="00A65BF3" w:rsidRDefault="0008018D" w:rsidP="0010095E">
            <w:pPr>
              <w:pStyle w:val="EPName"/>
            </w:pPr>
            <w:r w:rsidRPr="00A65BF3">
              <w:t>Evropský parlament</w:t>
            </w:r>
          </w:p>
          <w:p w14:paraId="3288D19E" w14:textId="77777777" w:rsidR="00751A4A" w:rsidRPr="00A65BF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65BF3">
              <w:t>2024</w:t>
            </w:r>
            <w:r w:rsidR="00817416" w:rsidRPr="00A65BF3">
              <w:t>-202</w:t>
            </w:r>
            <w:r w:rsidRPr="00A65BF3">
              <w:t>9</w:t>
            </w:r>
          </w:p>
        </w:tc>
        <w:tc>
          <w:tcPr>
            <w:tcW w:w="2268" w:type="dxa"/>
            <w:shd w:val="clear" w:color="auto" w:fill="auto"/>
          </w:tcPr>
          <w:p w14:paraId="45DE6F71" w14:textId="77777777" w:rsidR="00751A4A" w:rsidRPr="00A65BF3" w:rsidRDefault="00187494" w:rsidP="0010095E">
            <w:pPr>
              <w:pStyle w:val="EPLogo"/>
            </w:pPr>
            <w:r w:rsidRPr="00A65BF3">
              <w:rPr>
                <w:noProof/>
                <w:lang w:eastAsia="ja-JP"/>
              </w:rPr>
              <w:drawing>
                <wp:inline distT="0" distB="0" distL="0" distR="0" wp14:anchorId="33683259" wp14:editId="3F605D9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3760C4" w14:textId="77777777" w:rsidR="00D058B8" w:rsidRPr="00A65BF3" w:rsidRDefault="00D058B8" w:rsidP="004C5D52">
      <w:pPr>
        <w:pStyle w:val="LineTop"/>
      </w:pPr>
    </w:p>
    <w:p w14:paraId="55881BD1" w14:textId="77777777" w:rsidR="00680577" w:rsidRPr="00A65BF3" w:rsidRDefault="0008018D" w:rsidP="00680577">
      <w:pPr>
        <w:pStyle w:val="EPBodyTA1"/>
      </w:pPr>
      <w:r w:rsidRPr="00A65BF3">
        <w:t>PŘIJATÉ TEXTY</w:t>
      </w:r>
    </w:p>
    <w:p w14:paraId="619FF358" w14:textId="77777777" w:rsidR="00D058B8" w:rsidRPr="00A65BF3" w:rsidRDefault="00D058B8" w:rsidP="00D058B8">
      <w:pPr>
        <w:pStyle w:val="LineBottom"/>
      </w:pPr>
    </w:p>
    <w:p w14:paraId="50476FAD" w14:textId="0EFDB630" w:rsidR="0008018D" w:rsidRPr="00A65BF3" w:rsidRDefault="0008018D" w:rsidP="0008018D">
      <w:pPr>
        <w:pStyle w:val="ATHeading1"/>
      </w:pPr>
      <w:bookmarkStart w:id="0" w:name="TANumber"/>
      <w:r w:rsidRPr="00A65BF3">
        <w:t>P10_TA(2026)0</w:t>
      </w:r>
      <w:r w:rsidR="00394DFA">
        <w:t>128</w:t>
      </w:r>
      <w:bookmarkEnd w:id="0"/>
    </w:p>
    <w:p w14:paraId="5F943196" w14:textId="77777777" w:rsidR="0008018D" w:rsidRPr="00A65BF3" w:rsidRDefault="0008018D" w:rsidP="0008018D">
      <w:pPr>
        <w:pStyle w:val="ATHeading2"/>
      </w:pPr>
      <w:bookmarkStart w:id="1" w:name="title"/>
      <w:r w:rsidRPr="00A65BF3">
        <w:t>Udělení absolutoria za rok 2024: souhrnný rozpočet EU – Soudní dvůr Evropské unie</w:t>
      </w:r>
      <w:bookmarkEnd w:id="1"/>
    </w:p>
    <w:p w14:paraId="533F3D5B" w14:textId="77777777" w:rsidR="0008018D" w:rsidRPr="00A65BF3" w:rsidRDefault="0008018D" w:rsidP="0008018D">
      <w:pPr>
        <w:rPr>
          <w:i/>
          <w:vanish/>
        </w:rPr>
      </w:pPr>
      <w:r w:rsidRPr="00A65BF3">
        <w:rPr>
          <w:i/>
        </w:rPr>
        <w:fldChar w:fldCharType="begin"/>
      </w:r>
      <w:r w:rsidRPr="00A65BF3">
        <w:rPr>
          <w:i/>
        </w:rPr>
        <w:instrText xml:space="preserve"> TC"(</w:instrText>
      </w:r>
      <w:bookmarkStart w:id="2" w:name="DocNumber"/>
      <w:r w:rsidRPr="00A65BF3">
        <w:rPr>
          <w:i/>
        </w:rPr>
        <w:instrText>A10-0055/2026</w:instrText>
      </w:r>
      <w:bookmarkEnd w:id="2"/>
      <w:r w:rsidRPr="00A65BF3">
        <w:rPr>
          <w:i/>
        </w:rPr>
        <w:instrText xml:space="preserve"> - Zpravodaj: Pasquale Tridico)"\l3 \n&gt; \* MERGEFORMAT </w:instrText>
      </w:r>
      <w:r w:rsidRPr="00A65BF3">
        <w:rPr>
          <w:i/>
        </w:rPr>
        <w:fldChar w:fldCharType="end"/>
      </w:r>
    </w:p>
    <w:p w14:paraId="3C219B2F" w14:textId="77777777" w:rsidR="0008018D" w:rsidRPr="00A65BF3" w:rsidRDefault="0008018D" w:rsidP="0008018D">
      <w:pPr>
        <w:rPr>
          <w:vanish/>
        </w:rPr>
      </w:pPr>
      <w:bookmarkStart w:id="3" w:name="Commission"/>
      <w:r w:rsidRPr="00A65BF3">
        <w:rPr>
          <w:vanish/>
        </w:rPr>
        <w:t>Výbor pro rozpočtovou kontrolu</w:t>
      </w:r>
      <w:bookmarkEnd w:id="3"/>
    </w:p>
    <w:p w14:paraId="704B2CB8" w14:textId="77777777" w:rsidR="0008018D" w:rsidRPr="00A65BF3" w:rsidRDefault="0008018D" w:rsidP="0008018D">
      <w:pPr>
        <w:rPr>
          <w:vanish/>
        </w:rPr>
      </w:pPr>
      <w:bookmarkStart w:id="4" w:name="PE"/>
      <w:r w:rsidRPr="00A65BF3">
        <w:rPr>
          <w:vanish/>
        </w:rPr>
        <w:t>PE778.060</w:t>
      </w:r>
      <w:bookmarkEnd w:id="4"/>
    </w:p>
    <w:p w14:paraId="0EFF7619" w14:textId="0006AB62" w:rsidR="0008018D" w:rsidRPr="00A65BF3" w:rsidRDefault="00EC50DF" w:rsidP="0008018D">
      <w:pPr>
        <w:pStyle w:val="ATHeading3"/>
      </w:pPr>
      <w:bookmarkStart w:id="5" w:name="Sujet"/>
      <w:r>
        <w:t xml:space="preserve">1. </w:t>
      </w:r>
      <w:r w:rsidR="0008018D" w:rsidRPr="00A65BF3">
        <w:t>Rozhodnutí Evropského parlamentu ze dne</w:t>
      </w:r>
      <w:r>
        <w:t xml:space="preserve"> </w:t>
      </w:r>
      <w:r w:rsidR="00CB30BA">
        <w:t>29</w:t>
      </w:r>
      <w:r>
        <w:t>. dubna</w:t>
      </w:r>
      <w:r w:rsidR="0008018D" w:rsidRPr="00A65BF3">
        <w:t xml:space="preserve"> 2026 o udělení absolutoria za plnění souhrnného rozpočtu Evropské unie na rozpočtový rok 2024, oddíl IV – Soudní dvůr Evropské unie</w:t>
      </w:r>
      <w:bookmarkEnd w:id="5"/>
      <w:r w:rsidR="0008018D" w:rsidRPr="00A65BF3">
        <w:t xml:space="preserve"> </w:t>
      </w:r>
      <w:bookmarkStart w:id="6" w:name="References"/>
      <w:r w:rsidR="0008018D" w:rsidRPr="00A65BF3">
        <w:t>(2025/2148(DEC))</w:t>
      </w:r>
      <w:bookmarkEnd w:id="6"/>
    </w:p>
    <w:p w14:paraId="47D7A557" w14:textId="77777777" w:rsidR="00424076" w:rsidRPr="00A65BF3" w:rsidRDefault="00424076" w:rsidP="00424076">
      <w:pPr>
        <w:pStyle w:val="EPComma"/>
      </w:pPr>
      <w:bookmarkStart w:id="7" w:name="TextBodyBegin"/>
      <w:bookmarkEnd w:id="7"/>
      <w:r w:rsidRPr="00A65BF3">
        <w:rPr>
          <w:i/>
        </w:rPr>
        <w:t>Evropský parlament</w:t>
      </w:r>
      <w:r w:rsidRPr="00A65BF3">
        <w:t>,</w:t>
      </w:r>
    </w:p>
    <w:p w14:paraId="36EED051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souhrnný rozpočet Evropské unie na rozpočtový rok 2024</w:t>
      </w:r>
      <w:r w:rsidRPr="00A65BF3">
        <w:rPr>
          <w:rStyle w:val="FootnoteReference"/>
        </w:rPr>
        <w:footnoteReference w:id="1"/>
      </w:r>
      <w:r w:rsidRPr="00A65BF3">
        <w:t>,</w:t>
      </w:r>
    </w:p>
    <w:p w14:paraId="02BA7631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konsolidovanou roční účetní závěrku Evropské unie za rozpočtový rok 2024 (COM(2025)0359 – C10</w:t>
      </w:r>
      <w:r w:rsidRPr="00A65BF3">
        <w:noBreakHyphen/>
        <w:t>0148/2025)</w:t>
      </w:r>
      <w:r w:rsidRPr="00A65BF3">
        <w:rPr>
          <w:rStyle w:val="FootnoteReference"/>
        </w:rPr>
        <w:footnoteReference w:id="2"/>
      </w:r>
      <w:r w:rsidRPr="00A65BF3">
        <w:t>,</w:t>
      </w:r>
    </w:p>
    <w:p w14:paraId="4654E335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výroční zprávu Soudního dvora Evropské unie orgánu příslušnému pro udělení absolutoria o provedených interních auditech v roce 2024,</w:t>
      </w:r>
    </w:p>
    <w:p w14:paraId="419D44F1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výroční zprávu Účetního dvora o plnění rozpočtu na rozpočtový rok 2024 spolu s odpověďmi orgánů</w:t>
      </w:r>
      <w:r w:rsidRPr="00A65BF3">
        <w:rPr>
          <w:rStyle w:val="FootnoteReference"/>
        </w:rPr>
        <w:footnoteReference w:id="3"/>
      </w:r>
      <w:r w:rsidRPr="00A65BF3">
        <w:t>,</w:t>
      </w:r>
    </w:p>
    <w:p w14:paraId="496AB67B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prohlášení</w:t>
      </w:r>
      <w:r w:rsidRPr="00A65BF3">
        <w:rPr>
          <w:rStyle w:val="FootnoteReference"/>
        </w:rPr>
        <w:footnoteReference w:id="4"/>
      </w:r>
      <w:r w:rsidRPr="00A65BF3">
        <w:t xml:space="preserve"> o věrohodnosti účetnictví a o legalitě a správnosti uskutečněných operací, které předložil Účetní dvůr za rozpočtový rok 2024 podle článku 287 Smlouvy o fungování Evropské unie,</w:t>
      </w:r>
    </w:p>
    <w:p w14:paraId="1DE759DD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čl. 314 odst. 10 a články 317, 318 a 319 Smlouvy o fungování Evropské unie,</w:t>
      </w:r>
    </w:p>
    <w:p w14:paraId="4F6F2A35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nařízení Evropského parlamentu a Rady (EU, Euratom) 2018/1046 ze dne 18. července 2018, kterým se stanoví finanční pravidla pro souhrnný rozpočet Unie, mění nařízení (EU) č. 1296/2013, (EU) č. 1301/2013, (EU) č. 1303/2013, (EU) č. 1304/2013, (EU) č. 1309/2013, (EU) č. 1316/2013, (EU) č. 223/2014 a (EU) č. 283/2014 a rozhodnutí č. 541/2014/EU a zrušuje nařízení (EU, Euratom) č. 966/2012</w:t>
      </w:r>
      <w:r w:rsidRPr="00A65BF3">
        <w:rPr>
          <w:rStyle w:val="FootnoteReference"/>
        </w:rPr>
        <w:footnoteReference w:id="5"/>
      </w:r>
      <w:r w:rsidRPr="00A65BF3">
        <w:t xml:space="preserve">, </w:t>
      </w:r>
      <w:r w:rsidRPr="00A65BF3">
        <w:lastRenderedPageBreak/>
        <w:t>a zejména na články 59, 118, 260, 261 a 262 tohoto nařízení,</w:t>
      </w:r>
    </w:p>
    <w:p w14:paraId="76B3128F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nařízení Evropského parlamentu a Rady (EU, Euratom) 2024/2509 ze dne 23. září 2024, kterým se stanoví finanční pravidla pro souhrnný rozpočet Unie</w:t>
      </w:r>
      <w:r w:rsidRPr="00A65BF3">
        <w:rPr>
          <w:rStyle w:val="FootnoteReference"/>
        </w:rPr>
        <w:footnoteReference w:id="6"/>
      </w:r>
      <w:r w:rsidRPr="00A65BF3">
        <w:t>, a zejména na články 59, 118, 266, 267 a 268 tohoto nařízení,</w:t>
      </w:r>
    </w:p>
    <w:p w14:paraId="4EDBF9F3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článek 102 a přílohu V jednacího řádu,</w:t>
      </w:r>
    </w:p>
    <w:p w14:paraId="6810BECF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stanovisko Výboru pro právní záležitosti,</w:t>
      </w:r>
    </w:p>
    <w:p w14:paraId="6574FBBD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zprávu Výboru pro rozpočtovou kontrolu (A10</w:t>
      </w:r>
      <w:r w:rsidRPr="00A65BF3">
        <w:noBreakHyphen/>
        <w:t>0055/2026),</w:t>
      </w:r>
    </w:p>
    <w:p w14:paraId="53EA7B1E" w14:textId="77777777" w:rsidR="00424076" w:rsidRPr="00A65BF3" w:rsidRDefault="00424076" w:rsidP="00424076">
      <w:pPr>
        <w:pStyle w:val="NormalHanging12a"/>
      </w:pPr>
      <w:r w:rsidRPr="00A65BF3">
        <w:t>1.</w:t>
      </w:r>
      <w:r w:rsidRPr="00A65BF3">
        <w:tab/>
        <w:t>uděluje absolutorium tajemníkovi Soudního dvora za plnění rozpočtu Soudního dvora Evropské unie na rozpočtový rok 2024;</w:t>
      </w:r>
    </w:p>
    <w:p w14:paraId="65821898" w14:textId="77777777" w:rsidR="00424076" w:rsidRPr="00A65BF3" w:rsidRDefault="00424076" w:rsidP="00424076">
      <w:pPr>
        <w:pStyle w:val="NormalHanging12a"/>
      </w:pPr>
      <w:r w:rsidRPr="00A65BF3">
        <w:t>2.</w:t>
      </w:r>
      <w:r w:rsidRPr="00A65BF3">
        <w:tab/>
        <w:t>předkládá své připomínky v dále uvedeném usnesení;</w:t>
      </w:r>
    </w:p>
    <w:p w14:paraId="4AF6723C" w14:textId="77777777" w:rsidR="00424076" w:rsidRPr="00A65BF3" w:rsidRDefault="00424076" w:rsidP="00424076">
      <w:pPr>
        <w:pStyle w:val="NormalHanging12a"/>
      </w:pPr>
      <w:r w:rsidRPr="00A65BF3">
        <w:t>3.</w:t>
      </w:r>
      <w:r w:rsidRPr="00A65BF3">
        <w:tab/>
        <w:t>pověřuje svou předsedkyni, aby předala toto rozhodnutí a usnesení, které je jeho nedílnou součástí, Soudnímu dvoru Evropské unie, Radě, Komisi a Účetnímu dvoru a aby zajistila jejich zveřejnění v </w:t>
      </w:r>
      <w:r w:rsidRPr="00A65BF3">
        <w:rPr>
          <w:i/>
        </w:rPr>
        <w:t>Úředním věstníku Evropské unie</w:t>
      </w:r>
      <w:r w:rsidRPr="00A65BF3">
        <w:t xml:space="preserve"> (řada L).</w:t>
      </w:r>
    </w:p>
    <w:p w14:paraId="6B893AAA" w14:textId="77777777" w:rsidR="00424076" w:rsidRPr="00A65BF3" w:rsidRDefault="00424076" w:rsidP="00424076">
      <w:pPr>
        <w:widowControl/>
      </w:pPr>
      <w:r w:rsidRPr="00A65BF3">
        <w:br w:type="page"/>
      </w:r>
    </w:p>
    <w:p w14:paraId="0A9C87EB" w14:textId="77777777" w:rsidR="00424076" w:rsidRPr="00A65BF3" w:rsidRDefault="00424076" w:rsidP="00424076">
      <w:pPr>
        <w:pStyle w:val="PageHeading"/>
        <w:sectPr w:rsidR="00424076" w:rsidRPr="00A65BF3" w:rsidSect="00A65BF3">
          <w:footerReference w:type="even" r:id="rId9"/>
          <w:footerReference w:type="first" r:id="rId10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EF79A1C" w14:textId="07D6C207" w:rsidR="00266450" w:rsidRDefault="00266450" w:rsidP="00266450">
      <w:pPr>
        <w:pStyle w:val="ATHeading3"/>
      </w:pPr>
      <w:r>
        <w:lastRenderedPageBreak/>
        <w:t>2. Usnesení Evropského parlamentu ze dne 29. dubna 2026 obsahující připomínky, které jsou nedílnou součástí rozhodnutí o udělení absolutoria za plnění souhrnného rozpočtu Evropské unie na rozpočtový rok 2024, oddíl IV – Soudní dvůr Evropské unie (2025/2148(DEC))</w:t>
      </w:r>
    </w:p>
    <w:p w14:paraId="6D916ECF" w14:textId="77777777" w:rsidR="00424076" w:rsidRPr="00A65BF3" w:rsidRDefault="00424076" w:rsidP="00424076">
      <w:pPr>
        <w:pStyle w:val="EPComma"/>
      </w:pPr>
      <w:r w:rsidRPr="00A65BF3">
        <w:rPr>
          <w:i/>
        </w:rPr>
        <w:t>Evropský parlament</w:t>
      </w:r>
      <w:r w:rsidRPr="00A65BF3">
        <w:t>,</w:t>
      </w:r>
    </w:p>
    <w:p w14:paraId="7F54EA50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své rozhodnutí o udělení absolutoria za plnění souhrnného rozpočtu Evropské unie na rozpočtový rok 2024, oddíl IV – Soudní dvůr Evropské unie,</w:t>
      </w:r>
    </w:p>
    <w:p w14:paraId="77AE0DA6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článek 102 a přílohu V jednacího řádu,</w:t>
      </w:r>
    </w:p>
    <w:p w14:paraId="6B4E8C9E" w14:textId="77777777" w:rsidR="00424076" w:rsidRPr="00A65BF3" w:rsidRDefault="00424076" w:rsidP="00424076">
      <w:pPr>
        <w:pStyle w:val="NormalHanging12a"/>
      </w:pPr>
      <w:r w:rsidRPr="00A65BF3">
        <w:t>–</w:t>
      </w:r>
      <w:r w:rsidRPr="00A65BF3">
        <w:tab/>
        <w:t>s ohledem na stanovisko Výboru pro právní záležitosti,</w:t>
      </w:r>
    </w:p>
    <w:p w14:paraId="3F757838" w14:textId="77777777" w:rsidR="00424076" w:rsidRPr="00A65BF3" w:rsidRDefault="00424076" w:rsidP="00424076">
      <w:pPr>
        <w:pStyle w:val="NormalHanging12a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643"/>
        </w:tabs>
      </w:pPr>
      <w:r w:rsidRPr="00A65BF3">
        <w:t>–</w:t>
      </w:r>
      <w:r w:rsidRPr="00A65BF3">
        <w:tab/>
        <w:t>s ohledem na zprávu Výboru pro rozpočtovou kontrolu (A10</w:t>
      </w:r>
      <w:r w:rsidRPr="00A65BF3">
        <w:noBreakHyphen/>
        <w:t>0055/2026),</w:t>
      </w:r>
    </w:p>
    <w:p w14:paraId="1891C8B3" w14:textId="77777777" w:rsidR="00424076" w:rsidRPr="00A65BF3" w:rsidRDefault="00424076" w:rsidP="00424076">
      <w:pPr>
        <w:pStyle w:val="NormalHanging12a"/>
      </w:pPr>
      <w:r w:rsidRPr="00A65BF3">
        <w:t>A.</w:t>
      </w:r>
      <w:r w:rsidRPr="00A65BF3">
        <w:tab/>
        <w:t>vzhledem k tomu, že v rámci postupu udělování absolutoria hodlá orgán příslušný k udělení absolutoria klást zvláštní důraz na další posilování demokratické legitimity orgánů a institucí Unie zvyšováním transparentnosti a zodpovědnosti, uplatňováním konceptu sestavování rozpočtu podle výkonnosti a řádným řízením lidských zdrojů;</w:t>
      </w:r>
    </w:p>
    <w:p w14:paraId="2BCD3207" w14:textId="77777777" w:rsidR="00424076" w:rsidRPr="00A65BF3" w:rsidRDefault="00424076" w:rsidP="00424076">
      <w:pPr>
        <w:pStyle w:val="NormalHanging12a"/>
        <w:rPr>
          <w:u w:val="single"/>
        </w:rPr>
      </w:pPr>
      <w:r w:rsidRPr="00A65BF3">
        <w:t>B.</w:t>
      </w:r>
      <w:r w:rsidRPr="00A65BF3">
        <w:tab/>
        <w:t>vzhledem k tomu, že Soudní dvůr Evropské unie (SDEU) je soudním orgánem Evropské unie, jehož úkolem je zajišťovat soulad s právem Unie tím, že dohlíží na jednotný výklad a uplatňování Smluv a zajišťuje zákonnost opatření přijatých orgány, institucemi a jinými subjekty Unie;</w:t>
      </w:r>
    </w:p>
    <w:p w14:paraId="7A04F674" w14:textId="77777777" w:rsidR="00424076" w:rsidRPr="00A65BF3" w:rsidRDefault="00424076" w:rsidP="00424076">
      <w:pPr>
        <w:pStyle w:val="NormalHanging12a"/>
      </w:pPr>
      <w:r w:rsidRPr="00A65BF3">
        <w:t>C.</w:t>
      </w:r>
      <w:r w:rsidRPr="00A65BF3">
        <w:tab/>
        <w:t>vzhledem k tomu, že SDEU pomáhá zachovávat hodnoty Unie a prostřednictvím své judikatury usiluje o budování Evropy a zároveň zůstává odpovědný občanům prostřednictvím právní jistoty, jednotnosti judikatury a dodržování mezí soudního výkladu;</w:t>
      </w:r>
    </w:p>
    <w:p w14:paraId="2B6FBE06" w14:textId="77777777" w:rsidR="00424076" w:rsidRPr="00A65BF3" w:rsidRDefault="00424076" w:rsidP="00424076">
      <w:pPr>
        <w:pStyle w:val="NormalHanging12a"/>
      </w:pPr>
      <w:r w:rsidRPr="00A65BF3">
        <w:t>D.</w:t>
      </w:r>
      <w:r w:rsidRPr="00A65BF3">
        <w:tab/>
        <w:t>vzhledem k tomu, že SDEU se skládá ze dvou soudů: ze Soudního dvora a Tribunálu;</w:t>
      </w:r>
    </w:p>
    <w:p w14:paraId="78D9A5A6" w14:textId="77777777" w:rsidR="00424076" w:rsidRPr="00A65BF3" w:rsidRDefault="00424076" w:rsidP="00424076">
      <w:pPr>
        <w:pStyle w:val="NormalHanging12a"/>
      </w:pPr>
      <w:r w:rsidRPr="00A65BF3">
        <w:t>E.</w:t>
      </w:r>
      <w:r w:rsidRPr="00A65BF3">
        <w:tab/>
        <w:t>vzhledem k tomu, že Parlament a Rada provedly v roce 2024 změnu Protokolu č. 3 o statutu Soudního dvora Evropské unie (dále jen „statut“)</w:t>
      </w:r>
      <w:r w:rsidRPr="00A65BF3">
        <w:rPr>
          <w:rStyle w:val="FootnoteReference"/>
        </w:rPr>
        <w:footnoteReference w:id="7"/>
      </w:r>
      <w:r w:rsidRPr="00A65BF3">
        <w:t xml:space="preserve"> týkající se přenesení příslušnosti k rozhodování o předběžných otázkách ve zvláštních oblastech na Tribunál;</w:t>
      </w:r>
    </w:p>
    <w:p w14:paraId="50B4B75B" w14:textId="77777777" w:rsidR="00424076" w:rsidRPr="00A65BF3" w:rsidRDefault="00424076" w:rsidP="00424076">
      <w:pPr>
        <w:pStyle w:val="NormalHanging12a"/>
      </w:pPr>
      <w:r w:rsidRPr="00A65BF3">
        <w:t>1.</w:t>
      </w:r>
      <w:r w:rsidRPr="00A65BF3">
        <w:tab/>
        <w:t xml:space="preserve">konstatuje, že rozpočet SDEU spadá do okruhu 7 VFR „Evropská veřejná správa“, který v roce 2023 činil 13,3 miliardy EUR (což představuje 6,9 % celkového rozpočtu Unie); konstatuje, že rozpočet SDEU ve výši přibližně 0,5 miliardy EUR představuje přibližně 3,76 % celkových správních výdajů Unie, což je pokles oproti 3,9 % v roce 2023; zdůrazňuje, že v případech týkajících se vyšetřování rozpočtu Unie musí všechny příslušné orgány plně dodržovat zásady spravedlivého procesu a základní práva; </w:t>
      </w:r>
    </w:p>
    <w:p w14:paraId="3FEB072F" w14:textId="77777777" w:rsidR="00424076" w:rsidRPr="00A65BF3" w:rsidRDefault="00424076" w:rsidP="00424076">
      <w:pPr>
        <w:pStyle w:val="NormalHanging12a"/>
      </w:pPr>
      <w:r w:rsidRPr="00A65BF3">
        <w:t>2.</w:t>
      </w:r>
      <w:r w:rsidRPr="00A65BF3">
        <w:tab/>
        <w:t xml:space="preserve">konstatuje, že Evropský účetní dvůr (dále jen „Účetní dvůr“) ve výroční zprávě za rozpočtový rok 2024 (dále jen „zpráva Účetního dvora“) zkoumal vzorek 70 transakcí v okruhu „Správa“, což je stejný počet jako v roce 2023; Účetní dvůr dále uvádí, že </w:t>
      </w:r>
      <w:r w:rsidRPr="00A65BF3">
        <w:lastRenderedPageBreak/>
        <w:t>správní výdaje zahrnují výdaje na lidské zdroje včetně výdajů na důchody, které v roce 2024 představovaly přibližně 69 % celkových správních výdajů, a výdaje na budovy, vybavení, energie a komunikační a informační technologie (IT), a že z jeho dlouholeté práce vyplývá, že tyto výdaje celkově vykazují nízké riziko;</w:t>
      </w:r>
    </w:p>
    <w:p w14:paraId="367F69D8" w14:textId="77777777" w:rsidR="00424076" w:rsidRPr="00A65BF3" w:rsidRDefault="00424076" w:rsidP="00424076">
      <w:pPr>
        <w:pStyle w:val="NormalHanging12a"/>
      </w:pPr>
      <w:r w:rsidRPr="00A65BF3">
        <w:t>3.</w:t>
      </w:r>
      <w:r w:rsidRPr="00A65BF3">
        <w:tab/>
        <w:t>konstatuje, že 16 (23 %) ze 70 transakcí obsahovalo chyby, ale že Účetní dvůr na základě tří chyb, které byly vyčísleny, odhaduje, že míra chyb nedosahuje prahu významnosti; konstatuje, že zpráva Účetního dvora neuvedla žádné specifické otázky týkající se SDEU;</w:t>
      </w:r>
    </w:p>
    <w:p w14:paraId="510C6028" w14:textId="77777777" w:rsidR="00424076" w:rsidRPr="00EC50DF" w:rsidRDefault="00424076" w:rsidP="00424076">
      <w:pPr>
        <w:pStyle w:val="NormalHanging12a"/>
        <w:rPr>
          <w:b/>
          <w:i/>
          <w:iCs/>
        </w:rPr>
      </w:pPr>
      <w:r w:rsidRPr="00EC50DF">
        <w:rPr>
          <w:b/>
          <w:i/>
          <w:iCs/>
        </w:rPr>
        <w:t>Rozpočtové a finanční řízení</w:t>
      </w:r>
    </w:p>
    <w:p w14:paraId="62D1AC74" w14:textId="77777777" w:rsidR="00424076" w:rsidRPr="00A65BF3" w:rsidRDefault="00424076" w:rsidP="00424076">
      <w:pPr>
        <w:pStyle w:val="NormalHanging12a"/>
      </w:pPr>
      <w:r w:rsidRPr="00A65BF3">
        <w:t>4.</w:t>
      </w:r>
      <w:r w:rsidRPr="00A65BF3">
        <w:tab/>
        <w:t>konstatuje, že rozpočtové prostředky přidělené SDEU v roce 2024 činily 503 837 531 EUR, což ve srovnání s rokem 2023 představovalo nárůst o 3,66 %; konstatuje, že tento nárůst souvisel především s úpravami platů očekávanými na rok 2024;</w:t>
      </w:r>
    </w:p>
    <w:p w14:paraId="20D1DAC0" w14:textId="77777777" w:rsidR="00424076" w:rsidRPr="00A65BF3" w:rsidRDefault="00424076" w:rsidP="00424076">
      <w:pPr>
        <w:pStyle w:val="NormalHanging12a"/>
        <w:rPr>
          <w:bCs/>
          <w:iCs/>
        </w:rPr>
      </w:pPr>
      <w:r w:rsidRPr="00A65BF3">
        <w:t>5.</w:t>
      </w:r>
      <w:r w:rsidRPr="00A65BF3">
        <w:tab/>
        <w:t>konstatuje, že personální výdaje představují téměř 80 % rozpočtu SDEU a že aktualizace platů překročily původní prognózy v roce 2024; zdůrazňuje, že ačkoli tato zvýšení byla absorbována bez dalšího navýšení rozpočtu, jejich opakující se povaha vyvolává otázky, pokud jde o střednědobou rozpočtovou udržitelnost v rámci stávajících omezení VFR; vyzývá k posílení víceletého plánování pracovních sil a výdajů, aniž by byla ohrožena nezávislost soudnictví;</w:t>
      </w:r>
    </w:p>
    <w:p w14:paraId="2DC1ADDA" w14:textId="77777777" w:rsidR="00424076" w:rsidRPr="00A65BF3" w:rsidRDefault="00424076" w:rsidP="00424076">
      <w:pPr>
        <w:pStyle w:val="NormalHanging12a"/>
      </w:pPr>
      <w:r w:rsidRPr="00A65BF3">
        <w:t>6.</w:t>
      </w:r>
      <w:r w:rsidRPr="00A65BF3">
        <w:tab/>
        <w:t>na základě odpovědí SDEU na dotazník k udělení absolutoria za rok 2024 konstatuje, že celková předběžná míra plnění rozpočtu ke konci roku 2024 činila 97,72 %, tedy stejně jako v roce 2023, přičemž konečná míra plnění za rok 2024 bude k dispozici na konci roku 2025; konstatuje, že rozpočtovému orgánu byly v souladu s článkem 29 finančního nařízení předloženy tři převody prostředků s cílem posílit rozpočtové položky „nákup, servis a údržba zařízení a softwaru a související práce“, „předškolní zařízení“ a „budovy“ z jiných rozpočtových položek, především pak z položky „Platy a příspěvky“ pro zaměstnance;</w:t>
      </w:r>
    </w:p>
    <w:p w14:paraId="7A373D36" w14:textId="77777777" w:rsidR="00424076" w:rsidRPr="00A65BF3" w:rsidRDefault="00424076" w:rsidP="00424076">
      <w:pPr>
        <w:pStyle w:val="NormalHanging12a"/>
      </w:pPr>
      <w:r w:rsidRPr="00A65BF3">
        <w:t>7.</w:t>
      </w:r>
      <w:r w:rsidRPr="00A65BF3">
        <w:tab/>
        <w:t>souhlasí s tím, že schopnost SDEU reagovat na stále se zvyšující pracovní zátěž je na jedné straně ztížena pokyny Komise pro přípravu rozpočtu, které omezují zvýšení všech výdajů nesouvisejících s platy na nejvýše 2 % a odrazují od žádostí o nová pracovní místa, a na druhé straně tím, že úřad EPSO neposkytuje orgánům Unie přiměřeně velký soubor úspěšných uchazečů z výběrových řízení, z něhož by mohly přijímat zaměstnance; dále konstatuje, že inflační dopady protiprávní ruské útočné války proti Ukrajině nadále vytvářely rozpočtový tlak na SDEU např. prostřednictvím rostoucích nákladů na služební cesty nebo zvýšením cen smluvního zboží a služeb; chválí SDEU za opatření, která zmírňují tyto dopady, např. snížení počtu služebních cest, omezení výdajů na energii a především stanovování prioritních projektů při přípravě rozpočtových odhadů; uznává, že je třeba, aby všechny orgány Unie zlepšily své řízení rozpočtu tím, že při uzavírání smluv s poskytovateli služeb zohlední také kolísání cen, zejména v odvětví energetiky; vyzývá SDEU, aby i nadále posiloval nákladovou efektivnost a proaktivní rozpočtové plánování s cílem zachovat kvalitu soudnictví v rámci dostupných zdrojů;</w:t>
      </w:r>
    </w:p>
    <w:p w14:paraId="34344996" w14:textId="77777777" w:rsidR="00424076" w:rsidRPr="00A65BF3" w:rsidRDefault="00424076" w:rsidP="00424076">
      <w:pPr>
        <w:pStyle w:val="NormalHanging12a"/>
      </w:pPr>
      <w:r w:rsidRPr="00A65BF3">
        <w:t>8.</w:t>
      </w:r>
      <w:r w:rsidRPr="00A65BF3">
        <w:tab/>
        <w:t xml:space="preserve">pozoruje mírné prodloužení průměrné doby splatnosti z 23,1 dne v roce 2023 na 23,7 dne v roce 2024 a zvýšení podílu faktur přijatých elektronicky z 81 % v roce 2023 na 88 % v roce 2024; konstatuje, že z následných opatření SDEU přijatých v návaznosti na </w:t>
      </w:r>
      <w:r w:rsidRPr="00A65BF3">
        <w:lastRenderedPageBreak/>
        <w:t>připomínky obsažené v usnesení Parlamentu o udělení absolutoria za rok 2023 (dále jen „zpráva o následných opatřeních“) vyplývá, že u faktur týkajících se externích překladů je platba podmíněna procesem revize, což je nezbytné pro zajištění požadované vysoké kvality překladů;</w:t>
      </w:r>
    </w:p>
    <w:p w14:paraId="54F7DAD4" w14:textId="77777777" w:rsidR="00424076" w:rsidRPr="00A65BF3" w:rsidRDefault="00424076" w:rsidP="00424076">
      <w:pPr>
        <w:pStyle w:val="NormalHanging12a"/>
      </w:pPr>
      <w:r w:rsidRPr="00A65BF3">
        <w:t>9.</w:t>
      </w:r>
      <w:r w:rsidRPr="00A65BF3">
        <w:tab/>
        <w:t>s uspokojením konstatuje, že rozpočet na služební cesty členů a zaměstnanců SDEU se již druhý rok po sobě snížil, a to z 638 000 EUR v roce 2023 na 616 000 EUR v roce 2024, což představuje pokles přibližně o 3,44 %;</w:t>
      </w:r>
    </w:p>
    <w:p w14:paraId="4392E0F7" w14:textId="77777777" w:rsidR="00424076" w:rsidRPr="00EC50DF" w:rsidRDefault="00424076" w:rsidP="00424076">
      <w:pPr>
        <w:pStyle w:val="NormalHanging12a"/>
        <w:rPr>
          <w:b/>
          <w:i/>
          <w:iCs/>
        </w:rPr>
      </w:pPr>
      <w:r w:rsidRPr="00EC50DF">
        <w:rPr>
          <w:b/>
          <w:i/>
          <w:iCs/>
        </w:rPr>
        <w:t>Vnitřní řízení, výkonnost a interní kontrola</w:t>
      </w:r>
    </w:p>
    <w:p w14:paraId="74CD376C" w14:textId="77777777" w:rsidR="00424076" w:rsidRPr="00A65BF3" w:rsidRDefault="00424076" w:rsidP="00424076">
      <w:pPr>
        <w:spacing w:after="240"/>
        <w:ind w:left="567" w:hanging="567"/>
      </w:pPr>
      <w:r w:rsidRPr="00A65BF3">
        <w:t>10.</w:t>
      </w:r>
      <w:r w:rsidRPr="00A65BF3">
        <w:tab/>
        <w:t>na základě odpovědí SDEU na dotazník k udělení absolutoria za rok 2024 s uznáním konstatuje, že SDEU vyvinul úsilí ohledně dokončení reformy soudnictví za účelem částečného přenesení příslušnosti k rozhodování o předběžných otázkách ze Soudního dvora na Tribunál a ohledně umožnění provádění nového regulačního rámce od 1. října 2024; v této souvislosti bere na vědomí reorganizaci struktury Tribunálu, změnu jednacího řádu SDEU, přijetí nového souboru pravidel praxe Tribunálu pro provádění jednacího řádu, přijetí nového rozhodnutí o podávání a doručování procesních písemností prostřednictvím aplikace e-Curia, vývoj nového softwaru („One-stop-shop“) pro rychlou analýzu a vyřizování věcí, větší účinnost a kvalitu soudních rozhodnutí a harmonizaci praxe rejstříků Soudního dvora a Tribunálu v roce 2024; s uznáním konstatuje, že během prvních tří měsíců po vstupu reformy v platnost bylo již 19 rozhodnutí o předběžné otázce předáno Tribunálu, což představuje první výsledky směrem k vyváženějšímu rozdělení pracovní zátěže mezi oba soudy; konstatuje, že jedinými dodatečnými náklady spojenými s prováděním reformy soudnictví byly náklady na informační technologie spojené s rozvojem softwaru One-stop-shop ve výši přibližně 805 000 EUR, zatímco z hlediska zaměstnanců byla reforma udržena na neutrální rozpočtové úrovni díky reorganizaci pracovních míst a povinností v rámci orgánu; vyzývá SDEU, aby podal zprávu o konkrétním dopadu reformy soudnictví na účinnost, délku řízení a rozdělení pracovní zátěže mezi Soudní dvůr a Tribunál, včetně dopadu digitálních nástrojů na dobu zpracování a rovnováhu pracovní zátěže; vyzývá SDEU aby pro příští postup udělování absolutoria předložil komplexní hodnocení reformy ex post;</w:t>
      </w:r>
    </w:p>
    <w:p w14:paraId="7FD42650" w14:textId="77777777" w:rsidR="00424076" w:rsidRPr="00A65BF3" w:rsidRDefault="00424076" w:rsidP="00424076">
      <w:pPr>
        <w:pStyle w:val="NormalHanging12a"/>
      </w:pPr>
      <w:r w:rsidRPr="00A65BF3">
        <w:t>11.</w:t>
      </w:r>
      <w:r w:rsidRPr="00A65BF3">
        <w:tab/>
        <w:t>konstatuje, že v roce 2024 Soudní dvůr rozhodl ve 12 věcech týkajících se zásady přednosti práva Unie, z toho v deseti případech šlo o předběžnou otázku a ve dvou případech o porušení práva; připomíná, že zásada přednosti práva Unie, která zajišťuje jednotný výklad a uplatňování unijního práva ve všech členských státech a zaručuje dodržování zásad právního státu jako základní hodnoty Unie, je stěžejní; důrazně potvrzuje, že přednost práva Unie je základním kamenem právního řádu Unie, a zdůrazňuje klíčovou úlohu Soudního dvora Evropské unie při prosazování zásad právního státu v celé Unii; konstatuje, že čl. 4 odst. 2 Smlouvy o EU stanoví, že „Unie ctí rovnost členských států před Smlouvami a jejich národní identitu, která spočívá v jejich základních politických a ústavních systémech, včetně místní a regionální samosprávy.</w:t>
      </w:r>
    </w:p>
    <w:p w14:paraId="08CEC37A" w14:textId="77777777" w:rsidR="00424076" w:rsidRPr="00A65BF3" w:rsidRDefault="00424076" w:rsidP="00424076">
      <w:pPr>
        <w:pStyle w:val="NormalHanging12a"/>
      </w:pPr>
      <w:r w:rsidRPr="00A65BF3">
        <w:t>12.</w:t>
      </w:r>
      <w:r w:rsidRPr="00A65BF3">
        <w:tab/>
        <w:t xml:space="preserve">na základě odpovědí SDEU na dotazník k absolutoriu za rok 2024 konstatuje, že v roce 2024 bylo Soudnímu dvoru předloženo 920 nových věcí (oproti 821 v roce 2023), z nichž 62,30 % tvořily žádosti o rozhodnutí o předběžné otázce a 277 kasační opravné prostředky proti rozhodnutím Tribunálu; konstatuje, že Tribunál zaznamenal výrazný pokles počtu nových věcí, a to z 1 271 v roce 2023 na 786 v roce 2024, z čehož 35,88 % </w:t>
      </w:r>
      <w:r w:rsidRPr="00A65BF3">
        <w:lastRenderedPageBreak/>
        <w:t>věcí představovaly žaloby na neplatnost proti aktům orgánů Unie, 34,10 % se týkalo žalob souvisejících s duševním vlastnictvím a 9,67 % sporů mezi orgány Unie a jejich zaměstnanci;</w:t>
      </w:r>
    </w:p>
    <w:p w14:paraId="7F2DCEE5" w14:textId="77777777" w:rsidR="00424076" w:rsidRPr="00A65BF3" w:rsidRDefault="00424076" w:rsidP="00424076">
      <w:pPr>
        <w:pStyle w:val="NormalHanging12a"/>
      </w:pPr>
      <w:r w:rsidRPr="00A65BF3">
        <w:t>13.</w:t>
      </w:r>
      <w:r w:rsidRPr="00A65BF3">
        <w:tab/>
        <w:t>souhlasí se SDEU, že Komise jako strážkyně smluv by měla sledovat, jak členské státy dodržují rozhodnutí SDEU; znovu vyzývá SDEU, aby v přísných mezích své úlohy vytvořil mechanismus pro identifikaci osvědčených a špatných postupů členských států;</w:t>
      </w:r>
    </w:p>
    <w:p w14:paraId="1B673482" w14:textId="77777777" w:rsidR="00424076" w:rsidRPr="00A65BF3" w:rsidRDefault="00424076" w:rsidP="00424076">
      <w:pPr>
        <w:pStyle w:val="NormalHanging12a"/>
      </w:pPr>
      <w:r w:rsidRPr="00A65BF3">
        <w:t>14.</w:t>
      </w:r>
      <w:r w:rsidRPr="00A65BF3">
        <w:tab/>
        <w:t xml:space="preserve">bere na vědomí nárůst počtu věcí uzavřených Tribunálem z 904 v roce 2023 na 922 v roce 2024 a nárůst počtu věcí uzavřených Soudním dvorem ze 783 v roce 2023 na 863 v roce 2024, přičemž posledně jmenovaný nárůst byl urychlen částečnou výměnou soudců a generálních advokátů Soudního dvora v roce 2024 prováděnou každé tři roky; dále bere na vědomí nárůst počtu nevyřízených věcí u Soudního dvora z 1 149 v roce 2023 na 1 206 v roce 2024 a pokles počtu nevyřízených věcí u Tribunálu z 1 438 v roce 2023 na 1 302 v roce 2024 (včetně řady 404 v podstatě totožných věcí započítaných jako jediná věc), částečně v důsledku uzavření některých velkých skupin věcí; </w:t>
      </w:r>
    </w:p>
    <w:p w14:paraId="615628E1" w14:textId="77777777" w:rsidR="00424076" w:rsidRPr="00A65BF3" w:rsidRDefault="00424076" w:rsidP="00424076">
      <w:pPr>
        <w:pStyle w:val="NormalHanging12a"/>
      </w:pPr>
      <w:r w:rsidRPr="00A65BF3">
        <w:t>15.</w:t>
      </w:r>
      <w:r w:rsidRPr="00A65BF3">
        <w:tab/>
        <w:t>současně vítá zkrácení průměrné doby vyřizování věcí v naléhavém řízení před Soudním dvorem ze 4,3 měsíce v roce 2023 na 3,3 měsíce v roce 2024;</w:t>
      </w:r>
    </w:p>
    <w:p w14:paraId="416B2EC8" w14:textId="77777777" w:rsidR="00424076" w:rsidRPr="00A65BF3" w:rsidRDefault="00424076" w:rsidP="00424076">
      <w:pPr>
        <w:pStyle w:val="NormalHanging12a"/>
      </w:pPr>
      <w:r w:rsidRPr="00A65BF3">
        <w:t>16.</w:t>
      </w:r>
      <w:r w:rsidRPr="00A65BF3">
        <w:tab/>
        <w:t>konstatuje, že průměrná délka řízení ve věcech uzavřených Soudním dvorem činila v roce 2024 celkem 17,7 měsíce oproti 16,1 měsíce v roce 2023, přičemž prodloužení o přibližně šest týdnů bylo způsobeno složitostí a obsáhlostí některých spisů (například žalob podaných v roce 2020 proti tzv. balíčku mobility Unie a uzavřených v roce 2024); konstatuje, že průměrná doba trvání věcí uzavřených rozsudkem nebo usnesením Tribunálu se prodloužila z 18,2 měsíce v roce 2023 na 18,5 měsíce v roce 2024; zdůrazňuje, že včasnost soudních řízení musí zůstat hlavním výkonnostním cílem, neboť nadměrná délka řízení přímo ovlivňuje právní jistotu občanů, vnitrostátních soudů a hospodářských subjektů;</w:t>
      </w:r>
    </w:p>
    <w:p w14:paraId="47EE8FD7" w14:textId="77777777" w:rsidR="00424076" w:rsidRPr="00A65BF3" w:rsidRDefault="00424076" w:rsidP="00424076">
      <w:pPr>
        <w:pStyle w:val="NormalHanging12a"/>
      </w:pPr>
      <w:r w:rsidRPr="00A65BF3">
        <w:t>17.</w:t>
      </w:r>
      <w:r w:rsidRPr="00A65BF3">
        <w:tab/>
        <w:t>vyzývá SDEU, aby ve spolupráci s vnitrostátními soudy prozkoumal praktické poradenské nástroje (jako jsou pokyny, šablony pro žádosti o rozhodnutí o předběžné otázce, online školení) s cílem napomoci jasnému a cílenému formulování otázek předkládaných v rámci řízení o předběžné otázce, čímž se sníží riziko zbytečných nebo nadměrně dlouhých řízení;</w:t>
      </w:r>
    </w:p>
    <w:p w14:paraId="2610F523" w14:textId="77777777" w:rsidR="00424076" w:rsidRPr="00A65BF3" w:rsidRDefault="00424076" w:rsidP="00424076">
      <w:pPr>
        <w:pStyle w:val="NormalHanging12a"/>
      </w:pPr>
      <w:r w:rsidRPr="00A65BF3">
        <w:t>18.</w:t>
      </w:r>
      <w:r w:rsidRPr="00A65BF3">
        <w:tab/>
        <w:t>chválí SDEU za zaznamenaný nárůst využívání aplikace e-Curia, kdy počet účtů zřízených vnitrostátními soudy vzrostl ze 451 v roce 2023 na 566 v roce 2024 a procento procesních písemností podaných prostřednictvím aplikace e-Curia dosáhlo 91 % u Soudního dvora a 96 % u Tribunálu;</w:t>
      </w:r>
    </w:p>
    <w:p w14:paraId="739904DF" w14:textId="77777777" w:rsidR="00424076" w:rsidRPr="00A65BF3" w:rsidRDefault="00424076" w:rsidP="00424076">
      <w:pPr>
        <w:pStyle w:val="NormalHanging12a"/>
      </w:pPr>
      <w:r w:rsidRPr="00A65BF3">
        <w:t>19.</w:t>
      </w:r>
      <w:r w:rsidRPr="00A65BF3">
        <w:tab/>
        <w:t xml:space="preserve">vítá přístup založený na výkonnosti, který vyvinul SDEU a který mu umožňuje přijímat rozhodnutí na základě úrovně dosažení jeho cílů měřených prostřednictvím souboru ukazatelů pracovní zátěže a provozních ukazatelů (např. nákladová efektivita, míra dokončení projektů, spokojenost uživatelů a optimalizace zdrojů) přizpůsobených jednotlivým oddělením; konstatuje, že klíčové ukazatele výkonnosti, které SDEU používá, se vztahují na širokou škálu zvláštních oblastí za účelem podpory pěti cílů v oblasti řízení, jež se týkají řádného fungování obou soudů, a sice digitalizace a nově vznikajících technologií, otevřenosti a transparentnosti, mnohojazyčnosti a řízení lidských zdrojů; zdůrazňuje, že je třeba, aby SDEU zajistil, aby tyto ukazatele byly transparentní, zaměřené na výsledky a pravidelně přezkoumávané s cílem podpořit </w:t>
      </w:r>
      <w:r w:rsidRPr="00A65BF3">
        <w:lastRenderedPageBreak/>
        <w:t>účinné řízení a odpovědnost;</w:t>
      </w:r>
    </w:p>
    <w:p w14:paraId="505CD1F3" w14:textId="77777777" w:rsidR="00424076" w:rsidRPr="00A65BF3" w:rsidRDefault="00424076" w:rsidP="00424076">
      <w:pPr>
        <w:pStyle w:val="NormalHanging12a"/>
      </w:pPr>
      <w:r w:rsidRPr="00A65BF3">
        <w:t>20.</w:t>
      </w:r>
      <w:r w:rsidRPr="00A65BF3">
        <w:tab/>
        <w:t>vítá jeho přístup revidovaný v roce 2024, pokud jde o návratnost investic do inovačních iniciativ, neboť zohledňuje hodnocení nákladů prostřednictvím parametrů, jako jsou úsilí vynaložené při provádění a personální úsilí, roční údržba, náklady na dodavatele a další typy nákladů, jakož i hodnocení přínosů prostřednictvím parametrů, jako jsou předpokládané zisky, strategické výhody a počet dotčených uživatelů; konstatuje, že v roce 2024 SDEU rovněž provedl důkladnou revizi svého systému s cílem sledovat řízení projektů a finanční sledování projektů, aby mohl zajistit do roku 2025 úplné podávání zpráv a kontrolu nad svými poradenskými službami v oblasti digitalizace založenými na čase; vyzývá SDEU, aby orgán příslušný k udělení absolutoria o dané záležitosti průběžně informoval;</w:t>
      </w:r>
    </w:p>
    <w:p w14:paraId="13EF49B2" w14:textId="77777777" w:rsidR="00424076" w:rsidRPr="00A65BF3" w:rsidRDefault="00424076" w:rsidP="00424076">
      <w:pPr>
        <w:pStyle w:val="NormalHanging12a"/>
      </w:pPr>
      <w:r w:rsidRPr="00A65BF3">
        <w:t>21.</w:t>
      </w:r>
      <w:r w:rsidRPr="00A65BF3">
        <w:tab/>
        <w:t>bere na vědomí zprávu o interním auditu SDEU za rok 2024 (dále jen „zpráva o interním auditu“), že hlavní auditní činnosti, které oddělení interního auditu SDEU provedlo v roce 2024, se týkaly auditu projektu SDEU v oblasti modernizace jeho opatření týkajících se bezpečnosti infrastruktury a projektů inventarizace majetku, jakož i tří studií: o změnách v potřebách lidského kapitálu SDEU v době generativní umělé inteligence; o kompetencích organizací a jejich zaměstnanců v měnícím se prostředí; a o dobrých pracovních podmínkách zaměstnanců a nových technologiích; na základě interní zprávy s uznáním konstatuje, že příslušné útvary přijaly opatření k provedení auditních doporučení, a to často ještě před ukončením auditů; dále bere na vědomí, že v souvislosti s programem na rok 2024 probíhaly v roce 2025 práce na auditu licencí IT a na poslední části auditu řízení nákupu nábytku a vybavení; konstatuje, že vykazovaný stav posledně jmenovaného auditu zůstal nezměněn po dvě po sobě jdoucí účetní období; vyzývá SDEU, aby v budoucnu předkládal aktuální informace o sledování opatření přijatých na základě doporučení interního auditu ve formě tabulky se stavem provedení jednotlivých opatření a doporučení;</w:t>
      </w:r>
    </w:p>
    <w:p w14:paraId="5DEAF326" w14:textId="77777777" w:rsidR="00424076" w:rsidRPr="00EC50DF" w:rsidRDefault="00424076" w:rsidP="00424076">
      <w:pPr>
        <w:pStyle w:val="NormalHanging12a"/>
        <w:rPr>
          <w:b/>
          <w:i/>
          <w:iCs/>
        </w:rPr>
      </w:pPr>
      <w:r w:rsidRPr="00EC50DF">
        <w:rPr>
          <w:b/>
          <w:i/>
          <w:iCs/>
        </w:rPr>
        <w:t>Lidské zdroje, rovnost a dobré pracovní podmínky zaměstnanců</w:t>
      </w:r>
    </w:p>
    <w:p w14:paraId="197EEF92" w14:textId="77777777" w:rsidR="00424076" w:rsidRPr="00A65BF3" w:rsidRDefault="00424076" w:rsidP="00424076">
      <w:pPr>
        <w:pStyle w:val="NormalHanging12a"/>
      </w:pPr>
      <w:r w:rsidRPr="00A65BF3">
        <w:t>22.</w:t>
      </w:r>
      <w:r w:rsidRPr="00A65BF3">
        <w:tab/>
        <w:t>konstatuje, že celkový počet úředníků ke konci roku se zvýšil z 1 340 (58 %) v roce 2023 na 1 354 (60 %) v roce 2024, počet dočasných zaměstnanců se snížil ze 765 (33 %) v roce 2023 na 740 (33 %) v roce 2024 a počet smluvních zaměstnanců se snížil ze 198 (9 %) v roce 2023 na 173 (7 %) v roce 2024; konstatuje, že míra obsazenosti míst mírně poklesla z 97,11 % v roce 2023 na 96,70 % v roce 2024 a roční fluktuace zaměstnanců se snížila z 6,54 % v roce 2023 na 6,32 % v roce 2024, přičemž 41 % odchodů zaměstnanců souviselo s důchodem;</w:t>
      </w:r>
    </w:p>
    <w:p w14:paraId="35B963B2" w14:textId="77777777" w:rsidR="00424076" w:rsidRPr="00A65BF3" w:rsidRDefault="00424076" w:rsidP="00424076">
      <w:pPr>
        <w:pStyle w:val="NormalHanging12a"/>
      </w:pPr>
      <w:r w:rsidRPr="00A65BF3">
        <w:t>23.</w:t>
      </w:r>
      <w:r w:rsidRPr="00A65BF3">
        <w:tab/>
        <w:t>konstatuje, že se Soudní dvůr skládá z 27 soudců a 11 generálních advokátů a Tribunál pak z 54 soudců; dále konstatuje, že v roce 2024 nastoupilo do funkce devět nových soudců Soudního dvora a dva noví soudci Tribunálu z důvodu částečné výměny; lituje, že zastoupení žen a mužů v Soudním dvoru a Tribunálu je stále velmi nevyvážené; oceňuje dopis předsedy Tribunálu adresovaný předsedovi konference zástupců vlád členských států v roce 2024, v němž jsou členské státy vyzvány k tomu, aby při navrhování kandidátů na výměnu soudců a generálních advokátů zohledňovaly potřebu genderové vyváženosti; opětovně vyzývá členské státy, aby při navrhování kandidátů na výměnu soudců zohledňovaly potřebu genderové vyváženosti a zároveň zajistily, aby nominace byly i nadále založeny na kritériích zásluh, kvalifikace a nezávislosti;</w:t>
      </w:r>
    </w:p>
    <w:p w14:paraId="24326B39" w14:textId="77777777" w:rsidR="00424076" w:rsidRPr="00A65BF3" w:rsidRDefault="00424076" w:rsidP="00424076">
      <w:pPr>
        <w:pStyle w:val="NormalHanging12a"/>
      </w:pPr>
      <w:r w:rsidRPr="00A65BF3">
        <w:t>24.</w:t>
      </w:r>
      <w:r w:rsidRPr="00A65BF3">
        <w:tab/>
        <w:t xml:space="preserve">konstatuje, že v roce 2024 tvořilo zaměstnance SDEU 60,70 % žen a 39,30 % mužů; </w:t>
      </w:r>
      <w:r w:rsidRPr="00A65BF3">
        <w:lastRenderedPageBreak/>
        <w:t>konstatuje, že zastoupení žen bylo nejvyšší v třídách asistentů (69,14 %), ale bohužel nejnižší na pozicích vrcholného vedení (35,71 %); dále konstatuje nárůst zastoupení žen na středních manažerských pozicích, a to ze 43,33 % v roce 2023 na 51,61 % v roce 2024; na základě zprávy o řízení pověřené schvalující osoby pro rok 2024 s uspokojením bere na vědomí rostoucí trend zastoupení žen na vedoucích pozicích celkově, a to z 37,50 % v roce 2018 na 48,70 % v roce 2024; zdůrazňuje, že přetrvávající nedostatečné zastoupení žen ve vyšších vedoucích pozicích je i nadále znepokojivé, a vybízí soud, aby nadále posiloval cílená opatření zaměřená na podporu kariérního postupu žen a jejich postavení ve vedoucích pozicích, a to při plném dodržování zásad zásluh a transparentnosti;</w:t>
      </w:r>
    </w:p>
    <w:p w14:paraId="3D482F17" w14:textId="77777777" w:rsidR="00424076" w:rsidRPr="00A65BF3" w:rsidRDefault="00424076" w:rsidP="00424076">
      <w:pPr>
        <w:pStyle w:val="NormalHanging12a"/>
        <w:rPr>
          <w:bCs/>
          <w:iCs/>
        </w:rPr>
      </w:pPr>
      <w:r w:rsidRPr="00A65BF3">
        <w:t>25.</w:t>
      </w:r>
      <w:r w:rsidRPr="00A65BF3">
        <w:tab/>
        <w:t>vítá vytvoření akčního plánu k Úmluvě Rady Evropy o prevenci a potírání násilí na ženách a domácího násilí (dále jen „Istanbulská úmluva“), na základě kterého by měla být vydána opatření a doporučení a organizovány informační a vzdělávací akce pro všechny zaměstnance s cílem předcházet případům obtěžování; bere na vědomí další oznámená opatření, která zahrnují pokračování spolupráce s vnitrostátními organizacemi působícími v oblasti předcházení násilí páchanému na ženách, další iniciativy na zvyšování povědomí a školení, která se věnují zejména dopadu mikroagresí a genderových předsudků; vyjadřuje v této souvislosti politování nad tím, že chybí povinné školení pro členy SDEU, jak je uvedeno v odpovědích SDEU v dotazníku k udělení absolutoria za rok 2024; naléhavě proto žádá, aby byly všechny osoby, jak zaměstnanci, tak i členové SDEU, zařazeny do povinných školení o předcházení násilí páchanému na ženách;</w:t>
      </w:r>
    </w:p>
    <w:p w14:paraId="154366D7" w14:textId="77777777" w:rsidR="00424076" w:rsidRPr="00A65BF3" w:rsidRDefault="00424076" w:rsidP="00424076">
      <w:pPr>
        <w:pStyle w:val="NormalHanging12a"/>
      </w:pPr>
      <w:r w:rsidRPr="00A65BF3">
        <w:t>26.</w:t>
      </w:r>
      <w:r w:rsidRPr="00A65BF3">
        <w:tab/>
        <w:t>s uznáním bere na vědomí rozmanité úsilí a opatření, která SDEU zavádí mezi svými zaměstnanci, včetně ve fázi náboru, ve prospěch rovnosti, inkluze, vzájemného respektu a rozmanitosti (R&amp;I); bere na vědomí zejména to, že v roce 2024 bylo zahájeno nové školení o R&amp;I se zaměřením na prevenci mikroagresí a od roku 2025 dvě nová školení o stanovení zdravých hranic pro zlepšení výkonnosti a o prostředí bez obtěžování, která byla uspořádána na základě doporučení meziresortní pracovní skupiny SDEU k Istanbulské úmluvě; s uznáním bere na vědomí opatření SDEU týkající se individuální podpory (ohledně úkolů, pracovní doby a pracovních prostor) od roku 2022 pro zaměstnance se zdravotním postižením, účast instituce na týdnu informovanosti o zdravotním postižení pořádaném v roce 2024 a vytvoření pilotního programu pro stážisty se zdravotním postižením od roku 2025; vyzývá SDEU, aby o výsledku tohoto posledně jmenovaného programu informoval orgán příslušný k udělení absolutoria;</w:t>
      </w:r>
    </w:p>
    <w:p w14:paraId="55CD05A5" w14:textId="77777777" w:rsidR="00424076" w:rsidRPr="00A65BF3" w:rsidRDefault="00424076" w:rsidP="00424076">
      <w:pPr>
        <w:pStyle w:val="NormalHanging12a"/>
      </w:pPr>
      <w:r w:rsidRPr="00A65BF3">
        <w:t>27.</w:t>
      </w:r>
      <w:r w:rsidRPr="00A65BF3">
        <w:tab/>
        <w:t>vítá skutečnost, že mezi zaměstnanci SDEU jsou zastoupeny všechny státní příslušnosti Unie; konstatuje však, že některé státní příslušnosti jsou zastoupeny více než jiné, zatímco některé z nich jsou zastoupeny výrazně nadměrně; podporuje SDEU ve zvýšeném úsilí o co nejširší inzerci oznámení o volných pracovních místech prostřednictvím interinstitucionálních internetových stránek, sociálních sítí a úřadu EPSO; na základě zprávy o následných opatřeních bere na vědomí závazek SDEU analyzovat příslušné údaje pro provádění cílených opatření, která mají zlepšit geografické zastoupení mezi jeho zaměstnanci včetně stážistů; vítá snahu SDEU zvýšit povědomí o programech stáží mezi vnitrostátními správními orgány a stálými zastoupeními nedostatečně zastoupených členských států; s uspokojením konstatuje, že v případě stáží v rámci Evropské sítě pro justiční vzdělávání (EJTN) obdržel SDEU v roce 2024 přihlášky ze tří nových členských států, které se poprvé zapojily do jeho dlouhodobého vzdělávacího programu pro vnitrostátní odborníky v oblasti justice;</w:t>
      </w:r>
    </w:p>
    <w:p w14:paraId="355E65FB" w14:textId="77777777" w:rsidR="00424076" w:rsidRPr="00A65BF3" w:rsidRDefault="00424076" w:rsidP="00424076">
      <w:pPr>
        <w:pStyle w:val="NormalHanging12a"/>
      </w:pPr>
      <w:r w:rsidRPr="00A65BF3">
        <w:lastRenderedPageBreak/>
        <w:t>28.</w:t>
      </w:r>
      <w:r w:rsidRPr="00A65BF3">
        <w:tab/>
        <w:t>chválí opatření SDEU v oblasti (právní) mnohojazyčnosti v roce 2024, jako je dokončení a spuštění internetových stránek o mnohojazyčnosti, společná organizace prvního ročníku letní školy s dalšími institucemi Unie, úzká spolupráce s členskými státy na vytvoření souboru externích odborných znalostí pro řešení nárůstu objemu překladů a pokrytí všech jazykových kombinací, opatření ke zvýšení informovanosti pro trh nezávislých překladatelů a pokračující zdokonalování postupů a dovedností v oblasti využívání digitálních nástrojů (včetně nástrojů souvisejících s umělou inteligencí) pro překlady;</w:t>
      </w:r>
    </w:p>
    <w:p w14:paraId="017B1C43" w14:textId="77777777" w:rsidR="00424076" w:rsidRPr="00A65BF3" w:rsidRDefault="00424076" w:rsidP="00424076">
      <w:pPr>
        <w:pStyle w:val="NormalHanging12a"/>
      </w:pPr>
      <w:r w:rsidRPr="00A65BF3">
        <w:t>29.</w:t>
      </w:r>
      <w:r w:rsidRPr="00A65BF3">
        <w:tab/>
        <w:t>chválí SDEU za jeho opatření k řešení problémů s náborem zaměstnanců a propagaci Lucemburska mezi mladými absolventy jako místa pro práci; s uznáním bere na vědomí přínos SDEU k vytvoření a provedení příspěvku na bydlení vypláceného se zpětnou platností od 1. ledna 2025 zaměstnancům v nižších platových třídách, přípravu výběrových řízení EPSO zaměřených konkrétně na zaměstnance, kteří mají být zaměstnáni v Lucembursku, a také informační schůzky a letní školy; vybízí k intenzivnější spolupráci s úřadem EPSO a dalšími orgány s cílem rozšířit seznam kvalifikovaných uchazečů a posílit konkurenční výběrová řízení ve specializovaných oblastech; na základě zprávy o následných opatřeních bere na vědomí, že SDEU jménem interinstitucionální skupiny na vysoké úrovni realizoval pilotní projekt/průzkum s cílem zjistit, zda by bylo možné uzavřít smlouvu o službách v oblasti pronájmu dočasného bydlení (tj. na dobu maximálně jednoho roku) za tržní (nebo nižší) cenu, kterou by platili přímo zaměstnanci; dále konstatuje, že průzkum byl úspěšný, a proto pracovní skupina předložila zúčastněným institucím dohodu o poskytování služeb, která pověřuje SDEU vedením vyjednávání o nemovitostech se subjekty, které předložily vhodné projekty; vyzývá SDEU, aby průběžně informoval orgán příslušný k udělení absolutoria o následných opatřeních v této věci;</w:t>
      </w:r>
    </w:p>
    <w:p w14:paraId="6AF7F427" w14:textId="01BBED4D" w:rsidR="00424076" w:rsidRPr="00A65BF3" w:rsidRDefault="00424076" w:rsidP="00424076">
      <w:pPr>
        <w:pStyle w:val="NormalHanging12a"/>
      </w:pPr>
      <w:r w:rsidRPr="00A65BF3">
        <w:t>30.</w:t>
      </w:r>
      <w:r w:rsidRPr="00A65BF3">
        <w:tab/>
        <w:t>konstatuje, že SDEU přijal 201 stážistů v rámci obecného (placeného) programu stáží; dále konstatuje, že 34 % původně vybraných uchazečů odmítlo nabídku SDEU poté, co si uvědomili vysoké životní náklady v Lucembursku</w:t>
      </w:r>
      <w:bookmarkStart w:id="8" w:name="_Hlk215138302"/>
      <w:r w:rsidRPr="00A65BF3">
        <w:t xml:space="preserve">; opakovaně zdůrazňuje, že za stáže by měla být vyplácena odměna v souladu s usnesením Evropského parlamentu ze dne 14. června 2023 o kvalitních stážích v Unii (2020/2005(INL)), které obsahuje výzvu, aby byly všechny stáže v Unii placené; </w:t>
      </w:r>
      <w:bookmarkEnd w:id="8"/>
      <w:r w:rsidRPr="00A65BF3">
        <w:t>vítá skutečnost, že v současné době dostávají všichni stážisté na SDEU během svého pobytu grant, zejména od SDEU a v některých zvláštních případech z jiných zdrojů; bere na vědomí, že SDEU přijímá pouze několik stážistů (sedm v roce 2024) placených z jiných zdrojů, a to na krátkou dobu;</w:t>
      </w:r>
    </w:p>
    <w:p w14:paraId="455E76C0" w14:textId="77777777" w:rsidR="00424076" w:rsidRPr="00A65BF3" w:rsidRDefault="00424076" w:rsidP="00424076">
      <w:pPr>
        <w:pStyle w:val="NormalHanging12a"/>
      </w:pPr>
      <w:r w:rsidRPr="00A65BF3">
        <w:t>31.</w:t>
      </w:r>
      <w:r w:rsidRPr="00A65BF3">
        <w:tab/>
        <w:t>konstatuje, že v roce 2024 bylo zdokumentováno 17 případů vyhoření, z toho osm nových případů nahlášených v roce 2024 a devět případů nahlášených v roce 2023, přičemž dotyční zaměstnanci obdrželi odbornou podporu a poradenství; s uznáním konstatuje, že v roce 2024 zůstal SDEU lídrem v oblasti iniciativ, které podporují fyzickou a duševní pohodu zaměstnanců a řeší rizika vyhoření a psychosociální rizika, jako jsou konzultace se sociálním pracovníkem nebo psychologem, přednášky o mindfulness a digitální rovnováze, specializované semináře a osvětové aktivity o zdravotních otázkách, školení první pomoci a nábor dvou psychologů na částečný úvazek; uznává úspěch, pokud jde o využívání pružného uspořádání práce, včetně programu SDEU týkajícího se práce na dálku, který v konečném důsledku usiluje o lepší rovnováhu mezi pracovním a soukromým životem zaměstnanců;</w:t>
      </w:r>
    </w:p>
    <w:p w14:paraId="53FE8F6C" w14:textId="77777777" w:rsidR="00424076" w:rsidRPr="00A65BF3" w:rsidRDefault="00424076" w:rsidP="00424076">
      <w:pPr>
        <w:pStyle w:val="NormalHanging12a"/>
      </w:pPr>
      <w:r w:rsidRPr="00A65BF3">
        <w:t>32.</w:t>
      </w:r>
      <w:r w:rsidRPr="00A65BF3">
        <w:tab/>
        <w:t xml:space="preserve">konstatuje, že v roce 2023 bylo zahájeno správní šetření ve věci údajného sexuálního obtěžování, jež se týkalo jednoho zaměstnance, a že tato věc byla v roce 2024 ukončena </w:t>
      </w:r>
      <w:r w:rsidRPr="00A65BF3">
        <w:lastRenderedPageBreak/>
        <w:t>uložením sankce; konstatuje, že v roce 2024 nebylo zahájeno žádné nové správní šetření ve věci obtěžování;</w:t>
      </w:r>
    </w:p>
    <w:p w14:paraId="67D0FCBF" w14:textId="77777777" w:rsidR="00424076" w:rsidRPr="00EC50DF" w:rsidRDefault="00424076" w:rsidP="00424076">
      <w:pPr>
        <w:pStyle w:val="NormalHanging12a"/>
        <w:rPr>
          <w:b/>
          <w:i/>
          <w:iCs/>
        </w:rPr>
      </w:pPr>
      <w:r w:rsidRPr="00EC50DF">
        <w:rPr>
          <w:b/>
          <w:i/>
          <w:iCs/>
        </w:rPr>
        <w:t>Etický rámec, transparentnost a přístup občanů ke spravedlnosti</w:t>
      </w:r>
    </w:p>
    <w:p w14:paraId="577D1569" w14:textId="77777777" w:rsidR="00424076" w:rsidRPr="00A65BF3" w:rsidRDefault="00424076" w:rsidP="00424076">
      <w:pPr>
        <w:pStyle w:val="NormalHanging12a"/>
      </w:pPr>
      <w:r w:rsidRPr="00A65BF3">
        <w:t>33.</w:t>
      </w:r>
      <w:r w:rsidRPr="00A65BF3">
        <w:tab/>
        <w:t>konstatuje, že – jak bylo požadováno v předchozích doporučeních k udělení absolutoria – v březnu 2024 byl přijat nový kodex chování úředníků a ostatních zaměstnanců SDEU, který odráží jeho hodnoty a závazek dodržovat vysoké etické normy, a konstatuje, že tento kodex chování obsahuje ustanovení o střetu zájmů, povinnosti loajality, povinnosti zachovávat důvěrnost a mlčenlivost, mimopracovních činnostech, pracovních činnostech po odchodu ze služby a publikacích a ustanovení proti obtěžování a vztahuje se rovněž na vyslané národní odborníky a soudní čekatele, kteří se účastní aktivit v rámci EJTN; s uspokojením konstatuje, že SDEU zavedl opatření, aby kodex chování v co nejširší míře představil a vysvětlil a aby zaměstnanci plně porozuměli novým pravidlům a širšímu právnímu rámci, jehož jsou součástí, a že školení o kodexu chování a právech a povinnostech zaměstnanců jsou pro nové zaměstnance povinná a všem zaměstnancům SDEU se důrazně doporučují, přičemž v roce 2024 se těchto školení zúčastnilo celkem 561 osob (tj. 24,75 % celkového počtu úředníků a zaměstnanců SDEU); dále konstatuje, že podobné školení bylo v roce 2024 nabídnuto i novým členům SDEU; s uznáním bere na vědomí síť „důvěrných poradců“ SDEU, kteří pomáhají zaměstnancům v případě obtěžování, a také program pro řízení talentů nabízený nadějným administrátorům, který se mimo jiné zabývá etickým vedením; vybízí SDEU, aby postupně posiloval poskytování školení o kodexu chování všem zaměstnancům bez výjimky s cílem zajistit společné chápání etických norem v celém orgánu;</w:t>
      </w:r>
    </w:p>
    <w:p w14:paraId="74AB37CE" w14:textId="77777777" w:rsidR="00424076" w:rsidRPr="00A65BF3" w:rsidRDefault="00424076" w:rsidP="00424076">
      <w:pPr>
        <w:pStyle w:val="NormalHanging12a"/>
      </w:pPr>
      <w:r w:rsidRPr="00A65BF3">
        <w:t>34.</w:t>
      </w:r>
      <w:r w:rsidRPr="00A65BF3">
        <w:tab/>
        <w:t>konstatuje, že po přijetí kodexu chování členů a bývalých členů SDEU jsou prohlášení členů SDEU o zájmech zveřejněna on-line, aby se při projednávání případů zamezilo jakémukoli možnému střetu zájmů; na základě zprávy o následných opatřeních s uspokojením konstatuje, že SDEU v roce 2024 podepsal dohodu o zřízení interinstitucionálního „etického orgánu EU“, který má mimo jiné za úkol vypracovat společné minimální normy pro chování členů signatářských orgánů; oceňuje, že SDEU si v tomto orgánu ponechává status pozorovatele, aby byla zachována nezávislost soudnictví;</w:t>
      </w:r>
    </w:p>
    <w:p w14:paraId="6788D1CB" w14:textId="77777777" w:rsidR="00424076" w:rsidRPr="00A65BF3" w:rsidRDefault="00424076" w:rsidP="00424076">
      <w:pPr>
        <w:pStyle w:val="NormalHanging12a"/>
      </w:pPr>
      <w:r w:rsidRPr="00A65BF3">
        <w:t>35.</w:t>
      </w:r>
      <w:r w:rsidRPr="00A65BF3">
        <w:tab/>
        <w:t>sleduje jeho důslednou politiku odhalování a prevence střetu zájmů v rámci instituce a „otáčivých dveří“, přičemž nový kodex chování definuje specifická a přísnější pravidla pro vedoucí pracovníky a referendáře; konstatuje, že v roce 2024 byla zpracována tři prohlášení zaměstnanců o možném střetu zájmů, přičemž žádné z nich nevyžadovalo nápravné opatření; dále konstatuje, že 57 zaměstnanců oznámilo v roce 2024 svůj záměr pracovat po odchodu ze SDEU, přičemž žádný z nich nebyl zařazen do přechodného období po skončení funkce; konstatuje však, že přechodné období po skončení funkce pro případ předložený v roce 2023 bývalým vedoucím pracovníkem pokračovalo i v roce 2024; konstatuje, že v roce 2024 nebyl v SDEU nahlášen žádný případ whistleblowingu;</w:t>
      </w:r>
    </w:p>
    <w:p w14:paraId="06E5519C" w14:textId="77777777" w:rsidR="00424076" w:rsidRPr="00A65BF3" w:rsidRDefault="00424076" w:rsidP="00424076">
      <w:pPr>
        <w:pStyle w:val="NormalHanging12a"/>
      </w:pPr>
      <w:r w:rsidRPr="00A65BF3">
        <w:t>36.</w:t>
      </w:r>
      <w:r w:rsidRPr="00A65BF3">
        <w:tab/>
        <w:t>na základě zprávy o následných opatřeních konstatuje, že politika vyloučení soudců ze soudních řízení v případě skutečného nebo zjevného střetu zájmů je již povinná a že SDEU se spoléhá na vyzkoušený mechanismus, který má zabránit střetu zájmů, přičemž tento mechanismus se vztahuje na proces výběru členů SDEU a je plně účinný při jejich nástupu do funkce;</w:t>
      </w:r>
    </w:p>
    <w:p w14:paraId="267880A0" w14:textId="77777777" w:rsidR="00424076" w:rsidRPr="00A65BF3" w:rsidRDefault="00424076" w:rsidP="00424076">
      <w:pPr>
        <w:pStyle w:val="NormalHanging12a"/>
      </w:pPr>
      <w:r w:rsidRPr="00A65BF3">
        <w:lastRenderedPageBreak/>
        <w:t>37.</w:t>
      </w:r>
      <w:r w:rsidRPr="00A65BF3">
        <w:tab/>
        <w:t>konstatuje, že v roce 2024 měli všichni členové SDEU v souladu se článkem 14 statutu bydliště v Lucembursku;</w:t>
      </w:r>
    </w:p>
    <w:p w14:paraId="77EB4161" w14:textId="77777777" w:rsidR="00424076" w:rsidRPr="00A65BF3" w:rsidRDefault="00424076" w:rsidP="00424076">
      <w:pPr>
        <w:pStyle w:val="NormalHanging12a"/>
      </w:pPr>
      <w:r w:rsidRPr="00A65BF3">
        <w:t>38.</w:t>
      </w:r>
      <w:r w:rsidRPr="00A65BF3">
        <w:tab/>
        <w:t>bere na vědomí, že seznam externích činností vykonávaných členy Soudního dvora i Tribunálu je od roku 2018 zveřejňován na internetových stránkách SDEU a že tyto činnosti jsou schváleny pouze v případě, že jsou v souladu s požadavky kodexu chování členů SDEU a s jejich povinností být k dispozici pro soudní činnost; na základě zprávy o následných opatřeních vítá závazek SDEU analyzovat možnosti zlepšení kvality a srozumitelnosti zveřejňovaných informací týkajících se externích činností;</w:t>
      </w:r>
    </w:p>
    <w:p w14:paraId="17381C7A" w14:textId="77777777" w:rsidR="00424076" w:rsidRPr="00A65BF3" w:rsidRDefault="00424076" w:rsidP="00424076">
      <w:pPr>
        <w:pStyle w:val="NormalHanging12a"/>
      </w:pPr>
      <w:r w:rsidRPr="00A65BF3">
        <w:t>39.</w:t>
      </w:r>
      <w:r w:rsidRPr="00A65BF3">
        <w:tab/>
        <w:t>připomíná doporučení Parlamentu z roku 2023, aby se všechny orgány Unie dohodly na jednotném systému používání služebních vozidel, který by se uplatňoval horizontálně; v této souvislosti a na základě zprávy o následných opatřeních konstatuje, že v roce 2024 SDEU, Účetní dvůr, Parlament a Komise zřídily interinstitucionální pracovní skupinu, jejímž cílem je výměna informací o příslušných postupech a určení možností harmonizace pravidel za současného respektování nezávislosti a specifik jednotlivých orgánů; připomíná mínění Parlamentu, že k využívání vozového parku mimo přísné plnění povinností členů Soudního dvora Evropské unie by za žádných okolností nemělo docházet; na základě zprávy o následných opatřeních konstatuje, že pracovní skupina provedla srovnávací analýzu této problematiky a zabývá se dalšími tématy souvisejícími s řízením vozového parku; vyzývá pracovní skupinu, aby v této věci urychleně jednala a co nejdříve informovala orgán příslušný k udělení absolutoria o výsledcích své práce a závěrech;</w:t>
      </w:r>
    </w:p>
    <w:p w14:paraId="5EA94012" w14:textId="77777777" w:rsidR="00424076" w:rsidRPr="00A65BF3" w:rsidRDefault="00424076" w:rsidP="00424076">
      <w:pPr>
        <w:pStyle w:val="NormalHanging12a"/>
      </w:pPr>
      <w:r w:rsidRPr="00A65BF3">
        <w:t>40.</w:t>
      </w:r>
      <w:r w:rsidRPr="00A65BF3">
        <w:tab/>
        <w:t>konstatuje, že SDEU v roce 2024 neoznámil žádné případy podvodu, korupce či zneužití unijních prostředků; konstatuje, že strategie SDEU proti podvodům je nedílnou součástí jeho integrovaného rámce vnitřní kontroly a řízení rizik se zvláštním důrazem na rizika neoprávněného zveřejnění informací; konstatuje, že jeho vnitřní regulační rámec zahrnuje rozhodnutí o vyšetřování podvodů, korupce nebo nezákonné činnosti proti zájmům Unie a rozhodnutí a pokyny pro whistleblowing, včetně ustanovení o informování a ochraně oznamovatelů;</w:t>
      </w:r>
    </w:p>
    <w:p w14:paraId="1E0BE4E2" w14:textId="77777777" w:rsidR="00424076" w:rsidRPr="00A65BF3" w:rsidRDefault="00424076" w:rsidP="00424076">
      <w:pPr>
        <w:pStyle w:val="NormalHanging12a"/>
      </w:pPr>
      <w:r w:rsidRPr="00A65BF3">
        <w:t>41.</w:t>
      </w:r>
      <w:r w:rsidRPr="00A65BF3">
        <w:tab/>
        <w:t>vítá zapojení SDEU do zvyšování transparentnosti, přístupu ke spravedlnosti a otevřenosti veřejnosti, čímž přispívá k posilování důvěry veřejnosti v orgány Unie a zároveň vyvažuje další základní zájmy, jako je soudní klid, důvěrnost řízení a ochrana osobních údajů; zdůrazňuje, že větší transparentnost musí rovněž sloužit k posílení důvěry veřejnosti v judikaturu SDEU; vybízí SDEU, aby pokračoval v úsilí o zlepšení jasnosti, dostupnosti a předvídatelnosti své judikatury, zejména v případech s významným ústavním nebo společenským dopadem; konstatuje, že SDEU v roce 2024 konsolidoval službu streamování slyšení Soudního dvora a Tribunálu na internetových stránkách CURIA, čímž občanům usnadnil přístup k soudním činnostem SDEU; v této souvislosti vítá skutečnost, že v důsledku reformy soudnictví přijaté v roce 2024 došlo ke zvýšení transparentnosti řízení o předběžné otázce tím, že bylo umožněno zveřejňovat písemná vyjádření na internetových stránkách SDEU v přiměřené lhůtě po uzavření věci;</w:t>
      </w:r>
    </w:p>
    <w:p w14:paraId="49586C9F" w14:textId="77777777" w:rsidR="00424076" w:rsidRPr="00A65BF3" w:rsidRDefault="00424076" w:rsidP="00424076">
      <w:pPr>
        <w:pStyle w:val="NormalHanging12a"/>
      </w:pPr>
      <w:r w:rsidRPr="00A65BF3">
        <w:t>42.</w:t>
      </w:r>
      <w:r w:rsidRPr="00A65BF3">
        <w:tab/>
        <w:t xml:space="preserve">na základě zprávy o následných opatřeních s uspokojením konstatuje, že Soudní dvůr po úspěšném pilotním projektu, který byl zahájen v roce 2022, a aktualizaci svého jednacího řádu v roce 2024 rozšířil službu streamování o důležité věci projednávané senátem složeným z pěti soudců, jakož i o téměř živé streamování z jednání věnovaného přednesu řečí a živé přenosy z vyhlášení rozsudků a stanovisek generálních advokátů; </w:t>
      </w:r>
      <w:r w:rsidRPr="00A65BF3">
        <w:lastRenderedPageBreak/>
        <w:t>dále konstatuje, že od 1. září 2024 zůstávají videozáznamy z jednání týkajících se vyhlášení rozsudků a stanovisek trvale dostupné na internetových stránkách SDEU a videozáznamy z přednesu řečí jsou přístupné po dobu jednoho měsíce po jednání; s uznáním konstatuje, že Tribunál přijal podobná opatření, aby zajistil širší přístup veřejnosti ke svým jednáním;</w:t>
      </w:r>
    </w:p>
    <w:p w14:paraId="604BE447" w14:textId="77777777" w:rsidR="00424076" w:rsidRPr="00A65BF3" w:rsidRDefault="00424076" w:rsidP="00424076">
      <w:pPr>
        <w:pStyle w:val="NormalHanging12a"/>
      </w:pPr>
      <w:r w:rsidRPr="00A65BF3">
        <w:t>43.</w:t>
      </w:r>
      <w:r w:rsidRPr="00A65BF3">
        <w:tab/>
        <w:t>konstatuje, že SDEU v roce 2024 zaregistroval 20 žádostí o přístup veřejnosti ke správním dokumentům a že v 15 případech přístup ke správním dokumentům poskytl; konstatuje, že evropská veřejná ochránkyně práv se nezabývala žádným případem týkajícím se SDEU;</w:t>
      </w:r>
    </w:p>
    <w:p w14:paraId="5A8173CC" w14:textId="77777777" w:rsidR="00424076" w:rsidRPr="00EC50DF" w:rsidRDefault="00424076" w:rsidP="00424076">
      <w:pPr>
        <w:pStyle w:val="NormalHanging12a"/>
        <w:ind w:left="0" w:firstLine="0"/>
        <w:rPr>
          <w:b/>
          <w:i/>
          <w:iCs/>
        </w:rPr>
      </w:pPr>
      <w:r w:rsidRPr="00EC50DF">
        <w:rPr>
          <w:b/>
          <w:i/>
          <w:iCs/>
        </w:rPr>
        <w:t>Digitalizace, kybernetická bezpečnost a ochrana údajů</w:t>
      </w:r>
    </w:p>
    <w:p w14:paraId="33444A8D" w14:textId="77777777" w:rsidR="00424076" w:rsidRPr="00A65BF3" w:rsidRDefault="00424076" w:rsidP="00424076">
      <w:pPr>
        <w:spacing w:after="240"/>
        <w:ind w:left="567" w:hanging="567"/>
      </w:pPr>
      <w:r w:rsidRPr="00A65BF3">
        <w:t>44.</w:t>
      </w:r>
      <w:r w:rsidRPr="00A65BF3">
        <w:tab/>
        <w:t>konstatuje, že v roce 2024 se v porovnání s rokem 2023 snížily rozpočtové výdaje o 9 % na projekty v oblasti IT a o 69 % na projekty v oblasti kybernetické bezpečnosti, zatímco se zvýšily o 16 % na vybavení v oblasti IT a o 2 % na služby, licence a vybavení v oblasti kybernetické bezpečnosti; poznamenává, že výrazný pokles projektů v oblasti IT je způsoben tím, že některé projekty kybernetické bezpečnosti vstoupily v roce 2024 do provozní fáze, a související výdaje jsou proto zahrnuty do rozpočtu na standardní provoz;</w:t>
      </w:r>
    </w:p>
    <w:p w14:paraId="5DECDD36" w14:textId="77777777" w:rsidR="00424076" w:rsidRPr="00A65BF3" w:rsidRDefault="00424076" w:rsidP="00424076">
      <w:pPr>
        <w:spacing w:after="240"/>
        <w:ind w:left="567" w:hanging="567"/>
      </w:pPr>
      <w:r w:rsidRPr="00A65BF3">
        <w:t>45.</w:t>
      </w:r>
      <w:r w:rsidRPr="00A65BF3">
        <w:tab/>
        <w:t>chválí SDEU za pokrok dosažený v roce 2024 v různých digitálních projektech, jako je zavedení modernizovaného programu SIGA pro integrovanou správu dat a věcí, větší a lepší využívání aplikace HAN/Ares (elektronický systém SDEU pro registraci a správu dokumentů), zavedení systému EU Sign (systém digitálního podpisu) a přepracování vyhledávacího nástroje stránky Curia a InfoCuria; uznává, že je důležité více využívat aplikaci e-Curia pro podávání a oznamování procesních písemností elektronickými prostředky;</w:t>
      </w:r>
    </w:p>
    <w:p w14:paraId="62EF4039" w14:textId="77777777" w:rsidR="00424076" w:rsidRPr="00A65BF3" w:rsidRDefault="00424076" w:rsidP="00424076">
      <w:pPr>
        <w:spacing w:after="240"/>
        <w:ind w:left="567" w:hanging="567"/>
      </w:pPr>
      <w:r w:rsidRPr="00A65BF3">
        <w:t>46.</w:t>
      </w:r>
      <w:r w:rsidRPr="00A65BF3">
        <w:tab/>
        <w:t>bere na vědomí, že SDEU pokračoval v automatizaci svých procesů a od roku 2024 používá robotický software pro zpracování opakujících se úkonů, jako je přepis jednání a úhrada faktur; očekává, že použití robotických řešení pro automatizaci procesů pomůže optimalizovat zdroje v rámci SDEU; uznává význam interinstitucionální spolupráce, která je pro SDEU přínosem, pokud jde o efektivitu, kterou přináší využívání hlavních IT systémů pro správu dokumentů a záznamů (HAN/Ares), lidské zdroje (Sysper a Staff matters), správu finančních záznamů (SAP) a dalších systémů Komise (založených na umělé inteligenci), například pro překladatelské služby (eTranslation);</w:t>
      </w:r>
    </w:p>
    <w:p w14:paraId="0F7FC239" w14:textId="77777777" w:rsidR="00424076" w:rsidRPr="00A65BF3" w:rsidRDefault="00424076" w:rsidP="00424076">
      <w:pPr>
        <w:spacing w:after="240"/>
        <w:ind w:left="567" w:hanging="567"/>
      </w:pPr>
      <w:r w:rsidRPr="00A65BF3">
        <w:t>47.</w:t>
      </w:r>
      <w:r w:rsidRPr="00A65BF3">
        <w:tab/>
        <w:t xml:space="preserve">se zájmem bere na vědomí, že byl v roce 2024 spuštěn pilotní projekt, v jehož rámci budou mít všechna oddělení SDEU přístup k AI asistentům; zdůrazňuje, že je důležité zajistit dodržování etických zásad při používání nástrojů umělé inteligence, a zejména pokynů SDEU k umělé inteligenci přijatých v roce 2024, čímž se zajistí lidský dohled nad zásadou nezávislosti soudních řízení; zdůrazňuje, že používání nástrojů umělé inteligence v soudním prostředí nesmí nikdy nahradit lidské právní odůvodnění nebo soudní uvážení ani oslabit osobní odpovědnost soudců; v této souvislosti zdůrazňuje úlohu dohledu, kterou má správní rada pro umělou inteligenci SDEU; chválí SDEU za komplexní školicí program, který zavedl v roce 2024, počínaje „měsícem informovanosti o umělé inteligenci“, který zahrnoval školení, kulaté stoly moderované odborníky na umělou inteligenci, webové semináře a bootcampy, čímž učinil první a důležitý krok k vytvoření povědomí zaměstnanců o strategii a pokynech SDEU </w:t>
      </w:r>
      <w:r w:rsidRPr="00A65BF3">
        <w:lastRenderedPageBreak/>
        <w:t>v oblasti umělé inteligence a umělé inteligenci obecně; bere na vědomí, že zaměstnanci rovněž absolvují kurzy zaměřené na řízení změn, transfer znalostí, odborné vedení a duševní bystrost, které jim pomohou přizpůsobit se novým technologiím; vyzývá SDEU, aby pokračoval v pořádání těchto programů školení a zvyšování povědomí;</w:t>
      </w:r>
    </w:p>
    <w:p w14:paraId="334AAD52" w14:textId="77777777" w:rsidR="00424076" w:rsidRPr="00A65BF3" w:rsidRDefault="00424076" w:rsidP="00424076">
      <w:pPr>
        <w:spacing w:after="240"/>
        <w:ind w:left="567" w:hanging="567"/>
      </w:pPr>
      <w:r w:rsidRPr="00A65BF3">
        <w:t>48.</w:t>
      </w:r>
      <w:r w:rsidRPr="00A65BF3">
        <w:tab/>
        <w:t>na základě zprávy o následných opatřeních konstatuje, že po vstupu nového nařízení o kybernetické bezpečnosti v platnost na začátku roku 2024 vypracoval SDEU akční plán pro kybernetickou bezpečnost a provádí související projekty v oblasti infrastruktury IT; konstatuje, že SDEU provádí nejméně tři roční testy obnovy provozu po havárii, které se týkají lokálních systémů, telekomunikačních služeb a automatického přepnutí na zálohu u poskytovatele internetu;</w:t>
      </w:r>
    </w:p>
    <w:p w14:paraId="52E7E77F" w14:textId="77777777" w:rsidR="00424076" w:rsidRPr="00A65BF3" w:rsidRDefault="00424076" w:rsidP="00424076">
      <w:pPr>
        <w:spacing w:after="240"/>
        <w:ind w:left="567" w:hanging="567"/>
      </w:pPr>
      <w:r w:rsidRPr="00A65BF3">
        <w:t>49.</w:t>
      </w:r>
      <w:r w:rsidRPr="00A65BF3">
        <w:tab/>
        <w:t>konstatuje, že v roce 2024 byly dále posíleny operační schopnosti v oblasti kybernetické bezpečnosti, aby bylo dosaženo souladu s nařízením (EU, Euratom) 2023/2841 a byl řešen rostoucí počet kybernetických útoků; konstatuje, že v roce 2024 nedošlo k žádnému významnému kybernetickému útoku; se znepokojením konstatuje, že měsíčně bylo zaznamenáno a analyzováno v průměru 142 bezpečnostních incidentů, z nichž některé vyžadovaly lidský zásah; zdůrazňuje, že kybernetická bezpečnost je strategickou investicí, která má zásadní význam pro zajištění nezávislosti soudnictví, integrity údajů a kontinuity soudní činnosti, a vyzdvihuje proto potřebu trvalých a předvídatelných investic do schopností v oblasti kybernetické bezpečnosti, odborné přípravy zaměstnanců a interinstitucionální spolupráce;</w:t>
      </w:r>
    </w:p>
    <w:p w14:paraId="25A8E2A2" w14:textId="77777777" w:rsidR="00424076" w:rsidRPr="00A65BF3" w:rsidRDefault="00424076" w:rsidP="00424076">
      <w:pPr>
        <w:spacing w:after="240"/>
        <w:ind w:left="567" w:hanging="567"/>
      </w:pPr>
      <w:r w:rsidRPr="00A65BF3">
        <w:t>50.</w:t>
      </w:r>
      <w:r w:rsidRPr="00A65BF3">
        <w:tab/>
        <w:t>konstatuje, že vyšetřování evropského inspektora ochrany údajů (EIOÚ) týkající se využívání cloudových služeb poskytovaných společnostmi Amazon Web Services a Microsoft na základě smluv Cloud II orgány, institucemi a agenturami Unie bylo uzavřeno v roce 2025; dále konstatuje, že SDEU v návaznosti na toto vyšetřování neobdržel žádná doporučení;</w:t>
      </w:r>
    </w:p>
    <w:p w14:paraId="5B0B1F1E" w14:textId="77777777" w:rsidR="00424076" w:rsidRPr="00A65BF3" w:rsidRDefault="00424076" w:rsidP="00424076">
      <w:pPr>
        <w:spacing w:after="240"/>
        <w:ind w:left="567" w:hanging="567"/>
      </w:pPr>
      <w:r w:rsidRPr="00A65BF3">
        <w:t>51.</w:t>
      </w:r>
      <w:r w:rsidRPr="00A65BF3">
        <w:tab/>
        <w:t>konstatuje, že SDEU v rámci své komplexní iniciativy zaměřené na zlepšení přístupnosti pro zranitelné osoby a jejich začlenění nadále u každé změny a vývoje svých IT systémů uplatňuje přístup spočívající v zajištění „přístupnosti již od návrhu“; konstatuje, že v návaznosti na audit internetové stránky Curia v roce 2023 SDEU zavádí technologie, které mají zlepšit přístupnost stránky širokému spektru uživatelů, jako jsou osoby s poruchou zraku, sluchu či učení; vyzývá SDEU, aby orgán příslušný k udělení absolutoria o dané záležitosti průběžně informoval;</w:t>
      </w:r>
    </w:p>
    <w:p w14:paraId="54B59990" w14:textId="77777777" w:rsidR="00424076" w:rsidRPr="00EC50DF" w:rsidRDefault="00424076" w:rsidP="00424076">
      <w:pPr>
        <w:pStyle w:val="NormalHanging12a"/>
        <w:ind w:left="0" w:firstLine="0"/>
        <w:rPr>
          <w:b/>
          <w:i/>
          <w:iCs/>
        </w:rPr>
      </w:pPr>
      <w:r w:rsidRPr="00EC50DF">
        <w:rPr>
          <w:b/>
          <w:i/>
          <w:iCs/>
        </w:rPr>
        <w:t>Budovy</w:t>
      </w:r>
    </w:p>
    <w:p w14:paraId="55D11715" w14:textId="77777777" w:rsidR="00424076" w:rsidRPr="00A65BF3" w:rsidRDefault="00424076" w:rsidP="00424076">
      <w:pPr>
        <w:pStyle w:val="NormalHanging12a"/>
      </w:pPr>
      <w:r w:rsidRPr="00A65BF3">
        <w:t>52.</w:t>
      </w:r>
      <w:r w:rsidRPr="00A65BF3">
        <w:tab/>
        <w:t xml:space="preserve">na základě zprávy o následných opatřeních konstatuje, že v rámci dvou pilotních projektů zaměřených na co nejefektivnější využití prostor SDEU se v roce 2024 uskutečnilo několik seminářů, které vedly k vypracování dvou dispozic přizpůsobených potřebám jednotlivých útvarů; konstatuje, že následná opatření k těmto projektům byla pozastavena, aby byl nejprve poskytnut čas na posouzení dopadu, který by integrace umělé inteligence mohla mít na pracovní metody SDEU a v konečném důsledku na využití prostor a kanceláří; </w:t>
      </w:r>
    </w:p>
    <w:p w14:paraId="516F5E70" w14:textId="77777777" w:rsidR="00424076" w:rsidRPr="00A65BF3" w:rsidRDefault="00424076" w:rsidP="00424076">
      <w:pPr>
        <w:pStyle w:val="NormalHanging12a"/>
      </w:pPr>
      <w:r w:rsidRPr="00A65BF3">
        <w:t>53.</w:t>
      </w:r>
      <w:r w:rsidRPr="00A65BF3">
        <w:tab/>
        <w:t xml:space="preserve">konstatuje, že v roce 2024 SDEU dále pokračoval ve své komplexní iniciativě zaměřené na zlepšení přístupnosti pro osoby se zdravotním postižením a jejich začlenění; zejména bere na vědomí, že SDEU vypracoval dlouhodobý akční plán, který má zajistit, aby jeho budovy splňovaly zákonné normy přístupnosti do 1. ledna 2032, jak to vyžaduje </w:t>
      </w:r>
      <w:r w:rsidRPr="00A65BF3">
        <w:lastRenderedPageBreak/>
        <w:t>lucemburské právo; oceňuje, že SDEU vypracoval soupis bodů nápravy pro části své infrastruktury a zadal architektovi vypracování studie proveditelnosti, která určí nezbytná opatření, jež je třeba přijmout; vyzývá SDEU, aby orgán příslušný k udělení absolutoria o dané záležitosti průběžně informoval;</w:t>
      </w:r>
    </w:p>
    <w:p w14:paraId="3886D869" w14:textId="77777777" w:rsidR="00424076" w:rsidRPr="00EC50DF" w:rsidRDefault="00424076" w:rsidP="00424076">
      <w:pPr>
        <w:pStyle w:val="NormalHanging12a"/>
        <w:ind w:left="0" w:firstLine="0"/>
        <w:rPr>
          <w:b/>
          <w:i/>
          <w:iCs/>
        </w:rPr>
      </w:pPr>
      <w:r w:rsidRPr="00EC50DF">
        <w:rPr>
          <w:b/>
          <w:i/>
          <w:iCs/>
        </w:rPr>
        <w:t>Životní prostředí a udržitelnost</w:t>
      </w:r>
    </w:p>
    <w:p w14:paraId="2829194D" w14:textId="77777777" w:rsidR="00424076" w:rsidRPr="00A65BF3" w:rsidRDefault="00424076" w:rsidP="00424076">
      <w:pPr>
        <w:spacing w:after="240"/>
        <w:ind w:left="567" w:hanging="567"/>
      </w:pPr>
      <w:r w:rsidRPr="00A65BF3">
        <w:t>54.</w:t>
      </w:r>
      <w:r w:rsidRPr="00A65BF3">
        <w:tab/>
        <w:t>chválí SDEU za jeho pokračující úsilí a významný pokrok při snižování své environmentální stopy v roce 2024, jak dokládá jeho výkonnost oproti výchozímu stavu systému pro environmentální řízení podniků a audit (EMAS) z roku 2015, kdy bylo dosaženo snížení na přepočet na plné pracovní úvazky u mnoha druhů spotřeby/emisí (vytápění: - 37,5 %; elektřina: -29,3 %; papír: -64,2 %; odpad z kanceláří a jídelen: -40,4 %; skleníkové plyny: -26,7 %); konstatuje celkové zlepšení ve srovnání se snížením vykázaným pro rok 2023; uznává, že tyto výsledky v kombinaci s tržními podmínkami vedly ke snížení výdajů na energii o 18 % v porovnání s prognózami; v této souvislosti vyzdvihuje důkladné začlenění udržitelnosti do rámce řízení rizik a odpovědnosti SDEU, jak to vyžaduje jeho certifikace EMAS;</w:t>
      </w:r>
    </w:p>
    <w:p w14:paraId="4BBC5AB1" w14:textId="77777777" w:rsidR="00424076" w:rsidRPr="00A65BF3" w:rsidRDefault="00424076" w:rsidP="00424076">
      <w:pPr>
        <w:spacing w:after="240"/>
        <w:ind w:left="567" w:hanging="567"/>
      </w:pPr>
      <w:r w:rsidRPr="00A65BF3">
        <w:t>55.</w:t>
      </w:r>
      <w:r w:rsidRPr="00A65BF3">
        <w:tab/>
        <w:t>vítá významné investice provedené v roce 2024 do zvýšení energetické účinnosti budov SDEU, včetně téměř 1,5 milionu EUR na rozsáhlou instalaci LED osvětlení a více než 0,4 milionu EUR na izolaci budov; s uspokojením konstatuje, že veškerá nakoupená elektřina pochází z obnovitelných zdrojů a že vytápění je zajišťováno dálkovým systémem na biomasu; vítá závazek SDEU zajistit dodávky zelené energie, které obstojí v budoucnu, prostřednictvím plánované účasti na smlouvách o nákupu elektřiny (PPA);</w:t>
      </w:r>
    </w:p>
    <w:p w14:paraId="13F0093A" w14:textId="77777777" w:rsidR="00424076" w:rsidRPr="00A65BF3" w:rsidRDefault="00424076" w:rsidP="00424076">
      <w:pPr>
        <w:spacing w:after="240"/>
        <w:ind w:left="567" w:hanging="567"/>
      </w:pPr>
      <w:r w:rsidRPr="00A65BF3">
        <w:t>56.</w:t>
      </w:r>
      <w:r w:rsidRPr="00A65BF3">
        <w:tab/>
        <w:t>chválí SDEU za jeho důsledný přístup k zadávání udržitelných veřejných zakázek, a to prostřednictvím kategorizace výzev k podávání nabídek („mírně zelené“, „středně zelené“, „vysoce zelené“) na základě dopadu jejich environmentálních doložek, systematického využívání nástrojů, jako je povinné sebehodnocení „ekologické výkonnosti“, a konzultací interinstitucionální asistenční služby SPP; uvádí, že v roce 2024 bylo osm velkých veřejných zakázek nad 60 000 EUR „zelenými nákupy“, z nichž šest obsahovalo významné environmentální doložky; vítá zejména úspěšné provádění nové smlouvy o poskytování stravovacích služeb, která vyžaduje udržitelné postupy v oblasti potravin a je držitelem certifikátu ISO 14001, a dosažení cíle omezit „mírně zelené“ nabídky na úroveň výrazně nižší než 50 %;</w:t>
      </w:r>
    </w:p>
    <w:p w14:paraId="7A9EB023" w14:textId="77777777" w:rsidR="00424076" w:rsidRPr="00A65BF3" w:rsidRDefault="00424076" w:rsidP="00424076">
      <w:pPr>
        <w:spacing w:after="240"/>
        <w:ind w:left="567" w:hanging="567"/>
      </w:pPr>
      <w:r w:rsidRPr="00A65BF3">
        <w:t>57.</w:t>
      </w:r>
      <w:r w:rsidRPr="00A65BF3">
        <w:tab/>
        <w:t xml:space="preserve">chválí SDEU za jeho komplexní a účinnou strategii udržitelné mobility zaměstnanců a členů; v této souvislosti bere na vědomí pokračující dotace na veřejnou dopravu pro přeshraniční dojíždění a na program Vel'Oh! pro cyklisty, jakož i významné zlepšení infrastruktury, včetně instalace mnoha dobíjecích bodů pro elektrická a hybridní vozidla v roce 2024; </w:t>
      </w:r>
    </w:p>
    <w:p w14:paraId="34D82627" w14:textId="77777777" w:rsidR="00424076" w:rsidRPr="00A65BF3" w:rsidRDefault="00424076" w:rsidP="00424076">
      <w:pPr>
        <w:spacing w:after="240"/>
        <w:ind w:left="567" w:hanging="567"/>
      </w:pPr>
      <w:r w:rsidRPr="00A65BF3">
        <w:t>58.</w:t>
      </w:r>
      <w:r w:rsidRPr="00A65BF3">
        <w:tab/>
        <w:t>konstatuje výrazný posun směrem k udržitelným metodám práce, kdy členové SDEU výrazně častěji využívají videokonference, aby se vyhnuli cestování, o čemž svědčí 131 takových misí v roce 2024 oproti pouhým třem v roce 2019; dále vítá probíhající digitalizaci procesů, která je spolu s odstraněním 80 % osobních tiskáren klíčovým faktorem výrazného snížení spotřeby papíru v SDEU;</w:t>
      </w:r>
    </w:p>
    <w:p w14:paraId="633C6E52" w14:textId="77777777" w:rsidR="00424076" w:rsidRPr="00EC50DF" w:rsidRDefault="00424076" w:rsidP="00424076">
      <w:pPr>
        <w:pStyle w:val="NormalHanging12a"/>
        <w:rPr>
          <w:b/>
          <w:i/>
          <w:iCs/>
        </w:rPr>
      </w:pPr>
      <w:r w:rsidRPr="00EC50DF">
        <w:rPr>
          <w:b/>
          <w:i/>
          <w:iCs/>
        </w:rPr>
        <w:t>Interinstitucionální spolupráce</w:t>
      </w:r>
    </w:p>
    <w:p w14:paraId="20613CEC" w14:textId="77777777" w:rsidR="00424076" w:rsidRPr="00A65BF3" w:rsidRDefault="00424076" w:rsidP="00424076">
      <w:pPr>
        <w:pStyle w:val="NormalHanging12a"/>
      </w:pPr>
      <w:r w:rsidRPr="00A65BF3">
        <w:t>59.</w:t>
      </w:r>
      <w:r w:rsidRPr="00A65BF3">
        <w:tab/>
        <w:t xml:space="preserve">bere na vědomí spolupráci SDEU s ostatními orgány a institucemi a především sdílení </w:t>
      </w:r>
      <w:r w:rsidRPr="00A65BF3">
        <w:lastRenderedPageBreak/>
        <w:t>aplikací a hostingových služeb využívaných na základě dohod o poskytování služeb s Komisí, jakož i účast na interinstitucionálních zadávacích řízeních, které SDEU umožnily optimalizovat náklady a zdroje; uznává význam interinstitucionální spolupráce SDEU se Službou kybernetické bezpečnosti pro orgány, instituce a jiné subjekty Unie (CERT-EU) a Agenturou Evropské unie pro kybernetickou bezpečnost (ENISA), včetně účasti v technických poradních skupinách pro nástroje, metodiky a informovanost, jakož i na iniciativě služby CERT-EU týkající se generativní umělé inteligence;</w:t>
      </w:r>
    </w:p>
    <w:p w14:paraId="4D6AEA3F" w14:textId="77777777" w:rsidR="00424076" w:rsidRPr="00A65BF3" w:rsidRDefault="00424076" w:rsidP="00424076">
      <w:pPr>
        <w:pStyle w:val="NormalHanging12a"/>
      </w:pPr>
      <w:r w:rsidRPr="00A65BF3">
        <w:t>60.</w:t>
      </w:r>
      <w:r w:rsidRPr="00A65BF3">
        <w:tab/>
        <w:t>konstatuje, že SDEU uzavřel několik dohod o poskytování služeb o údržbě infrastruktury IT, používání HR nástrojů, vyplácení některých individuálních nároků a používání systému pro správu dokumentů HAN/Ares; vítá obnovení roční dohody o financování uzavřené s překladatelskými službami ostatních orgánů Unie; bere na vědomí, že v roce 2024 podepsal dvě memoranda o porozumění s Komisí a Parlamentem: memorandum o porozumění týkající se sdílení finanční zátěže v souvislosti s používáním nástroje pro testování na dálku pro interinstitucionální akreditační testy a memorandum o porozumění týkající se sdílení nákladů na společné informační činnosti tlumočnických služeb;</w:t>
      </w:r>
    </w:p>
    <w:p w14:paraId="19A95BCA" w14:textId="77777777" w:rsidR="00424076" w:rsidRPr="00A65BF3" w:rsidRDefault="00424076" w:rsidP="00424076">
      <w:pPr>
        <w:pStyle w:val="NormalHanging12a"/>
      </w:pPr>
      <w:r w:rsidRPr="00A65BF3">
        <w:t>61.</w:t>
      </w:r>
      <w:r w:rsidRPr="00A65BF3">
        <w:tab/>
        <w:t>oceňuje, že SDEU plně spolupracuje s Evropským úřadem pro boj proti podvodům (OLAF), Účetním dvorem, evropským inspektorem ochrany údajů a evropským veřejným ochráncem práv; bere na vědomí partnerství SDEU se sítí EJTN, které pomáhá SDEU v jeho činnosti zaměřené na podporu společné soudní kultury v celé Unie, zajištění důsledného a jednotného uplatňování práva Unie ve všech členských státech a posílení vzájemné důvěry mezi vnitrostátním soudnictvím a SDEU; v této souvislosti oceňuje pořádání každoročních setkání s korespondenty vnitrostátních soudů, tematických skupin, webinářů a návštěv zástupců SDEU u vnitrostátních soudů a naopak; pro rok 2024 bere na vědomí zejména výroční setkání korespondentů EJTN, které se konalo v Bruselu, návštěvu delegace Tribunálu ve Varšavě, jakož i výroční setkání soudců se zvláštní konferencí konanou na půdě SDEU u příležitosti 20. výročí rozšíření v roce 2004; na základě zprávy o následných opatřeních konstatuje, že v roce 2024 se seminářů zúčastnil vyšší počet soudců a že vnitrostátní odborníci v oblasti justice ze tří nových členských států poprvé podali přihlášky do dlouhodobých vzdělávacích programů SDEU;</w:t>
      </w:r>
    </w:p>
    <w:p w14:paraId="11331340" w14:textId="77777777" w:rsidR="00424076" w:rsidRPr="00A65BF3" w:rsidRDefault="00424076" w:rsidP="00424076">
      <w:pPr>
        <w:pStyle w:val="NormalHanging12a"/>
      </w:pPr>
      <w:r w:rsidRPr="00A65BF3">
        <w:t>62.</w:t>
      </w:r>
      <w:r w:rsidRPr="00A65BF3">
        <w:tab/>
        <w:t>vítá skutečnost, že se SDEU a Parlament rozhodly pořádat každoroční setkání, která mají sloužit jako dialog o tématech společného zájmu, jako je správa, možnosti zlepšení soudního systému nebo vnímání právního státu občany; konstatuje, že první takové setkání se uskutečnilo v březnu 2024;</w:t>
      </w:r>
    </w:p>
    <w:p w14:paraId="6F7640EF" w14:textId="77777777" w:rsidR="00424076" w:rsidRPr="00EC50DF" w:rsidRDefault="00424076" w:rsidP="00424076">
      <w:pPr>
        <w:pStyle w:val="NormalHanging12a"/>
        <w:ind w:left="0" w:firstLine="0"/>
        <w:rPr>
          <w:b/>
          <w:i/>
          <w:iCs/>
        </w:rPr>
      </w:pPr>
      <w:r w:rsidRPr="00EC50DF">
        <w:rPr>
          <w:b/>
          <w:i/>
          <w:iCs/>
        </w:rPr>
        <w:t>Komunikační činnost</w:t>
      </w:r>
    </w:p>
    <w:p w14:paraId="26A603FE" w14:textId="77777777" w:rsidR="00424076" w:rsidRPr="00A65BF3" w:rsidRDefault="00424076" w:rsidP="00424076">
      <w:pPr>
        <w:pStyle w:val="NormalHanging12a"/>
      </w:pPr>
      <w:r w:rsidRPr="00A65BF3">
        <w:t>63.</w:t>
      </w:r>
      <w:r w:rsidRPr="00A65BF3">
        <w:tab/>
        <w:t>konstatuje, že SDEU pravidelně organizuje návštěvy, přičemž v roce 2024 bylo zaznamenáno celkem 16 319 návštěvníků; poznamenává, že přibližně 2 500 z těchto návštěvníků se v tomtéž roce zúčastnilo dne otevřených dveří SDEU; dále poznamenává, že kromě pravidelných návštěv pořádá SDEU také virtuální návštěvy; uvádí, že 7 % všech návštěvníků SDEU v roce 2024 bylo virtuálních, zatímco 43 % z nich byli studenti;</w:t>
      </w:r>
    </w:p>
    <w:p w14:paraId="49F3E1CB" w14:textId="77777777" w:rsidR="00424076" w:rsidRPr="00A65BF3" w:rsidRDefault="00424076" w:rsidP="00424076">
      <w:pPr>
        <w:pStyle w:val="NormalHanging12a"/>
      </w:pPr>
      <w:r w:rsidRPr="00A65BF3">
        <w:t>64.</w:t>
      </w:r>
      <w:r w:rsidRPr="00A65BF3">
        <w:tab/>
        <w:t xml:space="preserve">konstatuje, že SDEU v roce 2024 zintenzívnil své úsilí ohledně komunikace s občany Unie, neboť zvýšil svůj dosah na sociálních sítích; konstatuje, že na konci roku 2024 se </w:t>
      </w:r>
      <w:r w:rsidRPr="00A65BF3">
        <w:lastRenderedPageBreak/>
        <w:t>počet odběratelů účtu SDEU na síti LinkedIn zvýšil o 26 % a počet sledujících na dvou účtech SDEU na síti X (dříve Twitter) o 2,5 %, zatímco počet zhlédnutí jeho kanálu na YouTube se zvýšil o 137 % a počet jeho odběratelů na YouTube vzrostl o více než 329 % ve srovnání s předchozím rokem; konstatuje, že k prudkému nárůstu počtu zhlédnutí a předplatitelů došlo částečně díky propagační kampani, kterou uspořádal SDEU;</w:t>
      </w:r>
    </w:p>
    <w:p w14:paraId="2C29FD44" w14:textId="77777777" w:rsidR="00424076" w:rsidRPr="00A65BF3" w:rsidRDefault="00424076" w:rsidP="00424076">
      <w:pPr>
        <w:pStyle w:val="NormalHanging12a"/>
      </w:pPr>
      <w:r w:rsidRPr="00A65BF3">
        <w:t>65.</w:t>
      </w:r>
      <w:r w:rsidRPr="00A65BF3">
        <w:tab/>
        <w:t>poznamenává, že v roce 2024 zahájil SDEU studii o rozšíření své přítomnosti na sociálních médiích, která vedla k rozhodnutí založit účty na sítích Instagram, Bluesky, Threads a WhatsApp v roce 2025;</w:t>
      </w:r>
    </w:p>
    <w:p w14:paraId="61E5EF58" w14:textId="384D57D8" w:rsidR="00A65BF3" w:rsidRPr="00A65BF3" w:rsidRDefault="00424076" w:rsidP="00A65BF3">
      <w:pPr>
        <w:pStyle w:val="NormalHanging12a"/>
      </w:pPr>
      <w:r w:rsidRPr="00A65BF3">
        <w:t>66.</w:t>
      </w:r>
      <w:r w:rsidRPr="00A65BF3">
        <w:tab/>
        <w:t>s uznáním bere na vědomí další klíčová opatření a plány SDEU ke zvýšení transparentnosti a přístupnosti a k uspokojení potřeb právníků, médií a široké veřejnosti (včetně mladších generací), jako je přepracování internetových stránek SDEU se zavedením nového (jednotného) vyhledávače, spuštění nové mnohojazyčné platformy Web TV s obsahem o práci a rozhodnutích SDEU, zveřejňování videí na sociálních médiích, zjednodušení jazyka používaného v tiskových zprávách SDEU a revize výročních zpráv SDEU s cílem poskytnout jasnější přehledy judikatury a statistiky.</w:t>
      </w:r>
    </w:p>
    <w:p w14:paraId="5218E73E" w14:textId="4C642F69" w:rsidR="00E365E1" w:rsidRPr="00A65BF3" w:rsidRDefault="00E365E1" w:rsidP="0008018D"/>
    <w:sectPr w:rsidR="00E365E1" w:rsidRPr="00A65BF3" w:rsidSect="00A65BF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26DDA" w14:textId="77777777" w:rsidR="0008018D" w:rsidRPr="00A65BF3" w:rsidRDefault="0008018D">
      <w:r w:rsidRPr="00A65BF3">
        <w:separator/>
      </w:r>
    </w:p>
  </w:endnote>
  <w:endnote w:type="continuationSeparator" w:id="0">
    <w:p w14:paraId="6C1C27B3" w14:textId="77777777" w:rsidR="0008018D" w:rsidRPr="00A65BF3" w:rsidRDefault="0008018D">
      <w:r w:rsidRPr="00A65BF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3741D" w14:textId="77777777" w:rsidR="00424076" w:rsidRPr="00A65BF3" w:rsidRDefault="00424076" w:rsidP="00B254A7">
    <w:pPr>
      <w:pStyle w:val="EPFooter"/>
    </w:pPr>
    <w:r w:rsidRPr="00A65BF3">
      <w:t>PE</w:t>
    </w:r>
    <w:r w:rsidRPr="00A65BF3">
      <w:rPr>
        <w:rStyle w:val="HideTWBExt"/>
      </w:rPr>
      <w:t>&lt;NoPE&gt;</w:t>
    </w:r>
    <w:r w:rsidRPr="00A65BF3">
      <w:t>778.060</w:t>
    </w:r>
    <w:r w:rsidRPr="00A65BF3">
      <w:rPr>
        <w:rStyle w:val="HideTWBExt"/>
      </w:rPr>
      <w:t>&lt;/NoPE&gt;&lt;Version&gt;</w:t>
    </w:r>
    <w:r w:rsidRPr="00A65BF3">
      <w:t>v02-00</w:t>
    </w:r>
    <w:r w:rsidRPr="00A65BF3">
      <w:rPr>
        <w:rStyle w:val="HideTWBExt"/>
      </w:rPr>
      <w:t>&lt;/Version&gt;</w:t>
    </w:r>
    <w:r w:rsidRPr="00A65BF3">
      <w:tab/>
    </w:r>
    <w:r w:rsidRPr="00A65BF3">
      <w:fldChar w:fldCharType="begin"/>
    </w:r>
    <w:r w:rsidRPr="00A65BF3">
      <w:instrText xml:space="preserve"> PAGE  \* MERGEFORMAT </w:instrText>
    </w:r>
    <w:r w:rsidRPr="00A65BF3">
      <w:fldChar w:fldCharType="separate"/>
    </w:r>
    <w:r w:rsidRPr="00A65BF3">
      <w:rPr>
        <w:noProof/>
      </w:rPr>
      <w:t>2</w:t>
    </w:r>
    <w:r w:rsidRPr="00A65BF3">
      <w:fldChar w:fldCharType="end"/>
    </w:r>
    <w:r w:rsidRPr="00A65BF3">
      <w:t>/</w:t>
    </w:r>
    <w:fldSimple w:instr=" NUMPAGES  \* MERGEFORMAT ">
      <w:r w:rsidRPr="00A65BF3">
        <w:rPr>
          <w:noProof/>
        </w:rPr>
        <w:t>4</w:t>
      </w:r>
    </w:fldSimple>
    <w:r w:rsidRPr="00A65BF3">
      <w:tab/>
    </w:r>
    <w:r w:rsidRPr="00A65BF3">
      <w:rPr>
        <w:rStyle w:val="HideTWBExt"/>
      </w:rPr>
      <w:t>&lt;PathFdR&gt;</w:t>
    </w:r>
    <w:r w:rsidRPr="00A65BF3">
      <w:t>RR\1339440CS.docx</w:t>
    </w:r>
    <w:r w:rsidRPr="00A65BF3">
      <w:rPr>
        <w:rStyle w:val="HideTWBExt"/>
      </w:rPr>
      <w:t>&lt;/PathFdR&gt;</w:t>
    </w:r>
  </w:p>
  <w:p w14:paraId="241A437F" w14:textId="77777777" w:rsidR="00424076" w:rsidRPr="00A65BF3" w:rsidRDefault="00424076" w:rsidP="00B254A7">
    <w:pPr>
      <w:pStyle w:val="EPFooter2"/>
    </w:pPr>
    <w:r w:rsidRPr="00A65BF3">
      <w:t>CS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2AABC" w14:textId="77777777" w:rsidR="00424076" w:rsidRPr="00A65BF3" w:rsidRDefault="00424076" w:rsidP="00B254A7">
    <w:pPr>
      <w:pStyle w:val="EPFooter"/>
    </w:pPr>
    <w:r w:rsidRPr="00A65BF3">
      <w:rPr>
        <w:rStyle w:val="HideTWBExt"/>
      </w:rPr>
      <w:t>&lt;PathFdR&gt;</w:t>
    </w:r>
    <w:r w:rsidRPr="00A65BF3">
      <w:t>RR\1339440CS.docx</w:t>
    </w:r>
    <w:r w:rsidRPr="00A65BF3">
      <w:rPr>
        <w:rStyle w:val="HideTWBExt"/>
      </w:rPr>
      <w:t>&lt;/PathFdR&gt;</w:t>
    </w:r>
    <w:r w:rsidRPr="00A65BF3">
      <w:tab/>
    </w:r>
    <w:r w:rsidRPr="00A65BF3">
      <w:tab/>
      <w:t>PE</w:t>
    </w:r>
    <w:r w:rsidRPr="00A65BF3">
      <w:rPr>
        <w:rStyle w:val="HideTWBExt"/>
      </w:rPr>
      <w:t>&lt;NoPE&gt;</w:t>
    </w:r>
    <w:r w:rsidRPr="00A65BF3">
      <w:t>778.060</w:t>
    </w:r>
    <w:r w:rsidRPr="00A65BF3">
      <w:rPr>
        <w:rStyle w:val="HideTWBExt"/>
      </w:rPr>
      <w:t>&lt;/NoPE&gt;&lt;Version&gt;</w:t>
    </w:r>
    <w:r w:rsidRPr="00A65BF3">
      <w:t>v02-00</w:t>
    </w:r>
    <w:r w:rsidRPr="00A65BF3">
      <w:rPr>
        <w:rStyle w:val="HideTWBExt"/>
      </w:rPr>
      <w:t>&lt;/Version&gt;</w:t>
    </w:r>
  </w:p>
  <w:p w14:paraId="076CC19F" w14:textId="77777777" w:rsidR="00424076" w:rsidRPr="00A65BF3" w:rsidRDefault="00424076" w:rsidP="00B254A7">
    <w:pPr>
      <w:pStyle w:val="EPFooter2"/>
    </w:pPr>
    <w:r w:rsidRPr="00A65BF3">
      <w:t>CS</w:t>
    </w:r>
    <w:r w:rsidRPr="00A65BF3">
      <w:tab/>
    </w:r>
    <w:r w:rsidRPr="00A65BF3">
      <w:rPr>
        <w:b w:val="0"/>
        <w:i/>
        <w:color w:val="C0C0C0"/>
        <w:sz w:val="22"/>
      </w:rPr>
      <w:t>Jednotná v rozmanitosti</w:t>
    </w:r>
    <w:r w:rsidRPr="00A65BF3">
      <w:tab/>
      <w:t>CS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BEE5DC" w14:textId="77777777" w:rsidR="00064002" w:rsidRPr="00A65BF3" w:rsidRDefault="00064002"/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65DD65" w14:textId="77777777" w:rsidR="00064002" w:rsidRPr="00A65BF3" w:rsidRDefault="00064002"/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0BF742" w14:textId="77777777" w:rsidR="00064002" w:rsidRPr="00A65BF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8DC65" w14:textId="77777777" w:rsidR="0008018D" w:rsidRPr="00A65BF3" w:rsidRDefault="0008018D">
      <w:r w:rsidRPr="00A65BF3">
        <w:separator/>
      </w:r>
    </w:p>
  </w:footnote>
  <w:footnote w:type="continuationSeparator" w:id="0">
    <w:p w14:paraId="4EAF3377" w14:textId="77777777" w:rsidR="0008018D" w:rsidRPr="00A65BF3" w:rsidRDefault="0008018D">
      <w:r w:rsidRPr="00A65BF3">
        <w:continuationSeparator/>
      </w:r>
    </w:p>
  </w:footnote>
  <w:footnote w:id="1">
    <w:p w14:paraId="447C3A22" w14:textId="426F2CB7" w:rsidR="00424076" w:rsidRPr="00A65BF3" w:rsidRDefault="00424076" w:rsidP="00A65BF3">
      <w:pPr>
        <w:pStyle w:val="FootnoteText"/>
        <w:ind w:left="567" w:hanging="567"/>
        <w:rPr>
          <w:sz w:val="24"/>
          <w:lang w:val="cs-CZ"/>
        </w:rPr>
      </w:pPr>
      <w:r w:rsidRPr="00A65BF3">
        <w:rPr>
          <w:rStyle w:val="FootnoteReference"/>
          <w:sz w:val="24"/>
          <w:lang w:val="cs-CZ"/>
        </w:rPr>
        <w:footnoteRef/>
      </w:r>
      <w:r w:rsidR="00A65BF3" w:rsidRPr="00A65BF3">
        <w:rPr>
          <w:sz w:val="24"/>
          <w:lang w:val="cs-CZ"/>
        </w:rPr>
        <w:t xml:space="preserve"> </w:t>
      </w:r>
      <w:r w:rsidR="00A65BF3" w:rsidRPr="00A65BF3">
        <w:rPr>
          <w:sz w:val="24"/>
          <w:lang w:val="cs-CZ"/>
        </w:rPr>
        <w:tab/>
      </w:r>
      <w:r w:rsidRPr="00A65BF3">
        <w:rPr>
          <w:sz w:val="24"/>
          <w:lang w:val="cs-CZ"/>
        </w:rPr>
        <w:t>Úř. věst. L</w:t>
      </w:r>
      <w:r w:rsidR="00F73C4F">
        <w:rPr>
          <w:sz w:val="24"/>
          <w:lang w:val="cs-CZ"/>
        </w:rPr>
        <w:t>,</w:t>
      </w:r>
      <w:r w:rsidRPr="00A65BF3">
        <w:rPr>
          <w:sz w:val="24"/>
          <w:lang w:val="cs-CZ"/>
        </w:rPr>
        <w:t xml:space="preserve"> </w:t>
      </w:r>
      <w:r w:rsidR="00F73C4F">
        <w:rPr>
          <w:sz w:val="24"/>
          <w:lang w:val="cs-CZ"/>
        </w:rPr>
        <w:t>2024/</w:t>
      </w:r>
      <w:r w:rsidRPr="00A65BF3">
        <w:rPr>
          <w:sz w:val="24"/>
          <w:lang w:val="cs-CZ"/>
        </w:rPr>
        <w:t xml:space="preserve">207, 22.2.2024, ELI: </w:t>
      </w:r>
      <w:hyperlink r:id="rId1" w:history="1">
        <w:r w:rsidRPr="00A65BF3">
          <w:rPr>
            <w:rStyle w:val="Hyperlink"/>
            <w:sz w:val="24"/>
            <w:lang w:val="cs-CZ"/>
          </w:rPr>
          <w:t>http://data.europa.eu/eli/budget/2024/207/oj</w:t>
        </w:r>
      </w:hyperlink>
      <w:r w:rsidRPr="00A65BF3">
        <w:rPr>
          <w:sz w:val="24"/>
          <w:lang w:val="cs-CZ"/>
        </w:rPr>
        <w:t>.</w:t>
      </w:r>
    </w:p>
  </w:footnote>
  <w:footnote w:id="2">
    <w:p w14:paraId="6CCF09F5" w14:textId="50243302" w:rsidR="00424076" w:rsidRPr="00A65BF3" w:rsidRDefault="00424076" w:rsidP="00A65BF3">
      <w:pPr>
        <w:pStyle w:val="FootnoteText"/>
        <w:ind w:left="567" w:hanging="567"/>
        <w:rPr>
          <w:sz w:val="24"/>
          <w:lang w:val="cs-CZ"/>
        </w:rPr>
      </w:pPr>
      <w:r w:rsidRPr="00A65BF3">
        <w:rPr>
          <w:rStyle w:val="FootnoteReference"/>
          <w:sz w:val="24"/>
          <w:lang w:val="cs-CZ"/>
        </w:rPr>
        <w:footnoteRef/>
      </w:r>
      <w:r w:rsidR="00A65BF3" w:rsidRPr="00A65BF3">
        <w:rPr>
          <w:sz w:val="24"/>
          <w:lang w:val="cs-CZ"/>
        </w:rPr>
        <w:t xml:space="preserve"> </w:t>
      </w:r>
      <w:r w:rsidR="00A65BF3" w:rsidRPr="00A65BF3">
        <w:rPr>
          <w:sz w:val="24"/>
          <w:lang w:val="cs-CZ"/>
        </w:rPr>
        <w:tab/>
      </w:r>
      <w:r w:rsidRPr="00A65BF3">
        <w:rPr>
          <w:sz w:val="24"/>
          <w:lang w:val="cs-CZ"/>
        </w:rPr>
        <w:t>Úř. věst. C, C/2025/4944, 13.10.2025, ELI: </w:t>
      </w:r>
      <w:hyperlink r:id="rId2" w:tgtFrame="_blank" w:tooltip="Umožňuje přístup k tomuto dokumentu prostřednictvím jeho identifikátoru ELI URI." w:history="1">
        <w:r w:rsidRPr="00A65BF3">
          <w:rPr>
            <w:rStyle w:val="Hyperlink"/>
            <w:sz w:val="24"/>
            <w:lang w:val="cs-CZ"/>
          </w:rPr>
          <w:t>http://data.europa.eu/eli/C/2025/4944/oj</w:t>
        </w:r>
      </w:hyperlink>
      <w:r w:rsidRPr="00A65BF3">
        <w:rPr>
          <w:sz w:val="24"/>
          <w:lang w:val="cs-CZ"/>
        </w:rPr>
        <w:t>.</w:t>
      </w:r>
    </w:p>
  </w:footnote>
  <w:footnote w:id="3">
    <w:p w14:paraId="5DBDF383" w14:textId="0C43392A" w:rsidR="00424076" w:rsidRPr="00A65BF3" w:rsidRDefault="00424076" w:rsidP="00A65BF3">
      <w:pPr>
        <w:pStyle w:val="FootnoteText"/>
        <w:ind w:left="567" w:hanging="567"/>
        <w:rPr>
          <w:sz w:val="24"/>
          <w:lang w:val="cs-CZ"/>
        </w:rPr>
      </w:pPr>
      <w:r w:rsidRPr="00A65BF3">
        <w:rPr>
          <w:rStyle w:val="FootnoteReference"/>
          <w:sz w:val="24"/>
          <w:lang w:val="cs-CZ"/>
        </w:rPr>
        <w:footnoteRef/>
      </w:r>
      <w:r w:rsidR="00A65BF3" w:rsidRPr="00A65BF3">
        <w:rPr>
          <w:sz w:val="24"/>
          <w:lang w:val="cs-CZ"/>
        </w:rPr>
        <w:t xml:space="preserve"> </w:t>
      </w:r>
      <w:r w:rsidR="00A65BF3" w:rsidRPr="00A65BF3">
        <w:rPr>
          <w:sz w:val="24"/>
          <w:lang w:val="cs-CZ"/>
        </w:rPr>
        <w:tab/>
      </w:r>
      <w:r w:rsidRPr="00A65BF3">
        <w:rPr>
          <w:sz w:val="24"/>
          <w:lang w:val="cs-CZ"/>
        </w:rPr>
        <w:t xml:space="preserve">Úř. věst. C, C/2025/5409, 8.10.2025, ELI: </w:t>
      </w:r>
      <w:hyperlink r:id="rId3" w:history="1">
        <w:r w:rsidRPr="00A65BF3">
          <w:rPr>
            <w:rStyle w:val="Hyperlink"/>
            <w:sz w:val="24"/>
            <w:lang w:val="cs-CZ"/>
          </w:rPr>
          <w:t>http://data.europa.eu/eli/C/2025/5409/oj</w:t>
        </w:r>
      </w:hyperlink>
      <w:r w:rsidRPr="00A65BF3">
        <w:rPr>
          <w:sz w:val="24"/>
          <w:lang w:val="cs-CZ"/>
        </w:rPr>
        <w:t>.</w:t>
      </w:r>
    </w:p>
  </w:footnote>
  <w:footnote w:id="4">
    <w:p w14:paraId="5B33DE00" w14:textId="32C9149E" w:rsidR="00424076" w:rsidRPr="00A65BF3" w:rsidRDefault="00424076" w:rsidP="00A65BF3">
      <w:pPr>
        <w:pStyle w:val="FootnoteText"/>
        <w:ind w:left="567" w:hanging="567"/>
        <w:rPr>
          <w:sz w:val="24"/>
          <w:lang w:val="cs-CZ"/>
        </w:rPr>
      </w:pPr>
      <w:r w:rsidRPr="00A65BF3">
        <w:rPr>
          <w:rStyle w:val="FootnoteReference"/>
          <w:sz w:val="24"/>
          <w:lang w:val="cs-CZ"/>
        </w:rPr>
        <w:footnoteRef/>
      </w:r>
      <w:r w:rsidR="00A65BF3" w:rsidRPr="00A65BF3">
        <w:rPr>
          <w:sz w:val="24"/>
          <w:lang w:val="cs-CZ"/>
        </w:rPr>
        <w:t xml:space="preserve"> </w:t>
      </w:r>
      <w:r w:rsidR="00A65BF3" w:rsidRPr="00A65BF3">
        <w:rPr>
          <w:sz w:val="24"/>
          <w:lang w:val="cs-CZ"/>
        </w:rPr>
        <w:tab/>
      </w:r>
      <w:r w:rsidRPr="00A65BF3">
        <w:rPr>
          <w:sz w:val="24"/>
          <w:lang w:val="cs-CZ"/>
        </w:rPr>
        <w:t xml:space="preserve">Úř. věst. C, C/2025/5407, 13.10.2025, ELI: </w:t>
      </w:r>
      <w:hyperlink r:id="rId4" w:history="1">
        <w:r w:rsidRPr="00A65BF3">
          <w:rPr>
            <w:rStyle w:val="Hyperlink"/>
            <w:sz w:val="24"/>
            <w:lang w:val="cs-CZ"/>
          </w:rPr>
          <w:t>http://data.europa.eu/eli/C/2025/5407/oj</w:t>
        </w:r>
      </w:hyperlink>
      <w:r w:rsidRPr="00A65BF3">
        <w:rPr>
          <w:sz w:val="24"/>
          <w:lang w:val="cs-CZ"/>
        </w:rPr>
        <w:t>.</w:t>
      </w:r>
    </w:p>
  </w:footnote>
  <w:footnote w:id="5">
    <w:p w14:paraId="6FD8980A" w14:textId="30C4AD6D" w:rsidR="00424076" w:rsidRPr="00A65BF3" w:rsidRDefault="00424076" w:rsidP="00A65BF3">
      <w:pPr>
        <w:pStyle w:val="FootnoteText"/>
        <w:ind w:left="567" w:hanging="567"/>
        <w:rPr>
          <w:sz w:val="24"/>
          <w:lang w:val="cs-CZ"/>
        </w:rPr>
      </w:pPr>
      <w:r w:rsidRPr="00A65BF3">
        <w:rPr>
          <w:rStyle w:val="FootnoteReference"/>
          <w:sz w:val="24"/>
          <w:lang w:val="cs-CZ"/>
        </w:rPr>
        <w:footnoteRef/>
      </w:r>
      <w:r w:rsidR="00A65BF3" w:rsidRPr="00A65BF3">
        <w:rPr>
          <w:sz w:val="24"/>
          <w:lang w:val="cs-CZ"/>
        </w:rPr>
        <w:t xml:space="preserve"> </w:t>
      </w:r>
      <w:r w:rsidR="00A65BF3" w:rsidRPr="00A65BF3">
        <w:rPr>
          <w:sz w:val="24"/>
          <w:lang w:val="cs-CZ"/>
        </w:rPr>
        <w:tab/>
      </w:r>
      <w:r w:rsidRPr="00A65BF3">
        <w:rPr>
          <w:sz w:val="24"/>
          <w:lang w:val="cs-CZ"/>
        </w:rPr>
        <w:t xml:space="preserve">Úř. věst. L 193, 30.7.2018, s. 1, ELI: </w:t>
      </w:r>
      <w:hyperlink r:id="rId5" w:history="1">
        <w:r w:rsidRPr="00A65BF3">
          <w:rPr>
            <w:rStyle w:val="Hyperlink"/>
            <w:sz w:val="24"/>
            <w:lang w:val="cs-CZ"/>
          </w:rPr>
          <w:t>http://data.europa.eu/eli/reg/2018/1046/oj</w:t>
        </w:r>
      </w:hyperlink>
      <w:r w:rsidRPr="00A65BF3">
        <w:rPr>
          <w:sz w:val="24"/>
          <w:lang w:val="cs-CZ"/>
        </w:rPr>
        <w:t>.</w:t>
      </w:r>
    </w:p>
  </w:footnote>
  <w:footnote w:id="6">
    <w:p w14:paraId="634DA301" w14:textId="4171570A" w:rsidR="00424076" w:rsidRPr="00A65BF3" w:rsidRDefault="00424076" w:rsidP="00A65BF3">
      <w:pPr>
        <w:pStyle w:val="FootnoteText"/>
        <w:ind w:left="567" w:hanging="567"/>
        <w:rPr>
          <w:sz w:val="24"/>
          <w:lang w:val="cs-CZ"/>
        </w:rPr>
      </w:pPr>
      <w:r w:rsidRPr="00A65BF3">
        <w:rPr>
          <w:rStyle w:val="FootnoteReference"/>
          <w:sz w:val="24"/>
          <w:lang w:val="cs-CZ"/>
        </w:rPr>
        <w:footnoteRef/>
      </w:r>
      <w:r w:rsidR="00A65BF3" w:rsidRPr="00A65BF3">
        <w:rPr>
          <w:sz w:val="24"/>
          <w:lang w:val="cs-CZ"/>
        </w:rPr>
        <w:t xml:space="preserve"> </w:t>
      </w:r>
      <w:r w:rsidR="00A65BF3" w:rsidRPr="00A65BF3">
        <w:rPr>
          <w:sz w:val="24"/>
          <w:lang w:val="cs-CZ"/>
        </w:rPr>
        <w:tab/>
      </w:r>
      <w:r w:rsidRPr="00A65BF3">
        <w:rPr>
          <w:sz w:val="24"/>
          <w:lang w:val="cs-CZ"/>
        </w:rPr>
        <w:t xml:space="preserve">Úř. věst. L, 2024/2509, 26.9.2024, ELI: </w:t>
      </w:r>
      <w:hyperlink r:id="rId6" w:history="1">
        <w:r w:rsidRPr="00A65BF3">
          <w:rPr>
            <w:rStyle w:val="Hyperlink"/>
            <w:sz w:val="24"/>
            <w:lang w:val="cs-CZ"/>
          </w:rPr>
          <w:t>http://data.europa.eu/eli/reg/2024/2509/oj</w:t>
        </w:r>
      </w:hyperlink>
      <w:r w:rsidRPr="00A65BF3">
        <w:rPr>
          <w:sz w:val="24"/>
          <w:lang w:val="cs-CZ"/>
        </w:rPr>
        <w:t>.</w:t>
      </w:r>
    </w:p>
  </w:footnote>
  <w:footnote w:id="7">
    <w:p w14:paraId="34734271" w14:textId="08229EE0" w:rsidR="00424076" w:rsidRPr="00A65BF3" w:rsidRDefault="00424076" w:rsidP="00A65BF3">
      <w:pPr>
        <w:pStyle w:val="FootnoteText"/>
        <w:ind w:left="567" w:hanging="567"/>
        <w:rPr>
          <w:sz w:val="24"/>
          <w:szCs w:val="24"/>
          <w:lang w:val="cs-CZ"/>
        </w:rPr>
      </w:pPr>
      <w:r w:rsidRPr="00A65BF3">
        <w:rPr>
          <w:rStyle w:val="FootnoteReference"/>
          <w:sz w:val="24"/>
          <w:szCs w:val="24"/>
          <w:lang w:val="cs-CZ"/>
        </w:rPr>
        <w:footnoteRef/>
      </w:r>
      <w:r w:rsidR="00A65BF3" w:rsidRPr="00A65BF3">
        <w:rPr>
          <w:sz w:val="24"/>
          <w:lang w:val="cs-CZ"/>
        </w:rPr>
        <w:t xml:space="preserve"> </w:t>
      </w:r>
      <w:r w:rsidR="00A65BF3" w:rsidRPr="00A65BF3">
        <w:rPr>
          <w:sz w:val="24"/>
          <w:lang w:val="cs-CZ"/>
        </w:rPr>
        <w:tab/>
      </w:r>
      <w:r w:rsidRPr="00A65BF3">
        <w:rPr>
          <w:sz w:val="24"/>
          <w:lang w:val="cs-CZ"/>
        </w:rPr>
        <w:t xml:space="preserve">Nařízení Evropského parlamentu a Rady (EU, Euratom) 2024/2019 ze dne 11. dubna 2024, kterým se mění Protokol č. 3 o statutu Soudního dvora Evropské unie (Úř. věst. L, 2024/2019, 12.8.2024, ELI: </w:t>
      </w:r>
      <w:hyperlink r:id="rId7" w:history="1">
        <w:r w:rsidRPr="00A65BF3">
          <w:rPr>
            <w:rStyle w:val="Hyperlink"/>
            <w:sz w:val="24"/>
            <w:lang w:val="cs-CZ"/>
          </w:rPr>
          <w:t>http://data.europa.eu/eli/reg/2024/2019/oj</w:t>
        </w:r>
      </w:hyperlink>
      <w:r w:rsidRPr="00A65BF3">
        <w:rPr>
          <w:rStyle w:val="Hyperlink"/>
          <w:sz w:val="24"/>
          <w:lang w:val="cs-CZ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F75E8" w14:textId="77777777" w:rsidR="00064002" w:rsidRPr="00A65BF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E6A1A" w14:textId="77777777" w:rsidR="00064002" w:rsidRPr="00A65BF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CDC90" w14:textId="77777777" w:rsidR="00064002" w:rsidRPr="00A65BF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9091318"/>
    <w:multiLevelType w:val="hybridMultilevel"/>
    <w:tmpl w:val="143224D2"/>
    <w:lvl w:ilvl="0" w:tplc="9D5C48F8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C49F6A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3082684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21C332A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2D7A26E0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EB861778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266A7D0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5B8EE450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6A3282B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24382F2F"/>
    <w:multiLevelType w:val="hybridMultilevel"/>
    <w:tmpl w:val="DA36E2F2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298" w:hanging="360"/>
      </w:pPr>
    </w:lvl>
    <w:lvl w:ilvl="2" w:tplc="0809001B">
      <w:start w:val="1"/>
      <w:numFmt w:val="lowerRoman"/>
      <w:lvlText w:val="%3."/>
      <w:lvlJc w:val="right"/>
      <w:pPr>
        <w:ind w:left="2018" w:hanging="180"/>
      </w:pPr>
    </w:lvl>
    <w:lvl w:ilvl="3" w:tplc="0809000F">
      <w:start w:val="1"/>
      <w:numFmt w:val="decimal"/>
      <w:lvlText w:val="%4."/>
      <w:lvlJc w:val="left"/>
      <w:pPr>
        <w:ind w:left="2738" w:hanging="360"/>
      </w:pPr>
    </w:lvl>
    <w:lvl w:ilvl="4" w:tplc="08090019">
      <w:start w:val="1"/>
      <w:numFmt w:val="lowerLetter"/>
      <w:lvlText w:val="%5."/>
      <w:lvlJc w:val="left"/>
      <w:pPr>
        <w:ind w:left="3458" w:hanging="360"/>
      </w:pPr>
    </w:lvl>
    <w:lvl w:ilvl="5" w:tplc="0809001B">
      <w:start w:val="1"/>
      <w:numFmt w:val="lowerRoman"/>
      <w:lvlText w:val="%6."/>
      <w:lvlJc w:val="right"/>
      <w:pPr>
        <w:ind w:left="4178" w:hanging="180"/>
      </w:pPr>
    </w:lvl>
    <w:lvl w:ilvl="6" w:tplc="0809000F">
      <w:start w:val="1"/>
      <w:numFmt w:val="decimal"/>
      <w:lvlText w:val="%7."/>
      <w:lvlJc w:val="left"/>
      <w:pPr>
        <w:ind w:left="4898" w:hanging="360"/>
      </w:pPr>
    </w:lvl>
    <w:lvl w:ilvl="7" w:tplc="08090019">
      <w:start w:val="1"/>
      <w:numFmt w:val="lowerLetter"/>
      <w:lvlText w:val="%8."/>
      <w:lvlJc w:val="left"/>
      <w:pPr>
        <w:ind w:left="5618" w:hanging="360"/>
      </w:pPr>
    </w:lvl>
    <w:lvl w:ilvl="8" w:tplc="0809001B">
      <w:start w:val="1"/>
      <w:numFmt w:val="lowerRoman"/>
      <w:lvlText w:val="%9."/>
      <w:lvlJc w:val="right"/>
      <w:pPr>
        <w:ind w:left="6338" w:hanging="18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462D6E49"/>
    <w:multiLevelType w:val="hybridMultilevel"/>
    <w:tmpl w:val="78B8CEFC"/>
    <w:lvl w:ilvl="0" w:tplc="3410A4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C4645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72652A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C1C0F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A7A293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6E82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E8E6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A2CA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26E6F8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8992AB8"/>
    <w:multiLevelType w:val="hybridMultilevel"/>
    <w:tmpl w:val="4CBEA8BE"/>
    <w:lvl w:ilvl="0" w:tplc="0809000F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197801">
    <w:abstractNumId w:val="9"/>
  </w:num>
  <w:num w:numId="2" w16cid:durableId="1654406411">
    <w:abstractNumId w:val="9"/>
  </w:num>
  <w:num w:numId="3" w16cid:durableId="1316689760">
    <w:abstractNumId w:val="7"/>
  </w:num>
  <w:num w:numId="4" w16cid:durableId="1870297153">
    <w:abstractNumId w:val="7"/>
  </w:num>
  <w:num w:numId="5" w16cid:durableId="603732486">
    <w:abstractNumId w:val="6"/>
  </w:num>
  <w:num w:numId="6" w16cid:durableId="1751344699">
    <w:abstractNumId w:val="6"/>
  </w:num>
  <w:num w:numId="7" w16cid:durableId="2122383792">
    <w:abstractNumId w:val="5"/>
  </w:num>
  <w:num w:numId="8" w16cid:durableId="1264146606">
    <w:abstractNumId w:val="5"/>
  </w:num>
  <w:num w:numId="9" w16cid:durableId="1153372938">
    <w:abstractNumId w:val="4"/>
  </w:num>
  <w:num w:numId="10" w16cid:durableId="339427133">
    <w:abstractNumId w:val="4"/>
  </w:num>
  <w:num w:numId="11" w16cid:durableId="469133850">
    <w:abstractNumId w:val="8"/>
  </w:num>
  <w:num w:numId="12" w16cid:durableId="42795702">
    <w:abstractNumId w:val="8"/>
  </w:num>
  <w:num w:numId="13" w16cid:durableId="1576208373">
    <w:abstractNumId w:val="3"/>
  </w:num>
  <w:num w:numId="14" w16cid:durableId="654726317">
    <w:abstractNumId w:val="3"/>
  </w:num>
  <w:num w:numId="15" w16cid:durableId="1650592951">
    <w:abstractNumId w:val="2"/>
  </w:num>
  <w:num w:numId="16" w16cid:durableId="76363401">
    <w:abstractNumId w:val="2"/>
  </w:num>
  <w:num w:numId="17" w16cid:durableId="1299920061">
    <w:abstractNumId w:val="1"/>
  </w:num>
  <w:num w:numId="18" w16cid:durableId="1268584534">
    <w:abstractNumId w:val="1"/>
  </w:num>
  <w:num w:numId="19" w16cid:durableId="995692732">
    <w:abstractNumId w:val="0"/>
  </w:num>
  <w:num w:numId="20" w16cid:durableId="523638136">
    <w:abstractNumId w:val="0"/>
  </w:num>
  <w:num w:numId="21" w16cid:durableId="1404831801">
    <w:abstractNumId w:val="9"/>
  </w:num>
  <w:num w:numId="22" w16cid:durableId="173423083">
    <w:abstractNumId w:val="7"/>
  </w:num>
  <w:num w:numId="23" w16cid:durableId="1952274155">
    <w:abstractNumId w:val="6"/>
  </w:num>
  <w:num w:numId="24" w16cid:durableId="790393006">
    <w:abstractNumId w:val="5"/>
  </w:num>
  <w:num w:numId="25" w16cid:durableId="860046906">
    <w:abstractNumId w:val="4"/>
  </w:num>
  <w:num w:numId="26" w16cid:durableId="21178558">
    <w:abstractNumId w:val="8"/>
  </w:num>
  <w:num w:numId="27" w16cid:durableId="1624536972">
    <w:abstractNumId w:val="3"/>
  </w:num>
  <w:num w:numId="28" w16cid:durableId="867523881">
    <w:abstractNumId w:val="2"/>
  </w:num>
  <w:num w:numId="29" w16cid:durableId="1142112247">
    <w:abstractNumId w:val="1"/>
  </w:num>
  <w:num w:numId="30" w16cid:durableId="768700641">
    <w:abstractNumId w:val="0"/>
  </w:num>
  <w:num w:numId="31" w16cid:durableId="1514297745">
    <w:abstractNumId w:val="9"/>
  </w:num>
  <w:num w:numId="32" w16cid:durableId="2125731207">
    <w:abstractNumId w:val="7"/>
  </w:num>
  <w:num w:numId="33" w16cid:durableId="1870216074">
    <w:abstractNumId w:val="6"/>
  </w:num>
  <w:num w:numId="34" w16cid:durableId="1134561306">
    <w:abstractNumId w:val="5"/>
  </w:num>
  <w:num w:numId="35" w16cid:durableId="2019229987">
    <w:abstractNumId w:val="4"/>
  </w:num>
  <w:num w:numId="36" w16cid:durableId="306055960">
    <w:abstractNumId w:val="8"/>
  </w:num>
  <w:num w:numId="37" w16cid:durableId="1403287529">
    <w:abstractNumId w:val="3"/>
  </w:num>
  <w:num w:numId="38" w16cid:durableId="1420060562">
    <w:abstractNumId w:val="2"/>
  </w:num>
  <w:num w:numId="39" w16cid:durableId="1712876824">
    <w:abstractNumId w:val="1"/>
  </w:num>
  <w:num w:numId="40" w16cid:durableId="1593853773">
    <w:abstractNumId w:val="0"/>
  </w:num>
  <w:num w:numId="41" w16cid:durableId="467167396">
    <w:abstractNumId w:val="10"/>
  </w:num>
  <w:num w:numId="42" w16cid:durableId="1290433822">
    <w:abstractNumId w:val="10"/>
  </w:num>
  <w:num w:numId="43" w16cid:durableId="1352029699">
    <w:abstractNumId w:val="10"/>
  </w:num>
  <w:num w:numId="44" w16cid:durableId="1357006461">
    <w:abstractNumId w:val="13"/>
  </w:num>
  <w:num w:numId="45" w16cid:durableId="1235318323">
    <w:abstractNumId w:val="14"/>
  </w:num>
  <w:num w:numId="46" w16cid:durableId="1130127780">
    <w:abstractNumId w:val="11"/>
  </w:num>
  <w:num w:numId="47" w16cid:durableId="112669899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93540432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55/2026"/>
    <w:docVar w:name="dvlangue" w:val="CS"/>
    <w:docVar w:name="dvnumam" w:val="0"/>
    <w:docVar w:name="dvpe" w:val="778.060"/>
    <w:docVar w:name="dvrapporteur" w:val="Zpravodaj: "/>
    <w:docVar w:name="dvtitre" w:val="Rozhodnutí Evropského parlamentu ze dne.... 2026 o udělení absolutoria za plnění souhrnného rozpočtu Evropské unie na rozpočtový rok 2024, oddíl IV – Soudní dvůr Evropské unie(2025/2148(DEC))"/>
  </w:docVars>
  <w:rsids>
    <w:rsidRoot w:val="0008018D"/>
    <w:rsid w:val="00002272"/>
    <w:rsid w:val="00032D13"/>
    <w:rsid w:val="00064002"/>
    <w:rsid w:val="000677B9"/>
    <w:rsid w:val="0008018D"/>
    <w:rsid w:val="000831BA"/>
    <w:rsid w:val="000A42CC"/>
    <w:rsid w:val="000E7DD9"/>
    <w:rsid w:val="0010095E"/>
    <w:rsid w:val="001205AA"/>
    <w:rsid w:val="00125B37"/>
    <w:rsid w:val="00187494"/>
    <w:rsid w:val="001F32AE"/>
    <w:rsid w:val="00266450"/>
    <w:rsid w:val="002767FF"/>
    <w:rsid w:val="0028274D"/>
    <w:rsid w:val="002B18FE"/>
    <w:rsid w:val="002B5493"/>
    <w:rsid w:val="00343214"/>
    <w:rsid w:val="00361C00"/>
    <w:rsid w:val="00394DFA"/>
    <w:rsid w:val="00395FA1"/>
    <w:rsid w:val="003E15D4"/>
    <w:rsid w:val="00411CCE"/>
    <w:rsid w:val="0041666E"/>
    <w:rsid w:val="00421060"/>
    <w:rsid w:val="00424076"/>
    <w:rsid w:val="00471C19"/>
    <w:rsid w:val="004867E3"/>
    <w:rsid w:val="00494A28"/>
    <w:rsid w:val="004C0004"/>
    <w:rsid w:val="004C29D8"/>
    <w:rsid w:val="004C5D52"/>
    <w:rsid w:val="0050519A"/>
    <w:rsid w:val="005072A1"/>
    <w:rsid w:val="00514517"/>
    <w:rsid w:val="00545827"/>
    <w:rsid w:val="00560270"/>
    <w:rsid w:val="005625B5"/>
    <w:rsid w:val="005C239B"/>
    <w:rsid w:val="005C2568"/>
    <w:rsid w:val="005F1B17"/>
    <w:rsid w:val="006037C0"/>
    <w:rsid w:val="006631B6"/>
    <w:rsid w:val="00680577"/>
    <w:rsid w:val="006B485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1B84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65BF3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0BA"/>
    <w:rsid w:val="00CC2357"/>
    <w:rsid w:val="00CE70B0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50DF"/>
    <w:rsid w:val="00ED169E"/>
    <w:rsid w:val="00ED4235"/>
    <w:rsid w:val="00F04346"/>
    <w:rsid w:val="00F075DC"/>
    <w:rsid w:val="00F149E9"/>
    <w:rsid w:val="00F5134D"/>
    <w:rsid w:val="00F73C4F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AB8452D"/>
  <w15:chartTrackingRefBased/>
  <w15:docId w15:val="{D770BD14-2816-4A6D-8C6E-1F44DA3711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3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link w:val="FootnoteReference1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2407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2407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2407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2407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2407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24076"/>
    <w:rPr>
      <w:i/>
      <w:sz w:val="22"/>
      <w:lang w:val="cs-CZ"/>
    </w:rPr>
  </w:style>
  <w:style w:type="character" w:customStyle="1" w:styleId="Heading7Char">
    <w:name w:val="Heading 7 Char"/>
    <w:basedOn w:val="DefaultParagraphFont"/>
    <w:link w:val="Heading7"/>
    <w:semiHidden/>
    <w:rsid w:val="00424076"/>
    <w:rPr>
      <w:rFonts w:ascii="Arial" w:hAnsi="Arial"/>
      <w:sz w:val="24"/>
      <w:lang w:val="cs-CZ"/>
    </w:rPr>
  </w:style>
  <w:style w:type="character" w:customStyle="1" w:styleId="Heading8Char">
    <w:name w:val="Heading 8 Char"/>
    <w:basedOn w:val="DefaultParagraphFont"/>
    <w:link w:val="Heading8"/>
    <w:semiHidden/>
    <w:rsid w:val="00424076"/>
    <w:rPr>
      <w:rFonts w:ascii="Arial" w:hAnsi="Arial"/>
      <w:i/>
      <w:sz w:val="24"/>
      <w:lang w:val="cs-CZ"/>
    </w:rPr>
  </w:style>
  <w:style w:type="character" w:customStyle="1" w:styleId="Heading9Char">
    <w:name w:val="Heading 9 Char"/>
    <w:basedOn w:val="DefaultParagraphFont"/>
    <w:link w:val="Heading9"/>
    <w:semiHidden/>
    <w:rsid w:val="00424076"/>
    <w:rPr>
      <w:rFonts w:ascii="Arial" w:hAnsi="Arial"/>
      <w:b/>
      <w:i/>
      <w:sz w:val="18"/>
      <w:lang w:val="cs-CZ"/>
    </w:rPr>
  </w:style>
  <w:style w:type="paragraph" w:styleId="TOCHeading">
    <w:name w:val="TOC Heading"/>
    <w:basedOn w:val="Normal"/>
    <w:next w:val="Normal"/>
    <w:unhideWhenUsed/>
    <w:qFormat/>
    <w:rsid w:val="0042407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2407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424076"/>
    <w:pPr>
      <w:spacing w:before="480" w:after="240"/>
    </w:pPr>
  </w:style>
  <w:style w:type="paragraph" w:customStyle="1" w:styleId="TOCPage">
    <w:name w:val="TOC Page"/>
    <w:basedOn w:val="Normal"/>
    <w:next w:val="TOC1"/>
    <w:rsid w:val="00424076"/>
    <w:pPr>
      <w:keepNext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rsid w:val="004240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424076"/>
    <w:rPr>
      <w:b/>
    </w:rPr>
  </w:style>
  <w:style w:type="paragraph" w:customStyle="1" w:styleId="NormalHanging12a">
    <w:name w:val="NormalHanging12a"/>
    <w:basedOn w:val="Normal"/>
    <w:link w:val="NormalHanging12aChar"/>
    <w:qFormat/>
    <w:rsid w:val="0042407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24076"/>
    <w:pPr>
      <w:spacing w:after="480"/>
      <w:ind w:left="1417"/>
    </w:pPr>
  </w:style>
  <w:style w:type="paragraph" w:customStyle="1" w:styleId="CoverNormal">
    <w:name w:val="CoverNormal"/>
    <w:basedOn w:val="Normal"/>
    <w:rsid w:val="00424076"/>
    <w:pPr>
      <w:ind w:left="1418"/>
    </w:pPr>
  </w:style>
  <w:style w:type="paragraph" w:customStyle="1" w:styleId="CoverReference">
    <w:name w:val="CoverReference"/>
    <w:basedOn w:val="Normal"/>
    <w:rsid w:val="00424076"/>
    <w:pPr>
      <w:spacing w:before="1080"/>
      <w:jc w:val="right"/>
    </w:pPr>
    <w:rPr>
      <w:rFonts w:ascii="Arial" w:hAnsi="Arial" w:cs="Arial"/>
      <w:b/>
      <w:color w:val="008080"/>
    </w:rPr>
  </w:style>
  <w:style w:type="paragraph" w:customStyle="1" w:styleId="CoverDocType24a">
    <w:name w:val="CoverDocType24a"/>
    <w:basedOn w:val="Normal"/>
    <w:rsid w:val="0042407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24076"/>
    <w:pPr>
      <w:spacing w:before="240" w:after="1200"/>
    </w:pPr>
  </w:style>
  <w:style w:type="paragraph" w:styleId="Header">
    <w:name w:val="header"/>
    <w:basedOn w:val="Normal"/>
    <w:link w:val="HeaderChar"/>
    <w:rsid w:val="0042407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24076"/>
    <w:rPr>
      <w:sz w:val="24"/>
      <w:lang w:val="cs-CZ"/>
    </w:rPr>
  </w:style>
  <w:style w:type="paragraph" w:customStyle="1" w:styleId="EPBody">
    <w:name w:val="EPBody"/>
    <w:basedOn w:val="Normal"/>
    <w:rsid w:val="0042407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2407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styleId="Hyperlink">
    <w:name w:val="Hyperlink"/>
    <w:basedOn w:val="DefaultParagraphFont"/>
    <w:uiPriority w:val="99"/>
    <w:rsid w:val="00424076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424076"/>
    <w:rPr>
      <w:sz w:val="24"/>
      <w:lang w:val="cs-CZ"/>
    </w:rPr>
  </w:style>
  <w:style w:type="character" w:styleId="CommentReference">
    <w:name w:val="annotation reference"/>
    <w:basedOn w:val="DefaultParagraphFont"/>
    <w:rsid w:val="00424076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4076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4076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2407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4076"/>
    <w:rPr>
      <w:b/>
      <w:bCs/>
      <w:lang w:val="cs-CZ"/>
    </w:rPr>
  </w:style>
  <w:style w:type="paragraph" w:styleId="BalloonText">
    <w:name w:val="Balloon Text"/>
    <w:basedOn w:val="Normal"/>
    <w:link w:val="BalloonTextChar"/>
    <w:unhideWhenUsed/>
    <w:rsid w:val="0042407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4076"/>
    <w:rPr>
      <w:rFonts w:ascii="Segoe UI" w:hAnsi="Segoe UI" w:cs="Segoe UI"/>
      <w:sz w:val="18"/>
      <w:szCs w:val="18"/>
      <w:lang w:val="cs-CZ"/>
    </w:rPr>
  </w:style>
  <w:style w:type="character" w:styleId="UnresolvedMention">
    <w:name w:val="Unresolved Mention"/>
    <w:basedOn w:val="DefaultParagraphFont"/>
    <w:uiPriority w:val="99"/>
    <w:semiHidden/>
    <w:unhideWhenUsed/>
    <w:rsid w:val="00424076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24076"/>
    <w:pPr>
      <w:ind w:left="720"/>
      <w:contextualSpacing/>
    </w:pPr>
  </w:style>
  <w:style w:type="paragraph" w:styleId="Revision">
    <w:name w:val="Revision"/>
    <w:hidden/>
    <w:uiPriority w:val="99"/>
    <w:semiHidden/>
    <w:rsid w:val="00424076"/>
    <w:rPr>
      <w:sz w:val="24"/>
      <w:lang w:val="cs-CZ"/>
    </w:rPr>
  </w:style>
  <w:style w:type="character" w:styleId="FollowedHyperlink">
    <w:name w:val="FollowedHyperlink"/>
    <w:basedOn w:val="DefaultParagraphFont"/>
    <w:rsid w:val="00424076"/>
    <w:rPr>
      <w:color w:val="954F72" w:themeColor="followedHyperlink"/>
      <w:u w:val="single"/>
    </w:rPr>
  </w:style>
  <w:style w:type="paragraph" w:customStyle="1" w:styleId="Normal24a">
    <w:name w:val="Normal24a"/>
    <w:basedOn w:val="Normal"/>
    <w:link w:val="Normal24aChar"/>
    <w:rsid w:val="00424076"/>
    <w:pPr>
      <w:spacing w:after="480"/>
    </w:pPr>
  </w:style>
  <w:style w:type="paragraph" w:customStyle="1" w:styleId="NormalBoldCenter">
    <w:name w:val="NormalBoldCenter"/>
    <w:basedOn w:val="Normal"/>
    <w:rsid w:val="00424076"/>
    <w:pPr>
      <w:jc w:val="center"/>
    </w:pPr>
    <w:rPr>
      <w:b/>
    </w:rPr>
  </w:style>
  <w:style w:type="paragraph" w:customStyle="1" w:styleId="Footprint12b">
    <w:name w:val="Footprint12b"/>
    <w:basedOn w:val="Normal"/>
    <w:rsid w:val="00424076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424076"/>
    <w:rPr>
      <w:szCs w:val="24"/>
    </w:rPr>
  </w:style>
  <w:style w:type="paragraph" w:customStyle="1" w:styleId="Normal12a">
    <w:name w:val="Normal12a"/>
    <w:basedOn w:val="Normal"/>
    <w:rsid w:val="00424076"/>
    <w:pPr>
      <w:spacing w:after="240"/>
    </w:pPr>
  </w:style>
  <w:style w:type="paragraph" w:customStyle="1" w:styleId="PageHeadingNotTOC">
    <w:name w:val="PageHeadingNotTOC"/>
    <w:basedOn w:val="Normal"/>
    <w:rsid w:val="0042407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RollCallSymbols14pt">
    <w:name w:val="RollCallSymbols14pt"/>
    <w:basedOn w:val="Normal"/>
    <w:rsid w:val="0042407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42407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42407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424076"/>
    <w:pPr>
      <w:spacing w:before="120" w:after="120"/>
    </w:pPr>
    <w:rPr>
      <w:snapToGrid w:val="0"/>
      <w:sz w:val="16"/>
      <w:lang w:eastAsia="en-US"/>
    </w:rPr>
  </w:style>
  <w:style w:type="character" w:customStyle="1" w:styleId="Normal24aChar">
    <w:name w:val="Normal24a Char"/>
    <w:basedOn w:val="DefaultParagraphFont"/>
    <w:link w:val="Normal24a"/>
    <w:rsid w:val="00424076"/>
    <w:rPr>
      <w:sz w:val="24"/>
      <w:lang w:val="cs-CZ"/>
    </w:rPr>
  </w:style>
  <w:style w:type="paragraph" w:customStyle="1" w:styleId="FootnoteReference1">
    <w:name w:val="Footnote Reference1"/>
    <w:basedOn w:val="Normal"/>
    <w:link w:val="FootnoteReference"/>
    <w:uiPriority w:val="99"/>
    <w:rsid w:val="00424076"/>
    <w:pPr>
      <w:widowControl/>
      <w:spacing w:after="160" w:line="240" w:lineRule="exact"/>
    </w:pPr>
    <w:rPr>
      <w:sz w:val="20"/>
      <w:vertAlign w:val="superscript"/>
      <w:lang w:val="en-GB"/>
    </w:rPr>
  </w:style>
  <w:style w:type="paragraph" w:styleId="Footer">
    <w:name w:val="footer"/>
    <w:basedOn w:val="Normal"/>
    <w:link w:val="FooterChar"/>
    <w:rsid w:val="0042407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424076"/>
    <w:rPr>
      <w:sz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3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oter" Target="footer4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5409/oj" TargetMode="External"/><Relationship Id="rId7" Type="http://schemas.openxmlformats.org/officeDocument/2006/relationships/hyperlink" Target="http://data.europa.eu/eli/reg/2024/2019/oj" TargetMode="External"/><Relationship Id="rId2" Type="http://schemas.openxmlformats.org/officeDocument/2006/relationships/hyperlink" Target="http://data.europa.eu/eli/C/2025/4944/oj" TargetMode="External"/><Relationship Id="rId1" Type="http://schemas.openxmlformats.org/officeDocument/2006/relationships/hyperlink" Target="http://data.europa.eu/eli/budget/2024/207/oj" TargetMode="External"/><Relationship Id="rId6" Type="http://schemas.openxmlformats.org/officeDocument/2006/relationships/hyperlink" Target="http://data.europa.eu/eli/reg/2024/2509/oj" TargetMode="External"/><Relationship Id="rId5" Type="http://schemas.openxmlformats.org/officeDocument/2006/relationships/hyperlink" Target="http://data.europa.eu/eli/reg/2018/1046/oj" TargetMode="External"/><Relationship Id="rId4" Type="http://schemas.openxmlformats.org/officeDocument/2006/relationships/hyperlink" Target="http://data.europa.eu/eli/C/2025/54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7059</Words>
  <Characters>40933</Characters>
  <Application>Microsoft Office Word</Application>
  <DocSecurity>0</DocSecurity>
  <Lines>341</Lines>
  <Paragraphs>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47897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KONOPKOVA Jindra</cp:lastModifiedBy>
  <cp:revision>2</cp:revision>
  <cp:lastPrinted>2004-11-19T15:42:00Z</cp:lastPrinted>
  <dcterms:created xsi:type="dcterms:W3CDTF">2026-05-05T14:10:00Z</dcterms:created>
  <dcterms:modified xsi:type="dcterms:W3CDTF">2026-05-05T14:10:00Z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P10_TA(2026)0128_</vt:lpwstr>
  </property>
  <property fmtid="{D5CDD505-2E9C-101B-9397-08002B2CF9AE}" pid="4" name="&lt;Type&gt;">
    <vt:lpwstr>RR</vt:lpwstr>
  </property>
</Properties>
</file>