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3EA4" w14:paraId="5B322DCF" w14:textId="77777777" w:rsidTr="0010095E">
        <w:trPr>
          <w:trHeight w:hRule="exact" w:val="1418"/>
        </w:trPr>
        <w:tc>
          <w:tcPr>
            <w:tcW w:w="6804" w:type="dxa"/>
            <w:shd w:val="clear" w:color="auto" w:fill="auto"/>
            <w:vAlign w:val="center"/>
          </w:tcPr>
          <w:p w14:paraId="66F231EB" w14:textId="77777777" w:rsidR="00751A4A" w:rsidRPr="00C93EA4" w:rsidRDefault="00585EF5" w:rsidP="0010095E">
            <w:pPr>
              <w:pStyle w:val="EPName"/>
            </w:pPr>
            <w:r w:rsidRPr="00C93EA4">
              <w:t>Ευρωπαϊκό Κοινοβούλιο</w:t>
            </w:r>
          </w:p>
          <w:p w14:paraId="7471F7FC" w14:textId="77777777" w:rsidR="00751A4A" w:rsidRPr="00C93EA4" w:rsidRDefault="005F1B17" w:rsidP="005F1B17">
            <w:pPr>
              <w:pStyle w:val="EPTerm"/>
              <w:rPr>
                <w:rStyle w:val="HideTWBExt"/>
                <w:noProof w:val="0"/>
                <w:vanish w:val="0"/>
                <w:color w:val="auto"/>
              </w:rPr>
            </w:pPr>
            <w:r w:rsidRPr="00C93EA4">
              <w:t>2024</w:t>
            </w:r>
            <w:r w:rsidR="00817416" w:rsidRPr="00C93EA4">
              <w:t>-202</w:t>
            </w:r>
            <w:r w:rsidRPr="00C93EA4">
              <w:t>9</w:t>
            </w:r>
          </w:p>
        </w:tc>
        <w:tc>
          <w:tcPr>
            <w:tcW w:w="2268" w:type="dxa"/>
            <w:shd w:val="clear" w:color="auto" w:fill="auto"/>
          </w:tcPr>
          <w:p w14:paraId="534362CD" w14:textId="77777777" w:rsidR="00751A4A" w:rsidRPr="00C93EA4" w:rsidRDefault="00187494" w:rsidP="0010095E">
            <w:pPr>
              <w:pStyle w:val="EPLogo"/>
            </w:pPr>
            <w:r w:rsidRPr="00C93EA4">
              <w:rPr>
                <w:noProof/>
                <w:lang w:eastAsia="ja-JP"/>
              </w:rPr>
              <w:drawing>
                <wp:inline distT="0" distB="0" distL="0" distR="0" wp14:anchorId="5435E437" wp14:editId="3280EB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144826" w14:textId="77777777" w:rsidR="00D058B8" w:rsidRPr="00C93EA4" w:rsidRDefault="00D058B8" w:rsidP="004C5D52">
      <w:pPr>
        <w:pStyle w:val="LineTop"/>
      </w:pPr>
    </w:p>
    <w:p w14:paraId="3820AD80" w14:textId="77777777" w:rsidR="00680577" w:rsidRPr="00C93EA4" w:rsidRDefault="00585EF5" w:rsidP="00680577">
      <w:pPr>
        <w:pStyle w:val="EPBodyTA1"/>
      </w:pPr>
      <w:r w:rsidRPr="00C93EA4">
        <w:t>ΚΕΙΜΕΝΑ ΠΟΥ ΕΓΚΡΙΘΗΚΑΝ</w:t>
      </w:r>
    </w:p>
    <w:p w14:paraId="58ACDD37" w14:textId="77777777" w:rsidR="00D058B8" w:rsidRPr="00C93EA4" w:rsidRDefault="00D058B8" w:rsidP="00D058B8">
      <w:pPr>
        <w:pStyle w:val="LineBottom"/>
      </w:pPr>
    </w:p>
    <w:p w14:paraId="7AAF7F63" w14:textId="2228D2CA" w:rsidR="00585EF5" w:rsidRPr="00C93EA4" w:rsidRDefault="00585EF5" w:rsidP="00585EF5">
      <w:pPr>
        <w:pStyle w:val="ATHeading1"/>
      </w:pPr>
      <w:bookmarkStart w:id="0" w:name="TANumber"/>
      <w:r w:rsidRPr="00C93EA4">
        <w:t>P10_TA(2026)0</w:t>
      </w:r>
      <w:r w:rsidR="00C93EA4" w:rsidRPr="00C93EA4">
        <w:t>128</w:t>
      </w:r>
      <w:bookmarkEnd w:id="0"/>
    </w:p>
    <w:p w14:paraId="39B6F532" w14:textId="0C42E2BD" w:rsidR="00585EF5" w:rsidRPr="00C93EA4" w:rsidRDefault="00537808" w:rsidP="00585EF5">
      <w:pPr>
        <w:pStyle w:val="ATHeading2"/>
      </w:pPr>
      <w:bookmarkStart w:id="1" w:name="title"/>
      <w:r w:rsidRPr="00C93EA4">
        <w:t>Απαλλαγή 2024: Γενικός προϋπολογισμός της ΕΕ – Δικαστήριο της Ευρωπαϊκής Ένωσης</w:t>
      </w:r>
      <w:bookmarkEnd w:id="1"/>
    </w:p>
    <w:p w14:paraId="3AE95F4C" w14:textId="621B222A" w:rsidR="00585EF5" w:rsidRPr="00C93EA4" w:rsidRDefault="00585EF5" w:rsidP="00585EF5">
      <w:pPr>
        <w:rPr>
          <w:i/>
          <w:vanish/>
        </w:rPr>
      </w:pPr>
      <w:r w:rsidRPr="00C93EA4">
        <w:rPr>
          <w:i/>
        </w:rPr>
        <w:fldChar w:fldCharType="begin"/>
      </w:r>
      <w:r w:rsidRPr="00C93EA4">
        <w:rPr>
          <w:i/>
        </w:rPr>
        <w:instrText xml:space="preserve"> TC"(</w:instrText>
      </w:r>
      <w:bookmarkStart w:id="2" w:name="DocNumber"/>
      <w:r w:rsidRPr="00C93EA4">
        <w:rPr>
          <w:i/>
        </w:rPr>
        <w:instrText>A10-0055/2026</w:instrText>
      </w:r>
      <w:bookmarkEnd w:id="2"/>
      <w:r w:rsidRPr="00C93EA4">
        <w:rPr>
          <w:i/>
        </w:rPr>
        <w:instrText xml:space="preserve"> - Εισηγητής: Pasquale Tridico)"\l3 \n&gt; \* MERGEFORMAT </w:instrText>
      </w:r>
      <w:r w:rsidRPr="00C93EA4">
        <w:rPr>
          <w:i/>
        </w:rPr>
        <w:fldChar w:fldCharType="end"/>
      </w:r>
    </w:p>
    <w:p w14:paraId="25F9C22C" w14:textId="77777777" w:rsidR="00585EF5" w:rsidRPr="00C93EA4" w:rsidRDefault="00585EF5" w:rsidP="00585EF5">
      <w:pPr>
        <w:rPr>
          <w:vanish/>
        </w:rPr>
      </w:pPr>
      <w:bookmarkStart w:id="3" w:name="Commission"/>
      <w:r w:rsidRPr="00C93EA4">
        <w:rPr>
          <w:vanish/>
        </w:rPr>
        <w:t>Επιτροπή Ελέγχου του Προϋπολογισμού</w:t>
      </w:r>
      <w:bookmarkEnd w:id="3"/>
    </w:p>
    <w:p w14:paraId="799AEA79" w14:textId="77777777" w:rsidR="00585EF5" w:rsidRPr="00C93EA4" w:rsidRDefault="00585EF5" w:rsidP="00585EF5">
      <w:pPr>
        <w:rPr>
          <w:vanish/>
        </w:rPr>
      </w:pPr>
      <w:bookmarkStart w:id="4" w:name="PE"/>
      <w:r w:rsidRPr="00C93EA4">
        <w:rPr>
          <w:vanish/>
        </w:rPr>
        <w:t>PE778.060</w:t>
      </w:r>
      <w:bookmarkEnd w:id="4"/>
    </w:p>
    <w:p w14:paraId="472211A7" w14:textId="1C2B4D6D" w:rsidR="00585EF5" w:rsidRPr="00C93EA4" w:rsidRDefault="00156777" w:rsidP="00585EF5">
      <w:pPr>
        <w:pStyle w:val="ATHeading3"/>
      </w:pPr>
      <w:bookmarkStart w:id="5" w:name="Sujet"/>
      <w:r w:rsidRPr="00C93EA4">
        <w:t>1. Α</w:t>
      </w:r>
      <w:r w:rsidR="00585EF5" w:rsidRPr="00C93EA4">
        <w:t xml:space="preserve">πόφαση του Ευρωπαϊκού Κοινοβουλίου της </w:t>
      </w:r>
      <w:r w:rsidR="00011376" w:rsidRPr="00C93EA4">
        <w:t xml:space="preserve">29ης Απριλίου </w:t>
      </w:r>
      <w:r w:rsidR="00585EF5" w:rsidRPr="00C93EA4">
        <w:t>2026 σχετικά με την απαλλαγή όσον αφορά την εκτέλεση του γενικού προϋπολογισμού της Ευρωπαϊκής Ένωσης για το οικονομικό έτος 2024, τμήμα IV – Δικαστήριο της Ευρωπαϊκής Ένωσης</w:t>
      </w:r>
      <w:bookmarkEnd w:id="5"/>
      <w:r w:rsidR="00585EF5" w:rsidRPr="00C93EA4">
        <w:t xml:space="preserve"> </w:t>
      </w:r>
      <w:bookmarkStart w:id="6" w:name="References"/>
      <w:r w:rsidR="00585EF5" w:rsidRPr="00C93EA4">
        <w:t>(2025/2148(DEC))</w:t>
      </w:r>
      <w:bookmarkEnd w:id="6"/>
    </w:p>
    <w:p w14:paraId="2BD44108" w14:textId="77777777" w:rsidR="00230C4F" w:rsidRPr="00C93EA4" w:rsidRDefault="00230C4F" w:rsidP="00230C4F">
      <w:pPr>
        <w:pStyle w:val="EPComma"/>
      </w:pPr>
      <w:bookmarkStart w:id="7" w:name="TextBodyBegin"/>
      <w:bookmarkEnd w:id="7"/>
      <w:r w:rsidRPr="00C93EA4">
        <w:rPr>
          <w:i/>
        </w:rPr>
        <w:t>Το Ευρωπαϊκό Κοινοβούλιο</w:t>
      </w:r>
      <w:r w:rsidRPr="00C93EA4">
        <w:t>,</w:t>
      </w:r>
    </w:p>
    <w:p w14:paraId="08CFAA46" w14:textId="77777777" w:rsidR="00230C4F" w:rsidRPr="00C93EA4" w:rsidRDefault="00230C4F" w:rsidP="00156777">
      <w:pPr>
        <w:pStyle w:val="NormalHanging12a"/>
        <w:widowControl/>
      </w:pPr>
      <w:r w:rsidRPr="00C93EA4">
        <w:t>–</w:t>
      </w:r>
      <w:r w:rsidRPr="00C93EA4">
        <w:tab/>
        <w:t>έχοντας υπόψη τον γενικό προϋπολογισμό της Ευρωπαϊκής Ένωσης για το οικονομικό έτος 2024</w:t>
      </w:r>
      <w:r w:rsidRPr="00C93EA4">
        <w:rPr>
          <w:rStyle w:val="FootnoteReference"/>
        </w:rPr>
        <w:footnoteReference w:id="1"/>
      </w:r>
      <w:r w:rsidRPr="00C93EA4">
        <w:t>,</w:t>
      </w:r>
    </w:p>
    <w:p w14:paraId="21C3F528" w14:textId="77777777" w:rsidR="00230C4F" w:rsidRPr="00C93EA4" w:rsidRDefault="00230C4F" w:rsidP="00156777">
      <w:pPr>
        <w:pStyle w:val="NormalHanging12a"/>
        <w:widowControl/>
      </w:pPr>
      <w:r w:rsidRPr="00C93EA4">
        <w:t>–</w:t>
      </w:r>
      <w:r w:rsidRPr="00C93EA4">
        <w:tab/>
        <w:t>έχοντας υπόψη τους ενοποιημένους ετήσιους λογαριασμούς της Ευρωπαϊκής Ένωσης για το οικονομικό έτος 2024 (COM(2025)0359 – C10</w:t>
      </w:r>
      <w:r w:rsidRPr="00C93EA4">
        <w:noBreakHyphen/>
        <w:t>0148/2025)</w:t>
      </w:r>
      <w:r w:rsidRPr="00C93EA4">
        <w:rPr>
          <w:rStyle w:val="FootnoteReference"/>
        </w:rPr>
        <w:footnoteReference w:id="2"/>
      </w:r>
      <w:r w:rsidRPr="00C93EA4">
        <w:t>,</w:t>
      </w:r>
    </w:p>
    <w:p w14:paraId="75A0BC12" w14:textId="77777777" w:rsidR="00230C4F" w:rsidRPr="00C93EA4" w:rsidRDefault="00230C4F" w:rsidP="00156777">
      <w:pPr>
        <w:pStyle w:val="NormalHanging12a"/>
        <w:widowControl/>
      </w:pPr>
      <w:r w:rsidRPr="00C93EA4">
        <w:t>–</w:t>
      </w:r>
      <w:r w:rsidRPr="00C93EA4">
        <w:tab/>
        <w:t>έχοντας υπόψη την ετήσια έκθεση του Δικαστηρίου της Ευρωπαϊκής Ένωσης προς την αρμόδια για την απαλλαγή αρχή σχετικά με τους εσωτερικούς ελέγχους που πραγματοποιήθηκαν το 2024,</w:t>
      </w:r>
    </w:p>
    <w:p w14:paraId="325BF5C0" w14:textId="77777777" w:rsidR="00230C4F" w:rsidRPr="00C93EA4" w:rsidRDefault="00230C4F" w:rsidP="00156777">
      <w:pPr>
        <w:pStyle w:val="NormalHanging12a"/>
        <w:widowControl/>
      </w:pPr>
      <w:r w:rsidRPr="00C93EA4">
        <w:t>–</w:t>
      </w:r>
      <w:r w:rsidRPr="00C93EA4">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C93EA4">
        <w:rPr>
          <w:rStyle w:val="FootnoteReference"/>
        </w:rPr>
        <w:footnoteReference w:id="3"/>
      </w:r>
      <w:r w:rsidRPr="00C93EA4">
        <w:t>,</w:t>
      </w:r>
    </w:p>
    <w:p w14:paraId="0CEFA04B" w14:textId="77777777" w:rsidR="00230C4F" w:rsidRPr="00C93EA4" w:rsidRDefault="00230C4F" w:rsidP="00156777">
      <w:pPr>
        <w:pStyle w:val="NormalHanging12a"/>
        <w:widowControl/>
      </w:pPr>
      <w:r w:rsidRPr="00C93EA4">
        <w:t>–</w:t>
      </w:r>
      <w:r w:rsidRPr="00C93EA4">
        <w:tab/>
        <w:t>έχοντας υπόψη τη δήλωση διασφάλισης</w:t>
      </w:r>
      <w:r w:rsidRPr="00C93EA4">
        <w:rPr>
          <w:rStyle w:val="FootnoteReference"/>
        </w:rPr>
        <w:footnoteReference w:id="4"/>
      </w:r>
      <w:r w:rsidRPr="00C93EA4">
        <w:t xml:space="preserve"> η οποία βεβαιώνει την αξιοπιστία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5FE5130B" w14:textId="77777777" w:rsidR="00230C4F" w:rsidRPr="00C93EA4" w:rsidRDefault="00230C4F" w:rsidP="00156777">
      <w:pPr>
        <w:pStyle w:val="NormalHanging12a"/>
        <w:widowControl/>
      </w:pPr>
      <w:r w:rsidRPr="00C93EA4">
        <w:t>–</w:t>
      </w:r>
      <w:r w:rsidRPr="00C93EA4">
        <w:tab/>
        <w:t>έχοντας υπόψη το άρθρο 314 παράγραφος 10 και τα άρθρα 317, 318 και 319 της Συνθήκης για τη λειτουργία της Ευρωπαϊκής Ένωσης,</w:t>
      </w:r>
    </w:p>
    <w:p w14:paraId="721876DE" w14:textId="77777777" w:rsidR="00230C4F" w:rsidRPr="00C93EA4" w:rsidRDefault="00230C4F" w:rsidP="00156777">
      <w:pPr>
        <w:pStyle w:val="NormalHanging12a"/>
        <w:widowControl/>
      </w:pPr>
      <w:r w:rsidRPr="00C93EA4">
        <w:t>–</w:t>
      </w:r>
      <w:r w:rsidRPr="00C93EA4">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w:t>
      </w:r>
      <w:r w:rsidRPr="00C93EA4">
        <w:lastRenderedPageBreak/>
        <w:t>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C93EA4">
        <w:rPr>
          <w:rStyle w:val="FootnoteReference"/>
        </w:rPr>
        <w:footnoteReference w:id="5"/>
      </w:r>
      <w:r w:rsidRPr="00C93EA4">
        <w:t>, και ιδίως τα άρθρα 59, 118, 260, 261 και 262,</w:t>
      </w:r>
    </w:p>
    <w:p w14:paraId="2F9515BD" w14:textId="77777777" w:rsidR="00230C4F" w:rsidRPr="00C93EA4" w:rsidRDefault="00230C4F" w:rsidP="00156777">
      <w:pPr>
        <w:pStyle w:val="NormalHanging12a"/>
        <w:widowControl/>
      </w:pPr>
      <w:r w:rsidRPr="00C93EA4">
        <w:t>–</w:t>
      </w:r>
      <w:r w:rsidRPr="00C93EA4">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C93EA4">
        <w:rPr>
          <w:rStyle w:val="FootnoteReference"/>
        </w:rPr>
        <w:footnoteReference w:id="6"/>
      </w:r>
      <w:r w:rsidRPr="00C93EA4">
        <w:t>, και ιδίως τα άρθρα 59, 118, 266, 267 και 268,</w:t>
      </w:r>
    </w:p>
    <w:p w14:paraId="056FCD81" w14:textId="77777777" w:rsidR="00230C4F" w:rsidRPr="00C93EA4" w:rsidRDefault="00230C4F" w:rsidP="00156777">
      <w:pPr>
        <w:pStyle w:val="NormalHanging12a"/>
        <w:widowControl/>
      </w:pPr>
      <w:r w:rsidRPr="00C93EA4">
        <w:t>–</w:t>
      </w:r>
      <w:r w:rsidRPr="00C93EA4">
        <w:tab/>
        <w:t>έχοντας υπόψη το άρθρο 102 και το παράρτημα V του Κανονισμού του,</w:t>
      </w:r>
    </w:p>
    <w:p w14:paraId="2D2B792C" w14:textId="77777777" w:rsidR="00230C4F" w:rsidRPr="00C93EA4" w:rsidRDefault="00230C4F" w:rsidP="00156777">
      <w:pPr>
        <w:pStyle w:val="NormalHanging12a"/>
        <w:widowControl/>
      </w:pPr>
      <w:r w:rsidRPr="00C93EA4">
        <w:t>–</w:t>
      </w:r>
      <w:r w:rsidRPr="00C93EA4">
        <w:tab/>
        <w:t>έχοντας υπόψη τη γνωμοδότηση της Επιτροπής Νομικών Θεμάτων,</w:t>
      </w:r>
    </w:p>
    <w:p w14:paraId="77D4665F" w14:textId="77777777" w:rsidR="00230C4F" w:rsidRPr="00C93EA4" w:rsidRDefault="00230C4F" w:rsidP="00156777">
      <w:pPr>
        <w:pStyle w:val="NormalHanging12a"/>
        <w:widowControl/>
      </w:pPr>
      <w:r w:rsidRPr="00C93EA4">
        <w:t>–</w:t>
      </w:r>
      <w:r w:rsidRPr="00C93EA4">
        <w:tab/>
        <w:t>έχοντας υπόψη την έκθεση της Επιτροπής Ελέγχου του Προϋπολογισμού (A10-0055/2026),</w:t>
      </w:r>
    </w:p>
    <w:p w14:paraId="2A683F1A" w14:textId="77777777" w:rsidR="00230C4F" w:rsidRPr="00C93EA4" w:rsidRDefault="00230C4F" w:rsidP="00156777">
      <w:pPr>
        <w:pStyle w:val="NormalHanging12a"/>
        <w:widowControl/>
      </w:pPr>
      <w:r w:rsidRPr="00C93EA4">
        <w:t>1.</w:t>
      </w:r>
      <w:r w:rsidRPr="00C93EA4">
        <w:tab/>
        <w:t>χορηγεί απαλλαγή στον Γραμματέα του Δικαστηρίου όσον αφορά την εκτέλεση του προϋπολογισμού του Δικαστηρίου της Ευρωπαϊκής Ένωσης για το οικονομικό έτος 2024·</w:t>
      </w:r>
    </w:p>
    <w:p w14:paraId="7C499432" w14:textId="77777777" w:rsidR="00230C4F" w:rsidRPr="00C93EA4" w:rsidRDefault="00230C4F" w:rsidP="00156777">
      <w:pPr>
        <w:pStyle w:val="NormalHanging12a"/>
        <w:widowControl/>
      </w:pPr>
      <w:r w:rsidRPr="00C93EA4">
        <w:t>2.</w:t>
      </w:r>
      <w:r w:rsidRPr="00C93EA4">
        <w:tab/>
        <w:t>εκθέτει τις παρατηρήσεις του στο ψήφισμα που ακολουθεί·</w:t>
      </w:r>
    </w:p>
    <w:p w14:paraId="2DC73482" w14:textId="77777777" w:rsidR="00230C4F" w:rsidRPr="00C93EA4" w:rsidRDefault="00230C4F" w:rsidP="00156777">
      <w:pPr>
        <w:pStyle w:val="NormalHanging12a"/>
        <w:widowControl/>
      </w:pPr>
      <w:r w:rsidRPr="00C93EA4">
        <w:t>3.</w:t>
      </w:r>
      <w:r w:rsidRPr="00C93EA4">
        <w:tab/>
        <w:t xml:space="preserve">αναθέτει στην Πρόεδρό του να διαβιβάσει την παρούσα απόφαση, καθώς και το ψήφισμα που αποτελεί αναπόσπαστο μέρος της, στο Δικαστήριο, στο Συμβούλιο, στην Επιτροπή και στο Ελεγκτικό Συνέδριο, και να μεριμνήσει για τη δημοσίευσή τους στην </w:t>
      </w:r>
      <w:r w:rsidRPr="00C93EA4">
        <w:rPr>
          <w:i/>
        </w:rPr>
        <w:t>Επίσημη Εφημερίδα της Ευρωπαϊκής Ένωσης</w:t>
      </w:r>
      <w:r w:rsidRPr="00C93EA4">
        <w:t xml:space="preserve"> (σειρά L).</w:t>
      </w:r>
    </w:p>
    <w:p w14:paraId="4E3619E5" w14:textId="0F00564D" w:rsidR="00230C4F" w:rsidRPr="00C93EA4" w:rsidRDefault="00230C4F" w:rsidP="00230C4F">
      <w:pPr>
        <w:widowControl/>
      </w:pPr>
    </w:p>
    <w:p w14:paraId="0C8C48A7" w14:textId="77777777" w:rsidR="00230C4F" w:rsidRPr="00C93EA4" w:rsidRDefault="00230C4F" w:rsidP="00230C4F">
      <w:pPr>
        <w:pStyle w:val="PageHeading"/>
        <w:sectPr w:rsidR="00230C4F" w:rsidRPr="00C93EA4" w:rsidSect="00414BFD">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A5A283" w14:textId="77777777" w:rsidR="006247EC" w:rsidRPr="00C93EA4" w:rsidRDefault="006247EC" w:rsidP="006247EC">
      <w:pPr>
        <w:pStyle w:val="ATHeading3"/>
      </w:pPr>
      <w:r w:rsidRPr="00C93EA4">
        <w:lastRenderedPageBreak/>
        <w:t>2. Ψήφισμα του Ευρωπαϊκού Κοινοβουλίου της 29ης Απριλίου 2026 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IV – Δικαστήριο της Ευρωπαϊκής Ένωσης (2025/2148(DEC))</w:t>
      </w:r>
    </w:p>
    <w:p w14:paraId="0BD88CAB" w14:textId="77777777" w:rsidR="00230C4F" w:rsidRPr="00C93EA4" w:rsidRDefault="00230C4F" w:rsidP="00230C4F">
      <w:pPr>
        <w:pStyle w:val="EPComma"/>
      </w:pPr>
      <w:r w:rsidRPr="00C93EA4">
        <w:rPr>
          <w:i/>
        </w:rPr>
        <w:t>Το Ευρωπαϊκό Κοινοβούλιο</w:t>
      </w:r>
      <w:r w:rsidRPr="00C93EA4">
        <w:t>,</w:t>
      </w:r>
    </w:p>
    <w:p w14:paraId="0D992AA8" w14:textId="77777777" w:rsidR="00230C4F" w:rsidRPr="00C93EA4" w:rsidRDefault="00230C4F" w:rsidP="00156777">
      <w:pPr>
        <w:pStyle w:val="NormalHanging12a"/>
        <w:widowControl/>
      </w:pPr>
      <w:r w:rsidRPr="00C93EA4">
        <w:t>–</w:t>
      </w:r>
      <w:r w:rsidRPr="00C93EA4">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IV – Δικαστήριο της Ευρωπαϊκής Ένωσης,</w:t>
      </w:r>
    </w:p>
    <w:p w14:paraId="48061ACA" w14:textId="77777777" w:rsidR="00230C4F" w:rsidRPr="00C93EA4" w:rsidRDefault="00230C4F" w:rsidP="00156777">
      <w:pPr>
        <w:pStyle w:val="NormalHanging12a"/>
        <w:widowControl/>
      </w:pPr>
      <w:r w:rsidRPr="00C93EA4">
        <w:t>–</w:t>
      </w:r>
      <w:r w:rsidRPr="00C93EA4">
        <w:tab/>
        <w:t>έχοντας υπόψη το άρθρο 102 και το παράρτημα V του Κανονισμού του,</w:t>
      </w:r>
    </w:p>
    <w:p w14:paraId="2D3E9438" w14:textId="77777777" w:rsidR="00230C4F" w:rsidRPr="00C93EA4" w:rsidRDefault="00230C4F" w:rsidP="00156777">
      <w:pPr>
        <w:pStyle w:val="NormalHanging12a"/>
        <w:widowControl/>
      </w:pPr>
      <w:r w:rsidRPr="00C93EA4">
        <w:t>–</w:t>
      </w:r>
      <w:r w:rsidRPr="00C93EA4">
        <w:tab/>
        <w:t>έχοντας υπόψη τη γνωμοδότηση της Επιτροπής Νομικών Θεμάτων,</w:t>
      </w:r>
    </w:p>
    <w:p w14:paraId="54C90434" w14:textId="77777777" w:rsidR="00230C4F" w:rsidRPr="00C93EA4" w:rsidRDefault="00230C4F" w:rsidP="00156777">
      <w:pPr>
        <w:pStyle w:val="NormalHanging12a"/>
        <w:widowControl/>
      </w:pPr>
      <w:r w:rsidRPr="00C93EA4">
        <w:t>–</w:t>
      </w:r>
      <w:r w:rsidRPr="00C93EA4">
        <w:tab/>
        <w:t>έχοντας υπόψη την έκθεση της Επιτροπής Ελέγχου του Προϋπολογισμού (A10-0055/2026),</w:t>
      </w:r>
    </w:p>
    <w:p w14:paraId="3EB33341" w14:textId="77777777" w:rsidR="00230C4F" w:rsidRPr="00C93EA4" w:rsidRDefault="00230C4F" w:rsidP="00156777">
      <w:pPr>
        <w:pStyle w:val="NormalHanging12a"/>
        <w:widowControl/>
      </w:pPr>
      <w:r w:rsidRPr="00C93EA4">
        <w:t>Α.</w:t>
      </w:r>
      <w:r w:rsidRPr="00C93EA4">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14:paraId="7BC221D2" w14:textId="77777777" w:rsidR="00230C4F" w:rsidRPr="00C93EA4" w:rsidRDefault="00230C4F" w:rsidP="00156777">
      <w:pPr>
        <w:pStyle w:val="NormalHanging12a"/>
        <w:widowControl/>
        <w:rPr>
          <w:u w:val="single"/>
        </w:rPr>
      </w:pPr>
      <w:r w:rsidRPr="00C93EA4">
        <w:t>Β.</w:t>
      </w:r>
      <w:r w:rsidRPr="00C93EA4">
        <w:tab/>
        <w:t>λαμβάνοντας υπόψη ότι το Δικαστήριο της Ευρωπαϊκής Ένωσης (ΔΕΕ) είναι το δικαιοδοτικό όργανο της Ευρωπαϊκής Ένωσης, το οποίο έχει το καθήκον να διασφαλίζει τη συμμόρφωση με το δίκαιο της Ένωσης, επιβλέποντας την ομοιόμορφη ερμηνεία και εφαρμογή των Συνθηκών και διασφαλίζοντας τη νομιμότητα των μέτρων που λαμβάνουν τα θεσμικά και λοιπά όργανα και οι οργανισμοί της Ένωσης·</w:t>
      </w:r>
    </w:p>
    <w:p w14:paraId="619873FE" w14:textId="77777777" w:rsidR="00230C4F" w:rsidRPr="00C93EA4" w:rsidRDefault="00230C4F" w:rsidP="00156777">
      <w:pPr>
        <w:pStyle w:val="NormalHanging12a"/>
        <w:widowControl/>
      </w:pPr>
      <w:r w:rsidRPr="00C93EA4">
        <w:t>Γ.</w:t>
      </w:r>
      <w:r w:rsidRPr="00C93EA4">
        <w:tab/>
        <w:t>λαμβάνοντας υπόψη ότι το ΔΕΕ συμβάλλει στη διατήρηση των αξιών της Ένωσης και, μέσω της νομολογίας του, εργάζεται για την οικοδόμηση της Ευρώπης, παραμένοντας παράλληλα υπόλογο στους πολίτες μέσω της ασφάλειας δικαίου, της συνοχής της νομολογίας και του σεβασμού των ορίων της δικαστικής ερμηνείας·</w:t>
      </w:r>
    </w:p>
    <w:p w14:paraId="30A6B71C" w14:textId="77777777" w:rsidR="00230C4F" w:rsidRPr="00C93EA4" w:rsidRDefault="00230C4F" w:rsidP="00156777">
      <w:pPr>
        <w:pStyle w:val="NormalHanging12a"/>
        <w:widowControl/>
      </w:pPr>
      <w:r w:rsidRPr="00C93EA4">
        <w:t>Δ.</w:t>
      </w:r>
      <w:r w:rsidRPr="00C93EA4">
        <w:tab/>
        <w:t>λαμβάνοντας υπόψη ότι το ΔΕΕ αποτελείται από δύο δικαστήρια: το Δικαστήριο και το Γενικό Δικαστήριο·</w:t>
      </w:r>
    </w:p>
    <w:p w14:paraId="06CB6CDD" w14:textId="77777777" w:rsidR="00230C4F" w:rsidRPr="00C93EA4" w:rsidRDefault="00230C4F" w:rsidP="00156777">
      <w:pPr>
        <w:pStyle w:val="NormalHanging12a"/>
        <w:widowControl/>
      </w:pPr>
      <w:r w:rsidRPr="00C93EA4">
        <w:t>Ε.</w:t>
      </w:r>
      <w:r w:rsidRPr="00C93EA4">
        <w:tab/>
        <w:t>λαμβάνοντας υπόψη ότι το Κοινοβούλιο και το Συμβούλιο τροποποίησαν το πρωτόκολλο αριθ. 3 περί του Οργανισμού του ΔΕΕ («ο Οργανισμός»)</w:t>
      </w:r>
      <w:r w:rsidRPr="00C93EA4">
        <w:rPr>
          <w:rStyle w:val="FootnoteReference"/>
        </w:rPr>
        <w:footnoteReference w:id="7"/>
      </w:r>
      <w:r w:rsidRPr="00C93EA4">
        <w:t xml:space="preserve"> το 2024 όσον αφορά τη μεταφορά προδικαστικών αποφάσεων σε συγκεκριμένους τομείς στην αρμοδιότητα του Γενικού Δικαστηρίου·</w:t>
      </w:r>
    </w:p>
    <w:p w14:paraId="451C1CE5" w14:textId="7720500F" w:rsidR="00230C4F" w:rsidRPr="00C93EA4" w:rsidRDefault="00C93EA4" w:rsidP="00C93EA4">
      <w:pPr>
        <w:pStyle w:val="NormalHanging12a"/>
        <w:widowControl/>
      </w:pPr>
      <w:r w:rsidRPr="00C93EA4">
        <w:lastRenderedPageBreak/>
        <w:t>1.</w:t>
      </w:r>
      <w:r w:rsidRPr="00C93EA4">
        <w:tab/>
      </w:r>
      <w:r w:rsidR="00230C4F" w:rsidRPr="00C93EA4">
        <w:t xml:space="preserve">σημειώνει ότι ο προϋπολογισμός του ΔΕΕ εντάσσεται στον τομέα 7 του ΠΔΠ, «Ευρωπαϊκή δημόσια διοίκηση», ο οποίος ανήλθε σε 13,3 δισ. EUR το 2023 (που αντιστοιχεί στο 6,9 % του συνολικού προϋπολογισμού της Ένωσης)· σημειώνει ότι ο προϋπολογισμός του ΔΕΕ, ύψους περίπου 0,5 δισεκατομμυρίου EUR, συνιστά περίπου το 3,76 % των συνολικών διοικητικών δαπανών της Ένωσης, ποσοστό μειωμένο σε σχέση με το 3,9 % το 2023· επισημαίνει ότι, σε περιπτώσεις που σχετίζονται με τη διερεύνηση του προϋπολογισμού της Ένωσης, όλες οι αρμόδιες αρχές πρέπει να σέβονται πλήρως τις αρχές της ορθής διαδικασίας και των θεμελιωδών δικαιωμάτων· </w:t>
      </w:r>
    </w:p>
    <w:p w14:paraId="628D6963" w14:textId="7D3F0E9B" w:rsidR="00230C4F" w:rsidRPr="00C93EA4" w:rsidRDefault="00C93EA4" w:rsidP="00C93EA4">
      <w:pPr>
        <w:pStyle w:val="NormalHanging12a"/>
        <w:widowControl/>
      </w:pPr>
      <w:r w:rsidRPr="00C93EA4">
        <w:t>2.</w:t>
      </w:r>
      <w:r w:rsidRPr="00C93EA4">
        <w:tab/>
      </w:r>
      <w:r w:rsidR="00230C4F" w:rsidRPr="00C93EA4">
        <w:t>σημειώνει ότι το Ελεγκτικό Συνέδριο, στην ετήσια έκθεσή του για το οικονομικό έτος 2024 («έκθεση του Ελεγκτικού Συνεδρίου»), εξέτασε δείγμα 70 πράξεων στο πλαίσιο του τομέα «Διοίκηση», αριθμός ίδιος με εκείνον του 2023· το Ελεγκτικό Συνέδριο αναφέρει περαιτέρω ότι οι διοικητικές δαπάνες περιλαμβάνουν τις δαπάνες για τους ανθρώπινους πόρους, συμπεριλαμβανομένων των δαπανών για τις συντάξεις, οι οποίες το 2024 αντιπροσώπευαν περίπου το 69 % των συνολικών διοικητικών δαπανών, καθώς και τις δαπάνες για τα κτίρια, τον εξοπλισμό, την ενέργεια, τις επικοινωνίες και την τεχνολογία των πληροφοριών, και ότι το έργο του επί σειρά ετών δείχνει ότι, συνολικά, οι δαπάνες αυτές είναι χαμηλού κινδύνου·</w:t>
      </w:r>
    </w:p>
    <w:p w14:paraId="6610DFE4" w14:textId="379F81B0" w:rsidR="00230C4F" w:rsidRPr="00C93EA4" w:rsidRDefault="00C93EA4" w:rsidP="00C93EA4">
      <w:pPr>
        <w:pStyle w:val="NormalHanging12a"/>
        <w:widowControl/>
      </w:pPr>
      <w:r w:rsidRPr="00C93EA4">
        <w:t>3.</w:t>
      </w:r>
      <w:r w:rsidRPr="00C93EA4">
        <w:tab/>
      </w:r>
      <w:r w:rsidR="00230C4F" w:rsidRPr="00C93EA4">
        <w:t>σημειώνει ότι 16 (23 %) από τις 70 πράξεις περιείχαν σφάλματα, αλλά ότι το Ελεγκτικό Συνέδριο, βάσει των τριών σφαλμάτων που ποσοτικοποιήθηκαν, εκτιμά ότι το επίπεδο σφάλματος είναι χαμηλότερο από το όριο σημαντικότητας· σημειώνει ότι η έκθεση του Ελεγκτικού Συνεδρίου δεν εντόπισε συγκεκριμένα ζητήματα σχετικά με το ΔΕΕ·</w:t>
      </w:r>
    </w:p>
    <w:p w14:paraId="306A215E" w14:textId="77777777" w:rsidR="00230C4F" w:rsidRPr="00C93EA4" w:rsidRDefault="00230C4F" w:rsidP="00156777">
      <w:pPr>
        <w:pStyle w:val="NormalHanging12a"/>
        <w:widowControl/>
        <w:rPr>
          <w:b/>
          <w:i/>
          <w:iCs/>
        </w:rPr>
      </w:pPr>
      <w:r w:rsidRPr="00C93EA4">
        <w:rPr>
          <w:b/>
          <w:i/>
          <w:iCs/>
        </w:rPr>
        <w:t>Δημοσιονομική και οικονομική διαχείριση</w:t>
      </w:r>
    </w:p>
    <w:p w14:paraId="728EF06E" w14:textId="28AE0917" w:rsidR="00230C4F" w:rsidRPr="00C93EA4" w:rsidRDefault="00C93EA4" w:rsidP="00C93EA4">
      <w:pPr>
        <w:pStyle w:val="NormalHanging12a"/>
        <w:widowControl/>
      </w:pPr>
      <w:r w:rsidRPr="00C93EA4">
        <w:t>4.</w:t>
      </w:r>
      <w:r w:rsidRPr="00C93EA4">
        <w:tab/>
      </w:r>
      <w:r w:rsidR="00230C4F" w:rsidRPr="00C93EA4">
        <w:t>σημειώνει ότι ο προϋπολογισμός που διατέθηκε για το ΔΕΕ το 2024 ανήλθε σε 503 837 531 EUR, ποσό που αντιπροσωπεύει αύξηση κατά 3,66 % σε σύγκριση με το 2023· σημειώνει ότι η αύξηση αυτή αφορούσε κυρίως τις προσαρμογές των μισθών που προβλέπονταν για το 2024·</w:t>
      </w:r>
    </w:p>
    <w:p w14:paraId="70AAB1A1" w14:textId="023E3CC5" w:rsidR="00230C4F" w:rsidRPr="00C93EA4" w:rsidRDefault="00C93EA4" w:rsidP="00C93EA4">
      <w:pPr>
        <w:pStyle w:val="NormalHanging12a"/>
        <w:widowControl/>
        <w:rPr>
          <w:bCs/>
          <w:iCs/>
        </w:rPr>
      </w:pPr>
      <w:r w:rsidRPr="00C93EA4">
        <w:rPr>
          <w:bCs/>
          <w:iCs/>
        </w:rPr>
        <w:t>5.</w:t>
      </w:r>
      <w:r w:rsidRPr="00C93EA4">
        <w:rPr>
          <w:bCs/>
          <w:iCs/>
        </w:rPr>
        <w:tab/>
      </w:r>
      <w:r w:rsidR="00230C4F" w:rsidRPr="00C93EA4">
        <w:t>σημειώνει ότι οι δαπάνες προσωπικού αντιπροσωπεύουν σχεδόν το 80 % του προϋπολογισμού του ΔΕΕ και ότι οι μισθολογικές επικαιροποιήσεις υπερέβησαν τις αρχικές προβλέψεις το 2024· τονίζει ότι, ενώ οι αυξήσεις αυτές απορροφήθηκαν χωρίς πρόσθετες δημοσιονομικές ενισχύσεις, ο επαναλαμβανόμενος χαρακτήρας τους εγείρει ερωτήματα όσον αφορά τη μεσοπρόθεσμη δημοσιονομική βιωσιμότητα στο πλαίσιο των περιορισμών του τρέχοντος ΠΔΠ· ζητεί ενισχυμένο πολυετή προγραμματισμό του εργατικού δυναμικού και των δαπανών, χωρίς να υπονομεύεται η ανεξαρτησία της δικαιοσύνης·</w:t>
      </w:r>
    </w:p>
    <w:p w14:paraId="5F6D6F7D" w14:textId="6E81BD0B" w:rsidR="00230C4F" w:rsidRPr="00C93EA4" w:rsidRDefault="00C93EA4" w:rsidP="00C93EA4">
      <w:pPr>
        <w:pStyle w:val="NormalHanging12a"/>
        <w:widowControl/>
      </w:pPr>
      <w:r w:rsidRPr="00C93EA4">
        <w:t>6.</w:t>
      </w:r>
      <w:r w:rsidRPr="00C93EA4">
        <w:tab/>
      </w:r>
      <w:r w:rsidR="00230C4F" w:rsidRPr="00C93EA4">
        <w:t>σημειώνει, με βάση τις απαντήσεις του ΔΕΕ στο ερωτηματολόγιο για την απαλλαγή του 2024, ότι το συνολικό προσωρινό ποσοστό εκτέλεσης του προϋπολογισμού στο τέλος του 2024 ήταν 97,72 %, όπως και το 2023, ενώ το τελικό ποσοστό εκτέλεσης για το 2024 θα είναι διαθέσιμο στο τέλος του 2025· σημειώνει ότι υποβλήθηκαν τρεις μεταφορές στην αρμόδια για τον προϋπολογισμό αρχή σύμφωνα με το άρθρο 29 του δημοσιονομικού κανονισμού για την ενίσχυση των γραμμών του προϋπολογισμού «Αγορά, εργασίες και συντήρηση του εξοπλισμού και του λογισμικού», «Βρεφονηπιακός σταθμός και επιδοτούμενοι σταθμοί» και «Κτίρια» από άλλες γραμμές του προϋπολογισμού, κυρίως από τη γραμμή του προϋπολογισμού για το προσωπικό «Αποδοχές και αποζημιώσεις»·</w:t>
      </w:r>
    </w:p>
    <w:p w14:paraId="045AEDF3" w14:textId="562542D5" w:rsidR="00230C4F" w:rsidRPr="00C93EA4" w:rsidRDefault="00C93EA4" w:rsidP="00C93EA4">
      <w:pPr>
        <w:pStyle w:val="NormalHanging12a"/>
        <w:widowControl/>
      </w:pPr>
      <w:r w:rsidRPr="00C93EA4">
        <w:lastRenderedPageBreak/>
        <w:t>7.</w:t>
      </w:r>
      <w:r w:rsidRPr="00C93EA4">
        <w:tab/>
      </w:r>
      <w:r w:rsidR="00230C4F" w:rsidRPr="00C93EA4">
        <w:t>συμφωνεί ότι η ικανότητα του ΔΕΕ να ανταποκρίνεται σε έναν συνεχώς αυξανόμενο φόρτο εργασίας δέχεται πιέσεις, αφενός, λόγω των κατευθυντήριων γραμμών της Επιτροπής για την κατάρτιση του προϋπολογισμού, οι οποίες περιορίζουν την αύξηση για όλες τις μη μισθολογικές δαπάνες στο 2 % κατ’ ανώτατο και αποθαρρύνουν τα αιτήματα για νέες θέσεις, και, αφετέρου, λόγω του γεγονότος ότι η EPSO δεν παρέχει στα θεσμικά όργανα της Ένωσης μια εύλογου μεγέθους δεξαμενή επιτυχόντων υποψηφίων από διαγωνισμούς από την οποία να μπορούν να κάνουν προσλήψεις· σημειώνει, επιπλέον, ότι οι πληθωριστικές επιπτώσεις του παράνομου επιθετικού πολέμου της Ρωσίας κατά της Ουκρανίας συνέχισαν να δημιουργούν δημοσιονομική πίεση για το ΔΕΕ, π.χ. μέσω της αύξησης του κόστους των αποστολών ή της αύξησης των τιμών των συμβατικών αγαθών και υπηρεσιών· συγχαίρει το ΔΕΕ για τα μέτρα που έλαβε για τον μετριασμό των επιπτώσεων αυτών, μειώνοντας τον αριθμό των αποστολών, περιορίζοντας τις ενεργειακές δαπάνες και, κυρίως, εφαρμόζοντας ιεράρχηση των έργων κατά την κατάρτιση των δημοσιονομικών προβλέψεων· αναγνωρίζει ότι όλα τα θεσμικά όργανα της Ένωσης πρέπει να βελτιώσουν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 καλεί το ΔΕΕ να συνεχίσει να ενισχύει την οικονομική αποδοτικότητα και τον προορατικό δημοσιονομικό σχεδιασμό για τη διατήρηση της ποιότητας του δικαστικού συστήματος εντός των διαθέσιμων πόρων·</w:t>
      </w:r>
    </w:p>
    <w:p w14:paraId="2F672718" w14:textId="3F590BC4" w:rsidR="00230C4F" w:rsidRPr="00C93EA4" w:rsidRDefault="00C93EA4" w:rsidP="00C93EA4">
      <w:pPr>
        <w:pStyle w:val="NormalHanging12a"/>
        <w:widowControl/>
      </w:pPr>
      <w:r w:rsidRPr="00C93EA4">
        <w:t>8.</w:t>
      </w:r>
      <w:r w:rsidRPr="00C93EA4">
        <w:tab/>
      </w:r>
      <w:r w:rsidR="00230C4F" w:rsidRPr="00C93EA4">
        <w:t>παρατηρεί ελαφρά αύξηση του μέσου χρόνου πληρωμής από 23,1 ημέρες το 2023 σε 23,7 ημέρες το 2024 και αύξηση του ποσοστού των τιμολογίων που λαμβάνονται ηλεκτρονικά, από 81 % το 2023 σε 88 % το 2024· σημειώνει, με βάση τη συνέχεια που έδωσε το ΔΕΕ στις παρατηρήσεις που περιέχονται στο ψήφισμα του Κοινοβουλίου σχετικά με την απαλλαγή για το 2023 («έκθεση παρακολούθησης»), ότι για τα τιμολόγια που αφορούν την εξωτερική μετάφραση, η πληρωμή προϋποθέτει μια διαδικασία αναθεώρησης, η οποία είναι αναγκαία προκειμένου να διασφαλίζεται η απαιτούμενη υψηλή ποιότητα της μετάφρασης·</w:t>
      </w:r>
    </w:p>
    <w:p w14:paraId="235396D1" w14:textId="7CC57CFE" w:rsidR="00230C4F" w:rsidRPr="00C93EA4" w:rsidRDefault="00C93EA4" w:rsidP="00C93EA4">
      <w:pPr>
        <w:pStyle w:val="NormalHanging12a"/>
        <w:widowControl/>
      </w:pPr>
      <w:r w:rsidRPr="00C93EA4">
        <w:t>9.</w:t>
      </w:r>
      <w:r w:rsidRPr="00C93EA4">
        <w:tab/>
      </w:r>
      <w:r w:rsidR="00230C4F" w:rsidRPr="00C93EA4">
        <w:t>σημειώνει με ικανοποίηση ότι ο προϋπολογισμός των αποστολών του για τα μέλη και το προσωπικό του ΔΕΕ μειώθηκε για δεύτερο συνεχόμενο έτος, από 638 000 EUR το 2023 σε 616 000 EUR το 2024, ποσό που συνιστά μείωση κατά περίπου 3,44 %·</w:t>
      </w:r>
    </w:p>
    <w:p w14:paraId="58CD9442" w14:textId="77777777" w:rsidR="00230C4F" w:rsidRPr="00C93EA4" w:rsidRDefault="00230C4F" w:rsidP="00156777">
      <w:pPr>
        <w:pStyle w:val="NormalHanging12a"/>
        <w:widowControl/>
        <w:rPr>
          <w:b/>
          <w:i/>
          <w:iCs/>
        </w:rPr>
      </w:pPr>
      <w:r w:rsidRPr="00C93EA4">
        <w:rPr>
          <w:b/>
          <w:i/>
          <w:iCs/>
        </w:rPr>
        <w:t>Εσωτερική διαχείριση, επιδόσεις και εσωτερικός έλεγχος</w:t>
      </w:r>
    </w:p>
    <w:p w14:paraId="61BD9AFD" w14:textId="200862DD" w:rsidR="00230C4F" w:rsidRPr="00C93EA4" w:rsidRDefault="00C93EA4" w:rsidP="00C93EA4">
      <w:pPr>
        <w:widowControl/>
        <w:spacing w:after="240"/>
        <w:ind w:left="567" w:hanging="567"/>
      </w:pPr>
      <w:r w:rsidRPr="00C93EA4">
        <w:t>10.</w:t>
      </w:r>
      <w:r w:rsidRPr="00C93EA4">
        <w:tab/>
      </w:r>
      <w:r w:rsidR="00230C4F" w:rsidRPr="00C93EA4">
        <w:t>σημειώνει με ικανοποίηση, με βάση τις απαντήσεις του ΔΕΕ στο ερωτηματολόγιο για την απαλλαγή του 2024, τις προσπάθειες που κατέβαλε το ΔΕΕ για να ολοκληρώσει τη δικαστική μεταρρύθμιση για μερική μεταβίβαση της αρμοδιότητας έκδοσης προδικαστικών αποφάσεων από το Δικαστήριο στο Γενικό Δικαστήριο και να επιτρέψει την εφαρμογή του νέου κανονιστικού πλαισίου από την 1η Οκτωβρίου 2024· σημειώνει, στο πλαίσιο αυτό, την αναδιοργάνωση της δομής του Γενικού Δικαστηρίου, την τροποποίηση του εσωτερικού κανονισμού του ΔΕΕ, την έγκριση νέας δέσμης κανόνων πρακτικής του Γενικού Δικαστηρίου για την εφαρμογή του εσωτερικού κανονισμού, την έγκριση νέας απόφασης σχετικά με την κατάθεση και την επίδοση διαδικαστικών εγγράφων μέσω του e-</w:t>
      </w:r>
      <w:proofErr w:type="spellStart"/>
      <w:r w:rsidR="00230C4F" w:rsidRPr="00C93EA4">
        <w:t>Curia</w:t>
      </w:r>
      <w:proofErr w:type="spellEnd"/>
      <w:r w:rsidR="00230C4F" w:rsidRPr="00C93EA4">
        <w:t xml:space="preserve">, την ανάπτυξη νέου λογισμικού («υπηρεσία μίας στάσης») για την ταχεία ανάλυση και διεκπεραίωση των υποθέσεων, τη βελτίωση της αποτελεσματικότητας και της ποιότητας των δικαστικών αποτελεσμάτων και την εναρμόνιση των πρακτικών των γραμματειών του Δικαστηρίου και του Γενικού Δικαστηρίου το 2024· σημειώνει με ικανοποίηση ότι, κατά τους πρώτους τρεις μήνες μετά την έναρξη ισχύος της μεταρρύθμισης, 19 προδικαστικές αποφάσεις </w:t>
      </w:r>
      <w:r w:rsidR="00230C4F" w:rsidRPr="00C93EA4">
        <w:lastRenderedPageBreak/>
        <w:t>διαβιβάστηκαν ήδη στο Γενικό Δικαστήριο, σηματοδοτώντας έτσι τα πρώτα αποτελέσματα προς την κατεύθυνση μιας πιο ισορροπημένης κατανομής του φόρτου εργασίας μεταξύ των δύο δικαστηρίων· σημειώνει ότι το μόνο πρόσθετο κόστος που συνδέεται με την εφαρμογή της δικαστικής μεταρρύθμισης ήταν αυτό που σχετίζεται με την ΤΠ, για την ανάπτυξη της υπηρεσίας μίας στάσης, ύψους περίπου 805 000 EUR, ενώ όσον αφορά το προσωπικό η μεταρρύθμιση διατηρήθηκε δημοσιονομικά ουδέτερη μέσω της ανακατανομής θέσεων και καθηκόντων εντός του θεσμικού οργάνου· καλεί το ΔΕΕ να υποβάλει έκθεση σχετικά με τον συγκεκριμένο αντίκτυπο της δικαστικής μεταρρύθμισης στην αποδοτικότητα, τη διάρκεια των διαδικασιών και την κατανομή του φόρτου εργασίας μεταξύ του Δικαστηρίου και του Γενικού Δικαστηρίου, συμπεριλαμβανομένου του αντικτύπου των ψηφιακών εργαλείων στους χρόνους επεξεργασίας και στην ισορροπία του φόρτου εργασίας· καλεί το ΔΕΕ να υποβάλει, για την επόμενη διαδικασία απαλλαγής, ολοκληρωμένη εκ των υστέρων αξιολόγηση της μεταρρύθμισης·</w:t>
      </w:r>
    </w:p>
    <w:p w14:paraId="41EFD525" w14:textId="5867EB5D" w:rsidR="00230C4F" w:rsidRPr="00C93EA4" w:rsidRDefault="00C93EA4" w:rsidP="00C93EA4">
      <w:pPr>
        <w:pStyle w:val="NormalHanging12a"/>
        <w:widowControl/>
      </w:pPr>
      <w:r w:rsidRPr="00C93EA4">
        <w:t>11.</w:t>
      </w:r>
      <w:r w:rsidRPr="00C93EA4">
        <w:tab/>
      </w:r>
      <w:r w:rsidR="00230C4F" w:rsidRPr="00C93EA4">
        <w:t>σημειώνει ότι, το 2024, το Δικαστήριο αποφάνθηκε επί 12 υποθέσεων που αφορούσαν την αρχή της υπεροχής του δικαίου της Ένωσης, εκ των οποίων 10 υποθέσεις προδικαστικών αποφάσεων και δύο υποθέσεις παραβίασης· επαναλαμβάνει ότι η αρχή της υπεροχής του δικαίου της ΕΕ, η οποία διασφαλίζει την ομοιόμορφη ερμηνεία και εφαρμογή του δικαίου της ΕΕ σε όλα τα κράτη μέλη και προστατεύει το κράτος δικαίου ως βασική αξία της Ένωσης, είναι θεμελιώδης· επαναβεβαιώνει σθεναρά ότι η υπεροχή του δικαίου της Ένωσης αποτελεί τον ακρογωνιαίο λίθο της έννομης τάξης της Ένωσης και υπογραμμίζει τον κομβικό ρόλο του ΔΕΕ στην προάσπιση του κράτους δικαίου σε ολόκληρη την Ένωση· σημειώνει ότι το άρθρο 4 παράγραφος 2 της Συνθήκης για την Ευρωπαϊκή Ένωση ορίζει ότι «Η Ένωση σέβεται την ισότητα των κρατών μελών ενώπιον των Συνθηκών καθώς και την εθνική τους ταυτότητα που είναι συμφυής με τη θεμελιώδη πολιτική και συνταγματική τους δομή, στην οποία συμπεριλαμβάνεται η περιφερειακή και τοπική αυτοδιοίκηση»·</w:t>
      </w:r>
    </w:p>
    <w:p w14:paraId="28D0C23C" w14:textId="01955198" w:rsidR="00230C4F" w:rsidRPr="00C93EA4" w:rsidRDefault="00C93EA4" w:rsidP="00C93EA4">
      <w:pPr>
        <w:pStyle w:val="NormalHanging12a"/>
        <w:widowControl/>
      </w:pPr>
      <w:r w:rsidRPr="00C93EA4">
        <w:t>12.</w:t>
      </w:r>
      <w:r w:rsidRPr="00C93EA4">
        <w:tab/>
      </w:r>
      <w:r w:rsidR="00230C4F" w:rsidRPr="00C93EA4">
        <w:t>σημειώνει, με βάση τις απαντήσεις του ΔΕΕ στο ερωτηματολόγιο για την απαλλαγή του 2024, ότι το 2024 υποβλήθηκαν στο Δικαστήριο 920 νέες υποθέσεις (σε σύγκριση με 821 το 2023), εκ των οποίων το 62,30 % ήταν αιτήσεις για την έκδοση προδικαστικών αποφάσεων και οι 277 ήταν προσφυγές κατά αποφάσεων του Γενικού Δικαστηρίου· σημειώνει ότι σημειώθηκε σημαντική μείωση του αριθμού των νέων υποθέσεων του Γενικού Δικαστηρίου, από 1 271 το 2023 σε 786 το 2024, εκ των οποίων το 35,88 % ήταν προσφυγές ακύρωσης πράξεων θεσμικών οργάνων της Ένωσης, το 34,10 % αφορούσαν θέματα διανοητικής ιδιοκτησίας και το 9,67 % αφορούσαν διαφορές μεταξύ θεσμικών οργάνων της Ένωσης και του προσωπικού τους·</w:t>
      </w:r>
    </w:p>
    <w:p w14:paraId="6BB850CF" w14:textId="239E0E3F" w:rsidR="00230C4F" w:rsidRPr="00C93EA4" w:rsidRDefault="00C93EA4" w:rsidP="00C93EA4">
      <w:pPr>
        <w:pStyle w:val="NormalHanging12a"/>
        <w:widowControl/>
      </w:pPr>
      <w:r w:rsidRPr="00C93EA4">
        <w:t>13.</w:t>
      </w:r>
      <w:r w:rsidRPr="00C93EA4">
        <w:tab/>
      </w:r>
      <w:r w:rsidR="00230C4F" w:rsidRPr="00C93EA4">
        <w:t>συμφωνεί με το ΔΕΕ ότι η Επιτροπή, ως θεματοφύλακας των Συνθηκών, θα πρέπει να παρακολουθεί τη συμμόρφωση των κρατών μελών με τις αποφάσεις του ΔΕΕ· επαναλαμβάνει την έκκλησή του προς το ΔΕΕ, αυστηρά εντός των ορίων του ρόλου του, να θεσπίσει μηχανισμό για τον εντοπισμό των βέλτιστων και των κακών πρακτικών μεταξύ των κρατών μελών·</w:t>
      </w:r>
    </w:p>
    <w:p w14:paraId="19010D50" w14:textId="0E6068B8" w:rsidR="00230C4F" w:rsidRPr="00C93EA4" w:rsidRDefault="00C93EA4" w:rsidP="00C93EA4">
      <w:pPr>
        <w:pStyle w:val="NormalHanging12a"/>
        <w:widowControl/>
      </w:pPr>
      <w:r w:rsidRPr="00C93EA4">
        <w:t>14.</w:t>
      </w:r>
      <w:r w:rsidRPr="00C93EA4">
        <w:tab/>
      </w:r>
      <w:r w:rsidR="00230C4F" w:rsidRPr="00C93EA4">
        <w:t xml:space="preserve">σημειώνει την αύξηση του αριθμού των υποθέσεων που περατώθηκαν από το Γενικό Δικαστήριο από 904 το 2023 σε 922 το 2024, και την αύξηση του αριθμού των υποθέσεων που περατώθηκαν από το Δικαστήριο από 783 το 2023 σε 863 το 2024, ενώ η τελευταία αύξηση επιταχύνθηκε από την τριετή μερική αντικατάσταση των δικαστών και των γενικών εισαγγελέων του Δικαστηρίου το 2024· σημειώνει περαιτέρω την αύξηση του αριθμού των εκκρεμών υποθέσεων στο Δικαστήριο από 1 149 το 2023 σε 1 206 το 2024, και τη μείωση του αριθμού των εκκρεμών υποθέσεων στο Γενικό Δικαστήριο από 1 438 το 2023 σε 1 302 το 2024 (συμπεριλαμβανομένης μιας σειράς 404 ουσιαστικά πανομοιότυπων υποθέσεων που υπολογίζονται ως μία υπόθεση), εν μέρει λόγω της περάτωσης ορισμένων μεγάλων ομάδων υποθέσεων· </w:t>
      </w:r>
    </w:p>
    <w:p w14:paraId="58687021" w14:textId="09E0C133" w:rsidR="00230C4F" w:rsidRPr="00C93EA4" w:rsidRDefault="00C93EA4" w:rsidP="00C93EA4">
      <w:pPr>
        <w:pStyle w:val="NormalHanging12a"/>
        <w:widowControl/>
      </w:pPr>
      <w:r w:rsidRPr="00C93EA4">
        <w:t>15.</w:t>
      </w:r>
      <w:r w:rsidRPr="00C93EA4">
        <w:tab/>
      </w:r>
      <w:r w:rsidR="00230C4F" w:rsidRPr="00C93EA4">
        <w:t>εκφράζει, ταυτόχρονα, την ικανοποίησή του για τη μείωση του μέσου χρόνου που απαιτείται για την εκδίκαση υποθέσεων στο πλαίσιο της επείγουσας διαδικασίας ενώπιον του Δικαστηρίου, ο οποίος μειώθηκε από 4,3 μήνες το 2023 σε 3,3 μήνες το 2024·</w:t>
      </w:r>
    </w:p>
    <w:p w14:paraId="39A2996D" w14:textId="497E35BF" w:rsidR="00230C4F" w:rsidRPr="00C93EA4" w:rsidRDefault="00C93EA4" w:rsidP="00C93EA4">
      <w:pPr>
        <w:pStyle w:val="NormalHanging12a"/>
        <w:widowControl/>
      </w:pPr>
      <w:r w:rsidRPr="00C93EA4">
        <w:t>16.</w:t>
      </w:r>
      <w:r w:rsidRPr="00C93EA4">
        <w:tab/>
      </w:r>
      <w:r w:rsidR="00230C4F" w:rsidRPr="00C93EA4">
        <w:t>σημειώνει ότι η μέση διάρκεια των διαδικασιών για τις υποθέσεις που περατώθηκαν από το Δικαστήριο ήταν 17,7 μήνες το 2024 σε σύγκριση με 16,1 μήνες το 2023, ενώ η αντίστοιχη αύξηση κατά περίπου έξι εβδομάδες οφειλόταν στην πολυπλοκότητα και τον όγκο ορισμένων φακέλων (όπως οι προσφυγές που ασκήθηκαν το 2020 κατά της λεγόμενης «δέσμης μέτρων για την κινητικότητα» της Ένωσης και περατώθηκαν το 2024)· σημειώνει ότι η μέση διάρκεια των υποθέσεων που περατώθηκαν με απόφαση ή διάταξη του Γενικού Δικαστηρίου αυξήθηκε από 18,2 μήνες το 2023 σε 18,5 μήνες το 2024· τονίζει ότι ο έγκαιρος χαρακτήρας των δικαστικών διαδικασιών πρέπει να παραμείνει βασικός στόχος επιδόσεων, καθώς η υπερβολική διάρκεια επηρεάζει άμεσα την ασφάλεια δικαίου για τους πολίτες, τα εθνικά δικαστήρια και τους οικονομικούς φορείς·</w:t>
      </w:r>
    </w:p>
    <w:p w14:paraId="2DE4B29B" w14:textId="0CD4599B" w:rsidR="00230C4F" w:rsidRPr="00C93EA4" w:rsidRDefault="00C93EA4" w:rsidP="00C93EA4">
      <w:pPr>
        <w:pStyle w:val="NormalHanging12a"/>
        <w:widowControl/>
      </w:pPr>
      <w:r w:rsidRPr="00C93EA4">
        <w:t>17.</w:t>
      </w:r>
      <w:r w:rsidRPr="00C93EA4">
        <w:tab/>
      </w:r>
      <w:r w:rsidR="00230C4F" w:rsidRPr="00C93EA4">
        <w:t>καλεί το ΔΕΕ να διερευνήσει, σε συνεργασία με τα εθνικά δικαστήρια, εργαλεία πρακτικής καθοδήγησης (όπως κατευθυντήριες γραμμές, υποδείγματα προδικαστικής παραπομπής και διαδικτυακά σεμινάρια κατάρτισης) με σκοπό να υποστηριχθεί η σαφής και εστιασμένη διατύπωση των ερωτημάτων που υποβάλλονται στο πλαίσιο προδικαστικών αποφάσεων και να μειωθεί με αυτόν τον τρόπο ο κίνδυνος περιττών ή υπερβολικά χρονοβόρων διαδικασιών·</w:t>
      </w:r>
    </w:p>
    <w:p w14:paraId="39A4AD24" w14:textId="32F56FF2" w:rsidR="00230C4F" w:rsidRPr="00C93EA4" w:rsidRDefault="00C93EA4" w:rsidP="00C93EA4">
      <w:pPr>
        <w:pStyle w:val="NormalHanging12a"/>
        <w:widowControl/>
      </w:pPr>
      <w:r w:rsidRPr="00C93EA4">
        <w:t>18.</w:t>
      </w:r>
      <w:r w:rsidRPr="00C93EA4">
        <w:tab/>
      </w:r>
      <w:r w:rsidR="00230C4F" w:rsidRPr="00C93EA4">
        <w:t>συγχαίρει το ΔΕΕ για την αύξηση που καταγράφηκε στη χρήση της εφαρμογής e-</w:t>
      </w:r>
      <w:proofErr w:type="spellStart"/>
      <w:r w:rsidR="00230C4F" w:rsidRPr="00C93EA4">
        <w:t>Curia</w:t>
      </w:r>
      <w:proofErr w:type="spellEnd"/>
      <w:r w:rsidR="00230C4F" w:rsidRPr="00C93EA4">
        <w:t>, ενώ ο αριθμός των λογαριασμών που άνοιξαν τα εθνικά δικαστήρια αυξήθηκε από 451 το 2023 σε 566 το 2024, και το ποσοστό των διαδικαστικών εγγράφων που κατατέθηκαν μέσω του e-</w:t>
      </w:r>
      <w:proofErr w:type="spellStart"/>
      <w:r w:rsidR="00230C4F" w:rsidRPr="00C93EA4">
        <w:t>Curia</w:t>
      </w:r>
      <w:proofErr w:type="spellEnd"/>
      <w:r w:rsidR="00230C4F" w:rsidRPr="00C93EA4">
        <w:t xml:space="preserve"> ανήλθε σε 91 % στο Δικαστήριο και σε 96 % στο Γενικό Δικαστήριο·</w:t>
      </w:r>
    </w:p>
    <w:p w14:paraId="7D9306D4" w14:textId="6123BC23" w:rsidR="00230C4F" w:rsidRPr="00C93EA4" w:rsidRDefault="00C93EA4" w:rsidP="00C93EA4">
      <w:pPr>
        <w:pStyle w:val="NormalHanging12a"/>
        <w:widowControl/>
      </w:pPr>
      <w:r w:rsidRPr="00C93EA4">
        <w:t>19.</w:t>
      </w:r>
      <w:r w:rsidRPr="00C93EA4">
        <w:tab/>
      </w:r>
      <w:r w:rsidR="00230C4F" w:rsidRPr="00C93EA4">
        <w:t>εκφράζει την ικανοποίησή του για την προσέγγιση βάσει επιδόσεων που ανέπτυξε το ΔΕΕ, η οποία επιτρέπει στο ΔΕΕ να λαμβάνει αποφάσεις με βάση το επίπεδο επίτευξης των στόχων του, το οποίο μετράται μέσω ενός συνόλου δεικτών φόρτου εργασίας και λειτουργίας (π.χ. οικονομική αποδοτικότητα, ποσοστά ολοκλήρωσης έργων, ικανοποίηση των χρηστών και βελτιστοποίηση των πόρων) ειδικά προσαρμοσμένων για κάθε τμήμα· σημειώνει ότι οι βασικοί δείκτες επιδόσεων που χρησιμοποιεί το ΔΕΕ καλύπτουν ευρύ φάσμα συγκεκριμένων τομέων για τη στήριξη των πέντε στόχων διαχείρισης που σχετίζονται με την ορθή λειτουργία των δύο δικαστηρίων, την ψηφιοποίηση και τις αναδυόμενες τεχνολογίες, τον ανοικτό χαρακτήρα και τη διαφάνεια, την πολυγλωσσία και τη διαχείριση των ανθρώπινων πόρων· τονίζει την ανάγκη να διασφαλίσει το ΔΕΕ ότι οι δείκτες αυτοί είναι διαφανείς, προσανατολισμένοι στα αποτελέσματα και επανεξετάζονται τακτικά για τη στήριξη της αποτελεσματικής διαχείρισης και λογοδοσίας·</w:t>
      </w:r>
    </w:p>
    <w:p w14:paraId="0C7A0188" w14:textId="717CF083" w:rsidR="00230C4F" w:rsidRPr="00C93EA4" w:rsidRDefault="00C93EA4" w:rsidP="00C93EA4">
      <w:pPr>
        <w:pStyle w:val="NormalHanging12a"/>
        <w:widowControl/>
      </w:pPr>
      <w:r w:rsidRPr="00C93EA4">
        <w:t>20.</w:t>
      </w:r>
      <w:r w:rsidRPr="00C93EA4">
        <w:tab/>
      </w:r>
      <w:r w:rsidR="00230C4F" w:rsidRPr="00C93EA4">
        <w:t>εκφράζει την ικανοποίησή του για την αναθεωρημένη προσέγγισή του τού 2024 σχετικά με την απόδοση των επενδύσεων σε πρωτοβουλίες καινοτομίας, στο πλαίσιο της οποίας λαμβάνονται υπόψη τόσο η αξιολόγηση του κόστους μέσω παραμέτρων όπως η υλοποίηση και οι προσπάθειες του προσωπικού, η ετήσια συντήρηση, το κόστος των αναδόχων και άλλα είδη κόστους όσο και η αξιολόγηση των οφελών μέσω παραμέτρων όπως τα προβλεπόμενα κέρδη, τα στρατηγικά πλεονεκτήματα και ο αριθμός των χρηστών που επηρεάζονται· σημειώνει ότι το 2024 το ΔΕΕ προέβη επίσης σε διεξοδική αναθεώρηση του συστήματός του για την παρακολούθηση της διαχείρισης έργων και τη δημοσιονομική παρακολούθηση των έργων, με σκοπό να διασφαλιστεί η πλήρης υποβολή εκθέσεων και ο έλεγχος των χρονικά προσδιορισμένων συμβουλευτικών υπηρεσιών ψηφιοποίησης έως το 2025· καλεί το ΔΕΕ να τηρεί ενήμερη την αρμόδια για την απαλλαγή αρχή σχετικά με αυτό το θέμα·</w:t>
      </w:r>
    </w:p>
    <w:p w14:paraId="3F998477" w14:textId="4868A489" w:rsidR="00230C4F" w:rsidRPr="00C93EA4" w:rsidRDefault="00C93EA4" w:rsidP="00C93EA4">
      <w:pPr>
        <w:pStyle w:val="NormalHanging12a"/>
        <w:widowControl/>
      </w:pPr>
      <w:r w:rsidRPr="00C93EA4">
        <w:t>21.</w:t>
      </w:r>
      <w:r w:rsidRPr="00C93EA4">
        <w:tab/>
      </w:r>
      <w:r w:rsidR="00230C4F" w:rsidRPr="00C93EA4">
        <w:t>σημειώνει, με βάση την έκθεση εσωτερικού ελέγχου του ΔΕΕ για το 2024 («εσωτερική έκθεση»), ότι οι κύριες δραστηριότητες ελέγχου που ανέπτυξε το τμήμα εσωτερικού ελέγχου του ΔΕΕ το 2024 αφορούσαν έλεγχο του έργου του ΔΕΕ για την αναβάθμιση των ρυθμίσεων ασφάλειας των υποδομών του, και των έργων απογραφής περιουσιακών στοιχείων, καθώς και τρεις μελέτες που αφορούσαν τα εξής: τις αλλαγές στις ανάγκες του ΔΕΕ σε ανθρώπινο κεφάλαιο στην εποχή της παραγωγικής ΤΝ· τις ικανότητες των οργανισμών και των εργαζομένων τους σε ένα μεταβαλλόμενο περιβάλλον· την ευημερία των εργαζομένων και τις αναδυόμενες τεχνολογίες· σημειώνει με ικανοποίηση, με βάση την εσωτερική έκθεση, ότι τα αρμόδια τμήματα έλαβαν μέτρα για την εφαρμογή των συστάσεων του ελέγχου, συχνά πριν από την ολοκλήρωση των ελέγχων· σημειώνει περαιτέρω ότι, σε σχέση με το πρόγραμμα του 2024, το 2025 βρίσκονταν σε εξέλιξη εργασίες για τον έλεγχο των αδειών ΤΠ και για το τελευταίο μέρος του ελέγχου της διαχείρισης των αγορών επίπλων και εξοπλισμού· παρατηρεί ότι η αναφερόμενη πορεία του τελευταίου ελέγχου έχει παραμείνει αμετάβλητη για δύο διαδοχικές περιόδους αναφοράς· καλεί το ΔΕΕ να υποβάλλει στο μέλλον ενημέρωση σχετικά με την παρακολούθηση των δράσεων που αναλαμβάνονται όσον αφορά τις συστάσεις του εσωτερικού ελέγχου σε μορφή πίνακα, όπου θα εμφαίνεται το στάδιο υλοποίησης για κάθε δράση και σύσταση·</w:t>
      </w:r>
    </w:p>
    <w:p w14:paraId="7F7B9CB2" w14:textId="77777777" w:rsidR="00230C4F" w:rsidRPr="00C93EA4" w:rsidRDefault="00230C4F" w:rsidP="00156777">
      <w:pPr>
        <w:pStyle w:val="NormalHanging12a"/>
        <w:widowControl/>
        <w:rPr>
          <w:b/>
          <w:i/>
          <w:iCs/>
        </w:rPr>
      </w:pPr>
      <w:r w:rsidRPr="00C93EA4">
        <w:rPr>
          <w:b/>
          <w:i/>
          <w:iCs/>
        </w:rPr>
        <w:t>Ανθρώπινοι πόροι, ισότητα και ευημερία του προσωπικού</w:t>
      </w:r>
    </w:p>
    <w:p w14:paraId="44376634" w14:textId="24FE3CA1" w:rsidR="00230C4F" w:rsidRPr="00C93EA4" w:rsidRDefault="00C93EA4" w:rsidP="00C93EA4">
      <w:pPr>
        <w:pStyle w:val="NormalHanging12a"/>
        <w:widowControl/>
      </w:pPr>
      <w:r w:rsidRPr="00C93EA4">
        <w:t>22.</w:t>
      </w:r>
      <w:r w:rsidRPr="00C93EA4">
        <w:tab/>
      </w:r>
      <w:r w:rsidR="00230C4F" w:rsidRPr="00C93EA4">
        <w:t>σημειώνει ότι ο συνολικός αριθμός των μόνιμων υπαλλήλων στο τέλος του έτους αυξήθηκε από 1 340 (58 %) το 2023 σε 1 354 (60 %) το 2024, ο αριθμός των έκτακτων υπαλλήλων μειώθηκε από 765 (33 %) το 2023 σε 740 (33 %) το 2024, και ο αριθμός των συμβασιούχων υπαλλήλων μειώθηκε από 198 (9 %) το 2023 σε 173 (7 %) το 2024· σημειώνει ότι το ποσοστό κάλυψης των θέσεων μειώθηκε ελαφρώς από 97,11 % το 2023 σε 96,70 % το 2024 και ότι η ετήσια εναλλαγή προσωπικού μειώθηκε από 6,54 % το 2023 σε 6,32 % το 2024, με το 41 % των αποχωρήσεων προσωπικού να συνδέεται με συνταξιοδότηση·</w:t>
      </w:r>
    </w:p>
    <w:p w14:paraId="1C58B761" w14:textId="3DCE0E0F" w:rsidR="00230C4F" w:rsidRPr="00C93EA4" w:rsidRDefault="00C93EA4" w:rsidP="00C93EA4">
      <w:pPr>
        <w:pStyle w:val="NormalHanging12a"/>
        <w:widowControl/>
      </w:pPr>
      <w:r w:rsidRPr="00C93EA4">
        <w:t>23.</w:t>
      </w:r>
      <w:r w:rsidRPr="00C93EA4">
        <w:tab/>
      </w:r>
      <w:r w:rsidR="00230C4F" w:rsidRPr="00C93EA4">
        <w:t>σημειώνει ότι το Δικαστήριο αποτελείται από 27 δικαστές και 11 γενικούς εισαγγελείς και ότι το Γενικό Δικαστήριο απαρτίζεται από 54 δικαστές· σημειώνει περαιτέρω ότι εννέα νέοι δικαστές στο Δικαστήριο και δύο νέοι δικαστές στο Γενικό Δικαστήριο ανέλαβαν καθήκοντα λόγω μερικής ανανέωσης το 2024· εκφράζει τη λύπη του για το γεγονός ότι η σύνθεση του Δικαστηρίου και του Γενικού Δικαστηρίου ως προς το φύλο εξακολουθεί να είναι πολύ άνιση· εκφράζει την εκτίμησή του για την επιστολή του προέδρου του Γενικού Δικαστηρίου προς τον πρόεδρο της Διάσκεψης των αντιπροσώπων των κρατών μελών το 2024, με την οποία καλεί τα κράτη μέλη να λάβουν υπόψη την ανάγκη για ισόρροπη εκπροσώπηση των φύλων κατά τον ορισμό υποψηφίων για την αντικατάσταση δικαστών και γενικών εισαγγελέων· επαναλαμβάνει την έκκλησή του στα κράτη μέλη να λαμβάνουν υπόψη την ανάγκη για ισόρροπη εκπροσώπηση των φύλων κατά τον ορισμό υποψηφίων για την αντικατάσταση δικαστών, διασφαλίζοντας παράλληλα ότι οι ορισμοί θα εξακολουθήσουν να βασίζονται στα κριτήρια της αξίας, των προσόντων και της ανεξαρτησίας·</w:t>
      </w:r>
    </w:p>
    <w:p w14:paraId="127FB997" w14:textId="06386D84" w:rsidR="00230C4F" w:rsidRPr="00C93EA4" w:rsidRDefault="00C93EA4" w:rsidP="00C93EA4">
      <w:pPr>
        <w:pStyle w:val="NormalHanging12a"/>
        <w:widowControl/>
      </w:pPr>
      <w:r w:rsidRPr="00C93EA4">
        <w:t>24.</w:t>
      </w:r>
      <w:r w:rsidRPr="00C93EA4">
        <w:tab/>
      </w:r>
      <w:r w:rsidR="00230C4F" w:rsidRPr="00C93EA4">
        <w:t>σημειώνει ότι, το 2024, το προσωπικό του ΔΕΕ αποτελούνταν κατά 60,70 % από γυναίκες και κατά 39,30 % από άνδρες· σημειώνει ότι η εκπροσώπηση των γυναικών ήταν η υψηλότερη στους βαθμούς των βοηθών (69,14 %), ενώ δυστυχώς ήταν η χαμηλότερη στις ανώτερες διοικητικές θέσεις (35,71 %)· σημειώνει, επιπλέον, αύξηση της κατανομής των γυναικών σε θέσεις μεσαίων διοικητικών στελεχών από 43,33 % το 2023 σε 51,61 % το 2024· σημειώνει με ικανοποίηση, με βάση την έκθεση διαχείρισης του κύριου διατάκτη για το 2024, μια ανοδική τάση στην εκπροσώπηση των γυναικών σε διοικητικές θέσεις συνολικά, από 37,50 % το 2018 σε 48,70 % το 2024· τονίζει ότι η επίμονη υποεκπροσώπηση των γυναικών σε ανώτερες διευθυντικές θέσεις εξακολουθεί να αποτελεί πηγή ανησυχίας και ενθαρρύνει το ΔΕΕ να συνεχίσει να ενισχύει στοχευμένα μέτρα που αποσκοπούν στη στήριξη της επαγγελματικής ανέλιξης των γυναικών και της πορείας τους προς την ηγεσία, με πλήρη σεβασμό των αρχών της αξιοκρατίας και της διαφάνειας·</w:t>
      </w:r>
    </w:p>
    <w:p w14:paraId="48FF95EB" w14:textId="094A6604" w:rsidR="00230C4F" w:rsidRPr="00C93EA4" w:rsidRDefault="00C93EA4" w:rsidP="00C93EA4">
      <w:pPr>
        <w:pStyle w:val="NormalHanging12a"/>
        <w:widowControl/>
        <w:rPr>
          <w:bCs/>
          <w:iCs/>
        </w:rPr>
      </w:pPr>
      <w:r w:rsidRPr="00C93EA4">
        <w:rPr>
          <w:bCs/>
          <w:iCs/>
        </w:rPr>
        <w:t>25.</w:t>
      </w:r>
      <w:r w:rsidRPr="00C93EA4">
        <w:rPr>
          <w:bCs/>
          <w:iCs/>
        </w:rPr>
        <w:tab/>
      </w:r>
      <w:r w:rsidR="00230C4F" w:rsidRPr="00C93EA4">
        <w:t>εκφράζει την ικανοποίησή του για τη δημιουργία σχεδίου δράσης σχετικά με τη 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 το οποίο ευθυγραμμίζει τις δράσεις, διατυπώνει συστάσεις και οργανώνει ενημερωτικές και εκπαιδευτικές δράσεις για όλο το προσωπικό, προκειμένου να αποτρέπονται περιπτώσεις παρενόχλησης· σημειώνει τις περαιτέρω δράσεις που ανακοινώθηκαν, οι οποίες περιλαμβάνουν τη συνέχιση της συνεργασίας με εθνικές οργανώσεις που δραστηριοποιούνται στον τομέα της πρόληψης της βίας κατά των γυναικών, πρόσθετες πρωτοβουλίες ευαισθητοποίησης και σεμινάρια κατάρτισης που τονίζουν, ιδίως, τον αντίκτυπο των μικροεπιθέσεων και των προκαταλήψεων λόγω φύλου· εκφράζει, στο πλαίσιο αυτό, τη λύπη του για την έλλειψη υποχρεωτικής κατάρτισης για τα μέλη του ΔΕΕ, όπως αναφέρεται στις απαντήσεις του ΔΕΕ στο ερωτηματολόγιο για την απαλλαγή για το 2024· ζητεί, επομένως, να συμμετέχουν όλα τα άτομα, τόσο το προσωπικό όσο και τα μέλη του ΔΕΕ, σε υποχρεωτικά σεμινάρια κατάρτισης στον τομέα της πρόληψης της βίας κατά των γυναικών·</w:t>
      </w:r>
    </w:p>
    <w:p w14:paraId="10273DD4" w14:textId="23121F60" w:rsidR="00230C4F" w:rsidRPr="00C93EA4" w:rsidRDefault="00C93EA4" w:rsidP="00C93EA4">
      <w:pPr>
        <w:pStyle w:val="NormalHanging12a"/>
        <w:widowControl/>
      </w:pPr>
      <w:r w:rsidRPr="00C93EA4">
        <w:t>26.</w:t>
      </w:r>
      <w:r w:rsidRPr="00C93EA4">
        <w:tab/>
      </w:r>
      <w:r w:rsidR="00230C4F" w:rsidRPr="00C93EA4">
        <w:t>σημειώνει με ικανοποίηση τις ποικίλες προσπάθειες και δράσεις που αναπτύσσει το ΔΕΕ για το προσωπικό του, μεταξύ άλλων στο στάδιο των προσλήψεων, υπέρ της ισότητας, της ένταξης, του αμοιβαίου σεβασμού και της πολυμορφίας (Π&amp;Ε)· σημειώνει ειδικότερα την έναρξη, το 2024, νέου προγράμματος κατάρτισης σχετικά με την Π&amp;Ε με έμφαση στην πρόληψη των μικροεπιθέσεων και, από το 2025, δύο νέων προγραμμάτων κατάρτισης σχετικά με τον καθορισμό υγιών ορίων για τη βελτίωση των επιδόσεων και σχετικά με ένα περιβάλλον χωρίς παρενοχλήσεις, τα οποία διοργανώθηκαν σύμφωνα με τις συστάσεις της διατμηματικής ομάδας εργασίας του ΔΕΕ για τη Σύμβαση της Κωνσταντινούπολης· σημειώνει με ικανοποίηση τα εξατομικευμένα μέτρα στήριξης του ΔΕΕ (σχετικά με τα καθήκοντα, τις ώρες εργασίας και τους χώρους εργασίας), από το 2022, για το προσωπικό με αναπηρία, τη συμμετοχή του θεσμικού οργάνου στην εβδομάδα ευαισθητοποίησης σχετικά με την αναπηρία που διοργανώθηκε το 2024, και την ανάπτυξη, από το 2025, πιλοτικού προγράμματος για ασκούμενους με αναπηρία· καλεί το ΔΕΕ να ενημερώσει την αρμόδια για την απαλλαγή αρχή σχετικά με το αποτέλεσμα αυτού του τελευταίου προγράμματος·</w:t>
      </w:r>
    </w:p>
    <w:p w14:paraId="4C7B9F3E" w14:textId="1E2596AD" w:rsidR="00230C4F" w:rsidRPr="00C93EA4" w:rsidRDefault="00C93EA4" w:rsidP="00C93EA4">
      <w:pPr>
        <w:pStyle w:val="NormalHanging12a"/>
        <w:widowControl/>
      </w:pPr>
      <w:r w:rsidRPr="00C93EA4">
        <w:t>27.</w:t>
      </w:r>
      <w:r w:rsidRPr="00C93EA4">
        <w:tab/>
      </w:r>
      <w:r w:rsidR="00230C4F" w:rsidRPr="00C93EA4">
        <w:t>εκφράζει την ικανοποίησή του για το γεγονός ότι όλες οι εθνικότητες της Ένωσης εκπροσωπούνται στο προσωπικό του ΔΕΕ· σημειώνει, ωστόσο, ότι ορισμένες εθνικότητες εκπροσωπούνται περισσότερο από άλλες, ενώ ορισμένες από αυτές υπερεκπροσωπούνται σε μεγάλο βαθμό· υποστηρίζει το ΔΕΕ στην εντατικοποίηση των προσπαθειών του για την όσο το δυνατόν ευρύτερη δημοσίευση των προκηρύξεων κενών θέσεων μέσω διοργανικών ιστοτόπων, μέσων κοινωνικής δικτύωσης και της EPSO· σημειώνει, με βάση την έκθεση παρακολούθησης, τη δέσμευση του ΔΕΕ να αναλύσει τα σχετικά δεδομένα για την υλοποίηση στοχευμένων δράσεων που αποσκοπούν στη βελτίωση της γεωγραφικής εκπροσώπησης του προσωπικού του, συμπεριλαμβανομένων των ασκούμενων· εκφράζει την ικανοποίησή του για τις προσπάθειες του ΔΕΕ να αυξήσει την ενημέρωση για τα προγράμματα πρακτικής άσκησης μεταξύ των εθνικών διοικήσεων και των μόνιμων αντιπροσωπειών των υποεκπροσωπούμενων κρατών μελών·  σημειώνει με ικανοποίηση ότι, όσον αφορά την πρακτική άσκηση στο πλαίσιο του Ευρωπαϊκού Δικτύου Κατάρτισης Δικαστικών (ΕΔΚΔ), το ΔΕΕ έλαβε το 2024 αιτήσεις από τρία νέα κράτη μέλη που συμμετείχαν για πρώτη φορά στο μακροπρόθεσμο πρόγραμμα κατάρτισης που διαθέτει για τους επαγγελματίες του τομέα της δικαιοσύνης σε εθνικό επίπεδο·</w:t>
      </w:r>
    </w:p>
    <w:p w14:paraId="3D98F453" w14:textId="3D0C5BAB" w:rsidR="00230C4F" w:rsidRPr="00C93EA4" w:rsidRDefault="00C93EA4" w:rsidP="00C93EA4">
      <w:pPr>
        <w:pStyle w:val="NormalHanging12a"/>
        <w:widowControl/>
      </w:pPr>
      <w:r w:rsidRPr="00C93EA4">
        <w:t>28.</w:t>
      </w:r>
      <w:r w:rsidRPr="00C93EA4">
        <w:tab/>
      </w:r>
      <w:r w:rsidR="00230C4F" w:rsidRPr="00C93EA4">
        <w:t>επαινεί τις δράσεις του ΔΕΕ στον τομέα της (νομικής) πολυγλωσσίας το 2024, όπως η ολοκλήρωση και η έναρξη λειτουργίας ενός ιστοτόπου για την πολυγλωσσία, η συνδιοργάνωση της πρώτης έκδοσης θερινού σχολείου από κοινού με άλλα θεσμικά όργανα της Ένωσης, η στενή συνεργασία με τα κράτη μέλη για την ανάπτυξη μιας δεξαμενής εξωτερικών εμπειρογνωμόνων με σκοπό την αντιμετώπιση της αύξησης του όγκου των μεταφράσεων και την κάλυψη κάθε γλωσσικού συνδυασμού, οι δράσεις ενημέρωσης για την αγορά εξωτερικών συνεργατών και η συνεχής αναβάθμιση των διαδικασιών και των δεξιοτήτων σχετικά με τη χρήση ψηφιακών εργαλείων (συμπεριλαμβανομένης της ΤΝ) για τη μετάφραση·</w:t>
      </w:r>
    </w:p>
    <w:p w14:paraId="2FE1F616" w14:textId="0FC6147B" w:rsidR="00230C4F" w:rsidRPr="00C93EA4" w:rsidRDefault="00C93EA4" w:rsidP="00C93EA4">
      <w:pPr>
        <w:pStyle w:val="NormalHanging12a"/>
        <w:widowControl/>
      </w:pPr>
      <w:r w:rsidRPr="00C93EA4">
        <w:t>29.</w:t>
      </w:r>
      <w:r w:rsidRPr="00C93EA4">
        <w:tab/>
      </w:r>
      <w:r w:rsidR="00230C4F" w:rsidRPr="00C93EA4">
        <w:t>συγχαίρει το ΔΕΕ για τις δράσεις του με σκοπό την αντιμετώπιση των προκλήσεων όσον αφορά τις προσλήψεις προσωπικού και την προώθηση του Λουξεμβούργου μεταξύ των νέων αποφοίτων ως τόπου εργασίας· σημειώνει με ικανοποίηση τη συμβολή του ΔΕΕ στη θέσπιση και την εφαρμογή επιδόματος στέγασης που καταβάλλεται με αναδρομική ισχύ από την 1η Ιανουαρίου 2025 στο προσωπικό χαμηλότερων βαθμών, στην προετοιμασία διαγωνισμών της EPSO που απευθύνονται ειδικά στο προσωπικό που πρόκειται να απασχοληθεί στο Λουξεμβούργο, καθώς και σε ενημερωτικές συνεδρίες και θερινά σχολεία· ενθαρρύνει την εντατικοποίηση της συνεργασίας με την EPSO και άλλα θεσμικά όργανα για τη διεύρυνση της δεξαμενής υποψηφίων με τα κατάλληλα προσόντα και την ενίσχυση των ανταγωνιστικών διαδικασιών επιλογής σε εξειδικευμένους τομείς· σημειώνει, με βάση την έκθεση παρακολούθησης, ότι το ΔΕΕ υλοποίησε πιλοτικά, για λογαριασμό της διοργανικής ομάδας υψηλού επιπέδου, ένα έργο/μια έρευνα για να διαπιστώσει εάν θα ήταν εφικτή η σύναψη συμβάσεων για υπηρεσίες μίσθωσης προσωρινής στέγασης (δηλαδή για μέγιστη περίοδο ενός έτους), σε αγοραία τιμή (ή χαμηλότερη) που θα καταβάλλεται απευθείας από τα μέλη του προσωπικού· σημειώνει περαιτέρω ότι η έρευνα ήταν επιτυχής και ότι, στη συνέχεια, η ομάδα εργασίας υπέβαλε συμφωνία επιπέδου υπηρεσιών στα συμμετέχοντα θεσμικά όργανα για να αναθέσει στο ΔΕΕ να διεξαγάγει διαδικασία διαπραγμάτευσης ακινήτων με οντότητες που έχουν υποβάλει κατάλληλα έργα· καλεί το ΔΕΕ να τηρεί ενήμερη την αρμόδια για την απαλλαγή αρχή σχετικά με τη συνέχεια που θα δοθεί στο θέμα αυτό·</w:t>
      </w:r>
    </w:p>
    <w:p w14:paraId="0AAA6CFB" w14:textId="76BEC630" w:rsidR="00230C4F" w:rsidRPr="00C93EA4" w:rsidRDefault="00C93EA4" w:rsidP="00C93EA4">
      <w:pPr>
        <w:pStyle w:val="NormalHanging12a"/>
        <w:widowControl/>
      </w:pPr>
      <w:r w:rsidRPr="00C93EA4">
        <w:t>30.</w:t>
      </w:r>
      <w:r w:rsidRPr="00C93EA4">
        <w:tab/>
      </w:r>
      <w:r w:rsidR="00230C4F" w:rsidRPr="00C93EA4">
        <w:t>σημειώνει ότι το ΔΕΕ προσέλαβε 201 ασκούμενους στο πλαίσιο του γενικού προγράμματος (αμειβόμενης) πρακτικής άσκησης· σημειώνει περαιτέρω ότι το 34 % των αρχικά επιλεχθέντων υποψηφίων απέρριψαν την προσφορά του ΔΕΕ, αφού συνειδητοποίησαν το υψηλό κόστος ζωής του Λουξεμβούργου</w:t>
      </w:r>
      <w:bookmarkStart w:id="8" w:name="_Hlk215138302"/>
      <w:r w:rsidR="00230C4F" w:rsidRPr="00C93EA4">
        <w:t xml:space="preserve">· τονίζει εκ νέου ότι η πρακτική άσκηση θα πρέπει να αμείβεται σύμφωνα με το ψήφισμα του Κοινοβουλίου της 14ης Ιουνίου 2023 για ποιοτικές θέσεις πρακτικής άσκησης στην Ένωση (2020/2005(INL)), στο οποίο διατυπώνεται το αίτημα να αμείβονται όλοι οι ασκούμενοι στην Ένωση· </w:t>
      </w:r>
      <w:bookmarkEnd w:id="8"/>
      <w:r w:rsidR="00230C4F" w:rsidRPr="00C93EA4">
        <w:t>εκφράζει την ικανοποίησή του για το γεγονός ότι επί του παρόντος όλοι οι ασκούμενοι στο ΔΕΕ λαμβάνουν επιχορήγηση κατά τη διάρκεια της διαμονής τους, κυρίως από το ΔΕΕ και, σε ορισμένες ειδικές περιπτώσεις, από άλλες πηγές· σημειώνει ότι το ΔΕΕ δέχεται μόνο λίγους ασκούμενους (επτά το 2024) που αμείβονται από άλλες πηγές, και για περιόδους μικρής διάρκειας·</w:t>
      </w:r>
    </w:p>
    <w:p w14:paraId="47239B7F" w14:textId="44DD3ECB" w:rsidR="00230C4F" w:rsidRPr="00C93EA4" w:rsidRDefault="00C93EA4" w:rsidP="00C93EA4">
      <w:pPr>
        <w:pStyle w:val="NormalHanging12a"/>
        <w:widowControl/>
      </w:pPr>
      <w:r w:rsidRPr="00C93EA4">
        <w:t>31.</w:t>
      </w:r>
      <w:r w:rsidRPr="00C93EA4">
        <w:tab/>
      </w:r>
      <w:r w:rsidR="00230C4F" w:rsidRPr="00C93EA4">
        <w:t xml:space="preserve">σημειώνει ότι το 2024 καταγράφηκαν 17 περιπτώσεις επαγγελματικής εξουθένωσης, από τις οποίες οκτώ νέες περιπτώσεις αναφέρθηκαν το 2024 και εννέα περιπτώσεις αναφέρθηκαν το 2023, ενώ τα εν λόγω μέλη του προσωπικού έλαβαν επαγγελματική υποστήριξη και καθοδήγηση· σημειώνει με ικανοποίηση ότι, το 2024, το ΔΕΕ παρέμεινε πρωτοπόρος σε πρωτοβουλίες που προάγουν τη σωματική και ψυχική ευεξία του προσωπικού και αντιμετωπίζουν την επαγγελματική εξουθένωση και τους ψυχοκοινωνικούς κινδύνους, όπως συνεδρίες με κοινωνικό λειτουργό ή ψυχολόγο, διαλέξεις σχετικά με την </w:t>
      </w:r>
      <w:proofErr w:type="spellStart"/>
      <w:r w:rsidR="00230C4F" w:rsidRPr="00C93EA4">
        <w:t>ενσυνειδητότητα</w:t>
      </w:r>
      <w:proofErr w:type="spellEnd"/>
      <w:r w:rsidR="00230C4F" w:rsidRPr="00C93EA4">
        <w:t xml:space="preserve"> και την ψηφιακή ισορροπία, εξειδικευμένα εργαστήρια και δραστηριότητες ευαισθητοποίησης σε θέματα υγείας, σεμινάρια κατάρτισης στις πρώτες βοήθειες και πρόσληψη δύο ψυχολόγων μερικής απασχόλησης· αναγνωρίζει την επιτυχία όσον αφορά τη χρήση ευέλικτων ρυθμίσεων εργασίας, συμπεριλαμβανομένου του συστήματος τηλεργασίας του ΔΕΕ, με απώτερη επιδίωξη την καλύτερη ισορροπία μεταξύ επαγγελματικής και προσωπικής ζωής του προσωπικού·</w:t>
      </w:r>
    </w:p>
    <w:p w14:paraId="3C112776" w14:textId="571B140E" w:rsidR="00230C4F" w:rsidRPr="00C93EA4" w:rsidRDefault="00C93EA4" w:rsidP="00C93EA4">
      <w:pPr>
        <w:pStyle w:val="NormalHanging12a"/>
        <w:widowControl/>
      </w:pPr>
      <w:r w:rsidRPr="00C93EA4">
        <w:t>32.</w:t>
      </w:r>
      <w:r w:rsidRPr="00C93EA4">
        <w:tab/>
      </w:r>
      <w:r w:rsidR="00230C4F" w:rsidRPr="00C93EA4">
        <w:t>σημειώνει ότι το 2023 δρομολογήθηκε διοικητική έρευνα σχετικά με εικαζόμενη υπόθεση σεξουαλικής παρενόχλησης που αφορούσε μέλος του προσωπικού και ότι η υπόθεση αυτή περατώθηκε το 2024 με επιβολή ποινής· σημειώνει ότι το 2024 δεν κινήθηκε καμία νέα διοικητική έρευνα σχετικά με παρενόχληση·</w:t>
      </w:r>
    </w:p>
    <w:p w14:paraId="7923A8EA" w14:textId="77777777" w:rsidR="00230C4F" w:rsidRPr="00C93EA4" w:rsidRDefault="00230C4F" w:rsidP="00156777">
      <w:pPr>
        <w:pStyle w:val="NormalHanging12a"/>
        <w:widowControl/>
        <w:rPr>
          <w:b/>
          <w:i/>
          <w:iCs/>
        </w:rPr>
      </w:pPr>
      <w:r w:rsidRPr="00C93EA4">
        <w:rPr>
          <w:b/>
          <w:i/>
          <w:iCs/>
        </w:rPr>
        <w:t>Δεοντολογικό πλαίσιο, διαφάνεια και πρόσβαση των πολιτών στη δικαιοσύνη</w:t>
      </w:r>
    </w:p>
    <w:p w14:paraId="68140B0C" w14:textId="26459969" w:rsidR="00230C4F" w:rsidRPr="00C93EA4" w:rsidRDefault="00C93EA4" w:rsidP="00C93EA4">
      <w:pPr>
        <w:pStyle w:val="NormalHanging12a"/>
        <w:widowControl/>
      </w:pPr>
      <w:r w:rsidRPr="00C93EA4">
        <w:t>33.</w:t>
      </w:r>
      <w:r w:rsidRPr="00C93EA4">
        <w:tab/>
      </w:r>
      <w:r w:rsidR="00230C4F" w:rsidRPr="00C93EA4">
        <w:t>σημειώνει ότι, όπως ζητήθηκε σε προηγούμενες συστάσεις απαλλαγής, τον Μάρτιο του 2024 εγκρίθηκε ο νέος κώδικας δεοντολογίας για τους υπαλλήλους και το λοιπό προσωπικό του ΔΕΕ, ο οποίος αντικατοπτρίζει τις αξίες και την προσήλωση του ΔΕΕ σε υψηλά δεοντολογικά πρότυπα, και σημειώνει ότι ο κώδικας δεοντολογίας περιλαμβάνει διατάξεις σχετικά με τη σύγκρουση συμφερόντων, το καθήκον πίστης, το καθήκον εμπιστευτικότητας και εχεμύθειας, τις εξωτερικές δραστηριότητες, τις επαγγελματικές δραστηριότητες μετά την αποχώρηση από την υπηρεσία και τις δημοσιεύσεις, τις διατάξεις κατά της παρενόχλησης, και ισχύει επίσης για τους αποσπασμένους εθνικούς εμπειρογνώμονες και τους ασκούμενους δικαστές που φιλοξενούνται στο πλαίσιο του ΕΔΚΔ· σημειώνει με ικανοποίηση ότι το ΔΕΕ έχει θέσει σε εφαρμογή όλες τις δράσεις ενημέρωσης και κατάρτισης που απαιτούνται προκειμένου να παρουσιάσει και να εξηγήσει τον κώδικα δεοντολογίας όσο το δυνατόν ευρύτερα, καθώς και προκειμένου το προσωπικό να κατανοήσει πλήρως τους νέους κανόνες και το ευρύτερο νομικό πλαίσιο στο οποίο εντάσσονται, και ότι η κατάρτιση σχετικά με τον κώδικα δεοντολογίας και τα δικαιώματα και τις υποχρεώσεις του προσωπικού είναι υποχρεωτική για τους νεοπροσληφθέντες και συνιστάται θερμά σε όλο το προσωπικό του ΔΕΕ, ενώ συνολικά 561 άτομα (δηλαδή το 24,75 % του συνολικού αριθμού μόνιμων και λοιπών υπαλλήλων του ΔΕΕ) συμμετείχαν σε τέτοια προγράμματα κατάρτισης το 2024· σημειώνει περαιτέρω ότι παρόμοια κατάρτιση προσφέρθηκε επίσης σε νέα μέλη του ΔΕΕ το 2024· σημειώνει με ικανοποίηση το δίκτυο «εμπιστευτικών συμβούλων» του ΔΕΕ που βοηθούν τα μέλη του προσωπικού σε περίπτωση παρενόχλησης, καθώς και το πρόγραμμα διαχείρισης ταλέντων που προσφέρεται σε διοικητικά στελέχη υψηλού δυναμικού, το οποίο καλύπτει, μεταξύ άλλων, τη δεοντολογική ηγεσία· ενθαρρύνει το ΔΕΕ να ενισχύσει σταδιακά την παροχή κατάρτισης σχετικά με τον κώδικα δεοντολογίας σε όλα ανεξαιρέτως τα μέλη του προσωπικού, ώστε να διασφαλιστεί η κοινή κατανόηση των δεοντολογικών προτύπων σε ολόκληρο το θεσμικό όργανο·</w:t>
      </w:r>
    </w:p>
    <w:p w14:paraId="63F8B6E1" w14:textId="60BBF8D3" w:rsidR="00230C4F" w:rsidRPr="00C93EA4" w:rsidRDefault="00C93EA4" w:rsidP="00C93EA4">
      <w:pPr>
        <w:pStyle w:val="NormalHanging12a"/>
        <w:widowControl/>
      </w:pPr>
      <w:r w:rsidRPr="00C93EA4">
        <w:t>34.</w:t>
      </w:r>
      <w:r w:rsidRPr="00C93EA4">
        <w:tab/>
      </w:r>
      <w:r w:rsidR="00230C4F" w:rsidRPr="00C93EA4">
        <w:t>σημειώνει ότι, σε συνέχεια της έγκρισης του κώδικα δεοντολογίας για τα μέλη και τα πρώην μέλη του ΔΕΕ, η δήλωση συμφερόντων των μελών του ΔΕΕ έχει δημοσιευθεί στο διαδίκτυο, ώστε να αποφευχθεί τυχόν σύγκρουση συμφερόντων κατά τον χειρισμό υποθέσεων· σημειώνει με ικανοποίηση, με βάση την έκθεση παρακολούθησης, ότι το 2024 το ΔΕΕ υπέγραψε τη συμφωνία για τη σύσταση του διοργανικού «φορέα δεοντολογίας της ΕΕ», στα καθήκοντα του οποίου περιλαμβάνεται η κατάρτιση κοινών ελάχιστων προτύπων για τη συμπεριφορά των μελών των υπογραφόντων θεσμικών οργάνων· αναγνωρίζει ότι το ΔΕΕ διατηρεί καθεστώς παρατηρητή στο εν λόγω όργανο, προκειμένου να διαφυλάσσεται η ανεξαρτησία της δικαστικής εξουσίας·</w:t>
      </w:r>
    </w:p>
    <w:p w14:paraId="578CC8AD" w14:textId="1F2EC804" w:rsidR="00230C4F" w:rsidRPr="00C93EA4" w:rsidRDefault="00C93EA4" w:rsidP="00C93EA4">
      <w:pPr>
        <w:pStyle w:val="NormalHanging12a"/>
        <w:widowControl/>
      </w:pPr>
      <w:r w:rsidRPr="00C93EA4">
        <w:t>35.</w:t>
      </w:r>
      <w:r w:rsidRPr="00C93EA4">
        <w:tab/>
      </w:r>
      <w:r w:rsidR="00230C4F" w:rsidRPr="00C93EA4">
        <w:t>παρατηρεί την ισχυρή πολιτική του για τον εντοπισμό και την πρόληψη των συγκρούσεων συμφερόντων εντός του θεσμικού οργάνου και για τη μεταπήδηση από τον δημόσιο στον ιδιωτικό τομέα, με τον νέο κώδικα δεοντολογίας να καθορίζει ειδικούς και αυστηρότερους κανόνες για τα διοικητικά στελέχη και τους εισηγητές· σημειώνει ότι το 2024 έγινε επεξεργασία τριών δηλώσεων πιθανής σύγκρουσης συμφερόντων από μέλη του προσωπικού, ενώ δεν χρειάστηκε να ληφθούν διορθωτικά μέτρα για καμία από αυτές· σημειώνει περαιτέρω ότι 57 μέλη του προσωπικού δήλωσαν το 2024 την πρόθεσή τους να εργαστούν μετά την αποχώρησή τους από το ΔΕΕ, ενώ κανένα δεν τέθηκε σε περίοδο αναμονής· σημειώνει, ωστόσο, ότι η περίοδος αναμονής για υπόθεση που υποβλήθηκε το 2023 από πρώην ανώτερο μέλος του προσωπικού συνεχίστηκε το 2024· σημειώνει ότι το 2024 δεν αναφέρθηκε καμία υπόθεση καταγγελίας δυσλειτουργιών στο ΔΕΕ·</w:t>
      </w:r>
    </w:p>
    <w:p w14:paraId="4EFB871D" w14:textId="75217267" w:rsidR="00230C4F" w:rsidRPr="00C93EA4" w:rsidRDefault="00C93EA4" w:rsidP="00C93EA4">
      <w:pPr>
        <w:pStyle w:val="NormalHanging12a"/>
        <w:widowControl/>
      </w:pPr>
      <w:r w:rsidRPr="00C93EA4">
        <w:t>36.</w:t>
      </w:r>
      <w:r w:rsidRPr="00C93EA4">
        <w:tab/>
      </w:r>
      <w:r w:rsidR="00230C4F" w:rsidRPr="00C93EA4">
        <w:t>σημειώνει, με βάση την έκθεση παρακολούθησης, ότι η πολιτική εξαίρεσης δικαστών σε περιπτώσεις πραγματικής ή φαινομενικής σύγκρουσης συμφερόντων είναι ήδη υποχρεωτική και ότι το ΔΕΕ βασίζεται σε δοκιμασμένο μηχανισμό για την πρόληψη των συγκρούσεων συμφερόντων, ενώ ο εν λόγω μηχανισμός καλύπτει τη διαδικασία επιλογής των μελών του ΔΕΕ και παράγει πλήρη αποτελέσματα κατά την ανάληψη των καθηκόντων τους·</w:t>
      </w:r>
    </w:p>
    <w:p w14:paraId="227B3D74" w14:textId="49379A26" w:rsidR="00230C4F" w:rsidRPr="00C93EA4" w:rsidRDefault="00C93EA4" w:rsidP="00C93EA4">
      <w:pPr>
        <w:pStyle w:val="NormalHanging12a"/>
        <w:widowControl/>
      </w:pPr>
      <w:r w:rsidRPr="00C93EA4">
        <w:t>37.</w:t>
      </w:r>
      <w:r w:rsidRPr="00C93EA4">
        <w:tab/>
      </w:r>
      <w:r w:rsidR="00230C4F" w:rsidRPr="00C93EA4">
        <w:t>σημειώνει ότι, το 2024, όλα τα μέλη του ΔΕΕ διέμεναν στο Λουξεμβούργο σύμφωνα με το άρθρο 14 του Οργανισμού·</w:t>
      </w:r>
    </w:p>
    <w:p w14:paraId="6CF13D6A" w14:textId="17A5A856" w:rsidR="00230C4F" w:rsidRPr="00C93EA4" w:rsidRDefault="00C93EA4" w:rsidP="00C93EA4">
      <w:pPr>
        <w:pStyle w:val="NormalHanging12a"/>
        <w:widowControl/>
      </w:pPr>
      <w:r w:rsidRPr="00C93EA4">
        <w:t>38.</w:t>
      </w:r>
      <w:r w:rsidRPr="00C93EA4">
        <w:tab/>
      </w:r>
      <w:r w:rsidR="00230C4F" w:rsidRPr="00C93EA4">
        <w:t>σημειώνει ότι ο κατάλογος των εξωτερικών δραστηριοτήτων που ασκούνται από τα μέλη τόσο του Δικαστηρίου όσο και του Γενικού Δικαστηρίου έχει δημοσιευθεί στον ιστότοπο του ΔΕΕ από το 2018 και ότι οι δραστηριότητες αυτές εγκρίνονται μόνον εάν είναι συμβατές με τις απαιτήσεις του κώδικα δεοντολογίας των μελών του ΔΕΕ και με τις υποχρεώσεις τους να είναι διαθέσιμα για δικαστικές δραστηριότητες· εκφράζει την ικανοποίησή του, με βάση την έκθεση παρακολούθησης, για τη δέσμευση του ΔΕΕ να αναλύσει τις δυνατότητες βελτίωσης της ποιότητας και της αναγνωσιμότητας των δημοσιευμένων πληροφοριών που σχετίζονται με εξωτερικές δραστηριότητες·</w:t>
      </w:r>
    </w:p>
    <w:p w14:paraId="7DCE0723" w14:textId="171B9166" w:rsidR="00230C4F" w:rsidRPr="00C93EA4" w:rsidRDefault="00C93EA4" w:rsidP="00C93EA4">
      <w:pPr>
        <w:pStyle w:val="NormalHanging12a"/>
        <w:widowControl/>
      </w:pPr>
      <w:r w:rsidRPr="00C93EA4">
        <w:t>39.</w:t>
      </w:r>
      <w:r w:rsidRPr="00C93EA4">
        <w:tab/>
      </w:r>
      <w:r w:rsidR="00230C4F" w:rsidRPr="00C93EA4">
        <w:t>υπενθυμίζει τη σύσταση που διατύπωσε το Κοινοβούλιο το 2023 προς όλα τα θεσμικά όργανα της Ένωσης να συμφωνήσουν σε ένα ενιαίο σύστημα για τη χρήση των υπηρεσιακών οχημάτων, το οποίο θα εφαρμόζεται οριζόντια· σημειώνει, στο πλαίσιο αυτό και στην έκθεση παρακολούθησης, ότι το 2024 το ΔΕΕ, το Ελεγκτικό Συνέδριο, το Κοινοβούλιο και η Επιτροπή συγκρότησαν διοργανική ομάδα εργασίας με στόχο την ανταλλαγή πληροφοριών σχετικά με τις αντίστοιχες πρακτικές και τον προσδιορισμό τρόπων εναρμόνισης των κανόνων, με παράλληλο σεβασμό της αυτονομίας και των ιδιαιτεροτήτων κάθε θεσμικού οργάνου· υπενθυμίζει την άποψη του Κοινοβουλίου ότι ο στόλος αυτοκινήτων δεν θα πρέπει να χρησιμοποιείται σε καμία περίπτωση για σκοπούς που δεν σχετίζονται με την αυστηρή εκτέλεση των καθηκόντων των μελών του ΔΕΕ· σημειώνει περαιτέρω, με βάση την έκθεση παρακολούθησης, ότι η ομάδα εργασίας έχει προβεί σε συγκριτική αξιολόγηση του ζητήματος και εξετάζει άλλα θέματα που σχετίζονται με τη διαχείριση του στόλου αυτοκινήτων· καλεί την ομάδα εργασίας να ενεργήσει ταχέως επί του θέματος και να ενημερώσει την αρμόδια για την απαλλαγή αρχή σχετικά με το αποτέλεσμα των εργασιών και τα συμπεράσματά της το συντομότερο δυνατόν·</w:t>
      </w:r>
    </w:p>
    <w:p w14:paraId="63F4BED3" w14:textId="6F6BD6C7" w:rsidR="00230C4F" w:rsidRPr="00C93EA4" w:rsidRDefault="00C93EA4" w:rsidP="00C93EA4">
      <w:pPr>
        <w:pStyle w:val="NormalHanging12a"/>
        <w:widowControl/>
      </w:pPr>
      <w:r w:rsidRPr="00C93EA4">
        <w:t>40.</w:t>
      </w:r>
      <w:r w:rsidRPr="00C93EA4">
        <w:tab/>
      </w:r>
      <w:r w:rsidR="00230C4F" w:rsidRPr="00C93EA4">
        <w:t>σημειώνει ότι το ΔΕΕ δεν ανέφερε καμία περίπτωση απάτης, διαφθοράς ή κατάχρησης κονδυλίων της Ένωσης το 2024· σημειώνει ότι η στρατηγική του ΔΕΕ για την καταπολέμηση της απάτης αποτελεί αναπόσπαστο μέρος του ολοκληρωμένου πλαισίου εσωτερικού ελέγχου και διαχείρισης κινδύνων, με ιδιαίτερη έμφαση στους κινδύνους αθέμιτης δημοσιοποίησης πληροφοριών· σημειώνει ότι το εσωτερικό κανονιστικό του πλαίσιο περιλαμβάνει απόφαση σχετικά με τις έρευνες που αφορούν απάτη, διαφθορά ή παράνομη δραστηριότητα εις βάρος των συμφερόντων της Ένωσης, και απόφαση και κατευθυντήριες γραμμές σχετικά με την καταγγελία δυσλειτουργιών, συμπεριλαμβανομένων διατάξεων σχετικά με την ενημέρωση και την προστασία των πληροφοριοδοτών·</w:t>
      </w:r>
    </w:p>
    <w:p w14:paraId="3F49A142" w14:textId="50E80099" w:rsidR="00230C4F" w:rsidRPr="00C93EA4" w:rsidRDefault="00C93EA4" w:rsidP="00C93EA4">
      <w:pPr>
        <w:pStyle w:val="NormalHanging12a"/>
        <w:widowControl/>
      </w:pPr>
      <w:r w:rsidRPr="00C93EA4">
        <w:t>41.</w:t>
      </w:r>
      <w:r w:rsidRPr="00C93EA4">
        <w:tab/>
      </w:r>
      <w:r w:rsidR="00230C4F" w:rsidRPr="00C93EA4">
        <w:t xml:space="preserve">εκφράζει την ικανοποίησή του για τη δέσμευση του ΔΕΕ να ενισχύσει τη διαφάνεια, την πρόσβαση στη δικαιοσύνη και την ανοικτή πρόσβαση του κοινού, συμβάλλοντας έτσι στην ενίσχυση της εμπιστοσύνης του κοινού στα θεσμικά όργανα της Ένωσης, εξισορροπώντας παράλληλα άλλες θεμελιώδεις ανησυχίες, όπως η ομαλή διεξαγωγή και η εμπιστευτικότητα των δικαστικών διαδικασιών, καθώς και η προστασία των δεδομένων προσωπικού χαρακτήρα· τονίζει ότι η αυξημένη διαφάνεια πρέπει επίσης να συμβάλει στην ενίσχυση της εμπιστοσύνης του κοινού στη νομολογία του ΔΕΕ· ενθαρρύνει το ΔΕΕ να συνεχίσει τις προσπάθειες για τη βελτίωση της σαφήνειας, της προσβασιμότητας και της προβλεψιμότητας της νομολογίας του, ιδίως σε υποθέσεις με σημαντικό συνταγματικό ή κοινωνικό αντίκτυπο· σημειώνει ότι, το 2024, το ΔΕΕ ενοποίησε την υπηρεσία συνεχούς ροής για τις ακροάσεις του Δικαστηρίου και του Γενικού Δικαστηρίου στον ιστότοπο </w:t>
      </w:r>
      <w:proofErr w:type="spellStart"/>
      <w:r w:rsidR="00230C4F" w:rsidRPr="00C93EA4">
        <w:t>Curia</w:t>
      </w:r>
      <w:proofErr w:type="spellEnd"/>
      <w:r w:rsidR="00230C4F" w:rsidRPr="00C93EA4">
        <w:t>, διευκολύνοντας έτσι την πρόσβαση των πολιτών στις δικαστικές δραστηριότητες του ΔΕΕ· επικροτεί, στο πλαίσιο αυτό, ως αποτέλεσμα της δικαστικής μεταρρύθμισης που εγκρίθηκε το 2024, την αυξημένη διαφάνεια της διαδικασίας έκδοσης προδικαστικής απόφασης, επιτρέποντας τη δημοσίευση γραπτών παρατηρήσεων στον ιστότοπο του ΔΕΕ εντός εύλογου χρονικού διαστήματος μετά την περάτωση της υπόθεσης·</w:t>
      </w:r>
    </w:p>
    <w:p w14:paraId="06BC3D71" w14:textId="532516C9" w:rsidR="00230C4F" w:rsidRPr="00C93EA4" w:rsidRDefault="00C93EA4" w:rsidP="00C93EA4">
      <w:pPr>
        <w:pStyle w:val="NormalHanging12a"/>
        <w:widowControl/>
      </w:pPr>
      <w:r w:rsidRPr="00C93EA4">
        <w:t>42.</w:t>
      </w:r>
      <w:r w:rsidRPr="00C93EA4">
        <w:tab/>
      </w:r>
      <w:r w:rsidR="00230C4F" w:rsidRPr="00C93EA4">
        <w:t>σημειώνει με ικανοποίηση, με βάση την έκθεση παρακολούθησης, ότι, μετά από ένα επιτυχημένο πιλοτικό έργο που δρομολογήθηκε το 2022 και την επικαιροποίηση του εσωτερικού κανονισμού του το 2024, το Δικαστήριο επέκτεινε την υπηρεσία μετάδοσης συνεχούς ροής ώστε να συμπεριλάβει σημαντικές υποθέσεις που εκδικάζονται από πενταμελές τμήμα, καθώς και τη σχεδόν ζωντανή μετάδοση συνεχούς ροής των αγορεύσεων και τις ζωντανές μεταδόσεις της έκδοσης αποφάσεων και των προτάσεων των γενικών εισαγγελέων· σημειώνει περαιτέρω ότι, από την 1η Σεπτεμβρίου 2024, οι βιντεοσκοπήσεις των ακροάσεων για την έκδοση αποφάσεων και προτάσεων παραμένουν μόνιμα διαθέσιμες στον ιστότοπο του ΔΕΕ και οι βιντεοσκοπήσεις των προφορικών ισχυρισμών είναι προσβάσιμες επί έναν μήνα μετά την ακρόαση· σημειώνει με ικανοποίηση ότι το Γενικό Δικαστήριο έχει λάβει παρόμοια μέτρα για να διασφαλίσει διευρυμένη πρόσβαση του κοινού στις διαδικασίες του·</w:t>
      </w:r>
    </w:p>
    <w:p w14:paraId="7E8DD111" w14:textId="4B5D3E1F" w:rsidR="00230C4F" w:rsidRPr="00C93EA4" w:rsidRDefault="00C93EA4" w:rsidP="00C93EA4">
      <w:pPr>
        <w:pStyle w:val="NormalHanging12a"/>
        <w:widowControl/>
      </w:pPr>
      <w:r w:rsidRPr="00C93EA4">
        <w:t>43.</w:t>
      </w:r>
      <w:r w:rsidRPr="00C93EA4">
        <w:tab/>
      </w:r>
      <w:r w:rsidR="00230C4F" w:rsidRPr="00C93EA4">
        <w:t>σημειώνει ότι το ΔΕΕ καταχώρισε 20 αιτήματα πρόσβασης του κοινού σε διοικητικά έγγραφα το 2024 και χορήγησε πρόσβαση σε διοικητικά έγγραφα σε 15 περιπτώσεις· σημειώνει ότι ο Ευρωπαίος Διαμεσολαβητής δεν χειρίστηκε καμία υπόθεση που να αφορά το ΔΕΕ·</w:t>
      </w:r>
    </w:p>
    <w:p w14:paraId="219A8226" w14:textId="77777777" w:rsidR="00230C4F" w:rsidRPr="00C93EA4" w:rsidRDefault="00230C4F" w:rsidP="00156777">
      <w:pPr>
        <w:pStyle w:val="NormalHanging12a"/>
        <w:widowControl/>
        <w:rPr>
          <w:b/>
          <w:i/>
          <w:iCs/>
        </w:rPr>
      </w:pPr>
      <w:r w:rsidRPr="00C93EA4">
        <w:rPr>
          <w:b/>
          <w:i/>
          <w:iCs/>
        </w:rPr>
        <w:t>Ψηφιοποίηση, κυβερνοασφάλεια και προστασία δεδομένων</w:t>
      </w:r>
    </w:p>
    <w:p w14:paraId="3F7FA0C8" w14:textId="024FD2F9" w:rsidR="00230C4F" w:rsidRPr="00C93EA4" w:rsidRDefault="00C93EA4" w:rsidP="00C93EA4">
      <w:pPr>
        <w:widowControl/>
        <w:spacing w:after="240"/>
        <w:ind w:left="567" w:hanging="567"/>
      </w:pPr>
      <w:r w:rsidRPr="00C93EA4">
        <w:t>44.</w:t>
      </w:r>
      <w:r w:rsidRPr="00C93EA4">
        <w:tab/>
      </w:r>
      <w:r w:rsidR="00230C4F" w:rsidRPr="00C93EA4">
        <w:t>σημειώνει ότι το 2024, σε σύγκριση με το 2023, οι δαπάνες του προϋπολογισμού μειώθηκαν κατά 9 % για έργα ΤΠ και κατά 69 % για έργα κυβερνοασφάλειας, ενώ αυξήθηκαν κατά 16 % για εξοπλισμό ΤΠ και κατά 2 % για υπηρεσίες, άδειες και εξοπλισμό κυβερνοασφάλειας· παρατηρεί ότι η σημαντική μείωση των έργων ΤΠ οφείλεται στο γεγονός ότι ορισμένα έργα κυβερνοασφάλειας έχουν εισέλθει στην επιχειρησιακή φάση το 2024 και, ως εκ τούτου, οι σχετικές δαπάνες περιλαμβάνονται στον προϋπολογισμό τυπικής λειτουργίας·</w:t>
      </w:r>
    </w:p>
    <w:p w14:paraId="1E47DC3E" w14:textId="54BA2734" w:rsidR="00230C4F" w:rsidRPr="00C93EA4" w:rsidRDefault="00C93EA4" w:rsidP="00C93EA4">
      <w:pPr>
        <w:widowControl/>
        <w:spacing w:after="240"/>
        <w:ind w:left="567" w:hanging="567"/>
      </w:pPr>
      <w:r w:rsidRPr="00C93EA4">
        <w:t>45.</w:t>
      </w:r>
      <w:r w:rsidRPr="00C93EA4">
        <w:tab/>
      </w:r>
      <w:r w:rsidR="00230C4F" w:rsidRPr="00C93EA4">
        <w:t>συγχαίρει το ΔΕΕ για την πρόοδο που σημείωσε σε διάφορα ψηφιακά έργα το 2024, όπως η ανάπτυξη του αναβαθμισμένου προγράμματος SIGA για την ολοκληρωμένη διαχείριση δεδομένων και υποθέσεων, η αυξημένη και βελτιωμένη χρήση της εφαρμογής HAN/</w:t>
      </w:r>
      <w:proofErr w:type="spellStart"/>
      <w:r w:rsidR="00230C4F" w:rsidRPr="00C93EA4">
        <w:t>Ares</w:t>
      </w:r>
      <w:proofErr w:type="spellEnd"/>
      <w:r w:rsidR="00230C4F" w:rsidRPr="00C93EA4">
        <w:t xml:space="preserve"> (ηλεκτρονικό σύστημα καταχώρισης και διαχείρισης εγγράφων του ΔΕΕ), η εφαρμογή του EU </w:t>
      </w:r>
      <w:proofErr w:type="spellStart"/>
      <w:r w:rsidR="00230C4F" w:rsidRPr="00C93EA4">
        <w:t>Sign</w:t>
      </w:r>
      <w:proofErr w:type="spellEnd"/>
      <w:r w:rsidR="00230C4F" w:rsidRPr="00C93EA4">
        <w:t xml:space="preserve"> (σύστημα ψηφιακής υπογραφής) και η αναδιαμόρφωση τόσο του ιστότοπου </w:t>
      </w:r>
      <w:proofErr w:type="spellStart"/>
      <w:r w:rsidR="00230C4F" w:rsidRPr="00C93EA4">
        <w:t>Curia</w:t>
      </w:r>
      <w:proofErr w:type="spellEnd"/>
      <w:r w:rsidR="00230C4F" w:rsidRPr="00C93EA4">
        <w:t xml:space="preserve"> όσο και του εργαλείου αναζήτησης </w:t>
      </w:r>
      <w:proofErr w:type="spellStart"/>
      <w:r w:rsidR="00230C4F" w:rsidRPr="00C93EA4">
        <w:t>InfoCuria</w:t>
      </w:r>
      <w:proofErr w:type="spellEnd"/>
      <w:r w:rsidR="00230C4F" w:rsidRPr="00C93EA4">
        <w:t>· αναγνωρίζει ότι είναι σημαντικό να αυξηθεί η χρήση της εφαρμογής e-</w:t>
      </w:r>
      <w:proofErr w:type="spellStart"/>
      <w:r w:rsidR="00230C4F" w:rsidRPr="00C93EA4">
        <w:t>Curia</w:t>
      </w:r>
      <w:proofErr w:type="spellEnd"/>
      <w:r w:rsidR="00230C4F" w:rsidRPr="00C93EA4">
        <w:t xml:space="preserve"> για την κατάθεση και την κοινοποίηση διαδικαστικών εγγράφων με ηλεκτρονικά μέσα·</w:t>
      </w:r>
    </w:p>
    <w:p w14:paraId="45D90A38" w14:textId="7F179FD0" w:rsidR="00230C4F" w:rsidRPr="00C93EA4" w:rsidRDefault="00C93EA4" w:rsidP="00C93EA4">
      <w:pPr>
        <w:widowControl/>
        <w:spacing w:after="240"/>
        <w:ind w:left="567" w:hanging="567"/>
      </w:pPr>
      <w:r w:rsidRPr="00C93EA4">
        <w:t>46.</w:t>
      </w:r>
      <w:r w:rsidRPr="00C93EA4">
        <w:tab/>
      </w:r>
      <w:r w:rsidR="00230C4F" w:rsidRPr="00C93EA4">
        <w:t>σημειώνει ότι το ΔΕΕ συνέχισε να αυτοματοποιεί τις διαδικασίες του με τη χρήση, από το 2024, ρομποτικού λογισμικού για την επεξεργασία επαναλαμβανόμενων εργασιών, όπως η απομαγνητοφώνηση ακροάσεων και η πληρωμή τιμολογίων· αναμένει ότι η εφαρμογή λύσεων ρομποτικής αυτοματοποίησης διαδικασιών θα συμβάλει στη βελτιστοποίηση των πόρων σε ολόκληρο το ΔΕΕ· αναγνωρίζει τη σημασία της διοργανικής συνεργασίας προς όφελος του ΔΕΕ όσον αφορά τη βελτίωση της αποδοτικότητας που προκύπτει από τη χρήση μειζόνων συστημάτων ΤΠ για τη διαχείριση εγγράφων και αρχείων (HAN/</w:t>
      </w:r>
      <w:proofErr w:type="spellStart"/>
      <w:r w:rsidR="00230C4F" w:rsidRPr="00C93EA4">
        <w:t>Ares</w:t>
      </w:r>
      <w:proofErr w:type="spellEnd"/>
      <w:r w:rsidR="00230C4F" w:rsidRPr="00C93EA4">
        <w:t>), ανθρώπινων πόρων (</w:t>
      </w:r>
      <w:proofErr w:type="spellStart"/>
      <w:r w:rsidR="00230C4F" w:rsidRPr="00C93EA4">
        <w:t>Sysper</w:t>
      </w:r>
      <w:proofErr w:type="spellEnd"/>
      <w:r w:rsidR="00230C4F" w:rsidRPr="00C93EA4">
        <w:t xml:space="preserve"> και </w:t>
      </w:r>
      <w:proofErr w:type="spellStart"/>
      <w:r w:rsidR="00230C4F" w:rsidRPr="00C93EA4">
        <w:t>Staff</w:t>
      </w:r>
      <w:proofErr w:type="spellEnd"/>
      <w:r w:rsidR="00230C4F" w:rsidRPr="00C93EA4">
        <w:t xml:space="preserve"> </w:t>
      </w:r>
      <w:proofErr w:type="spellStart"/>
      <w:r w:rsidR="00230C4F" w:rsidRPr="00C93EA4">
        <w:t>Matters</w:t>
      </w:r>
      <w:proofErr w:type="spellEnd"/>
      <w:r w:rsidR="00230C4F" w:rsidRPr="00C93EA4">
        <w:t>), τη διαχείριση οικονομικών αρχείων (SAP) και άλλων συστημάτων της Επιτροπής (που βασίζονται στην ΤΝ), για παράδειγμα για τις μεταφραστικές υπηρεσίες (</w:t>
      </w:r>
      <w:proofErr w:type="spellStart"/>
      <w:r w:rsidR="00230C4F" w:rsidRPr="00C93EA4">
        <w:t>eTranslation</w:t>
      </w:r>
      <w:proofErr w:type="spellEnd"/>
      <w:r w:rsidR="00230C4F" w:rsidRPr="00C93EA4">
        <w:t>)·</w:t>
      </w:r>
    </w:p>
    <w:p w14:paraId="3269DC10" w14:textId="1C89C22C" w:rsidR="00230C4F" w:rsidRPr="00C93EA4" w:rsidRDefault="00C93EA4" w:rsidP="00C93EA4">
      <w:pPr>
        <w:widowControl/>
        <w:spacing w:after="240"/>
        <w:ind w:left="567" w:hanging="567"/>
      </w:pPr>
      <w:r w:rsidRPr="00C93EA4">
        <w:t>47.</w:t>
      </w:r>
      <w:r w:rsidRPr="00C93EA4">
        <w:tab/>
      </w:r>
      <w:r w:rsidR="00230C4F" w:rsidRPr="00C93EA4">
        <w:t>σημειώνει με ενδιαφέρον τη δρομολόγηση, το 2024, πιλοτικού έργου που παρέχει σε όλα τα τμήματα του ΔΕΕ πρόσβαση σε βοηθούς ΤΝ· υπογραμμίζει ότι είναι σημαντικό να διασφαλιστεί η τήρηση των δεοντολογικών αρχών κατά τη χρήση εργαλείων ΤΝ και ιδίως των κατευθυντήριων γραμμών του ΔΕΕ για την ΤΝ που εκδόθηκαν το 2024, ώστε να εξασφαλιστεί η ανθρώπινη εποπτεία όσον αφορά την αρχή της ανεξαρτησίας των νομικών διαδικασιών· υπογραμμίζει ότι η χρήση εργαλείων ΤΝ σε δικαστικό περιβάλλον δεν πρέπει ποτέ να αντικαθιστά τον ανθρώπινο νομικό συλλογισμό ή τη δικαστική διακριτική ευχέρεια, ούτε να υπονομεύει την προσωπική ευθύνη των δικαστών· επισημαίνει, στο πλαίσιο αυτό, τον εποπτικό ρόλο του διοικητικού συμβουλίου ΤΝ του ΔΕΕ· συγχαίρει το ΔΕΕ για το ολοκληρωμένο πρόγραμμα κατάρτισης που έθεσε σε εφαρμογή το 2024, αρχής γενομένης από τον «μήνα ενημέρωσης για την ΤΝ» που περιλάμβανε σεμινάρια κατάρτισης, συζητήσεις στρογγυλής τραπέζης καθοδηγούμενες από εμπειρογνώμονες στον τομέα της ΤΝ, διαδικτυακά σεμινάρια και εντατικά προγράμματα πρακτικής κατάρτισης, κάνοντας έτσι ένα πρώτο και σημαντικό βήμα προς την ενημέρωση των μελών του προσωπικού σχετικά με τη στρατηγική και τις κατευθυντήριες γραμμές του ΔΕΕ για την ΤΝ, αλλά και την ΤΝ γενικότερα· σημειώνει ότι τα μέλη του προσωπικού παρακολουθούν επίσης μαθήματα σχετικά με τη διαχείριση των αλλαγών, τη μεταφορά γνώσεων, την καθοδήγηση και τη νοητική ευελιξία, ώστε να υποστηριχθεί η προσαρμογή στις αναδυόμενες τεχνολογίες· καλεί το ΔΕΕ να συνεχίσει να διοργανώνει τέτοια προγράμματα κατάρτισης και ενημέρωσης·</w:t>
      </w:r>
    </w:p>
    <w:p w14:paraId="222C23DC" w14:textId="06DB3913" w:rsidR="00230C4F" w:rsidRPr="00C93EA4" w:rsidRDefault="00C93EA4" w:rsidP="00C93EA4">
      <w:pPr>
        <w:widowControl/>
        <w:spacing w:after="240"/>
        <w:ind w:left="567" w:hanging="567"/>
      </w:pPr>
      <w:r w:rsidRPr="00C93EA4">
        <w:t>48.</w:t>
      </w:r>
      <w:r w:rsidRPr="00C93EA4">
        <w:tab/>
      </w:r>
      <w:r w:rsidR="00230C4F" w:rsidRPr="00C93EA4">
        <w:t>σημειώνει, με βάση την έκθεση παρακολούθησης, ότι, μετά την έναρξη ισχύος του νέου κανονισμού για την κυβερνοασφάλεια στις αρχές του 2024, το ΔΕΕ θέσπισε σχέδιο δράσης για την κυβερνοασφάλεια και υλοποιεί σχετικά έργα υποδομών ΤΠ· σημειώνει ότι το ΔΕΕ διενεργεί τουλάχιστον τρεις ετήσιες δοκιμές αποκατάστασης μετά από καταστροφή, οι οποίες καλύπτουν τα συστήματα εντός των εγκαταστάσεων, τις τηλεπικοινωνιακές υπηρεσίες και την εφεδρική σύνδεση στο διαδίκτυο·</w:t>
      </w:r>
    </w:p>
    <w:p w14:paraId="126884CB" w14:textId="28501746" w:rsidR="00230C4F" w:rsidRPr="00C93EA4" w:rsidRDefault="00C93EA4" w:rsidP="00C93EA4">
      <w:pPr>
        <w:widowControl/>
        <w:spacing w:after="240"/>
        <w:ind w:left="567" w:hanging="567"/>
      </w:pPr>
      <w:r w:rsidRPr="00C93EA4">
        <w:t>49.</w:t>
      </w:r>
      <w:r w:rsidRPr="00C93EA4">
        <w:tab/>
      </w:r>
      <w:r w:rsidR="00230C4F" w:rsidRPr="00C93EA4">
        <w:t>σημειώνει ότι οι επιχειρησιακές ικανότητες κυβερνοασφάλειας ενισχύθηκαν περαιτέρω το 2024, ώστε να επιτευχθεί συμμόρφωση με τον κανονισμό (ΕΕ, Ευρατόμ) 2023/2841 και να αντιμετωπιστεί ο αυξανόμενος αριθμός κυβερνοεπιθέσεων· παρατηρεί ότι το 2024 δεν σημειώθηκαν μεγάλες κυβερνοεπιθέσεις· σημειώνει με ανησυχία ότι καταγράφηκαν και αναλύθηκαν κατά μέσο όρο 142 συμβάντα ασφάλειας ανά μήνα, ορισμένα από τα οποία απαιτούσαν ανθρώπινη παρέμβαση· τονίζει ότι η κυβερνοασφάλεια αποτελεί στρατηγική επένδυση, απαραίτητη για τη διαφύλαξη της ανεξαρτησίας της δικαιοσύνης, της ακεραιότητας των δεδομένων και της συνέχειας της δικαστικής δραστηριότητας, υπογραμμίζοντας, κατά συνέπεια, την ανάγκη για συνεχείς και προβλέψιμες επενδύσεις σε ικανότητες κυβερνοασφάλειας, κατάρτιση του προσωπικού και διοργανική συνεργασία·</w:t>
      </w:r>
    </w:p>
    <w:p w14:paraId="4EBB195E" w14:textId="427C6BA6" w:rsidR="00230C4F" w:rsidRPr="00C93EA4" w:rsidRDefault="00C93EA4" w:rsidP="00C93EA4">
      <w:pPr>
        <w:widowControl/>
        <w:spacing w:after="240"/>
        <w:ind w:left="567" w:hanging="567"/>
      </w:pPr>
      <w:r w:rsidRPr="00C93EA4">
        <w:t>50.</w:t>
      </w:r>
      <w:r w:rsidRPr="00C93EA4">
        <w:tab/>
      </w:r>
      <w:r w:rsidR="00230C4F" w:rsidRPr="00C93EA4">
        <w:t xml:space="preserve">παρατηρεί ότι η έρευνα του Ευρωπαίου Επόπτη Προστασίας Δεδομένων (ΕΕΠΔ) σχετικά με τη χρήση υπηρεσιών υπολογιστικού νέφους που παρέχονται από την </w:t>
      </w:r>
      <w:proofErr w:type="spellStart"/>
      <w:r w:rsidR="00230C4F" w:rsidRPr="00C93EA4">
        <w:t>Amazon</w:t>
      </w:r>
      <w:proofErr w:type="spellEnd"/>
      <w:r w:rsidR="00230C4F" w:rsidRPr="00C93EA4">
        <w:t xml:space="preserve"> Web Services και τη Microsoft στο πλαίσιο των συμβάσεων </w:t>
      </w:r>
      <w:proofErr w:type="spellStart"/>
      <w:r w:rsidR="00230C4F" w:rsidRPr="00C93EA4">
        <w:t>Cloud</w:t>
      </w:r>
      <w:proofErr w:type="spellEnd"/>
      <w:r w:rsidR="00230C4F" w:rsidRPr="00C93EA4">
        <w:t xml:space="preserve"> II από τα θεσμικά και λοιπά όργανα και οργανισμούς της Ένωσης περατώθηκε το 2025· σημειώνει περαιτέρω ότι το ΔΕΕ δεν έλαβε καμία σύσταση μετά την εν λόγω έρευνα·</w:t>
      </w:r>
    </w:p>
    <w:p w14:paraId="7AC8F8C5" w14:textId="26B1880F" w:rsidR="00230C4F" w:rsidRPr="00C93EA4" w:rsidRDefault="00C93EA4" w:rsidP="00C93EA4">
      <w:pPr>
        <w:widowControl/>
        <w:spacing w:after="240"/>
        <w:ind w:left="567" w:hanging="567"/>
      </w:pPr>
      <w:r w:rsidRPr="00C93EA4">
        <w:t>51.</w:t>
      </w:r>
      <w:r w:rsidRPr="00C93EA4">
        <w:tab/>
      </w:r>
      <w:r w:rsidR="00230C4F" w:rsidRPr="00C93EA4">
        <w:t xml:space="preserve">σημειώνει ότι, στο πλαίσιο της ολοκληρωμένης πρωτοβουλίας του για την αύξηση της προσβασιμότητας και της ένταξης των ευάλωτων ατόμων, το ΔΕΕ συνέχισε να εφαρμόζει την προσέγγιση της «προσβασιμότητας βάσει σχεδιασμού» για κάθε αλλαγή και εξέλιξη των συστημάτων ΤΠ του· σημειώνει ότι, μετά από έλεγχο του ιστότοπου </w:t>
      </w:r>
      <w:proofErr w:type="spellStart"/>
      <w:r w:rsidR="00230C4F" w:rsidRPr="00C93EA4">
        <w:t>Curia</w:t>
      </w:r>
      <w:proofErr w:type="spellEnd"/>
      <w:r w:rsidR="00230C4F" w:rsidRPr="00C93EA4">
        <w:t xml:space="preserve"> το 2023, το ΔΕΕ άρχισε να χρησιμοποιεί τεχνολογίες για να βελτιώσει την προσβασιμότητα του ιστότοπου σε ευρύ φάσμα χρηστών, όπως άτομα με προβλήματα όρασης, προβλήματα ακοής ή μαθησιακές δυσκολίες· καλεί το ΔΕΕ να τηρεί ενήμερη την αρμόδια για την απαλλαγή αρχή σχετικά με αυτό το θέμα·</w:t>
      </w:r>
    </w:p>
    <w:p w14:paraId="0AFCA4AA" w14:textId="77777777" w:rsidR="00230C4F" w:rsidRPr="00C93EA4" w:rsidRDefault="00230C4F" w:rsidP="00156777">
      <w:pPr>
        <w:pStyle w:val="NormalHanging12a"/>
        <w:widowControl/>
        <w:rPr>
          <w:b/>
          <w:i/>
          <w:iCs/>
        </w:rPr>
      </w:pPr>
      <w:r w:rsidRPr="00C93EA4">
        <w:rPr>
          <w:b/>
          <w:i/>
          <w:iCs/>
        </w:rPr>
        <w:t>Κτίρια</w:t>
      </w:r>
    </w:p>
    <w:p w14:paraId="1945D46B" w14:textId="1CF12921" w:rsidR="00230C4F" w:rsidRPr="00C93EA4" w:rsidRDefault="00C93EA4" w:rsidP="00C93EA4">
      <w:pPr>
        <w:pStyle w:val="NormalHanging12a"/>
        <w:widowControl/>
      </w:pPr>
      <w:r w:rsidRPr="00C93EA4">
        <w:t>52.</w:t>
      </w:r>
      <w:r w:rsidRPr="00C93EA4">
        <w:tab/>
      </w:r>
      <w:r w:rsidR="00230C4F" w:rsidRPr="00C93EA4">
        <w:t xml:space="preserve">σημειώνει, με βάση την έκθεση παρακολούθησης, ότι, στο πλαίσιο δύο πιλοτικών έργων που αφορούσαν την πλέον αποδοτική χρήση των εγκαταστάσεων του ΔΕΕ, πραγματοποιήθηκαν διάφορα εργαστήρια το 2024, τα οποία οδήγησαν στην ανάπτυξη δύο διαρρυθμίσεων προσαρμοσμένων στις ανάγκες κάθε υπηρεσίας· σημειώνει ότι η παρακολούθηση των εν λόγω έργων έχει ανασταλεί προκειμένου να δοθεί πρώτα χρόνος για την αξιολόγηση του αντικτύπου που ενδέχεται να έχει η ενσωμάτωση της ΤΝ στις μεθόδους εργασίας του ΔΕΕ και, τελικά, στη χρήση χώρων και γραφείων· </w:t>
      </w:r>
    </w:p>
    <w:p w14:paraId="26F2CB5D" w14:textId="4786E44D" w:rsidR="00230C4F" w:rsidRPr="00C93EA4" w:rsidRDefault="00C93EA4" w:rsidP="00C93EA4">
      <w:pPr>
        <w:pStyle w:val="NormalHanging12a"/>
        <w:widowControl/>
      </w:pPr>
      <w:r w:rsidRPr="00C93EA4">
        <w:t>53.</w:t>
      </w:r>
      <w:r w:rsidRPr="00C93EA4">
        <w:tab/>
      </w:r>
      <w:r w:rsidR="00230C4F" w:rsidRPr="00C93EA4">
        <w:t>σημειώνει ότι, το 2024, το ΔΕΕ συνέχισε την ολοκληρωμένη πρωτοβουλία του για την αύξηση της προσβασιμότητας και της ένταξης των ατόμων με αναπηρία· σημειώνει ειδικότερα ότι το ΔΕΕ έχει καταρτίσει μακροπρόθεσμο σχέδιο δράσης για να διασφαλίσει ότι τα κτίριά του θα πληρούν τα νομικά πρότυπα προσβασιμότητας έως την 1η Ιανουαρίου 2032, όπως απαιτείται από τη νομοθεσία του Λουξεμβούργου· εκτιμά το γεγονός ότι το ΔΕΕ έχει καταρτίσει κατάλογο σημείων αποκατάστασης για τμήματα των υποδομών του και έχει αναθέσει σε αρχιτέκτονα την εκπόνηση μελέτης σκοπιμότητας, η οποία θα καθορίσει τις αναγκαίες ενέργειες που πρέπει να γίνουν· καλεί το ΔΕΕ να τηρεί ενήμερη την αρμόδια για την απαλλαγή αρχή σχετικά με αυτό το θέμα·</w:t>
      </w:r>
    </w:p>
    <w:p w14:paraId="4B7074FE" w14:textId="77777777" w:rsidR="00230C4F" w:rsidRPr="00C93EA4" w:rsidRDefault="00230C4F" w:rsidP="00156777">
      <w:pPr>
        <w:pStyle w:val="NormalHanging12a"/>
        <w:widowControl/>
        <w:rPr>
          <w:b/>
          <w:i/>
          <w:iCs/>
        </w:rPr>
      </w:pPr>
      <w:r w:rsidRPr="00C93EA4">
        <w:rPr>
          <w:b/>
          <w:i/>
          <w:iCs/>
        </w:rPr>
        <w:t>Περιβάλλον και αειφόρος ανάπτυξη</w:t>
      </w:r>
    </w:p>
    <w:p w14:paraId="344515AE" w14:textId="6C48FFB6" w:rsidR="00230C4F" w:rsidRPr="00C93EA4" w:rsidRDefault="00C93EA4" w:rsidP="00C93EA4">
      <w:pPr>
        <w:widowControl/>
        <w:spacing w:after="240"/>
        <w:ind w:left="567" w:hanging="567"/>
      </w:pPr>
      <w:r w:rsidRPr="00C93EA4">
        <w:t>54.</w:t>
      </w:r>
      <w:r w:rsidRPr="00C93EA4">
        <w:tab/>
      </w:r>
      <w:r w:rsidR="00230C4F" w:rsidRPr="00C93EA4">
        <w:t>συγχαίρει το ΔΕΕ για τις συνεχείς προσπάθειές του και τη σημαντική πρόοδο που σημείωσε όσον αφορά τη μείωση του περιβαλλοντικού αποτυπώματός του το 2024, όπως καταδεικνύεται από τις επιδόσεις του σε σχέση με τη βάση αναφοράς του συστήματος οικολογικής διαχείρισης και οικολογικού ελέγχου (EMAS) του 2015 με μειώσεις ανά ισοδύναμο πλήρους απασχόλησης (ΙΠΑ) που επιτεύχθηκαν σε πολλούς τύπους κατανάλωσης/εκπομπών (θέρμανση: - 37,5 %· ηλεκτρική ενέργεια: -29,3 %· χαρτί: -64,2 %, απόβλητα γραφείων και κυλικείων: -40,4 %· εκπομπές αερίων του θερμοκηπίου: -26,7 %)· διαπιστώνει συνολική βελτίωση σε σύγκριση με τις μειώσεις που αναφέρθηκαν για το 2023· αναγνωρίζει ότι τα αποτελέσματα αυτά, σε συνδυασμό με τις συνθήκες της αγοράς, οδήγησαν σε μείωση των ενεργειακών δαπανών κατά 18 % σε σύγκριση με τις προβλέψεις· επικροτεί, στο πλαίσιο αυτό, την ισχυρή ενσωμάτωση της βιωσιμότητας στο πλαίσιο διαχείρισης κινδύνων και λογοδοσίας του ΔΕΕ, όπως απαιτείται από την πιστοποίηση EMAS του·</w:t>
      </w:r>
    </w:p>
    <w:p w14:paraId="595D9325" w14:textId="62EC315F" w:rsidR="00230C4F" w:rsidRPr="00C93EA4" w:rsidRDefault="00C93EA4" w:rsidP="00C93EA4">
      <w:pPr>
        <w:widowControl/>
        <w:spacing w:after="240"/>
        <w:ind w:left="567" w:hanging="567"/>
      </w:pPr>
      <w:r w:rsidRPr="00C93EA4">
        <w:t>55.</w:t>
      </w:r>
      <w:r w:rsidRPr="00C93EA4">
        <w:tab/>
      </w:r>
      <w:r w:rsidR="00230C4F" w:rsidRPr="00C93EA4">
        <w:t>εκφράζει την ικανοποίησή του για τις σημαντικές επενδύσεις που πραγματοποιήθηκαν το 2024 για την ενίσχυση της ενεργειακής απόδοσης των κτιρίων του ΔΕΕ, συμπεριλαμβανομένων σχεδόν 1,5 εκατομμυρίων EUR για την εκτεταμένη εγκατάσταση φωτισμού LED και άνω του 0,4 εκατομμυρίου EUR για εργασίες μόνωσης κτιρίων· σημειώνει με ικανοποίηση ότι όλη η ηλεκτρική ενέργεια που αγοράστηκε προήλθε από ανανεώσιμες πηγές και ότι η θέρμανση παρέχεται από σύστημα τηλεθέρμανσης που λειτουργεί με βιομάζα· εκφράζει την ικανοποίησή του για τη δέσμευση του ΔΕΕ να διασφαλίσει για το μέλλον τον εφοδιασμό του με πράσινη ενέργεια μέσω προγραμματισμένης συμμετοχής σε συμφωνίες αγοράς ηλεκτρικής ενέργειας (ΣΑΗΕ)·</w:t>
      </w:r>
    </w:p>
    <w:p w14:paraId="75E2D199" w14:textId="22FF58E3" w:rsidR="00230C4F" w:rsidRPr="00C93EA4" w:rsidRDefault="00C93EA4" w:rsidP="00C93EA4">
      <w:pPr>
        <w:widowControl/>
        <w:spacing w:after="240"/>
        <w:ind w:left="567" w:hanging="567"/>
      </w:pPr>
      <w:r w:rsidRPr="00C93EA4">
        <w:t>56.</w:t>
      </w:r>
      <w:r w:rsidRPr="00C93EA4">
        <w:tab/>
      </w:r>
      <w:r w:rsidR="00230C4F" w:rsidRPr="00C93EA4">
        <w:t>συγχαίρει το ΔΕΕ για την αυστηρή προσέγγισή του όσον αφορά τις βιώσιμες προμήθειες, μέσω της κατηγοριοποίησης των προσκλήσεων υποβολής προσφορών με βάση τον αντίκτυπο («ελαφρώς πράσινες», «μέτρια πράσινες», «εξαιρετικά πράσινες») των περιβαλλοντικών ρητρών τους, της συστηματικής χρήσης εργαλείων όπως η υποχρεωτική αυτοαξιολόγηση όσον αφορά τις «πράσινες επιδόσεις» και της διαβούλευσης με το διοργανικό γραφείο υποστήριξης SPP· σημειώνει ότι το 2024 οκτώ σημαντικοί διαγωνισμοί άνω των 60 000 EUR ήταν «πράσινες αγορές», έξι από τις οποίες περιλάμβαναν σημαντικές περιβαλλοντικές ρήτρες· εκφράζει ειδικότερα την ικανοποίησή του για την επιτυχή εφαρμογή της νέας σύμβασης υπηρεσιών τροφοδοσίας, η οποία απαιτεί βιώσιμες πρακτικές τροφίμων και διαθέτει πιστοποίηση ISO 14001, καθώς και για την επίτευξη του στόχου να περιοριστούν οι «ελαφρώς πράσινες» προσφορές πολύ χαμηλότερα από τον στόχο του 50 %·</w:t>
      </w:r>
    </w:p>
    <w:p w14:paraId="198FCEA6" w14:textId="02A0C7DD" w:rsidR="00230C4F" w:rsidRPr="00C93EA4" w:rsidRDefault="00C93EA4" w:rsidP="00C93EA4">
      <w:pPr>
        <w:widowControl/>
        <w:spacing w:after="240"/>
        <w:ind w:left="567" w:hanging="567"/>
      </w:pPr>
      <w:r w:rsidRPr="00C93EA4">
        <w:t>57.</w:t>
      </w:r>
      <w:r w:rsidRPr="00C93EA4">
        <w:tab/>
      </w:r>
      <w:r w:rsidR="00230C4F" w:rsidRPr="00C93EA4">
        <w:t xml:space="preserve">συγχαίρει το ΔΕΕ για την ολοκληρωμένη και αποτελεσματική στρατηγική του σχετικά με τη βιώσιμη κινητικότητα για το προσωπικό και τα μέλη· σημειώνει, στο πλαίσιο αυτό, τη συνέχιση των επιδοτήσεων για τις δημόσιες μεταφορές για τις διασυνοριακές καθημερινές μετακινήσεις και το σύστημα ενοικίασης ποδηλάτων </w:t>
      </w:r>
      <w:proofErr w:type="spellStart"/>
      <w:r w:rsidR="00230C4F" w:rsidRPr="00C93EA4">
        <w:t>Vel’Oh</w:t>
      </w:r>
      <w:proofErr w:type="spellEnd"/>
      <w:r w:rsidR="00230C4F" w:rsidRPr="00C93EA4">
        <w:t xml:space="preserve">!, παράλληλα με τις σημαντικές βελτιώσεις των υποδομών, όπως η εγκατάσταση, το 2024, πολυάριθμων σημείων φόρτισης ηλεκτρικών και υβριδικών οχημάτων· </w:t>
      </w:r>
    </w:p>
    <w:p w14:paraId="3CF777B8" w14:textId="2B49F563" w:rsidR="00230C4F" w:rsidRPr="00C93EA4" w:rsidRDefault="00C93EA4" w:rsidP="00C93EA4">
      <w:pPr>
        <w:widowControl/>
        <w:spacing w:after="240"/>
        <w:ind w:left="567" w:hanging="567"/>
      </w:pPr>
      <w:r w:rsidRPr="00C93EA4">
        <w:t>58.</w:t>
      </w:r>
      <w:r w:rsidRPr="00C93EA4">
        <w:tab/>
      </w:r>
      <w:r w:rsidR="00230C4F" w:rsidRPr="00C93EA4">
        <w:t>σημειώνει τη σημαντική στροφή προς βιώσιμες μεθόδους εργασίας, με σημαντική αύξηση της χρήσης βιντεοδιασκέψεων από τα μέλη του ΔΕΕ για την αποφυγή ταξιδιών, όπως αποδεικνύεται από 131 τέτοιες αποστολές το 2024 σε σύγκριση με μόλις τρεις το 2019· εκφράζει επίσης την ικανοποίησή του για τη συνεχιζόμενη ψηφιοποίηση των διαδικασιών, η οποία, σε συνδυασμό με την αφαίρεση του 80 % των προσωπικών εκτυπωτών, αποτέλεσε βασικό παράγοντα για τη δραστική μείωση της κατανάλωσης χαρτιού από το ΔΕΕ·</w:t>
      </w:r>
    </w:p>
    <w:p w14:paraId="7CB89745" w14:textId="77777777" w:rsidR="00230C4F" w:rsidRPr="00C93EA4" w:rsidRDefault="00230C4F" w:rsidP="00156777">
      <w:pPr>
        <w:pStyle w:val="NormalHanging12a"/>
        <w:widowControl/>
        <w:rPr>
          <w:b/>
          <w:i/>
          <w:iCs/>
        </w:rPr>
      </w:pPr>
      <w:r w:rsidRPr="00C93EA4">
        <w:rPr>
          <w:b/>
          <w:i/>
          <w:iCs/>
        </w:rPr>
        <w:t>Διοργανική συνεργασία</w:t>
      </w:r>
    </w:p>
    <w:p w14:paraId="50903291" w14:textId="3FE695AE" w:rsidR="00230C4F" w:rsidRPr="00C93EA4" w:rsidRDefault="00C93EA4" w:rsidP="00C93EA4">
      <w:pPr>
        <w:pStyle w:val="NormalHanging12a"/>
        <w:widowControl/>
      </w:pPr>
      <w:r w:rsidRPr="00C93EA4">
        <w:t>59.</w:t>
      </w:r>
      <w:r w:rsidRPr="00C93EA4">
        <w:tab/>
      </w:r>
      <w:r w:rsidR="00230C4F" w:rsidRPr="00C93EA4">
        <w:t>σημειώνει τη συνεργασία του ΔΕΕ με άλλα θεσμικά όργανα και ιδίως τις κοινές εφαρμογές και υπηρεσίες φιλοξενίας που βασίζονται σε συμφωνίες επιπέδου υπηρεσιών (ΣΕΥ) με την Επιτροπή, καθώς και τη συμμετοχή σε διοργανικές διαδικασίες σύναψης συμβάσεων, οι οποίες επέτρεψαν στο ΔΕΕ να βελτιστοποιήσει το κόστος και τους πόρους· αναγνωρίζει τη σημασία της διοργανικής συνεργασίας του ΔΕΕ με την Υπηρεσία Κυβερνοασφάλειας για τα θεσμικά και λοιπά όργανα και τους οργανισμούς της Ένωσης (CERT-ΕΕ) και τον Οργανισμό της Ευρωπαϊκής Ένωσης για την Κυβερνοασφάλεια (ENISA), συμπεριλαμβανομένης της συμμετοχής σε τεχνικές συμβουλευτικές ομάδες σχετικά με τα εργαλεία, τις μεθοδολογίες και την ενημέρωση, καθώς και στην πρωτοβουλία της CERT-ΕΕ για την παραγωγική ΤΝ·</w:t>
      </w:r>
    </w:p>
    <w:p w14:paraId="46F0D24C" w14:textId="54579B1D" w:rsidR="00230C4F" w:rsidRPr="00C93EA4" w:rsidRDefault="00C93EA4" w:rsidP="00C93EA4">
      <w:pPr>
        <w:pStyle w:val="NormalHanging12a"/>
        <w:widowControl/>
      </w:pPr>
      <w:r w:rsidRPr="00C93EA4">
        <w:t>60.</w:t>
      </w:r>
      <w:r w:rsidRPr="00C93EA4">
        <w:tab/>
      </w:r>
      <w:r w:rsidR="00230C4F" w:rsidRPr="00C93EA4">
        <w:t>σημειώνει ότι το ΔΕΕ έχει συνάψει διάφορες ΣΕΥ για τη συντήρηση των υποδομών ΤΠ, τη χρήση εργαλείων ανθρώπινων πόρων, την καταβολή ορισμένων ατομικών δικαιωμάτων και τη χρήση του συστήματος διαχείρισης εγγράφων HAN/</w:t>
      </w:r>
      <w:proofErr w:type="spellStart"/>
      <w:r w:rsidR="00230C4F" w:rsidRPr="00C93EA4">
        <w:t>Ares</w:t>
      </w:r>
      <w:proofErr w:type="spellEnd"/>
      <w:r w:rsidR="00230C4F" w:rsidRPr="00C93EA4">
        <w:t>· εκφράζει την ικανοποίησή του για την ανανέωση της ετήσιας συμφωνίας χρηματοδότησης που συνάφθηκε με τις μεταφραστικές υπηρεσίες άλλων θεσμικών οργάνων της Ένωσης· σημειώνει ότι το 2024 υπέγραψε δύο μνημόνια συνεννόησης με την Επιτροπή και το Κοινοβούλιο: ένα μνημόνιο συνεννόησης σχετικά με τον επιμερισμό της οικονομικής επιβάρυνσης που σχετίζεται με τη χρήση εργαλείου εξ αποστάσεως εξέτασης για τη διοργανική δοκιμασία διαπίστευσης και ένα μνημόνιο συνεννόησης σχετικά με τον επιμερισμό των δαπανών για τις κοινές δραστηριότητες προβολής των υπηρεσιών διερμηνείας·</w:t>
      </w:r>
    </w:p>
    <w:p w14:paraId="1FC07D7C" w14:textId="202C08BA" w:rsidR="00230C4F" w:rsidRPr="00C93EA4" w:rsidRDefault="00C93EA4" w:rsidP="00C93EA4">
      <w:pPr>
        <w:pStyle w:val="NormalHanging12a"/>
        <w:widowControl/>
      </w:pPr>
      <w:r w:rsidRPr="00C93EA4">
        <w:t>61.</w:t>
      </w:r>
      <w:r w:rsidRPr="00C93EA4">
        <w:tab/>
      </w:r>
      <w:r w:rsidR="00230C4F" w:rsidRPr="00C93EA4">
        <w:t>εκτιμά το γεγονός ότι το ΔΕΕ συνεργάζεται πλήρως με την Ευρωπαϊκή Υπηρεσία Καταπολέμησης της Απάτης (OLAF), το Ελεγκτικό Συνέδριο, τον ΕΕΠΔ και τον Ευρωπαίο Διαμεσολαβητή· λαμβάνει υπό σημείωση την εταιρική σχέση του ΔΕΕ με το ΕΔΚΔ, η οποία βοηθά το ΔΕΕ στο έργο της προώθησης μιας κοινής δικαστικής νοοτροπίας σε ολόκληρη την Ένωση, της εξασφάλισης συνεπούς και ομοιόμορφης εφαρμογής του δικαίου της Ένωσης σε όλα τα κράτη μέλη και της ενίσχυσης της αμοιβαίας εμπιστοσύνης μεταξύ των εθνικών δικαστικών αρχών και του ΔΕΕ· εκτιμά, στο πλαίσιο αυτό, τη διοργάνωση ετήσιων συναντήσεων με ανταποκριτές εθνικών δικαστηρίων, θεματικές ομάδες, διαδικτυακά σεμινάρια και επισκέψεις εκπροσώπων του ΔΕΕ σε εθνικά δικαστήρια και αντιστρόφως· σημειώνει ειδικότερα, για το 2024, την ετήσια σύσκεψη των ανταποκριτών του ΕΔΚΔ που πραγματοποιήθηκε στις Βρυξέλλες, την επίσκεψη αντιπροσωπείας του Γενικού Δικαστηρίου στη Βαρσοβία, καθώς και την ετήσια σύσκεψη των δικαστών, με ειδική διάσκεψη που πραγματοποιήθηκε στο ΔΕΕ για τον εορτασμό της 20ής επετείου της διεύρυνσης του 2004· σημειώνει περαιτέρω, με βάση την έκθεση παρακολούθησης, ότι το 2024 συμμετείχαν περισσότεροι δικαστές σε σεμινάρια, ενώ επαγγελματίες του τομέα της δικαιοσύνης από τρία νέα κράτη μέλη υπέβαλαν για πρώτη φορά τις αιτήσεις τους για μακροπρόθεσμα προγράμματα κατάρτισης του ΔΕΕ·</w:t>
      </w:r>
    </w:p>
    <w:p w14:paraId="369AC9A7" w14:textId="6CC36CA6" w:rsidR="00230C4F" w:rsidRPr="00C93EA4" w:rsidRDefault="00C93EA4" w:rsidP="00C93EA4">
      <w:pPr>
        <w:pStyle w:val="NormalHanging12a"/>
        <w:widowControl/>
      </w:pPr>
      <w:r w:rsidRPr="00C93EA4">
        <w:t>62.</w:t>
      </w:r>
      <w:r w:rsidRPr="00C93EA4">
        <w:tab/>
      </w:r>
      <w:r w:rsidR="00230C4F" w:rsidRPr="00C93EA4">
        <w:t>εκφράζει την ικανοποίησή του για το γεγονός ότι το ΔΕΕ και το Κοινοβούλιο αποφάσισαν να πραγματοποιούν ετήσιες συσκέψεις, σκοπός των οποίων είναι ο διάλογος για θέματα κοινού ενδιαφέροντος, όπως η διοίκηση, οι δυνατότητες βελτίωσης του δικαστικού συστήματος ή η αντίληψη των πολιτών για το κράτος δικαίου· σημειώνει ότι η πρώτη τέτοια σύσκεψη πραγματοποιήθηκε τον Μάρτιο του 2024·</w:t>
      </w:r>
    </w:p>
    <w:p w14:paraId="6B36C9B5" w14:textId="77777777" w:rsidR="00230C4F" w:rsidRPr="00C93EA4" w:rsidRDefault="00230C4F" w:rsidP="00156777">
      <w:pPr>
        <w:pStyle w:val="NormalHanging12a"/>
        <w:widowControl/>
        <w:rPr>
          <w:b/>
          <w:i/>
          <w:iCs/>
        </w:rPr>
      </w:pPr>
      <w:r w:rsidRPr="00C93EA4">
        <w:rPr>
          <w:b/>
          <w:i/>
          <w:iCs/>
        </w:rPr>
        <w:t>Επικοινωνία</w:t>
      </w:r>
    </w:p>
    <w:p w14:paraId="2FE50DE1" w14:textId="7EE3305D" w:rsidR="00230C4F" w:rsidRPr="00C93EA4" w:rsidRDefault="00C93EA4" w:rsidP="00C93EA4">
      <w:pPr>
        <w:pStyle w:val="NormalHanging12a"/>
        <w:widowControl/>
      </w:pPr>
      <w:r w:rsidRPr="00C93EA4">
        <w:t>63.</w:t>
      </w:r>
      <w:r w:rsidRPr="00C93EA4">
        <w:tab/>
      </w:r>
      <w:r w:rsidR="00230C4F" w:rsidRPr="00C93EA4">
        <w:t>σημειώνει ότι το ΔΕΕ διοργανώνει τακτικά επισκέψεις με συνολικά 16 319 καταγεγραμμένους επισκέπτες το 2024· σημειώνει ότι περίπου 2 500 από αυτούς τους επισκέπτες προσήλθαν την ημέρα υποδοχής του κοινού στο ΔΕΕ εκείνο το έτος· σημειώνει περαιτέρω ότι, εκτός από τις τακτικές επισκέψεις, το ΔΕΕ διοργανώνει επίσης εικονικές επισκέψεις· σημειώνει ότι το 7 % του συνόλου των επισκεπτών του ΔΕΕ το 2024 ήταν εικονικοί, ενώ το 43 % εξ αυτών ήταν φοιτητές·</w:t>
      </w:r>
    </w:p>
    <w:p w14:paraId="01524496" w14:textId="1605FDB8" w:rsidR="00230C4F" w:rsidRPr="00C93EA4" w:rsidRDefault="00C93EA4" w:rsidP="00C93EA4">
      <w:pPr>
        <w:pStyle w:val="NormalHanging12a"/>
        <w:widowControl/>
      </w:pPr>
      <w:r w:rsidRPr="00C93EA4">
        <w:t>64.</w:t>
      </w:r>
      <w:r w:rsidRPr="00C93EA4">
        <w:tab/>
      </w:r>
      <w:r w:rsidR="00230C4F" w:rsidRPr="00C93EA4">
        <w:t xml:space="preserve">σημειώνει ότι, το 2024, το ΔΕΕ ενίσχυσε τις προσπάθειές του για συνεργασία με τους πολίτες της Ένωσης, ενισχύοντας την απήχησή του στα μέσα κοινωνικής δικτύωσης· σημειώνει ότι, στο τέλος του 2024, ο αριθμός των συνδρομητών στον λογαριασμό LinkedIn του ΔΕΕ αυξήθηκε κατά 26 % και ο αριθμός των ακολούθων στους δύο λογαριασμούς του ΔΕΕ στο X (πρώην Twitter) κατά 2,5 %, ενώ οι προβολές στο κανάλι του στο </w:t>
      </w:r>
      <w:proofErr w:type="spellStart"/>
      <w:r w:rsidR="00230C4F" w:rsidRPr="00C93EA4">
        <w:t>YouTube</w:t>
      </w:r>
      <w:proofErr w:type="spellEnd"/>
      <w:r w:rsidR="00230C4F" w:rsidRPr="00C93EA4">
        <w:t xml:space="preserve"> αυξήθηκαν κατά 137 % και ο αριθμός των συνδρομητών του στο </w:t>
      </w:r>
      <w:proofErr w:type="spellStart"/>
      <w:r w:rsidR="00230C4F" w:rsidRPr="00C93EA4">
        <w:t>YouTube</w:t>
      </w:r>
      <w:proofErr w:type="spellEnd"/>
      <w:r w:rsidR="00230C4F" w:rsidRPr="00C93EA4">
        <w:t xml:space="preserve"> αυξήθηκε κατά περισσότερο από 329 % σε σύγκριση με το προηγούμενο έτος· σημειώνει ότι η παραβολική αύξηση των προβολών και των συνδρομητών οφειλόταν εν μέρει σε εκστρατεία προώθησης που οργάνωσε το ΔΕΕ·</w:t>
      </w:r>
    </w:p>
    <w:p w14:paraId="360A78DE" w14:textId="516E7832" w:rsidR="006238BE" w:rsidRPr="00C93EA4" w:rsidRDefault="00C93EA4" w:rsidP="00C93EA4">
      <w:pPr>
        <w:pStyle w:val="NormalHanging12a"/>
        <w:widowControl/>
      </w:pPr>
      <w:r w:rsidRPr="00C93EA4">
        <w:t>65.</w:t>
      </w:r>
      <w:r w:rsidRPr="00C93EA4">
        <w:tab/>
      </w:r>
      <w:r w:rsidR="00230C4F" w:rsidRPr="00C93EA4">
        <w:t xml:space="preserve">σημειώνει ότι το 2024 το ΔΕΕ ξεκίνησε μελέτη σχετικά με την επέκταση της παρουσίας του στα μέσα κοινωνικής δικτύωσης, η οποία οδήγησε στην απόφαση να ανοίξουν λογαριασμοί στο </w:t>
      </w:r>
      <w:proofErr w:type="spellStart"/>
      <w:r w:rsidR="00230C4F" w:rsidRPr="00C93EA4">
        <w:t>Instagram</w:t>
      </w:r>
      <w:proofErr w:type="spellEnd"/>
      <w:r w:rsidR="00230C4F" w:rsidRPr="00C93EA4">
        <w:t xml:space="preserve">, το </w:t>
      </w:r>
      <w:proofErr w:type="spellStart"/>
      <w:r w:rsidR="00230C4F" w:rsidRPr="00C93EA4">
        <w:t>Bluesky</w:t>
      </w:r>
      <w:proofErr w:type="spellEnd"/>
      <w:r w:rsidR="00230C4F" w:rsidRPr="00C93EA4">
        <w:t xml:space="preserve">, το </w:t>
      </w:r>
      <w:proofErr w:type="spellStart"/>
      <w:r w:rsidR="00230C4F" w:rsidRPr="00C93EA4">
        <w:t>Threads</w:t>
      </w:r>
      <w:proofErr w:type="spellEnd"/>
      <w:r w:rsidR="00230C4F" w:rsidRPr="00C93EA4">
        <w:t xml:space="preserve"> και το </w:t>
      </w:r>
      <w:proofErr w:type="spellStart"/>
      <w:r w:rsidR="00230C4F" w:rsidRPr="00C93EA4">
        <w:t>WhatsApp</w:t>
      </w:r>
      <w:proofErr w:type="spellEnd"/>
      <w:r w:rsidR="00230C4F" w:rsidRPr="00C93EA4">
        <w:t xml:space="preserve"> το 2025·</w:t>
      </w:r>
    </w:p>
    <w:p w14:paraId="71419651" w14:textId="1BF2ECAD" w:rsidR="00E365E1" w:rsidRPr="00C93EA4" w:rsidRDefault="00C93EA4" w:rsidP="00C93EA4">
      <w:pPr>
        <w:widowControl/>
        <w:spacing w:after="240"/>
        <w:ind w:left="567" w:hanging="567"/>
      </w:pPr>
      <w:r w:rsidRPr="00C93EA4">
        <w:t>66.</w:t>
      </w:r>
      <w:r w:rsidRPr="00C93EA4">
        <w:tab/>
      </w:r>
      <w:r w:rsidR="00230C4F" w:rsidRPr="00C93EA4">
        <w:t>σημειώνει με ικανοποίηση άλλες βασικές δράσεις και σχέδια του ΔΕΕ για την ενίσχυση της διαφάνειας και της προσβασιμότητας και την κάλυψη των αναγκών των επαγγελματιών του νομικού κλάδου, των μέσων ενημέρωσης και του ευρέος κοινού (συμπεριλαμβανομένων των νεότερων γενεών), όπως η αναδιαμόρφωση του ιστοτόπου του ΔΕΕ με την εισαγωγή μιας νέας (ενιαίας) μηχανής αναζήτησης, η έναρξη λειτουργίας μιας νέας πολύγλωσσης διαδικτυακής τηλεοπτικής πλατφόρμας με περιεχόμενο σχετικά με το έργο και τις αποφάσεις του ΔΕΕ, η δημοσίευση βίντεο στα μέσα κοινωνικής δικτύωσης, η απλούστευση της γλώσσας που χρησιμοποιείται στα δελτία Τύπου του ΔΕΕ και η αναθεώρηση των ετήσιων εκθέσεων του ΔΕΕ ώστε να παρέχονται σαφέστερες επισκοπήσεις της νομολογίας και στατιστικά στοιχεία.</w:t>
      </w:r>
    </w:p>
    <w:sectPr w:rsidR="00E365E1" w:rsidRPr="00C93EA4" w:rsidSect="00414BF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BAF23" w14:textId="77777777" w:rsidR="00585EF5" w:rsidRPr="00414BFD" w:rsidRDefault="00585EF5">
      <w:r w:rsidRPr="00414BFD">
        <w:separator/>
      </w:r>
    </w:p>
  </w:endnote>
  <w:endnote w:type="continuationSeparator" w:id="0">
    <w:p w14:paraId="00A6AC4F" w14:textId="77777777" w:rsidR="00585EF5" w:rsidRPr="00414BFD" w:rsidRDefault="00585EF5">
      <w:r w:rsidRPr="00414B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A7F77" w14:textId="77777777" w:rsidR="00230C4F" w:rsidRPr="00414BFD" w:rsidRDefault="00230C4F" w:rsidP="00CC425F">
    <w:pPr>
      <w:pStyle w:val="EPFooter"/>
    </w:pPr>
    <w:r w:rsidRPr="00414BFD">
      <w:t>PE</w:t>
    </w:r>
    <w:r w:rsidRPr="00414BFD">
      <w:rPr>
        <w:rStyle w:val="HideTWBExt"/>
      </w:rPr>
      <w:t>&lt;NoPE&gt;</w:t>
    </w:r>
    <w:r w:rsidRPr="00414BFD">
      <w:t>778.060</w:t>
    </w:r>
    <w:r w:rsidRPr="00414BFD">
      <w:rPr>
        <w:rStyle w:val="HideTWBExt"/>
      </w:rPr>
      <w:t>&lt;/NoPE&gt;&lt;Version&gt;</w:t>
    </w:r>
    <w:r w:rsidRPr="00414BFD">
      <w:t>v02-00</w:t>
    </w:r>
    <w:r w:rsidRPr="00414BFD">
      <w:rPr>
        <w:rStyle w:val="HideTWBExt"/>
      </w:rPr>
      <w:t>&lt;/Version&gt;</w:t>
    </w:r>
    <w:r w:rsidRPr="00414BFD">
      <w:tab/>
    </w:r>
    <w:r w:rsidRPr="00414BFD">
      <w:fldChar w:fldCharType="begin"/>
    </w:r>
    <w:r w:rsidRPr="00414BFD">
      <w:instrText xml:space="preserve"> PAGE  \* MERGEFORMAT </w:instrText>
    </w:r>
    <w:r w:rsidRPr="00414BFD">
      <w:fldChar w:fldCharType="separate"/>
    </w:r>
    <w:r w:rsidRPr="00414BFD">
      <w:rPr>
        <w:noProof/>
      </w:rPr>
      <w:t>1</w:t>
    </w:r>
    <w:r w:rsidRPr="00414BFD">
      <w:fldChar w:fldCharType="end"/>
    </w:r>
    <w:r w:rsidRPr="00414BFD">
      <w:t>/</w:t>
    </w:r>
    <w:fldSimple w:instr=" NUMPAGES  \* MERGEFORMAT ">
      <w:r w:rsidRPr="00414BFD">
        <w:rPr>
          <w:noProof/>
        </w:rPr>
        <w:t>1</w:t>
      </w:r>
    </w:fldSimple>
    <w:r w:rsidRPr="00414BFD">
      <w:tab/>
    </w:r>
    <w:r w:rsidRPr="00414BFD">
      <w:rPr>
        <w:rStyle w:val="HideTWBExt"/>
      </w:rPr>
      <w:t>&lt;PathFdR&gt;</w:t>
    </w:r>
    <w:r w:rsidRPr="00414BFD">
      <w:t>RR\1339440EL.docx</w:t>
    </w:r>
    <w:r w:rsidRPr="00414BFD">
      <w:rPr>
        <w:rStyle w:val="HideTWBExt"/>
      </w:rPr>
      <w:t>&lt;/PathFdR&gt;</w:t>
    </w:r>
  </w:p>
  <w:p w14:paraId="0228ADA9" w14:textId="77777777" w:rsidR="00230C4F" w:rsidRPr="00414BFD" w:rsidRDefault="00230C4F" w:rsidP="00CC425F">
    <w:pPr>
      <w:pStyle w:val="EPFooter2"/>
    </w:pPr>
    <w:r w:rsidRPr="00414BFD">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CF4AF" w14:textId="77777777" w:rsidR="00230C4F" w:rsidRPr="00414BFD" w:rsidRDefault="00230C4F" w:rsidP="00CC425F">
    <w:pPr>
      <w:pStyle w:val="EPFooter"/>
    </w:pPr>
    <w:r w:rsidRPr="00414BFD">
      <w:rPr>
        <w:rStyle w:val="HideTWBExt"/>
      </w:rPr>
      <w:t>&lt;PathFdR&gt;</w:t>
    </w:r>
    <w:r w:rsidRPr="00414BFD">
      <w:t>RR\1339440EL.docx</w:t>
    </w:r>
    <w:r w:rsidRPr="00414BFD">
      <w:rPr>
        <w:rStyle w:val="HideTWBExt"/>
      </w:rPr>
      <w:t>&lt;/PathFdR&gt;</w:t>
    </w:r>
    <w:r w:rsidRPr="00414BFD">
      <w:tab/>
    </w:r>
    <w:r w:rsidRPr="00414BFD">
      <w:tab/>
      <w:t>PE</w:t>
    </w:r>
    <w:r w:rsidRPr="00414BFD">
      <w:rPr>
        <w:rStyle w:val="HideTWBExt"/>
      </w:rPr>
      <w:t>&lt;NoPE&gt;</w:t>
    </w:r>
    <w:r w:rsidRPr="00414BFD">
      <w:t>778.060</w:t>
    </w:r>
    <w:r w:rsidRPr="00414BFD">
      <w:rPr>
        <w:rStyle w:val="HideTWBExt"/>
      </w:rPr>
      <w:t>&lt;/NoPE&gt;&lt;Version&gt;</w:t>
    </w:r>
    <w:r w:rsidRPr="00414BFD">
      <w:t>v02-00</w:t>
    </w:r>
    <w:r w:rsidRPr="00414BFD">
      <w:rPr>
        <w:rStyle w:val="HideTWBExt"/>
      </w:rPr>
      <w:t>&lt;/Version&gt;</w:t>
    </w:r>
  </w:p>
  <w:p w14:paraId="0383CC06" w14:textId="77777777" w:rsidR="00230C4F" w:rsidRPr="00414BFD" w:rsidRDefault="00230C4F" w:rsidP="00CC425F">
    <w:pPr>
      <w:pStyle w:val="EPFooter2"/>
    </w:pPr>
    <w:r w:rsidRPr="00414BFD">
      <w:t>EL</w:t>
    </w:r>
    <w:r w:rsidRPr="00414BFD">
      <w:tab/>
    </w:r>
    <w:r w:rsidRPr="00414BFD">
      <w:rPr>
        <w:b w:val="0"/>
        <w:i/>
        <w:color w:val="C0C0C0"/>
        <w:sz w:val="22"/>
      </w:rPr>
      <w:t>Ενωμένη στην πολυμορφία</w:t>
    </w:r>
    <w:r w:rsidRPr="00414BFD">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8AEA" w14:textId="77777777" w:rsidR="00064002" w:rsidRPr="00414BFD"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93516" w14:textId="77777777" w:rsidR="00064002" w:rsidRPr="00414BF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65A9" w14:textId="77777777" w:rsidR="00064002" w:rsidRPr="00414B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1731" w14:textId="77777777" w:rsidR="00585EF5" w:rsidRPr="00414BFD" w:rsidRDefault="00585EF5">
      <w:r w:rsidRPr="00414BFD">
        <w:separator/>
      </w:r>
    </w:p>
  </w:footnote>
  <w:footnote w:type="continuationSeparator" w:id="0">
    <w:p w14:paraId="3332F5AB" w14:textId="77777777" w:rsidR="00585EF5" w:rsidRPr="00414BFD" w:rsidRDefault="00585EF5">
      <w:r w:rsidRPr="00414BFD">
        <w:continuationSeparator/>
      </w:r>
    </w:p>
  </w:footnote>
  <w:footnote w:id="1">
    <w:p w14:paraId="072F4BBD" w14:textId="4706F405" w:rsidR="00230C4F" w:rsidRPr="007C5403" w:rsidRDefault="00230C4F" w:rsidP="00156777">
      <w:pPr>
        <w:pStyle w:val="FootnoteText"/>
        <w:spacing w:line="240" w:lineRule="auto"/>
        <w:ind w:left="567" w:hanging="567"/>
        <w:rPr>
          <w:sz w:val="24"/>
          <w:lang w:val="fi-FI"/>
        </w:rPr>
      </w:pPr>
      <w:r w:rsidRPr="00414BFD">
        <w:rPr>
          <w:rStyle w:val="FootnoteReference"/>
          <w:sz w:val="24"/>
          <w:lang w:val="el-GR"/>
        </w:rPr>
        <w:footnoteRef/>
      </w:r>
      <w:r w:rsidR="00414BFD" w:rsidRPr="007C5403">
        <w:rPr>
          <w:sz w:val="24"/>
          <w:lang w:val="fi-FI"/>
        </w:rPr>
        <w:t xml:space="preserve"> </w:t>
      </w:r>
      <w:r w:rsidR="00414BFD" w:rsidRPr="007C5403">
        <w:rPr>
          <w:sz w:val="24"/>
          <w:lang w:val="fi-FI"/>
        </w:rPr>
        <w:tab/>
      </w:r>
      <w:r w:rsidRPr="00414BFD">
        <w:rPr>
          <w:sz w:val="24"/>
          <w:lang w:val="el-GR"/>
        </w:rPr>
        <w:t>ΕΕ</w:t>
      </w:r>
      <w:r w:rsidRPr="007C5403">
        <w:rPr>
          <w:sz w:val="24"/>
          <w:lang w:val="fi-FI"/>
        </w:rPr>
        <w:t xml:space="preserve"> </w:t>
      </w:r>
      <w:r w:rsidRPr="00156777">
        <w:rPr>
          <w:sz w:val="24"/>
          <w:lang w:val="fi-FI"/>
        </w:rPr>
        <w:t>L</w:t>
      </w:r>
      <w:r w:rsidR="007C5403" w:rsidRPr="00C93EA4">
        <w:rPr>
          <w:sz w:val="24"/>
          <w:lang w:val="fi-FI"/>
        </w:rPr>
        <w:t>,</w:t>
      </w:r>
      <w:r w:rsidRPr="007C5403">
        <w:rPr>
          <w:sz w:val="24"/>
          <w:lang w:val="fi-FI"/>
        </w:rPr>
        <w:t xml:space="preserve"> </w:t>
      </w:r>
      <w:r w:rsidR="007C5403" w:rsidRPr="00C93EA4">
        <w:rPr>
          <w:sz w:val="24"/>
          <w:lang w:val="fi-FI"/>
        </w:rPr>
        <w:t>2024/</w:t>
      </w:r>
      <w:r w:rsidRPr="007C5403">
        <w:rPr>
          <w:sz w:val="24"/>
          <w:lang w:val="fi-FI"/>
        </w:rPr>
        <w:t xml:space="preserve">207, 22.2.2024, </w:t>
      </w:r>
      <w:r w:rsidRPr="00156777">
        <w:rPr>
          <w:sz w:val="24"/>
          <w:lang w:val="fi-FI"/>
        </w:rPr>
        <w:t>ELI</w:t>
      </w:r>
      <w:r w:rsidRPr="007C5403">
        <w:rPr>
          <w:sz w:val="24"/>
          <w:lang w:val="fi-FI"/>
        </w:rPr>
        <w:t xml:space="preserve">: </w:t>
      </w:r>
      <w:hyperlink r:id="rId1" w:history="1">
        <w:r w:rsidRPr="00156777">
          <w:rPr>
            <w:rStyle w:val="Hyperlink"/>
            <w:sz w:val="24"/>
            <w:lang w:val="fi-FI"/>
          </w:rPr>
          <w:t>http</w:t>
        </w:r>
        <w:r w:rsidRPr="007C5403">
          <w:rPr>
            <w:rStyle w:val="Hyperlink"/>
            <w:sz w:val="24"/>
            <w:lang w:val="fi-FI"/>
          </w:rPr>
          <w:t>://</w:t>
        </w:r>
        <w:r w:rsidRPr="00156777">
          <w:rPr>
            <w:rStyle w:val="Hyperlink"/>
            <w:sz w:val="24"/>
            <w:lang w:val="fi-FI"/>
          </w:rPr>
          <w:t>data</w:t>
        </w:r>
        <w:r w:rsidRPr="007C5403">
          <w:rPr>
            <w:rStyle w:val="Hyperlink"/>
            <w:sz w:val="24"/>
            <w:lang w:val="fi-FI"/>
          </w:rPr>
          <w:t>.</w:t>
        </w:r>
        <w:r w:rsidRPr="00156777">
          <w:rPr>
            <w:rStyle w:val="Hyperlink"/>
            <w:sz w:val="24"/>
            <w:lang w:val="fi-FI"/>
          </w:rPr>
          <w:t>europa</w:t>
        </w:r>
        <w:r w:rsidRPr="007C5403">
          <w:rPr>
            <w:rStyle w:val="Hyperlink"/>
            <w:sz w:val="24"/>
            <w:lang w:val="fi-FI"/>
          </w:rPr>
          <w:t>.</w:t>
        </w:r>
        <w:r w:rsidRPr="00156777">
          <w:rPr>
            <w:rStyle w:val="Hyperlink"/>
            <w:sz w:val="24"/>
            <w:lang w:val="fi-FI"/>
          </w:rPr>
          <w:t>eu</w:t>
        </w:r>
        <w:r w:rsidRPr="007C5403">
          <w:rPr>
            <w:rStyle w:val="Hyperlink"/>
            <w:sz w:val="24"/>
            <w:lang w:val="fi-FI"/>
          </w:rPr>
          <w:t>/</w:t>
        </w:r>
        <w:r w:rsidRPr="00156777">
          <w:rPr>
            <w:rStyle w:val="Hyperlink"/>
            <w:sz w:val="24"/>
            <w:lang w:val="fi-FI"/>
          </w:rPr>
          <w:t>eli</w:t>
        </w:r>
        <w:r w:rsidRPr="007C5403">
          <w:rPr>
            <w:rStyle w:val="Hyperlink"/>
            <w:sz w:val="24"/>
            <w:lang w:val="fi-FI"/>
          </w:rPr>
          <w:t>/</w:t>
        </w:r>
        <w:r w:rsidRPr="00156777">
          <w:rPr>
            <w:rStyle w:val="Hyperlink"/>
            <w:sz w:val="24"/>
            <w:lang w:val="fi-FI"/>
          </w:rPr>
          <w:t>budget</w:t>
        </w:r>
        <w:r w:rsidRPr="007C5403">
          <w:rPr>
            <w:rStyle w:val="Hyperlink"/>
            <w:sz w:val="24"/>
            <w:lang w:val="fi-FI"/>
          </w:rPr>
          <w:t>/2024/207/</w:t>
        </w:r>
        <w:r w:rsidRPr="00156777">
          <w:rPr>
            <w:rStyle w:val="Hyperlink"/>
            <w:sz w:val="24"/>
            <w:lang w:val="fi-FI"/>
          </w:rPr>
          <w:t>oj</w:t>
        </w:r>
      </w:hyperlink>
      <w:r w:rsidRPr="007C5403">
        <w:rPr>
          <w:sz w:val="24"/>
          <w:lang w:val="fi-FI"/>
        </w:rPr>
        <w:t>.</w:t>
      </w:r>
    </w:p>
  </w:footnote>
  <w:footnote w:id="2">
    <w:p w14:paraId="3C793C38" w14:textId="5990C966" w:rsidR="00230C4F" w:rsidRPr="00414BFD" w:rsidRDefault="00230C4F" w:rsidP="00156777">
      <w:pPr>
        <w:pStyle w:val="FootnoteText"/>
        <w:spacing w:line="240" w:lineRule="auto"/>
        <w:ind w:left="567" w:hanging="567"/>
        <w:rPr>
          <w:sz w:val="24"/>
          <w:lang w:val="el-GR"/>
        </w:rPr>
      </w:pPr>
      <w:r w:rsidRPr="00414BFD">
        <w:rPr>
          <w:rStyle w:val="FootnoteReference"/>
          <w:sz w:val="24"/>
          <w:lang w:val="el-GR"/>
        </w:rPr>
        <w:footnoteRef/>
      </w:r>
      <w:r w:rsidR="00414BFD" w:rsidRPr="00414BFD">
        <w:rPr>
          <w:sz w:val="24"/>
          <w:lang w:val="el-GR"/>
        </w:rPr>
        <w:t xml:space="preserve"> </w:t>
      </w:r>
      <w:r w:rsidR="00414BFD" w:rsidRPr="00414BFD">
        <w:rPr>
          <w:sz w:val="24"/>
          <w:lang w:val="el-GR"/>
        </w:rPr>
        <w:tab/>
      </w:r>
      <w:r w:rsidRPr="00414BFD">
        <w:rPr>
          <w:sz w:val="24"/>
          <w:lang w:val="el-GR"/>
        </w:rPr>
        <w:t>ΕΕ C, C/2025/4944, 13.10.2025, ELI: </w:t>
      </w:r>
      <w:hyperlink r:id="rId2" w:tgtFrame="_blank" w:tooltip="Πρόσβαση στο έγγραφο μέσω URI τύπου ELI." w:history="1">
        <w:r w:rsidRPr="00414BFD">
          <w:rPr>
            <w:rStyle w:val="Hyperlink"/>
            <w:sz w:val="24"/>
            <w:lang w:val="el-GR"/>
          </w:rPr>
          <w:t>http://data.europa.eu/eli/C/2025/4944/oj</w:t>
        </w:r>
      </w:hyperlink>
      <w:r w:rsidRPr="00414BFD">
        <w:rPr>
          <w:sz w:val="24"/>
          <w:lang w:val="el-GR"/>
        </w:rPr>
        <w:t>.</w:t>
      </w:r>
    </w:p>
  </w:footnote>
  <w:footnote w:id="3">
    <w:p w14:paraId="120810C8" w14:textId="51BC9463" w:rsidR="00230C4F" w:rsidRPr="00156777" w:rsidRDefault="00230C4F" w:rsidP="00156777">
      <w:pPr>
        <w:pStyle w:val="FootnoteText"/>
        <w:spacing w:line="240" w:lineRule="auto"/>
        <w:ind w:left="567" w:hanging="567"/>
        <w:rPr>
          <w:sz w:val="24"/>
          <w:lang w:val="fi-FI"/>
        </w:rPr>
      </w:pPr>
      <w:r w:rsidRPr="00414BFD">
        <w:rPr>
          <w:rStyle w:val="FootnoteReference"/>
          <w:sz w:val="24"/>
          <w:lang w:val="el-GR"/>
        </w:rPr>
        <w:footnoteRef/>
      </w:r>
      <w:r w:rsidR="00414BFD" w:rsidRPr="00156777">
        <w:rPr>
          <w:sz w:val="24"/>
          <w:lang w:val="fi-FI"/>
        </w:rPr>
        <w:t xml:space="preserve"> </w:t>
      </w:r>
      <w:r w:rsidR="00414BFD" w:rsidRPr="00156777">
        <w:rPr>
          <w:sz w:val="24"/>
          <w:lang w:val="fi-FI"/>
        </w:rPr>
        <w:tab/>
      </w:r>
      <w:r w:rsidRPr="00414BFD">
        <w:rPr>
          <w:sz w:val="24"/>
          <w:lang w:val="el-GR"/>
        </w:rPr>
        <w:t>ΕΕ</w:t>
      </w:r>
      <w:r w:rsidRPr="00156777">
        <w:rPr>
          <w:sz w:val="24"/>
          <w:lang w:val="fi-FI"/>
        </w:rPr>
        <w:t xml:space="preserve"> C, C/2025/5409, 8.10.2025, ELI: </w:t>
      </w:r>
      <w:hyperlink r:id="rId3" w:history="1">
        <w:r w:rsidRPr="00156777">
          <w:rPr>
            <w:rStyle w:val="Hyperlink"/>
            <w:sz w:val="24"/>
            <w:lang w:val="fi-FI"/>
          </w:rPr>
          <w:t>http://data.europa.eu/eli/C/2025/5409/oj</w:t>
        </w:r>
      </w:hyperlink>
      <w:r w:rsidRPr="00156777">
        <w:rPr>
          <w:sz w:val="24"/>
          <w:lang w:val="fi-FI"/>
        </w:rPr>
        <w:t>.</w:t>
      </w:r>
    </w:p>
  </w:footnote>
  <w:footnote w:id="4">
    <w:p w14:paraId="5A78735D" w14:textId="6188A304" w:rsidR="00230C4F" w:rsidRPr="00156777" w:rsidRDefault="00230C4F" w:rsidP="00156777">
      <w:pPr>
        <w:pStyle w:val="FootnoteText"/>
        <w:spacing w:line="240" w:lineRule="auto"/>
        <w:ind w:left="567" w:hanging="567"/>
        <w:rPr>
          <w:sz w:val="24"/>
          <w:lang w:val="fi-FI"/>
        </w:rPr>
      </w:pPr>
      <w:r w:rsidRPr="00414BFD">
        <w:rPr>
          <w:rStyle w:val="FootnoteReference"/>
          <w:sz w:val="24"/>
          <w:lang w:val="el-GR"/>
        </w:rPr>
        <w:footnoteRef/>
      </w:r>
      <w:r w:rsidR="00414BFD" w:rsidRPr="00156777">
        <w:rPr>
          <w:sz w:val="24"/>
          <w:lang w:val="fi-FI"/>
        </w:rPr>
        <w:t xml:space="preserve"> </w:t>
      </w:r>
      <w:r w:rsidR="00414BFD" w:rsidRPr="00156777">
        <w:rPr>
          <w:sz w:val="24"/>
          <w:lang w:val="fi-FI"/>
        </w:rPr>
        <w:tab/>
      </w:r>
      <w:r w:rsidRPr="00414BFD">
        <w:rPr>
          <w:sz w:val="24"/>
          <w:lang w:val="el-GR"/>
        </w:rPr>
        <w:t>ΕΕ</w:t>
      </w:r>
      <w:r w:rsidRPr="00156777">
        <w:rPr>
          <w:sz w:val="24"/>
          <w:lang w:val="fi-FI"/>
        </w:rPr>
        <w:t xml:space="preserve"> C, C/2025/5407, 13.10.2025, ELI: </w:t>
      </w:r>
      <w:hyperlink r:id="rId4" w:history="1">
        <w:r w:rsidRPr="00156777">
          <w:rPr>
            <w:rStyle w:val="Hyperlink"/>
            <w:sz w:val="24"/>
            <w:lang w:val="fi-FI"/>
          </w:rPr>
          <w:t>http://data.europa.eu/eli/C/2025/5407/oj</w:t>
        </w:r>
      </w:hyperlink>
      <w:r w:rsidRPr="00156777">
        <w:rPr>
          <w:sz w:val="24"/>
          <w:lang w:val="fi-FI"/>
        </w:rPr>
        <w:t>.</w:t>
      </w:r>
    </w:p>
  </w:footnote>
  <w:footnote w:id="5">
    <w:p w14:paraId="59EEA527" w14:textId="66970581" w:rsidR="00230C4F" w:rsidRPr="00C93EA4" w:rsidRDefault="00230C4F" w:rsidP="00156777">
      <w:pPr>
        <w:pStyle w:val="FootnoteText"/>
        <w:spacing w:line="240" w:lineRule="auto"/>
        <w:ind w:left="567" w:hanging="567"/>
        <w:rPr>
          <w:sz w:val="24"/>
          <w:lang w:val="el-GR"/>
        </w:rPr>
      </w:pPr>
      <w:r w:rsidRPr="00414BFD">
        <w:rPr>
          <w:rStyle w:val="FootnoteReference"/>
          <w:sz w:val="24"/>
          <w:lang w:val="el-GR"/>
        </w:rPr>
        <w:footnoteRef/>
      </w:r>
      <w:r w:rsidR="00414BFD" w:rsidRPr="00C93EA4">
        <w:rPr>
          <w:sz w:val="24"/>
          <w:lang w:val="el-GR"/>
        </w:rPr>
        <w:t xml:space="preserve"> </w:t>
      </w:r>
      <w:r w:rsidR="00414BFD" w:rsidRPr="00C93EA4">
        <w:rPr>
          <w:sz w:val="24"/>
          <w:lang w:val="el-GR"/>
        </w:rPr>
        <w:tab/>
      </w:r>
      <w:r w:rsidRPr="00414BFD">
        <w:rPr>
          <w:sz w:val="24"/>
          <w:lang w:val="el-GR"/>
        </w:rPr>
        <w:t>ΕΕ</w:t>
      </w:r>
      <w:r w:rsidRPr="00C93EA4">
        <w:rPr>
          <w:sz w:val="24"/>
          <w:lang w:val="el-GR"/>
        </w:rPr>
        <w:t xml:space="preserve"> </w:t>
      </w:r>
      <w:r w:rsidRPr="00156777">
        <w:rPr>
          <w:sz w:val="24"/>
          <w:lang w:val="fi-FI"/>
        </w:rPr>
        <w:t>L</w:t>
      </w:r>
      <w:r w:rsidRPr="00C93EA4">
        <w:rPr>
          <w:sz w:val="24"/>
          <w:lang w:val="el-GR"/>
        </w:rPr>
        <w:t xml:space="preserve"> 193</w:t>
      </w:r>
      <w:r w:rsidR="00156777" w:rsidRPr="00156777">
        <w:rPr>
          <w:sz w:val="24"/>
          <w:lang w:val="el-GR"/>
        </w:rPr>
        <w:t xml:space="preserve"> </w:t>
      </w:r>
      <w:r w:rsidR="00156777">
        <w:rPr>
          <w:sz w:val="24"/>
          <w:lang w:val="el-GR"/>
        </w:rPr>
        <w:t>της</w:t>
      </w:r>
      <w:r w:rsidRPr="00C93EA4">
        <w:rPr>
          <w:sz w:val="24"/>
          <w:lang w:val="el-GR"/>
        </w:rPr>
        <w:t xml:space="preserve"> 30.7.2018, </w:t>
      </w:r>
      <w:r w:rsidR="00156777">
        <w:rPr>
          <w:sz w:val="24"/>
          <w:lang w:val="el-GR"/>
        </w:rPr>
        <w:t>σ</w:t>
      </w:r>
      <w:r w:rsidRPr="00C93EA4">
        <w:rPr>
          <w:sz w:val="24"/>
          <w:lang w:val="el-GR"/>
        </w:rPr>
        <w:t xml:space="preserve">. 1, </w:t>
      </w:r>
      <w:r w:rsidRPr="00156777">
        <w:rPr>
          <w:sz w:val="24"/>
          <w:lang w:val="fi-FI"/>
        </w:rPr>
        <w:t>ELI</w:t>
      </w:r>
      <w:r w:rsidRPr="00C93EA4">
        <w:rPr>
          <w:sz w:val="24"/>
          <w:lang w:val="el-GR"/>
        </w:rPr>
        <w:t xml:space="preserve">: </w:t>
      </w:r>
      <w:hyperlink r:id="rId5" w:history="1">
        <w:r w:rsidRPr="00156777">
          <w:rPr>
            <w:rStyle w:val="Hyperlink"/>
            <w:sz w:val="24"/>
            <w:lang w:val="fi-FI"/>
          </w:rPr>
          <w:t>http</w:t>
        </w:r>
        <w:r w:rsidRPr="00C93EA4">
          <w:rPr>
            <w:rStyle w:val="Hyperlink"/>
            <w:sz w:val="24"/>
            <w:lang w:val="el-GR"/>
          </w:rPr>
          <w:t>://</w:t>
        </w:r>
        <w:r w:rsidRPr="00156777">
          <w:rPr>
            <w:rStyle w:val="Hyperlink"/>
            <w:sz w:val="24"/>
            <w:lang w:val="fi-FI"/>
          </w:rPr>
          <w:t>data</w:t>
        </w:r>
        <w:r w:rsidRPr="00C93EA4">
          <w:rPr>
            <w:rStyle w:val="Hyperlink"/>
            <w:sz w:val="24"/>
            <w:lang w:val="el-GR"/>
          </w:rPr>
          <w:t>.</w:t>
        </w:r>
        <w:r w:rsidRPr="00156777">
          <w:rPr>
            <w:rStyle w:val="Hyperlink"/>
            <w:sz w:val="24"/>
            <w:lang w:val="fi-FI"/>
          </w:rPr>
          <w:t>europa</w:t>
        </w:r>
        <w:r w:rsidRPr="00C93EA4">
          <w:rPr>
            <w:rStyle w:val="Hyperlink"/>
            <w:sz w:val="24"/>
            <w:lang w:val="el-GR"/>
          </w:rPr>
          <w:t>.</w:t>
        </w:r>
        <w:proofErr w:type="spellStart"/>
        <w:r w:rsidRPr="00156777">
          <w:rPr>
            <w:rStyle w:val="Hyperlink"/>
            <w:sz w:val="24"/>
            <w:lang w:val="fi-FI"/>
          </w:rPr>
          <w:t>eu</w:t>
        </w:r>
        <w:proofErr w:type="spellEnd"/>
        <w:r w:rsidRPr="00C93EA4">
          <w:rPr>
            <w:rStyle w:val="Hyperlink"/>
            <w:sz w:val="24"/>
            <w:lang w:val="el-GR"/>
          </w:rPr>
          <w:t>/</w:t>
        </w:r>
        <w:r w:rsidRPr="00156777">
          <w:rPr>
            <w:rStyle w:val="Hyperlink"/>
            <w:sz w:val="24"/>
            <w:lang w:val="fi-FI"/>
          </w:rPr>
          <w:t>eli</w:t>
        </w:r>
        <w:r w:rsidRPr="00C93EA4">
          <w:rPr>
            <w:rStyle w:val="Hyperlink"/>
            <w:sz w:val="24"/>
            <w:lang w:val="el-GR"/>
          </w:rPr>
          <w:t>/</w:t>
        </w:r>
        <w:proofErr w:type="spellStart"/>
        <w:r w:rsidRPr="00156777">
          <w:rPr>
            <w:rStyle w:val="Hyperlink"/>
            <w:sz w:val="24"/>
            <w:lang w:val="fi-FI"/>
          </w:rPr>
          <w:t>reg</w:t>
        </w:r>
        <w:proofErr w:type="spellEnd"/>
        <w:r w:rsidRPr="00C93EA4">
          <w:rPr>
            <w:rStyle w:val="Hyperlink"/>
            <w:sz w:val="24"/>
            <w:lang w:val="el-GR"/>
          </w:rPr>
          <w:t>/2018/1046/</w:t>
        </w:r>
        <w:proofErr w:type="spellStart"/>
        <w:r w:rsidRPr="00156777">
          <w:rPr>
            <w:rStyle w:val="Hyperlink"/>
            <w:sz w:val="24"/>
            <w:lang w:val="fi-FI"/>
          </w:rPr>
          <w:t>oj</w:t>
        </w:r>
        <w:proofErr w:type="spellEnd"/>
      </w:hyperlink>
      <w:r w:rsidRPr="00C93EA4">
        <w:rPr>
          <w:sz w:val="24"/>
          <w:lang w:val="el-GR"/>
        </w:rPr>
        <w:t>.</w:t>
      </w:r>
    </w:p>
  </w:footnote>
  <w:footnote w:id="6">
    <w:p w14:paraId="3342B85D" w14:textId="033A300C" w:rsidR="00230C4F" w:rsidRPr="00156777" w:rsidRDefault="00230C4F" w:rsidP="00156777">
      <w:pPr>
        <w:pStyle w:val="FootnoteText"/>
        <w:spacing w:line="240" w:lineRule="auto"/>
        <w:ind w:left="567" w:hanging="567"/>
        <w:rPr>
          <w:sz w:val="24"/>
          <w:szCs w:val="24"/>
          <w:lang w:val="fi-FI"/>
        </w:rPr>
      </w:pPr>
      <w:r w:rsidRPr="00414BFD">
        <w:rPr>
          <w:rStyle w:val="FootnoteReference"/>
          <w:sz w:val="24"/>
          <w:lang w:val="el-GR"/>
        </w:rPr>
        <w:footnoteRef/>
      </w:r>
      <w:r w:rsidR="00414BFD" w:rsidRPr="00156777">
        <w:rPr>
          <w:sz w:val="24"/>
          <w:lang w:val="fi-FI"/>
        </w:rPr>
        <w:t xml:space="preserve"> </w:t>
      </w:r>
      <w:r w:rsidR="00414BFD" w:rsidRPr="00156777">
        <w:rPr>
          <w:sz w:val="24"/>
          <w:lang w:val="fi-FI"/>
        </w:rPr>
        <w:tab/>
      </w:r>
      <w:r w:rsidRPr="00414BFD">
        <w:rPr>
          <w:sz w:val="24"/>
          <w:lang w:val="el-GR"/>
        </w:rPr>
        <w:t>ΕΕ</w:t>
      </w:r>
      <w:r w:rsidRPr="00156777">
        <w:rPr>
          <w:sz w:val="24"/>
          <w:lang w:val="fi-FI"/>
        </w:rPr>
        <w:t xml:space="preserve"> L, 2024/2509, 26.9.2024, ELI: </w:t>
      </w:r>
      <w:hyperlink r:id="rId6" w:history="1">
        <w:r w:rsidRPr="00156777">
          <w:rPr>
            <w:rStyle w:val="Hyperlink"/>
            <w:sz w:val="24"/>
            <w:lang w:val="fi-FI"/>
          </w:rPr>
          <w:t>http://data.europa.eu/eli/reg/2024/2509/oj</w:t>
        </w:r>
      </w:hyperlink>
      <w:r w:rsidRPr="00156777">
        <w:rPr>
          <w:sz w:val="24"/>
          <w:lang w:val="fi-FI"/>
        </w:rPr>
        <w:t>.</w:t>
      </w:r>
    </w:p>
  </w:footnote>
  <w:footnote w:id="7">
    <w:p w14:paraId="21A7908B" w14:textId="66EE3D76" w:rsidR="00230C4F" w:rsidRPr="00414BFD" w:rsidRDefault="00230C4F" w:rsidP="00156777">
      <w:pPr>
        <w:pStyle w:val="FootnoteText"/>
        <w:spacing w:line="240" w:lineRule="auto"/>
        <w:ind w:left="567" w:hanging="567"/>
        <w:rPr>
          <w:sz w:val="24"/>
          <w:szCs w:val="24"/>
          <w:lang w:val="el-GR"/>
        </w:rPr>
      </w:pPr>
      <w:r w:rsidRPr="00414BFD">
        <w:rPr>
          <w:rStyle w:val="FootnoteReference"/>
          <w:sz w:val="24"/>
          <w:szCs w:val="24"/>
          <w:lang w:val="el-GR"/>
        </w:rPr>
        <w:footnoteRef/>
      </w:r>
      <w:r w:rsidR="00414BFD" w:rsidRPr="00414BFD">
        <w:rPr>
          <w:sz w:val="24"/>
          <w:lang w:val="el-GR"/>
        </w:rPr>
        <w:t xml:space="preserve"> </w:t>
      </w:r>
      <w:r w:rsidR="00414BFD" w:rsidRPr="00414BFD">
        <w:rPr>
          <w:sz w:val="24"/>
          <w:lang w:val="el-GR"/>
        </w:rPr>
        <w:tab/>
      </w:r>
      <w:r w:rsidRPr="00414BFD">
        <w:rPr>
          <w:sz w:val="24"/>
          <w:lang w:val="el-GR"/>
        </w:rPr>
        <w:t>Κανονισμός (ΕΕ, Ευρατόμ) 2024/2019 του Ευρωπαϊκού Κοινοβουλίου και του Συμβουλίου, της 11ης Απριλίου 2024, για την τροποποίηση του πρωτοκόλλου αριθ. </w:t>
      </w:r>
      <w:r w:rsidRPr="00414BFD">
        <w:rPr>
          <w:sz w:val="24"/>
          <w:lang w:val="el-GR"/>
        </w:rPr>
        <w:t xml:space="preserve">3 περί του Οργανισμού του Δικαστηρίου της Ευρωπαϊκής Ένωσης (ΕΕ L, 2024/2019, 12.8.2024, ELI: </w:t>
      </w:r>
      <w:hyperlink r:id="rId7" w:history="1">
        <w:r w:rsidRPr="00414BFD">
          <w:rPr>
            <w:rStyle w:val="Hyperlink"/>
            <w:sz w:val="24"/>
            <w:lang w:val="el-GR"/>
          </w:rPr>
          <w:t>http://data.europa.eu/eli/reg/2024/2019/oj</w:t>
        </w:r>
      </w:hyperlink>
      <w:r w:rsidRPr="00414BFD">
        <w:rPr>
          <w:rStyle w:val="Hyperlink"/>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EF5F1" w14:textId="77777777" w:rsidR="00064002" w:rsidRPr="00414B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BC927" w14:textId="77777777" w:rsidR="00064002" w:rsidRPr="00414B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CBFDC" w14:textId="77777777" w:rsidR="00064002" w:rsidRPr="00414B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7A6262A"/>
    <w:multiLevelType w:val="hybridMultilevel"/>
    <w:tmpl w:val="41F00F08"/>
    <w:lvl w:ilvl="0" w:tplc="6618125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7858531">
    <w:abstractNumId w:val="0"/>
  </w:num>
  <w:num w:numId="2" w16cid:durableId="302466886">
    <w:abstractNumId w:val="2"/>
  </w:num>
  <w:num w:numId="3" w16cid:durableId="155766676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EL"/>
    <w:docVar w:name="dvnumam" w:val="0"/>
    <w:docVar w:name="dvpe" w:val="778.060"/>
    <w:docVar w:name="dvrapporteur" w:val="Εισηγητής: "/>
    <w:docVar w:name="dvtitre" w:val="Απόφαση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IV – Δικαστήριο της Ευρωπαϊκής Ένωσης(2025/2148(DEC))"/>
  </w:docVars>
  <w:rsids>
    <w:rsidRoot w:val="00585EF5"/>
    <w:rsid w:val="00002272"/>
    <w:rsid w:val="00011376"/>
    <w:rsid w:val="00064002"/>
    <w:rsid w:val="000677B9"/>
    <w:rsid w:val="000831BA"/>
    <w:rsid w:val="000A42CC"/>
    <w:rsid w:val="000B2407"/>
    <w:rsid w:val="000E7DD9"/>
    <w:rsid w:val="0010095E"/>
    <w:rsid w:val="00125B37"/>
    <w:rsid w:val="00156777"/>
    <w:rsid w:val="00187494"/>
    <w:rsid w:val="001F32AE"/>
    <w:rsid w:val="00230C4F"/>
    <w:rsid w:val="00234481"/>
    <w:rsid w:val="002767FF"/>
    <w:rsid w:val="002B18FE"/>
    <w:rsid w:val="002B5493"/>
    <w:rsid w:val="00343214"/>
    <w:rsid w:val="00361C00"/>
    <w:rsid w:val="00395FA1"/>
    <w:rsid w:val="003E15D4"/>
    <w:rsid w:val="00411CCE"/>
    <w:rsid w:val="00414BFD"/>
    <w:rsid w:val="0041666E"/>
    <w:rsid w:val="00421060"/>
    <w:rsid w:val="00471C19"/>
    <w:rsid w:val="004867E3"/>
    <w:rsid w:val="00494A28"/>
    <w:rsid w:val="004C0004"/>
    <w:rsid w:val="004C5D52"/>
    <w:rsid w:val="0050519A"/>
    <w:rsid w:val="005072A1"/>
    <w:rsid w:val="00514517"/>
    <w:rsid w:val="00537808"/>
    <w:rsid w:val="00545827"/>
    <w:rsid w:val="00560270"/>
    <w:rsid w:val="00585EF5"/>
    <w:rsid w:val="005C2568"/>
    <w:rsid w:val="005F1B17"/>
    <w:rsid w:val="006037C0"/>
    <w:rsid w:val="006238BE"/>
    <w:rsid w:val="006247EC"/>
    <w:rsid w:val="006631B6"/>
    <w:rsid w:val="006646FF"/>
    <w:rsid w:val="00680577"/>
    <w:rsid w:val="006F74FA"/>
    <w:rsid w:val="00731ADD"/>
    <w:rsid w:val="00734777"/>
    <w:rsid w:val="00747932"/>
    <w:rsid w:val="00751A4A"/>
    <w:rsid w:val="00756632"/>
    <w:rsid w:val="00762C74"/>
    <w:rsid w:val="00786EC0"/>
    <w:rsid w:val="007C540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3EA4"/>
    <w:rsid w:val="00C941CB"/>
    <w:rsid w:val="00CC2357"/>
    <w:rsid w:val="00CF071A"/>
    <w:rsid w:val="00D058B8"/>
    <w:rsid w:val="00D56C11"/>
    <w:rsid w:val="00D834A0"/>
    <w:rsid w:val="00D872DF"/>
    <w:rsid w:val="00D91E21"/>
    <w:rsid w:val="00DA7FCD"/>
    <w:rsid w:val="00DB0178"/>
    <w:rsid w:val="00DC3EC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8443A5"/>
  <w15:chartTrackingRefBased/>
  <w15:docId w15:val="{F3478FDE-D6FF-485D-A1D8-B57EB96A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30C4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30C4F"/>
    <w:pPr>
      <w:spacing w:before="480" w:after="240"/>
    </w:pPr>
  </w:style>
  <w:style w:type="paragraph" w:customStyle="1" w:styleId="PageHeading">
    <w:name w:val="PageHeading"/>
    <w:basedOn w:val="Normal"/>
    <w:rsid w:val="00230C4F"/>
    <w:pPr>
      <w:keepNext/>
      <w:spacing w:after="480"/>
      <w:jc w:val="center"/>
    </w:pPr>
    <w:rPr>
      <w:rFonts w:ascii="Arial" w:hAnsi="Arial" w:cs="Arial"/>
      <w:b/>
    </w:rPr>
  </w:style>
  <w:style w:type="paragraph" w:customStyle="1" w:styleId="NormalBold">
    <w:name w:val="NormalBold"/>
    <w:basedOn w:val="Normal"/>
    <w:rsid w:val="00230C4F"/>
    <w:rPr>
      <w:b/>
    </w:rPr>
  </w:style>
  <w:style w:type="paragraph" w:customStyle="1" w:styleId="NormalHanging12a">
    <w:name w:val="NormalHanging12a"/>
    <w:basedOn w:val="Normal"/>
    <w:link w:val="NormalHanging12aChar"/>
    <w:qFormat/>
    <w:rsid w:val="00230C4F"/>
    <w:pPr>
      <w:spacing w:after="240"/>
      <w:ind w:left="567" w:hanging="567"/>
    </w:pPr>
  </w:style>
  <w:style w:type="paragraph" w:styleId="Header">
    <w:name w:val="header"/>
    <w:basedOn w:val="Normal"/>
    <w:link w:val="HeaderChar"/>
    <w:rsid w:val="00230C4F"/>
    <w:pPr>
      <w:tabs>
        <w:tab w:val="center" w:pos="4513"/>
        <w:tab w:val="right" w:pos="9026"/>
      </w:tabs>
    </w:pPr>
  </w:style>
  <w:style w:type="character" w:customStyle="1" w:styleId="HeaderChar">
    <w:name w:val="Header Char"/>
    <w:basedOn w:val="DefaultParagraphFont"/>
    <w:link w:val="Header"/>
    <w:rsid w:val="00230C4F"/>
    <w:rPr>
      <w:sz w:val="24"/>
      <w:lang w:val="el-GR"/>
    </w:rPr>
  </w:style>
  <w:style w:type="paragraph" w:customStyle="1" w:styleId="EPFooter">
    <w:name w:val="EPFooter"/>
    <w:basedOn w:val="Normal"/>
    <w:rsid w:val="00230C4F"/>
    <w:pPr>
      <w:tabs>
        <w:tab w:val="center" w:pos="4535"/>
        <w:tab w:val="right" w:pos="9071"/>
      </w:tabs>
      <w:spacing w:before="240" w:after="240"/>
    </w:pPr>
    <w:rPr>
      <w:color w:val="010000"/>
      <w:sz w:val="22"/>
    </w:rPr>
  </w:style>
  <w:style w:type="character" w:styleId="Hyperlink">
    <w:name w:val="Hyperlink"/>
    <w:basedOn w:val="DefaultParagraphFont"/>
    <w:rsid w:val="00230C4F"/>
    <w:rPr>
      <w:color w:val="0563C1" w:themeColor="hyperlink"/>
      <w:u w:val="single"/>
    </w:rPr>
  </w:style>
  <w:style w:type="character" w:customStyle="1" w:styleId="NormalHanging12aChar">
    <w:name w:val="NormalHanging12a Char"/>
    <w:basedOn w:val="DefaultParagraphFont"/>
    <w:link w:val="NormalHanging12a"/>
    <w:locked/>
    <w:rsid w:val="00230C4F"/>
    <w:rPr>
      <w:sz w:val="24"/>
      <w:lang w:val="el-GR"/>
    </w:rPr>
  </w:style>
  <w:style w:type="paragraph" w:styleId="Revision">
    <w:name w:val="Revision"/>
    <w:hidden/>
    <w:uiPriority w:val="99"/>
    <w:semiHidden/>
    <w:rsid w:val="00156777"/>
    <w:rPr>
      <w:sz w:val="24"/>
      <w:lang w:val="el-GR"/>
    </w:rPr>
  </w:style>
  <w:style w:type="paragraph" w:styleId="ListParagraph">
    <w:name w:val="List Paragraph"/>
    <w:basedOn w:val="Normal"/>
    <w:uiPriority w:val="34"/>
    <w:qFormat/>
    <w:rsid w:val="001567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8403</Words>
  <Characters>48675</Characters>
  <Application>Microsoft Office Word</Application>
  <DocSecurity>0</DocSecurity>
  <Lines>2028</Lines>
  <Paragraphs>582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 Amalia</dc:creator>
  <cp:keywords/>
  <cp:lastModifiedBy>Amalia</cp:lastModifiedBy>
  <cp:revision>2</cp:revision>
  <cp:lastPrinted>2004-11-19T15:42:00Z</cp:lastPrinted>
  <dcterms:created xsi:type="dcterms:W3CDTF">2026-04-29T11:58:00Z</dcterms:created>
  <dcterms:modified xsi:type="dcterms:W3CDTF">2026-04-29T11:58:00Z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A10-0055/2026</vt:lpwstr>
  </property>
  <property fmtid="{D5CDD505-2E9C-101B-9397-08002B2CF9AE}" pid="4" name="&lt;Type&gt;">
    <vt:lpwstr>RR</vt:lpwstr>
  </property>
</Properties>
</file>