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562" w14:paraId="574F35A5" w14:textId="77777777" w:rsidTr="0010095E">
        <w:trPr>
          <w:trHeight w:hRule="exact" w:val="1418"/>
        </w:trPr>
        <w:tc>
          <w:tcPr>
            <w:tcW w:w="6804" w:type="dxa"/>
            <w:shd w:val="clear" w:color="auto" w:fill="auto"/>
            <w:vAlign w:val="center"/>
          </w:tcPr>
          <w:p w14:paraId="2D975597" w14:textId="77777777" w:rsidR="00751A4A" w:rsidRPr="00B75562" w:rsidRDefault="00EC2048" w:rsidP="0010095E">
            <w:pPr>
              <w:pStyle w:val="EPName"/>
            </w:pPr>
            <w:r w:rsidRPr="00B75562">
              <w:t>Europski parlament</w:t>
            </w:r>
          </w:p>
          <w:p w14:paraId="21BB5793" w14:textId="77777777" w:rsidR="00751A4A" w:rsidRPr="00B75562" w:rsidRDefault="005F1B17" w:rsidP="005F1B17">
            <w:pPr>
              <w:pStyle w:val="EPTerm"/>
              <w:rPr>
                <w:rStyle w:val="HideTWBExt"/>
                <w:noProof w:val="0"/>
                <w:vanish w:val="0"/>
                <w:color w:val="auto"/>
              </w:rPr>
            </w:pPr>
            <w:r w:rsidRPr="00B75562">
              <w:t>2024</w:t>
            </w:r>
            <w:r w:rsidR="00817416" w:rsidRPr="00B75562">
              <w:t>-202</w:t>
            </w:r>
            <w:r w:rsidRPr="00B75562">
              <w:t>9</w:t>
            </w:r>
          </w:p>
        </w:tc>
        <w:tc>
          <w:tcPr>
            <w:tcW w:w="2268" w:type="dxa"/>
            <w:shd w:val="clear" w:color="auto" w:fill="auto"/>
          </w:tcPr>
          <w:p w14:paraId="2B1B7473" w14:textId="77777777" w:rsidR="00751A4A" w:rsidRPr="00B75562" w:rsidRDefault="00187494" w:rsidP="0010095E">
            <w:pPr>
              <w:pStyle w:val="EPLogo"/>
            </w:pPr>
            <w:r w:rsidRPr="00B75562">
              <w:rPr>
                <w:noProof/>
                <w:lang w:eastAsia="ja-JP"/>
              </w:rPr>
              <w:drawing>
                <wp:inline distT="0" distB="0" distL="0" distR="0" wp14:anchorId="3E92FE82" wp14:editId="283A8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C9DAED" w14:textId="77777777" w:rsidR="00D058B8" w:rsidRPr="00B75562" w:rsidRDefault="00D058B8" w:rsidP="004C5D52">
      <w:pPr>
        <w:pStyle w:val="LineTop"/>
      </w:pPr>
    </w:p>
    <w:p w14:paraId="1EE083BA" w14:textId="77777777" w:rsidR="00680577" w:rsidRPr="00B75562" w:rsidRDefault="00EC2048" w:rsidP="00680577">
      <w:pPr>
        <w:pStyle w:val="EPBodyTA1"/>
      </w:pPr>
      <w:r w:rsidRPr="00B75562">
        <w:t>USVOJENI TEKSTOVI</w:t>
      </w:r>
    </w:p>
    <w:p w14:paraId="262A30F1" w14:textId="77777777" w:rsidR="00D058B8" w:rsidRPr="00B75562" w:rsidRDefault="00D058B8" w:rsidP="00D058B8">
      <w:pPr>
        <w:pStyle w:val="LineBottom"/>
      </w:pPr>
    </w:p>
    <w:p w14:paraId="3BA45422" w14:textId="1859B374" w:rsidR="00EC2048" w:rsidRPr="00B75562" w:rsidRDefault="00EC2048" w:rsidP="00EC2048">
      <w:pPr>
        <w:pStyle w:val="ATHeading1"/>
      </w:pPr>
      <w:bookmarkStart w:id="0" w:name="TANumber"/>
      <w:r w:rsidRPr="00B75562">
        <w:t>P10_TA(2026)0</w:t>
      </w:r>
      <w:r w:rsidR="00095FB6">
        <w:t>128</w:t>
      </w:r>
      <w:bookmarkEnd w:id="0"/>
    </w:p>
    <w:p w14:paraId="2A3C7A3D" w14:textId="77777777" w:rsidR="00EC2048" w:rsidRPr="00B75562" w:rsidRDefault="00EC2048" w:rsidP="00EC2048">
      <w:pPr>
        <w:pStyle w:val="ATHeading2"/>
      </w:pPr>
      <w:bookmarkStart w:id="1" w:name="title"/>
      <w:r w:rsidRPr="00B75562">
        <w:t>Razrješnica za 2024.: Opći proračun EU-a – Sud Europske unije</w:t>
      </w:r>
      <w:bookmarkEnd w:id="1"/>
    </w:p>
    <w:p w14:paraId="6D2A407D" w14:textId="77777777" w:rsidR="00EC2048" w:rsidRPr="00B75562" w:rsidRDefault="00EC2048" w:rsidP="00EC2048">
      <w:pPr>
        <w:rPr>
          <w:i/>
          <w:vanish/>
        </w:rPr>
      </w:pPr>
      <w:r w:rsidRPr="00B75562">
        <w:rPr>
          <w:i/>
        </w:rPr>
        <w:fldChar w:fldCharType="begin"/>
      </w:r>
      <w:r w:rsidRPr="00B75562">
        <w:rPr>
          <w:i/>
        </w:rPr>
        <w:instrText xml:space="preserve"> TC"(</w:instrText>
      </w:r>
      <w:bookmarkStart w:id="2" w:name="DocNumber"/>
      <w:r w:rsidRPr="00B75562">
        <w:rPr>
          <w:i/>
        </w:rPr>
        <w:instrText>A10-0055/2026</w:instrText>
      </w:r>
      <w:bookmarkEnd w:id="2"/>
      <w:r w:rsidRPr="00B75562">
        <w:rPr>
          <w:i/>
        </w:rPr>
        <w:instrText xml:space="preserve"> - Izvjestitelj: </w:instrText>
      </w:r>
      <w:proofErr w:type="spellStart"/>
      <w:r w:rsidRPr="00B75562">
        <w:rPr>
          <w:i/>
        </w:rPr>
        <w:instrText>Pasquale</w:instrText>
      </w:r>
      <w:proofErr w:type="spellEnd"/>
      <w:r w:rsidRPr="00B75562">
        <w:rPr>
          <w:i/>
        </w:rPr>
        <w:instrText xml:space="preserve"> </w:instrText>
      </w:r>
      <w:proofErr w:type="spellStart"/>
      <w:r w:rsidRPr="00B75562">
        <w:rPr>
          <w:i/>
        </w:rPr>
        <w:instrText>Tridico</w:instrText>
      </w:r>
      <w:proofErr w:type="spellEnd"/>
      <w:r w:rsidRPr="00B75562">
        <w:rPr>
          <w:i/>
        </w:rPr>
        <w:instrText xml:space="preserve">)"\l3 \n&gt; \* MERGEFORMAT </w:instrText>
      </w:r>
      <w:r w:rsidRPr="00B75562">
        <w:rPr>
          <w:i/>
        </w:rPr>
        <w:fldChar w:fldCharType="end"/>
      </w:r>
    </w:p>
    <w:p w14:paraId="08F8DC72" w14:textId="77777777" w:rsidR="00EC2048" w:rsidRPr="00B75562" w:rsidRDefault="00EC2048" w:rsidP="00EC2048">
      <w:pPr>
        <w:rPr>
          <w:vanish/>
        </w:rPr>
      </w:pPr>
      <w:bookmarkStart w:id="3" w:name="Commission"/>
      <w:r w:rsidRPr="00B75562">
        <w:rPr>
          <w:vanish/>
        </w:rPr>
        <w:t>Odbor za proračunski nadzor</w:t>
      </w:r>
      <w:bookmarkEnd w:id="3"/>
    </w:p>
    <w:p w14:paraId="4E2DBD95" w14:textId="77777777" w:rsidR="00EC2048" w:rsidRPr="00B75562" w:rsidRDefault="00EC2048" w:rsidP="00EC2048">
      <w:pPr>
        <w:rPr>
          <w:vanish/>
        </w:rPr>
      </w:pPr>
      <w:bookmarkStart w:id="4" w:name="PE"/>
      <w:r w:rsidRPr="00B75562">
        <w:rPr>
          <w:vanish/>
        </w:rPr>
        <w:t>PE778.060</w:t>
      </w:r>
      <w:bookmarkEnd w:id="4"/>
    </w:p>
    <w:p w14:paraId="4BCED17F" w14:textId="481EF637" w:rsidR="00B75562" w:rsidRPr="00B75562" w:rsidRDefault="00354013" w:rsidP="00B75562">
      <w:pPr>
        <w:pStyle w:val="ATHeading3"/>
      </w:pPr>
      <w:bookmarkStart w:id="5" w:name="Sujet"/>
      <w:r>
        <w:t xml:space="preserve">1. </w:t>
      </w:r>
      <w:r w:rsidR="00EC2048" w:rsidRPr="00B75562">
        <w:t xml:space="preserve">Odluka Europskog parlamenta od </w:t>
      </w:r>
      <w:r>
        <w:t>29</w:t>
      </w:r>
      <w:r w:rsidR="00EC2048" w:rsidRPr="00B75562">
        <w:t xml:space="preserve">. </w:t>
      </w:r>
      <w:r>
        <w:t xml:space="preserve">travnja </w:t>
      </w:r>
      <w:r w:rsidR="00EC2048" w:rsidRPr="00B75562">
        <w:t>2026. o razrješnici za izvršenje općeg proračuna Europske unije za financijsku godinu 2024., dio IV. – Sud Europske unije</w:t>
      </w:r>
      <w:bookmarkEnd w:id="5"/>
      <w:r w:rsidR="00EC2048" w:rsidRPr="00B75562">
        <w:t xml:space="preserve"> </w:t>
      </w:r>
      <w:bookmarkStart w:id="6" w:name="References"/>
      <w:r w:rsidR="00EC2048" w:rsidRPr="00B75562">
        <w:t>(2025/2148(DEC))</w:t>
      </w:r>
      <w:bookmarkEnd w:id="6"/>
    </w:p>
    <w:p w14:paraId="68B2B060" w14:textId="77777777" w:rsidR="00354013" w:rsidRPr="00354013" w:rsidRDefault="00354013" w:rsidP="00354013">
      <w:pPr>
        <w:spacing w:before="480" w:after="240"/>
      </w:pPr>
      <w:r w:rsidRPr="00354013">
        <w:rPr>
          <w:i/>
        </w:rPr>
        <w:t>Europski parlament</w:t>
      </w:r>
      <w:r w:rsidRPr="00354013">
        <w:t>,</w:t>
      </w:r>
    </w:p>
    <w:p w14:paraId="2A254392" w14:textId="77777777" w:rsidR="00354013" w:rsidRPr="00354013" w:rsidRDefault="00354013" w:rsidP="00354013">
      <w:pPr>
        <w:spacing w:after="240"/>
        <w:ind w:left="567" w:hanging="567"/>
      </w:pPr>
      <w:r w:rsidRPr="00354013">
        <w:t>–</w:t>
      </w:r>
      <w:r w:rsidRPr="00354013">
        <w:tab/>
        <w:t>uzimajući u obzir opći proračun Europske unije za financijsku godinu 2024.</w:t>
      </w:r>
      <w:r w:rsidRPr="00354013">
        <w:rPr>
          <w:vertAlign w:val="superscript"/>
        </w:rPr>
        <w:footnoteReference w:id="1"/>
      </w:r>
      <w:r w:rsidRPr="00354013">
        <w:t>,</w:t>
      </w:r>
    </w:p>
    <w:p w14:paraId="729DF2B5" w14:textId="77777777" w:rsidR="00354013" w:rsidRPr="00354013" w:rsidRDefault="00354013" w:rsidP="00354013">
      <w:pPr>
        <w:spacing w:after="240"/>
        <w:ind w:left="567" w:hanging="567"/>
      </w:pPr>
      <w:r w:rsidRPr="00354013">
        <w:t>–</w:t>
      </w:r>
      <w:r w:rsidRPr="00354013">
        <w:tab/>
        <w:t>uzimajući u obzir konsolidiranu godišnju računovodstvenu dokumentaciju Europske unije za financijsku godinu 2024. (COM(2025)0359 – C10</w:t>
      </w:r>
      <w:r w:rsidRPr="00354013">
        <w:noBreakHyphen/>
        <w:t>0148/2025)</w:t>
      </w:r>
      <w:r w:rsidRPr="00354013">
        <w:rPr>
          <w:vertAlign w:val="superscript"/>
        </w:rPr>
        <w:footnoteReference w:id="2"/>
      </w:r>
      <w:r w:rsidRPr="00354013">
        <w:t>,</w:t>
      </w:r>
    </w:p>
    <w:p w14:paraId="3074EC36" w14:textId="77777777" w:rsidR="00354013" w:rsidRPr="00354013" w:rsidRDefault="00354013" w:rsidP="00354013">
      <w:pPr>
        <w:spacing w:after="240"/>
        <w:ind w:left="567" w:hanging="567"/>
      </w:pPr>
      <w:r w:rsidRPr="00354013">
        <w:t>–</w:t>
      </w:r>
      <w:r w:rsidRPr="00354013">
        <w:tab/>
        <w:t>uzimajući u obzir godišnje izvješće Suda Europske unije tijelu koje daje razrješnicu o unutarnjim revizijama provedenima tijekom 2024.,</w:t>
      </w:r>
    </w:p>
    <w:p w14:paraId="1096A12C" w14:textId="73EF15E5" w:rsidR="00354013" w:rsidRPr="00354013" w:rsidRDefault="00354013" w:rsidP="00354013">
      <w:pPr>
        <w:spacing w:after="240"/>
        <w:ind w:left="567" w:hanging="567"/>
      </w:pPr>
      <w:r w:rsidRPr="00354013">
        <w:t>–</w:t>
      </w:r>
      <w:r w:rsidRPr="00354013">
        <w:tab/>
        <w:t>uzimajući u obzir godišnje izvješće Revizorskog suda o izvršenju proračuna za financijsku godinu 2024.</w:t>
      </w:r>
      <w:r w:rsidR="00734E1B">
        <w:t>,</w:t>
      </w:r>
      <w:r w:rsidRPr="00354013">
        <w:t xml:space="preserve"> s odgovorima institucija</w:t>
      </w:r>
      <w:r w:rsidRPr="00354013">
        <w:rPr>
          <w:vertAlign w:val="superscript"/>
        </w:rPr>
        <w:footnoteReference w:id="3"/>
      </w:r>
      <w:r w:rsidRPr="00354013">
        <w:t>,</w:t>
      </w:r>
    </w:p>
    <w:p w14:paraId="7DB1C862" w14:textId="77777777" w:rsidR="00354013" w:rsidRPr="00354013" w:rsidRDefault="00354013" w:rsidP="00354013">
      <w:pPr>
        <w:spacing w:after="240"/>
        <w:ind w:left="567" w:hanging="567"/>
      </w:pPr>
      <w:r w:rsidRPr="00354013">
        <w:t>–</w:t>
      </w:r>
      <w:r w:rsidRPr="00354013">
        <w:tab/>
        <w:t>uzimajući u obzir izjavu o jamstvu</w:t>
      </w:r>
      <w:r w:rsidRPr="00354013">
        <w:rPr>
          <w:vertAlign w:val="superscript"/>
        </w:rPr>
        <w:footnoteReference w:id="4"/>
      </w:r>
      <w:r w:rsidRPr="00354013">
        <w:t xml:space="preserve"> u pogledu pouzdanosti računovodstvene dokumentacije te zakonitosti i pravilnosti temeljnih transakcija koju je u skladu s člankom 287. Ugovora o funkcioniranju Europske unije Revizorski sud podnio za financijsku godinu 2024.,</w:t>
      </w:r>
    </w:p>
    <w:p w14:paraId="286148AC" w14:textId="77777777" w:rsidR="00354013" w:rsidRPr="00354013" w:rsidRDefault="00354013" w:rsidP="00354013">
      <w:pPr>
        <w:spacing w:after="240"/>
        <w:ind w:left="567" w:hanging="567"/>
      </w:pPr>
      <w:r w:rsidRPr="00354013">
        <w:t>–</w:t>
      </w:r>
      <w:r w:rsidRPr="00354013">
        <w:tab/>
        <w:t>uzimajući u obzir članak 314. stavak 10. te članke 317., 318. i 319. Ugovora o funkcioniranju Europske unije,</w:t>
      </w:r>
    </w:p>
    <w:p w14:paraId="372DA5B5" w14:textId="77777777" w:rsidR="00354013" w:rsidRPr="00354013" w:rsidRDefault="00354013" w:rsidP="00354013">
      <w:pPr>
        <w:spacing w:after="240"/>
        <w:ind w:left="567" w:hanging="567"/>
      </w:pPr>
      <w:r w:rsidRPr="00354013">
        <w:t>–</w:t>
      </w:r>
      <w:r w:rsidRPr="00354013">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354013">
        <w:lastRenderedPageBreak/>
        <w:t>Euratom) br. 966/2012</w:t>
      </w:r>
      <w:r w:rsidRPr="00354013">
        <w:rPr>
          <w:vertAlign w:val="superscript"/>
        </w:rPr>
        <w:footnoteReference w:id="5"/>
      </w:r>
      <w:r w:rsidRPr="00354013">
        <w:t>, a posebno njezine članke 59., 118., 260., 261. i 262.,</w:t>
      </w:r>
    </w:p>
    <w:p w14:paraId="6D3AE592" w14:textId="77777777" w:rsidR="00354013" w:rsidRPr="00354013" w:rsidRDefault="00354013" w:rsidP="00354013">
      <w:pPr>
        <w:spacing w:after="240"/>
        <w:ind w:left="567" w:hanging="567"/>
      </w:pPr>
      <w:r w:rsidRPr="00354013">
        <w:t>–</w:t>
      </w:r>
      <w:r w:rsidRPr="00354013">
        <w:tab/>
        <w:t>uzimajući u obzir Uredbu (EU, Euratom) 2024/2509 Europskog parlamenta i Vijeća od 23. rujna 2024. o financijskim pravilima koja se primjenjuju na opći proračun Unije</w:t>
      </w:r>
      <w:r w:rsidRPr="00354013">
        <w:rPr>
          <w:vertAlign w:val="superscript"/>
        </w:rPr>
        <w:footnoteReference w:id="6"/>
      </w:r>
      <w:r w:rsidRPr="00354013">
        <w:t>, a posebno njezine članke 59., 118., 266., 267. i 268.,</w:t>
      </w:r>
    </w:p>
    <w:p w14:paraId="0786038F" w14:textId="77777777" w:rsidR="00354013" w:rsidRPr="00354013" w:rsidRDefault="00354013" w:rsidP="00354013">
      <w:pPr>
        <w:spacing w:after="240"/>
        <w:ind w:left="567" w:hanging="567"/>
      </w:pPr>
      <w:r w:rsidRPr="00354013">
        <w:t>–</w:t>
      </w:r>
      <w:r w:rsidRPr="00354013">
        <w:tab/>
        <w:t>uzimajući u obzir članak 102. Poslovnika i Prilog V. Poslovniku,</w:t>
      </w:r>
    </w:p>
    <w:p w14:paraId="3B433F9E" w14:textId="77777777" w:rsidR="00354013" w:rsidRPr="00354013" w:rsidRDefault="00354013" w:rsidP="00354013">
      <w:pPr>
        <w:spacing w:after="240"/>
        <w:ind w:left="567" w:hanging="567"/>
      </w:pPr>
      <w:r w:rsidRPr="00354013">
        <w:t>–</w:t>
      </w:r>
      <w:r w:rsidRPr="00354013">
        <w:tab/>
        <w:t>uzimajući u obzir mišljenje Odbora za pravna pitanja,</w:t>
      </w:r>
    </w:p>
    <w:p w14:paraId="1DEC72DB" w14:textId="77777777" w:rsidR="00354013" w:rsidRPr="00354013" w:rsidRDefault="00354013" w:rsidP="00354013">
      <w:pPr>
        <w:spacing w:after="240"/>
        <w:ind w:left="567" w:hanging="567"/>
      </w:pPr>
      <w:r w:rsidRPr="00354013">
        <w:t>–</w:t>
      </w:r>
      <w:r w:rsidRPr="00354013">
        <w:tab/>
        <w:t>uzimajući u obzir izvješće Odbora za proračunski nadzor (A10</w:t>
      </w:r>
      <w:r w:rsidRPr="00354013">
        <w:noBreakHyphen/>
        <w:t>0055/2026),</w:t>
      </w:r>
    </w:p>
    <w:p w14:paraId="12FF08F6" w14:textId="77777777" w:rsidR="00354013" w:rsidRPr="00354013" w:rsidRDefault="00354013" w:rsidP="00354013">
      <w:pPr>
        <w:spacing w:after="240"/>
        <w:ind w:left="567" w:hanging="567"/>
      </w:pPr>
      <w:r w:rsidRPr="00354013">
        <w:t>1.</w:t>
      </w:r>
      <w:r w:rsidRPr="00354013">
        <w:tab/>
        <w:t>daje razrješnicu tajniku Suda za izvršenje proračuna Suda Europske unije za financijsku godinu 2024.;</w:t>
      </w:r>
    </w:p>
    <w:p w14:paraId="5D079131" w14:textId="77777777" w:rsidR="00354013" w:rsidRPr="00354013" w:rsidRDefault="00354013" w:rsidP="00354013">
      <w:pPr>
        <w:spacing w:after="240"/>
        <w:ind w:left="567" w:hanging="567"/>
      </w:pPr>
      <w:r w:rsidRPr="00354013">
        <w:t>2.</w:t>
      </w:r>
      <w:r w:rsidRPr="00354013">
        <w:tab/>
        <w:t>iznosi svoje primjedbe u Rezoluciji u nastavku;</w:t>
      </w:r>
    </w:p>
    <w:p w14:paraId="0659FE1D" w14:textId="77777777" w:rsidR="00354013" w:rsidRPr="00354013" w:rsidRDefault="00354013" w:rsidP="00354013">
      <w:pPr>
        <w:spacing w:after="240"/>
        <w:ind w:left="567" w:hanging="567"/>
      </w:pPr>
      <w:r w:rsidRPr="00354013">
        <w:t>3.</w:t>
      </w:r>
      <w:r w:rsidRPr="00354013">
        <w:tab/>
        <w:t xml:space="preserve">nalaže svojoj predsjednici da ovu Odluku i Rezoluciju, koja je njezin sastavni dio, proslijedi Sudu Europske unije, Vijeću, Komisiji i Revizorskom sudu te da ih da na objavu u </w:t>
      </w:r>
      <w:r w:rsidRPr="00354013">
        <w:rPr>
          <w:i/>
        </w:rPr>
        <w:t>Službenom listu Europske unije</w:t>
      </w:r>
      <w:r w:rsidRPr="00354013">
        <w:t xml:space="preserve"> (serija L).</w:t>
      </w:r>
    </w:p>
    <w:p w14:paraId="457654EF" w14:textId="77777777" w:rsidR="00354013" w:rsidRPr="00354013" w:rsidRDefault="00354013" w:rsidP="00354013">
      <w:pPr>
        <w:widowControl/>
      </w:pPr>
      <w:r w:rsidRPr="00354013">
        <w:br w:type="page"/>
      </w:r>
    </w:p>
    <w:p w14:paraId="67A529B7" w14:textId="77777777" w:rsidR="00354013" w:rsidRPr="00354013" w:rsidRDefault="00354013" w:rsidP="00354013">
      <w:pPr>
        <w:keepNext/>
        <w:spacing w:after="480"/>
        <w:jc w:val="center"/>
        <w:rPr>
          <w:rFonts w:ascii="Arial" w:hAnsi="Arial" w:cs="Arial"/>
          <w:b/>
        </w:rPr>
        <w:sectPr w:rsidR="00354013" w:rsidRPr="00354013" w:rsidSect="00354013">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14:paraId="7D4D4789" w14:textId="5FF425BC" w:rsidR="00354013" w:rsidRPr="00354013" w:rsidRDefault="00354013" w:rsidP="00354013">
      <w:pPr>
        <w:keepNext/>
        <w:spacing w:after="480"/>
        <w:rPr>
          <w:b/>
        </w:rPr>
      </w:pPr>
      <w:bookmarkStart w:id="7" w:name="_Toc225505988"/>
      <w:r w:rsidRPr="00354013">
        <w:rPr>
          <w:b/>
        </w:rPr>
        <w:lastRenderedPageBreak/>
        <w:t>2. Rezolucija Europskog parlamenta</w:t>
      </w:r>
      <w:bookmarkEnd w:id="7"/>
      <w:r w:rsidRPr="00354013">
        <w:rPr>
          <w:b/>
        </w:rPr>
        <w:t xml:space="preserve"> </w:t>
      </w:r>
      <w:r>
        <w:rPr>
          <w:b/>
        </w:rPr>
        <w:t xml:space="preserve">od 29. travnja 2026. </w:t>
      </w:r>
      <w:r w:rsidRPr="00354013">
        <w:rPr>
          <w:b/>
        </w:rPr>
        <w:t>s primjedbama koje su sastavni dio Odluke o razrješnici za izvršenje općeg proračuna Europske unije za financijsku godinu 2024., dio IV. – Sud Europske unije (2025/2148(DEC))</w:t>
      </w:r>
    </w:p>
    <w:p w14:paraId="18BE4723" w14:textId="77777777" w:rsidR="00354013" w:rsidRPr="00354013" w:rsidRDefault="00354013" w:rsidP="00354013">
      <w:pPr>
        <w:spacing w:before="480" w:after="240"/>
      </w:pPr>
      <w:r w:rsidRPr="00354013">
        <w:rPr>
          <w:i/>
        </w:rPr>
        <w:t>Europski parlament</w:t>
      </w:r>
      <w:r w:rsidRPr="00354013">
        <w:t>,</w:t>
      </w:r>
    </w:p>
    <w:p w14:paraId="56BBC0A3" w14:textId="77777777" w:rsidR="00354013" w:rsidRPr="00354013" w:rsidRDefault="00354013" w:rsidP="00354013">
      <w:pPr>
        <w:spacing w:after="240"/>
        <w:ind w:left="567" w:hanging="567"/>
      </w:pPr>
      <w:r w:rsidRPr="00354013">
        <w:t>–</w:t>
      </w:r>
      <w:r w:rsidRPr="00354013">
        <w:tab/>
        <w:t>uzimajući u obzir svoju Odluku o razrješnici za izvršenje općeg proračuna Europske unije za financijsku godinu 2024., dio IV. – Sud Europske unije,</w:t>
      </w:r>
    </w:p>
    <w:p w14:paraId="7BDA0C85" w14:textId="77777777" w:rsidR="00354013" w:rsidRPr="00354013" w:rsidRDefault="00354013" w:rsidP="00354013">
      <w:pPr>
        <w:spacing w:after="240"/>
        <w:ind w:left="567" w:hanging="567"/>
      </w:pPr>
      <w:r w:rsidRPr="00354013">
        <w:t>–</w:t>
      </w:r>
      <w:r w:rsidRPr="00354013">
        <w:tab/>
        <w:t>uzimajući u obzir članak 102. Poslovnika i Prilog V. Poslovniku,</w:t>
      </w:r>
    </w:p>
    <w:p w14:paraId="771F4C50" w14:textId="77777777" w:rsidR="00354013" w:rsidRPr="00354013" w:rsidRDefault="00354013" w:rsidP="00354013">
      <w:pPr>
        <w:spacing w:after="240"/>
        <w:ind w:left="567" w:hanging="567"/>
      </w:pPr>
      <w:r w:rsidRPr="00354013">
        <w:t>–</w:t>
      </w:r>
      <w:r w:rsidRPr="00354013">
        <w:tab/>
        <w:t>uzimajući u obzir mišljenje Odbora za pravna pitanja,</w:t>
      </w:r>
    </w:p>
    <w:p w14:paraId="06BF9EF7" w14:textId="77777777" w:rsidR="00354013" w:rsidRPr="00354013" w:rsidRDefault="00354013" w:rsidP="00354013">
      <w:pPr>
        <w:tabs>
          <w:tab w:val="left" w:pos="720"/>
          <w:tab w:val="left" w:pos="1440"/>
          <w:tab w:val="left" w:pos="2160"/>
          <w:tab w:val="left" w:pos="2880"/>
          <w:tab w:val="left" w:pos="3600"/>
          <w:tab w:val="left" w:pos="4320"/>
          <w:tab w:val="left" w:pos="5040"/>
          <w:tab w:val="left" w:pos="5760"/>
          <w:tab w:val="left" w:pos="6480"/>
          <w:tab w:val="left" w:pos="7643"/>
        </w:tabs>
        <w:spacing w:after="240"/>
        <w:ind w:left="567" w:hanging="567"/>
      </w:pPr>
      <w:r w:rsidRPr="00354013">
        <w:t>–</w:t>
      </w:r>
      <w:r w:rsidRPr="00354013">
        <w:tab/>
        <w:t>uzimajući u obzir izvješće Odbora za proračunski nadzor (A10</w:t>
      </w:r>
      <w:r w:rsidRPr="00354013">
        <w:noBreakHyphen/>
        <w:t>0055/2026),</w:t>
      </w:r>
    </w:p>
    <w:p w14:paraId="00420DA0" w14:textId="77777777" w:rsidR="00354013" w:rsidRPr="00354013" w:rsidRDefault="00354013" w:rsidP="00354013">
      <w:pPr>
        <w:spacing w:after="240"/>
        <w:ind w:left="567" w:hanging="567"/>
      </w:pPr>
      <w:r w:rsidRPr="00354013">
        <w:t>A.</w:t>
      </w:r>
      <w:r w:rsidRPr="00354013">
        <w:tab/>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011166D4" w14:textId="77777777" w:rsidR="00354013" w:rsidRPr="00354013" w:rsidRDefault="00354013" w:rsidP="00354013">
      <w:pPr>
        <w:spacing w:after="240"/>
        <w:ind w:left="567" w:hanging="567"/>
        <w:rPr>
          <w:u w:val="single"/>
        </w:rPr>
      </w:pPr>
      <w:r w:rsidRPr="00354013">
        <w:t>B.</w:t>
      </w:r>
      <w:r w:rsidRPr="00354013">
        <w:tab/>
        <w:t>budući da je Sud Europske unije (Sud EU-a) pravosudna institucija Unije čija je zadaća osigurati poštovanje prava Unije i to nadziranjem ujednačenog tumačenja i primjene Ugovorâ te jamčenjem zakonitosti mjera koje donose institucije, tijela, uredi i agencije Unije;</w:t>
      </w:r>
    </w:p>
    <w:p w14:paraId="13A2933C" w14:textId="77777777" w:rsidR="00354013" w:rsidRPr="00354013" w:rsidRDefault="00354013" w:rsidP="00354013">
      <w:pPr>
        <w:spacing w:after="240"/>
        <w:ind w:left="567" w:hanging="567"/>
      </w:pPr>
      <w:r w:rsidRPr="00354013">
        <w:t>C.</w:t>
      </w:r>
      <w:r w:rsidRPr="00354013">
        <w:tab/>
        <w:t>budući da Sud EU-a pomaže u očuvanju vrijednosti Unije i svojom sudskom praksom radi na izgradnji Europe, a istodobno polaže odgovornost građanima u vidu pravne sigurnosti, dosljednosti sudske prakse i poštovanja ograničenja sudskog tumačenja;</w:t>
      </w:r>
    </w:p>
    <w:p w14:paraId="5EF719D5" w14:textId="77777777" w:rsidR="00354013" w:rsidRPr="00354013" w:rsidRDefault="00354013" w:rsidP="00354013">
      <w:pPr>
        <w:spacing w:after="240"/>
        <w:ind w:left="567" w:hanging="567"/>
      </w:pPr>
      <w:r w:rsidRPr="00354013">
        <w:t>D.</w:t>
      </w:r>
      <w:r w:rsidRPr="00354013">
        <w:tab/>
        <w:t>budući da se Sud EU-a sastoji od dva suda: Suda i Općeg suda;</w:t>
      </w:r>
    </w:p>
    <w:p w14:paraId="48A6E5E8" w14:textId="77777777" w:rsidR="00354013" w:rsidRPr="00354013" w:rsidRDefault="00354013" w:rsidP="00354013">
      <w:pPr>
        <w:spacing w:after="240"/>
        <w:ind w:left="567" w:hanging="567"/>
      </w:pPr>
      <w:r w:rsidRPr="00354013">
        <w:t>E.</w:t>
      </w:r>
      <w:r w:rsidRPr="00354013">
        <w:tab/>
        <w:t>budući da su Parlament i Vijeće 2024. izmijenili Protokol br. 3 o Statutu Suda Europske unije („Statut”)</w:t>
      </w:r>
      <w:r w:rsidRPr="00354013">
        <w:rPr>
          <w:vertAlign w:val="superscript"/>
        </w:rPr>
        <w:footnoteReference w:id="7"/>
      </w:r>
      <w:r w:rsidRPr="00354013">
        <w:t xml:space="preserve"> u pogledu prijenosa prethodnih odluka u određenim područjima u nadležnost Općeg suda;</w:t>
      </w:r>
    </w:p>
    <w:p w14:paraId="45CED3D7" w14:textId="77777777" w:rsidR="00354013" w:rsidRPr="00354013" w:rsidRDefault="00354013" w:rsidP="00354013">
      <w:pPr>
        <w:spacing w:after="240"/>
        <w:ind w:left="567" w:hanging="567"/>
      </w:pPr>
      <w:r w:rsidRPr="00354013">
        <w:t>1.</w:t>
      </w:r>
      <w:r w:rsidRPr="00354013">
        <w:tab/>
        <w:t xml:space="preserve">konstatira da je proračun Suda EU-a obuhvaćen naslovom 7. VFO-a „Europska javna uprava”, koji je 2023. iznosio 13,3 milijarde EUR (što čini 6,9 % ukupnog proračuna Unije); konstatira da proračun Suda EU-a od otprilike 0,5 milijardi EUR čini otprilike 3,76 % ukupnih administrativnih rashoda Unije, što je manje u odnosu na 3,9 % 2023.; ističe da u predmetima koji se odnose na istrage u vezi s proračunom Unije sva nadležna tijela moraju u potpunosti poštovati načela pravičnog postupka i temeljna prava; </w:t>
      </w:r>
    </w:p>
    <w:p w14:paraId="2AA1C1CA" w14:textId="77777777" w:rsidR="00354013" w:rsidRPr="00354013" w:rsidRDefault="00354013" w:rsidP="00354013">
      <w:pPr>
        <w:spacing w:after="240"/>
        <w:ind w:left="567" w:hanging="567"/>
      </w:pPr>
      <w:r w:rsidRPr="00354013">
        <w:t>2.</w:t>
      </w:r>
      <w:r w:rsidRPr="00354013">
        <w:tab/>
        <w:t xml:space="preserve">konstatira da je Revizorski sud u godišnjem izvješću za financijsku godinu 2024. („izvješće Revizorskog suda”) ispitao uzorak od 70 transakcija pod naslovom „Uprava”, isto koliko i 2023.; Revizorski sud također navodi da administrativni rashodi obuhvaćaju rashode za ljudske resurse, uključujući rashode za mirovine, koji su 2024. činili oko 69 % ukupnih administrativnih rashoda, te rashode za zgrade, opremu, </w:t>
      </w:r>
      <w:r w:rsidRPr="00354013">
        <w:lastRenderedPageBreak/>
        <w:t xml:space="preserve">energiju, komunikacije i informacijsku tehnologiju te da njegove aktivnosti tijekom dugogodišnjeg razdoblja upućuju na to da su ti rashodi općenito </w:t>
      </w:r>
      <w:proofErr w:type="spellStart"/>
      <w:r w:rsidRPr="00354013">
        <w:t>niskorizični</w:t>
      </w:r>
      <w:proofErr w:type="spellEnd"/>
      <w:r w:rsidRPr="00354013">
        <w:t>;</w:t>
      </w:r>
    </w:p>
    <w:p w14:paraId="1A941E54" w14:textId="77777777" w:rsidR="00354013" w:rsidRPr="00354013" w:rsidRDefault="00354013" w:rsidP="00354013">
      <w:pPr>
        <w:spacing w:after="240"/>
        <w:ind w:left="567" w:hanging="567"/>
      </w:pPr>
      <w:r w:rsidRPr="00354013">
        <w:t>3.</w:t>
      </w:r>
      <w:r w:rsidRPr="00354013">
        <w:tab/>
        <w:t>konstatira da je 16 (23 %) od 70 transakcija sadržavalo pogreške, ali da Revizorski sud, na temelju tri kvantificirane pogreške, procjenjuje da je stopa pogreške ispod praga značajnosti; napominje da u izvješću Revizorskog suda nisu utvrđeni posebni problemi koji se odnose na Sud EU-a;</w:t>
      </w:r>
    </w:p>
    <w:p w14:paraId="3F5C3BFB" w14:textId="77777777" w:rsidR="00354013" w:rsidRPr="00095FB6" w:rsidRDefault="00354013" w:rsidP="00354013">
      <w:pPr>
        <w:spacing w:after="240"/>
        <w:ind w:left="567" w:hanging="567"/>
        <w:rPr>
          <w:b/>
          <w:i/>
          <w:iCs/>
        </w:rPr>
      </w:pPr>
      <w:r w:rsidRPr="00095FB6">
        <w:rPr>
          <w:b/>
          <w:i/>
          <w:iCs/>
        </w:rPr>
        <w:t>Upravljanje proračunom i financijama</w:t>
      </w:r>
    </w:p>
    <w:p w14:paraId="5075E041" w14:textId="77777777" w:rsidR="00354013" w:rsidRPr="00354013" w:rsidRDefault="00354013" w:rsidP="00354013">
      <w:pPr>
        <w:spacing w:after="240"/>
        <w:ind w:left="567" w:hanging="567"/>
      </w:pPr>
      <w:r w:rsidRPr="00354013">
        <w:t>4.</w:t>
      </w:r>
      <w:r w:rsidRPr="00354013">
        <w:tab/>
        <w:t>napominje da je proračun dodijeljen Sudu EU-a 2024. iznosio 503 837 531 EUR, što je povećanje od 3,66 % u odnosu na 2023.; napominje da je to povećanje uglavnom bilo povezano s prilagodbama plaća predviđenima za 2024.;</w:t>
      </w:r>
    </w:p>
    <w:p w14:paraId="5528EFCF" w14:textId="77777777" w:rsidR="00354013" w:rsidRPr="00354013" w:rsidRDefault="00354013" w:rsidP="00354013">
      <w:pPr>
        <w:spacing w:after="240"/>
        <w:ind w:left="567" w:hanging="567"/>
        <w:rPr>
          <w:bCs/>
          <w:iCs/>
        </w:rPr>
      </w:pPr>
      <w:r w:rsidRPr="00354013">
        <w:t>5.</w:t>
      </w:r>
      <w:r w:rsidRPr="00354013">
        <w:tab/>
        <w:t>napominje da rashodi za osoblje čine gotovo 80 % proračuna Suda EU-a i da su ažuriranja plaća premašila početna predviđanja iz 2024.; naglašava da, iako su ta povećanja apsorbirana bez dodatnih povećanja proračuna, njihova opetovana priroda otvara pitanja u pogledu srednjoročne proračunske održivosti u okviru trenutačnih ograničenja VFO-a; poziva na poboljšano višegodišnje planiranje radne snage i rashoda, bez ugrožavanja neovisnosti pravosuđa;</w:t>
      </w:r>
    </w:p>
    <w:p w14:paraId="1E84BC02" w14:textId="77777777" w:rsidR="00354013" w:rsidRPr="00354013" w:rsidRDefault="00354013" w:rsidP="00354013">
      <w:pPr>
        <w:spacing w:after="240"/>
        <w:ind w:left="567" w:hanging="567"/>
      </w:pPr>
      <w:r w:rsidRPr="00354013">
        <w:t>6.</w:t>
      </w:r>
      <w:r w:rsidRPr="00354013">
        <w:tab/>
        <w:t>prima na znanje, na temelju odgovora Suda EU-a na upitnik za razrješnicu za 2024., da je ukupna okvirna stopa izvršenja proračuna na kraju 2024. iznosila 97,72 %, isto kao i 2023., dok će konačna stopa izvršenja za 2024. biti dostupna krajem 2025.; napominje da su proračunskom tijelu podnesena tri prijenosa u skladu s člankom 29. Financijske uredbe kako bi se ojačale proračunske linije „Kupnja, rad, servisiranje i održavanje opreme i softvera”, „Centar za predškolsku djecu” te „Zgrade” iz drugih proračunskih linija, uglavnom proračunske linije za osoblje „Primici od rada i naknade”;</w:t>
      </w:r>
    </w:p>
    <w:p w14:paraId="652D4A1A" w14:textId="77777777" w:rsidR="00354013" w:rsidRPr="00354013" w:rsidRDefault="00354013" w:rsidP="00354013">
      <w:pPr>
        <w:spacing w:after="240"/>
        <w:ind w:left="567" w:hanging="567"/>
      </w:pPr>
      <w:r w:rsidRPr="00354013">
        <w:t>7.</w:t>
      </w:r>
      <w:r w:rsidRPr="00354013">
        <w:tab/>
        <w:t>slaže se da je dovedeno u pitanje može li se Sud EU-a nositi sa sve većim radnim opterećenjem, i to s jedne strane zbog Komisijinih smjernica za izradu proračuna, u kojima se povećanje svih rashoda koji se ne odnose na plaće ograničava na najviše 2 %, a zahtjevi za nova radna mjesta destimuliraju te s druge strane zbog EPSO-a, koji provedenim natječajima nije uspio institucijama Unije osigurati razuman broj uspješnih kandidata za zapošljavanje; nadalje napominje da su inflacijski učinci nelegalne ruske ratne agresije na Ukrajinu nastavili stvarati proračunski pritisak na Sud EU-a, npr. zbog povećanja troškova službenih putovanja ili povećanja cijena ugovorene robe i usluga; pohvaljuje Sud EU-a zbog njegovih mjera za ublažavanje takvih učinaka smanjenjem broja službenih putovanja, ograničavanjem potrošnje energije i, prije svega, određivanjem prioriteta za projekte pri pripremi procjena proračuna; potvrđuje potrebu za time da sve institucije Unije poboljšaju svoje upravljanje proračunom uzimajući u obzir nestabilnost cijena, posebno u energetskom sektoru, pri sklapanju ugovora s pružateljima usluga; poziva Sud da nastavi poboljšavati troškovnu učinkovitost i proaktivno planiranje proračuna kako bi se u okviru dostupnih resursa očuvala kvaliteta pravosuđa;</w:t>
      </w:r>
    </w:p>
    <w:p w14:paraId="1580BC30" w14:textId="77777777" w:rsidR="00354013" w:rsidRPr="00354013" w:rsidRDefault="00354013" w:rsidP="00354013">
      <w:pPr>
        <w:spacing w:after="240"/>
        <w:ind w:left="567" w:hanging="567"/>
      </w:pPr>
      <w:r w:rsidRPr="00354013">
        <w:t>8.</w:t>
      </w:r>
      <w:r w:rsidRPr="00354013">
        <w:tab/>
        <w:t xml:space="preserve">primjećuje blago povećanje prosječnog vremena plaćanja s 23,1 dana 2023. na 23,7 dana 2024. te povećanje udjela računa primljenih elektroničkim putem, s 81 % 2023. na 88 % 2024.; prima na znanje, na temelju izvješća o daljnjem postupanju Suda EU-a u vezi s primjedbama iz rezolucije Parlamenta o razrješnici za 2023. („izvješće o daljnjem postupanju”), da je za račune povezane s vanjskim prevođenjem plaćanje </w:t>
      </w:r>
      <w:r w:rsidRPr="00354013">
        <w:lastRenderedPageBreak/>
        <w:t>uvjetovano postupkom redakture, koji je nužan kako bi se osigurala potrebna visoka kvaliteta prijevoda;</w:t>
      </w:r>
    </w:p>
    <w:p w14:paraId="06C030C4" w14:textId="77777777" w:rsidR="00354013" w:rsidRPr="00354013" w:rsidRDefault="00354013" w:rsidP="00354013">
      <w:pPr>
        <w:spacing w:after="240"/>
        <w:ind w:left="567" w:hanging="567"/>
      </w:pPr>
      <w:r w:rsidRPr="00354013">
        <w:t>9.</w:t>
      </w:r>
      <w:r w:rsidRPr="00354013">
        <w:tab/>
        <w:t>sa zadovoljstvom prima na znanje da se proračun za službena putovanja članova i osoblja Suda EU-a drugu godinu zaredom smanjio, sa 638 000 EUR 2023. na 616 000 EUR 2024., što je smanjenje od približno 3,44 %;</w:t>
      </w:r>
    </w:p>
    <w:p w14:paraId="161B92F1" w14:textId="77777777" w:rsidR="00354013" w:rsidRPr="00095FB6" w:rsidRDefault="00354013" w:rsidP="00354013">
      <w:pPr>
        <w:spacing w:after="240"/>
        <w:ind w:left="567" w:hanging="567"/>
        <w:rPr>
          <w:b/>
          <w:i/>
          <w:iCs/>
        </w:rPr>
      </w:pPr>
      <w:r w:rsidRPr="00095FB6">
        <w:rPr>
          <w:b/>
          <w:i/>
          <w:iCs/>
        </w:rPr>
        <w:t>Unutarnje upravljanje, uspješnost i unutarnja kontrola</w:t>
      </w:r>
    </w:p>
    <w:p w14:paraId="3AE0E2D2" w14:textId="77777777" w:rsidR="00354013" w:rsidRPr="00354013" w:rsidRDefault="00354013" w:rsidP="00354013">
      <w:pPr>
        <w:spacing w:after="240"/>
        <w:ind w:left="567" w:hanging="567"/>
      </w:pPr>
      <w:r w:rsidRPr="00354013">
        <w:t>10.</w:t>
      </w:r>
      <w:r w:rsidRPr="00354013">
        <w:tab/>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w:t>
      </w:r>
      <w:proofErr w:type="spellStart"/>
      <w:r w:rsidRPr="00354013">
        <w:t>postupovnih</w:t>
      </w:r>
      <w:proofErr w:type="spellEnd"/>
      <w:r w:rsidRPr="00354013">
        <w:t xml:space="preserve"> akata putem aplikacije e-</w:t>
      </w:r>
      <w:proofErr w:type="spellStart"/>
      <w:r w:rsidRPr="00354013">
        <w:t>Curia</w:t>
      </w:r>
      <w:proofErr w:type="spellEnd"/>
      <w:r w:rsidRPr="00354013">
        <w:t xml:space="preserve">, razvoj novog softvera („jedinstvena kontaktna točka”) za brzu analizu i obradu predmeta, veću učinkovitost i kvalitetnije ishode sudskih postupaka te usklađivanje praksi registara Suda i Općeg suda 2024.; sa zadovoljstvom prima na znanje da je tijekom prva tri mjeseca nakon stupanja na snagu reforme 19 prethodnih odluka već preneseno na Opći sud, čime su ostvareni prvi rezultati u kontekstu ravnomjernije raspodjele radnog opterećenja između dvaju sudova; konstatira da su jedini dodatni troškovi povezani s provedbom reforme pravosuđa bili troškovi povezani s informacijskim tehnologijama za razvoj jedinstvene kontaktne točke, u iznosu od otprilike 805 000 EUR, dok je u pogledu osoblja reforma ostala proračunski neutralna zahvaljujući preraspodjeli radnih mjesta i dužnosti unutar institucije; poziva Sud EU-a da izvijesti o konkretnom učinku reforme pravosuđa na učinkovitost, trajanje postupaka i raspodjelu radnog opterećenja između Suda i Općeg suda, uključujući učinak digitalnih alata na vrijeme obrade i ravnomjernije radno opterećenje; poziva Sud EU-a da prije sljedećeg postupka davanja razrješnice predstavi sveobuhvatnu </w:t>
      </w:r>
      <w:r w:rsidRPr="00354013">
        <w:rPr>
          <w:i/>
          <w:iCs/>
        </w:rPr>
        <w:t>ex post</w:t>
      </w:r>
      <w:r w:rsidRPr="00354013">
        <w:t xml:space="preserve"> evaluaciju reforme;</w:t>
      </w:r>
    </w:p>
    <w:p w14:paraId="606A5FC3" w14:textId="77777777" w:rsidR="00354013" w:rsidRPr="00354013" w:rsidRDefault="00354013" w:rsidP="00354013">
      <w:pPr>
        <w:spacing w:after="240"/>
        <w:ind w:left="567" w:hanging="567"/>
      </w:pPr>
      <w:r w:rsidRPr="00354013">
        <w:t>11.</w:t>
      </w:r>
      <w:r w:rsidRPr="00354013">
        <w:tab/>
        <w:t>prima na znanje da je Sud 2024. donio odluku o 12 predmeta koji se odnose na načelo nadređenosti prava Unije, od čega se 10 predmeta odnosilo na prethodne odluke, a dva predmeta na kršenja; ponavlja da načelo nadređenosti prava Unije, kojim se osigurava ujednačeno tumačenje i primjena prava Unije u svim državama članicama i štiti vladavina prava kao temeljna vrijednost Unije, ima temeljnu važnost; odlučno ponovno potvrđuje da je nadređenost prava Unije temelj pravnog poretka Unije i ističe ključnu ulogu Suda EU-a u očuvanju vladavine prava u cijeloj Uniji; konstatira da se u članku 4. stavku 2. Ugovora o Europskoj uniji navodi da „Unija poštuje jednakost država članica pred Ugovorima, kao i njihove nacionalne identitete, koji su neodvojivo povezani s njihovim temeljnim političkim i ustavnim strukturama, uključujući regionalnu i lokalnu samoupravu”;</w:t>
      </w:r>
    </w:p>
    <w:p w14:paraId="6BE8B4FF" w14:textId="77777777" w:rsidR="00354013" w:rsidRPr="00354013" w:rsidRDefault="00354013" w:rsidP="00354013">
      <w:pPr>
        <w:spacing w:after="240"/>
        <w:ind w:left="567" w:hanging="567"/>
      </w:pPr>
      <w:r w:rsidRPr="00354013">
        <w:t>12.</w:t>
      </w:r>
      <w:r w:rsidRPr="00354013">
        <w:tab/>
        <w:t>prima na znanje, na temelju odgovora Suda EU-a na upitnik za razrješnicu za 2024., da je Sudu 2024. podneseno 920 novih predmeta (u odnosu na 821 2023.), od čega su 62,30 % bili zahtjevi za prethodnu odluku, a njih 277 žalbe na odluke Općeg suda; konstatira da je Opći sud zabilježio znatno smanjenje broja novih predmeta, s 1271 u 2023. na 786 u 2024., od čega se 35,88 % predmeta odnosilo na postupke za poništenje akata institucija Unije, 34,10 % na postupke koji se odnose na intelektualno vlasništvo, a 9,67 % na sporove između institucija Unije i njihova osoblja;</w:t>
      </w:r>
    </w:p>
    <w:p w14:paraId="59748FD3" w14:textId="77777777" w:rsidR="00354013" w:rsidRPr="00354013" w:rsidRDefault="00354013" w:rsidP="00354013">
      <w:pPr>
        <w:spacing w:after="240"/>
        <w:ind w:left="567" w:hanging="567"/>
      </w:pPr>
      <w:r w:rsidRPr="00354013">
        <w:lastRenderedPageBreak/>
        <w:t>13.</w:t>
      </w:r>
      <w:r w:rsidRPr="00354013">
        <w:tab/>
        <w:t>slaže se sa Sudom EU-a da bi Komisija, kao čuvarica Ugovorâ, trebala pratiti poštuju li države članice presude Suda Europske unije; ponovno poziva Sud EU-a da, strogo u granicama svojih ovlasti, uspostavi mehanizam za utvrđivanje najboljih i loših praksi u državama članicama;</w:t>
      </w:r>
    </w:p>
    <w:p w14:paraId="67BE6EC9" w14:textId="77777777" w:rsidR="00354013" w:rsidRPr="00354013" w:rsidRDefault="00354013" w:rsidP="00354013">
      <w:pPr>
        <w:spacing w:after="240"/>
        <w:ind w:left="567" w:hanging="567"/>
      </w:pPr>
      <w:r w:rsidRPr="00354013">
        <w:t>14.</w:t>
      </w:r>
      <w:r w:rsidRPr="00354013">
        <w:tab/>
        <w:t xml:space="preserve">prima na znanje povećanje broja predmeta koje je zaključio Opći sud, s 904 u 2023. na 922 u 2024., i povećanje broja predmeta koje je zaključio Sud, sa 783 u 2023. na 863 u 2024., pri čemu je povećanje kad je riječ o Sudu potaknuto djelomičnom zamjenom sudaca i nezavisnih odvjetnika Suda 2024., koja se provodi svake tri godine; nadalje prima na znanje povećanje broja neriješenih predmeta na Sudu, s 1149 u 2023. na 1206 u 2024., te smanjenje broja neriješenih predmeta na Općem sudu, s 1438 u 2023. na 1302 u 2024. (uključujući niz od 404 u osnovi identična predmeta koji se smatraju jednim predmetom), djelomično zbog zaključenja određenih velikih skupina predmeta; </w:t>
      </w:r>
    </w:p>
    <w:p w14:paraId="0FAD0CC2" w14:textId="77777777" w:rsidR="00354013" w:rsidRPr="00354013" w:rsidRDefault="00354013" w:rsidP="00354013">
      <w:pPr>
        <w:spacing w:after="240"/>
        <w:ind w:left="567" w:hanging="567"/>
      </w:pPr>
      <w:r w:rsidRPr="00354013">
        <w:t>15.</w:t>
      </w:r>
      <w:r w:rsidRPr="00354013">
        <w:tab/>
        <w:t>istodobno pozdravlja smanjenje prosječnog vremena potrebnog za rješavanje predmeta u hitnom postupku pred Sudom, koje se smanjilo s 4,3 mjeseca 2023. na 3,3 mjeseca 2024.;</w:t>
      </w:r>
    </w:p>
    <w:p w14:paraId="7CCF2BFD" w14:textId="77777777" w:rsidR="00354013" w:rsidRPr="00354013" w:rsidRDefault="00354013" w:rsidP="00354013">
      <w:pPr>
        <w:spacing w:after="240"/>
        <w:ind w:left="567" w:hanging="567"/>
      </w:pPr>
      <w:r w:rsidRPr="00354013">
        <w:t>16.</w:t>
      </w:r>
      <w:r w:rsidRPr="00354013">
        <w:tab/>
        <w:t>konstatira da je prosječno trajanje postupaka za predmete koje je Sud zaključio 2024. iznosilo 17,7 mjeseci u usporedbi sa 16,1 mjesecom 2023., pri čemu je do povećanja za otprilike šest tjedana došlo zbog složenosti i veličine nekih spisa (kao što su postupci pokrenuti 2020. i zaključeni 2024. protiv takozvanog „paketa za mobilnost” Unije); konstatira da se prosječno trajanje za predmete zaključene presudom ili rješenjem Općeg suda povećalo s 18,2 mjeseca 2023. na 18,5 mjeseci 2024.; naglašava da pravodobnost sudskih postupaka mora ostati temeljni cilj uspješnosti jer prekomjerno trajanje izravno utječe na pravnu sigurnost za građane, nacionalne sudove i gospodarske subjekte;</w:t>
      </w:r>
    </w:p>
    <w:p w14:paraId="32D78DFC" w14:textId="77777777" w:rsidR="00354013" w:rsidRPr="00354013" w:rsidRDefault="00354013" w:rsidP="00354013">
      <w:pPr>
        <w:spacing w:after="240"/>
        <w:ind w:left="567" w:hanging="567"/>
      </w:pPr>
      <w:r w:rsidRPr="00354013">
        <w:t>17.</w:t>
      </w:r>
      <w:r w:rsidRPr="00354013">
        <w:tab/>
        <w:t>poziva Sud EU-a da u suradnji s nacionalnim sudovima istraži koje bi praktične upute (kao što su smjernice, predlošci za zahtjeve za prethodnu odluku i internetske edukacije) doprinijele jasnom i konciznom formuliranju pitanja koja se podnose u zahtjevima za prethodnu odluku, čime bi se smanjio rizik od nepotrebnih ili pretjerano dugih postupaka;</w:t>
      </w:r>
    </w:p>
    <w:p w14:paraId="126EC6CE" w14:textId="77777777" w:rsidR="00354013" w:rsidRPr="00354013" w:rsidRDefault="00354013" w:rsidP="00354013">
      <w:pPr>
        <w:spacing w:after="240"/>
        <w:ind w:left="567" w:hanging="567"/>
      </w:pPr>
      <w:r w:rsidRPr="00354013">
        <w:t>18.</w:t>
      </w:r>
      <w:r w:rsidRPr="00354013">
        <w:tab/>
        <w:t>pohvaljuje Sud EU-a zbog veće upotrebe aplikacije e-</w:t>
      </w:r>
      <w:proofErr w:type="spellStart"/>
      <w:r w:rsidRPr="00354013">
        <w:t>Curia</w:t>
      </w:r>
      <w:proofErr w:type="spellEnd"/>
      <w:r w:rsidRPr="00354013">
        <w:t xml:space="preserve">, s obzirom na to da se broj računa koje su otvorili nacionalni sudovi povećao s 451 2023. na 566 2024. i da je postotak </w:t>
      </w:r>
      <w:proofErr w:type="spellStart"/>
      <w:r w:rsidRPr="00354013">
        <w:t>postupovnih</w:t>
      </w:r>
      <w:proofErr w:type="spellEnd"/>
      <w:r w:rsidRPr="00354013">
        <w:t xml:space="preserve"> akata podnesenih putem aplikacije e-</w:t>
      </w:r>
      <w:proofErr w:type="spellStart"/>
      <w:r w:rsidRPr="00354013">
        <w:t>Curia</w:t>
      </w:r>
      <w:proofErr w:type="spellEnd"/>
      <w:r w:rsidRPr="00354013">
        <w:t xml:space="preserve"> dosegnuo 91 % na Sudu i 96 % na Općem sudu;</w:t>
      </w:r>
    </w:p>
    <w:p w14:paraId="3ECD8089" w14:textId="77777777" w:rsidR="00354013" w:rsidRPr="00354013" w:rsidRDefault="00354013" w:rsidP="00354013">
      <w:pPr>
        <w:spacing w:after="240"/>
        <w:ind w:left="567" w:hanging="567"/>
      </w:pPr>
      <w:r w:rsidRPr="00354013">
        <w:t>19.</w:t>
      </w:r>
      <w:r w:rsidRPr="00354013">
        <w:tab/>
        <w:t>pozdravlja pristup koji se temelji na uspješnosti koji je razvio Sud EU-a i koji mu omogućuje donošenje odluka na temelju razine ostvarenja ciljeva, što se mjeri skupom pokazatelja radnog opterećenja i operativnih pokazatelja (npr. troškovna učinkovitost, stope dovršetka projekta, zadovoljstvo korisnika i optimizacija resursa) prilagođenih svakom odjelu; napominje da ključni pokazatelji uspješnosti koje upotrebljava Sud EU-a obuhvaćaju širok raspon posebnih područja kojima se podupire pet ciljeva upravljanja koji se odnose na pravilno funkcioniranje dvaju sudova, digitalizaciju i tehnologije u nastajanju, otvorenost i transparentnost, višejezičnost i upravljanje ljudskim resursima; ističe potrebu da Sud EU-a osigura da ti pokazatelji budu transparentni, usmjereni na rezultate i da se redovito ocjenjuju kako bi se poduprlo učinkovito upravljanje i odgovornost;</w:t>
      </w:r>
    </w:p>
    <w:p w14:paraId="6CC8EE58" w14:textId="77777777" w:rsidR="00354013" w:rsidRPr="00354013" w:rsidRDefault="00354013" w:rsidP="00354013">
      <w:pPr>
        <w:spacing w:after="240"/>
        <w:ind w:left="567" w:hanging="567"/>
      </w:pPr>
      <w:r w:rsidRPr="00354013">
        <w:lastRenderedPageBreak/>
        <w:t>20.</w:t>
      </w:r>
      <w:r w:rsidRPr="00354013">
        <w:tab/>
        <w:t>pozdravlja njegov pristup revidiran 2024. u pogledu povrata ulaganja za inovacijske inicijative, kojim se uzima u obzir evaluacija troškova s pomoću parametara kao što su rad na provedbi i rad osoblja, godišnje održavanje, troškovi ugovaratelja i druge vrste troškova, kao i evaluacija koristi s pomoću parametara kao što su predviđena dobit, strateške prednosti i broj korisnika na koje inicijativa utječe; napominje da je Sud EU-a 2024. također temeljito revidirao svoj sustav kako bi pratio upravljanje projektima i financiranjem projekata, s ciljem osiguravanja potpunog izvješćivanja i kontrole nad svojim savjetodavnim uslugama digitalizacije prema utrošenom vremenu do 2025.; poziva Sud EU-a da obavještava tijelo nadležno za davanje razrješnice o tom pitanju;</w:t>
      </w:r>
    </w:p>
    <w:p w14:paraId="736C995B" w14:textId="77777777" w:rsidR="00354013" w:rsidRPr="00354013" w:rsidRDefault="00354013" w:rsidP="00354013">
      <w:pPr>
        <w:spacing w:after="240"/>
        <w:ind w:left="567" w:hanging="567"/>
      </w:pPr>
      <w:r w:rsidRPr="00354013">
        <w:t>21.</w:t>
      </w:r>
      <w:r w:rsidRPr="00354013">
        <w:tab/>
        <w:t>prima na znanje, na temelju izvješća Suda EU-a o unutarnjoj reviziji za 2024. („interno izvješće”), da su se glavne revizijske aktivnosti koje je proveo odjel Suda EU-a za unutarnju reviziju 2024. odnosile na reviziju projekta Suda EU-a za unapređenje njegovih aranžmana za sigurnost infrastrukture i projekata inventara imovine, kao i na tri studije: o promjenama u potrebama Suda EU-a za ljudskim kapitalom u doba generativne umjetne inteligencije; o kompetencijama organizacija i njihovih zaposlenika u promjenjivom okruženju; te o dobrobiti zaposlenika i tehnologijama u nastajanju; sa zadovoljstvom prima na znanje, na temelju internog izvješća, da su predmetni odjeli poduzeli mjere za provedbu preporuka danih u okviru revizije, često i prije nego što su revizije zaključene; nadalje napominje da je 2025. u vezi s programom za 2024. u tijeku bio rad na reviziji informatičkih licencija te, u posljednjem dijelu revizije, upravljanja kupnjom namještaja i opreme; primjećuje da je izvješće o trenutačnom stanju u okviru te revizije ostalo nepromijenjeno tijekom dva uzastopna izvještajna razdoblja; poziva Sud EU-a da u budućnosti dostavlja ažurirane informacije o praćenju mjera poduzetih na temelju preporuka u okviru unutarnje revizije u obliku tablice, sa statusom provedbe za svaku mjeru i preporuku;</w:t>
      </w:r>
    </w:p>
    <w:p w14:paraId="28442DC6" w14:textId="77777777" w:rsidR="00354013" w:rsidRPr="00095FB6" w:rsidRDefault="00354013" w:rsidP="00354013">
      <w:pPr>
        <w:spacing w:after="240"/>
        <w:ind w:left="567" w:hanging="567"/>
        <w:rPr>
          <w:b/>
          <w:i/>
          <w:iCs/>
        </w:rPr>
      </w:pPr>
      <w:r w:rsidRPr="00095FB6">
        <w:rPr>
          <w:b/>
          <w:i/>
          <w:iCs/>
        </w:rPr>
        <w:t>Ljudski resursi, jednakost i dobrobit osoblja</w:t>
      </w:r>
    </w:p>
    <w:p w14:paraId="5A9CC631" w14:textId="77777777" w:rsidR="00354013" w:rsidRPr="00354013" w:rsidRDefault="00354013" w:rsidP="00354013">
      <w:pPr>
        <w:spacing w:after="240"/>
        <w:ind w:left="567" w:hanging="567"/>
      </w:pPr>
      <w:r w:rsidRPr="00354013">
        <w:t>22.</w:t>
      </w:r>
      <w:r w:rsidRPr="00354013">
        <w:tab/>
        <w:t>prima na znanje da se ukupni broj dužnosnika na kraju godine povećao s 1340 (58 %) u 2023. na 1354 (60 %) u 2024., broj privremenih djelatnika smanjio se sa 765 (33 %) u 2023. na 740 (33 %) u 2024., a broj ugovornih djelatnika smanjio se sa 198 (9 %) u 2023. na 173 (7 %) u 2024.; konstatira da se stopa popunjenosti radnih mjesta blago smanjila s 97,11 % u 2023. na 96,70 % u 2024., a godišnja fluktuacija osoblja smanjila se sa 6,54 % u 2023. na 6,32 % u 2024., pri čemu je 41 % odlazaka zaposlenika bilo povezano s mirovinama;</w:t>
      </w:r>
    </w:p>
    <w:p w14:paraId="4B6C27A8" w14:textId="77777777" w:rsidR="00354013" w:rsidRPr="00354013" w:rsidRDefault="00354013" w:rsidP="00354013">
      <w:pPr>
        <w:spacing w:after="240"/>
        <w:ind w:left="567" w:hanging="567"/>
      </w:pPr>
      <w:r w:rsidRPr="00354013">
        <w:t>23.</w:t>
      </w:r>
      <w:r w:rsidRPr="00354013">
        <w:tab/>
        <w:t>napominje da se Sud sastoji od 27 sudaca i 11 nezavisnih odvjetnika, a Opći sud od 54 suca; nadalje napominje da je zbog djelomične zamjene 2024. dužnost preuzelo devet novih sudaca Suda i dva nova suca Općeg suda; žali zbog toga što je rodni sastav Suda i Općeg suda i dalje vrlo neuravnotežen; izražava zadovoljstvo zbog pisma predsjednika Općeg suda predsjedniku Konferencije predstavnika država članica iz 2024., u kojem se države članice pozivaju da pri imenovanju kandidata za zamjenu sudaca i nezavisnih odvjetnika uzmu u obzir potrebu za rodnom ravnotežom; ponavlja svoj poziv državama članicama da pri imenovanju kandidata za zamjenu sudaca u obzir uzmu potrebu za rodnom ravnotežom te da se pritom pobrinu za to da se imenovanja i dalje temelje na kriterijima zasluga, kvalifikacija i neovisnosti;</w:t>
      </w:r>
    </w:p>
    <w:p w14:paraId="0F3A3A6A" w14:textId="77777777" w:rsidR="00354013" w:rsidRPr="00354013" w:rsidRDefault="00354013" w:rsidP="00354013">
      <w:pPr>
        <w:spacing w:after="240"/>
        <w:ind w:left="567" w:hanging="567"/>
      </w:pPr>
      <w:r w:rsidRPr="00354013">
        <w:t>24.</w:t>
      </w:r>
      <w:r w:rsidRPr="00354013">
        <w:tab/>
        <w:t xml:space="preserve">napominje da je 2024. osoblje Suda EU-a bilo sastavljeno od 60,70 % žena i 39,30 % muškaraca; konstatira da je zastupljenost žena bila najviša u platnim razredima asistenata (69,14 %), dok je nažalost na višim rukovodećim položajima bila najniža </w:t>
      </w:r>
      <w:r w:rsidRPr="00354013">
        <w:lastRenderedPageBreak/>
        <w:t>(35,71 %); nadalje prima na znanje povećanje udjela žena na srednjim rukovodećim položajima s 43,33 % u 2023. na 51,61 % u 2024.; sa zadovoljstvom prima na znanje, na temelju izvješća dužnosnika za ovjeravanje na osnovi delegiranja o upravljanju za 2024., uzlazni trend ukupne zastupljenosti žena na rukovodećim položajima, s 37,50 % 2018. na 48,70 % 2024.; naglašava da je stalna nedovoljna zastupljenost žena na višim rukovodećim položajima i dalje razlog za zabrinutost te potiče Sud EU-a da nastavi poboljšavati ciljane mjere usmjerene na podupiranje napredovanja u karijeri i karijerne putove rukovodstva za žene, uz potpuno poštovanje načela zasluga i transparentnosti;</w:t>
      </w:r>
    </w:p>
    <w:p w14:paraId="47DFBAF1" w14:textId="77777777" w:rsidR="00354013" w:rsidRPr="00354013" w:rsidRDefault="00354013" w:rsidP="00354013">
      <w:pPr>
        <w:spacing w:after="240"/>
        <w:ind w:left="567" w:hanging="567"/>
        <w:rPr>
          <w:bCs/>
          <w:iCs/>
        </w:rPr>
      </w:pPr>
      <w:r w:rsidRPr="00354013">
        <w:t>25.</w:t>
      </w:r>
      <w:r w:rsidRPr="00354013">
        <w:tab/>
        <w:t>pozdravlja izradu akcijskog plana za Konvenciju Vijeća Europe o sprečavanju i borbi protiv nasilja nad ženama i nasilja u obitelji („</w:t>
      </w:r>
      <w:proofErr w:type="spellStart"/>
      <w:r w:rsidRPr="00354013">
        <w:t>Istanbulska</w:t>
      </w:r>
      <w:proofErr w:type="spellEnd"/>
      <w:r w:rsidRPr="00354013">
        <w:t xml:space="preserve"> konvencija”), kojim se usklađuju mjere, daju preporuke i provode informativne i edukativne mjere za cjelokupno osoblje kako bi se spriječili slučajevi uznemiravanja; prima na znanje daljnje najavljene mjere, koje uključuju nastavak suradnje s nacionalnim organizacijama koje djeluju u području sprečavanja nasilja nad ženama, dodatne inicijative za podizanje razine osviještenosti i tečajeve osposobljavanja kojima se posebno ističe učinak </w:t>
      </w:r>
      <w:proofErr w:type="spellStart"/>
      <w:r w:rsidRPr="00354013">
        <w:t>mikroagresije</w:t>
      </w:r>
      <w:proofErr w:type="spellEnd"/>
      <w:r w:rsidRPr="00354013">
        <w:t xml:space="preserve"> i rodno uvjetovane pristranosti; u tom pogledu žali zbog nedostatka obveznog osposobljavanja za članove Suda EU-a, kako je navedeno u odgovorima Suda EU-a na upitnik za razrješnicu za 2024.; stoga potiče da se svi, i osoblje i članovi Suda EU-a, uključe u obvezne tečajeve osposobljavanja u području sprečavanja nasilja nad ženama;</w:t>
      </w:r>
    </w:p>
    <w:p w14:paraId="6D137F7F" w14:textId="77777777" w:rsidR="00354013" w:rsidRPr="00354013" w:rsidRDefault="00354013" w:rsidP="00354013">
      <w:pPr>
        <w:spacing w:after="240"/>
        <w:ind w:left="567" w:hanging="567"/>
      </w:pPr>
      <w:r w:rsidRPr="00354013">
        <w:t>26.</w:t>
      </w:r>
      <w:r w:rsidRPr="00354013">
        <w:tab/>
        <w:t xml:space="preserve">sa zadovoljstvom prima na znanje raznolikost napora i mjera koje Sud EU-a provodi među svojim osobljem, među ostalim u fazi zapošljavanja, u korist jednakosti, </w:t>
      </w:r>
      <w:proofErr w:type="spellStart"/>
      <w:r w:rsidRPr="00354013">
        <w:t>uključivosti</w:t>
      </w:r>
      <w:proofErr w:type="spellEnd"/>
      <w:r w:rsidRPr="00354013">
        <w:t xml:space="preserve">, uzajamnog poštovanja i raznolikosti; posebno napominje da je 2024. pokrenuto novo osposobljavanje o raznolikosti i </w:t>
      </w:r>
      <w:proofErr w:type="spellStart"/>
      <w:r w:rsidRPr="00354013">
        <w:t>uključivosti</w:t>
      </w:r>
      <w:proofErr w:type="spellEnd"/>
      <w:r w:rsidRPr="00354013">
        <w:t xml:space="preserve">, s naglaskom na sprečavanju </w:t>
      </w:r>
      <w:proofErr w:type="spellStart"/>
      <w:r w:rsidRPr="00354013">
        <w:t>mikroagresije</w:t>
      </w:r>
      <w:proofErr w:type="spellEnd"/>
      <w:r w:rsidRPr="00354013">
        <w:t xml:space="preserve">, kao i, od 2025., dva nova osposobljavanja: o utvrđivanju zdravih granica za poboljšanje uspješnosti i o okruženju bez uznemiravanja, organizirana na temelju preporuka međuresorne radne skupine Suda EU-a za </w:t>
      </w:r>
      <w:proofErr w:type="spellStart"/>
      <w:r w:rsidRPr="00354013">
        <w:t>Istanbulsku</w:t>
      </w:r>
      <w:proofErr w:type="spellEnd"/>
      <w:r w:rsidRPr="00354013">
        <w:t xml:space="preserve"> konvenciju; sa zadovoljstvom prima na znanje personalizirane mjere potpore Suda EU-a od 2022. (za radne zadatke, radno vrijeme i radne prostore) za osoblje s invaliditetom, sudjelovanje institucije u tjednu osviještenosti o invaliditetu organiziranom 2024. i razvoj pilot-programa za stažiste s invaliditetom od 2025.; poziva Sud EU-a da obavještava tijelo nadležno za davanje razrješnice o tom programu;</w:t>
      </w:r>
    </w:p>
    <w:p w14:paraId="200F2413" w14:textId="77777777" w:rsidR="00354013" w:rsidRPr="00354013" w:rsidRDefault="00354013" w:rsidP="00354013">
      <w:pPr>
        <w:spacing w:after="240"/>
        <w:ind w:left="567" w:hanging="567"/>
      </w:pPr>
      <w:r w:rsidRPr="00354013">
        <w:t>27.</w:t>
      </w:r>
      <w:r w:rsidRPr="00354013">
        <w:tab/>
        <w:t xml:space="preserve">pozdravlja činjenicu da su među osobljem Suda EU-a zastupljene sve nacionalnosti Unije; napominje, međutim, da su određene nacionalnosti zastupljenije od drugih, a neke od njih su znatno prekomjerno zastupljene; podržava Sud EU-a u jačanju aktivnosti u pogledu što šireg oglašavanja slobodnih radnih mjesta putem </w:t>
      </w:r>
      <w:proofErr w:type="spellStart"/>
      <w:r w:rsidRPr="00354013">
        <w:t>međuinstitucijskih</w:t>
      </w:r>
      <w:proofErr w:type="spellEnd"/>
      <w:r w:rsidRPr="00354013">
        <w:t xml:space="preserve"> internetskih stranica, društvenih mreža i EPSO-a; prima na znanje, na temelju izvješća o daljnjem postupanju, obvezu Suda EU-a da analizira relevantne podatke za provedbu ciljanih mjera usmjerenih na poboljšanje geografske zastupljenosti među svojim osobljem, uključujući stažiste; pozdravlja trud koji Sud EU-a ulaže u podizanje razine osviještenosti o programima stažiranja među nacionalnim upravama i stalnim predstavništvima nedovoljno zastupljenih država članica;  sa zadovoljstvom konstatira da je Sud EU-a 2024. za stažiranja u okviru Europske mreže za pravosudno osposobljavanje zaprimio zahtjeve iz triju novih država članica koje su prvi put sudjelovale u njegovu dugoročnom programu osposobljavanja za nacionalne pravosudne stručnjake;</w:t>
      </w:r>
    </w:p>
    <w:p w14:paraId="7FE7A6F8" w14:textId="77777777" w:rsidR="00354013" w:rsidRPr="00354013" w:rsidRDefault="00354013" w:rsidP="00354013">
      <w:pPr>
        <w:spacing w:after="240"/>
        <w:ind w:left="567" w:hanging="567"/>
      </w:pPr>
      <w:r w:rsidRPr="00354013">
        <w:lastRenderedPageBreak/>
        <w:t>28.</w:t>
      </w:r>
      <w:r w:rsidRPr="00354013">
        <w:tab/>
        <w:t>pohvaljuje mjere Suda EU-a u području (pravne) višejezičnosti 2024., kao što su dovršetak i objava internetske stranice o višejezičnosti, suorganizacija prvog izdanja ljetne škole zajedno s drugim institucijama Unije, bliska suradnja s državama članicama kako bi se uspostavila skupina vanjskih stručnjaka za hvatanje u koštac s povećanjem količine prijevoda i kako bi se obuhvatile sve jezične kombinacije, mjere za podizanje razine osviještenosti za tržište vanjskih suradnika i kontinuirana nadogradnja postupaka i vještina u pogledu upotrebe digitalnih alata (uključujući one povezane s umjetnom inteligencijom) za prevođenje;</w:t>
      </w:r>
    </w:p>
    <w:p w14:paraId="74FD6F87" w14:textId="77777777" w:rsidR="00354013" w:rsidRPr="00354013" w:rsidRDefault="00354013" w:rsidP="00354013">
      <w:pPr>
        <w:spacing w:after="240"/>
        <w:ind w:left="567" w:hanging="567"/>
      </w:pPr>
      <w:r w:rsidRPr="00354013">
        <w:t>29.</w:t>
      </w:r>
      <w:r w:rsidRPr="00354013">
        <w:tab/>
        <w:t xml:space="preserve">pohvaljuje Sud EU-a zbog njegovih mjera za svladavanje izazova u zapošljavanju osoblja i promicanje Luksemburga među mladim osobama s diplomom kao mjesta za rad; sa zadovoljstvom prima na znanje doprinos Suda EU-a uspostavi i provedbi mjere naknade za stanovanje koja se s retroaktivnim učinkom od 1. siječnja 2025. isplaćuje osoblju u nižim razredima, pripremi natječaja EPSO-a posebno namijenjenih osoblju koje će biti zaposleno u Luxembourgu, kao i informativnim sastancima i ljetnim školama; potiče pojačanu suradnju s EPSO-om i drugim institucijama kako bi se povećao broj kvalificiranih kandidata i ojačali konkurentni postupci odabira u specijaliziranim područjima; prima na znanje, na temelju izvješća o daljnjem postupanju, da je Sud EU-a u ime </w:t>
      </w:r>
      <w:proofErr w:type="spellStart"/>
      <w:r w:rsidRPr="00354013">
        <w:t>međuinstitucijske</w:t>
      </w:r>
      <w:proofErr w:type="spellEnd"/>
      <w:r w:rsidRPr="00354013">
        <w:t xml:space="preserve"> skupine na visokoj razini proveo pilot-projekt/anketu kako bi utvrdio bi li bilo izvedivo ugovoriti usluge najma privremenog smještaja (tj. za razdoblje od najviše jedne godine) po tržišnoj cijeni (ili nižoj) koju bi izravno plaćali članovi osoblja; nadalje napominje da je anketa bila uspješna i da je stoga radna skupina institucijama sudionicama podnijela sporazum na razini službi kako bi ovlastila Sud da provede postupak pregovaranja o nekretninama sa subjektima koji su prijavili odgovarajuće projekte; poziva Sud EU-a da tijelo nadležno za davanje razrješnice nastavi obavještavati o daljnjim koracima po tom pitanju;</w:t>
      </w:r>
    </w:p>
    <w:p w14:paraId="39AC7C90" w14:textId="77777777" w:rsidR="00354013" w:rsidRPr="00354013" w:rsidRDefault="00354013" w:rsidP="00354013">
      <w:pPr>
        <w:spacing w:after="240"/>
        <w:ind w:left="567" w:hanging="567"/>
      </w:pPr>
      <w:r w:rsidRPr="00354013">
        <w:t>30.</w:t>
      </w:r>
      <w:r w:rsidRPr="00354013">
        <w:tab/>
        <w:t>napominje da je Sud EU-a primio 201 stažista u okviru općeg (plaćenog) programa stažiranja; nadalje napominje da je 34 % prvotno odabranih kandidata odbilo ponudu Suda EU-a nakon što je shvatilo koliko su visoki troškovi života u Luksemburgu</w:t>
      </w:r>
      <w:bookmarkStart w:id="8" w:name="_Hlk215138302"/>
      <w:r w:rsidRPr="00354013">
        <w:t xml:space="preserve">; naglašava da bi stažiranja trebala biti plaćena, u skladu s Rezolucijom parlamenta od 14. lipnja 2023. o kvalitetnim pripravništvima u EU-u (2020/2005(INL)), u kojoj se poziva na to da sva stažiranja u Uniji budu plaćena; </w:t>
      </w:r>
      <w:bookmarkEnd w:id="8"/>
      <w:r w:rsidRPr="00354013">
        <w:t>pozdravlja činjenicu da trenutačno svi stažisti na Sudu EU-a primaju naknadu tijekom stažiranja, uglavnom od Suda EU-a, a u nekim posebnim slučajevima iz drugih izvora; prima na znanje da Sud EU-a prihvaća samo nekoliko stažista (njih sedam u 2024.) koje plaćaju drugi izvori, i to na kratka razdoblja;</w:t>
      </w:r>
    </w:p>
    <w:p w14:paraId="29337728" w14:textId="77777777" w:rsidR="00354013" w:rsidRPr="00354013" w:rsidRDefault="00354013" w:rsidP="00354013">
      <w:pPr>
        <w:spacing w:after="240"/>
        <w:ind w:left="567" w:hanging="567"/>
      </w:pPr>
      <w:r w:rsidRPr="00354013">
        <w:t>31.</w:t>
      </w:r>
      <w:r w:rsidRPr="00354013">
        <w:tab/>
        <w:t>napominje da je 2024. zabilježeno 17 slučajeva sindroma izgaranja na poslu, od čega je osam novih slučajeva prijavljeno 2024., a devet slučajeva 2023., te da je predmetno osoblje dobilo stručnu potporu i savjetovanje; sa zadovoljstvom primjećuje da je Sud EU-a 2024. ostao predvodnik u inicijativama kojima se promiče fizička i mentalna dobrobit osoblja te nastoje ublažiti rizici sindroma izgaranja na poslu i psihosocijalni rizici, kao što su savjetovanja sa socijalnim radnikom ili psihologom, predavanja o usredotočenoj svjesnosti i digitalnoj ravnoteži, specijalizirane radionice i aktivnosti podizanja razine osviještenosti o zdravstvenim pitanjima, tečajevi osposobljavanja za pružanje prve pomoći te zapošljavanje dvaju psihologa na nepuno radno vrijeme; prima na znanje uspjeh u pogledu primjene fleksibilnih radnih uvjeta, uključujući program rada na daljinu Suda EU-a, čime se u konačnici nastoji postići bolja ravnoteža između poslovnog i privatnog života za osoblje;</w:t>
      </w:r>
    </w:p>
    <w:p w14:paraId="366F0104" w14:textId="77777777" w:rsidR="00354013" w:rsidRPr="00354013" w:rsidRDefault="00354013" w:rsidP="00354013">
      <w:pPr>
        <w:spacing w:after="240"/>
        <w:ind w:left="567" w:hanging="567"/>
      </w:pPr>
      <w:r w:rsidRPr="00354013">
        <w:lastRenderedPageBreak/>
        <w:t>32.</w:t>
      </w:r>
      <w:r w:rsidRPr="00354013">
        <w:tab/>
        <w:t>napominje da je 2023. pokrenuta administrativna istraga o navodnom slučaju seksualnog uznemiravanja člana osoblja i da je taj predmet zaključen 2024. sankcijom; prima na znanje da 2024. nije pokrenuta nijedna nova administrativna istraga o uznemiravanju;</w:t>
      </w:r>
    </w:p>
    <w:p w14:paraId="5B86B4DE" w14:textId="77777777" w:rsidR="00354013" w:rsidRPr="00095FB6" w:rsidRDefault="00354013" w:rsidP="00354013">
      <w:pPr>
        <w:spacing w:after="240"/>
        <w:ind w:left="567" w:hanging="567"/>
        <w:rPr>
          <w:b/>
          <w:i/>
          <w:iCs/>
        </w:rPr>
      </w:pPr>
      <w:r w:rsidRPr="00095FB6">
        <w:rPr>
          <w:b/>
          <w:i/>
          <w:iCs/>
        </w:rPr>
        <w:t>Etički okvir, transparentnost i pristup pravosuđu za građane</w:t>
      </w:r>
    </w:p>
    <w:p w14:paraId="59D58E40" w14:textId="77777777" w:rsidR="00354013" w:rsidRPr="00354013" w:rsidRDefault="00354013" w:rsidP="00354013">
      <w:pPr>
        <w:spacing w:after="240"/>
        <w:ind w:left="567" w:hanging="567"/>
      </w:pPr>
      <w:r w:rsidRPr="00354013">
        <w:t>33.</w:t>
      </w:r>
      <w:r w:rsidRPr="00354013">
        <w:tab/>
        <w:t>konstatira da je, kako je zatraženo u prethodnim preporukama o razrješnici, u ožujku 2024. donesen novi Kodeks ponašanja za dužnosnike i ostale službenike Suda EU-a koji odražava njegove vrijednosti i predanost visokim etičkim standardima te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je Sud EU-a uveo mjere kako bi predstavio i objasnio Kodeks ponašanja što široj publici i kako bi osoblje u potpunosti razumjelo nova pravila i širi pravni okvir čiji su dio te da su osposobljavanja o Kodeksu ponašanja te pravima i obvezama osoblja obvezna za nove zaposlenike i da se svakako preporučuju cjelokupnom osoblju Suda EU-a, pri čemu je 2024. u takvim osposobljavanjima sudjelovala ukupno 561 osoba (tj. 24,75 % ukupnog broja dužnosnika i službenika Suda EU-a); nadalje konstatira da je slično osposobljavanje 2024. ponuđeno i novim članovima Suda EU-a; sa zadovoljstvom prima na znanje da postoji mreža „povjerljivih savjetnika” Suda EU-a koji pomažu članovima osoblja u slučaju uznemiravanja, kao i program upravljanja talentima koji se nudi administratorima s velikim potencijalom koji obuhvaća, među ostalim, etičko vodstvo; potiče Sud EU-a da postupno proširi osposobljavanje o Kodeksu ponašanja beziznimno na sve članove osoblja kako bi se osiguralo zajedničko razumijevanje etičkih standarda na razini cijele institucije;</w:t>
      </w:r>
    </w:p>
    <w:p w14:paraId="70BF12C6" w14:textId="77777777" w:rsidR="00354013" w:rsidRPr="00354013" w:rsidRDefault="00354013" w:rsidP="00354013">
      <w:pPr>
        <w:spacing w:after="240"/>
        <w:ind w:left="567" w:hanging="567"/>
      </w:pPr>
      <w:r w:rsidRPr="00354013">
        <w:t>34.</w:t>
      </w:r>
      <w:r w:rsidRPr="00354013">
        <w:tab/>
        <w:t xml:space="preserve">napominje da se od donošenja Kodeksa ponašanja za članove i bivše članove Suda EU-a izjave o interesima članova Suda EU-a objavljuju na internetu kako bi se izbjegao mogući sukob interesa u postupanju u predmetima; sa zadovoljstvom prima na znanje, na temelju izvješća o daljnjem postupanju, da je Sud EU-a 2024. potpisao sporazum o osnivanju </w:t>
      </w:r>
      <w:proofErr w:type="spellStart"/>
      <w:r w:rsidRPr="00354013">
        <w:t>međuinstitucijskog</w:t>
      </w:r>
      <w:proofErr w:type="spellEnd"/>
      <w:r w:rsidRPr="00354013">
        <w:t xml:space="preserve"> „tijela EU-a za etička pitanja”, koje među svojim zadaćama ima izradu zajedničkih minimalnih standarda za ponašanje članova institucija potpisnica; potvrđuje da će Sud EU-a zadržati status promatrača u tom tijelu kako bi se očuvala neovisnost pravosuđa;</w:t>
      </w:r>
    </w:p>
    <w:p w14:paraId="6D403ADA" w14:textId="77777777" w:rsidR="00354013" w:rsidRPr="00354013" w:rsidRDefault="00354013" w:rsidP="00354013">
      <w:pPr>
        <w:spacing w:after="240"/>
        <w:ind w:left="567" w:hanging="567"/>
      </w:pPr>
      <w:r w:rsidRPr="00354013">
        <w:t>35.</w:t>
      </w:r>
      <w:r w:rsidRPr="00354013">
        <w:tab/>
        <w:t>primjećuje njegovu snažnu politiku otkrivanja i sprečavanja sukoba interesa unutar institucije i tzv. rotirajućih vrata, pri čemu su novim Kodeksom ponašanja definirana posebna i stroža pravila za rukovoditelje i pravne tajnike; prima na znanje da su 2024. obrađene tri izjave članova osoblja o mogućem sukobu interesa, pri čemu nijedna nije zahtijevala korektivne mjere; nadalje prima na znanje da je 57 članova osoblja 2024. izjavilo da namjeravaju raditi nakon što napuste Sud EU-a, dok nijednom članu nije određeno razdoblje mirovanja; napominje, međutim, da se razdoblje mirovanja za slučaj koji je 2023. podnio bivši viši član osoblja nastavilo 2024.; prima na znanje da 2024. na Sudu EU-a nije prijavljen nijedan slučaj zviždača;</w:t>
      </w:r>
    </w:p>
    <w:p w14:paraId="541EA006" w14:textId="77777777" w:rsidR="00354013" w:rsidRPr="00354013" w:rsidRDefault="00354013" w:rsidP="00354013">
      <w:pPr>
        <w:spacing w:after="240"/>
        <w:ind w:left="567" w:hanging="567"/>
      </w:pPr>
      <w:r w:rsidRPr="00354013">
        <w:t>36.</w:t>
      </w:r>
      <w:r w:rsidRPr="00354013">
        <w:tab/>
        <w:t xml:space="preserve">prima na znanje, na temelju izvješća o daljnjem postupanju, da je politika izuzimanja sudaca u slučajevima stvarnog ili očitog sukoba interesa već obvezna i da se Sud EU-a oslanja na provjereni mehanizam za sprečavanje sukoba interesa, pri čemu taj </w:t>
      </w:r>
      <w:r w:rsidRPr="00354013">
        <w:lastRenderedPageBreak/>
        <w:t>mehanizam obuhvaća postupak odabira članova Suda EU-a i ima puni pravni učinak kada članovi preuzmu dužnost;</w:t>
      </w:r>
    </w:p>
    <w:p w14:paraId="35EDF680" w14:textId="77777777" w:rsidR="00354013" w:rsidRPr="00354013" w:rsidRDefault="00354013" w:rsidP="00354013">
      <w:pPr>
        <w:spacing w:after="240"/>
        <w:ind w:left="567" w:hanging="567"/>
      </w:pPr>
      <w:r w:rsidRPr="00354013">
        <w:t>37.</w:t>
      </w:r>
      <w:r w:rsidRPr="00354013">
        <w:tab/>
        <w:t>napominje da su 2024., u skladu s člankom 14. Statuta, svi članovi Suda EU-a imali boravište u Luksemburgu;</w:t>
      </w:r>
    </w:p>
    <w:p w14:paraId="05164AB2" w14:textId="77777777" w:rsidR="00354013" w:rsidRPr="00354013" w:rsidRDefault="00354013" w:rsidP="00354013">
      <w:pPr>
        <w:spacing w:after="240"/>
        <w:ind w:left="567" w:hanging="567"/>
      </w:pPr>
      <w:r w:rsidRPr="00354013">
        <w:t>38.</w:t>
      </w:r>
      <w:r w:rsidRPr="00354013">
        <w:tab/>
        <w:t>konstatira da se popis vanjskih aktivnosti koje obavljaju članovi Suda i Općeg suda objavljuje na internetskim stranicama Suda EU-a od 2018. i da se takve aktivnosti odobravaju samo ako su u skladu sa zahtjevima Kodeksa ponašanja članova Suda EU-a i njihovim obvezama da budu dostupni za sudske aktivnosti; pozdravlja, na temelju izvješća o daljnjem postupanju, obvezu Suda EU-a da analizira mogućnosti za poboljšanje kvalitete i čitljivosti objavljenih informacija povezanih s vanjskim aktivnostima;</w:t>
      </w:r>
    </w:p>
    <w:p w14:paraId="433C3900" w14:textId="77777777" w:rsidR="00354013" w:rsidRPr="00354013" w:rsidRDefault="00354013" w:rsidP="00354013">
      <w:pPr>
        <w:spacing w:after="240"/>
        <w:ind w:left="567" w:hanging="567"/>
      </w:pPr>
      <w:r w:rsidRPr="00354013">
        <w:t>39.</w:t>
      </w:r>
      <w:r w:rsidRPr="00354013">
        <w:tab/>
        <w:t xml:space="preserve">podsjeća na preporuku Parlamenta iz 2023. upućenu svim institucijama Unije da postignu dogovor o jedinstvenom sustavu upotrebe službenih vozila koji će se primjenjivati horizontalno; u tom kontekstu i na temelju izvješća o daljnjem postupanju napominje da su Sud EU-a, Revizorski sud, Parlament i Komisija 2024. osnovali </w:t>
      </w:r>
      <w:proofErr w:type="spellStart"/>
      <w:r w:rsidRPr="00354013">
        <w:t>međuinstitucijsku</w:t>
      </w:r>
      <w:proofErr w:type="spellEnd"/>
      <w:r w:rsidRPr="00354013">
        <w:t xml:space="preserve"> radnu skupinu čiji je cilj razmjena informacija o odgovarajućim praksama i utvrđivanje načina za usklađivanje pravila, uz poštovanje autonomije i posebnosti svake institucije; podsjeća na mišljenje Parlamenta da se vozni park ni u kakvim okolnostima ne bi trebao koristiti izvan okvira strogog obavljanja dužnosti članova Suda EU-a; nadalje prima na znanje, na temelju izvješća o daljnjem postupanju, da je radna skupina provela komparativnu analizu tog pitanja i razmatra druge teme povezane s upravljanjem automobilskim voznim parkom; poziva radnu skupinu da brzo djeluje u vezi s tim pitanjem i da što prije obavijesti tijelo nadležno za davanje razrješnice o ishodu svojeg rada i zaključcima;</w:t>
      </w:r>
    </w:p>
    <w:p w14:paraId="78638086" w14:textId="77777777" w:rsidR="00354013" w:rsidRPr="00354013" w:rsidRDefault="00354013" w:rsidP="00354013">
      <w:pPr>
        <w:spacing w:after="240"/>
        <w:ind w:left="567" w:hanging="567"/>
      </w:pPr>
      <w:r w:rsidRPr="00354013">
        <w:t>40.</w:t>
      </w:r>
      <w:r w:rsidRPr="00354013">
        <w:tab/>
        <w:t>napominje da Sud EU-a 2024. nije prijavio nijedan slučaj prijevare, korupcije ili zlouporabe sredstava Unije; napominje da je strategija Suda EU-a za borbu protiv prijevara sastavni dio njegova integriranog okvira unutarnje kontrole i upravljanja rizicima, s posebnim naglaskom na rizicima od nepravilnog otkrivanja informacija; napominje da njegov unutarnji regulatorni okvir uključuje odluku o istragama prijevara, korupcije ili nezakonitih aktivnosti koje se protive interesima Unije te odluku i smjernice za slučajeve zviždanja, uključujući odredbe o informiranju i zaštiti zviždača;</w:t>
      </w:r>
    </w:p>
    <w:p w14:paraId="1C46987B" w14:textId="77777777" w:rsidR="00354013" w:rsidRPr="00354013" w:rsidRDefault="00354013" w:rsidP="00354013">
      <w:pPr>
        <w:spacing w:after="240"/>
        <w:ind w:left="567" w:hanging="567"/>
      </w:pPr>
      <w:r w:rsidRPr="00354013">
        <w:t>41.</w:t>
      </w:r>
      <w:r w:rsidRPr="00354013">
        <w:tab/>
        <w:t xml:space="preserve">pozdravlja angažman Suda EU-a za povećanje transparentnosti, pristupa pravosuđu i javne otvorenosti, čime doprinosi poticanju povjerenja javnosti u institucije Unije, uz istodobno uzimanje u obzir drugih temeljnih pitanja kao što su mirno odvijanje sudskih procesa, povjerljivost postupaka i zaštita osobnih podataka; naglašava da povećana transparentnost mora služiti i jačanju povjerenja javnosti u sudsku praksu Suda; potiče Sud EU-a da nastavi ulagati napore u poboljšanje jasnoće, dostupnosti i predvidljivosti svoje sudske prakse, posebno u predmetima sa znatnim ustavnim i društvenim učinkom; napominje da je Sud EU-a 2024. konsolidirao uslugu internetskog prijenosa za rasprave Suda i Općeg suda na internetskim stranicama </w:t>
      </w:r>
      <w:proofErr w:type="spellStart"/>
      <w:r w:rsidRPr="00354013">
        <w:t>Curia</w:t>
      </w:r>
      <w:proofErr w:type="spellEnd"/>
      <w:r w:rsidRPr="00354013">
        <w:t>, čime je građanima olakšao pristup sudskim aktivnostima Suda EU-a; u tom kontekstu pozdravlja, kao rezultat reforme pravosuđa donesene 2024., veću transparentnost prethodnog postupka zahvaljujući mogućnosti objave pisanih očitovanja na internetskim stranicama Suda EU-a u razumnom roku nakon zaključenja predmeta;</w:t>
      </w:r>
    </w:p>
    <w:p w14:paraId="5B546DA4" w14:textId="77777777" w:rsidR="00354013" w:rsidRPr="00354013" w:rsidRDefault="00354013" w:rsidP="00354013">
      <w:pPr>
        <w:spacing w:after="240"/>
        <w:ind w:left="567" w:hanging="567"/>
      </w:pPr>
      <w:r w:rsidRPr="00354013">
        <w:t>42.</w:t>
      </w:r>
      <w:r w:rsidRPr="00354013">
        <w:tab/>
        <w:t xml:space="preserve">sa zadovoljstvom prima na znanje, na temelju izvješća o daljnjem postupanju, da je Sud </w:t>
      </w:r>
      <w:r w:rsidRPr="00354013">
        <w:lastRenderedPageBreak/>
        <w:t>nakon uspješnog pilot-projekta pokrenutog 2022. i ažuriranja svojeg Poslovnika 2024. proširio uslugu internetskog prijenosa kako bi se obuhvatili važni predmeti koje razmatra vijeće od pet sudaca, kao i internetski prijenosi saslušanja usmenih izlaganja u gotovo stvarnom vremenu te prijenosi uživo izricanja presuda i mišljenja nezavisnih odvjetnika; nadalje napominje da su od 1. rujna 2024. videozapisi rasprava za objavu presuda i mišljenja i dalje trajno dostupni na internetskim stranicama Suda EU-a, a videozapisi usmenih rasprava dostupni su mjesec dana od rasprave; sa zadovoljstvom primjećuje da je Opći sud poduzeo slične mjere kako bi javnosti osigurao širi pristup svojim postupcima;</w:t>
      </w:r>
    </w:p>
    <w:p w14:paraId="50FF06F1" w14:textId="77777777" w:rsidR="00354013" w:rsidRPr="00354013" w:rsidRDefault="00354013" w:rsidP="00354013">
      <w:pPr>
        <w:spacing w:after="240"/>
        <w:ind w:left="567" w:hanging="567"/>
      </w:pPr>
      <w:r w:rsidRPr="00354013">
        <w:t>43.</w:t>
      </w:r>
      <w:r w:rsidRPr="00354013">
        <w:tab/>
        <w:t xml:space="preserve">napominje da je Sud EU-a 2024. zabilježio 20 zahtjeva za javni pristup administrativnim dokumentima te je odobrio pristup administrativnim dokumentima u 15 predmeta; napominje da Europski </w:t>
      </w:r>
      <w:proofErr w:type="spellStart"/>
      <w:r w:rsidRPr="00354013">
        <w:t>ombudsman</w:t>
      </w:r>
      <w:proofErr w:type="spellEnd"/>
      <w:r w:rsidRPr="00354013">
        <w:t xml:space="preserve"> nije razmatrao nijedan predmet koji se odnosi na Sud EU-a;</w:t>
      </w:r>
    </w:p>
    <w:p w14:paraId="62BA27A3" w14:textId="77777777" w:rsidR="00354013" w:rsidRPr="00095FB6" w:rsidRDefault="00354013" w:rsidP="00354013">
      <w:pPr>
        <w:spacing w:after="240"/>
        <w:rPr>
          <w:b/>
          <w:i/>
          <w:iCs/>
        </w:rPr>
      </w:pPr>
      <w:r w:rsidRPr="00095FB6">
        <w:rPr>
          <w:b/>
          <w:i/>
          <w:iCs/>
        </w:rPr>
        <w:t>Digitalizacija, kibernetička sigurnost i zaštita podataka</w:t>
      </w:r>
    </w:p>
    <w:p w14:paraId="1A8F7B1F" w14:textId="77777777" w:rsidR="00354013" w:rsidRPr="00354013" w:rsidRDefault="00354013" w:rsidP="00354013">
      <w:pPr>
        <w:spacing w:after="240"/>
        <w:ind w:left="567" w:hanging="567"/>
      </w:pPr>
      <w:r w:rsidRPr="00354013">
        <w:t>44.</w:t>
      </w:r>
      <w:r w:rsidRPr="00354013">
        <w:tab/>
        <w:t>prima na znanje da su se 2024. u usporedbi s 2023. proračunski rashodi smanjili za 9 % za informatičke projekte i za 69 % za projekte u području kibernetičke sigurnosti, dok su se povećali za 16 % za informatičku opremu i 2 % za usluge, licencije i opremu u području kibernetičke sigurnosti; primjećuje da je znatno smanjenje informatičkih projekata posljedica činjenice da su određeni projekti u području kibernetičke sigurnosti 2024. ušli u operativnu fazu te su stoga povezani troškovi uključeni u standardni operativni proračun;</w:t>
      </w:r>
    </w:p>
    <w:p w14:paraId="0D73251D" w14:textId="77777777" w:rsidR="00354013" w:rsidRPr="00354013" w:rsidRDefault="00354013" w:rsidP="00354013">
      <w:pPr>
        <w:spacing w:after="240"/>
        <w:ind w:left="567" w:hanging="567"/>
      </w:pPr>
      <w:r w:rsidRPr="00354013">
        <w:t>45.</w:t>
      </w:r>
      <w:r w:rsidRPr="00354013">
        <w:tab/>
        <w:t xml:space="preserve">pohvaljuje Sud EU-a za napredak postignut 2024. u raznim digitalnim projektima, kao što su uvođenje nadograđenog programa SIGA za integrirano upravljanje podacima i predmetima, povećana i poboljšana upotreba aplikacije HAN/Ares (sustav Suda EU-a za elektroničku registraciju dokumenata i upravljanje njima), provedba sustava EU </w:t>
      </w:r>
      <w:proofErr w:type="spellStart"/>
      <w:r w:rsidRPr="00354013">
        <w:t>Sign</w:t>
      </w:r>
      <w:proofErr w:type="spellEnd"/>
      <w:r w:rsidRPr="00354013">
        <w:t xml:space="preserve"> (sustav za digitalno potpisivanje) te opsežna preinaka mrežnog mjesta </w:t>
      </w:r>
      <w:proofErr w:type="spellStart"/>
      <w:r w:rsidRPr="00354013">
        <w:t>Curia</w:t>
      </w:r>
      <w:proofErr w:type="spellEnd"/>
      <w:r w:rsidRPr="00354013">
        <w:t xml:space="preserve"> i alata za pretraživanje </w:t>
      </w:r>
      <w:proofErr w:type="spellStart"/>
      <w:r w:rsidRPr="00354013">
        <w:t>InfoCuria</w:t>
      </w:r>
      <w:proofErr w:type="spellEnd"/>
      <w:r w:rsidRPr="00354013">
        <w:t>; potvrđuje važnost povećanja upotrebe aplikacije e-</w:t>
      </w:r>
      <w:proofErr w:type="spellStart"/>
      <w:r w:rsidRPr="00354013">
        <w:t>Curia</w:t>
      </w:r>
      <w:proofErr w:type="spellEnd"/>
      <w:r w:rsidRPr="00354013">
        <w:t xml:space="preserve"> za podnošenje </w:t>
      </w:r>
      <w:proofErr w:type="spellStart"/>
      <w:r w:rsidRPr="00354013">
        <w:t>postupovnih</w:t>
      </w:r>
      <w:proofErr w:type="spellEnd"/>
      <w:r w:rsidRPr="00354013">
        <w:t xml:space="preserve"> akata i obavješćivanje o njima elektroničkim putem;</w:t>
      </w:r>
    </w:p>
    <w:p w14:paraId="15637CA4" w14:textId="77777777" w:rsidR="00354013" w:rsidRPr="00354013" w:rsidRDefault="00354013" w:rsidP="00354013">
      <w:pPr>
        <w:spacing w:after="240"/>
        <w:ind w:left="567" w:hanging="567"/>
      </w:pPr>
      <w:r w:rsidRPr="00354013">
        <w:t>46.</w:t>
      </w:r>
      <w:r w:rsidRPr="00354013">
        <w:tab/>
        <w:t xml:space="preserve">napominje da je Sud EU-a od 2024. nastavio automatizirati svoje postupke upotrebom robotskog softvera za obradu repetitivnih zadaća kao što su transkripcija rasprava i plaćanje računa; očekuje da će primjena robotskih rješenja za automatizaciju procesa pomoći u optimizaciji resursa cijelog Suda EU-a; prepoznaje važnost </w:t>
      </w:r>
      <w:proofErr w:type="spellStart"/>
      <w:r w:rsidRPr="00354013">
        <w:t>međuinstitucijske</w:t>
      </w:r>
      <w:proofErr w:type="spellEnd"/>
      <w:r w:rsidRPr="00354013">
        <w:t xml:space="preserve"> suradnje koja doprinosi Sudu EU-a kad je riječ o učinkovitosti koja proizlazi iz upotrebe glavnih informatičkih sustava za upravljanje dokumentima i evidencijama (HAN/Ares), ljudske resurse (pitanja povezana sa sustavom </w:t>
      </w:r>
      <w:proofErr w:type="spellStart"/>
      <w:r w:rsidRPr="00354013">
        <w:t>Sysper</w:t>
      </w:r>
      <w:proofErr w:type="spellEnd"/>
      <w:r w:rsidRPr="00354013">
        <w:t xml:space="preserve"> i osobljem), upravljanje financijskim evidencijama (SAP) te drugih sustava Komisije (koji se temelje na umjetnoj inteligenciji), na primjer za prevoditeljske usluge (</w:t>
      </w:r>
      <w:proofErr w:type="spellStart"/>
      <w:r w:rsidRPr="00354013">
        <w:t>eTranslation</w:t>
      </w:r>
      <w:proofErr w:type="spellEnd"/>
      <w:r w:rsidRPr="00354013">
        <w:t>);</w:t>
      </w:r>
    </w:p>
    <w:p w14:paraId="24B14E69" w14:textId="77777777" w:rsidR="00354013" w:rsidRPr="00354013" w:rsidRDefault="00354013" w:rsidP="00354013">
      <w:pPr>
        <w:spacing w:after="240"/>
        <w:ind w:left="567" w:hanging="567"/>
      </w:pPr>
      <w:r w:rsidRPr="00354013">
        <w:t>47.</w:t>
      </w:r>
      <w:r w:rsidRPr="00354013">
        <w:tab/>
        <w:t xml:space="preserve">sa zanimanjem prima na znanje pokretanje pilot-projekta 2024. u okviru kojeg se svim odjelima Suda EU-a omogućuje pristup asistentima koji se temelje na umjetnoj inteligenciji; naglašava da je pri upotrebi alata koji se temelje na umjetnoj inteligenciji važno osigurati poštovanje etičkih načela, a posebno smjernica Suda Europske unije o umjetnoj inteligenciji donesenih 2024., čime se osigurava ljudski nadzor u pogledu načela neovisnosti sudskih postupaka; ističe da upotreba alata umjetne inteligencije u pravosudnom okruženju nikada ne smije zamijeniti ljudsko pravno rasuđivanje ili sudsko diskrecijsko pravo niti dovesti u pitanje osobnu odgovornost sudaca; u tom </w:t>
      </w:r>
      <w:r w:rsidRPr="00354013">
        <w:lastRenderedPageBreak/>
        <w:t>kontekstu ističe nadzornu ulogu Upravnog odbora Suda EU-a za umjetnu inteligenciju; pohvaljuje Sud EU-a za sveobuhvatan program osposobljavanja koji je uspostavio 2024., počevši od „mjeseca za podizanje razine osviještenosti o umjetnoj inteligenciji” koji je uključivao tečajeve osposobljavanja, okrugle stolove koje su vodili stručnjaci za umjetnu inteligenciju, internetske seminare i intenzivne radionice, čime je poduzeo prvi i važan korak prema podizanju razine osviještenosti članova osoblja o strategiji i smjernicama Suda EU-a za umjetnu inteligenciju te o umjetnoj inteligenciji općenito; napominje da članovi osoblja ujedno pohađaju tečajeve o upravljanju promjenama, prenošenju znanja, mentorstvu i mentalnoj agilnosti kako bi se poduprla prilagodba tehnologijama u nastajanju; poziva Sud EU-a da nastavi organizirati takve programe osposobljavanja i podizanja razine osviještenosti;</w:t>
      </w:r>
    </w:p>
    <w:p w14:paraId="4119D9C7" w14:textId="77777777" w:rsidR="00354013" w:rsidRPr="00354013" w:rsidRDefault="00354013" w:rsidP="00354013">
      <w:pPr>
        <w:spacing w:after="240"/>
        <w:ind w:left="567" w:hanging="567"/>
      </w:pPr>
      <w:r w:rsidRPr="00354013">
        <w:t>48.</w:t>
      </w:r>
      <w:r w:rsidRPr="00354013">
        <w:tab/>
        <w:t>prima na znanje, na temelju izvješća o daljnjem postupanju, da je Sud EU-a nakon stupanja na snagu nove Uredbe o kibernetičkoj sigurnosti početkom 2024. uspostavio akcijski plan za kibernetičku sigurnost i provodi povezane infrastrukturne projekte u području informacijske tehnologije; napominje da Sud EU-a provodi najmanje tri godišnja testiranja oporavka od katastrofa koja obuhvaćaju lokalne sustave, telekomunikacijske usluge i prebacivanje na pričuvnog pružatelja internetskih usluga;</w:t>
      </w:r>
    </w:p>
    <w:p w14:paraId="17C473A6" w14:textId="77777777" w:rsidR="00354013" w:rsidRPr="00354013" w:rsidRDefault="00354013" w:rsidP="00354013">
      <w:pPr>
        <w:spacing w:after="240"/>
        <w:ind w:left="567" w:hanging="567"/>
      </w:pPr>
      <w:r w:rsidRPr="00354013">
        <w:t>49.</w:t>
      </w:r>
      <w:r w:rsidRPr="00354013">
        <w:tab/>
        <w:t xml:space="preserve">napominje da su 2024. dodatno ojačane operativne sposobnosti u području kibernetičke sigurnosti kako bi se uskladile s Uredbom (EU, Euratom) 2023/2841 i riješio problem sve većeg broja kibernetičkih napada; primjećuje da 2024. nije bilo većih kibernetičkih napada; sa zabrinutošću primjećuje da su zabilježena i analizirana u prosjeku 142 sigurnosna incidenta mjesečno, od kojih su neki zahtijevali ljudsku intervenciju; naglašava da je kibernetička sigurnost strateško ulaganje koje je ključno za zaštitu neovisnosti pravosuđa, cjelovitosti podataka i kontinuiteta sudskih aktivnosti te stoga ističe potrebu za trajnim i predvidljivim ulaganjima u kapacitete u području kibernetičke sigurnosti, osposobljavanje osoblja i </w:t>
      </w:r>
      <w:proofErr w:type="spellStart"/>
      <w:r w:rsidRPr="00354013">
        <w:t>međuinstitucijsku</w:t>
      </w:r>
      <w:proofErr w:type="spellEnd"/>
      <w:r w:rsidRPr="00354013">
        <w:t xml:space="preserve"> suradnju;</w:t>
      </w:r>
    </w:p>
    <w:p w14:paraId="66955E4D" w14:textId="77777777" w:rsidR="00354013" w:rsidRPr="00354013" w:rsidRDefault="00354013" w:rsidP="00354013">
      <w:pPr>
        <w:spacing w:after="240"/>
        <w:ind w:left="567" w:hanging="567"/>
      </w:pPr>
      <w:r w:rsidRPr="00354013">
        <w:t>50.</w:t>
      </w:r>
      <w:r w:rsidRPr="00354013">
        <w:tab/>
        <w:t>primjećuje da je istraga Europskog nadzornika za zaštitu podataka (EDPS) o uslugama računalstva u oblaku koje pružaju Amazon Web Services i Microsoft u okviru ugovora Cloud II koje upotrebljavaju institucije, tijela i agencije Unije zaključena 2025.; nadalje napominje da Sud EU-a nije primio nikakve preporuke nakon te istrage;</w:t>
      </w:r>
    </w:p>
    <w:p w14:paraId="0B4F9641" w14:textId="77777777" w:rsidR="00354013" w:rsidRPr="00354013" w:rsidRDefault="00354013" w:rsidP="00354013">
      <w:pPr>
        <w:spacing w:after="240"/>
        <w:ind w:left="567" w:hanging="567"/>
      </w:pPr>
      <w:r w:rsidRPr="00354013">
        <w:t>51.</w:t>
      </w:r>
      <w:r w:rsidRPr="00354013">
        <w:tab/>
        <w:t xml:space="preserve">napominje da je Sud EU-a, u okviru svoje sveobuhvatne inicijative za povećanje pristupačnosti i uključenosti za ranjive osobe, nastavio primjenjivati pristup „integrirane pristupačnosti” za sve promjene i razvoj svojih IT sustava; napominje da Sud EU-a od revizije internetskih stranica </w:t>
      </w:r>
      <w:proofErr w:type="spellStart"/>
      <w:r w:rsidRPr="00354013">
        <w:t>Curia</w:t>
      </w:r>
      <w:proofErr w:type="spellEnd"/>
      <w:r w:rsidRPr="00354013">
        <w:t xml:space="preserve"> 2023. usvaja tehnologije kako bi poboljšao pristupačnost stranice širokom rasponu korisnika, kao što su osobe s oštećenjem vida, oštećenjem sluha ili intelektualnim teškoćama; poziva Sud EU-a da obavještava tijelo nadležno za davanje razrješnice o tom pitanju;</w:t>
      </w:r>
    </w:p>
    <w:p w14:paraId="0743ECC5" w14:textId="77777777" w:rsidR="00354013" w:rsidRPr="00095FB6" w:rsidRDefault="00354013" w:rsidP="00354013">
      <w:pPr>
        <w:spacing w:after="240"/>
        <w:rPr>
          <w:b/>
          <w:i/>
          <w:iCs/>
        </w:rPr>
      </w:pPr>
      <w:r w:rsidRPr="00095FB6">
        <w:rPr>
          <w:b/>
          <w:i/>
          <w:iCs/>
        </w:rPr>
        <w:t>Zgrade</w:t>
      </w:r>
    </w:p>
    <w:p w14:paraId="53DEFB09" w14:textId="77777777" w:rsidR="00354013" w:rsidRPr="00354013" w:rsidRDefault="00354013" w:rsidP="00354013">
      <w:pPr>
        <w:spacing w:after="240"/>
        <w:ind w:left="567" w:hanging="567"/>
      </w:pPr>
      <w:r w:rsidRPr="00354013">
        <w:t>52.</w:t>
      </w:r>
      <w:r w:rsidRPr="00354013">
        <w:tab/>
        <w:t xml:space="preserve">prima na znanje, na temelju izvješća o daljnjem postupanju, da je 2024. u okviru dvaju pilot-projekata o najučinkovitijoj upotrebi prostora Suda EU-a održano nekoliko radionica, što je dovelo do razvoja dvaju rasporeda prilagođenih potrebama svake usluge; napominje da je nastavak tih projekata obustavljen kako bi se prvo omogućilo vrijeme za procjenu učinka koji bi integracija umjetne inteligencije mogla imati na metode rada Suda EU-a i, u konačnici, na korištenje prostora i ureda; </w:t>
      </w:r>
    </w:p>
    <w:p w14:paraId="2C516E53" w14:textId="77777777" w:rsidR="00354013" w:rsidRPr="00354013" w:rsidRDefault="00354013" w:rsidP="00354013">
      <w:pPr>
        <w:spacing w:after="240"/>
        <w:ind w:left="567" w:hanging="567"/>
      </w:pPr>
      <w:r w:rsidRPr="00354013">
        <w:lastRenderedPageBreak/>
        <w:t>53.</w:t>
      </w:r>
      <w:r w:rsidRPr="00354013">
        <w:tab/>
        <w:t>prima na znanje da je Sud EU-a 2024. nastavio sa svojom sveobuhvatnom inicijativom za povećanje pristupačnosti i uključenosti za osobe s invaliditetom; posebno napominje da je Sud EU-a izradio dugoročni akcijski plan kako bi osigurao da njegove zgrade do 1. siječnja 2032. ispunjavaju pravne standarde pristupačnosti, kako je propisano luksemburškim pravom; cijeni činjenicu da je Sud EU-a sastavio popis sanacijskih točaka za dijelove svoje infrastrukture i naručio od arhitekta studiju izvedivosti kojom će se utvrditi mjere koje je potrebno poduzeti; poziva Sud EU-a da obavještava tijelo nadležno za davanje razrješnice o tom pitanju;</w:t>
      </w:r>
    </w:p>
    <w:p w14:paraId="4B0228C3" w14:textId="77777777" w:rsidR="00354013" w:rsidRPr="00095FB6" w:rsidRDefault="00354013" w:rsidP="00354013">
      <w:pPr>
        <w:spacing w:after="240"/>
        <w:rPr>
          <w:b/>
          <w:i/>
          <w:iCs/>
        </w:rPr>
      </w:pPr>
      <w:r w:rsidRPr="00095FB6">
        <w:rPr>
          <w:b/>
          <w:i/>
          <w:iCs/>
        </w:rPr>
        <w:t>Okoliš i održivost</w:t>
      </w:r>
    </w:p>
    <w:p w14:paraId="2CE2AD0A" w14:textId="77777777" w:rsidR="00354013" w:rsidRPr="00354013" w:rsidRDefault="00354013" w:rsidP="00354013">
      <w:pPr>
        <w:spacing w:after="240"/>
        <w:ind w:left="567" w:hanging="567"/>
      </w:pPr>
      <w:r w:rsidRPr="00354013">
        <w:t>54.</w:t>
      </w:r>
      <w:r w:rsidRPr="00354013">
        <w:tab/>
        <w:t>pohvaljuje Sud zbog stalnog truda i znatnog napretka u smanjenju svojeg ekološkog otiska 2024., što je vidljivo iz njegovih rezultata u odnosu na polaznu vrijednost iz sustava upravljanja okolišem i neovisnog ocjenjivanja (EMAS) iz 2015., uz smanjenja po ekvivalentu punog radnog vremena ostvarena u mnogim vrstama potrošnje/emisija (grijanje: - 37,5 %; električna energija: -29,3 %; papir: –64,2 %, otpad iz ureda i kantine: -40,4 %; emisije stakleničkih plinova: -26,7 %); konstatira ukupno poboljšanje u usporedbi sa smanjenjima prijavljenima za 2023.; potvrđuje da su ti rezultati, u kombinaciji s tržišnim uvjetima, doveli do smanjenja rashoda za energiju od 18 % u odnosu na predviđanja; u tom kontekstu pohvaljuje snažnu integraciju održivosti u okvir Suda EU-a za upravljanje rizicima i odgovornost, u skladu sa zahtjevima njegove certifikacije u sustavu EMAS;</w:t>
      </w:r>
    </w:p>
    <w:p w14:paraId="0F151734" w14:textId="77777777" w:rsidR="00354013" w:rsidRPr="00354013" w:rsidRDefault="00354013" w:rsidP="00354013">
      <w:pPr>
        <w:spacing w:after="240"/>
        <w:ind w:left="567" w:hanging="567"/>
      </w:pPr>
      <w:r w:rsidRPr="00354013">
        <w:t>55.</w:t>
      </w:r>
      <w:r w:rsidRPr="00354013">
        <w:tab/>
        <w:t>pozdravlja znatna ulaganja 2024. u poboljšanje energetske učinkovitosti zgrada Suda EU-a, uključujući gotovo 1,5 milijuna EUR za opsežnu ugradnju LED rasvjete i više od 0,4 milijuna EUR za radove na izolaciji zgrada; sa zadovoljstvom primjećuje da je sva kupljena električna energija iz obnovljivih izvora i da se grijanje osigurava putem centralnog sustava koji se temelji na biomasi; pozdravlja predanost Suda EU-a da svoju opskrbu zelenom energijom prilagodi budućim potrebama planiranim sudjelovanjem u ugovorima o kupnji energije;</w:t>
      </w:r>
    </w:p>
    <w:p w14:paraId="3727CCB4" w14:textId="77777777" w:rsidR="00354013" w:rsidRPr="00354013" w:rsidRDefault="00354013" w:rsidP="00354013">
      <w:pPr>
        <w:spacing w:after="240"/>
        <w:ind w:left="567" w:hanging="567"/>
      </w:pPr>
      <w:r w:rsidRPr="00354013">
        <w:t>56.</w:t>
      </w:r>
      <w:r w:rsidRPr="00354013">
        <w:tab/>
        <w:t>pohvaljuje Sud zbog njegova strogog pristupa održivoj nabavi kategorizacijom poziva na podnošenje ponuda na temelju učinka („</w:t>
      </w:r>
      <w:proofErr w:type="spellStart"/>
      <w:r w:rsidRPr="00354013">
        <w:t>svjetlozelena</w:t>
      </w:r>
      <w:proofErr w:type="spellEnd"/>
      <w:r w:rsidRPr="00354013">
        <w:t xml:space="preserve">”, „srednje zelena”, „najviše zelena”) njihovih klauzula o okolišu, sustavne upotrebe alata kao što su obvezna samoprocjena „zelene učinkovitosti” i savjetovanja s </w:t>
      </w:r>
      <w:proofErr w:type="spellStart"/>
      <w:r w:rsidRPr="00354013">
        <w:t>međuinstitucijskom</w:t>
      </w:r>
      <w:proofErr w:type="spellEnd"/>
      <w:r w:rsidRPr="00354013">
        <w:t xml:space="preserve"> službom za pomoć u području održive javne nabave; napominje da je 2024. osam velikih natječaja u vrijednosti većoj od 60 000 EUR kategorizirano kao „zelena kupnja”, od čega je njih šest sadržavalo važne klauzule o zaštiti okoliša; posebno pozdravlja uspješnu provedbu novog ugovora o uslugama pripreme i dostave hrane, kojim se zahtijevaju održive prakse povezane sa hranom i certifikat ISO 14001, kao i postizanje cilja ograničavanja „</w:t>
      </w:r>
      <w:proofErr w:type="spellStart"/>
      <w:r w:rsidRPr="00354013">
        <w:t>svjetlozelenih</w:t>
      </w:r>
      <w:proofErr w:type="spellEnd"/>
      <w:r w:rsidRPr="00354013">
        <w:t>” natječaja znatno ispod cilja od 50 %;</w:t>
      </w:r>
    </w:p>
    <w:p w14:paraId="0CE4F2AE" w14:textId="77777777" w:rsidR="00354013" w:rsidRPr="00354013" w:rsidRDefault="00354013" w:rsidP="00354013">
      <w:pPr>
        <w:spacing w:after="240"/>
        <w:ind w:left="567" w:hanging="567"/>
      </w:pPr>
      <w:r w:rsidRPr="00354013">
        <w:t>57.</w:t>
      </w:r>
      <w:r w:rsidRPr="00354013">
        <w:tab/>
        <w:t xml:space="preserve">pohvaljuje Sud EU-a zbog njegove sveobuhvatne i učinkovite strategije održive mobilnosti za osoblje i članove; u tom kontekstu prima na znanje kontinuirane subvencije za javni prijevoz za prekogranično putovanje na posao i sustav javnih bicikala </w:t>
      </w:r>
      <w:proofErr w:type="spellStart"/>
      <w:r w:rsidRPr="00354013">
        <w:t>Vel'Oh</w:t>
      </w:r>
      <w:proofErr w:type="spellEnd"/>
      <w:r w:rsidRPr="00354013">
        <w:t xml:space="preserve">!, uz znatna poboljšanja infrastrukture, uključujući postavljanje brojnih mjesta za punjenje električnih i hibridnih vozila 2024.; </w:t>
      </w:r>
    </w:p>
    <w:p w14:paraId="463EB628" w14:textId="77777777" w:rsidR="00354013" w:rsidRPr="00354013" w:rsidRDefault="00354013" w:rsidP="00354013">
      <w:pPr>
        <w:spacing w:after="240"/>
        <w:ind w:left="567" w:hanging="567"/>
      </w:pPr>
      <w:r w:rsidRPr="00354013">
        <w:t>58.</w:t>
      </w:r>
      <w:r w:rsidRPr="00354013">
        <w:tab/>
        <w:t xml:space="preserve">prima na znanje znatan pomak prema održivim metodama rada, uz znatno povećanje komuniciranja članova Suda EU-a putem </w:t>
      </w:r>
      <w:proofErr w:type="spellStart"/>
      <w:r w:rsidRPr="00354013">
        <w:t>videoveze</w:t>
      </w:r>
      <w:proofErr w:type="spellEnd"/>
      <w:r w:rsidRPr="00354013">
        <w:t xml:space="preserve"> kako bi se izbjegla putovanja, što potvrđuje 131 takva misija 2024. u odnosu na samo tri 2019.; nadalje pozdravlja </w:t>
      </w:r>
      <w:r w:rsidRPr="00354013">
        <w:lastRenderedPageBreak/>
        <w:t>aktualnu digitalizaciju postupaka, koja je, u kombinaciji s uklanjanjem 80 % osobnih pisača, bila ključni pokretač drastičnog smanjenja potrošnje papira Suda EU-a;</w:t>
      </w:r>
    </w:p>
    <w:p w14:paraId="6EDEF82B" w14:textId="77777777" w:rsidR="00354013" w:rsidRPr="00095FB6" w:rsidRDefault="00354013" w:rsidP="00354013">
      <w:pPr>
        <w:spacing w:after="240"/>
        <w:ind w:left="567" w:hanging="567"/>
        <w:rPr>
          <w:b/>
          <w:i/>
          <w:iCs/>
        </w:rPr>
      </w:pPr>
      <w:proofErr w:type="spellStart"/>
      <w:r w:rsidRPr="00095FB6">
        <w:rPr>
          <w:b/>
          <w:i/>
          <w:iCs/>
        </w:rPr>
        <w:t>Međuinstitucijska</w:t>
      </w:r>
      <w:proofErr w:type="spellEnd"/>
      <w:r w:rsidRPr="00095FB6">
        <w:rPr>
          <w:b/>
          <w:i/>
          <w:iCs/>
        </w:rPr>
        <w:t xml:space="preserve"> suradnja</w:t>
      </w:r>
    </w:p>
    <w:p w14:paraId="7AE36914" w14:textId="77777777" w:rsidR="00354013" w:rsidRPr="00354013" w:rsidRDefault="00354013" w:rsidP="00354013">
      <w:pPr>
        <w:spacing w:after="240"/>
        <w:ind w:left="567" w:hanging="567"/>
      </w:pPr>
      <w:r w:rsidRPr="00354013">
        <w:t>59.</w:t>
      </w:r>
      <w:r w:rsidRPr="00354013">
        <w:tab/>
        <w:t xml:space="preserve">prima na znanje suradnju Suda EU-a s drugim institucijama, a posebno zajedničke aplikacije i usluge smještaja na poslužitelju na temelju sporazuma na razini službi s Komisijom, kao i sudjelovanje u </w:t>
      </w:r>
      <w:proofErr w:type="spellStart"/>
      <w:r w:rsidRPr="00354013">
        <w:t>međuinstitucijskim</w:t>
      </w:r>
      <w:proofErr w:type="spellEnd"/>
      <w:r w:rsidRPr="00354013">
        <w:t xml:space="preserve"> postupcima javne nabave, što je Sudu EU-a omogućilo da optimizira troškove i resurse; prepoznaje važnost </w:t>
      </w:r>
      <w:proofErr w:type="spellStart"/>
      <w:r w:rsidRPr="00354013">
        <w:t>međuinstitucijske</w:t>
      </w:r>
      <w:proofErr w:type="spellEnd"/>
      <w:r w:rsidRPr="00354013">
        <w:t xml:space="preserve"> suradnje Suda EU-a sa Službom za kibernetičku sigurnost institucija, tijela, ureda i agencija Unije (CERT-EU) te Agencijom Europske unije za </w:t>
      </w:r>
      <w:proofErr w:type="spellStart"/>
      <w:r w:rsidRPr="00354013">
        <w:t>kibersigurnost</w:t>
      </w:r>
      <w:proofErr w:type="spellEnd"/>
      <w:r w:rsidRPr="00354013">
        <w:t xml:space="preserve"> (ENISA), uključujući sudjelovanje u tehničkim savjetodavnim skupinama za alate, metodologije i osviještenost, kao i u inicijativi CERT-EU-a za generativnu umjetnu inteligenciju;</w:t>
      </w:r>
    </w:p>
    <w:p w14:paraId="01430DFE" w14:textId="77777777" w:rsidR="00354013" w:rsidRPr="00354013" w:rsidRDefault="00354013" w:rsidP="00354013">
      <w:pPr>
        <w:spacing w:after="240"/>
        <w:ind w:left="567" w:hanging="567"/>
      </w:pPr>
      <w:r w:rsidRPr="00354013">
        <w:t>60.</w:t>
      </w:r>
      <w:r w:rsidRPr="00354013">
        <w:tab/>
        <w:t xml:space="preserve">napominje da je Sud EU-a sklopio nekoliko sporazuma o razini usluga za održavanje informatičke infrastrukture, upotrebu alata za ljudske resurse, plaćanje nekih pojedinačnih prava i upotrebu sustava za upravljanje dokumentima HAN/Ares; pozdravlja obnovu godišnjeg sporazuma o financiranju sklopljenog sa službama za prevođenje drugih institucija Unije; napominje da je 2024. potpisao dva memoranduma o razumijevanju s Komisijom i Parlamentom: Memorandum o razumijevanju o podjeli financijskog opterećenja povezanog s upotrebom alata za testiranje na daljinu za </w:t>
      </w:r>
      <w:proofErr w:type="spellStart"/>
      <w:r w:rsidRPr="00354013">
        <w:t>međuinstitucijski</w:t>
      </w:r>
      <w:proofErr w:type="spellEnd"/>
      <w:r w:rsidRPr="00354013">
        <w:t xml:space="preserve"> akreditacijski test i Memorandum o razumijevanju o podjeli troškova za zajedničke promotivne aktivnosti službi za usmeno prevođenje;</w:t>
      </w:r>
    </w:p>
    <w:p w14:paraId="047C8824" w14:textId="77777777" w:rsidR="00354013" w:rsidRPr="00354013" w:rsidRDefault="00354013" w:rsidP="00354013">
      <w:pPr>
        <w:spacing w:after="240"/>
        <w:ind w:left="567" w:hanging="567"/>
      </w:pPr>
      <w:r w:rsidRPr="00354013">
        <w:t>61.</w:t>
      </w:r>
      <w:r w:rsidRPr="00354013">
        <w:tab/>
        <w:t xml:space="preserve">cijeni to što Sud EU-a u potpunosti surađuje s Europskim uredom za borbu protiv prijevara, Revizorskim sudom, Europskim nadzornikom za zaštitu podataka i Europskim </w:t>
      </w:r>
      <w:proofErr w:type="spellStart"/>
      <w:r w:rsidRPr="00354013">
        <w:t>ombudsmanom</w:t>
      </w:r>
      <w:proofErr w:type="spellEnd"/>
      <w:r w:rsidRPr="00354013">
        <w:t>; prima na znanje partnerstvo Suda EU-a s Europskom mrežom za pravosudno osposobljavanje koje pomaže Sudu EU-a u njegovu radu na poticanju zajedničke pravosudne kulture u cijeloj Uniji, osiguravanju dosljedne i ujednačene primjene prava Unije u svim državama članicama i jačanju uzajamnog povjerenja između nacionalnih pravosudnih tijela i Suda EU-a; u tom kontekstu cijeni organizaciju godišnjih sastanaka s dopisnicima nacionalnih sudova, tematskih skupina, internetskih seminara te posjeta predstavnika Suda EU-a nacionalnim sudovima i obratno; posebno prima na znanje za 2024. godišnji sastanak dopisnika Europske mreže za pravosudno osposobljavanje koji se održao u Bruxellesu, posjet izaslanstva Općeg suda Varšavi, kao i godišnji sastanak sudaca s posebnom konferencijom održanom na Sudu EU-a kako bi se obilježila 20. obljetnica proširenja iz 2004.; nadalje prima na znanje, na temelju izvješća o daljnjem postupanju, da je 2024. veći broj sudaca prisustvovao seminarima, a nacionalni pravosudni stručnjaci iz triju novih država članica prvi su put podnijeli svoje zahtjeve za dugoročne programe osposobljavanja Suda EU-a;</w:t>
      </w:r>
    </w:p>
    <w:p w14:paraId="387F8FC4" w14:textId="77777777" w:rsidR="00354013" w:rsidRPr="00354013" w:rsidRDefault="00354013" w:rsidP="00354013">
      <w:pPr>
        <w:spacing w:after="240"/>
        <w:ind w:left="567" w:hanging="567"/>
      </w:pPr>
      <w:r w:rsidRPr="00354013">
        <w:t>62.</w:t>
      </w:r>
      <w:r w:rsidRPr="00354013">
        <w:tab/>
        <w:t>pozdravlja činjenicu da su Sud EU-a i Parlament odlučili održavati godišnje sastanke, koji su zamišljeni kao dijalozi o temama od zajedničkog interesa kao što su administracija, potencijal za poboljšanje pravosudnog sustava i percepcija građana o vladavini prava; napominje da je prvi takav sastanak održan u ožujku 2024.;</w:t>
      </w:r>
    </w:p>
    <w:p w14:paraId="10BB2A81" w14:textId="77777777" w:rsidR="00354013" w:rsidRPr="00095FB6" w:rsidRDefault="00354013" w:rsidP="00354013">
      <w:pPr>
        <w:spacing w:after="240"/>
        <w:rPr>
          <w:b/>
          <w:i/>
          <w:iCs/>
        </w:rPr>
      </w:pPr>
      <w:r w:rsidRPr="00095FB6">
        <w:rPr>
          <w:b/>
          <w:i/>
          <w:iCs/>
        </w:rPr>
        <w:t>Komunikacije</w:t>
      </w:r>
    </w:p>
    <w:p w14:paraId="775A5859" w14:textId="77777777" w:rsidR="00354013" w:rsidRPr="00354013" w:rsidRDefault="00354013" w:rsidP="00354013">
      <w:pPr>
        <w:spacing w:after="240"/>
        <w:ind w:left="567" w:hanging="567"/>
      </w:pPr>
      <w:r w:rsidRPr="00354013">
        <w:t>63.</w:t>
      </w:r>
      <w:r w:rsidRPr="00354013">
        <w:tab/>
        <w:t xml:space="preserve">napominje da Sud EU-a redovito organizira posjete te da je 2024. registrirano ukupno </w:t>
      </w:r>
      <w:r w:rsidRPr="00354013">
        <w:lastRenderedPageBreak/>
        <w:t>16 319 posjetitelja; prima na znanje da je oko 2500 posjetitelja te godine prisustvovalo Danu otvorenih vrata Suda EU-a; nadalje napominje da osim redovitih posjeta Sud EU-a organizira i virtualne posjete; prima na znanje da je 2024. 7 % svih posjeta Sudu EU-a bilo virtualno i da su 43 % posjetitelja činili studenti;</w:t>
      </w:r>
    </w:p>
    <w:p w14:paraId="5FFC4517" w14:textId="77777777" w:rsidR="00354013" w:rsidRPr="00354013" w:rsidRDefault="00354013" w:rsidP="00354013">
      <w:pPr>
        <w:spacing w:after="240"/>
        <w:ind w:left="567" w:hanging="567"/>
      </w:pPr>
      <w:r w:rsidRPr="00354013">
        <w:t>64.</w:t>
      </w:r>
      <w:r w:rsidRPr="00354013">
        <w:tab/>
        <w:t>napominje da je Sud EU-a 2024. pojačao svoje napore u pogledu suradnje s građanima Unije boljim informiranjem na društvenim mrežama; prima na znanje da je krajem 2024. broj pretplatnika na LinkedIn račun Suda EU-a bio veći za 26 %, a broj pratitelja na dva računa Suda EU-a na X-u (bivši Twitter) za 2,5 %, kao i da su se pregledi na njegovu YouTube kanalu povećali za 137 %, a broj njegovih pretplatnika na YouTubeu za više od 329 % u odnosu na prethodnu godinu; napominje da je naglo povećanje broja pregleda i pretplatnika djelomično posljedica promotivne kampanje koju je organizirao Sud EU-a;</w:t>
      </w:r>
    </w:p>
    <w:p w14:paraId="6BF37FCF" w14:textId="77777777" w:rsidR="00354013" w:rsidRPr="00354013" w:rsidRDefault="00354013" w:rsidP="00354013">
      <w:pPr>
        <w:spacing w:after="240"/>
        <w:ind w:left="567" w:hanging="567"/>
      </w:pPr>
      <w:r w:rsidRPr="00354013">
        <w:t>65.</w:t>
      </w:r>
      <w:r w:rsidRPr="00354013">
        <w:tab/>
        <w:t xml:space="preserve">napominje da je Sud EU-a 2024. pokrenuo studiju o proširenju svoje prisutnosti na društvenim medijima, što je dovelo do odluke o otvaranju računa na Instagramu, </w:t>
      </w:r>
      <w:proofErr w:type="spellStart"/>
      <w:r w:rsidRPr="00354013">
        <w:t>Blueskyju</w:t>
      </w:r>
      <w:proofErr w:type="spellEnd"/>
      <w:r w:rsidRPr="00354013">
        <w:t xml:space="preserve">, </w:t>
      </w:r>
      <w:proofErr w:type="spellStart"/>
      <w:r w:rsidRPr="00354013">
        <w:t>Threadsu</w:t>
      </w:r>
      <w:proofErr w:type="spellEnd"/>
      <w:r w:rsidRPr="00354013">
        <w:t xml:space="preserve"> i WhatsAppu 2025.;</w:t>
      </w:r>
    </w:p>
    <w:p w14:paraId="777B1D16" w14:textId="77777777" w:rsidR="00354013" w:rsidRPr="00354013" w:rsidRDefault="00354013" w:rsidP="00354013">
      <w:pPr>
        <w:spacing w:after="240"/>
        <w:ind w:left="567" w:hanging="567"/>
      </w:pPr>
      <w:r w:rsidRPr="00354013">
        <w:t>66.</w:t>
      </w:r>
      <w:r w:rsidRPr="00354013">
        <w:tab/>
        <w:t>sa zadovoljstvom prima na znanje druge ključne mjere i planove Suda EU-a za povećanje transparentnosti i pristupačnosti te zadovoljavanje potreba pravnih stručnjaka, medija i šire javnosti (uključujući mlađe generacije), kao što su opsežna preinaka mrežnog mjesta Suda EU-a, uz uvođenje nove (jedinstvene) tražilice, pokretanje nove višejezične platforme za internetsku televiziju sa sadržajem o radu i odlukama Suda EU-a, objavljivanje videozapisa na društvenim medijima, pojednostavnjenje jezika koji se upotrebljava u priopćenjima za medije Suda EU-a te revizija godišnjeg izvješća Suda EU-a kako bi se osigurali jasniji pregledi i statistički podaci o sudskoj praksi.</w:t>
      </w:r>
    </w:p>
    <w:p w14:paraId="46CE4FA4" w14:textId="490E35B3" w:rsidR="00E365E1" w:rsidRPr="00B75562" w:rsidRDefault="00E365E1" w:rsidP="00240F20">
      <w:pPr>
        <w:widowControl/>
      </w:pPr>
    </w:p>
    <w:sectPr w:rsidR="00E365E1" w:rsidRPr="00B75562" w:rsidSect="00B7556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46208" w14:textId="77777777" w:rsidR="00EC2048" w:rsidRPr="00B75562" w:rsidRDefault="00EC2048">
      <w:r w:rsidRPr="00B75562">
        <w:separator/>
      </w:r>
    </w:p>
  </w:endnote>
  <w:endnote w:type="continuationSeparator" w:id="0">
    <w:p w14:paraId="1681714C" w14:textId="77777777" w:rsidR="00EC2048" w:rsidRPr="00B75562" w:rsidRDefault="00EC2048">
      <w:r w:rsidRPr="00B755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6285" w14:textId="77777777" w:rsidR="00354013" w:rsidRPr="008B0BB8" w:rsidRDefault="00354013" w:rsidP="008B0BB8">
    <w:pPr>
      <w:pStyle w:val="EPFooter"/>
    </w:pPr>
    <w:r w:rsidRPr="008B0BB8">
      <w:t>PE</w:t>
    </w:r>
    <w:r w:rsidRPr="008B0BB8">
      <w:rPr>
        <w:rStyle w:val="HideTWBExt"/>
      </w:rPr>
      <w:t>&lt;</w:t>
    </w:r>
    <w:proofErr w:type="spellStart"/>
    <w:r w:rsidRPr="008B0BB8">
      <w:rPr>
        <w:rStyle w:val="HideTWBExt"/>
      </w:rPr>
      <w:t>NoPE</w:t>
    </w:r>
    <w:proofErr w:type="spellEnd"/>
    <w:r w:rsidRPr="008B0BB8">
      <w:rPr>
        <w:rStyle w:val="HideTWBExt"/>
      </w:rPr>
      <w:t>&gt;</w:t>
    </w:r>
    <w:r w:rsidRPr="008B0BB8">
      <w:t>778.060</w:t>
    </w:r>
    <w:r w:rsidRPr="008B0BB8">
      <w:rPr>
        <w:rStyle w:val="HideTWBExt"/>
      </w:rPr>
      <w:t>&lt;/</w:t>
    </w:r>
    <w:proofErr w:type="spellStart"/>
    <w:r w:rsidRPr="008B0BB8">
      <w:rPr>
        <w:rStyle w:val="HideTWBExt"/>
      </w:rPr>
      <w:t>NoPE</w:t>
    </w:r>
    <w:proofErr w:type="spellEnd"/>
    <w:r w:rsidRPr="008B0BB8">
      <w:rPr>
        <w:rStyle w:val="HideTWBExt"/>
      </w:rPr>
      <w:t>&gt;&lt;Version&gt;</w:t>
    </w:r>
    <w:r w:rsidRPr="008B0BB8">
      <w:t>v02-00</w:t>
    </w:r>
    <w:r w:rsidRPr="008B0BB8">
      <w:rPr>
        <w:rStyle w:val="HideTWBExt"/>
      </w:rPr>
      <w:t>&lt;/</w:t>
    </w:r>
    <w:proofErr w:type="spellStart"/>
    <w:r w:rsidRPr="008B0BB8">
      <w:rPr>
        <w:rStyle w:val="HideTWBExt"/>
      </w:rPr>
      <w:t>Version</w:t>
    </w:r>
    <w:proofErr w:type="spellEnd"/>
    <w:r w:rsidRPr="008B0BB8">
      <w:rPr>
        <w:rStyle w:val="HideTWBExt"/>
      </w:rPr>
      <w:t>&gt;</w:t>
    </w:r>
    <w:r w:rsidRPr="008B0BB8">
      <w:tab/>
    </w:r>
    <w:r w:rsidRPr="008B0BB8">
      <w:fldChar w:fldCharType="begin"/>
    </w:r>
    <w:r w:rsidRPr="008B0BB8">
      <w:instrText xml:space="preserve"> PAGE  \* MERGEFORMAT </w:instrText>
    </w:r>
    <w:r w:rsidRPr="008B0BB8">
      <w:fldChar w:fldCharType="separate"/>
    </w:r>
    <w:r w:rsidRPr="008B0BB8">
      <w:rPr>
        <w:noProof/>
      </w:rPr>
      <w:t>2</w:t>
    </w:r>
    <w:r w:rsidRPr="008B0BB8">
      <w:fldChar w:fldCharType="end"/>
    </w:r>
    <w:r w:rsidRPr="008B0BB8">
      <w:t>/</w:t>
    </w:r>
    <w:fldSimple w:instr=" NUMPAGES  \* MERGEFORMAT ">
      <w:r w:rsidRPr="008B0BB8">
        <w:rPr>
          <w:noProof/>
        </w:rPr>
        <w:t>29</w:t>
      </w:r>
    </w:fldSimple>
    <w:r w:rsidRPr="008B0BB8">
      <w:tab/>
    </w:r>
    <w:r w:rsidRPr="008B0BB8">
      <w:rPr>
        <w:rStyle w:val="HideTWBExt"/>
      </w:rPr>
      <w:t>&lt;PathFdR&gt;</w:t>
    </w:r>
    <w:r w:rsidRPr="008B0BB8">
      <w:t>RR\1339440HR.docx</w:t>
    </w:r>
    <w:r w:rsidRPr="008B0BB8">
      <w:rPr>
        <w:rStyle w:val="HideTWBExt"/>
      </w:rPr>
      <w:t>&lt;/</w:t>
    </w:r>
    <w:proofErr w:type="spellStart"/>
    <w:r w:rsidRPr="008B0BB8">
      <w:rPr>
        <w:rStyle w:val="HideTWBExt"/>
      </w:rPr>
      <w:t>PathFdR</w:t>
    </w:r>
    <w:proofErr w:type="spellEnd"/>
    <w:r w:rsidRPr="008B0BB8">
      <w:rPr>
        <w:rStyle w:val="HideTWBExt"/>
      </w:rPr>
      <w:t>&gt;</w:t>
    </w:r>
  </w:p>
  <w:p w14:paraId="1DAD606F" w14:textId="77777777" w:rsidR="00354013" w:rsidRPr="008B0BB8" w:rsidRDefault="00354013" w:rsidP="008B0BB8">
    <w:pPr>
      <w:pStyle w:val="EPFooter2"/>
    </w:pPr>
    <w:r w:rsidRPr="008B0BB8">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D0D3" w14:textId="77777777" w:rsidR="00064002" w:rsidRPr="00B755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35D4" w14:textId="77777777" w:rsidR="00064002" w:rsidRPr="00B7556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08BD" w14:textId="77777777" w:rsidR="00064002" w:rsidRPr="00B755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6E13F" w14:textId="77777777" w:rsidR="00EC2048" w:rsidRPr="00B75562" w:rsidRDefault="00EC2048">
      <w:r w:rsidRPr="00B75562">
        <w:separator/>
      </w:r>
    </w:p>
  </w:footnote>
  <w:footnote w:type="continuationSeparator" w:id="0">
    <w:p w14:paraId="0DDE5C60" w14:textId="77777777" w:rsidR="00EC2048" w:rsidRPr="00B75562" w:rsidRDefault="00EC2048">
      <w:r w:rsidRPr="00B75562">
        <w:continuationSeparator/>
      </w:r>
    </w:p>
  </w:footnote>
  <w:footnote w:id="1">
    <w:p w14:paraId="4917BC9E" w14:textId="47F580A3"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SL L</w:t>
      </w:r>
      <w:r w:rsidR="00734E1B">
        <w:rPr>
          <w:sz w:val="24"/>
          <w:szCs w:val="24"/>
          <w:lang w:val="fi-FI"/>
        </w:rPr>
        <w:t>,</w:t>
      </w:r>
      <w:r w:rsidRPr="00354013">
        <w:rPr>
          <w:sz w:val="24"/>
          <w:szCs w:val="24"/>
          <w:lang w:val="fi-FI"/>
        </w:rPr>
        <w:t xml:space="preserve"> </w:t>
      </w:r>
      <w:r w:rsidR="00734E1B">
        <w:rPr>
          <w:sz w:val="24"/>
          <w:szCs w:val="24"/>
          <w:lang w:val="fi-FI"/>
        </w:rPr>
        <w:t>2024/</w:t>
      </w:r>
      <w:r w:rsidRPr="00354013">
        <w:rPr>
          <w:sz w:val="24"/>
          <w:szCs w:val="24"/>
          <w:lang w:val="fi-FI"/>
        </w:rPr>
        <w:t xml:space="preserve">207, 22.2.2024., ELI: </w:t>
      </w:r>
      <w:hyperlink r:id="rId1" w:history="1">
        <w:r w:rsidRPr="00354013">
          <w:rPr>
            <w:rStyle w:val="Hyperlink"/>
            <w:sz w:val="24"/>
            <w:szCs w:val="24"/>
            <w:lang w:val="fi-FI"/>
          </w:rPr>
          <w:t>http://data.europa.eu/eli/budget/2024/207/oj</w:t>
        </w:r>
      </w:hyperlink>
      <w:r w:rsidRPr="00354013">
        <w:rPr>
          <w:sz w:val="24"/>
          <w:szCs w:val="24"/>
          <w:lang w:val="fi-FI"/>
        </w:rPr>
        <w:t>.</w:t>
      </w:r>
    </w:p>
  </w:footnote>
  <w:footnote w:id="2">
    <w:p w14:paraId="2EABDB55" w14:textId="77777777"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SL C, C/2025/4944, 13.10.2025., ELI: </w:t>
      </w:r>
      <w:hyperlink r:id="rId2" w:tgtFrame="_blank" w:tooltip="ELI URI za pristup dokumentu." w:history="1">
        <w:r w:rsidRPr="00354013">
          <w:rPr>
            <w:rStyle w:val="Hyperlink"/>
            <w:sz w:val="24"/>
            <w:szCs w:val="24"/>
            <w:lang w:val="fi-FI"/>
          </w:rPr>
          <w:t>http://data.europa.eu/eli/C/2025/4944/oj</w:t>
        </w:r>
      </w:hyperlink>
      <w:r w:rsidRPr="00354013">
        <w:rPr>
          <w:sz w:val="24"/>
          <w:szCs w:val="24"/>
          <w:lang w:val="fi-FI"/>
        </w:rPr>
        <w:t>.</w:t>
      </w:r>
    </w:p>
  </w:footnote>
  <w:footnote w:id="3">
    <w:p w14:paraId="120A0EDE" w14:textId="77777777"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 xml:space="preserve">SL C, C/2025/5409, 8.10.2025., ELI: </w:t>
      </w:r>
      <w:r>
        <w:fldChar w:fldCharType="begin"/>
      </w:r>
      <w:r w:rsidRPr="0053740A">
        <w:rPr>
          <w:lang w:val="fi-FI"/>
        </w:rPr>
        <w:instrText>HYPERLINK "http://data.europa.eu/eli/C/2025/5409/oj"</w:instrText>
      </w:r>
      <w:r>
        <w:fldChar w:fldCharType="separate"/>
      </w:r>
      <w:r w:rsidRPr="00354013">
        <w:rPr>
          <w:rStyle w:val="Hyperlink"/>
          <w:sz w:val="24"/>
          <w:szCs w:val="24"/>
          <w:lang w:val="fi-FI"/>
        </w:rPr>
        <w:t>http://data.europa.eu/eli/C/2025/5409/oj</w:t>
      </w:r>
      <w:r>
        <w:fldChar w:fldCharType="end"/>
      </w:r>
      <w:r w:rsidRPr="00354013">
        <w:rPr>
          <w:sz w:val="24"/>
          <w:szCs w:val="24"/>
          <w:lang w:val="fi-FI"/>
        </w:rPr>
        <w:t>.</w:t>
      </w:r>
    </w:p>
  </w:footnote>
  <w:footnote w:id="4">
    <w:p w14:paraId="26E91CF6" w14:textId="77777777"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 xml:space="preserve">SL C, C/2025/5407, 13.10.2025., ELI: </w:t>
      </w:r>
      <w:r>
        <w:fldChar w:fldCharType="begin"/>
      </w:r>
      <w:r w:rsidRPr="0053740A">
        <w:rPr>
          <w:lang w:val="fi-FI"/>
        </w:rPr>
        <w:instrText>HYPERLINK "http://data.europa.eu/eli/C/2025/5407/oj"</w:instrText>
      </w:r>
      <w:r>
        <w:fldChar w:fldCharType="separate"/>
      </w:r>
      <w:r w:rsidRPr="00354013">
        <w:rPr>
          <w:rStyle w:val="Hyperlink"/>
          <w:sz w:val="24"/>
          <w:szCs w:val="24"/>
          <w:lang w:val="fi-FI"/>
        </w:rPr>
        <w:t>http://data.europa.eu/eli/C/2025/5407/oj</w:t>
      </w:r>
      <w:r>
        <w:fldChar w:fldCharType="end"/>
      </w:r>
      <w:r w:rsidRPr="00354013">
        <w:rPr>
          <w:sz w:val="24"/>
          <w:szCs w:val="24"/>
          <w:lang w:val="fi-FI"/>
        </w:rPr>
        <w:t>.</w:t>
      </w:r>
    </w:p>
  </w:footnote>
  <w:footnote w:id="5">
    <w:p w14:paraId="5808D9B0" w14:textId="386C5FD6"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SL L 193, 30.7.2018., str. 1</w:t>
      </w:r>
      <w:r>
        <w:rPr>
          <w:sz w:val="24"/>
          <w:szCs w:val="24"/>
          <w:lang w:val="fi-FI"/>
        </w:rPr>
        <w:t>.</w:t>
      </w:r>
      <w:r w:rsidRPr="00354013">
        <w:rPr>
          <w:sz w:val="24"/>
          <w:szCs w:val="24"/>
          <w:lang w:val="fi-FI"/>
        </w:rPr>
        <w:t xml:space="preserve">, ELI: </w:t>
      </w:r>
      <w:r>
        <w:fldChar w:fldCharType="begin"/>
      </w:r>
      <w:r w:rsidRPr="0053740A">
        <w:rPr>
          <w:lang w:val="fi-FI"/>
        </w:rPr>
        <w:instrText>HYPERLINK "http://data.europa.eu/eli/reg/2018/1046/oj"</w:instrText>
      </w:r>
      <w:r>
        <w:fldChar w:fldCharType="separate"/>
      </w:r>
      <w:r w:rsidRPr="00354013">
        <w:rPr>
          <w:rStyle w:val="Hyperlink"/>
          <w:sz w:val="24"/>
          <w:szCs w:val="24"/>
          <w:lang w:val="fi-FI"/>
        </w:rPr>
        <w:t>http://data.europa.eu/eli/reg/2018/1046/oj</w:t>
      </w:r>
      <w:r>
        <w:fldChar w:fldCharType="end"/>
      </w:r>
      <w:r w:rsidRPr="00354013">
        <w:rPr>
          <w:sz w:val="24"/>
          <w:szCs w:val="24"/>
          <w:lang w:val="fi-FI"/>
        </w:rPr>
        <w:t>.</w:t>
      </w:r>
    </w:p>
  </w:footnote>
  <w:footnote w:id="6">
    <w:p w14:paraId="66942A59" w14:textId="77777777" w:rsidR="00354013" w:rsidRPr="00354013" w:rsidRDefault="00354013" w:rsidP="00354013">
      <w:pPr>
        <w:pStyle w:val="FootnoteText"/>
        <w:ind w:left="567" w:hanging="567"/>
        <w:rPr>
          <w:sz w:val="24"/>
          <w:szCs w:val="24"/>
          <w:lang w:val="fi-FI"/>
        </w:rPr>
      </w:pPr>
      <w:r w:rsidRPr="00354013">
        <w:rPr>
          <w:rStyle w:val="FootnoteReference"/>
          <w:sz w:val="24"/>
          <w:szCs w:val="24"/>
        </w:rPr>
        <w:footnoteRef/>
      </w:r>
      <w:r w:rsidRPr="00354013">
        <w:rPr>
          <w:sz w:val="24"/>
          <w:szCs w:val="24"/>
          <w:lang w:val="fi-FI"/>
        </w:rPr>
        <w:t xml:space="preserve"> </w:t>
      </w:r>
      <w:r w:rsidRPr="00354013">
        <w:rPr>
          <w:sz w:val="24"/>
          <w:szCs w:val="24"/>
          <w:lang w:val="fi-FI"/>
        </w:rPr>
        <w:tab/>
        <w:t xml:space="preserve">SL L, 2024/2509, 26.9.2024., ELI: </w:t>
      </w:r>
      <w:r>
        <w:fldChar w:fldCharType="begin"/>
      </w:r>
      <w:r w:rsidRPr="0053740A">
        <w:rPr>
          <w:lang w:val="fi-FI"/>
        </w:rPr>
        <w:instrText>HYPERLINK "http://data.europa.eu/eli/reg/2024/2509/oj"</w:instrText>
      </w:r>
      <w:r>
        <w:fldChar w:fldCharType="separate"/>
      </w:r>
      <w:r w:rsidRPr="00354013">
        <w:rPr>
          <w:rStyle w:val="Hyperlink"/>
          <w:sz w:val="24"/>
          <w:szCs w:val="24"/>
          <w:lang w:val="fi-FI"/>
        </w:rPr>
        <w:t>http://data.europa.eu/eli/reg/2024/2509/oj</w:t>
      </w:r>
      <w:r>
        <w:fldChar w:fldCharType="end"/>
      </w:r>
      <w:r w:rsidRPr="00354013">
        <w:rPr>
          <w:sz w:val="24"/>
          <w:szCs w:val="24"/>
          <w:lang w:val="fi-FI"/>
        </w:rPr>
        <w:t>.</w:t>
      </w:r>
    </w:p>
  </w:footnote>
  <w:footnote w:id="7">
    <w:p w14:paraId="5D298A5F" w14:textId="63BA25BD" w:rsidR="00354013" w:rsidRPr="00354013" w:rsidRDefault="00354013" w:rsidP="00354013">
      <w:pPr>
        <w:pStyle w:val="FootnoteText"/>
        <w:rPr>
          <w:sz w:val="24"/>
          <w:szCs w:val="24"/>
          <w:lang w:val="fi-FI"/>
        </w:rPr>
      </w:pPr>
      <w:r w:rsidRPr="00354013">
        <w:rPr>
          <w:rStyle w:val="FootnoteReference"/>
          <w:sz w:val="24"/>
          <w:szCs w:val="24"/>
        </w:rPr>
        <w:footnoteRef/>
      </w:r>
      <w:r w:rsidRPr="00354013">
        <w:rPr>
          <w:sz w:val="24"/>
          <w:szCs w:val="24"/>
          <w:lang w:val="fi-FI"/>
        </w:rPr>
        <w:t xml:space="preserve"> </w:t>
      </w:r>
      <w:r>
        <w:rPr>
          <w:sz w:val="24"/>
          <w:szCs w:val="24"/>
          <w:lang w:val="fi-FI"/>
        </w:rPr>
        <w:tab/>
      </w:r>
      <w:r w:rsidRPr="00354013">
        <w:rPr>
          <w:sz w:val="24"/>
          <w:szCs w:val="24"/>
          <w:lang w:val="hr-HR"/>
        </w:rPr>
        <w:t>Uredba (EU, Euratom) 2024/2019 Europskog parlamenta i Vijeća od 11. travnja 2024. o izmjeni Protokola br. </w:t>
      </w:r>
      <w:r w:rsidRPr="00354013">
        <w:rPr>
          <w:sz w:val="24"/>
          <w:szCs w:val="24"/>
          <w:lang w:val="hr-HR"/>
        </w:rPr>
        <w:t>3 o Statutu Suda Europske unije</w:t>
      </w:r>
      <w:r w:rsidRPr="00354013">
        <w:rPr>
          <w:sz w:val="24"/>
          <w:szCs w:val="24"/>
          <w:lang w:val="fi-FI"/>
        </w:rPr>
        <w:t xml:space="preserve"> (SL </w:t>
      </w:r>
      <w:r w:rsidRPr="00354013">
        <w:rPr>
          <w:sz w:val="24"/>
          <w:szCs w:val="24"/>
          <w:lang w:val="fi-FI"/>
        </w:rPr>
        <w:t>L</w:t>
      </w:r>
      <w:r w:rsidR="0053740A">
        <w:rPr>
          <w:sz w:val="24"/>
          <w:szCs w:val="24"/>
          <w:lang w:val="fi-FI"/>
        </w:rPr>
        <w:t>,</w:t>
      </w:r>
      <w:r w:rsidRPr="00354013">
        <w:rPr>
          <w:sz w:val="24"/>
          <w:szCs w:val="24"/>
          <w:lang w:val="fi-FI"/>
        </w:rPr>
        <w:t xml:space="preserve"> 2024/2019, 12.8.2024., ELI: </w:t>
      </w:r>
      <w:hyperlink r:id="rId3" w:history="1">
        <w:r w:rsidRPr="00354013">
          <w:rPr>
            <w:rStyle w:val="Hyperlink"/>
            <w:sz w:val="24"/>
            <w:szCs w:val="24"/>
            <w:lang w:val="fi-FI"/>
          </w:rPr>
          <w:t>http://data.europa.eu/eli/reg/2024/2019/oj</w:t>
        </w:r>
      </w:hyperlink>
      <w:r w:rsidRPr="00354013">
        <w:rPr>
          <w:rStyle w:val="Hyperlink"/>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689D" w14:textId="77777777" w:rsidR="00064002" w:rsidRPr="00B755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0E39" w14:textId="77777777" w:rsidR="00064002" w:rsidRPr="00B755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ECB2" w14:textId="77777777" w:rsidR="00064002" w:rsidRPr="00B755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145426">
    <w:abstractNumId w:val="9"/>
  </w:num>
  <w:num w:numId="2" w16cid:durableId="676737483">
    <w:abstractNumId w:val="9"/>
  </w:num>
  <w:num w:numId="3" w16cid:durableId="1615936818">
    <w:abstractNumId w:val="7"/>
  </w:num>
  <w:num w:numId="4" w16cid:durableId="526799830">
    <w:abstractNumId w:val="7"/>
  </w:num>
  <w:num w:numId="5" w16cid:durableId="1594819558">
    <w:abstractNumId w:val="6"/>
  </w:num>
  <w:num w:numId="6" w16cid:durableId="166747483">
    <w:abstractNumId w:val="6"/>
  </w:num>
  <w:num w:numId="7" w16cid:durableId="923219977">
    <w:abstractNumId w:val="5"/>
  </w:num>
  <w:num w:numId="8" w16cid:durableId="1392193173">
    <w:abstractNumId w:val="5"/>
  </w:num>
  <w:num w:numId="9" w16cid:durableId="1494488971">
    <w:abstractNumId w:val="4"/>
  </w:num>
  <w:num w:numId="10" w16cid:durableId="531650794">
    <w:abstractNumId w:val="4"/>
  </w:num>
  <w:num w:numId="11" w16cid:durableId="371224631">
    <w:abstractNumId w:val="8"/>
  </w:num>
  <w:num w:numId="12" w16cid:durableId="1173645032">
    <w:abstractNumId w:val="8"/>
  </w:num>
  <w:num w:numId="13" w16cid:durableId="1614509475">
    <w:abstractNumId w:val="3"/>
  </w:num>
  <w:num w:numId="14" w16cid:durableId="138544938">
    <w:abstractNumId w:val="3"/>
  </w:num>
  <w:num w:numId="15" w16cid:durableId="1810245903">
    <w:abstractNumId w:val="2"/>
  </w:num>
  <w:num w:numId="16" w16cid:durableId="881484380">
    <w:abstractNumId w:val="2"/>
  </w:num>
  <w:num w:numId="17" w16cid:durableId="1870601265">
    <w:abstractNumId w:val="1"/>
  </w:num>
  <w:num w:numId="18" w16cid:durableId="1792824226">
    <w:abstractNumId w:val="1"/>
  </w:num>
  <w:num w:numId="19" w16cid:durableId="881093091">
    <w:abstractNumId w:val="0"/>
  </w:num>
  <w:num w:numId="20" w16cid:durableId="2079131703">
    <w:abstractNumId w:val="0"/>
  </w:num>
  <w:num w:numId="21" w16cid:durableId="1391034113">
    <w:abstractNumId w:val="9"/>
  </w:num>
  <w:num w:numId="22" w16cid:durableId="2003197767">
    <w:abstractNumId w:val="7"/>
  </w:num>
  <w:num w:numId="23" w16cid:durableId="1959069034">
    <w:abstractNumId w:val="6"/>
  </w:num>
  <w:num w:numId="24" w16cid:durableId="495338475">
    <w:abstractNumId w:val="5"/>
  </w:num>
  <w:num w:numId="25" w16cid:durableId="1258712792">
    <w:abstractNumId w:val="4"/>
  </w:num>
  <w:num w:numId="26" w16cid:durableId="793256032">
    <w:abstractNumId w:val="8"/>
  </w:num>
  <w:num w:numId="27" w16cid:durableId="559101427">
    <w:abstractNumId w:val="3"/>
  </w:num>
  <w:num w:numId="28" w16cid:durableId="954561446">
    <w:abstractNumId w:val="2"/>
  </w:num>
  <w:num w:numId="29" w16cid:durableId="1413047295">
    <w:abstractNumId w:val="1"/>
  </w:num>
  <w:num w:numId="30" w16cid:durableId="84621278">
    <w:abstractNumId w:val="0"/>
  </w:num>
  <w:num w:numId="31" w16cid:durableId="778523501">
    <w:abstractNumId w:val="9"/>
  </w:num>
  <w:num w:numId="32" w16cid:durableId="1495802116">
    <w:abstractNumId w:val="7"/>
  </w:num>
  <w:num w:numId="33" w16cid:durableId="1591114525">
    <w:abstractNumId w:val="6"/>
  </w:num>
  <w:num w:numId="34" w16cid:durableId="1687561853">
    <w:abstractNumId w:val="5"/>
  </w:num>
  <w:num w:numId="35" w16cid:durableId="779690324">
    <w:abstractNumId w:val="4"/>
  </w:num>
  <w:num w:numId="36" w16cid:durableId="1718704776">
    <w:abstractNumId w:val="8"/>
  </w:num>
  <w:num w:numId="37" w16cid:durableId="1927877545">
    <w:abstractNumId w:val="3"/>
  </w:num>
  <w:num w:numId="38" w16cid:durableId="767893622">
    <w:abstractNumId w:val="2"/>
  </w:num>
  <w:num w:numId="39" w16cid:durableId="1158109212">
    <w:abstractNumId w:val="1"/>
  </w:num>
  <w:num w:numId="40" w16cid:durableId="864638044">
    <w:abstractNumId w:val="0"/>
  </w:num>
  <w:num w:numId="41" w16cid:durableId="589892088">
    <w:abstractNumId w:val="10"/>
  </w:num>
  <w:num w:numId="42" w16cid:durableId="1586260069">
    <w:abstractNumId w:val="10"/>
  </w:num>
  <w:num w:numId="43" w16cid:durableId="558512693">
    <w:abstractNumId w:val="10"/>
  </w:num>
  <w:num w:numId="44" w16cid:durableId="1968009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HR"/>
    <w:docVar w:name="dvnumam" w:val="0"/>
    <w:docVar w:name="dvpe" w:val="778.060"/>
    <w:docVar w:name="dvrapporteur" w:val="Izvjestitelj: "/>
    <w:docVar w:name="dvtitre" w:val="Odluka Europskog parlamenta od .... 2026. o razrješnici za izvršenje općeg proračuna Europske unije za financijsku godinu 2024., dio IV. – Sud Europske unije(2025/2148(DEC))"/>
  </w:docVars>
  <w:rsids>
    <w:rsidRoot w:val="00EC2048"/>
    <w:rsid w:val="00002272"/>
    <w:rsid w:val="00064002"/>
    <w:rsid w:val="000677B9"/>
    <w:rsid w:val="000831BA"/>
    <w:rsid w:val="00095FB6"/>
    <w:rsid w:val="000A42CC"/>
    <w:rsid w:val="000E7DD9"/>
    <w:rsid w:val="0010095E"/>
    <w:rsid w:val="00125B37"/>
    <w:rsid w:val="0018562C"/>
    <w:rsid w:val="00187494"/>
    <w:rsid w:val="001F32AE"/>
    <w:rsid w:val="00240F20"/>
    <w:rsid w:val="002767FF"/>
    <w:rsid w:val="002B18FE"/>
    <w:rsid w:val="002B5493"/>
    <w:rsid w:val="00343214"/>
    <w:rsid w:val="0035401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40A"/>
    <w:rsid w:val="00545827"/>
    <w:rsid w:val="00560270"/>
    <w:rsid w:val="005C2568"/>
    <w:rsid w:val="005F1B17"/>
    <w:rsid w:val="006037C0"/>
    <w:rsid w:val="006631B6"/>
    <w:rsid w:val="00680577"/>
    <w:rsid w:val="006F74FA"/>
    <w:rsid w:val="00731ADD"/>
    <w:rsid w:val="00734777"/>
    <w:rsid w:val="00734E1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2F2"/>
    <w:rsid w:val="009D7128"/>
    <w:rsid w:val="00A1687D"/>
    <w:rsid w:val="00A43E52"/>
    <w:rsid w:val="00A4678D"/>
    <w:rsid w:val="00A778C7"/>
    <w:rsid w:val="00AB441E"/>
    <w:rsid w:val="00AB6293"/>
    <w:rsid w:val="00AE0928"/>
    <w:rsid w:val="00AF3B82"/>
    <w:rsid w:val="00B12E95"/>
    <w:rsid w:val="00B22876"/>
    <w:rsid w:val="00B558F0"/>
    <w:rsid w:val="00B75562"/>
    <w:rsid w:val="00BD48FE"/>
    <w:rsid w:val="00BD7BD8"/>
    <w:rsid w:val="00BE6ADC"/>
    <w:rsid w:val="00C00A7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04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A7343"/>
  <w15:chartTrackingRefBased/>
  <w15:docId w15:val="{4989CFBD-80F3-462E-98BD-3EE2AE79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4013"/>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354013"/>
    <w:pPr>
      <w:tabs>
        <w:tab w:val="center" w:pos="4513"/>
        <w:tab w:val="right" w:pos="9026"/>
      </w:tabs>
    </w:pPr>
  </w:style>
  <w:style w:type="character" w:customStyle="1" w:styleId="HeaderChar">
    <w:name w:val="Header Char"/>
    <w:basedOn w:val="DefaultParagraphFont"/>
    <w:link w:val="Header"/>
    <w:rsid w:val="00354013"/>
    <w:rPr>
      <w:sz w:val="24"/>
      <w:lang w:val="hr-HR"/>
    </w:rPr>
  </w:style>
  <w:style w:type="paragraph" w:customStyle="1" w:styleId="EPFooter">
    <w:name w:val="EPFooter"/>
    <w:basedOn w:val="Normal"/>
    <w:rsid w:val="00354013"/>
    <w:pPr>
      <w:tabs>
        <w:tab w:val="center" w:pos="4535"/>
        <w:tab w:val="right" w:pos="9071"/>
      </w:tabs>
      <w:spacing w:before="240" w:after="240"/>
    </w:pPr>
    <w:rPr>
      <w:color w:val="010000"/>
      <w:sz w:val="22"/>
    </w:rPr>
  </w:style>
  <w:style w:type="character" w:styleId="Hyperlink">
    <w:name w:val="Hyperlink"/>
    <w:basedOn w:val="DefaultParagraphFont"/>
    <w:rsid w:val="00354013"/>
    <w:rPr>
      <w:color w:val="0563C1" w:themeColor="hyperlink"/>
      <w:u w:val="single"/>
    </w:rPr>
  </w:style>
  <w:style w:type="paragraph" w:styleId="Footer">
    <w:name w:val="footer"/>
    <w:basedOn w:val="Normal"/>
    <w:link w:val="FooterChar"/>
    <w:rsid w:val="00354013"/>
    <w:pPr>
      <w:tabs>
        <w:tab w:val="center" w:pos="4513"/>
        <w:tab w:val="right" w:pos="9026"/>
      </w:tabs>
    </w:pPr>
  </w:style>
  <w:style w:type="character" w:customStyle="1" w:styleId="FooterChar">
    <w:name w:val="Footer Char"/>
    <w:basedOn w:val="DefaultParagraphFont"/>
    <w:link w:val="Footer"/>
    <w:rsid w:val="00354013"/>
    <w:rPr>
      <w:sz w:val="24"/>
      <w:lang w:val="hr-HR"/>
    </w:rPr>
  </w:style>
  <w:style w:type="paragraph" w:styleId="Revision">
    <w:name w:val="Revision"/>
    <w:hidden/>
    <w:uiPriority w:val="99"/>
    <w:semiHidden/>
    <w:rsid w:val="0035401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7176</Words>
  <Characters>42504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2026-05-05T12:52:00Z</dcterms:created>
  <dcterms:modified xsi:type="dcterms:W3CDTF">2026-05-05T12:52:00Z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P10_TA(2026)0128_</vt:lpwstr>
  </property>
  <property fmtid="{D5CDD505-2E9C-101B-9397-08002B2CF9AE}" pid="4" name="&lt;Type&gt;">
    <vt:lpwstr>RR</vt:lpwstr>
  </property>
</Properties>
</file>