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4659" w14:paraId="6BE55F4E" w14:textId="77777777" w:rsidTr="0010095E">
        <w:trPr>
          <w:trHeight w:hRule="exact" w:val="1418"/>
        </w:trPr>
        <w:tc>
          <w:tcPr>
            <w:tcW w:w="6804" w:type="dxa"/>
            <w:shd w:val="clear" w:color="auto" w:fill="auto"/>
            <w:vAlign w:val="center"/>
          </w:tcPr>
          <w:p w14:paraId="1D8A14A0" w14:textId="77777777" w:rsidR="00751A4A" w:rsidRPr="003D4659" w:rsidRDefault="00DE5A94" w:rsidP="0010095E">
            <w:pPr>
              <w:pStyle w:val="EPName"/>
            </w:pPr>
            <w:r w:rsidRPr="003D4659">
              <w:t>Európai Parlament</w:t>
            </w:r>
          </w:p>
          <w:p w14:paraId="5545F978" w14:textId="77777777" w:rsidR="00751A4A" w:rsidRPr="003D4659" w:rsidRDefault="005F1B17" w:rsidP="005F1B17">
            <w:pPr>
              <w:pStyle w:val="EPTerm"/>
              <w:rPr>
                <w:rStyle w:val="HideTWBExt"/>
                <w:noProof w:val="0"/>
                <w:vanish w:val="0"/>
                <w:color w:val="auto"/>
              </w:rPr>
            </w:pPr>
            <w:r w:rsidRPr="003D4659">
              <w:t>2024</w:t>
            </w:r>
            <w:r w:rsidR="00817416" w:rsidRPr="003D4659">
              <w:t>-202</w:t>
            </w:r>
            <w:r w:rsidRPr="003D4659">
              <w:t>9</w:t>
            </w:r>
          </w:p>
        </w:tc>
        <w:tc>
          <w:tcPr>
            <w:tcW w:w="2268" w:type="dxa"/>
            <w:shd w:val="clear" w:color="auto" w:fill="auto"/>
          </w:tcPr>
          <w:p w14:paraId="78804509" w14:textId="77777777" w:rsidR="00751A4A" w:rsidRPr="003D4659" w:rsidRDefault="00187494" w:rsidP="0010095E">
            <w:pPr>
              <w:pStyle w:val="EPLogo"/>
            </w:pPr>
            <w:r w:rsidRPr="003D4659">
              <w:rPr>
                <w:noProof/>
                <w:lang w:eastAsia="ja-JP"/>
              </w:rPr>
              <w:drawing>
                <wp:inline distT="0" distB="0" distL="0" distR="0" wp14:anchorId="6BFFCEA3" wp14:editId="4FA735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86290C" w14:textId="77777777" w:rsidR="00D058B8" w:rsidRPr="003D4659" w:rsidRDefault="00D058B8" w:rsidP="004C5D52">
      <w:pPr>
        <w:pStyle w:val="LineTop"/>
      </w:pPr>
    </w:p>
    <w:p w14:paraId="0AE198FD" w14:textId="77777777" w:rsidR="00680577" w:rsidRPr="003D4659" w:rsidRDefault="00DE5A94" w:rsidP="00680577">
      <w:pPr>
        <w:pStyle w:val="EPBodyTA1"/>
      </w:pPr>
      <w:r w:rsidRPr="003D4659">
        <w:t>ELFOGADOTT SZÖVEGEK</w:t>
      </w:r>
    </w:p>
    <w:p w14:paraId="0BB6DD68" w14:textId="77777777" w:rsidR="00D058B8" w:rsidRPr="003D4659" w:rsidRDefault="00D058B8" w:rsidP="00D058B8">
      <w:pPr>
        <w:pStyle w:val="LineBottom"/>
      </w:pPr>
    </w:p>
    <w:p w14:paraId="01589ACE" w14:textId="677315FF" w:rsidR="00DE5A94" w:rsidRPr="003D4659" w:rsidRDefault="00DE5A94" w:rsidP="00DE5A94">
      <w:pPr>
        <w:pStyle w:val="ATHeading1"/>
      </w:pPr>
      <w:bookmarkStart w:id="0" w:name="TANumber"/>
      <w:r w:rsidRPr="003D4659">
        <w:t>P10_</w:t>
      </w:r>
      <w:proofErr w:type="gramStart"/>
      <w:r w:rsidRPr="003D4659">
        <w:t>TA(</w:t>
      </w:r>
      <w:proofErr w:type="gramEnd"/>
      <w:r w:rsidRPr="003D4659">
        <w:t>2026)0</w:t>
      </w:r>
      <w:r w:rsidR="003D4659" w:rsidRPr="003D4659">
        <w:t>128</w:t>
      </w:r>
      <w:bookmarkEnd w:id="0"/>
    </w:p>
    <w:p w14:paraId="3F3770E8" w14:textId="77777777" w:rsidR="00DE5A94" w:rsidRPr="003D4659" w:rsidRDefault="00DE5A94" w:rsidP="00DE5A94">
      <w:pPr>
        <w:pStyle w:val="ATHeading2"/>
      </w:pPr>
      <w:bookmarkStart w:id="1" w:name="title"/>
      <w:r w:rsidRPr="003D4659">
        <w:t>2024. évi mentesítés: Az EU általános költségvetése – Az Európai Unió Bírósága</w:t>
      </w:r>
      <w:bookmarkEnd w:id="1"/>
    </w:p>
    <w:p w14:paraId="4CF3443B" w14:textId="77777777" w:rsidR="00DE5A94" w:rsidRPr="003D4659" w:rsidRDefault="00DE5A94" w:rsidP="00DE5A94">
      <w:pPr>
        <w:rPr>
          <w:i/>
          <w:vanish/>
        </w:rPr>
      </w:pPr>
      <w:r w:rsidRPr="003D4659">
        <w:rPr>
          <w:i/>
        </w:rPr>
        <w:fldChar w:fldCharType="begin"/>
      </w:r>
      <w:r w:rsidRPr="003D4659">
        <w:rPr>
          <w:i/>
        </w:rPr>
        <w:instrText xml:space="preserve"> TC"(</w:instrText>
      </w:r>
      <w:bookmarkStart w:id="2" w:name="DocNumber"/>
      <w:r w:rsidRPr="003D4659">
        <w:rPr>
          <w:i/>
        </w:rPr>
        <w:instrText>A10-0055/2026</w:instrText>
      </w:r>
      <w:bookmarkEnd w:id="2"/>
      <w:r w:rsidRPr="003D4659">
        <w:rPr>
          <w:i/>
        </w:rPr>
        <w:instrText xml:space="preserve"> - Előadó: Pasquale </w:instrText>
      </w:r>
      <w:proofErr w:type="spellStart"/>
      <w:r w:rsidRPr="003D4659">
        <w:rPr>
          <w:i/>
        </w:rPr>
        <w:instrText>Tridico</w:instrText>
      </w:r>
      <w:proofErr w:type="spellEnd"/>
      <w:r w:rsidRPr="003D4659">
        <w:rPr>
          <w:i/>
        </w:rPr>
        <w:instrText xml:space="preserve">)"\l3 \n&gt; \* MERGEFORMAT </w:instrText>
      </w:r>
      <w:r w:rsidRPr="003D4659">
        <w:rPr>
          <w:i/>
        </w:rPr>
        <w:fldChar w:fldCharType="end"/>
      </w:r>
    </w:p>
    <w:p w14:paraId="2B8D6978" w14:textId="77777777" w:rsidR="00DE5A94" w:rsidRPr="003D4659" w:rsidRDefault="00DE5A94" w:rsidP="00DE5A94">
      <w:pPr>
        <w:rPr>
          <w:vanish/>
        </w:rPr>
      </w:pPr>
      <w:bookmarkStart w:id="3" w:name="Commission"/>
      <w:r w:rsidRPr="003D4659">
        <w:rPr>
          <w:vanish/>
        </w:rPr>
        <w:t>Költségvetési Ellenőrző Bizottság</w:t>
      </w:r>
      <w:bookmarkEnd w:id="3"/>
    </w:p>
    <w:p w14:paraId="6B13F8DB" w14:textId="77777777" w:rsidR="00DE5A94" w:rsidRPr="003D4659" w:rsidRDefault="00DE5A94" w:rsidP="00DE5A94">
      <w:pPr>
        <w:rPr>
          <w:vanish/>
        </w:rPr>
      </w:pPr>
      <w:bookmarkStart w:id="4" w:name="PE"/>
      <w:r w:rsidRPr="003D4659">
        <w:rPr>
          <w:vanish/>
        </w:rPr>
        <w:t>PE778.060</w:t>
      </w:r>
      <w:bookmarkEnd w:id="4"/>
    </w:p>
    <w:p w14:paraId="783EE8B5" w14:textId="787679D3" w:rsidR="00DE5A94" w:rsidRPr="003D4659" w:rsidRDefault="0079316C" w:rsidP="00DE5A94">
      <w:pPr>
        <w:pStyle w:val="ATHeading3"/>
      </w:pPr>
      <w:bookmarkStart w:id="5" w:name="Sujet"/>
      <w:r w:rsidRPr="003D4659">
        <w:t xml:space="preserve">1. </w:t>
      </w:r>
      <w:r w:rsidR="00DE5A94" w:rsidRPr="003D4659">
        <w:t xml:space="preserve">Az Európai Parlament 2026. április </w:t>
      </w:r>
      <w:r w:rsidR="00E42B56" w:rsidRPr="003D4659">
        <w:t>29-</w:t>
      </w:r>
      <w:r w:rsidR="00DE5A94" w:rsidRPr="003D4659">
        <w:t>i határozata az Európai Unió 2024. évi pénzügyi évre szóló általános költségvetésének végrehajtására vonatkozó mentesítésről, IV. szakasz – az Európai Unió Bírósága</w:t>
      </w:r>
      <w:bookmarkEnd w:id="5"/>
      <w:r w:rsidR="00DE5A94" w:rsidRPr="003D4659">
        <w:t xml:space="preserve"> </w:t>
      </w:r>
      <w:bookmarkStart w:id="6" w:name="References"/>
      <w:r w:rsidR="00DE5A94" w:rsidRPr="003D4659">
        <w:t>(2025/2148(DEC))</w:t>
      </w:r>
      <w:bookmarkEnd w:id="6"/>
    </w:p>
    <w:p w14:paraId="73F49704" w14:textId="77777777" w:rsidR="00F23A50" w:rsidRPr="003D4659" w:rsidRDefault="00F23A50" w:rsidP="00F23A50">
      <w:pPr>
        <w:pStyle w:val="EPComma"/>
      </w:pPr>
      <w:bookmarkStart w:id="7" w:name="TextBodyBegin"/>
      <w:bookmarkEnd w:id="7"/>
      <w:r w:rsidRPr="003D4659">
        <w:rPr>
          <w:i/>
        </w:rPr>
        <w:t>Az Európai Parlament</w:t>
      </w:r>
      <w:r w:rsidRPr="003D4659">
        <w:t>,</w:t>
      </w:r>
    </w:p>
    <w:p w14:paraId="09527D20" w14:textId="77777777" w:rsidR="00F23A50" w:rsidRPr="003D4659" w:rsidRDefault="00F23A50" w:rsidP="00F23A50">
      <w:pPr>
        <w:pStyle w:val="NormalHanging12a"/>
      </w:pPr>
      <w:r w:rsidRPr="003D4659">
        <w:t>–</w:t>
      </w:r>
      <w:r w:rsidRPr="003D4659">
        <w:tab/>
        <w:t>tekintettel az Európai Unió 2024. évi pénzügyi évre vonatkozó általános költségvetésére</w:t>
      </w:r>
      <w:r w:rsidRPr="003D4659">
        <w:rPr>
          <w:rStyle w:val="FootnoteReference"/>
        </w:rPr>
        <w:footnoteReference w:id="1"/>
      </w:r>
      <w:r w:rsidRPr="003D4659">
        <w:t>,</w:t>
      </w:r>
    </w:p>
    <w:p w14:paraId="3C96F417" w14:textId="77777777" w:rsidR="00F23A50" w:rsidRPr="003D4659" w:rsidRDefault="00F23A50" w:rsidP="00F23A50">
      <w:pPr>
        <w:pStyle w:val="NormalHanging12a"/>
      </w:pPr>
      <w:r w:rsidRPr="003D4659">
        <w:t>–</w:t>
      </w:r>
      <w:r w:rsidRPr="003D4659">
        <w:tab/>
        <w:t>tekintettel az Európai Unió 2024. évi pénzügyi évre vonatkozó összevont éves beszámolójára (</w:t>
      </w:r>
      <w:proofErr w:type="gramStart"/>
      <w:r w:rsidRPr="003D4659">
        <w:t>COM(</w:t>
      </w:r>
      <w:proofErr w:type="gramEnd"/>
      <w:r w:rsidRPr="003D4659">
        <w:t>2025)0359 – C10</w:t>
      </w:r>
      <w:r w:rsidRPr="003D4659">
        <w:noBreakHyphen/>
        <w:t>0148/2025)</w:t>
      </w:r>
      <w:r w:rsidRPr="003D4659">
        <w:rPr>
          <w:rStyle w:val="FootnoteReference"/>
        </w:rPr>
        <w:footnoteReference w:id="2"/>
      </w:r>
      <w:r w:rsidRPr="003D4659">
        <w:t>,</w:t>
      </w:r>
    </w:p>
    <w:p w14:paraId="061EEA6E" w14:textId="77777777" w:rsidR="00F23A50" w:rsidRPr="003D4659" w:rsidRDefault="00F23A50" w:rsidP="00F23A50">
      <w:pPr>
        <w:pStyle w:val="NormalHanging12a"/>
      </w:pPr>
      <w:r w:rsidRPr="003D4659">
        <w:t>–</w:t>
      </w:r>
      <w:r w:rsidRPr="003D4659">
        <w:tab/>
        <w:t>tekintettel az Európai Unió Bíróságának a 2024-ben elvégzett belső ellenőrzésekről a mentesítésért felelős hatóság számára készített éves jelentésére,</w:t>
      </w:r>
    </w:p>
    <w:p w14:paraId="6B1429CB" w14:textId="77777777" w:rsidR="00F23A50" w:rsidRPr="003D4659" w:rsidRDefault="00F23A50" w:rsidP="00F23A50">
      <w:pPr>
        <w:pStyle w:val="NormalHanging12a"/>
      </w:pPr>
      <w:r w:rsidRPr="003D4659">
        <w:t>–</w:t>
      </w:r>
      <w:r w:rsidRPr="003D4659">
        <w:tab/>
        <w:t>tekintettel a Számvevőszéknek a 2024-es pénzügyi év költségvetésének végrehajtásáról szóló éves jelentésére, az intézmények válaszaival együtt</w:t>
      </w:r>
      <w:r w:rsidRPr="003D4659">
        <w:rPr>
          <w:rStyle w:val="FootnoteReference"/>
        </w:rPr>
        <w:footnoteReference w:id="3"/>
      </w:r>
      <w:r w:rsidRPr="003D4659">
        <w:t>,</w:t>
      </w:r>
    </w:p>
    <w:p w14:paraId="7F94348C" w14:textId="5EA1096F" w:rsidR="00F23A50" w:rsidRPr="003D4659" w:rsidRDefault="00F23A50" w:rsidP="00F23A50">
      <w:pPr>
        <w:pStyle w:val="NormalHanging12a"/>
      </w:pPr>
      <w:r w:rsidRPr="003D4659">
        <w:t>–</w:t>
      </w:r>
      <w:r w:rsidRPr="003D4659">
        <w:tab/>
        <w:t xml:space="preserve">tekintettel a Számvevőszéknek a 2024-es pénzügyi évre vonatkozóan az elszámolás megbízhatóságát, valamint az alapjául szolgáló ügyletek jogszerűségét és szabályszerűségét igazoló, az Európai Unió működéséről szóló szerződés 287. cikke szerinti </w:t>
      </w:r>
      <w:r w:rsidR="00870D8C" w:rsidRPr="003D4659">
        <w:t xml:space="preserve">megbízhatósági </w:t>
      </w:r>
      <w:r w:rsidRPr="003D4659">
        <w:t>nyilatkozatára</w:t>
      </w:r>
      <w:r w:rsidRPr="003D4659">
        <w:rPr>
          <w:rStyle w:val="FootnoteReference"/>
        </w:rPr>
        <w:footnoteReference w:id="4"/>
      </w:r>
      <w:r w:rsidRPr="003D4659">
        <w:t>,</w:t>
      </w:r>
    </w:p>
    <w:p w14:paraId="73B0DCF6" w14:textId="77777777" w:rsidR="00F23A50" w:rsidRPr="003D4659" w:rsidRDefault="00F23A50" w:rsidP="00F23A50">
      <w:pPr>
        <w:pStyle w:val="NormalHanging12a"/>
      </w:pPr>
      <w:r w:rsidRPr="003D4659">
        <w:t>–</w:t>
      </w:r>
      <w:r w:rsidRPr="003D4659">
        <w:tab/>
        <w:t>tekintettel az Európai Unió működéséről szóló szerződés 314. cikkének (10) bekezdésére, valamint 317., 318. és 319. cikkére,</w:t>
      </w:r>
    </w:p>
    <w:p w14:paraId="6319BE2E" w14:textId="43403695" w:rsidR="00F23A50" w:rsidRPr="003D4659" w:rsidRDefault="00F23A50" w:rsidP="00F23A50">
      <w:pPr>
        <w:pStyle w:val="NormalHanging12a"/>
      </w:pPr>
      <w:r w:rsidRPr="003D4659">
        <w:t>–</w:t>
      </w:r>
      <w:r w:rsidRPr="003D4659">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3D4659">
        <w:lastRenderedPageBreak/>
        <w:t>hatályon kívül helyezéséről szóló, 2018. július 18-i (EU, Euratom) 2018/1046 európai parlamenti és tanácsi rendeletre</w:t>
      </w:r>
      <w:r w:rsidRPr="003D4659">
        <w:rPr>
          <w:rStyle w:val="FootnoteReference"/>
        </w:rPr>
        <w:footnoteReference w:id="5"/>
      </w:r>
      <w:r w:rsidRPr="003D4659">
        <w:t xml:space="preserve"> és különösen annak 59., 118., 260., 261. és 262. cikkére,</w:t>
      </w:r>
    </w:p>
    <w:p w14:paraId="6DA1CB71" w14:textId="117AC9B9" w:rsidR="00F23A50" w:rsidRPr="003D4659" w:rsidRDefault="00F23A50" w:rsidP="00F23A50">
      <w:pPr>
        <w:pStyle w:val="NormalHanging12a"/>
      </w:pPr>
      <w:r w:rsidRPr="003D4659">
        <w:t>–</w:t>
      </w:r>
      <w:r w:rsidRPr="003D4659">
        <w:tab/>
        <w:t>tekintettel az Unió általános költségvetésére alkalmazandó pénzügyi szabályokról szóló, 2024. szeptember 23-i (EU, Euratom) 2024/2509 európai parlamenti és tanácsi rendeletre</w:t>
      </w:r>
      <w:r w:rsidRPr="003D4659">
        <w:rPr>
          <w:rStyle w:val="FootnoteReference"/>
        </w:rPr>
        <w:footnoteReference w:id="6"/>
      </w:r>
      <w:r w:rsidRPr="003D4659">
        <w:t xml:space="preserve"> és különösen annak 59., 118., 266., 267. és 268. cikkére,</w:t>
      </w:r>
    </w:p>
    <w:p w14:paraId="73069AFE" w14:textId="77777777" w:rsidR="00F23A50" w:rsidRPr="003D4659" w:rsidRDefault="00F23A50" w:rsidP="00F23A50">
      <w:pPr>
        <w:pStyle w:val="NormalHanging12a"/>
      </w:pPr>
      <w:r w:rsidRPr="003D4659">
        <w:t>–</w:t>
      </w:r>
      <w:r w:rsidRPr="003D4659">
        <w:tab/>
        <w:t>tekintettel eljárási szabályzata 102. cikkére és V. mellékletére,</w:t>
      </w:r>
    </w:p>
    <w:p w14:paraId="5F7506AC" w14:textId="77777777" w:rsidR="00F23A50" w:rsidRPr="003D4659" w:rsidRDefault="00F23A50" w:rsidP="00F23A50">
      <w:pPr>
        <w:pStyle w:val="NormalHanging12a"/>
      </w:pPr>
      <w:r w:rsidRPr="003D4659">
        <w:t>–</w:t>
      </w:r>
      <w:r w:rsidRPr="003D4659">
        <w:tab/>
        <w:t>tekintettel a Jogi Bizottság véleményére,</w:t>
      </w:r>
    </w:p>
    <w:p w14:paraId="278DCCD4" w14:textId="77777777" w:rsidR="00F23A50" w:rsidRPr="003D4659" w:rsidRDefault="00F23A50" w:rsidP="00F23A50">
      <w:pPr>
        <w:pStyle w:val="NormalHanging12a"/>
      </w:pPr>
      <w:r w:rsidRPr="003D4659">
        <w:t>–</w:t>
      </w:r>
      <w:r w:rsidRPr="003D4659">
        <w:tab/>
        <w:t>tekintettel a Költségvetési Ellenőrző Bizottság jelentésére (A10-0055/2026),</w:t>
      </w:r>
    </w:p>
    <w:p w14:paraId="05F79A6A" w14:textId="77777777" w:rsidR="00F23A50" w:rsidRPr="003D4659" w:rsidRDefault="00F23A50" w:rsidP="00F23A50">
      <w:pPr>
        <w:pStyle w:val="NormalHanging12a"/>
      </w:pPr>
      <w:r w:rsidRPr="003D4659">
        <w:t>1.</w:t>
      </w:r>
      <w:r w:rsidRPr="003D4659">
        <w:tab/>
        <w:t>mentesítést ad a Bíróság hivatalvezetője számára az Európai Unió Bírósága 2024. évi pénzügyi évre szóló költségvetésének végrehajtására vonatkozóan;</w:t>
      </w:r>
    </w:p>
    <w:p w14:paraId="06EB8D3B" w14:textId="77777777" w:rsidR="00F23A50" w:rsidRPr="003D4659" w:rsidRDefault="00F23A50" w:rsidP="00F23A50">
      <w:pPr>
        <w:pStyle w:val="NormalHanging12a"/>
      </w:pPr>
      <w:r w:rsidRPr="003D4659">
        <w:t>2.</w:t>
      </w:r>
      <w:r w:rsidRPr="003D4659">
        <w:tab/>
        <w:t>megjegyzéseit a mellékelt állásfoglalásban foglalja össze;</w:t>
      </w:r>
    </w:p>
    <w:p w14:paraId="1595D72B" w14:textId="77777777" w:rsidR="00F23A50" w:rsidRPr="003D4659" w:rsidRDefault="00F23A50" w:rsidP="00F23A50">
      <w:pPr>
        <w:pStyle w:val="NormalHanging12a"/>
      </w:pPr>
      <w:r w:rsidRPr="003D4659">
        <w:t>3.</w:t>
      </w:r>
      <w:r w:rsidRPr="003D4659">
        <w:tab/>
        <w:t xml:space="preserve">utasítja elnökét, hogy továbbítsa ezt a határozatot, valamint az annak szerves részét képező állásfoglalást az Európai Unió Bíróságának, a Tanácsnak, a Bizottságnak és a Számvevőszéknek, és gondoskodjon az </w:t>
      </w:r>
      <w:r w:rsidRPr="003D4659">
        <w:rPr>
          <w:i/>
          <w:iCs/>
        </w:rPr>
        <w:t>Európai Unió Hivatalos Lapjában</w:t>
      </w:r>
      <w:r w:rsidRPr="003D4659">
        <w:t xml:space="preserve"> (L sorozat) való közzétételükről.</w:t>
      </w:r>
    </w:p>
    <w:p w14:paraId="306C5215" w14:textId="229A0657" w:rsidR="00F23A50" w:rsidRPr="003D4659" w:rsidRDefault="00F23A50" w:rsidP="00F23A50">
      <w:pPr>
        <w:widowControl/>
      </w:pPr>
    </w:p>
    <w:p w14:paraId="4695B1B7" w14:textId="77777777" w:rsidR="00F23A50" w:rsidRPr="003D4659" w:rsidRDefault="00F23A50" w:rsidP="00F23A50">
      <w:pPr>
        <w:pStyle w:val="PageHeading"/>
        <w:sectPr w:rsidR="00F23A50" w:rsidRPr="003D4659" w:rsidSect="00C831C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E89AAA" w14:textId="4ACE32A1" w:rsidR="00F23A50" w:rsidRPr="003D4659" w:rsidRDefault="00F23A50" w:rsidP="0079316C">
      <w:pPr>
        <w:pStyle w:val="ATHeading3"/>
      </w:pPr>
      <w:bookmarkStart w:id="8" w:name="_Toc225506212"/>
      <w:r w:rsidRPr="003D4659">
        <w:lastRenderedPageBreak/>
        <w:t xml:space="preserve">2. </w:t>
      </w:r>
      <w:bookmarkEnd w:id="8"/>
      <w:r w:rsidR="0079316C" w:rsidRPr="003D4659">
        <w:t xml:space="preserve">Az Európai Parlament 2026. április </w:t>
      </w:r>
      <w:r w:rsidR="00E42B56" w:rsidRPr="003D4659">
        <w:t>29-</w:t>
      </w:r>
      <w:r w:rsidR="0079316C" w:rsidRPr="003D4659">
        <w:t xml:space="preserve">i állásfoglalása </w:t>
      </w:r>
      <w:r w:rsidRPr="003D4659">
        <w:t>az Európai Unió 2024. évi pénzügyi évre szóló általános költségvetésének végrehajtására vonatkozó mentesítésről szóló határozat szerves részét képező megjegyzésekkel, IV. szakasz – az Európai Unió Bírósága</w:t>
      </w:r>
      <w:r w:rsidR="0079316C" w:rsidRPr="003D4659">
        <w:t xml:space="preserve"> </w:t>
      </w:r>
      <w:r w:rsidRPr="003D4659">
        <w:t>(2025/2148(DEC))</w:t>
      </w:r>
    </w:p>
    <w:p w14:paraId="7A8261C4" w14:textId="77777777" w:rsidR="00F23A50" w:rsidRPr="003D4659" w:rsidRDefault="00F23A50" w:rsidP="00F23A50">
      <w:pPr>
        <w:pStyle w:val="EPComma"/>
      </w:pPr>
      <w:r w:rsidRPr="003D4659">
        <w:rPr>
          <w:i/>
        </w:rPr>
        <w:t>Az Európai Parlament</w:t>
      </w:r>
      <w:r w:rsidRPr="003D4659">
        <w:t>,</w:t>
      </w:r>
    </w:p>
    <w:p w14:paraId="76ED9FA0" w14:textId="77777777" w:rsidR="00F23A50" w:rsidRPr="003D4659" w:rsidRDefault="00F23A50" w:rsidP="00F23A50">
      <w:pPr>
        <w:pStyle w:val="NormalHanging12a"/>
      </w:pPr>
      <w:r w:rsidRPr="003D4659">
        <w:t>–</w:t>
      </w:r>
      <w:r w:rsidRPr="003D4659">
        <w:tab/>
        <w:t>tekintettel az Európai Unió 2024. évi pénzügyi évre szóló általános költségvetésének végrehajtására vonatkozó mentesítésről szóló határozatára, IV. szakasz – az Európai Unió Bírósága,</w:t>
      </w:r>
    </w:p>
    <w:p w14:paraId="1511AE0B" w14:textId="77777777" w:rsidR="00F23A50" w:rsidRPr="003D4659" w:rsidRDefault="00F23A50" w:rsidP="00F23A50">
      <w:pPr>
        <w:pStyle w:val="NormalHanging12a"/>
      </w:pPr>
      <w:r w:rsidRPr="003D4659">
        <w:t>–</w:t>
      </w:r>
      <w:r w:rsidRPr="003D4659">
        <w:tab/>
        <w:t>tekintettel eljárási szabályzata 102. cikkére és V. mellékletére,</w:t>
      </w:r>
    </w:p>
    <w:p w14:paraId="624EABA5" w14:textId="77777777" w:rsidR="00F23A50" w:rsidRPr="003D4659" w:rsidRDefault="00F23A50" w:rsidP="00F23A50">
      <w:pPr>
        <w:pStyle w:val="NormalHanging12a"/>
      </w:pPr>
      <w:r w:rsidRPr="003D4659">
        <w:t>–</w:t>
      </w:r>
      <w:r w:rsidRPr="003D4659">
        <w:tab/>
        <w:t>tekintettel a Jogi Bizottság véleményére,</w:t>
      </w:r>
    </w:p>
    <w:p w14:paraId="7F1BB600" w14:textId="77777777" w:rsidR="00F23A50" w:rsidRPr="003D4659" w:rsidRDefault="00F23A50" w:rsidP="00F23A50">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3D4659">
        <w:t>–</w:t>
      </w:r>
      <w:r w:rsidRPr="003D4659">
        <w:tab/>
        <w:t>tekintettel a Költségvetési Ellenőrző Bizottság jelentésére (A10-0055/2026),</w:t>
      </w:r>
    </w:p>
    <w:p w14:paraId="65220EC4" w14:textId="77777777" w:rsidR="00F23A50" w:rsidRPr="003D4659" w:rsidRDefault="00F23A50" w:rsidP="00F23A50">
      <w:pPr>
        <w:pStyle w:val="NormalHanging12a"/>
      </w:pPr>
      <w:r w:rsidRPr="003D4659">
        <w:t>A.</w:t>
      </w:r>
      <w:r w:rsidRPr="003D4659">
        <w:tab/>
        <w:t>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669D5D47" w14:textId="77777777" w:rsidR="00F23A50" w:rsidRPr="003D4659" w:rsidRDefault="00F23A50" w:rsidP="00F23A50">
      <w:pPr>
        <w:pStyle w:val="NormalHanging12a"/>
        <w:rPr>
          <w:u w:val="single"/>
        </w:rPr>
      </w:pPr>
      <w:r w:rsidRPr="003D4659">
        <w:t>B.</w:t>
      </w:r>
      <w:r w:rsidRPr="003D4659">
        <w:tab/>
        <w:t>mivel az Európai Unió Bírósága (EUB) az Unió igazságszolgáltatási intézménye, amelynek feladata az uniós jog betartásának biztosítása a Szerződések egységes értelmezésének és alkalmazásának felügyelete, valamint az uniós intézmények, szervek, hivatalok és ügynökségek által elfogadott intézkedések jogszerűségének biztosítása révén;</w:t>
      </w:r>
    </w:p>
    <w:p w14:paraId="3E105219" w14:textId="77777777" w:rsidR="00F23A50" w:rsidRPr="003D4659" w:rsidRDefault="00F23A50" w:rsidP="00F23A50">
      <w:pPr>
        <w:pStyle w:val="NormalHanging12a"/>
      </w:pPr>
      <w:r w:rsidRPr="003D4659">
        <w:t>C.</w:t>
      </w:r>
      <w:r w:rsidRPr="003D4659">
        <w:tab/>
        <w:t xml:space="preserve">mivel az EUB hozzájárul az Unió értékeinek megőrzéséhez, és ítélkezési gyakorlata révén Európa építésén dolgozik, miközben a jogbiztonság, az ítélkezési gyakorlat következetessége és a bírósági értelmezés </w:t>
      </w:r>
      <w:proofErr w:type="spellStart"/>
      <w:r w:rsidRPr="003D4659">
        <w:t>korlátainak</w:t>
      </w:r>
      <w:proofErr w:type="spellEnd"/>
      <w:r w:rsidRPr="003D4659">
        <w:t xml:space="preserve"> tiszteletben tartása révén elszámoltatható marad a polgárok felé;</w:t>
      </w:r>
    </w:p>
    <w:p w14:paraId="132A52BD" w14:textId="77777777" w:rsidR="00F23A50" w:rsidRPr="003D4659" w:rsidRDefault="00F23A50" w:rsidP="00F23A50">
      <w:pPr>
        <w:pStyle w:val="NormalHanging12a"/>
      </w:pPr>
      <w:r w:rsidRPr="003D4659">
        <w:t>D.</w:t>
      </w:r>
      <w:r w:rsidRPr="003D4659">
        <w:tab/>
        <w:t>mivel az EUB két bíróságból áll: a Bíróságból és a Törvényszékből;</w:t>
      </w:r>
    </w:p>
    <w:p w14:paraId="59B4E557" w14:textId="77777777" w:rsidR="00F23A50" w:rsidRPr="003D4659" w:rsidRDefault="00F23A50" w:rsidP="00F23A50">
      <w:pPr>
        <w:pStyle w:val="NormalHanging12a"/>
      </w:pPr>
      <w:r w:rsidRPr="003D4659">
        <w:t>E.</w:t>
      </w:r>
      <w:r w:rsidRPr="003D4659">
        <w:tab/>
        <w:t>mivel a Parlament és a Tanács 2024-ben módosította az EUB alapokmányáról szóló 3. jegyzőkönyvet (a továbbiakban: az alapokmány)</w:t>
      </w:r>
      <w:r w:rsidRPr="003D4659">
        <w:rPr>
          <w:rStyle w:val="FootnoteReference"/>
        </w:rPr>
        <w:footnoteReference w:id="7"/>
      </w:r>
      <w:r w:rsidRPr="003D4659">
        <w:t xml:space="preserve"> az egyes területeken hozott előzetes döntéseknek a Törvényszék hatáskörébe történő áthelyezése tekintetében;</w:t>
      </w:r>
    </w:p>
    <w:p w14:paraId="0BCF1BCA" w14:textId="77777777" w:rsidR="00F23A50" w:rsidRPr="003D4659" w:rsidRDefault="00F23A50" w:rsidP="00F23A50">
      <w:pPr>
        <w:pStyle w:val="NormalHanging12a"/>
      </w:pPr>
      <w:r w:rsidRPr="003D4659">
        <w:t>1.</w:t>
      </w:r>
      <w:r w:rsidRPr="003D4659">
        <w:tab/>
        <w:t>megjegyzi, hogy az EUB költségvetése a többéves pénzügyi keret „Európai közigazgatás” elnevezésű 7. fejezetéhez tartozik, amely 2023-ban 13,3 milliárd EUR összeget tett ki (ami a teljes uniós költségvetés 6,9%-</w:t>
      </w:r>
      <w:proofErr w:type="spellStart"/>
      <w:r w:rsidRPr="003D4659">
        <w:t>ának</w:t>
      </w:r>
      <w:proofErr w:type="spellEnd"/>
      <w:r w:rsidRPr="003D4659">
        <w:t xml:space="preserve"> felel meg); megjegyzi, hogy az EUB mintegy 0,5 milliárd EUR összegű költségvetése az Unió összes igazgatási kiadásának mintegy 3,76%-át teszi ki, ami csökkenést jelent a 2023. évi 3,9%-hoz képest; kiemeli, hogy az uniós költségvetés vizsgálatával kapcsolatos esetekben valamennyi illetékes hatóságnak teljes mértékben tiszteletben kell tartania a jogszerű </w:t>
      </w:r>
      <w:r w:rsidRPr="003D4659">
        <w:lastRenderedPageBreak/>
        <w:t xml:space="preserve">eljárás és az alapvető jogok elveit; </w:t>
      </w:r>
    </w:p>
    <w:p w14:paraId="2369DE6A" w14:textId="1041F443" w:rsidR="00F23A50" w:rsidRPr="003D4659" w:rsidRDefault="00F23A50" w:rsidP="00F23A50">
      <w:pPr>
        <w:pStyle w:val="NormalHanging12a"/>
      </w:pPr>
      <w:r w:rsidRPr="003D4659">
        <w:t>2.</w:t>
      </w:r>
      <w:r w:rsidRPr="003D4659">
        <w:tab/>
        <w:t xml:space="preserve">megjegyzi, hogy a Számvevőszék a 2024. évi pénzügyi évre vonatkozó éves jelentésében (a továbbiakban: </w:t>
      </w:r>
      <w:r w:rsidR="00870D8C" w:rsidRPr="003D4659">
        <w:t xml:space="preserve">a </w:t>
      </w:r>
      <w:r w:rsidRPr="003D4659">
        <w:t>számvevőszéki jelentés) az „Igazgatás” fejezeten belül egy 70 ügyletből álló mintát vizsgált, ami ugyanaz a szám, mint 2023-ban; a Számvevőszék megjegyzi továbbá, hogy az igazgatási kiadások magukban foglalják a humánerőforrásokkal kapcsolatos kiadásokat, beleértve a nyugdíjakkal kapcsolatos kiadásokat is, amelyek 2024-ben az összes igazgatási kiadás mintegy 69%-át tették ki, valamint az épületekre, berendezésekre, energiára, kommunikációra és információtechnológiára fordított kiadásokat, és hogy az évek során végzett munkája azt jelzi, hogy összességében ez a kiadás alacsony kockázatú;</w:t>
      </w:r>
    </w:p>
    <w:p w14:paraId="2F864DAB" w14:textId="77777777" w:rsidR="00F23A50" w:rsidRPr="003D4659" w:rsidRDefault="00F23A50" w:rsidP="00F23A50">
      <w:pPr>
        <w:pStyle w:val="NormalHanging12a"/>
      </w:pPr>
      <w:r w:rsidRPr="003D4659">
        <w:t>3.</w:t>
      </w:r>
      <w:r w:rsidRPr="003D4659">
        <w:tab/>
        <w:t>megjegyzi, hogy a 70 tranzakcióból 16 (23%) tartalmazott hibákat, de a Számvevőszék a számszerűsített három hiba alapján úgy becsüli, hogy a hibaszint a lényegességi küszöb alatt van; megjegyzi, hogy a számvevőszéki jelentés nem tárt fel konkrét problémát az EUB-t illetően;</w:t>
      </w:r>
    </w:p>
    <w:p w14:paraId="4E5E65B2" w14:textId="77777777" w:rsidR="00F23A50" w:rsidRPr="003D4659" w:rsidRDefault="00F23A50" w:rsidP="00F23A50">
      <w:pPr>
        <w:pStyle w:val="NormalHanging12a"/>
        <w:rPr>
          <w:b/>
          <w:i/>
          <w:iCs/>
        </w:rPr>
      </w:pPr>
      <w:r w:rsidRPr="003D4659">
        <w:rPr>
          <w:b/>
          <w:i/>
          <w:iCs/>
        </w:rPr>
        <w:t>Költségvetési és pénzgazdálkodás</w:t>
      </w:r>
    </w:p>
    <w:p w14:paraId="16704FEF" w14:textId="77777777" w:rsidR="00F23A50" w:rsidRPr="003D4659" w:rsidRDefault="00F23A50" w:rsidP="00F23A50">
      <w:pPr>
        <w:pStyle w:val="NormalHanging12a"/>
      </w:pPr>
      <w:r w:rsidRPr="003D4659">
        <w:t>4.</w:t>
      </w:r>
      <w:r w:rsidRPr="003D4659">
        <w:tab/>
        <w:t>megjegyzi, hogy az EUB számára 2024-ban elkülönített költségvetés 503 837 531 EUR volt, ami 2023-hoz képest 3,66%-os növekedést jelent; megjegyzi, hogy ez a növekedés főként a 2024-re előre jelzett bérkiigazításokhoz kapcsolódott;</w:t>
      </w:r>
    </w:p>
    <w:p w14:paraId="6DB7375F" w14:textId="77777777" w:rsidR="00F23A50" w:rsidRPr="003D4659" w:rsidRDefault="00F23A50" w:rsidP="00F23A50">
      <w:pPr>
        <w:pStyle w:val="NormalHanging12a"/>
        <w:rPr>
          <w:bCs/>
          <w:iCs/>
        </w:rPr>
      </w:pPr>
      <w:r w:rsidRPr="003D4659">
        <w:t>5.</w:t>
      </w:r>
      <w:r w:rsidRPr="003D4659">
        <w:tab/>
        <w:t xml:space="preserve">megjegyzi, hogy a személyzeti kiadások az EUB költségvetésének közel 80%-át teszik ki, és hogy a bérkiigazítások 2024-ben meghaladták az eredeti előrejelzéseket; hangsúlyozza, hogy bár ezeket a növeléseket további költségvetési emelések nélkül használták fel, ismétlődő jellegük kérdéseket vet fel a költségvetés középtávú fenntarthatóságával kapcsolatban a többéves pénzügyi keret jelenlegi </w:t>
      </w:r>
      <w:proofErr w:type="spellStart"/>
      <w:r w:rsidRPr="003D4659">
        <w:t>korlátai</w:t>
      </w:r>
      <w:proofErr w:type="spellEnd"/>
      <w:r w:rsidRPr="003D4659">
        <w:t xml:space="preserve"> között; felszólít a munkaerő és a kiadások többéves tervezésének oly módon történő javítására, hogy az ne veszélyeztesse az igazságszolgáltatás függetlenségét;</w:t>
      </w:r>
    </w:p>
    <w:p w14:paraId="28D43684" w14:textId="77777777" w:rsidR="00F23A50" w:rsidRPr="003D4659" w:rsidRDefault="00F23A50" w:rsidP="00F23A50">
      <w:pPr>
        <w:pStyle w:val="NormalHanging12a"/>
      </w:pPr>
      <w:r w:rsidRPr="003D4659">
        <w:t>6.</w:t>
      </w:r>
      <w:r w:rsidRPr="003D4659">
        <w:tab/>
        <w:t>az EUB 2024. évi mentesítésre vonatkozó kérdőívre adott válaszai alapján megjegyzi, hogy a költségvetés általános ideiglenes végrehajtási aránya 2024 végén 97,72% volt, ugyanannyi, mint 2023-ban, míg a 2024-re vonatkozó végleges végrehajtási arány 2025 végén lesz elérhető; megjegyzi, hogy a költségvetési rendelet 29. cikkével összhangban három átcsoportosítást nyújtottak be a költségvetési hatósághoz a „Berendezések és szoftverek beszerzése, szervizelése és karbantartása”, a „Kisgyermekkori nevelési központ”, valamint az „Épületek” költségvetési sorok megerősítése érdekében más költségvetési sorokból, főként a „Bérek és juttatások” költségvetési sorból;</w:t>
      </w:r>
    </w:p>
    <w:p w14:paraId="703C3B4B" w14:textId="77777777" w:rsidR="00F23A50" w:rsidRPr="003D4659" w:rsidRDefault="00F23A50" w:rsidP="00F23A50">
      <w:pPr>
        <w:pStyle w:val="NormalHanging12a"/>
      </w:pPr>
      <w:r w:rsidRPr="003D4659">
        <w:t>7.</w:t>
      </w:r>
      <w:r w:rsidRPr="003D4659">
        <w:tab/>
        <w:t>egyetért azzal, hogy az EUB azon képességét, hogy reagálni tudjon az egyre növekvő munkateherre, kihívás elé állították egyrészt a költségvetés elkészítésére vonatkozó bizottsági iránymutatások, amelyek legfeljebb 2%-</w:t>
      </w:r>
      <w:proofErr w:type="spellStart"/>
      <w:r w:rsidRPr="003D4659">
        <w:t>ra</w:t>
      </w:r>
      <w:proofErr w:type="spellEnd"/>
      <w:r w:rsidRPr="003D4659">
        <w:t xml:space="preserve"> korlátozzák az összes nem bérjellegű kiadás növelését, és nem ösztönzik arra, hogy kérelmet nyújtson be új álláshelyek iránt, másrészt pedig az, hogy az EPSO-</w:t>
      </w:r>
      <w:proofErr w:type="spellStart"/>
      <w:r w:rsidRPr="003D4659">
        <w:t>nak</w:t>
      </w:r>
      <w:proofErr w:type="spellEnd"/>
      <w:r w:rsidRPr="003D4659">
        <w:t xml:space="preserve"> nem sikerült kellően nagy állományt biztosítania az uniós intézmények számára a versenyvizsgák sikeres pályázóiból, akik közül alkalmazottakat lehet felvenni; megjegyzi továbbá, hogy Oroszország Ukrajna elleni jogellenes agressziós háborújának inflációs hatásai továbbra is költségvetési nyomást gyakoroltak az EUB-</w:t>
      </w:r>
      <w:proofErr w:type="spellStart"/>
      <w:r w:rsidRPr="003D4659">
        <w:t>ra</w:t>
      </w:r>
      <w:proofErr w:type="spellEnd"/>
      <w:r w:rsidRPr="003D4659">
        <w:t>, például a kiküldetések költségeinek emelkedése vagy a szerződéses áruk és szolgáltatások árának növekedése miatt; elismerését fejezi ki az EUB-</w:t>
      </w:r>
      <w:proofErr w:type="spellStart"/>
      <w:r w:rsidRPr="003D4659">
        <w:t>nak</w:t>
      </w:r>
      <w:proofErr w:type="spellEnd"/>
      <w:r w:rsidRPr="003D4659">
        <w:t xml:space="preserve"> az ilyen hatások mérséklésére bevezetett </w:t>
      </w:r>
      <w:r w:rsidRPr="003D4659">
        <w:lastRenderedPageBreak/>
        <w:t xml:space="preserve">intézkedésekért, amelyek csökkentik a küldetések számát, visszafogják az energiakiadásokat, és mindenekelőtt rangsorolják a projekteket az előzetes költségvetés elkészítésekor; elismeri, hogy valamennyi uniós intézménynek javítania kell költségvetési gazdálkodását azáltal, hogy a szolgáltatókkal való szerződéskötéskor figyelembe veszi az </w:t>
      </w:r>
      <w:proofErr w:type="spellStart"/>
      <w:r w:rsidRPr="003D4659">
        <w:t>áringadozást</w:t>
      </w:r>
      <w:proofErr w:type="spellEnd"/>
      <w:r w:rsidRPr="003D4659">
        <w:t xml:space="preserve"> is, különösen az energiaágazatban; felhívja az EUB-t, hogy a rendelkezésre álló források keretein belül az igazságszolgáltatás minőségének megőrzése érdekében folytassa a költséghatékonyság és a proaktív költségvetési tervezés javítását;</w:t>
      </w:r>
    </w:p>
    <w:p w14:paraId="51BBA82D" w14:textId="77777777" w:rsidR="00F23A50" w:rsidRPr="003D4659" w:rsidRDefault="00F23A50" w:rsidP="00F23A50">
      <w:pPr>
        <w:pStyle w:val="NormalHanging12a"/>
      </w:pPr>
      <w:r w:rsidRPr="003D4659">
        <w:t>8.</w:t>
      </w:r>
      <w:r w:rsidRPr="003D4659">
        <w:tab/>
        <w:t>megállapítja, hogy az átlagos kifizetési idő a 2023. évi 23,1 napról 2024-ben 23,7 napra, az elektronikus úton beérkezett számlák aránya pedig a 2023. évi 81%-</w:t>
      </w:r>
      <w:proofErr w:type="spellStart"/>
      <w:r w:rsidRPr="003D4659">
        <w:t>ról</w:t>
      </w:r>
      <w:proofErr w:type="spellEnd"/>
      <w:r w:rsidRPr="003D4659">
        <w:t xml:space="preserve"> 2024-ben 88%-</w:t>
      </w:r>
      <w:proofErr w:type="spellStart"/>
      <w:r w:rsidRPr="003D4659">
        <w:t>ra</w:t>
      </w:r>
      <w:proofErr w:type="spellEnd"/>
      <w:r w:rsidRPr="003D4659">
        <w:t xml:space="preserve"> nőtt; a 2023. évi mentesítésre vonatkozó parlamenti állásfoglalásban tett észrevételek EUB általi nyomon követése (a továbbiakban: </w:t>
      </w:r>
      <w:proofErr w:type="spellStart"/>
      <w:r w:rsidRPr="003D4659">
        <w:t>nyomonkövetési</w:t>
      </w:r>
      <w:proofErr w:type="spellEnd"/>
      <w:r w:rsidRPr="003D4659">
        <w:t xml:space="preserve"> jelentés) alapján megjegyzi, hogy a külső fordítással kapcsolatos számlák esetében a kifizetés egy felülvizsgálati folyamattól függ, amelyre a fordítás előírt magas színvonalának biztosítása érdekében van szükség;</w:t>
      </w:r>
    </w:p>
    <w:p w14:paraId="272FB0F9" w14:textId="77777777" w:rsidR="00F23A50" w:rsidRPr="003D4659" w:rsidRDefault="00F23A50" w:rsidP="00F23A50">
      <w:pPr>
        <w:pStyle w:val="NormalHanging12a"/>
      </w:pPr>
      <w:r w:rsidRPr="003D4659">
        <w:t>9.</w:t>
      </w:r>
      <w:r w:rsidRPr="003D4659">
        <w:tab/>
        <w:t>megelégedéssel veszi tudomásul, hogy az EUB tagjaira és személyzetére vonatkozó kiküldetési költségvetése immár második éve csökkent, a 2023. évi 638 000 EUR-ról 2024-ben 616 000 EUR-ra, ami mintegy 3,44%-os csökkenést jelent;</w:t>
      </w:r>
    </w:p>
    <w:p w14:paraId="6BA50623" w14:textId="77777777" w:rsidR="00F23A50" w:rsidRPr="003D4659" w:rsidRDefault="00F23A50" w:rsidP="00F23A50">
      <w:pPr>
        <w:pStyle w:val="NormalHanging12a"/>
        <w:rPr>
          <w:b/>
          <w:i/>
          <w:iCs/>
        </w:rPr>
      </w:pPr>
      <w:r w:rsidRPr="003D4659">
        <w:rPr>
          <w:b/>
          <w:i/>
          <w:iCs/>
        </w:rPr>
        <w:t>Belső irányítás, teljesítmény és belső kontroll</w:t>
      </w:r>
    </w:p>
    <w:p w14:paraId="34E96A12" w14:textId="77777777" w:rsidR="00F23A50" w:rsidRPr="003D4659" w:rsidRDefault="00F23A50" w:rsidP="00F23A50">
      <w:pPr>
        <w:spacing w:after="240"/>
        <w:ind w:left="567" w:hanging="567"/>
      </w:pPr>
      <w:r w:rsidRPr="003D4659">
        <w:t>10.</w:t>
      </w:r>
      <w:r w:rsidRPr="003D4659">
        <w:tab/>
        <w:t>elismeréssel veszi tudomásul az EUB-</w:t>
      </w:r>
      <w:proofErr w:type="spellStart"/>
      <w:r w:rsidRPr="003D4659">
        <w:t>nak</w:t>
      </w:r>
      <w:proofErr w:type="spellEnd"/>
      <w:r w:rsidRPr="003D4659">
        <w:t xml:space="preserve"> a 2024. évi mentesítésre vonatkozó kérdőívre adott válaszai alapján az EUB által annak érdekében tett erőfeszítéseket, hogy befejezze az igazságszolgáltatási reformot, amelynek célja az előzetes döntés meghozatalával kapcsolatos illetékességnek a Bíróságról a Törvényszékre történő részleges átruházása, valamint az új szabályozási keret 2024. október 1-jétől történő végrehajtásának lehetővé tétele; ezzel összefüggésben tudomásul veszi a Törvényszék szerkezetének átszervezését, az EUB eljárási szabályzatának módosítását, a Törvényszék eljárási szabályzat végrehajtására vonatkozó új gyakorlati szabályainak elfogadását, az eljárási iratok e-</w:t>
      </w:r>
      <w:proofErr w:type="spellStart"/>
      <w:r w:rsidRPr="003D4659">
        <w:t>Curián</w:t>
      </w:r>
      <w:proofErr w:type="spellEnd"/>
      <w:r w:rsidRPr="003D4659">
        <w:t xml:space="preserve"> keresztül történő benyújtásáról és kézbesítéséről szóló új határozat elfogadását, az ügyek gyors elemzését és feldolgozását szolgáló új szoftver („egyablakos ügyintézés”) kifejlesztését, a bírósági eredmények nagyobb hatékonyságát és magasabb minőségét, valamint a Bíróság és a Törvényszék hivatalai gyakorlatainak 2024-ben történő harmonizálását; elismeréssel veszi tudomásul, hogy a reform hatálybalépését követő első három hónapban már 19 előzetes döntést továbbítottak a Törvényszékhez, ami az első eredményeket jelenti a munkateher két bíróság közötti kiegyensúlyozottabb elosztása terén; megjegyzi, hogy az igazságszolgáltatási reform végrehajtásához kapcsolódó egyedüli többletköltségek az informatikával kapcsolatos költségek voltak, amelyek az egyablakos ügyintézés fejlesztéséhez kapcsolódtak, és mintegy 805 000 EUR-t tettek ki, míg a személyzet tekintetében a reform költségvetési szempontból semleges maradt az álláshelyek és feladatok intézményen belüli átcsoportosításának köszönhetően; felhívja az EUB-t, hogy számoljon be az igazságügyi reformnak a hatékonyságra, az eljárások időtartamára, valamint a Bíróság és a Törvényszék közötti munkateher-megosztásra gyakorolt konkrét hatásairól, beleértve a digitális eszközöknek a feldolgozási időre és a munkateher egyensúlyára gyakorolt hatását is; felhívja az EUB-t, hogy a következő mentesítési eljárás során terjessze elő a reform átfogó utólagos értékelését;</w:t>
      </w:r>
    </w:p>
    <w:p w14:paraId="79970A07" w14:textId="77777777" w:rsidR="00F23A50" w:rsidRPr="003D4659" w:rsidRDefault="00F23A50" w:rsidP="00F23A50">
      <w:pPr>
        <w:pStyle w:val="NormalHanging12a"/>
      </w:pPr>
      <w:r w:rsidRPr="003D4659">
        <w:t>11.</w:t>
      </w:r>
      <w:r w:rsidRPr="003D4659">
        <w:tab/>
        <w:t xml:space="preserve">megjegyzi, hogy 2024-ben a Bíróság 12 ügyben hozott ítéletet az uniós jog </w:t>
      </w:r>
      <w:r w:rsidRPr="003D4659">
        <w:lastRenderedPageBreak/>
        <w:t>elsőbbségének elvével kapcsolatban, amelyek közül 10 ügy előzetes döntéshozatalt, két ügy pedig kötelezettségszegést érintett; megismétli, hogy alapvetően fontos az uniós jog elsőbbségének elve, amely biztosítja az uniós jog egységes értelmezését és alkalmazását valamennyi tagállamban, és védi a jogállamiságot mint az Unió alapvető értékét; határozottan megerősíti, hogy az uniós jog elsőbbsége az uniós jogrend sarokköve, és kiemeli, hogy az EUB-</w:t>
      </w:r>
      <w:proofErr w:type="spellStart"/>
      <w:r w:rsidRPr="003D4659">
        <w:t>nak</w:t>
      </w:r>
      <w:proofErr w:type="spellEnd"/>
      <w:r w:rsidRPr="003D4659">
        <w:t xml:space="preserve"> meghatározó szerepe van a jogállamiság Unió-szerte történő fenntartásában; megjegyzi, hogy az Európai Unióról szóló szerződés 4. cikkének (2) bekezdése úgy rendelkezik, hogy „Az Unió tiszteletben tartja a tagállamoknak a Szerződések előtti egyenlőségét, valamint nemzeti identitását, amely elválaszthatatlan része azok alapvető politikai és alkotmányos berendezkedésének, ideértve a regionális és helyi önkormányzatokat is”;</w:t>
      </w:r>
    </w:p>
    <w:p w14:paraId="3268B86A" w14:textId="0CD98907" w:rsidR="00F23A50" w:rsidRPr="003D4659" w:rsidRDefault="00F23A50" w:rsidP="00F23A50">
      <w:pPr>
        <w:pStyle w:val="NormalHanging12a"/>
      </w:pPr>
      <w:r w:rsidRPr="003D4659">
        <w:t>12.</w:t>
      </w:r>
      <w:r w:rsidRPr="003D4659">
        <w:tab/>
        <w:t>az EUB által a 2024. évi mentesítésre vonatkozó kérdőívre adott válaszok alapján megjegyzi, hogy 2024-ben 920 új ügyet nyújtottak be a Bírósághoz (szemben a 2023. évi 821 üggyel), amelyek 62,30%-a előzetes döntéshozatalra utalás, 277 pedig a Törvényszék határozatai elleni fellebbezés volt; megjegyzi, hogy a Törvényszéken jelentősen csökkent az új ügyek száma, a 2023. évi 1</w:t>
      </w:r>
      <w:r w:rsidR="0079316C" w:rsidRPr="003D4659">
        <w:t> </w:t>
      </w:r>
      <w:r w:rsidRPr="003D4659">
        <w:t>271-ről 2024-ben 786-ra, amelyből 35,88% az uniós intézmények jogi aktusainak megsemmisítésére irányuló kereset, 34,10% a szellemi tulajdonnal kapcsolatos keresetekre, 9,67% pedig az uniós intézmények és személyzetük közötti jogvitákra vonatkozott;</w:t>
      </w:r>
    </w:p>
    <w:p w14:paraId="7677765F" w14:textId="77777777" w:rsidR="00F23A50" w:rsidRPr="003D4659" w:rsidRDefault="00F23A50" w:rsidP="00F23A50">
      <w:pPr>
        <w:pStyle w:val="NormalHanging12a"/>
      </w:pPr>
      <w:r w:rsidRPr="003D4659">
        <w:t>13.</w:t>
      </w:r>
      <w:r w:rsidRPr="003D4659">
        <w:tab/>
        <w:t>egyetért az EUB-vel abban, hogy a Bizottságnak a Szerződések őreként nyomon kell követnie, hogy a tagállamok betartják-e az EUB ítéleteit; megismétli az EUB-</w:t>
      </w:r>
      <w:proofErr w:type="spellStart"/>
      <w:r w:rsidRPr="003D4659">
        <w:t>hez</w:t>
      </w:r>
      <w:proofErr w:type="spellEnd"/>
      <w:r w:rsidRPr="003D4659">
        <w:t xml:space="preserve"> intézett azon felhívását, hogy szigorúan feladatkörének keretein belül hozzon létre mechanizmust a tagállamok közötti bevált és helytelen gyakorlatok azonosítására;</w:t>
      </w:r>
    </w:p>
    <w:p w14:paraId="60051FBC" w14:textId="3A571A35" w:rsidR="00F23A50" w:rsidRPr="003D4659" w:rsidRDefault="00F23A50" w:rsidP="00F23A50">
      <w:pPr>
        <w:pStyle w:val="NormalHanging12a"/>
      </w:pPr>
      <w:r w:rsidRPr="003D4659">
        <w:t>14.</w:t>
      </w:r>
      <w:r w:rsidRPr="003D4659">
        <w:tab/>
        <w:t xml:space="preserve">megjegyzi, hogy a Törvényszék által lezárt ügyek száma a 2023. évi 904-ről 2024-ben 922-re nőtt, a Bíróság által lezárt ügyek száma pedig a 2023. évi 783-ról 2024-ben 863-ra, mivel ez utóbbi növekedést a Bíróság </w:t>
      </w:r>
      <w:proofErr w:type="spellStart"/>
      <w:r w:rsidRPr="003D4659">
        <w:t>bíráinak</w:t>
      </w:r>
      <w:proofErr w:type="spellEnd"/>
      <w:r w:rsidRPr="003D4659">
        <w:t xml:space="preserve"> és főtanácsnokainak háromévenkénti részleges lecserélése okozta 2024-ben; megjegyzi továbbá, hogy a Bíróságon folyamatban lévő ügyek száma a 2023. évi 1</w:t>
      </w:r>
      <w:r w:rsidR="0079316C" w:rsidRPr="003D4659">
        <w:t> </w:t>
      </w:r>
      <w:r w:rsidRPr="003D4659">
        <w:t>149-ről 2024-ben 1</w:t>
      </w:r>
      <w:r w:rsidR="0079316C" w:rsidRPr="003D4659">
        <w:t> </w:t>
      </w:r>
      <w:r w:rsidRPr="003D4659">
        <w:t>206-ra nőtt, és hogy a Törvényszéken folyamatban lévő ügyek száma a 2023. évi 1</w:t>
      </w:r>
      <w:r w:rsidR="0079316C" w:rsidRPr="003D4659">
        <w:t> </w:t>
      </w:r>
      <w:r w:rsidRPr="003D4659">
        <w:t>438-ról 2024-ben 1</w:t>
      </w:r>
      <w:r w:rsidR="0079316C" w:rsidRPr="003D4659">
        <w:t> </w:t>
      </w:r>
      <w:r w:rsidRPr="003D4659">
        <w:t xml:space="preserve">302-re csökkent (beleértve azt a 404, lényegében azonos ügyet is, amelyet egyetlen ügyként számítottak be), részben egyes nagy ügycsoportok lezárása miatt; </w:t>
      </w:r>
    </w:p>
    <w:p w14:paraId="3F9F47A3" w14:textId="77777777" w:rsidR="00F23A50" w:rsidRPr="003D4659" w:rsidRDefault="00F23A50" w:rsidP="00F23A50">
      <w:pPr>
        <w:pStyle w:val="NormalHanging12a"/>
      </w:pPr>
      <w:r w:rsidRPr="003D4659">
        <w:t>15.</w:t>
      </w:r>
      <w:r w:rsidRPr="003D4659">
        <w:tab/>
        <w:t>üdvözli ugyanakkor, hogy a Bíróság előtti sürgősségi eljárás alá vont ügyek elbírálásához szükséges átlagos idő a 2023. évi 4,3 hónapról 2024-ben 3,3 hónapra csökkent;</w:t>
      </w:r>
    </w:p>
    <w:p w14:paraId="5C8C17F9" w14:textId="77777777" w:rsidR="00F23A50" w:rsidRPr="003D4659" w:rsidRDefault="00F23A50" w:rsidP="00F23A50">
      <w:pPr>
        <w:pStyle w:val="NormalHanging12a"/>
      </w:pPr>
      <w:r w:rsidRPr="003D4659">
        <w:t>16.</w:t>
      </w:r>
      <w:r w:rsidRPr="003D4659">
        <w:tab/>
        <w:t>megjegyzi, hogy a Bíróság által lezárt ügyek esetében az eljárások átlagos időtartama 2024-ben 17,7 hónap volt, szemben a 2023. évi 16,1 hónappal, miközben a körülbelül hathetes növekedés egyes ügyek bonyolultságának és részletességének tudható be (például az Unió úgynevezett „mobilitási csomagja” ellen 2020-ban indított és 2024-ben lezárt keresetek); megjegyzi, hogy a Törvényszék ítéletével vagy végzésével lezárt ügyek átlagos időtartama a 2023. évi 18,2 hónapról 2024-ben 18,5 hónapra nőtt; hangsúlyozza, hogy a bírósági eljárások gyors lefolytatásának továbbra is a teljesítményre vonatkozó alapvető célkitűzésnek kell maradnia, mivel az elhúzódó eljárások közvetlenül érintik a polgárok, a nemzeti bíróságok és a gazdasági szereplők számára biztosított jogbiztonságot;</w:t>
      </w:r>
    </w:p>
    <w:p w14:paraId="05808A8C" w14:textId="77777777" w:rsidR="00F23A50" w:rsidRPr="003D4659" w:rsidRDefault="00F23A50" w:rsidP="00F23A50">
      <w:pPr>
        <w:pStyle w:val="NormalHanging12a"/>
      </w:pPr>
      <w:r w:rsidRPr="003D4659">
        <w:t>17.</w:t>
      </w:r>
      <w:r w:rsidRPr="003D4659">
        <w:tab/>
        <w:t xml:space="preserve">sürgeti az EUB-t, hogy a nemzeti bíróságokkal együttműködve vizsgálja meg a </w:t>
      </w:r>
      <w:r w:rsidRPr="003D4659">
        <w:lastRenderedPageBreak/>
        <w:t>gyakorlati útmutató eszközöket (iránymutatások, előzetes referenciasablonok, online képzések) az előzetes döntéshozatal keretében előterjesztett kérdések egyértelmű és célzott megfogalmazásának támogatása érdekében, ezáltal csökkentve a szükségtelen vagy túlzottan hosszadalmas eljárások kockázatát;</w:t>
      </w:r>
    </w:p>
    <w:p w14:paraId="2F4FBD3B" w14:textId="77777777" w:rsidR="00F23A50" w:rsidRPr="003D4659" w:rsidRDefault="00F23A50" w:rsidP="00F23A50">
      <w:pPr>
        <w:pStyle w:val="NormalHanging12a"/>
      </w:pPr>
      <w:r w:rsidRPr="003D4659">
        <w:t>18.</w:t>
      </w:r>
      <w:r w:rsidRPr="003D4659">
        <w:tab/>
        <w:t>elismerését fejezi ki az EUB-</w:t>
      </w:r>
      <w:proofErr w:type="spellStart"/>
      <w:r w:rsidRPr="003D4659">
        <w:t>nak</w:t>
      </w:r>
      <w:proofErr w:type="spellEnd"/>
      <w:r w:rsidRPr="003D4659">
        <w:t xml:space="preserve"> az e-</w:t>
      </w:r>
      <w:proofErr w:type="spellStart"/>
      <w:r w:rsidRPr="003D4659">
        <w:t>Curia</w:t>
      </w:r>
      <w:proofErr w:type="spellEnd"/>
      <w:r w:rsidRPr="003D4659">
        <w:t xml:space="preserve"> alkalmazás használata terén regisztrált növekedésért, miközben a nemzeti bíróságok által megnyitott fiókok száma a 2023. évi 451-ről 2024-ben 566-ra nőtt, és az e-</w:t>
      </w:r>
      <w:proofErr w:type="spellStart"/>
      <w:r w:rsidRPr="003D4659">
        <w:t>Curián</w:t>
      </w:r>
      <w:proofErr w:type="spellEnd"/>
      <w:r w:rsidRPr="003D4659">
        <w:t xml:space="preserve"> keresztül benyújtott eljárási iratok aránya a Bíróságon 91%, a Törvényszéken pedig 96% volt;</w:t>
      </w:r>
    </w:p>
    <w:p w14:paraId="211B45E5" w14:textId="77777777" w:rsidR="00F23A50" w:rsidRPr="003D4659" w:rsidRDefault="00F23A50" w:rsidP="00F23A50">
      <w:pPr>
        <w:pStyle w:val="NormalHanging12a"/>
      </w:pPr>
      <w:r w:rsidRPr="003D4659">
        <w:t>19.</w:t>
      </w:r>
      <w:r w:rsidRPr="003D4659">
        <w:tab/>
        <w:t>üdvözli az EUB által kidolgozott teljesítményalapú megközelítést, amely lehetővé teszi az EUB számára, hogy célkitűzései elérésének szintje alapján hozzon döntéseket, amelyet az egyes szervezeti egységekre szabott munkateher és operatív mutatók (pl. költséghatékonyság, projektteljesítési arányok, felhasználói elégedettség és erőforrás-optimalizálás) alapján mérnek; megjegyzi, hogy az EUB által használt fő teljesítménymutatók a két bíróság megfelelő működéséhez, a digitalizációhoz és a kialakulóban lévő technológiákhoz, a nyitottsághoz és átláthatósághoz, a többnyelvűséghez és az emberierőforrás-gazdálkodáshoz kapcsolódó öt irányítási célkitűzést támogató konkrét területek széles körét fedik le; hangsúlyozza, hogy a hatékony irányítás és elszámoltathatóság támogatása érdekében az EUB-</w:t>
      </w:r>
      <w:proofErr w:type="spellStart"/>
      <w:r w:rsidRPr="003D4659">
        <w:t>nak</w:t>
      </w:r>
      <w:proofErr w:type="spellEnd"/>
      <w:r w:rsidRPr="003D4659">
        <w:t xml:space="preserve"> biztosítania kell e mutatók átláthatóságát, eredményorientáltságát és rendszeres felülvizsgálatát;</w:t>
      </w:r>
    </w:p>
    <w:p w14:paraId="2E552448" w14:textId="77777777" w:rsidR="00F23A50" w:rsidRPr="003D4659" w:rsidRDefault="00F23A50" w:rsidP="00F23A50">
      <w:pPr>
        <w:pStyle w:val="NormalHanging12a"/>
      </w:pPr>
      <w:r w:rsidRPr="003D4659">
        <w:t>20.</w:t>
      </w:r>
      <w:r w:rsidRPr="003D4659">
        <w:tab/>
        <w:t>üdvözli az innovációs kezdeményezésekre irányuló beruházások megtérülésével kapcsolatos, 2024-ben felülvizsgált megközelítését, amely figyelembe veszi a költségértékelést olyan paraméterek alapján, mint a végrehajtás és a személyzeti erőfeszítések, az éves karbantartás, a vállalkozók költségei és más típusú költségek, valamint az előnyök olyan paraméterek alapján történő értékelését, mint az előre jelzett nyereségek, a stratégiai előnyök és az érintett felhasználók száma; megjegyzi, hogy ezenkívül 2024-ben az EUB alaposan felülvizsgálta a projektirányítás és a projektek pénzügyi ellenőrzésének nyomon követésére szolgáló rendszerét annak érdekében, hogy 2025-ig biztosítsa az időalapú digitalizációs tanácsadási szolgáltatásaira vonatkozó teljes körű jelentéstételt és ellenőrzést; felkéri az EUB-t, hogy rendszeresen tájékoztassa a mentesítésért felelős hatóságot az ügy fejleményeiről;</w:t>
      </w:r>
    </w:p>
    <w:p w14:paraId="135D9994" w14:textId="77777777" w:rsidR="00F23A50" w:rsidRPr="003D4659" w:rsidRDefault="00F23A50" w:rsidP="00F23A50">
      <w:pPr>
        <w:pStyle w:val="NormalHanging12a"/>
      </w:pPr>
      <w:r w:rsidRPr="003D4659">
        <w:t>21.</w:t>
      </w:r>
      <w:r w:rsidRPr="003D4659">
        <w:tab/>
        <w:t xml:space="preserve">az EUB 2024. évi belső ellenőrzési jelentése (a továbbiakban: a belső jelentés) alapján megjegyzi, hogy az EUB belső ellenőrzési osztálya által 2024-ben végzett fő ellenőrzési tevékenységek az EUB infrastruktúrabiztonsági intézkedéseinek korszerűsítésére irányuló projektjének és ingatlanleltár-projektjeinek ellenőrzését érintették, továbbá az alábbi három tanulmányt ölelték fel: az EUB humántőke-szükségleteinek változásai a generatív mesterséges intelligencia korában; a szervezetek és </w:t>
      </w:r>
      <w:proofErr w:type="spellStart"/>
      <w:r w:rsidRPr="003D4659">
        <w:t>alkalmazottaik</w:t>
      </w:r>
      <w:proofErr w:type="spellEnd"/>
      <w:r w:rsidRPr="003D4659">
        <w:t xml:space="preserve"> kompetenciái a változó környezetben; valamint a munkavállalók jólléte és a kialakulóban lévő technológiák; a belső jelentés alapján elismeréssel veszi tudomásul, hogy az érintett szervezeti egységek – gyakran az ellenőrzések lezárása előtt – lépéseket tettek az ellenőrzési ajánlások végrehajtása érdekében; megjegyzi továbbá, hogy a 2024. évi programmal kapcsolatban 2025-ben folyamatban volt az informatikai engedélyek ellenőrzése, valamint a bútor- és berendezésbeszerzések kezelésére vonatkozó ellenőrzés utolsó része; megállapítja, hogy ez utóbbi ellenőrzés bejelentett helyzete két egymást követő jelentéstételi időszakban változatlan maradt; felkéri az EUB-t, hogy a jövőben táblázatos formában nyújtson naprakész tájékoztatást a belső ellenőrzési ajánlások nyomán hozott intézkedések nyomon követéséről, valamint az egyes </w:t>
      </w:r>
      <w:r w:rsidRPr="003D4659">
        <w:lastRenderedPageBreak/>
        <w:t>intézkedések és ajánlások végrehajtásának állapotáról;</w:t>
      </w:r>
    </w:p>
    <w:p w14:paraId="08D977D2" w14:textId="77777777" w:rsidR="00F23A50" w:rsidRPr="003D4659" w:rsidRDefault="00F23A50" w:rsidP="00F23A50">
      <w:pPr>
        <w:pStyle w:val="NormalHanging12a"/>
        <w:rPr>
          <w:b/>
          <w:i/>
          <w:iCs/>
        </w:rPr>
      </w:pPr>
      <w:r w:rsidRPr="003D4659">
        <w:rPr>
          <w:b/>
          <w:i/>
          <w:iCs/>
        </w:rPr>
        <w:t>Emberi erőforrások, egyenlőség és a személyzet jólléte</w:t>
      </w:r>
    </w:p>
    <w:p w14:paraId="19D6577B" w14:textId="2DDB8CAB" w:rsidR="00F23A50" w:rsidRPr="003D4659" w:rsidRDefault="00F23A50" w:rsidP="00F23A50">
      <w:pPr>
        <w:pStyle w:val="NormalHanging12a"/>
      </w:pPr>
      <w:r w:rsidRPr="003D4659">
        <w:t>22.</w:t>
      </w:r>
      <w:r w:rsidRPr="003D4659">
        <w:tab/>
        <w:t>megjegyzi, hogy a tisztviselők teljes év végi száma a 2023. évi 1</w:t>
      </w:r>
      <w:r w:rsidR="008729D6" w:rsidRPr="003D4659">
        <w:t> </w:t>
      </w:r>
      <w:r w:rsidRPr="003D4659">
        <w:t>340-ről (58%) 2024-ben 1</w:t>
      </w:r>
      <w:r w:rsidR="008729D6" w:rsidRPr="003D4659">
        <w:t> </w:t>
      </w:r>
      <w:r w:rsidRPr="003D4659">
        <w:t>354-re (60%) nőtt, az ideiglenes alkalmazottak száma a 2023. évi 765-ről (33%) 2024-ben 740-re (33%) csökkent, a szerződéses alkalmazottak száma pedig a 2023. évi 198-ról (9%) 2024-ben 173-ra (7%) esett vissza; megjegyzi, hogy a betöltöttségi arány a 2023. évi 97,11%-</w:t>
      </w:r>
      <w:proofErr w:type="spellStart"/>
      <w:r w:rsidRPr="003D4659">
        <w:t>ról</w:t>
      </w:r>
      <w:proofErr w:type="spellEnd"/>
      <w:r w:rsidRPr="003D4659">
        <w:t xml:space="preserve"> 2024-ben kismértékben, 96,70%-</w:t>
      </w:r>
      <w:proofErr w:type="spellStart"/>
      <w:r w:rsidRPr="003D4659">
        <w:t>ra</w:t>
      </w:r>
      <w:proofErr w:type="spellEnd"/>
      <w:r w:rsidRPr="003D4659">
        <w:t xml:space="preserve"> csökkent, és a személyzet éves fluktuációja a 2023. évi 6,54%-</w:t>
      </w:r>
      <w:proofErr w:type="spellStart"/>
      <w:r w:rsidRPr="003D4659">
        <w:t>ról</w:t>
      </w:r>
      <w:proofErr w:type="spellEnd"/>
      <w:r w:rsidRPr="003D4659">
        <w:t xml:space="preserve"> 2024-ben 6,32%-</w:t>
      </w:r>
      <w:proofErr w:type="spellStart"/>
      <w:r w:rsidRPr="003D4659">
        <w:t>ra</w:t>
      </w:r>
      <w:proofErr w:type="spellEnd"/>
      <w:r w:rsidRPr="003D4659">
        <w:t xml:space="preserve"> csökkent, ahol a személyzet távozásának 41%-a nyugdíjazással függött össze;</w:t>
      </w:r>
    </w:p>
    <w:p w14:paraId="4EE6D942" w14:textId="77777777" w:rsidR="00F23A50" w:rsidRPr="003D4659" w:rsidRDefault="00F23A50" w:rsidP="00F23A50">
      <w:pPr>
        <w:pStyle w:val="NormalHanging12a"/>
      </w:pPr>
      <w:r w:rsidRPr="003D4659">
        <w:t>23.</w:t>
      </w:r>
      <w:r w:rsidRPr="003D4659">
        <w:tab/>
        <w:t xml:space="preserve">megjegyzi, hogy a Bíróság 27 bíróból és 11 főtanácsnokból, a Törvényszék pedig 54 bíróból áll; megjegyzi továbbá, hogy a Bíróság kilenc új </w:t>
      </w:r>
      <w:proofErr w:type="spellStart"/>
      <w:r w:rsidRPr="003D4659">
        <w:t>bírája</w:t>
      </w:r>
      <w:proofErr w:type="spellEnd"/>
      <w:r w:rsidRPr="003D4659">
        <w:t xml:space="preserve"> és a Törvényszék két új </w:t>
      </w:r>
      <w:proofErr w:type="spellStart"/>
      <w:r w:rsidRPr="003D4659">
        <w:t>bírája</w:t>
      </w:r>
      <w:proofErr w:type="spellEnd"/>
      <w:r w:rsidRPr="003D4659">
        <w:t xml:space="preserve"> 2024-ben részleges helyettesítés miatt lépett hivatalba; sajnálja, hogy a Bíróság és a Törvényszék nemi összetétele továbbra is nagyon kiegyensúlyozatlan; nagyra értékeli a Törvényszék elnöke által a tagállamok képviselői konferenciájának elnökéhez intézett, 2024. évi levelet, amelyben felszólítja a tagállamokat, hogy a </w:t>
      </w:r>
      <w:proofErr w:type="spellStart"/>
      <w:r w:rsidRPr="003D4659">
        <w:t>bírák</w:t>
      </w:r>
      <w:proofErr w:type="spellEnd"/>
      <w:r w:rsidRPr="003D4659">
        <w:t xml:space="preserve"> és főtanácsnokok helyettesítésére jelölt személyek jelölése során vegyék figyelembe a nemek közötti egyensúly szükségességét; megismétli a tagállamokhoz intézett felhívását, hogy a </w:t>
      </w:r>
      <w:proofErr w:type="spellStart"/>
      <w:r w:rsidRPr="003D4659">
        <w:t>bírák</w:t>
      </w:r>
      <w:proofErr w:type="spellEnd"/>
      <w:r w:rsidRPr="003D4659">
        <w:t xml:space="preserve"> helyettesítése érdekében a jelöltek kiválasztásakor vegyék figyelembe a nemek közötti egyensúly szükségességét, biztosítva ugyanakkor, hogy a jelölések továbbra is az érdemekre, a képesítésre és a függetlenségre vonatkozó kritériumokon alapuljanak;</w:t>
      </w:r>
    </w:p>
    <w:p w14:paraId="09298F13" w14:textId="77777777" w:rsidR="00F23A50" w:rsidRPr="003D4659" w:rsidRDefault="00F23A50" w:rsidP="00F23A50">
      <w:pPr>
        <w:pStyle w:val="NormalHanging12a"/>
      </w:pPr>
      <w:r w:rsidRPr="003D4659">
        <w:t>24.</w:t>
      </w:r>
      <w:r w:rsidRPr="003D4659">
        <w:tab/>
        <w:t>megjegyzi, hogy 2024-ben az EUB személyzetének 60,70%-a volt nő és 39,30%-a volt férfi; megjegyzi, hogy a nők aránya az asszisztensi besorolási fokozatokban volt a legmagasabb (69,14%), míg a felsővezetői pozíciókban sajnálatos módon a legalacsonyabb (35,71%); megjegyzi továbbá, hogy a középvezetői pozíciókban a nők megoszlása a 2023. évi 43,33%-</w:t>
      </w:r>
      <w:proofErr w:type="spellStart"/>
      <w:r w:rsidRPr="003D4659">
        <w:t>ról</w:t>
      </w:r>
      <w:proofErr w:type="spellEnd"/>
      <w:r w:rsidRPr="003D4659">
        <w:t xml:space="preserve"> 2024-re 51,61%-</w:t>
      </w:r>
      <w:proofErr w:type="spellStart"/>
      <w:r w:rsidRPr="003D4659">
        <w:t>ra</w:t>
      </w:r>
      <w:proofErr w:type="spellEnd"/>
      <w:r w:rsidRPr="003D4659">
        <w:t xml:space="preserve"> nőtt; megelégedéssel veszi tudomásul a megbízott engedélyezésre jogosult tisztviselő 2024. évi vezetői jelentése alapján, hogy a nők vezetői álláshelyeken való képviselete összességében növekvő tendenciát mutat, és a 2018. évi 37,50%-</w:t>
      </w:r>
      <w:proofErr w:type="spellStart"/>
      <w:r w:rsidRPr="003D4659">
        <w:t>ról</w:t>
      </w:r>
      <w:proofErr w:type="spellEnd"/>
      <w:r w:rsidRPr="003D4659">
        <w:t xml:space="preserve"> 2024-ben 48,70%-</w:t>
      </w:r>
      <w:proofErr w:type="spellStart"/>
      <w:r w:rsidRPr="003D4659">
        <w:t>ra</w:t>
      </w:r>
      <w:proofErr w:type="spellEnd"/>
      <w:r w:rsidRPr="003D4659">
        <w:t xml:space="preserve"> nőtt; hangsúlyozza, hogy a nők felsővezetői pozíciókban való tartós alulreprezentáltsága továbbra is aggodalomra ad okot, és ösztönzi a bíróságot, hogy az érdemek és az átláthatóság elvének teljes körű tiszteletben tartása mellett folytassa a nők szakmai előmenetelének és vezetői útjainak támogatására irányuló célzott intézkedések megerősítését;</w:t>
      </w:r>
    </w:p>
    <w:p w14:paraId="1A627411" w14:textId="77777777" w:rsidR="00F23A50" w:rsidRPr="003D4659" w:rsidRDefault="00F23A50" w:rsidP="00F23A50">
      <w:pPr>
        <w:pStyle w:val="NormalHanging12a"/>
        <w:rPr>
          <w:bCs/>
          <w:iCs/>
        </w:rPr>
      </w:pPr>
      <w:r w:rsidRPr="003D4659">
        <w:t>25.</w:t>
      </w:r>
      <w:r w:rsidRPr="003D4659">
        <w:tab/>
        <w:t xml:space="preserve">üdvözli az Európa Tanács nőkkel szembeni erőszak és kapcsolati erőszak elleni küzdelemről és azok megelőzéséről szóló egyezményére (az isztambuli egyezményre) vonatkozó cselekvési terv létrehozását, amely összehangolja a fellépéseket, ajánlásokat tesz, valamint tájékoztató és képzési tevékenységeket szervez a személyzet valamennyi tagja számára a zaklatási ügyek megelőzése érdekében; tudomásul veszi a bejelentett további intézkedéseket, amelyek magukban foglalják a nők elleni erőszak megelőzése terén tevékenykedő nemzeti szervezetekkel való együttműködés folytatását, további figyelemfelkeltő kezdeményezéseket és képzéseket is tartalmaznak, amelyek felhívják a figyelmet például a </w:t>
      </w:r>
      <w:proofErr w:type="spellStart"/>
      <w:r w:rsidRPr="003D4659">
        <w:t>mikroagresszió</w:t>
      </w:r>
      <w:proofErr w:type="spellEnd"/>
      <w:r w:rsidRPr="003D4659">
        <w:t xml:space="preserve"> és a nemi alapú elfogultság hatásaira; e tekintetben sajnálja, hogy nem állnak rendelkezésre kötelező képzések az EUB tagjai számára, amint azt az EUB a 2024. évi mentesítésre vonatkozó kérdőívre adott válaszaiban kijelentette; ezért sürgeti, hogy minden személyt – az EUB személyzetét és a tagjait egyaránt – vonjanak be a nők elleni erőszak megelőzésével kapcsolatos kötelező képzésekbe;</w:t>
      </w:r>
    </w:p>
    <w:p w14:paraId="4E0B7170" w14:textId="77777777" w:rsidR="00F23A50" w:rsidRPr="003D4659" w:rsidRDefault="00F23A50" w:rsidP="00F23A50">
      <w:pPr>
        <w:pStyle w:val="NormalHanging12a"/>
      </w:pPr>
      <w:r w:rsidRPr="003D4659">
        <w:lastRenderedPageBreak/>
        <w:t>26.</w:t>
      </w:r>
      <w:r w:rsidRPr="003D4659">
        <w:tab/>
        <w:t xml:space="preserve">elismeréssel veszi tudomásul az EUB által a személyzete körében – többek között a munkaerő-felvételi szakaszban – az egyenlőség, a befogadás, a kölcsönös tisztelet és a sokszínűség érdekében tett különféle erőfeszítéseket és fellépéseket; megjegyzi különösen, hogy 2024-ben új képzést indítottak a sokszínűségről és befogadásról, amely a </w:t>
      </w:r>
      <w:proofErr w:type="spellStart"/>
      <w:r w:rsidRPr="003D4659">
        <w:t>mikroagresszió</w:t>
      </w:r>
      <w:proofErr w:type="spellEnd"/>
      <w:r w:rsidRPr="003D4659">
        <w:t xml:space="preserve"> megelőzésére összpontosított, 2025-től pedig két új képzést szerveztek a teljesítmény javítása érdekében az egészséges határok meghatározásáról és a zaklatásmentes környezetről, az EUB isztambuli egyezménnyel foglalkozó szolgálatközi munkacsoportjának ajánlásait követve; elismeréssel veszi tudomásul az EUB által a fogyatékossággal élő személyzet számára 2022 óta hozott személyre szabott támogatási intézkedéseket (a feladatok, a munkaidő és a munkahelyek tekintetében), az intézmény részvételét a fogyatékossággal kapcsolatos tudatosság 2024-ben szervezett hetén, valamint a fogyatékossággal élő gyakornokokra vonatkozó kísérleti program 2025-től kezdődő kidolgozását; felkéri az EUB-t, hogy tájékoztassa a mentesítésért felelős hatóságot ez utóbbi program eredményéről;</w:t>
      </w:r>
    </w:p>
    <w:p w14:paraId="280BB78C" w14:textId="77777777" w:rsidR="00F23A50" w:rsidRPr="003D4659" w:rsidRDefault="00F23A50" w:rsidP="00F23A50">
      <w:pPr>
        <w:pStyle w:val="NormalHanging12a"/>
      </w:pPr>
      <w:r w:rsidRPr="003D4659">
        <w:t>27.</w:t>
      </w:r>
      <w:r w:rsidRPr="003D4659">
        <w:tab/>
        <w:t xml:space="preserve">üdvözli, hogy az EUB személyzetében valamennyi uniós nemzetiség képviselteti magát; megjegyzi azonban, hogy bizonyos nemzetiségek nagyobb mértékben képviseltetik magukat, mint mások, míg néhányuk nagymértékben felülreprezentált; támogatja az EUB arra irányuló erőfeszítéseit, hogy intézményközi weboldalakon, közösségimédia-hálózatokon és az EPSO-n keresztül a lehető legszélesebb körben tegye közzé az álláshirdetéseket; a </w:t>
      </w:r>
      <w:proofErr w:type="spellStart"/>
      <w:r w:rsidRPr="003D4659">
        <w:t>nyomonkövetési</w:t>
      </w:r>
      <w:proofErr w:type="spellEnd"/>
      <w:r w:rsidRPr="003D4659">
        <w:t xml:space="preserve"> jelentés alapján tudomásul veszi az EUB azon kötelezettségvállalását, hogy elemzi a személyzet, köztük a gyakornokok földrajzi képviseletének javítását célzó célzott intézkedések végrehajtására vonatkozó releváns adatokat; üdvözli az EUB arra irányuló erőfeszítéseit, hogy felhívja az </w:t>
      </w:r>
      <w:proofErr w:type="spellStart"/>
      <w:r w:rsidRPr="003D4659">
        <w:t>alulreprezentált</w:t>
      </w:r>
      <w:proofErr w:type="spellEnd"/>
      <w:r w:rsidRPr="003D4659">
        <w:t xml:space="preserve"> tagállamok nemzeti közigazgatási szerveinek és állandó képviseleteinek figyelmét a gyakornoki programokra;  megelégedéssel veszi tudomásul, hogy az Európai Igazságügyi Képzési Hálózat (EJTN) keretében folytatott szakmai gyakorlatokra vonatkozóan az EUB 2024-ben három új tagállamtól kapott pályázatot, amelyek első alkalommal vettek részt a nemzeti igazságügyi szakembereknek szóló hosszú távú képzési programjában;</w:t>
      </w:r>
    </w:p>
    <w:p w14:paraId="648D31E0" w14:textId="77777777" w:rsidR="00F23A50" w:rsidRPr="003D4659" w:rsidRDefault="00F23A50" w:rsidP="00F23A50">
      <w:pPr>
        <w:pStyle w:val="NormalHanging12a"/>
      </w:pPr>
      <w:r w:rsidRPr="003D4659">
        <w:t>28.</w:t>
      </w:r>
      <w:r w:rsidRPr="003D4659">
        <w:tab/>
        <w:t>elismerését fejezi ki az EUB által a (jogi) többnyelvűség területén 2024-ben hozott intézkedésekért, például a többnyelvűséggel foglalkozó weboldal véglegesítéséért és elindításáért, az első nyári iskola más uniós intézményekkel közösen történő megszervezéséért, a tagállamokkal folytatott szoros együttműködésért, amelynek célja egy külső szakértői bázis létrehozása a fordítási volumen növekedésének kezelése és bármelyik nyelvkombináció lefedése érdekében, a szabadúszók piacát célzó figyelemfelhívó intézkedésekért, valamint a digitális eszközök (többek között a mesterséges intelligenciával kapcsolatos) fordítási célú használatával kapcsolatos eljárások és készségek folyamatos korszerűsítéséért;</w:t>
      </w:r>
    </w:p>
    <w:p w14:paraId="17BF4B2C" w14:textId="77777777" w:rsidR="00F23A50" w:rsidRPr="003D4659" w:rsidRDefault="00F23A50" w:rsidP="00F23A50">
      <w:pPr>
        <w:pStyle w:val="NormalHanging12a"/>
      </w:pPr>
      <w:r w:rsidRPr="003D4659">
        <w:t>29.</w:t>
      </w:r>
      <w:r w:rsidRPr="003D4659">
        <w:tab/>
        <w:t>elismerését fejezi ki az EUB-</w:t>
      </w:r>
      <w:proofErr w:type="spellStart"/>
      <w:r w:rsidRPr="003D4659">
        <w:t>nak</w:t>
      </w:r>
      <w:proofErr w:type="spellEnd"/>
      <w:r w:rsidRPr="003D4659">
        <w:t xml:space="preserve"> a munkaerő-felvételi kihívások kezelése és Luxemburg mint munkavégzési hely fiatal diplomások körében való népszerűsítése érdekében tett intézkedéseiért; elismeréssel veszi tudomásul az EUB hozzájárulását az alacsonyabb besorolási fokozatú alkalmazottaknak 2025. január 1-jétől visszamenőleges hatállyal fizetett lakhatási támogatás bevezetéséhez és végrehajtásához, a kifejezetten a Luxemburgban foglalkoztatandó személyzetet célzó EPSO-versenyvizsgák előkészítéséhez, valamint a tájékoztató előadásokhoz és a nyári iskolákhoz; ösztönzi az EPSO-</w:t>
      </w:r>
      <w:proofErr w:type="spellStart"/>
      <w:r w:rsidRPr="003D4659">
        <w:t>val</w:t>
      </w:r>
      <w:proofErr w:type="spellEnd"/>
      <w:r w:rsidRPr="003D4659">
        <w:t xml:space="preserve"> és más intézményekkel való fokozott együttműködést a képzett pályázók körének bővítése és a szakterületeken folyó </w:t>
      </w:r>
      <w:proofErr w:type="spellStart"/>
      <w:r w:rsidRPr="003D4659">
        <w:t>versenyeztetéses</w:t>
      </w:r>
      <w:proofErr w:type="spellEnd"/>
      <w:r w:rsidRPr="003D4659">
        <w:t xml:space="preserve"> kiválasztási eljárások megerősítése érdekében; a </w:t>
      </w:r>
      <w:proofErr w:type="spellStart"/>
      <w:r w:rsidRPr="003D4659">
        <w:t>nyomonkövetési</w:t>
      </w:r>
      <w:proofErr w:type="spellEnd"/>
      <w:r w:rsidRPr="003D4659">
        <w:t xml:space="preserve"> jelentés alapján megjegyzi, hogy az EUB a </w:t>
      </w:r>
      <w:r w:rsidRPr="003D4659">
        <w:lastRenderedPageBreak/>
        <w:t>magas szintű intézményközi csoport nevében kísérleti projektet/felmérést végzett annak megállapítására, hogy megvalósítható lenne-e az ideiglenes lakhatási szolgáltatásokra vonatkozó bérleti szerződések megkötése (legfeljebb egy évre), piaci (vagy annál alacsonyabb) áron, amelyet közvetlenül a személyzet tagjai fizetnének; megjegyzi továbbá, hogy a felmérés sikeres volt, és következésképpen a munkacsoport szolgáltatási szintre vonatkozó megállapodást nyújtott be a részt vevő intézményeknek, amelyben megbízta az EUB-t, hogy folytasson le ingatlantárgyalási eljárást azokkal a szervezetekkel, amelyek megfelelő projekteket nyújtottak be; felkéri az EUB-t, hogy folyamatosan tájékoztassa a mentesítésért felelős hatóságot ezen ügy nyomon követéséről;</w:t>
      </w:r>
    </w:p>
    <w:p w14:paraId="20B3A6EF" w14:textId="63791BEF" w:rsidR="00F23A50" w:rsidRPr="003D4659" w:rsidRDefault="00F23A50" w:rsidP="00F23A50">
      <w:pPr>
        <w:pStyle w:val="NormalHanging12a"/>
      </w:pPr>
      <w:r w:rsidRPr="003D4659">
        <w:t>30.</w:t>
      </w:r>
      <w:r w:rsidRPr="003D4659">
        <w:tab/>
        <w:t xml:space="preserve">megjegyzi, hogy az EUB 201 gyakornokot vett fel az általános (fizetett) gyakornoki program keretében; megjegyzi továbbá, hogy az eredetileg kiválasztott jelöltek 34%-a elutasította az EUB ajánlatát, miután </w:t>
      </w:r>
      <w:proofErr w:type="spellStart"/>
      <w:r w:rsidRPr="003D4659">
        <w:t>ráébredt</w:t>
      </w:r>
      <w:proofErr w:type="spellEnd"/>
      <w:r w:rsidRPr="003D4659">
        <w:t xml:space="preserve"> Luxemburg magas megélhetési költségeire</w:t>
      </w:r>
      <w:bookmarkStart w:id="9" w:name="_Hlk215138302"/>
      <w:r w:rsidRPr="003D4659">
        <w:t xml:space="preserve">; újra hangsúlyozza, hogy az Unióban folytatott minőségi szakmai gyakorlatokról szóló, 2023. június 14-i parlamenti állásfoglalással (2020/2005(INL)) összhangban, amely szorgalmazza, hogy Európában minden szakmai gyakorlat fizetett legyen, a szakmai gyakorlatban résztvevőket javadalmazásban kell részesíteni; </w:t>
      </w:r>
      <w:bookmarkEnd w:id="9"/>
      <w:r w:rsidRPr="003D4659">
        <w:t>üdvözli, hogy jelenleg az EUB valamennyi gyakornoka a tartózkodása alatt támogatást kap, főként az EUB-</w:t>
      </w:r>
      <w:proofErr w:type="spellStart"/>
      <w:r w:rsidRPr="003D4659">
        <w:t>tól</w:t>
      </w:r>
      <w:proofErr w:type="spellEnd"/>
      <w:r w:rsidRPr="003D4659">
        <w:t xml:space="preserve"> és egyes konkrét esetekben más forrásokból; tudomásul veszi, hogy az EUB csak néhány (2024-ben hét) olyan gyakornokot fogad rövid időszakokra, akiket más forrásokból fizetnek;</w:t>
      </w:r>
    </w:p>
    <w:p w14:paraId="2717F166" w14:textId="77777777" w:rsidR="00F23A50" w:rsidRPr="003D4659" w:rsidRDefault="00F23A50" w:rsidP="00F23A50">
      <w:pPr>
        <w:pStyle w:val="NormalHanging12a"/>
      </w:pPr>
      <w:r w:rsidRPr="003D4659">
        <w:t>31.</w:t>
      </w:r>
      <w:r w:rsidRPr="003D4659">
        <w:tab/>
        <w:t xml:space="preserve">megjegyzi, hogy 2024-ben 17 esetben dokumentáltak kiégést, amelyek közül 2024-ben nyolc, 2023-ban pedig kilenc új esetet jelentettek, miközben a személyzet érintett tagjai szakmai támogatást és iránymutatást kaptak; elismeréssel veszi tudomásul, hogy 2024-ben az EUB továbbra is élen járt a személyzet fizikai és mentális jóllétét előmozdító, valamint a kiégést és a </w:t>
      </w:r>
      <w:proofErr w:type="spellStart"/>
      <w:r w:rsidRPr="003D4659">
        <w:t>pszichoszociális</w:t>
      </w:r>
      <w:proofErr w:type="spellEnd"/>
      <w:r w:rsidRPr="003D4659">
        <w:t xml:space="preserve"> kockázatokat kezelő kezdeményezések terén, mint például a szociális munkásokkal vagy pszichológusokkal folytatott konzultációk, a </w:t>
      </w:r>
      <w:proofErr w:type="spellStart"/>
      <w:r w:rsidRPr="003D4659">
        <w:t>mindfulnessről</w:t>
      </w:r>
      <w:proofErr w:type="spellEnd"/>
      <w:r w:rsidRPr="003D4659">
        <w:t xml:space="preserve"> és a digitális egyensúlyról szóló előadások, szakosodott munkaértekezletek és egészségügyi kérdésekkel kapcsolatos figyelemfelhívó tevékenységek, elsősegélynyújtó képzések és két részmunkaidős pszichológus felvétele; elismeri a rugalmas munkafeltételek – többek között az EUB távmunkarendszere – alkalmazása terén elért sikert, amelynek célja végső soron a személyzet munkája és magánélete közötti jobb egyensúly kialakítása;</w:t>
      </w:r>
    </w:p>
    <w:p w14:paraId="5C948FF9" w14:textId="77777777" w:rsidR="00F23A50" w:rsidRPr="003D4659" w:rsidRDefault="00F23A50" w:rsidP="00F23A50">
      <w:pPr>
        <w:pStyle w:val="NormalHanging12a"/>
      </w:pPr>
      <w:r w:rsidRPr="003D4659">
        <w:t>32.</w:t>
      </w:r>
      <w:r w:rsidRPr="003D4659">
        <w:tab/>
        <w:t>megjegyzi, hogy 2023-ban adminisztratív vizsgálatot indítottak a személyzet egy tagját érintő állítólagos szexuális zaklatással kapcsolatban, és hogy ezt az ügyet 2024-ben szankcióval lezárták; megjegyzi, hogy 2024-ben nem indítottak új közigazgatási vizsgálatot a zaklatással kapcsolatban;</w:t>
      </w:r>
    </w:p>
    <w:p w14:paraId="4A642CF5" w14:textId="77777777" w:rsidR="00F23A50" w:rsidRPr="003D4659" w:rsidRDefault="00F23A50" w:rsidP="00F23A50">
      <w:pPr>
        <w:pStyle w:val="NormalHanging12a"/>
        <w:rPr>
          <w:b/>
          <w:i/>
          <w:iCs/>
        </w:rPr>
      </w:pPr>
      <w:r w:rsidRPr="003D4659">
        <w:rPr>
          <w:b/>
          <w:i/>
          <w:iCs/>
        </w:rPr>
        <w:t>Etikai keret, átláthatóság és a polgárok igazságszolgáltatáshoz való hozzáférése</w:t>
      </w:r>
    </w:p>
    <w:p w14:paraId="001D8342" w14:textId="77777777" w:rsidR="00F23A50" w:rsidRPr="003D4659" w:rsidRDefault="00F23A50" w:rsidP="00F23A50">
      <w:pPr>
        <w:pStyle w:val="NormalHanging12a"/>
      </w:pPr>
      <w:r w:rsidRPr="003D4659">
        <w:t>33.</w:t>
      </w:r>
      <w:r w:rsidRPr="003D4659">
        <w:tab/>
        <w:t xml:space="preserve">megjegyzi, hogy a korábbi mentesítési ajánlásokban kérteknek megfelelően 2024 márciusában elfogadták az EUB tisztviselőire és egyéb </w:t>
      </w:r>
      <w:proofErr w:type="spellStart"/>
      <w:r w:rsidRPr="003D4659">
        <w:t>alkalmazottaira</w:t>
      </w:r>
      <w:proofErr w:type="spellEnd"/>
      <w:r w:rsidRPr="003D4659">
        <w:t xml:space="preserve"> vonatkozó új magatartási kódexet, amely tükrözi az EUB értékeit és magas szintű etikai normák iránti elkötelezettségét, és megjegyzi, hogy a magatartási kódex rendelkezéseket tartalmaz az összeférhetetlenségről, a lojalitási kötelezettségről, a titoktartási és diszkréciós kötelezettségről, a külső tevékenységekről, a szolgálati jogviszony megszűnését követő szakmai tevékenységekről és a kiadványokról, a zaklatás elleni rendelkezésekről, valamint az EJTN keretében befogadott kirendelt nemzeti szakértőkre és bírósági </w:t>
      </w:r>
      <w:r w:rsidRPr="003D4659">
        <w:lastRenderedPageBreak/>
        <w:t>fogalmazókra is vonatkozik; megelégedéssel veszi tudomásul, hogy az EUB intézkedéseket vezetett be annak érdekében, hogy a lehető legszélesebb körben bemutassa és elmagyarázza a magatartási kódexet, és hogy a személyzet teljes mértékben megértse az új szabályokat és azt a tágabb jogi keretet, amelynek részét képezik, továbbá hogy a magatartási kódexszel, valamint a személyzet jogaival és kötelezettségeivel kapcsolatos képzés kötelező az újonnan érkezők számára, és erősen ajánlott az EUB valamennyi alkalmazottja számára, míg 2024-ben összesen 561 személy (azaz az EUB összes tisztviselőjének és alkalmazottjának 24,75%-a) vett részt ilyen képzéseken; megjegyzi továbbá, hogy 2024-ben hasonló képzést nyújtottak az EUB új tagjainak is; elismeréssel veszi tudomásul az EUB „bizalmi személyekből” álló hálózatát, amely zaklatás esetén segíti a személyzet tagjait, valamint az ígéretes adminisztrátoroknak kínált tehetséggondozási programot, amely többek között az etikus vezetésre is kiterjed; ösztönzi a Bíróságot, hogy az etikai normák intézményen belüli közös értelmezésének biztosítása érdekében fokozatosan erősítse meg a magatartási kódexszel kapcsolatos képzést a személyzet valamennyi tagja számára kivétel nélkül;</w:t>
      </w:r>
    </w:p>
    <w:p w14:paraId="07411CB3" w14:textId="77777777" w:rsidR="00F23A50" w:rsidRPr="003D4659" w:rsidRDefault="00F23A50" w:rsidP="00F23A50">
      <w:pPr>
        <w:pStyle w:val="NormalHanging12a"/>
      </w:pPr>
      <w:r w:rsidRPr="003D4659">
        <w:t>34.</w:t>
      </w:r>
      <w:r w:rsidRPr="003D4659">
        <w:tab/>
        <w:t xml:space="preserve">megjegyzi, hogy az EUB tagjaira és volt tagjaira vonatkozó magatartási kódex elfogadását követően a tagok érdekeltségi nyilatkozatát online közzétették az ügyek kezelése során felmerülő esetleges összeférhetetlenségek elkerülése érdekében; a </w:t>
      </w:r>
      <w:proofErr w:type="spellStart"/>
      <w:r w:rsidRPr="003D4659">
        <w:t>nyomonkövetési</w:t>
      </w:r>
      <w:proofErr w:type="spellEnd"/>
      <w:r w:rsidRPr="003D4659">
        <w:t xml:space="preserve"> jelentés alapján megelégedéssel veszi tudomásul, hogy 2024-ben az EUB aláírta az intézményközi „uniós etikai testület” létrehozásáról szóló megállapodást, amelynek feladatai között szerepel az aláíró intézmények tagjainak magatartására vonatkozó közös minimumszabályok kidolgozása; elismeri, hogy az EUB az igazságszolgáltatás függetlenségének megőrzése érdekében megtartja megfigyelői státuszát e testületen belül;</w:t>
      </w:r>
    </w:p>
    <w:p w14:paraId="67F6A876" w14:textId="77777777" w:rsidR="00F23A50" w:rsidRPr="003D4659" w:rsidRDefault="00F23A50" w:rsidP="00F23A50">
      <w:pPr>
        <w:pStyle w:val="NormalHanging12a"/>
      </w:pPr>
      <w:r w:rsidRPr="003D4659">
        <w:t>35.</w:t>
      </w:r>
      <w:r w:rsidRPr="003D4659">
        <w:tab/>
        <w:t>tudomásul veszi az intézményen belüli összeférhetetlenségek és a forgóajtó-jelenség felderítésére és megelőzésére vonatkozó határozott politikáját, amelynek keretében az új magatartási kódex konkrét és szigorúbb szabályokat határoz meg a vezetőkre és a jogi titkárokra vonatkozóan; megjegyzi, hogy 2024-ben három lehetséges összeférhetetlenségi nyilatkozatot dolgoztak fel a személyzet tagjaitól, amelyek közül egyik sem tett szükségessé korrekciós intézkedést; megjegyzi továbbá, hogy 2024-ben 57 alkalmazott nyilatkozott úgy, hogy az EUB-</w:t>
      </w:r>
      <w:proofErr w:type="spellStart"/>
      <w:r w:rsidRPr="003D4659">
        <w:t>ból</w:t>
      </w:r>
      <w:proofErr w:type="spellEnd"/>
      <w:r w:rsidRPr="003D4659">
        <w:t xml:space="preserve"> való kilépést követően is dolgozni kíván, és egyikük esetében sem vezettek be várakozási időszakot; megjegyzi azonban, hogy egy vezető beosztású volt alkalmazott által 2023-ban benyújtott ügyben a várakozási időszak 2024-ben is folytatódott; megjegyzi, hogy 2024-ben nem jelentettek visszaélés bejelentésével kapcsolatos ügyet az EUB-ban;</w:t>
      </w:r>
    </w:p>
    <w:p w14:paraId="7CA9B03D" w14:textId="77777777" w:rsidR="00F23A50" w:rsidRPr="003D4659" w:rsidRDefault="00F23A50" w:rsidP="00F23A50">
      <w:pPr>
        <w:pStyle w:val="NormalHanging12a"/>
      </w:pPr>
      <w:r w:rsidRPr="003D4659">
        <w:t>36.</w:t>
      </w:r>
      <w:r w:rsidRPr="003D4659">
        <w:tab/>
        <w:t xml:space="preserve">a </w:t>
      </w:r>
      <w:proofErr w:type="spellStart"/>
      <w:r w:rsidRPr="003D4659">
        <w:t>nyomonkövetési</w:t>
      </w:r>
      <w:proofErr w:type="spellEnd"/>
      <w:r w:rsidRPr="003D4659">
        <w:t xml:space="preserve"> jelentés alapján megjegyzi, hogy a </w:t>
      </w:r>
      <w:proofErr w:type="spellStart"/>
      <w:r w:rsidRPr="003D4659">
        <w:t>bírák</w:t>
      </w:r>
      <w:proofErr w:type="spellEnd"/>
      <w:r w:rsidRPr="003D4659">
        <w:t xml:space="preserve"> tényleges vagy nyilvánvaló összeférhetetlenség esetén történő kizárására vonatkozó politika már kötelező, és hogy az EUB az összeférhetetlenség megelőzése céljából egy tesztelt mechanizmusra támaszkodik, és ez a mechanizmus az EUB tagjainak kiválasztási folyamatára terjed ki, és hivatalba lépésükkor teljes körű hatást fejt ki;</w:t>
      </w:r>
    </w:p>
    <w:p w14:paraId="14DB0EF8" w14:textId="77777777" w:rsidR="00F23A50" w:rsidRPr="003D4659" w:rsidRDefault="00F23A50" w:rsidP="00F23A50">
      <w:pPr>
        <w:pStyle w:val="NormalHanging12a"/>
      </w:pPr>
      <w:r w:rsidRPr="003D4659">
        <w:t>37.</w:t>
      </w:r>
      <w:r w:rsidRPr="003D4659">
        <w:tab/>
        <w:t>megjegyzi, hogy 2024-ben az EUB valamennyi tagja a statútum 14. cikkével összhangban Luxemburgban rendelkezett lakóhellyel;</w:t>
      </w:r>
    </w:p>
    <w:p w14:paraId="32DA0ED8" w14:textId="77777777" w:rsidR="00F23A50" w:rsidRPr="003D4659" w:rsidRDefault="00F23A50" w:rsidP="00F23A50">
      <w:pPr>
        <w:pStyle w:val="NormalHanging12a"/>
      </w:pPr>
      <w:r w:rsidRPr="003D4659">
        <w:t>38.</w:t>
      </w:r>
      <w:r w:rsidRPr="003D4659">
        <w:tab/>
        <w:t xml:space="preserve">megjegyzi, hogy a Bíróság és a Törvényszék tagjai által végzett külső tevékenységek jegyzékét 2018 óta közzéteszik az EUB honlapján, és hogy ezeket a tevékenységeket csak akkor hagyják jóvá, ha azok összeegyeztethetők a magatartási kódexben az EUB tagjai számára előírt követelményekkel és a tagok azon kötelezettségével, hogy az </w:t>
      </w:r>
      <w:r w:rsidRPr="003D4659">
        <w:lastRenderedPageBreak/>
        <w:t xml:space="preserve">igazságszolgáltatási tevékenységek céljára rendelkezésre kell állniuk; a </w:t>
      </w:r>
      <w:proofErr w:type="spellStart"/>
      <w:r w:rsidRPr="003D4659">
        <w:t>nyomonkövetési</w:t>
      </w:r>
      <w:proofErr w:type="spellEnd"/>
      <w:r w:rsidRPr="003D4659">
        <w:t xml:space="preserve"> jelentés alapján üdvözli az EUB azon kötelezettségvállalását, hogy elemzi a külső tevékenységekkel kapcsolatban közzétett információk minőségének és olvashatóságának javítására kínálkozó lehetőségeket;</w:t>
      </w:r>
    </w:p>
    <w:p w14:paraId="72784AA2" w14:textId="77777777" w:rsidR="00F23A50" w:rsidRPr="003D4659" w:rsidRDefault="00F23A50" w:rsidP="00F23A50">
      <w:pPr>
        <w:pStyle w:val="NormalHanging12a"/>
      </w:pPr>
      <w:r w:rsidRPr="003D4659">
        <w:t>39.</w:t>
      </w:r>
      <w:r w:rsidRPr="003D4659">
        <w:tab/>
        <w:t xml:space="preserve">emlékeztet a Parlament 2023-ban az összes uniós intézményhez intézett ajánlására, hogy állapodjanak meg a szolgálati járművek használatára vonatkozó, horizontálisan alkalmazandó egységes rendszerről; ezzel összefüggésben megjegyzi, hogy 2024-ben az EUB, a Számvevőszék, a Parlament és a Bizottság intézményközi munkacsoportot hozott létre, amelynek célja az adott gyakorlatokra vonatkozó információk cseréje és a szabályok harmonizálási lehetőségeinek azonosítása, tiszteletben tartva ugyanakkor az egyes intézmények autonómiáját és sajátosságait; emlékeztet a Parlament azon véleményére, hogy semmilyen körülmények között nem kerülhet sor a gépjárműflottának a bírói feladatok szigorú teljesítésén kívüli használatára; a </w:t>
      </w:r>
      <w:proofErr w:type="spellStart"/>
      <w:r w:rsidRPr="003D4659">
        <w:t>nyomonkövetési</w:t>
      </w:r>
      <w:proofErr w:type="spellEnd"/>
      <w:r w:rsidRPr="003D4659">
        <w:t xml:space="preserve"> jelentés alapján megjegyzi azt is, hogy a munkacsoport teljesítményértékelést végzett a kérdésben, és más, a gépjárműflotta irányításával kapcsolatos témákat is vizsgál; felszólítja a munkacsoportot, hogy mihamarabb lépjen fel ebben az ügyben, és a lehető leghamarabb tájékoztassa a mentesítésért felelős hatóságot munkájának eredményéről és következtetéseiről;</w:t>
      </w:r>
    </w:p>
    <w:p w14:paraId="0BD424B6" w14:textId="77777777" w:rsidR="00F23A50" w:rsidRPr="003D4659" w:rsidRDefault="00F23A50" w:rsidP="00F23A50">
      <w:pPr>
        <w:pStyle w:val="NormalHanging12a"/>
      </w:pPr>
      <w:r w:rsidRPr="003D4659">
        <w:t>40.</w:t>
      </w:r>
      <w:r w:rsidRPr="003D4659">
        <w:tab/>
        <w:t>megjegyzi, hogy az EUB 2024-ben nem jelentett csalást, korrupciót vagy az uniós forrásokkal való visszaélést; megjegyzi, hogy az EUB csalás elleni stratégiája szerves részét képezi integrált belső ellenőrzési és kockázatkezelési keretének, különös tekintettel az információk helytelen közzétételének kockázataira; megjegyzi, hogy belső szabályozási kerete magában foglalja az Unió érdekeit sértő csalással, korrupcióval vagy jogellenes tevékenységgel kapcsolatos vizsgálatokról hozott határozatot, valamint a visszaélések bejelentéséről szóló határozatot és iránymutatásokat, beleértve a visszaélést bejelentő személyeknek nyújtott tájékoztatásra és védelemre vonatkozó rendelkezéseket is;</w:t>
      </w:r>
    </w:p>
    <w:p w14:paraId="64911755" w14:textId="77777777" w:rsidR="00F23A50" w:rsidRPr="003D4659" w:rsidRDefault="00F23A50" w:rsidP="00F23A50">
      <w:pPr>
        <w:pStyle w:val="NormalHanging12a"/>
      </w:pPr>
      <w:r w:rsidRPr="003D4659">
        <w:t>41.</w:t>
      </w:r>
      <w:r w:rsidRPr="003D4659">
        <w:tab/>
        <w:t xml:space="preserve">üdvözli az EUB azon kötelezettségvállalását, hogy fokozza az átláthatóságot, az igazságszolgáltatáshoz való hozzáférést és a nyilvánosság előtti nyitottságot, hozzájárulva ezáltal az uniós intézményekbe vetett közbizalom erősítéséhez, miközben egyensúlyt teremt más alapvető aggályok, például az igazságszolgáltatás nyugalma, az eljárások titkossága és a személyes adatok védelme között; hangsúlyozza, hogy a fokozott átláthatóságnak a Bíróság ítélkezési gyakorlatába vetett közbizalom megerősítését is szolgálnia kell; ösztönzi a Bíróságot, hogy folytassa az ítélkezési gyakorlata egyértelműségének, hozzáférhetőségének és kiszámíthatóságának javítására irányuló erőfeszítéseit, különösen a jelentős alkotmányos vagy társadalmi hatással járó ügyekben; megjegyzi, hogy 2024-ban az EUB megszilárdította a Bíróság és a Törvényszék tárgyalásaira vonatkozó streaming szolgáltatást a </w:t>
      </w:r>
      <w:proofErr w:type="spellStart"/>
      <w:r w:rsidRPr="003D4659">
        <w:t>Curia</w:t>
      </w:r>
      <w:proofErr w:type="spellEnd"/>
      <w:r w:rsidRPr="003D4659">
        <w:t xml:space="preserve"> honlapon, megkönnyítve ezáltal a polgárok hozzáférését az EUB igazságszolgáltatási tevékenységeihez; ezzel összefüggésben üdvözli, hogy a 2024-ben elfogadott igazságügyi reform eredményeként nőtt az előzetes döntéshozatali eljárás átláthatósága, lehetővé téve, hogy az ügy lezárását követően észszerű időn belül </w:t>
      </w:r>
      <w:proofErr w:type="spellStart"/>
      <w:r w:rsidRPr="003D4659">
        <w:t>közzétegyék</w:t>
      </w:r>
      <w:proofErr w:type="spellEnd"/>
      <w:r w:rsidRPr="003D4659">
        <w:t xml:space="preserve"> az írásbeli észrevételeket az EUB honlapján;</w:t>
      </w:r>
    </w:p>
    <w:p w14:paraId="2D390114" w14:textId="77777777" w:rsidR="00F23A50" w:rsidRPr="003D4659" w:rsidRDefault="00F23A50" w:rsidP="00F23A50">
      <w:pPr>
        <w:pStyle w:val="NormalHanging12a"/>
      </w:pPr>
      <w:r w:rsidRPr="003D4659">
        <w:t>42.</w:t>
      </w:r>
      <w:r w:rsidRPr="003D4659">
        <w:tab/>
        <w:t xml:space="preserve">a </w:t>
      </w:r>
      <w:proofErr w:type="spellStart"/>
      <w:r w:rsidRPr="003D4659">
        <w:t>nyomonkövetési</w:t>
      </w:r>
      <w:proofErr w:type="spellEnd"/>
      <w:r w:rsidRPr="003D4659">
        <w:t xml:space="preserve"> jelentés alapján megelégedéssel veszi tudomásul, hogy a 2022-ben indított sikeres kísérleti projektet és eljárási szabályzatának 2024-es aktualizálását követően a Bíróság kiterjesztette a streamingszolgáltatást az öt bíróból álló tanács által tárgyalt fontos ügyekre, valamint a szóbeli előadások majdnem valós idejű </w:t>
      </w:r>
      <w:r w:rsidRPr="003D4659">
        <w:lastRenderedPageBreak/>
        <w:t>közvetítésére, továbbá az ítéletek kihirdetésének és a főtanácsnoki vélemények élő közvetítésére; megjegyzi továbbá, hogy 2024. szeptember 1-je óta az ítéletek és vélemények kihirdetése céljából tartott meghallgatásokról készült videófelvételek továbbra is folyamatosan elérhetők az EUB honlapján, és a szóbeli előadásokról készült videófelvételek a meghallgatás után egy hónapig hozzáférhetők; elismeréssel veszi tudomásul, hogy a Törvényszék hasonló intézkedéseket hozott annak érdekében, hogy szélesebb körű hozzáférést biztosítson a nyilvánosság számára az eljárásaihoz;</w:t>
      </w:r>
    </w:p>
    <w:p w14:paraId="7EEB3700" w14:textId="77777777" w:rsidR="00F23A50" w:rsidRPr="003D4659" w:rsidRDefault="00F23A50" w:rsidP="00F23A50">
      <w:pPr>
        <w:pStyle w:val="NormalHanging12a"/>
      </w:pPr>
      <w:r w:rsidRPr="003D4659">
        <w:t>43.</w:t>
      </w:r>
      <w:r w:rsidRPr="003D4659">
        <w:tab/>
        <w:t>megjegyzi, hogy az EUB 2024-ben 20, adminisztratív dokumentumokhoz való nyilvános hozzáférés iránti kérelmet vett nyilvántartásba, és 15 esetben biztosított hozzáférést az adminisztratív dokumentumokhoz; megjegyzi, hogy az európai ombudsman nem kezelt EUB-t érintő ügyeket;</w:t>
      </w:r>
    </w:p>
    <w:p w14:paraId="20A9F9EE" w14:textId="77777777" w:rsidR="00F23A50" w:rsidRPr="003D4659" w:rsidRDefault="00F23A50" w:rsidP="00F23A50">
      <w:pPr>
        <w:pStyle w:val="NormalHanging12a"/>
        <w:ind w:left="0" w:firstLine="0"/>
        <w:rPr>
          <w:b/>
          <w:i/>
          <w:iCs/>
        </w:rPr>
      </w:pPr>
      <w:r w:rsidRPr="003D4659">
        <w:rPr>
          <w:b/>
          <w:i/>
          <w:iCs/>
        </w:rPr>
        <w:t xml:space="preserve">Digitalizáció, </w:t>
      </w:r>
      <w:proofErr w:type="spellStart"/>
      <w:r w:rsidRPr="003D4659">
        <w:rPr>
          <w:b/>
          <w:i/>
          <w:iCs/>
        </w:rPr>
        <w:t>kiberbiztonság</w:t>
      </w:r>
      <w:proofErr w:type="spellEnd"/>
      <w:r w:rsidRPr="003D4659">
        <w:rPr>
          <w:b/>
          <w:i/>
          <w:iCs/>
        </w:rPr>
        <w:t xml:space="preserve"> és adatvédelem</w:t>
      </w:r>
    </w:p>
    <w:p w14:paraId="33E5EDE9" w14:textId="77777777" w:rsidR="00F23A50" w:rsidRPr="003D4659" w:rsidRDefault="00F23A50" w:rsidP="00F23A50">
      <w:pPr>
        <w:spacing w:after="240"/>
        <w:ind w:left="567" w:hanging="567"/>
      </w:pPr>
      <w:r w:rsidRPr="003D4659">
        <w:t>44.</w:t>
      </w:r>
      <w:r w:rsidRPr="003D4659">
        <w:tab/>
        <w:t xml:space="preserve">megjegyzi, hogy 2024-ben 2023-hoz képest a költségvetési kiadások az informatikai projektek esetében 9%-kal, a </w:t>
      </w:r>
      <w:proofErr w:type="spellStart"/>
      <w:r w:rsidRPr="003D4659">
        <w:t>kiberbiztonsági</w:t>
      </w:r>
      <w:proofErr w:type="spellEnd"/>
      <w:r w:rsidRPr="003D4659">
        <w:t xml:space="preserve"> projektek esetében pedig 69%-kal csökkentek, miközben az informatikai berendezések esetében 16%-kal, a </w:t>
      </w:r>
      <w:proofErr w:type="spellStart"/>
      <w:r w:rsidRPr="003D4659">
        <w:t>kiberbiztonsági</w:t>
      </w:r>
      <w:proofErr w:type="spellEnd"/>
      <w:r w:rsidRPr="003D4659">
        <w:t xml:space="preserve"> szolgáltatások, engedélyek és berendezések esetében pedig 2%-kal nőttek; megjegyzi, hogy az informatikai projektek jelentős csökkenése annak tudható be, hogy bizonyos </w:t>
      </w:r>
      <w:proofErr w:type="spellStart"/>
      <w:r w:rsidRPr="003D4659">
        <w:t>kiberbiztonsági</w:t>
      </w:r>
      <w:proofErr w:type="spellEnd"/>
      <w:r w:rsidRPr="003D4659">
        <w:t xml:space="preserve"> projektek 2024-ben operatív szakaszba léptek, így a kapcsolódó kiadások a szokásos működési költségvetésben szerepelnek;</w:t>
      </w:r>
    </w:p>
    <w:p w14:paraId="16E4E44E" w14:textId="77777777" w:rsidR="00F23A50" w:rsidRPr="003D4659" w:rsidRDefault="00F23A50" w:rsidP="00F23A50">
      <w:pPr>
        <w:spacing w:after="240"/>
        <w:ind w:left="567" w:hanging="567"/>
      </w:pPr>
      <w:r w:rsidRPr="003D4659">
        <w:t>45.</w:t>
      </w:r>
      <w:r w:rsidRPr="003D4659">
        <w:tab/>
        <w:t>elismerését fejezi ki az EUB-</w:t>
      </w:r>
      <w:proofErr w:type="spellStart"/>
      <w:r w:rsidRPr="003D4659">
        <w:t>nak</w:t>
      </w:r>
      <w:proofErr w:type="spellEnd"/>
      <w:r w:rsidRPr="003D4659">
        <w:t xml:space="preserve"> a különböző digitális projektekben 2024-ben elért eredményekért, például a korszerűsített SIGA integrált adat- és ügykezelési program bevezetéséért, a HAN/</w:t>
      </w:r>
      <w:proofErr w:type="spellStart"/>
      <w:r w:rsidRPr="003D4659">
        <w:t>Ares</w:t>
      </w:r>
      <w:proofErr w:type="spellEnd"/>
      <w:r w:rsidRPr="003D4659">
        <w:t xml:space="preserve"> alkalmazás (az EUB elektronikus dokumentum-nyilvántartási és -kezelési rendszere) nagyobb mértékű és jobb használatáért, az EU </w:t>
      </w:r>
      <w:proofErr w:type="spellStart"/>
      <w:r w:rsidRPr="003D4659">
        <w:t>Sign</w:t>
      </w:r>
      <w:proofErr w:type="spellEnd"/>
      <w:r w:rsidRPr="003D4659">
        <w:t xml:space="preserve"> (digitális aláírási rendszer) bevezetéséért, valamint a </w:t>
      </w:r>
      <w:proofErr w:type="spellStart"/>
      <w:r w:rsidRPr="003D4659">
        <w:t>Curia</w:t>
      </w:r>
      <w:proofErr w:type="spellEnd"/>
      <w:r w:rsidRPr="003D4659">
        <w:t xml:space="preserve"> Site és az </w:t>
      </w:r>
      <w:proofErr w:type="spellStart"/>
      <w:r w:rsidRPr="003D4659">
        <w:t>InfoCuria</w:t>
      </w:r>
      <w:proofErr w:type="spellEnd"/>
      <w:r w:rsidRPr="003D4659">
        <w:t xml:space="preserve"> keresőeszköz átalakításáért; elismeri annak fontosságát, hogy bővítsék az e-</w:t>
      </w:r>
      <w:proofErr w:type="spellStart"/>
      <w:r w:rsidRPr="003D4659">
        <w:t>Curia</w:t>
      </w:r>
      <w:proofErr w:type="spellEnd"/>
      <w:r w:rsidRPr="003D4659">
        <w:t xml:space="preserve"> alkalmazás használatát az eljárási iratok elektronikus úton történő benyújtása és kézbesítése terén;</w:t>
      </w:r>
    </w:p>
    <w:p w14:paraId="661743F3" w14:textId="77777777" w:rsidR="00F23A50" w:rsidRPr="003D4659" w:rsidRDefault="00F23A50" w:rsidP="00F23A50">
      <w:pPr>
        <w:spacing w:after="240"/>
        <w:ind w:left="567" w:hanging="567"/>
      </w:pPr>
      <w:r w:rsidRPr="003D4659">
        <w:t>46.</w:t>
      </w:r>
      <w:r w:rsidRPr="003D4659">
        <w:tab/>
        <w:t xml:space="preserve">megjegyzi, hogy az EUB folytatta folyamatainak automatizálását, és 2024-től egy robotszoftvert használt az ismétlődő feladatok, például a meghallgatások átiratának és a számlák kifizetésének feldolgozására; arra számít, hogy a </w:t>
      </w:r>
      <w:proofErr w:type="spellStart"/>
      <w:r w:rsidRPr="003D4659">
        <w:t>robotizált</w:t>
      </w:r>
      <w:proofErr w:type="spellEnd"/>
      <w:r w:rsidRPr="003D4659">
        <w:t xml:space="preserve"> folyamatautomatizálási megoldások alkalmazása az EUB egészében hozzá fog járulni az erőforrások optimalizálásához; elismeri az intézményközi együttműködés fontosságát, amely a dokumentum- és iratkezelésre (HAN/</w:t>
      </w:r>
      <w:proofErr w:type="spellStart"/>
      <w:r w:rsidRPr="003D4659">
        <w:t>Ares</w:t>
      </w:r>
      <w:proofErr w:type="spellEnd"/>
      <w:r w:rsidRPr="003D4659">
        <w:t>), a HR-re (</w:t>
      </w:r>
      <w:proofErr w:type="spellStart"/>
      <w:r w:rsidRPr="003D4659">
        <w:t>Sysper</w:t>
      </w:r>
      <w:proofErr w:type="spellEnd"/>
      <w:r w:rsidRPr="003D4659">
        <w:t xml:space="preserve"> és személyzeti ügyek), a pénzügyi nyilvántartások kezelésére (SAP) és más bizottsági (MI-alapú) rendszerekre, például a fordítási szolgáltatásokra (</w:t>
      </w:r>
      <w:proofErr w:type="spellStart"/>
      <w:r w:rsidRPr="003D4659">
        <w:t>eTranslation</w:t>
      </w:r>
      <w:proofErr w:type="spellEnd"/>
      <w:r w:rsidRPr="003D4659">
        <w:t>) szolgáló főbb informatikai rendszerek használatából eredő hatékonyságon keresztül az EUB javát szolgálja;</w:t>
      </w:r>
    </w:p>
    <w:p w14:paraId="2596A349" w14:textId="77777777" w:rsidR="00F23A50" w:rsidRPr="003D4659" w:rsidRDefault="00F23A50" w:rsidP="00F23A50">
      <w:pPr>
        <w:spacing w:after="240"/>
        <w:ind w:left="567" w:hanging="567"/>
      </w:pPr>
      <w:r w:rsidRPr="003D4659">
        <w:t>47.</w:t>
      </w:r>
      <w:r w:rsidRPr="003D4659">
        <w:tab/>
        <w:t xml:space="preserve">érdeklődéssel veszi tudomásul, hogy 2024-ben kísérleti projektet indítottak, amely az EUB valamennyi szervezeti egysége számára hozzáférést biztosít MI-asszisztensekhez; hangsúlyozza annak fontosságát, hogy az MI-eszközök használata során biztosítsák az etikai elvek, és különösen az EUB 2024-ben elfogadott, mesterséges intelligenciára vonatkozó iránymutatásainak betartását, ezáltal biztosítva az emberi felügyeletet a bírósági eljárások függetlenségének elve tekintetében; hangsúlyozza, hogy az MI-eszközök igazságügyi környezetben történő használata soha nem helyettesítheti az emberi jogi érvelést vagy az igazságszolgáltatási mérlegelési jogkört, és nem áshatja alá </w:t>
      </w:r>
      <w:r w:rsidRPr="003D4659">
        <w:lastRenderedPageBreak/>
        <w:t xml:space="preserve">a </w:t>
      </w:r>
      <w:proofErr w:type="spellStart"/>
      <w:r w:rsidRPr="003D4659">
        <w:t>bírák</w:t>
      </w:r>
      <w:proofErr w:type="spellEnd"/>
      <w:r w:rsidRPr="003D4659">
        <w:t xml:space="preserve"> személyes felelősségét; ezzel összefüggésben kiemeli az EUB mesterséges intelligenciával foglalkozó igazgatótanácsának felügyeleti szerepét; elismerését fejezi ki az EUB-</w:t>
      </w:r>
      <w:proofErr w:type="spellStart"/>
      <w:r w:rsidRPr="003D4659">
        <w:t>nak</w:t>
      </w:r>
      <w:proofErr w:type="spellEnd"/>
      <w:r w:rsidRPr="003D4659">
        <w:t xml:space="preserve"> a 2024-ben bevezetett átfogó képzési programért, kezdve a mesterséges intelligenciával kapcsolatos tudatosság hónapjával, amely képzéseket, MI-szakértők által szervezett kerekasztal-megbeszéléseket, </w:t>
      </w:r>
      <w:proofErr w:type="spellStart"/>
      <w:r w:rsidRPr="003D4659">
        <w:t>webináriumokat</w:t>
      </w:r>
      <w:proofErr w:type="spellEnd"/>
      <w:r w:rsidRPr="003D4659">
        <w:t xml:space="preserve"> és intenzív, gyakorlatorientált képzéseket (</w:t>
      </w:r>
      <w:proofErr w:type="spellStart"/>
      <w:r w:rsidRPr="003D4659">
        <w:t>bootcamp-eket</w:t>
      </w:r>
      <w:proofErr w:type="spellEnd"/>
      <w:r w:rsidRPr="003D4659">
        <w:t>) foglalt magában, és ezáltal megtette az első fontos lépést annak érdekében, hogy felhívja a személyzet tagjainak figyelmét az EUB MI-stratégiájára, iránymutatásaira és általában a mesterséges intelligenciára; megjegyzi, hogy a személyzet tagjai a változásmenedzsmentről, a tudástranszferről, a mentorálásról és a mentális agilitásról tartott tanfolyamokon is részt vesznek a kialakulóban lévő technológiákhoz való alkalmazkodás támogatása érdekében; felkéri az EUB-t, hogy továbbra is szervezzen ilyen képzési és figyelemfelhívó programokat;</w:t>
      </w:r>
    </w:p>
    <w:p w14:paraId="1F02F17A" w14:textId="77777777" w:rsidR="00F23A50" w:rsidRPr="003D4659" w:rsidRDefault="00F23A50" w:rsidP="00F23A50">
      <w:pPr>
        <w:spacing w:after="240"/>
        <w:ind w:left="567" w:hanging="567"/>
      </w:pPr>
      <w:r w:rsidRPr="003D4659">
        <w:t>48.</w:t>
      </w:r>
      <w:r w:rsidRPr="003D4659">
        <w:tab/>
        <w:t xml:space="preserve">a </w:t>
      </w:r>
      <w:proofErr w:type="spellStart"/>
      <w:r w:rsidRPr="003D4659">
        <w:t>nyomonkövetési</w:t>
      </w:r>
      <w:proofErr w:type="spellEnd"/>
      <w:r w:rsidRPr="003D4659">
        <w:t xml:space="preserve"> jelentés alapján megjegyzi, hogy az új </w:t>
      </w:r>
      <w:proofErr w:type="spellStart"/>
      <w:r w:rsidRPr="003D4659">
        <w:t>kiberbiztonsági</w:t>
      </w:r>
      <w:proofErr w:type="spellEnd"/>
      <w:r w:rsidRPr="003D4659">
        <w:t xml:space="preserve"> rendelet 2024 eleji hatálybalépését követően az EUB </w:t>
      </w:r>
      <w:proofErr w:type="spellStart"/>
      <w:r w:rsidRPr="003D4659">
        <w:t>kiberbiztonsági</w:t>
      </w:r>
      <w:proofErr w:type="spellEnd"/>
      <w:r w:rsidRPr="003D4659">
        <w:t xml:space="preserve"> cselekvési tervet dolgozott ki, és ehhez kapcsolódóan informatikai infrastrukturális projekteket hajt végre; megjegyzi, hogy az EUB évente legalább három katasztrófa utáni helyreállítási tesztet végez, amelyek kiterjednek a helyszíni rendszerekre, a távközlési szolgáltatásokra és az internetszolgáltatók átkapcsolására;</w:t>
      </w:r>
    </w:p>
    <w:p w14:paraId="4EF69383" w14:textId="77777777" w:rsidR="00F23A50" w:rsidRPr="003D4659" w:rsidRDefault="00F23A50" w:rsidP="00F23A50">
      <w:pPr>
        <w:spacing w:after="240"/>
        <w:ind w:left="567" w:hanging="567"/>
      </w:pPr>
      <w:r w:rsidRPr="003D4659">
        <w:t>49.</w:t>
      </w:r>
      <w:r w:rsidRPr="003D4659">
        <w:tab/>
        <w:t xml:space="preserve">megjegyzi, hogy 2024-ben tovább erősítették a </w:t>
      </w:r>
      <w:proofErr w:type="spellStart"/>
      <w:r w:rsidRPr="003D4659">
        <w:t>kiberbiztonsági</w:t>
      </w:r>
      <w:proofErr w:type="spellEnd"/>
      <w:r w:rsidRPr="003D4659">
        <w:t xml:space="preserve"> operatív képességeket az (EU, Euratom) 2023/2841 rendeletnek való megfelelés és a </w:t>
      </w:r>
      <w:proofErr w:type="spellStart"/>
      <w:r w:rsidRPr="003D4659">
        <w:t>kibertámadások</w:t>
      </w:r>
      <w:proofErr w:type="spellEnd"/>
      <w:r w:rsidRPr="003D4659">
        <w:t xml:space="preserve"> növekvő számának kezelése érdekében; megállapítja, hogy 2024-ben nem következtek be jelentősebb </w:t>
      </w:r>
      <w:proofErr w:type="spellStart"/>
      <w:r w:rsidRPr="003D4659">
        <w:t>kibertámadások</w:t>
      </w:r>
      <w:proofErr w:type="spellEnd"/>
      <w:r w:rsidRPr="003D4659">
        <w:t xml:space="preserve">; aggodalommal állapítja meg, hogy havonta átlagosan 142 biztonsági incidenst rögzítettek és elemeztek, amelyek közül néhány emberi beavatkozást igényelt; hangsúlyozza, hogy a </w:t>
      </w:r>
      <w:proofErr w:type="spellStart"/>
      <w:r w:rsidRPr="003D4659">
        <w:t>kiberbiztonság</w:t>
      </w:r>
      <w:proofErr w:type="spellEnd"/>
      <w:r w:rsidRPr="003D4659">
        <w:t xml:space="preserve"> stratégiai beruházás, amely elengedhetetlen az igazságszolgáltatás függetlenségének, az adatok integritásának és az igazságszolgáltatási tevékenység folytonosságának megőrzéséhez, ezért kiemeli a </w:t>
      </w:r>
      <w:proofErr w:type="spellStart"/>
      <w:r w:rsidRPr="003D4659">
        <w:t>kiberbiztonsági</w:t>
      </w:r>
      <w:proofErr w:type="spellEnd"/>
      <w:r w:rsidRPr="003D4659">
        <w:t xml:space="preserve"> képességekbe, a személyzet képzésébe és az intézményközi együttműködésbe történő tartós és kiszámítható beruházások szükségességét;</w:t>
      </w:r>
    </w:p>
    <w:p w14:paraId="6485D949" w14:textId="77777777" w:rsidR="00F23A50" w:rsidRPr="003D4659" w:rsidRDefault="00F23A50" w:rsidP="00F23A50">
      <w:pPr>
        <w:spacing w:after="240"/>
        <w:ind w:left="567" w:hanging="567"/>
      </w:pPr>
      <w:r w:rsidRPr="003D4659">
        <w:t>50.</w:t>
      </w:r>
      <w:r w:rsidRPr="003D4659">
        <w:tab/>
        <w:t xml:space="preserve">megjegyzi, hogy az európai adatvédelmi biztos által az Amazon Web </w:t>
      </w:r>
      <w:proofErr w:type="spellStart"/>
      <w:r w:rsidRPr="003D4659">
        <w:t>Services</w:t>
      </w:r>
      <w:proofErr w:type="spellEnd"/>
      <w:r w:rsidRPr="003D4659">
        <w:t xml:space="preserve"> és a Microsoft által a </w:t>
      </w:r>
      <w:proofErr w:type="spellStart"/>
      <w:r w:rsidRPr="003D4659">
        <w:t>Cloud</w:t>
      </w:r>
      <w:proofErr w:type="spellEnd"/>
      <w:r w:rsidRPr="003D4659">
        <w:t xml:space="preserve"> II szerződések keretében nyújtott felhőszolgáltatások uniós intézmények, szervek és ügynökségek általi használatával kapcsolatban folytatott vizsgálatot 2025-ben lezárták; megjegyzi továbbá, hogy az EUB e vizsgálatot követően nem kapott ajánlásokat;</w:t>
      </w:r>
    </w:p>
    <w:p w14:paraId="7DEDB768" w14:textId="77777777" w:rsidR="00F23A50" w:rsidRPr="003D4659" w:rsidRDefault="00F23A50" w:rsidP="00F23A50">
      <w:pPr>
        <w:spacing w:after="240"/>
        <w:ind w:left="567" w:hanging="567"/>
      </w:pPr>
      <w:r w:rsidRPr="003D4659">
        <w:t>51.</w:t>
      </w:r>
      <w:r w:rsidRPr="003D4659">
        <w:tab/>
        <w:t xml:space="preserve">megjegyzi, hogy a kiszolgáltatott helyzetben lévő személyek hozzáférésének és befogadásának javítására irányuló átfogó kezdeményezésének részeként az EUB folytatta a „beépített akadálymentesség” megközelítés alkalmazását informatikai rendszereinek bármilyen változása és fejlesztése tekintetében; megjegyzi, hogy a </w:t>
      </w:r>
      <w:proofErr w:type="spellStart"/>
      <w:r w:rsidRPr="003D4659">
        <w:t>Curia</w:t>
      </w:r>
      <w:proofErr w:type="spellEnd"/>
      <w:r w:rsidRPr="003D4659">
        <w:t xml:space="preserve"> weboldal 2023-as ellenőrzését követően az EUB technológiákat vezet be, hogy javítsa a honlap akadálymentességét a felhasználók széles köre, például a látássérültek, a hallássérültek vagy a tanulási fogyatékossággal élők számára; felkéri az EUB-t, hogy rendszeresen tájékoztassa a mentesítésért felelős hatóságot az ügy fejleményeiről;</w:t>
      </w:r>
    </w:p>
    <w:p w14:paraId="23A21495" w14:textId="77777777" w:rsidR="00F23A50" w:rsidRPr="003D4659" w:rsidRDefault="00F23A50" w:rsidP="00F23A50">
      <w:pPr>
        <w:pStyle w:val="NormalHanging12a"/>
        <w:ind w:left="0" w:firstLine="0"/>
        <w:rPr>
          <w:b/>
          <w:i/>
          <w:iCs/>
        </w:rPr>
      </w:pPr>
      <w:r w:rsidRPr="003D4659">
        <w:rPr>
          <w:b/>
          <w:i/>
          <w:iCs/>
        </w:rPr>
        <w:t>Épületek</w:t>
      </w:r>
    </w:p>
    <w:p w14:paraId="1BFC5F17" w14:textId="77777777" w:rsidR="00F23A50" w:rsidRPr="003D4659" w:rsidRDefault="00F23A50" w:rsidP="00F23A50">
      <w:pPr>
        <w:pStyle w:val="NormalHanging12a"/>
      </w:pPr>
      <w:r w:rsidRPr="003D4659">
        <w:t>52.</w:t>
      </w:r>
      <w:r w:rsidRPr="003D4659">
        <w:tab/>
        <w:t xml:space="preserve">a </w:t>
      </w:r>
      <w:proofErr w:type="spellStart"/>
      <w:r w:rsidRPr="003D4659">
        <w:t>nyomonkövetési</w:t>
      </w:r>
      <w:proofErr w:type="spellEnd"/>
      <w:r w:rsidRPr="003D4659">
        <w:t xml:space="preserve"> jelentés alapján megjegyzi, hogy az EUB épületeinek leghatékonyabb kihasználására irányuló két kísérleti projekt keretében 2024-ben számos munkaértekezletet tartottak, amelyek eredményeképpen kidolgozták az egyes </w:t>
      </w:r>
      <w:r w:rsidRPr="003D4659">
        <w:lastRenderedPageBreak/>
        <w:t xml:space="preserve">szolgálatok igényeihez igazított két elrendezést; megjegyzi, hogy e projektek nyomon követését felfüggesztették annak érdekében, hogy először is elegendő idő álljon rendelkezésre annak értékelésére, hogy a mesterséges intelligencia integrációja milyen hatással lehet az EUB munkamódszereire és végső soron a terek és az irodák használatára; </w:t>
      </w:r>
    </w:p>
    <w:p w14:paraId="3BD8A95B" w14:textId="77777777" w:rsidR="00F23A50" w:rsidRPr="003D4659" w:rsidRDefault="00F23A50" w:rsidP="00F23A50">
      <w:pPr>
        <w:pStyle w:val="NormalHanging12a"/>
      </w:pPr>
      <w:r w:rsidRPr="003D4659">
        <w:t>53.</w:t>
      </w:r>
      <w:r w:rsidRPr="003D4659">
        <w:tab/>
        <w:t>megjegyzi, hogy 2024-ben az EUB folytatta a fogyatékossággal élő személyek számára az akadálymentesítés és a befogadás javítására irányuló átfogó kezdeményezését; megjegyzi különösen, hogy az EUB hosszú távú cselekvési tervet dolgozott ki annak biztosítása érdekében, hogy épületei 2032. január 1-jéig megfeleljenek a luxemburgi jog által előírt jogi akadálymentességi előírásoknak; nagyra értékeli, hogy az EUB nyilvántartást készített az infrastruktúrája egyes részeinek helyreállítási pontjairól, és egy építészt bízott meg egy megvalósíthatósági tanulmány elkészítésével, amely meghatározza a szükséges intézkedéseket; felkéri az EUB-t, hogy rendszeresen tájékoztassa a mentesítésért felelős hatóságot az ügy fejleményeiről;</w:t>
      </w:r>
    </w:p>
    <w:p w14:paraId="01E5E426" w14:textId="77777777" w:rsidR="00F23A50" w:rsidRPr="003D4659" w:rsidRDefault="00F23A50" w:rsidP="00F23A50">
      <w:pPr>
        <w:pStyle w:val="NormalHanging12a"/>
        <w:ind w:left="0" w:firstLine="0"/>
        <w:rPr>
          <w:b/>
          <w:i/>
          <w:iCs/>
        </w:rPr>
      </w:pPr>
      <w:r w:rsidRPr="003D4659">
        <w:rPr>
          <w:b/>
          <w:i/>
          <w:iCs/>
        </w:rPr>
        <w:t>Környezetvédelem és fenntarthatóság</w:t>
      </w:r>
    </w:p>
    <w:p w14:paraId="6B6E4258" w14:textId="77777777" w:rsidR="00F23A50" w:rsidRPr="003D4659" w:rsidRDefault="00F23A50" w:rsidP="00F23A50">
      <w:pPr>
        <w:spacing w:after="240"/>
        <w:ind w:left="567" w:hanging="567"/>
      </w:pPr>
      <w:r w:rsidRPr="003D4659">
        <w:t>54.</w:t>
      </w:r>
      <w:r w:rsidRPr="003D4659">
        <w:tab/>
        <w:t>elismerését fejezi ki az EUB által a környezeti lábnyomának csökkentése terén 2024-ben tett folyamatos erőfeszítésekért és jelentős előrehaladásért, amint azt a környezetvédelmi vezetési és hitelesítési rendszer (EMAS) 2015. évi kiindulási alapjához viszonyított teljesítménye is mutatja, amely szerint a fogyasztás/kibocsátás számos típusa terén egy teljes munkaidős egyenértékre (FTA) vetítve csökkentést értek el (fűtés: -37,5 %; villamos energia: -29,3 %; papír: -64,2%, irodai és étkezdei hulladék: -40,4 %; üvegházhatásúgáz-kibocsátás: -26,7 %); megjegyzi, hogy a 2023-ra vonatkozóan bejelentett csökkentésekhez képest általános javulás tapasztalható; elismeri, hogy ezek az eredmények a piaci feltételekkel együtt az energiakiadások 18%-os csökkenését eredményezték az előrejelzésekhez képest; ezzel összefüggésben elismerését fejezi ki amiatt, hogy a fenntarthatóságot szilárdan beépítették az EUB kockázatkezelési és elszámoltathatósági keretébe, amint azt az EMAS-tanúsítvány megköveteli;</w:t>
      </w:r>
    </w:p>
    <w:p w14:paraId="7FF4212E" w14:textId="77777777" w:rsidR="00F23A50" w:rsidRPr="003D4659" w:rsidRDefault="00F23A50" w:rsidP="00F23A50">
      <w:pPr>
        <w:spacing w:after="240"/>
        <w:ind w:left="567" w:hanging="567"/>
      </w:pPr>
      <w:r w:rsidRPr="003D4659">
        <w:t>55.</w:t>
      </w:r>
      <w:r w:rsidRPr="003D4659">
        <w:tab/>
        <w:t>üdvözli az EUB épületei energiahatékonyságának növelésére irányuló 2024. évi jelentős beruházásokat, beleértve a széles körben felszerelt LED-világítás telepítésére fordított közel 1,5 millió EUR-t és az épületek szigetelésére elköltött több mint 0,4 millió EUR-t; megelégedéssel veszi tudomásul, hogy az összes vásárolt villamos energia megújuló forrásokból származott, és hogy a fűtést biomasszával működő távfűtési rendszer látja el; üdvözli, hogy az EUB kötelezettséget vállalt arra, hogy az villamosenergia-vásárlási megállapodásokban való tervezett részvételen keresztül időtállóvá teszi zöld energiával való ellátását;</w:t>
      </w:r>
    </w:p>
    <w:p w14:paraId="53A9D22D" w14:textId="77777777" w:rsidR="00F23A50" w:rsidRPr="003D4659" w:rsidRDefault="00F23A50" w:rsidP="00F23A50">
      <w:pPr>
        <w:spacing w:after="240"/>
        <w:ind w:left="567" w:hanging="567"/>
      </w:pPr>
      <w:r w:rsidRPr="003D4659">
        <w:t>56.</w:t>
      </w:r>
      <w:r w:rsidRPr="003D4659">
        <w:tab/>
        <w:t>elismerését fejezi ki az EUB-</w:t>
      </w:r>
      <w:proofErr w:type="spellStart"/>
      <w:r w:rsidRPr="003D4659">
        <w:t>nak</w:t>
      </w:r>
      <w:proofErr w:type="spellEnd"/>
      <w:r w:rsidRPr="003D4659">
        <w:t xml:space="preserve"> a fenntartható közbeszerzéssel kapcsolatos szigorú megközelítéséért, amely a környezetvédelmi záradékaik hatása („kismértékben környezetbarát”, „közepesen környezetbarát”, „rendkívül környezetbarát”) alapján osztályozza az ajánlati felhívásokat, rendszerszinten alkalmazza az olyan eszközöket, mint a kötelező „zöld teljesítmény” önértékelés, és konzultál az intézményközi SPP információs szolgálattal; megjegyzi, hogy 2024-ben nyolc, 60 000 EUR-t meghaladó értékű jelentős közbeszerzési eljárás volt „zöld beszerzés”, amelyek közül hat jelentős környezetvédelmi záradékokat tartalmazott; üdvözli különösen az új </w:t>
      </w:r>
      <w:proofErr w:type="spellStart"/>
      <w:r w:rsidRPr="003D4659">
        <w:t>cateringszerződés</w:t>
      </w:r>
      <w:proofErr w:type="spellEnd"/>
      <w:r w:rsidRPr="003D4659">
        <w:t xml:space="preserve"> sikeres végrehajtását, amely fenntartható élelmiszer-gyakorlatokat követel meg és rendelkezik az ISO 14001 tanúsítvánnyal, valamint üdvözli annak a célkitűzésnek az </w:t>
      </w:r>
      <w:r w:rsidRPr="003D4659">
        <w:lastRenderedPageBreak/>
        <w:t>elérését is, hogy a „kismértékben környezetbarát” ajánlatokat jóval az 50%-os cél alatt tartották;</w:t>
      </w:r>
    </w:p>
    <w:p w14:paraId="34F0FAEA" w14:textId="77777777" w:rsidR="00F23A50" w:rsidRPr="003D4659" w:rsidRDefault="00F23A50" w:rsidP="00F23A50">
      <w:pPr>
        <w:spacing w:after="240"/>
        <w:ind w:left="567" w:hanging="567"/>
      </w:pPr>
      <w:r w:rsidRPr="003D4659">
        <w:t>57.</w:t>
      </w:r>
      <w:r w:rsidRPr="003D4659">
        <w:tab/>
        <w:t>elismerését fejezi ki az EUB-</w:t>
      </w:r>
      <w:proofErr w:type="spellStart"/>
      <w:r w:rsidRPr="003D4659">
        <w:t>nak</w:t>
      </w:r>
      <w:proofErr w:type="spellEnd"/>
      <w:r w:rsidRPr="003D4659">
        <w:t xml:space="preserve"> a személyzetre és a tagokra vonatkozó átfogó és hatékony fenntartható mobilitási stratégiájáért; ezzel összefüggésben megjegyzi, hogy továbbra is támogatják a határokon átnyúló ingázásra igénybe vett tömegközlekedést és a </w:t>
      </w:r>
      <w:proofErr w:type="spellStart"/>
      <w:r w:rsidRPr="003D4659">
        <w:t>Vel’Oh</w:t>
      </w:r>
      <w:proofErr w:type="spellEnd"/>
      <w:r w:rsidRPr="003D4659">
        <w:t xml:space="preserve">! kerékpárprogramot, valamint a jelentős infrastrukturális fejlesztéseket hajtanak végre, beleértve azt is, hogy 2024-ben számos töltőpontot telepítettek elektromos és hibrid járművek számára; </w:t>
      </w:r>
    </w:p>
    <w:p w14:paraId="1BD6B26F" w14:textId="77777777" w:rsidR="00F23A50" w:rsidRPr="003D4659" w:rsidRDefault="00F23A50" w:rsidP="00F23A50">
      <w:pPr>
        <w:spacing w:after="240"/>
        <w:ind w:left="567" w:hanging="567"/>
      </w:pPr>
      <w:r w:rsidRPr="003D4659">
        <w:t>58.</w:t>
      </w:r>
      <w:r w:rsidRPr="003D4659">
        <w:tab/>
        <w:t>megjegyzi, hogy jelentős elmozdulás történt a fenntartható munkamódszerek felé, és az EUB tagjai az utazás elkerülése érdekében nagymértékben növelték a videokonferenciák használatát, amit azt is bizonyít, hogy 2024-ben 131 ilyen küldetés volt, szemben a 2019. évi mindössze hárommal; üdvözli továbbá az eljárások folyamatban lévő digitalizálását, ami a személyi nyomtatók 80%-</w:t>
      </w:r>
      <w:proofErr w:type="spellStart"/>
      <w:r w:rsidRPr="003D4659">
        <w:t>ának</w:t>
      </w:r>
      <w:proofErr w:type="spellEnd"/>
      <w:r w:rsidRPr="003D4659">
        <w:t xml:space="preserve"> eltávolításával együtt kiemelt szerepet játszott az EUB papírfogyasztásának drasztikus csökkentésében;</w:t>
      </w:r>
    </w:p>
    <w:p w14:paraId="1688147C" w14:textId="77777777" w:rsidR="00F23A50" w:rsidRPr="003D4659" w:rsidRDefault="00F23A50" w:rsidP="00F23A50">
      <w:pPr>
        <w:pStyle w:val="NormalHanging12a"/>
        <w:rPr>
          <w:b/>
          <w:i/>
          <w:iCs/>
        </w:rPr>
      </w:pPr>
      <w:r w:rsidRPr="003D4659">
        <w:rPr>
          <w:b/>
          <w:i/>
          <w:iCs/>
        </w:rPr>
        <w:t>Intézményközi együttműködés</w:t>
      </w:r>
    </w:p>
    <w:p w14:paraId="7D868972" w14:textId="77777777" w:rsidR="00F23A50" w:rsidRPr="003D4659" w:rsidRDefault="00F23A50" w:rsidP="00F23A50">
      <w:pPr>
        <w:pStyle w:val="NormalHanging12a"/>
      </w:pPr>
      <w:r w:rsidRPr="003D4659">
        <w:t>59.</w:t>
      </w:r>
      <w:r w:rsidRPr="003D4659">
        <w:tab/>
        <w:t>megjegyzi a más intézményekkel folytatott együttműködést és különösen a Bizottsággal kötött, szolgáltatási szintre vonatkozó megállapodásokon alapuló megosztott alkalmazásokat és tárhelyszolgáltatásokat, valamint az intézményközi közbeszerzési eljárásokban való részvételt, amelyek lehetővé tették az EUB számára a költségek és az erőforrások optimalizálását; elismeri az EUB uniós intézmények, szervek és hivatalok hálózatbiztonsági vészhelyzeteket elhárító csoportjával (CERT-EU-</w:t>
      </w:r>
      <w:proofErr w:type="spellStart"/>
      <w:r w:rsidRPr="003D4659">
        <w:t>val</w:t>
      </w:r>
      <w:proofErr w:type="spellEnd"/>
      <w:r w:rsidRPr="003D4659">
        <w:t xml:space="preserve">) és az Európai Uniós </w:t>
      </w:r>
      <w:proofErr w:type="spellStart"/>
      <w:r w:rsidRPr="003D4659">
        <w:t>Kiberbiztonsági</w:t>
      </w:r>
      <w:proofErr w:type="spellEnd"/>
      <w:r w:rsidRPr="003D4659">
        <w:t xml:space="preserve"> Ügynökséggel (ENISA-</w:t>
      </w:r>
      <w:proofErr w:type="spellStart"/>
      <w:r w:rsidRPr="003D4659">
        <w:t>val</w:t>
      </w:r>
      <w:proofErr w:type="spellEnd"/>
      <w:r w:rsidRPr="003D4659">
        <w:t>) folytatott intézményközi együttműködésének fontosságát, beleértve az eszközökkel, módszertanokkal és tudatossággal foglalkozó technikai tanácsadó csoportokban, valamint a CERT-EU generatív MI-kezdeményezésében való részvételt;</w:t>
      </w:r>
    </w:p>
    <w:p w14:paraId="2D53E7A8" w14:textId="77777777" w:rsidR="00F23A50" w:rsidRPr="003D4659" w:rsidRDefault="00F23A50" w:rsidP="00F23A50">
      <w:pPr>
        <w:pStyle w:val="NormalHanging12a"/>
      </w:pPr>
      <w:r w:rsidRPr="003D4659">
        <w:t>60.</w:t>
      </w:r>
      <w:r w:rsidRPr="003D4659">
        <w:tab/>
        <w:t>megjegyzi, hogy az EUB számos szolgáltatási szintre vonatkozó megállapodást kötött az informatikai infrastruktúra karbantartására, HR-eszközök használatára, egyes egyéni jogosultságok kifizetésére és a HAN/</w:t>
      </w:r>
      <w:proofErr w:type="spellStart"/>
      <w:r w:rsidRPr="003D4659">
        <w:t>Ares</w:t>
      </w:r>
      <w:proofErr w:type="spellEnd"/>
      <w:r w:rsidRPr="003D4659">
        <w:t xml:space="preserve"> dokumentumkezelő rendszer használatára vonatkozóan; üdvözli a más uniós intézmények fordítószolgálataival kötött éves finanszírozási megállapodás megújítását; megjegyzi, hogy 2024-ben két egyetértési megállapodást írt alá a Bizottsággal és a Parlamenttel: egyetértési megállapodás az intézményközi akkreditációs vizsgák esetében a távoli tesztelési eszközzel lebonyolított vizsgák alkalmazásával kapcsolatos pénzügyi </w:t>
      </w:r>
      <w:proofErr w:type="spellStart"/>
      <w:r w:rsidRPr="003D4659">
        <w:t>terhek</w:t>
      </w:r>
      <w:proofErr w:type="spellEnd"/>
      <w:r w:rsidRPr="003D4659">
        <w:t xml:space="preserve"> megosztásáról, valamint egyetértési megállapodás a tolmácsolási szolgálatok közös tájékoztatási tevékenységeivel kapcsolatos költségek megosztásáról;</w:t>
      </w:r>
    </w:p>
    <w:p w14:paraId="06EADAA5" w14:textId="77777777" w:rsidR="00F23A50" w:rsidRPr="003D4659" w:rsidRDefault="00F23A50" w:rsidP="00F23A50">
      <w:pPr>
        <w:pStyle w:val="NormalHanging12a"/>
      </w:pPr>
      <w:r w:rsidRPr="003D4659">
        <w:t>61.</w:t>
      </w:r>
      <w:r w:rsidRPr="003D4659">
        <w:tab/>
        <w:t xml:space="preserve">nagyra értékeli, hogy az EUB teljes mértékben együttműködik az Európai Csalás Elleni Hivatallal (OLAF), a Számvevőszékkel, az európai adatvédelmi biztossal és az európai ombudsmannal; tudomásul veszi az EUB és az Európai Igazságügyi Képzési Hálózat (EJTN) közötti partnerséget, amely segíti az EUB-t a közös igazságügyi kultúra Unió-szerte történő előmozdítására irányuló munkájában, biztosítva az uniós jog következetes és egységes alkalmazását valamennyi tagállamban, valamint megerősítve a nemzeti igazságszolgáltatási szervek és az EUB közötti kölcsönös bizalmat; ezzel összefüggésben nagyra értékeli, hogy éves találkozókat szerveznek a nemzeti bíróságok kapcsolattartóival és a tematikus csoportokkal, hogy </w:t>
      </w:r>
      <w:proofErr w:type="spellStart"/>
      <w:r w:rsidRPr="003D4659">
        <w:t>webináriumokat</w:t>
      </w:r>
      <w:proofErr w:type="spellEnd"/>
      <w:r w:rsidRPr="003D4659">
        <w:t xml:space="preserve"> tartanak, valamint hogy az EUB képviselői és a nemzeti bíróságok látogatásokat tesznek egymásnál; 2024-</w:t>
      </w:r>
      <w:r w:rsidRPr="003D4659">
        <w:lastRenderedPageBreak/>
        <w:t xml:space="preserve">re vonatkozóan megemlíti különösen az EJTN kapcsolattartóinak Brüsszelben tartott éves ülését, a Törvényszék küldöttségének varsói látogatását, valamint a </w:t>
      </w:r>
      <w:proofErr w:type="spellStart"/>
      <w:r w:rsidRPr="003D4659">
        <w:t>bírák</w:t>
      </w:r>
      <w:proofErr w:type="spellEnd"/>
      <w:r w:rsidRPr="003D4659">
        <w:t xml:space="preserve"> éves találkozóját, amelynek keretében a 2004-es bővítés 20. évfordulója alkalmából különleges konferenciát tartottak az EUB-ban; a </w:t>
      </w:r>
      <w:proofErr w:type="spellStart"/>
      <w:r w:rsidRPr="003D4659">
        <w:t>nyomonkövetési</w:t>
      </w:r>
      <w:proofErr w:type="spellEnd"/>
      <w:r w:rsidRPr="003D4659">
        <w:t xml:space="preserve"> jelentés alapján megjegyzi azt is, hogy 2024-ben több bíró vett részt szemináriumokon, és három új tagállam nemzeti igazságügyi szakemberei nyújtották be első alkalommal pályázatukat az EUB hosszú távú képzési programjaira;</w:t>
      </w:r>
    </w:p>
    <w:p w14:paraId="7AD2B1C5" w14:textId="77777777" w:rsidR="00F23A50" w:rsidRPr="003D4659" w:rsidRDefault="00F23A50" w:rsidP="00F23A50">
      <w:pPr>
        <w:pStyle w:val="NormalHanging12a"/>
      </w:pPr>
      <w:r w:rsidRPr="003D4659">
        <w:t>62.</w:t>
      </w:r>
      <w:r w:rsidRPr="003D4659">
        <w:tab/>
        <w:t>üdvözli, hogy az EUB és a Parlament úgy határozott, hogy éves üléseket tart, amelyek célja olyan közös érdekű témákról folytatott párbeszédek lefolytatása, mint az igazgatás, az igazságszolgáltatási rendszer javításának lehetősége vagy a jogállamiság polgárok általi megítélése; megjegyzi, hogy az első ilyen ülésre 2024 márciusában került sor;</w:t>
      </w:r>
    </w:p>
    <w:p w14:paraId="7FFADDDB" w14:textId="77777777" w:rsidR="00F23A50" w:rsidRPr="003D4659" w:rsidRDefault="00F23A50" w:rsidP="00F23A50">
      <w:pPr>
        <w:pStyle w:val="NormalHanging12a"/>
        <w:ind w:left="0" w:firstLine="0"/>
        <w:rPr>
          <w:b/>
          <w:i/>
          <w:iCs/>
        </w:rPr>
      </w:pPr>
      <w:r w:rsidRPr="003D4659">
        <w:rPr>
          <w:b/>
          <w:i/>
          <w:iCs/>
        </w:rPr>
        <w:t>Kommunikáció</w:t>
      </w:r>
    </w:p>
    <w:p w14:paraId="561E0E2C" w14:textId="2D32DDBB" w:rsidR="00F23A50" w:rsidRPr="003D4659" w:rsidRDefault="00F23A50" w:rsidP="00F23A50">
      <w:pPr>
        <w:pStyle w:val="NormalHanging12a"/>
      </w:pPr>
      <w:r w:rsidRPr="003D4659">
        <w:t>63.</w:t>
      </w:r>
      <w:r w:rsidRPr="003D4659">
        <w:tab/>
        <w:t>megjegyzi, hogy az EUB rendszeresen szervez látogatásokat, és 2024-ben összesen 16 319 látogatót regisztrált; megjegyzi, hogy e látogatók közül mintegy 2</w:t>
      </w:r>
      <w:r w:rsidR="0079316C" w:rsidRPr="003D4659">
        <w:t> </w:t>
      </w:r>
      <w:r w:rsidRPr="003D4659">
        <w:t>500 vett részt az EUB nyílt napján abban az évben; megjegyzi továbbá, hogy a rendszeres látogatások mellett az EUB virtuális látogatásokat is szervez; megjegyzi, hogy 2024-ben az EUB összes látogatójának 7%-a virtuális látogató volt, akiknek 43%-a diák;</w:t>
      </w:r>
    </w:p>
    <w:p w14:paraId="5A129250" w14:textId="77777777" w:rsidR="00F23A50" w:rsidRPr="003D4659" w:rsidRDefault="00F23A50" w:rsidP="00F23A50">
      <w:pPr>
        <w:pStyle w:val="NormalHanging12a"/>
      </w:pPr>
      <w:r w:rsidRPr="003D4659">
        <w:t>64.</w:t>
      </w:r>
      <w:r w:rsidRPr="003D4659">
        <w:tab/>
        <w:t xml:space="preserve">megjegyzi, hogy 2024-ban az EUB fokozta az uniós polgárokkal való együttműködésre irányuló erőfeszítéseit azáltal, hogy fokozta a közösségi médiában való jelenlétét; megjegyzi, hogy 2024 végén az EUB </w:t>
      </w:r>
      <w:proofErr w:type="spellStart"/>
      <w:r w:rsidRPr="003D4659">
        <w:t>LinkedIn</w:t>
      </w:r>
      <w:proofErr w:type="spellEnd"/>
      <w:r w:rsidRPr="003D4659">
        <w:t xml:space="preserve">-fiókja feliratkozóinak száma 26%-kal, az EUB két X-fiókja (korábban </w:t>
      </w:r>
      <w:proofErr w:type="spellStart"/>
      <w:r w:rsidRPr="003D4659">
        <w:t>Twitter</w:t>
      </w:r>
      <w:proofErr w:type="spellEnd"/>
      <w:r w:rsidRPr="003D4659">
        <w:t>) követőinek száma pedig 2,5%-kal nőtt, míg YouTube-csatornájának nézettsége 137%-kal, a YouTube-feliratkozóinak száma pedig több mint 329%-kal emelkedett az előző évhez képest; megjegyzi, hogy a megtekintések és a feliratkozók számának parabolikus növekedése részben az EUB által szervezett promóciós kampánynak tudható be;</w:t>
      </w:r>
    </w:p>
    <w:p w14:paraId="1583E939" w14:textId="77777777" w:rsidR="00F23A50" w:rsidRPr="003D4659" w:rsidRDefault="00F23A50" w:rsidP="00F23A50">
      <w:pPr>
        <w:pStyle w:val="NormalHanging12a"/>
      </w:pPr>
      <w:r w:rsidRPr="003D4659">
        <w:t>65.</w:t>
      </w:r>
      <w:r w:rsidRPr="003D4659">
        <w:tab/>
        <w:t xml:space="preserve">megjegyzi, hogy 2024-ben az EUB tanulmányt készített közösségimédia-jelenlétének bővítéséről, ami ahhoz a döntéshez vezetett, hogy 2025-ben fiókokat nyitnak az Instagramon, a </w:t>
      </w:r>
      <w:proofErr w:type="spellStart"/>
      <w:r w:rsidRPr="003D4659">
        <w:t>Bluesky</w:t>
      </w:r>
      <w:proofErr w:type="spellEnd"/>
      <w:r w:rsidRPr="003D4659">
        <w:t xml:space="preserve">-n, a </w:t>
      </w:r>
      <w:proofErr w:type="spellStart"/>
      <w:r w:rsidRPr="003D4659">
        <w:t>Threads</w:t>
      </w:r>
      <w:proofErr w:type="spellEnd"/>
      <w:r w:rsidRPr="003D4659">
        <w:t>-en és a WhatsApp-on;</w:t>
      </w:r>
    </w:p>
    <w:p w14:paraId="0096E13D" w14:textId="690923CF" w:rsidR="00C831C9" w:rsidRPr="00C831C9" w:rsidRDefault="00F23A50" w:rsidP="00C831C9">
      <w:pPr>
        <w:pStyle w:val="NormalHanging12a"/>
      </w:pPr>
      <w:r w:rsidRPr="003D4659">
        <w:t>66.</w:t>
      </w:r>
      <w:r w:rsidRPr="003D4659">
        <w:tab/>
        <w:t>elismeréssel veszi tudomásul az EUB egyéb kiemelt fontosságú intézkedéseit és terveit, amelyek célja az átláthatóság és a hozzáférhetőség javítása, valamint a jogi szakemberek, a média és a nyilvánosság (köztük a fiatalabb generációk) igényeinek kielégítése, mint például az EUB honlapjának egy új (egyetlen) keresőmotor bevezetésével történő átalakítása, az EUB munkájával és határozataival kapcsolatos tartalmakat tartalmazó új többnyelvű webtelevíziós platform elindítása, videók közzététele a közösségi médiában, az EUB sajtóközleményeiben használt nyelvezet egyszerűsítése, valamint az EUB éves jelentésének felülvizsgálata az ítélkezési gyakorlat egyértelműbb áttekintése és statisztikák biztosítása érdekében.</w:t>
      </w:r>
    </w:p>
    <w:p w14:paraId="65DE0B54" w14:textId="33D357F3" w:rsidR="00E365E1" w:rsidRPr="00C831C9" w:rsidRDefault="00E365E1" w:rsidP="00DE5A94"/>
    <w:sectPr w:rsidR="00E365E1" w:rsidRPr="00C831C9" w:rsidSect="00C831C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FB391" w14:textId="77777777" w:rsidR="00DE5A94" w:rsidRPr="00C831C9" w:rsidRDefault="00DE5A94">
      <w:r w:rsidRPr="00C831C9">
        <w:separator/>
      </w:r>
    </w:p>
  </w:endnote>
  <w:endnote w:type="continuationSeparator" w:id="0">
    <w:p w14:paraId="73285DA5" w14:textId="77777777" w:rsidR="00DE5A94" w:rsidRPr="00C831C9" w:rsidRDefault="00DE5A94">
      <w:r w:rsidRPr="00C831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8CED" w14:textId="77777777" w:rsidR="00F23A50" w:rsidRPr="00C831C9" w:rsidRDefault="00F23A50" w:rsidP="00C605BE">
    <w:pPr>
      <w:pStyle w:val="EPFooter"/>
    </w:pPr>
    <w:r w:rsidRPr="00C831C9">
      <w:t>PE</w:t>
    </w:r>
    <w:r w:rsidRPr="00C831C9">
      <w:rPr>
        <w:rStyle w:val="HideTWBExt"/>
      </w:rPr>
      <w:t>&lt;NoPE&gt;</w:t>
    </w:r>
    <w:r w:rsidRPr="00C831C9">
      <w:t>778.060</w:t>
    </w:r>
    <w:r w:rsidRPr="00C831C9">
      <w:rPr>
        <w:rStyle w:val="HideTWBExt"/>
      </w:rPr>
      <w:t>&lt;/NoPE&gt;&lt;Version&gt;</w:t>
    </w:r>
    <w:r w:rsidRPr="00C831C9">
      <w:t>v02-00</w:t>
    </w:r>
    <w:r w:rsidRPr="00C831C9">
      <w:rPr>
        <w:rStyle w:val="HideTWBExt"/>
      </w:rPr>
      <w:t>&lt;/Version&gt;</w:t>
    </w:r>
    <w:r w:rsidRPr="00C831C9">
      <w:tab/>
    </w:r>
    <w:r w:rsidRPr="00C831C9">
      <w:fldChar w:fldCharType="begin"/>
    </w:r>
    <w:r w:rsidRPr="00C831C9">
      <w:instrText xml:space="preserve"> PAGE  \* MERGEFORMAT </w:instrText>
    </w:r>
    <w:r w:rsidRPr="00C831C9">
      <w:fldChar w:fldCharType="separate"/>
    </w:r>
    <w:r w:rsidRPr="00C831C9">
      <w:rPr>
        <w:noProof/>
      </w:rPr>
      <w:t>1</w:t>
    </w:r>
    <w:r w:rsidRPr="00C831C9">
      <w:fldChar w:fldCharType="end"/>
    </w:r>
    <w:r w:rsidRPr="00C831C9">
      <w:t>/</w:t>
    </w:r>
    <w:fldSimple w:instr=" NUMPAGES  \* MERGEFORMAT ">
      <w:r w:rsidRPr="00C831C9">
        <w:rPr>
          <w:noProof/>
        </w:rPr>
        <w:t>1</w:t>
      </w:r>
    </w:fldSimple>
    <w:r w:rsidRPr="00C831C9">
      <w:tab/>
    </w:r>
    <w:r w:rsidRPr="00C831C9">
      <w:rPr>
        <w:rStyle w:val="HideTWBExt"/>
      </w:rPr>
      <w:t>&lt;PathFdR&gt;</w:t>
    </w:r>
    <w:r w:rsidRPr="00C831C9">
      <w:t>RR\1339440HU.docx</w:t>
    </w:r>
    <w:r w:rsidRPr="00C831C9">
      <w:rPr>
        <w:rStyle w:val="HideTWBExt"/>
      </w:rPr>
      <w:t>&lt;/PathFdR&gt;</w:t>
    </w:r>
  </w:p>
  <w:p w14:paraId="45404E8B" w14:textId="77777777" w:rsidR="00F23A50" w:rsidRPr="00C831C9" w:rsidRDefault="00F23A50" w:rsidP="00C605BE">
    <w:pPr>
      <w:pStyle w:val="EPFooter2"/>
    </w:pPr>
    <w:r w:rsidRPr="00C831C9">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91026" w14:textId="77777777" w:rsidR="00F23A50" w:rsidRPr="00C831C9" w:rsidRDefault="00F23A50" w:rsidP="00C605BE">
    <w:pPr>
      <w:pStyle w:val="EPFooter"/>
    </w:pPr>
    <w:r w:rsidRPr="00C831C9">
      <w:rPr>
        <w:rStyle w:val="HideTWBExt"/>
      </w:rPr>
      <w:t>&lt;PathFdR&gt;</w:t>
    </w:r>
    <w:r w:rsidRPr="00C831C9">
      <w:t>RR\1339440HU.docx</w:t>
    </w:r>
    <w:r w:rsidRPr="00C831C9">
      <w:rPr>
        <w:rStyle w:val="HideTWBExt"/>
      </w:rPr>
      <w:t>&lt;/PathFdR&gt;</w:t>
    </w:r>
    <w:r w:rsidRPr="00C831C9">
      <w:tab/>
    </w:r>
    <w:r w:rsidRPr="00C831C9">
      <w:tab/>
      <w:t>PE</w:t>
    </w:r>
    <w:r w:rsidRPr="00C831C9">
      <w:rPr>
        <w:rStyle w:val="HideTWBExt"/>
      </w:rPr>
      <w:t>&lt;NoPE&gt;</w:t>
    </w:r>
    <w:r w:rsidRPr="00C831C9">
      <w:t>778.060</w:t>
    </w:r>
    <w:r w:rsidRPr="00C831C9">
      <w:rPr>
        <w:rStyle w:val="HideTWBExt"/>
      </w:rPr>
      <w:t>&lt;/NoPE&gt;&lt;Version&gt;</w:t>
    </w:r>
    <w:r w:rsidRPr="00C831C9">
      <w:t>v02-00</w:t>
    </w:r>
    <w:r w:rsidRPr="00C831C9">
      <w:rPr>
        <w:rStyle w:val="HideTWBExt"/>
      </w:rPr>
      <w:t>&lt;/Version&gt;</w:t>
    </w:r>
  </w:p>
  <w:p w14:paraId="132D6623" w14:textId="77777777" w:rsidR="00F23A50" w:rsidRPr="00C831C9" w:rsidRDefault="00F23A50" w:rsidP="00C605BE">
    <w:pPr>
      <w:pStyle w:val="EPFooter2"/>
    </w:pPr>
    <w:r w:rsidRPr="00C831C9">
      <w:t>HU</w:t>
    </w:r>
    <w:r w:rsidRPr="00C831C9">
      <w:tab/>
    </w:r>
    <w:r w:rsidRPr="00C831C9">
      <w:rPr>
        <w:b w:val="0"/>
        <w:i/>
        <w:color w:val="C0C0C0"/>
        <w:sz w:val="22"/>
      </w:rPr>
      <w:t>Egyesülve a sokféleségben</w:t>
    </w:r>
    <w:r w:rsidRPr="00C831C9">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A014" w14:textId="77777777" w:rsidR="00064002" w:rsidRPr="00C831C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2CCAE" w14:textId="77777777" w:rsidR="00064002" w:rsidRPr="00C831C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C4365" w14:textId="77777777" w:rsidR="00064002" w:rsidRPr="00C831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09750" w14:textId="77777777" w:rsidR="00DE5A94" w:rsidRPr="00C831C9" w:rsidRDefault="00DE5A94">
      <w:r w:rsidRPr="00C831C9">
        <w:separator/>
      </w:r>
    </w:p>
  </w:footnote>
  <w:footnote w:type="continuationSeparator" w:id="0">
    <w:p w14:paraId="44108CE3" w14:textId="77777777" w:rsidR="00DE5A94" w:rsidRPr="00C831C9" w:rsidRDefault="00DE5A94">
      <w:r w:rsidRPr="00C831C9">
        <w:continuationSeparator/>
      </w:r>
    </w:p>
  </w:footnote>
  <w:footnote w:id="1">
    <w:p w14:paraId="69F0DE9E" w14:textId="2E8F7505" w:rsidR="00F23A50" w:rsidRPr="00C831C9" w:rsidRDefault="00F23A50" w:rsidP="00C831C9">
      <w:pPr>
        <w:pStyle w:val="FootnoteText"/>
        <w:ind w:left="567" w:hanging="567"/>
        <w:rPr>
          <w:sz w:val="24"/>
          <w:lang w:val="hu-HU"/>
        </w:rPr>
      </w:pPr>
      <w:r w:rsidRPr="00C831C9">
        <w:rPr>
          <w:rStyle w:val="FootnoteReference"/>
          <w:sz w:val="24"/>
          <w:lang w:val="hu-HU"/>
        </w:rPr>
        <w:footnoteRef/>
      </w:r>
      <w:r w:rsidR="00C831C9" w:rsidRPr="00C831C9">
        <w:rPr>
          <w:sz w:val="24"/>
          <w:lang w:val="hu-HU"/>
        </w:rPr>
        <w:t xml:space="preserve"> </w:t>
      </w:r>
      <w:r w:rsidR="00C831C9" w:rsidRPr="00C831C9">
        <w:rPr>
          <w:sz w:val="24"/>
          <w:lang w:val="hu-HU"/>
        </w:rPr>
        <w:tab/>
      </w:r>
      <w:r w:rsidRPr="00C831C9">
        <w:rPr>
          <w:sz w:val="24"/>
          <w:lang w:val="hu-HU"/>
        </w:rPr>
        <w:t>HL L</w:t>
      </w:r>
      <w:r w:rsidR="004109C0">
        <w:rPr>
          <w:sz w:val="24"/>
          <w:lang w:val="hu-HU"/>
        </w:rPr>
        <w:t>,</w:t>
      </w:r>
      <w:r w:rsidRPr="00C831C9">
        <w:rPr>
          <w:sz w:val="24"/>
          <w:lang w:val="hu-HU"/>
        </w:rPr>
        <w:t> </w:t>
      </w:r>
      <w:r w:rsidR="008729D6">
        <w:rPr>
          <w:sz w:val="24"/>
          <w:lang w:val="hu-HU"/>
        </w:rPr>
        <w:t>2024/</w:t>
      </w:r>
      <w:r w:rsidRPr="00C831C9">
        <w:rPr>
          <w:sz w:val="24"/>
          <w:lang w:val="hu-HU"/>
        </w:rPr>
        <w:t xml:space="preserve">207, 2024.2.22., ELI: </w:t>
      </w:r>
      <w:hyperlink r:id="rId1" w:history="1">
        <w:r w:rsidRPr="00C831C9">
          <w:rPr>
            <w:rStyle w:val="Hyperlink"/>
            <w:sz w:val="24"/>
            <w:lang w:val="hu-HU"/>
          </w:rPr>
          <w:t>http://data.europa.eu/eli/budget/2024/207/oj</w:t>
        </w:r>
      </w:hyperlink>
      <w:r w:rsidRPr="00C831C9">
        <w:rPr>
          <w:sz w:val="24"/>
          <w:lang w:val="hu-HU"/>
        </w:rPr>
        <w:t>.</w:t>
      </w:r>
    </w:p>
  </w:footnote>
  <w:footnote w:id="2">
    <w:p w14:paraId="589949B6" w14:textId="6746883D" w:rsidR="00F23A50" w:rsidRPr="00C831C9" w:rsidRDefault="00F23A50" w:rsidP="00C831C9">
      <w:pPr>
        <w:pStyle w:val="FootnoteText"/>
        <w:ind w:left="567" w:hanging="567"/>
        <w:rPr>
          <w:sz w:val="24"/>
          <w:lang w:val="hu-HU"/>
        </w:rPr>
      </w:pPr>
      <w:r w:rsidRPr="00C831C9">
        <w:rPr>
          <w:rStyle w:val="FootnoteReference"/>
          <w:sz w:val="24"/>
          <w:lang w:val="hu-HU"/>
        </w:rPr>
        <w:footnoteRef/>
      </w:r>
      <w:r w:rsidR="00C831C9" w:rsidRPr="00C831C9">
        <w:rPr>
          <w:sz w:val="24"/>
          <w:lang w:val="hu-HU"/>
        </w:rPr>
        <w:t xml:space="preserve"> </w:t>
      </w:r>
      <w:r w:rsidR="00C831C9" w:rsidRPr="00C831C9">
        <w:rPr>
          <w:sz w:val="24"/>
          <w:lang w:val="hu-HU"/>
        </w:rPr>
        <w:tab/>
      </w:r>
      <w:r w:rsidRPr="00C831C9">
        <w:rPr>
          <w:sz w:val="24"/>
          <w:lang w:val="hu-HU"/>
        </w:rPr>
        <w:t>HL C, C/2025/4944, 2025.10.13., ELI: </w:t>
      </w:r>
      <w:hyperlink r:id="rId2" w:tgtFrame="_blank" w:tooltip="Gives access to this document through its ELI URI." w:history="1">
        <w:r w:rsidRPr="00C831C9">
          <w:rPr>
            <w:rStyle w:val="Hyperlink"/>
            <w:sz w:val="24"/>
            <w:lang w:val="hu-HU"/>
          </w:rPr>
          <w:t>http://data.europa.eu/eli/C/2025/4944/oj</w:t>
        </w:r>
      </w:hyperlink>
      <w:r w:rsidRPr="00C831C9">
        <w:rPr>
          <w:sz w:val="24"/>
          <w:lang w:val="hu-HU"/>
        </w:rPr>
        <w:t>.</w:t>
      </w:r>
    </w:p>
  </w:footnote>
  <w:footnote w:id="3">
    <w:p w14:paraId="0BAD9DB1" w14:textId="26A54897" w:rsidR="00F23A50" w:rsidRPr="00C831C9" w:rsidRDefault="00F23A50" w:rsidP="00C831C9">
      <w:pPr>
        <w:pStyle w:val="FootnoteText"/>
        <w:ind w:left="567" w:hanging="567"/>
        <w:rPr>
          <w:sz w:val="24"/>
          <w:lang w:val="hu-HU"/>
        </w:rPr>
      </w:pPr>
      <w:r w:rsidRPr="00C831C9">
        <w:rPr>
          <w:rStyle w:val="FootnoteReference"/>
          <w:sz w:val="24"/>
          <w:lang w:val="hu-HU"/>
        </w:rPr>
        <w:footnoteRef/>
      </w:r>
      <w:r w:rsidR="00C831C9" w:rsidRPr="00C831C9">
        <w:rPr>
          <w:sz w:val="24"/>
          <w:lang w:val="hu-HU"/>
        </w:rPr>
        <w:t xml:space="preserve"> </w:t>
      </w:r>
      <w:r w:rsidR="00C831C9" w:rsidRPr="00C831C9">
        <w:rPr>
          <w:sz w:val="24"/>
          <w:lang w:val="hu-HU"/>
        </w:rPr>
        <w:tab/>
      </w:r>
      <w:r w:rsidRPr="00C831C9">
        <w:rPr>
          <w:sz w:val="24"/>
          <w:lang w:val="hu-HU"/>
        </w:rPr>
        <w:t xml:space="preserve">HL C, C/2025/5409, 2025.10.8., ELI: </w:t>
      </w:r>
      <w:hyperlink r:id="rId3" w:history="1">
        <w:r w:rsidRPr="00C831C9">
          <w:rPr>
            <w:rStyle w:val="Hyperlink"/>
            <w:sz w:val="24"/>
            <w:lang w:val="hu-HU"/>
          </w:rPr>
          <w:t>http://data.europa.eu/eli/C/2025/5409/oj</w:t>
        </w:r>
      </w:hyperlink>
      <w:r w:rsidRPr="00C831C9">
        <w:rPr>
          <w:sz w:val="24"/>
          <w:lang w:val="hu-HU"/>
        </w:rPr>
        <w:t>.</w:t>
      </w:r>
    </w:p>
  </w:footnote>
  <w:footnote w:id="4">
    <w:p w14:paraId="1E874939" w14:textId="50791F52" w:rsidR="00F23A50" w:rsidRPr="00C831C9" w:rsidRDefault="00F23A50" w:rsidP="00C831C9">
      <w:pPr>
        <w:pStyle w:val="FootnoteText"/>
        <w:ind w:left="567" w:hanging="567"/>
        <w:rPr>
          <w:sz w:val="24"/>
          <w:lang w:val="hu-HU"/>
        </w:rPr>
      </w:pPr>
      <w:r w:rsidRPr="00C831C9">
        <w:rPr>
          <w:rStyle w:val="FootnoteReference"/>
          <w:sz w:val="24"/>
          <w:lang w:val="hu-HU"/>
        </w:rPr>
        <w:footnoteRef/>
      </w:r>
      <w:r w:rsidR="00C831C9" w:rsidRPr="00C831C9">
        <w:rPr>
          <w:sz w:val="24"/>
          <w:lang w:val="hu-HU"/>
        </w:rPr>
        <w:t xml:space="preserve"> </w:t>
      </w:r>
      <w:r w:rsidR="00C831C9" w:rsidRPr="00C831C9">
        <w:rPr>
          <w:sz w:val="24"/>
          <w:lang w:val="hu-HU"/>
        </w:rPr>
        <w:tab/>
      </w:r>
      <w:r w:rsidRPr="00C831C9">
        <w:rPr>
          <w:sz w:val="24"/>
          <w:lang w:val="hu-HU"/>
        </w:rPr>
        <w:t xml:space="preserve">HL C, C/2025/5407, 2025.10.13., ELI: </w:t>
      </w:r>
      <w:hyperlink r:id="rId4" w:history="1">
        <w:r w:rsidRPr="00C831C9">
          <w:rPr>
            <w:rStyle w:val="Hyperlink"/>
            <w:sz w:val="24"/>
            <w:lang w:val="hu-HU"/>
          </w:rPr>
          <w:t>http://data.europa.eu/eli/C/2025/5407/oj</w:t>
        </w:r>
      </w:hyperlink>
      <w:r w:rsidRPr="00C831C9">
        <w:rPr>
          <w:sz w:val="24"/>
          <w:lang w:val="hu-HU"/>
        </w:rPr>
        <w:t>.</w:t>
      </w:r>
    </w:p>
  </w:footnote>
  <w:footnote w:id="5">
    <w:p w14:paraId="4710D2D8" w14:textId="693E8E20" w:rsidR="00F23A50" w:rsidRPr="00C831C9" w:rsidRDefault="00F23A50" w:rsidP="00C831C9">
      <w:pPr>
        <w:pStyle w:val="FootnoteText"/>
        <w:ind w:left="567" w:hanging="567"/>
        <w:rPr>
          <w:sz w:val="24"/>
          <w:lang w:val="hu-HU"/>
        </w:rPr>
      </w:pPr>
      <w:r w:rsidRPr="00C831C9">
        <w:rPr>
          <w:rStyle w:val="FootnoteReference"/>
          <w:sz w:val="24"/>
          <w:lang w:val="hu-HU"/>
        </w:rPr>
        <w:footnoteRef/>
      </w:r>
      <w:r w:rsidR="00C831C9" w:rsidRPr="00C831C9">
        <w:rPr>
          <w:sz w:val="24"/>
          <w:lang w:val="hu-HU"/>
        </w:rPr>
        <w:t xml:space="preserve"> </w:t>
      </w:r>
      <w:r w:rsidR="00C831C9" w:rsidRPr="00C831C9">
        <w:rPr>
          <w:sz w:val="24"/>
          <w:lang w:val="hu-HU"/>
        </w:rPr>
        <w:tab/>
      </w:r>
      <w:r w:rsidRPr="00C831C9">
        <w:rPr>
          <w:sz w:val="24"/>
          <w:lang w:val="hu-HU"/>
        </w:rPr>
        <w:t xml:space="preserve">HL L 193., 2018.7.30., 1. o., ELI: </w:t>
      </w:r>
      <w:hyperlink r:id="rId5" w:history="1">
        <w:r w:rsidRPr="00C831C9">
          <w:rPr>
            <w:rStyle w:val="Hyperlink"/>
            <w:sz w:val="24"/>
            <w:lang w:val="hu-HU"/>
          </w:rPr>
          <w:t>http://data.europa.eu/eli/reg/2018/1046/oj</w:t>
        </w:r>
      </w:hyperlink>
      <w:r w:rsidRPr="00C831C9">
        <w:rPr>
          <w:sz w:val="24"/>
          <w:lang w:val="hu-HU"/>
        </w:rPr>
        <w:t>.</w:t>
      </w:r>
    </w:p>
  </w:footnote>
  <w:footnote w:id="6">
    <w:p w14:paraId="6B7578B7" w14:textId="555D2ED8" w:rsidR="00F23A50" w:rsidRPr="00C831C9" w:rsidRDefault="00F23A50" w:rsidP="00C831C9">
      <w:pPr>
        <w:pStyle w:val="FootnoteText"/>
        <w:ind w:left="567" w:hanging="567"/>
        <w:rPr>
          <w:sz w:val="24"/>
          <w:szCs w:val="24"/>
          <w:lang w:val="hu-HU"/>
        </w:rPr>
      </w:pPr>
      <w:r w:rsidRPr="00C831C9">
        <w:rPr>
          <w:rStyle w:val="FootnoteReference"/>
          <w:sz w:val="24"/>
          <w:lang w:val="hu-HU"/>
        </w:rPr>
        <w:footnoteRef/>
      </w:r>
      <w:r w:rsidR="00C831C9" w:rsidRPr="00C831C9">
        <w:rPr>
          <w:sz w:val="24"/>
          <w:lang w:val="hu-HU"/>
        </w:rPr>
        <w:t xml:space="preserve"> </w:t>
      </w:r>
      <w:r w:rsidR="00C831C9" w:rsidRPr="00C831C9">
        <w:rPr>
          <w:sz w:val="24"/>
          <w:lang w:val="hu-HU"/>
        </w:rPr>
        <w:tab/>
      </w:r>
      <w:r w:rsidRPr="00C831C9">
        <w:rPr>
          <w:sz w:val="24"/>
          <w:lang w:val="hu-HU"/>
        </w:rPr>
        <w:t xml:space="preserve">HL L, 2024/2509, 2024.9.26., ELI: </w:t>
      </w:r>
      <w:hyperlink r:id="rId6" w:history="1">
        <w:r w:rsidRPr="00C831C9">
          <w:rPr>
            <w:rStyle w:val="Hyperlink"/>
            <w:sz w:val="24"/>
            <w:lang w:val="hu-HU"/>
          </w:rPr>
          <w:t>http://data.europa.eu/eli/reg/2024/2509/oj</w:t>
        </w:r>
      </w:hyperlink>
      <w:r w:rsidRPr="00C831C9">
        <w:rPr>
          <w:sz w:val="24"/>
          <w:lang w:val="hu-HU"/>
        </w:rPr>
        <w:t>.</w:t>
      </w:r>
    </w:p>
  </w:footnote>
  <w:footnote w:id="7">
    <w:p w14:paraId="14A4F2EE" w14:textId="5719FA29" w:rsidR="00F23A50" w:rsidRPr="00C831C9" w:rsidRDefault="00F23A50" w:rsidP="00C831C9">
      <w:pPr>
        <w:pStyle w:val="FootnoteText"/>
        <w:ind w:left="567" w:hanging="567"/>
        <w:rPr>
          <w:sz w:val="24"/>
          <w:szCs w:val="24"/>
          <w:lang w:val="hu-HU"/>
        </w:rPr>
      </w:pPr>
      <w:r w:rsidRPr="00C831C9">
        <w:rPr>
          <w:rStyle w:val="FootnoteReference"/>
          <w:sz w:val="24"/>
          <w:szCs w:val="24"/>
          <w:lang w:val="hu-HU"/>
        </w:rPr>
        <w:footnoteRef/>
      </w:r>
      <w:r w:rsidR="00C831C9" w:rsidRPr="00C831C9">
        <w:rPr>
          <w:sz w:val="24"/>
          <w:lang w:val="hu-HU"/>
        </w:rPr>
        <w:t xml:space="preserve"> </w:t>
      </w:r>
      <w:r w:rsidR="00C831C9" w:rsidRPr="00C831C9">
        <w:rPr>
          <w:sz w:val="24"/>
          <w:lang w:val="hu-HU"/>
        </w:rPr>
        <w:tab/>
      </w:r>
      <w:r w:rsidRPr="00C831C9">
        <w:rPr>
          <w:sz w:val="24"/>
          <w:lang w:val="hu-HU"/>
        </w:rPr>
        <w:t xml:space="preserve">Az Európai Parlament és a Tanács (EU, Euratom) 2024/2019 rendelete (2024. április 11.) az Európai Unió Bíróságának alapokmányáról szóló 3. jegyzőkönyv módosításáról (HL L, 2024/2019, 2024.8.12., ELI: </w:t>
      </w:r>
      <w:hyperlink r:id="rId7" w:history="1">
        <w:r w:rsidRPr="00C831C9">
          <w:rPr>
            <w:rStyle w:val="Hyperlink"/>
            <w:sz w:val="24"/>
            <w:lang w:val="hu-HU"/>
          </w:rPr>
          <w:t>http://data.europa.eu/eli/reg/2024/2019/oj</w:t>
        </w:r>
      </w:hyperlink>
      <w:r w:rsidRPr="00C831C9">
        <w:rPr>
          <w:rStyle w:val="Hyperlink"/>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AF21F" w14:textId="77777777" w:rsidR="00064002" w:rsidRPr="00C831C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30055" w14:textId="77777777" w:rsidR="00064002" w:rsidRPr="00C831C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235E3" w14:textId="77777777" w:rsidR="00064002" w:rsidRPr="00C831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2980121">
    <w:abstractNumId w:val="9"/>
  </w:num>
  <w:num w:numId="2" w16cid:durableId="706494610">
    <w:abstractNumId w:val="9"/>
  </w:num>
  <w:num w:numId="3" w16cid:durableId="59133197">
    <w:abstractNumId w:val="7"/>
  </w:num>
  <w:num w:numId="4" w16cid:durableId="1253006982">
    <w:abstractNumId w:val="7"/>
  </w:num>
  <w:num w:numId="5" w16cid:durableId="1240401964">
    <w:abstractNumId w:val="6"/>
  </w:num>
  <w:num w:numId="6" w16cid:durableId="1000044096">
    <w:abstractNumId w:val="6"/>
  </w:num>
  <w:num w:numId="7" w16cid:durableId="1494419500">
    <w:abstractNumId w:val="5"/>
  </w:num>
  <w:num w:numId="8" w16cid:durableId="488133935">
    <w:abstractNumId w:val="5"/>
  </w:num>
  <w:num w:numId="9" w16cid:durableId="1490906327">
    <w:abstractNumId w:val="4"/>
  </w:num>
  <w:num w:numId="10" w16cid:durableId="287400426">
    <w:abstractNumId w:val="4"/>
  </w:num>
  <w:num w:numId="11" w16cid:durableId="1508866178">
    <w:abstractNumId w:val="8"/>
  </w:num>
  <w:num w:numId="12" w16cid:durableId="1668510179">
    <w:abstractNumId w:val="8"/>
  </w:num>
  <w:num w:numId="13" w16cid:durableId="1829898626">
    <w:abstractNumId w:val="3"/>
  </w:num>
  <w:num w:numId="14" w16cid:durableId="1256017673">
    <w:abstractNumId w:val="3"/>
  </w:num>
  <w:num w:numId="15" w16cid:durableId="754547827">
    <w:abstractNumId w:val="2"/>
  </w:num>
  <w:num w:numId="16" w16cid:durableId="1146356823">
    <w:abstractNumId w:val="2"/>
  </w:num>
  <w:num w:numId="17" w16cid:durableId="817454806">
    <w:abstractNumId w:val="1"/>
  </w:num>
  <w:num w:numId="18" w16cid:durableId="837580633">
    <w:abstractNumId w:val="1"/>
  </w:num>
  <w:num w:numId="19" w16cid:durableId="1058742878">
    <w:abstractNumId w:val="0"/>
  </w:num>
  <w:num w:numId="20" w16cid:durableId="1863127899">
    <w:abstractNumId w:val="0"/>
  </w:num>
  <w:num w:numId="21" w16cid:durableId="1259365479">
    <w:abstractNumId w:val="9"/>
  </w:num>
  <w:num w:numId="22" w16cid:durableId="857156221">
    <w:abstractNumId w:val="7"/>
  </w:num>
  <w:num w:numId="23" w16cid:durableId="490101905">
    <w:abstractNumId w:val="6"/>
  </w:num>
  <w:num w:numId="24" w16cid:durableId="160513008">
    <w:abstractNumId w:val="5"/>
  </w:num>
  <w:num w:numId="25" w16cid:durableId="95101571">
    <w:abstractNumId w:val="4"/>
  </w:num>
  <w:num w:numId="26" w16cid:durableId="1927693588">
    <w:abstractNumId w:val="8"/>
  </w:num>
  <w:num w:numId="27" w16cid:durableId="714353200">
    <w:abstractNumId w:val="3"/>
  </w:num>
  <w:num w:numId="28" w16cid:durableId="1272275152">
    <w:abstractNumId w:val="2"/>
  </w:num>
  <w:num w:numId="29" w16cid:durableId="539629874">
    <w:abstractNumId w:val="1"/>
  </w:num>
  <w:num w:numId="30" w16cid:durableId="1062143233">
    <w:abstractNumId w:val="0"/>
  </w:num>
  <w:num w:numId="31" w16cid:durableId="1320189254">
    <w:abstractNumId w:val="9"/>
  </w:num>
  <w:num w:numId="32" w16cid:durableId="341933213">
    <w:abstractNumId w:val="7"/>
  </w:num>
  <w:num w:numId="33" w16cid:durableId="612831824">
    <w:abstractNumId w:val="6"/>
  </w:num>
  <w:num w:numId="34" w16cid:durableId="509953011">
    <w:abstractNumId w:val="5"/>
  </w:num>
  <w:num w:numId="35" w16cid:durableId="1700624372">
    <w:abstractNumId w:val="4"/>
  </w:num>
  <w:num w:numId="36" w16cid:durableId="342440950">
    <w:abstractNumId w:val="8"/>
  </w:num>
  <w:num w:numId="37" w16cid:durableId="840780981">
    <w:abstractNumId w:val="3"/>
  </w:num>
  <w:num w:numId="38" w16cid:durableId="1233272014">
    <w:abstractNumId w:val="2"/>
  </w:num>
  <w:num w:numId="39" w16cid:durableId="1301957999">
    <w:abstractNumId w:val="1"/>
  </w:num>
  <w:num w:numId="40" w16cid:durableId="1773161390">
    <w:abstractNumId w:val="0"/>
  </w:num>
  <w:num w:numId="41" w16cid:durableId="1391343842">
    <w:abstractNumId w:val="10"/>
  </w:num>
  <w:num w:numId="42" w16cid:durableId="592713656">
    <w:abstractNumId w:val="10"/>
  </w:num>
  <w:num w:numId="43" w16cid:durableId="1078213278">
    <w:abstractNumId w:val="10"/>
  </w:num>
  <w:num w:numId="44" w16cid:durableId="145051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HU"/>
    <w:docVar w:name="dvnumam" w:val="0"/>
    <w:docVar w:name="dvpe" w:val="778.060"/>
    <w:docVar w:name="dvrapporteur" w:val="Előadó: "/>
    <w:docVar w:name="dvtitre" w:val="Az Európai Parlament 2026. április ...-i határozata az Európai Unió 2024. évi pénzügyi évre szóló általános költségvetésének végrehajtására vonatkozó mentesítésről, IV. szakasz – az Európai Unió Bírósága(2025/2148(DEC))"/>
  </w:docVars>
  <w:rsids>
    <w:rsidRoot w:val="00DE5A94"/>
    <w:rsid w:val="00002272"/>
    <w:rsid w:val="00064002"/>
    <w:rsid w:val="000677B9"/>
    <w:rsid w:val="000831BA"/>
    <w:rsid w:val="000A42CC"/>
    <w:rsid w:val="000E7DD9"/>
    <w:rsid w:val="0010095E"/>
    <w:rsid w:val="00125B37"/>
    <w:rsid w:val="00187494"/>
    <w:rsid w:val="001F32AE"/>
    <w:rsid w:val="0021318C"/>
    <w:rsid w:val="002767FF"/>
    <w:rsid w:val="002B18FE"/>
    <w:rsid w:val="002B5493"/>
    <w:rsid w:val="003365EF"/>
    <w:rsid w:val="00343214"/>
    <w:rsid w:val="00361C00"/>
    <w:rsid w:val="00395FA1"/>
    <w:rsid w:val="003D4659"/>
    <w:rsid w:val="003E15D4"/>
    <w:rsid w:val="004109C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316C"/>
    <w:rsid w:val="007D1690"/>
    <w:rsid w:val="007E22AD"/>
    <w:rsid w:val="00817416"/>
    <w:rsid w:val="00842779"/>
    <w:rsid w:val="00865F67"/>
    <w:rsid w:val="00870D8C"/>
    <w:rsid w:val="008729D6"/>
    <w:rsid w:val="00881A7B"/>
    <w:rsid w:val="008840E5"/>
    <w:rsid w:val="00887B3E"/>
    <w:rsid w:val="008C2AC6"/>
    <w:rsid w:val="00930C23"/>
    <w:rsid w:val="0093193B"/>
    <w:rsid w:val="009509D8"/>
    <w:rsid w:val="00950B64"/>
    <w:rsid w:val="00981893"/>
    <w:rsid w:val="00A1687D"/>
    <w:rsid w:val="00A43CD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1C9"/>
    <w:rsid w:val="00C941CB"/>
    <w:rsid w:val="00CC2357"/>
    <w:rsid w:val="00CF071A"/>
    <w:rsid w:val="00D058B8"/>
    <w:rsid w:val="00D47A6C"/>
    <w:rsid w:val="00D56C11"/>
    <w:rsid w:val="00D834A0"/>
    <w:rsid w:val="00D872DF"/>
    <w:rsid w:val="00D91E21"/>
    <w:rsid w:val="00DA7FCD"/>
    <w:rsid w:val="00DE5A94"/>
    <w:rsid w:val="00E24970"/>
    <w:rsid w:val="00E365E1"/>
    <w:rsid w:val="00E42B56"/>
    <w:rsid w:val="00E820A4"/>
    <w:rsid w:val="00EB006A"/>
    <w:rsid w:val="00EB4772"/>
    <w:rsid w:val="00ED169E"/>
    <w:rsid w:val="00ED4235"/>
    <w:rsid w:val="00F04346"/>
    <w:rsid w:val="00F075DC"/>
    <w:rsid w:val="00F149E9"/>
    <w:rsid w:val="00F23A50"/>
    <w:rsid w:val="00F4204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1B2F9"/>
  <w15:chartTrackingRefBased/>
  <w15:docId w15:val="{5BF2EE97-5230-4922-B8C9-D6EAE61BD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23A5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23A50"/>
    <w:pPr>
      <w:spacing w:before="480" w:after="240"/>
    </w:pPr>
  </w:style>
  <w:style w:type="paragraph" w:customStyle="1" w:styleId="PageHeading">
    <w:name w:val="PageHeading"/>
    <w:basedOn w:val="Normal"/>
    <w:rsid w:val="00F23A50"/>
    <w:pPr>
      <w:keepNext/>
      <w:spacing w:after="480"/>
      <w:jc w:val="center"/>
    </w:pPr>
    <w:rPr>
      <w:rFonts w:ascii="Arial" w:hAnsi="Arial" w:cs="Arial"/>
      <w:b/>
    </w:rPr>
  </w:style>
  <w:style w:type="paragraph" w:customStyle="1" w:styleId="NormalBold">
    <w:name w:val="NormalBold"/>
    <w:basedOn w:val="Normal"/>
    <w:rsid w:val="00F23A50"/>
    <w:rPr>
      <w:b/>
    </w:rPr>
  </w:style>
  <w:style w:type="paragraph" w:customStyle="1" w:styleId="NormalHanging12a">
    <w:name w:val="NormalHanging12a"/>
    <w:basedOn w:val="Normal"/>
    <w:link w:val="NormalHanging12aChar"/>
    <w:qFormat/>
    <w:rsid w:val="00F23A50"/>
    <w:pPr>
      <w:spacing w:after="240"/>
      <w:ind w:left="567" w:hanging="567"/>
    </w:pPr>
  </w:style>
  <w:style w:type="paragraph" w:styleId="Header">
    <w:name w:val="header"/>
    <w:basedOn w:val="Normal"/>
    <w:link w:val="HeaderChar"/>
    <w:rsid w:val="00F23A50"/>
    <w:pPr>
      <w:tabs>
        <w:tab w:val="center" w:pos="4513"/>
        <w:tab w:val="right" w:pos="9026"/>
      </w:tabs>
    </w:pPr>
  </w:style>
  <w:style w:type="character" w:customStyle="1" w:styleId="HeaderChar">
    <w:name w:val="Header Char"/>
    <w:basedOn w:val="DefaultParagraphFont"/>
    <w:link w:val="Header"/>
    <w:rsid w:val="00F23A50"/>
    <w:rPr>
      <w:sz w:val="24"/>
      <w:lang w:val="hu-HU"/>
    </w:rPr>
  </w:style>
  <w:style w:type="paragraph" w:customStyle="1" w:styleId="EPFooter">
    <w:name w:val="EPFooter"/>
    <w:basedOn w:val="Normal"/>
    <w:rsid w:val="00F23A50"/>
    <w:pPr>
      <w:tabs>
        <w:tab w:val="center" w:pos="4535"/>
        <w:tab w:val="right" w:pos="9071"/>
      </w:tabs>
      <w:spacing w:before="240" w:after="240"/>
    </w:pPr>
    <w:rPr>
      <w:color w:val="010000"/>
      <w:sz w:val="22"/>
    </w:rPr>
  </w:style>
  <w:style w:type="character" w:styleId="Hyperlink">
    <w:name w:val="Hyperlink"/>
    <w:basedOn w:val="DefaultParagraphFont"/>
    <w:rsid w:val="00F23A50"/>
    <w:rPr>
      <w:color w:val="0563C1" w:themeColor="hyperlink"/>
      <w:u w:val="single"/>
    </w:rPr>
  </w:style>
  <w:style w:type="character" w:customStyle="1" w:styleId="NormalHanging12aChar">
    <w:name w:val="NormalHanging12a Char"/>
    <w:basedOn w:val="DefaultParagraphFont"/>
    <w:link w:val="NormalHanging12a"/>
    <w:locked/>
    <w:rsid w:val="00F23A50"/>
    <w:rPr>
      <w:sz w:val="24"/>
      <w:lang w:val="hu-HU"/>
    </w:rPr>
  </w:style>
  <w:style w:type="paragraph" w:styleId="Footer">
    <w:name w:val="footer"/>
    <w:basedOn w:val="Normal"/>
    <w:link w:val="FooterChar"/>
    <w:rsid w:val="0079316C"/>
    <w:pPr>
      <w:tabs>
        <w:tab w:val="center" w:pos="4513"/>
        <w:tab w:val="right" w:pos="9026"/>
      </w:tabs>
    </w:pPr>
  </w:style>
  <w:style w:type="character" w:customStyle="1" w:styleId="FooterChar">
    <w:name w:val="Footer Char"/>
    <w:basedOn w:val="DefaultParagraphFont"/>
    <w:link w:val="Footer"/>
    <w:rsid w:val="0079316C"/>
    <w:rPr>
      <w:sz w:val="24"/>
      <w:lang w:val="hu-HU"/>
    </w:rPr>
  </w:style>
  <w:style w:type="paragraph" w:styleId="Revision">
    <w:name w:val="Revision"/>
    <w:hidden/>
    <w:uiPriority w:val="99"/>
    <w:semiHidden/>
    <w:rsid w:val="0079316C"/>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6662</Words>
  <Characters>48376</Characters>
  <Application>Microsoft Office Word</Application>
  <DocSecurity>0</DocSecurity>
  <Lines>403</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cp:lastModifiedBy>
  <cp:revision>2</cp:revision>
  <cp:lastPrinted>2004-11-19T15:42:00Z</cp:lastPrinted>
  <dcterms:created xsi:type="dcterms:W3CDTF">2026-05-05T14:26:00Z</dcterms:created>
  <dcterms:modified xsi:type="dcterms:W3CDTF">2026-05-05T14:26:00Z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P10_TA(2026)0128_</vt:lpwstr>
  </property>
  <property fmtid="{D5CDD505-2E9C-101B-9397-08002B2CF9AE}" pid="4" name="&lt;Type&gt;">
    <vt:lpwstr>RR</vt:lpwstr>
  </property>
</Properties>
</file>