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457C" w14:paraId="6CA90C5A" w14:textId="77777777" w:rsidTr="0010095E">
        <w:trPr>
          <w:trHeight w:hRule="exact" w:val="1418"/>
        </w:trPr>
        <w:tc>
          <w:tcPr>
            <w:tcW w:w="6804" w:type="dxa"/>
            <w:shd w:val="clear" w:color="auto" w:fill="auto"/>
            <w:vAlign w:val="center"/>
          </w:tcPr>
          <w:p w14:paraId="02C6ACD0" w14:textId="754B41A6" w:rsidR="00751A4A" w:rsidRPr="00E8457C" w:rsidRDefault="00677DC3" w:rsidP="0010095E">
            <w:pPr>
              <w:pStyle w:val="EPName"/>
            </w:pPr>
            <w:r w:rsidRPr="00E8457C">
              <w:t>Europos Parlamentas</w:t>
            </w:r>
          </w:p>
          <w:p w14:paraId="1AE05E0A" w14:textId="77777777" w:rsidR="00751A4A" w:rsidRPr="00E8457C" w:rsidRDefault="005F1B17" w:rsidP="005F1B17">
            <w:pPr>
              <w:pStyle w:val="EPTerm"/>
              <w:rPr>
                <w:rStyle w:val="HideTWBExt"/>
                <w:noProof w:val="0"/>
                <w:vanish w:val="0"/>
                <w:color w:val="auto"/>
              </w:rPr>
            </w:pPr>
            <w:r w:rsidRPr="00E8457C">
              <w:t>2024</w:t>
            </w:r>
            <w:r w:rsidR="00817416" w:rsidRPr="00E8457C">
              <w:t>-202</w:t>
            </w:r>
            <w:r w:rsidRPr="00E8457C">
              <w:t>9</w:t>
            </w:r>
          </w:p>
        </w:tc>
        <w:tc>
          <w:tcPr>
            <w:tcW w:w="2268" w:type="dxa"/>
            <w:shd w:val="clear" w:color="auto" w:fill="auto"/>
          </w:tcPr>
          <w:p w14:paraId="2C845B23" w14:textId="77777777" w:rsidR="00751A4A" w:rsidRPr="00E8457C" w:rsidRDefault="00187494" w:rsidP="0010095E">
            <w:pPr>
              <w:pStyle w:val="EPLogo"/>
            </w:pPr>
            <w:r w:rsidRPr="00E8457C">
              <w:rPr>
                <w:noProof/>
                <w:lang w:eastAsia="ja-JP"/>
              </w:rPr>
              <w:drawing>
                <wp:inline distT="0" distB="0" distL="0" distR="0" wp14:anchorId="120940F2" wp14:editId="080D47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4BD334" w14:textId="77777777" w:rsidR="00D058B8" w:rsidRPr="00E8457C" w:rsidRDefault="00D058B8" w:rsidP="004C5D52">
      <w:pPr>
        <w:pStyle w:val="LineTop"/>
      </w:pPr>
    </w:p>
    <w:p w14:paraId="73F24B21" w14:textId="3B38ECF1" w:rsidR="00680577" w:rsidRPr="00E8457C" w:rsidRDefault="00677DC3" w:rsidP="00680577">
      <w:pPr>
        <w:pStyle w:val="EPBodyTA1"/>
      </w:pPr>
      <w:r w:rsidRPr="00E8457C">
        <w:t>PRIIMTI TEKSTAI</w:t>
      </w:r>
    </w:p>
    <w:p w14:paraId="313917A4" w14:textId="77777777" w:rsidR="00D058B8" w:rsidRPr="00E8457C" w:rsidRDefault="00D058B8" w:rsidP="00D058B8">
      <w:pPr>
        <w:pStyle w:val="LineBottom"/>
      </w:pPr>
    </w:p>
    <w:p w14:paraId="5DEB217A" w14:textId="3F5020EF" w:rsidR="00677DC3" w:rsidRPr="00E8457C" w:rsidRDefault="00677DC3" w:rsidP="00677DC3">
      <w:pPr>
        <w:pStyle w:val="ATHeading1"/>
      </w:pPr>
      <w:bookmarkStart w:id="0" w:name="TANumber"/>
      <w:r w:rsidRPr="00E8457C">
        <w:t>P10_TA(2026)0</w:t>
      </w:r>
      <w:r w:rsidR="00472B9B">
        <w:t>128</w:t>
      </w:r>
      <w:bookmarkEnd w:id="0"/>
    </w:p>
    <w:p w14:paraId="0AF1DC58" w14:textId="77777777" w:rsidR="00677DC3" w:rsidRPr="00E8457C" w:rsidRDefault="00677DC3" w:rsidP="00677DC3">
      <w:pPr>
        <w:pStyle w:val="ATHeading2"/>
      </w:pPr>
      <w:bookmarkStart w:id="1" w:name="title"/>
      <w:r w:rsidRPr="00E8457C">
        <w:t>2024 m. biudžeto įvykdymo patvirtinimas: ES bendrasis biudžetas – Europos Sąjungos Teisingumo</w:t>
      </w:r>
    </w:p>
    <w:p w14:paraId="64055FB6" w14:textId="77777777" w:rsidR="00677DC3" w:rsidRPr="00E8457C" w:rsidRDefault="00677DC3" w:rsidP="00677DC3">
      <w:pPr>
        <w:pStyle w:val="ATHeading2"/>
      </w:pPr>
      <w:r w:rsidRPr="00E8457C">
        <w:t>Teismas</w:t>
      </w:r>
      <w:bookmarkEnd w:id="1"/>
    </w:p>
    <w:p w14:paraId="790A1159" w14:textId="77777777" w:rsidR="00677DC3" w:rsidRPr="00E8457C" w:rsidRDefault="00677DC3" w:rsidP="00677DC3">
      <w:pPr>
        <w:rPr>
          <w:i/>
          <w:vanish/>
        </w:rPr>
      </w:pPr>
      <w:r w:rsidRPr="00E8457C">
        <w:rPr>
          <w:i/>
        </w:rPr>
        <w:fldChar w:fldCharType="begin"/>
      </w:r>
      <w:r w:rsidRPr="00E8457C">
        <w:rPr>
          <w:i/>
        </w:rPr>
        <w:instrText xml:space="preserve"> TC"(</w:instrText>
      </w:r>
      <w:bookmarkStart w:id="2" w:name="DocNumber"/>
      <w:r w:rsidRPr="00E8457C">
        <w:rPr>
          <w:i/>
        </w:rPr>
        <w:instrText>A10-0055/2026</w:instrText>
      </w:r>
      <w:bookmarkEnd w:id="2"/>
      <w:r w:rsidRPr="00E8457C">
        <w:rPr>
          <w:i/>
        </w:rPr>
        <w:instrText xml:space="preserve"> - Pranešėjas: Pasquale Tridico)"\l3 \n&gt; \* MERGEFORMAT </w:instrText>
      </w:r>
      <w:r w:rsidRPr="00E8457C">
        <w:rPr>
          <w:i/>
        </w:rPr>
        <w:fldChar w:fldCharType="end"/>
      </w:r>
    </w:p>
    <w:p w14:paraId="7AC0BAD2" w14:textId="77777777" w:rsidR="00677DC3" w:rsidRPr="00E8457C" w:rsidRDefault="00677DC3" w:rsidP="00677DC3">
      <w:pPr>
        <w:rPr>
          <w:vanish/>
        </w:rPr>
      </w:pPr>
      <w:bookmarkStart w:id="3" w:name="Commission"/>
      <w:r w:rsidRPr="00E8457C">
        <w:rPr>
          <w:vanish/>
        </w:rPr>
        <w:t>Biudžeto kontrolės komitetas</w:t>
      </w:r>
      <w:bookmarkEnd w:id="3"/>
    </w:p>
    <w:p w14:paraId="2C4AD5BE" w14:textId="77777777" w:rsidR="00677DC3" w:rsidRPr="00E8457C" w:rsidRDefault="00677DC3" w:rsidP="00677DC3">
      <w:pPr>
        <w:rPr>
          <w:vanish/>
        </w:rPr>
      </w:pPr>
      <w:bookmarkStart w:id="4" w:name="PE"/>
      <w:r w:rsidRPr="00E8457C">
        <w:rPr>
          <w:vanish/>
        </w:rPr>
        <w:t>PE778.060</w:t>
      </w:r>
      <w:bookmarkEnd w:id="4"/>
    </w:p>
    <w:p w14:paraId="69594281" w14:textId="4C931641" w:rsidR="00677DC3" w:rsidRPr="00E8457C" w:rsidRDefault="00677DC3" w:rsidP="005F7B42">
      <w:pPr>
        <w:pStyle w:val="ATHeading3"/>
      </w:pPr>
      <w:bookmarkStart w:id="5" w:name="Sujet"/>
      <w:r w:rsidRPr="00E8457C">
        <w:t xml:space="preserve">1. 2026 m. </w:t>
      </w:r>
      <w:r w:rsidR="005F7B42" w:rsidRPr="00E8457C">
        <w:t>balandžio</w:t>
      </w:r>
      <w:r w:rsidRPr="00E8457C">
        <w:t xml:space="preserve"> 29 d. Europos Parlamento sprendimas dėl 2024 finansinių metų Europos Sąjungos bendrojo biudžeto įvykdymo patvirtinimo, IV skirsnis – Europos Sąjungos Teisingumo Teismas</w:t>
      </w:r>
      <w:bookmarkEnd w:id="5"/>
      <w:r w:rsidRPr="00E8457C">
        <w:t xml:space="preserve"> </w:t>
      </w:r>
      <w:bookmarkStart w:id="6" w:name="References"/>
      <w:r w:rsidRPr="00E8457C">
        <w:t>(2025/2148(DEC))</w:t>
      </w:r>
      <w:bookmarkEnd w:id="6"/>
    </w:p>
    <w:p w14:paraId="3A3D9AFB" w14:textId="77777777" w:rsidR="00E751B6" w:rsidRPr="00E8457C" w:rsidRDefault="00E751B6" w:rsidP="00E751B6">
      <w:pPr>
        <w:pStyle w:val="EPComma"/>
      </w:pPr>
      <w:bookmarkStart w:id="7" w:name="TextBodyBegin"/>
      <w:bookmarkEnd w:id="7"/>
      <w:r w:rsidRPr="00E8457C">
        <w:rPr>
          <w:i/>
        </w:rPr>
        <w:t>Europos Parlamentas</w:t>
      </w:r>
      <w:r w:rsidRPr="00E8457C">
        <w:t>,</w:t>
      </w:r>
    </w:p>
    <w:p w14:paraId="686F675F" w14:textId="77777777" w:rsidR="00E751B6" w:rsidRPr="00E8457C" w:rsidRDefault="00E751B6" w:rsidP="00E751B6">
      <w:pPr>
        <w:pStyle w:val="NormalHanging12a"/>
      </w:pPr>
      <w:r w:rsidRPr="00E8457C">
        <w:t>–</w:t>
      </w:r>
      <w:r w:rsidRPr="00E8457C">
        <w:tab/>
        <w:t>atsižvelgdamas į 2024 finansinių metų Europos Sąjungos bendrąjį biudžetą</w:t>
      </w:r>
      <w:r w:rsidRPr="00E8457C">
        <w:rPr>
          <w:rStyle w:val="FootnoteReference"/>
        </w:rPr>
        <w:footnoteReference w:id="1"/>
      </w:r>
      <w:r w:rsidRPr="00E8457C">
        <w:t>,</w:t>
      </w:r>
    </w:p>
    <w:p w14:paraId="14DD9FB3" w14:textId="77777777" w:rsidR="00E751B6" w:rsidRPr="00E8457C" w:rsidRDefault="00E751B6" w:rsidP="00E751B6">
      <w:pPr>
        <w:pStyle w:val="NormalHanging12a"/>
      </w:pPr>
      <w:r w:rsidRPr="00E8457C">
        <w:t>–</w:t>
      </w:r>
      <w:r w:rsidRPr="00E8457C">
        <w:tab/>
        <w:t>atsižvelgdamas į 2024 finansinių metų Europos Sąjungos konsoliduotąsias metines ataskaitas (COM(2025)0359 – C10</w:t>
      </w:r>
      <w:r w:rsidRPr="00E8457C">
        <w:noBreakHyphen/>
        <w:t>0148/2025)</w:t>
      </w:r>
      <w:r w:rsidRPr="00E8457C">
        <w:rPr>
          <w:rStyle w:val="FootnoteReference"/>
        </w:rPr>
        <w:footnoteReference w:id="2"/>
      </w:r>
      <w:r w:rsidRPr="00E8457C">
        <w:t>,</w:t>
      </w:r>
    </w:p>
    <w:p w14:paraId="154456FE" w14:textId="77777777" w:rsidR="00E751B6" w:rsidRPr="00E8457C" w:rsidRDefault="00E751B6" w:rsidP="00E751B6">
      <w:pPr>
        <w:pStyle w:val="NormalHanging12a"/>
      </w:pPr>
      <w:r w:rsidRPr="00E8457C">
        <w:t>–</w:t>
      </w:r>
      <w:r w:rsidRPr="00E8457C">
        <w:tab/>
        <w:t>atsižvelgdamas į Europos Sąjungos Teisingumo Teismo metinę 2024 m. atlikto vidaus audito ataskaitą biudžeto įvykdymą tvirtinančiai institucijai,</w:t>
      </w:r>
    </w:p>
    <w:p w14:paraId="79CA1441" w14:textId="77777777" w:rsidR="00E751B6" w:rsidRPr="00E8457C" w:rsidRDefault="00E751B6" w:rsidP="00E751B6">
      <w:pPr>
        <w:pStyle w:val="NormalHanging12a"/>
      </w:pPr>
      <w:r w:rsidRPr="00E8457C">
        <w:t>–</w:t>
      </w:r>
      <w:r w:rsidRPr="00E8457C">
        <w:tab/>
      </w:r>
      <w:r w:rsidRPr="00E8457C">
        <w:rPr>
          <w:szCs w:val="24"/>
        </w:rPr>
        <w:t>atsižvelgdamas į Audito Rūmų metinę ataskaitą dėl2024 finansinių metų biudžeto vykdymo kartu su institucijų atsakymais</w:t>
      </w:r>
      <w:r w:rsidRPr="00E8457C">
        <w:rPr>
          <w:rStyle w:val="FootnoteReference"/>
        </w:rPr>
        <w:t xml:space="preserve"> </w:t>
      </w:r>
      <w:r w:rsidRPr="00E8457C">
        <w:rPr>
          <w:rStyle w:val="FootnoteReference"/>
        </w:rPr>
        <w:footnoteReference w:id="3"/>
      </w:r>
      <w:r w:rsidRPr="00E8457C">
        <w:t>,</w:t>
      </w:r>
    </w:p>
    <w:p w14:paraId="5877F47A" w14:textId="77777777" w:rsidR="00E751B6" w:rsidRPr="00E8457C" w:rsidRDefault="00E751B6" w:rsidP="00E751B6">
      <w:pPr>
        <w:pStyle w:val="NormalHanging12a"/>
      </w:pPr>
      <w:r w:rsidRPr="00E8457C">
        <w:t>–</w:t>
      </w:r>
      <w:r w:rsidRPr="00E8457C">
        <w:tab/>
        <w:t>atsižvelgdamas į Audito Rūmų pagal Sutarties dėl Europos Sąjungos veikimo 287 straipsnį pateiktą 2024 finansinių metų sąskaitų patikimumo ir pagal jas atliktų operacijų teisėtumo ir tvarkingumo patikinimo pareiškimą</w:t>
      </w:r>
      <w:r w:rsidRPr="00E8457C">
        <w:rPr>
          <w:rStyle w:val="FootnoteReference"/>
        </w:rPr>
        <w:footnoteReference w:id="4"/>
      </w:r>
      <w:r w:rsidRPr="00E8457C">
        <w:t>,</w:t>
      </w:r>
    </w:p>
    <w:p w14:paraId="0CEAD7B2" w14:textId="77777777" w:rsidR="00E751B6" w:rsidRPr="00E8457C" w:rsidRDefault="00E751B6" w:rsidP="00E751B6">
      <w:pPr>
        <w:pStyle w:val="NormalHanging12a"/>
      </w:pPr>
      <w:r w:rsidRPr="00E8457C">
        <w:t>–</w:t>
      </w:r>
      <w:r w:rsidRPr="00E8457C">
        <w:tab/>
        <w:t>atsižvelgdamas į Sutarties dėl Europos Sąjungos veikimo 314 straipsnio 10 dalį ir 317, 318 ir 319 straipsnius,</w:t>
      </w:r>
    </w:p>
    <w:p w14:paraId="2861864E" w14:textId="77777777" w:rsidR="00E751B6" w:rsidRPr="00E8457C" w:rsidRDefault="00E751B6" w:rsidP="00E751B6">
      <w:pPr>
        <w:pStyle w:val="NormalHanging12a"/>
      </w:pPr>
      <w:r w:rsidRPr="00E8457C">
        <w:t>–</w:t>
      </w:r>
      <w:r w:rsidRPr="00E8457C">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E8457C">
        <w:rPr>
          <w:rStyle w:val="FootnoteReference"/>
        </w:rPr>
        <w:footnoteReference w:id="5"/>
      </w:r>
      <w:r w:rsidRPr="00E8457C">
        <w:t xml:space="preserve">, ypač į jo 59, 118, 260, 261 </w:t>
      </w:r>
      <w:r w:rsidRPr="00E8457C">
        <w:lastRenderedPageBreak/>
        <w:t>ir 262 straipsnius,</w:t>
      </w:r>
    </w:p>
    <w:p w14:paraId="406A327B" w14:textId="304D654C" w:rsidR="00E751B6" w:rsidRPr="00E8457C" w:rsidRDefault="00E751B6" w:rsidP="00E751B6">
      <w:pPr>
        <w:pStyle w:val="NormalHanging12a"/>
      </w:pPr>
      <w:r w:rsidRPr="00E8457C">
        <w:t>–</w:t>
      </w:r>
      <w:r w:rsidRPr="00E8457C">
        <w:tab/>
        <w:t>atsižvelgdamas į 2024 m. rugsėjo 23 d. Europos Parlamento ir Tarybos reglamentą (ES, Euratomas) 2024/2509</w:t>
      </w:r>
      <w:r w:rsidRPr="00E8457C">
        <w:rPr>
          <w:rStyle w:val="FootnoteReference"/>
        </w:rPr>
        <w:footnoteReference w:id="6"/>
      </w:r>
      <w:r w:rsidRPr="00E8457C">
        <w:t xml:space="preserve"> dėl Sąjungos bendrajam biudžetui taikomų finansinių taisyklių, ypač į jo 59, 118, 266, 267 ir 268 straipsnius,</w:t>
      </w:r>
    </w:p>
    <w:p w14:paraId="451F71D9" w14:textId="77777777" w:rsidR="00E751B6" w:rsidRPr="00E8457C" w:rsidRDefault="00E751B6" w:rsidP="00E751B6">
      <w:pPr>
        <w:pStyle w:val="NormalHanging12a"/>
      </w:pPr>
      <w:r w:rsidRPr="00E8457C">
        <w:t>–</w:t>
      </w:r>
      <w:r w:rsidRPr="00E8457C">
        <w:tab/>
        <w:t>atsižvelgdamas į Darbo tvarkos taisyklių 102 straipsnį ir V priedą,</w:t>
      </w:r>
    </w:p>
    <w:p w14:paraId="625F7184" w14:textId="77777777" w:rsidR="00E751B6" w:rsidRPr="00E8457C" w:rsidRDefault="00E751B6" w:rsidP="00E751B6">
      <w:pPr>
        <w:pStyle w:val="NormalHanging12a"/>
      </w:pPr>
      <w:r w:rsidRPr="00E8457C">
        <w:t>–</w:t>
      </w:r>
      <w:r w:rsidRPr="00E8457C">
        <w:tab/>
        <w:t>atsižvelgdamas į Teisės reikalų komiteto nuomonę,</w:t>
      </w:r>
    </w:p>
    <w:p w14:paraId="0292AD13" w14:textId="5E10CFFE" w:rsidR="00E751B6" w:rsidRPr="00E8457C" w:rsidRDefault="00E751B6" w:rsidP="00E751B6">
      <w:pPr>
        <w:pStyle w:val="NormalHanging12a"/>
      </w:pPr>
      <w:r w:rsidRPr="00E8457C">
        <w:t>–</w:t>
      </w:r>
      <w:r w:rsidRPr="00E8457C">
        <w:tab/>
        <w:t>atsižvelgdamas į Biudžeto kontrolės komiteto pranešimą (A10</w:t>
      </w:r>
      <w:r w:rsidRPr="00E8457C">
        <w:noBreakHyphen/>
        <w:t>0055/2026)</w:t>
      </w:r>
      <w:r w:rsidR="00AC5310">
        <w:t>,</w:t>
      </w:r>
    </w:p>
    <w:p w14:paraId="50065664" w14:textId="77777777" w:rsidR="00E751B6" w:rsidRPr="00E8457C" w:rsidRDefault="00E751B6" w:rsidP="00E751B6">
      <w:pPr>
        <w:pStyle w:val="NormalHanging12a"/>
      </w:pPr>
      <w:r w:rsidRPr="00E8457C">
        <w:t>1.</w:t>
      </w:r>
      <w:r w:rsidRPr="00E8457C">
        <w:tab/>
        <w:t>patvirtina Teisingumo Teismo sekretoriui, kad Europos Sąjungos Teisingumo Teismo 2024 finansinių metų biudžetas įvykdytas;</w:t>
      </w:r>
    </w:p>
    <w:p w14:paraId="1E2D25C8" w14:textId="77777777" w:rsidR="00E751B6" w:rsidRPr="00E8457C" w:rsidRDefault="00E751B6" w:rsidP="00E751B6">
      <w:pPr>
        <w:pStyle w:val="NormalHanging12a"/>
      </w:pPr>
      <w:r w:rsidRPr="00E8457C">
        <w:t>2.</w:t>
      </w:r>
      <w:r w:rsidRPr="00E8457C">
        <w:tab/>
        <w:t>išdėsto savo pastabas toliau pateikiamoje rezoliucijoje;</w:t>
      </w:r>
    </w:p>
    <w:p w14:paraId="450F1FE8" w14:textId="77777777" w:rsidR="00E751B6" w:rsidRPr="00E8457C" w:rsidRDefault="00E751B6" w:rsidP="00E751B6">
      <w:pPr>
        <w:pStyle w:val="NormalHanging12a"/>
      </w:pPr>
      <w:r w:rsidRPr="00E8457C">
        <w:t>3.</w:t>
      </w:r>
      <w:r w:rsidRPr="00E8457C">
        <w:tab/>
        <w:t xml:space="preserve">paveda Pirmininkei perduoti šį sprendimą ir rezoliuciją, kuri yra neatskiriama sprendimo dalis, Europos Sąjungos Teisingumo Teismui, Tarybai, Komisijai ir Audito Rūmams, ir pasirūpinti, kad jie būtų paskelbti </w:t>
      </w:r>
      <w:r w:rsidRPr="00E8457C">
        <w:rPr>
          <w:i/>
        </w:rPr>
        <w:t>Europos Sąjungos oficialiajame leidinyje</w:t>
      </w:r>
      <w:r w:rsidRPr="00E8457C">
        <w:t xml:space="preserve"> (L serijoje).</w:t>
      </w:r>
    </w:p>
    <w:p w14:paraId="7047CE3C" w14:textId="77777777" w:rsidR="00E751B6" w:rsidRPr="00E8457C" w:rsidRDefault="00E751B6" w:rsidP="00E751B6">
      <w:pPr>
        <w:widowControl/>
      </w:pPr>
      <w:r w:rsidRPr="00E8457C">
        <w:br w:type="page"/>
      </w:r>
    </w:p>
    <w:p w14:paraId="0DBFD487" w14:textId="77777777" w:rsidR="00E751B6" w:rsidRPr="00E8457C" w:rsidRDefault="00E751B6" w:rsidP="00E751B6">
      <w:pPr>
        <w:pStyle w:val="PageHeading"/>
        <w:sectPr w:rsidR="00E751B6" w:rsidRPr="00E8457C" w:rsidSect="00E8457C">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2F64CD" w14:textId="492E7C5D" w:rsidR="00E751B6" w:rsidRDefault="00E751B6" w:rsidP="0097082F">
      <w:pPr>
        <w:pStyle w:val="ATHeading3"/>
      </w:pPr>
      <w:bookmarkStart w:id="8" w:name="_Toc225491756"/>
      <w:r w:rsidRPr="00E8457C">
        <w:t xml:space="preserve">2. </w:t>
      </w:r>
      <w:r w:rsidR="0042232A" w:rsidRPr="00E8457C">
        <w:t xml:space="preserve">2026 m. balandžio 29 d. Europos Parlamento </w:t>
      </w:r>
      <w:r w:rsidR="0042232A">
        <w:t>rezoliucija</w:t>
      </w:r>
      <w:r w:rsidR="0042232A" w:rsidRPr="00E8457C">
        <w:t xml:space="preserve"> </w:t>
      </w:r>
      <w:bookmarkEnd w:id="8"/>
      <w:r w:rsidRPr="00E8457C">
        <w:t>su pastabomis, sudarančiomis neatskiriamą sprendimo dėl 2024 finansinių metų Europos Sąjungos bendrojo biudžeto įvykdymo patvirtinimo, IV skirsnis – Europos Sąjungos Teisingumo Teismas, dalį</w:t>
      </w:r>
      <w:r w:rsidR="0042232A">
        <w:t xml:space="preserve"> </w:t>
      </w:r>
      <w:r w:rsidRPr="00E8457C">
        <w:t>(2025/2148(DEC))</w:t>
      </w:r>
    </w:p>
    <w:p w14:paraId="3D3AE6C3" w14:textId="77777777" w:rsidR="00E751B6" w:rsidRPr="00E8457C" w:rsidRDefault="00E751B6" w:rsidP="00E751B6">
      <w:pPr>
        <w:pStyle w:val="EPComma"/>
      </w:pPr>
      <w:r w:rsidRPr="00E8457C">
        <w:rPr>
          <w:i/>
        </w:rPr>
        <w:t>Europos Parlamentas</w:t>
      </w:r>
      <w:r w:rsidRPr="00E8457C">
        <w:t>,</w:t>
      </w:r>
    </w:p>
    <w:p w14:paraId="17B39BF6" w14:textId="77777777" w:rsidR="00E751B6" w:rsidRPr="00E8457C" w:rsidRDefault="00E751B6" w:rsidP="00E751B6">
      <w:pPr>
        <w:pStyle w:val="NormalHanging12a"/>
      </w:pPr>
      <w:r w:rsidRPr="00E8457C">
        <w:t>–</w:t>
      </w:r>
      <w:r w:rsidRPr="00E8457C">
        <w:tab/>
        <w:t>atsižvelgdamas į savo sprendimą dėl 2024 finansinių metų Europos Sąjungos bendrojo biudžeto įvykdymo patvirtinimo, IV skirsnis – Europos Sąjungos Teisingumo Teismas,</w:t>
      </w:r>
    </w:p>
    <w:p w14:paraId="6072ED07" w14:textId="77777777" w:rsidR="00E751B6" w:rsidRPr="00E8457C" w:rsidRDefault="00E751B6" w:rsidP="00E751B6">
      <w:pPr>
        <w:pStyle w:val="NormalHanging12a"/>
      </w:pPr>
      <w:r w:rsidRPr="00E8457C">
        <w:t>–</w:t>
      </w:r>
      <w:r w:rsidRPr="00E8457C">
        <w:tab/>
        <w:t>atsižvelgdamas į Darbo tvarkos taisyklių 102 straipsnį ir V priedą,</w:t>
      </w:r>
    </w:p>
    <w:p w14:paraId="33FC1C61" w14:textId="77777777" w:rsidR="00E751B6" w:rsidRPr="00E8457C" w:rsidRDefault="00E751B6" w:rsidP="00E751B6">
      <w:pPr>
        <w:pStyle w:val="NormalHanging12a"/>
      </w:pPr>
      <w:r w:rsidRPr="00E8457C">
        <w:t>–</w:t>
      </w:r>
      <w:r w:rsidRPr="00E8457C">
        <w:tab/>
        <w:t>atsižvelgdamas į Teisės reikalų komiteto nuomonę,</w:t>
      </w:r>
    </w:p>
    <w:p w14:paraId="69D99239" w14:textId="77777777" w:rsidR="00E751B6" w:rsidRPr="00E8457C" w:rsidRDefault="00E751B6" w:rsidP="00E751B6">
      <w:pPr>
        <w:pStyle w:val="NormalHanging12a"/>
        <w:tabs>
          <w:tab w:val="left" w:pos="720"/>
          <w:tab w:val="left" w:pos="1440"/>
          <w:tab w:val="left" w:pos="2160"/>
          <w:tab w:val="left" w:pos="2880"/>
          <w:tab w:val="left" w:pos="3600"/>
          <w:tab w:val="left" w:pos="4320"/>
          <w:tab w:val="left" w:pos="5040"/>
          <w:tab w:val="left" w:pos="5760"/>
          <w:tab w:val="left" w:pos="6480"/>
          <w:tab w:val="left" w:pos="7643"/>
        </w:tabs>
      </w:pPr>
      <w:r w:rsidRPr="00E8457C">
        <w:t>–</w:t>
      </w:r>
      <w:r w:rsidRPr="00E8457C">
        <w:tab/>
        <w:t>atsižvelgdamas į Biudžeto kontrolės komiteto pranešimą (A10</w:t>
      </w:r>
      <w:r w:rsidRPr="00E8457C">
        <w:noBreakHyphen/>
        <w:t>0055/2026),</w:t>
      </w:r>
    </w:p>
    <w:p w14:paraId="5ACB7E81" w14:textId="77777777" w:rsidR="00E751B6" w:rsidRPr="00E8457C" w:rsidRDefault="00E751B6" w:rsidP="00E751B6">
      <w:pPr>
        <w:pStyle w:val="NormalHanging12a"/>
      </w:pPr>
      <w:r w:rsidRPr="00E8457C">
        <w:t>A.</w:t>
      </w:r>
      <w:r w:rsidRPr="00E8457C">
        <w:tab/>
        <w:t>kadangi vykdant biudžeto įvykdymo patvirtinimo procedūrą biudžeto įvykdymą tvirtinanti institucija nori pabrėžti, jog ypač svarbu toliau stiprinti Sąjungos institucijų demokratinį teisėtumą didinant skaidrumą ir atskaitomybę, įgyvendinant rezultatais grindžiamo biudžeto sudarymo koncepciją ir užtikrinant gerą žmogiškųjų išteklių valdymą;</w:t>
      </w:r>
    </w:p>
    <w:p w14:paraId="4BC106FC" w14:textId="77777777" w:rsidR="00E751B6" w:rsidRPr="00E8457C" w:rsidRDefault="00E751B6" w:rsidP="00E751B6">
      <w:pPr>
        <w:pStyle w:val="NormalHanging12a"/>
        <w:rPr>
          <w:u w:val="single"/>
        </w:rPr>
      </w:pPr>
      <w:r w:rsidRPr="00E8457C">
        <w:t>B.</w:t>
      </w:r>
      <w:r w:rsidRPr="00E8457C">
        <w:tab/>
        <w:t>kadangi Europos Sąjungos Teisingumo Teismas (ESTT) yra Sąjungos teisminė institucija, kurios užduotis – užtikrinti Sąjungos teisės laikymąsi, prižiūrint, kad būtų vienodai aiškinamos ir taikomos Sutartys, bei užtikrinant Sąjungos institucijų, įstaigų, organų ir agentūrų priimtų priemonių teisėtumą;</w:t>
      </w:r>
    </w:p>
    <w:p w14:paraId="4735CF82" w14:textId="77777777" w:rsidR="00E751B6" w:rsidRPr="00E8457C" w:rsidRDefault="00E751B6" w:rsidP="00E751B6">
      <w:pPr>
        <w:pStyle w:val="NormalHanging12a"/>
      </w:pPr>
      <w:r w:rsidRPr="00E8457C">
        <w:t>C.</w:t>
      </w:r>
      <w:r w:rsidRPr="00E8457C">
        <w:tab/>
        <w:t>kadangi ESTT padeda išsaugoti Sąjungos vertybes ir, remdamasis savo jurisprudencija, siekia kurti Europą, išlikdamas atskaitingas piliečiams, užtikrindamas teisinį tikrumą, jurisprudencijos nuoseklumą ir teisminio aiškinimo ribų laikymąsi;</w:t>
      </w:r>
    </w:p>
    <w:p w14:paraId="76667F85" w14:textId="77777777" w:rsidR="00E751B6" w:rsidRPr="00E8457C" w:rsidRDefault="00E751B6" w:rsidP="00E751B6">
      <w:pPr>
        <w:pStyle w:val="NormalHanging12a"/>
      </w:pPr>
      <w:r w:rsidRPr="00E8457C">
        <w:t>D.</w:t>
      </w:r>
      <w:r w:rsidRPr="00E8457C">
        <w:tab/>
        <w:t>kadangi ESTT sudaro du teismai: Teisingumo Teismas ir Bendrasis Teismas;</w:t>
      </w:r>
    </w:p>
    <w:p w14:paraId="55371497" w14:textId="77777777" w:rsidR="00E751B6" w:rsidRPr="00E8457C" w:rsidRDefault="00E751B6" w:rsidP="00E751B6">
      <w:pPr>
        <w:pStyle w:val="NormalHanging12a"/>
      </w:pPr>
      <w:r w:rsidRPr="00E8457C">
        <w:t>E.</w:t>
      </w:r>
      <w:r w:rsidRPr="00E8457C">
        <w:tab/>
        <w:t>kadangi 2024 m. Parlamentas ir Taryba iš dalies pakeitė Protokolą Nr. 3 dėl ESTT statuto (toliau – Statutas)</w:t>
      </w:r>
      <w:r w:rsidRPr="00E8457C">
        <w:rPr>
          <w:rStyle w:val="FootnoteReference"/>
        </w:rPr>
        <w:footnoteReference w:id="7"/>
      </w:r>
      <w:r w:rsidRPr="00E8457C">
        <w:t>, kiek tai susiję su prejudicinių sprendimų konkrečiose srityse perdavimu Bendrojo Teismo jurisdikcijai;</w:t>
      </w:r>
    </w:p>
    <w:p w14:paraId="3D1DC7B0" w14:textId="77777777" w:rsidR="00E751B6" w:rsidRPr="00E8457C" w:rsidRDefault="00E751B6" w:rsidP="00E751B6">
      <w:pPr>
        <w:pStyle w:val="NormalHanging12a"/>
      </w:pPr>
      <w:r w:rsidRPr="00E8457C">
        <w:t>1.</w:t>
      </w:r>
      <w:r w:rsidRPr="00E8457C">
        <w:tab/>
        <w:t xml:space="preserve">pažymi, kad ESTT biudžetas priklauso DFP 7 išlaidų kategorijai „Europos viešasis administravimas“, jos suma 2023 m. siekė 13,3 mlrd. EUR (t. y. 6,9 proc. viso Sąjungos biudžeto); pažymi, kad maždaug 0,5 mlrd. EUR siekiantis ESTT biudžetas sudaro maždaug 3,76 proc. visų administracinių Sąjungos išlaidų, ir yra mažesnis nei 2023 m., kai sudarė 3,9 proc.; pabrėžia, kad su Sąjungos biudžeto tyrimu susijusiais atvejais visos kompetentingos institucijos turi visapusiškai laikytis tinkamo proceso ir pagrindinių teisių principų; </w:t>
      </w:r>
    </w:p>
    <w:p w14:paraId="3A8274D1" w14:textId="77777777" w:rsidR="00E751B6" w:rsidRPr="00E8457C" w:rsidRDefault="00E751B6" w:rsidP="00E751B6">
      <w:pPr>
        <w:pStyle w:val="NormalHanging12a"/>
      </w:pPr>
      <w:r w:rsidRPr="00E8457C">
        <w:t>2.</w:t>
      </w:r>
      <w:r w:rsidRPr="00E8457C">
        <w:tab/>
        <w:t>pažymi, kad Audito Rūmai savo 2024 finansinių metų metinėje ataskaitoje (toliau – Audito Rūmų ataskaita) išanalizavo 70 išlaidų kategorijos „Administravimas“ operacijų imtį – tiek pat kaip 2023 m.; taip pat Audito Rūmai nurodo, kad administracines išlaidas sudaro išlaidos žmogiškiesiems ištekliams, įskaitant išlaidas pensijoms, kurios 2024 m. sudarė apie 69 proc. visų administracinių išlaidų, taip pat išlaidos pastatams, įrangai, energijai, komunikacijai ir informacinėms technologijoms (IT), ir kad jų daugelio metų darbo patirtis rodo, jog apskritai šios išlaidos yra nedidelės rizikos išlaidos;</w:t>
      </w:r>
    </w:p>
    <w:p w14:paraId="39C85383" w14:textId="77777777" w:rsidR="00E751B6" w:rsidRPr="00E8457C" w:rsidRDefault="00E751B6" w:rsidP="00E751B6">
      <w:pPr>
        <w:pStyle w:val="NormalHanging12a"/>
      </w:pPr>
      <w:r w:rsidRPr="00E8457C">
        <w:t>3.</w:t>
      </w:r>
      <w:r w:rsidRPr="00E8457C">
        <w:tab/>
        <w:t>pažymi, kad 16 (23 proc.) iš 70 operacijų buvo klaidų, tačiau Audito Rūmai, remdamiesi trimis kiekybiškai įvertintomis klaidomis, apskaičiavo, kad klaidų lygis nesiekia reikšmingumo ribos; pažymi, kad Audito Rūmų ataskaitoje nenustatyta jokių konkrečių su ESTT susijusių problemų;</w:t>
      </w:r>
    </w:p>
    <w:p w14:paraId="55389D68" w14:textId="77777777" w:rsidR="00E751B6" w:rsidRPr="0097082F" w:rsidRDefault="00E751B6" w:rsidP="00E751B6">
      <w:pPr>
        <w:pStyle w:val="NormalHanging12a"/>
        <w:rPr>
          <w:b/>
          <w:i/>
          <w:iCs/>
        </w:rPr>
      </w:pPr>
      <w:r w:rsidRPr="0097082F">
        <w:rPr>
          <w:b/>
          <w:i/>
          <w:iCs/>
        </w:rPr>
        <w:t>Biudžeto ir finansų valdymas</w:t>
      </w:r>
    </w:p>
    <w:p w14:paraId="77FB904B" w14:textId="77777777" w:rsidR="00E751B6" w:rsidRPr="00E8457C" w:rsidRDefault="00E751B6" w:rsidP="00E751B6">
      <w:pPr>
        <w:pStyle w:val="NormalHanging12a"/>
      </w:pPr>
      <w:r w:rsidRPr="00E8457C">
        <w:t>4.</w:t>
      </w:r>
      <w:r w:rsidRPr="00E8457C">
        <w:tab/>
        <w:t>pažymi, kad ESTT skirtas 2024 m. biudžetas siekė 503 837 531 EUR, t. y. 3,66 proc. daugiau nei 2023 m.; pažymi, kad šis padidėjimas daugiausia buvo susijęs su 2024 m. prognozuotu darbo užmokesčio koregavimu;</w:t>
      </w:r>
    </w:p>
    <w:p w14:paraId="08DB9492" w14:textId="77777777" w:rsidR="00E751B6" w:rsidRPr="00E8457C" w:rsidRDefault="00E751B6" w:rsidP="00E751B6">
      <w:pPr>
        <w:pStyle w:val="NormalHanging12a"/>
        <w:rPr>
          <w:bCs/>
          <w:iCs/>
        </w:rPr>
      </w:pPr>
      <w:r w:rsidRPr="00E8457C">
        <w:t>5.</w:t>
      </w:r>
      <w:r w:rsidRPr="00E8457C">
        <w:tab/>
        <w:t>pažymi, kad personalo išlaidos sudaro beveik 80 proc. ESTT biudžeto ir kad 2024 m. darbo užmokesčio indeksavimas viršijo pradines prognozes; pabrėžia, kad, nors šie padidinimai buvo įsisavinti papildomai nepadidinus biudžeto, dėl jų pasikartojančio pobūdžio kyla klausimų dėl vidutinės trukmės biudžeto tvarumo esant dabartiniams DFP apribojimams; ragina stiprinti daugiametį darbo jėgos ir išlaidų planavimą, nepakenkiant teismų nepriklausomumui;</w:t>
      </w:r>
    </w:p>
    <w:p w14:paraId="6ADF5A50" w14:textId="77777777" w:rsidR="00E751B6" w:rsidRPr="00E8457C" w:rsidRDefault="00E751B6" w:rsidP="00E751B6">
      <w:pPr>
        <w:pStyle w:val="NormalHanging12a"/>
      </w:pPr>
      <w:r w:rsidRPr="00E8457C">
        <w:t>6.</w:t>
      </w:r>
      <w:r w:rsidRPr="00E8457C">
        <w:tab/>
        <w:t>atkreipia dėmesį į ESTT atsakymus į klausimyną dėl 2024 m. biudžeto įvykdymo patvirtinimo, kad 2024 m. pabaigoje bendras preliminarus biudžeto įvykdymo lygis buvo 97,72 proc., kaip ir 2023 m., o galutinis 2024 m. įgyvendinimo lygis bus žinomas 2025 m. pabaigoje; pažymi, kad biudžeto valdymo institucijai buvo pateikti trys perkėlimai pagal Finansinio reglamento 29 straipsnį siekiant padidinti biudžeto eilutes „Įrangos ir programinės įrangos įsigijimas, aptarnavimas ir priežiūra“, „Ikimokyklinio ugdymo centras“ bei „Pastatai“ panaudojant kitų biudžeto eilučių, visų pirma personalui skirtos biudžeto eilutės „Darbo užmokestis ir išmokos“, lėšas;</w:t>
      </w:r>
    </w:p>
    <w:p w14:paraId="15988E86" w14:textId="77777777" w:rsidR="00E751B6" w:rsidRPr="00E8457C" w:rsidRDefault="00E751B6" w:rsidP="00E751B6">
      <w:pPr>
        <w:pStyle w:val="NormalHanging12a"/>
      </w:pPr>
      <w:r w:rsidRPr="00E8457C">
        <w:t>7.</w:t>
      </w:r>
      <w:r w:rsidRPr="00E8457C">
        <w:tab/>
        <w:t>sutinka, kad ESTT gebėjimams reaguoti į vis didėjantį darbo krūvį kilo iššūkių, viena vertus, dėl Komisijos biudžeto rengimo gairių, kuriomis buvo leista visas su darbo užmokesčiu nesusijusias išlaidas didinti ne daugiau kaip 2 proc. ir neskatinama teikti prašymų dėl naujų pareigybių, ir, kita vertus, dėl EPSO nesugebėjimo pateikti Sąjungos institucijoms pakankamo skaičiaus konkursų laimėtojų, kuriuos būtų galima įdarbinti; be to, pažymi, kad ESTT biudžetui ir toliau darė spaudimą neteisėto Rusijos agresijos prieš Ukrainą karo infliacinis poveikis, pvz., dėl didėjančių komandiruočių išlaidų arba padidėjusių užsakomų prekių ir paslaugų kainų; palankiai vertina ESTT priemones, kuriomis siekiama sušvelninti tokį poveikį mažinant komandiruočių skaičių, ribojant išlaidas energijai ir visų pirma nustatant projektų prioritetus rengiant biudžeto sąmatas; pripažįsta, kad visos Sąjungos institucijos, sudarydamos sutartis su paslaugų teikėjais, turi gerinti savo biudžeto valdymą, be kita ko, atsižvelgdamos į kainų nepastovumą, ypač energetikos sektoriuje; ragina ESTT toliau didinti išlaidų efektyvumą ir proaktyvų biudžeto planavimą, kad būtų išsaugota teismų kokybė, atsižvelgiant į turimus išteklius;</w:t>
      </w:r>
    </w:p>
    <w:p w14:paraId="18A06E0B" w14:textId="77777777" w:rsidR="00E751B6" w:rsidRPr="00E8457C" w:rsidRDefault="00E751B6" w:rsidP="00E751B6">
      <w:pPr>
        <w:pStyle w:val="NormalHanging12a"/>
      </w:pPr>
      <w:r w:rsidRPr="00E8457C">
        <w:t>8.</w:t>
      </w:r>
      <w:r w:rsidRPr="00E8457C">
        <w:tab/>
        <w:t>pažymi, kad vidutinis mokėjimo laikotarpis šiek tiek padidėjo nuo 23,1 dienos 2023 m. iki 23,7 dienos 2024 m., taip pat padidėjo elektroniniu būdu gautų sąskaitų faktūrų dalis nuo 81 proc. 2023 m. iki 88 proc. 2024 m.; pažymi, kad, remiantis ESTT tolesniais veiksmais dėl pastabų Parlamento rezoliucijoje dėl 2023 m. biudžeto įvykdymo patvirtinimo (toliau – ataskaita dėl tolesnių veiksmų), sąskaitų faktūrų, susijusių su išorinėmis vertimo paslaugomis, apmokėjimas priklauso nuo peržiūros proceso, kuris yra būtinas siekiant užtikrinti reikiamą aukštą vertimo kokybę;</w:t>
      </w:r>
    </w:p>
    <w:p w14:paraId="5DAA5AC9" w14:textId="77777777" w:rsidR="00E751B6" w:rsidRPr="00E8457C" w:rsidRDefault="00E751B6" w:rsidP="00E751B6">
      <w:pPr>
        <w:pStyle w:val="NormalHanging12a"/>
      </w:pPr>
      <w:r w:rsidRPr="00E8457C">
        <w:t>9.</w:t>
      </w:r>
      <w:r w:rsidRPr="00E8457C">
        <w:tab/>
        <w:t>su pasitenkinimu pažymi, kad ESTT narių ir darbuotojų komandiruočių biudžetas mažėjo antrus metus iš eilės – nuo 638 000 EUR 2023 m. iki 616 000 EUR 2024 m., t. y. maždaug 3,3 proc.;</w:t>
      </w:r>
    </w:p>
    <w:p w14:paraId="6B69B319" w14:textId="77777777" w:rsidR="00E751B6" w:rsidRPr="0097082F" w:rsidRDefault="00E751B6" w:rsidP="00E751B6">
      <w:pPr>
        <w:pStyle w:val="NormalHanging12a"/>
        <w:rPr>
          <w:b/>
          <w:i/>
          <w:iCs/>
        </w:rPr>
      </w:pPr>
      <w:r w:rsidRPr="0097082F">
        <w:rPr>
          <w:b/>
          <w:i/>
          <w:iCs/>
        </w:rPr>
        <w:t>Vidaus valdymas, veiklos rezultatai ir vidaus kontrolė</w:t>
      </w:r>
    </w:p>
    <w:p w14:paraId="5108BD5E" w14:textId="77777777" w:rsidR="00E751B6" w:rsidRPr="00E8457C" w:rsidRDefault="00E751B6" w:rsidP="00E751B6">
      <w:pPr>
        <w:spacing w:after="240"/>
        <w:ind w:left="567" w:hanging="567"/>
      </w:pPr>
      <w:r w:rsidRPr="00E8457C">
        <w:t>10.</w:t>
      </w:r>
      <w:r w:rsidRPr="00E8457C">
        <w:tab/>
        <w:t xml:space="preserve">palankiai vertina ESTT atsakymus į klausimyną dėl 2024 m. biudžeto įvykdymo patvirtinimo dėl ESTT pastangų užbaigti teisminę reformą, kad Bendrajam Teismui būtų iš dalies perduota Teisingumo Teismo jurisdikcija priimti prejudicinius sprendimus ir būtų sudarytos galimybės nuo 2024 m. spalio 1 d. įgyvendinti naują reguliavimo sistemą; šiuo atžvilgiu pažymi, kad 2024 m. buvo reorganizuota Bendrojo Teismo struktūra, pakeistos ESTT darbo tvarkos taisyklės, priimtas naujas Bendrojo Teismo praktikos taisyklių dėl darbo tvarkos taisyklių įgyvendinimo rinkinys, priimtas naujas sprendimas dėl procesinių dokumentų teikimo ir jų tvarkymo per „e-Curia“, kuriama nauja programinė įranga (vieno langelio principu veikianti sistema), skirta greitai bylų analizei ir tvarkymui, teisminiai rezultatai tapo efektyvesni ir kokybiškesni ir buvo suderinta Teisingumo Teismo ir Bendrojo Teismo registrų praktika; palankiai vertina tai, kad per pirmuosius tris mėnesius nuo reformos įsigaliojimo Bendrajam Teismui jau buvo perduota 19 prejudicinių sprendimų – tai parodė pirmuosius rezultatus siekiant labiau subalansuoto darbo krūvio pasiskirstymo tarp šių dviejų teismų; pažymi, kad vienintelės papildomos išlaidos, susijusios su šios teismų reformos įgyvendinimu, buvo susijusios su IT ir buvo skirtos vieno langelio principu veikiančiai sistemai kurti – tam skirta maždaug 805 000 EUR, o personalo reformos poveikis biudžetui buvo neutralus, nes pareigybės ir pareigos buvo perskirstytos institucijos viduje; ragina ESTT pranešti apie konkretų teismų reformos poveikį veiksmingumui, proceso trukmei ir darbo krūvio paskirstymui tarp Teisingumo Teismo ir Bendrojo Teismo, įskaitant skaitmeninių priemonių poveikį nagrinėjimo laikui ir darbo krūvio pusiausvyrai; ragina ESTT per kitą biudžeto įvykdymo patvirtinimo procedūrą pateikti išsamų reformos </w:t>
      </w:r>
      <w:r w:rsidRPr="00E8457C">
        <w:rPr>
          <w:i/>
          <w:iCs/>
        </w:rPr>
        <w:t>ex post</w:t>
      </w:r>
      <w:r w:rsidRPr="00E8457C">
        <w:t xml:space="preserve"> vertinimą;</w:t>
      </w:r>
    </w:p>
    <w:p w14:paraId="57559F94" w14:textId="77777777" w:rsidR="00E751B6" w:rsidRPr="00E8457C" w:rsidRDefault="00E751B6" w:rsidP="00E751B6">
      <w:pPr>
        <w:pStyle w:val="NormalHanging12a"/>
      </w:pPr>
      <w:r w:rsidRPr="00E8457C">
        <w:t>11.</w:t>
      </w:r>
      <w:r w:rsidRPr="00E8457C">
        <w:tab/>
        <w:t>pažymi, kad 2024 m. Teisingumo Teismas priėmė sprendimus 12-oje bylų, susijusių su Sąjungos teisės viršenybės principu, iš kurių 10 bylų buvo susijusios su prejudiciniais sprendimais, o dvi – su pažeidimais; pakartoja, kad Sąjungos teisės viršenybės principas, kuriuo užtikrinamas vienodas Sąjungos teisės aiškinimas ir taikymas visose valstybėse narėse ir apsaugoma teisinė valstybė, yra esminis kaip viena iš pagrindinių Sąjungos vertybių; dar kartą vienareikšmiškai patvirtina, kad Sąjungos teisės viršenybė yra Sąjungos teisinės tvarkos kertinis akmuo, ir pabrėžia esminį ESTT vaidmenį užtikrinant teisinės valstybės principo laikymąsi visoje Sąjungoje; pažymi, kad Europos Sąjungos sutarties 4 straipsnio 2 dalyje nurodyta, kad „Sąjunga gerbia valstybių narių lygybę prieš Sutartis bei nacionalinį jų savitumą, neatsiejamą nuo pagrindinių politinių bei konstitucinių jų struktūrų, įskaitant regioninę ir vietos savivaldą.“;</w:t>
      </w:r>
    </w:p>
    <w:p w14:paraId="0AD7E834" w14:textId="77777777" w:rsidR="00E751B6" w:rsidRPr="00E8457C" w:rsidRDefault="00E751B6" w:rsidP="00E751B6">
      <w:pPr>
        <w:pStyle w:val="NormalHanging12a"/>
      </w:pPr>
      <w:r w:rsidRPr="00E8457C">
        <w:t>12.</w:t>
      </w:r>
      <w:r w:rsidRPr="00E8457C">
        <w:tab/>
        <w:t>atkreipia dėmesį į ESTT atsakymus, pateiktus klausimyne dėl 2024 m. biudžeto įvykdymo patvirtinimo, pagal kuriuos 2024 m. Teisingumo Teismui buvo pateikta 920 naujų bylų (palyginti su 821 byla 2023 m.), iš jų 62,30 proc. buvo prašymai priimti prejudicinį sprendimą, o 277 buvo apeliaciniai skundai dėl Bendrojo Teismo sprendimų; pažymi, kad Bendrajame Teisme naujų bylų skaičius labai sumažėjo – nuo 1 271 2023 m. iki 786 2024 m., iš kurių 35,88 proc. buvo ieškiniai dėl Sąjungos institucijų aktų panaikinimo, 34,10 proc. – ieškiniai, susiję su intelektine nuosavybe, ir 9,67 proc. bylų – Sąjungos institucijų ir jų darbuotojų ginčai;</w:t>
      </w:r>
    </w:p>
    <w:p w14:paraId="17F3DAE6" w14:textId="77777777" w:rsidR="00E751B6" w:rsidRPr="00E8457C" w:rsidRDefault="00E751B6" w:rsidP="00E751B6">
      <w:pPr>
        <w:pStyle w:val="NormalHanging12a"/>
      </w:pPr>
      <w:r w:rsidRPr="00E8457C">
        <w:t>13.</w:t>
      </w:r>
      <w:r w:rsidRPr="00E8457C">
        <w:tab/>
        <w:t>pritaria ESTT, kad Komisija, kaip Sutarčių sergėtoja, turėtų stebėti, kaip valstybės narės laikosi ESTT sprendimų; pakartoja savo raginimą ESTT, griežtai laikantis savo vaidmens ribų, sukurti mechanizmą, skirtą geriausiai ir prastai valstybių narių praktikai nustatyti;</w:t>
      </w:r>
    </w:p>
    <w:p w14:paraId="01217264" w14:textId="77777777" w:rsidR="00E751B6" w:rsidRPr="00E8457C" w:rsidRDefault="00E751B6" w:rsidP="00E751B6">
      <w:pPr>
        <w:pStyle w:val="NormalHanging12a"/>
      </w:pPr>
      <w:r w:rsidRPr="00E8457C">
        <w:t>14.</w:t>
      </w:r>
      <w:r w:rsidRPr="00E8457C">
        <w:tab/>
        <w:t xml:space="preserve">pažymi, kad Bendrojo Teismo baigtų nagrinėti bylų skaičius padidėjo nuo 904 (2023 m.) iki 922 (2024 m.), o Teisingumo Teismo baigtų nagrinėti bylų skaičius padidėjo nuo 783 (2023 m.) iki 863 (2024 m.) – pastarąjį padidėjimą paskatino tai, kad 2024 m. buvo kas trejus metus vykdomas dalies Teisingumo Teismo teisėjų ir generalinių advokatų pakeitimas; taip pat pažymi, kad Teisingumo Teisme neišnagrinėtų bylų skaičius padidėjo nuo 1 149 (2023 m.) iki 1 206 (2024 m.), o Bendrajame Teisme neišnagrinėtų bylų skaičius sumažėjo nuo 1 438 (2023 m.) iki 1 302 (2024 m.) (įskaitant 404 iš esmės identiškas bylas, kurios skaičiuojamos kaip viena byla), tai iš dalies lėmė baigtos nagrinėti tam tikros didelių bylų grupės; </w:t>
      </w:r>
    </w:p>
    <w:p w14:paraId="7B2E08B8" w14:textId="77777777" w:rsidR="00E751B6" w:rsidRPr="00E8457C" w:rsidRDefault="00E751B6" w:rsidP="00E751B6">
      <w:pPr>
        <w:pStyle w:val="NormalHanging12a"/>
      </w:pPr>
      <w:r w:rsidRPr="00E8457C">
        <w:t>15.</w:t>
      </w:r>
      <w:r w:rsidRPr="00E8457C">
        <w:tab/>
        <w:t>taip pat palankiai vertina tai, kad sutrumpėjo vidutinis bylų nagrinėjimo Teisingumo Teisme skubos tvarka laikas – jis sumažėjo nuo 4,3 mėnesio 2023 m. iki 3,3 mėnesio 2024 m.;</w:t>
      </w:r>
    </w:p>
    <w:p w14:paraId="301162FF" w14:textId="77777777" w:rsidR="00E751B6" w:rsidRPr="00E8457C" w:rsidRDefault="00E751B6" w:rsidP="00E751B6">
      <w:pPr>
        <w:pStyle w:val="NormalHanging12a"/>
      </w:pPr>
      <w:r w:rsidRPr="00E8457C">
        <w:t>16.</w:t>
      </w:r>
      <w:r w:rsidRPr="00E8457C">
        <w:tab/>
        <w:t>pažymi, kad vidutinė Teisingumo Teismo baigtų nagrinėti bylų proceso trukmė 2024 m. buvo 17,7 mėnesio, palyginti su 16,1 mėnesio 2023 m., ir šis atitinkamas trukmės padidėjimas maždaug šešiomis savaitėmis buvo susijęs su kai kurių bylų sudėtingumu ir didele apimtimi (kaip antai, 2020 m. pateikti ieškiniai dėl Sąjungos vadinamojo judumo dokumentų rinkinio, kurie buvo baigti nagrinėti 2024 m.); pažymi, kad vidutinė bylų, kurios buvo baigtos Bendrojo Teismo sprendimu arba nutartimi, trukmė padidėjo nuo 18,2 mėnesio 2023 m. iki 18,5 mėnesio 2024 m.; pabrėžia, kad teismo procesų savalaikiškumas turi išlikti pagrindiniu veiklos tikslu, nes pernelyg ilga trukmė daro tiesioginį poveikį teisiniam tikrumui piliečiams, nacionaliniams teismams ir ekonominės veiklos vykdytojams;</w:t>
      </w:r>
    </w:p>
    <w:p w14:paraId="260FA216" w14:textId="77777777" w:rsidR="00E751B6" w:rsidRPr="00E8457C" w:rsidRDefault="00E751B6" w:rsidP="00E751B6">
      <w:pPr>
        <w:pStyle w:val="NormalHanging12a"/>
      </w:pPr>
      <w:r w:rsidRPr="00E8457C">
        <w:t>17.</w:t>
      </w:r>
      <w:r w:rsidRPr="00E8457C">
        <w:tab/>
        <w:t>ragina ESTT, bendradarbiaujant su nacionaliniais teismais, išnagrinėti praktines rekomendacines priemones (pavyzdžiui, gaires, prašymų priimti prejudicinius sprendimus šablonus, internetinius mokymus), kad būtų lengviau aiškiai ir tikslingai suformuluoti klausimus, kai priimami prejudiciniai sprendimai, taip sumažinant nereikalingų ar pernelyg ilgų procesų riziką;</w:t>
      </w:r>
    </w:p>
    <w:p w14:paraId="40C9EA7A" w14:textId="77777777" w:rsidR="00E751B6" w:rsidRPr="00E8457C" w:rsidRDefault="00E751B6" w:rsidP="00E751B6">
      <w:pPr>
        <w:pStyle w:val="NormalHanging12a"/>
      </w:pPr>
      <w:r w:rsidRPr="00E8457C">
        <w:t>18.</w:t>
      </w:r>
      <w:r w:rsidRPr="00E8457C">
        <w:tab/>
        <w:t>palankiai vertina užfiksuotą aktyvesnį taikomosios programos „e-Curia“ naudojimą: nacionalinių teismų sukurtų paskyrų „e-Curia“ skaičius padidėjo nuo 451 (2023 m.) iki 566 (2024 m.), o per „e-Curia“ pateiktų procesinių dokumentų procentinė dalis Teisingumo Teisme pasiekė 91 proc. ir Bendrajame Teisme – 96 proc.;</w:t>
      </w:r>
    </w:p>
    <w:p w14:paraId="1D3524E9" w14:textId="77777777" w:rsidR="00E751B6" w:rsidRPr="00E8457C" w:rsidRDefault="00E751B6" w:rsidP="00E751B6">
      <w:pPr>
        <w:pStyle w:val="NormalHanging12a"/>
      </w:pPr>
      <w:r w:rsidRPr="00E8457C">
        <w:t>19.</w:t>
      </w:r>
      <w:r w:rsidRPr="00E8457C">
        <w:tab/>
        <w:t>teigiamai vertina ESTT suformuluotą veiklos rezultatais grindžiamą požiūrį, sudarantį sąlygas ESTT priimti sprendimus remiantis rezultatais ir savo tikslų pasiekimo lygiu, vertinamu naudojant kiekvienam departamentui pritaikytą darbo krūvio ir veiklos rodiklių rinkinį (pvz., išlaidų veiksmingumo, projektų užbaigimo rodiklius, naudotojų pasitenkinimo ir išteklių optimizavimo); pažymi, kad ESTT naudojami pagrindiniai veiklos rezultatų rodikliai apima įvairias konkrečias sritis, kuriomis remiami penki valdymo tikslai, susiję su tinkamu dviejų teismų veikimu, skaitmenizacija ir besiformuojančiomis technologijomis, atvirumu ir skaidrumu, daugiakalbyste ir žmogiškųjų išteklių valdymu; pabrėžia, kad, siekdamas remti veiksmingą valdymą ir atskaitomybę, ESTT turi užtikrinti, kad šie rodikliai būtų skaidrūs, orientuoti į rezultatus ir reguliariai peržiūrimi;</w:t>
      </w:r>
    </w:p>
    <w:p w14:paraId="1AD5C947" w14:textId="77777777" w:rsidR="00E751B6" w:rsidRPr="00E8457C" w:rsidRDefault="00E751B6" w:rsidP="00E751B6">
      <w:pPr>
        <w:pStyle w:val="NormalHanging12a"/>
      </w:pPr>
      <w:r w:rsidRPr="00E8457C">
        <w:t>20.</w:t>
      </w:r>
      <w:r w:rsidRPr="00E8457C">
        <w:tab/>
        <w:t>palankiai vertina 2024 m. persvarstytą jo požiūrį dėl investicijų į inovacijų iniciatyvas grąžos, atsižvelgiant į sąnaudų vertinimą taikant tokius parametrus kaip įgyvendinimas ir personalo pastangos, metinė priežiūra, rangovų išlaidos ir kitų rūšių išlaidos, taip pat į naudos vertinimą pagal tokius parametrus kaip numatomas pelnas, strateginiai privalumai ir poveikį patiriančių naudotojų skaičius; pažymi, kad 2024 m. ESTT taip pat atliko išsamią savo sistemos, skirtos projektų valdymo stebėsenai ir finansiniam projektų stebėjimui atlikti, peržiūrą, siekdamas užtikrinti, kad iki 2025 m. būtų teikiamos išsamios ataskaitos ir kontroliuojamos jo laiku grindžiamos skaitmeninimo konsultacinės paslaugos; ragina ESTT šiuo klausimu nuolat informuoti biudžeto įvykdymą tvirtinančią instituciją;</w:t>
      </w:r>
    </w:p>
    <w:p w14:paraId="169758FA" w14:textId="77777777" w:rsidR="00E751B6" w:rsidRPr="00E8457C" w:rsidRDefault="00E751B6" w:rsidP="00E751B6">
      <w:pPr>
        <w:pStyle w:val="NormalHanging12a"/>
      </w:pPr>
      <w:r w:rsidRPr="00E8457C">
        <w:t>21.</w:t>
      </w:r>
      <w:r w:rsidRPr="00E8457C">
        <w:tab/>
        <w:t>pažymi, kad remiantis 2024 m. ESTT vidaus audito ataskaita (toliau – vidaus ataskaita), pagrindinė audito veikla, kurią 2024 m. atliko ESTT vidaus audito skyrius, buvo susijusi su ESTT projekto, skirto infrastruktūros saugumo priemonėms atnaujinti, ir turto inventorizacijos projektų auditu, taip pat su trimis tyrimais: dėl ESTT žmogiškojo kapitalo poreikių pokyčių generatyvinio dirbtinio intelekto laikais, dėl organizacijų ir jų darbuotojų kompetencijų besikeičiančioje aplinkoje ir darbuotojų gerovės bei naujų technologijų; remdamasis vidaus ataskaita palankiai vertina tai, kad atitinkami skyriai ėmėsi veiksmų, kad įgyvendintų audito rekomendacijas, dažnai dar prieš užbaigiant auditus; be to, pažymi, kad kalbant apie 2024 m. programą, IT licencijų audito ir baldų bei įrangos pirkimų valdymo audito paskutinės dalies darbai buvo tęsiami 2025 m.; pažymi, kad per du pastaruosius ataskaitinius laikotarpius, pastarojo audito padėtis, kaip pranešama, nepakito; ragina ESTT ateityje pateikti atnaujintą informaciją dėl veiksmų, kurių imtasi dėl vidaus audito rekomendacijų stebėsenos, lentelės pavidalu, nurodant joje kiekvieno veiksmo ir rekomendacijos įgyvendinimo būklę;</w:t>
      </w:r>
    </w:p>
    <w:p w14:paraId="473D1A6E" w14:textId="77777777" w:rsidR="00E751B6" w:rsidRPr="0097082F" w:rsidRDefault="00E751B6" w:rsidP="00E751B6">
      <w:pPr>
        <w:pStyle w:val="NormalHanging12a"/>
        <w:rPr>
          <w:b/>
          <w:i/>
          <w:iCs/>
        </w:rPr>
      </w:pPr>
      <w:r w:rsidRPr="0097082F">
        <w:rPr>
          <w:b/>
          <w:i/>
          <w:iCs/>
        </w:rPr>
        <w:t>Žmogiškieji ištekliai, lygybė ir darbuotojų gerovė</w:t>
      </w:r>
    </w:p>
    <w:p w14:paraId="0E2BBCDD" w14:textId="77777777" w:rsidR="00E751B6" w:rsidRPr="00E8457C" w:rsidRDefault="00E751B6" w:rsidP="00E751B6">
      <w:pPr>
        <w:pStyle w:val="NormalHanging12a"/>
      </w:pPr>
      <w:r w:rsidRPr="00E8457C">
        <w:t>22.</w:t>
      </w:r>
      <w:r w:rsidRPr="00E8457C">
        <w:tab/>
        <w:t>pažymi, kad bendras pareigūnų skaičius metų pabaigoje padidėjo nuo 1 340 (58 proc.) 2023 m. iki 1 354 (60 proc.) 2024 m., laikinųjų darbuotojų skaičius sumažėjo nuo 765 (33 proc.) 2023 m. iki 740 (33 proc.) 2024 m., ir sutartininkų skaičius sumažėjo nuo 198 (9 proc.) 2023 m. iki 173 (7 proc.) 2024 m.; pažymi, kad užimtumo lygis šiek tiek sumažėjo nuo 97,11 proc. 2023 m. iki 96,70 proc. 2024 m., o metinė darbuotojų kaita sumažėjo nuo 6,54 proc. 2023 m. iki 6,32 proc. 2024 m. ir 41 proc. išėjusių darbuotojų išėjo į pensiją;</w:t>
      </w:r>
    </w:p>
    <w:p w14:paraId="3EF92807" w14:textId="77777777" w:rsidR="00E751B6" w:rsidRPr="00E8457C" w:rsidRDefault="00E751B6" w:rsidP="00E751B6">
      <w:pPr>
        <w:pStyle w:val="NormalHanging12a"/>
      </w:pPr>
      <w:r w:rsidRPr="00E8457C">
        <w:t>23.</w:t>
      </w:r>
      <w:r w:rsidRPr="00E8457C">
        <w:tab/>
        <w:t>pažymi, kad Teisingumo Teismą sudaro 27 teisėjai ir 11 generalinių advokatų, o Bendrąjį Teismą sudaro 54 teisėjai; taip pat pažymi, kad dėl dalinio pakeitimo 2024 m. pareigas pradėjo eiti devyni nauji teisėjai Teisingumo Teisme ir du nauji teisėjai Bendrajame teisme; apgailestauja, kad Teisingumo Teismo ir Bendrojo Teismo sudėtis lyčių atžvilgiu ir toliau yra itin nesubalansuota; palankiai vertina 2024 m. Bendrojo Teismo pirmininko laišką valstybių narių vyriausybių atstovų konferencijos pirmininkui, kuriame valstybės narės raginamos skiriant kandidatus, kai keičiami teisėjai bei generaliniai advokatai, atsižvelgti į poreikį užtikrinti lyčių pusiausvyrą; dar kartą ragina valstybes nares skiriant kandidatus pakeisti teisėjus atsižvelgti į būtinybę užtikrinti lyčių pusiausvyrą, kartu užtikrinant, kad kandidatūros ir toliau būtų grindžiamos nuopelnais, kvalifikacija ir nepriklausomumo kriterijais;</w:t>
      </w:r>
    </w:p>
    <w:p w14:paraId="778161CA" w14:textId="77777777" w:rsidR="00E751B6" w:rsidRPr="00E8457C" w:rsidRDefault="00E751B6" w:rsidP="00E751B6">
      <w:pPr>
        <w:pStyle w:val="NormalHanging12a"/>
      </w:pPr>
      <w:r w:rsidRPr="00E8457C">
        <w:t>24.</w:t>
      </w:r>
      <w:r w:rsidRPr="00E8457C">
        <w:tab/>
        <w:t>pažymi, kad 2024 m. ESTT dirbo 60,70 proc. moterų ir 39,30 proc. vyrų; pažymi, kad moterų skaičius buvo didžiausias asistentų kategorijose (69,14 proc.), ir, deja, mažiausias – vyresniosios vadovybės pareigose (35,71 proc.); taip pat pažymi, kad 2024 m. moterų, einančių vidutinio lygio vadovaujančias pareigas, skaičius padidėjo nuo 43,33 (2023 m.) iki 51,61 proc. su pasitenkinimu pažymi, kad 2024 m. deleguotojo leidimus suteikiančio pareigūno valdymo ataskaitoje teigiama, kad apskritai yra tendencija, kad moterų atstovavimas vadovaujančiose pareigose didėja – nuo 37,50 proc. 2018 m. iki 48,70 proc. 2024 m.; pabrėžia, kad susirūpinimą tebekelia nuolatinis nepakankamas moterų atstovavimas vyresniosios vadovybės pareigose, ir ragina Teismą toliau stiprinti tikslines priemones, kuriomis siekiama remti moterų karjeros raidą ir lyderystės būdus, visapusiškai laikantis nuopelnų ir skaidrumo principų;</w:t>
      </w:r>
    </w:p>
    <w:p w14:paraId="39918D00" w14:textId="77777777" w:rsidR="00E751B6" w:rsidRPr="00E8457C" w:rsidRDefault="00E751B6" w:rsidP="00E751B6">
      <w:pPr>
        <w:pStyle w:val="NormalHanging12a"/>
        <w:rPr>
          <w:bCs/>
          <w:iCs/>
        </w:rPr>
      </w:pPr>
      <w:r w:rsidRPr="00E8457C">
        <w:t>25.</w:t>
      </w:r>
      <w:r w:rsidRPr="00E8457C">
        <w:tab/>
        <w:t>palankiai vertina tai, kad parengtas veiksmų planas dėl Europos Tarybos konvencijos dėl smurto prieš moteris ir smurto šeimoje prevencijos ir kovos su juo (toliau – Stambulo konvencija), kuriuo suderinami veiksmai, teikiamos rekomendacijos ir organizuojama informavimo bei mokymo veikla visiems darbuotojams, siekiant užkirsti kelią priekabiavimo atvejams; atkreipia dėmesį į tai, kad paskelbta apie tolesnius veiksmus, kurie apima tolesnį bendradarbiavimą su nacionalinėmis organizacijomis, dirbančiomis smurto prieš moteris prevencijos srityje, papildomas informuotumo didinimo iniciatyvas ir mokymo sesijas, kuriose visų pirma pabrėžiamas mikroagresijų ir šališkumo dėl lyties poveikis; šiuo atžvilgiu apgailestauja, kad ESTT nariams nėra privalomų mokymų, kaip nurodyta ESTT atsakymuose į klausimyną dėl 2024 m. biudžeto įvykdymo patvirtinimo; todėl primygtinai ragina įtraukti visus asmenis – tiek ESTT darbuotojus, tiek narius – į privalomas mokymo sesijas smurto prieš moteris prevencijos srityje;</w:t>
      </w:r>
    </w:p>
    <w:p w14:paraId="1FDB1457" w14:textId="77777777" w:rsidR="00E751B6" w:rsidRPr="00E8457C" w:rsidRDefault="00E751B6" w:rsidP="00E751B6">
      <w:pPr>
        <w:pStyle w:val="NormalHanging12a"/>
      </w:pPr>
      <w:r w:rsidRPr="00E8457C">
        <w:t>26.</w:t>
      </w:r>
      <w:r w:rsidRPr="00E8457C">
        <w:tab/>
        <w:t>palankiai vertina įvairias ESTT pastangas ir veiksmus, kurių imtasi jo darbuotojų atžvilgiu, įskaitant įdarbinimo etapą, siekiant lygybės, įtraukties, abipusės pagarbos ir įvairovės; visų pirma pažymi, kad 2024 m. pradėtas naujas mokymas apie įvairovę ir įtrauktį, daugiausia dėmesio skiriant mikroagresijos prevencijai, o nuo 2025 m. – du nauji mokymai apie sveikų ribų nustatymą siekiant pagerinti darbo rezultatus ir apie aplinką be priekabiavimo, kurie organizuojami remiantis ESTT tarpžinybinės darbo grupės dėl Stambulo konvencijos rekomendacijomis; palankiai vertina ESTT nuo 2022 m. taikomas individualiai pritaikytas paramos priemones (dėl užduočių, darbo valandų ir darbo vietų) darbuotojams su negalia, institucijos dalyvavimą 2024 m. surengtoje informuotumo apie negalią savaitėje ir nuo 2025 m. vykdomą bandomąją programą stažuotojams su negalia; ragina ESTT informuoti biudžeto įvykdymą tvirtinančią instituciją apie pastarosios programos rezultatus;</w:t>
      </w:r>
    </w:p>
    <w:p w14:paraId="32A81131" w14:textId="77777777" w:rsidR="00E751B6" w:rsidRPr="00E8457C" w:rsidRDefault="00E751B6" w:rsidP="00E751B6">
      <w:pPr>
        <w:pStyle w:val="NormalHanging12a"/>
      </w:pPr>
      <w:r w:rsidRPr="00E8457C">
        <w:t>27.</w:t>
      </w:r>
      <w:r w:rsidRPr="00E8457C">
        <w:tab/>
        <w:t>palankiai vertina tai, kad tarp ESTT darbuotojų yra visų Sąjungos šalių piliečių; vis dėlto pažymi, kad tam tikros pilietybės yra labiau atstovaujamos nei kitos, o kai kurios iš jų yra atstovaujamos gerokai per daug; remia ESTT pastangas kuo plačiau skelbti pranešimus apie laisvas darbo vietas tarpinstitucinėse interneto svetainėse, socialinės žiniasklaidos tinkluose ir EPSO; remdamasis ataskaita dėl tolesnių veiksmų pažymi ESTT įsipareigojimą analizuoti atitinkamus duomenis, kad būtų įgyvendinti tiksliniai veiksmai, kuriais siekiama pagerinti geografinę darbuotojų, įskaitant stažuotojus, pusiausvyrą; palankiai vertina ESTT pastangas didinti nacionalinių administracijų ir nepakankamai atstovaujamų valstybių narių nuolatinių atstovybių informuotumą apie stažuočių programas; su pasitenkinimu pažymi, kad Europos teisėjų mokymo tinklo (ETMT) sistemoje ESTT 2024 m. gavo paraiškų dėl stažuočių iš trijų naujų valstybių narių, kurios pirmą kartą dalyvauja jo ilgalaikėje nacionalinių teisingumo specialistų mokymo programoje.</w:t>
      </w:r>
    </w:p>
    <w:p w14:paraId="74A8587E" w14:textId="77777777" w:rsidR="00E751B6" w:rsidRPr="00E8457C" w:rsidRDefault="00E751B6" w:rsidP="00E751B6">
      <w:pPr>
        <w:pStyle w:val="NormalHanging12a"/>
      </w:pPr>
      <w:r w:rsidRPr="00E8457C">
        <w:t>28.</w:t>
      </w:r>
      <w:r w:rsidRPr="00E8457C">
        <w:tab/>
        <w:t>palankiai vertina ESTT veiksmus 2024 m. (teisinės) daugiakalbystės srityje, pavyzdžiui, tai, kad buvo užbaigta rengti ir paleista daugiakalbystės svetainė, kartu su kitomis Sąjungos institucijomis surengtas pirmasis vasaros mokyklos kursas, glaudžiai bendradarbiaujama su valstybėmis narėmis siekiant sukurti išorės ekspertų rezervą, kuris padėtų spręsti vertimų apimties didėjimo problemą ir apimtų visas kalbų kombinacijas, didinamas informuotumas laisvai samdomų vertėjų rinkoje ir nuolat tobulinami vertimo procesai ir įgūdžiai, susiję su skaitmeninių priemonių (įskaitant dirbtinio intelekto priemones) naudojimu;</w:t>
      </w:r>
    </w:p>
    <w:p w14:paraId="7957D5DA" w14:textId="77777777" w:rsidR="00E751B6" w:rsidRPr="00E8457C" w:rsidRDefault="00E751B6" w:rsidP="00E751B6">
      <w:pPr>
        <w:pStyle w:val="NormalHanging12a"/>
      </w:pPr>
      <w:r w:rsidRPr="00E8457C">
        <w:t>29.</w:t>
      </w:r>
      <w:r w:rsidRPr="00E8457C">
        <w:tab/>
        <w:t>palankiai vertina ESTT veiksmus, kuriais siekiama įveikti darbuotojų įdarbinimo sunkumus ir jauniems absolventams Liuksemburgą reklamuoti kaip darbo vietą; palankiai vertina ESTT indėlį nustatant ir įgyvendinant būsto pašalpą žemesnių kategorijų darbuotojams, kuri mokama atgaline data nuo 2025 m. sausio 1 d., rengiant EPSO konkursus, konkrečiai skirtus Liuksemburge turintiems dirbti darbuotojams, taip pat informacinius renginius ir vasaros mokyklas; ragina aktyviau bendradarbiauti su EPSO ir kitomis institucijomis siekiant išplėsti kvalifikuotų kandidatų rezervą ir sustiprinti konkurencingus atrankos procesus specializuotose srityse; remdamasis ataskaita dėl tolesnių veiksmų pažymi, kad Aukšto lygio tarpinstitucinės grupės vardu ESTT atliko bandomąjį projektą (apklausą), kad išsiaiškintų, ar būtų įmanoma sudaryti nuomos sutartis dėl laikino apgyvendinimo (t. y. ne ilgiau kaip vieniems metams) rinkos kaina (ar pigiau), kurią tiesiogiai mokėtų personalo nariai; taip pat, pažymi, kad apklausa buvo sėkminga, todėl darbo grupė dalyvaujančioms institucijoms pateikė susitarimą dėl paslaugų lygio, kuriuo ESTT įpareigojo vykdyti derybas dėl nekilnojamojo turto su subjektais, kurie pateikė tinkamus projektus; ragina ESTT nuolat informuoti biudžeto įvykdymą tvirtinančią instituciją apie atitinkamus tolesnius veiksmus;</w:t>
      </w:r>
    </w:p>
    <w:p w14:paraId="39B4049B" w14:textId="270F9AAB" w:rsidR="00E751B6" w:rsidRPr="00E8457C" w:rsidRDefault="00E751B6" w:rsidP="00E751B6">
      <w:pPr>
        <w:pStyle w:val="NormalHanging12a"/>
      </w:pPr>
      <w:r w:rsidRPr="00E8457C">
        <w:t>30.</w:t>
      </w:r>
      <w:r w:rsidRPr="00E8457C">
        <w:tab/>
        <w:t>pažymi, kad ESTT įdarbino 201 stažuotoją pagal bendrąją (apmokamą) stažuočių programą; taip pat pažymi, kad 34 proc. iš pradžių atrinktų kandidatų atsisakė ESTT pasiūlymo, nes suprato, kad Liuksemburge yra didelės pragyvenimo išlaidos</w:t>
      </w:r>
      <w:bookmarkStart w:id="9" w:name="_Hlk215138302"/>
      <w:r w:rsidRPr="00E8457C">
        <w:t>; dar kartą pabrėžia, kad stažuotė turėtų būti atlyginama vadovaujantis 2023 m. birželio 14 d. Parlamento rezoliucija dėl kokybiškų stažuočių Sąjungoje (2020/2005</w:t>
      </w:r>
      <w:r w:rsidR="00A56430">
        <w:t>(</w:t>
      </w:r>
      <w:r w:rsidRPr="00E8457C">
        <w:t>INL</w:t>
      </w:r>
      <w:r w:rsidR="00A56430">
        <w:t>)</w:t>
      </w:r>
      <w:r w:rsidRPr="00E8457C">
        <w:t xml:space="preserve">), kurioje raginama užtikrinti, kad visos stažuotės Europoje būtų apmokamos; </w:t>
      </w:r>
      <w:bookmarkEnd w:id="9"/>
      <w:r w:rsidRPr="00E8457C">
        <w:t>palankiai vertina tai, kad šiuo metu visi ESTT stažuotojai stažuotės metu gauna dotaciją, daugiausia iš ESTT, o kai kuriais konkrečiais atvejais – iš kitų šaltinių; atkreipia dėmesį, kad ESTT priima tik kelis stažuotojus (2024 m. – septynis), kuriems mokama iš kitų išteklių, ir trumpam laikui;</w:t>
      </w:r>
    </w:p>
    <w:p w14:paraId="4A218440" w14:textId="77777777" w:rsidR="00E751B6" w:rsidRPr="00E8457C" w:rsidRDefault="00E751B6" w:rsidP="00E751B6">
      <w:pPr>
        <w:pStyle w:val="NormalHanging12a"/>
      </w:pPr>
      <w:r w:rsidRPr="00E8457C">
        <w:t>31.</w:t>
      </w:r>
      <w:r w:rsidRPr="00E8457C">
        <w:tab/>
        <w:t>pažymi, kad 2024 m. buvo užfiksuota 17 perdegimo atvejų, iš kurių buvo aštuoni nauji atvejai, apie kuriuos pranešta 2024 m., ir devyni atvejai, apie kuriuos pranešta 2023 m., ir kad atitinkamiems darbuotojams buvo teikiama atitinkama pagalba ir patarimai; su pasitenkinimu pažymi, kad 2024 m. ESTT ir toliau pirmavo rengdamas iniciatyvas, kuriomis propaguojama darbuotojų fizinė ir psichinė gerovė ir sprendžiami perdegimo ir psichosocialinės rizikos klausimai: konsultacijos su socialiniu darbuotoju ar psichologu, paskaitos apie sąmoningumą ir skaitmeninę pusiausvyrą, specializuoti seminarai ir sąmoningumo didinimo veikla sveikatos klausimais, pirmosios pagalbos mokymai ir dviejų ne visą darbo dieną dirbančių psichologų įdarbinimas; pripažįsta, kad yra sėkmingai kuriamos lanksčios darbo sąlygos, įskaitant ESTT nuotolinio darbo programą, taip galiausiai siekiant geresnės darbuotojų profesinio ir asmeninio gyvenimo pusiausvyros;</w:t>
      </w:r>
    </w:p>
    <w:p w14:paraId="02DB7235" w14:textId="77777777" w:rsidR="00E751B6" w:rsidRPr="00E8457C" w:rsidRDefault="00E751B6" w:rsidP="00E751B6">
      <w:pPr>
        <w:pStyle w:val="NormalHanging12a"/>
      </w:pPr>
      <w:r w:rsidRPr="00E8457C">
        <w:t>32.</w:t>
      </w:r>
      <w:r w:rsidRPr="00E8457C">
        <w:tab/>
        <w:t>pažymi, kad 2023 m. buvo pradėtas administracinis tyrimas dėl darbuotojui pareikštų įtarimų seksualiniu priekabiavimu ir kad ši byla baigta nagrinėti 2024 m. pritaikius nuobaudą; pažymi, kad 2024 m. nebuvo pradėta naujų administracinių tyrimų dėl priekabiavimo;</w:t>
      </w:r>
    </w:p>
    <w:p w14:paraId="37B8FE65" w14:textId="77777777" w:rsidR="00E751B6" w:rsidRPr="0097082F" w:rsidRDefault="00E751B6" w:rsidP="00E751B6">
      <w:pPr>
        <w:pStyle w:val="NormalHanging12a"/>
        <w:rPr>
          <w:b/>
          <w:i/>
          <w:iCs/>
        </w:rPr>
      </w:pPr>
      <w:r w:rsidRPr="0097082F">
        <w:rPr>
          <w:b/>
          <w:i/>
          <w:iCs/>
        </w:rPr>
        <w:t>Etikos sistema, skaidrumas ir piliečių teisė kreiptis į teismą</w:t>
      </w:r>
    </w:p>
    <w:p w14:paraId="4F0449CD" w14:textId="77777777" w:rsidR="00E751B6" w:rsidRPr="00E8457C" w:rsidRDefault="00E751B6" w:rsidP="00E751B6">
      <w:pPr>
        <w:pStyle w:val="NormalHanging12a"/>
      </w:pPr>
      <w:r w:rsidRPr="00E8457C">
        <w:t>33.</w:t>
      </w:r>
      <w:r w:rsidRPr="00E8457C">
        <w:tab/>
        <w:t xml:space="preserve">pažymi, kad, kaip prašyta ankstesnėse rekomendacijose dėl biudžeto įvykdymo patvirtinimo, 2024 m. kovo mėn. buvo priimtas naujas ESTT pareigūnų ir kitų tarnautojų elgesio kodeksas, atspindintis ESTT vertybes ir įsipareigojimą laikytis aukštų etikos standartų, ir pažymi, kad į elgesio kodeksą įtrauktos nuostatos dėl interesų konflikto, lojalumo pareigos, konfidencialumo pareigos ir diskretiškumo, išorės veiklos, profesinės veiklos baigus tarnybą ir publikacijų, nuostatos dėl kovos su priekabiavimu, jis taip pat yra taikomas deleguotiesiems nacionaliniams ekspertams ir teisėjams stažuotojams, kuriuos globoja Europos teisėjų mokymo tinklas; su pasitenkinimu pažymi, kad ESTT įgyvendino priemones, kuriomis siekiama kuo plačiau pristatyti bei paaiškinti elgesio kodeksą ir užtikrinti, kad darbuotojai visapusiškai suprastų naujas taisykles ir platesnę teisinę sistemą, kurios dalis jie yra, ir kad mokymai apie elgesio kodeksą ir darbuotojų teises bei pareigas yra privalomi naujiems darbuotojams ir itin rekomenduojami visiems ESTT darbuotojams, o 2024 m. tokiuose mokymuose dalyvavo iš viso 561 asmuo (t. y. 24,75 proc. visų ESTT pareigūnų ir darbuotojų); be to pažymi, kad 2024 m. panašus mokymas taip pat buvo siūlomas naujiems ESTT nariams; palankiai vertina ESTT konfidencialių patarėjų, kurie teikia paramą darbuotojams priekabiavimo atveju, tinklą, taip pat talentų valdymo programą, siūlomą aukšto potencialo administratoriams, kuri apima, </w:t>
      </w:r>
      <w:r w:rsidRPr="00E8457C">
        <w:rPr>
          <w:i/>
          <w:iCs/>
        </w:rPr>
        <w:t>inter alia</w:t>
      </w:r>
      <w:r w:rsidRPr="00E8457C">
        <w:t>, etišką vadovavimą; ragina ESTT palaipsniui stiprinti mokymų apie elgesio kodeksą teikimą visiems darbuotojams be išimties, kad būtų užtikrintas bendras etikos standartų supratimas visoje institucijoje;</w:t>
      </w:r>
    </w:p>
    <w:p w14:paraId="72901789" w14:textId="77777777" w:rsidR="00E751B6" w:rsidRPr="00E8457C" w:rsidRDefault="00E751B6" w:rsidP="00E751B6">
      <w:pPr>
        <w:pStyle w:val="NormalHanging12a"/>
      </w:pPr>
      <w:r w:rsidRPr="00E8457C">
        <w:t>34.</w:t>
      </w:r>
      <w:r w:rsidRPr="00E8457C">
        <w:tab/>
        <w:t>pažymi, kad priėmus ESTT narių ir buvusių narių elgesio kodeksą, internete skelbiamos ESTT narių interesų deklaracijos, kad nagrinėjant bylas būtų išvengta bet kokio galimo interesų konflikto; su pasitenkinimu pažymi, kad 2024 m. ESTT pasirašė susitarimą, kuriuo įsteigiamas tarpinstitucinis ES etikos organas, kurio užduotys apima bendrų minimaliųjų standartų dėl susitarimą pasirašiusių institucijų narių elgesio rengimą; pripažįsta, kad ESTT vis dar turi stebėtojo statusą tame organe, kad būtų išsaugotas teismų nepriklausomumas;</w:t>
      </w:r>
    </w:p>
    <w:p w14:paraId="1CE3C959" w14:textId="77777777" w:rsidR="00E751B6" w:rsidRPr="00E8457C" w:rsidRDefault="00E751B6" w:rsidP="00E751B6">
      <w:pPr>
        <w:pStyle w:val="NormalHanging12a"/>
      </w:pPr>
      <w:r w:rsidRPr="00E8457C">
        <w:t>35.</w:t>
      </w:r>
      <w:r w:rsidRPr="00E8457C">
        <w:tab/>
        <w:t>atkreipia dėmesį į institucijos griežtą politiką dėl interesų konflikto nustatymo bei prevencijos joje ir dėl „sukamųjų durų“ reiškinio, ir į tai, kad naujajame elgesio kodekse nustatytos specialios griežtesnės taisyklės vadovams ir teisės sekretoriams; pažymi, kad 2024 m. buvo išnagrinėtos trys darbuotojų galimo interesų konflikto deklaracijos, tačiau nė vienu iš šių atvejų nereikėjo imtis taisomųjų veiksmų; taip pat pažymi, kad 2024 m. 57 darbuotojai pareiškė ketinantys dirbti išėję iš ESTT, nes nė vienam iš jų nebuvo nustatytas veiklos pertraukos laikotarpis; tačiau pažymi, kad 2024 m. tęsėsi 2023 m. buvusio vyresniojo rango darbuotojo pateiktam atvejui nustatytas veiklos pertraukos laikotarpis; pažymi, kad 2024 m. ESTT nebuvo pranešta apie jokį informavimo apie pažeidimus atvejį;</w:t>
      </w:r>
    </w:p>
    <w:p w14:paraId="69B0286E" w14:textId="77777777" w:rsidR="00E751B6" w:rsidRPr="00E8457C" w:rsidRDefault="00E751B6" w:rsidP="00E751B6">
      <w:pPr>
        <w:pStyle w:val="NormalHanging12a"/>
      </w:pPr>
      <w:r w:rsidRPr="00E8457C">
        <w:t>36.</w:t>
      </w:r>
      <w:r w:rsidRPr="00E8457C">
        <w:tab/>
        <w:t>remdamasis ataskaita dėl tolesnių veiksmų pažymi, kad teisėjų nušalinimo faktinio ar akivaizdaus interesų konflikto atvejais politika jau yra privaloma ir kad ESTT remiasi išbandytu interesų konflikto prevencijos mechanizmu, nes šis mechanizmas apima ESTT narių atrankos procesą ir daro visapusišką poveikį jiems einant pareigas;</w:t>
      </w:r>
    </w:p>
    <w:p w14:paraId="260C00A5" w14:textId="77777777" w:rsidR="00E751B6" w:rsidRPr="00E8457C" w:rsidRDefault="00E751B6" w:rsidP="00E751B6">
      <w:pPr>
        <w:pStyle w:val="NormalHanging12a"/>
      </w:pPr>
      <w:r w:rsidRPr="00E8457C">
        <w:t>37.</w:t>
      </w:r>
      <w:r w:rsidRPr="00E8457C">
        <w:tab/>
        <w:t>pažymi, kad 2024 m., vadovaujantis Statuto 14 straipsniu, visi ESTT nariai gyveno Liuksemburge;</w:t>
      </w:r>
    </w:p>
    <w:p w14:paraId="35817702" w14:textId="77777777" w:rsidR="00E751B6" w:rsidRPr="00E8457C" w:rsidRDefault="00E751B6" w:rsidP="00E751B6">
      <w:pPr>
        <w:pStyle w:val="NormalHanging12a"/>
      </w:pPr>
      <w:r w:rsidRPr="00E8457C">
        <w:t>38.</w:t>
      </w:r>
      <w:r w:rsidRPr="00E8457C">
        <w:tab/>
        <w:t>pažymi, kad Teisingumo Teismo ir Bendrojo Teismo narių vykdomos išorės veiklos sąrašas nuo 2018 m. skelbiamas ESTT interneto svetainėje ir kad leidimas tokiai veiklai suteikiamas tik tuo atveju, jei ji yra suderinama su ESTT narių elgesio kodekso reikalavimais ir su pareigomis būti pasirengusiems vykdyti teisminę veiklą; remdamasis ataskaita dėl tolesnių veiksmų palankiai vertina ESTT įsipareigojimą išnagrinėti galimybes pagerinti skelbiamos su išorės veikla susijusios informacijos kokybę ir patogumą ją skaityti;</w:t>
      </w:r>
    </w:p>
    <w:p w14:paraId="42BF62FD" w14:textId="77777777" w:rsidR="00E751B6" w:rsidRPr="00E8457C" w:rsidRDefault="00E751B6" w:rsidP="00E751B6">
      <w:pPr>
        <w:pStyle w:val="NormalHanging12a"/>
      </w:pPr>
      <w:r w:rsidRPr="00E8457C">
        <w:t>39.</w:t>
      </w:r>
      <w:r w:rsidRPr="00E8457C">
        <w:tab/>
        <w:t>primena 2023 m. Parlamento rekomendaciją visoms Sąjungos institucijoms susitarti dėl bendros oficialių transporto priemonių naudojimo sistemos, kuri būtų taikoma horizontaliai; atsižvelgdamas į tai ir remdamasis ataskaita dėl tolesnių veiksmų pažymi, kad 2024 m. ESTT, Teismas, Parlamentas ir Komisija įsteigė tarpinstitucinę darbo grupę, kurios tikslas – keistis informacija apie atitinkamą praktiką ir nustatyti galimybes suderinti taisykles, tuo pačiu gerbiant kiekvienos institucijos savarankiškumą ir ypatumus; primena Parlamento nuomonę, kad automobilių parku turėtų būti naudojamasi išskirtinai tik vykdant ESTT narių pareigas ir neturėtų būti naudojamasi kitais atvejais jokiomis aplinkybėmis; remdamasis ataskaita dėl tolesnių veiksmų pažymi, kad darbo grupė atliko lyginamąją analizę šiuo klausimu ir nagrinėja kitus su automobilių parko valdymu susijusius klausimus; ragina darbo grupę skubiai imtis veiksmų šiuo klausimu ir kuo greičiau informuoti biudžeto įvykdymą tvirtinančią instituciją apie savo darbo rezultatus ir išvadas;</w:t>
      </w:r>
    </w:p>
    <w:p w14:paraId="434566E4" w14:textId="77777777" w:rsidR="00E751B6" w:rsidRPr="00E8457C" w:rsidRDefault="00E751B6" w:rsidP="00E751B6">
      <w:pPr>
        <w:pStyle w:val="NormalHanging12a"/>
      </w:pPr>
      <w:r w:rsidRPr="00E8457C">
        <w:t>40.</w:t>
      </w:r>
      <w:r w:rsidRPr="00E8457C">
        <w:tab/>
        <w:t>pažymi, kad 2024 m. ESTT nepranešė apie jokius sukčiavimo, korupcijos ar netinkamo Sąjungos lėšų naudojimo atvejus; pažymi, kad ESTT kovos su sukčiavimu strategija yra neatsiejama jo integruotos vidaus kontrolės ir rizikos valdymo sistemos dalis, ypač daug dėmesio skiriant netinkamo informacijos atskleidimo rizikai; pažymi, kad jo vidaus reguliavimo sistema apima sprendimą dėl tyrimų, susijusių su sukčiavimu, korupcija ar neteisėta veikla, pažeidžiančia Sąjungos interesus, ir sprendimą bei gaires dėl pranešimų apie pažeidimus, įskaitant nuostatas dėl pranešėjų informavimo ir jų apsaugos;</w:t>
      </w:r>
    </w:p>
    <w:p w14:paraId="588910A5" w14:textId="77777777" w:rsidR="00E751B6" w:rsidRPr="00E8457C" w:rsidRDefault="00E751B6" w:rsidP="00E751B6">
      <w:pPr>
        <w:pStyle w:val="NormalHanging12a"/>
      </w:pPr>
      <w:r w:rsidRPr="00E8457C">
        <w:t>41.</w:t>
      </w:r>
      <w:r w:rsidRPr="00E8457C">
        <w:tab/>
        <w:t>palankiai vertina ESTT įsipareigojimą didinti skaidrumą, galimybes kreiptis į teismą ir atvirumą visuomenei, taip prisidedant prie visuomenės pasitikėjimo Sąjungos institucijomis skatinimo, kartu išlaikant pusiausvyrą tarp kitų svarbių aspektų, tokių kaip teismų nepriklausomumas, bylų konfidencialumas ir asmens duomenų apsauga; pabrėžia, kad didesnis skaidrumas taip pat turi padėti stiprinti visuomenės pasitikėjimą ESTT jurisprudencija; ragina ESTT toliau dėti pastangas siekiant padidinti savo jurisprudencijos aiškumą, prieinamumą ir nuspėjamumą, ypač bylose, turinčiose didelį konstitucinį ar visuomeninį poveikį; pažymi, kad 2024 m. ESTT konsolidavo Teisingumo Teismo ir Bendrojo Teismo posėdžių srautinio transliavimo paslaugą interneto svetainėje „Curia“, taip sudarydamas geresnes sąlygas piliečiams susipažinti su ESTT teismine veikla; šiuo atžvilgiu palankiai vertina tai, kad dėl 2024 m. priimtos teismų reformos padidėjo prejudicinio sprendimo procedūros skaidrumas, nes Teisingumo Teismo interneto svetainėje per pagrįstą laiką nuo bylos užbaigimo leidžiama paskelbti rašytines pastabas;</w:t>
      </w:r>
    </w:p>
    <w:p w14:paraId="1D505F4A" w14:textId="77777777" w:rsidR="00E751B6" w:rsidRPr="00E8457C" w:rsidRDefault="00E751B6" w:rsidP="00E751B6">
      <w:pPr>
        <w:pStyle w:val="NormalHanging12a"/>
      </w:pPr>
      <w:r w:rsidRPr="00E8457C">
        <w:t>42.</w:t>
      </w:r>
      <w:r w:rsidRPr="00E8457C">
        <w:tab/>
        <w:t>su pasitenkinimu pažymi, kad po sėkmingo bandomojo projekto, pradėto 2022 m., ir 2024 m. atnaujinęs darbo tvarkos taisykles, Teisingumo Teismas išplėtė transliacijų paslaugas, kad jos apimtų svarbias bylas, kurias nagrinėja penkių teisėjų kolegija, taip pat beveik tiesiogiai transliuojamus žodinių pareiškimų klausymus ir tiesiogines teismo sprendimų ir generalinių advokatų nuomonių transliacijas; be to, pažymi, kad nuo 2024 m. rugsėjo 1 d. teismo posėdžių dėl sprendimo paskelbimo ir nuomonių pateikimo vaizdo įrašai nuolat skelbiami ESTT interneto svetainėje, o žodinių pareiškimų vaizdo įrašai pasiekiami vieną mėnesį po posėdžio; su pasitenkinimu pažymi, kad Bendrasis Teismas ėmėsi panašių priemonių, kad užtikrintų didesnes galimybes visuomenei susipažinti su jo procesais;</w:t>
      </w:r>
    </w:p>
    <w:p w14:paraId="2F644917" w14:textId="77777777" w:rsidR="00E751B6" w:rsidRPr="00E8457C" w:rsidRDefault="00E751B6" w:rsidP="00E751B6">
      <w:pPr>
        <w:pStyle w:val="NormalHanging12a"/>
      </w:pPr>
      <w:r w:rsidRPr="00E8457C">
        <w:t>43.</w:t>
      </w:r>
      <w:r w:rsidRPr="00E8457C">
        <w:tab/>
        <w:t>pažymi, kad 2024 m. ESTT užregistravo 20 prašymų dėl visuomenės galimybės susipažinti su administraciniais dokumentais ir 15 atvejų suteikė galimybę susipažinti su administraciniais dokumentais; pažymi, kad Europos ombudsmenas nenagrinėjo jokios su ESTT susijusios bylos;</w:t>
      </w:r>
    </w:p>
    <w:p w14:paraId="3554BB77" w14:textId="77777777" w:rsidR="00E751B6" w:rsidRPr="0097082F" w:rsidRDefault="00E751B6" w:rsidP="00E751B6">
      <w:pPr>
        <w:pStyle w:val="NormalHanging12a"/>
        <w:ind w:left="0" w:firstLine="0"/>
        <w:rPr>
          <w:b/>
          <w:i/>
          <w:iCs/>
        </w:rPr>
      </w:pPr>
      <w:r w:rsidRPr="0097082F">
        <w:rPr>
          <w:b/>
          <w:i/>
          <w:iCs/>
        </w:rPr>
        <w:t>Skaitmeninimas, kibernetinis saugumas ir duomenų apsauga</w:t>
      </w:r>
    </w:p>
    <w:p w14:paraId="0EA8A258" w14:textId="77777777" w:rsidR="00E751B6" w:rsidRPr="00E8457C" w:rsidRDefault="00E751B6" w:rsidP="00E751B6">
      <w:pPr>
        <w:spacing w:after="240"/>
        <w:ind w:left="567" w:hanging="567"/>
      </w:pPr>
      <w:r w:rsidRPr="00E8457C">
        <w:t>44.</w:t>
      </w:r>
      <w:r w:rsidRPr="00E8457C">
        <w:tab/>
        <w:t>pažymi, kad 2024 m., palyginti su 2023 m., biudžeto išlaidos IT projektams sumažėjo 9 proc. ir kibernetinio saugumo projektams – 69 proc., tačiau IT įrangai padidėjo 16 proc., o kibernetinio saugumo paslaugoms, licencijoms ir įrangai – 2 proc.; atkreipia dėmesį į tai, kad IT projektų labai sumažėjo, nes 2024 m. pradėtas tam tikrų kibernetinio saugumo projektų veiklos etapas, todėl susijusios išlaidos įtrauktos į standartinį einamosios veiklos biudžetą;</w:t>
      </w:r>
    </w:p>
    <w:p w14:paraId="7668C2D6" w14:textId="77777777" w:rsidR="00E751B6" w:rsidRPr="00E8457C" w:rsidRDefault="00E751B6" w:rsidP="00E751B6">
      <w:pPr>
        <w:spacing w:after="240"/>
        <w:ind w:left="567" w:hanging="567"/>
      </w:pPr>
      <w:r w:rsidRPr="00E8457C">
        <w:t>45.</w:t>
      </w:r>
      <w:r w:rsidRPr="00E8457C">
        <w:tab/>
        <w:t>palankiai vertina ESTT pažangą 2024 m. įgyvendinant įvairius skaitmeninius projektus, pvz., diegiant patobulintą integruoto duomenų ir bylų valdymo programą SIGA, plačiau ir geriau naudojant taikomąją programą „HAN/Ares“ (ESTT elektroninių dokumentų registravimo ir valdymo sistemą), įgyvendinant „EU Sign“ (skaitmeninio parašo sistemą) ir perdarant svetainę „Curia“ bei paieškos įrankį „InfoCuria“; pripažįsta, kad svarbu dažniau naudoti taikomąją programą „e-Curia“ procesiniams dokumentams teikti ir pranešti apie juos elektroninėmis priemonėmis;</w:t>
      </w:r>
    </w:p>
    <w:p w14:paraId="2C0786C7" w14:textId="77777777" w:rsidR="00E751B6" w:rsidRPr="00E8457C" w:rsidRDefault="00E751B6" w:rsidP="00E751B6">
      <w:pPr>
        <w:spacing w:after="240"/>
        <w:ind w:left="567" w:hanging="567"/>
      </w:pPr>
      <w:r w:rsidRPr="00E8457C">
        <w:t>46.</w:t>
      </w:r>
      <w:r w:rsidRPr="00E8457C">
        <w:tab/>
        <w:t>pažymi, kad ESTT tęsė savo procesų automatizavimą ir nuo 2024 m. pasikartojančioms užduotims, pvz., garsui transkribuoti ir sąskaitoms apmokėti, naudoja robotikos programinę įrangą; tikisi, kad automatizavimo sprendimai taikant robotikos procesus padės optimizuoti viso ESTT išteklius; pripažįsta, kad svarbu užtikrinti tarpinstitucinį bendradarbiavimą, kuris būtų naudingas ESTT, kai kalbama apie veiksmingumą, pasiektą naudojant pagrindines IT sistemas, skirtas dokumentų ir įrašų valdymui („HAN/Ares“), žmogiškiesiems ištekliams („Sysper“ ir personalo klausimams), finansinių įrašų valdymui (SAP) ir kitoms Komisijos (dirbtiniu intelektu grindžiamoms) sistemoms, pvz., vertimo raštu paslaugoms („eTranslation“);</w:t>
      </w:r>
    </w:p>
    <w:p w14:paraId="37CA3DA9" w14:textId="77777777" w:rsidR="00E751B6" w:rsidRPr="00E8457C" w:rsidRDefault="00E751B6" w:rsidP="00E751B6">
      <w:pPr>
        <w:spacing w:after="240"/>
        <w:ind w:left="567" w:hanging="567"/>
      </w:pPr>
      <w:r w:rsidRPr="00E8457C">
        <w:t>47.</w:t>
      </w:r>
      <w:r w:rsidRPr="00E8457C">
        <w:tab/>
        <w:t>su susidomėjimu atkreipia dėmesį į 2024 m. pradėtą bandomąjį projektą, kurį įgyvendinant visiems ESTT departamentams suteikiama galimybė naudotis DI asistentais; pabrėžia, kad naudojant DI priemones svarbu užtikrinti etikos principų, ypač 2024 m. priimtų ESTT DI gairių, laikymąsi, taip užtikrinant žmogaus atliekamą teismo proceso nepriklausomumo principo laikymosi priežiūrą; pabrėžia, kad DI priemonių naudojimas teisminėje aplinkoje niekada neturi pakeisti žmogaus teisinių motyvų ar teismo diskrecijos ir neturi sumažinti asmeninės teisėjų atsakomybės; šiuo atžvilgiu pabrėžia ESTT DI valdančiosios tarybos priežiūros vaidmenį; teigiamai vertina ESTT 2024 m. parengtą išsamią mokymo programą, kuri prasidėjo informuotumo apie DI mėnesiu, per kurį vyko mokymo sesijos, apskritojo stalo diskusijos, kuriose dalyvavo DI ekspertai, internetiniai seminarai ir praktiniai mokymai, taip žengiant pirmą ir svarbų žingsnį siekiant darbuotojų informuotumui apie ESTT DI strategiją, gaires ir apskritai DI didinti; pažymi, kad siekdami prisitaikyti prie naujų technologijų, darbuotojai taip pat lanko kursus apie pokyčių valdymą, žinių perdavimą, mentorystę ir protinį lankstumą; ragina ESTT toliau organizuoti tokias mokymo ir informavimo programas;</w:t>
      </w:r>
    </w:p>
    <w:p w14:paraId="64AC4D2A" w14:textId="77777777" w:rsidR="00E751B6" w:rsidRPr="00E8457C" w:rsidRDefault="00E751B6" w:rsidP="00E751B6">
      <w:pPr>
        <w:spacing w:after="240"/>
        <w:ind w:left="567" w:hanging="567"/>
      </w:pPr>
      <w:r w:rsidRPr="00E8457C">
        <w:t>48.</w:t>
      </w:r>
      <w:r w:rsidRPr="00E8457C">
        <w:tab/>
        <w:t>remdamasis ataskaita dėl tolesnių veiksmų pažymi, kad 2024 m. pradžioje įsigaliojus naujam Kibernetinio saugumo reglamentui ESTT parengė kibernetinio saugumo veiksmų planą ir įgyvendina susijusius IT infrastruktūros projektus; pažymi, kad ESTT atlieka bent tris kasmetinius veiklos atkūrimo po ekstremaliųjų įvykių bandymus, apimančius sistemas, telekomunikacijų paslaugas ir interneto paslaugų teikėjo automatinį perjungimą;</w:t>
      </w:r>
    </w:p>
    <w:p w14:paraId="41193D1E" w14:textId="77777777" w:rsidR="00E751B6" w:rsidRPr="00E8457C" w:rsidRDefault="00E751B6" w:rsidP="00E751B6">
      <w:pPr>
        <w:spacing w:after="240"/>
        <w:ind w:left="567" w:hanging="567"/>
      </w:pPr>
      <w:r w:rsidRPr="00E8457C">
        <w:t>49.</w:t>
      </w:r>
      <w:r w:rsidRPr="00E8457C">
        <w:tab/>
        <w:t>pažymi, kad siekiant laikytis Reglamento (ES, Euratomas) 2023/2841 nuostatų ir spręsti didėjančio kibernetinių išpuolių skaičiaus problemą, 2024 m. kibernetinio saugumo operaciniai pajėgumai buvo toliau stiprinami; atkreipia dėmesį į tai, kad 2024 m. nebuvo reikšmingų kibernetinių išpuolių; susirūpinęs pažymi, kad buvo užregistruoti ir išnagrinėti vidutiniškai 142 saugumo incidentai per mėnesį ir kai kuriems iš jų reikėjo žmogaus įsikišimo; pabrėžia, kad kibernetinis saugumas yra strateginė investicija, būtina siekiant apsaugoti teismų nepriklausomumą, duomenų vientisumą ir teisminės veiklos tęstinumą, todėl pabrėžia, kad reikia tvarių ir nuspėjamų investicijų į kibernetinio saugumo pajėgumus, darbuotojų mokymą ir tarpinstitucinį bendradarbiavimą;</w:t>
      </w:r>
    </w:p>
    <w:p w14:paraId="004A8138" w14:textId="77777777" w:rsidR="00E751B6" w:rsidRPr="00E8457C" w:rsidRDefault="00E751B6" w:rsidP="00E751B6">
      <w:pPr>
        <w:spacing w:after="240"/>
        <w:ind w:left="567" w:hanging="567"/>
      </w:pPr>
      <w:r w:rsidRPr="00E8457C">
        <w:t>50.</w:t>
      </w:r>
      <w:r w:rsidRPr="00E8457C">
        <w:tab/>
        <w:t>pažymi, kad 2025 m. buvo baigtas Europos duomenų apsaugos priežiūros pareigūno (EDAPP) tyrimas dėl debesijos paslaugų, kurias Sąjungos institucijoms, įstaigoms ir agentūroms pagal „Cloud II“ sutartis teikia „Amazon Web Services“ ir „Microsoft“, naudojimo; taip pat pažymi, kad po šio tyrimo ESTT negavo jokių rekomendacijų;</w:t>
      </w:r>
    </w:p>
    <w:p w14:paraId="454BE23D" w14:textId="77777777" w:rsidR="00E751B6" w:rsidRPr="00E8457C" w:rsidRDefault="00E751B6" w:rsidP="00E751B6">
      <w:pPr>
        <w:spacing w:after="240"/>
        <w:ind w:left="567" w:hanging="567"/>
      </w:pPr>
      <w:r w:rsidRPr="00E8457C">
        <w:t>51.</w:t>
      </w:r>
      <w:r w:rsidRPr="00E8457C">
        <w:tab/>
        <w:t>pažymi, kad įgyvendindamas visapusišką iniciatyvą, kuria siekiama didinti prieinamumą ir įtrauktį pažeidžiamiems asmenims, ESTT toliau įgyvendino integruotojo prieinamumo principą, taikomą bet kokiems jo IT sistemų pokyčiams ir raidai; pažymi, kad po 2023 m. atlikto interneto svetainės „Curia“ audito ESTT diegia technologijas, kuriomis siekiama didinti svetainės prieinamumą įvairiems naudotojams, pvz., regos sutrikimų, klausos sutrikimų ar intelekto negalią turintiems asmenims; ragina ESTT šiuo klausimu nuolat informuoti biudžeto įvykdymą tvirtinančią instituciją;</w:t>
      </w:r>
    </w:p>
    <w:p w14:paraId="0B330E0A" w14:textId="77777777" w:rsidR="00E751B6" w:rsidRPr="0097082F" w:rsidRDefault="00E751B6" w:rsidP="00E751B6">
      <w:pPr>
        <w:pStyle w:val="NormalHanging12a"/>
        <w:ind w:left="0" w:firstLine="0"/>
        <w:rPr>
          <w:b/>
          <w:i/>
          <w:iCs/>
        </w:rPr>
      </w:pPr>
      <w:r w:rsidRPr="0097082F">
        <w:rPr>
          <w:b/>
          <w:i/>
          <w:iCs/>
        </w:rPr>
        <w:t>Pastatai</w:t>
      </w:r>
    </w:p>
    <w:p w14:paraId="40AE4942" w14:textId="77777777" w:rsidR="00E751B6" w:rsidRPr="00E8457C" w:rsidRDefault="00E751B6" w:rsidP="00E751B6">
      <w:pPr>
        <w:pStyle w:val="NormalHanging12a"/>
      </w:pPr>
      <w:r w:rsidRPr="00E8457C">
        <w:t>52.</w:t>
      </w:r>
      <w:r w:rsidRPr="00E8457C">
        <w:tab/>
        <w:t xml:space="preserve">remdamasis ataskaita dėl tolesnių veiksmų pažymi, kad 2024 m. vykdant du bandomuosius projektus dėl efektyviausio ESTT patalpų panaudojimo buvo surengti keli praktiniai seminarai, po kurių buvo parengti du kiekvienos tarnybos poreikiams pritaikyti išdėstymai; pažymi, kad tolesni veiksmai dėl šių projektų buvo sustabdyti, kad pirmiausia būtų suteikta laiko įvertinti, kokį poveikį DI integracija gali turėti ESTT darbo metodams ir galiausiai erdvės ir biurų naudojimui; </w:t>
      </w:r>
    </w:p>
    <w:p w14:paraId="793D4895" w14:textId="77777777" w:rsidR="00E751B6" w:rsidRPr="00E8457C" w:rsidRDefault="00E751B6" w:rsidP="00E751B6">
      <w:pPr>
        <w:pStyle w:val="NormalHanging12a"/>
      </w:pPr>
      <w:r w:rsidRPr="00E8457C">
        <w:t>53.</w:t>
      </w:r>
      <w:r w:rsidRPr="00E8457C">
        <w:tab/>
        <w:t>pažymi, kad 2024 m. ESTT toliau įgyvendino savo visapusišką iniciatyvą didinti prieinamumą ir įtrauktį asmenims su negalia; visų pirma pažymi, kad ESTT parengė ilgalaikį veiksmų planą, kuriuo siekiama užtikrinti, kad jo pastatai iki 2032 m. sausio 1 d. atitiktų teisinius prieinamumo standartus, kaip reikalaujama Liuksemburgo teisėje; palankiai vertina tai, kad ESTT parengė tam tikrų savo infrastruktūros dalių perdarymo sąrašą ir pavedė architektui atlikti galimybių studiją, kurioje bus nustatyti būtini veiksmai, kurių reikia imtis; ragina ESTT šiuo klausimu nuolat informuoti biudžeto įvykdymą tvirtinančią instituciją;</w:t>
      </w:r>
    </w:p>
    <w:p w14:paraId="3F1673A4" w14:textId="77777777" w:rsidR="00E751B6" w:rsidRPr="0097082F" w:rsidRDefault="00E751B6" w:rsidP="00E751B6">
      <w:pPr>
        <w:pStyle w:val="NormalHanging12a"/>
        <w:ind w:left="0" w:firstLine="0"/>
        <w:rPr>
          <w:b/>
          <w:i/>
          <w:iCs/>
        </w:rPr>
      </w:pPr>
      <w:r w:rsidRPr="0097082F">
        <w:rPr>
          <w:b/>
          <w:i/>
          <w:iCs/>
        </w:rPr>
        <w:t>Aplinka ir tvarumas</w:t>
      </w:r>
    </w:p>
    <w:p w14:paraId="5B5F29A0" w14:textId="77777777" w:rsidR="00E751B6" w:rsidRPr="00E8457C" w:rsidRDefault="00E751B6" w:rsidP="00E751B6">
      <w:pPr>
        <w:spacing w:after="240"/>
        <w:ind w:left="567" w:hanging="567"/>
      </w:pPr>
      <w:r w:rsidRPr="00E8457C">
        <w:t>54.</w:t>
      </w:r>
      <w:r w:rsidRPr="00E8457C">
        <w:tab/>
        <w:t>palankiai vertina tai, kad 2024 m. ESTT toliau dėjo pastangas ir padarė didelę pažangą mažindamas savo aplinkosauginį pėdsaką, kaip rodo jo rezultatai, palyginti su 2015 m., kurie yra baziniai metai įgyvendinant ESTT aplinkosaugos vadybos ir audito sistemos strategiją, ir sumažino visos darbo dienos ekvivalentą, pasiektą daugelyje vartojimo ir (arba) teršalų išmetimo rūšių (šildymas: –37,5 proc.; elektros energija: –29,3 proc.; popierius: –64,2 proc., biuro ir valgyklos atliekos: –40,4 proc.; išmetamas šiltnamio efektą sukeliančių dujų kiekis: –26,7 proc.); atkreipia dėmesį į bendrą pagerėjimą, palyginti su 2023 m. praneštu sumažinimu; pripažįsta, kad dėl šių rezultatų ir rinkos sąlygų energijos išlaidos buvo 18 proc. mažesnės, nei prognozuota; šiuo atžvilgiu palankiai vertina tvirtą tvarumo principų integravimą į ESTT rizikos valdymo ir atskaitomybės sistemą, kaip reikalaujama pagal jo EMAS sertifikatą;</w:t>
      </w:r>
    </w:p>
    <w:p w14:paraId="6CCCD12A" w14:textId="77777777" w:rsidR="00E751B6" w:rsidRPr="00E8457C" w:rsidRDefault="00E751B6" w:rsidP="00E751B6">
      <w:pPr>
        <w:spacing w:after="240"/>
        <w:ind w:left="567" w:hanging="567"/>
      </w:pPr>
      <w:r w:rsidRPr="00E8457C">
        <w:t>55.</w:t>
      </w:r>
      <w:r w:rsidRPr="00E8457C">
        <w:tab/>
        <w:t>palankiai vertina 2024 m. vykdytas dideles investicijas į ESTT pastatų energijos vartojimo efektyvumo didinimą, įskaitant beveik 1,5 mln. EUR plataus masto LED apšvietimo įrengimui ir daugiau kaip 0,4 mln. EUR pastatų izoliacijos darbams; su pasitenkinimu pažymi, kad visa įsigyta elektros energija buvo pagaminta iš atsinaujinančių išteklių ir kad šildymas gaunamas iš centralizuotos šilumos tiekimo sistemos, kuriai naudojama biomasė; palankiai vertina ESTT įsipareigojimą pritaikyti ateities poreikiams savo žaliosios energijos tiekimą, planuojant dalyvauti elektros energijos pirkimo sutartyse (EEPS);</w:t>
      </w:r>
    </w:p>
    <w:p w14:paraId="088123A2" w14:textId="77777777" w:rsidR="00E751B6" w:rsidRPr="00E8457C" w:rsidRDefault="00E751B6" w:rsidP="00E751B6">
      <w:pPr>
        <w:spacing w:after="240"/>
        <w:ind w:left="567" w:hanging="567"/>
      </w:pPr>
      <w:r w:rsidRPr="00E8457C">
        <w:t>56.</w:t>
      </w:r>
      <w:r w:rsidRPr="00E8457C">
        <w:tab/>
        <w:t>palankiai vertina griežtą ESTT požiūrį į tvarius pirkimus, skirstant kvietimus teikti pasiūlymus į kategorijas pagal jų aplinkosauginių sąlygų poveikį („šviesiai žalias“, „vidutiniškai žalias“, „žalias“), sistemingai naudojant tokias priemones kaip privalomas aplinkosaugos rezultatų įsivertinimas ir konsultuojantis su tarpinstitucine tvarių viešųjų pirkimų pagalbos tarnyba; pažymi, kad 2024 m. aštuoni pagrindiniai konkursų pasiūlymai, kurių suma viršijo 60 000 EUR, buvo žalieji pirkimai, iš kurių šeši apėmė svarbias aplinkosaugos sąlygas; palankiai vertina tai, kad sėkmingai įgyvendinta nauja viešojo maitinimo paslaugų teikimo sutartis, pagal kurią reikalaujama taikyti tvarią maisto gamybos praktiką ir kuri turi ISO 14001 sertifikatą, taip pat kad pasiektas tikslas apriboti „šviesiai žalių“ pasiūlymų kiekį, kad jis būtų gerokai mažesnis nei 50 proc. siektina reikšmė;</w:t>
      </w:r>
    </w:p>
    <w:p w14:paraId="5D40BC91" w14:textId="77777777" w:rsidR="00E751B6" w:rsidRPr="00E8457C" w:rsidRDefault="00E751B6" w:rsidP="00E751B6">
      <w:pPr>
        <w:spacing w:after="240"/>
        <w:ind w:left="567" w:hanging="567"/>
      </w:pPr>
      <w:r w:rsidRPr="00E8457C">
        <w:t>57.</w:t>
      </w:r>
      <w:r w:rsidRPr="00E8457C">
        <w:tab/>
        <w:t xml:space="preserve">palankiai vertina ESTT išsamią ir veiksmingą tvaraus judumo strategiją darbuotojams ir nariams; šiuo atžvilgiu pažymi, kad toliau skiriamos subsidijos viešajam transportui, kuris skirtas tarpvalstybiniam važinėjimui į darbą ir „Vel'Oh!“ dviračių sistemai, bei vykdomi reikšmingi infrastruktūros patobulinimai, įskaitant 2024 m. daug įrengtų elektromobilių ir hibridinių transporto priemonių įkrovimo punktų; </w:t>
      </w:r>
    </w:p>
    <w:p w14:paraId="178EE1CB" w14:textId="77777777" w:rsidR="00E751B6" w:rsidRPr="00E8457C" w:rsidRDefault="00E751B6" w:rsidP="00E751B6">
      <w:pPr>
        <w:spacing w:after="240"/>
        <w:ind w:left="567" w:hanging="567"/>
      </w:pPr>
      <w:r w:rsidRPr="00E8457C">
        <w:t>58.</w:t>
      </w:r>
      <w:r w:rsidRPr="00E8457C">
        <w:tab/>
        <w:t>atkreipia dėmesį į reikšmingą perėjimą prie tvarių darbo metodų, gerokai padidinant ESTT narių naudojimąsi vaizdo konferencijomis, kad būtų išvengta kelionių – 2024 m. buvo 131 toks atvejis, palyginti su vos trimis 2019 m.; taip pat palankiai vertina procesų skaitmenizaciją, kuri, kartu su 80 proc. asmeninių spausdintuvų pašalinimu, buvo pagrindinis veiksnys, dėl kurio smarkiai sumažėjo ESTT popieriaus sąnaudos;</w:t>
      </w:r>
    </w:p>
    <w:p w14:paraId="5F78D76D" w14:textId="77777777" w:rsidR="00E751B6" w:rsidRPr="0097082F" w:rsidRDefault="00E751B6" w:rsidP="00E751B6">
      <w:pPr>
        <w:pStyle w:val="NormalHanging12a"/>
        <w:rPr>
          <w:b/>
          <w:i/>
          <w:iCs/>
        </w:rPr>
      </w:pPr>
      <w:r w:rsidRPr="0097082F">
        <w:rPr>
          <w:b/>
          <w:i/>
          <w:iCs/>
        </w:rPr>
        <w:t>Institucijų bendradarbiavimas</w:t>
      </w:r>
    </w:p>
    <w:p w14:paraId="39ED50A8" w14:textId="77777777" w:rsidR="00E751B6" w:rsidRPr="00E8457C" w:rsidRDefault="00E751B6" w:rsidP="00E751B6">
      <w:pPr>
        <w:pStyle w:val="NormalHanging12a"/>
      </w:pPr>
      <w:r w:rsidRPr="00E8457C">
        <w:t>59.</w:t>
      </w:r>
      <w:r w:rsidRPr="00E8457C">
        <w:tab/>
        <w:t>atkreipia dėmesį į ESTT bendradarbiavimą su kitomis institucijomis, visų pirma naudojantis bendromis taikomosiomis programomis ir prieglobos paslaugomis pagal susitarimus dėl paslaugų lygio su Komisija, taip pat dalyvaujant tarpinstitucinėse viešųjų pirkimų procedūrose, nes tai leido ESTT optimizuoti išlaidas bei išteklius; pripažįsta ESTT tarpinstitucinio bendradarbiavimo su CERT-ES ir ENISA svarbą, įskaitant dalyvavimą techninių konsultacijų grupėse dėl priemonių, metodų ir informuotumo, taip pat CERT-ES generatyvinio dirbtinio intelekto iniciatyvoje;</w:t>
      </w:r>
    </w:p>
    <w:p w14:paraId="603C11A0" w14:textId="77777777" w:rsidR="00E751B6" w:rsidRPr="00E8457C" w:rsidRDefault="00E751B6" w:rsidP="00E751B6">
      <w:pPr>
        <w:pStyle w:val="NormalHanging12a"/>
      </w:pPr>
      <w:r w:rsidRPr="00E8457C">
        <w:t>60.</w:t>
      </w:r>
      <w:r w:rsidRPr="00E8457C">
        <w:tab/>
        <w:t>pažymi, kad ESTT sudarė keletą susitarimų dėl paslaugų lygio dėl IT infrastruktūros priežiūros, žmogiškųjų išteklių priemonių naudojimo, kai kurių individualių išmokų mokėjimo ir „HAN/Ares“ dokumentų valdymo sistemos naudojimo; palankiai vertina tai, kad atnaujintas metinis finansavimo susitarimas, sudarytas su kitų Sąjungos institucijų vertimo raštu tarnybomis; pažymi, kad 2024 m. ESTT su Komisija ir Parlamentu pasirašė du susitarimo memorandumus: susitarimo memorandumą dėl finansinės naštos, susijusios su nuotolinio testavimo priemonės, skirtos tarpinstituciniam akreditacijos testui, pasidalijimo, ir susitarimo memorandumą dėl vertimo žodžiu paslaugų išlaidų pasidalijimo vykdant bendrą informavimo veiklą;</w:t>
      </w:r>
    </w:p>
    <w:p w14:paraId="7B7D03BC" w14:textId="77777777" w:rsidR="00E751B6" w:rsidRPr="00E8457C" w:rsidRDefault="00E751B6" w:rsidP="00E751B6">
      <w:pPr>
        <w:pStyle w:val="NormalHanging12a"/>
      </w:pPr>
      <w:r w:rsidRPr="00E8457C">
        <w:t>61.</w:t>
      </w:r>
      <w:r w:rsidRPr="00E8457C">
        <w:tab/>
        <w:t>palankiai vertina tai, kad ESTT visapusiškai bendradarbiauja su Europos kovos su sukčiavimu tarnyba (OLAF), Audito Rūmais, EDAPP ir Europos ombudsmenu; atkreipia dėmesį į ESTT partnerystę su ETMT, kuri padeda ESTT siekti bendros teisminės kultūros visoje ES, užtikrinti nuoseklų ir vienodą Sąjungos teisės taikymą visose valstybėse narėse ir stiprinti nacionalinių teismų ir ESTT tarpusavio pasitikėjimą; šiuo atžvilgiu palankiai vertina tai, kad rengiami metiniai susitikimai su nacionalinių teismų korespondentais, teminės grupės, internetiniai seminarai ir ESTT atstovų vizitai į nacionalinius teismus ir atvirkščiai; visų pirma atkreipia dėmesį į 2024 m. Briuselyje įvykusį ETMT korespondentų metinį susitikimą, Bendrojo Teismo delegacijos vizitą Varšuvoje ir metinį teisėjų susitikimą Teisingumo Teisme surengtoje specialioje konferencijoje, kuri buvo skirta 2004 m. plėtros 20-osioms metinėms paminėti; remdamasis ataskaita dėl tolesnių veiksmų pažymi, kad 2024 m. seminaruose dalyvavo daugiau teisėjų ir kad keli nacionalinių teisingumo srities specialistai iš trijų naujų valstybių narių pirmą kartą pateikė savo prašymus dėl ESTT ilgalaikių mokymo programų;</w:t>
      </w:r>
    </w:p>
    <w:p w14:paraId="0605309F" w14:textId="77777777" w:rsidR="00E751B6" w:rsidRPr="00E8457C" w:rsidRDefault="00E751B6" w:rsidP="00E751B6">
      <w:pPr>
        <w:pStyle w:val="NormalHanging12a"/>
      </w:pPr>
      <w:r w:rsidRPr="00E8457C">
        <w:t>62.</w:t>
      </w:r>
      <w:r w:rsidRPr="00E8457C">
        <w:tab/>
        <w:t>palankiai vertina tai, kad ESTT ir Parlamentas nusprendė rengti metinius susitikimus, kurie yra skirti dialogui bendro intereso temomis, pavyzdžiui, administravimo, teisingumo sistemos tobulinimo galimybių arba piliečių suvokimo apie teisės viršenybę; pažymi, kad pirmasis toks susitikimas vyko 2024 m. kovo mėn.;</w:t>
      </w:r>
    </w:p>
    <w:p w14:paraId="1026F7D7" w14:textId="77777777" w:rsidR="00E751B6" w:rsidRPr="0097082F" w:rsidRDefault="00E751B6" w:rsidP="00E751B6">
      <w:pPr>
        <w:pStyle w:val="NormalHanging12a"/>
        <w:ind w:left="0" w:firstLine="0"/>
        <w:rPr>
          <w:b/>
          <w:i/>
          <w:iCs/>
        </w:rPr>
      </w:pPr>
      <w:r w:rsidRPr="0097082F">
        <w:rPr>
          <w:b/>
          <w:i/>
          <w:iCs/>
        </w:rPr>
        <w:t>Komunikacija</w:t>
      </w:r>
    </w:p>
    <w:p w14:paraId="41FEAFCC" w14:textId="77777777" w:rsidR="00E751B6" w:rsidRPr="00E8457C" w:rsidRDefault="00E751B6" w:rsidP="00E751B6">
      <w:pPr>
        <w:pStyle w:val="NormalHanging12a"/>
      </w:pPr>
      <w:r w:rsidRPr="00E8457C">
        <w:t>63.</w:t>
      </w:r>
      <w:r w:rsidRPr="00E8457C">
        <w:tab/>
        <w:t>pažymi, kad ESTT reguliariai rengiami vizitai – iš viso 2024 m. juose užsiregistravo 16 319 lankytojų; atkreipia dėmesį į tai, kad apie 2 500 šių lankytojų tais metais dalyvavo ESTT atvirų durų dienoje; taip pat pažymi, kad be įprastų vizitų, ESTT organizuoja ir virtualius vizitus; pažymi, kad 2024 m. 7 proc. visų ESTT vizitų buvo virtualūs ir 43 proc. jų buvo studentai;</w:t>
      </w:r>
    </w:p>
    <w:p w14:paraId="62AB03E4" w14:textId="77777777" w:rsidR="00E751B6" w:rsidRPr="00E8457C" w:rsidRDefault="00E751B6" w:rsidP="00E751B6">
      <w:pPr>
        <w:pStyle w:val="NormalHanging12a"/>
      </w:pPr>
      <w:r w:rsidRPr="00E8457C">
        <w:t>64.</w:t>
      </w:r>
      <w:r w:rsidRPr="00E8457C">
        <w:tab/>
        <w:t>pažymi, kad 2024 m. ESTT dėjo dar daugiau pastangų siekdamas bendrauti su Sąjungos piliečiais ir stiprino informavimo veiklą socialiniuose tinkluose; pažymi, kad 2024 m. pabaigoje ESTT paskyros „LinkedIn“ abonentų skaičius padidėjo 26 proc., sekėjų skaičius dviejose ESTT paskyrose „X“ (anksčiau – „Twitter“) padidėjo 2,5 proc., jo „YouTube“ kanalo peržiūrų skaičius padidėjo 137 proc., o „YouTube“ abonentų skaičius – daugiau nei 329 proc., palyginti su ankstesniais metais; pažymi, kad parabolinis peržiūrų ir abonentų skaičiaus padidėjimas iš dalies buvo susijęs su ESTT organizuota reklamine kampanija;</w:t>
      </w:r>
    </w:p>
    <w:p w14:paraId="55C1396A" w14:textId="77777777" w:rsidR="00E751B6" w:rsidRPr="00E8457C" w:rsidRDefault="00E751B6" w:rsidP="00E751B6">
      <w:pPr>
        <w:pStyle w:val="NormalHanging12a"/>
      </w:pPr>
      <w:r w:rsidRPr="00E8457C">
        <w:t>65.</w:t>
      </w:r>
      <w:r w:rsidRPr="00E8457C">
        <w:tab/>
        <w:t>pažymi, kad 2024 m. ESTT pradėjo tyrimą dėl platesnio savo dalyvavimo socialinės žiniasklaidos tinkluose, dėl kurio 2025 m. buvo priimtas sprendimas sukurti paskyras „Instagram“, „Bluesky“, „Threads“ ir „WhatsApp“;</w:t>
      </w:r>
    </w:p>
    <w:p w14:paraId="70C46D73" w14:textId="77777777" w:rsidR="00E751B6" w:rsidRPr="00E8457C" w:rsidRDefault="00E751B6" w:rsidP="00E751B6">
      <w:pPr>
        <w:pStyle w:val="NormalHanging12a"/>
      </w:pPr>
      <w:r w:rsidRPr="00E8457C">
        <w:t>66.</w:t>
      </w:r>
      <w:r w:rsidRPr="00E8457C">
        <w:tab/>
        <w:t>palankiai vertina kitus svarbius ESTT veiksmus ir planus didinti skaidrumą ir prieinamumą bei atliepti teisės specialistų, žiniasklaidos ir plačiosios visuomenės (įskaitant jaunesniąsias kartas) poreikius, pvz., perdaryti ESTT svetainę integruojant joje naują (vieną) paieškos sistemą, paleisti naują daugiakalbę interneto televizijos platformą, kurioje būtų skelbiamas turinys apie ESTT darbą ir sprendimus, skelbti vaizdo įrašus socialiniuose tinkluose, ESTT pranešimuose spaudai kalbėti paprasčiau ir peržiūrėti ESTT metines ataskaitas, kad jose būtų aiškiau apžvelgiama jo praktika ir statistika.</w:t>
      </w:r>
    </w:p>
    <w:sectPr w:rsidR="00E751B6" w:rsidRPr="00E8457C" w:rsidSect="00012ACD">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8AEF6" w14:textId="77777777" w:rsidR="00677DC3" w:rsidRPr="00E8457C" w:rsidRDefault="00677DC3">
      <w:r w:rsidRPr="00E8457C">
        <w:separator/>
      </w:r>
    </w:p>
  </w:endnote>
  <w:endnote w:type="continuationSeparator" w:id="0">
    <w:p w14:paraId="4B889372" w14:textId="77777777" w:rsidR="00677DC3" w:rsidRPr="00E8457C" w:rsidRDefault="00677DC3">
      <w:r w:rsidRPr="00E845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E6B6B" w14:textId="77777777" w:rsidR="00E751B6" w:rsidRPr="00E8457C" w:rsidRDefault="00E751B6" w:rsidP="00CF13E0">
    <w:pPr>
      <w:pStyle w:val="EPFooter"/>
    </w:pPr>
    <w:r w:rsidRPr="00E8457C">
      <w:t>PE</w:t>
    </w:r>
    <w:r w:rsidRPr="00E8457C">
      <w:rPr>
        <w:rStyle w:val="HideTWBExt"/>
      </w:rPr>
      <w:t>&lt;NoPE&gt;</w:t>
    </w:r>
    <w:r w:rsidRPr="00E8457C">
      <w:t>778.060</w:t>
    </w:r>
    <w:r w:rsidRPr="00E8457C">
      <w:rPr>
        <w:rStyle w:val="HideTWBExt"/>
      </w:rPr>
      <w:t>&lt;/NoPE&gt;&lt;Version&gt;</w:t>
    </w:r>
    <w:r w:rsidRPr="00E8457C">
      <w:t>v02-00</w:t>
    </w:r>
    <w:r w:rsidRPr="00E8457C">
      <w:rPr>
        <w:rStyle w:val="HideTWBExt"/>
      </w:rPr>
      <w:t>&lt;/Version&gt;</w:t>
    </w:r>
    <w:r w:rsidRPr="00E8457C">
      <w:tab/>
    </w:r>
    <w:r w:rsidRPr="00E8457C">
      <w:fldChar w:fldCharType="begin"/>
    </w:r>
    <w:r w:rsidRPr="00E8457C">
      <w:instrText xml:space="preserve"> PAGE  \* MERGEFORMAT </w:instrText>
    </w:r>
    <w:r w:rsidRPr="00E8457C">
      <w:fldChar w:fldCharType="separate"/>
    </w:r>
    <w:r w:rsidRPr="00E8457C">
      <w:rPr>
        <w:noProof/>
      </w:rPr>
      <w:t>1</w:t>
    </w:r>
    <w:r w:rsidRPr="00E8457C">
      <w:fldChar w:fldCharType="end"/>
    </w:r>
    <w:r w:rsidRPr="00E8457C">
      <w:t>/</w:t>
    </w:r>
    <w:fldSimple w:instr=" NUMPAGES  \* MERGEFORMAT ">
      <w:r w:rsidRPr="00E8457C">
        <w:rPr>
          <w:noProof/>
        </w:rPr>
        <w:t>2</w:t>
      </w:r>
    </w:fldSimple>
    <w:r w:rsidRPr="00E8457C">
      <w:tab/>
    </w:r>
    <w:r w:rsidRPr="00E8457C">
      <w:rPr>
        <w:rStyle w:val="HideTWBExt"/>
      </w:rPr>
      <w:t>&lt;PathFdR&gt;</w:t>
    </w:r>
    <w:r w:rsidRPr="00E8457C">
      <w:t>RR\1339440LT.docx</w:t>
    </w:r>
    <w:r w:rsidRPr="00E8457C">
      <w:rPr>
        <w:rStyle w:val="HideTWBExt"/>
      </w:rPr>
      <w:t>&lt;/PathFdR&gt;</w:t>
    </w:r>
  </w:p>
  <w:p w14:paraId="3EDBD019" w14:textId="77777777" w:rsidR="00E751B6" w:rsidRPr="00E8457C" w:rsidRDefault="00E751B6" w:rsidP="00CF13E0">
    <w:pPr>
      <w:pStyle w:val="EPFooter2"/>
    </w:pPr>
    <w:r w:rsidRPr="00E8457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78C99" w14:textId="77777777" w:rsidR="00E751B6" w:rsidRPr="00E8457C" w:rsidRDefault="00E751B6" w:rsidP="00CF13E0">
    <w:pPr>
      <w:pStyle w:val="EPFooter"/>
    </w:pPr>
    <w:r w:rsidRPr="00E8457C">
      <w:rPr>
        <w:rStyle w:val="HideTWBExt"/>
      </w:rPr>
      <w:t>&lt;PathFdR&gt;</w:t>
    </w:r>
    <w:r w:rsidRPr="00E8457C">
      <w:t>RR\1339440LT.docx</w:t>
    </w:r>
    <w:r w:rsidRPr="00E8457C">
      <w:rPr>
        <w:rStyle w:val="HideTWBExt"/>
      </w:rPr>
      <w:t>&lt;/PathFdR&gt;</w:t>
    </w:r>
    <w:r w:rsidRPr="00E8457C">
      <w:tab/>
    </w:r>
    <w:r w:rsidRPr="00E8457C">
      <w:tab/>
      <w:t>PE</w:t>
    </w:r>
    <w:r w:rsidRPr="00E8457C">
      <w:rPr>
        <w:rStyle w:val="HideTWBExt"/>
      </w:rPr>
      <w:t>&lt;NoPE&gt;</w:t>
    </w:r>
    <w:r w:rsidRPr="00E8457C">
      <w:t>778.060</w:t>
    </w:r>
    <w:r w:rsidRPr="00E8457C">
      <w:rPr>
        <w:rStyle w:val="HideTWBExt"/>
      </w:rPr>
      <w:t>&lt;/NoPE&gt;&lt;Version&gt;</w:t>
    </w:r>
    <w:r w:rsidRPr="00E8457C">
      <w:t>v02-00</w:t>
    </w:r>
    <w:r w:rsidRPr="00E8457C">
      <w:rPr>
        <w:rStyle w:val="HideTWBExt"/>
      </w:rPr>
      <w:t>&lt;/Version&gt;</w:t>
    </w:r>
  </w:p>
  <w:p w14:paraId="42F997E2" w14:textId="77777777" w:rsidR="00E751B6" w:rsidRPr="00E8457C" w:rsidRDefault="00E751B6" w:rsidP="00CF13E0">
    <w:pPr>
      <w:pStyle w:val="EPFooter2"/>
    </w:pPr>
    <w:r w:rsidRPr="00E8457C">
      <w:t>LT</w:t>
    </w:r>
    <w:r w:rsidRPr="00E8457C">
      <w:tab/>
    </w:r>
    <w:r w:rsidRPr="00E8457C">
      <w:rPr>
        <w:b w:val="0"/>
        <w:i/>
        <w:color w:val="C0C0C0"/>
        <w:sz w:val="22"/>
      </w:rPr>
      <w:t>Suvienijusi įvairovę</w:t>
    </w:r>
    <w:r w:rsidRPr="00E8457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6AB0" w14:textId="77777777" w:rsidR="00064002" w:rsidRPr="00E8457C"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A05D" w14:textId="77777777" w:rsidR="00064002" w:rsidRPr="00E8457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2845B" w14:textId="77777777" w:rsidR="00064002" w:rsidRPr="00E845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BF919" w14:textId="77777777" w:rsidR="00677DC3" w:rsidRPr="00E8457C" w:rsidRDefault="00677DC3">
      <w:r w:rsidRPr="00E8457C">
        <w:separator/>
      </w:r>
    </w:p>
  </w:footnote>
  <w:footnote w:type="continuationSeparator" w:id="0">
    <w:p w14:paraId="06BB008D" w14:textId="77777777" w:rsidR="00677DC3" w:rsidRPr="00E8457C" w:rsidRDefault="00677DC3">
      <w:r w:rsidRPr="00E8457C">
        <w:continuationSeparator/>
      </w:r>
    </w:p>
  </w:footnote>
  <w:footnote w:id="1">
    <w:p w14:paraId="4F76E27A" w14:textId="1765D7BA" w:rsidR="00E751B6" w:rsidRPr="00E8457C" w:rsidRDefault="00E751B6" w:rsidP="00E8457C">
      <w:pPr>
        <w:pStyle w:val="FootnoteText"/>
        <w:ind w:left="567" w:hanging="567"/>
        <w:rPr>
          <w:sz w:val="24"/>
          <w:lang w:val="lt-LT"/>
        </w:rPr>
      </w:pPr>
      <w:r w:rsidRPr="00E8457C">
        <w:rPr>
          <w:rStyle w:val="FootnoteReference"/>
          <w:sz w:val="24"/>
          <w:lang w:val="lt-LT"/>
        </w:rPr>
        <w:footnoteRef/>
      </w:r>
      <w:r w:rsidR="00E8457C" w:rsidRPr="00E8457C">
        <w:rPr>
          <w:sz w:val="24"/>
          <w:lang w:val="lt-LT"/>
        </w:rPr>
        <w:t xml:space="preserve"> </w:t>
      </w:r>
      <w:r w:rsidR="00E8457C" w:rsidRPr="00E8457C">
        <w:rPr>
          <w:sz w:val="24"/>
          <w:lang w:val="lt-LT"/>
        </w:rPr>
        <w:tab/>
      </w:r>
      <w:r w:rsidRPr="00E8457C">
        <w:rPr>
          <w:sz w:val="24"/>
          <w:lang w:val="lt-LT"/>
        </w:rPr>
        <w:t>OL L</w:t>
      </w:r>
      <w:r w:rsidR="0097082F">
        <w:rPr>
          <w:sz w:val="24"/>
          <w:lang w:val="lt-LT"/>
        </w:rPr>
        <w:t xml:space="preserve">, </w:t>
      </w:r>
      <w:r w:rsidR="005F7B42">
        <w:rPr>
          <w:sz w:val="24"/>
          <w:lang w:val="lt-LT"/>
        </w:rPr>
        <w:t>2024/</w:t>
      </w:r>
      <w:r w:rsidRPr="00E8457C">
        <w:rPr>
          <w:sz w:val="24"/>
          <w:lang w:val="lt-LT"/>
        </w:rPr>
        <w:t xml:space="preserve">207, 2024 2 22, ELI: </w:t>
      </w:r>
      <w:hyperlink r:id="rId1" w:history="1">
        <w:r w:rsidRPr="00E8457C">
          <w:rPr>
            <w:rStyle w:val="Hyperlink"/>
            <w:sz w:val="24"/>
            <w:lang w:val="lt-LT"/>
          </w:rPr>
          <w:t>http://data.europa.eu/eli/budget/2024/207/oj</w:t>
        </w:r>
      </w:hyperlink>
      <w:r w:rsidRPr="00E8457C">
        <w:rPr>
          <w:sz w:val="24"/>
          <w:lang w:val="lt-LT"/>
        </w:rPr>
        <w:t>.</w:t>
      </w:r>
    </w:p>
  </w:footnote>
  <w:footnote w:id="2">
    <w:p w14:paraId="1EDB49CC" w14:textId="02991F11" w:rsidR="00E751B6" w:rsidRPr="00E8457C" w:rsidRDefault="00E751B6" w:rsidP="00E8457C">
      <w:pPr>
        <w:pStyle w:val="FootnoteText"/>
        <w:ind w:left="567" w:hanging="567"/>
        <w:rPr>
          <w:sz w:val="24"/>
          <w:lang w:val="lt-LT"/>
        </w:rPr>
      </w:pPr>
      <w:r w:rsidRPr="00E8457C">
        <w:rPr>
          <w:rStyle w:val="FootnoteReference"/>
          <w:sz w:val="24"/>
          <w:lang w:val="lt-LT"/>
        </w:rPr>
        <w:footnoteRef/>
      </w:r>
      <w:r w:rsidR="00E8457C" w:rsidRPr="00E8457C">
        <w:rPr>
          <w:sz w:val="24"/>
          <w:lang w:val="lt-LT"/>
        </w:rPr>
        <w:t xml:space="preserve"> </w:t>
      </w:r>
      <w:r w:rsidR="00E8457C" w:rsidRPr="00E8457C">
        <w:rPr>
          <w:sz w:val="24"/>
          <w:lang w:val="lt-LT"/>
        </w:rPr>
        <w:tab/>
      </w:r>
      <w:r w:rsidRPr="00E8457C">
        <w:rPr>
          <w:sz w:val="24"/>
          <w:lang w:val="lt-LT"/>
        </w:rPr>
        <w:t>OL C, C/2025/4944, 2025 10 13, ELI: </w:t>
      </w:r>
      <w:hyperlink r:id="rId2" w:tgtFrame="_blank" w:tooltip="Prieiga prie šio dokumento per jo ELI nuorodą." w:history="1">
        <w:r w:rsidRPr="00E8457C">
          <w:rPr>
            <w:rStyle w:val="Hyperlink"/>
            <w:sz w:val="24"/>
            <w:lang w:val="lt-LT"/>
          </w:rPr>
          <w:t>http://data.europa.eu/eli/C/2025/4944/oj</w:t>
        </w:r>
      </w:hyperlink>
      <w:r w:rsidRPr="00E8457C">
        <w:rPr>
          <w:sz w:val="24"/>
          <w:lang w:val="lt-LT"/>
        </w:rPr>
        <w:t>.</w:t>
      </w:r>
    </w:p>
  </w:footnote>
  <w:footnote w:id="3">
    <w:p w14:paraId="5DAAEB07" w14:textId="2DCA0076" w:rsidR="00E751B6" w:rsidRPr="00E8457C" w:rsidRDefault="00E751B6" w:rsidP="00E8457C">
      <w:pPr>
        <w:pStyle w:val="FootnoteText"/>
        <w:ind w:left="567" w:hanging="567"/>
        <w:rPr>
          <w:sz w:val="24"/>
          <w:lang w:val="lt-LT"/>
        </w:rPr>
      </w:pPr>
      <w:r w:rsidRPr="00E8457C">
        <w:rPr>
          <w:rStyle w:val="FootnoteReference"/>
          <w:sz w:val="24"/>
          <w:lang w:val="lt-LT"/>
        </w:rPr>
        <w:footnoteRef/>
      </w:r>
      <w:r w:rsidR="00E8457C" w:rsidRPr="00E8457C">
        <w:rPr>
          <w:sz w:val="24"/>
          <w:lang w:val="lt-LT"/>
        </w:rPr>
        <w:t xml:space="preserve"> </w:t>
      </w:r>
      <w:r w:rsidR="00E8457C" w:rsidRPr="00E8457C">
        <w:rPr>
          <w:sz w:val="24"/>
          <w:lang w:val="lt-LT"/>
        </w:rPr>
        <w:tab/>
      </w:r>
      <w:r w:rsidRPr="00E8457C">
        <w:rPr>
          <w:sz w:val="24"/>
          <w:lang w:val="lt-LT"/>
        </w:rPr>
        <w:t xml:space="preserve">OL C, C/2025/5409, 2025 10 8, ELI: </w:t>
      </w:r>
      <w:hyperlink r:id="rId3" w:history="1">
        <w:r w:rsidRPr="00E8457C">
          <w:rPr>
            <w:rStyle w:val="Hyperlink"/>
            <w:sz w:val="24"/>
            <w:lang w:val="lt-LT"/>
          </w:rPr>
          <w:t>http://data.europa.eu/eli/C/2025/5409/oj</w:t>
        </w:r>
      </w:hyperlink>
      <w:r w:rsidRPr="00E8457C">
        <w:rPr>
          <w:sz w:val="24"/>
          <w:lang w:val="lt-LT"/>
        </w:rPr>
        <w:t>.</w:t>
      </w:r>
    </w:p>
  </w:footnote>
  <w:footnote w:id="4">
    <w:p w14:paraId="0107562C" w14:textId="265AA252" w:rsidR="00E751B6" w:rsidRPr="00E8457C" w:rsidRDefault="00E751B6" w:rsidP="00E8457C">
      <w:pPr>
        <w:pStyle w:val="FootnoteText"/>
        <w:ind w:left="567" w:hanging="567"/>
        <w:rPr>
          <w:sz w:val="24"/>
          <w:lang w:val="lt-LT"/>
        </w:rPr>
      </w:pPr>
      <w:r w:rsidRPr="00E8457C">
        <w:rPr>
          <w:rStyle w:val="FootnoteReference"/>
          <w:sz w:val="24"/>
          <w:lang w:val="lt-LT"/>
        </w:rPr>
        <w:footnoteRef/>
      </w:r>
      <w:r w:rsidR="00E8457C" w:rsidRPr="00E8457C">
        <w:rPr>
          <w:sz w:val="24"/>
          <w:lang w:val="lt-LT"/>
        </w:rPr>
        <w:t xml:space="preserve"> </w:t>
      </w:r>
      <w:r w:rsidR="00E8457C" w:rsidRPr="00E8457C">
        <w:rPr>
          <w:sz w:val="24"/>
          <w:lang w:val="lt-LT"/>
        </w:rPr>
        <w:tab/>
      </w:r>
      <w:r w:rsidRPr="00E8457C">
        <w:rPr>
          <w:sz w:val="24"/>
          <w:lang w:val="lt-LT"/>
        </w:rPr>
        <w:t xml:space="preserve">OL C, C/2025/5407, 2025 10 13, ELI: </w:t>
      </w:r>
      <w:hyperlink r:id="rId4" w:history="1">
        <w:r w:rsidRPr="00E8457C">
          <w:rPr>
            <w:rStyle w:val="Hyperlink"/>
            <w:sz w:val="24"/>
            <w:lang w:val="lt-LT"/>
          </w:rPr>
          <w:t>http://data.europa.eu/eli/C/2025/5407/oj</w:t>
        </w:r>
      </w:hyperlink>
      <w:r w:rsidRPr="00E8457C">
        <w:rPr>
          <w:sz w:val="24"/>
          <w:lang w:val="lt-LT"/>
        </w:rPr>
        <w:t>.</w:t>
      </w:r>
    </w:p>
  </w:footnote>
  <w:footnote w:id="5">
    <w:p w14:paraId="1181754F" w14:textId="10576007" w:rsidR="00E751B6" w:rsidRPr="00E8457C" w:rsidRDefault="00E751B6" w:rsidP="00E8457C">
      <w:pPr>
        <w:pStyle w:val="FootnoteText"/>
        <w:ind w:left="567" w:hanging="567"/>
        <w:rPr>
          <w:sz w:val="24"/>
          <w:lang w:val="lt-LT"/>
        </w:rPr>
      </w:pPr>
      <w:r w:rsidRPr="00E8457C">
        <w:rPr>
          <w:rStyle w:val="FootnoteReference"/>
          <w:sz w:val="24"/>
          <w:lang w:val="lt-LT"/>
        </w:rPr>
        <w:footnoteRef/>
      </w:r>
      <w:r w:rsidR="00E8457C" w:rsidRPr="00E8457C">
        <w:rPr>
          <w:sz w:val="24"/>
          <w:lang w:val="lt-LT"/>
        </w:rPr>
        <w:t xml:space="preserve"> </w:t>
      </w:r>
      <w:r w:rsidR="00E8457C" w:rsidRPr="00E8457C">
        <w:rPr>
          <w:sz w:val="24"/>
          <w:lang w:val="lt-LT"/>
        </w:rPr>
        <w:tab/>
      </w:r>
      <w:r w:rsidRPr="00E8457C">
        <w:rPr>
          <w:sz w:val="24"/>
          <w:lang w:val="lt-LT"/>
        </w:rPr>
        <w:t xml:space="preserve">OL L 193, 2018 7 30, p. 1, ELI: </w:t>
      </w:r>
      <w:hyperlink r:id="rId5" w:history="1">
        <w:r w:rsidRPr="00E8457C">
          <w:rPr>
            <w:rStyle w:val="Hyperlink"/>
            <w:sz w:val="24"/>
            <w:lang w:val="lt-LT"/>
          </w:rPr>
          <w:t>http://data.europa.eu/eli/reg/2018/1046/oj</w:t>
        </w:r>
      </w:hyperlink>
      <w:r w:rsidRPr="00E8457C">
        <w:rPr>
          <w:sz w:val="24"/>
          <w:lang w:val="lt-LT"/>
        </w:rPr>
        <w:t>.</w:t>
      </w:r>
    </w:p>
  </w:footnote>
  <w:footnote w:id="6">
    <w:p w14:paraId="2E7E0855" w14:textId="1E80E9F2" w:rsidR="00E751B6" w:rsidRPr="00E8457C" w:rsidRDefault="00E751B6" w:rsidP="00E8457C">
      <w:pPr>
        <w:pStyle w:val="FootnoteText"/>
        <w:ind w:left="567" w:hanging="567"/>
        <w:rPr>
          <w:sz w:val="24"/>
          <w:lang w:val="lt-LT"/>
        </w:rPr>
      </w:pPr>
      <w:r w:rsidRPr="00E8457C">
        <w:rPr>
          <w:rStyle w:val="FootnoteReference"/>
          <w:sz w:val="24"/>
          <w:lang w:val="lt-LT"/>
        </w:rPr>
        <w:footnoteRef/>
      </w:r>
      <w:r w:rsidR="00E8457C" w:rsidRPr="00E8457C">
        <w:rPr>
          <w:sz w:val="24"/>
          <w:lang w:val="lt-LT"/>
        </w:rPr>
        <w:t xml:space="preserve"> </w:t>
      </w:r>
      <w:r w:rsidR="00E8457C" w:rsidRPr="00E8457C">
        <w:rPr>
          <w:sz w:val="24"/>
          <w:lang w:val="lt-LT"/>
        </w:rPr>
        <w:tab/>
      </w:r>
      <w:r w:rsidRPr="00E8457C">
        <w:rPr>
          <w:sz w:val="24"/>
          <w:lang w:val="lt-LT"/>
        </w:rPr>
        <w:t xml:space="preserve">OL L, 2024/2509, 2024 9 26, ELI: </w:t>
      </w:r>
      <w:hyperlink r:id="rId6" w:history="1">
        <w:r w:rsidRPr="00E8457C">
          <w:rPr>
            <w:rStyle w:val="Hyperlink"/>
            <w:sz w:val="24"/>
            <w:lang w:val="lt-LT"/>
          </w:rPr>
          <w:t>http://data.europa.eu/eli/reg/2024/2509/oj</w:t>
        </w:r>
      </w:hyperlink>
      <w:r w:rsidRPr="00E8457C">
        <w:rPr>
          <w:sz w:val="24"/>
          <w:lang w:val="lt-LT"/>
        </w:rPr>
        <w:t>.</w:t>
      </w:r>
    </w:p>
  </w:footnote>
  <w:footnote w:id="7">
    <w:p w14:paraId="34125F70" w14:textId="71E22591" w:rsidR="00E751B6" w:rsidRPr="00E8457C" w:rsidRDefault="00E751B6" w:rsidP="00E8457C">
      <w:pPr>
        <w:pStyle w:val="FootnoteText"/>
        <w:ind w:left="567" w:hanging="567"/>
        <w:rPr>
          <w:sz w:val="24"/>
          <w:szCs w:val="24"/>
          <w:lang w:val="lt-LT"/>
        </w:rPr>
      </w:pPr>
      <w:r w:rsidRPr="00E8457C">
        <w:rPr>
          <w:rStyle w:val="FootnoteReference"/>
          <w:sz w:val="24"/>
          <w:szCs w:val="24"/>
          <w:lang w:val="lt-LT"/>
        </w:rPr>
        <w:footnoteRef/>
      </w:r>
      <w:r w:rsidR="00E8457C" w:rsidRPr="00E8457C">
        <w:rPr>
          <w:sz w:val="24"/>
          <w:lang w:val="lt-LT"/>
        </w:rPr>
        <w:t xml:space="preserve"> </w:t>
      </w:r>
      <w:r w:rsidR="00E8457C" w:rsidRPr="00E8457C">
        <w:rPr>
          <w:sz w:val="24"/>
          <w:lang w:val="lt-LT"/>
        </w:rPr>
        <w:tab/>
      </w:r>
      <w:r w:rsidRPr="00E8457C">
        <w:rPr>
          <w:sz w:val="24"/>
          <w:lang w:val="lt-LT"/>
        </w:rPr>
        <w:t>2024 m. balandžio 11 d. Europos Parlamento ir Tarybos reglamentas (ES, Euratomas) 2024/2019, kuriuo iš dalies keičiamas Protokolas Nr. </w:t>
      </w:r>
      <w:r w:rsidRPr="00E8457C">
        <w:rPr>
          <w:sz w:val="24"/>
          <w:lang w:val="lt-LT"/>
        </w:rPr>
        <w:t>3 dėl Europos Sąjungos Teisingumo Teismo statuto (OL L</w:t>
      </w:r>
      <w:r w:rsidR="00282AB1">
        <w:rPr>
          <w:sz w:val="24"/>
          <w:lang w:val="lt-LT"/>
        </w:rPr>
        <w:t>,</w:t>
      </w:r>
      <w:r w:rsidRPr="00E8457C">
        <w:rPr>
          <w:sz w:val="24"/>
          <w:lang w:val="lt-LT"/>
        </w:rPr>
        <w:t xml:space="preserve"> 2024/2019, 2024 8 12, ELI: </w:t>
      </w:r>
      <w:hyperlink r:id="rId7" w:history="1">
        <w:r w:rsidRPr="00E8457C">
          <w:rPr>
            <w:rStyle w:val="Hyperlink"/>
            <w:sz w:val="24"/>
            <w:lang w:val="lt-LT"/>
          </w:rPr>
          <w:t>http://data.europa.eu/eli/reg/2024/2019/oj</w:t>
        </w:r>
      </w:hyperlink>
      <w:r w:rsidRPr="008F288A">
        <w:rPr>
          <w:rStyle w:val="Hyperlink"/>
          <w:color w:val="auto"/>
          <w:sz w:val="24"/>
          <w:lang w:val="lt-LT"/>
        </w:rPr>
        <w:t>)</w:t>
      </w:r>
      <w:r w:rsidRPr="00E8457C">
        <w:rPr>
          <w:rStyle w:val="Hyperlink"/>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C551A" w14:textId="77777777" w:rsidR="00064002" w:rsidRPr="00E845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448C9" w14:textId="77777777" w:rsidR="00064002" w:rsidRPr="00E845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4472F" w14:textId="77777777" w:rsidR="00064002" w:rsidRPr="00E845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02464613">
    <w:abstractNumId w:val="9"/>
  </w:num>
  <w:num w:numId="2" w16cid:durableId="1911160932">
    <w:abstractNumId w:val="9"/>
  </w:num>
  <w:num w:numId="3" w16cid:durableId="69740791">
    <w:abstractNumId w:val="7"/>
  </w:num>
  <w:num w:numId="4" w16cid:durableId="1673141362">
    <w:abstractNumId w:val="7"/>
  </w:num>
  <w:num w:numId="5" w16cid:durableId="1736201784">
    <w:abstractNumId w:val="6"/>
  </w:num>
  <w:num w:numId="6" w16cid:durableId="840435573">
    <w:abstractNumId w:val="6"/>
  </w:num>
  <w:num w:numId="7" w16cid:durableId="793716247">
    <w:abstractNumId w:val="5"/>
  </w:num>
  <w:num w:numId="8" w16cid:durableId="1252154013">
    <w:abstractNumId w:val="5"/>
  </w:num>
  <w:num w:numId="9" w16cid:durableId="1600872489">
    <w:abstractNumId w:val="4"/>
  </w:num>
  <w:num w:numId="10" w16cid:durableId="1442333605">
    <w:abstractNumId w:val="4"/>
  </w:num>
  <w:num w:numId="11" w16cid:durableId="708534555">
    <w:abstractNumId w:val="8"/>
  </w:num>
  <w:num w:numId="12" w16cid:durableId="1892882879">
    <w:abstractNumId w:val="8"/>
  </w:num>
  <w:num w:numId="13" w16cid:durableId="1761825485">
    <w:abstractNumId w:val="3"/>
  </w:num>
  <w:num w:numId="14" w16cid:durableId="1508667127">
    <w:abstractNumId w:val="3"/>
  </w:num>
  <w:num w:numId="15" w16cid:durableId="496190731">
    <w:abstractNumId w:val="2"/>
  </w:num>
  <w:num w:numId="16" w16cid:durableId="1090197764">
    <w:abstractNumId w:val="2"/>
  </w:num>
  <w:num w:numId="17" w16cid:durableId="1661424166">
    <w:abstractNumId w:val="1"/>
  </w:num>
  <w:num w:numId="18" w16cid:durableId="2136554201">
    <w:abstractNumId w:val="1"/>
  </w:num>
  <w:num w:numId="19" w16cid:durableId="1432050953">
    <w:abstractNumId w:val="0"/>
  </w:num>
  <w:num w:numId="20" w16cid:durableId="829172076">
    <w:abstractNumId w:val="0"/>
  </w:num>
  <w:num w:numId="21" w16cid:durableId="2037383547">
    <w:abstractNumId w:val="9"/>
  </w:num>
  <w:num w:numId="22" w16cid:durableId="1661732676">
    <w:abstractNumId w:val="7"/>
  </w:num>
  <w:num w:numId="23" w16cid:durableId="555354058">
    <w:abstractNumId w:val="6"/>
  </w:num>
  <w:num w:numId="24" w16cid:durableId="547382373">
    <w:abstractNumId w:val="5"/>
  </w:num>
  <w:num w:numId="25" w16cid:durableId="573468917">
    <w:abstractNumId w:val="4"/>
  </w:num>
  <w:num w:numId="26" w16cid:durableId="1642075608">
    <w:abstractNumId w:val="8"/>
  </w:num>
  <w:num w:numId="27" w16cid:durableId="1919368212">
    <w:abstractNumId w:val="3"/>
  </w:num>
  <w:num w:numId="28" w16cid:durableId="1518932627">
    <w:abstractNumId w:val="2"/>
  </w:num>
  <w:num w:numId="29" w16cid:durableId="1997486824">
    <w:abstractNumId w:val="1"/>
  </w:num>
  <w:num w:numId="30" w16cid:durableId="2042514982">
    <w:abstractNumId w:val="0"/>
  </w:num>
  <w:num w:numId="31" w16cid:durableId="1574856188">
    <w:abstractNumId w:val="9"/>
  </w:num>
  <w:num w:numId="32" w16cid:durableId="1203329751">
    <w:abstractNumId w:val="7"/>
  </w:num>
  <w:num w:numId="33" w16cid:durableId="1342925481">
    <w:abstractNumId w:val="6"/>
  </w:num>
  <w:num w:numId="34" w16cid:durableId="1746075891">
    <w:abstractNumId w:val="5"/>
  </w:num>
  <w:num w:numId="35" w16cid:durableId="1438326243">
    <w:abstractNumId w:val="4"/>
  </w:num>
  <w:num w:numId="36" w16cid:durableId="288825006">
    <w:abstractNumId w:val="8"/>
  </w:num>
  <w:num w:numId="37" w16cid:durableId="1177496442">
    <w:abstractNumId w:val="3"/>
  </w:num>
  <w:num w:numId="38" w16cid:durableId="420104422">
    <w:abstractNumId w:val="2"/>
  </w:num>
  <w:num w:numId="39" w16cid:durableId="1456098839">
    <w:abstractNumId w:val="1"/>
  </w:num>
  <w:num w:numId="40" w16cid:durableId="712146852">
    <w:abstractNumId w:val="0"/>
  </w:num>
  <w:num w:numId="41" w16cid:durableId="245000458">
    <w:abstractNumId w:val="10"/>
  </w:num>
  <w:num w:numId="42" w16cid:durableId="1348288555">
    <w:abstractNumId w:val="10"/>
  </w:num>
  <w:num w:numId="43" w16cid:durableId="2079590635">
    <w:abstractNumId w:val="10"/>
  </w:num>
  <w:num w:numId="44" w16cid:durableId="7737181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5/2026"/>
    <w:docVar w:name="dvlangue" w:val="LT"/>
    <w:docVar w:name="dvnumam" w:val="0"/>
    <w:docVar w:name="dvpe" w:val="778.060"/>
    <w:docVar w:name="dvrapporteur" w:val="Pranešėjas: "/>
    <w:docVar w:name="dvtitre" w:val="1. 2026 m. balandzio 29 d. Europos Parlamento sprendimas dėl 2024 finansinių metų Europos Sąjungos bendrojo biudžeto įvykdymo patvirtinimo, IV skirsnis – Europos Sąjungos Teisingumo Teismas(2025/2148(DEC))"/>
  </w:docVars>
  <w:rsids>
    <w:rsidRoot w:val="00677DC3"/>
    <w:rsid w:val="00002272"/>
    <w:rsid w:val="00012ACD"/>
    <w:rsid w:val="00064002"/>
    <w:rsid w:val="000677B9"/>
    <w:rsid w:val="000831BA"/>
    <w:rsid w:val="000A42CC"/>
    <w:rsid w:val="000E7DD9"/>
    <w:rsid w:val="0010095E"/>
    <w:rsid w:val="00125B37"/>
    <w:rsid w:val="00187494"/>
    <w:rsid w:val="001F32AE"/>
    <w:rsid w:val="002767FF"/>
    <w:rsid w:val="00282AB1"/>
    <w:rsid w:val="002B18FE"/>
    <w:rsid w:val="002B5493"/>
    <w:rsid w:val="00343214"/>
    <w:rsid w:val="00361C00"/>
    <w:rsid w:val="00395FA1"/>
    <w:rsid w:val="003E15D4"/>
    <w:rsid w:val="00411CCE"/>
    <w:rsid w:val="0041666E"/>
    <w:rsid w:val="00421060"/>
    <w:rsid w:val="0042232A"/>
    <w:rsid w:val="00471C19"/>
    <w:rsid w:val="00472B9B"/>
    <w:rsid w:val="004867E3"/>
    <w:rsid w:val="00494A28"/>
    <w:rsid w:val="004C0004"/>
    <w:rsid w:val="004C5D52"/>
    <w:rsid w:val="0050519A"/>
    <w:rsid w:val="005072A1"/>
    <w:rsid w:val="00514517"/>
    <w:rsid w:val="00545827"/>
    <w:rsid w:val="00560270"/>
    <w:rsid w:val="005C2568"/>
    <w:rsid w:val="005F1B17"/>
    <w:rsid w:val="005F7B42"/>
    <w:rsid w:val="006037C0"/>
    <w:rsid w:val="00622A89"/>
    <w:rsid w:val="006631B6"/>
    <w:rsid w:val="00671447"/>
    <w:rsid w:val="00677DC3"/>
    <w:rsid w:val="00680577"/>
    <w:rsid w:val="006F74FA"/>
    <w:rsid w:val="00731ADD"/>
    <w:rsid w:val="00734777"/>
    <w:rsid w:val="00747932"/>
    <w:rsid w:val="00751A4A"/>
    <w:rsid w:val="00753389"/>
    <w:rsid w:val="00756632"/>
    <w:rsid w:val="00762C74"/>
    <w:rsid w:val="00786EC0"/>
    <w:rsid w:val="007934FB"/>
    <w:rsid w:val="007D1690"/>
    <w:rsid w:val="007E22AD"/>
    <w:rsid w:val="00810FBE"/>
    <w:rsid w:val="00817416"/>
    <w:rsid w:val="00842779"/>
    <w:rsid w:val="00865F67"/>
    <w:rsid w:val="00881A7B"/>
    <w:rsid w:val="008840E5"/>
    <w:rsid w:val="00887B3E"/>
    <w:rsid w:val="008C2AC6"/>
    <w:rsid w:val="008F288A"/>
    <w:rsid w:val="00930C23"/>
    <w:rsid w:val="0093193B"/>
    <w:rsid w:val="009509D8"/>
    <w:rsid w:val="00950B64"/>
    <w:rsid w:val="0097082F"/>
    <w:rsid w:val="00981893"/>
    <w:rsid w:val="00A1687D"/>
    <w:rsid w:val="00A43E52"/>
    <w:rsid w:val="00A4678D"/>
    <w:rsid w:val="00A56430"/>
    <w:rsid w:val="00A778C7"/>
    <w:rsid w:val="00AB441E"/>
    <w:rsid w:val="00AB6293"/>
    <w:rsid w:val="00AC5310"/>
    <w:rsid w:val="00AE0928"/>
    <w:rsid w:val="00AF3B82"/>
    <w:rsid w:val="00B12E95"/>
    <w:rsid w:val="00B22876"/>
    <w:rsid w:val="00B558F0"/>
    <w:rsid w:val="00BB57F3"/>
    <w:rsid w:val="00BD48FE"/>
    <w:rsid w:val="00BD7BD8"/>
    <w:rsid w:val="00BE6ADC"/>
    <w:rsid w:val="00C05BFE"/>
    <w:rsid w:val="00C111B8"/>
    <w:rsid w:val="00C23CD4"/>
    <w:rsid w:val="00C61C0C"/>
    <w:rsid w:val="00C941CB"/>
    <w:rsid w:val="00CC2357"/>
    <w:rsid w:val="00CF071A"/>
    <w:rsid w:val="00D058B8"/>
    <w:rsid w:val="00D56C11"/>
    <w:rsid w:val="00D834A0"/>
    <w:rsid w:val="00D872DF"/>
    <w:rsid w:val="00D91E21"/>
    <w:rsid w:val="00DA7FCD"/>
    <w:rsid w:val="00E365E1"/>
    <w:rsid w:val="00E751B6"/>
    <w:rsid w:val="00E820A4"/>
    <w:rsid w:val="00E8457C"/>
    <w:rsid w:val="00EB006A"/>
    <w:rsid w:val="00EB4772"/>
    <w:rsid w:val="00ED169E"/>
    <w:rsid w:val="00ED4235"/>
    <w:rsid w:val="00F04346"/>
    <w:rsid w:val="00F075DC"/>
    <w:rsid w:val="00F149E9"/>
    <w:rsid w:val="00F5134D"/>
    <w:rsid w:val="00F73F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ABDE6"/>
  <w15:chartTrackingRefBased/>
  <w15:docId w15:val="{887297B8-558F-4D02-A143-39553306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751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751B6"/>
    <w:pPr>
      <w:spacing w:before="480" w:after="240"/>
    </w:pPr>
  </w:style>
  <w:style w:type="paragraph" w:customStyle="1" w:styleId="PageHeading">
    <w:name w:val="PageHeading"/>
    <w:basedOn w:val="Normal"/>
    <w:rsid w:val="00E751B6"/>
    <w:pPr>
      <w:keepNext/>
      <w:spacing w:after="480"/>
      <w:jc w:val="center"/>
    </w:pPr>
    <w:rPr>
      <w:rFonts w:ascii="Arial" w:hAnsi="Arial" w:cs="Arial"/>
      <w:b/>
    </w:rPr>
  </w:style>
  <w:style w:type="paragraph" w:customStyle="1" w:styleId="NormalBold">
    <w:name w:val="NormalBold"/>
    <w:basedOn w:val="Normal"/>
    <w:rsid w:val="00E751B6"/>
    <w:rPr>
      <w:b/>
    </w:rPr>
  </w:style>
  <w:style w:type="paragraph" w:customStyle="1" w:styleId="NormalHanging12a">
    <w:name w:val="NormalHanging12a"/>
    <w:basedOn w:val="Normal"/>
    <w:link w:val="NormalHanging12aChar"/>
    <w:qFormat/>
    <w:rsid w:val="00E751B6"/>
    <w:pPr>
      <w:spacing w:after="240"/>
      <w:ind w:left="567" w:hanging="567"/>
    </w:pPr>
  </w:style>
  <w:style w:type="paragraph" w:styleId="Header">
    <w:name w:val="header"/>
    <w:basedOn w:val="Normal"/>
    <w:link w:val="HeaderChar"/>
    <w:rsid w:val="00E751B6"/>
    <w:pPr>
      <w:tabs>
        <w:tab w:val="center" w:pos="4513"/>
        <w:tab w:val="right" w:pos="9026"/>
      </w:tabs>
    </w:pPr>
  </w:style>
  <w:style w:type="character" w:customStyle="1" w:styleId="HeaderChar">
    <w:name w:val="Header Char"/>
    <w:basedOn w:val="DefaultParagraphFont"/>
    <w:link w:val="Header"/>
    <w:rsid w:val="00E751B6"/>
    <w:rPr>
      <w:sz w:val="24"/>
      <w:lang w:val="lt-LT"/>
    </w:rPr>
  </w:style>
  <w:style w:type="paragraph" w:customStyle="1" w:styleId="EPFooter">
    <w:name w:val="EPFooter"/>
    <w:basedOn w:val="Normal"/>
    <w:rsid w:val="00E751B6"/>
    <w:pPr>
      <w:tabs>
        <w:tab w:val="center" w:pos="4535"/>
        <w:tab w:val="right" w:pos="9071"/>
      </w:tabs>
      <w:spacing w:before="240" w:after="240"/>
    </w:pPr>
    <w:rPr>
      <w:color w:val="010000"/>
      <w:sz w:val="22"/>
    </w:rPr>
  </w:style>
  <w:style w:type="character" w:styleId="Hyperlink">
    <w:name w:val="Hyperlink"/>
    <w:basedOn w:val="DefaultParagraphFont"/>
    <w:rsid w:val="00E751B6"/>
    <w:rPr>
      <w:color w:val="0563C1" w:themeColor="hyperlink"/>
      <w:u w:val="single"/>
    </w:rPr>
  </w:style>
  <w:style w:type="character" w:customStyle="1" w:styleId="NormalHanging12aChar">
    <w:name w:val="NormalHanging12a Char"/>
    <w:basedOn w:val="DefaultParagraphFont"/>
    <w:link w:val="NormalHanging12a"/>
    <w:locked/>
    <w:rsid w:val="00E751B6"/>
    <w:rPr>
      <w:sz w:val="24"/>
      <w:lang w:val="lt-LT"/>
    </w:rPr>
  </w:style>
  <w:style w:type="paragraph" w:customStyle="1" w:styleId="Normal24a">
    <w:name w:val="Normal24a"/>
    <w:basedOn w:val="Normal"/>
    <w:link w:val="Normal24aChar"/>
    <w:rsid w:val="00E751B6"/>
    <w:pPr>
      <w:spacing w:after="480"/>
    </w:pPr>
    <w:rPr>
      <w:color w:val="008080"/>
    </w:rPr>
  </w:style>
  <w:style w:type="character" w:customStyle="1" w:styleId="Normal24aChar">
    <w:name w:val="Normal24a Char"/>
    <w:basedOn w:val="DefaultParagraphFont"/>
    <w:link w:val="Normal24a"/>
    <w:rsid w:val="00E751B6"/>
    <w:rPr>
      <w:color w:val="008080"/>
      <w:sz w:val="24"/>
      <w:lang w:val="lt-LT"/>
    </w:rPr>
  </w:style>
  <w:style w:type="paragraph" w:customStyle="1" w:styleId="Normal12a">
    <w:name w:val="Normal12a"/>
    <w:basedOn w:val="Normal"/>
    <w:rsid w:val="00E751B6"/>
    <w:pPr>
      <w:spacing w:after="240"/>
    </w:pPr>
  </w:style>
  <w:style w:type="paragraph" w:customStyle="1" w:styleId="PageHeadingNotTOC">
    <w:name w:val="PageHeadingNotTOC"/>
    <w:basedOn w:val="Normal"/>
    <w:rsid w:val="00E751B6"/>
    <w:pPr>
      <w:keepNext/>
      <w:spacing w:after="480"/>
      <w:jc w:val="center"/>
    </w:pPr>
    <w:rPr>
      <w:rFonts w:ascii="Arial" w:hAnsi="Arial" w:cs="Arial"/>
      <w:b/>
    </w:rPr>
  </w:style>
  <w:style w:type="paragraph" w:styleId="Revision">
    <w:name w:val="Revision"/>
    <w:hidden/>
    <w:uiPriority w:val="99"/>
    <w:semiHidden/>
    <w:rsid w:val="005F7B42"/>
    <w:rPr>
      <w:sz w:val="24"/>
      <w:lang w:val="lt-LT"/>
    </w:rPr>
  </w:style>
  <w:style w:type="character" w:styleId="FollowedHyperlink">
    <w:name w:val="FollowedHyperlink"/>
    <w:basedOn w:val="DefaultParagraphFont"/>
    <w:rsid w:val="006714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6408</Words>
  <Characters>43190</Characters>
  <Application>Microsoft Office Word</Application>
  <DocSecurity>0</DocSecurity>
  <Lines>359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2026-05-07T09:35:00Z</dcterms:created>
  <dcterms:modified xsi:type="dcterms:W3CDTF">2026-05-07T09:35:00Z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P10_TA(2026)0128_</vt:lpwstr>
  </property>
  <property fmtid="{D5CDD505-2E9C-101B-9397-08002B2CF9AE}" pid="4" name="&lt;Type&gt;">
    <vt:lpwstr>RR</vt:lpwstr>
  </property>
</Properties>
</file>