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4889" w14:paraId="19061D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6AB66E" w14:textId="77777777" w:rsidR="00751A4A" w:rsidRPr="000B4889" w:rsidRDefault="00A468CE" w:rsidP="0010095E">
            <w:pPr>
              <w:pStyle w:val="EPName"/>
            </w:pPr>
            <w:r w:rsidRPr="000B4889">
              <w:t>Parlament Europejski</w:t>
            </w:r>
          </w:p>
          <w:p w14:paraId="0BE54978" w14:textId="77777777" w:rsidR="00751A4A" w:rsidRPr="000B48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4889">
              <w:t>2024</w:t>
            </w:r>
            <w:r w:rsidR="00817416" w:rsidRPr="000B4889">
              <w:t>-202</w:t>
            </w:r>
            <w:r w:rsidRPr="000B4889">
              <w:t>9</w:t>
            </w:r>
          </w:p>
        </w:tc>
        <w:tc>
          <w:tcPr>
            <w:tcW w:w="2268" w:type="dxa"/>
            <w:shd w:val="clear" w:color="auto" w:fill="auto"/>
          </w:tcPr>
          <w:p w14:paraId="76403A36" w14:textId="77777777" w:rsidR="00751A4A" w:rsidRPr="000B4889" w:rsidRDefault="00187494" w:rsidP="0010095E">
            <w:pPr>
              <w:pStyle w:val="EPLogo"/>
            </w:pPr>
            <w:r w:rsidRPr="000B4889">
              <w:rPr>
                <w:noProof/>
                <w:lang w:eastAsia="ja-JP"/>
              </w:rPr>
              <w:drawing>
                <wp:inline distT="0" distB="0" distL="0" distR="0" wp14:anchorId="7FC7817C" wp14:editId="23BF65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AAA40B" w14:textId="77777777" w:rsidR="00D058B8" w:rsidRPr="000B4889" w:rsidRDefault="00D058B8" w:rsidP="004C5D52">
      <w:pPr>
        <w:pStyle w:val="LineTop"/>
      </w:pPr>
    </w:p>
    <w:p w14:paraId="1F640095" w14:textId="77777777" w:rsidR="00680577" w:rsidRPr="000B4889" w:rsidRDefault="00A468CE" w:rsidP="00680577">
      <w:pPr>
        <w:pStyle w:val="EPBodyTA1"/>
      </w:pPr>
      <w:r w:rsidRPr="000B4889">
        <w:t>TEKSTY PRZYJĘTE</w:t>
      </w:r>
    </w:p>
    <w:p w14:paraId="5A770BA6" w14:textId="77777777" w:rsidR="00D058B8" w:rsidRPr="000B4889" w:rsidRDefault="00D058B8" w:rsidP="00D058B8">
      <w:pPr>
        <w:pStyle w:val="LineBottom"/>
      </w:pPr>
    </w:p>
    <w:p w14:paraId="2406D000" w14:textId="29681E3E" w:rsidR="00A468CE" w:rsidRPr="000B4889" w:rsidRDefault="00A468CE" w:rsidP="00A468CE">
      <w:pPr>
        <w:pStyle w:val="ATHeading1"/>
      </w:pPr>
      <w:bookmarkStart w:id="0" w:name="TANumber"/>
      <w:r w:rsidRPr="000B4889">
        <w:t>P10_TA(2026)0</w:t>
      </w:r>
      <w:bookmarkEnd w:id="0"/>
      <w:r w:rsidR="00345ECE">
        <w:t>128</w:t>
      </w:r>
    </w:p>
    <w:p w14:paraId="34664AAB" w14:textId="36887959" w:rsidR="00A468CE" w:rsidRPr="00AA3D9A" w:rsidRDefault="00AA3D9A" w:rsidP="00A468CE">
      <w:pPr>
        <w:pStyle w:val="ATHeading2"/>
      </w:pPr>
      <w:r w:rsidRPr="00AA3D9A">
        <w:t>Absolutorium za rok 2024: budżet ogólny UE – Trybunał Sprawiedliwości Unii Europejskiej</w:t>
      </w:r>
    </w:p>
    <w:p w14:paraId="534B6493" w14:textId="77777777" w:rsidR="00A468CE" w:rsidRPr="000B4889" w:rsidRDefault="00A468CE" w:rsidP="00A468CE">
      <w:pPr>
        <w:rPr>
          <w:i/>
          <w:vanish/>
        </w:rPr>
      </w:pPr>
      <w:r w:rsidRPr="000B4889">
        <w:rPr>
          <w:i/>
        </w:rPr>
        <w:fldChar w:fldCharType="begin"/>
      </w:r>
      <w:r w:rsidRPr="000B4889">
        <w:rPr>
          <w:i/>
        </w:rPr>
        <w:instrText xml:space="preserve"> TC"(</w:instrText>
      </w:r>
      <w:bookmarkStart w:id="1" w:name="DocNumber"/>
      <w:r w:rsidRPr="000B4889">
        <w:rPr>
          <w:i/>
        </w:rPr>
        <w:instrText>A10-0055/2026</w:instrText>
      </w:r>
      <w:bookmarkEnd w:id="1"/>
      <w:r w:rsidRPr="000B4889">
        <w:rPr>
          <w:i/>
        </w:rPr>
        <w:instrText xml:space="preserve"> - Sprawozdawca: </w:instrText>
      </w:r>
      <w:proofErr w:type="spellStart"/>
      <w:r w:rsidRPr="000B4889">
        <w:rPr>
          <w:i/>
        </w:rPr>
        <w:instrText>Pasquale</w:instrText>
      </w:r>
      <w:proofErr w:type="spellEnd"/>
      <w:r w:rsidRPr="000B4889">
        <w:rPr>
          <w:i/>
        </w:rPr>
        <w:instrText xml:space="preserve"> </w:instrText>
      </w:r>
      <w:proofErr w:type="spellStart"/>
      <w:r w:rsidRPr="000B4889">
        <w:rPr>
          <w:i/>
        </w:rPr>
        <w:instrText>Tridico</w:instrText>
      </w:r>
      <w:proofErr w:type="spellEnd"/>
      <w:r w:rsidRPr="000B4889">
        <w:rPr>
          <w:i/>
        </w:rPr>
        <w:instrText xml:space="preserve">)"\l3 \n&gt; \* MERGEFORMAT </w:instrText>
      </w:r>
      <w:r w:rsidRPr="000B4889">
        <w:rPr>
          <w:i/>
        </w:rPr>
        <w:fldChar w:fldCharType="end"/>
      </w:r>
    </w:p>
    <w:p w14:paraId="0E5E4F2B" w14:textId="77777777" w:rsidR="00A468CE" w:rsidRPr="000B4889" w:rsidRDefault="00A468CE" w:rsidP="00A468CE">
      <w:pPr>
        <w:rPr>
          <w:vanish/>
        </w:rPr>
      </w:pPr>
      <w:bookmarkStart w:id="2" w:name="Commission"/>
      <w:r w:rsidRPr="000B4889">
        <w:rPr>
          <w:vanish/>
        </w:rPr>
        <w:t>Komisja Kontroli Budżetowej</w:t>
      </w:r>
      <w:bookmarkEnd w:id="2"/>
    </w:p>
    <w:p w14:paraId="530FF073" w14:textId="77777777" w:rsidR="00A468CE" w:rsidRPr="000B4889" w:rsidRDefault="00A468CE" w:rsidP="00A468CE">
      <w:pPr>
        <w:rPr>
          <w:vanish/>
        </w:rPr>
      </w:pPr>
      <w:bookmarkStart w:id="3" w:name="PE"/>
      <w:r w:rsidRPr="000B4889">
        <w:rPr>
          <w:vanish/>
        </w:rPr>
        <w:t>PE778.060</w:t>
      </w:r>
      <w:bookmarkEnd w:id="3"/>
    </w:p>
    <w:p w14:paraId="25883EBA" w14:textId="3951BB06" w:rsidR="00A468CE" w:rsidRPr="000B4889" w:rsidRDefault="00D71A75" w:rsidP="00A468CE">
      <w:pPr>
        <w:pStyle w:val="ATHeading3"/>
      </w:pPr>
      <w:bookmarkStart w:id="4" w:name="Sujet"/>
      <w:r>
        <w:t xml:space="preserve">1. </w:t>
      </w:r>
      <w:r w:rsidR="00A468CE" w:rsidRPr="000B4889">
        <w:t xml:space="preserve">Decyzja Parlamentu Europejskiego z dnia </w:t>
      </w:r>
      <w:r w:rsidR="00AA3D9A">
        <w:t>29 kwietnia</w:t>
      </w:r>
      <w:r w:rsidR="00A468CE" w:rsidRPr="000B4889">
        <w:t xml:space="preserve"> 2026 r. w sprawie absolutorium z wykonania budżetu ogólnego Unii Europejskiej za rok budżetowy 2024, sekcja IV – Trybunał Sprawiedliwości Unii Europejskiej</w:t>
      </w:r>
      <w:bookmarkEnd w:id="4"/>
      <w:r w:rsidR="00A468CE" w:rsidRPr="000B4889">
        <w:t xml:space="preserve"> </w:t>
      </w:r>
      <w:bookmarkStart w:id="5" w:name="References"/>
      <w:r w:rsidR="00A468CE" w:rsidRPr="000B4889">
        <w:t>(2025/2148(DEC))</w:t>
      </w:r>
      <w:bookmarkEnd w:id="5"/>
    </w:p>
    <w:p w14:paraId="6C35D6C0" w14:textId="77777777" w:rsidR="007A4252" w:rsidRPr="000B4889" w:rsidRDefault="007A4252" w:rsidP="007A4252">
      <w:pPr>
        <w:pStyle w:val="EPComma"/>
      </w:pPr>
      <w:bookmarkStart w:id="6" w:name="TextBodyBegin"/>
      <w:bookmarkEnd w:id="6"/>
      <w:r w:rsidRPr="000B4889">
        <w:rPr>
          <w:i/>
          <w:iCs/>
        </w:rPr>
        <w:t>Parlament Europejski</w:t>
      </w:r>
      <w:r w:rsidRPr="000B4889">
        <w:t>,</w:t>
      </w:r>
    </w:p>
    <w:p w14:paraId="687C7A5C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budżet ogólny Unii Europejskiej na rok budżetowy 2024</w:t>
      </w:r>
      <w:r w:rsidRPr="000B4889">
        <w:rPr>
          <w:rStyle w:val="FootnoteReference"/>
        </w:rPr>
        <w:footnoteReference w:id="1"/>
      </w:r>
      <w:r w:rsidRPr="000B4889">
        <w:t>,</w:t>
      </w:r>
    </w:p>
    <w:p w14:paraId="0A6F09F2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skonsolidowane roczne sprawozdanie finansowe Unii Europejskiej za rok budżetowy 2024 (</w:t>
      </w:r>
      <w:proofErr w:type="gramStart"/>
      <w:r w:rsidRPr="000B4889">
        <w:t>COM(</w:t>
      </w:r>
      <w:proofErr w:type="gramEnd"/>
      <w:r w:rsidRPr="000B4889">
        <w:t>2025)0359 – C10</w:t>
      </w:r>
      <w:r w:rsidRPr="000B4889">
        <w:noBreakHyphen/>
        <w:t>0148/2025)</w:t>
      </w:r>
      <w:r w:rsidRPr="000B4889">
        <w:rPr>
          <w:rStyle w:val="FootnoteReference"/>
        </w:rPr>
        <w:footnoteReference w:id="2"/>
      </w:r>
      <w:r w:rsidRPr="000B4889">
        <w:t>,</w:t>
      </w:r>
    </w:p>
    <w:p w14:paraId="60DD3951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sprawozdanie roczne Trybunału Sprawiedliwości Unii Europejskiej dla organu udzielającego absolutorium w sprawie audytów wewnętrznych przeprowadzonych w 2024 r.,</w:t>
      </w:r>
    </w:p>
    <w:p w14:paraId="21ECBF4E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sprawozdanie roczne Trybunału Obrachunkowego dotyczące wykonania budżetu za rok budżetowy 2024 wraz z odpowiedziami instytucji</w:t>
      </w:r>
      <w:r w:rsidRPr="000B4889">
        <w:rPr>
          <w:rStyle w:val="FootnoteReference"/>
        </w:rPr>
        <w:footnoteReference w:id="3"/>
      </w:r>
      <w:r w:rsidRPr="000B4889">
        <w:t>,</w:t>
      </w:r>
    </w:p>
    <w:p w14:paraId="1273D5E0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poświadczenie wiarygodności</w:t>
      </w:r>
      <w:r w:rsidRPr="000B4889">
        <w:rPr>
          <w:rStyle w:val="FootnoteReference"/>
        </w:rPr>
        <w:footnoteReference w:id="4"/>
      </w:r>
      <w:r w:rsidRPr="000B4889">
        <w:t xml:space="preserve"> rachunków, jak również legalności i prawidłowości operacji leżących u ich podstaw przedłożone przez Trybunał Obrachunkowy za rok budżetowy 2024 zgodnie z art. 287 Traktatu o funkcjonowaniu Unii Europejskiej,</w:t>
      </w:r>
    </w:p>
    <w:p w14:paraId="00E0B13E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art. 314 ust. 10 oraz art. 317, 318 i 319 Traktatu o funkcjonowaniu Unii Europejskiej,</w:t>
      </w:r>
    </w:p>
    <w:p w14:paraId="46FC5A36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 xml:space="preserve">uwzględniając rozporządzenie Parlamentu Europejskiego i Rady (UE, </w:t>
      </w:r>
      <w:proofErr w:type="spellStart"/>
      <w:r w:rsidRPr="000B4889">
        <w:t>Euratom</w:t>
      </w:r>
      <w:proofErr w:type="spellEnd"/>
      <w:r w:rsidRPr="000B4889">
        <w:t xml:space="preserve">) 2018/1046 z dnia 18 lipca 2018 r. w sprawie zasad finansowych mających zastosowanie do budżetu ogólnego Unii, zmieniające rozporządzenia (UE) nr 1296/2013, (UE) </w:t>
      </w:r>
      <w:r w:rsidRPr="000B4889">
        <w:lastRenderedPageBreak/>
        <w:t>nr 1301/</w:t>
      </w:r>
      <w:proofErr w:type="gramStart"/>
      <w:r w:rsidRPr="000B4889">
        <w:t>2013,</w:t>
      </w:r>
      <w:proofErr w:type="gramEnd"/>
      <w:r w:rsidRPr="000B4889">
        <w:t xml:space="preserve"> (UE) nr 1303/2013, (UE) nr 1304/2013, (UE) nr 1309/2013, (UE) nr 1316/2013, (UE) nr 223/2014 i (UE) nr 283/2014 oraz decyzję nr 541/2014/UE, a także uchylające rozporządzenie (UE, </w:t>
      </w:r>
      <w:proofErr w:type="spellStart"/>
      <w:r w:rsidRPr="000B4889">
        <w:t>Euratom</w:t>
      </w:r>
      <w:proofErr w:type="spellEnd"/>
      <w:r w:rsidRPr="000B4889">
        <w:t>) nr 966/2012</w:t>
      </w:r>
      <w:r w:rsidRPr="000B4889">
        <w:rPr>
          <w:rStyle w:val="FootnoteReference"/>
        </w:rPr>
        <w:footnoteReference w:id="5"/>
      </w:r>
      <w:r w:rsidRPr="000B4889">
        <w:t>, w szczególności jego art. 59, 118, 260, 261 i 262,</w:t>
      </w:r>
    </w:p>
    <w:p w14:paraId="5A1D966B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 xml:space="preserve">uwzględniając rozporządzenie Parlamentu Europejskiego i Rady (UE, </w:t>
      </w:r>
      <w:proofErr w:type="spellStart"/>
      <w:r w:rsidRPr="000B4889">
        <w:t>Euratom</w:t>
      </w:r>
      <w:proofErr w:type="spellEnd"/>
      <w:r w:rsidRPr="000B4889">
        <w:t>) 2024/2509 z dnia 23 września 2024 r. w sprawie zasad finansowych mających zastosowanie do budżetu ogólnego Unii</w:t>
      </w:r>
      <w:r w:rsidRPr="000B4889">
        <w:rPr>
          <w:rStyle w:val="FootnoteReference"/>
        </w:rPr>
        <w:footnoteReference w:id="6"/>
      </w:r>
      <w:r w:rsidRPr="000B4889">
        <w:t>, w szczególności jego art. 59, 118, 266, 267 i 268,</w:t>
      </w:r>
    </w:p>
    <w:p w14:paraId="3C207325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art. 102 Regulaminu i załącznik V do Regulaminu,</w:t>
      </w:r>
    </w:p>
    <w:p w14:paraId="43EE17FA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opinię przedstawioną przez Komisję Prawną,</w:t>
      </w:r>
    </w:p>
    <w:p w14:paraId="201A9AE1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sprawozdanie Komisji Kontroli Budżetowej (A10-0055/2026),</w:t>
      </w:r>
    </w:p>
    <w:p w14:paraId="37B46109" w14:textId="77777777" w:rsidR="007A4252" w:rsidRPr="000B4889" w:rsidRDefault="007A4252" w:rsidP="007A4252">
      <w:pPr>
        <w:pStyle w:val="NormalHanging12a"/>
      </w:pPr>
      <w:r w:rsidRPr="000B4889">
        <w:t>1.</w:t>
      </w:r>
      <w:r w:rsidRPr="000B4889">
        <w:tab/>
        <w:t>udziela sekretarzowi Trybunału Sprawiedliwości absolutorium z wykonania budżetu Trybunału Sprawiedliwości Unii Europejskiej za rok budżetowy 2024;</w:t>
      </w:r>
    </w:p>
    <w:p w14:paraId="1DFB720F" w14:textId="77777777" w:rsidR="007A4252" w:rsidRPr="000B4889" w:rsidRDefault="007A4252" w:rsidP="007A4252">
      <w:pPr>
        <w:pStyle w:val="NormalHanging12a"/>
      </w:pPr>
      <w:r w:rsidRPr="000B4889">
        <w:t>2.</w:t>
      </w:r>
      <w:r w:rsidRPr="000B4889">
        <w:tab/>
        <w:t>przedstawia swoje uwagi w poniższej rezolucji;</w:t>
      </w:r>
    </w:p>
    <w:p w14:paraId="5253707B" w14:textId="77777777" w:rsidR="007A4252" w:rsidRPr="000B4889" w:rsidRDefault="007A4252" w:rsidP="007A4252">
      <w:pPr>
        <w:pStyle w:val="NormalHanging12a"/>
      </w:pPr>
      <w:r w:rsidRPr="000B4889">
        <w:t>3.</w:t>
      </w:r>
      <w:r w:rsidRPr="000B4889">
        <w:tab/>
        <w:t>zobowiązuje swoją przewodniczącą do przekazania niniejszej decyzji wraz z rezolucją, która stanowi jej integralną część, Trybunałowi Sprawiedliwości Unii Europejskiej, Radzie, Komisji i Trybunałowi Obrachunkowemu oraz do zarządzenia jej publikacji w </w:t>
      </w:r>
      <w:r w:rsidRPr="000B4889">
        <w:rPr>
          <w:i/>
        </w:rPr>
        <w:t>Dzienniku Urzędowym Unii Europejskiej</w:t>
      </w:r>
      <w:r w:rsidRPr="000B4889">
        <w:t xml:space="preserve"> (seria L).</w:t>
      </w:r>
    </w:p>
    <w:p w14:paraId="660F0003" w14:textId="77777777" w:rsidR="007A4252" w:rsidRPr="000B4889" w:rsidRDefault="007A4252" w:rsidP="007A4252">
      <w:pPr>
        <w:widowControl/>
      </w:pPr>
      <w:r w:rsidRPr="000B4889">
        <w:br w:type="page"/>
      </w:r>
    </w:p>
    <w:p w14:paraId="6880716B" w14:textId="77777777" w:rsidR="007A4252" w:rsidRPr="000B4889" w:rsidRDefault="007A4252" w:rsidP="007A4252">
      <w:pPr>
        <w:pStyle w:val="PageHeading"/>
        <w:sectPr w:rsidR="007A4252" w:rsidRPr="000B4889" w:rsidSect="000B48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83DEB1A" w14:textId="23970B48" w:rsidR="00D71A75" w:rsidRDefault="00D71A75" w:rsidP="00D71A75">
      <w:pPr>
        <w:pStyle w:val="ATHeading3"/>
      </w:pPr>
      <w:r>
        <w:lastRenderedPageBreak/>
        <w:t>2. Rezolucja Parlamentu Europejskiego z dnia 29 kwietnia 2026 r. zawierając</w:t>
      </w:r>
      <w:r w:rsidR="00E21897">
        <w:t>a</w:t>
      </w:r>
      <w:r>
        <w:t xml:space="preserve"> uwagi stanowiące integralną część decyzji w sprawie absolutorium z wykonania budżetu ogólnego Unii Europejskiej za rok budżetowy 2024, sekcja IV – Trybunał Sprawiedliwości Unii Europejskiej (2025/2148(DEC))</w:t>
      </w:r>
    </w:p>
    <w:p w14:paraId="10C093C8" w14:textId="77777777" w:rsidR="007A4252" w:rsidRPr="000B4889" w:rsidRDefault="007A4252" w:rsidP="007A4252">
      <w:pPr>
        <w:pStyle w:val="EPComma"/>
      </w:pPr>
      <w:r w:rsidRPr="000B4889">
        <w:rPr>
          <w:i/>
          <w:iCs/>
        </w:rPr>
        <w:t>Parlament Europejski</w:t>
      </w:r>
      <w:r w:rsidRPr="000B4889">
        <w:t>,</w:t>
      </w:r>
    </w:p>
    <w:p w14:paraId="46F21CB9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swoją decyzję w sprawie absolutorium z wykonania budżetu ogólnego Unii Europejskiej za rok budżetowy 2024, sekcja IV – Trybunał Sprawiedliwości Unii Europejskiej,</w:t>
      </w:r>
    </w:p>
    <w:p w14:paraId="5144C078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art. 102 Regulaminu i załącznik V do Regulaminu,</w:t>
      </w:r>
    </w:p>
    <w:p w14:paraId="55989E93" w14:textId="77777777" w:rsidR="007A4252" w:rsidRPr="000B4889" w:rsidRDefault="007A4252" w:rsidP="007A4252">
      <w:pPr>
        <w:pStyle w:val="NormalHanging12a"/>
      </w:pPr>
      <w:r w:rsidRPr="000B4889">
        <w:t>–</w:t>
      </w:r>
      <w:r w:rsidRPr="000B4889">
        <w:tab/>
        <w:t>uwzględniając opinię przedstawioną przez Komisję Prawną,</w:t>
      </w:r>
    </w:p>
    <w:p w14:paraId="5B084538" w14:textId="77777777" w:rsidR="007A4252" w:rsidRPr="000B4889" w:rsidRDefault="007A4252" w:rsidP="007A4252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43"/>
        </w:tabs>
      </w:pPr>
      <w:r w:rsidRPr="000B4889">
        <w:t>–</w:t>
      </w:r>
      <w:r w:rsidRPr="000B4889">
        <w:tab/>
        <w:t>uwzględniając sprawozdanie Komisji Kontroli Budżetowej (A10-0055/2026),</w:t>
      </w:r>
    </w:p>
    <w:p w14:paraId="67544AAF" w14:textId="77777777" w:rsidR="007A4252" w:rsidRPr="000B4889" w:rsidRDefault="007A4252" w:rsidP="007A4252">
      <w:pPr>
        <w:pStyle w:val="NormalHanging12a"/>
      </w:pPr>
      <w:r w:rsidRPr="000B4889">
        <w:t>A.</w:t>
      </w:r>
      <w:r w:rsidRPr="000B4889">
        <w:tab/>
        <w:t>mając na uwadze, że w 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ludzkimi;</w:t>
      </w:r>
    </w:p>
    <w:p w14:paraId="27C21782" w14:textId="77777777" w:rsidR="007A4252" w:rsidRPr="000B4889" w:rsidRDefault="007A4252" w:rsidP="007A4252">
      <w:pPr>
        <w:pStyle w:val="NormalHanging12a"/>
        <w:rPr>
          <w:u w:val="single"/>
        </w:rPr>
      </w:pPr>
      <w:r w:rsidRPr="000B4889">
        <w:t>B.</w:t>
      </w:r>
      <w:r w:rsidRPr="000B4889">
        <w:tab/>
        <w:t>mając na uwadze, że Trybunał Sprawiedliwości Unii Europejskiej (TSUE) jest instytucją sądowniczą Unii, której zadaniem jest zapewnianie poszanowania prawa Unii poprzez czuwanie nad jednolitą interpretacją i jednolitym stosowaniem traktatów oraz przez zapewnienie kontroli zgodności z prawem aktów przyjmowanych przez instytucje, organy, urzędy i agencje Unii;</w:t>
      </w:r>
    </w:p>
    <w:p w14:paraId="5C0C9A56" w14:textId="77777777" w:rsidR="007A4252" w:rsidRPr="000B4889" w:rsidRDefault="007A4252" w:rsidP="007A4252">
      <w:pPr>
        <w:pStyle w:val="NormalHanging12a"/>
      </w:pPr>
      <w:r w:rsidRPr="000B4889">
        <w:t>C.</w:t>
      </w:r>
      <w:r w:rsidRPr="000B4889">
        <w:tab/>
        <w:t>mając na uwadze, że TSUE przyczynia się do ochrony wartości Unii, a poprzez swoje orzecznictwo działa na rzecz budowania Europy, pozostając jednocześnie odpowiedzialnym przed obywatelami dzięki pewności prawa, spójności orzecznictwa i poszanowaniu granic wykładni sądowej;</w:t>
      </w:r>
    </w:p>
    <w:p w14:paraId="6A89B35A" w14:textId="77777777" w:rsidR="007A4252" w:rsidRPr="000B4889" w:rsidRDefault="007A4252" w:rsidP="007A4252">
      <w:pPr>
        <w:pStyle w:val="NormalHanging12a"/>
      </w:pPr>
      <w:r w:rsidRPr="000B4889">
        <w:t>D.</w:t>
      </w:r>
      <w:r w:rsidRPr="000B4889">
        <w:tab/>
        <w:t>mając na uwadze, że TSUE składa się z dwóch organów sądowych: Trybunału Sprawiedliwości i Sądu;</w:t>
      </w:r>
    </w:p>
    <w:p w14:paraId="3FB262EE" w14:textId="77777777" w:rsidR="007A4252" w:rsidRPr="000B4889" w:rsidRDefault="007A4252" w:rsidP="007A4252">
      <w:pPr>
        <w:pStyle w:val="NormalHanging12a"/>
      </w:pPr>
      <w:r w:rsidRPr="000B4889">
        <w:t>E.</w:t>
      </w:r>
      <w:r w:rsidRPr="000B4889">
        <w:tab/>
        <w:t>mając na uwadze, że w 2024 r. Parlament i Rada zmieniły Protokół nr 3 w sprawie statutu TSUE („statut”)</w:t>
      </w:r>
      <w:r w:rsidRPr="000B4889">
        <w:rPr>
          <w:rStyle w:val="FootnoteReference"/>
        </w:rPr>
        <w:footnoteReference w:id="7"/>
      </w:r>
      <w:r w:rsidRPr="000B4889">
        <w:t xml:space="preserve"> w kwestii przeniesienia do Sądu właściwości do wydawania orzeczeń w trybie prejudycjalnym w określonych dziedzinach;</w:t>
      </w:r>
    </w:p>
    <w:p w14:paraId="398A1921" w14:textId="77777777" w:rsidR="007A4252" w:rsidRPr="000B4889" w:rsidRDefault="007A4252" w:rsidP="007A4252">
      <w:pPr>
        <w:pStyle w:val="NormalHanging12a"/>
      </w:pPr>
      <w:r w:rsidRPr="000B4889">
        <w:t>1.</w:t>
      </w:r>
      <w:r w:rsidRPr="000B4889">
        <w:tab/>
        <w:t xml:space="preserve">odnotowuje, że budżet TSUE wchodzi w zakres działu 7 WRF „Europejska administracja publiczna”, który w 2023 r. dysponował kwotą 13,3 mld EUR (co stanowi 6,9 % całkowitego budżetu Unii); zauważa, że budżet TSUE wynoszący około 0,5 mld EUR stanowi około 3,76 % całkowitych wydatków administracyjnych Unii, co stanowi spadek z 3,9 % w 2023 r.; podkreśla, że w sprawach związanych z dochodzeniem w </w:t>
      </w:r>
      <w:r w:rsidRPr="000B4889">
        <w:lastRenderedPageBreak/>
        <w:t xml:space="preserve">sprawie budżetu Unii wszystkie właściwe organy muszą w pełni przestrzegać zasad sprawiedliwości proceduralnej i praw podstawowych; </w:t>
      </w:r>
    </w:p>
    <w:p w14:paraId="01F2EA92" w14:textId="77777777" w:rsidR="007A4252" w:rsidRPr="000B4889" w:rsidRDefault="007A4252" w:rsidP="007A4252">
      <w:pPr>
        <w:pStyle w:val="NormalHanging12a"/>
      </w:pPr>
      <w:r w:rsidRPr="000B4889">
        <w:t>2.</w:t>
      </w:r>
      <w:r w:rsidRPr="000B4889">
        <w:tab/>
        <w:t>zwraca uwagę, że Trybunał Obrachunkowy („Trybunał”) w sprawozdaniu rocznym za rok budżetowy 2024 („sprawozdanie Trybunału”) zbadał próbę 70 transakcji w dziale „Administracja”, czyli tyle samo co w 2023 r.; zwraca ponadto uwagę, że Trybunał stwierdził, iż wydatki administracyjne obejmują wydatki na zasoby kadrowe, w tym na emerytury i renty, które w 2024 r. stanowiły około 69 % wszystkich wydatków administracyjnych, oraz wydatki na budynki, wyposażenie, energię, telekomunikację i informatykę (IT), a z kontroli prowadzonych od wielu lat przez Trybunał wynika, iż zasadniczo są to wydatki obarczone niskim ryzykiem;</w:t>
      </w:r>
    </w:p>
    <w:p w14:paraId="5F1DA5E0" w14:textId="77777777" w:rsidR="007A4252" w:rsidRPr="000B4889" w:rsidRDefault="007A4252" w:rsidP="007A4252">
      <w:pPr>
        <w:pStyle w:val="NormalHanging12a"/>
      </w:pPr>
      <w:r w:rsidRPr="000B4889">
        <w:t>3.</w:t>
      </w:r>
      <w:r w:rsidRPr="000B4889">
        <w:tab/>
        <w:t>zauważa, że chociaż na 70 zbadanych transakcji błędy wystąpiły w 16 (23 %), na podstawie trzech skwantyfikowanych błędów Trybunał szacuje, iż poziom błędu znajduje się poniżej progu istotności; zwraca uwagę, że Trybunał nie wskazał w sprawozdaniu żadnego konkretnego problemu dotyczącego TSUE;</w:t>
      </w:r>
    </w:p>
    <w:p w14:paraId="0F715D1E" w14:textId="77777777" w:rsidR="007A4252" w:rsidRPr="00E21897" w:rsidRDefault="007A4252" w:rsidP="007A4252">
      <w:pPr>
        <w:pStyle w:val="NormalHanging12a"/>
        <w:rPr>
          <w:b/>
          <w:i/>
          <w:iCs/>
        </w:rPr>
      </w:pPr>
      <w:r w:rsidRPr="00E21897">
        <w:rPr>
          <w:b/>
          <w:i/>
          <w:iCs/>
        </w:rPr>
        <w:t>Zarządzanie budżetem i finansami</w:t>
      </w:r>
    </w:p>
    <w:p w14:paraId="0B0E111B" w14:textId="77777777" w:rsidR="007A4252" w:rsidRPr="000B4889" w:rsidRDefault="007A4252" w:rsidP="007A4252">
      <w:pPr>
        <w:pStyle w:val="NormalHanging12a"/>
      </w:pPr>
      <w:r w:rsidRPr="000B4889">
        <w:t>4.</w:t>
      </w:r>
      <w:r w:rsidRPr="000B4889">
        <w:tab/>
        <w:t>zwraca uwagę, że budżet przydzielony TSUE w 2024 r. wyniósł 503 837 531 EUR, co stanowi wzrost o 3,66 % w porównaniu z 2023 r.; zauważa, że wzrost ten był głównie związany z rewaloryzacją wynagrodzeń przewidzianą na 2024 r.;</w:t>
      </w:r>
    </w:p>
    <w:p w14:paraId="35B2FE0B" w14:textId="77777777" w:rsidR="007A4252" w:rsidRPr="000B4889" w:rsidRDefault="007A4252" w:rsidP="007A4252">
      <w:pPr>
        <w:pStyle w:val="NormalHanging12a"/>
        <w:rPr>
          <w:bCs/>
          <w:iCs/>
        </w:rPr>
      </w:pPr>
      <w:r w:rsidRPr="000B4889">
        <w:t>5.</w:t>
      </w:r>
      <w:r w:rsidRPr="000B4889">
        <w:tab/>
        <w:t>zauważa, że wydatki na personel stanowią prawie 80 % budżetu TSUE oraz że aktualizacje wynagrodzeń przekroczyły początkowe prognozy w 2024 r.; podkreśla, że chociaż wzrosty pokryto bez dodatkowego zwiększenia środków budżetowych, ich powtarzający się charakter budzi wątpliwości co do średniookresowej stabilności budżetowej w ramach obecnych ograniczeń WRF; apeluje o lepsze wieloletnie planowanie zatrudnienia i wydatków, bez osłabiania niezależności sądów;</w:t>
      </w:r>
    </w:p>
    <w:p w14:paraId="2EC8BF8B" w14:textId="77777777" w:rsidR="007A4252" w:rsidRPr="000B4889" w:rsidRDefault="007A4252" w:rsidP="007A4252">
      <w:pPr>
        <w:pStyle w:val="NormalHanging12a"/>
      </w:pPr>
      <w:r w:rsidRPr="000B4889">
        <w:t>6.</w:t>
      </w:r>
      <w:r w:rsidRPr="000B4889">
        <w:tab/>
        <w:t>zauważa, że z odpowiedzi TSUE na kwestionariusz dotyczący absolutorium za rok 2024 wynika, iż ogólny tymczasowy wskaźnik wykonania budżetu na koniec 2024 r. wyniósł 97,72 %, czyli tyle samo co w 2023 r., natomiast ostateczny wskaźnik wykonania za rok 2024 będzie dostępny pod koniec 2025 r.; zwraca uwagę, że władzy budżetowej przedłożono trzy przesunięcia zgodnie z art. 29 rozporządzenia finansowego w celu zasilenia linii budżetowych „Zakup, konserwacja oraz utrzymanie sprzętu i oprogramowania komputerowego”, „Placówki opieki nad dziećmi” oraz „Budynki” z innych linii budżetowych, głównie z linii budżetowej „Wynagrodzenia i świadczenia” na potrzeby pracowników;</w:t>
      </w:r>
    </w:p>
    <w:p w14:paraId="6668FF46" w14:textId="77777777" w:rsidR="007A4252" w:rsidRPr="000B4889" w:rsidRDefault="007A4252" w:rsidP="007A4252">
      <w:pPr>
        <w:pStyle w:val="NormalHanging12a"/>
      </w:pPr>
      <w:r w:rsidRPr="000B4889">
        <w:t>7.</w:t>
      </w:r>
      <w:r w:rsidRPr="000B4889">
        <w:tab/>
        <w:t xml:space="preserve">zgadza się, że zdolność TSUE do radzenia sobie z coraz większym nakładem pracy została ograniczona z jednej strony przez wytyczne Komisji dotyczące przygotowania budżetu, które ograniczają wzrost wszystkich wydatków niezwiązanych z wynagrodzeniami do maksymalnie 2 % i zniechęcają do składania wniosków o utworzenie nowych stanowisk, a z drugiej strony przez niezdolność EPSO do zapewnienia instytucjom unijnym odpowiedniej liczby kandydatów, którzy pomyślnie przeszli konkursy, spośród których można by dokonać rekrutacji; zauważa ponadto, że skutki inflacyjne rosyjskiej nielegalnej wojny napastniczej przeciwko Ukrainie nadal wywierają presję na budżet TSUE, np. przez wzrost kosztów podróży służbowych czy podwyżkę cen towarów i usług objętych umowami; docenia działania TSUE łagodzące te skutki, takie jak ograniczenie liczby podróży służbowych, racjonalizacja wydatków </w:t>
      </w:r>
      <w:r w:rsidRPr="000B4889">
        <w:lastRenderedPageBreak/>
        <w:t xml:space="preserve">na energię oraz przede wszystkim stosowanie </w:t>
      </w:r>
      <w:proofErr w:type="spellStart"/>
      <w:r w:rsidRPr="000B4889">
        <w:t>priorytetyzacji</w:t>
      </w:r>
      <w:proofErr w:type="spellEnd"/>
      <w:r w:rsidRPr="000B4889">
        <w:t xml:space="preserve"> projektów przy sporządzaniu założeń budżetowych; uznaje potrzebę usprawnienia zarządzania budżetem przez wszystkie instytucje Unii, również przez uwzględnianie wahania cen, zwłaszcza w sektorze energetycznym, przy zawieraniu umów z usługodawcami; wzywa TSUE do dalszego zwiększania efektywności kosztowej i proaktywnego planowania budżetu, aby zachować jakość sądownictwa w ramach dostępnych zasobów;</w:t>
      </w:r>
    </w:p>
    <w:p w14:paraId="65162114" w14:textId="77777777" w:rsidR="007A4252" w:rsidRPr="000B4889" w:rsidRDefault="007A4252" w:rsidP="007A4252">
      <w:pPr>
        <w:pStyle w:val="NormalHanging12a"/>
      </w:pPr>
      <w:r w:rsidRPr="000B4889">
        <w:t>8.</w:t>
      </w:r>
      <w:r w:rsidRPr="000B4889">
        <w:tab/>
        <w:t>zauważa nieznaczny wzrost średniego czasu realizacji płatności z 23,1 dnia w 2023 r. do 23,7 dnia w 2024 r. oraz wzrost udziału faktur otrzymywanych elektronicznie z 81 % w 2023 r. do 88 % w 2024 r.; odnotowuje, że zgodnie z odpowiedzią TSUE na uwagi zawarte w rezolucji Parlamentu dotyczącej absolutorium za 2023 r. („sprawozdanie uzupełniające”), w przypadku faktur za tłumaczenia zewnętrzne płatność uzależniona jest od przeprowadzenia procesu weryfikacji, który jest niezbędny dla zapewnienia wymaganej wysokiej jakości tłumaczeń;</w:t>
      </w:r>
    </w:p>
    <w:p w14:paraId="1CFFF7C0" w14:textId="77777777" w:rsidR="007A4252" w:rsidRPr="000B4889" w:rsidRDefault="007A4252" w:rsidP="007A4252">
      <w:pPr>
        <w:pStyle w:val="NormalHanging12a"/>
      </w:pPr>
      <w:r w:rsidRPr="000B4889">
        <w:t>9.</w:t>
      </w:r>
      <w:r w:rsidRPr="000B4889">
        <w:tab/>
        <w:t>z zadowoleniem przyjmuje spadek budżetu przeznaczonego na podróże służbowe członków i pracowników TSUE po raz drugi z rzędu – z 638 000 EUR w 2023 r. do 616 000 EUR w 2024 r., co oznacza spadek o około 3,44 %;</w:t>
      </w:r>
    </w:p>
    <w:p w14:paraId="22D0416A" w14:textId="77777777" w:rsidR="007A4252" w:rsidRPr="00E21897" w:rsidRDefault="007A4252" w:rsidP="007A4252">
      <w:pPr>
        <w:pStyle w:val="NormalHanging12a"/>
        <w:rPr>
          <w:b/>
          <w:i/>
          <w:iCs/>
        </w:rPr>
      </w:pPr>
      <w:r w:rsidRPr="00E21897">
        <w:rPr>
          <w:b/>
          <w:i/>
          <w:iCs/>
        </w:rPr>
        <w:t>Zarządzanie wewnętrzne, wyniki i kontrola wewnętrzna</w:t>
      </w:r>
    </w:p>
    <w:p w14:paraId="2A6A4FFC" w14:textId="77777777" w:rsidR="007A4252" w:rsidRPr="000B4889" w:rsidRDefault="007A4252" w:rsidP="007A4252">
      <w:pPr>
        <w:spacing w:after="240"/>
        <w:ind w:left="567" w:hanging="567"/>
      </w:pPr>
      <w:r w:rsidRPr="000B4889">
        <w:t>10.</w:t>
      </w:r>
      <w:r w:rsidRPr="000B4889">
        <w:tab/>
        <w:t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</w:t>
      </w:r>
      <w:proofErr w:type="spellStart"/>
      <w:r w:rsidRPr="000B4889">
        <w:t>Curia</w:t>
      </w:r>
      <w:proofErr w:type="spellEnd"/>
      <w:r w:rsidRPr="000B4889">
        <w:t>, opracowanie nowego oprogramowania („One-stop-shop”) umożliwiającego szybkie analizowanie i rozpatrywanie spraw, zwiększenie efektywności i jakości orzeczeń oraz ujednolicenie praktyk kancelarii Trybunału Sprawiedliwości i Sądu w 2024 r.; z uznaniem odnotowuje, że w pierwszych trzech miesiącach po wejściu w życie reformy do Sądu przekazano już 19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 wzywa TSUE do przedstawienia sprawozdania na temat konkretnego wpływu reformy sądownictwa na efektywność, czas trwania postępowań i podział obciążenia pracą między Trybunałem Sprawiedliwości a Sądem, w tym wpływu narzędzi cyfrowych na czas rozpatrywania spraw i równowagę obciążenia pracą; wzywa TSUE do przedstawienia, na potrzeby następnej procedury udzielania absolutorium, kompleksowej oceny ex post tej reformy;</w:t>
      </w:r>
    </w:p>
    <w:p w14:paraId="4B8B2D2B" w14:textId="77777777" w:rsidR="007A4252" w:rsidRPr="000B4889" w:rsidRDefault="007A4252" w:rsidP="007A4252">
      <w:pPr>
        <w:pStyle w:val="NormalHanging12a"/>
      </w:pPr>
      <w:r w:rsidRPr="000B4889">
        <w:t>11.</w:t>
      </w:r>
      <w:r w:rsidRPr="000B4889">
        <w:tab/>
        <w:t xml:space="preserve">zauważa, że w 2024 r. Trybunał Sprawiedliwości rozpatrzył 12 spraw dotyczących zasady pierwszeństwa prawa Unii, w tym 10 w trybie prejudycjalnym i 2 w postępowaniu w sprawie uchybienia zobowiązaniom państwa członkowskiego; ponownie podkreśla fundamentalne znaczenie zasady pierwszeństwa prawa unijnego, </w:t>
      </w:r>
      <w:r w:rsidRPr="000B4889">
        <w:lastRenderedPageBreak/>
        <w:t>która zapewnia jednolitą wykładnię i jednolite stosowanie prawa Unii we wszystkich państwach członkowskich oraz gwarantuje praworządność jako jedną z podstawowych wartości Unii; zdecydowanie potwierdza, że pierwszeństwo prawa Unii jest podstawą jej porządku prawnego, i podkreśla kluczową rolę TSUE w utrzymywaniu rządów prawa w całej Unii; zauważa, że zgodnie z art. 4 ust. 2 Traktatu o Unii Europejskiej „Unia szanuje równość państw członkowskich wobec traktatów, jak również ich tożsamość narodową, nierozerwalnie związaną z ich podstawowymi strukturami politycznymi i konstytucyjnymi, w tym w odniesieniu do samorządu regionalnego i lokalnego.</w:t>
      </w:r>
    </w:p>
    <w:p w14:paraId="3550B46C" w14:textId="77777777" w:rsidR="007A4252" w:rsidRPr="000B4889" w:rsidRDefault="007A4252" w:rsidP="007A4252">
      <w:pPr>
        <w:pStyle w:val="NormalHanging12a"/>
      </w:pPr>
      <w:r w:rsidRPr="000B4889">
        <w:t>12.</w:t>
      </w:r>
      <w:r w:rsidRPr="000B4889">
        <w:tab/>
        <w:t>zauważa, że z odpowiedzi TSUE na kwestionariusz dotyczący absolutorium za 2024 r. wynika, iż w 2024 r. do Trybunału Sprawiedliwości wniesiono 920 nowych spraw (wobec 821 w 2023 r.), z czego 62,30 % stanowiły odesłania prejudycjalne, a 277 – odwołania od orzeczeń Sądu; zauważa, że w Sądzie nastąpił znaczny spadek liczby nowych spraw – z 1271 w 2023 r. do 786 w 2024 r., z czego 35,88 % stanowiły skargi o stwierdzenie nieważności aktów instytucji Unii, 34,10 % dotyczyło sporów dotyczących własności intelektualnej, a 9,67 % – sporów między instytucjami Unii a ich personelem;</w:t>
      </w:r>
    </w:p>
    <w:p w14:paraId="742658FD" w14:textId="77777777" w:rsidR="007A4252" w:rsidRPr="000B4889" w:rsidRDefault="007A4252" w:rsidP="007A4252">
      <w:pPr>
        <w:pStyle w:val="NormalHanging12a"/>
      </w:pPr>
      <w:r w:rsidRPr="000B4889">
        <w:t>13.</w:t>
      </w:r>
      <w:r w:rsidRPr="000B4889">
        <w:tab/>
        <w:t>podziela pogląd TSUE, że Komisja jako strażniczka Traktatów powinna monitorować przestrzeganie orzeczeń TSUE przez państwa członkowskie; ponawia swój apel do TSUE, aby ściśle w granicach swojej roli ustanowił mechanizm umożliwiający identyfikację najlepszych i najgorszych praktyk państw członkowskich;</w:t>
      </w:r>
    </w:p>
    <w:p w14:paraId="7E30E63B" w14:textId="77777777" w:rsidR="007A4252" w:rsidRPr="000B4889" w:rsidRDefault="007A4252" w:rsidP="007A4252">
      <w:pPr>
        <w:pStyle w:val="NormalHanging12a"/>
      </w:pPr>
      <w:r w:rsidRPr="000B4889">
        <w:t>14.</w:t>
      </w:r>
      <w:r w:rsidRPr="000B4889">
        <w:tab/>
        <w:t xml:space="preserve">zauważa wzrost liczby spraw zakończonych przez Sąd z 904 w 2023 r. do 922 w 2024 r. oraz wzrost liczby spraw zakończonych przez Trybunał Sprawiedliwości z 783 w 2023 r. do 863 w 2024 r., przy czym to ostatnie zwiększenie wynikało z częściowej wymiany sędziów i rzeczników generalnych w Trybunale Sprawiedliwości, przeprowadzonej w 2024 r.; zauważa ponadto wzrost liczby spraw pozostających w toku w Trybunale Sprawiedliwości z 1 149 w 2023 r. do 1 206 w 2024 r. oraz spadek liczby spraw pozostających w toku w Sądzie z 1 438 w 2023 r. do 1 302 w 2024 r. (w tym seria 404 zasadniczo identycznych spraw liczona jako jedna sprawa), częściowo w wyniku zakończenia rozpatrywania niektórych dużych grup spraw; </w:t>
      </w:r>
    </w:p>
    <w:p w14:paraId="34FD5D3F" w14:textId="77777777" w:rsidR="007A4252" w:rsidRPr="000B4889" w:rsidRDefault="007A4252" w:rsidP="007A4252">
      <w:pPr>
        <w:pStyle w:val="NormalHanging12a"/>
      </w:pPr>
      <w:r w:rsidRPr="000B4889">
        <w:t>15.</w:t>
      </w:r>
      <w:r w:rsidRPr="000B4889">
        <w:tab/>
        <w:t>jednocześnie z zadowoleniem przyjmuje skrócenie średniego czasu rozpatrywania spraw w trybie pilnym przed Trybunałem Sprawiedliwości z 3 miesiąca w 2023 r. do 3 miesiąca w 2024 r.;</w:t>
      </w:r>
    </w:p>
    <w:p w14:paraId="76EEFE71" w14:textId="77777777" w:rsidR="007A4252" w:rsidRPr="000B4889" w:rsidRDefault="007A4252" w:rsidP="007A4252">
      <w:pPr>
        <w:pStyle w:val="NormalHanging12a"/>
      </w:pPr>
      <w:r w:rsidRPr="000B4889">
        <w:t>16.</w:t>
      </w:r>
      <w:r w:rsidRPr="000B4889">
        <w:tab/>
        <w:t>zauważa, że średni czas trwania postępowania w sprawach zakończonych przez Trybunał Sprawiedliwości wyniósł 17,7 miesiąca w 2024 r. wobec 16,1 miesiąca w 2023 r., przy czym wzrost ten o ok. sześć tygodni wynikał ze złożoności i objętości niektórych spraw (np. skarg wniesionych w 2020 r. przeciwko unijnemu „pakietowi mobilności” i zakończonych w 2024 r.); zauważa, że średni czas trwania spraw zakończonych wyrokiem lub postanowieniem przez Sąd wzrósł z 18,2 miesiąca w 2023 r. do 18,5 miesiąca w 2024 r.; podkreśla, że terminowość postępowań sądowych musi pozostać głównym celem w zakresie wydajności, ponieważ zbyt długi czas trwania ma bezpośredni wpływ na pewność prawa dla obywateli, sądów krajowych i podmiotów gospodarczych;</w:t>
      </w:r>
    </w:p>
    <w:p w14:paraId="49A43CF8" w14:textId="77777777" w:rsidR="007A4252" w:rsidRPr="000B4889" w:rsidRDefault="007A4252" w:rsidP="007A4252">
      <w:pPr>
        <w:pStyle w:val="NormalHanging12a"/>
      </w:pPr>
      <w:r w:rsidRPr="000B4889">
        <w:t>17.</w:t>
      </w:r>
      <w:r w:rsidRPr="000B4889">
        <w:tab/>
        <w:t xml:space="preserve">apeluje do TSUE, aby we współpracy z sądami krajowymi przeanalizował praktyczne narzędzia orientacyjne (takie jak wytyczne, wzory odesłań prejudycjalnych i sesje szkoleniowe online), które wsparłyby jasne i ukierunkowane formułowanie pytań </w:t>
      </w:r>
      <w:r w:rsidRPr="000B4889">
        <w:lastRenderedPageBreak/>
        <w:t>skierowanych w trybie prejudycjalnym, a tym samym pozwoliły ograniczyć ryzyko zbędnych lub zbyt długich postępowań;</w:t>
      </w:r>
    </w:p>
    <w:p w14:paraId="3CC3E31D" w14:textId="77777777" w:rsidR="007A4252" w:rsidRPr="000B4889" w:rsidRDefault="007A4252" w:rsidP="007A4252">
      <w:pPr>
        <w:pStyle w:val="NormalHanging12a"/>
      </w:pPr>
      <w:r w:rsidRPr="000B4889">
        <w:t>18.</w:t>
      </w:r>
      <w:r w:rsidRPr="000B4889">
        <w:tab/>
        <w:t>docenia wzrost wykorzystania systemu e-</w:t>
      </w:r>
      <w:proofErr w:type="spellStart"/>
      <w:r w:rsidRPr="000B4889">
        <w:t>Curia</w:t>
      </w:r>
      <w:proofErr w:type="spellEnd"/>
      <w:r w:rsidRPr="000B4889">
        <w:t>, przy czym liczba kont założonych przez sądy krajowe wzrosła z 451 w 2023 r. do 566 w 2024 r., a odsetek pism procesowych składanych za pośrednictwem e-</w:t>
      </w:r>
      <w:proofErr w:type="spellStart"/>
      <w:r w:rsidRPr="000B4889">
        <w:t>Curii</w:t>
      </w:r>
      <w:proofErr w:type="spellEnd"/>
      <w:r w:rsidRPr="000B4889">
        <w:t xml:space="preserve"> osiągnął 91 % w Trybunale Sprawiedliwości i 96 % w Sądzie;</w:t>
      </w:r>
    </w:p>
    <w:p w14:paraId="41ECB464" w14:textId="77777777" w:rsidR="007A4252" w:rsidRPr="000B4889" w:rsidRDefault="007A4252" w:rsidP="007A4252">
      <w:pPr>
        <w:pStyle w:val="NormalHanging12a"/>
      </w:pPr>
      <w:r w:rsidRPr="000B4889">
        <w:t>19.</w:t>
      </w:r>
      <w:r w:rsidRPr="000B4889">
        <w:tab/>
        <w:t>z zadowoleniem przyjmuje podejście oparte na ocenie wyników, wdrożone przez TSUE, które umożliwia mu podejmowanie decyzji w oparciu o stopień realizacji wyznaczonych celów, mierzony za pomocą zestawu wskaźników dotyczących obciążenia pracą i działalności operacyjnej (np. efektywność kosztowa, wskaźniki realizacji projektów, poziom satysfakcji użytkowników, optymalizacja zasobów) dostosowanych do specyfiki poszczególnych działów; zauważa, że kluczowe wskaźniki skuteczności działania stosowane przez TSUE obejmują szeroki zakres określonych obszarów wspierających pięć celów zarządczych dotyczących prawidłowego funkcjonowania obu organów sądowych, cyfryzacji i nowych technologii, otwartości i przejrzystości, wielojęzyczności oraz zarządzania zasobami ludzkimi; podkreśla, że TSUE musi dopilnować, aby wskaźniki te były przejrzyste, zorientowane na wyniki i regularnie poddawane przeglądowi w celu wspierania skutecznego zarządzania i rozliczalności;</w:t>
      </w:r>
    </w:p>
    <w:p w14:paraId="30D1268A" w14:textId="77777777" w:rsidR="007A4252" w:rsidRPr="000B4889" w:rsidRDefault="007A4252" w:rsidP="007A4252">
      <w:pPr>
        <w:pStyle w:val="NormalHanging12a"/>
      </w:pPr>
      <w:r w:rsidRPr="000B4889">
        <w:t>20.</w:t>
      </w:r>
      <w:r w:rsidRPr="000B4889">
        <w:tab/>
        <w:t>z zadowoleniem przyjmuje zmodyfikowane w 2024 r. podejście do oceny zwrotu z inwestycji w inicjatywy innowacyjne, uwzględniające ocenę kosztów za pomocą takich parametrów, jak koszty wdrożenia i personelu, koszty utrzymania rocznego, koszty wykonawców i inne rodzaje wydatków, jak również ocenę korzyści na podstawie przewidywanych zysków, korzyści strategicznych oraz liczby użytkowników objętych daną inicjatywą; zauważa, że w 2024 r. TSUE przeprowadził również gruntowny przegląd swojego systemu, aby śledzić zarządzanie projektami i monitorowanie finansowe projektów w celu zapewnienia pełnej sprawozdawczości i kontroli nad czasowymi usługami doradczymi w zakresie cyfryzacji do 2025 r.; zwraca się do TSUE o informowanie organu udzielającego absolutorium o postępach w tym zakresie;</w:t>
      </w:r>
    </w:p>
    <w:p w14:paraId="62C0372D" w14:textId="77777777" w:rsidR="007A4252" w:rsidRPr="000B4889" w:rsidRDefault="007A4252" w:rsidP="007A4252">
      <w:pPr>
        <w:pStyle w:val="NormalHanging12a"/>
      </w:pPr>
      <w:r w:rsidRPr="000B4889">
        <w:t>21.</w:t>
      </w:r>
      <w:r w:rsidRPr="000B4889">
        <w:tab/>
        <w:t>zauważa, na podstawie sprawozdania z audytu wewnętrznego TSUE za 2024 r. („sprawozdanie wewnętrzne”), że główne działania audytowe przeprowadzone przez dział audytu wewnętrznego TSUE w 2024 r. dotyczyły audytu projektu TSUE w zakresie podniesienia poziomu bezpieczeństwa infrastruktury oraz inwentaryzacji mienia, a także trzech analiz w zakresie: zmian potrzeb kadrowych TSUE w dobie generatywnej sztucznej inteligencji; kompetencji organizacji i pracowników w zmieniającym się środowisku; oraz dobrostanu pracowników i nowych technologii; z uznaniem odnotowuje, że, jak wynika ze sprawozdania wewnętrznego, odpowiednie działy wdrażały zalecenia audytowe często jeszcze przed zakończeniem audytu; zauważa ponadto, że w ramach programu na 2024 r. w 2025 r. prowadzone były prace nad audytem licencji IT oraz ostatnią częścią audytu zarządzania zakupem mebli i wyposażenia; zauważa, że w przypadku tego ostatniego audytu stan realizacji nie uległ zmianie przez dwa kolejne okresy sprawozdawcze; zwraca się do TSUE o przedstawienie w przyszłości aktualnych informacji na temat monitorowania działań podjętych w związku z zaleceniami audytu wewnętrznego w formie tabeli, wraz ze statusem realizacji każdego działania i zalecenia;</w:t>
      </w:r>
    </w:p>
    <w:p w14:paraId="03119849" w14:textId="77777777" w:rsidR="007A4252" w:rsidRPr="00E21897" w:rsidRDefault="007A4252" w:rsidP="007A4252">
      <w:pPr>
        <w:pStyle w:val="NormalHanging12a"/>
        <w:rPr>
          <w:b/>
          <w:i/>
          <w:iCs/>
        </w:rPr>
      </w:pPr>
      <w:r w:rsidRPr="00E21897">
        <w:rPr>
          <w:b/>
          <w:i/>
          <w:iCs/>
        </w:rPr>
        <w:t>Zasoby ludzkie, równość i dobrostan pracowników</w:t>
      </w:r>
    </w:p>
    <w:p w14:paraId="550BE150" w14:textId="77777777" w:rsidR="007A4252" w:rsidRPr="000B4889" w:rsidRDefault="007A4252" w:rsidP="007A4252">
      <w:pPr>
        <w:pStyle w:val="NormalHanging12a"/>
      </w:pPr>
      <w:r w:rsidRPr="000B4889">
        <w:lastRenderedPageBreak/>
        <w:t>22.</w:t>
      </w:r>
      <w:r w:rsidRPr="000B4889">
        <w:tab/>
        <w:t>zauważa, że ogólna liczba urzędników na koniec roku wzrosła z 1 340 (58 %) w 2023 r. do 1 354 (60 %) w 2024 r., liczba pracowników zatrudnionych na czas określony spadła z 765 (33 %) w 2023 r. do 740 (33 %) w 2024 r., a liczba pracowników kontraktowych zmniejszyła się ze 198 (9 %) w 2023 r. do 173 (7 %) w 2024 r.; zauważa, że wskaźnik obsady stanowisk nieznacznie się obniżył z 97,11 % w 2023 r. do 96,70 % w 2024 r., a roczna rotacja personelu spadła z 6,54 % w 2023 r. do 6,32 % w 2024 r., przy czym 41 % odejść z pracy wynikało z przejścia na emeryturę;</w:t>
      </w:r>
    </w:p>
    <w:p w14:paraId="43CFAE21" w14:textId="77777777" w:rsidR="007A4252" w:rsidRPr="000B4889" w:rsidRDefault="007A4252" w:rsidP="007A4252">
      <w:pPr>
        <w:pStyle w:val="NormalHanging12a"/>
      </w:pPr>
      <w:r w:rsidRPr="000B4889">
        <w:t>23.</w:t>
      </w:r>
      <w:r w:rsidRPr="000B4889">
        <w:tab/>
        <w:t>zauważa, że Trybunał Sprawiedliwości składa się z 27 sędziów i 11 rzeczników generalnych, natomiast Sąd z 54 sędziów; zauważa ponadto, że w związku z częściową wymianą w 2024 r. stanowiska objęło dziewięciu nowych sędziów Trybunału Sprawiedliwości i dwóch nowych sędziów Sądu; ubolewa, że skład pod względem płci w Trybunale Sprawiedliwości i w Sądzie pozostaje bardzo niezrównoważony; z uznaniem odnosi się do pisma prezesa Sądu skierowanego w 2024 r. do przewodniczącego konferencji przedstawicieli rządów państw członkowskich, w którym wezwano państwa członkowskie do uwzględniania potrzeby równowagi płci przy zgłaszaniu kandydatur na stanowiska sędziów i rzeczników generalnych; ponownie wzywa państwa członkowskie do brania pod uwagę potrzeby równowagi płci przy zgłaszaniu kandydatów na stanowiska sędziów, przy jednoczesnym zapewnieniu, aby nominacje nadal opierały się na kryteriach osiągnięć, kwalifikacji i niezależności;</w:t>
      </w:r>
    </w:p>
    <w:p w14:paraId="11580055" w14:textId="77777777" w:rsidR="007A4252" w:rsidRPr="000B4889" w:rsidRDefault="007A4252" w:rsidP="007A4252">
      <w:pPr>
        <w:pStyle w:val="NormalHanging12a"/>
      </w:pPr>
      <w:r w:rsidRPr="000B4889">
        <w:t>24.</w:t>
      </w:r>
      <w:r w:rsidRPr="000B4889">
        <w:tab/>
        <w:t>zwraca uwagę, że w 2024 r. w TSUE zatrudnionych było 60,70 % kobiet i 39,30 % mężczyzn; odnotowuje, że reprezentacja kobiet była najwyższa w asystenckich grupach zaszeregowania (69,14 %), zaś najniższa niestety na stanowiskach kierowniczych wyższego szczebla (35,71 %); zauważa ponadto wzrost udziału kobiet na stanowiskach kierowniczych średniego szczebla z 43,33 % w 2023 r. do 51,61 % w 2024 r.; z zadowoleniem odnotowuje, na podstawie sprawozdania z zarządzania delegowanego urzędnika zatwierdzającego za 2024 r., wzrostowy trend reprezentacji kobiet na stanowiskach kierowniczych ogółem – z 37,50 % w 2018 r. do 48,70 % w 2024 r.; podkreśla, że utrzymująca się niedostateczna reprezentacja kobiet na stanowiskach kierowniczych wyższego szczebla nadal budzi obawy, i zachęca Trybunał, aby dalej wzmacniał ukierunkowane środki mające na celu wspieranie rozwoju kariery i ścieżek przywódczych dla kobiet, przy pełnym poszanowaniu zasad osiągnięć i przejrzystości;</w:t>
      </w:r>
    </w:p>
    <w:p w14:paraId="78117645" w14:textId="77777777" w:rsidR="007A4252" w:rsidRPr="000B4889" w:rsidRDefault="007A4252" w:rsidP="007A4252">
      <w:pPr>
        <w:pStyle w:val="NormalHanging12a"/>
        <w:rPr>
          <w:bCs/>
          <w:iCs/>
        </w:rPr>
      </w:pPr>
      <w:r w:rsidRPr="000B4889">
        <w:t>25.</w:t>
      </w:r>
      <w:r w:rsidRPr="000B4889">
        <w:tab/>
        <w:t xml:space="preserve">z zadowoleniem przyjmuje opracowanie planu działania dotyczącego Konwencji Rady Europy o zapobieganiu i zwalczaniu przemocy wobec kobiet i przemocy domowej (konwencji stambulskiej), który dostosowuje działania, zawiera zalecenia i przewiduje działania informacyjne i szkoleniowe dla wszystkich pracowników w celu zapobiegania przypadkom molestowania; odnotowuje kolejne zapowiedziane działania, które obejmują dalszą współpracę z organizacjami krajowymi działającymi na rzecz zapobiegania przemocy wobec kobiet, dodatkowe inicjatywy podnoszące świadomość i sesje szkoleniowe podkreślające w szczególności wpływ </w:t>
      </w:r>
      <w:proofErr w:type="spellStart"/>
      <w:r w:rsidRPr="000B4889">
        <w:t>mikroagresji</w:t>
      </w:r>
      <w:proofErr w:type="spellEnd"/>
      <w:r w:rsidRPr="000B4889">
        <w:t xml:space="preserve"> i uprzedzeń ze względu na płeć; ubolewa w związku z tym nad brakiem obowiązkowych szkoleń dla członków TSUE, jak stwierdzono w odpowiedziach TSUE na kwestionariusz dotyczący absolutorium za 2024 r.; wzywa zatem do włączenia wszystkich osób, zarówno pracowników, jak i członków TSUE, w obowiązkowe sesje szkoleniowe na temat zapobiegania przemocy wobec kobiet;</w:t>
      </w:r>
    </w:p>
    <w:p w14:paraId="50F33A83" w14:textId="77777777" w:rsidR="007A4252" w:rsidRPr="000B4889" w:rsidRDefault="007A4252" w:rsidP="007A4252">
      <w:pPr>
        <w:pStyle w:val="NormalHanging12a"/>
      </w:pPr>
      <w:r w:rsidRPr="000B4889">
        <w:t>26.</w:t>
      </w:r>
      <w:r w:rsidRPr="000B4889">
        <w:tab/>
        <w:t xml:space="preserve">z uznaniem odnotowuje różnorodność działań i inicjatyw podejmowanych przez TSUE wśród pracowników, także na etapie rekrutacji, na rzecz równości, włączenia, wzajemnego szacunku i różnorodności; w szczególności zauważa uruchomienie w 2024 </w:t>
      </w:r>
      <w:r w:rsidRPr="000B4889">
        <w:lastRenderedPageBreak/>
        <w:t xml:space="preserve">r. nowego szkolenia z zakresu różnorodności i włączenia, ze szczególnym naciskiem na zapobieganie </w:t>
      </w:r>
      <w:proofErr w:type="spellStart"/>
      <w:r w:rsidRPr="000B4889">
        <w:t>mikroagresjom</w:t>
      </w:r>
      <w:proofErr w:type="spellEnd"/>
      <w:r w:rsidRPr="000B4889">
        <w:t xml:space="preserve"> oraz – od 2025 r. – dwóch nowych szkoleń dotyczących wyznaczania zdrowych granic dla poprawy efektywności oraz tworzenia środowiska wolnego od nękania, organizowanych zgodnie z zaleceniami międzywydziałowej grupy roboczej TSUE ds. konwencji stambulskiej; z uznaniem odnotowuje indywidualne środki wsparcia (dotyczące zadań, czasu pracy i miejsc pracy) stosowane przez TSUE od 2022 r. wobec pracowników z niepełnosprawnościami, udział instytucji w tygodniu świadomości na temat niepełnosprawności zorganizowanym w 2024 r. oraz opracowanie od 2025 r. pilotażowego programu staży dla osób z niepełnosprawnościami; zwraca się do TSUE o poinformowanie organu udzielającego absolutorium o wynikach tego programu;</w:t>
      </w:r>
    </w:p>
    <w:p w14:paraId="1E18A0C3" w14:textId="77777777" w:rsidR="007A4252" w:rsidRPr="000B4889" w:rsidRDefault="007A4252" w:rsidP="007A4252">
      <w:pPr>
        <w:pStyle w:val="NormalHanging12a"/>
      </w:pPr>
      <w:r w:rsidRPr="000B4889">
        <w:t>27.</w:t>
      </w:r>
      <w:r w:rsidRPr="000B4889">
        <w:tab/>
        <w:t>z zadowoleniem przyjmuje fakt, że wśród personelu TSUE reprezentowane są wszystkie narodowości Unii; zauważa jednak, że niektóre narodowości są bardziej reprezentowane niż inne, a część z nich jest zdecydowanie nadmiernie reprezentowana; popiera TSUE w działaniach na rzecz jak najszerszego rozpowszechniania ogłoszeń o wolnych stanowiskach przez strony internetowe instytucji, media społecznościowe oraz EPSO; odnotowuje, na podstawie sprawozdania uzupełniającego, zobowiązanie TSUE do analizy danych w celu wdrożenia ukierunkowanych działań mających na celu poprawę reprezentacji geograficznej wśród personelu, w tym stażystów; z zadowoleniem przyjmuje działania TSUE na rzecz promowania programów stażowych w administracjach krajowych i stałych przedstawicielstwach państw członkowskich o niedostatecznej reprezentacji;  z zadowoleniem odnotowuje, że w odniesieniu do staży w ramach Europejskiej Sieci Szkolenia Kadr Wymiaru Sprawiedliwości (EJTN) TSUE otrzymał w 2024 r. zgłoszenia z trzech nowych państw członkowskich, które po raz pierwszy uczestniczyły w długoterminowym programie szkoleniowym dla krajowych przedstawicieli zawodów związanych z wymiarem sprawiedliwości.</w:t>
      </w:r>
    </w:p>
    <w:p w14:paraId="31DC2545" w14:textId="77777777" w:rsidR="007A4252" w:rsidRPr="000B4889" w:rsidRDefault="007A4252" w:rsidP="007A4252">
      <w:pPr>
        <w:pStyle w:val="NormalHanging12a"/>
      </w:pPr>
      <w:r w:rsidRPr="000B4889">
        <w:t>28.</w:t>
      </w:r>
      <w:r w:rsidRPr="000B4889">
        <w:tab/>
        <w:t>docenia działania TSUE w zakresie (prawniczej) wielojęzyczności w 2024 r., takie jak ukończenie i uruchomienie strony internetowej poświęconej wielojęzyczności, współorganizacja pierwszej edycji letniej szkoły z innymi instytucjami Unii, ścisła współpraca z państwami członkowskimi w celu stworzenia puli zewnętrznych ekspertów do obsługi rosnącego wolumenu tłumaczeń oraz wszystkich kombinacji językowych, działania informacyjne skierowane do rynku tłumaczy-freelancerów oraz dalsza modernizacja procedur i podnoszenie kompetencji w zakresie korzystania z narzędzi cyfrowych (w tym opartych na AI) do tłumaczeń;</w:t>
      </w:r>
    </w:p>
    <w:p w14:paraId="658E8608" w14:textId="77777777" w:rsidR="007A4252" w:rsidRPr="000B4889" w:rsidRDefault="007A4252" w:rsidP="007A4252">
      <w:pPr>
        <w:pStyle w:val="NormalHanging12a"/>
      </w:pPr>
      <w:r w:rsidRPr="000B4889">
        <w:t>29.</w:t>
      </w:r>
      <w:r w:rsidRPr="000B4889">
        <w:tab/>
        <w:t xml:space="preserve">docenia działania TSUE mające na celu przeciwdziałanie trudnościom rekrutacyjnym oraz promowanie Luksemburga jako atrakcyjnego miejsca pracy dla młodych absolwentów; z uznaniem odnotowuje wkład TSUE w utworzenie i wdrożenie dodatku mieszkaniowego wypłacanego z mocą wsteczną od 1 stycznia 2025 r. pracownikom na niższych stanowiskach, przygotowanie konkursów EPSO skierowanych specjalnie do osób zatrudnionych w Luksemburgu, a także organizację spotkań informacyjnych i szkół letnich; zachęca do zacieśnienia współpracy z EPSO i innymi instytucjami, aby poszerzyć pulę wykwalifikowanych kandydatów i wzmocnić konkurencyjne procedury naboru w specjalistycznych dziedzinach; zauważa, że ze sprawozdania uzupełniającego wynika, iż TSUE, działając w imieniu międzyinstytucjonalnej grupy wysokiego szczebla, przeprowadził pilotażowy projekt/badanie mające na celu ocenę możliwości zawierania umów najmu mieszkań tymczasowych (tj. na okres maksymalnie jednego roku) po cenach rynkowych (lub niższych), opłacanych bezpośrednio przez pracowników; zauważa ponadto, że badanie to zakończyło się powodzeniem, w wyniku </w:t>
      </w:r>
      <w:r w:rsidRPr="000B4889">
        <w:lastRenderedPageBreak/>
        <w:t>czego grupa robocza przedstawiła uczestniczącym instytucjom projekt umowy o gwarantowanym poziomie usług upoważniającej TSUE do prowadzenia negocjacji w zakresie nieruchomości z podmiotami, które złożyły odpowiednie oferty; zwraca się do TSUE o informowanie organu udzielającego absolutorium o działaniach następczych w związku z tą kwestią;</w:t>
      </w:r>
    </w:p>
    <w:p w14:paraId="27B8C310" w14:textId="77777777" w:rsidR="007A4252" w:rsidRPr="000B4889" w:rsidRDefault="007A4252" w:rsidP="007A4252">
      <w:pPr>
        <w:pStyle w:val="NormalHanging12a"/>
      </w:pPr>
      <w:r w:rsidRPr="000B4889">
        <w:t>30.</w:t>
      </w:r>
      <w:r w:rsidRPr="000B4889">
        <w:tab/>
        <w:t>zauważa, że TSUE przyjął 201 stażystów w ramach ogólnego (płatnego) programu stażowego; zauważa ponadto, że 34 % kandydatów początkowo wybranych odmówiło przyjęcia oferty TSUE po zapoznaniu się z wysokimi kosztami życia w Luksemburgu</w:t>
      </w:r>
      <w:bookmarkStart w:id="7" w:name="_Hlk215138302"/>
      <w:r w:rsidRPr="000B4889">
        <w:t xml:space="preserve">; ponownie podkreśla, że staże powinny być płatne zgodnie z rezolucją Parlamentu Europejskiego z 14 czerwca 2023 r. w sprawie wysokiej jakości staży w Unii (2020/2005(INL)), w której Parlament apelował o wynagradzanie wszystkich stażystów w Unii; </w:t>
      </w:r>
      <w:bookmarkEnd w:id="7"/>
      <w:r w:rsidRPr="000B4889">
        <w:t>z zadowoleniem odnotowuje, że obecnie wszyscy stażyści w TSUE otrzymują podczas stażu stypendium, głównie od TSUE, a w niektórych szczególnych przypadkach – z innych źródeł; odnotowuje, że TSUE przyjmuje na staże tylko kilka osób (siedem w 2024 r.), których finansowanie pochodziło z innych źródeł i tylko na krótkie okresy;</w:t>
      </w:r>
    </w:p>
    <w:p w14:paraId="762014B3" w14:textId="77777777" w:rsidR="007A4252" w:rsidRPr="000B4889" w:rsidRDefault="007A4252" w:rsidP="007A4252">
      <w:pPr>
        <w:pStyle w:val="NormalHanging12a"/>
      </w:pPr>
      <w:r w:rsidRPr="000B4889">
        <w:t>31.</w:t>
      </w:r>
      <w:r w:rsidRPr="000B4889">
        <w:tab/>
        <w:t>zauważa, że w 2024 r. zarejestrowano 17 przypadków wypalenia zawodowego, z czego osiem nowych przypadków zgłoszono w 2024 r., a dziewięć przypadków pochodziło z 2023 r.; pracownicy ci otrzymali wsparcie i pomoc specjalistyczną; z uznaniem odnotowuje, że w 2024 r. TSUE pozostawał liderem w zakresie inicjatyw promujących dobrostan fizyczny i psychiczny pracowników oraz przeciwdziałania wypaleniu zawodowemu i ryzyku psychospołecznemu, takich jak konsultacje z pracownikiem socjalnym lub psychologiem, wykłady na temat uważności i równowagi cyfrowej, specjalistyczne warsztaty i działania edukacyjne w zakresie zdrowia, szkolenia z pierwszej pomocy oraz zatrudnienie dwóch psychologów w niepełnym wymiarze czasu pracy; docenia skuteczność stosowanych elastycznych form organizacji pracy, w tym programu pracy zdalnej TSUE, które służą poprawie równowagi między życiem zawodowym a prywatnym personelu;</w:t>
      </w:r>
    </w:p>
    <w:p w14:paraId="47C719B4" w14:textId="77777777" w:rsidR="007A4252" w:rsidRPr="000B4889" w:rsidRDefault="007A4252" w:rsidP="007A4252">
      <w:pPr>
        <w:pStyle w:val="NormalHanging12a"/>
      </w:pPr>
      <w:r w:rsidRPr="000B4889">
        <w:t>32.</w:t>
      </w:r>
      <w:r w:rsidRPr="000B4889">
        <w:tab/>
        <w:t>zwraca uwagę, że w 2023 r. wszczęto postępowanie administracyjne w sprawie zarzutu molestowania seksualnego dotyczącego pracownika oraz że sprawa ta zakończyła się w 2024 r. nałożeniem kary; zauważa, że w 2024 r. nie wszczęto żadnego nowego postępowania administracyjnego w sprawie molestowania;</w:t>
      </w:r>
    </w:p>
    <w:p w14:paraId="3C31DFD7" w14:textId="77777777" w:rsidR="007A4252" w:rsidRPr="00E21897" w:rsidRDefault="007A4252" w:rsidP="007A4252">
      <w:pPr>
        <w:pStyle w:val="NormalHanging12a"/>
        <w:rPr>
          <w:b/>
          <w:i/>
          <w:iCs/>
        </w:rPr>
      </w:pPr>
      <w:r w:rsidRPr="00E21897">
        <w:rPr>
          <w:b/>
          <w:i/>
          <w:iCs/>
        </w:rPr>
        <w:t xml:space="preserve">Ramy etyczne, </w:t>
      </w:r>
      <w:proofErr w:type="gramStart"/>
      <w:r w:rsidRPr="00E21897">
        <w:rPr>
          <w:b/>
          <w:i/>
          <w:iCs/>
        </w:rPr>
        <w:t>przejrzystość,</w:t>
      </w:r>
      <w:proofErr w:type="gramEnd"/>
      <w:r w:rsidRPr="00E21897">
        <w:rPr>
          <w:b/>
          <w:i/>
          <w:iCs/>
        </w:rPr>
        <w:t xml:space="preserve"> i dostęp do wymiaru sprawiedliwości dla obywateli</w:t>
      </w:r>
    </w:p>
    <w:p w14:paraId="6064FF97" w14:textId="77777777" w:rsidR="007A4252" w:rsidRPr="000B4889" w:rsidRDefault="007A4252" w:rsidP="007A4252">
      <w:pPr>
        <w:pStyle w:val="NormalHanging12a"/>
      </w:pPr>
      <w:r w:rsidRPr="000B4889">
        <w:t>33.</w:t>
      </w:r>
      <w:r w:rsidRPr="000B4889">
        <w:tab/>
        <w:t xml:space="preserve">zauważa, że zgodnie z wnioskiem zawartym w poprzednich zaleceniach dotyczących absolutorium w marcu 2024 r. przyjęto nowy kodeks postępowania dla urzędników i innych pracowników TSUE odzwierciedlający wartości i zaangażowanie TSUE na rzecz wysokich standardów etycznych, oraz zauważa, że kodeks postępowania zawiera przepisy dotyczące konfliktu interesów, obowiązku lojalności, obowiązku zachowania poufności i dyskrecji, działalności zewnętrznej, działalności zawodowej po zakończeniu służby i publikacji, a także przepisy dotyczące przeciwdziałania molestowaniu, i ma zastosowanie do oddelegowanych ekspertów krajowych i aplikantów sędziowskich goszczonych w ramach EJTN; zauważa z zadowoleniem, że TSUE wprowadził środki mające na celu jak najszersze przedstawienie i wyjaśnienie kodeksu postępowania oraz pełne zrozumienie przez pracowników nowych przepisów i szerszych ram prawnych, których są one częścią, oraz że szkolenia na temat kodeksu postępowania oraz praw i obowiązków pracowników są obowiązkowe dla nowych pracowników i zdecydowanie </w:t>
      </w:r>
      <w:r w:rsidRPr="000B4889">
        <w:lastRenderedPageBreak/>
        <w:t>zalecane wszystkim pracownikom TSUE, przy czym w 2024 r. w takich szkoleniach wzięło udział łącznie 561 osób (tj. 24,75 % całkowitej liczby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 zachęca TSUE do stopniowego wzmacniania oferty szkoleń w zakresie kodeksu postępowania dla wszystkich pracowników bez wyjątku, aby zapewnić wspólne zrozumienie norm etycznych w całej instytucji;</w:t>
      </w:r>
    </w:p>
    <w:p w14:paraId="1DAE1E72" w14:textId="77777777" w:rsidR="007A4252" w:rsidRPr="000B4889" w:rsidRDefault="007A4252" w:rsidP="007A4252">
      <w:pPr>
        <w:pStyle w:val="NormalHanging12a"/>
      </w:pPr>
      <w:r w:rsidRPr="000B4889">
        <w:t>34.</w:t>
      </w:r>
      <w:r w:rsidRPr="000B4889">
        <w:tab/>
        <w:t xml:space="preserve">zauważa, że aby uniknąć wszelkich potencjalnych konfliktów interesów przy rozpatrywaniu spraw, po przyjęciu zasad etyki członków i byłych członków TSUE deklaracje interesów członków są opublikowane w </w:t>
      </w:r>
      <w:proofErr w:type="spellStart"/>
      <w:r w:rsidRPr="000B4889">
        <w:t>internecie</w:t>
      </w:r>
      <w:proofErr w:type="spellEnd"/>
      <w:r w:rsidRPr="000B4889">
        <w:t>; z zadowoleniem odnotowuje, na podstawie sprawozdania uzupełniającego, że w 2024 r. TSUE podpisał porozumienie ustanawiające międzyinstytucjonalny „organ ds. etyki”, który m.in. opracowuje wspólne minimalne standardy postępowania członków instytucji-sygnatariuszy; przyjmuje do wiadomości, że TSUE zachowuje status obserwatora w tym organie w celu zagwarantowania niezależności sądownictwa;</w:t>
      </w:r>
    </w:p>
    <w:p w14:paraId="3BD2C60B" w14:textId="77777777" w:rsidR="007A4252" w:rsidRPr="000B4889" w:rsidRDefault="007A4252" w:rsidP="007A4252">
      <w:pPr>
        <w:pStyle w:val="NormalHanging12a"/>
      </w:pPr>
      <w:r w:rsidRPr="000B4889">
        <w:t>35.</w:t>
      </w:r>
      <w:r w:rsidRPr="000B4889">
        <w:tab/>
        <w:t>zauważa, że w instytucji funkcjonuje rozbudowana polityka wykrywania i zapobiegania konfliktom interesów oraz efektowi „drzwi obrotowych”, a nowe zasady etyki obejmują szczegółowe i bardziej rygorystyczne zasady dla kadry kierowniczej i referendarzy; zauważa, że w 2024 r. rozpatrzono trzy oświadczenia dotyczące potencjalnych konfliktów interesów zgłoszone przez pracowników, przy czym żadne nie wymagało działań naprawczych; ponadto zauważa, że 57 pracowników zadeklarowało w 2024 r. zamiar podjęcia pracy po odejściu z TSUE, przy czym wobec żadnego nie zastosowano okresu karencji; odnotowuje jednak, że w 2024 r. kontynuowano okres karencji wobec byłego członka kadry kierowniczej w sprawie zgłoszonej w 2023 r.; zauważa, że w 2024 r. nie odnotowano żadnego przypadku sygnalizowania nieprawidłowości w TSUE;</w:t>
      </w:r>
    </w:p>
    <w:p w14:paraId="20046A8A" w14:textId="77777777" w:rsidR="007A4252" w:rsidRPr="000B4889" w:rsidRDefault="007A4252" w:rsidP="007A4252">
      <w:pPr>
        <w:pStyle w:val="NormalHanging12a"/>
      </w:pPr>
      <w:r w:rsidRPr="000B4889">
        <w:t>36.</w:t>
      </w:r>
      <w:r w:rsidRPr="000B4889">
        <w:tab/>
        <w:t xml:space="preserve">zauważa, że ze sprawozdania uzupełniającego wynika, iż polityka </w:t>
      </w:r>
      <w:proofErr w:type="spellStart"/>
      <w:r w:rsidRPr="000B4889">
        <w:t>wyłączeń</w:t>
      </w:r>
      <w:proofErr w:type="spellEnd"/>
      <w:r w:rsidRPr="000B4889">
        <w:t xml:space="preserve"> sędziów w przypadku rzeczywistego lub potencjalnego konfliktu interesów ma charakter obligatoryjny, a TSUE opiera się na sprawdzonym mechanizmie zapobiegania konfliktom interesów, obejmującym proces wyboru członków TSUE i skutecznie stosowanym od momentu objęcia przez nich obowiązków;</w:t>
      </w:r>
    </w:p>
    <w:p w14:paraId="6478021A" w14:textId="77777777" w:rsidR="007A4252" w:rsidRPr="000B4889" w:rsidRDefault="007A4252" w:rsidP="007A4252">
      <w:pPr>
        <w:pStyle w:val="NormalHanging12a"/>
      </w:pPr>
      <w:r w:rsidRPr="000B4889">
        <w:t>37.</w:t>
      </w:r>
      <w:r w:rsidRPr="000B4889">
        <w:tab/>
        <w:t>odnotowuje, że w 2024 r. wszyscy członkowie TSUE zgodnie z art. 14 statutu mieli miejsce zamieszkania w Luksemburgu;</w:t>
      </w:r>
    </w:p>
    <w:p w14:paraId="6AF594B5" w14:textId="77777777" w:rsidR="007A4252" w:rsidRPr="000B4889" w:rsidRDefault="007A4252" w:rsidP="007A4252">
      <w:pPr>
        <w:pStyle w:val="NormalHanging12a"/>
      </w:pPr>
      <w:r w:rsidRPr="000B4889">
        <w:t>38.</w:t>
      </w:r>
      <w:r w:rsidRPr="000B4889">
        <w:tab/>
        <w:t>zauważa, że wykaz działalności zewnętrznej członków zarówno Trybunału Sprawiedliwości, jak i Sądu jest publikowany na stronie internetowej TSUE od 2018 r., a działalność ta jest zatwierdzana wyłącznie wtedy, gdy jest zgodna z wymogami zasad etyki członków TSUE oraz z obowiązkiem dostępności na potrzeby działalności orzeczniczej; z zadowoleniem przyjmuje deklarację TSUE, zgodnie ze sprawozdaniem uzupełniającym, o analizie możliwości poprawy jakości i czytelności publikowanych informacji dotyczących działalności zewnętrznej;</w:t>
      </w:r>
    </w:p>
    <w:p w14:paraId="6A56C7DB" w14:textId="77777777" w:rsidR="007A4252" w:rsidRPr="000B4889" w:rsidRDefault="007A4252" w:rsidP="007A4252">
      <w:pPr>
        <w:pStyle w:val="NormalHanging12a"/>
      </w:pPr>
      <w:r w:rsidRPr="000B4889">
        <w:t>39.</w:t>
      </w:r>
      <w:r w:rsidRPr="000B4889">
        <w:tab/>
        <w:t xml:space="preserve">przypomina, że w 2023 r. Parlament zalecił wszystkim instytucjom Unii uzgodnienie jednolitego systemu korzystania z pojazdów służbowych, obowiązującego horyzontalnie; w tym kontekście oraz na podstawie sprawozdania uzupełniającego zauważa, że w 2024 r. TSUE, Trybunał, Parlament i Komisja powołały </w:t>
      </w:r>
      <w:r w:rsidRPr="000B4889">
        <w:lastRenderedPageBreak/>
        <w:t>międzyinstytucjonalną grupę roboczą mającą na celu wymianę informacji o stosowanych praktykach i identyfikację możliwości harmonizacji przepisów z poszanowaniem autonomii i specyfiki każdej z instytucji; przypomina opinię Parlamentu, że poza ścisłym wykonywaniem obowiązków członków TSUE korzystanie z floty samochodowej nie powinno mieć miejsca w żadnych okolicznościach; zauważa ponadto, że ze sprawozdania uzupełniającego wynika, iż grupa robocza przeprowadziła analizę porównawczą w tej sprawie oraz rozpatruje inne zagadnienia związane z zarządzaniem flotą pojazdów; wzywa grupę roboczą do szybkiego działania i poinformowania organu udzielającego absolutorium o wynikach prac i wnioskach możliwie najszybciej;</w:t>
      </w:r>
    </w:p>
    <w:p w14:paraId="1E3E102D" w14:textId="77777777" w:rsidR="007A4252" w:rsidRPr="000B4889" w:rsidRDefault="007A4252" w:rsidP="007A4252">
      <w:pPr>
        <w:pStyle w:val="NormalHanging12a"/>
      </w:pPr>
      <w:r w:rsidRPr="000B4889">
        <w:t>40.</w:t>
      </w:r>
      <w:r w:rsidRPr="000B4889">
        <w:tab/>
        <w:t>odnotowuje, że w 2024 r. TSUE nie zgłosił żadnych przypadków nadużyć finansowych, korupcji lub niewłaściwego wykorzystania środków unijnych; zauważa, że strategia TSUE w zakresie zwalczania nadużyć finansowych stanowi nieodłączną część zintegrowanych ram kontroli wewnętrznej i zarządzania ryzykiem, ze szczególnym uwzględnieniem ryzyka nieprawidłowego ujawnienia informacji; zauważa, że wewnętrzne ramy regulacyjne obejmują decyzję w sprawie postępowań dotyczących nadużyć, korupcji lub nielegalnych działań sprzecznych z interesem Unii oraz decyzję i wytyczne dotyczące sygnalizowania nieprawidłowości, w tym przepisy dotyczące informowania i ochrony sygnalistów;</w:t>
      </w:r>
    </w:p>
    <w:p w14:paraId="4DFF4C3D" w14:textId="77777777" w:rsidR="007A4252" w:rsidRPr="000B4889" w:rsidRDefault="007A4252" w:rsidP="007A4252">
      <w:pPr>
        <w:pStyle w:val="NormalHanging12a"/>
      </w:pPr>
      <w:r w:rsidRPr="000B4889">
        <w:t>41.</w:t>
      </w:r>
      <w:r w:rsidRPr="000B4889">
        <w:tab/>
        <w:t xml:space="preserve">z zadowoleniem przyjmuje zaangażowanie TSUE na rzecz zwiększania przejrzystości, dostępu do wymiaru sprawiedliwości i otwartości wobec obywateli, co przyczynia się do wzrostu zaufania społecznego do instytucji Unii, przy jednoczesnym zachowaniu równowagi wobec innych kluczowych wartości, takich jak spokój sądowy, poufność postępowań i ochrona danych osobowych; podkreśla, że większa przejrzystość musi również służyć zwiększeniu zaufania publicznego do orzecznictwa TSUE; zachęca TSUE do kontynuowania wysiłków na rzecz poprawy jasności, dostępności i przewidywalności jego orzecznictwa, zwłaszcza w sprawach o znaczących skutkach konstytucyjnych lub społecznych; zauważa, że w 2024 r. TSUE połączył usługi transmisji strumieniowej na stronie internetowej </w:t>
      </w:r>
      <w:proofErr w:type="spellStart"/>
      <w:r w:rsidRPr="000B4889">
        <w:t>Curia</w:t>
      </w:r>
      <w:proofErr w:type="spellEnd"/>
      <w:r w:rsidRPr="000B4889">
        <w:t xml:space="preserve"> z rozpraw Trybunału Sprawiedliwości i z rozpraw Sądu, ułatwiając w ten sposób obywatelom zapoznanie się z działalnością sądowniczą TSUE; w tym kontekście z zadowoleniem przyjmuje, że w wyniku reformy sądownictwa przyjętej w 2024 r. zwiększono przejrzystość postępowania w trybie prejudycjalnym, umożliwiając publikację na stronie internetowej TSUE uwag pisemnych w rozsądnym terminie po zakończeniu sprawy;</w:t>
      </w:r>
    </w:p>
    <w:p w14:paraId="561C9B59" w14:textId="77777777" w:rsidR="007A4252" w:rsidRPr="000B4889" w:rsidRDefault="007A4252" w:rsidP="007A4252">
      <w:pPr>
        <w:pStyle w:val="NormalHanging12a"/>
      </w:pPr>
      <w:r w:rsidRPr="000B4889">
        <w:t>42.</w:t>
      </w:r>
      <w:r w:rsidRPr="000B4889">
        <w:tab/>
        <w:t>z zadowoleniem odnotowuje, na podstawie sprawozdania uzupełniającego, że po udanym projekcie pilotażowym uruchomionym w 2022 r. i aktualizacji regulaminu postępowania w 2024 r. Trybunał Sprawiedliwości rozszerzył usługę transmisji na istotne sprawy rozpoznawane przez izby pięcioosobowe, a także umożliwił niemal bezpośrednią transmisję rozpraw, podczas których występowały strony, oraz transmisje na żywo ogłaszania wyroków i opinii rzeczników generalnych; zauważa ponadto, że od 1 września 2024 r. nagrania rozpraw związanych z ogłaszaniem wyroków i opinii pozostają stale dostępne na stronie internetowej TSUE, a nagrania z rozpraw, podczas których występowały strony, są udostępniane przez miesiąc po ich przeprowadzeniu; z uznaniem przyjmuje, że Sąd przyjął podobne środki w celu poszerzenia dostępu publicznego do swoich postępowań;</w:t>
      </w:r>
    </w:p>
    <w:p w14:paraId="22808159" w14:textId="77777777" w:rsidR="007A4252" w:rsidRPr="000B4889" w:rsidRDefault="007A4252" w:rsidP="007A4252">
      <w:pPr>
        <w:pStyle w:val="NormalHanging12a"/>
      </w:pPr>
      <w:r w:rsidRPr="000B4889">
        <w:t>43.</w:t>
      </w:r>
      <w:r w:rsidRPr="000B4889">
        <w:tab/>
        <w:t xml:space="preserve">odnotowuje, że w 2024 r. TSUE zarejestrował 20 wniosków o publiczny dostęp do dokumentów administracyjnych, a w 15 przypadkach dostępu do nich udzielił; </w:t>
      </w:r>
      <w:r w:rsidRPr="000B4889">
        <w:lastRenderedPageBreak/>
        <w:t>zauważa, że Europejski Rzecznik Praw Obywatelskich nie rozpatrywał w 2024 r. żadnej sprawy dotyczącej TSUE;</w:t>
      </w:r>
    </w:p>
    <w:p w14:paraId="36EEE8E8" w14:textId="77777777" w:rsidR="007A4252" w:rsidRPr="00E21897" w:rsidRDefault="007A4252" w:rsidP="007A4252">
      <w:pPr>
        <w:pStyle w:val="NormalHanging12a"/>
        <w:ind w:left="0" w:firstLine="0"/>
        <w:rPr>
          <w:b/>
          <w:i/>
          <w:iCs/>
        </w:rPr>
      </w:pPr>
      <w:r w:rsidRPr="00E21897">
        <w:rPr>
          <w:b/>
          <w:i/>
          <w:iCs/>
        </w:rPr>
        <w:t xml:space="preserve">Cyfryzacja, </w:t>
      </w:r>
      <w:proofErr w:type="spellStart"/>
      <w:r w:rsidRPr="00E21897">
        <w:rPr>
          <w:b/>
          <w:i/>
          <w:iCs/>
        </w:rPr>
        <w:t>cyberbezpieczeństwo</w:t>
      </w:r>
      <w:proofErr w:type="spellEnd"/>
      <w:r w:rsidRPr="00E21897">
        <w:rPr>
          <w:b/>
          <w:i/>
          <w:iCs/>
        </w:rPr>
        <w:t xml:space="preserve"> i ochrona danych</w:t>
      </w:r>
    </w:p>
    <w:p w14:paraId="0669E141" w14:textId="77777777" w:rsidR="007A4252" w:rsidRPr="000B4889" w:rsidRDefault="007A4252" w:rsidP="007A4252">
      <w:pPr>
        <w:spacing w:after="240"/>
        <w:ind w:left="567" w:hanging="567"/>
      </w:pPr>
      <w:r w:rsidRPr="000B4889">
        <w:t>44.</w:t>
      </w:r>
      <w:r w:rsidRPr="000B4889">
        <w:tab/>
        <w:t xml:space="preserve">zauważa, że w 2024 r. w porównaniu z 2023 r. wydatki budżetowe na projekty IT spadły o 9 %, a na projekty związane z </w:t>
      </w:r>
      <w:proofErr w:type="spellStart"/>
      <w:r w:rsidRPr="000B4889">
        <w:t>cyberbezpieczeństwem</w:t>
      </w:r>
      <w:proofErr w:type="spellEnd"/>
      <w:r w:rsidRPr="000B4889">
        <w:t xml:space="preserve"> o 69 %, podczas gdy wydatki na sprzęt IT wzrosły o 16 %, a na usługi, licencje i sprzęt w zakresie </w:t>
      </w:r>
      <w:proofErr w:type="spellStart"/>
      <w:r w:rsidRPr="000B4889">
        <w:t>cyberbezpieczeństwa</w:t>
      </w:r>
      <w:proofErr w:type="spellEnd"/>
      <w:r w:rsidRPr="000B4889">
        <w:t xml:space="preserve"> o 2 %; stwierdza, że znaczny spadek wydatków na projekty IT wynika z faktu, iż niektóre projekty z zakresu </w:t>
      </w:r>
      <w:proofErr w:type="spellStart"/>
      <w:r w:rsidRPr="000B4889">
        <w:t>cyberbezpieczeństwa</w:t>
      </w:r>
      <w:proofErr w:type="spellEnd"/>
      <w:r w:rsidRPr="000B4889">
        <w:t xml:space="preserve"> weszły w fazę operacyjną w 2024 r., a związane z nimi wydatki zostały włączone do standardowego budżetu operacyjnego;</w:t>
      </w:r>
    </w:p>
    <w:p w14:paraId="26F32D57" w14:textId="77777777" w:rsidR="007A4252" w:rsidRPr="000B4889" w:rsidRDefault="007A4252" w:rsidP="007A4252">
      <w:pPr>
        <w:spacing w:after="240"/>
        <w:ind w:left="567" w:hanging="567"/>
      </w:pPr>
      <w:r w:rsidRPr="000B4889">
        <w:t>45.</w:t>
      </w:r>
      <w:r w:rsidRPr="000B4889">
        <w:tab/>
        <w:t xml:space="preserve">docenia postępy TSUE w realizacji licznych projektów cyfrowych w 2024 r., takich jak wdrożenie ulepszonego programu SIGA do zintegrowanego zarządzania danymi i sprawami, zwiększenie i poprawa wykorzystania aplikacji HAN/Ares (system elektronicznej rejestracji i zarządzania dokumentami TSUE), wdrożenie systemu EU </w:t>
      </w:r>
      <w:proofErr w:type="spellStart"/>
      <w:r w:rsidRPr="000B4889">
        <w:t>Sign</w:t>
      </w:r>
      <w:proofErr w:type="spellEnd"/>
      <w:r w:rsidRPr="000B4889">
        <w:t xml:space="preserve"> (cyfrowy podpis) oraz modernizacja zarówno strony </w:t>
      </w:r>
      <w:proofErr w:type="spellStart"/>
      <w:r w:rsidRPr="000B4889">
        <w:t>Curia</w:t>
      </w:r>
      <w:proofErr w:type="spellEnd"/>
      <w:r w:rsidRPr="000B4889">
        <w:t xml:space="preserve">, jak i narzędzia wyszukiwania </w:t>
      </w:r>
      <w:proofErr w:type="spellStart"/>
      <w:r w:rsidRPr="000B4889">
        <w:t>InfoCuria</w:t>
      </w:r>
      <w:proofErr w:type="spellEnd"/>
      <w:r w:rsidRPr="000B4889">
        <w:t>; uznaje znaczenie dalszego zwiększania wykorzystania aplikacji e-</w:t>
      </w:r>
      <w:proofErr w:type="spellStart"/>
      <w:r w:rsidRPr="000B4889">
        <w:t>Curia</w:t>
      </w:r>
      <w:proofErr w:type="spellEnd"/>
      <w:r w:rsidRPr="000B4889">
        <w:t xml:space="preserve"> do elektronicznego składania i doręczania pism procesowych;</w:t>
      </w:r>
    </w:p>
    <w:p w14:paraId="5A1F3B52" w14:textId="77777777" w:rsidR="007A4252" w:rsidRPr="000B4889" w:rsidRDefault="007A4252" w:rsidP="007A4252">
      <w:pPr>
        <w:spacing w:after="240"/>
        <w:ind w:left="567" w:hanging="567"/>
      </w:pPr>
      <w:r w:rsidRPr="000B4889">
        <w:t>46.</w:t>
      </w:r>
      <w:r w:rsidRPr="000B4889">
        <w:tab/>
        <w:t xml:space="preserve">zauważa, że TSUE kontynuował automatyzację procesów, wykorzystując od 2024 r. oprogramowanie </w:t>
      </w:r>
      <w:proofErr w:type="spellStart"/>
      <w:r w:rsidRPr="000B4889">
        <w:t>robotyczne</w:t>
      </w:r>
      <w:proofErr w:type="spellEnd"/>
      <w:r w:rsidRPr="000B4889">
        <w:t xml:space="preserve"> do realizacji powtarzalnych zadań, takich jak transkrypcja rozpraw i obsługa płatności faktur; oczekuje, że zastosowanie rozwiązań z zakresu automatyzacji procesów przyczyni się do optymalizacji zasobów w całym TSUE; uznaje znaczenie współpracy międzyinstytucjonalnej, która przynosi TSUE korzyści w postaci efektywnego wykorzystania kluczowych systemów IT do zarządzania dokumentacją i rejestrami (HAN/Ares), zasobami ludzkimi (</w:t>
      </w:r>
      <w:proofErr w:type="spellStart"/>
      <w:r w:rsidRPr="000B4889">
        <w:t>Sysper</w:t>
      </w:r>
      <w:proofErr w:type="spellEnd"/>
      <w:r w:rsidRPr="000B4889">
        <w:t xml:space="preserve"> i Staff </w:t>
      </w:r>
      <w:proofErr w:type="spellStart"/>
      <w:r w:rsidRPr="000B4889">
        <w:t>matters</w:t>
      </w:r>
      <w:proofErr w:type="spellEnd"/>
      <w:r w:rsidRPr="000B4889">
        <w:t>), finansami (SAP) oraz innych systemów Komisji (w tym opartych na AI), np. w zakresie usług tłumaczeniowych (</w:t>
      </w:r>
      <w:proofErr w:type="spellStart"/>
      <w:r w:rsidRPr="000B4889">
        <w:t>eTranslation</w:t>
      </w:r>
      <w:proofErr w:type="spellEnd"/>
      <w:r w:rsidRPr="000B4889">
        <w:t>);</w:t>
      </w:r>
    </w:p>
    <w:p w14:paraId="7B339506" w14:textId="77777777" w:rsidR="007A4252" w:rsidRPr="000B4889" w:rsidRDefault="007A4252" w:rsidP="007A4252">
      <w:pPr>
        <w:spacing w:after="240"/>
        <w:ind w:left="567" w:hanging="567"/>
      </w:pPr>
      <w:r w:rsidRPr="000B4889">
        <w:t>47.</w:t>
      </w:r>
      <w:r w:rsidRPr="000B4889">
        <w:tab/>
        <w:t xml:space="preserve">z zainteresowaniem odnotowuje uruchomienie w 2024 r. projektu pilotażowego umożliwiającego wszystkim działom TSUE dostęp do asystentów AI; podkreśla konieczność przestrzegania zasad etycznych przy korzystaniu z narzędzi AI, a w szczególności wytycznych TSUE dotyczących AI przyjętych w 2024 r., zapewniając tym samym nadzór przez człowieka w świetle zasady niezależności postępowań sądowych; podkreśla, że stosowanie narzędzi sztucznej inteligencji w środowisku sądowym nigdy nie może zastępować ludzkiego rozumowania prawnego ani uprawnień dyskrecjonalnych, ani podważać osobistej odpowiedzialności sędziów; zwraca uwagę na nadzorczą rolę rady TSUE ds. zarządzania AI; docenia fakt, że w 2024 r. TSUE wdrożył kompleksowy program szkoleniowy, który rozpoczął się od „miesiąca świadomości w zakresie AI”, obejmującego szkolenia, debaty ekspertów AI, webinaria i </w:t>
      </w:r>
      <w:proofErr w:type="spellStart"/>
      <w:r w:rsidRPr="000B4889">
        <w:t>bootcampy</w:t>
      </w:r>
      <w:proofErr w:type="spellEnd"/>
      <w:r w:rsidRPr="000B4889">
        <w:t>, stanowiąc pierwszy istotny krok w budowaniu świadomości personelu na temat strategii i wytycznych TSUE w zakresie AI oraz AI jako takiej; zauważa, że pracownicy uczestniczą również w szkoleniach z zarządzania zmianą, transferu wiedzy, mentoringu i lotności umysłu w celu wsparcia adaptacji do nowych technologii; zachęca TSUE do dalszego organizowania takich szkoleń i działań edukacyjnych;</w:t>
      </w:r>
    </w:p>
    <w:p w14:paraId="04E8F807" w14:textId="77777777" w:rsidR="007A4252" w:rsidRPr="000B4889" w:rsidRDefault="007A4252" w:rsidP="007A4252">
      <w:pPr>
        <w:spacing w:after="240"/>
        <w:ind w:left="567" w:hanging="567"/>
      </w:pPr>
      <w:r w:rsidRPr="000B4889">
        <w:t>48.</w:t>
      </w:r>
      <w:r w:rsidRPr="000B4889">
        <w:tab/>
        <w:t xml:space="preserve">zauważa, że ze sprawozdania uzupełniającego wynika, iż po wejściu w życie nowego rozporządzenia w sprawie </w:t>
      </w:r>
      <w:proofErr w:type="spellStart"/>
      <w:r w:rsidRPr="000B4889">
        <w:t>cyberbezpieczeństwa</w:t>
      </w:r>
      <w:proofErr w:type="spellEnd"/>
      <w:r w:rsidRPr="000B4889">
        <w:t xml:space="preserve"> na początku 2024 r. TSUE opracował plan działania w zakresie </w:t>
      </w:r>
      <w:proofErr w:type="spellStart"/>
      <w:r w:rsidRPr="000B4889">
        <w:t>cyberbezpieczeństwa</w:t>
      </w:r>
      <w:proofErr w:type="spellEnd"/>
      <w:r w:rsidRPr="000B4889">
        <w:t xml:space="preserve"> i realizuje związane z tym projekty </w:t>
      </w:r>
      <w:r w:rsidRPr="000B4889">
        <w:lastRenderedPageBreak/>
        <w:t xml:space="preserve">infrastruktury IT; zauważa, że w ciągu roku TSUE przeprowadza co najmniej trzy testy przywrócenia gotowości do pracy po wystąpieniu sytuacji nadzwyczajnej obejmujące systemy lokalne, usługi telekomunikacyjne oraz awaryjne przełączenie usług dostawcy </w:t>
      </w:r>
      <w:proofErr w:type="spellStart"/>
      <w:r w:rsidRPr="000B4889">
        <w:t>internetu</w:t>
      </w:r>
      <w:proofErr w:type="spellEnd"/>
      <w:r w:rsidRPr="000B4889">
        <w:t>;</w:t>
      </w:r>
    </w:p>
    <w:p w14:paraId="787FC6EF" w14:textId="77777777" w:rsidR="007A4252" w:rsidRPr="000B4889" w:rsidRDefault="007A4252" w:rsidP="007A4252">
      <w:pPr>
        <w:spacing w:after="240"/>
        <w:ind w:left="567" w:hanging="567"/>
      </w:pPr>
      <w:r w:rsidRPr="000B4889">
        <w:t>49.</w:t>
      </w:r>
      <w:r w:rsidRPr="000B4889">
        <w:tab/>
        <w:t xml:space="preserve">zauważa, że w 2024 r. jeszcze bardziej zwiększono zdolności operacyjne w zakresie </w:t>
      </w:r>
      <w:proofErr w:type="spellStart"/>
      <w:r w:rsidRPr="000B4889">
        <w:t>cyberbezpieczeństwa</w:t>
      </w:r>
      <w:proofErr w:type="spellEnd"/>
      <w:r w:rsidRPr="000B4889">
        <w:t xml:space="preserve"> w celu zapewnienia zgodności z rozporządzeniem (UE, </w:t>
      </w:r>
      <w:proofErr w:type="spellStart"/>
      <w:r w:rsidRPr="000B4889">
        <w:t>Euratom</w:t>
      </w:r>
      <w:proofErr w:type="spellEnd"/>
      <w:r w:rsidRPr="000B4889">
        <w:t xml:space="preserve">) 2023/2841 oraz przeciwdziałania rosnącej liczbie cyberataków; wskazuje, że w 2024 r. nie odnotowano żadnych poważnych cyberataków; z niepokojem zauważa, że miesięcznie rejestrowano i analizowano średnio 142 incydenty bezpieczeństwa, z których niektóre wymagały interwencji człowieka; podkreśla, że </w:t>
      </w:r>
      <w:proofErr w:type="spellStart"/>
      <w:r w:rsidRPr="000B4889">
        <w:t>cyberbezpieczeństwo</w:t>
      </w:r>
      <w:proofErr w:type="spellEnd"/>
      <w:r w:rsidRPr="000B4889">
        <w:t xml:space="preserve"> jest inwestycją strategiczną, niezbędną do zapewnienia niezależności sądów, integralności danych i ciągłości działalności sądowniczej, co wskazuje na potrzebę trwałych i przewidywalnych inwestycji w zdolności w zakresie </w:t>
      </w:r>
      <w:proofErr w:type="spellStart"/>
      <w:r w:rsidRPr="000B4889">
        <w:t>cyberbezpieczeństwa</w:t>
      </w:r>
      <w:proofErr w:type="spellEnd"/>
      <w:r w:rsidRPr="000B4889">
        <w:t>, szkolenia personelu oraz współpracę międzyinstytucjonalną;</w:t>
      </w:r>
    </w:p>
    <w:p w14:paraId="58FFA6F9" w14:textId="77777777" w:rsidR="007A4252" w:rsidRPr="000B4889" w:rsidRDefault="007A4252" w:rsidP="007A4252">
      <w:pPr>
        <w:spacing w:after="240"/>
        <w:ind w:left="567" w:hanging="567"/>
      </w:pPr>
      <w:r w:rsidRPr="000B4889">
        <w:t>50.</w:t>
      </w:r>
      <w:r w:rsidRPr="000B4889">
        <w:tab/>
        <w:t xml:space="preserve">zauważa, że postępowanie prowadzone przez Europejskiego Inspektora Ochrony Danych (EIOD) w sprawie korzystania przez instytucje, organy, urzędy i agencje Unii z usług chmurowych Amazon Web Services i Microsoft w ramach umów </w:t>
      </w:r>
      <w:proofErr w:type="spellStart"/>
      <w:r w:rsidRPr="000B4889">
        <w:t>Cloud</w:t>
      </w:r>
      <w:proofErr w:type="spellEnd"/>
      <w:r w:rsidRPr="000B4889">
        <w:t xml:space="preserve"> II zostało zakończone w 2025 r.; ponadto odnotowuje, że TSUE nie otrzymał żadnych zaleceń po zakończeniu tego postępowania;</w:t>
      </w:r>
    </w:p>
    <w:p w14:paraId="62B58AE0" w14:textId="77777777" w:rsidR="007A4252" w:rsidRPr="000B4889" w:rsidRDefault="007A4252" w:rsidP="007A4252">
      <w:pPr>
        <w:spacing w:after="240"/>
        <w:ind w:left="567" w:hanging="567"/>
      </w:pPr>
      <w:r w:rsidRPr="000B4889">
        <w:t>51.</w:t>
      </w:r>
      <w:r w:rsidRPr="000B4889">
        <w:tab/>
        <w:t xml:space="preserve">zauważa, że w ramach kompleksowej inicjatywy na rzecz zwiększenia dostępności i włączenia osób wymagających szczególnego traktowania TSUE przy wprowadzaniu wszelkich zmian w swoich systemach informatycznych i przy ich rozbudowie nadal wdrażał podejście oparte na uwzględnieniu dostępności już w fazie projektowania; zauważa, że w następstwie przeprowadzonego w 2023 r. audytu strony internetowej </w:t>
      </w:r>
      <w:proofErr w:type="spellStart"/>
      <w:r w:rsidRPr="000B4889">
        <w:t>Curia</w:t>
      </w:r>
      <w:proofErr w:type="spellEnd"/>
      <w:r w:rsidRPr="000B4889">
        <w:t xml:space="preserve"> TSUE wprowadza technologie w celu poprawy dostępności strony dla szerokiego grona użytkowników, takich jak osoby z upośledzeniem wzroku, upośledzeniem słuchu lub z niepełnosprawnością intelektualną; zwraca się do TSUE o informowanie organu udzielającego absolutorium o postępach w tym zakresie;</w:t>
      </w:r>
    </w:p>
    <w:p w14:paraId="699DAD35" w14:textId="77777777" w:rsidR="007A4252" w:rsidRPr="00E21897" w:rsidRDefault="007A4252" w:rsidP="007A4252">
      <w:pPr>
        <w:pStyle w:val="NormalHanging12a"/>
        <w:ind w:left="0" w:firstLine="0"/>
        <w:rPr>
          <w:b/>
          <w:i/>
          <w:iCs/>
        </w:rPr>
      </w:pPr>
      <w:r w:rsidRPr="00E21897">
        <w:rPr>
          <w:b/>
          <w:i/>
          <w:iCs/>
        </w:rPr>
        <w:t>Budynki</w:t>
      </w:r>
    </w:p>
    <w:p w14:paraId="610AB16E" w14:textId="77777777" w:rsidR="007A4252" w:rsidRPr="000B4889" w:rsidRDefault="007A4252" w:rsidP="007A4252">
      <w:pPr>
        <w:pStyle w:val="NormalHanging12a"/>
      </w:pPr>
      <w:r w:rsidRPr="000B4889">
        <w:t>52.</w:t>
      </w:r>
      <w:r w:rsidRPr="000B4889">
        <w:tab/>
        <w:t xml:space="preserve">zauważa, że ze sprawozdania uzupełniającego wynika, iż w ramach dwóch projektów pilotażowych dotyczących najefektywniejszego wykorzystania powierzchni TSUE w 2024 r. zorganizowano szereg warsztatów, które doprowadziły do opracowania dwóch układów dostosowanych do potrzeb poszczególnych służb; zauważa, że dalsze prace nad tymi projektami zostały zawieszone, aby najpierw umożliwić ocenę wpływu, jaki integracja AI może mieć na metody pracy TSUE, a w konsekwencji – na wykorzystanie przestrzeni i biur; </w:t>
      </w:r>
    </w:p>
    <w:p w14:paraId="7245A75E" w14:textId="77777777" w:rsidR="007A4252" w:rsidRPr="000B4889" w:rsidRDefault="007A4252" w:rsidP="007A4252">
      <w:pPr>
        <w:pStyle w:val="NormalHanging12a"/>
      </w:pPr>
      <w:r w:rsidRPr="000B4889">
        <w:t>53.</w:t>
      </w:r>
      <w:r w:rsidRPr="000B4889">
        <w:tab/>
        <w:t>zauważa, że w 2024 r. TSUE nadal realizował kompleksową inicjatywę na rzecz zwiększenia dostępności i włączenia osób z niepełnosprawnościami; w szczególności odnotowuje, że TSUE opracował długoterminowy plan działania mający na celu zapewnienie zgodności budynków z wymogami prawnymi dotyczącymi dostępności do 1 stycznia 2032 r., zgodnie z wymogami prawa luksemburskiego; z uznaniem odnotowuje, że TSUE sporządził inwentaryzację elementów infrastruktury wymagających dostosowania oraz zlecił architektowi wykonanie studium wykonalności, które określi niezbędne działania; zwraca się do TSUE o informowanie organu udzielającego absolutorium o postępach w tym zakresie;</w:t>
      </w:r>
    </w:p>
    <w:p w14:paraId="7532BC41" w14:textId="77777777" w:rsidR="007A4252" w:rsidRPr="00E21897" w:rsidRDefault="007A4252" w:rsidP="007A4252">
      <w:pPr>
        <w:pStyle w:val="NormalHanging12a"/>
        <w:ind w:left="0" w:firstLine="0"/>
        <w:rPr>
          <w:b/>
          <w:i/>
          <w:iCs/>
        </w:rPr>
      </w:pPr>
      <w:r w:rsidRPr="00E21897">
        <w:rPr>
          <w:b/>
          <w:i/>
          <w:iCs/>
        </w:rPr>
        <w:lastRenderedPageBreak/>
        <w:t>Środowisko i zrównoważony rozwój</w:t>
      </w:r>
    </w:p>
    <w:p w14:paraId="366CF43D" w14:textId="77777777" w:rsidR="007A4252" w:rsidRPr="000B4889" w:rsidRDefault="007A4252" w:rsidP="007A4252">
      <w:pPr>
        <w:spacing w:after="240"/>
        <w:ind w:left="567" w:hanging="567"/>
      </w:pPr>
      <w:r w:rsidRPr="000B4889">
        <w:t>54.</w:t>
      </w:r>
      <w:r w:rsidRPr="000B4889">
        <w:tab/>
        <w:t xml:space="preserve">docenia nieustające działania TSUE na rzecz ograniczenia śladu środowiskowego oraz znaczące postępy osiągnięte w 2024 r., potwierdzone wynikami względem poziomu odniesienia przyjętego w systemie </w:t>
      </w:r>
      <w:proofErr w:type="spellStart"/>
      <w:r w:rsidRPr="000B4889">
        <w:t>ekozarządzania</w:t>
      </w:r>
      <w:proofErr w:type="spellEnd"/>
      <w:r w:rsidRPr="000B4889">
        <w:t xml:space="preserve"> i audytu EMAS z 2015 r. – ze spadkiem zużycia i emisji w wielu obszarach w przeliczeniu na ekwiwalent pełnego czasu pracy (ogrzewanie: -37,5 %; energia elektryczna: -29,3 %; papier: -64,2 %; odpady biurowe i stołówkowe: -40,4 %; emisja gazów cieplarnianych: -26,7 %); zauważa ogólną poprawę w porównaniu z wynikami za 2023 r.; przyznaje, że osiągnięte rezultaty w połączeniu z warunkami rynkowymi umożliwiły zmniejszenie wydatków na energię o 18 % względem prognoz; docenia w tym kontekście solidne powiązanie polityki zrównoważonego rozwoju z ramami zarządzania ryzykiem i rozliczalności TSUE, zgodnie z wymogami certyfikacji EMAS;</w:t>
      </w:r>
    </w:p>
    <w:p w14:paraId="0CE28DEC" w14:textId="77777777" w:rsidR="007A4252" w:rsidRPr="000B4889" w:rsidRDefault="007A4252" w:rsidP="007A4252">
      <w:pPr>
        <w:spacing w:after="240"/>
        <w:ind w:left="567" w:hanging="567"/>
      </w:pPr>
      <w:r w:rsidRPr="000B4889">
        <w:t>55.</w:t>
      </w:r>
      <w:r w:rsidRPr="000B4889">
        <w:tab/>
        <w:t>z zadowoleniem przyjmuje istotne inwestycje w 2024 r. mające poprawić efektywność energetyczną budynków TSUE, w tym niemal 1,5 mln EUR na powszechną instalację oświetlenia LED i ponad 0,4 mln EUR na prace związane z izolacją budynków; z zadowoleniem odnotowuje, że cała zakupiona energia elektryczna pochodziła ze źródeł odnawialnych, a ogrzewanie zapewniane jest przez sieć opartą na biomasie; z uznaniem odnosi się do zaangażowania TSUE w zapewnienie adekwatności zrównoważonego źródła zielonej energii w przyszłości przez planowany udział w umowach zakupu energii elektrycznej (PPA);</w:t>
      </w:r>
    </w:p>
    <w:p w14:paraId="6A6B4E54" w14:textId="77777777" w:rsidR="007A4252" w:rsidRPr="000B4889" w:rsidRDefault="007A4252" w:rsidP="007A4252">
      <w:pPr>
        <w:spacing w:after="240"/>
        <w:ind w:left="567" w:hanging="567"/>
      </w:pPr>
      <w:r w:rsidRPr="000B4889">
        <w:t>56.</w:t>
      </w:r>
      <w:r w:rsidRPr="000B4889">
        <w:tab/>
        <w:t>docenia konsekwentne działania TSUE w zakresie zrównoważonych zamówień, polegające na kategoryzacji zaproszeń do składania ofert według wpływu środowiskowego („</w:t>
      </w:r>
      <w:proofErr w:type="spellStart"/>
      <w:r w:rsidRPr="000B4889">
        <w:t>light</w:t>
      </w:r>
      <w:proofErr w:type="spellEnd"/>
      <w:r w:rsidRPr="000B4889">
        <w:t xml:space="preserve"> </w:t>
      </w:r>
      <w:proofErr w:type="spellStart"/>
      <w:r w:rsidRPr="000B4889">
        <w:t>green</w:t>
      </w:r>
      <w:proofErr w:type="spellEnd"/>
      <w:r w:rsidRPr="000B4889">
        <w:t xml:space="preserve">”, „medium </w:t>
      </w:r>
      <w:proofErr w:type="spellStart"/>
      <w:r w:rsidRPr="000B4889">
        <w:t>green</w:t>
      </w:r>
      <w:proofErr w:type="spellEnd"/>
      <w:r w:rsidRPr="000B4889">
        <w:t xml:space="preserve">”, „top </w:t>
      </w:r>
      <w:proofErr w:type="spellStart"/>
      <w:r w:rsidRPr="000B4889">
        <w:t>green</w:t>
      </w:r>
      <w:proofErr w:type="spellEnd"/>
      <w:r w:rsidRPr="000B4889">
        <w:t>”), systematycznym wykorzystywaniu narzędzi takich jak obowiązkowa samoocena „zielonej wydajności” oraz korzystaniu z międzyinstytucjonalnego SPP Helpdesk; zauważa, że w 2024 r. osiem głównych zamówień o wartości powyżej 60 000 EUR stanowiło tzw. „zielone zakupy”, z czego sześć zawierało istotne klauzule środowiskowe; z uznaniem przyjmuje skuteczną realizację nowego kontraktu cateringowego, który wymaga stosowania zrównoważonych praktyk żywieniowych i posiada certyfikat ISO 14001, a także osiągnięcie celu ograniczenia przetargów „</w:t>
      </w:r>
      <w:proofErr w:type="spellStart"/>
      <w:r w:rsidRPr="000B4889">
        <w:t>light</w:t>
      </w:r>
      <w:proofErr w:type="spellEnd"/>
      <w:r w:rsidRPr="000B4889">
        <w:t xml:space="preserve"> </w:t>
      </w:r>
      <w:proofErr w:type="spellStart"/>
      <w:r w:rsidRPr="000B4889">
        <w:t>green</w:t>
      </w:r>
      <w:proofErr w:type="spellEnd"/>
      <w:r w:rsidRPr="000B4889">
        <w:t>” do poziomu znacznie poniżej progu 50 %;</w:t>
      </w:r>
    </w:p>
    <w:p w14:paraId="31A8E42D" w14:textId="77777777" w:rsidR="007A4252" w:rsidRPr="000B4889" w:rsidRDefault="007A4252" w:rsidP="007A4252">
      <w:pPr>
        <w:spacing w:after="240"/>
        <w:ind w:left="567" w:hanging="567"/>
      </w:pPr>
      <w:r w:rsidRPr="000B4889">
        <w:t>57.</w:t>
      </w:r>
      <w:r w:rsidRPr="000B4889">
        <w:tab/>
        <w:t xml:space="preserve">docenia kompleksową i skuteczną strategię TSUE w zakresie zrównoważonej mobilności dla personelu i członków instytucji; w tym kontekście odnotowuje kontynuację dofinansowania do transportu publicznego dla osób dojeżdżających transgranicznie oraz programu rowerów </w:t>
      </w:r>
      <w:proofErr w:type="spellStart"/>
      <w:proofErr w:type="gramStart"/>
      <w:r w:rsidRPr="000B4889">
        <w:t>Vel’Oh</w:t>
      </w:r>
      <w:proofErr w:type="spellEnd"/>
      <w:r w:rsidRPr="000B4889">
        <w:t>!,</w:t>
      </w:r>
      <w:proofErr w:type="gramEnd"/>
      <w:r w:rsidRPr="000B4889">
        <w:t xml:space="preserve"> a także istotne inwestycje w infrastrukturę, w tym instalację w 2024 r. licznych punktów ładowania pojazdów elektrycznych i hybrydowych; </w:t>
      </w:r>
    </w:p>
    <w:p w14:paraId="37466F42" w14:textId="77777777" w:rsidR="007A4252" w:rsidRPr="000B4889" w:rsidRDefault="007A4252" w:rsidP="007A4252">
      <w:pPr>
        <w:spacing w:after="240"/>
        <w:ind w:left="567" w:hanging="567"/>
      </w:pPr>
      <w:r w:rsidRPr="000B4889">
        <w:t>58.</w:t>
      </w:r>
      <w:r w:rsidRPr="000B4889">
        <w:tab/>
        <w:t>zauważa wyraźny zwrot w kierunku zrównoważonych metod pracy, m.in. istotny wzrost wykorzystania wideokonferencji przez członków TSUE w celu ograniczenia podróży służbowych – w 2024 r. odbyły się 131 takie misje w porównaniu z zaledwie trzema w 2019 r.; z zadowoleniem przyjmuje dalszą cyfryzację procesów, która w połączeniu z wycofaniem 80 % drukarek indywidualnych miała kluczowe znaczenie dla drastycznego ograniczenia zużycia papieru w TSUE;</w:t>
      </w:r>
    </w:p>
    <w:p w14:paraId="242719CF" w14:textId="77777777" w:rsidR="007A4252" w:rsidRPr="00E21897" w:rsidRDefault="007A4252" w:rsidP="007A4252">
      <w:pPr>
        <w:pStyle w:val="NormalHanging12a"/>
        <w:rPr>
          <w:b/>
          <w:i/>
          <w:iCs/>
        </w:rPr>
      </w:pPr>
      <w:r w:rsidRPr="00E21897">
        <w:rPr>
          <w:b/>
          <w:i/>
          <w:iCs/>
        </w:rPr>
        <w:t>Współpraca międzyinstytucjonalna</w:t>
      </w:r>
    </w:p>
    <w:p w14:paraId="0B15E415" w14:textId="77777777" w:rsidR="007A4252" w:rsidRPr="000B4889" w:rsidRDefault="007A4252" w:rsidP="007A4252">
      <w:pPr>
        <w:pStyle w:val="NormalHanging12a"/>
      </w:pPr>
      <w:r w:rsidRPr="000B4889">
        <w:lastRenderedPageBreak/>
        <w:t>59.</w:t>
      </w:r>
      <w:r w:rsidRPr="000B4889">
        <w:tab/>
        <w:t xml:space="preserve">odnotowuje współpracę TSUE z innymi instytucjami, a w szczególności wspólne aplikacje i usługi hostingowe oparte na umowach o gwarantowanym poziomie usług zawartych z Komisją, a także dzięki udziałowi w międzyinstytucjonalnych procedurach udzielania zamówień, które umożliwiły TSUE optymalizację kosztów i zasobów; uznaje znaczenie międzyinstytucjonalnej współpracy TSUE ze Służbą ds. </w:t>
      </w:r>
      <w:proofErr w:type="spellStart"/>
      <w:r w:rsidRPr="000B4889">
        <w:t>Cyberbezpieczeństwa</w:t>
      </w:r>
      <w:proofErr w:type="spellEnd"/>
      <w:r w:rsidRPr="000B4889">
        <w:t xml:space="preserve"> Instytucji, Organów i Jednostek Organizacyjnych Unii (CERT-UE) i Agencją Unii Europejskiej ds. </w:t>
      </w:r>
      <w:proofErr w:type="spellStart"/>
      <w:r w:rsidRPr="000B4889">
        <w:t>Cyberbezpieczeństwa</w:t>
      </w:r>
      <w:proofErr w:type="spellEnd"/>
      <w:r w:rsidRPr="000B4889">
        <w:t xml:space="preserve"> (ENISA) obejmującej udział w technicznych grupach doradczych ds. narzędzi, metodyki i budowania świadomości oraz uczestnictwo w inicjatywie CERT-UE dotyczącej generatywnej AI;</w:t>
      </w:r>
    </w:p>
    <w:p w14:paraId="61DBB0D9" w14:textId="77777777" w:rsidR="007A4252" w:rsidRPr="000B4889" w:rsidRDefault="007A4252" w:rsidP="007A4252">
      <w:pPr>
        <w:pStyle w:val="NormalHanging12a"/>
      </w:pPr>
      <w:r w:rsidRPr="000B4889">
        <w:t>60.</w:t>
      </w:r>
      <w:r w:rsidRPr="000B4889">
        <w:tab/>
        <w:t>zauważa, że TSUE zawarł kilka umów o gwarantowanym poziomie usług dotyczących utrzymania infrastruktury IT, korzystania z narzędzi HR, wypłaty niektórych indywidualnych świadczeń oraz korzystania z systemu zarządzania dokumentacją HAN/Ares; z zadowoleniem przyjmuje odnowienie corocznej umowy o finansowaniu zawartej ze służbami tłumaczeniowymi innych instytucji Unii; zauważa, że w 2024 r. podpisano dwa protokoły ustaleń z Komisją i Parlamentem: jeden dotyczący podziału obciążenia finansowego związanego z wykorzystaniem narzędzia do zdalnych testów w ramach międzyinstytucjonalnych testów akredytacyjnych, a drugi dotyczący podziału kosztów wspólnych działań informacyjnych usług tłumaczenia ustnego;</w:t>
      </w:r>
    </w:p>
    <w:p w14:paraId="441C7004" w14:textId="77777777" w:rsidR="007A4252" w:rsidRPr="000B4889" w:rsidRDefault="007A4252" w:rsidP="007A4252">
      <w:pPr>
        <w:pStyle w:val="NormalHanging12a"/>
      </w:pPr>
      <w:r w:rsidRPr="000B4889">
        <w:t>61.</w:t>
      </w:r>
      <w:r w:rsidRPr="000B4889">
        <w:tab/>
        <w:t>z uznaniem odnotowuje pełną współpracę TSUE z Europejskim Urzędem ds. Zwalczania Nadużyć Finansowych (OLAF), Trybunałem, Europejskim Inspektorem Ochrony Danych oraz Europejskim Rzecznikiem Praw Obywatelskich; przyjmuje do wiadomości współpracę TSUE z EJTN, która wspiera TSUE w budowaniu wspólnej kultury sądowej w Unii, zapewnianiu jednolitego i spójnego stosowania prawa Unii we wszystkich państwach członkowskich oraz wzmacnianiu wzajemnego zaufania między sądami krajowymi a TSUE; z uznaniem odnosi się w tym kontekście do organizacji corocznych spotkań z korespondentami sądów krajowych, grup tematycznych, webinariów oraz wizyt przedstawicieli TSUE w sądach krajowych i odwrotnie; w odniesieniu do 2024 r. odnotowuje w szczególności doroczne spotkanie korespondentów EJTN, które odbyło się w Brukseli, wizytę delegacji Sądu w Warszawie oraz coroczne spotkanie sędziów połączone ze specjalną konferencją w TSUE z okazji 20. rocznicy rozszerzenia UE w 2004 r.; zauważa, że ze sprawozdania uzupełniającego wynika, iż w 2024 r. większa liczba sędziów uczestniczyła w seminariach, a krajowi przedstawiciele zawodów związanych z wymiarem sprawiedliwości z trzech nowych państw członkowskich po raz pierwszy złożyli wnioski o udział w długoterminowych programach szkoleniowych TSUE;</w:t>
      </w:r>
    </w:p>
    <w:p w14:paraId="1202149C" w14:textId="77777777" w:rsidR="007A4252" w:rsidRPr="000B4889" w:rsidRDefault="007A4252" w:rsidP="007A4252">
      <w:pPr>
        <w:pStyle w:val="NormalHanging12a"/>
      </w:pPr>
      <w:r w:rsidRPr="000B4889">
        <w:t>62.</w:t>
      </w:r>
      <w:r w:rsidRPr="000B4889">
        <w:tab/>
        <w:t>z zadowoleniem przyjmuje decyzję TSUE i Parlamentu o organizacji dorocznych spotkań, które mają charakter dialogu na temat zagadnień wspólnego zainteresowania, takich jak zarządzanie, potencjalne kierunki usprawniania systemu wymiaru sprawiedliwości czy postrzeganie praworządności przez obywateli; zauważa, że pierwsze takie spotkanie odbyło się w marcu 2024 r.;</w:t>
      </w:r>
    </w:p>
    <w:p w14:paraId="74DD5F43" w14:textId="77777777" w:rsidR="007A4252" w:rsidRPr="00E21897" w:rsidRDefault="007A4252" w:rsidP="007A4252">
      <w:pPr>
        <w:pStyle w:val="NormalHanging12a"/>
        <w:ind w:left="0" w:firstLine="0"/>
        <w:rPr>
          <w:b/>
          <w:i/>
          <w:iCs/>
        </w:rPr>
      </w:pPr>
      <w:r w:rsidRPr="00E21897">
        <w:rPr>
          <w:b/>
          <w:i/>
          <w:iCs/>
        </w:rPr>
        <w:t>Komunikacja</w:t>
      </w:r>
    </w:p>
    <w:p w14:paraId="6B9C8F30" w14:textId="77777777" w:rsidR="007A4252" w:rsidRPr="000B4889" w:rsidRDefault="007A4252" w:rsidP="007A4252">
      <w:pPr>
        <w:pStyle w:val="NormalHanging12a"/>
      </w:pPr>
      <w:r w:rsidRPr="000B4889">
        <w:t>63.</w:t>
      </w:r>
      <w:r w:rsidRPr="000B4889">
        <w:tab/>
        <w:t xml:space="preserve">zauważa, że TSUE regularnie organizuje wizyty, w których w 2024 r. wzięło udział 16 319 osób; zauważa, że około 2 500 spośród tych osób wzięło udział w Dniu Otwartym TSUE w tym roku; odnotowuje ponadto, że oprócz wizyt stacjonarnych TSUE organizuje również wizyty wirtualne; zauważa, że 7 % wszystkich odwiedzających TSUE w 2024 r. stanowili uczestnicy wizyt wirtualnych, a 43 % ogółu </w:t>
      </w:r>
      <w:r w:rsidRPr="000B4889">
        <w:lastRenderedPageBreak/>
        <w:t>odwiedzających stanowili studenci;</w:t>
      </w:r>
    </w:p>
    <w:p w14:paraId="702E1C65" w14:textId="77777777" w:rsidR="007A4252" w:rsidRPr="000B4889" w:rsidRDefault="007A4252" w:rsidP="007A4252">
      <w:pPr>
        <w:pStyle w:val="NormalHanging12a"/>
      </w:pPr>
      <w:r w:rsidRPr="000B4889">
        <w:t>64.</w:t>
      </w:r>
      <w:r w:rsidRPr="000B4889">
        <w:tab/>
        <w:t>zauważa, że w 2024 r. TSUE zwiększył starania służące nawiązaniu kontaktu z obywatelami Unii przez zwiększenie swojej obecności w mediach społecznościowych; zauważa, że na koniec 2024 r. liczba subskrybentów konta TSUE na LinkedIn wzrosła o 26 %, liczba obserwujących dwa konta TSUE na X (dawniej Twitter) o 2,5 %, wyświetlenia na kanale YouTube TSUE wzrosły o 137 %, a liczba subskrybentów tego kanału zwiększyła się o ponad 329 % w porównaniu z rokiem poprzednim; zauważa, że gwałtowny wzrost liczby wyświetleń i subskrypcji był częściowo wynikiem kampanii promocyjnej przeprowadzonej przez TSUE;</w:t>
      </w:r>
    </w:p>
    <w:p w14:paraId="3404478D" w14:textId="77777777" w:rsidR="007A4252" w:rsidRPr="000B4889" w:rsidRDefault="007A4252" w:rsidP="007A4252">
      <w:pPr>
        <w:pStyle w:val="NormalHanging12a"/>
      </w:pPr>
      <w:r w:rsidRPr="000B4889">
        <w:t>65.</w:t>
      </w:r>
      <w:r w:rsidRPr="000B4889">
        <w:tab/>
        <w:t xml:space="preserve">zauważa, że w 2024 r. TSUE uruchomił badanie dotyczące zwiększenia obecności w mediach społecznościowych, które doprowadziło do decyzji o założeniu w 2025 r. kont na platformach Instagram, </w:t>
      </w:r>
      <w:proofErr w:type="spellStart"/>
      <w:r w:rsidRPr="000B4889">
        <w:t>Bluesky</w:t>
      </w:r>
      <w:proofErr w:type="spellEnd"/>
      <w:r w:rsidRPr="000B4889">
        <w:t xml:space="preserve">, </w:t>
      </w:r>
      <w:proofErr w:type="spellStart"/>
      <w:r w:rsidRPr="000B4889">
        <w:t>Threads</w:t>
      </w:r>
      <w:proofErr w:type="spellEnd"/>
      <w:r w:rsidRPr="000B4889">
        <w:t xml:space="preserve"> i WhatsApp;</w:t>
      </w:r>
    </w:p>
    <w:p w14:paraId="2339C59D" w14:textId="4BAC719C" w:rsidR="000B4889" w:rsidRPr="000B4889" w:rsidRDefault="007A4252" w:rsidP="000B4889">
      <w:pPr>
        <w:pStyle w:val="NormalHanging12a"/>
      </w:pPr>
      <w:r w:rsidRPr="000B4889">
        <w:t>66.</w:t>
      </w:r>
      <w:r w:rsidRPr="000B4889">
        <w:tab/>
        <w:t>z uznaniem odnotowuje inne kluczowe działania i plany TSUE, aby zwiększyć przejrzystość i dostępność oraz odpowiedzieć na potrzeby przedstawicieli zawodów prawniczych, mediów i ogółu społeczeństwa (w tym młodszych pokoleń), takie jak modernizacja strony internetowej TSUE przez wprowadzenie nowej (jednej) wyszukiwarki internetowej, uruchomienie nowej wielojęzycznej platformy Web TV z treściami dotyczącymi działalności i orzeczeń TSUE, publikacja materiałów wideo w mediach społecznościowych, upraszczanie języka komunikatów prasowych TSUE oraz przegląd rocznych sprawozdań TSUE, tak aby zapewnić bardziej przejrzyste zestawienia orzecznictwa i statystyk.</w:t>
      </w:r>
    </w:p>
    <w:p w14:paraId="2207351C" w14:textId="46385B94" w:rsidR="00E365E1" w:rsidRPr="000B4889" w:rsidRDefault="00E365E1" w:rsidP="00A468CE"/>
    <w:sectPr w:rsidR="00E365E1" w:rsidRPr="000B4889" w:rsidSect="000B488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46FD" w14:textId="77777777" w:rsidR="00A468CE" w:rsidRPr="000B4889" w:rsidRDefault="00A468CE">
      <w:r w:rsidRPr="000B4889">
        <w:separator/>
      </w:r>
    </w:p>
  </w:endnote>
  <w:endnote w:type="continuationSeparator" w:id="0">
    <w:p w14:paraId="11D4319E" w14:textId="77777777" w:rsidR="00A468CE" w:rsidRPr="000B4889" w:rsidRDefault="00A468CE">
      <w:r w:rsidRPr="000B48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01E1" w14:textId="77777777" w:rsidR="007A4252" w:rsidRPr="000B4889" w:rsidRDefault="007A4252" w:rsidP="003D622B">
    <w:pPr>
      <w:pStyle w:val="EPFooter"/>
    </w:pPr>
    <w:r w:rsidRPr="000B4889">
      <w:t>PE</w:t>
    </w:r>
    <w:r w:rsidRPr="000B4889">
      <w:rPr>
        <w:rStyle w:val="HideTWBExt"/>
      </w:rPr>
      <w:t>&lt;</w:t>
    </w:r>
    <w:proofErr w:type="spellStart"/>
    <w:r w:rsidRPr="000B4889">
      <w:rPr>
        <w:rStyle w:val="HideTWBExt"/>
      </w:rPr>
      <w:t>NoPE</w:t>
    </w:r>
    <w:proofErr w:type="spellEnd"/>
    <w:r w:rsidRPr="000B4889">
      <w:rPr>
        <w:rStyle w:val="HideTWBExt"/>
      </w:rPr>
      <w:t>&gt;</w:t>
    </w:r>
    <w:r w:rsidRPr="000B4889">
      <w:t>778.060</w:t>
    </w:r>
    <w:r w:rsidRPr="000B4889">
      <w:rPr>
        <w:rStyle w:val="HideTWBExt"/>
      </w:rPr>
      <w:t>&lt;/</w:t>
    </w:r>
    <w:proofErr w:type="spellStart"/>
    <w:r w:rsidRPr="000B4889">
      <w:rPr>
        <w:rStyle w:val="HideTWBExt"/>
      </w:rPr>
      <w:t>NoPE</w:t>
    </w:r>
    <w:proofErr w:type="spellEnd"/>
    <w:r w:rsidRPr="000B4889">
      <w:rPr>
        <w:rStyle w:val="HideTWBExt"/>
      </w:rPr>
      <w:t>&gt;&lt;Version&gt;</w:t>
    </w:r>
    <w:r w:rsidRPr="000B4889">
      <w:t>v02-00</w:t>
    </w:r>
    <w:r w:rsidRPr="000B4889">
      <w:rPr>
        <w:rStyle w:val="HideTWBExt"/>
      </w:rPr>
      <w:t>&lt;/Version&gt;</w:t>
    </w:r>
    <w:r w:rsidRPr="000B4889">
      <w:tab/>
    </w:r>
    <w:r w:rsidRPr="000B4889">
      <w:fldChar w:fldCharType="begin"/>
    </w:r>
    <w:r w:rsidRPr="000B4889">
      <w:instrText xml:space="preserve"> PAGE  \* MERGEFORMAT </w:instrText>
    </w:r>
    <w:r w:rsidRPr="000B4889">
      <w:fldChar w:fldCharType="separate"/>
    </w:r>
    <w:r w:rsidRPr="000B4889">
      <w:rPr>
        <w:noProof/>
      </w:rPr>
      <w:t>6</w:t>
    </w:r>
    <w:r w:rsidRPr="000B4889">
      <w:fldChar w:fldCharType="end"/>
    </w:r>
    <w:r w:rsidRPr="000B4889">
      <w:t>/</w:t>
    </w:r>
    <w:fldSimple w:instr=" NUMPAGES  \* MERGEFORMAT ">
      <w:r w:rsidRPr="000B4889">
        <w:rPr>
          <w:noProof/>
        </w:rPr>
        <w:t>29</w:t>
      </w:r>
    </w:fldSimple>
    <w:r w:rsidRPr="000B4889">
      <w:tab/>
    </w:r>
    <w:r w:rsidRPr="000B4889">
      <w:rPr>
        <w:rStyle w:val="HideTWBExt"/>
      </w:rPr>
      <w:t>&lt;PathFdR&gt;</w:t>
    </w:r>
    <w:r w:rsidRPr="000B4889">
      <w:t>RR\1339440PL.docx</w:t>
    </w:r>
    <w:r w:rsidRPr="000B4889">
      <w:rPr>
        <w:rStyle w:val="HideTWBExt"/>
      </w:rPr>
      <w:t>&lt;/</w:t>
    </w:r>
    <w:proofErr w:type="spellStart"/>
    <w:r w:rsidRPr="000B4889">
      <w:rPr>
        <w:rStyle w:val="HideTWBExt"/>
      </w:rPr>
      <w:t>PathFdR</w:t>
    </w:r>
    <w:proofErr w:type="spellEnd"/>
    <w:r w:rsidRPr="000B4889">
      <w:rPr>
        <w:rStyle w:val="HideTWBExt"/>
      </w:rPr>
      <w:t>&gt;</w:t>
    </w:r>
  </w:p>
  <w:p w14:paraId="27ADE6DD" w14:textId="77777777" w:rsidR="007A4252" w:rsidRPr="000B4889" w:rsidRDefault="007A4252" w:rsidP="003D622B">
    <w:pPr>
      <w:pStyle w:val="EPFooter2"/>
    </w:pPr>
    <w:r w:rsidRPr="000B488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3F9B" w14:textId="61CF9681" w:rsidR="007A4252" w:rsidRPr="000B4889" w:rsidRDefault="007A4252" w:rsidP="003D622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28BF" w14:textId="77777777" w:rsidR="007A4252" w:rsidRPr="000B4889" w:rsidRDefault="007A4252" w:rsidP="003D622B">
    <w:pPr>
      <w:pStyle w:val="EPFooter"/>
    </w:pPr>
    <w:r w:rsidRPr="000B4889">
      <w:rPr>
        <w:rStyle w:val="HideTWBExt"/>
      </w:rPr>
      <w:t>&lt;PathFdR&gt;</w:t>
    </w:r>
    <w:r w:rsidRPr="000B4889">
      <w:t>RR\1339440PL.docx</w:t>
    </w:r>
    <w:r w:rsidRPr="000B4889">
      <w:rPr>
        <w:rStyle w:val="HideTWBExt"/>
      </w:rPr>
      <w:t>&lt;/</w:t>
    </w:r>
    <w:proofErr w:type="spellStart"/>
    <w:r w:rsidRPr="000B4889">
      <w:rPr>
        <w:rStyle w:val="HideTWBExt"/>
      </w:rPr>
      <w:t>PathFdR</w:t>
    </w:r>
    <w:proofErr w:type="spellEnd"/>
    <w:r w:rsidRPr="000B4889">
      <w:rPr>
        <w:rStyle w:val="HideTWBExt"/>
      </w:rPr>
      <w:t>&gt;</w:t>
    </w:r>
    <w:r w:rsidRPr="000B4889">
      <w:tab/>
    </w:r>
    <w:r w:rsidRPr="000B4889">
      <w:tab/>
      <w:t>PE</w:t>
    </w:r>
    <w:r w:rsidRPr="000B4889">
      <w:rPr>
        <w:rStyle w:val="HideTWBExt"/>
      </w:rPr>
      <w:t>&lt;</w:t>
    </w:r>
    <w:proofErr w:type="spellStart"/>
    <w:r w:rsidRPr="000B4889">
      <w:rPr>
        <w:rStyle w:val="HideTWBExt"/>
      </w:rPr>
      <w:t>NoPE</w:t>
    </w:r>
    <w:proofErr w:type="spellEnd"/>
    <w:r w:rsidRPr="000B4889">
      <w:rPr>
        <w:rStyle w:val="HideTWBExt"/>
      </w:rPr>
      <w:t>&gt;</w:t>
    </w:r>
    <w:r w:rsidRPr="000B4889">
      <w:t>778.060</w:t>
    </w:r>
    <w:r w:rsidRPr="000B4889">
      <w:rPr>
        <w:rStyle w:val="HideTWBExt"/>
      </w:rPr>
      <w:t>&lt;/</w:t>
    </w:r>
    <w:proofErr w:type="spellStart"/>
    <w:r w:rsidRPr="000B4889">
      <w:rPr>
        <w:rStyle w:val="HideTWBExt"/>
      </w:rPr>
      <w:t>NoPE</w:t>
    </w:r>
    <w:proofErr w:type="spellEnd"/>
    <w:r w:rsidRPr="000B4889">
      <w:rPr>
        <w:rStyle w:val="HideTWBExt"/>
      </w:rPr>
      <w:t>&gt;&lt;Version&gt;</w:t>
    </w:r>
    <w:r w:rsidRPr="000B4889">
      <w:t>v02-00</w:t>
    </w:r>
    <w:r w:rsidRPr="000B4889">
      <w:rPr>
        <w:rStyle w:val="HideTWBExt"/>
      </w:rPr>
      <w:t>&lt;/Version&gt;</w:t>
    </w:r>
  </w:p>
  <w:p w14:paraId="3A71F191" w14:textId="77777777" w:rsidR="007A4252" w:rsidRPr="000B4889" w:rsidRDefault="007A4252" w:rsidP="003D622B">
    <w:pPr>
      <w:pStyle w:val="EPFooter2"/>
    </w:pPr>
    <w:r w:rsidRPr="000B4889">
      <w:t>PL</w:t>
    </w:r>
    <w:r w:rsidRPr="000B4889">
      <w:tab/>
    </w:r>
    <w:r w:rsidRPr="000B4889">
      <w:rPr>
        <w:b w:val="0"/>
        <w:i/>
        <w:color w:val="C0C0C0"/>
        <w:sz w:val="22"/>
      </w:rPr>
      <w:t>Zjednoczona w różnorodności</w:t>
    </w:r>
    <w:r w:rsidRPr="000B4889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9C00" w14:textId="77777777" w:rsidR="00064002" w:rsidRPr="000B488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26EF" w14:textId="77777777" w:rsidR="00064002" w:rsidRPr="000B488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2FD7" w14:textId="77777777" w:rsidR="00064002" w:rsidRPr="000B48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23BCD" w14:textId="77777777" w:rsidR="00A468CE" w:rsidRPr="000B4889" w:rsidRDefault="00A468CE">
      <w:r w:rsidRPr="000B4889">
        <w:separator/>
      </w:r>
    </w:p>
  </w:footnote>
  <w:footnote w:type="continuationSeparator" w:id="0">
    <w:p w14:paraId="4DD3FD2F" w14:textId="77777777" w:rsidR="00A468CE" w:rsidRPr="000B4889" w:rsidRDefault="00A468CE">
      <w:r w:rsidRPr="000B4889">
        <w:continuationSeparator/>
      </w:r>
    </w:p>
  </w:footnote>
  <w:footnote w:id="1">
    <w:p w14:paraId="25B46418" w14:textId="1219590A" w:rsidR="007A4252" w:rsidRPr="00E046F3" w:rsidRDefault="007A4252" w:rsidP="000B4889">
      <w:pPr>
        <w:pStyle w:val="FootnoteText"/>
        <w:ind w:left="567" w:hanging="567"/>
        <w:rPr>
          <w:sz w:val="24"/>
          <w:lang w:val="fi-FI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E046F3">
        <w:rPr>
          <w:sz w:val="24"/>
          <w:lang w:val="fi-FI"/>
        </w:rPr>
        <w:t xml:space="preserve"> </w:t>
      </w:r>
      <w:r w:rsidR="000B4889" w:rsidRPr="00E046F3">
        <w:rPr>
          <w:sz w:val="24"/>
          <w:lang w:val="fi-FI"/>
        </w:rPr>
        <w:tab/>
      </w:r>
      <w:proofErr w:type="spellStart"/>
      <w:r w:rsidRPr="00E046F3">
        <w:rPr>
          <w:sz w:val="24"/>
          <w:lang w:val="fi-FI"/>
        </w:rPr>
        <w:t>Dz.U</w:t>
      </w:r>
      <w:proofErr w:type="spellEnd"/>
      <w:r w:rsidRPr="00E046F3">
        <w:rPr>
          <w:sz w:val="24"/>
          <w:lang w:val="fi-FI"/>
        </w:rPr>
        <w:t>. L</w:t>
      </w:r>
      <w:r w:rsidR="00EC73F8" w:rsidRPr="00E046F3">
        <w:rPr>
          <w:sz w:val="24"/>
          <w:lang w:val="fi-FI"/>
        </w:rPr>
        <w:t>,</w:t>
      </w:r>
      <w:r w:rsidRPr="00E046F3">
        <w:rPr>
          <w:sz w:val="24"/>
          <w:lang w:val="fi-FI"/>
        </w:rPr>
        <w:t xml:space="preserve"> </w:t>
      </w:r>
      <w:r w:rsidR="00EC73F8" w:rsidRPr="00E046F3">
        <w:rPr>
          <w:sz w:val="24"/>
          <w:lang w:val="fi-FI"/>
        </w:rPr>
        <w:t>2024/</w:t>
      </w:r>
      <w:r w:rsidRPr="00E046F3">
        <w:rPr>
          <w:sz w:val="24"/>
          <w:lang w:val="fi-FI"/>
        </w:rPr>
        <w:t>207</w:t>
      </w:r>
      <w:r w:rsidR="00E046F3">
        <w:rPr>
          <w:sz w:val="24"/>
          <w:lang w:val="fi-FI"/>
        </w:rPr>
        <w:t xml:space="preserve">, </w:t>
      </w:r>
      <w:r w:rsidRPr="00E046F3">
        <w:rPr>
          <w:sz w:val="24"/>
          <w:lang w:val="fi-FI"/>
        </w:rPr>
        <w:t xml:space="preserve">22.2.2024, ELI: </w:t>
      </w:r>
      <w:hyperlink r:id="rId1" w:history="1">
        <w:r w:rsidRPr="00E046F3">
          <w:rPr>
            <w:rStyle w:val="Hyperlink"/>
            <w:sz w:val="24"/>
            <w:lang w:val="fi-FI"/>
          </w:rPr>
          <w:t>http://data.europa.eu/eli/budget/2024/207/oj</w:t>
        </w:r>
      </w:hyperlink>
      <w:r w:rsidRPr="00E046F3">
        <w:rPr>
          <w:sz w:val="24"/>
          <w:lang w:val="fi-FI"/>
        </w:rPr>
        <w:t>.</w:t>
      </w:r>
    </w:p>
  </w:footnote>
  <w:footnote w:id="2">
    <w:p w14:paraId="1470B8C6" w14:textId="79D908F0" w:rsidR="007A4252" w:rsidRPr="000B4889" w:rsidRDefault="007A4252" w:rsidP="000B4889">
      <w:pPr>
        <w:pStyle w:val="FootnoteText"/>
        <w:ind w:left="567" w:hanging="567"/>
        <w:rPr>
          <w:sz w:val="24"/>
          <w:lang w:val="pl-PL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0B4889">
        <w:rPr>
          <w:sz w:val="24"/>
          <w:lang w:val="pl-PL"/>
        </w:rPr>
        <w:t xml:space="preserve"> </w:t>
      </w:r>
      <w:r w:rsidR="000B4889" w:rsidRPr="000B4889">
        <w:rPr>
          <w:sz w:val="24"/>
          <w:lang w:val="pl-PL"/>
        </w:rPr>
        <w:tab/>
      </w:r>
      <w:r w:rsidRPr="000B4889">
        <w:rPr>
          <w:sz w:val="24"/>
          <w:lang w:val="pl-PL"/>
        </w:rPr>
        <w:t>Dz.U. C, C/2025/4944, 13.10.2025, ELI: </w:t>
      </w:r>
      <w:hyperlink r:id="rId2" w:tgtFrame="_blank" w:tooltip="Dostęp do dokumentu poprzez identyfikator URI w systemie ELI." w:history="1">
        <w:r w:rsidRPr="000B4889">
          <w:rPr>
            <w:rStyle w:val="Hyperlink"/>
            <w:sz w:val="24"/>
            <w:lang w:val="pl-PL"/>
          </w:rPr>
          <w:t>http://data.europa.eu/eli/C/2025/4944/oj</w:t>
        </w:r>
      </w:hyperlink>
      <w:r w:rsidRPr="000B4889">
        <w:rPr>
          <w:sz w:val="24"/>
          <w:lang w:val="pl-PL"/>
        </w:rPr>
        <w:t>.</w:t>
      </w:r>
    </w:p>
  </w:footnote>
  <w:footnote w:id="3">
    <w:p w14:paraId="436D456B" w14:textId="1E381894" w:rsidR="007A4252" w:rsidRPr="00E21897" w:rsidRDefault="007A4252" w:rsidP="000B4889">
      <w:pPr>
        <w:pStyle w:val="FootnoteText"/>
        <w:ind w:left="567" w:hanging="567"/>
        <w:rPr>
          <w:sz w:val="24"/>
          <w:lang w:val="fi-FI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E21897">
        <w:rPr>
          <w:sz w:val="24"/>
          <w:lang w:val="fi-FI"/>
        </w:rPr>
        <w:t xml:space="preserve"> </w:t>
      </w:r>
      <w:r w:rsidR="000B4889" w:rsidRPr="00E21897">
        <w:rPr>
          <w:sz w:val="24"/>
          <w:lang w:val="fi-FI"/>
        </w:rPr>
        <w:tab/>
      </w:r>
      <w:r w:rsidRPr="00E21897">
        <w:rPr>
          <w:sz w:val="24"/>
          <w:lang w:val="fi-FI"/>
        </w:rPr>
        <w:t xml:space="preserve">Dz.U. C, C/2025/5409, 8.10.2025, ELI: </w:t>
      </w:r>
      <w:hyperlink r:id="rId3" w:history="1">
        <w:r w:rsidRPr="00E21897">
          <w:rPr>
            <w:rStyle w:val="Hyperlink"/>
            <w:sz w:val="24"/>
            <w:lang w:val="fi-FI"/>
          </w:rPr>
          <w:t>http://data.europa.eu/eli/C/2025/5409/oj</w:t>
        </w:r>
      </w:hyperlink>
      <w:r w:rsidRPr="00E21897">
        <w:rPr>
          <w:sz w:val="24"/>
          <w:lang w:val="fi-FI"/>
        </w:rPr>
        <w:t>.</w:t>
      </w:r>
    </w:p>
  </w:footnote>
  <w:footnote w:id="4">
    <w:p w14:paraId="520CEA45" w14:textId="3237F6AF" w:rsidR="007A4252" w:rsidRPr="00E21897" w:rsidRDefault="007A4252" w:rsidP="000B4889">
      <w:pPr>
        <w:pStyle w:val="FootnoteText"/>
        <w:ind w:left="567" w:hanging="567"/>
        <w:rPr>
          <w:sz w:val="24"/>
          <w:lang w:val="fi-FI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E21897">
        <w:rPr>
          <w:sz w:val="24"/>
          <w:lang w:val="fi-FI"/>
        </w:rPr>
        <w:t xml:space="preserve"> </w:t>
      </w:r>
      <w:r w:rsidR="000B4889" w:rsidRPr="00E21897">
        <w:rPr>
          <w:sz w:val="24"/>
          <w:lang w:val="fi-FI"/>
        </w:rPr>
        <w:tab/>
      </w:r>
      <w:r w:rsidRPr="00E21897">
        <w:rPr>
          <w:sz w:val="24"/>
          <w:lang w:val="fi-FI"/>
        </w:rPr>
        <w:t xml:space="preserve">Dz.U. C, C/2025/5407, 13.10.2025, ELI: </w:t>
      </w:r>
      <w:hyperlink r:id="rId4" w:history="1">
        <w:r w:rsidRPr="00E21897">
          <w:rPr>
            <w:rStyle w:val="Hyperlink"/>
            <w:sz w:val="24"/>
            <w:lang w:val="fi-FI"/>
          </w:rPr>
          <w:t>http://data.europa.eu/eli/C/2025/5407/oj</w:t>
        </w:r>
      </w:hyperlink>
      <w:r w:rsidRPr="00E21897">
        <w:rPr>
          <w:sz w:val="24"/>
          <w:lang w:val="fi-FI"/>
        </w:rPr>
        <w:t>.</w:t>
      </w:r>
    </w:p>
  </w:footnote>
  <w:footnote w:id="5">
    <w:p w14:paraId="54842F15" w14:textId="0D7DE362" w:rsidR="007A4252" w:rsidRPr="000B4889" w:rsidRDefault="007A4252" w:rsidP="000B4889">
      <w:pPr>
        <w:pStyle w:val="FootnoteText"/>
        <w:ind w:left="567" w:hanging="567"/>
        <w:rPr>
          <w:sz w:val="24"/>
          <w:lang w:val="pl-PL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0B4889">
        <w:rPr>
          <w:sz w:val="24"/>
          <w:lang w:val="pl-PL"/>
        </w:rPr>
        <w:t xml:space="preserve"> </w:t>
      </w:r>
      <w:r w:rsidR="000B4889" w:rsidRPr="000B4889">
        <w:rPr>
          <w:sz w:val="24"/>
          <w:lang w:val="pl-PL"/>
        </w:rPr>
        <w:tab/>
      </w:r>
      <w:r w:rsidRPr="000B4889">
        <w:rPr>
          <w:sz w:val="24"/>
          <w:lang w:val="pl-PL"/>
        </w:rPr>
        <w:t xml:space="preserve">Dz.U. L 193 z </w:t>
      </w:r>
      <w:proofErr w:type="gramStart"/>
      <w:r w:rsidRPr="000B4889">
        <w:rPr>
          <w:sz w:val="24"/>
          <w:lang w:val="pl-PL"/>
        </w:rPr>
        <w:t>30.7.2018</w:t>
      </w:r>
      <w:proofErr w:type="gramEnd"/>
      <w:r w:rsidRPr="000B4889">
        <w:rPr>
          <w:sz w:val="24"/>
          <w:lang w:val="pl-PL"/>
        </w:rPr>
        <w:t xml:space="preserve">, s. 1, ELI: </w:t>
      </w:r>
      <w:hyperlink r:id="rId5" w:history="1">
        <w:r w:rsidRPr="000B4889">
          <w:rPr>
            <w:rStyle w:val="Hyperlink"/>
            <w:sz w:val="24"/>
            <w:lang w:val="pl-PL"/>
          </w:rPr>
          <w:t>http://data.europa.eu/eli/reg/2018/1046/oj</w:t>
        </w:r>
      </w:hyperlink>
      <w:r w:rsidRPr="000B4889">
        <w:rPr>
          <w:sz w:val="24"/>
          <w:lang w:val="pl-PL"/>
        </w:rPr>
        <w:t>.</w:t>
      </w:r>
    </w:p>
  </w:footnote>
  <w:footnote w:id="6">
    <w:p w14:paraId="6E0F268C" w14:textId="6911EF39" w:rsidR="007A4252" w:rsidRPr="00E21897" w:rsidRDefault="007A4252" w:rsidP="000B4889">
      <w:pPr>
        <w:pStyle w:val="FootnoteText"/>
        <w:ind w:left="567" w:hanging="567"/>
        <w:rPr>
          <w:sz w:val="24"/>
          <w:szCs w:val="24"/>
          <w:lang w:val="fi-FI"/>
        </w:rPr>
      </w:pPr>
      <w:r w:rsidRPr="000B4889">
        <w:rPr>
          <w:rStyle w:val="FootnoteReference"/>
          <w:sz w:val="24"/>
          <w:lang w:val="pl-PL"/>
        </w:rPr>
        <w:footnoteRef/>
      </w:r>
      <w:r w:rsidR="000B4889" w:rsidRPr="00E21897">
        <w:rPr>
          <w:sz w:val="24"/>
          <w:lang w:val="fi-FI"/>
        </w:rPr>
        <w:t xml:space="preserve"> </w:t>
      </w:r>
      <w:r w:rsidR="000B4889" w:rsidRPr="00E21897">
        <w:rPr>
          <w:sz w:val="24"/>
          <w:lang w:val="fi-FI"/>
        </w:rPr>
        <w:tab/>
      </w:r>
      <w:r w:rsidRPr="00E21897">
        <w:rPr>
          <w:sz w:val="24"/>
          <w:lang w:val="fi-FI"/>
        </w:rPr>
        <w:t xml:space="preserve">Dz.U. L, 2024/2509, 26.9.2024, ELI: </w:t>
      </w:r>
      <w:hyperlink r:id="rId6" w:history="1">
        <w:r w:rsidRPr="00E21897">
          <w:rPr>
            <w:rStyle w:val="Hyperlink"/>
            <w:sz w:val="24"/>
            <w:lang w:val="fi-FI"/>
          </w:rPr>
          <w:t>http://data.europa.eu/eli/reg/2024/2509/oj</w:t>
        </w:r>
      </w:hyperlink>
      <w:r w:rsidRPr="00E21897">
        <w:rPr>
          <w:sz w:val="24"/>
          <w:lang w:val="fi-FI"/>
        </w:rPr>
        <w:t>.</w:t>
      </w:r>
    </w:p>
  </w:footnote>
  <w:footnote w:id="7">
    <w:p w14:paraId="5646B49B" w14:textId="2D635ABB" w:rsidR="007A4252" w:rsidRPr="000B4889" w:rsidRDefault="007A4252" w:rsidP="000B4889">
      <w:pPr>
        <w:pStyle w:val="FootnoteText"/>
        <w:ind w:left="567" w:hanging="567"/>
        <w:rPr>
          <w:sz w:val="24"/>
          <w:szCs w:val="24"/>
          <w:lang w:val="pl-PL"/>
        </w:rPr>
      </w:pPr>
      <w:r w:rsidRPr="000B4889">
        <w:rPr>
          <w:rStyle w:val="FootnoteReference"/>
          <w:sz w:val="24"/>
          <w:szCs w:val="24"/>
          <w:lang w:val="pl-PL"/>
        </w:rPr>
        <w:footnoteRef/>
      </w:r>
      <w:r w:rsidR="000B4889" w:rsidRPr="000B4889">
        <w:rPr>
          <w:sz w:val="24"/>
          <w:lang w:val="pl-PL"/>
        </w:rPr>
        <w:t xml:space="preserve"> </w:t>
      </w:r>
      <w:r w:rsidR="000B4889" w:rsidRPr="000B4889">
        <w:rPr>
          <w:sz w:val="24"/>
          <w:lang w:val="pl-PL"/>
        </w:rPr>
        <w:tab/>
      </w:r>
      <w:r w:rsidRPr="000B4889">
        <w:rPr>
          <w:sz w:val="24"/>
          <w:lang w:val="pl-PL"/>
        </w:rPr>
        <w:t xml:space="preserve">Rozporządzenie Parlamentu Europejskiego i Rady (UE, </w:t>
      </w:r>
      <w:proofErr w:type="spellStart"/>
      <w:r w:rsidRPr="000B4889">
        <w:rPr>
          <w:sz w:val="24"/>
          <w:lang w:val="pl-PL"/>
        </w:rPr>
        <w:t>Euratom</w:t>
      </w:r>
      <w:proofErr w:type="spellEnd"/>
      <w:r w:rsidRPr="000B4889">
        <w:rPr>
          <w:sz w:val="24"/>
          <w:lang w:val="pl-PL"/>
        </w:rPr>
        <w:t xml:space="preserve">) 2024/2019 z dnia 11 kwietnia 2024 r. zmieniające Protokół nr 3 w sprawie statutu Trybunału Sprawiedliwości Unii Europejskiej (Dz.U. L, 2024/2019, </w:t>
      </w:r>
      <w:proofErr w:type="gramStart"/>
      <w:r w:rsidRPr="000B4889">
        <w:rPr>
          <w:sz w:val="24"/>
          <w:lang w:val="pl-PL"/>
        </w:rPr>
        <w:t>12.8.2024</w:t>
      </w:r>
      <w:proofErr w:type="gramEnd"/>
      <w:r w:rsidRPr="000B4889">
        <w:rPr>
          <w:sz w:val="24"/>
          <w:lang w:val="pl-PL"/>
        </w:rPr>
        <w:t xml:space="preserve">, ELI: </w:t>
      </w:r>
      <w:hyperlink r:id="rId7" w:history="1">
        <w:r w:rsidRPr="000B4889">
          <w:rPr>
            <w:rStyle w:val="Hyperlink"/>
            <w:sz w:val="24"/>
            <w:lang w:val="pl-PL"/>
          </w:rPr>
          <w:t>http://data.europa.eu/eli/reg/2024/2019/oj</w:t>
        </w:r>
      </w:hyperlink>
      <w:r w:rsidRPr="000B4889">
        <w:rPr>
          <w:rStyle w:val="Hyperlink"/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7FF0" w14:textId="77777777" w:rsidR="007A4252" w:rsidRPr="000B4889" w:rsidRDefault="007A4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F57E" w14:textId="77777777" w:rsidR="007A4252" w:rsidRPr="000B4889" w:rsidRDefault="007A4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7886" w14:textId="77777777" w:rsidR="007A4252" w:rsidRPr="000B4889" w:rsidRDefault="007A425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3FAC" w14:textId="77777777" w:rsidR="00064002" w:rsidRPr="000B488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5B4C" w14:textId="77777777" w:rsidR="00064002" w:rsidRPr="000B488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5DBE" w14:textId="77777777" w:rsidR="00064002" w:rsidRPr="000B48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4338239">
    <w:abstractNumId w:val="9"/>
  </w:num>
  <w:num w:numId="2" w16cid:durableId="310251159">
    <w:abstractNumId w:val="9"/>
  </w:num>
  <w:num w:numId="3" w16cid:durableId="691147387">
    <w:abstractNumId w:val="7"/>
  </w:num>
  <w:num w:numId="4" w16cid:durableId="429546435">
    <w:abstractNumId w:val="7"/>
  </w:num>
  <w:num w:numId="5" w16cid:durableId="2109544238">
    <w:abstractNumId w:val="6"/>
  </w:num>
  <w:num w:numId="6" w16cid:durableId="533035655">
    <w:abstractNumId w:val="6"/>
  </w:num>
  <w:num w:numId="7" w16cid:durableId="180752922">
    <w:abstractNumId w:val="5"/>
  </w:num>
  <w:num w:numId="8" w16cid:durableId="938684615">
    <w:abstractNumId w:val="5"/>
  </w:num>
  <w:num w:numId="9" w16cid:durableId="990867403">
    <w:abstractNumId w:val="4"/>
  </w:num>
  <w:num w:numId="10" w16cid:durableId="869299349">
    <w:abstractNumId w:val="4"/>
  </w:num>
  <w:num w:numId="11" w16cid:durableId="522787399">
    <w:abstractNumId w:val="8"/>
  </w:num>
  <w:num w:numId="12" w16cid:durableId="1678771235">
    <w:abstractNumId w:val="8"/>
  </w:num>
  <w:num w:numId="13" w16cid:durableId="96952819">
    <w:abstractNumId w:val="3"/>
  </w:num>
  <w:num w:numId="14" w16cid:durableId="1429274973">
    <w:abstractNumId w:val="3"/>
  </w:num>
  <w:num w:numId="15" w16cid:durableId="1516268878">
    <w:abstractNumId w:val="2"/>
  </w:num>
  <w:num w:numId="16" w16cid:durableId="1906065833">
    <w:abstractNumId w:val="2"/>
  </w:num>
  <w:num w:numId="17" w16cid:durableId="1166482300">
    <w:abstractNumId w:val="1"/>
  </w:num>
  <w:num w:numId="18" w16cid:durableId="1584559987">
    <w:abstractNumId w:val="1"/>
  </w:num>
  <w:num w:numId="19" w16cid:durableId="1768620655">
    <w:abstractNumId w:val="0"/>
  </w:num>
  <w:num w:numId="20" w16cid:durableId="352076974">
    <w:abstractNumId w:val="0"/>
  </w:num>
  <w:num w:numId="21" w16cid:durableId="1568229125">
    <w:abstractNumId w:val="9"/>
  </w:num>
  <w:num w:numId="22" w16cid:durableId="101844295">
    <w:abstractNumId w:val="7"/>
  </w:num>
  <w:num w:numId="23" w16cid:durableId="1564638325">
    <w:abstractNumId w:val="6"/>
  </w:num>
  <w:num w:numId="24" w16cid:durableId="1508642285">
    <w:abstractNumId w:val="5"/>
  </w:num>
  <w:num w:numId="25" w16cid:durableId="335807622">
    <w:abstractNumId w:val="4"/>
  </w:num>
  <w:num w:numId="26" w16cid:durableId="1982073866">
    <w:abstractNumId w:val="8"/>
  </w:num>
  <w:num w:numId="27" w16cid:durableId="1699357857">
    <w:abstractNumId w:val="3"/>
  </w:num>
  <w:num w:numId="28" w16cid:durableId="628978354">
    <w:abstractNumId w:val="2"/>
  </w:num>
  <w:num w:numId="29" w16cid:durableId="1444110755">
    <w:abstractNumId w:val="1"/>
  </w:num>
  <w:num w:numId="30" w16cid:durableId="911812084">
    <w:abstractNumId w:val="0"/>
  </w:num>
  <w:num w:numId="31" w16cid:durableId="1156410195">
    <w:abstractNumId w:val="9"/>
  </w:num>
  <w:num w:numId="32" w16cid:durableId="580411270">
    <w:abstractNumId w:val="7"/>
  </w:num>
  <w:num w:numId="33" w16cid:durableId="1821192438">
    <w:abstractNumId w:val="6"/>
  </w:num>
  <w:num w:numId="34" w16cid:durableId="764501960">
    <w:abstractNumId w:val="5"/>
  </w:num>
  <w:num w:numId="35" w16cid:durableId="1508474102">
    <w:abstractNumId w:val="4"/>
  </w:num>
  <w:num w:numId="36" w16cid:durableId="2125037075">
    <w:abstractNumId w:val="8"/>
  </w:num>
  <w:num w:numId="37" w16cid:durableId="1697538801">
    <w:abstractNumId w:val="3"/>
  </w:num>
  <w:num w:numId="38" w16cid:durableId="415975217">
    <w:abstractNumId w:val="2"/>
  </w:num>
  <w:num w:numId="39" w16cid:durableId="687874370">
    <w:abstractNumId w:val="1"/>
  </w:num>
  <w:num w:numId="40" w16cid:durableId="10765352">
    <w:abstractNumId w:val="0"/>
  </w:num>
  <w:num w:numId="41" w16cid:durableId="1893079459">
    <w:abstractNumId w:val="10"/>
  </w:num>
  <w:num w:numId="42" w16cid:durableId="1411808309">
    <w:abstractNumId w:val="10"/>
  </w:num>
  <w:num w:numId="43" w16cid:durableId="743262224">
    <w:abstractNumId w:val="10"/>
  </w:num>
  <w:num w:numId="44" w16cid:durableId="914701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5/2026"/>
    <w:docVar w:name="dvlangue" w:val="PL"/>
    <w:docVar w:name="dvnumam" w:val="0"/>
    <w:docVar w:name="dvpe" w:val="778.060"/>
    <w:docVar w:name="dvrapporteur" w:val="Sprawozdawca: "/>
    <w:docVar w:name="dvstar" w:val="?"/>
    <w:docVar w:name="dvtitre" w:val="Decyzja Parlamentu Europejskiego z dnia  2026 r. w sprawie absolutorium z wykonania budżetu ogólnego Unii Europejskiej za rok budżetowy 2024, sekcja IV – Trybunał Sprawiedliwości Unii Europejskiej(2025/2148(DEC))"/>
  </w:docVars>
  <w:rsids>
    <w:rsidRoot w:val="00A468CE"/>
    <w:rsid w:val="00002272"/>
    <w:rsid w:val="00064002"/>
    <w:rsid w:val="000677B9"/>
    <w:rsid w:val="000831BA"/>
    <w:rsid w:val="000A42CC"/>
    <w:rsid w:val="000B488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ECE"/>
    <w:rsid w:val="00361C00"/>
    <w:rsid w:val="00395FA1"/>
    <w:rsid w:val="003E15D4"/>
    <w:rsid w:val="003E444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25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FB0"/>
    <w:rsid w:val="00981893"/>
    <w:rsid w:val="00A1687D"/>
    <w:rsid w:val="00A43E52"/>
    <w:rsid w:val="00A4678D"/>
    <w:rsid w:val="00A468CE"/>
    <w:rsid w:val="00A778C7"/>
    <w:rsid w:val="00AA3D9A"/>
    <w:rsid w:val="00AB441E"/>
    <w:rsid w:val="00AB6293"/>
    <w:rsid w:val="00AC474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A75"/>
    <w:rsid w:val="00D834A0"/>
    <w:rsid w:val="00D872DF"/>
    <w:rsid w:val="00D91E21"/>
    <w:rsid w:val="00DA7FCD"/>
    <w:rsid w:val="00E046F3"/>
    <w:rsid w:val="00E21897"/>
    <w:rsid w:val="00E365E1"/>
    <w:rsid w:val="00E820A4"/>
    <w:rsid w:val="00EA24F3"/>
    <w:rsid w:val="00EB006A"/>
    <w:rsid w:val="00EB4772"/>
    <w:rsid w:val="00EC73F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6E6A5"/>
  <w15:chartTrackingRefBased/>
  <w15:docId w15:val="{3E3EF376-3774-47A4-8F19-A7E32B73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A42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A4252"/>
    <w:pPr>
      <w:spacing w:before="480" w:after="240"/>
    </w:pPr>
  </w:style>
  <w:style w:type="paragraph" w:customStyle="1" w:styleId="PageHeading">
    <w:name w:val="PageHeading"/>
    <w:basedOn w:val="Normal"/>
    <w:rsid w:val="007A42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A4252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A425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A42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4252"/>
    <w:rPr>
      <w:sz w:val="24"/>
      <w:lang w:val="pl-PL"/>
    </w:rPr>
  </w:style>
  <w:style w:type="paragraph" w:customStyle="1" w:styleId="EPFooter">
    <w:name w:val="EPFooter"/>
    <w:basedOn w:val="Normal"/>
    <w:rsid w:val="007A42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A425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A425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6849</Words>
  <Characters>44807</Characters>
  <Application>Microsoft Office Word</Application>
  <DocSecurity>0</DocSecurity>
  <Lines>373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2026-05-11T09:10:00Z</dcterms:created>
  <dcterms:modified xsi:type="dcterms:W3CDTF">2026-05-11T09:10:00Z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P10_TA(2026)0128_</vt:lpwstr>
  </property>
  <property fmtid="{D5CDD505-2E9C-101B-9397-08002B2CF9AE}" pid="4" name="&lt;Type&gt;">
    <vt:lpwstr>RR</vt:lpwstr>
  </property>
</Properties>
</file>