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7161" w14:paraId="739937E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3B901B" w14:textId="77777777" w:rsidR="00751A4A" w:rsidRPr="000C7161" w:rsidRDefault="0020085F" w:rsidP="0010095E">
            <w:pPr>
              <w:pStyle w:val="EPName"/>
            </w:pPr>
            <w:r w:rsidRPr="000C7161">
              <w:t>Európsky parlament</w:t>
            </w:r>
          </w:p>
          <w:p w14:paraId="76142982" w14:textId="77777777" w:rsidR="00751A4A" w:rsidRPr="000C716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C7161">
              <w:t>2024</w:t>
            </w:r>
            <w:r w:rsidR="00817416" w:rsidRPr="000C7161">
              <w:t>-202</w:t>
            </w:r>
            <w:r w:rsidRPr="000C7161">
              <w:t>9</w:t>
            </w:r>
          </w:p>
        </w:tc>
        <w:tc>
          <w:tcPr>
            <w:tcW w:w="2268" w:type="dxa"/>
            <w:shd w:val="clear" w:color="auto" w:fill="auto"/>
          </w:tcPr>
          <w:p w14:paraId="7E8947EC" w14:textId="77777777" w:rsidR="00751A4A" w:rsidRPr="000C7161" w:rsidRDefault="00187494" w:rsidP="0010095E">
            <w:pPr>
              <w:pStyle w:val="EPLogo"/>
            </w:pPr>
            <w:r w:rsidRPr="000C7161">
              <w:rPr>
                <w:noProof/>
                <w:lang w:eastAsia="ja-JP"/>
              </w:rPr>
              <w:drawing>
                <wp:inline distT="0" distB="0" distL="0" distR="0" wp14:anchorId="00120870" wp14:editId="4EDA51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033711" w14:textId="77777777" w:rsidR="00D058B8" w:rsidRPr="000C7161" w:rsidRDefault="00D058B8" w:rsidP="004C5D52">
      <w:pPr>
        <w:pStyle w:val="LineTop"/>
      </w:pPr>
    </w:p>
    <w:p w14:paraId="0E647B65" w14:textId="77777777" w:rsidR="00680577" w:rsidRPr="000C7161" w:rsidRDefault="0020085F" w:rsidP="00680577">
      <w:pPr>
        <w:pStyle w:val="EPBodyTA1"/>
      </w:pPr>
      <w:r w:rsidRPr="000C7161">
        <w:t>PRIJATÉ TEXTY</w:t>
      </w:r>
    </w:p>
    <w:p w14:paraId="3FDE7A9A" w14:textId="77777777" w:rsidR="00D058B8" w:rsidRPr="000C7161" w:rsidRDefault="00D058B8" w:rsidP="00D058B8">
      <w:pPr>
        <w:pStyle w:val="LineBottom"/>
      </w:pPr>
    </w:p>
    <w:p w14:paraId="55124687" w14:textId="501CFD94" w:rsidR="0020085F" w:rsidRPr="000C7161" w:rsidRDefault="0020085F" w:rsidP="0020085F">
      <w:pPr>
        <w:pStyle w:val="ATHeading1"/>
      </w:pPr>
      <w:bookmarkStart w:id="0" w:name="TANumber"/>
      <w:r w:rsidRPr="000C7161">
        <w:t>P10_TA(2026)0</w:t>
      </w:r>
      <w:r w:rsidR="000C7161" w:rsidRPr="000C7161">
        <w:t>128</w:t>
      </w:r>
      <w:bookmarkEnd w:id="0"/>
    </w:p>
    <w:p w14:paraId="3928880E" w14:textId="77777777" w:rsidR="0020085F" w:rsidRPr="000C7161" w:rsidRDefault="0020085F" w:rsidP="0020085F">
      <w:pPr>
        <w:pStyle w:val="ATHeading2"/>
      </w:pPr>
      <w:bookmarkStart w:id="1" w:name="title"/>
      <w:r w:rsidRPr="000C7161">
        <w:t>Absolutórium za rok 2024: všeobecný rozpočet EÚ – Súdny dvor Európskej únie</w:t>
      </w:r>
      <w:bookmarkEnd w:id="1"/>
    </w:p>
    <w:p w14:paraId="62F840D9" w14:textId="77777777" w:rsidR="0020085F" w:rsidRPr="000C7161" w:rsidRDefault="0020085F" w:rsidP="0020085F">
      <w:pPr>
        <w:rPr>
          <w:i/>
          <w:vanish/>
        </w:rPr>
      </w:pPr>
      <w:r w:rsidRPr="000C7161">
        <w:rPr>
          <w:i/>
        </w:rPr>
        <w:fldChar w:fldCharType="begin"/>
      </w:r>
      <w:r w:rsidRPr="000C7161">
        <w:rPr>
          <w:i/>
        </w:rPr>
        <w:instrText xml:space="preserve"> TC"(</w:instrText>
      </w:r>
      <w:bookmarkStart w:id="2" w:name="DocNumber"/>
      <w:r w:rsidRPr="000C7161">
        <w:rPr>
          <w:i/>
        </w:rPr>
        <w:instrText>A10-0055/2026</w:instrText>
      </w:r>
      <w:bookmarkEnd w:id="2"/>
      <w:r w:rsidRPr="000C7161">
        <w:rPr>
          <w:i/>
        </w:rPr>
        <w:instrText xml:space="preserve"> - Spravodajca: Pasquale Tridico)"\l3 \n&gt; \* MERGEFORMAT </w:instrText>
      </w:r>
      <w:r w:rsidRPr="000C7161">
        <w:rPr>
          <w:i/>
        </w:rPr>
        <w:fldChar w:fldCharType="end"/>
      </w:r>
    </w:p>
    <w:p w14:paraId="68DCB4C6" w14:textId="77777777" w:rsidR="0020085F" w:rsidRPr="000C7161" w:rsidRDefault="0020085F" w:rsidP="0020085F">
      <w:pPr>
        <w:rPr>
          <w:vanish/>
        </w:rPr>
      </w:pPr>
      <w:bookmarkStart w:id="3" w:name="Commission"/>
      <w:r w:rsidRPr="000C7161">
        <w:rPr>
          <w:vanish/>
        </w:rPr>
        <w:t>Výbor pre kontrolu rozpočtu</w:t>
      </w:r>
      <w:bookmarkEnd w:id="3"/>
    </w:p>
    <w:p w14:paraId="760FF801" w14:textId="77777777" w:rsidR="0020085F" w:rsidRPr="000C7161" w:rsidRDefault="0020085F" w:rsidP="0020085F">
      <w:pPr>
        <w:rPr>
          <w:vanish/>
        </w:rPr>
      </w:pPr>
      <w:bookmarkStart w:id="4" w:name="PE"/>
      <w:r w:rsidRPr="000C7161">
        <w:rPr>
          <w:vanish/>
        </w:rPr>
        <w:t>PE778.060</w:t>
      </w:r>
      <w:bookmarkEnd w:id="4"/>
    </w:p>
    <w:p w14:paraId="5DAA23AA" w14:textId="470A64CC" w:rsidR="0020085F" w:rsidRPr="000C7161" w:rsidRDefault="00BB6FBF" w:rsidP="0020085F">
      <w:pPr>
        <w:pStyle w:val="ATHeading3"/>
      </w:pPr>
      <w:bookmarkStart w:id="5" w:name="Sujet"/>
      <w:r w:rsidRPr="000C7161">
        <w:t xml:space="preserve">1. </w:t>
      </w:r>
      <w:r w:rsidR="0020085F" w:rsidRPr="000C7161">
        <w:t xml:space="preserve">Rozhodnutie Európskeho parlamentu z </w:t>
      </w:r>
      <w:r w:rsidR="009F622B" w:rsidRPr="000C7161">
        <w:t>29</w:t>
      </w:r>
      <w:r w:rsidR="0020085F" w:rsidRPr="000C7161">
        <w:t xml:space="preserve">. </w:t>
      </w:r>
      <w:r w:rsidR="00C770C4" w:rsidRPr="000C7161">
        <w:t xml:space="preserve">apríla </w:t>
      </w:r>
      <w:r w:rsidR="0020085F" w:rsidRPr="000C7161">
        <w:t>2026 o absolutóriu za plnenie všeobecného rozpočtu Európskej únie za rozpočtový rok 2024, oddiel IV – Súdny dvor Európskej únie</w:t>
      </w:r>
      <w:bookmarkEnd w:id="5"/>
      <w:r w:rsidR="0020085F" w:rsidRPr="000C7161">
        <w:t xml:space="preserve"> </w:t>
      </w:r>
      <w:bookmarkStart w:id="6" w:name="References"/>
      <w:r w:rsidR="0020085F" w:rsidRPr="000C7161">
        <w:t>(2025/2148(DEC))</w:t>
      </w:r>
      <w:bookmarkEnd w:id="6"/>
    </w:p>
    <w:p w14:paraId="692C87FC" w14:textId="77777777" w:rsidR="00D53C1F" w:rsidRPr="000C7161" w:rsidRDefault="00D53C1F" w:rsidP="00D53C1F">
      <w:pPr>
        <w:pStyle w:val="EPComma"/>
      </w:pPr>
      <w:bookmarkStart w:id="7" w:name="TextBodyBegin"/>
      <w:bookmarkEnd w:id="7"/>
      <w:r w:rsidRPr="000C7161">
        <w:rPr>
          <w:i/>
        </w:rPr>
        <w:t>Európsky parlament</w:t>
      </w:r>
      <w:r w:rsidRPr="000C7161">
        <w:t>,</w:t>
      </w:r>
    </w:p>
    <w:p w14:paraId="6C69AE61" w14:textId="77777777" w:rsidR="00D53C1F" w:rsidRPr="000C7161" w:rsidRDefault="00D53C1F" w:rsidP="00D53C1F">
      <w:pPr>
        <w:pStyle w:val="NormalHanging12a"/>
      </w:pPr>
      <w:r w:rsidRPr="000C7161">
        <w:t>–</w:t>
      </w:r>
      <w:r w:rsidRPr="000C7161">
        <w:tab/>
        <w:t>so zreteľom na všeobecný rozpočet Európskej únie na rozpočtový rok 2024</w:t>
      </w:r>
      <w:r w:rsidRPr="000C7161">
        <w:rPr>
          <w:rStyle w:val="FootnoteReference"/>
        </w:rPr>
        <w:footnoteReference w:id="1"/>
      </w:r>
      <w:r w:rsidRPr="000C7161">
        <w:t>,</w:t>
      </w:r>
    </w:p>
    <w:p w14:paraId="2D53A54B" w14:textId="77777777" w:rsidR="00D53C1F" w:rsidRPr="000C7161" w:rsidRDefault="00D53C1F" w:rsidP="00D53C1F">
      <w:pPr>
        <w:pStyle w:val="NormalHanging12a"/>
      </w:pPr>
      <w:r w:rsidRPr="000C7161">
        <w:t>–</w:t>
      </w:r>
      <w:r w:rsidRPr="000C7161">
        <w:tab/>
        <w:t>so zreteľom na konsolidovanú ročnú účtovnú závierku Európskej únie za rozpočtový rok 2024 (COM(2025)0359 – C10</w:t>
      </w:r>
      <w:r w:rsidRPr="000C7161">
        <w:noBreakHyphen/>
        <w:t>0148/2025)</w:t>
      </w:r>
      <w:r w:rsidRPr="000C7161">
        <w:rPr>
          <w:rStyle w:val="FootnoteReference"/>
        </w:rPr>
        <w:footnoteReference w:id="2"/>
      </w:r>
      <w:r w:rsidRPr="000C7161">
        <w:t>,</w:t>
      </w:r>
    </w:p>
    <w:p w14:paraId="7CF8F101" w14:textId="77777777" w:rsidR="00D53C1F" w:rsidRPr="000C7161" w:rsidRDefault="00D53C1F" w:rsidP="00D53C1F">
      <w:pPr>
        <w:pStyle w:val="NormalHanging12a"/>
      </w:pPr>
      <w:r w:rsidRPr="000C7161">
        <w:t>–</w:t>
      </w:r>
      <w:r w:rsidRPr="000C7161">
        <w:tab/>
        <w:t>so zreteľom na výročnú správu Súdneho dvora Európskej únie pre orgán udeľujúci absolutórium o vnútorných auditoch vykonaných v roku 2024,</w:t>
      </w:r>
    </w:p>
    <w:p w14:paraId="7542AD7E" w14:textId="77777777" w:rsidR="00D53C1F" w:rsidRPr="000C7161" w:rsidRDefault="00D53C1F" w:rsidP="00D53C1F">
      <w:pPr>
        <w:pStyle w:val="NormalHanging12a"/>
      </w:pPr>
      <w:r w:rsidRPr="000C7161">
        <w:t>–</w:t>
      </w:r>
      <w:r w:rsidRPr="000C7161">
        <w:tab/>
        <w:t>so zreteľom na výročnú správu Dvora audítorov o plnení rozpočtu za rozpočtový rok 2024 spolu s odpoveďami inštitúcií</w:t>
      </w:r>
      <w:r w:rsidRPr="000C7161">
        <w:rPr>
          <w:rStyle w:val="FootnoteReference"/>
        </w:rPr>
        <w:footnoteReference w:id="3"/>
      </w:r>
      <w:r w:rsidRPr="000C7161">
        <w:t>,</w:t>
      </w:r>
    </w:p>
    <w:p w14:paraId="1A06BDFA" w14:textId="77777777" w:rsidR="00D53C1F" w:rsidRPr="000C7161" w:rsidRDefault="00D53C1F" w:rsidP="00D53C1F">
      <w:pPr>
        <w:pStyle w:val="NormalHanging12a"/>
      </w:pPr>
      <w:r w:rsidRPr="000C7161">
        <w:t>–</w:t>
      </w:r>
      <w:r w:rsidRPr="000C7161">
        <w:tab/>
        <w:t>so zreteľom na vyhlásenie o vierohodnosti</w:t>
      </w:r>
      <w:r w:rsidRPr="000C7161">
        <w:rPr>
          <w:rStyle w:val="FootnoteReference"/>
        </w:rPr>
        <w:footnoteReference w:id="4"/>
      </w:r>
      <w:r w:rsidRPr="000C7161">
        <w:t xml:space="preserve"> vedenia účtov a zákonnosti a správnosti príslušných operácií, ktoré poskytol Dvor audítorov za rozpočtový rok 2024 v súlade s článkom 287 Zmluvy o fungovaní Európskej únie,</w:t>
      </w:r>
    </w:p>
    <w:p w14:paraId="0FB2D566" w14:textId="77777777" w:rsidR="00D53C1F" w:rsidRPr="000C7161" w:rsidRDefault="00D53C1F" w:rsidP="00D53C1F">
      <w:pPr>
        <w:pStyle w:val="NormalHanging12a"/>
      </w:pPr>
      <w:r w:rsidRPr="000C7161">
        <w:t>–</w:t>
      </w:r>
      <w:r w:rsidRPr="000C7161">
        <w:tab/>
        <w:t>so zreteľom na článok 314 ods. 10 a články 317, 318 a 319 Zmluvy o fungovaní Európskej únie,</w:t>
      </w:r>
    </w:p>
    <w:p w14:paraId="5AB158A9" w14:textId="77777777" w:rsidR="00D53C1F" w:rsidRPr="000C7161" w:rsidRDefault="00D53C1F" w:rsidP="00D53C1F">
      <w:pPr>
        <w:pStyle w:val="NormalHanging12a"/>
      </w:pPr>
      <w:r w:rsidRPr="000C7161">
        <w:t>–</w:t>
      </w:r>
      <w:r w:rsidRPr="000C7161">
        <w:tab/>
        <w:t xml:space="preserve">so zreteľom na nariadenie Európskeho parlamentu a Rady (EÚ, </w:t>
      </w:r>
      <w:proofErr w:type="spellStart"/>
      <w:r w:rsidRPr="000C7161">
        <w:t>Euratom</w:t>
      </w:r>
      <w:proofErr w:type="spellEnd"/>
      <w:r w:rsidRPr="000C7161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0C7161">
        <w:t>Euratom</w:t>
      </w:r>
      <w:proofErr w:type="spellEnd"/>
      <w:r w:rsidRPr="000C7161">
        <w:t xml:space="preserve">) č. </w:t>
      </w:r>
      <w:r w:rsidRPr="000C7161">
        <w:lastRenderedPageBreak/>
        <w:t>966/2012</w:t>
      </w:r>
      <w:r w:rsidRPr="000C7161">
        <w:rPr>
          <w:rStyle w:val="FootnoteReference"/>
        </w:rPr>
        <w:footnoteReference w:id="5"/>
      </w:r>
      <w:r w:rsidRPr="000C7161">
        <w:t>, a najmä na jeho články 59, 118, 260, 261 a 262,</w:t>
      </w:r>
    </w:p>
    <w:p w14:paraId="60A3247C" w14:textId="77777777" w:rsidR="00D53C1F" w:rsidRPr="000C7161" w:rsidRDefault="00D53C1F" w:rsidP="00D53C1F">
      <w:pPr>
        <w:pStyle w:val="NormalHanging12a"/>
      </w:pPr>
      <w:r w:rsidRPr="000C7161">
        <w:t>–</w:t>
      </w:r>
      <w:r w:rsidRPr="000C7161">
        <w:tab/>
        <w:t xml:space="preserve">so zreteľom na nariadenie Európskeho parlamentu a Rady (EÚ, </w:t>
      </w:r>
      <w:proofErr w:type="spellStart"/>
      <w:r w:rsidRPr="000C7161">
        <w:t>Euratom</w:t>
      </w:r>
      <w:proofErr w:type="spellEnd"/>
      <w:r w:rsidRPr="000C7161">
        <w:t>) 2024/2509 z 23. septembra 2024 o rozpočtových pravidlách, ktoré sa vzťahujú na všeobecný rozpočet Únie</w:t>
      </w:r>
      <w:r w:rsidRPr="000C7161">
        <w:rPr>
          <w:rStyle w:val="FootnoteReference"/>
        </w:rPr>
        <w:footnoteReference w:id="6"/>
      </w:r>
      <w:r w:rsidRPr="000C7161">
        <w:t>, a najmä na jeho články 59, 118, 266, 267 a 268,</w:t>
      </w:r>
    </w:p>
    <w:p w14:paraId="6DBB81C2" w14:textId="6F133DFA" w:rsidR="00D53C1F" w:rsidRPr="000C7161" w:rsidRDefault="00D53C1F" w:rsidP="00D53C1F">
      <w:pPr>
        <w:pStyle w:val="NormalHanging12a"/>
      </w:pPr>
      <w:r w:rsidRPr="000C7161">
        <w:t>–</w:t>
      </w:r>
      <w:r w:rsidRPr="000C7161">
        <w:tab/>
        <w:t>so zreteľom na článok 102 a prílohu V k rokovaciemu poriadku,</w:t>
      </w:r>
    </w:p>
    <w:p w14:paraId="4D6DF213" w14:textId="77777777" w:rsidR="00D53C1F" w:rsidRPr="000C7161" w:rsidRDefault="00D53C1F" w:rsidP="00D53C1F">
      <w:pPr>
        <w:pStyle w:val="NormalHanging12a"/>
      </w:pPr>
      <w:r w:rsidRPr="000C7161">
        <w:t>–</w:t>
      </w:r>
      <w:r w:rsidRPr="000C7161">
        <w:tab/>
        <w:t>so zreteľom na stanovisko Výboru pre právne veci,</w:t>
      </w:r>
    </w:p>
    <w:p w14:paraId="0DECB3D3" w14:textId="77777777" w:rsidR="00D53C1F" w:rsidRPr="000C7161" w:rsidRDefault="00D53C1F" w:rsidP="00D53C1F">
      <w:pPr>
        <w:pStyle w:val="NormalHanging12a"/>
      </w:pPr>
      <w:r w:rsidRPr="000C7161">
        <w:t>–</w:t>
      </w:r>
      <w:r w:rsidRPr="000C7161">
        <w:tab/>
        <w:t>so zreteľom na správu Výboru pre kontrolu rozpočtu (A10-0055/2026),</w:t>
      </w:r>
    </w:p>
    <w:p w14:paraId="4CBB4EDD" w14:textId="77777777" w:rsidR="00D53C1F" w:rsidRPr="000C7161" w:rsidRDefault="00D53C1F" w:rsidP="00D53C1F">
      <w:pPr>
        <w:pStyle w:val="NormalHanging12a"/>
      </w:pPr>
      <w:r w:rsidRPr="000C7161">
        <w:t>1.</w:t>
      </w:r>
      <w:r w:rsidRPr="000C7161">
        <w:tab/>
        <w:t>udeľuje tajomníkovi Súdneho dvora absolutórium za plnenie rozpočtu Súdneho dvora Európskej únie za rozpočtový rok 2024;</w:t>
      </w:r>
    </w:p>
    <w:p w14:paraId="48CD4A61" w14:textId="77777777" w:rsidR="00D53C1F" w:rsidRPr="000C7161" w:rsidRDefault="00D53C1F" w:rsidP="00D53C1F">
      <w:pPr>
        <w:pStyle w:val="NormalHanging12a"/>
      </w:pPr>
      <w:r w:rsidRPr="000C7161">
        <w:t>2.</w:t>
      </w:r>
      <w:r w:rsidRPr="000C7161">
        <w:tab/>
        <w:t>uvádza svoje poznámky v priloženom uznesení;</w:t>
      </w:r>
    </w:p>
    <w:p w14:paraId="06AB39C4" w14:textId="77777777" w:rsidR="00D53C1F" w:rsidRPr="000C7161" w:rsidRDefault="00D53C1F" w:rsidP="00D53C1F">
      <w:pPr>
        <w:pStyle w:val="NormalHanging12a"/>
      </w:pPr>
      <w:r w:rsidRPr="000C7161">
        <w:t>3.</w:t>
      </w:r>
      <w:r w:rsidRPr="000C7161">
        <w:tab/>
        <w:t>poveruje svoju predsedníčku, aby postúpila toto rozhodnutie a uznesenie, ktoré je jeho neoddeliteľnou súčasťou, Súdnemu dvoru Európskej únie, Rade, Komisii a Dvoru audítorov a aby zabezpečila ich uverejnenie v </w:t>
      </w:r>
      <w:r w:rsidRPr="000C7161">
        <w:rPr>
          <w:i/>
        </w:rPr>
        <w:t>Úradnom vestníku Európskej únie</w:t>
      </w:r>
      <w:r w:rsidRPr="000C7161">
        <w:t xml:space="preserve"> (v sérii L).</w:t>
      </w:r>
    </w:p>
    <w:p w14:paraId="71D3D577" w14:textId="4D116C98" w:rsidR="00D53C1F" w:rsidRPr="000C7161" w:rsidRDefault="00D53C1F" w:rsidP="00D53C1F">
      <w:pPr>
        <w:widowControl/>
      </w:pPr>
    </w:p>
    <w:p w14:paraId="66B11816" w14:textId="77777777" w:rsidR="00D53C1F" w:rsidRPr="000C7161" w:rsidRDefault="00D53C1F" w:rsidP="00D53C1F">
      <w:pPr>
        <w:pStyle w:val="PageHeading"/>
        <w:sectPr w:rsidR="00D53C1F" w:rsidRPr="000C7161" w:rsidSect="003D5D04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6EB7976" w14:textId="671844C0" w:rsidR="00BB6FBF" w:rsidRPr="000C7161" w:rsidRDefault="00BB6FBF" w:rsidP="00BB6FBF">
      <w:pPr>
        <w:pStyle w:val="ATHeading3"/>
      </w:pPr>
      <w:r w:rsidRPr="000C7161">
        <w:lastRenderedPageBreak/>
        <w:t xml:space="preserve">2. Uznesenie Európskeho parlamentu z </w:t>
      </w:r>
      <w:r w:rsidR="00A96B52" w:rsidRPr="000C7161">
        <w:t>29</w:t>
      </w:r>
      <w:r w:rsidRPr="000C7161">
        <w:t xml:space="preserve">. </w:t>
      </w:r>
      <w:r w:rsidR="00C770C4" w:rsidRPr="000C7161">
        <w:t xml:space="preserve">apríla </w:t>
      </w:r>
      <w:r w:rsidRPr="000C7161">
        <w:t xml:space="preserve">2026 s poznámkami, ktoré </w:t>
      </w:r>
      <w:r w:rsidR="00C770C4" w:rsidRPr="000C7161">
        <w:t xml:space="preserve">je </w:t>
      </w:r>
      <w:r w:rsidRPr="000C7161">
        <w:t>neoddeliteľnou súčasťou rozhodnutia o absolutóriu za plnenie všeobecného rozpočtu Európskej únie za rozpočtový rok 2024, oddiel IV – Súdny dvor Európskej únie (2025/2148(DEC))</w:t>
      </w:r>
    </w:p>
    <w:p w14:paraId="3B6C5048" w14:textId="77777777" w:rsidR="00D53C1F" w:rsidRPr="000C7161" w:rsidRDefault="00D53C1F" w:rsidP="00D53C1F">
      <w:pPr>
        <w:pStyle w:val="EPComma"/>
      </w:pPr>
      <w:r w:rsidRPr="000C7161">
        <w:rPr>
          <w:i/>
        </w:rPr>
        <w:t>Európsky parlament</w:t>
      </w:r>
      <w:r w:rsidRPr="000C7161">
        <w:t>,</w:t>
      </w:r>
    </w:p>
    <w:p w14:paraId="4550B366" w14:textId="77777777" w:rsidR="00D53C1F" w:rsidRPr="000C7161" w:rsidRDefault="00D53C1F" w:rsidP="00D53C1F">
      <w:pPr>
        <w:pStyle w:val="NormalHanging12a"/>
      </w:pPr>
      <w:r w:rsidRPr="000C7161">
        <w:t>–</w:t>
      </w:r>
      <w:r w:rsidRPr="000C7161">
        <w:tab/>
        <w:t>so zreteľom na svoje rozhodnutie o absolutóriu za plnenie všeobecného rozpočtu Európskej únie za rozpočtový rok 2024, oddiel IV – Súdny dvor Európskej únie,</w:t>
      </w:r>
    </w:p>
    <w:p w14:paraId="43FF1BCF" w14:textId="77777777" w:rsidR="00D53C1F" w:rsidRPr="000C7161" w:rsidRDefault="00D53C1F" w:rsidP="00D53C1F">
      <w:pPr>
        <w:pStyle w:val="NormalHanging12a"/>
      </w:pPr>
      <w:r w:rsidRPr="000C7161">
        <w:t>–</w:t>
      </w:r>
      <w:r w:rsidRPr="000C7161">
        <w:tab/>
        <w:t>so zreteľom na článok 102 rokovacieho poriadku a prílohu V k rokovaciemu poriadku,</w:t>
      </w:r>
    </w:p>
    <w:p w14:paraId="2CDAA02E" w14:textId="77777777" w:rsidR="00D53C1F" w:rsidRPr="000C7161" w:rsidRDefault="00D53C1F" w:rsidP="00D53C1F">
      <w:pPr>
        <w:pStyle w:val="NormalHanging12a"/>
      </w:pPr>
      <w:r w:rsidRPr="000C7161">
        <w:t>–</w:t>
      </w:r>
      <w:r w:rsidRPr="000C7161">
        <w:tab/>
        <w:t>so zreteľom na stanovisko Výboru pre právne veci,</w:t>
      </w:r>
    </w:p>
    <w:p w14:paraId="5A3FBF3B" w14:textId="77777777" w:rsidR="00D53C1F" w:rsidRPr="000C7161" w:rsidRDefault="00D53C1F" w:rsidP="00D53C1F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643"/>
        </w:tabs>
      </w:pPr>
      <w:r w:rsidRPr="000C7161">
        <w:t>–</w:t>
      </w:r>
      <w:r w:rsidRPr="000C7161">
        <w:tab/>
        <w:t>so zreteľom na správu Výboru pre kontrolu rozpočtu (A10-0055/2026),</w:t>
      </w:r>
    </w:p>
    <w:p w14:paraId="5A980EF4" w14:textId="77777777" w:rsidR="00D53C1F" w:rsidRPr="000C7161" w:rsidRDefault="00D53C1F" w:rsidP="00D53C1F">
      <w:pPr>
        <w:pStyle w:val="NormalHanging12a"/>
      </w:pPr>
      <w:r w:rsidRPr="000C7161">
        <w:t>A.</w:t>
      </w:r>
      <w:r w:rsidRPr="000C7161">
        <w:tab/>
        <w:t>keďže v súvislosti s postupom udelenia absolutória chce orgán udeľujúci absolutórium podčiarknuť mimoriadny význam ďalšieho posilňovania demokratickej legitimity inštitúcií Únie zvyšovaním transparentnosti a zodpovednosti a zavedením koncepcie zostavovania rozpočtu podľa výkonnosti a dobrého riadenia ľudských zdrojov;</w:t>
      </w:r>
    </w:p>
    <w:p w14:paraId="16827C49" w14:textId="0A54C824" w:rsidR="00D53C1F" w:rsidRPr="000C7161" w:rsidRDefault="00D53C1F" w:rsidP="00D53C1F">
      <w:pPr>
        <w:pStyle w:val="NormalHanging12a"/>
        <w:rPr>
          <w:u w:val="single"/>
        </w:rPr>
      </w:pPr>
      <w:r w:rsidRPr="000C7161">
        <w:t>B.</w:t>
      </w:r>
      <w:r w:rsidRPr="000C7161">
        <w:tab/>
        <w:t>keďže Súdny dvor Európskej únie (ďalej len „S</w:t>
      </w:r>
      <w:r w:rsidR="00D15A0F">
        <w:t>údny dvor</w:t>
      </w:r>
      <w:r w:rsidRPr="000C7161">
        <w:t>“) je súdny orgán Únie, ktorého úlohou je zabezpečovať súlad s právom Únie, a to tak, že dohliada na jednotný výklad a uplatňovanie zmlúv a zabezpečuje zákonnosť opatrení, ktoré prijímajú inštitúcie, orgány, úrady a agentúry Únie;</w:t>
      </w:r>
    </w:p>
    <w:p w14:paraId="26E6C799" w14:textId="0C21DD66" w:rsidR="00D53C1F" w:rsidRPr="000C7161" w:rsidRDefault="00D53C1F" w:rsidP="00D53C1F">
      <w:pPr>
        <w:pStyle w:val="NormalHanging12a"/>
      </w:pPr>
      <w:r w:rsidRPr="000C7161">
        <w:t>C.</w:t>
      </w:r>
      <w:r w:rsidRPr="000C7161">
        <w:tab/>
        <w:t xml:space="preserve">keďže </w:t>
      </w:r>
      <w:r w:rsidR="00D15A0F" w:rsidRPr="000C7161">
        <w:t>S</w:t>
      </w:r>
      <w:r w:rsidR="00D15A0F">
        <w:t xml:space="preserve">údny dvor </w:t>
      </w:r>
      <w:r w:rsidRPr="000C7161">
        <w:t>pomáha zachovávať hodnoty Únie a prostredníctvom svojej judikatúry sa usiluje o budovanie Európy, pričom sa naďalej zodpovedá občanom prostredníctvom právnej istoty, konzistentnosti judikatúry a dodržiavania obmedzení súdneho výkladu;</w:t>
      </w:r>
    </w:p>
    <w:p w14:paraId="7E841291" w14:textId="07EBA7A1" w:rsidR="00D53C1F" w:rsidRPr="000C7161" w:rsidRDefault="00D53C1F" w:rsidP="00D53C1F">
      <w:pPr>
        <w:pStyle w:val="NormalHanging12a"/>
      </w:pPr>
      <w:r w:rsidRPr="000C7161">
        <w:t>D.</w:t>
      </w:r>
      <w:r w:rsidRPr="000C7161">
        <w:tab/>
        <w:t xml:space="preserve">keďže </w:t>
      </w:r>
      <w:r w:rsidR="00D15A0F" w:rsidRPr="000C7161">
        <w:t>S</w:t>
      </w:r>
      <w:r w:rsidR="00D15A0F">
        <w:t xml:space="preserve">údny dvor </w:t>
      </w:r>
      <w:r w:rsidRPr="000C7161">
        <w:t>tvoria dva súdy: Súdny dvor a Všeobecný súd;</w:t>
      </w:r>
    </w:p>
    <w:p w14:paraId="2BC94AA6" w14:textId="29126773" w:rsidR="00D53C1F" w:rsidRPr="000C7161" w:rsidRDefault="00D53C1F" w:rsidP="00D53C1F">
      <w:pPr>
        <w:pStyle w:val="NormalHanging12a"/>
      </w:pPr>
      <w:r w:rsidRPr="000C7161">
        <w:t>E.</w:t>
      </w:r>
      <w:r w:rsidRPr="000C7161">
        <w:tab/>
        <w:t xml:space="preserve">keďže </w:t>
      </w:r>
      <w:r w:rsidR="00C770C4" w:rsidRPr="000C7161">
        <w:t>Európsky p</w:t>
      </w:r>
      <w:r w:rsidRPr="000C7161">
        <w:t>arlament a Rada zmenili v roku 2024 Protokol č. 3 o štatúte Súdneho dvora Európskej únie (ďalej len „štatút“)</w:t>
      </w:r>
      <w:r w:rsidRPr="000C7161">
        <w:rPr>
          <w:rStyle w:val="FootnoteReference"/>
        </w:rPr>
        <w:footnoteReference w:id="7"/>
      </w:r>
      <w:r w:rsidRPr="000C7161">
        <w:t xml:space="preserve"> v súvislosti s prenosom právomoci vydávať prejudiciálne rozhodnutia v osobitných oblastiach na Všeobecný súd;</w:t>
      </w:r>
    </w:p>
    <w:p w14:paraId="64419373" w14:textId="0C855D2C" w:rsidR="00D53C1F" w:rsidRPr="000C7161" w:rsidRDefault="00D53C1F" w:rsidP="00D53C1F">
      <w:pPr>
        <w:pStyle w:val="NormalHanging12a"/>
      </w:pPr>
      <w:r w:rsidRPr="000C7161">
        <w:t>1.</w:t>
      </w:r>
      <w:r w:rsidRPr="000C7161">
        <w:tab/>
        <w:t xml:space="preserve">konštatuje, že rozpočet </w:t>
      </w:r>
      <w:r w:rsidR="00D15A0F" w:rsidRPr="000C7161">
        <w:t>S</w:t>
      </w:r>
      <w:r w:rsidR="00D15A0F">
        <w:t xml:space="preserve">údneho dvora </w:t>
      </w:r>
      <w:r w:rsidRPr="000C7161">
        <w:t xml:space="preserve">patrí do okruhu 7 VFR „Európska verejná správa“, ktorý v roku 2023 predstavoval 13,3 miliardy EUR (čo predstavuje 6,9 % celkového rozpočtu Únie); konštatuje, že rozpočet </w:t>
      </w:r>
      <w:r w:rsidR="00D15A0F" w:rsidRPr="000C7161">
        <w:t>S</w:t>
      </w:r>
      <w:r w:rsidR="00D15A0F">
        <w:t xml:space="preserve">údneho dvora </w:t>
      </w:r>
      <w:r w:rsidRPr="000C7161">
        <w:t xml:space="preserve">vo výške približne 0,5 miliardy EUR predstavuje približne 3,76 % celkových administratívnych výdavkov Únie, čo je pokles z 3,9 % v roku 2023; zdôrazňuje, že v prípadoch vyšetrovania týkajúcich sa rozpočtu Únie musia všetky príslušné orgány v plnej miere dodržiavať zásady riadneho procesu a základné práva; </w:t>
      </w:r>
    </w:p>
    <w:p w14:paraId="42C2981D" w14:textId="77777777" w:rsidR="00D53C1F" w:rsidRPr="000C7161" w:rsidRDefault="00D53C1F" w:rsidP="00D53C1F">
      <w:pPr>
        <w:pStyle w:val="NormalHanging12a"/>
      </w:pPr>
      <w:r w:rsidRPr="000C7161">
        <w:t>2.</w:t>
      </w:r>
      <w:r w:rsidRPr="000C7161">
        <w:tab/>
        <w:t xml:space="preserve">konštatuje, že Európsky dvor audítorov (ďalej len „Dvor audítorov“) vo svojej výročnej správe za rozpočtový rok 2024 (ďalej len „správa Dvora audítorov“) preskúmal vzorku </w:t>
      </w:r>
      <w:r w:rsidRPr="000C7161">
        <w:lastRenderedPageBreak/>
        <w:t>70 operácií v rámci okruhu „Administratíva“, čo je rovnaký počet ako v roku 2023; Dvor audítorov ďalej uvádza, že administratívne výdavky zahŕňajú výdavky na ľudské zdroje vrátane výdavkov na dôchodky, ktoré v roku 2024 predstavovali približne 69 % celkových administratívnych výdavkov, a výdavky na budovy, zariadenie, energie, komunikáciu a informačné technológie (IT) a že z jeho dlhoročnej práce vyplýva, že tieto výdavky sú celkovo nízkorizikové;</w:t>
      </w:r>
    </w:p>
    <w:p w14:paraId="3E527B9C" w14:textId="75C083F2" w:rsidR="00D53C1F" w:rsidRPr="000C7161" w:rsidRDefault="00D53C1F" w:rsidP="00D53C1F">
      <w:pPr>
        <w:pStyle w:val="NormalHanging12a"/>
      </w:pPr>
      <w:r w:rsidRPr="000C7161">
        <w:t>3.</w:t>
      </w:r>
      <w:r w:rsidRPr="000C7161">
        <w:tab/>
        <w:t xml:space="preserve">konštatuje, že 16 (23 %) zo 70 operácií obsahovalo chyby, ale že Dvor audítorov na základe troch vyčíslených chýb odhaduje, že chybovosť bola pod prahom významnosti; konštatuje, že v správe Dvora audítorov nie sú uvedené žiadne konkrétne problémy týkajúce sa </w:t>
      </w:r>
      <w:r w:rsidR="00D15A0F" w:rsidRPr="000C7161">
        <w:t>S</w:t>
      </w:r>
      <w:r w:rsidR="00D15A0F">
        <w:t>údneho dvora</w:t>
      </w:r>
      <w:r w:rsidRPr="000C7161">
        <w:t>;</w:t>
      </w:r>
    </w:p>
    <w:p w14:paraId="7D5CD8CC" w14:textId="77777777" w:rsidR="00D53C1F" w:rsidRPr="000C7161" w:rsidRDefault="00D53C1F" w:rsidP="00D53C1F">
      <w:pPr>
        <w:pStyle w:val="NormalHanging12a"/>
        <w:rPr>
          <w:b/>
          <w:i/>
          <w:iCs/>
        </w:rPr>
      </w:pPr>
      <w:r w:rsidRPr="000C7161">
        <w:rPr>
          <w:b/>
          <w:i/>
          <w:iCs/>
        </w:rPr>
        <w:t>Rozpočtové a finančné riadenie</w:t>
      </w:r>
    </w:p>
    <w:p w14:paraId="6DF61519" w14:textId="25344431" w:rsidR="00D53C1F" w:rsidRPr="000C7161" w:rsidRDefault="00D53C1F" w:rsidP="00D53C1F">
      <w:pPr>
        <w:pStyle w:val="NormalHanging12a"/>
      </w:pPr>
      <w:r w:rsidRPr="000C7161">
        <w:t>4.</w:t>
      </w:r>
      <w:r w:rsidRPr="000C7161">
        <w:tab/>
        <w:t xml:space="preserve">konštatuje, že rozpočet pridelený </w:t>
      </w:r>
      <w:r w:rsidR="00D15A0F" w:rsidRPr="000C7161">
        <w:t>S</w:t>
      </w:r>
      <w:r w:rsidR="00D15A0F">
        <w:t xml:space="preserve">údnemu dvoru </w:t>
      </w:r>
      <w:r w:rsidRPr="000C7161">
        <w:t>v roku 2024 dosahoval 503 837 531 EUR, čo predstavovalo zvýšenie o 3,66 % v porovnaní s rokom 2023; konštatuje, že toto zvýšenie súviselo najmä s úpravami platov predpokladanými na rok 2024;</w:t>
      </w:r>
    </w:p>
    <w:p w14:paraId="14945E30" w14:textId="77D3A3B2" w:rsidR="00D53C1F" w:rsidRPr="000C7161" w:rsidRDefault="00D53C1F" w:rsidP="00D53C1F">
      <w:pPr>
        <w:pStyle w:val="NormalHanging12a"/>
        <w:rPr>
          <w:bCs/>
          <w:iCs/>
        </w:rPr>
      </w:pPr>
      <w:r w:rsidRPr="000C7161">
        <w:t>5.</w:t>
      </w:r>
      <w:r w:rsidRPr="000C7161">
        <w:tab/>
        <w:t xml:space="preserve">konštatuje, že výdavky na zamestnancov predstavujú takmer 80 % rozpočtu </w:t>
      </w:r>
      <w:r w:rsidR="00D15A0F" w:rsidRPr="000C7161">
        <w:t>S</w:t>
      </w:r>
      <w:r w:rsidR="00D15A0F">
        <w:t xml:space="preserve">údneho dvora </w:t>
      </w:r>
      <w:r w:rsidRPr="000C7161">
        <w:t>a že aktualizácie platov v roku 2024 prekročili pôvodné prognózy; zdôrazňuje, že hoci tieto zvýšenia boli absorbované bez dodatočného zvýšenia rozpočtu, ich opakujúca sa povaha vyvoláva otázky, pokiaľ ide o strednodobú rozpočtovú udržateľnosť v rámci obmedzení súčasného VFR; vyzýva na posilnenie viacročného plánovania pracovnej sily a výdavkov bez toho, aby sa narušila nezávislosť súdnictva;</w:t>
      </w:r>
    </w:p>
    <w:p w14:paraId="1AEE25E4" w14:textId="4E8D42CA" w:rsidR="00D53C1F" w:rsidRPr="000C7161" w:rsidRDefault="00D53C1F" w:rsidP="00D53C1F">
      <w:pPr>
        <w:pStyle w:val="NormalHanging12a"/>
      </w:pPr>
      <w:r w:rsidRPr="000C7161">
        <w:t>6.</w:t>
      </w:r>
      <w:r w:rsidRPr="000C7161">
        <w:tab/>
        <w:t xml:space="preserve">na základe odpovedí </w:t>
      </w:r>
      <w:r w:rsidR="00D15A0F" w:rsidRPr="000C7161">
        <w:t>S</w:t>
      </w:r>
      <w:r w:rsidR="00D15A0F">
        <w:t xml:space="preserve">údneho dvora </w:t>
      </w:r>
      <w:r w:rsidRPr="000C7161">
        <w:t>na dotazník týkajúci sa absolutória za rok 2024 konštatuje, že celková predbežná miera plnenia rozpočtu na konci roka 2024 bola 97,72 %, t. j. rovnaká ako v roku 2023, pričom konečná miera plnenia za rok 2024 bude k dispozícii na konci roka 2025; konštatuje, že rozpočtovému orgánu boli predložené tri presuny v súlade s článkom 29 nariadenia o rozpočtových pravidlách s cieľom posilniť rozpočtové riadky „Nákup, prevádzka a údržba technického a programového vybavenia“, „Zariadenia starostlivosti o deti“ a „Budovy“ z iných rozpočtových riadkov, najmä z riadka „Platy a príspevky“ pre zamestnancov;</w:t>
      </w:r>
    </w:p>
    <w:p w14:paraId="3D30561F" w14:textId="1C54B327" w:rsidR="00D53C1F" w:rsidRPr="000C7161" w:rsidRDefault="00D53C1F" w:rsidP="00D53C1F">
      <w:pPr>
        <w:pStyle w:val="NormalHanging12a"/>
      </w:pPr>
      <w:r w:rsidRPr="000C7161">
        <w:t>7.</w:t>
      </w:r>
      <w:r w:rsidRPr="000C7161">
        <w:tab/>
        <w:t xml:space="preserve">súhlasí s tým, že schopnosť </w:t>
      </w:r>
      <w:r w:rsidR="00D15A0F" w:rsidRPr="000C7161">
        <w:t>S</w:t>
      </w:r>
      <w:r w:rsidR="00D15A0F">
        <w:t xml:space="preserve">údneho dvora </w:t>
      </w:r>
      <w:r w:rsidRPr="000C7161">
        <w:t xml:space="preserve">reagovať na čoraz väčšie pracovné zaťaženie prešla ťažkou skúškou na jednej strane v dôsledku usmernení Komisie pre prípravu rozpočtu, ktoré obmedzujú zvýšenie všetkých výdavkov nesúvisiacich s platmi na maximálne 2 % a odrádzajú od žiadostí o nové pracovné miesta, a na druhej strane v dôsledku toho, že úrad EPSO neposkytol inštitúciám Únie primerane veľkú skupinu úspešných uchádzačov z výberových konaní, z ktorých by mohli prijímať zamestnancov; okrem toho konštatuje, že inflačné účinky nezákonnej útočnej vojny Ruska proti Ukrajine naďalej vytvárali na </w:t>
      </w:r>
      <w:r w:rsidR="00D15A0F" w:rsidRPr="000C7161">
        <w:t>S</w:t>
      </w:r>
      <w:r w:rsidR="00D15A0F">
        <w:t xml:space="preserve">údny dvor </w:t>
      </w:r>
      <w:r w:rsidRPr="000C7161">
        <w:t xml:space="preserve">rozpočtový tlak, napríklad prostredníctvom rastúcich nákladov na služobné cesty alebo zvýšenia cien zmluvného tovaru a služieb; vyjadruje </w:t>
      </w:r>
      <w:r w:rsidR="00D15A0F" w:rsidRPr="000C7161">
        <w:t>S</w:t>
      </w:r>
      <w:r w:rsidR="00D15A0F">
        <w:t xml:space="preserve">údnemu dvoru </w:t>
      </w:r>
      <w:r w:rsidRPr="000C7161">
        <w:t xml:space="preserve">uznanie za jeho opatrenia na zmiernenie takýchto účinkov znížením počtu služobných ciest, obmedzením výdavkov na energiu a predovšetkým stanovením priorít projektov pri vypracúvaní rozpočtových odhadov; uznáva, že je potrebné, aby všetky inštitúcie Únie zlepšili svoje rozpočtové riadenie tým, že pri uzatváraní zmlúv s poskytovateľmi služieb zohľadnia aj cenovú volatilitu, najmä v odvetví energetiky; vyzýva </w:t>
      </w:r>
      <w:r w:rsidR="00D15A0F" w:rsidRPr="000C7161">
        <w:t>S</w:t>
      </w:r>
      <w:r w:rsidR="00D15A0F">
        <w:t>údny dvor</w:t>
      </w:r>
      <w:r w:rsidRPr="000C7161">
        <w:t>, aby pokračoval v zlepšovaní nákladovej efektívnosti a aktívneho rozpočtového plánovania s cieľom zachovať kvalitu súdnictva v rámci dostupných zdrojov;</w:t>
      </w:r>
    </w:p>
    <w:p w14:paraId="0264C93E" w14:textId="10156324" w:rsidR="00D53C1F" w:rsidRPr="000C7161" w:rsidRDefault="00D53C1F" w:rsidP="00D53C1F">
      <w:pPr>
        <w:pStyle w:val="NormalHanging12a"/>
      </w:pPr>
      <w:r w:rsidRPr="000C7161">
        <w:lastRenderedPageBreak/>
        <w:t>8.</w:t>
      </w:r>
      <w:r w:rsidRPr="000C7161">
        <w:tab/>
        <w:t xml:space="preserve">konštatuje mierne predĺženie priemerného času potrebného na úhradu z 23,1 dňa v roku 2023 na 23,7 dňa v roku 2024 a zvýšenie podielu faktúr prijatých elektronicky z 81 % v roku 2023 na 88 % v roku 2024; na základe opatrení </w:t>
      </w:r>
      <w:r w:rsidR="00D15A0F" w:rsidRPr="000C7161">
        <w:t>S</w:t>
      </w:r>
      <w:r w:rsidR="00D15A0F">
        <w:t xml:space="preserve">údneho dvora </w:t>
      </w:r>
      <w:r w:rsidRPr="000C7161">
        <w:t>prijatých v nadväznosti na pripomienky uvedené v uznesení Európskeho parlamentu o absolutóriu za rok 2023 (ďalej len „správa o následných opatreniach“) konštatuje, že v prípade faktúr súvisiacich s externým prekladom je platba podmienená procesom revízie, ktorý je potrebný na zabezpečenie požadovanej vysokej kvality prekladu;</w:t>
      </w:r>
    </w:p>
    <w:p w14:paraId="6F890B2A" w14:textId="67717FE8" w:rsidR="00D53C1F" w:rsidRPr="000C7161" w:rsidRDefault="00D53C1F" w:rsidP="00D53C1F">
      <w:pPr>
        <w:pStyle w:val="NormalHanging12a"/>
      </w:pPr>
      <w:r w:rsidRPr="000C7161">
        <w:t>9.</w:t>
      </w:r>
      <w:r w:rsidRPr="000C7161">
        <w:tab/>
        <w:t xml:space="preserve">s uspokojením konštatuje, že jeho rozpočet na služobné cesty členov a zamestnancov </w:t>
      </w:r>
      <w:r w:rsidR="00D15A0F" w:rsidRPr="000C7161">
        <w:t>S</w:t>
      </w:r>
      <w:r w:rsidR="00D15A0F">
        <w:t xml:space="preserve">údneho dvora </w:t>
      </w:r>
      <w:r w:rsidRPr="000C7161">
        <w:t>sa už druhý rok po sebe znížil zo 638 000 EUR v roku 2023 na 616 000 EUR v roku 2024, čo predstavuje zníženie približne o 3,44 %;</w:t>
      </w:r>
    </w:p>
    <w:p w14:paraId="777E3A93" w14:textId="77777777" w:rsidR="00D53C1F" w:rsidRPr="000C7161" w:rsidRDefault="00D53C1F" w:rsidP="00D53C1F">
      <w:pPr>
        <w:pStyle w:val="NormalHanging12a"/>
        <w:rPr>
          <w:b/>
          <w:i/>
          <w:iCs/>
        </w:rPr>
      </w:pPr>
      <w:r w:rsidRPr="000C7161">
        <w:rPr>
          <w:b/>
          <w:i/>
          <w:iCs/>
        </w:rPr>
        <w:t>Vnútorné riadenie, výkonnosť a vnútorná kontrola</w:t>
      </w:r>
    </w:p>
    <w:p w14:paraId="409A14F6" w14:textId="071FBF1D" w:rsidR="00D53C1F" w:rsidRPr="000C7161" w:rsidRDefault="00D53C1F" w:rsidP="00D53C1F">
      <w:pPr>
        <w:spacing w:after="240"/>
        <w:ind w:left="567" w:hanging="567"/>
      </w:pPr>
      <w:r w:rsidRPr="000C7161">
        <w:t>10.</w:t>
      </w:r>
      <w:r w:rsidRPr="000C7161">
        <w:tab/>
        <w:t xml:space="preserve">na základe odpovedí </w:t>
      </w:r>
      <w:r w:rsidR="00D15A0F" w:rsidRPr="000C7161">
        <w:t>S</w:t>
      </w:r>
      <w:r w:rsidR="00D15A0F">
        <w:t xml:space="preserve">údneho dvora </w:t>
      </w:r>
      <w:r w:rsidRPr="000C7161">
        <w:t xml:space="preserve">na dotazník týkajúci sa absolutória za rok 2024 s uznaním berie na vedomie úsilie, ktoré </w:t>
      </w:r>
      <w:r w:rsidR="00D15A0F" w:rsidRPr="000C7161">
        <w:t>S</w:t>
      </w:r>
      <w:r w:rsidR="00D15A0F">
        <w:t xml:space="preserve">údny dvor </w:t>
      </w:r>
      <w:r w:rsidRPr="000C7161">
        <w:t xml:space="preserve">vynaložil na dokončenie reformy súdnictva s cieľom čiastočne presunúť právomoc vydávať prejudiciálne rozhodnutia zo Súdneho dvora na Všeobecný súd a umožniť vykonávanie nového regulačného rámca od 1. októbra 2024; v tejto súvislosti berie na vedomie reorganizáciu štruktúry Všeobecného súdu, zmenu rokovacieho poriadku </w:t>
      </w:r>
      <w:r w:rsidR="00D15A0F" w:rsidRPr="000C7161">
        <w:t>S</w:t>
      </w:r>
      <w:r w:rsidR="00D15A0F">
        <w:t>údneho dvora</w:t>
      </w:r>
      <w:r w:rsidRPr="000C7161">
        <w:t xml:space="preserve">, prijatie nového súboru praktických pravidiel Všeobecného súdu na vykonávanie rokovacieho poriadku, prijatie nového rozhodnutia o podávaní a doručovaní procesných písomností prostredníctvom aplikácie e-Curia, vývoj nového softvéru („jednotné kontaktné miesto“) na rýchlu analýzu a spracovanie vecí, väčšiu efektívnosť a kvalitu výsledkov súdnych konaní a harmonizáciu postupov registrov Súdneho dvora a Všeobecného súdu v roku 2024; s uznaním konštatuje, že počas prvých troch mesiacov po nadobudnutí účinnosti reformy už bolo na Všeobecný súd prenesených 19 prejudiciálnych rozhodnutí, čo predstavuje prvé výsledky smerom k vyváženejšiemu rozdeleniu pracovného zaťaženia medzi oba súdy; konštatuje, že jedinými dodatočnými nákladmi spojenými s vykonávaním reformy súdnictva boli náklady súvisiace s IT na vytvorenie jednotného kontaktného miesta vo výške približne 805 000 EUR, pričom pokiaľ ide o zamestnancov, reforma zostala rozpočtovo neutrálna vďaka presunu pracovných miest a povinností v rámci inštitúcie; vyzýva </w:t>
      </w:r>
      <w:r w:rsidR="00D15A0F" w:rsidRPr="000C7161">
        <w:t>S</w:t>
      </w:r>
      <w:r w:rsidR="00D15A0F">
        <w:t>údny dvor</w:t>
      </w:r>
      <w:r w:rsidRPr="000C7161">
        <w:t xml:space="preserve">, aby podal správu o konkrétnom vplyve reformy súdnictva na efektívnosť, trvanie konaní a rozdelenie pracovného zaťaženia medzi Súdnym dvorom a Všeobecným súdom vrátane vplyvu digitálnych nástrojov na čas spracovania a rovnováhu pracovného zaťaženia; vyzýva Súdny dvor, aby v súvislosti s ďalším postupom udeľovania absolutória predložil komplexné </w:t>
      </w:r>
      <w:r w:rsidRPr="000C7161">
        <w:rPr>
          <w:i/>
          <w:iCs/>
        </w:rPr>
        <w:t>ex post</w:t>
      </w:r>
      <w:r w:rsidRPr="000C7161">
        <w:t xml:space="preserve"> hodnotenie reformy;</w:t>
      </w:r>
    </w:p>
    <w:p w14:paraId="7222E912" w14:textId="5C463CD3" w:rsidR="00D53C1F" w:rsidRPr="000C7161" w:rsidRDefault="00D53C1F" w:rsidP="00D53C1F">
      <w:pPr>
        <w:pStyle w:val="NormalHanging12a"/>
      </w:pPr>
      <w:r w:rsidRPr="000C7161">
        <w:t>11.</w:t>
      </w:r>
      <w:r w:rsidRPr="000C7161">
        <w:tab/>
        <w:t xml:space="preserve">konštatuje, že v roku 2024 Súdny dvor rozhodol v 12 veciach týkajúcich sa zásady prednosti práva Únie, z toho v desiatich veciach šlo o prejudiciálne rozhodnutia a v dvoch veciach o prípady nesplnenia povinnosti; pripomína zásadný význam zásady prednosti práva Únie, ktorá zabezpečuje jednotný výklad a uplatňovanie práva Únie vo všetkých členských štátoch a chráni právny štát ako základnú hodnotu Únie; dôrazne potvrdzuje, že prednosť práva Únie je základným kameňom právneho poriadku Únie, a zdôrazňuje kľúčovú úlohu </w:t>
      </w:r>
      <w:r w:rsidR="00D15A0F" w:rsidRPr="000C7161">
        <w:t>S</w:t>
      </w:r>
      <w:r w:rsidR="00D15A0F">
        <w:t xml:space="preserve">údneho dvora </w:t>
      </w:r>
      <w:r w:rsidRPr="000C7161">
        <w:t>pri presadzovaní právneho štátu v celej Únii; konštatuje, že v článku 4 ods. 2 Zmluvy o Európskej únii sa stanovuje, že „Únia rešpektuje rovnosť členských štátov pred zmluvami, ako aj ich národnú identitu, obsiahnutú v ich základných, politických a ústavných systémoch vrátane regionálnych a miestnych samospráv“;</w:t>
      </w:r>
    </w:p>
    <w:p w14:paraId="40545139" w14:textId="24E76EB1" w:rsidR="00D53C1F" w:rsidRPr="000C7161" w:rsidRDefault="00D53C1F" w:rsidP="00D53C1F">
      <w:pPr>
        <w:pStyle w:val="NormalHanging12a"/>
      </w:pPr>
      <w:r w:rsidRPr="000C7161">
        <w:lastRenderedPageBreak/>
        <w:t>12.</w:t>
      </w:r>
      <w:r w:rsidRPr="000C7161">
        <w:tab/>
        <w:t xml:space="preserve">na základe odpovedí </w:t>
      </w:r>
      <w:r w:rsidR="00D15A0F" w:rsidRPr="000C7161">
        <w:t>S</w:t>
      </w:r>
      <w:r w:rsidR="00D15A0F">
        <w:t xml:space="preserve">údneho dvora </w:t>
      </w:r>
      <w:r w:rsidRPr="000C7161">
        <w:t>na dotazník týkajúci sa absolutória za rok 2024 konštatuje, že v roku 2024 bolo Súdnemu dvoru predložených 920 nových vecí (oproti 821 veciam v roku 2023), z ktorých 62,30 % tvorili návrhy na začatie prejudiciálneho konania, pričom v 277 veciach šlo o odvolania proti rozhodnutiam Všeobecného súdu; konštatuje, že Všeobecný súd zaznamenal výrazný pokles počtu nových vecí z 1 271 v roku 2023 na 786 v roku 2024, z ktorých 35,88 % tvorili žaloby o neplatnosť aktov inštitúcií Únie, 34,10 % sa týkalo žalôb týkajúcich sa duševného vlastníctva a 9,67 % sa týkalo sporov medzi inštitúciami Únie a ich zamestnancami;</w:t>
      </w:r>
    </w:p>
    <w:p w14:paraId="7DBCD0F1" w14:textId="718C4B23" w:rsidR="00D53C1F" w:rsidRPr="000C7161" w:rsidRDefault="00D53C1F" w:rsidP="00D53C1F">
      <w:pPr>
        <w:pStyle w:val="NormalHanging12a"/>
      </w:pPr>
      <w:r w:rsidRPr="000C7161">
        <w:t>13.</w:t>
      </w:r>
      <w:r w:rsidRPr="000C7161">
        <w:tab/>
        <w:t xml:space="preserve">súhlasí so </w:t>
      </w:r>
      <w:r w:rsidR="00D15A0F" w:rsidRPr="000C7161">
        <w:t>S</w:t>
      </w:r>
      <w:r w:rsidR="00D15A0F">
        <w:t>údnym dvorom</w:t>
      </w:r>
      <w:r w:rsidRPr="000C7161">
        <w:t xml:space="preserve">, že Komisia ako strážkyňa zmlúv by mala monitorovať, ako členské štáty dodržiavajú rozsudky </w:t>
      </w:r>
      <w:r w:rsidR="00D15A0F" w:rsidRPr="000C7161">
        <w:t>S</w:t>
      </w:r>
      <w:r w:rsidR="00D15A0F">
        <w:t>údneho dvora</w:t>
      </w:r>
      <w:r w:rsidRPr="000C7161">
        <w:t xml:space="preserve">; opakuje svoju výzvu adresovanú </w:t>
      </w:r>
      <w:r w:rsidR="00D15A0F" w:rsidRPr="000C7161">
        <w:t>S</w:t>
      </w:r>
      <w:r w:rsidR="00D15A0F">
        <w:t>údnemu dvoru</w:t>
      </w:r>
      <w:r w:rsidRPr="000C7161">
        <w:t>, aby prísne v medziach svojej úlohy stanovil mechanizmus na identifikáciu najlepších a nesprávnych postupov členských štátov;</w:t>
      </w:r>
    </w:p>
    <w:p w14:paraId="4FA8BA91" w14:textId="77777777" w:rsidR="00D53C1F" w:rsidRPr="000C7161" w:rsidRDefault="00D53C1F" w:rsidP="00D53C1F">
      <w:pPr>
        <w:pStyle w:val="NormalHanging12a"/>
      </w:pPr>
      <w:r w:rsidRPr="000C7161">
        <w:t>14.</w:t>
      </w:r>
      <w:r w:rsidRPr="000C7161">
        <w:tab/>
        <w:t xml:space="preserve">berie na vedomie zvýšenie počtu vecí, ktoré uzavrel Všeobecný súd, z 904 v roku 2023 na 922 v roku 2024 a zvýšenie počtu vecí, ktoré uzavrel Súdny dvor, zo 783 v roku 2023 na 863 v roku 2024, pričom toto zvýšenie bolo spôsobené čiastočným nahradením sudcov a generálnych advokátov Súdneho dvora, ku ktorému dochádza každé tri roky a ktoré sa uskutočnilo v roku 2024; ďalej berie na vedomie zvýšenie počtu </w:t>
      </w:r>
      <w:proofErr w:type="spellStart"/>
      <w:r w:rsidRPr="000C7161">
        <w:t>prejednávaných</w:t>
      </w:r>
      <w:proofErr w:type="spellEnd"/>
      <w:r w:rsidRPr="000C7161">
        <w:t xml:space="preserve"> vecí na Súdnom dvore z 1 149 v roku 2023 na 1 206 v roku 2024 a zníženie počtu </w:t>
      </w:r>
      <w:proofErr w:type="spellStart"/>
      <w:r w:rsidRPr="000C7161">
        <w:t>prejednávaných</w:t>
      </w:r>
      <w:proofErr w:type="spellEnd"/>
      <w:r w:rsidRPr="000C7161">
        <w:t xml:space="preserve"> vecí na Všeobecnom súde z 1 438 v roku 2023 na 1 302 v roku 2024 (vrátane súboru 404 v podstate totožných vecí, ktoré sa počítajú ako jedna vec), čiastočne v dôsledku uzavretia určitých veľkých skupín vecí; </w:t>
      </w:r>
    </w:p>
    <w:p w14:paraId="170A20D3" w14:textId="77777777" w:rsidR="00D53C1F" w:rsidRPr="000C7161" w:rsidRDefault="00D53C1F" w:rsidP="00D53C1F">
      <w:pPr>
        <w:pStyle w:val="NormalHanging12a"/>
      </w:pPr>
      <w:r w:rsidRPr="000C7161">
        <w:t>15.</w:t>
      </w:r>
      <w:r w:rsidRPr="000C7161">
        <w:tab/>
        <w:t>zároveň víta skrátenie priemerného času potrebného na vydanie rozhodnutí vo veciach v rámci naliehavého postupu na Súdnom dvore, ktorý sa zo 4,3 mesiaca v roku 2023 skrátil na 3,3 mesiaca v roku 2024;</w:t>
      </w:r>
    </w:p>
    <w:p w14:paraId="7A99F173" w14:textId="77777777" w:rsidR="00D53C1F" w:rsidRPr="000C7161" w:rsidRDefault="00D53C1F" w:rsidP="00D53C1F">
      <w:pPr>
        <w:pStyle w:val="NormalHanging12a"/>
      </w:pPr>
      <w:r w:rsidRPr="000C7161">
        <w:t>16.</w:t>
      </w:r>
      <w:r w:rsidRPr="000C7161">
        <w:tab/>
        <w:t>konštatuje, že priemerná dĺžka konaní vo veciach uzavretých Súdnym dvorom v roku 2024 bola 17,7 mesiaca v porovnaní so 16,1 mesiaca v roku 2023, pričom príslušné predĺženie približne o šesť týždňov bolo spôsobené zložitosťou a rozsiahlosťou niektorých spisov (ako sú žaloby podané v roku 2020 proti tzv. balíku Únie v oblasti mobility a uzavreté v roku 2024); konštatuje, že priemerný čas trvania konaní vo veciach ukončených rozsudkom alebo uznesením Všeobecného súdu sa predĺžil z 18,2 mesiaca v roku 2023 na 18,5 mesiaca v roku 2024; zdôrazňuje, že včasnosť súdnych konaní musí zostať hlavným cieľom výkonnosti, keďže ich nadmerná dĺžka priamo ovplyvňuje právnu istotu občanov, vnútroštátnych súdov a hospodárskych subjektov;</w:t>
      </w:r>
    </w:p>
    <w:p w14:paraId="7ED0CED2" w14:textId="03FA2313" w:rsidR="00D53C1F" w:rsidRPr="000C7161" w:rsidRDefault="00D53C1F" w:rsidP="00D53C1F">
      <w:pPr>
        <w:pStyle w:val="NormalHanging12a"/>
      </w:pPr>
      <w:r w:rsidRPr="000C7161">
        <w:t>17.</w:t>
      </w:r>
      <w:r w:rsidRPr="000C7161">
        <w:tab/>
        <w:t xml:space="preserve">vyzýva </w:t>
      </w:r>
      <w:r w:rsidR="00D15A0F" w:rsidRPr="000C7161">
        <w:t>S</w:t>
      </w:r>
      <w:r w:rsidR="00D15A0F">
        <w:t>údny dvor</w:t>
      </w:r>
      <w:r w:rsidRPr="000C7161">
        <w:t>, aby v spolupráci s vnútroštátnymi súdmi preskúmal praktické nástroje usmerňovania (usmernenia, referenčné vzory pre prejudiciálne konania, online školenia) na podporu jasnej a cielenej formulácie otázok položených v prejudiciálnych rozhodnutiach, čím sa zníži riziko zbytočných alebo nadmerne dlhých konaní;</w:t>
      </w:r>
    </w:p>
    <w:p w14:paraId="2B9B4CD8" w14:textId="5B3402BE" w:rsidR="00D53C1F" w:rsidRPr="000C7161" w:rsidRDefault="00D53C1F" w:rsidP="00D53C1F">
      <w:pPr>
        <w:pStyle w:val="NormalHanging12a"/>
      </w:pPr>
      <w:r w:rsidRPr="000C7161">
        <w:t>18.</w:t>
      </w:r>
      <w:r w:rsidRPr="000C7161">
        <w:tab/>
        <w:t xml:space="preserve">vyjadruje </w:t>
      </w:r>
      <w:r w:rsidR="00D15A0F" w:rsidRPr="000C7161">
        <w:t>S</w:t>
      </w:r>
      <w:r w:rsidR="00D15A0F">
        <w:t xml:space="preserve">údnemu dvoru </w:t>
      </w:r>
      <w:r w:rsidRPr="000C7161">
        <w:t>uznanie za nárast zaznamenaný pri používaní aplikácie e-Curia, pričom počet účtov otvorených vnútroštátnymi súdmi sa zvýšil zo 451 v roku 2023 na 566 v roku 2024 a percentuálny podiel procesných písomností podaných prostredníctvom aplikácie e-Curia dosiahol na Súdnom dvore 91 % a na Všeobecnom súde 96 %;</w:t>
      </w:r>
    </w:p>
    <w:p w14:paraId="7FDFCC5D" w14:textId="4456433D" w:rsidR="00D53C1F" w:rsidRPr="000C7161" w:rsidRDefault="00D53C1F" w:rsidP="00D53C1F">
      <w:pPr>
        <w:pStyle w:val="NormalHanging12a"/>
      </w:pPr>
      <w:r w:rsidRPr="000C7161">
        <w:t>19.</w:t>
      </w:r>
      <w:r w:rsidRPr="000C7161">
        <w:tab/>
        <w:t xml:space="preserve">víta prístup založený na výkonnosti, ktorý vypracoval </w:t>
      </w:r>
      <w:r w:rsidR="00D15A0F" w:rsidRPr="000C7161">
        <w:t>S</w:t>
      </w:r>
      <w:r w:rsidR="00D15A0F">
        <w:t xml:space="preserve">údny dvor </w:t>
      </w:r>
      <w:r w:rsidRPr="000C7161">
        <w:t xml:space="preserve">a ktorý mu umožňuje prijímať rozhodnutia na základe úrovne dosiahnutia jeho cieľov meraných </w:t>
      </w:r>
      <w:r w:rsidRPr="000C7161">
        <w:lastRenderedPageBreak/>
        <w:t xml:space="preserve">prostredníctvom súboru ukazovateľov pracovného zaťaženia a operačných ukazovateľov (napr. nákladová efektívnosť, miera dokončenia projektov, spokojnosť používateľov a optimalizácia zdrojov) prispôsobených každému oddeleniu; konštatuje, že kľúčové ukazovatele výkonnosti, ktoré používa </w:t>
      </w:r>
      <w:r w:rsidR="00D15A0F" w:rsidRPr="000C7161">
        <w:t>S</w:t>
      </w:r>
      <w:r w:rsidR="00D15A0F">
        <w:t>údny dvor</w:t>
      </w:r>
      <w:r w:rsidRPr="000C7161">
        <w:t xml:space="preserve">, sa týkajú širokej škály osobitných oblastí na účel podpory piatich cieľov v oblasti riadenia v súvislosti s riadnym fungovaním oboch súdov, a to digitalizácie a vznikajúcich technológií, otvorenosti a transparentnosti, mnohojazyčnosti a riadenia ľudských zdrojov; zdôrazňuje, že je potrebné, aby </w:t>
      </w:r>
      <w:r w:rsidR="00D15A0F" w:rsidRPr="000C7161">
        <w:t>S</w:t>
      </w:r>
      <w:r w:rsidR="00D15A0F">
        <w:t xml:space="preserve">údnemu dvoru </w:t>
      </w:r>
      <w:r w:rsidRPr="000C7161">
        <w:t>zabezpečil, aby boli tieto ukazovatele transparentné, orientované na výsledky a pravidelne preskúmavané s cieľom podporiť účinné riadenie a zodpovednosť;</w:t>
      </w:r>
    </w:p>
    <w:p w14:paraId="47AFFA14" w14:textId="2D405226" w:rsidR="00D53C1F" w:rsidRPr="000C7161" w:rsidRDefault="00D53C1F" w:rsidP="00D53C1F">
      <w:pPr>
        <w:pStyle w:val="NormalHanging12a"/>
      </w:pPr>
      <w:r w:rsidRPr="000C7161">
        <w:t>20.</w:t>
      </w:r>
      <w:r w:rsidRPr="000C7161">
        <w:tab/>
        <w:t xml:space="preserve">víta jeho prístup, ktorý v roku 2024 prešiel revíziou, pokiaľ ide o návratnosť investícií do inovačných iniciatív, a to zohľadnením hodnotenia nákladov prostredníctvom parametrov, ako je vykonávanie a personálne úsilie, ročná údržba, náklady na dodávateľov a iné druhy nákladov, ako aj hodnotenie prínosov prostredníctvom parametrov, ako sú predpokladané zisky, strategické výhody a počet dotknutých používateľov; konštatuje, že </w:t>
      </w:r>
      <w:r w:rsidR="00D15A0F" w:rsidRPr="000C7161">
        <w:t>S</w:t>
      </w:r>
      <w:r w:rsidR="00D15A0F">
        <w:t xml:space="preserve">údny dvor </w:t>
      </w:r>
      <w:r w:rsidRPr="000C7161">
        <w:t xml:space="preserve">v roku 2024 vykonal aj dôkladnú revíziu svojho systému na sledovanie riadenia projektov a finančné sledovanie projektov s cieľom zabezpečiť úplné podávanie správ a kontrolu nad poradenskými službami v oblasti digitalizácie fakturovanými na základe času do roku 2025; vyzýva </w:t>
      </w:r>
      <w:r w:rsidR="00D15A0F" w:rsidRPr="000C7161">
        <w:t>S</w:t>
      </w:r>
      <w:r w:rsidR="00D15A0F">
        <w:t>údny dvor</w:t>
      </w:r>
      <w:r w:rsidRPr="000C7161">
        <w:t>, aby o tejto záležitosti priebežne informoval orgán udeľujúci absolutórium;</w:t>
      </w:r>
    </w:p>
    <w:p w14:paraId="4519B97E" w14:textId="51028AEA" w:rsidR="00D53C1F" w:rsidRPr="000C7161" w:rsidRDefault="00D53C1F" w:rsidP="00D53C1F">
      <w:pPr>
        <w:pStyle w:val="NormalHanging12a"/>
      </w:pPr>
      <w:r w:rsidRPr="000C7161">
        <w:t>21.</w:t>
      </w:r>
      <w:r w:rsidRPr="000C7161">
        <w:tab/>
        <w:t xml:space="preserve">na základe správy </w:t>
      </w:r>
      <w:r w:rsidR="00D15A0F" w:rsidRPr="000C7161">
        <w:t>S</w:t>
      </w:r>
      <w:r w:rsidR="00D15A0F">
        <w:t xml:space="preserve">údneho dvora </w:t>
      </w:r>
      <w:r w:rsidRPr="000C7161">
        <w:t xml:space="preserve">o vnútornom audite za rok 2024 (ďalej len „interná správa“) konštatuje, že hlavné audítorské činnosti, ktoré vykonalo oddelenie </w:t>
      </w:r>
      <w:r w:rsidR="00D15A0F" w:rsidRPr="000C7161">
        <w:t>S</w:t>
      </w:r>
      <w:r w:rsidR="00D15A0F">
        <w:t xml:space="preserve">údneho dvora </w:t>
      </w:r>
      <w:r w:rsidRPr="000C7161">
        <w:t xml:space="preserve">pre vnútorný audit v roku 2024, sa týkali auditu projektu </w:t>
      </w:r>
      <w:r w:rsidR="00D15A0F" w:rsidRPr="000C7161">
        <w:t>S</w:t>
      </w:r>
      <w:r w:rsidR="00D15A0F">
        <w:t xml:space="preserve">údneho dvora </w:t>
      </w:r>
      <w:r w:rsidRPr="000C7161">
        <w:t xml:space="preserve">na modernizáciu jeho opatrení v oblasti bezpečnosti infraštruktúry a projektov v oblasti inventúry majetku, ako aj troch štúdií: štúdie o zmenách v potrebách ľudského kapitálu </w:t>
      </w:r>
      <w:r w:rsidR="00D15A0F" w:rsidRPr="000C7161">
        <w:t>S</w:t>
      </w:r>
      <w:r w:rsidR="00D15A0F">
        <w:t xml:space="preserve">údneho dvora </w:t>
      </w:r>
      <w:r w:rsidRPr="000C7161">
        <w:t xml:space="preserve">v ére generatívnej umelej inteligencie, štúdie o kompetenciách organizácií a ich zamestnancov v meniacom sa prostredí a štúdie o dobrých podmienkach zamestnancov a vznikajúcich technológiách; na základe internej správy s uznaním konštatuje, že príslušné útvary prijali opatrenia na vykonanie audítorských odporúčaní – často ešte pred ukončením auditov; ďalej konštatuje, že v súvislosti s programom na rok 2024 prebiehala v roku 2025 práca na audite licencií v oblasti IT a na poslednej časti auditu riadenia nákupu nábytku a vybavenia; konštatuje, že nahlásený aktuálny stav auditu riadenia nákupu nábytku a vybavenia zostal počas dvoch po sebe nasledujúcich vykazovaných období nezmenený; vyzýva </w:t>
      </w:r>
      <w:r w:rsidR="00D15A0F" w:rsidRPr="000C7161">
        <w:t>S</w:t>
      </w:r>
      <w:r w:rsidR="00D15A0F">
        <w:t>údny dvor</w:t>
      </w:r>
      <w:r w:rsidRPr="000C7161">
        <w:t>, aby v budúcnosti v tabuľkovom formáte predložil aktuálne informácie o monitorovaní opatrení prijatých na základe odporúčaní vnútorného auditu a uviedol, v akom stave je vykonávanie každého opatrenia a odporúčania;</w:t>
      </w:r>
    </w:p>
    <w:p w14:paraId="06EDE3A7" w14:textId="77777777" w:rsidR="00D53C1F" w:rsidRPr="000C7161" w:rsidRDefault="00D53C1F" w:rsidP="00D53C1F">
      <w:pPr>
        <w:pStyle w:val="NormalHanging12a"/>
        <w:rPr>
          <w:b/>
          <w:i/>
          <w:iCs/>
        </w:rPr>
      </w:pPr>
      <w:r w:rsidRPr="000C7161">
        <w:rPr>
          <w:b/>
          <w:i/>
          <w:iCs/>
        </w:rPr>
        <w:t>Ľudské zdroje, rovnosť a dobré pracovné podmienky zamestnancov</w:t>
      </w:r>
    </w:p>
    <w:p w14:paraId="6F433F14" w14:textId="77777777" w:rsidR="00D53C1F" w:rsidRPr="000C7161" w:rsidRDefault="00D53C1F" w:rsidP="00D53C1F">
      <w:pPr>
        <w:pStyle w:val="NormalHanging12a"/>
      </w:pPr>
      <w:r w:rsidRPr="000C7161">
        <w:t>22.</w:t>
      </w:r>
      <w:r w:rsidRPr="000C7161">
        <w:tab/>
        <w:t>konštatuje, že na konci roka sa celkový počet úradníkov zvýšil z 1 340 (58 %) v roku 2023 na 1 354 (60 %) v roku 2024, počet dočasných zamestnancov sa znížil zo 765 (33 %) v roku 2023 na 740 (33 %) v roku 2024 a počet zmluvných zamestnancov sa znížil zo 198 (9 %) v roku 2023 na 173 (7 %) v roku 2024; konštatuje, že miera obsadenosti pracovných miest sa mierne znížila z 97,11 % v roku 2023 na 96,70 % v roku 2024 a ročná fluktuácia zamestnancov sa znížila zo 6,54 % v roku 2023 na 6,32 % v roku 2024, pričom 41 % odchodov zamestnancov súviselo s dôchodkom;</w:t>
      </w:r>
    </w:p>
    <w:p w14:paraId="01D7D210" w14:textId="77777777" w:rsidR="00D53C1F" w:rsidRPr="000C7161" w:rsidRDefault="00D53C1F" w:rsidP="00D53C1F">
      <w:pPr>
        <w:pStyle w:val="NormalHanging12a"/>
      </w:pPr>
      <w:r w:rsidRPr="000C7161">
        <w:t>23.</w:t>
      </w:r>
      <w:r w:rsidRPr="000C7161">
        <w:tab/>
        <w:t xml:space="preserve">konštatuje, že Súdny dvor sa skladá z 27 sudcov a 11 generálnych advokátov a </w:t>
      </w:r>
      <w:r w:rsidRPr="000C7161">
        <w:lastRenderedPageBreak/>
        <w:t>Všeobecný súd sa skladá z 54 sudcov; ďalej konštatuje, že deväť nových sudcov na Súdnom dvore a dvaja noví sudcovia na Všeobecnom súde sa ujali funkcie z dôvodu čiastočného nahradenia v roku 2024; vyjadruje poľutovanie nad tým, že rodové zloženie na Súdnom dvore a Všeobecnom súde je naďalej veľmi nevyvážené; oceňuje list predsedu Všeobecného súdu predsedovi Konferencie zástupcov členských štátov v roku 2024, v ktorom vyzýva členské štáty, aby pri navrhovaní kandidátov na nahradenie sudcov a generálnych advokátov zohľadnili potrebu rodovej rovnováhy; opätovne vyzýva členské štáty, aby pri navrhovaní kandidátov na nahradenie sudcov zohľadnili potrebu rodovej rovnováhy a zároveň zabezpečili, aby nominácie boli naďalej založené na kritériách zásluh, kvalifikácie a nezávislosti;</w:t>
      </w:r>
    </w:p>
    <w:p w14:paraId="4FA26396" w14:textId="0C81AC5B" w:rsidR="00D53C1F" w:rsidRPr="000C7161" w:rsidRDefault="00D53C1F" w:rsidP="00D53C1F">
      <w:pPr>
        <w:pStyle w:val="NormalHanging12a"/>
      </w:pPr>
      <w:r w:rsidRPr="000C7161">
        <w:t>24.</w:t>
      </w:r>
      <w:r w:rsidRPr="000C7161">
        <w:tab/>
        <w:t xml:space="preserve">konštatuje, že v roku 2024 personál </w:t>
      </w:r>
      <w:r w:rsidR="00D15A0F" w:rsidRPr="000C7161">
        <w:t>S</w:t>
      </w:r>
      <w:r w:rsidR="00D15A0F">
        <w:t xml:space="preserve">údneho dvora </w:t>
      </w:r>
      <w:r w:rsidRPr="000C7161">
        <w:t>tvorilo 60,70 % žien a 39,30 % mužov; konštatuje, že zastúpenie žien bolo najvyššie v platových triedach asistentov (69,14 %), zatiaľ čo, bohužiaľ, najnižšie bolo na pozíciách vyššieho manažmentu (35,71 %); ďalej konštatuje zvýšenie podielu žien na pozíciách stredného manažmentu zo 43,33 % v roku 2023 na 51,61 % v roku 2024; na základe správy o riadení povoľujúceho úradníka vymenovaného delegovaním za rok 2024 s uspokojením konštatuje rastúci trend celkového zastúpenia žien na riadiacich pozíciách, a to z 37,50 % v roku 2018 na 48,70 % v roku 2024; zdôrazňuje, že pretrvávajúce nedostatočné zastúpenie žien na vyšších riadiacich pozíciách stále vyvoláva obavy, a nabáda súd, aby naďalej posilňoval cielené opatrenia zamerané na podporu kariérneho postupu a možností žien dosiahnuť vedúce pozície pri plnom dodržiavaní zásad zásluh a transparentnosti;</w:t>
      </w:r>
    </w:p>
    <w:p w14:paraId="23D35F0B" w14:textId="585BF2C0" w:rsidR="00D53C1F" w:rsidRPr="000C7161" w:rsidRDefault="00D53C1F" w:rsidP="00D53C1F">
      <w:pPr>
        <w:pStyle w:val="NormalHanging12a"/>
        <w:rPr>
          <w:bCs/>
          <w:iCs/>
        </w:rPr>
      </w:pPr>
      <w:r w:rsidRPr="000C7161">
        <w:t>25.</w:t>
      </w:r>
      <w:r w:rsidRPr="000C7161">
        <w:tab/>
        <w:t xml:space="preserve">víta vytvorenie akčného plánu týkajúceho sa Dohovoru Rady Európy o predchádzaní násiliu na ženách a domácemu násiliu a o boji proti nemu (ďalej len „Istanbulský dohovor“), na základe ktorého sa zosúlaďujú opatrenia, vydávajú odporúčania a organizujú informačné a vzdelávacie opatrenia pre všetkých zamestnancov s cieľom predchádzať prípadom obťažovania; berie na vedomie ďalšie oznámené opatrenia, ktoré zahŕňajú pokračovanie spolupráce s vnútroštátnymi organizáciami pôsobiacimi v oblasti predchádzania násiliu páchanému na ženách, dodatočné iniciatívy na zvyšovanie informovanosti a školenia, ktoré zdôrazňujú najmä vplyv </w:t>
      </w:r>
      <w:proofErr w:type="spellStart"/>
      <w:r w:rsidRPr="000C7161">
        <w:t>mikroagresií</w:t>
      </w:r>
      <w:proofErr w:type="spellEnd"/>
      <w:r w:rsidRPr="000C7161">
        <w:t xml:space="preserve"> a rodových predsudkov; v tejto súvislosti vyjadruje poľutovanie nad chýbajúcim povinným školením sudcov </w:t>
      </w:r>
      <w:r w:rsidR="00D15A0F" w:rsidRPr="000C7161">
        <w:t>S</w:t>
      </w:r>
      <w:r w:rsidR="00D15A0F">
        <w:t>údneho dvora</w:t>
      </w:r>
      <w:r w:rsidRPr="000C7161">
        <w:t xml:space="preserve">, ako sa uvádza v odpovediach </w:t>
      </w:r>
      <w:r w:rsidR="00D15A0F" w:rsidRPr="000C7161">
        <w:t>S</w:t>
      </w:r>
      <w:r w:rsidR="00D15A0F">
        <w:t xml:space="preserve">údneho dvora </w:t>
      </w:r>
      <w:r w:rsidRPr="000C7161">
        <w:t xml:space="preserve">na dotazník týkajúci sa absolutória za rok 2024; naliehavo preto vyzýva na začlenenie všetkých jednotlivcov, a to zamestnancov aj sudcov </w:t>
      </w:r>
      <w:r w:rsidR="00D15A0F" w:rsidRPr="000C7161">
        <w:t>S</w:t>
      </w:r>
      <w:r w:rsidR="00D15A0F">
        <w:t>údneho dvora</w:t>
      </w:r>
      <w:r w:rsidRPr="000C7161">
        <w:t>, do povinných školení v oblasti predchádzania násiliu páchanému na ženách;</w:t>
      </w:r>
    </w:p>
    <w:p w14:paraId="7EF1E28A" w14:textId="01D38AF6" w:rsidR="00D53C1F" w:rsidRPr="000C7161" w:rsidRDefault="00D53C1F" w:rsidP="00D53C1F">
      <w:pPr>
        <w:pStyle w:val="NormalHanging12a"/>
      </w:pPr>
      <w:r w:rsidRPr="000C7161">
        <w:t>26.</w:t>
      </w:r>
      <w:r w:rsidRPr="000C7161">
        <w:tab/>
        <w:t xml:space="preserve">s uznaním berie na vedomie rozmanitosť úsilia </w:t>
      </w:r>
      <w:r w:rsidR="00D15A0F" w:rsidRPr="000C7161">
        <w:t>S</w:t>
      </w:r>
      <w:r w:rsidR="00D15A0F">
        <w:t xml:space="preserve">údneho dvora </w:t>
      </w:r>
      <w:r w:rsidRPr="000C7161">
        <w:t xml:space="preserve">a jeho opatrení, ktoré zaviedol medzi svojimi zamestnancami, a to aj vo fáze prijímania do zamestnania, a ktoré podporujú rovnosť, začlenenie, vzájomný rešpekt a rozmanitosť; predovšetkým berie na vedomie začatie novej odbornej prípravy v oblasti rozmanitosti a začlenenia v roku 2024 so zameraním na prevenciu </w:t>
      </w:r>
      <w:proofErr w:type="spellStart"/>
      <w:r w:rsidRPr="000C7161">
        <w:t>mikroagresie</w:t>
      </w:r>
      <w:proofErr w:type="spellEnd"/>
      <w:r w:rsidRPr="000C7161">
        <w:t xml:space="preserve"> a od roku 2025 dve nové školenia o stanovovaní zdravých hraníc na zlepšenie výkonnosti a o prostredí bez obťažovania, ktoré boli zorganizované na základe odporúčaní </w:t>
      </w:r>
      <w:proofErr w:type="spellStart"/>
      <w:r w:rsidRPr="000C7161">
        <w:t>medziútvarovej</w:t>
      </w:r>
      <w:proofErr w:type="spellEnd"/>
      <w:r w:rsidRPr="000C7161">
        <w:t xml:space="preserve"> pracovnej skupiny </w:t>
      </w:r>
      <w:r w:rsidR="00D15A0F" w:rsidRPr="000C7161">
        <w:t>S</w:t>
      </w:r>
      <w:r w:rsidR="00D15A0F">
        <w:t xml:space="preserve">údneho dvora </w:t>
      </w:r>
      <w:r w:rsidRPr="000C7161">
        <w:t xml:space="preserve">pre Istanbulský dohovor; s uznaním berie na vedomie </w:t>
      </w:r>
      <w:proofErr w:type="spellStart"/>
      <w:r w:rsidRPr="000C7161">
        <w:t>personalizované</w:t>
      </w:r>
      <w:proofErr w:type="spellEnd"/>
      <w:r w:rsidRPr="000C7161">
        <w:t xml:space="preserve"> podporné opatrenia </w:t>
      </w:r>
      <w:r w:rsidR="00D15A0F" w:rsidRPr="000C7161">
        <w:t>S</w:t>
      </w:r>
      <w:r w:rsidR="00D15A0F">
        <w:t xml:space="preserve">údneho dvora </w:t>
      </w:r>
      <w:r w:rsidRPr="000C7161">
        <w:t xml:space="preserve">(týkajúce sa úloh, pracovného času a pracovných priestorov) zavedené od roku 2022 pre zamestnancov so zdravotným postihnutím, zapojenie inštitúcie do Týždňa povedomia o zdravotnom postihnutí, ktorý bol zorganizovaný v roku 2024, a vývoj pilotného programu pre stážistov so zdravotným postihnutím od roku 2025; vyzýva </w:t>
      </w:r>
      <w:r w:rsidR="00D15A0F" w:rsidRPr="000C7161">
        <w:t>S</w:t>
      </w:r>
      <w:r w:rsidR="00D15A0F">
        <w:t>údny dvor</w:t>
      </w:r>
      <w:r w:rsidRPr="000C7161">
        <w:t xml:space="preserve">, aby informoval orgán udeľujúci </w:t>
      </w:r>
      <w:r w:rsidRPr="000C7161">
        <w:lastRenderedPageBreak/>
        <w:t>absolutórium o výsledku tohto programu;</w:t>
      </w:r>
    </w:p>
    <w:p w14:paraId="208CB528" w14:textId="7F0440DF" w:rsidR="00D53C1F" w:rsidRPr="000C7161" w:rsidRDefault="00D53C1F" w:rsidP="00D53C1F">
      <w:pPr>
        <w:pStyle w:val="NormalHanging12a"/>
      </w:pPr>
      <w:r w:rsidRPr="000C7161">
        <w:t>27.</w:t>
      </w:r>
      <w:r w:rsidRPr="000C7161">
        <w:tab/>
        <w:t xml:space="preserve">víta skutočnosť, že medzi zamestnancami </w:t>
      </w:r>
      <w:r w:rsidR="00D15A0F" w:rsidRPr="000C7161">
        <w:t>S</w:t>
      </w:r>
      <w:r w:rsidR="00D15A0F">
        <w:t xml:space="preserve">údneho dvora </w:t>
      </w:r>
      <w:r w:rsidRPr="000C7161">
        <w:t xml:space="preserve">sú zastúpení štátni príslušníci všetkých členských štátov Únie; konštatuje však, že niektoré štátne príslušnosti sú zastúpené viac než iné, pričom niektoré z nich sú do veľkej miery zastúpené nadmerne; podporuje </w:t>
      </w:r>
      <w:r w:rsidR="00D15A0F" w:rsidRPr="000C7161">
        <w:t>S</w:t>
      </w:r>
      <w:r w:rsidR="00D15A0F">
        <w:t xml:space="preserve">údny dvor </w:t>
      </w:r>
      <w:r w:rsidRPr="000C7161">
        <w:t xml:space="preserve">v zintenzívnení jeho úsilia o čo najširšiu propagáciu oznámení o voľných pracovných miestach prostredníctvom </w:t>
      </w:r>
      <w:proofErr w:type="spellStart"/>
      <w:r w:rsidRPr="000C7161">
        <w:t>medziinštitucionálnych</w:t>
      </w:r>
      <w:proofErr w:type="spellEnd"/>
      <w:r w:rsidRPr="000C7161">
        <w:t xml:space="preserve"> webových sídel, sietí sociálnych médií a úradu EPSO; na základe správy o následných opatreniach berie na vedomie záväzok </w:t>
      </w:r>
      <w:r w:rsidR="00D15A0F" w:rsidRPr="000C7161">
        <w:t>S</w:t>
      </w:r>
      <w:r w:rsidR="00D15A0F">
        <w:t xml:space="preserve">údneho dvora </w:t>
      </w:r>
      <w:r w:rsidRPr="000C7161">
        <w:t xml:space="preserve">preskúmať relevantné údaje na zavedenie cielených opatrení zameraných na zlepšenie geografického zastúpenia svojich zamestnancov vrátane stážistov; víta úsilie </w:t>
      </w:r>
      <w:r w:rsidR="00D15A0F" w:rsidRPr="000C7161">
        <w:t>S</w:t>
      </w:r>
      <w:r w:rsidR="00D15A0F">
        <w:t xml:space="preserve">údneho dvora </w:t>
      </w:r>
      <w:r w:rsidRPr="000C7161">
        <w:t xml:space="preserve">o zvýšenie povedomia o programoch stáží medzi vnútroštátnymi správnymi orgánmi a stálymi zastúpeniami nedostatočne zastúpených členských štátov;  s uspokojením konštatuje, že pokiaľ ide o stáže v rámci Európskej siete odbornej justičnej prípravy (EJTN), </w:t>
      </w:r>
      <w:r w:rsidR="00D15A0F" w:rsidRPr="000C7161">
        <w:t>S</w:t>
      </w:r>
      <w:r w:rsidR="00D15A0F">
        <w:t xml:space="preserve">údny dvor </w:t>
      </w:r>
      <w:r w:rsidRPr="000C7161">
        <w:t>dostal v roku 2024 žiadosti od troch nových členských štátov, ktoré sa po prvýkrát zapojili do jeho dlhodobého programu odbornej prípravy pre vnútroštátnych odborníkov v oblasti justície.</w:t>
      </w:r>
    </w:p>
    <w:p w14:paraId="510E7E18" w14:textId="7D72A2D3" w:rsidR="00D53C1F" w:rsidRPr="000C7161" w:rsidRDefault="00D53C1F" w:rsidP="00D53C1F">
      <w:pPr>
        <w:pStyle w:val="NormalHanging12a"/>
      </w:pPr>
      <w:r w:rsidRPr="000C7161">
        <w:t>28.</w:t>
      </w:r>
      <w:r w:rsidRPr="000C7161">
        <w:tab/>
        <w:t xml:space="preserve">oceňuje opatrenia </w:t>
      </w:r>
      <w:r w:rsidR="00D15A0F" w:rsidRPr="000C7161">
        <w:t>S</w:t>
      </w:r>
      <w:r w:rsidR="00D15A0F">
        <w:t xml:space="preserve">údneho dvora </w:t>
      </w:r>
      <w:r w:rsidRPr="000C7161">
        <w:t xml:space="preserve">v oblasti (právnej) viacjazyčnosti v roku 2024, ako je dokončenie a spustenie webového sídla o viacjazyčnosti, </w:t>
      </w:r>
      <w:proofErr w:type="spellStart"/>
      <w:r w:rsidRPr="000C7161">
        <w:t>spoluorganizácia</w:t>
      </w:r>
      <w:proofErr w:type="spellEnd"/>
      <w:r w:rsidRPr="000C7161">
        <w:t xml:space="preserve"> prvého ročníka letnej školy spolu s ďalšími inštitúciami Únie, úzka spolupráca s členskými štátmi na vytvorení súboru externých odborných znalostí s cieľom riešiť nárast objemu prekladov a pokryť všetky jazykové kombinácie, opatrenia na zvýšenie informovanosti pre trh s externými prekladateľskými službami a pokračujúca modernizácia postupov a zručností v oblasti používania digitálnych prekladateľských nástrojov (vrátane nástrojov súvisiacich s umelou inteligenciou);</w:t>
      </w:r>
    </w:p>
    <w:p w14:paraId="34085242" w14:textId="04182440" w:rsidR="00D53C1F" w:rsidRPr="000C7161" w:rsidRDefault="00D53C1F" w:rsidP="00D53C1F">
      <w:pPr>
        <w:pStyle w:val="NormalHanging12a"/>
      </w:pPr>
      <w:r w:rsidRPr="000C7161">
        <w:t>29.</w:t>
      </w:r>
      <w:r w:rsidRPr="000C7161">
        <w:tab/>
        <w:t xml:space="preserve">oceňuje </w:t>
      </w:r>
      <w:r w:rsidR="00D15A0F" w:rsidRPr="000C7161">
        <w:t>S</w:t>
      </w:r>
      <w:r w:rsidR="00D15A0F">
        <w:t xml:space="preserve">údny dvor </w:t>
      </w:r>
      <w:r w:rsidRPr="000C7161">
        <w:t xml:space="preserve">za jeho opatrenia na riešenie výziev v oblasti prijímania zamestnancov a na propagáciu Luxemburska ako miesta výkonu práce medzi mladými absolventmi; s uznaním berie na vedomie prínos </w:t>
      </w:r>
      <w:r w:rsidR="00D15A0F" w:rsidRPr="000C7161">
        <w:t>S</w:t>
      </w:r>
      <w:r w:rsidR="00D15A0F">
        <w:t xml:space="preserve">údneho dvora </w:t>
      </w:r>
      <w:r w:rsidRPr="000C7161">
        <w:t xml:space="preserve">k vytvoreniu a zavedeniu príspevku na bývanie vyplácaného so spätnou účinnosťou od 1. januára 2025 zamestnancom v nižších platových triedach, k príprave výberových konaní EPSO osobitne zameraných na zamestnancov, ktorí majú byť zamestnaní v Luxembursku, ako aj k organizácii informačných stretnutí a letných škôl; nabáda na intenzívnejšiu spoluprácu s úradom EPSO a inými inštitúciami s cieľom rozšíriť skupinu kvalifikovaných uchádzačov a posilniť súťažné výberové konania v špecializovaných oblastiach; na základe správy o následných opatreniach konštatuje, že </w:t>
      </w:r>
      <w:r w:rsidR="00D15A0F" w:rsidRPr="000C7161">
        <w:t>S</w:t>
      </w:r>
      <w:r w:rsidR="00D15A0F">
        <w:t xml:space="preserve">údny dvor </w:t>
      </w:r>
      <w:r w:rsidRPr="000C7161">
        <w:t xml:space="preserve">v mene </w:t>
      </w:r>
      <w:proofErr w:type="spellStart"/>
      <w:r w:rsidRPr="000C7161">
        <w:t>medziinštitucionálnej</w:t>
      </w:r>
      <w:proofErr w:type="spellEnd"/>
      <w:r w:rsidRPr="000C7161">
        <w:t xml:space="preserve"> skupiny na vysokej úrovni uskutočnil pilotný projekt/prieskum s cieľom zistiť, či by bolo možné uzavrieť zmluvu na služby prenájmu dočasného bývania (t. j. na obdobie najviac jedného roka) za trhovú cenu (alebo nižšiu), ktorú by platili priamo zamestnanci; ďalej konštatuje, že prieskum bol úspešný, a preto pracovná skupina predložila zúčastneným inštitúciám dohodu o úrovni poskytovaných služieb s cieľom poveriť </w:t>
      </w:r>
      <w:r w:rsidR="00D15A0F" w:rsidRPr="000C7161">
        <w:t>S</w:t>
      </w:r>
      <w:r w:rsidR="00D15A0F">
        <w:t>údny dvor</w:t>
      </w:r>
      <w:r w:rsidRPr="000C7161">
        <w:t xml:space="preserve">, aby viedol rokovania o nehnuteľnostiach so subjektmi, ktoré predložili vhodné projekty; vyzýva </w:t>
      </w:r>
      <w:r w:rsidR="00D15A0F" w:rsidRPr="000C7161">
        <w:t>S</w:t>
      </w:r>
      <w:r w:rsidR="00D15A0F">
        <w:t>údny dvor</w:t>
      </w:r>
      <w:r w:rsidRPr="000C7161">
        <w:t>, aby informoval orgán udeľujúci absolutórium o následných opatreniach v tejto veci;</w:t>
      </w:r>
    </w:p>
    <w:p w14:paraId="3E488B43" w14:textId="1FC98A0E" w:rsidR="00D53C1F" w:rsidRPr="000C7161" w:rsidRDefault="00D53C1F" w:rsidP="00D53C1F">
      <w:pPr>
        <w:pStyle w:val="NormalHanging12a"/>
      </w:pPr>
      <w:r w:rsidRPr="000C7161">
        <w:t>30.</w:t>
      </w:r>
      <w:r w:rsidRPr="000C7161">
        <w:tab/>
        <w:t xml:space="preserve">poznamenáva, že </w:t>
      </w:r>
      <w:r w:rsidR="00D15A0F" w:rsidRPr="000C7161">
        <w:t>S</w:t>
      </w:r>
      <w:r w:rsidR="00D15A0F">
        <w:t xml:space="preserve">údny dvor </w:t>
      </w:r>
      <w:r w:rsidRPr="000C7161">
        <w:t xml:space="preserve">prijal v rámci všeobecného systému (platených) stáží 201 stážistov; ďalej poznamenáva, že 34 % pôvodne vybraných uchádzačov ponuku </w:t>
      </w:r>
      <w:r w:rsidR="00D15A0F" w:rsidRPr="000C7161">
        <w:t>S</w:t>
      </w:r>
      <w:r w:rsidR="00D15A0F">
        <w:t xml:space="preserve">údneho dvora </w:t>
      </w:r>
      <w:r w:rsidRPr="000C7161">
        <w:t>odmietlo po tom, ako si uvedomili vysoké životné náklady v Luxembursku</w:t>
      </w:r>
      <w:bookmarkStart w:id="8" w:name="_Hlk215138302"/>
      <w:r w:rsidRPr="000C7161">
        <w:t xml:space="preserve">; opätovne zdôrazňuje, že stáže by mali byť odmeňované v súlade s uznesením Európskeho parlamentu zo 14. júna 2023 o kvalitných stážach v Únii </w:t>
      </w:r>
      <w:r w:rsidRPr="000C7161">
        <w:lastRenderedPageBreak/>
        <w:t xml:space="preserve">(2020/2005(INL)), v ktorom sa požaduje, aby boli všetky stáže v Únii platené; </w:t>
      </w:r>
      <w:bookmarkEnd w:id="8"/>
      <w:r w:rsidRPr="000C7161">
        <w:t xml:space="preserve">víta, že v súčasnosti všetci stážisti na </w:t>
      </w:r>
      <w:r w:rsidR="00D15A0F" w:rsidRPr="000C7161">
        <w:t>S</w:t>
      </w:r>
      <w:r w:rsidR="00D15A0F">
        <w:t xml:space="preserve">údnom dvore </w:t>
      </w:r>
      <w:r w:rsidRPr="000C7161">
        <w:t xml:space="preserve">dostávajú počas svojho pobytu grant, najmä od </w:t>
      </w:r>
      <w:r w:rsidR="00D15A0F" w:rsidRPr="000C7161">
        <w:t>S</w:t>
      </w:r>
      <w:r w:rsidR="00D15A0F">
        <w:t xml:space="preserve">údneho dvora </w:t>
      </w:r>
      <w:r w:rsidRPr="000C7161">
        <w:t xml:space="preserve">a v niektorých osobitných prípadoch z iných zdrojov; berie na vedomie, že </w:t>
      </w:r>
      <w:r w:rsidR="00D15A0F" w:rsidRPr="000C7161">
        <w:t>S</w:t>
      </w:r>
      <w:r w:rsidR="00D15A0F">
        <w:t xml:space="preserve">údny dvor </w:t>
      </w:r>
      <w:r w:rsidRPr="000C7161">
        <w:t>prijíma len niekoľko stážistov (v roku 2024 ich bolo sedem) platených z iných zdrojov a na krátke obdobia;</w:t>
      </w:r>
    </w:p>
    <w:p w14:paraId="001368A7" w14:textId="5FA05BAD" w:rsidR="00D53C1F" w:rsidRPr="000C7161" w:rsidRDefault="00D53C1F" w:rsidP="00D53C1F">
      <w:pPr>
        <w:pStyle w:val="NormalHanging12a"/>
      </w:pPr>
      <w:r w:rsidRPr="000C7161">
        <w:t>31.</w:t>
      </w:r>
      <w:r w:rsidRPr="000C7161">
        <w:tab/>
        <w:t xml:space="preserve">konštatuje, že v roku 2024 bolo zdokumentovaných 17 prípadov vyhorenia, z toho osem nových prípadov bolo nahlásených v roku 2024 a deväť prípadov bolo nahlásených v roku 2023, pričom dotknutým zamestnancom bola poskytnutá odborná podpora a usmernenie; s uznaním konštatuje, že v roku 2024 bol </w:t>
      </w:r>
      <w:r w:rsidR="00D15A0F" w:rsidRPr="000C7161">
        <w:t>S</w:t>
      </w:r>
      <w:r w:rsidR="00D15A0F">
        <w:t xml:space="preserve">údny dvor </w:t>
      </w:r>
      <w:r w:rsidRPr="000C7161">
        <w:t>naďalej priekopníkom v iniciatívach, ktoré podporujú fyzickú a duševnú pohodu zamestnancov a riešia vyhorenie a psychosociálne riziká a medzi ktoré patria napríklad konzultácie so sociálnym pracovníkom či psychológom, prednášky o bdelej pozornosti (</w:t>
      </w:r>
      <w:proofErr w:type="spellStart"/>
      <w:r w:rsidRPr="000C7161">
        <w:t>mindfulness</w:t>
      </w:r>
      <w:proofErr w:type="spellEnd"/>
      <w:r w:rsidRPr="000C7161">
        <w:t xml:space="preserve">) a digitálnej rovnováhe, špecializované semináre a činnosti na zvyšovanie povedomia o zdravotných problémoch, školenia o prvej pomoci a nábor dvoch psychológov na čiastočný úväzok; uznáva úspech, pokiaľ ide o využívanie flexibilných foriem organizácie práce vrátane systému práce na diaľku </w:t>
      </w:r>
      <w:r w:rsidR="00D15A0F" w:rsidRPr="000C7161">
        <w:t>S</w:t>
      </w:r>
      <w:r w:rsidR="00D15A0F">
        <w:t>údneho dvora</w:t>
      </w:r>
      <w:r w:rsidRPr="000C7161">
        <w:t>, ktorý sa v konečnom dôsledku usiluje o lepšiu rovnováhu medzi pracovným a súkromným životom zamestnancov;</w:t>
      </w:r>
    </w:p>
    <w:p w14:paraId="03A283F2" w14:textId="77777777" w:rsidR="00D53C1F" w:rsidRPr="000C7161" w:rsidRDefault="00D53C1F" w:rsidP="00D53C1F">
      <w:pPr>
        <w:pStyle w:val="NormalHanging12a"/>
      </w:pPr>
      <w:r w:rsidRPr="000C7161">
        <w:t>32.</w:t>
      </w:r>
      <w:r w:rsidRPr="000C7161">
        <w:tab/>
        <w:t>konštatuje, že v roku 2023 sa začalo administratívne zisťovanie vo veci údajného sexuálneho obťažovania týkajúcej sa jedného zamestnanca a že táto vec bola v roku 2024 ukončená uložením sankcie; konštatuje, že v roku 2024 sa nezačalo žiadne nové administratívne zisťovanie týkajúce sa obťažovania;</w:t>
      </w:r>
    </w:p>
    <w:p w14:paraId="0CAC9404" w14:textId="77777777" w:rsidR="00D53C1F" w:rsidRPr="000C7161" w:rsidRDefault="00D53C1F" w:rsidP="00D53C1F">
      <w:pPr>
        <w:pStyle w:val="NormalHanging12a"/>
        <w:rPr>
          <w:b/>
          <w:i/>
          <w:iCs/>
        </w:rPr>
      </w:pPr>
      <w:r w:rsidRPr="000C7161">
        <w:rPr>
          <w:b/>
          <w:i/>
          <w:iCs/>
        </w:rPr>
        <w:t>Etický rámec, transparentnosť a prístup občanov k spravodlivosti</w:t>
      </w:r>
    </w:p>
    <w:p w14:paraId="53B707F5" w14:textId="67F37A66" w:rsidR="00D53C1F" w:rsidRPr="000C7161" w:rsidRDefault="00D53C1F" w:rsidP="00D53C1F">
      <w:pPr>
        <w:pStyle w:val="NormalHanging12a"/>
      </w:pPr>
      <w:r w:rsidRPr="000C7161">
        <w:t>33.</w:t>
      </w:r>
      <w:r w:rsidRPr="000C7161">
        <w:tab/>
        <w:t xml:space="preserve">berie na vedomie, že v súlade s požiadavkou uvedenou v predchádzajúcich odporúčaniach k absolutóriu bol v marci 2024 prijatý nový kódex správania pre úradníkov a ostatných zamestnancov </w:t>
      </w:r>
      <w:r w:rsidR="00D15A0F" w:rsidRPr="000C7161">
        <w:t>S</w:t>
      </w:r>
      <w:r w:rsidR="00D15A0F">
        <w:t>údneho dvora</w:t>
      </w:r>
      <w:r w:rsidRPr="000C7161">
        <w:t xml:space="preserve">, ktorý odráža hodnoty a záväzok </w:t>
      </w:r>
      <w:r w:rsidR="00D15A0F" w:rsidRPr="000C7161">
        <w:t>S</w:t>
      </w:r>
      <w:r w:rsidR="00D15A0F">
        <w:t xml:space="preserve">údneho dvora </w:t>
      </w:r>
      <w:r w:rsidRPr="000C7161">
        <w:t xml:space="preserve">dodržiavať prísne etické normy, a konštatuje, že tento kódex správania zahŕňa ustanovenia o konflikte záujmov, povinnosti lojality, povinnosti zachovávať dôvernosť a diskrétnosť, externých činnostiach, pracovných činnostiach po odchode zo služby a publikáciách, ako aj ustanovenia zamerané proti obťažovaniu, a že sa vzťahuje aj na vyslaných národných expertov a odborných justičných stážistov v rámci siete EJTN; s uspokojením konštatuje, že </w:t>
      </w:r>
      <w:r w:rsidR="00D15A0F" w:rsidRPr="000C7161">
        <w:t>S</w:t>
      </w:r>
      <w:r w:rsidR="00D15A0F">
        <w:t xml:space="preserve">údny dvor </w:t>
      </w:r>
      <w:r w:rsidRPr="000C7161">
        <w:t xml:space="preserve">zaviedol opatrenia na čo najširšiu prezentáciu a vysvetlenie kódexu správania a nato, aby zamestnanci plne porozumeli novým pravidlám a širšiemu právnemu rámcu, ktorého sú súčasťou, a že odborná príprava týkajúca sa kódexu správania a práv a povinností zamestnancov je povinná pre nových pracovníkov a dôrazne sa odporúča všetkým zamestnancom </w:t>
      </w:r>
      <w:r w:rsidR="00D15A0F" w:rsidRPr="000C7161">
        <w:t>S</w:t>
      </w:r>
      <w:r w:rsidR="00D15A0F">
        <w:t>údneho dvora</w:t>
      </w:r>
      <w:r w:rsidRPr="000C7161">
        <w:t xml:space="preserve">, pričom v roku 2024 sa na takejto odbornej príprave zúčastnilo celkovo 561 osôb (t. j. 24,75 % celkového počtu úradníkov a zamestnancov </w:t>
      </w:r>
      <w:r w:rsidR="00D15A0F" w:rsidRPr="000C7161">
        <w:t>S</w:t>
      </w:r>
      <w:r w:rsidR="00D15A0F">
        <w:t>údneho dvora</w:t>
      </w:r>
      <w:r w:rsidRPr="000C7161">
        <w:t xml:space="preserve">); ďalej konštatuje, že podobná odborná príprava bola v roku 2024 ponúknutá aj novým členom </w:t>
      </w:r>
      <w:r w:rsidR="00D15A0F" w:rsidRPr="000C7161">
        <w:t>S</w:t>
      </w:r>
      <w:r w:rsidR="00D15A0F">
        <w:t>údneho dvora</w:t>
      </w:r>
      <w:r w:rsidRPr="000C7161">
        <w:t xml:space="preserve">; s uznaním berie na vedomie sieť „dôverných poradcov“ </w:t>
      </w:r>
      <w:r w:rsidR="00D15A0F" w:rsidRPr="000C7161">
        <w:t>S</w:t>
      </w:r>
      <w:r w:rsidR="00D15A0F">
        <w:t>údneho dvora</w:t>
      </w:r>
      <w:r w:rsidRPr="000C7161">
        <w:t xml:space="preserve">, ktorí pomáhajú zamestnancom v prípade obťažovania, ako aj program riadenia talentov ponúkaný administrátorom s vysokým potenciálom, ktorý zahŕňa okrem iného etické </w:t>
      </w:r>
      <w:proofErr w:type="spellStart"/>
      <w:r w:rsidRPr="000C7161">
        <w:t>líderstvo</w:t>
      </w:r>
      <w:proofErr w:type="spellEnd"/>
      <w:r w:rsidRPr="000C7161">
        <w:t xml:space="preserve">; nabáda </w:t>
      </w:r>
      <w:r w:rsidR="00D15A0F" w:rsidRPr="000C7161">
        <w:t>S</w:t>
      </w:r>
      <w:r w:rsidR="00D15A0F">
        <w:t>údny dvor</w:t>
      </w:r>
      <w:r w:rsidRPr="000C7161">
        <w:t>, aby postupne posilňoval poskytovanie odbornej prípravy týkajúcej sa kódexu správania všetkým zamestnancom bez výnimky s cieľom zabezpečiť spoločné chápanie etických noriem v celej inštitúcii;</w:t>
      </w:r>
    </w:p>
    <w:p w14:paraId="2FB9139F" w14:textId="721C8B59" w:rsidR="00D53C1F" w:rsidRPr="000C7161" w:rsidRDefault="00D53C1F" w:rsidP="00D53C1F">
      <w:pPr>
        <w:pStyle w:val="NormalHanging12a"/>
      </w:pPr>
      <w:r w:rsidRPr="000C7161">
        <w:t>34.</w:t>
      </w:r>
      <w:r w:rsidRPr="000C7161">
        <w:tab/>
        <w:t xml:space="preserve">konštatuje, že po prijatí kódexu správania členov a bývalých členov </w:t>
      </w:r>
      <w:r w:rsidR="00D15A0F" w:rsidRPr="000C7161">
        <w:t>S</w:t>
      </w:r>
      <w:r w:rsidR="00D15A0F">
        <w:t xml:space="preserve">údneho dvora </w:t>
      </w:r>
      <w:r w:rsidRPr="000C7161">
        <w:t xml:space="preserve">boli </w:t>
      </w:r>
      <w:r w:rsidRPr="000C7161">
        <w:lastRenderedPageBreak/>
        <w:t xml:space="preserve">vyhlásenia členov </w:t>
      </w:r>
      <w:r w:rsidR="00D15A0F" w:rsidRPr="000C7161">
        <w:t>S</w:t>
      </w:r>
      <w:r w:rsidR="00D15A0F">
        <w:t xml:space="preserve">údneho dvora </w:t>
      </w:r>
      <w:r w:rsidRPr="000C7161">
        <w:t xml:space="preserve">o záujmoch uverejnené online, aby sa predišlo akémukoľvek prípadnému konfliktu záujmov pri riešení predmetných vecí; na základe správy o následných opatreniach s uspokojením konštatuje, že </w:t>
      </w:r>
      <w:r w:rsidR="00D15A0F" w:rsidRPr="000C7161">
        <w:t>S</w:t>
      </w:r>
      <w:r w:rsidR="00D15A0F">
        <w:t xml:space="preserve">údny dvor </w:t>
      </w:r>
      <w:r w:rsidRPr="000C7161">
        <w:t xml:space="preserve">v roku 2024 podpísal dohodu, ktorou sa zriaďuje </w:t>
      </w:r>
      <w:proofErr w:type="spellStart"/>
      <w:r w:rsidRPr="000C7161">
        <w:t>medziinštitucionálny</w:t>
      </w:r>
      <w:proofErr w:type="spellEnd"/>
      <w:r w:rsidRPr="000C7161">
        <w:t xml:space="preserve"> „etický orgán EÚ“, ktorého úlohou je okrem iného vypracovať spoločné minimálne normy správania členov signatárskych inštitúcií; oceňuje, že </w:t>
      </w:r>
      <w:r w:rsidR="00D15A0F" w:rsidRPr="000C7161">
        <w:t>S</w:t>
      </w:r>
      <w:r w:rsidR="00D15A0F">
        <w:t xml:space="preserve">údny dvor </w:t>
      </w:r>
      <w:r w:rsidRPr="000C7161">
        <w:t>si v rámci tohto orgánu zachováva štatút pozorovateľa v snahe zachovať nezávislosť súdnictva;</w:t>
      </w:r>
    </w:p>
    <w:p w14:paraId="6A328550" w14:textId="3A0EAABD" w:rsidR="00D53C1F" w:rsidRPr="000C7161" w:rsidRDefault="00D53C1F" w:rsidP="00D53C1F">
      <w:pPr>
        <w:pStyle w:val="NormalHanging12a"/>
      </w:pPr>
      <w:r w:rsidRPr="000C7161">
        <w:t>35.</w:t>
      </w:r>
      <w:r w:rsidRPr="000C7161">
        <w:tab/>
        <w:t xml:space="preserve">berie na vedomie spoľahlivú politiku </w:t>
      </w:r>
      <w:r w:rsidR="00D15A0F" w:rsidRPr="000C7161">
        <w:t>S</w:t>
      </w:r>
      <w:r w:rsidR="00D15A0F">
        <w:t xml:space="preserve">údneho dvora </w:t>
      </w:r>
      <w:r w:rsidRPr="000C7161">
        <w:t xml:space="preserve">v oblasti odhaľovania a prevencie konfliktov záujmov v rámci inštitúcie a v súvislosti s javom otáčavých dverí, pričom v novom kódexe správania sa vymedzujú osobitné a prísnejšie pravidlá pre manažérov a </w:t>
      </w:r>
      <w:proofErr w:type="spellStart"/>
      <w:r w:rsidRPr="000C7161">
        <w:t>referendárov</w:t>
      </w:r>
      <w:proofErr w:type="spellEnd"/>
      <w:r w:rsidRPr="000C7161">
        <w:t xml:space="preserve">; poznamenáva, že v roku 2024 boli riešené tri vyhlásenia zamestnancov o potenciálnom konflikte záujmov, pričom žiadne z nich si nevyžiadalo nápravné opatrenia; ďalej poznamenáva, že v roku 2024 oznámilo 57 zamestnancov svoj zámer pracovať aj po odchode zo </w:t>
      </w:r>
      <w:r w:rsidR="00D15A0F" w:rsidRPr="000C7161">
        <w:t>S</w:t>
      </w:r>
      <w:r w:rsidR="00D15A0F">
        <w:t>údneho dvora</w:t>
      </w:r>
      <w:r w:rsidRPr="000C7161">
        <w:t xml:space="preserve">, pričom žiadny z nich nemusel absolvovať obdobie, počas ktorého sa osoba musí vyhýbať akýmkoľvek konfliktom záujmov; konštatuje však, že takéto obdobie vo veci, ktorú v roku 2023 predložil bývalý vedúci zamestnanec, pokračovalo aj v roku 2024; konštatuje, že v roku 2024 nebol </w:t>
      </w:r>
      <w:r w:rsidR="00D15A0F" w:rsidRPr="000C7161">
        <w:t>S</w:t>
      </w:r>
      <w:r w:rsidR="00D15A0F">
        <w:t xml:space="preserve">údnemu dvoru </w:t>
      </w:r>
      <w:r w:rsidRPr="000C7161">
        <w:t>nahlásený žiadny prípad oznamovania protispoločenskej činnosti;</w:t>
      </w:r>
    </w:p>
    <w:p w14:paraId="2F314400" w14:textId="6CF75EF8" w:rsidR="00D53C1F" w:rsidRPr="000C7161" w:rsidRDefault="00D53C1F" w:rsidP="00D53C1F">
      <w:pPr>
        <w:pStyle w:val="NormalHanging12a"/>
      </w:pPr>
      <w:r w:rsidRPr="000C7161">
        <w:t>36.</w:t>
      </w:r>
      <w:r w:rsidRPr="000C7161">
        <w:tab/>
        <w:t xml:space="preserve">na základe správy o následných opatreniach konštatuje, že politika vylúčenia sudcov v prípadoch skutočného alebo zjavného konfliktu záujmov je už povinná a že </w:t>
      </w:r>
      <w:r w:rsidR="00D15A0F" w:rsidRPr="000C7161">
        <w:t>S</w:t>
      </w:r>
      <w:r w:rsidR="00D15A0F">
        <w:t xml:space="preserve">údny dvor </w:t>
      </w:r>
      <w:r w:rsidRPr="000C7161">
        <w:t xml:space="preserve">sa opiera o odskúšaný mechanizmus na predchádzanie konfliktom záujmov, pričom tento mechanizmus sa vzťahuje na proces výberu členov </w:t>
      </w:r>
      <w:r w:rsidR="00D15A0F" w:rsidRPr="000C7161">
        <w:t>S</w:t>
      </w:r>
      <w:r w:rsidR="00D15A0F">
        <w:t xml:space="preserve">údneho dvora </w:t>
      </w:r>
      <w:r w:rsidRPr="000C7161">
        <w:t>a je plne účinný pri ich nástupe do funkcie;</w:t>
      </w:r>
    </w:p>
    <w:p w14:paraId="100A8A19" w14:textId="3AE7F680" w:rsidR="00D53C1F" w:rsidRPr="000C7161" w:rsidRDefault="00D53C1F" w:rsidP="00D53C1F">
      <w:pPr>
        <w:pStyle w:val="NormalHanging12a"/>
      </w:pPr>
      <w:r w:rsidRPr="000C7161">
        <w:t>37.</w:t>
      </w:r>
      <w:r w:rsidRPr="000C7161">
        <w:tab/>
        <w:t xml:space="preserve">konštatuje, že v roku 2024 mali všetci členovia </w:t>
      </w:r>
      <w:r w:rsidR="00D15A0F" w:rsidRPr="000C7161">
        <w:t>S</w:t>
      </w:r>
      <w:r w:rsidR="00D15A0F">
        <w:t xml:space="preserve">údneho dvora </w:t>
      </w:r>
      <w:r w:rsidRPr="000C7161">
        <w:t>bydlisko v Luxembursku v súlade s článkom 14 štatútu;</w:t>
      </w:r>
    </w:p>
    <w:p w14:paraId="7F60893D" w14:textId="6219994B" w:rsidR="00D53C1F" w:rsidRPr="000C7161" w:rsidRDefault="00D53C1F" w:rsidP="00D53C1F">
      <w:pPr>
        <w:pStyle w:val="NormalHanging12a"/>
      </w:pPr>
      <w:r w:rsidRPr="000C7161">
        <w:t>38.</w:t>
      </w:r>
      <w:r w:rsidRPr="000C7161">
        <w:tab/>
        <w:t xml:space="preserve">poznamenáva, že zoznam externých činností vykonávaných členmi Súdneho dvora aj Všeobecného súdu je uverejnený na webovom sídle </w:t>
      </w:r>
      <w:r w:rsidR="00D15A0F" w:rsidRPr="000C7161">
        <w:t>S</w:t>
      </w:r>
      <w:r w:rsidR="00D15A0F">
        <w:t xml:space="preserve">údneho dvora </w:t>
      </w:r>
      <w:r w:rsidRPr="000C7161">
        <w:t xml:space="preserve">od roku 2018 a že takéto činnosti sú schválené len vtedy, ak sú zlučiteľné s požiadavkami kódexu správania členov </w:t>
      </w:r>
      <w:r w:rsidR="00D15A0F" w:rsidRPr="000C7161">
        <w:t>S</w:t>
      </w:r>
      <w:r w:rsidR="00D15A0F">
        <w:t xml:space="preserve">údneho dvora </w:t>
      </w:r>
      <w:r w:rsidRPr="000C7161">
        <w:t xml:space="preserve">a s ich povinnosťami byť k dispozícii na výkon súdnych činností; na základe správy o následných opatreniach víta záväzok </w:t>
      </w:r>
      <w:r w:rsidR="00D15A0F" w:rsidRPr="000C7161">
        <w:t>S</w:t>
      </w:r>
      <w:r w:rsidR="00D15A0F">
        <w:t xml:space="preserve">údneho dvora </w:t>
      </w:r>
      <w:r w:rsidRPr="000C7161">
        <w:t>analyzovať možnosti zlepšenia kvality a čitateľnosti zverejnených informácií týkajúcich sa externých činností;</w:t>
      </w:r>
    </w:p>
    <w:p w14:paraId="357DF726" w14:textId="7632657D" w:rsidR="00D53C1F" w:rsidRPr="000C7161" w:rsidRDefault="00D53C1F" w:rsidP="00D53C1F">
      <w:pPr>
        <w:pStyle w:val="NormalHanging12a"/>
      </w:pPr>
      <w:r w:rsidRPr="000C7161">
        <w:t>39.</w:t>
      </w:r>
      <w:r w:rsidRPr="000C7161">
        <w:tab/>
        <w:t xml:space="preserve">pripomína odporúčanie </w:t>
      </w:r>
      <w:r w:rsidR="00C770C4" w:rsidRPr="000C7161">
        <w:t>Európskeho p</w:t>
      </w:r>
      <w:r w:rsidRPr="000C7161">
        <w:t xml:space="preserve">arlamentu z roku 2023 adresované všetkým inštitúciám Únie, aby sa dohodli na jednotnom systéme používania služobných vozidiel, ktorý by sa mal uplatňovať horizontálne; v tejto súvislosti a na základe správy o následných opatreniach konštatuje, že </w:t>
      </w:r>
      <w:r w:rsidR="00D15A0F" w:rsidRPr="000C7161">
        <w:t>S</w:t>
      </w:r>
      <w:r w:rsidR="00D15A0F">
        <w:t>údny dvor</w:t>
      </w:r>
      <w:r w:rsidRPr="000C7161">
        <w:t xml:space="preserve">, Dvor audítorov, </w:t>
      </w:r>
      <w:r w:rsidR="00C770C4" w:rsidRPr="000C7161">
        <w:t>Európsky p</w:t>
      </w:r>
      <w:r w:rsidRPr="000C7161">
        <w:t xml:space="preserve">arlament a Komisia zriadili v roku 2024 </w:t>
      </w:r>
      <w:proofErr w:type="spellStart"/>
      <w:r w:rsidRPr="000C7161">
        <w:t>medziinštitucionálnu</w:t>
      </w:r>
      <w:proofErr w:type="spellEnd"/>
      <w:r w:rsidRPr="000C7161">
        <w:t xml:space="preserve"> pracovnú skupinu zameranú na výmenu informácií o príslušných postupoch a určenie spôsobov harmonizácie pravidiel pri súčasnom rešpektovaní autonómie a špecifík každej inštitúcie; pripomína stanovisko </w:t>
      </w:r>
      <w:r w:rsidR="00C770C4" w:rsidRPr="000C7161">
        <w:t>Európskeho p</w:t>
      </w:r>
      <w:r w:rsidRPr="000C7161">
        <w:t xml:space="preserve">arlamentu, že k využívaniu vozového parku nad rámec prísneho plnenia povinností členov </w:t>
      </w:r>
      <w:r w:rsidR="00D15A0F" w:rsidRPr="000C7161">
        <w:t>S</w:t>
      </w:r>
      <w:r w:rsidR="00D15A0F">
        <w:t xml:space="preserve">údneho dvora </w:t>
      </w:r>
      <w:r w:rsidRPr="000C7161">
        <w:t>by nemalo dochádzať za žiadnych okolností; na základe správy o následných opatreniach ďalej konštatuje, že pracovná skupina vykonala porovnávaciu analýzu tejto problematiky a zaoberá sa ďalšími témami týkajúcimi sa riadenia vozového parku; vyzýva pracovnú skupinu, aby v tejto veci urýchlene konala a čo najskôr informovala orgán udeľujúci absolutórium o výsledkoch svojej práce a záveroch;</w:t>
      </w:r>
    </w:p>
    <w:p w14:paraId="3C7F4EBD" w14:textId="77A6ECCF" w:rsidR="00D53C1F" w:rsidRPr="000C7161" w:rsidRDefault="00D53C1F" w:rsidP="00D53C1F">
      <w:pPr>
        <w:pStyle w:val="NormalHanging12a"/>
      </w:pPr>
      <w:r w:rsidRPr="000C7161">
        <w:lastRenderedPageBreak/>
        <w:t>40.</w:t>
      </w:r>
      <w:r w:rsidRPr="000C7161">
        <w:tab/>
        <w:t xml:space="preserve">konštatuje, že </w:t>
      </w:r>
      <w:r w:rsidR="00D15A0F" w:rsidRPr="000C7161">
        <w:t>S</w:t>
      </w:r>
      <w:r w:rsidR="00D15A0F">
        <w:t xml:space="preserve">údny dvor </w:t>
      </w:r>
      <w:r w:rsidRPr="000C7161">
        <w:t xml:space="preserve">v roku 2024 neoznámil žiadne prípady podvodu, korupcie alebo zneužitia finančných prostriedkov Únie; konštatuje, že stratégia </w:t>
      </w:r>
      <w:r w:rsidR="00D15A0F" w:rsidRPr="000C7161">
        <w:t>S</w:t>
      </w:r>
      <w:r w:rsidR="00D15A0F">
        <w:t xml:space="preserve">údneho dvora </w:t>
      </w:r>
      <w:r w:rsidRPr="000C7161">
        <w:t>pre boj proti podvodom je neoddeliteľnou súčasťou jeho integrovaného rámca vnútornej kontroly a riadenia rizík, s osobitným dôrazom na riziká neoprávneného zverejňovania informácií; konštatuje, že jeho vnútorný regulačný rámec zahŕňa rozhodnutie o vyšetrovaní podvodov, korupcie alebo nezákonnej činnosti proti záujmom Únie a rozhodnutie a usmernenia o oznamovaní protispoločenskej činnosti vrátane ustanovení o informáciách a ochrane oznamovateľov;</w:t>
      </w:r>
    </w:p>
    <w:p w14:paraId="7AFC6BA5" w14:textId="66D0DBF2" w:rsidR="00D53C1F" w:rsidRPr="000C7161" w:rsidRDefault="00D53C1F" w:rsidP="00D53C1F">
      <w:pPr>
        <w:pStyle w:val="NormalHanging12a"/>
      </w:pPr>
      <w:r w:rsidRPr="000C7161">
        <w:t>41.</w:t>
      </w:r>
      <w:r w:rsidRPr="000C7161">
        <w:tab/>
        <w:t xml:space="preserve">víta zapojenie </w:t>
      </w:r>
      <w:r w:rsidR="00D15A0F" w:rsidRPr="000C7161">
        <w:t>S</w:t>
      </w:r>
      <w:r w:rsidR="00D15A0F">
        <w:t xml:space="preserve">údneho dvora </w:t>
      </w:r>
      <w:r w:rsidRPr="000C7161">
        <w:t xml:space="preserve">do zlepšovania transparentnosti, prístupu k spravodlivosti a otvorenosti voči verejnosti, čím prispieva k posilňovaniu dôvery verejnosti v inštitúcie Únie a zároveň vyvažuje ďalšie základné záujmy, ako je pokojný priebeh súdnych konaní, dôvernosť konaní a ochrana osobných údajov; zdôrazňuje, že vyššia transparentnosť musí slúžiť aj na posilnenie dôvery verejnosti v judikatúru </w:t>
      </w:r>
      <w:r w:rsidR="00D15A0F" w:rsidRPr="000C7161">
        <w:t>S</w:t>
      </w:r>
      <w:r w:rsidR="00D15A0F">
        <w:t>údneho dvora</w:t>
      </w:r>
      <w:r w:rsidRPr="000C7161">
        <w:t xml:space="preserve">; nabáda </w:t>
      </w:r>
      <w:r w:rsidR="00D15A0F" w:rsidRPr="000C7161">
        <w:t>S</w:t>
      </w:r>
      <w:r w:rsidR="00D15A0F">
        <w:t>údny dvor</w:t>
      </w:r>
      <w:r w:rsidRPr="000C7161">
        <w:t xml:space="preserve">, aby pokračoval v úsilí o zlepšenie zrozumiteľnosti, prístupnosti a predvídateľnosti svojej judikatúry, najmä v prípadoch s významným ústavným alebo spoločenským vplyvom; konštatuje, že </w:t>
      </w:r>
      <w:r w:rsidR="00D15A0F" w:rsidRPr="000C7161">
        <w:t>S</w:t>
      </w:r>
      <w:r w:rsidR="00D15A0F">
        <w:t xml:space="preserve">údny dvor </w:t>
      </w:r>
      <w:r w:rsidRPr="000C7161">
        <w:t xml:space="preserve">v roku 2024 posilnil službu </w:t>
      </w:r>
      <w:proofErr w:type="spellStart"/>
      <w:r w:rsidRPr="000C7161">
        <w:t>strímingu</w:t>
      </w:r>
      <w:proofErr w:type="spellEnd"/>
      <w:r w:rsidRPr="000C7161">
        <w:t xml:space="preserve"> vypočutí na Súdnom dvore a Všeobecnom súde prostredníctvom webového sídla Curia, čím občanom uľahčil prístup k súdnym činnostiam </w:t>
      </w:r>
      <w:r w:rsidR="00D15A0F" w:rsidRPr="000C7161">
        <w:t>S</w:t>
      </w:r>
      <w:r w:rsidR="00D15A0F">
        <w:t>údneho dvora</w:t>
      </w:r>
      <w:r w:rsidRPr="000C7161">
        <w:t xml:space="preserve">; v tejto súvislosti víta, že vďaka reforme súdnictva prijatej v roku 2024 sa zvýšila transparentnosť prejudiciálneho konania tým, že sa umožnilo uverejňovanie písomných pripomienok na webovom sídle </w:t>
      </w:r>
      <w:r w:rsidR="00D15A0F" w:rsidRPr="000C7161">
        <w:t>S</w:t>
      </w:r>
      <w:r w:rsidR="00D15A0F">
        <w:t xml:space="preserve">údneho dvora </w:t>
      </w:r>
      <w:r w:rsidRPr="000C7161">
        <w:t>v primeranej lehote po skončení súdneho konania;</w:t>
      </w:r>
    </w:p>
    <w:p w14:paraId="40BA819E" w14:textId="18E2E3CD" w:rsidR="00D53C1F" w:rsidRPr="000C7161" w:rsidRDefault="00D53C1F" w:rsidP="00D53C1F">
      <w:pPr>
        <w:pStyle w:val="NormalHanging12a"/>
      </w:pPr>
      <w:r w:rsidRPr="000C7161">
        <w:t>42.</w:t>
      </w:r>
      <w:r w:rsidRPr="000C7161">
        <w:tab/>
        <w:t xml:space="preserve">na základe správy o následných opatreniach s uspokojením konštatuje, že v nadväznosti na úspešný pilotný projekt, ktorý sa začal v roku 2022, a na aktualizáciu svojho rokovacieho poriadku v roku 2024 Súdny dvor rozšíril </w:t>
      </w:r>
      <w:proofErr w:type="spellStart"/>
      <w:r w:rsidRPr="000C7161">
        <w:t>strímingovú</w:t>
      </w:r>
      <w:proofErr w:type="spellEnd"/>
      <w:r w:rsidRPr="000C7161">
        <w:t xml:space="preserve"> službu tak, aby zahŕňala dôležité veci </w:t>
      </w:r>
      <w:proofErr w:type="spellStart"/>
      <w:r w:rsidRPr="000C7161">
        <w:t>prejednávané</w:t>
      </w:r>
      <w:proofErr w:type="spellEnd"/>
      <w:r w:rsidRPr="000C7161">
        <w:t xml:space="preserve"> päťčlennou komorou, ako aj takmer živý </w:t>
      </w:r>
      <w:proofErr w:type="spellStart"/>
      <w:r w:rsidRPr="000C7161">
        <w:t>stríming</w:t>
      </w:r>
      <w:proofErr w:type="spellEnd"/>
      <w:r w:rsidRPr="000C7161">
        <w:t xml:space="preserve"> vypočutí prednesov a priamy prenos vyhlásení rozsudkov a návrhov generálnych advokátov; ďalej konštatuje, že od 1. septembra 2024 zostávajú videozáznamy vypočutí s vyhlásením rozsudkov a prednesom návrhov trvalo dostupné na webovom sídle </w:t>
      </w:r>
      <w:r w:rsidR="00D15A0F" w:rsidRPr="000C7161">
        <w:t>S</w:t>
      </w:r>
      <w:r w:rsidR="00D15A0F">
        <w:t xml:space="preserve">údneho dvora </w:t>
      </w:r>
      <w:r w:rsidRPr="000C7161">
        <w:t>a videozáznamy prednesov sú prístupné ešte jeden mesiac po vypočutí; s uznaním konštatuje, že Všeobecný súd prijal podobné opatrenia na zabezpečenie rozšíreného prístupu verejnosti k svojim konaniam;</w:t>
      </w:r>
    </w:p>
    <w:p w14:paraId="4E0B5ACC" w14:textId="6BA9658C" w:rsidR="00D53C1F" w:rsidRPr="000C7161" w:rsidRDefault="00D53C1F" w:rsidP="00D53C1F">
      <w:pPr>
        <w:pStyle w:val="NormalHanging12a"/>
      </w:pPr>
      <w:r w:rsidRPr="000C7161">
        <w:t>43.</w:t>
      </w:r>
      <w:r w:rsidRPr="000C7161">
        <w:tab/>
        <w:t xml:space="preserve">poznamenáva, že </w:t>
      </w:r>
      <w:r w:rsidR="00D15A0F" w:rsidRPr="000C7161">
        <w:t>S</w:t>
      </w:r>
      <w:r w:rsidR="00D15A0F">
        <w:t xml:space="preserve">údny dvor </w:t>
      </w:r>
      <w:r w:rsidRPr="000C7161">
        <w:t xml:space="preserve">v roku 2024 zaregistroval 20 žiadostí o prístup verejnosti k administratívnym dokumentom a v 15 prípadoch udelil prístup k administratívnym dokumentom; konštatuje, že európska ombudsmanka sa nezaoberala žiadnym prípadom týkajúcim sa </w:t>
      </w:r>
      <w:r w:rsidR="00D15A0F" w:rsidRPr="000C7161">
        <w:t>S</w:t>
      </w:r>
      <w:r w:rsidR="00D15A0F">
        <w:t>údneho dvora</w:t>
      </w:r>
      <w:r w:rsidRPr="000C7161">
        <w:t>;</w:t>
      </w:r>
    </w:p>
    <w:p w14:paraId="24A71A21" w14:textId="77777777" w:rsidR="00D53C1F" w:rsidRPr="000C7161" w:rsidRDefault="00D53C1F" w:rsidP="00D53C1F">
      <w:pPr>
        <w:pStyle w:val="NormalHanging12a"/>
        <w:ind w:left="0" w:firstLine="0"/>
        <w:rPr>
          <w:b/>
          <w:i/>
          <w:iCs/>
        </w:rPr>
      </w:pPr>
      <w:r w:rsidRPr="000C7161">
        <w:rPr>
          <w:b/>
          <w:i/>
          <w:iCs/>
        </w:rPr>
        <w:t>Digitalizácia, kybernetická bezpečnosť a ochrana údajov</w:t>
      </w:r>
    </w:p>
    <w:p w14:paraId="39A22B8C" w14:textId="77777777" w:rsidR="00D53C1F" w:rsidRPr="000C7161" w:rsidRDefault="00D53C1F" w:rsidP="00D53C1F">
      <w:pPr>
        <w:spacing w:after="240"/>
        <w:ind w:left="567" w:hanging="567"/>
      </w:pPr>
      <w:r w:rsidRPr="000C7161">
        <w:t>44.</w:t>
      </w:r>
      <w:r w:rsidRPr="000C7161">
        <w:tab/>
        <w:t>konštatuje, že v roku 2024 sa v porovnaní s rokom 2023 rozpočtové výdavky znížili o 9 % na projekty v oblasti IT a o 69 % na projekty v oblasti kybernetickej bezpečnosti, zatiaľ čo v prípade IT vybavenia sa zvýšili o 16 % a v prípade služieb, licencií a vybavenia v oblasti kybernetickej bezpečnosti o 2 %; konštatuje, že výrazný pokles projektov v oblasti IT je spôsobený tým, že určité projekty v oblasti kybernetickej bezpečnosti vstúpili v roku 2024 do prevádzkovej fázy, a preto sú súvisiace výdavky zahrnuté do rozpočtu na štandardnú prevádzku;</w:t>
      </w:r>
    </w:p>
    <w:p w14:paraId="1D6D5F3F" w14:textId="183E6A42" w:rsidR="00D53C1F" w:rsidRPr="000C7161" w:rsidRDefault="00D53C1F" w:rsidP="00D53C1F">
      <w:pPr>
        <w:spacing w:after="240"/>
        <w:ind w:left="567" w:hanging="567"/>
      </w:pPr>
      <w:r w:rsidRPr="000C7161">
        <w:t>45.</w:t>
      </w:r>
      <w:r w:rsidRPr="000C7161">
        <w:tab/>
        <w:t xml:space="preserve">oceňuje </w:t>
      </w:r>
      <w:r w:rsidR="00D15A0F" w:rsidRPr="000C7161">
        <w:t>S</w:t>
      </w:r>
      <w:r w:rsidR="00D15A0F">
        <w:t xml:space="preserve">údny dvor </w:t>
      </w:r>
      <w:r w:rsidRPr="000C7161">
        <w:t xml:space="preserve">za pokrok dosiahnutý v roku 2024 v rôznych digitálnych </w:t>
      </w:r>
      <w:r w:rsidRPr="000C7161">
        <w:lastRenderedPageBreak/>
        <w:t>projektoch, ako je napríklad zavedenie modernizovaného programu SIGA pre integrovanú správu údajov a vecí, intenzívnejšie a lepšie využívanie aplikácie HAN/</w:t>
      </w:r>
      <w:proofErr w:type="spellStart"/>
      <w:r w:rsidRPr="000C7161">
        <w:t>Ares</w:t>
      </w:r>
      <w:proofErr w:type="spellEnd"/>
      <w:r w:rsidRPr="000C7161">
        <w:t xml:space="preserve"> (systém registrácie a správy elektronických dokumentov </w:t>
      </w:r>
      <w:r w:rsidR="00D15A0F" w:rsidRPr="000C7161">
        <w:t>S</w:t>
      </w:r>
      <w:r w:rsidR="00D15A0F">
        <w:t>údneho dvora</w:t>
      </w:r>
      <w:r w:rsidRPr="000C7161">
        <w:t xml:space="preserve">), zavedenie systému EU </w:t>
      </w:r>
      <w:proofErr w:type="spellStart"/>
      <w:r w:rsidRPr="000C7161">
        <w:t>Sign</w:t>
      </w:r>
      <w:proofErr w:type="spellEnd"/>
      <w:r w:rsidRPr="000C7161">
        <w:t xml:space="preserve"> (systém na digitálne podpisovanie) a prepracovanie webového sídla Curia aj vyhľadávacieho nástroja </w:t>
      </w:r>
      <w:proofErr w:type="spellStart"/>
      <w:r w:rsidRPr="000C7161">
        <w:t>InfoCuria</w:t>
      </w:r>
      <w:proofErr w:type="spellEnd"/>
      <w:r w:rsidRPr="000C7161">
        <w:t>; uznáva, že je dôležité zvýšiť využívanie aplikácie e-Curia na elektronické podávanie a oznamovanie procesných písomností;</w:t>
      </w:r>
    </w:p>
    <w:p w14:paraId="07EBAF02" w14:textId="52E552C3" w:rsidR="00D53C1F" w:rsidRPr="000C7161" w:rsidRDefault="00D53C1F" w:rsidP="00D53C1F">
      <w:pPr>
        <w:spacing w:after="240"/>
        <w:ind w:left="567" w:hanging="567"/>
      </w:pPr>
      <w:r w:rsidRPr="000C7161">
        <w:t>46.</w:t>
      </w:r>
      <w:r w:rsidRPr="000C7161">
        <w:tab/>
        <w:t xml:space="preserve">konštatuje, že </w:t>
      </w:r>
      <w:r w:rsidR="00D15A0F" w:rsidRPr="000C7161">
        <w:t>S</w:t>
      </w:r>
      <w:r w:rsidR="00D15A0F">
        <w:t xml:space="preserve">údny dvor </w:t>
      </w:r>
      <w:r w:rsidRPr="000C7161">
        <w:t xml:space="preserve">pokračoval v automatizácii svojich procesov, keďže od roku 2024 používa na spracovanie opakujúcich sa úloh, ako je napríklad prepis vypočutí a úhrada faktúr, robotický softvér; očakáva, že používanie robotických riešení na automatizáciu procesov pomôže optimalizovať zdroje na celom </w:t>
      </w:r>
      <w:r w:rsidR="00D15A0F" w:rsidRPr="000C7161">
        <w:t>S</w:t>
      </w:r>
      <w:r w:rsidR="00D15A0F">
        <w:t>údnom dvore</w:t>
      </w:r>
      <w:r w:rsidRPr="000C7161">
        <w:t xml:space="preserve">; uznáva význam </w:t>
      </w:r>
      <w:proofErr w:type="spellStart"/>
      <w:r w:rsidRPr="000C7161">
        <w:t>medziinštitucionálnej</w:t>
      </w:r>
      <w:proofErr w:type="spellEnd"/>
      <w:r w:rsidRPr="000C7161">
        <w:t xml:space="preserve"> spolupráce, ktorá je pre </w:t>
      </w:r>
      <w:r w:rsidR="00D15A0F" w:rsidRPr="000C7161">
        <w:t>S</w:t>
      </w:r>
      <w:r w:rsidR="00D15A0F">
        <w:t xml:space="preserve">údny dvor </w:t>
      </w:r>
      <w:r w:rsidRPr="000C7161">
        <w:t>prínosná, pokiaľ ide o efektívnosť vyplývajúcu z používania hlavných IT systémov na správu dokumentov a záznamov (HAN/</w:t>
      </w:r>
      <w:proofErr w:type="spellStart"/>
      <w:r w:rsidRPr="000C7161">
        <w:t>Ares</w:t>
      </w:r>
      <w:proofErr w:type="spellEnd"/>
      <w:r w:rsidRPr="000C7161">
        <w:t>), ľudské zdroje (</w:t>
      </w:r>
      <w:proofErr w:type="spellStart"/>
      <w:r w:rsidRPr="000C7161">
        <w:t>Sysper</w:t>
      </w:r>
      <w:proofErr w:type="spellEnd"/>
      <w:r w:rsidRPr="000C7161">
        <w:t xml:space="preserve"> a </w:t>
      </w:r>
      <w:proofErr w:type="spellStart"/>
      <w:r w:rsidRPr="000C7161">
        <w:t>Staff</w:t>
      </w:r>
      <w:proofErr w:type="spellEnd"/>
      <w:r w:rsidRPr="000C7161">
        <w:t xml:space="preserve"> </w:t>
      </w:r>
      <w:proofErr w:type="spellStart"/>
      <w:r w:rsidRPr="000C7161">
        <w:t>matters</w:t>
      </w:r>
      <w:proofErr w:type="spellEnd"/>
      <w:r w:rsidRPr="000C7161">
        <w:t>), správu finančných záznamov (SAP) a iných systémov Komisie (založených na umelej inteligencii), napríklad na prekladateľské služby (</w:t>
      </w:r>
      <w:proofErr w:type="spellStart"/>
      <w:r w:rsidRPr="000C7161">
        <w:t>eTranslation</w:t>
      </w:r>
      <w:proofErr w:type="spellEnd"/>
      <w:r w:rsidRPr="000C7161">
        <w:t>);</w:t>
      </w:r>
    </w:p>
    <w:p w14:paraId="77A59F43" w14:textId="0DD60896" w:rsidR="00D53C1F" w:rsidRPr="000C7161" w:rsidRDefault="00D53C1F" w:rsidP="00D53C1F">
      <w:pPr>
        <w:spacing w:after="240"/>
        <w:ind w:left="567" w:hanging="567"/>
      </w:pPr>
      <w:r w:rsidRPr="000C7161">
        <w:t>47.</w:t>
      </w:r>
      <w:r w:rsidRPr="000C7161">
        <w:tab/>
        <w:t xml:space="preserve">so záujmom berie na vedomie, že v roku 2024 bol spustený pilotný projekt, ktorý všetkým oddeleniam na </w:t>
      </w:r>
      <w:r w:rsidR="00D15A0F" w:rsidRPr="000C7161">
        <w:t>S</w:t>
      </w:r>
      <w:r w:rsidR="00D15A0F">
        <w:t xml:space="preserve">údnom dvore </w:t>
      </w:r>
      <w:r w:rsidRPr="000C7161">
        <w:t xml:space="preserve">poskytol prístup k virtuálnym asistentom; zdôrazňuje, že pri používaní nástrojov umelej inteligencie je dôležité zabezpečiť dodržiavanie etických zásad, a najmä usmernení </w:t>
      </w:r>
      <w:r w:rsidR="00D15A0F" w:rsidRPr="000C7161">
        <w:t>S</w:t>
      </w:r>
      <w:r w:rsidR="00D15A0F">
        <w:t xml:space="preserve">údneho dvora </w:t>
      </w:r>
      <w:r w:rsidRPr="000C7161">
        <w:t xml:space="preserve">v oblasti umelej inteligencie prijatých v roku 2024, čím sa zabezpečí ľudský dohľad nad zásadou nezávislosti súdnych konaní; zdôrazňuje, že používanie nástrojov umelej inteligencie v justičnom prostredí nikdy nesmie nahradiť ľudskú právnu argumentáciu alebo </w:t>
      </w:r>
      <w:proofErr w:type="spellStart"/>
      <w:r w:rsidRPr="000C7161">
        <w:t>diskrečnú</w:t>
      </w:r>
      <w:proofErr w:type="spellEnd"/>
      <w:r w:rsidRPr="000C7161">
        <w:t xml:space="preserve"> právomoc súdu, ani oslabiť osobnú zodpovednosť sudcov; v tejto súvislosti vyzdvihuje dozornú úlohu správnej rady </w:t>
      </w:r>
      <w:r w:rsidR="00D15A0F" w:rsidRPr="000C7161">
        <w:t>S</w:t>
      </w:r>
      <w:r w:rsidR="00D15A0F">
        <w:t xml:space="preserve">údneho dvora </w:t>
      </w:r>
      <w:r w:rsidRPr="000C7161">
        <w:t xml:space="preserve">pre umelú inteligenciu; oceňuje </w:t>
      </w:r>
      <w:r w:rsidR="00D15A0F" w:rsidRPr="000C7161">
        <w:t>S</w:t>
      </w:r>
      <w:r w:rsidR="00D15A0F">
        <w:t xml:space="preserve">údny dvor </w:t>
      </w:r>
      <w:r w:rsidRPr="000C7161">
        <w:t xml:space="preserve">za komplexný program odbornej prípravy, ktorý zaviedol v roku 2024, počnúc Mesiacom informovanosti o umelej inteligencii, ktorý zahŕňal školenia, okrúhle stoly s odborníkmi na umelú inteligenciu, </w:t>
      </w:r>
      <w:proofErr w:type="spellStart"/>
      <w:r w:rsidRPr="000C7161">
        <w:t>webináre</w:t>
      </w:r>
      <w:proofErr w:type="spellEnd"/>
      <w:r w:rsidRPr="000C7161">
        <w:t xml:space="preserve"> a sústredenia, čím urobil prvý a dôležitý krok k vytváraniu povedomia zamestnancov o stratégii a usmerneniach </w:t>
      </w:r>
      <w:r w:rsidR="00D15A0F" w:rsidRPr="000C7161">
        <w:t>S</w:t>
      </w:r>
      <w:r w:rsidR="00D15A0F">
        <w:t xml:space="preserve">údneho dvora </w:t>
      </w:r>
      <w:r w:rsidRPr="000C7161">
        <w:t xml:space="preserve">v oblasti umelej inteligencie, ako aj o umelej inteligencii vo všeobecnosti; berie na vedomie, že zamestnanci takisto absolvujú kurzy o manažmente zmien, prenose znalostí, mentorstve a duševnej agilnosti, ktoré im pomáhajú prispôsobiť sa novým technológiám; vyzýva </w:t>
      </w:r>
      <w:r w:rsidR="00D15A0F" w:rsidRPr="000C7161">
        <w:t>S</w:t>
      </w:r>
      <w:r w:rsidR="00D15A0F">
        <w:t>údny dvor</w:t>
      </w:r>
      <w:r w:rsidRPr="000C7161">
        <w:t>, aby pokračoval v organizovaní takýchto programov odbornej prípravy a zvyšovania povedomia;</w:t>
      </w:r>
    </w:p>
    <w:p w14:paraId="27DBCEBE" w14:textId="6755AA8B" w:rsidR="00D53C1F" w:rsidRPr="000C7161" w:rsidRDefault="00D53C1F" w:rsidP="00D53C1F">
      <w:pPr>
        <w:spacing w:after="240"/>
        <w:ind w:left="567" w:hanging="567"/>
      </w:pPr>
      <w:r w:rsidRPr="000C7161">
        <w:t>48.</w:t>
      </w:r>
      <w:r w:rsidRPr="000C7161">
        <w:tab/>
        <w:t xml:space="preserve">na základe správy o následných opatreniach konštatuje, že po nadobudnutí účinnosti nového nariadenia o kybernetickej bezpečnosti začiatkom roka 2024 </w:t>
      </w:r>
      <w:r w:rsidR="00D15A0F" w:rsidRPr="000C7161">
        <w:t>S</w:t>
      </w:r>
      <w:r w:rsidR="00D15A0F">
        <w:t xml:space="preserve">údny dvor </w:t>
      </w:r>
      <w:r w:rsidRPr="000C7161">
        <w:t xml:space="preserve">vypracoval akčný plán pre kybernetickú bezpečnosť a realizuje súvisiace projekty v oblasti IT infraštruktúry; konštatuje, že </w:t>
      </w:r>
      <w:r w:rsidR="00D15A0F" w:rsidRPr="000C7161">
        <w:t>S</w:t>
      </w:r>
      <w:r w:rsidR="00D15A0F">
        <w:t xml:space="preserve">údny dvor </w:t>
      </w:r>
      <w:r w:rsidRPr="000C7161">
        <w:t>vykonáva každoročne aspoň tri testy obnovy systémov po havárii, ktoré sa týkajú miestnych systémov, telekomunikačných služieb a automatického prepnutia po poruche u poskytovateľa internetu na záložný systém;</w:t>
      </w:r>
    </w:p>
    <w:p w14:paraId="36971D2D" w14:textId="77777777" w:rsidR="00D53C1F" w:rsidRPr="000C7161" w:rsidRDefault="00D53C1F" w:rsidP="00D53C1F">
      <w:pPr>
        <w:spacing w:after="240"/>
        <w:ind w:left="567" w:hanging="567"/>
      </w:pPr>
      <w:r w:rsidRPr="000C7161">
        <w:t>49.</w:t>
      </w:r>
      <w:r w:rsidRPr="000C7161">
        <w:tab/>
        <w:t xml:space="preserve">konštatuje, že operatívne spôsobilosti v oblasti kybernetickej bezpečnosti sa v roku 2024 ešte viac posilnili s cieľom dosiahnuť súlad s nariadením (EÚ, </w:t>
      </w:r>
      <w:proofErr w:type="spellStart"/>
      <w:r w:rsidRPr="000C7161">
        <w:t>Euratom</w:t>
      </w:r>
      <w:proofErr w:type="spellEnd"/>
      <w:r w:rsidRPr="000C7161">
        <w:t xml:space="preserve">) 2023/2841 a riešiť rastúci počet kybernetických útokov; konštatuje, že v roku 2024 nedošlo k žiadnym závažným kybernetickým útokom; so znepokojením konštatuje, že mesačne bolo zaznamenaných a analyzovaných v priemere 142 bezpečnostných incidentov, z ktorých niektoré si vyžadovali ľudský zásah; zdôrazňuje, že kybernetická </w:t>
      </w:r>
      <w:r w:rsidRPr="000C7161">
        <w:lastRenderedPageBreak/>
        <w:t xml:space="preserve">bezpečnosť je strategickou investíciou, ktorá je nevyhnutná na zabezpečenie nezávislosti súdnictva, integrity údajov a kontinuity súdnej činnosti, a preto zdôrazňuje potrebu trvalých a predvídateľných investícií do spôsobilostí, odbornej prípravy zamestnancov a </w:t>
      </w:r>
      <w:proofErr w:type="spellStart"/>
      <w:r w:rsidRPr="000C7161">
        <w:t>medziinštitucionálnej</w:t>
      </w:r>
      <w:proofErr w:type="spellEnd"/>
      <w:r w:rsidRPr="000C7161">
        <w:t xml:space="preserve"> spolupráce v oblasti kybernetickej bezpečnosti;</w:t>
      </w:r>
    </w:p>
    <w:p w14:paraId="5E470C21" w14:textId="355394DA" w:rsidR="00D53C1F" w:rsidRPr="000C7161" w:rsidRDefault="00D53C1F" w:rsidP="00D53C1F">
      <w:pPr>
        <w:spacing w:after="240"/>
        <w:ind w:left="567" w:hanging="567"/>
      </w:pPr>
      <w:r w:rsidRPr="000C7161">
        <w:t>50.</w:t>
      </w:r>
      <w:r w:rsidRPr="000C7161">
        <w:tab/>
        <w:t xml:space="preserve">konštatuje, že vyšetrovanie európskeho dozorného úradníka pre ochranu údajov (EDPS) týkajúce sa využívania cloudových služieb poskytovaných spoločnosťami Amazon Web Services a Microsoft na základe zmlúv </w:t>
      </w:r>
      <w:proofErr w:type="spellStart"/>
      <w:r w:rsidRPr="000C7161">
        <w:t>Cloud</w:t>
      </w:r>
      <w:proofErr w:type="spellEnd"/>
      <w:r w:rsidRPr="000C7161">
        <w:t xml:space="preserve"> II inštitúciami, orgánmi a agentúrami Únie bolo v roku 2025 uzavreté; ďalej konštatuje, že </w:t>
      </w:r>
      <w:r w:rsidR="00D15A0F" w:rsidRPr="000C7161">
        <w:t>S</w:t>
      </w:r>
      <w:r w:rsidR="00D15A0F">
        <w:t xml:space="preserve">údny dvor </w:t>
      </w:r>
      <w:r w:rsidRPr="000C7161">
        <w:t>v nadväznosti na toto vyšetrovanie nedostal žiadne odporúčania;</w:t>
      </w:r>
    </w:p>
    <w:p w14:paraId="66A94473" w14:textId="0585ACD9" w:rsidR="00D53C1F" w:rsidRPr="000C7161" w:rsidRDefault="00D53C1F" w:rsidP="00D53C1F">
      <w:pPr>
        <w:spacing w:after="240"/>
        <w:ind w:left="567" w:hanging="567"/>
      </w:pPr>
      <w:r w:rsidRPr="000C7161">
        <w:t>51.</w:t>
      </w:r>
      <w:r w:rsidRPr="000C7161">
        <w:tab/>
        <w:t xml:space="preserve">konštatuje, že </w:t>
      </w:r>
      <w:r w:rsidR="00D15A0F" w:rsidRPr="000C7161">
        <w:t>S</w:t>
      </w:r>
      <w:r w:rsidR="00D15A0F">
        <w:t xml:space="preserve">údny dvor </w:t>
      </w:r>
      <w:r w:rsidRPr="000C7161">
        <w:t xml:space="preserve">v rámci svojej komplexnej iniciatívy na zlepšenie prístupnosti pre zraniteľné osoby a ich začlenenie naďalej uplatňuje koncepciu tzv. prístupnosti už v štádiu návrhu v prípade akejkoľvek zmeny a vývoja svojich IT systémov; konštatuje, že v nadväznosti na audit webového sídla Curia v roku 2023 </w:t>
      </w:r>
      <w:r w:rsidR="00D15A0F" w:rsidRPr="000C7161">
        <w:t>S</w:t>
      </w:r>
      <w:r w:rsidR="00D15A0F">
        <w:t xml:space="preserve">údny dvor </w:t>
      </w:r>
      <w:r w:rsidRPr="000C7161">
        <w:t xml:space="preserve">zavádza technológie na zlepšenie prístupnosti sídla pre širokú škálu používateľov, ako sú osoby so zrakovým postihnutím, sluchovým postihnutím alebo s poruchami učenia; vyzýva </w:t>
      </w:r>
      <w:r w:rsidR="00D15A0F" w:rsidRPr="000C7161">
        <w:t>S</w:t>
      </w:r>
      <w:r w:rsidR="00D15A0F">
        <w:t>údny dvor</w:t>
      </w:r>
      <w:r w:rsidRPr="000C7161">
        <w:t>, aby o tejto záležitosti priebežne informoval orgán udeľujúci absolutórium;</w:t>
      </w:r>
    </w:p>
    <w:p w14:paraId="06B3D04A" w14:textId="77777777" w:rsidR="00D53C1F" w:rsidRPr="000C7161" w:rsidRDefault="00D53C1F" w:rsidP="00D53C1F">
      <w:pPr>
        <w:pStyle w:val="NormalHanging12a"/>
        <w:ind w:left="0" w:firstLine="0"/>
        <w:rPr>
          <w:b/>
          <w:i/>
          <w:iCs/>
        </w:rPr>
      </w:pPr>
      <w:r w:rsidRPr="000C7161">
        <w:rPr>
          <w:b/>
          <w:i/>
          <w:iCs/>
        </w:rPr>
        <w:t>Budovy</w:t>
      </w:r>
    </w:p>
    <w:p w14:paraId="3B4A5890" w14:textId="73CF3E4D" w:rsidR="00D53C1F" w:rsidRPr="000C7161" w:rsidRDefault="00D53C1F" w:rsidP="00D53C1F">
      <w:pPr>
        <w:pStyle w:val="NormalHanging12a"/>
      </w:pPr>
      <w:r w:rsidRPr="000C7161">
        <w:t>52.</w:t>
      </w:r>
      <w:r w:rsidRPr="000C7161">
        <w:tab/>
        <w:t xml:space="preserve">na základe správy o následných opatreniach konštatuje, že v rámci dvoch pilotných projektov týkajúcich sa najefektívnejšieho využívania priestorov </w:t>
      </w:r>
      <w:r w:rsidR="00D15A0F" w:rsidRPr="000C7161">
        <w:t>S</w:t>
      </w:r>
      <w:r w:rsidR="00D15A0F">
        <w:t xml:space="preserve">údneho dvora </w:t>
      </w:r>
      <w:r w:rsidRPr="000C7161">
        <w:t xml:space="preserve">sa v roku 2024 uskutočnilo niekoľko seminárov, ktoré viedli k vytvoreniu dvoch dispozícií prispôsobených potrebám jednotlivých útvarov; poznamenáva, že činnosti nadväzujúce na tieto projekty boli pozastavené, aby sa najskôr poskytol čas na posúdenie vplyvu, ktorý by integrácia umelej inteligencie mohla mať na pracovné metódy </w:t>
      </w:r>
      <w:r w:rsidR="00D15A0F" w:rsidRPr="000C7161">
        <w:t>S</w:t>
      </w:r>
      <w:r w:rsidR="00D15A0F">
        <w:t xml:space="preserve">údneho dvora </w:t>
      </w:r>
      <w:r w:rsidRPr="000C7161">
        <w:t xml:space="preserve">a v konečnom dôsledku na využívanie priestoru a kancelárií; </w:t>
      </w:r>
    </w:p>
    <w:p w14:paraId="2E345033" w14:textId="65CACA00" w:rsidR="00D53C1F" w:rsidRPr="000C7161" w:rsidRDefault="00D53C1F" w:rsidP="00D53C1F">
      <w:pPr>
        <w:pStyle w:val="NormalHanging12a"/>
      </w:pPr>
      <w:r w:rsidRPr="000C7161">
        <w:t>53.</w:t>
      </w:r>
      <w:r w:rsidRPr="000C7161">
        <w:tab/>
        <w:t xml:space="preserve">berie na vedomie, že </w:t>
      </w:r>
      <w:r w:rsidR="00D15A0F" w:rsidRPr="000C7161">
        <w:t>S</w:t>
      </w:r>
      <w:r w:rsidR="00D15A0F">
        <w:t xml:space="preserve">údny dvor </w:t>
      </w:r>
      <w:r w:rsidRPr="000C7161">
        <w:t xml:space="preserve">v roku 2024 ďalej pokračoval vo svojej komplexnej iniciatíve zameranej na zlepšenie prístupnosti pre osoby so zdravotným postihnutím a ich začlenenia; predovšetkým berie na vedomie, že </w:t>
      </w:r>
      <w:r w:rsidR="00D15A0F" w:rsidRPr="000C7161">
        <w:t>S</w:t>
      </w:r>
      <w:r w:rsidR="00D15A0F">
        <w:t xml:space="preserve">údny dvor </w:t>
      </w:r>
      <w:r w:rsidRPr="000C7161">
        <w:t xml:space="preserve">vypracoval dlhodobý akčný plán, ktorý má zabezpečiť, aby jeho budovy splnili zákonné normy prístupnosti do 1. januára 2032, ako vyžadujú luxemburské právne predpisy; oceňuje, že </w:t>
      </w:r>
      <w:r w:rsidR="00D15A0F" w:rsidRPr="000C7161">
        <w:t>S</w:t>
      </w:r>
      <w:r w:rsidR="00D15A0F">
        <w:t xml:space="preserve">údny dvor </w:t>
      </w:r>
      <w:r w:rsidRPr="000C7161">
        <w:t xml:space="preserve">vypracoval v súvislosti s istými časťami svojej infraštruktúry súpis miest, ktoré treba upraviť, a poveril architekta vypracovaním štúdie uskutočniteľnosti, v ktorej sa určia potrebné opatrenia, ktoré treba prijať; vyzýva </w:t>
      </w:r>
      <w:r w:rsidR="00D15A0F" w:rsidRPr="000C7161">
        <w:t>S</w:t>
      </w:r>
      <w:r w:rsidR="00D15A0F">
        <w:t>údny dvor</w:t>
      </w:r>
      <w:r w:rsidRPr="000C7161">
        <w:t>, aby o tejto záležitosti priebežne informoval orgán udeľujúci absolutórium;</w:t>
      </w:r>
    </w:p>
    <w:p w14:paraId="27F57DBC" w14:textId="77777777" w:rsidR="00D53C1F" w:rsidRPr="000C7161" w:rsidRDefault="00D53C1F" w:rsidP="00D53C1F">
      <w:pPr>
        <w:pStyle w:val="NormalHanging12a"/>
        <w:ind w:left="0" w:firstLine="0"/>
        <w:rPr>
          <w:b/>
          <w:i/>
          <w:iCs/>
        </w:rPr>
      </w:pPr>
      <w:r w:rsidRPr="000C7161">
        <w:rPr>
          <w:b/>
          <w:i/>
          <w:iCs/>
        </w:rPr>
        <w:t>Životné prostredie a udržateľnosť</w:t>
      </w:r>
    </w:p>
    <w:p w14:paraId="0FE55A89" w14:textId="02769133" w:rsidR="00D53C1F" w:rsidRPr="000C7161" w:rsidRDefault="00D53C1F" w:rsidP="00D53C1F">
      <w:pPr>
        <w:spacing w:after="240"/>
        <w:ind w:left="567" w:hanging="567"/>
      </w:pPr>
      <w:r w:rsidRPr="000C7161">
        <w:t>54.</w:t>
      </w:r>
      <w:r w:rsidRPr="000C7161">
        <w:tab/>
        <w:t xml:space="preserve">vyjadruje </w:t>
      </w:r>
      <w:r w:rsidR="00D15A0F" w:rsidRPr="000C7161">
        <w:t>S</w:t>
      </w:r>
      <w:r w:rsidR="00D15A0F">
        <w:t xml:space="preserve">údnemu dvoru </w:t>
      </w:r>
      <w:r w:rsidRPr="000C7161">
        <w:t xml:space="preserve">uznanie za jeho pokračujúce úsilie a významný pokrok pri znižovaní jeho environmentálnej stopy v roku 2024, o čom svedčí jeho výkonnosť v porovnaní s východiskovými hodnotami podľa schémy pre environmentálne manažérstvo a audit (EMAS) z roku 2015, pričom k zníženiu v prepočte na ekvivalent plného pracovného času došlo pri mnohých druhoch spotreby/emisií (vykurovanie: –37,5 %; elektrina: –29,3 %; spotreba papiera: –64,2 %; odpad z kancelárií a jedální: –40,4 %; emisie skleníkových plynov: –26,7 %); konštatuje celkové zlepšenie v porovnaní so zníženými hodnotami nahlásenými za rok 2023; uznáva, že tieto výsledky spolu s podmienkami na trhu viedli k zníženiu výdavkov na energiu o 18 % v porovnaní </w:t>
      </w:r>
      <w:r w:rsidRPr="000C7161">
        <w:lastRenderedPageBreak/>
        <w:t xml:space="preserve">s prognózami; v tejto súvislosti oceňuje pevné začlenenie udržateľnosti do rámca pre riadenie rizík a zodpovednosť </w:t>
      </w:r>
      <w:r w:rsidR="00D15A0F" w:rsidRPr="000C7161">
        <w:t>S</w:t>
      </w:r>
      <w:r w:rsidR="00D15A0F">
        <w:t>údneho dvora</w:t>
      </w:r>
      <w:r w:rsidRPr="000C7161">
        <w:t>, ako sa vyžaduje v jeho certifikácii EMAS;</w:t>
      </w:r>
    </w:p>
    <w:p w14:paraId="6CCEE6F3" w14:textId="7CE1C9D7" w:rsidR="00D53C1F" w:rsidRPr="000C7161" w:rsidRDefault="00D53C1F" w:rsidP="00D53C1F">
      <w:pPr>
        <w:spacing w:after="240"/>
        <w:ind w:left="567" w:hanging="567"/>
      </w:pPr>
      <w:r w:rsidRPr="000C7161">
        <w:t>55.</w:t>
      </w:r>
      <w:r w:rsidRPr="000C7161">
        <w:tab/>
        <w:t xml:space="preserve">víta značné investície uskutočnené v roku 2024 na zvýšenie energetickej hospodárnosti budov </w:t>
      </w:r>
      <w:r w:rsidR="00D15A0F" w:rsidRPr="000C7161">
        <w:t>S</w:t>
      </w:r>
      <w:r w:rsidR="00D15A0F">
        <w:t xml:space="preserve">údneho dvora </w:t>
      </w:r>
      <w:r w:rsidRPr="000C7161">
        <w:t xml:space="preserve">vrátane takmer 1,5 milióna EUR na rozsiahlu inštaláciu LED osvetlenia a viac ako 0,4 milióna EUR na izoláciu budov; s uspokojením konštatuje, že všetka nakúpená elektrická energia pochádzala z obnoviteľných zdrojov a že vykurovanie sa zabezpečuje prostredníctvom centralizovaného systému na biomasu; víta záväzok </w:t>
      </w:r>
      <w:r w:rsidR="00D15A0F" w:rsidRPr="000C7161">
        <w:t>S</w:t>
      </w:r>
      <w:r w:rsidR="00D15A0F">
        <w:t xml:space="preserve">údneho dvora </w:t>
      </w:r>
      <w:r w:rsidRPr="000C7161">
        <w:t>zabezpečiť nadčasovosť svojich dodávok zelenej energie prostredníctvom plánovanej účasti na zmluvách o nákupe energie (PPA);</w:t>
      </w:r>
    </w:p>
    <w:p w14:paraId="587EE66C" w14:textId="0C420729" w:rsidR="00D53C1F" w:rsidRPr="000C7161" w:rsidRDefault="00D53C1F" w:rsidP="00D53C1F">
      <w:pPr>
        <w:spacing w:after="240"/>
        <w:ind w:left="567" w:hanging="567"/>
      </w:pPr>
      <w:r w:rsidRPr="000C7161">
        <w:t>56.</w:t>
      </w:r>
      <w:r w:rsidRPr="000C7161">
        <w:tab/>
        <w:t xml:space="preserve">oceňuje </w:t>
      </w:r>
      <w:r w:rsidR="00D15A0F" w:rsidRPr="000C7161">
        <w:t>S</w:t>
      </w:r>
      <w:r w:rsidR="00D15A0F">
        <w:t xml:space="preserve">údny dvor </w:t>
      </w:r>
      <w:r w:rsidRPr="000C7161">
        <w:t xml:space="preserve">za jeho nekompromisný prístup k udržateľnému obstarávaniu prostredníctvom kategorizácie výziev na predkladanie ponúk („mierne zelená“, „stredne zelená“, „vysoko zelená“) na základe vplyvu ich environmentálnych doložiek, systematického využívania nástrojov, ako je povinné sebahodnotenie „ekologickej výkonnosti“, a konzultácie s </w:t>
      </w:r>
      <w:proofErr w:type="spellStart"/>
      <w:r w:rsidRPr="000C7161">
        <w:t>medziinštitucionálnym</w:t>
      </w:r>
      <w:proofErr w:type="spellEnd"/>
      <w:r w:rsidRPr="000C7161">
        <w:t xml:space="preserve"> asistenčným pracoviskom pre udržateľné verejné obstarávanie; konštatuje, že v roku 2024 osem veľkých verejných súťaží s hodnotou nad 60 000 EUR patrilo do kategórie „zelené nákupy“, pričom šesť z nich obsahovalo zásadné environmentálne doložky; víta najmä úspešné vykonávanie novej zmluvy o poskytovaní stravovacích služieb, ktorá si vyžaduje udržateľné postupy týkajúce sa potravín a má certifikáciu ISO 14001, ako aj dosiahnutie cieľa obmedziť „mierne zelené“ verejné súťaže na úroveň výrazne nižšiu než cieľových 50 %;</w:t>
      </w:r>
    </w:p>
    <w:p w14:paraId="175A97AD" w14:textId="14CEE7BA" w:rsidR="00D53C1F" w:rsidRPr="000C7161" w:rsidRDefault="00D53C1F" w:rsidP="00D53C1F">
      <w:pPr>
        <w:spacing w:after="240"/>
        <w:ind w:left="567" w:hanging="567"/>
      </w:pPr>
      <w:r w:rsidRPr="000C7161">
        <w:t>57.</w:t>
      </w:r>
      <w:r w:rsidRPr="000C7161">
        <w:tab/>
        <w:t xml:space="preserve">oceňuje </w:t>
      </w:r>
      <w:r w:rsidR="00D15A0F" w:rsidRPr="000C7161">
        <w:t>S</w:t>
      </w:r>
      <w:r w:rsidR="00D15A0F">
        <w:t xml:space="preserve">údny dvor </w:t>
      </w:r>
      <w:r w:rsidRPr="000C7161">
        <w:t xml:space="preserve">za jeho komplexnú a účinnú stratégiu udržateľnej mobility pre zamestnancov a členov; v tejto súvislosti berie na vedomie pokračujúce dotácie na verejnú dopravu v prípade cezhraničného dochádzania do zamestnania a program </w:t>
      </w:r>
      <w:proofErr w:type="spellStart"/>
      <w:r w:rsidRPr="000C7161">
        <w:t>Vel'Oh</w:t>
      </w:r>
      <w:proofErr w:type="spellEnd"/>
      <w:r w:rsidRPr="000C7161">
        <w:t xml:space="preserve">! pre cyklistov, ako aj významné zlepšenia infraštruktúry vrátane inštalácie viacerých nabíjacích bodov pre elektrické a hybridné vozidlá v roku 2024; </w:t>
      </w:r>
    </w:p>
    <w:p w14:paraId="0979848B" w14:textId="1D4AFC85" w:rsidR="00D53C1F" w:rsidRPr="000C7161" w:rsidRDefault="00D53C1F" w:rsidP="00D53C1F">
      <w:pPr>
        <w:spacing w:after="240"/>
        <w:ind w:left="567" w:hanging="567"/>
      </w:pPr>
      <w:r w:rsidRPr="000C7161">
        <w:t>58.</w:t>
      </w:r>
      <w:r w:rsidRPr="000C7161">
        <w:tab/>
        <w:t xml:space="preserve">konštatuje významný posun smerom k udržateľným pracovným metódam, keďže členovia </w:t>
      </w:r>
      <w:r w:rsidR="00D15A0F" w:rsidRPr="000C7161">
        <w:t>S</w:t>
      </w:r>
      <w:r w:rsidR="00D15A0F">
        <w:t xml:space="preserve">údneho dvora </w:t>
      </w:r>
      <w:r w:rsidRPr="000C7161">
        <w:t xml:space="preserve">výrazne častejšie využívajú videokonferencie s cieľom vyhnúť sa cestovaniu, o čom svedčí 131 „služobných ciest“ v takejto forme v roku 2024 v porovnaní s iba tromi v roku 2019; ďalej víta prebiehajúcu digitalizáciu procesov, ktorá bola spolu s odstránením 80 % osobných tlačiarní kľúčovou hnacou silou radikálneho zníženia spotreby papiera na </w:t>
      </w:r>
      <w:r w:rsidR="00D15A0F" w:rsidRPr="000C7161">
        <w:t>S</w:t>
      </w:r>
      <w:r w:rsidR="00D15A0F">
        <w:t>údnom dvore</w:t>
      </w:r>
      <w:r w:rsidRPr="000C7161">
        <w:t>;</w:t>
      </w:r>
    </w:p>
    <w:p w14:paraId="15DE80EC" w14:textId="77777777" w:rsidR="00D53C1F" w:rsidRPr="000C7161" w:rsidRDefault="00D53C1F" w:rsidP="00D53C1F">
      <w:pPr>
        <w:pStyle w:val="NormalHanging12a"/>
        <w:rPr>
          <w:b/>
          <w:i/>
          <w:iCs/>
        </w:rPr>
      </w:pPr>
      <w:proofErr w:type="spellStart"/>
      <w:r w:rsidRPr="000C7161">
        <w:rPr>
          <w:b/>
          <w:i/>
          <w:iCs/>
        </w:rPr>
        <w:t>Medziinštitucionálna</w:t>
      </w:r>
      <w:proofErr w:type="spellEnd"/>
      <w:r w:rsidRPr="000C7161">
        <w:rPr>
          <w:b/>
          <w:i/>
          <w:iCs/>
        </w:rPr>
        <w:t xml:space="preserve"> spolupráca</w:t>
      </w:r>
    </w:p>
    <w:p w14:paraId="14048899" w14:textId="43621E3D" w:rsidR="00D53C1F" w:rsidRPr="000C7161" w:rsidRDefault="00D53C1F" w:rsidP="00D53C1F">
      <w:pPr>
        <w:pStyle w:val="NormalHanging12a"/>
      </w:pPr>
      <w:r w:rsidRPr="000C7161">
        <w:t>59.</w:t>
      </w:r>
      <w:r w:rsidRPr="000C7161">
        <w:tab/>
        <w:t xml:space="preserve">berie na vedomie spoluprácu </w:t>
      </w:r>
      <w:r w:rsidR="00D15A0F" w:rsidRPr="000C7161">
        <w:t>S</w:t>
      </w:r>
      <w:r w:rsidR="00D15A0F">
        <w:t xml:space="preserve">údneho dvora </w:t>
      </w:r>
      <w:r w:rsidRPr="000C7161">
        <w:t xml:space="preserve">s inými inštitúciami, a najmä zdieľané aplikácie a </w:t>
      </w:r>
      <w:proofErr w:type="spellStart"/>
      <w:r w:rsidRPr="000C7161">
        <w:t>hostingové</w:t>
      </w:r>
      <w:proofErr w:type="spellEnd"/>
      <w:r w:rsidRPr="000C7161">
        <w:t xml:space="preserve"> služby používané na základe dohôd o úrovni poskytovaných služieb s Komisiou, ako aj účasť na </w:t>
      </w:r>
      <w:proofErr w:type="spellStart"/>
      <w:r w:rsidRPr="000C7161">
        <w:t>medziinštitucionálnom</w:t>
      </w:r>
      <w:proofErr w:type="spellEnd"/>
      <w:r w:rsidRPr="000C7161">
        <w:t xml:space="preserve"> obstarávaní, vďaka ktorým mohol </w:t>
      </w:r>
      <w:r w:rsidR="00D15A0F" w:rsidRPr="000C7161">
        <w:t>S</w:t>
      </w:r>
      <w:r w:rsidR="00D15A0F">
        <w:t xml:space="preserve">údny dvor </w:t>
      </w:r>
      <w:r w:rsidRPr="000C7161">
        <w:t xml:space="preserve">optimalizovať náklady a zdroje; uznáva význam </w:t>
      </w:r>
      <w:proofErr w:type="spellStart"/>
      <w:r w:rsidRPr="000C7161">
        <w:t>medziinštitucionálnej</w:t>
      </w:r>
      <w:proofErr w:type="spellEnd"/>
      <w:r w:rsidRPr="000C7161">
        <w:t xml:space="preserve"> spolupráce </w:t>
      </w:r>
      <w:r w:rsidR="00D15A0F" w:rsidRPr="000C7161">
        <w:t>S</w:t>
      </w:r>
      <w:r w:rsidR="00D15A0F">
        <w:t xml:space="preserve">údneho dvora </w:t>
      </w:r>
      <w:r w:rsidRPr="000C7161">
        <w:t>s tímom reakcie na núdzové počítačové situácie v európskych inštitúciách, orgánoch a agentúrach (CERT-EU) a Agentúrou Európskej únie pre kybernetickú bezpečnosť (ENISA) vrátane účasti v technických poradných skupinách pre nástroje, metodiky a informovanosť, ako aj zapojenie do iniciatívy tímu CERT-EU v oblasti generatívnej umelej inteligencie;</w:t>
      </w:r>
    </w:p>
    <w:p w14:paraId="0CF9052A" w14:textId="2CCF8D3B" w:rsidR="00D53C1F" w:rsidRPr="000C7161" w:rsidRDefault="00D53C1F" w:rsidP="00D53C1F">
      <w:pPr>
        <w:pStyle w:val="NormalHanging12a"/>
      </w:pPr>
      <w:r w:rsidRPr="000C7161">
        <w:t>60.</w:t>
      </w:r>
      <w:r w:rsidRPr="000C7161">
        <w:tab/>
        <w:t xml:space="preserve">berie na vedomie, že </w:t>
      </w:r>
      <w:r w:rsidR="00D15A0F" w:rsidRPr="000C7161">
        <w:t>S</w:t>
      </w:r>
      <w:r w:rsidR="00D15A0F">
        <w:t xml:space="preserve">údny dvor </w:t>
      </w:r>
      <w:r w:rsidRPr="000C7161">
        <w:t xml:space="preserve">uzavrel niekoľko dohôd o úrovni poskytovaných služieb týkajúcich sa údržby IT infraštruktúry, používania nástrojov v oblasti ľudských </w:t>
      </w:r>
      <w:r w:rsidRPr="000C7161">
        <w:lastRenderedPageBreak/>
        <w:t>zdrojov, vyplácania niektorých individuálnych nárokov a používania systému na správu dokumentov HAN/</w:t>
      </w:r>
      <w:proofErr w:type="spellStart"/>
      <w:r w:rsidRPr="000C7161">
        <w:t>Ares</w:t>
      </w:r>
      <w:proofErr w:type="spellEnd"/>
      <w:r w:rsidRPr="000C7161">
        <w:t>; víta obnovenie ročnej dohody o financovaní uzavretej s prekladateľskými službami iných inštitúcií Únie; berie na vedomie, že v roku 2024 podpísal s Komisiou a</w:t>
      </w:r>
      <w:r w:rsidR="00C770C4" w:rsidRPr="000C7161">
        <w:t> Európskym p</w:t>
      </w:r>
      <w:r w:rsidRPr="000C7161">
        <w:t xml:space="preserve">arlamentom dve memorandá o porozumení: memorandum o porozumení o rozdelení finančného zaťaženia v súvislosti s používaním nástroja na testovanie na diaľku v prípade </w:t>
      </w:r>
      <w:proofErr w:type="spellStart"/>
      <w:r w:rsidRPr="000C7161">
        <w:t>medziinštitucionálnych</w:t>
      </w:r>
      <w:proofErr w:type="spellEnd"/>
      <w:r w:rsidRPr="000C7161">
        <w:t xml:space="preserve"> akreditačných testov a memorandum o porozumení o rozdelení nákladov na spoločné osvetové činnosti tlmočníckych služieb;</w:t>
      </w:r>
    </w:p>
    <w:p w14:paraId="4847DCD9" w14:textId="3B2883CA" w:rsidR="00D53C1F" w:rsidRPr="000C7161" w:rsidRDefault="00D53C1F" w:rsidP="00D53C1F">
      <w:pPr>
        <w:pStyle w:val="NormalHanging12a"/>
      </w:pPr>
      <w:r w:rsidRPr="000C7161">
        <w:t>61.</w:t>
      </w:r>
      <w:r w:rsidRPr="000C7161">
        <w:tab/>
        <w:t xml:space="preserve">oceňuje, že </w:t>
      </w:r>
      <w:r w:rsidR="00D15A0F" w:rsidRPr="000C7161">
        <w:t>S</w:t>
      </w:r>
      <w:r w:rsidR="00D15A0F">
        <w:t xml:space="preserve">údny dvor </w:t>
      </w:r>
      <w:r w:rsidRPr="000C7161">
        <w:t xml:space="preserve">plne spolupracuje s Európskym úradom pre boj proti podvodom (OLAF), Dvorom audítorov, EDPS a európskou ombudsmankou; berie na vedomie partnerstvo </w:t>
      </w:r>
      <w:r w:rsidR="00D15A0F" w:rsidRPr="000C7161">
        <w:t>S</w:t>
      </w:r>
      <w:r w:rsidR="00D15A0F">
        <w:t xml:space="preserve">údneho dvora </w:t>
      </w:r>
      <w:r w:rsidRPr="000C7161">
        <w:t xml:space="preserve">so sieťou EJTN, ktoré </w:t>
      </w:r>
      <w:r w:rsidR="00417C8A" w:rsidRPr="000C7161">
        <w:t>S</w:t>
      </w:r>
      <w:r w:rsidR="00417C8A">
        <w:t xml:space="preserve">údnemu dvoru </w:t>
      </w:r>
      <w:r w:rsidRPr="000C7161">
        <w:t xml:space="preserve">pomáha v jeho práci zameranej na podporovanie spoločnej justičnej kultúry v celej Únii, zabezpečovanie konzistentného a jednotného uplatňovania práva Únie vo všetkých členských štátoch a posilňovanie vzájomnej dôvery medzi vnútroštátnymi súdnymi orgánmi a </w:t>
      </w:r>
      <w:r w:rsidR="00D15A0F" w:rsidRPr="000C7161">
        <w:t>S</w:t>
      </w:r>
      <w:r w:rsidR="00D15A0F">
        <w:t>údnym dvorom</w:t>
      </w:r>
      <w:r w:rsidRPr="000C7161">
        <w:t xml:space="preserve">; v tejto súvislosti oceňuje organizovanie výročných stretnutí so spravodajcami vnútroštátnych súdov, stretnutí tematických skupín, </w:t>
      </w:r>
      <w:proofErr w:type="spellStart"/>
      <w:r w:rsidRPr="000C7161">
        <w:t>webinárov</w:t>
      </w:r>
      <w:proofErr w:type="spellEnd"/>
      <w:r w:rsidRPr="000C7161">
        <w:t xml:space="preserve"> a návštev zástupcov </w:t>
      </w:r>
      <w:r w:rsidR="00D15A0F" w:rsidRPr="000C7161">
        <w:t>S</w:t>
      </w:r>
      <w:r w:rsidR="00D15A0F">
        <w:t xml:space="preserve">údneho dvora </w:t>
      </w:r>
      <w:r w:rsidRPr="000C7161">
        <w:t xml:space="preserve">na vnútroštátnych súdoch a naopak; za rok 2024 berie na vedomie najmä výročné stretnutie spravodajcov siete EJTN, ktoré sa konalo v Bruseli, návštevu delegácie Všeobecného súdu vo Varšave, ako aj výročné zasadnutie sudcov s osobitnou konferenciou, ktorá sa konala na </w:t>
      </w:r>
      <w:r w:rsidR="00D15A0F" w:rsidRPr="000C7161">
        <w:t>S</w:t>
      </w:r>
      <w:r w:rsidR="00D15A0F">
        <w:t xml:space="preserve">údnom dvore </w:t>
      </w:r>
      <w:r w:rsidRPr="000C7161">
        <w:t xml:space="preserve">pri príležitosti 20. výročia rozšírenia v roku 2004; ďalej na základe správy o následných opatreniach konštatuje, že v roku 2024 sa na seminároch zúčastnil vyšší počet sudcov a že prihlášky do programov dlhodobej odbornej prípravy </w:t>
      </w:r>
      <w:r w:rsidR="00D15A0F" w:rsidRPr="000C7161">
        <w:t>S</w:t>
      </w:r>
      <w:r w:rsidR="00D15A0F">
        <w:t xml:space="preserve">údneho dvora </w:t>
      </w:r>
      <w:r w:rsidRPr="000C7161">
        <w:t>po prvý raz predložili vnútroštátni odborníci z oblasti justície z troch nových členských štátov;</w:t>
      </w:r>
    </w:p>
    <w:p w14:paraId="07F03A57" w14:textId="77EB25C4" w:rsidR="00D53C1F" w:rsidRPr="000C7161" w:rsidRDefault="00D53C1F" w:rsidP="00D53C1F">
      <w:pPr>
        <w:pStyle w:val="NormalHanging12a"/>
      </w:pPr>
      <w:r w:rsidRPr="000C7161">
        <w:t>62.</w:t>
      </w:r>
      <w:r w:rsidRPr="000C7161">
        <w:tab/>
        <w:t xml:space="preserve">víta skutočnosť, že </w:t>
      </w:r>
      <w:r w:rsidR="00D15A0F" w:rsidRPr="000C7161">
        <w:t>S</w:t>
      </w:r>
      <w:r w:rsidR="00D15A0F">
        <w:t xml:space="preserve">údny dvor </w:t>
      </w:r>
      <w:r w:rsidRPr="000C7161">
        <w:t>a</w:t>
      </w:r>
      <w:r w:rsidR="00C770C4" w:rsidRPr="000C7161">
        <w:t> Európsky p</w:t>
      </w:r>
      <w:r w:rsidRPr="000C7161">
        <w:t>arlament sa rozhodli organizovať výročné stretnutia, ktoré majú byť príležitosťou na dialóg o témach spoločného záujmu, ako je administratíva, potenciál na zlepšenie justičného systému či vnímanie právneho štátu občanmi; poznamenáva, že prvé takéto stretnutie sa konalo v marci 2024;</w:t>
      </w:r>
    </w:p>
    <w:p w14:paraId="25FAD65A" w14:textId="77777777" w:rsidR="00D53C1F" w:rsidRPr="000C7161" w:rsidRDefault="00D53C1F" w:rsidP="00D53C1F">
      <w:pPr>
        <w:pStyle w:val="NormalHanging12a"/>
        <w:ind w:left="0" w:firstLine="0"/>
        <w:rPr>
          <w:b/>
          <w:i/>
          <w:iCs/>
        </w:rPr>
      </w:pPr>
      <w:r w:rsidRPr="000C7161">
        <w:rPr>
          <w:b/>
          <w:i/>
          <w:iCs/>
        </w:rPr>
        <w:t>Komunikačná činnosť</w:t>
      </w:r>
    </w:p>
    <w:p w14:paraId="22FDFDC2" w14:textId="41A7156D" w:rsidR="00D53C1F" w:rsidRPr="000C7161" w:rsidRDefault="00D53C1F" w:rsidP="00D53C1F">
      <w:pPr>
        <w:pStyle w:val="NormalHanging12a"/>
      </w:pPr>
      <w:r w:rsidRPr="000C7161">
        <w:t>63.</w:t>
      </w:r>
      <w:r w:rsidRPr="000C7161">
        <w:tab/>
        <w:t xml:space="preserve">konštatuje, že </w:t>
      </w:r>
      <w:r w:rsidR="00D15A0F" w:rsidRPr="000C7161">
        <w:t>S</w:t>
      </w:r>
      <w:r w:rsidR="00D15A0F">
        <w:t xml:space="preserve">údny dvor </w:t>
      </w:r>
      <w:r w:rsidRPr="000C7161">
        <w:t xml:space="preserve">pravidelne organizuje návštevy, pričom v roku 2024 bolo zaregistrovaných celkovo 16 319 návštevníkov; poznamenáva, že v tom istom roku sa na Dni otvorených dverí </w:t>
      </w:r>
      <w:r w:rsidR="00D15A0F" w:rsidRPr="000C7161">
        <w:t>S</w:t>
      </w:r>
      <w:r w:rsidR="00D15A0F">
        <w:t xml:space="preserve">údneho dvora </w:t>
      </w:r>
      <w:r w:rsidRPr="000C7161">
        <w:t xml:space="preserve">zúčastnilo približne 2 500 z uvedeného počtu návštevníkov; ďalej konštatuje, že okrem pravidelných návštev </w:t>
      </w:r>
      <w:r w:rsidR="00D15A0F" w:rsidRPr="000C7161">
        <w:t>S</w:t>
      </w:r>
      <w:r w:rsidR="00D15A0F">
        <w:t xml:space="preserve">údneho dvora </w:t>
      </w:r>
      <w:r w:rsidRPr="000C7161">
        <w:t xml:space="preserve">organizuje aj virtuálne návštevy; poznamenáva, že 7 % všetkých návštevníkov </w:t>
      </w:r>
      <w:r w:rsidR="00D15A0F" w:rsidRPr="000C7161">
        <w:t>S</w:t>
      </w:r>
      <w:r w:rsidR="00D15A0F">
        <w:t xml:space="preserve">údneho dvora </w:t>
      </w:r>
      <w:r w:rsidRPr="000C7161">
        <w:t>v roku 2024 absolvovalo návštevu virtuálne, pričom 43 % z týchto návštevníkov boli študenti;</w:t>
      </w:r>
    </w:p>
    <w:p w14:paraId="04FCC4C3" w14:textId="7B3D12CD" w:rsidR="00D53C1F" w:rsidRPr="000C7161" w:rsidRDefault="00D53C1F" w:rsidP="00D53C1F">
      <w:pPr>
        <w:pStyle w:val="NormalHanging12a"/>
      </w:pPr>
      <w:r w:rsidRPr="000C7161">
        <w:t>64.</w:t>
      </w:r>
      <w:r w:rsidRPr="000C7161">
        <w:tab/>
        <w:t xml:space="preserve">konštatuje, že v roku 2024 </w:t>
      </w:r>
      <w:r w:rsidR="00D15A0F" w:rsidRPr="000C7161">
        <w:t>S</w:t>
      </w:r>
      <w:r w:rsidR="00D15A0F">
        <w:t xml:space="preserve">údny dvor </w:t>
      </w:r>
      <w:r w:rsidRPr="000C7161">
        <w:t xml:space="preserve">posilnil svoje úsilie o komunikáciu s občanmi Únie tým, že zvýšil svoj dosah na sociálnych sieťach; konštatuje, že na konci roka 2024 sa počet odberateľov účtu </w:t>
      </w:r>
      <w:r w:rsidR="00D15A0F" w:rsidRPr="000C7161">
        <w:t>S</w:t>
      </w:r>
      <w:r w:rsidR="00D15A0F">
        <w:t xml:space="preserve">údneho dvora </w:t>
      </w:r>
      <w:r w:rsidRPr="000C7161">
        <w:t xml:space="preserve">na LinkedIn zvýšil o 26 % a počet </w:t>
      </w:r>
      <w:proofErr w:type="spellStart"/>
      <w:r w:rsidRPr="000C7161">
        <w:t>sledovateľov</w:t>
      </w:r>
      <w:proofErr w:type="spellEnd"/>
      <w:r w:rsidRPr="000C7161">
        <w:t xml:space="preserve"> dvoch účtov </w:t>
      </w:r>
      <w:r w:rsidR="00D15A0F" w:rsidRPr="000C7161">
        <w:t>S</w:t>
      </w:r>
      <w:r w:rsidR="00D15A0F">
        <w:t xml:space="preserve">údneho dvora </w:t>
      </w:r>
      <w:r w:rsidRPr="000C7161">
        <w:t xml:space="preserve">na sieti X (bývalý Twitter) sa zvýšil o 2,5 %, zatiaľ čo počet pozretí na jeho kanáli YouTube sa zvýšil o 137 % a počet jeho odberateľov na YouTube sa v porovnaní s predchádzajúcim rokom zvýšil o viac ako 329 %; konštatuje, že prudký nárast počtu pozretí a počtu odberateľov bol čiastočne spôsobený propagačnou kampaňou, ktorú zorganizoval </w:t>
      </w:r>
      <w:r w:rsidR="00D15A0F" w:rsidRPr="000C7161">
        <w:t>S</w:t>
      </w:r>
      <w:r w:rsidR="00D15A0F">
        <w:t>údny dvor</w:t>
      </w:r>
      <w:r w:rsidRPr="000C7161">
        <w:t>;</w:t>
      </w:r>
    </w:p>
    <w:p w14:paraId="701512AD" w14:textId="6A9D356A" w:rsidR="00D53C1F" w:rsidRPr="000C7161" w:rsidRDefault="00D53C1F" w:rsidP="00D53C1F">
      <w:pPr>
        <w:pStyle w:val="NormalHanging12a"/>
      </w:pPr>
      <w:r w:rsidRPr="000C7161">
        <w:t>65.</w:t>
      </w:r>
      <w:r w:rsidRPr="000C7161">
        <w:tab/>
        <w:t xml:space="preserve">poznamenáva, že </w:t>
      </w:r>
      <w:r w:rsidR="00D15A0F" w:rsidRPr="000C7161">
        <w:t>S</w:t>
      </w:r>
      <w:r w:rsidR="00D15A0F">
        <w:t xml:space="preserve">údny dvor </w:t>
      </w:r>
      <w:r w:rsidRPr="000C7161">
        <w:t xml:space="preserve">v roku 2024 začal štúdiu o rozšírení svojej prítomnosti na </w:t>
      </w:r>
      <w:r w:rsidRPr="000C7161">
        <w:lastRenderedPageBreak/>
        <w:t xml:space="preserve">sociálnych sieťach, ktorá viedla k rozhodnutiu vytvoriť si účty na sieťach a komunikačných platformách Instagram, </w:t>
      </w:r>
      <w:proofErr w:type="spellStart"/>
      <w:r w:rsidRPr="000C7161">
        <w:t>Bluesky</w:t>
      </w:r>
      <w:proofErr w:type="spellEnd"/>
      <w:r w:rsidRPr="000C7161">
        <w:t xml:space="preserve">, </w:t>
      </w:r>
      <w:proofErr w:type="spellStart"/>
      <w:r w:rsidRPr="000C7161">
        <w:t>Threads</w:t>
      </w:r>
      <w:proofErr w:type="spellEnd"/>
      <w:r w:rsidRPr="000C7161">
        <w:t xml:space="preserve"> a WhatsApp v roku 2025;</w:t>
      </w:r>
    </w:p>
    <w:p w14:paraId="68E043A3" w14:textId="71AB3C15" w:rsidR="00E365E1" w:rsidRPr="000C7161" w:rsidRDefault="00D53C1F" w:rsidP="00A756BD">
      <w:pPr>
        <w:pStyle w:val="NormalHanging12a"/>
      </w:pPr>
      <w:r w:rsidRPr="000C7161">
        <w:t>66.</w:t>
      </w:r>
      <w:r w:rsidRPr="000C7161">
        <w:tab/>
        <w:t xml:space="preserve">s uznaním berie na vedomie ďalšie kľúčové opatrenia a plány </w:t>
      </w:r>
      <w:r w:rsidR="00D15A0F" w:rsidRPr="000C7161">
        <w:t>S</w:t>
      </w:r>
      <w:r w:rsidR="00D15A0F">
        <w:t xml:space="preserve">údneho dvora </w:t>
      </w:r>
      <w:r w:rsidRPr="000C7161">
        <w:t xml:space="preserve">na zvýšenie transparentnosti a prístupnosti a na uspokojenie potrieb odborníkov pracujúcich v oblasti práva, médií a širokej verejnosti (vrátane mladších generácií), ako je prepracovanie webového sídla </w:t>
      </w:r>
      <w:r w:rsidR="00D15A0F" w:rsidRPr="000C7161">
        <w:t>S</w:t>
      </w:r>
      <w:r w:rsidR="00D15A0F">
        <w:t xml:space="preserve">údneho dvora </w:t>
      </w:r>
      <w:r w:rsidRPr="000C7161">
        <w:t xml:space="preserve">so zavedením nového (jedného) vyhľadávača, spustenie novej viacjazyčnej platformy Web TV s obsahom týkajúcim sa práce a rozhodnutí </w:t>
      </w:r>
      <w:r w:rsidR="00D15A0F" w:rsidRPr="000C7161">
        <w:t>S</w:t>
      </w:r>
      <w:r w:rsidR="00D15A0F">
        <w:t>údneho dvora</w:t>
      </w:r>
      <w:r w:rsidRPr="000C7161">
        <w:t xml:space="preserve">, uverejňovanie videí na sociálnych sieťach, zjednodušenie jazyka používaného v tlačových správach </w:t>
      </w:r>
      <w:r w:rsidR="00D15A0F" w:rsidRPr="000C7161">
        <w:t>S</w:t>
      </w:r>
      <w:r w:rsidR="00D15A0F">
        <w:t xml:space="preserve">údneho dvora </w:t>
      </w:r>
      <w:r w:rsidRPr="000C7161">
        <w:t xml:space="preserve">a revízia výročných správ </w:t>
      </w:r>
      <w:r w:rsidR="00D15A0F" w:rsidRPr="000C7161">
        <w:t>S</w:t>
      </w:r>
      <w:r w:rsidR="00D15A0F">
        <w:t xml:space="preserve">údneho dvora </w:t>
      </w:r>
      <w:r w:rsidRPr="000C7161">
        <w:t>s cieľom poskytnúť jasnejšie prehľady a štatistiky týkajúce sa judikatúry.</w:t>
      </w:r>
    </w:p>
    <w:sectPr w:rsidR="00E365E1" w:rsidRPr="000C7161" w:rsidSect="003D5D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367A8" w14:textId="77777777" w:rsidR="0020085F" w:rsidRPr="003D5D04" w:rsidRDefault="0020085F">
      <w:r w:rsidRPr="003D5D04">
        <w:separator/>
      </w:r>
    </w:p>
  </w:endnote>
  <w:endnote w:type="continuationSeparator" w:id="0">
    <w:p w14:paraId="2689D078" w14:textId="77777777" w:rsidR="0020085F" w:rsidRPr="003D5D04" w:rsidRDefault="0020085F">
      <w:r w:rsidRPr="003D5D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B9FDD" w14:textId="77777777" w:rsidR="00D53C1F" w:rsidRPr="003D5D04" w:rsidRDefault="00D53C1F" w:rsidP="00D77591">
    <w:pPr>
      <w:pStyle w:val="EPFooter"/>
    </w:pPr>
    <w:r w:rsidRPr="003D5D04">
      <w:t>PE</w:t>
    </w:r>
    <w:r w:rsidRPr="003D5D04">
      <w:rPr>
        <w:rStyle w:val="HideTWBExt"/>
      </w:rPr>
      <w:t>&lt;NoPE&gt;</w:t>
    </w:r>
    <w:r w:rsidRPr="003D5D04">
      <w:t>778.060</w:t>
    </w:r>
    <w:r w:rsidRPr="003D5D04">
      <w:rPr>
        <w:rStyle w:val="HideTWBExt"/>
      </w:rPr>
      <w:t>&lt;/NoPE&gt;&lt;Version&gt;</w:t>
    </w:r>
    <w:r w:rsidRPr="003D5D04">
      <w:t>v02-00</w:t>
    </w:r>
    <w:r w:rsidRPr="003D5D04">
      <w:rPr>
        <w:rStyle w:val="HideTWBExt"/>
      </w:rPr>
      <w:t>&lt;/Version&gt;</w:t>
    </w:r>
    <w:r w:rsidRPr="003D5D04">
      <w:tab/>
    </w:r>
    <w:r w:rsidRPr="003D5D04">
      <w:fldChar w:fldCharType="begin"/>
    </w:r>
    <w:r w:rsidRPr="003D5D04">
      <w:instrText xml:space="preserve"> PAGE  \* MERGEFORMAT </w:instrText>
    </w:r>
    <w:r w:rsidRPr="003D5D04">
      <w:fldChar w:fldCharType="separate"/>
    </w:r>
    <w:r w:rsidRPr="003D5D04">
      <w:rPr>
        <w:noProof/>
      </w:rPr>
      <w:t>28</w:t>
    </w:r>
    <w:r w:rsidRPr="003D5D04">
      <w:fldChar w:fldCharType="end"/>
    </w:r>
    <w:r w:rsidRPr="003D5D04">
      <w:t>/</w:t>
    </w:r>
    <w:fldSimple w:instr=" NUMPAGES  \* MERGEFORMAT ">
      <w:r w:rsidRPr="003D5D04">
        <w:rPr>
          <w:noProof/>
        </w:rPr>
        <w:t>29</w:t>
      </w:r>
    </w:fldSimple>
    <w:r w:rsidRPr="003D5D04">
      <w:tab/>
    </w:r>
    <w:r w:rsidRPr="003D5D04">
      <w:rPr>
        <w:rStyle w:val="HideTWBExt"/>
      </w:rPr>
      <w:t>&lt;PathFdR&gt;</w:t>
    </w:r>
    <w:r w:rsidRPr="003D5D04">
      <w:t>RR\1339440SK.docx</w:t>
    </w:r>
    <w:r w:rsidRPr="003D5D04">
      <w:rPr>
        <w:rStyle w:val="HideTWBExt"/>
      </w:rPr>
      <w:t>&lt;/PathFdR&gt;</w:t>
    </w:r>
  </w:p>
  <w:p w14:paraId="24C0AFAA" w14:textId="77777777" w:rsidR="00D53C1F" w:rsidRPr="003D5D04" w:rsidRDefault="00D53C1F" w:rsidP="00D77591">
    <w:pPr>
      <w:pStyle w:val="EPFooter2"/>
    </w:pPr>
    <w:r w:rsidRPr="003D5D04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00DCC" w14:textId="77777777" w:rsidR="00D53C1F" w:rsidRPr="003D5D04" w:rsidRDefault="00D53C1F" w:rsidP="00D77591">
    <w:pPr>
      <w:pStyle w:val="EPFooter"/>
    </w:pPr>
    <w:r w:rsidRPr="003D5D04">
      <w:rPr>
        <w:rStyle w:val="HideTWBExt"/>
      </w:rPr>
      <w:t>&lt;PathFdR&gt;</w:t>
    </w:r>
    <w:r w:rsidRPr="003D5D04">
      <w:t>RR\1339440SK.docx</w:t>
    </w:r>
    <w:r w:rsidRPr="003D5D04">
      <w:rPr>
        <w:rStyle w:val="HideTWBExt"/>
      </w:rPr>
      <w:t>&lt;/PathFdR&gt;</w:t>
    </w:r>
    <w:r w:rsidRPr="003D5D04">
      <w:tab/>
    </w:r>
    <w:r w:rsidRPr="003D5D04">
      <w:tab/>
      <w:t>PE</w:t>
    </w:r>
    <w:r w:rsidRPr="003D5D04">
      <w:rPr>
        <w:rStyle w:val="HideTWBExt"/>
      </w:rPr>
      <w:t>&lt;NoPE&gt;</w:t>
    </w:r>
    <w:r w:rsidRPr="003D5D04">
      <w:t>778.060</w:t>
    </w:r>
    <w:r w:rsidRPr="003D5D04">
      <w:rPr>
        <w:rStyle w:val="HideTWBExt"/>
      </w:rPr>
      <w:t>&lt;/NoPE&gt;&lt;Version&gt;</w:t>
    </w:r>
    <w:r w:rsidRPr="003D5D04">
      <w:t>v02-00</w:t>
    </w:r>
    <w:r w:rsidRPr="003D5D04">
      <w:rPr>
        <w:rStyle w:val="HideTWBExt"/>
      </w:rPr>
      <w:t>&lt;/Version&gt;</w:t>
    </w:r>
  </w:p>
  <w:p w14:paraId="07BE1C7D" w14:textId="77777777" w:rsidR="00D53C1F" w:rsidRPr="003D5D04" w:rsidRDefault="00D53C1F" w:rsidP="00D77591">
    <w:pPr>
      <w:pStyle w:val="EPFooter2"/>
    </w:pPr>
    <w:r w:rsidRPr="003D5D04">
      <w:t>SK</w:t>
    </w:r>
    <w:r w:rsidRPr="003D5D04">
      <w:tab/>
    </w:r>
    <w:r w:rsidRPr="003D5D04">
      <w:rPr>
        <w:b w:val="0"/>
        <w:i/>
        <w:color w:val="C0C0C0"/>
        <w:sz w:val="22"/>
      </w:rPr>
      <w:t>Zjednotení v rozmanitosti</w:t>
    </w:r>
    <w:r w:rsidRPr="003D5D04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A0DB4" w14:textId="77777777" w:rsidR="00064002" w:rsidRPr="003D5D04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1744" w14:textId="77777777" w:rsidR="00064002" w:rsidRPr="003D5D0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FF27D" w14:textId="77777777" w:rsidR="00064002" w:rsidRPr="003D5D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C8063" w14:textId="77777777" w:rsidR="0020085F" w:rsidRPr="003D5D04" w:rsidRDefault="0020085F">
      <w:r w:rsidRPr="003D5D04">
        <w:separator/>
      </w:r>
    </w:p>
  </w:footnote>
  <w:footnote w:type="continuationSeparator" w:id="0">
    <w:p w14:paraId="70AD4E50" w14:textId="77777777" w:rsidR="0020085F" w:rsidRPr="003D5D04" w:rsidRDefault="0020085F">
      <w:r w:rsidRPr="003D5D04">
        <w:continuationSeparator/>
      </w:r>
    </w:p>
  </w:footnote>
  <w:footnote w:id="1">
    <w:p w14:paraId="35DE0A8B" w14:textId="327F6E48" w:rsidR="00D53C1F" w:rsidRPr="003D5D04" w:rsidRDefault="00D53C1F" w:rsidP="003D5D04">
      <w:pPr>
        <w:pStyle w:val="FootnoteText"/>
        <w:ind w:left="567" w:hanging="567"/>
        <w:rPr>
          <w:sz w:val="24"/>
          <w:lang w:val="sk-SK"/>
        </w:rPr>
      </w:pPr>
      <w:r w:rsidRPr="003D5D04">
        <w:rPr>
          <w:rStyle w:val="FootnoteReference"/>
          <w:sz w:val="24"/>
          <w:lang w:val="sk-SK"/>
        </w:rPr>
        <w:footnoteRef/>
      </w:r>
      <w:r w:rsidR="003D5D04" w:rsidRPr="003D5D04">
        <w:rPr>
          <w:sz w:val="24"/>
          <w:lang w:val="sk-SK"/>
        </w:rPr>
        <w:t xml:space="preserve"> </w:t>
      </w:r>
      <w:r w:rsidR="003D5D04" w:rsidRPr="003D5D04">
        <w:rPr>
          <w:sz w:val="24"/>
          <w:lang w:val="sk-SK"/>
        </w:rPr>
        <w:tab/>
      </w:r>
      <w:r w:rsidRPr="003D5D04">
        <w:rPr>
          <w:sz w:val="24"/>
          <w:lang w:val="sk-SK"/>
        </w:rPr>
        <w:t>Ú. v. EÚ L</w:t>
      </w:r>
      <w:r w:rsidR="009F622B">
        <w:rPr>
          <w:sz w:val="24"/>
          <w:lang w:val="sk-SK"/>
        </w:rPr>
        <w:t>,</w:t>
      </w:r>
      <w:r w:rsidRPr="003D5D04">
        <w:rPr>
          <w:sz w:val="24"/>
          <w:lang w:val="sk-SK"/>
        </w:rPr>
        <w:t xml:space="preserve"> </w:t>
      </w:r>
      <w:r w:rsidR="009F622B">
        <w:rPr>
          <w:sz w:val="24"/>
          <w:lang w:val="sk-SK"/>
        </w:rPr>
        <w:t>2024</w:t>
      </w:r>
      <w:r w:rsidR="00506E1E">
        <w:rPr>
          <w:sz w:val="24"/>
          <w:lang w:val="sk-SK"/>
        </w:rPr>
        <w:t>/</w:t>
      </w:r>
      <w:r w:rsidRPr="003D5D04">
        <w:rPr>
          <w:sz w:val="24"/>
          <w:lang w:val="sk-SK"/>
        </w:rPr>
        <w:t xml:space="preserve">207, 22.2.2024, ELI: </w:t>
      </w:r>
      <w:hyperlink r:id="rId1" w:history="1">
        <w:r w:rsidRPr="003D5D04">
          <w:rPr>
            <w:rStyle w:val="Hyperlink"/>
            <w:sz w:val="24"/>
            <w:lang w:val="sk-SK"/>
          </w:rPr>
          <w:t>http://data.europa.eu/eli/budget/2024/207/oj</w:t>
        </w:r>
      </w:hyperlink>
      <w:r w:rsidRPr="003D5D04">
        <w:rPr>
          <w:sz w:val="24"/>
          <w:lang w:val="sk-SK"/>
        </w:rPr>
        <w:t>.</w:t>
      </w:r>
    </w:p>
  </w:footnote>
  <w:footnote w:id="2">
    <w:p w14:paraId="224734EA" w14:textId="1D4FC44E" w:rsidR="00D53C1F" w:rsidRPr="003D5D04" w:rsidRDefault="00D53C1F" w:rsidP="003D5D04">
      <w:pPr>
        <w:pStyle w:val="FootnoteText"/>
        <w:ind w:left="567" w:hanging="567"/>
        <w:rPr>
          <w:sz w:val="24"/>
          <w:lang w:val="sk-SK"/>
        </w:rPr>
      </w:pPr>
      <w:r w:rsidRPr="003D5D04">
        <w:rPr>
          <w:rStyle w:val="FootnoteReference"/>
          <w:sz w:val="24"/>
          <w:lang w:val="sk-SK"/>
        </w:rPr>
        <w:footnoteRef/>
      </w:r>
      <w:r w:rsidR="003D5D04" w:rsidRPr="003D5D04">
        <w:rPr>
          <w:sz w:val="24"/>
          <w:lang w:val="sk-SK"/>
        </w:rPr>
        <w:t xml:space="preserve"> </w:t>
      </w:r>
      <w:r w:rsidR="003D5D04" w:rsidRPr="003D5D04">
        <w:rPr>
          <w:sz w:val="24"/>
          <w:lang w:val="sk-SK"/>
        </w:rPr>
        <w:tab/>
      </w:r>
      <w:r w:rsidRPr="003D5D04">
        <w:rPr>
          <w:sz w:val="24"/>
          <w:lang w:val="sk-SK"/>
        </w:rPr>
        <w:t>Ú. v. </w:t>
      </w:r>
      <w:r w:rsidRPr="003D5D04">
        <w:rPr>
          <w:sz w:val="24"/>
          <w:lang w:val="sk-SK"/>
        </w:rPr>
        <w:t>EÚ C, C/2025/4944, 13.10.2025, ELI: </w:t>
      </w:r>
      <w:hyperlink r:id="rId2" w:tgtFrame="_blank" w:tooltip="Umožňuje prístup k tomuto dokumentu prostredníctvom identifikátora URI používaného v rámci ELI." w:history="1">
        <w:r w:rsidRPr="003D5D04">
          <w:rPr>
            <w:rStyle w:val="Hyperlink"/>
            <w:sz w:val="24"/>
            <w:lang w:val="sk-SK"/>
          </w:rPr>
          <w:t>http://data.europa.eu/eli/C/2025/4944/oj</w:t>
        </w:r>
      </w:hyperlink>
      <w:r w:rsidRPr="003D5D04">
        <w:rPr>
          <w:sz w:val="24"/>
          <w:lang w:val="sk-SK"/>
        </w:rPr>
        <w:t>.</w:t>
      </w:r>
    </w:p>
  </w:footnote>
  <w:footnote w:id="3">
    <w:p w14:paraId="20C5B440" w14:textId="38DA6C86" w:rsidR="00D53C1F" w:rsidRPr="003D5D04" w:rsidRDefault="00D53C1F" w:rsidP="003D5D04">
      <w:pPr>
        <w:pStyle w:val="FootnoteText"/>
        <w:ind w:left="567" w:hanging="567"/>
        <w:rPr>
          <w:sz w:val="24"/>
          <w:lang w:val="sk-SK"/>
        </w:rPr>
      </w:pPr>
      <w:r w:rsidRPr="003D5D04">
        <w:rPr>
          <w:rStyle w:val="FootnoteReference"/>
          <w:sz w:val="24"/>
          <w:lang w:val="sk-SK"/>
        </w:rPr>
        <w:footnoteRef/>
      </w:r>
      <w:r w:rsidR="003D5D04" w:rsidRPr="003D5D04">
        <w:rPr>
          <w:sz w:val="24"/>
          <w:lang w:val="sk-SK"/>
        </w:rPr>
        <w:t xml:space="preserve"> </w:t>
      </w:r>
      <w:r w:rsidR="003D5D04" w:rsidRPr="003D5D04">
        <w:rPr>
          <w:sz w:val="24"/>
          <w:lang w:val="sk-SK"/>
        </w:rPr>
        <w:tab/>
      </w:r>
      <w:r w:rsidRPr="003D5D04">
        <w:rPr>
          <w:sz w:val="24"/>
          <w:lang w:val="sk-SK"/>
        </w:rPr>
        <w:t>Ú. v. </w:t>
      </w:r>
      <w:r w:rsidRPr="003D5D04">
        <w:rPr>
          <w:sz w:val="24"/>
          <w:lang w:val="sk-SK"/>
        </w:rPr>
        <w:t xml:space="preserve">EÚ C, C/2025/5409, 8.10.2025, ELI: </w:t>
      </w:r>
      <w:hyperlink r:id="rId3" w:history="1">
        <w:r w:rsidRPr="003D5D04">
          <w:rPr>
            <w:rStyle w:val="Hyperlink"/>
            <w:sz w:val="24"/>
            <w:lang w:val="sk-SK"/>
          </w:rPr>
          <w:t>http://data.europa.eu/eli/C/2025/5409/oj</w:t>
        </w:r>
      </w:hyperlink>
      <w:r w:rsidRPr="003D5D04">
        <w:rPr>
          <w:sz w:val="24"/>
          <w:lang w:val="sk-SK"/>
        </w:rPr>
        <w:t>.</w:t>
      </w:r>
    </w:p>
  </w:footnote>
  <w:footnote w:id="4">
    <w:p w14:paraId="5BA0BA6A" w14:textId="50CE9732" w:rsidR="00D53C1F" w:rsidRPr="003D5D04" w:rsidRDefault="00D53C1F" w:rsidP="003D5D04">
      <w:pPr>
        <w:pStyle w:val="FootnoteText"/>
        <w:ind w:left="567" w:hanging="567"/>
        <w:rPr>
          <w:sz w:val="24"/>
          <w:lang w:val="sk-SK"/>
        </w:rPr>
      </w:pPr>
      <w:r w:rsidRPr="003D5D04">
        <w:rPr>
          <w:rStyle w:val="FootnoteReference"/>
          <w:sz w:val="24"/>
          <w:lang w:val="sk-SK"/>
        </w:rPr>
        <w:footnoteRef/>
      </w:r>
      <w:r w:rsidR="003D5D04" w:rsidRPr="003D5D04">
        <w:rPr>
          <w:sz w:val="24"/>
          <w:lang w:val="sk-SK"/>
        </w:rPr>
        <w:t xml:space="preserve"> </w:t>
      </w:r>
      <w:r w:rsidR="003D5D04" w:rsidRPr="003D5D04">
        <w:rPr>
          <w:sz w:val="24"/>
          <w:lang w:val="sk-SK"/>
        </w:rPr>
        <w:tab/>
      </w:r>
      <w:r w:rsidRPr="003D5D04">
        <w:rPr>
          <w:sz w:val="24"/>
          <w:lang w:val="sk-SK"/>
        </w:rPr>
        <w:t>Ú. v. </w:t>
      </w:r>
      <w:r w:rsidRPr="003D5D04">
        <w:rPr>
          <w:sz w:val="24"/>
          <w:lang w:val="sk-SK"/>
        </w:rPr>
        <w:t xml:space="preserve">EÚ C, C/2025/5407, 13.10.2025, ELI: </w:t>
      </w:r>
      <w:hyperlink r:id="rId4" w:history="1">
        <w:r w:rsidRPr="003D5D04">
          <w:rPr>
            <w:rStyle w:val="Hyperlink"/>
            <w:sz w:val="24"/>
            <w:lang w:val="sk-SK"/>
          </w:rPr>
          <w:t>http://data.europa.eu/eli/C/2025/5407/oj</w:t>
        </w:r>
      </w:hyperlink>
      <w:r w:rsidRPr="003D5D04">
        <w:rPr>
          <w:sz w:val="24"/>
          <w:lang w:val="sk-SK"/>
        </w:rPr>
        <w:t>.</w:t>
      </w:r>
    </w:p>
  </w:footnote>
  <w:footnote w:id="5">
    <w:p w14:paraId="401C5311" w14:textId="1AAB96F2" w:rsidR="00D53C1F" w:rsidRPr="003D5D04" w:rsidRDefault="00D53C1F" w:rsidP="003D5D04">
      <w:pPr>
        <w:pStyle w:val="FootnoteText"/>
        <w:ind w:left="567" w:hanging="567"/>
        <w:rPr>
          <w:sz w:val="24"/>
          <w:lang w:val="sk-SK"/>
        </w:rPr>
      </w:pPr>
      <w:r w:rsidRPr="003D5D04">
        <w:rPr>
          <w:rStyle w:val="FootnoteReference"/>
          <w:sz w:val="24"/>
          <w:lang w:val="sk-SK"/>
        </w:rPr>
        <w:footnoteRef/>
      </w:r>
      <w:r w:rsidR="003D5D04" w:rsidRPr="003D5D04">
        <w:rPr>
          <w:sz w:val="24"/>
          <w:lang w:val="sk-SK"/>
        </w:rPr>
        <w:t xml:space="preserve"> </w:t>
      </w:r>
      <w:r w:rsidR="003D5D04" w:rsidRPr="003D5D04">
        <w:rPr>
          <w:sz w:val="24"/>
          <w:lang w:val="sk-SK"/>
        </w:rPr>
        <w:tab/>
      </w:r>
      <w:r w:rsidRPr="003D5D04">
        <w:rPr>
          <w:sz w:val="24"/>
          <w:lang w:val="sk-SK"/>
        </w:rPr>
        <w:t xml:space="preserve">Ú. v. EÚ L 193, 30.7.2018, s. </w:t>
      </w:r>
      <w:r w:rsidRPr="003D5D04">
        <w:rPr>
          <w:sz w:val="24"/>
          <w:lang w:val="sk-SK"/>
        </w:rPr>
        <w:t xml:space="preserve">1, ELI: </w:t>
      </w:r>
      <w:hyperlink r:id="rId5" w:history="1">
        <w:r w:rsidRPr="003D5D04">
          <w:rPr>
            <w:rStyle w:val="Hyperlink"/>
            <w:sz w:val="24"/>
            <w:lang w:val="sk-SK"/>
          </w:rPr>
          <w:t>http://data.europa.eu/eli/reg/2018/1046/oj</w:t>
        </w:r>
      </w:hyperlink>
      <w:r w:rsidRPr="003D5D04">
        <w:rPr>
          <w:sz w:val="24"/>
          <w:lang w:val="sk-SK"/>
        </w:rPr>
        <w:t>.</w:t>
      </w:r>
    </w:p>
  </w:footnote>
  <w:footnote w:id="6">
    <w:p w14:paraId="19AB95DC" w14:textId="4CFA217A" w:rsidR="00D53C1F" w:rsidRPr="003D5D04" w:rsidRDefault="00D53C1F" w:rsidP="003D5D04">
      <w:pPr>
        <w:pStyle w:val="FootnoteText"/>
        <w:ind w:left="567" w:hanging="567"/>
        <w:rPr>
          <w:sz w:val="24"/>
          <w:szCs w:val="24"/>
          <w:lang w:val="sk-SK"/>
        </w:rPr>
      </w:pPr>
      <w:r w:rsidRPr="003D5D04">
        <w:rPr>
          <w:rStyle w:val="FootnoteReference"/>
          <w:sz w:val="24"/>
          <w:lang w:val="sk-SK"/>
        </w:rPr>
        <w:footnoteRef/>
      </w:r>
      <w:r w:rsidR="003D5D04" w:rsidRPr="003D5D04">
        <w:rPr>
          <w:sz w:val="24"/>
          <w:lang w:val="sk-SK"/>
        </w:rPr>
        <w:t xml:space="preserve"> </w:t>
      </w:r>
      <w:r w:rsidR="003D5D04" w:rsidRPr="003D5D04">
        <w:rPr>
          <w:sz w:val="24"/>
          <w:lang w:val="sk-SK"/>
        </w:rPr>
        <w:tab/>
      </w:r>
      <w:r w:rsidRPr="003D5D04">
        <w:rPr>
          <w:sz w:val="24"/>
          <w:lang w:val="sk-SK"/>
        </w:rPr>
        <w:t xml:space="preserve">Ú. v. </w:t>
      </w:r>
      <w:r w:rsidRPr="003D5D04">
        <w:rPr>
          <w:sz w:val="24"/>
          <w:lang w:val="sk-SK"/>
        </w:rPr>
        <w:t xml:space="preserve">EÚ L, 2024/2509, 26.9.2024, ELI: </w:t>
      </w:r>
      <w:hyperlink r:id="rId6" w:history="1">
        <w:r w:rsidRPr="003D5D04">
          <w:rPr>
            <w:rStyle w:val="Hyperlink"/>
            <w:sz w:val="24"/>
            <w:lang w:val="sk-SK"/>
          </w:rPr>
          <w:t>http://data.europa.eu/eli/reg/2024/2509/oj</w:t>
        </w:r>
      </w:hyperlink>
      <w:r w:rsidRPr="003D5D04">
        <w:rPr>
          <w:sz w:val="24"/>
          <w:lang w:val="sk-SK"/>
        </w:rPr>
        <w:t>.</w:t>
      </w:r>
    </w:p>
  </w:footnote>
  <w:footnote w:id="7">
    <w:p w14:paraId="66A0D4DD" w14:textId="4F31EDED" w:rsidR="00D53C1F" w:rsidRPr="003D5D04" w:rsidRDefault="00D53C1F" w:rsidP="003D5D04">
      <w:pPr>
        <w:pStyle w:val="FootnoteText"/>
        <w:ind w:left="567" w:hanging="567"/>
        <w:rPr>
          <w:sz w:val="24"/>
          <w:szCs w:val="24"/>
          <w:lang w:val="sk-SK"/>
        </w:rPr>
      </w:pPr>
      <w:r w:rsidRPr="003D5D04">
        <w:rPr>
          <w:rStyle w:val="FootnoteReference"/>
          <w:sz w:val="24"/>
          <w:szCs w:val="24"/>
          <w:lang w:val="sk-SK"/>
        </w:rPr>
        <w:footnoteRef/>
      </w:r>
      <w:r w:rsidR="003D5D04" w:rsidRPr="003D5D04">
        <w:rPr>
          <w:sz w:val="24"/>
          <w:lang w:val="sk-SK"/>
        </w:rPr>
        <w:t xml:space="preserve"> </w:t>
      </w:r>
      <w:r w:rsidR="003D5D04" w:rsidRPr="003D5D04">
        <w:rPr>
          <w:sz w:val="24"/>
          <w:lang w:val="sk-SK"/>
        </w:rPr>
        <w:tab/>
      </w:r>
      <w:r w:rsidRPr="003D5D04">
        <w:rPr>
          <w:sz w:val="24"/>
          <w:lang w:val="sk-SK"/>
        </w:rPr>
        <w:t xml:space="preserve">Nariadenie Európskeho parlamentu a Rady (EÚ, </w:t>
      </w:r>
      <w:proofErr w:type="spellStart"/>
      <w:r w:rsidRPr="003D5D04">
        <w:rPr>
          <w:sz w:val="24"/>
          <w:lang w:val="sk-SK"/>
        </w:rPr>
        <w:t>Euratom</w:t>
      </w:r>
      <w:proofErr w:type="spellEnd"/>
      <w:r w:rsidRPr="003D5D04">
        <w:rPr>
          <w:sz w:val="24"/>
          <w:lang w:val="sk-SK"/>
        </w:rPr>
        <w:t>) 2024/2019 z 11. apríla 2024, ktorým sa mení Protokol č. 3 o štatúte Súdneho dvora Európskej únie (Ú. v. </w:t>
      </w:r>
      <w:r w:rsidRPr="003D5D04">
        <w:rPr>
          <w:sz w:val="24"/>
          <w:lang w:val="sk-SK"/>
        </w:rPr>
        <w:t xml:space="preserve">EÚ L, 2024/2019, 12.8.2024, ELI: </w:t>
      </w:r>
      <w:hyperlink r:id="rId7" w:history="1">
        <w:r w:rsidRPr="003D5D04">
          <w:rPr>
            <w:rStyle w:val="Hyperlink"/>
            <w:sz w:val="24"/>
            <w:lang w:val="sk-SK"/>
          </w:rPr>
          <w:t>http://data.europa.eu/eli/reg/2024/2019/oj</w:t>
        </w:r>
      </w:hyperlink>
      <w:r w:rsidRPr="003D5D04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FC47F" w14:textId="77777777" w:rsidR="00064002" w:rsidRPr="003D5D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1B36" w14:textId="77777777" w:rsidR="00064002" w:rsidRPr="003D5D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09674" w14:textId="77777777" w:rsidR="00064002" w:rsidRPr="003D5D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50765142">
    <w:abstractNumId w:val="9"/>
  </w:num>
  <w:num w:numId="2" w16cid:durableId="1519393258">
    <w:abstractNumId w:val="9"/>
  </w:num>
  <w:num w:numId="3" w16cid:durableId="1613049410">
    <w:abstractNumId w:val="7"/>
  </w:num>
  <w:num w:numId="4" w16cid:durableId="112139213">
    <w:abstractNumId w:val="7"/>
  </w:num>
  <w:num w:numId="5" w16cid:durableId="682099026">
    <w:abstractNumId w:val="6"/>
  </w:num>
  <w:num w:numId="6" w16cid:durableId="1709984908">
    <w:abstractNumId w:val="6"/>
  </w:num>
  <w:num w:numId="7" w16cid:durableId="1106272888">
    <w:abstractNumId w:val="5"/>
  </w:num>
  <w:num w:numId="8" w16cid:durableId="252903884">
    <w:abstractNumId w:val="5"/>
  </w:num>
  <w:num w:numId="9" w16cid:durableId="1423188271">
    <w:abstractNumId w:val="4"/>
  </w:num>
  <w:num w:numId="10" w16cid:durableId="710149220">
    <w:abstractNumId w:val="4"/>
  </w:num>
  <w:num w:numId="11" w16cid:durableId="800344520">
    <w:abstractNumId w:val="8"/>
  </w:num>
  <w:num w:numId="12" w16cid:durableId="1459176426">
    <w:abstractNumId w:val="8"/>
  </w:num>
  <w:num w:numId="13" w16cid:durableId="2105492576">
    <w:abstractNumId w:val="3"/>
  </w:num>
  <w:num w:numId="14" w16cid:durableId="1974554455">
    <w:abstractNumId w:val="3"/>
  </w:num>
  <w:num w:numId="15" w16cid:durableId="840703613">
    <w:abstractNumId w:val="2"/>
  </w:num>
  <w:num w:numId="16" w16cid:durableId="959149500">
    <w:abstractNumId w:val="2"/>
  </w:num>
  <w:num w:numId="17" w16cid:durableId="938606844">
    <w:abstractNumId w:val="1"/>
  </w:num>
  <w:num w:numId="18" w16cid:durableId="1298996537">
    <w:abstractNumId w:val="1"/>
  </w:num>
  <w:num w:numId="19" w16cid:durableId="660277397">
    <w:abstractNumId w:val="0"/>
  </w:num>
  <w:num w:numId="20" w16cid:durableId="1585335570">
    <w:abstractNumId w:val="0"/>
  </w:num>
  <w:num w:numId="21" w16cid:durableId="1532575973">
    <w:abstractNumId w:val="9"/>
  </w:num>
  <w:num w:numId="22" w16cid:durableId="1185558009">
    <w:abstractNumId w:val="7"/>
  </w:num>
  <w:num w:numId="23" w16cid:durableId="430707627">
    <w:abstractNumId w:val="6"/>
  </w:num>
  <w:num w:numId="24" w16cid:durableId="832528905">
    <w:abstractNumId w:val="5"/>
  </w:num>
  <w:num w:numId="25" w16cid:durableId="1113981137">
    <w:abstractNumId w:val="4"/>
  </w:num>
  <w:num w:numId="26" w16cid:durableId="957373917">
    <w:abstractNumId w:val="8"/>
  </w:num>
  <w:num w:numId="27" w16cid:durableId="919565488">
    <w:abstractNumId w:val="3"/>
  </w:num>
  <w:num w:numId="28" w16cid:durableId="278226632">
    <w:abstractNumId w:val="2"/>
  </w:num>
  <w:num w:numId="29" w16cid:durableId="1230195366">
    <w:abstractNumId w:val="1"/>
  </w:num>
  <w:num w:numId="30" w16cid:durableId="443233642">
    <w:abstractNumId w:val="0"/>
  </w:num>
  <w:num w:numId="31" w16cid:durableId="2088569470">
    <w:abstractNumId w:val="9"/>
  </w:num>
  <w:num w:numId="32" w16cid:durableId="802383978">
    <w:abstractNumId w:val="7"/>
  </w:num>
  <w:num w:numId="33" w16cid:durableId="442380775">
    <w:abstractNumId w:val="6"/>
  </w:num>
  <w:num w:numId="34" w16cid:durableId="1544975621">
    <w:abstractNumId w:val="5"/>
  </w:num>
  <w:num w:numId="35" w16cid:durableId="1756584406">
    <w:abstractNumId w:val="4"/>
  </w:num>
  <w:num w:numId="36" w16cid:durableId="836388135">
    <w:abstractNumId w:val="8"/>
  </w:num>
  <w:num w:numId="37" w16cid:durableId="1812095074">
    <w:abstractNumId w:val="3"/>
  </w:num>
  <w:num w:numId="38" w16cid:durableId="2128306683">
    <w:abstractNumId w:val="2"/>
  </w:num>
  <w:num w:numId="39" w16cid:durableId="1726176526">
    <w:abstractNumId w:val="1"/>
  </w:num>
  <w:num w:numId="40" w16cid:durableId="2098359869">
    <w:abstractNumId w:val="0"/>
  </w:num>
  <w:num w:numId="41" w16cid:durableId="405609062">
    <w:abstractNumId w:val="10"/>
  </w:num>
  <w:num w:numId="42" w16cid:durableId="1250651325">
    <w:abstractNumId w:val="10"/>
  </w:num>
  <w:num w:numId="43" w16cid:durableId="330180912">
    <w:abstractNumId w:val="10"/>
  </w:num>
  <w:num w:numId="44" w16cid:durableId="2076190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5/2026"/>
    <w:docVar w:name="dvlangue" w:val="SK"/>
    <w:docVar w:name="dvnumam" w:val="0"/>
    <w:docVar w:name="dvpe" w:val="778.060"/>
    <w:docVar w:name="dvrapporteur" w:val="Spravodajca: "/>
    <w:docVar w:name="dvtitre" w:val="Rozhodnutie Európskeho parlamentu z/zo xx. xxx 2026 o absolutóriu za plnenie všeobecného rozpočtu Európskej únie za rozpočtový rok 2024, oddiel IV – Súdny dvor Európskej únie(2025/2148(DEC))"/>
  </w:docVars>
  <w:rsids>
    <w:rsidRoot w:val="0020085F"/>
    <w:rsid w:val="00002272"/>
    <w:rsid w:val="00045896"/>
    <w:rsid w:val="00064002"/>
    <w:rsid w:val="000677B9"/>
    <w:rsid w:val="000831BA"/>
    <w:rsid w:val="000A42CC"/>
    <w:rsid w:val="000C7161"/>
    <w:rsid w:val="000E7DD9"/>
    <w:rsid w:val="0010095E"/>
    <w:rsid w:val="00125B37"/>
    <w:rsid w:val="00187494"/>
    <w:rsid w:val="001F32AE"/>
    <w:rsid w:val="0020085F"/>
    <w:rsid w:val="00266D6F"/>
    <w:rsid w:val="002767FF"/>
    <w:rsid w:val="002B18FE"/>
    <w:rsid w:val="002B5493"/>
    <w:rsid w:val="00343214"/>
    <w:rsid w:val="00361C00"/>
    <w:rsid w:val="00395FA1"/>
    <w:rsid w:val="003D5D04"/>
    <w:rsid w:val="003E15D4"/>
    <w:rsid w:val="00411CCE"/>
    <w:rsid w:val="0041666E"/>
    <w:rsid w:val="00417C8A"/>
    <w:rsid w:val="00421060"/>
    <w:rsid w:val="00471C19"/>
    <w:rsid w:val="004867E3"/>
    <w:rsid w:val="00494A28"/>
    <w:rsid w:val="004C0004"/>
    <w:rsid w:val="004C5D52"/>
    <w:rsid w:val="0050519A"/>
    <w:rsid w:val="00506E1E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3366"/>
    <w:rsid w:val="007D1690"/>
    <w:rsid w:val="007E22AD"/>
    <w:rsid w:val="00817416"/>
    <w:rsid w:val="00842779"/>
    <w:rsid w:val="00865F67"/>
    <w:rsid w:val="00877ABA"/>
    <w:rsid w:val="00881A7B"/>
    <w:rsid w:val="008840E5"/>
    <w:rsid w:val="00887B3E"/>
    <w:rsid w:val="008C2AC6"/>
    <w:rsid w:val="008F3F02"/>
    <w:rsid w:val="00930C23"/>
    <w:rsid w:val="0093193B"/>
    <w:rsid w:val="009509D8"/>
    <w:rsid w:val="00950B64"/>
    <w:rsid w:val="00981893"/>
    <w:rsid w:val="009F622B"/>
    <w:rsid w:val="00A1687D"/>
    <w:rsid w:val="00A43E52"/>
    <w:rsid w:val="00A4678D"/>
    <w:rsid w:val="00A756BD"/>
    <w:rsid w:val="00A778C7"/>
    <w:rsid w:val="00A96B52"/>
    <w:rsid w:val="00AB441E"/>
    <w:rsid w:val="00AB6293"/>
    <w:rsid w:val="00AE0928"/>
    <w:rsid w:val="00AF3B82"/>
    <w:rsid w:val="00B04B36"/>
    <w:rsid w:val="00B12E95"/>
    <w:rsid w:val="00B22876"/>
    <w:rsid w:val="00B558F0"/>
    <w:rsid w:val="00BB6FBF"/>
    <w:rsid w:val="00BD48FE"/>
    <w:rsid w:val="00BD7BD8"/>
    <w:rsid w:val="00BE6ADC"/>
    <w:rsid w:val="00C05BFE"/>
    <w:rsid w:val="00C23CD4"/>
    <w:rsid w:val="00C61C0C"/>
    <w:rsid w:val="00C770C4"/>
    <w:rsid w:val="00C941CB"/>
    <w:rsid w:val="00CC2357"/>
    <w:rsid w:val="00CF071A"/>
    <w:rsid w:val="00D058B8"/>
    <w:rsid w:val="00D15A0F"/>
    <w:rsid w:val="00D53C1F"/>
    <w:rsid w:val="00D56C11"/>
    <w:rsid w:val="00D745AB"/>
    <w:rsid w:val="00D834A0"/>
    <w:rsid w:val="00D872DF"/>
    <w:rsid w:val="00D91E21"/>
    <w:rsid w:val="00DA7FCD"/>
    <w:rsid w:val="00E365E1"/>
    <w:rsid w:val="00E820A4"/>
    <w:rsid w:val="00E9351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56465E"/>
  <w15:chartTrackingRefBased/>
  <w15:docId w15:val="{57360FF2-B2B8-48D8-9E09-7342CCF1E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53C1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53C1F"/>
    <w:pPr>
      <w:spacing w:before="480" w:after="240"/>
    </w:pPr>
  </w:style>
  <w:style w:type="paragraph" w:customStyle="1" w:styleId="PageHeading">
    <w:name w:val="PageHeading"/>
    <w:basedOn w:val="Normal"/>
    <w:rsid w:val="00D53C1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53C1F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D53C1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53C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53C1F"/>
    <w:rPr>
      <w:sz w:val="24"/>
      <w:lang w:val="sk-SK"/>
    </w:rPr>
  </w:style>
  <w:style w:type="paragraph" w:customStyle="1" w:styleId="EPFooter">
    <w:name w:val="EPFooter"/>
    <w:basedOn w:val="Normal"/>
    <w:rsid w:val="00D53C1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D53C1F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D53C1F"/>
    <w:rPr>
      <w:sz w:val="24"/>
      <w:lang w:val="sk-SK"/>
    </w:rPr>
  </w:style>
  <w:style w:type="paragraph" w:styleId="Footer">
    <w:name w:val="footer"/>
    <w:basedOn w:val="Normal"/>
    <w:link w:val="FooterChar"/>
    <w:rsid w:val="00E935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93513"/>
    <w:rPr>
      <w:sz w:val="24"/>
      <w:lang w:val="sk-SK"/>
    </w:rPr>
  </w:style>
  <w:style w:type="paragraph" w:styleId="Revision">
    <w:name w:val="Revision"/>
    <w:hidden/>
    <w:uiPriority w:val="99"/>
    <w:semiHidden/>
    <w:rsid w:val="00C770C4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5409/oj" TargetMode="External"/><Relationship Id="rId7" Type="http://schemas.openxmlformats.org/officeDocument/2006/relationships/hyperlink" Target="http://data.europa.eu/eli/reg/2024/2019/oj" TargetMode="External"/><Relationship Id="rId2" Type="http://schemas.openxmlformats.org/officeDocument/2006/relationships/hyperlink" Target="http://data.europa.eu/eli/C/2025/4944/oj" TargetMode="External"/><Relationship Id="rId1" Type="http://schemas.openxmlformats.org/officeDocument/2006/relationships/hyperlink" Target="http://data.europa.eu/eli/budget/2024/207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5/54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7357</Words>
  <Characters>44588</Characters>
  <Application>Microsoft Office Word</Application>
  <DocSecurity>0</DocSecurity>
  <Lines>371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2026-05-06T09:36:00Z</dcterms:created>
  <dcterms:modified xsi:type="dcterms:W3CDTF">2026-05-06T09:36:00Z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P10_TA(2026)0128_</vt:lpwstr>
  </property>
  <property fmtid="{D5CDD505-2E9C-101B-9397-08002B2CF9AE}" pid="4" name="&lt;Type&gt;">
    <vt:lpwstr>RR</vt:lpwstr>
  </property>
</Properties>
</file>