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3507" w14:paraId="574FE2CB" w14:textId="77777777" w:rsidTr="0010095E">
        <w:trPr>
          <w:trHeight w:hRule="exact" w:val="1418"/>
        </w:trPr>
        <w:tc>
          <w:tcPr>
            <w:tcW w:w="6804" w:type="dxa"/>
            <w:shd w:val="clear" w:color="auto" w:fill="auto"/>
            <w:vAlign w:val="center"/>
          </w:tcPr>
          <w:p w14:paraId="68DF65BB" w14:textId="77777777" w:rsidR="00751A4A" w:rsidRPr="00C43507" w:rsidRDefault="0048519C" w:rsidP="0010095E">
            <w:pPr>
              <w:pStyle w:val="EPName"/>
            </w:pPr>
            <w:r w:rsidRPr="00C43507">
              <w:t>Europaparlamentet</w:t>
            </w:r>
          </w:p>
          <w:p w14:paraId="5D4E9F88" w14:textId="77777777" w:rsidR="00751A4A" w:rsidRPr="00C43507" w:rsidRDefault="005F1B17" w:rsidP="005F1B17">
            <w:pPr>
              <w:pStyle w:val="EPTerm"/>
              <w:rPr>
                <w:rStyle w:val="HideTWBExt"/>
                <w:noProof w:val="0"/>
                <w:vanish w:val="0"/>
                <w:color w:val="auto"/>
              </w:rPr>
            </w:pPr>
            <w:r w:rsidRPr="00C43507">
              <w:t>2024</w:t>
            </w:r>
            <w:r w:rsidR="00817416" w:rsidRPr="00C43507">
              <w:t>-202</w:t>
            </w:r>
            <w:r w:rsidRPr="00C43507">
              <w:t>9</w:t>
            </w:r>
          </w:p>
        </w:tc>
        <w:tc>
          <w:tcPr>
            <w:tcW w:w="2268" w:type="dxa"/>
            <w:shd w:val="clear" w:color="auto" w:fill="auto"/>
          </w:tcPr>
          <w:p w14:paraId="2C4B1420" w14:textId="77777777" w:rsidR="00751A4A" w:rsidRPr="00C43507" w:rsidRDefault="00187494" w:rsidP="0010095E">
            <w:pPr>
              <w:pStyle w:val="EPLogo"/>
            </w:pPr>
            <w:r w:rsidRPr="00C43507">
              <w:rPr>
                <w:noProof/>
                <w:lang w:eastAsia="ja-JP"/>
              </w:rPr>
              <w:drawing>
                <wp:inline distT="0" distB="0" distL="0" distR="0" wp14:anchorId="2A127D95" wp14:editId="226883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BC776A" w14:textId="77777777" w:rsidR="00D058B8" w:rsidRPr="00C43507" w:rsidRDefault="00D058B8" w:rsidP="004C5D52">
      <w:pPr>
        <w:pStyle w:val="LineTop"/>
      </w:pPr>
    </w:p>
    <w:p w14:paraId="0F3DE60B" w14:textId="77777777" w:rsidR="00680577" w:rsidRPr="00C43507" w:rsidRDefault="0048519C" w:rsidP="00680577">
      <w:pPr>
        <w:pStyle w:val="EPBodyTA1"/>
      </w:pPr>
      <w:r w:rsidRPr="00C43507">
        <w:t>ANTAGNA TEXTER</w:t>
      </w:r>
    </w:p>
    <w:p w14:paraId="54AEE0E1" w14:textId="77777777" w:rsidR="00D058B8" w:rsidRPr="00C43507" w:rsidRDefault="00D058B8" w:rsidP="00D058B8">
      <w:pPr>
        <w:pStyle w:val="LineBottom"/>
      </w:pPr>
    </w:p>
    <w:p w14:paraId="53F5EA02" w14:textId="3531C7EB" w:rsidR="0048519C" w:rsidRPr="00C43507" w:rsidRDefault="0048519C" w:rsidP="0048519C">
      <w:pPr>
        <w:pStyle w:val="ATHeading1"/>
      </w:pPr>
      <w:bookmarkStart w:id="0" w:name="TANumber"/>
      <w:r w:rsidRPr="00C43507">
        <w:t>P10_TA(2026)0</w:t>
      </w:r>
      <w:bookmarkEnd w:id="0"/>
      <w:r w:rsidR="00C43507" w:rsidRPr="00C43507">
        <w:t>128</w:t>
      </w:r>
    </w:p>
    <w:p w14:paraId="1C1F3980" w14:textId="77777777" w:rsidR="0048519C" w:rsidRPr="00C43507" w:rsidRDefault="0048519C" w:rsidP="0048519C">
      <w:pPr>
        <w:pStyle w:val="ATHeading2"/>
      </w:pPr>
      <w:bookmarkStart w:id="1" w:name="title"/>
      <w:r w:rsidRPr="00C43507">
        <w:t>Ansvarsfrihet 2024: EU:s allmänna budget – Europeiska unionens domstol</w:t>
      </w:r>
      <w:bookmarkEnd w:id="1"/>
    </w:p>
    <w:p w14:paraId="74EDB71E" w14:textId="77777777" w:rsidR="0048519C" w:rsidRPr="00C43507" w:rsidRDefault="0048519C" w:rsidP="0048519C">
      <w:pPr>
        <w:rPr>
          <w:i/>
          <w:vanish/>
        </w:rPr>
      </w:pPr>
      <w:r w:rsidRPr="00C43507">
        <w:rPr>
          <w:i/>
        </w:rPr>
        <w:fldChar w:fldCharType="begin"/>
      </w:r>
      <w:r w:rsidRPr="00C43507">
        <w:rPr>
          <w:i/>
        </w:rPr>
        <w:instrText xml:space="preserve"> TC"(</w:instrText>
      </w:r>
      <w:bookmarkStart w:id="2" w:name="DocNumber"/>
      <w:r w:rsidRPr="00C43507">
        <w:rPr>
          <w:i/>
        </w:rPr>
        <w:instrText>A10-0055/2026</w:instrText>
      </w:r>
      <w:bookmarkEnd w:id="2"/>
      <w:r w:rsidRPr="00C43507">
        <w:rPr>
          <w:i/>
        </w:rPr>
        <w:instrText xml:space="preserve"> - Föredragande: Pasquale </w:instrText>
      </w:r>
      <w:proofErr w:type="spellStart"/>
      <w:r w:rsidRPr="00C43507">
        <w:rPr>
          <w:i/>
        </w:rPr>
        <w:instrText>Tridico</w:instrText>
      </w:r>
      <w:proofErr w:type="spellEnd"/>
      <w:r w:rsidRPr="00C43507">
        <w:rPr>
          <w:i/>
        </w:rPr>
        <w:instrText xml:space="preserve">)"\l3 \n&gt; \* MERGEFORMAT </w:instrText>
      </w:r>
      <w:r w:rsidRPr="00C43507">
        <w:rPr>
          <w:i/>
        </w:rPr>
        <w:fldChar w:fldCharType="end"/>
      </w:r>
    </w:p>
    <w:p w14:paraId="5E96EF03" w14:textId="77777777" w:rsidR="0048519C" w:rsidRPr="00C43507" w:rsidRDefault="0048519C" w:rsidP="0048519C">
      <w:pPr>
        <w:rPr>
          <w:vanish/>
        </w:rPr>
      </w:pPr>
      <w:bookmarkStart w:id="3" w:name="Commission"/>
      <w:r w:rsidRPr="00C43507">
        <w:rPr>
          <w:vanish/>
        </w:rPr>
        <w:t>Budgetkontrollutskottet</w:t>
      </w:r>
      <w:bookmarkEnd w:id="3"/>
    </w:p>
    <w:p w14:paraId="5F5C1C55" w14:textId="77777777" w:rsidR="0048519C" w:rsidRPr="00C43507" w:rsidRDefault="0048519C" w:rsidP="0048519C">
      <w:pPr>
        <w:rPr>
          <w:vanish/>
        </w:rPr>
      </w:pPr>
      <w:bookmarkStart w:id="4" w:name="PE"/>
      <w:r w:rsidRPr="00C43507">
        <w:rPr>
          <w:vanish/>
        </w:rPr>
        <w:t>PE778.060</w:t>
      </w:r>
      <w:bookmarkEnd w:id="4"/>
    </w:p>
    <w:p w14:paraId="0CE1C1E1" w14:textId="07B4A85F" w:rsidR="0073782B" w:rsidRPr="00C43507" w:rsidRDefault="008B3783" w:rsidP="008B3783">
      <w:pPr>
        <w:pStyle w:val="ATHeading3"/>
      </w:pPr>
      <w:bookmarkStart w:id="5" w:name="_Toc26759888"/>
      <w:bookmarkStart w:id="6" w:name="_Toc86200285"/>
      <w:r w:rsidRPr="00C43507">
        <w:t xml:space="preserve">1. Europaparlamentets beslut av den 29 april </w:t>
      </w:r>
      <w:r w:rsidR="00795495" w:rsidRPr="00C43507">
        <w:t xml:space="preserve">2026 </w:t>
      </w:r>
      <w:r w:rsidR="0073782B" w:rsidRPr="00C43507">
        <w:t>om ansvarsfrihet för genomförandet av Europeiska unionens allmänna budget för budgetåret 2024, avsnitt IV – Europeiska unionens domstol</w:t>
      </w:r>
      <w:r w:rsidRPr="00C43507">
        <w:t xml:space="preserve"> </w:t>
      </w:r>
      <w:r w:rsidR="0073782B" w:rsidRPr="00C43507">
        <w:t>(2025/2148(DEC))</w:t>
      </w:r>
    </w:p>
    <w:p w14:paraId="4BD78E82" w14:textId="77777777" w:rsidR="0073782B" w:rsidRPr="00C43507" w:rsidRDefault="0073782B" w:rsidP="0073782B">
      <w:pPr>
        <w:pStyle w:val="EPComma"/>
        <w:widowControl/>
      </w:pPr>
      <w:r w:rsidRPr="00C43507">
        <w:rPr>
          <w:i/>
        </w:rPr>
        <w:t>Europaparlamentet fattar detta beslut</w:t>
      </w:r>
    </w:p>
    <w:p w14:paraId="2782ECCA" w14:textId="77777777" w:rsidR="0073782B" w:rsidRPr="00C43507" w:rsidRDefault="0073782B" w:rsidP="0073782B">
      <w:pPr>
        <w:pStyle w:val="NormalHanging12a"/>
        <w:widowControl/>
      </w:pPr>
      <w:r w:rsidRPr="00C43507">
        <w:t>–</w:t>
      </w:r>
      <w:r w:rsidRPr="00C43507">
        <w:tab/>
        <w:t>med beaktande av Europeiska unionens allmänna budget för budgetåret 2024</w:t>
      </w:r>
      <w:r w:rsidRPr="00C43507">
        <w:rPr>
          <w:rStyle w:val="FootnoteReference"/>
        </w:rPr>
        <w:footnoteReference w:id="1"/>
      </w:r>
      <w:r w:rsidRPr="00C43507">
        <w:t>,</w:t>
      </w:r>
    </w:p>
    <w:p w14:paraId="64C2D9DF" w14:textId="77777777" w:rsidR="0073782B" w:rsidRPr="00C43507" w:rsidRDefault="0073782B" w:rsidP="0073782B">
      <w:pPr>
        <w:pStyle w:val="NormalHanging12a"/>
        <w:widowControl/>
      </w:pPr>
      <w:r w:rsidRPr="00C43507">
        <w:t>–</w:t>
      </w:r>
      <w:r w:rsidRPr="00C43507">
        <w:tab/>
        <w:t>med beaktande av Europeiska unionens konsoliderade årsredovisning för budgetåret 2024 (COM(2025)0359 – C10</w:t>
      </w:r>
      <w:r w:rsidRPr="00C43507">
        <w:noBreakHyphen/>
        <w:t>0148/2025)</w:t>
      </w:r>
      <w:r w:rsidRPr="00C43507">
        <w:rPr>
          <w:rStyle w:val="FootnoteReference"/>
        </w:rPr>
        <w:footnoteReference w:id="2"/>
      </w:r>
      <w:r w:rsidRPr="00C43507">
        <w:t>,</w:t>
      </w:r>
    </w:p>
    <w:p w14:paraId="222D2DB5" w14:textId="77777777" w:rsidR="0073782B" w:rsidRPr="00C43507" w:rsidRDefault="0073782B" w:rsidP="0073782B">
      <w:pPr>
        <w:pStyle w:val="NormalHanging12a"/>
        <w:widowControl/>
      </w:pPr>
      <w:r w:rsidRPr="00C43507">
        <w:t>–</w:t>
      </w:r>
      <w:r w:rsidRPr="00C43507">
        <w:tab/>
        <w:t>med beaktande av Europeiska unionens domstols årsrapport till den ansvarsfrihetsbeviljande myndigheten om de internrevisioner som genomförts under 2024,</w:t>
      </w:r>
    </w:p>
    <w:p w14:paraId="3A3F4F99" w14:textId="77777777" w:rsidR="0073782B" w:rsidRPr="00C43507" w:rsidRDefault="0073782B" w:rsidP="0073782B">
      <w:pPr>
        <w:pStyle w:val="NormalHanging12a"/>
        <w:widowControl/>
      </w:pPr>
      <w:r w:rsidRPr="00C43507">
        <w:t>–</w:t>
      </w:r>
      <w:r w:rsidRPr="00C43507">
        <w:tab/>
        <w:t>med beaktande av revisionsrättens årsrapport om genomförandet av budgeten för budgetåret 2024, med institutionernas svar</w:t>
      </w:r>
      <w:r w:rsidRPr="00C43507">
        <w:rPr>
          <w:rStyle w:val="FootnoteReference"/>
        </w:rPr>
        <w:footnoteReference w:id="3"/>
      </w:r>
      <w:r w:rsidRPr="00C43507">
        <w:t>,</w:t>
      </w:r>
    </w:p>
    <w:p w14:paraId="29DD6811" w14:textId="77777777" w:rsidR="0073782B" w:rsidRPr="00C43507" w:rsidRDefault="0073782B" w:rsidP="0073782B">
      <w:pPr>
        <w:pStyle w:val="NormalHanging12a"/>
        <w:widowControl/>
      </w:pPr>
      <w:r w:rsidRPr="00C43507">
        <w:t>–</w:t>
      </w:r>
      <w:r w:rsidRPr="00C43507">
        <w:tab/>
        <w:t>med beaktande av förklaringen om räkenskapernas tillförlitlighet</w:t>
      </w:r>
      <w:r w:rsidRPr="00C43507">
        <w:rPr>
          <w:rStyle w:val="FootnoteReference"/>
        </w:rPr>
        <w:footnoteReference w:id="4"/>
      </w:r>
      <w:r w:rsidRPr="00C43507">
        <w:t xml:space="preserve"> och de underliggande transaktionernas laglighet och korrekthet, som avgetts av revisionsrätten för budgetåret 2024 i enlighet med artikel 287 i fördraget om Europeiska unionens funktionssätt,</w:t>
      </w:r>
    </w:p>
    <w:p w14:paraId="2DEE1298" w14:textId="77777777" w:rsidR="0073782B" w:rsidRPr="00C43507" w:rsidRDefault="0073782B" w:rsidP="0073782B">
      <w:pPr>
        <w:pStyle w:val="NormalHanging12a"/>
        <w:widowControl/>
      </w:pPr>
      <w:r w:rsidRPr="00C43507">
        <w:t>–</w:t>
      </w:r>
      <w:r w:rsidRPr="00C43507">
        <w:tab/>
        <w:t>med beaktande av artikel 314.10 och artiklarna 317, 318 och 319 i fördraget om Europeiska unionens funktionssätt,</w:t>
      </w:r>
    </w:p>
    <w:p w14:paraId="214C1076" w14:textId="77777777" w:rsidR="0073782B" w:rsidRPr="00C43507" w:rsidRDefault="0073782B" w:rsidP="0073782B">
      <w:pPr>
        <w:pStyle w:val="NormalHanging12a"/>
        <w:widowControl/>
      </w:pPr>
      <w:r w:rsidRPr="00C43507">
        <w:t>–</w:t>
      </w:r>
      <w:r w:rsidRPr="00C43507">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w:t>
      </w:r>
      <w:r w:rsidRPr="00C43507">
        <w:lastRenderedPageBreak/>
        <w:t>(EU) nr 283/2014 och beslut nr 541/2014/EU samt om upphävande av förordning (EU, Euratom) nr 966/2012</w:t>
      </w:r>
      <w:r w:rsidRPr="00C43507">
        <w:rPr>
          <w:rStyle w:val="FootnoteReference"/>
        </w:rPr>
        <w:footnoteReference w:id="5"/>
      </w:r>
      <w:r w:rsidRPr="00C43507">
        <w:t>, särskilt artiklarna 59, 118, 260, 261 och 262,</w:t>
      </w:r>
    </w:p>
    <w:p w14:paraId="7E203E07" w14:textId="77777777" w:rsidR="0073782B" w:rsidRPr="00C43507" w:rsidRDefault="0073782B" w:rsidP="0073782B">
      <w:pPr>
        <w:pStyle w:val="NormalHanging12a"/>
        <w:widowControl/>
      </w:pPr>
      <w:r w:rsidRPr="00C43507">
        <w:t>–</w:t>
      </w:r>
      <w:r w:rsidRPr="00C43507">
        <w:tab/>
        <w:t>med beaktande av Europaparlamentets och rådets förordning (EU, Euratom) 2024/2509 av den 23 september 2024 om finansiella regler för unionens allmänna budget</w:t>
      </w:r>
      <w:r w:rsidRPr="00C43507">
        <w:rPr>
          <w:rStyle w:val="FootnoteReference"/>
        </w:rPr>
        <w:footnoteReference w:id="6"/>
      </w:r>
      <w:r w:rsidRPr="00C43507">
        <w:t>, särskilt artiklarna 59, 118, 266, 267 och 268,</w:t>
      </w:r>
    </w:p>
    <w:p w14:paraId="35F89777" w14:textId="77777777" w:rsidR="0073782B" w:rsidRPr="00C43507" w:rsidRDefault="0073782B" w:rsidP="0073782B">
      <w:pPr>
        <w:pStyle w:val="NormalHanging12a"/>
        <w:widowControl/>
      </w:pPr>
      <w:r w:rsidRPr="00C43507">
        <w:t>–</w:t>
      </w:r>
      <w:r w:rsidRPr="00C43507">
        <w:tab/>
        <w:t>med beaktande av artikel 102 och bilaga V i arbetsordningen,</w:t>
      </w:r>
    </w:p>
    <w:p w14:paraId="1CD79310" w14:textId="77777777" w:rsidR="0073782B" w:rsidRPr="00C43507" w:rsidRDefault="0073782B" w:rsidP="0073782B">
      <w:pPr>
        <w:pStyle w:val="NormalHanging12a"/>
        <w:widowControl/>
      </w:pPr>
      <w:r w:rsidRPr="00C43507">
        <w:t>–</w:t>
      </w:r>
      <w:r w:rsidRPr="00C43507">
        <w:tab/>
        <w:t>med beaktande av yttrandet från utskottet för rättsliga frågor,</w:t>
      </w:r>
    </w:p>
    <w:p w14:paraId="153196B2" w14:textId="77777777" w:rsidR="0073782B" w:rsidRPr="00C43507" w:rsidRDefault="0073782B" w:rsidP="0073782B">
      <w:pPr>
        <w:pStyle w:val="NormalHanging12a"/>
        <w:widowControl/>
      </w:pPr>
      <w:r w:rsidRPr="00C43507">
        <w:t>–</w:t>
      </w:r>
      <w:r w:rsidRPr="00C43507">
        <w:tab/>
        <w:t>med beaktande av betänkandet från budgetkontrollutskottet (A10-0055/2026).</w:t>
      </w:r>
    </w:p>
    <w:p w14:paraId="2A6EE1E3" w14:textId="77777777" w:rsidR="0073782B" w:rsidRPr="00C43507" w:rsidRDefault="0073782B" w:rsidP="0073782B">
      <w:pPr>
        <w:pStyle w:val="NormalHanging12a"/>
        <w:widowControl/>
      </w:pPr>
      <w:r w:rsidRPr="00C43507">
        <w:t>1.</w:t>
      </w:r>
      <w:r w:rsidRPr="00C43507">
        <w:tab/>
        <w:t>Europaparlamentet beviljar domstolens justitiesekreterare ansvarsfrihet för genomförandet av budgeten för Europeiska unionens domstol för budgetåret 2024.</w:t>
      </w:r>
    </w:p>
    <w:p w14:paraId="7ADC9648" w14:textId="77777777" w:rsidR="0073782B" w:rsidRPr="00C43507" w:rsidRDefault="0073782B" w:rsidP="0073782B">
      <w:pPr>
        <w:pStyle w:val="NormalHanging12a"/>
        <w:widowControl/>
      </w:pPr>
      <w:r w:rsidRPr="00C43507">
        <w:t>2.</w:t>
      </w:r>
      <w:r w:rsidRPr="00C43507">
        <w:tab/>
        <w:t>Europaparlamentet redovisar sina iakttagelser i resolutionen nedan.</w:t>
      </w:r>
    </w:p>
    <w:p w14:paraId="7B7E39AB" w14:textId="77777777" w:rsidR="0073782B" w:rsidRPr="00C43507" w:rsidRDefault="0073782B" w:rsidP="0073782B">
      <w:pPr>
        <w:pStyle w:val="NormalHanging12a"/>
        <w:widowControl/>
      </w:pPr>
      <w:r w:rsidRPr="00C43507">
        <w:t>3.</w:t>
      </w:r>
      <w:r w:rsidRPr="00C43507">
        <w:tab/>
        <w:t xml:space="preserve">Europaparlamentet uppdrar åt talmannen att översända detta beslut och den resolution som utgör en del av beslutet till Europeiska unionens domstol, rådet, kommissionen och revisionsrätten, och att se till att de offentliggörs i </w:t>
      </w:r>
      <w:r w:rsidRPr="00C43507">
        <w:rPr>
          <w:i/>
        </w:rPr>
        <w:t>Europeiska unionens officiella tidning</w:t>
      </w:r>
      <w:r w:rsidRPr="00C43507">
        <w:t xml:space="preserve"> (L-serien).</w:t>
      </w:r>
    </w:p>
    <w:p w14:paraId="34775C84" w14:textId="77777777" w:rsidR="0073782B" w:rsidRPr="00C43507" w:rsidRDefault="0073782B" w:rsidP="0073782B">
      <w:pPr>
        <w:widowControl/>
      </w:pPr>
      <w:r w:rsidRPr="00C43507">
        <w:br w:type="page"/>
      </w:r>
    </w:p>
    <w:p w14:paraId="6225167B" w14:textId="77777777" w:rsidR="0073782B" w:rsidRPr="00C43507" w:rsidRDefault="0073782B" w:rsidP="0073782B">
      <w:pPr>
        <w:pStyle w:val="PageHeading"/>
        <w:widowControl/>
        <w:sectPr w:rsidR="0073782B" w:rsidRPr="00C43507" w:rsidSect="002E0E3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4927017" w14:textId="3639C4BB" w:rsidR="0073782B" w:rsidRPr="00C43507" w:rsidRDefault="0073782B" w:rsidP="008B3783">
      <w:pPr>
        <w:pStyle w:val="ATHeading3"/>
      </w:pPr>
      <w:bookmarkStart w:id="7" w:name="_Toc225501806"/>
      <w:bookmarkEnd w:id="5"/>
      <w:bookmarkEnd w:id="6"/>
      <w:r w:rsidRPr="00C43507">
        <w:lastRenderedPageBreak/>
        <w:t xml:space="preserve">2. </w:t>
      </w:r>
      <w:r w:rsidR="008B3783" w:rsidRPr="00C43507">
        <w:t>Europaparlamentets resolution</w:t>
      </w:r>
      <w:bookmarkEnd w:id="7"/>
      <w:r w:rsidR="008B3783" w:rsidRPr="00C43507">
        <w:t xml:space="preserve"> </w:t>
      </w:r>
      <w:r w:rsidR="00E0279F" w:rsidRPr="00C43507">
        <w:t xml:space="preserve">av den 29 april 2026 </w:t>
      </w:r>
      <w:r w:rsidRPr="00C43507">
        <w:t>med de iakttagelser som utgör en del av beslutet om ansvarsfrihet för genomförandet av Europeiska unionens allmänna budget för budgetåret 2024, avsnitt IV – Europeiska unionens domsto</w:t>
      </w:r>
      <w:r w:rsidR="008B3783" w:rsidRPr="00C43507">
        <w:t xml:space="preserve">l </w:t>
      </w:r>
      <w:r w:rsidRPr="00C43507">
        <w:t>(2025/2148(DEC))</w:t>
      </w:r>
    </w:p>
    <w:p w14:paraId="50E2D53B" w14:textId="77777777" w:rsidR="0073782B" w:rsidRPr="00C43507" w:rsidRDefault="0073782B" w:rsidP="0073782B">
      <w:pPr>
        <w:pStyle w:val="EPComma"/>
        <w:widowControl/>
      </w:pPr>
      <w:r w:rsidRPr="00C43507">
        <w:rPr>
          <w:i/>
        </w:rPr>
        <w:t>Europaparlamentet utfärdar denna resolution</w:t>
      </w:r>
    </w:p>
    <w:p w14:paraId="291B1F16" w14:textId="77777777" w:rsidR="0073782B" w:rsidRPr="00C43507" w:rsidRDefault="0073782B" w:rsidP="0073782B">
      <w:pPr>
        <w:pStyle w:val="NormalHanging12a"/>
        <w:widowControl/>
      </w:pPr>
      <w:r w:rsidRPr="00C43507">
        <w:t>–</w:t>
      </w:r>
      <w:r w:rsidRPr="00C43507">
        <w:tab/>
        <w:t>med beaktande av sitt beslut om ansvarsfrihet för genomförandet av Europeiska unionens allmänna budget för budgetåret 2024, avsnitt IV – Europeiska unionens domstol,</w:t>
      </w:r>
    </w:p>
    <w:p w14:paraId="108462FD" w14:textId="77777777" w:rsidR="0073782B" w:rsidRPr="00C43507" w:rsidRDefault="0073782B" w:rsidP="0073782B">
      <w:pPr>
        <w:pStyle w:val="NormalHanging12a"/>
        <w:widowControl/>
      </w:pPr>
      <w:r w:rsidRPr="00C43507">
        <w:t>–</w:t>
      </w:r>
      <w:r w:rsidRPr="00C43507">
        <w:tab/>
        <w:t>med beaktande av artikel 102 och bilaga V i arbetsordningen,</w:t>
      </w:r>
    </w:p>
    <w:p w14:paraId="41D64F23" w14:textId="77777777" w:rsidR="0073782B" w:rsidRPr="00C43507" w:rsidRDefault="0073782B" w:rsidP="0073782B">
      <w:pPr>
        <w:pStyle w:val="NormalHanging12a"/>
        <w:widowControl/>
      </w:pPr>
      <w:r w:rsidRPr="00C43507">
        <w:t>–</w:t>
      </w:r>
      <w:r w:rsidRPr="00C43507">
        <w:tab/>
        <w:t>med beaktande av yttrandet från utskottet för rättsliga frågor,</w:t>
      </w:r>
    </w:p>
    <w:p w14:paraId="55A6D9A4" w14:textId="77777777" w:rsidR="0073782B" w:rsidRPr="00C43507" w:rsidRDefault="0073782B" w:rsidP="0073782B">
      <w:pPr>
        <w:pStyle w:val="NormalHanging12a"/>
        <w:widowControl/>
        <w:tabs>
          <w:tab w:val="left" w:pos="720"/>
          <w:tab w:val="left" w:pos="1440"/>
          <w:tab w:val="left" w:pos="2160"/>
          <w:tab w:val="left" w:pos="2880"/>
          <w:tab w:val="left" w:pos="3600"/>
          <w:tab w:val="left" w:pos="4320"/>
          <w:tab w:val="left" w:pos="5040"/>
          <w:tab w:val="left" w:pos="5760"/>
          <w:tab w:val="left" w:pos="6480"/>
          <w:tab w:val="left" w:pos="7643"/>
        </w:tabs>
      </w:pPr>
      <w:r w:rsidRPr="00C43507">
        <w:t>–</w:t>
      </w:r>
      <w:r w:rsidRPr="00C43507">
        <w:tab/>
        <w:t>med beaktande av betänkandet från budgetkontrollutskottet (A10-0055/2026), och av följande skäl:</w:t>
      </w:r>
    </w:p>
    <w:p w14:paraId="7CF83FF1" w14:textId="77777777" w:rsidR="0073782B" w:rsidRPr="00C43507" w:rsidRDefault="0073782B" w:rsidP="0073782B">
      <w:pPr>
        <w:pStyle w:val="NormalHanging12a"/>
        <w:widowControl/>
      </w:pPr>
      <w:r w:rsidRPr="00C43507">
        <w:t>A.</w:t>
      </w:r>
      <w:r w:rsidRPr="00C43507">
        <w:tab/>
        <w:t>I samband med förfarandet för beviljande av ansvarsfrihet betonar den ansvarsfrihetsbeviljande myndigheten hur viktigt det är att man fortsätter att stärka unionsinstitutionernas demokratiska legitimitet genom att öka transparensen och ansvarsskyldigheten och genom att tillämpa en prestationsbaserad budgetering och säkra en god förvaltning av personalresurserna.</w:t>
      </w:r>
    </w:p>
    <w:p w14:paraId="5AB9F8CF" w14:textId="77777777" w:rsidR="0073782B" w:rsidRPr="00C43507" w:rsidRDefault="0073782B" w:rsidP="0073782B">
      <w:pPr>
        <w:pStyle w:val="NormalHanging12a"/>
        <w:widowControl/>
        <w:rPr>
          <w:u w:val="single"/>
        </w:rPr>
      </w:pPr>
      <w:r w:rsidRPr="00C43507">
        <w:t>B.</w:t>
      </w:r>
      <w:r w:rsidRPr="00C43507">
        <w:tab/>
        <w:t>Europeiska unionens domstol (</w:t>
      </w:r>
      <w:r w:rsidRPr="00C43507">
        <w:rPr>
          <w:i/>
        </w:rPr>
        <w:t>domstolen</w:t>
      </w:r>
      <w:r w:rsidRPr="00C43507">
        <w:t>) är unionens rättsliga institution, som har till uppgift att säkerställa efterlevnaden av unionsrätten genom att övervaka den enhetliga tolkningen och tillämpningen av fördragen och säkerställa att de åtgärder som vidtas av unionens institutioner, organ och byråer är lagliga.</w:t>
      </w:r>
    </w:p>
    <w:p w14:paraId="2B8B0B92" w14:textId="77777777" w:rsidR="0073782B" w:rsidRPr="00C43507" w:rsidRDefault="0073782B" w:rsidP="0073782B">
      <w:pPr>
        <w:pStyle w:val="NormalHanging12a"/>
        <w:widowControl/>
      </w:pPr>
      <w:r w:rsidRPr="00C43507">
        <w:t>C.</w:t>
      </w:r>
      <w:r w:rsidRPr="00C43507">
        <w:tab/>
        <w:t>Domstolen bidrar till att upprätthålla unionens värden och arbetar genom sin rättspraxis för uppbyggnaden av Europa samtidigt som den är fortsatt ansvarig inför medborgarna när det gäller att säkerställa rättslig förutsebarhet, konsekvent rättspraxis och respekt för gränserna för rättslig tolkning.</w:t>
      </w:r>
    </w:p>
    <w:p w14:paraId="1047A8DF" w14:textId="77777777" w:rsidR="0073782B" w:rsidRPr="00C43507" w:rsidRDefault="0073782B" w:rsidP="0073782B">
      <w:pPr>
        <w:pStyle w:val="NormalHanging12a"/>
        <w:widowControl/>
      </w:pPr>
      <w:r w:rsidRPr="00C43507">
        <w:t>D.</w:t>
      </w:r>
      <w:r w:rsidRPr="00C43507">
        <w:tab/>
        <w:t>Europeiska unionens domstol består av två rättsinstanser: domstolen och tribunalen.</w:t>
      </w:r>
    </w:p>
    <w:p w14:paraId="28263BC5" w14:textId="77777777" w:rsidR="0073782B" w:rsidRPr="00C43507" w:rsidRDefault="0073782B" w:rsidP="0073782B">
      <w:pPr>
        <w:pStyle w:val="NormalHanging12a"/>
        <w:widowControl/>
      </w:pPr>
      <w:r w:rsidRPr="00C43507">
        <w:t>E.</w:t>
      </w:r>
      <w:r w:rsidRPr="00C43507">
        <w:tab/>
        <w:t>Parlamentet och rådet ändrade under 2024 protokoll nr 3 om stadgan för Europeiska unionens domstol (</w:t>
      </w:r>
      <w:r w:rsidRPr="00C43507">
        <w:rPr>
          <w:i/>
        </w:rPr>
        <w:t>stadgan</w:t>
      </w:r>
      <w:r w:rsidRPr="00C43507">
        <w:t>)</w:t>
      </w:r>
      <w:r w:rsidRPr="00C43507">
        <w:rPr>
          <w:rStyle w:val="FootnoteReference"/>
        </w:rPr>
        <w:footnoteReference w:id="7"/>
      </w:r>
      <w:r w:rsidRPr="00C43507">
        <w:t xml:space="preserve"> med avseende på överföringen av förhandsavgöranden på specifika områden till tribunalens behörighet.</w:t>
      </w:r>
    </w:p>
    <w:p w14:paraId="5DCFB65A" w14:textId="77777777" w:rsidR="0073782B" w:rsidRPr="00C43507" w:rsidRDefault="0073782B" w:rsidP="0073782B">
      <w:pPr>
        <w:pStyle w:val="NormalHanging12a"/>
        <w:widowControl/>
      </w:pPr>
      <w:r w:rsidRPr="00C43507">
        <w:t>1.</w:t>
      </w:r>
      <w:r w:rsidRPr="00C43507">
        <w:tab/>
        <w:t xml:space="preserve">Europaparlamentet noterar att domstolens budget inordnas under rubrik 7 i den fleråriga budgetramen, ”Europeisk offentlig förvaltning”, som uppgick till 13,3 miljarder EUR 2023 (vilket motsvarar 6,9 % av unionens totala budget). Parlamentet noterar att domstolens budget på cirka 0,5 miljarder EUR motsvarar cirka 3,76 % av unionens totala administrativa utgifter, vilket är en minskning från 3,9 % 2023. Parlamentet framhåller att principerna om ett korrekt rättsförfarande och grundläggande rättigheter </w:t>
      </w:r>
      <w:r w:rsidRPr="00C43507">
        <w:lastRenderedPageBreak/>
        <w:t xml:space="preserve">måste respekteras till fullo av alla behöriga myndigheter i fall som rör utredningar om unionsbudgeten. </w:t>
      </w:r>
    </w:p>
    <w:p w14:paraId="049386F8" w14:textId="77777777" w:rsidR="0073782B" w:rsidRPr="00C43507" w:rsidRDefault="0073782B" w:rsidP="0073782B">
      <w:pPr>
        <w:pStyle w:val="NormalHanging12a"/>
        <w:widowControl/>
      </w:pPr>
      <w:r w:rsidRPr="00C43507">
        <w:t>2.</w:t>
      </w:r>
      <w:r w:rsidRPr="00C43507">
        <w:tab/>
        <w:t>Europaparlamentet noterar att revisionsrätten i sin årsrapport för budgetåret 2024 granskade ett urval av 70 transaktioner under rubriken ”Administration”, samma antal som 2023. Revisionsrätten uppger att de administrativa utgifterna omfattar personalutgifter, inklusive pensioner, som 2024 utgjorde cirka 69 % av de totala administrativa utgifterna, samt utgifter för byggnader, utrustning, energi, kommunikation och it, och att revisionsrättens arbete under många år visat att dessa utgifter totalt sett är förknippade med låg risk.</w:t>
      </w:r>
    </w:p>
    <w:p w14:paraId="2AAD9DA1" w14:textId="77777777" w:rsidR="0073782B" w:rsidRPr="00C43507" w:rsidRDefault="0073782B" w:rsidP="0073782B">
      <w:pPr>
        <w:pStyle w:val="NormalHanging12a"/>
        <w:widowControl/>
      </w:pPr>
      <w:r w:rsidRPr="00C43507">
        <w:t>3.</w:t>
      </w:r>
      <w:r w:rsidRPr="00C43507">
        <w:tab/>
        <w:t>Europaparlamentet noterar att 16 (23 %) av de 70 transaktionerna innehöll fel, men att revisionsrätten, på grundval av de tre fel som kvantifierats, uppskattar att felnivån ligger under väsentlighetströskeln. Parlamentet noterar att revisionsrätten i sin rapport inte identifierar några specifika problem avseende domstolen.</w:t>
      </w:r>
    </w:p>
    <w:p w14:paraId="6184F28B" w14:textId="77777777" w:rsidR="0073782B" w:rsidRPr="00C43507" w:rsidRDefault="0073782B" w:rsidP="0073782B">
      <w:pPr>
        <w:pStyle w:val="NormalHanging12a"/>
        <w:widowControl/>
        <w:rPr>
          <w:b/>
        </w:rPr>
      </w:pPr>
      <w:r w:rsidRPr="00C43507">
        <w:rPr>
          <w:b/>
        </w:rPr>
        <w:t>Budgetförvaltningen och den ekonomiska förvaltningen</w:t>
      </w:r>
    </w:p>
    <w:p w14:paraId="44599C28" w14:textId="77777777" w:rsidR="0073782B" w:rsidRPr="00C43507" w:rsidRDefault="0073782B" w:rsidP="0073782B">
      <w:pPr>
        <w:pStyle w:val="NormalHanging12a"/>
        <w:widowControl/>
      </w:pPr>
      <w:r w:rsidRPr="00C43507">
        <w:t>4.</w:t>
      </w:r>
      <w:r w:rsidRPr="00C43507">
        <w:tab/>
        <w:t>Europaparlamentet noterar att domstolens budget 2024 uppgick till 503 837 531 EUR, vilket var en ökning med 3,66 % jämfört med 2023. Parlamentet noterar att denna ökning främst hängde samman med planerade lönejusteringar för 2024.</w:t>
      </w:r>
    </w:p>
    <w:p w14:paraId="3CC88652" w14:textId="77777777" w:rsidR="0073782B" w:rsidRPr="00C43507" w:rsidRDefault="0073782B" w:rsidP="0073782B">
      <w:pPr>
        <w:pStyle w:val="NormalHanging12a"/>
        <w:widowControl/>
        <w:rPr>
          <w:bCs/>
          <w:iCs/>
        </w:rPr>
      </w:pPr>
      <w:r w:rsidRPr="00C43507">
        <w:t>5.</w:t>
      </w:r>
      <w:r w:rsidRPr="00C43507">
        <w:tab/>
        <w:t>Europaparlamentet noterar att personalutgifterna står för nästan 80 % av domstolens budget och att löneuppdateringarna under 2024 översteg de ursprungliga prognoserna. Parlamentet betonar att dessa ökningar absorberades utan ytterligare budgetförstärkningar men att deras återkommande karaktär ger upphov till frågor när det gäller budgetmässig hållbarhet på medellång sikt under de nuvarande begränsningarna i den fleråriga budgetramen. Parlamentet efterlyser en bättre flerårig personal- och utgiftsplanering, utan att rättsväsendets oberoende undergrävs.</w:t>
      </w:r>
    </w:p>
    <w:p w14:paraId="73D5BED1" w14:textId="77777777" w:rsidR="0073782B" w:rsidRPr="00C43507" w:rsidRDefault="0073782B" w:rsidP="0073782B">
      <w:pPr>
        <w:pStyle w:val="NormalHanging12a"/>
        <w:widowControl/>
      </w:pPr>
      <w:r w:rsidRPr="00C43507">
        <w:t>6.</w:t>
      </w:r>
      <w:r w:rsidRPr="00C43507">
        <w:tab/>
        <w:t>Europaparlamentet noterar utifrån domstolens svar på frågeformuläret för ansvarsfriheten för 2024 att den totala preliminära genomförandegraden för budgeten i slutet av 2024 var 97,72 %, samma som 2023, och att den slutliga genomförandegraden för 2024 kommer att vara tillgänglig i slutet av 2025. Parlamentet noterar att tre överföringar lämnades in till budgetmyndigheten i enlighet med artikel 29 i budgetförordningen för att förstärka budgetposterna ”Inköp, installation, service och underhåll av utrustning och programvara”, ”Daghem” och ”Fastigheter” från andra budgetposter, främst budgetposten för personal ”Löner och tillägg”.</w:t>
      </w:r>
    </w:p>
    <w:p w14:paraId="6A065F9E" w14:textId="77777777" w:rsidR="0073782B" w:rsidRPr="00C43507" w:rsidRDefault="0073782B" w:rsidP="0073782B">
      <w:pPr>
        <w:pStyle w:val="NormalHanging12a"/>
        <w:widowControl/>
      </w:pPr>
      <w:r w:rsidRPr="00C43507">
        <w:t>7.</w:t>
      </w:r>
      <w:r w:rsidRPr="00C43507">
        <w:tab/>
        <w:t xml:space="preserve">Europaparlamentet håller med om att domstolens förmåga att reagera på en ständigt växande arbetsbörda har påverkats av å ena sidan kommissionens riktlinjer för utarbetandet av budgeten, som begränsar ökningen av alla icke lönerelaterade utgifter till högst 2 % och avråder från begäranden om nya tjänster, och å andra sidan </w:t>
      </w:r>
      <w:proofErr w:type="spellStart"/>
      <w:r w:rsidRPr="00C43507">
        <w:t>Epsos</w:t>
      </w:r>
      <w:proofErr w:type="spellEnd"/>
      <w:r w:rsidRPr="00C43507">
        <w:t xml:space="preserve"> underlåtenhet att förse unionens institutioner med en rimligt stor reserv av godkända sökande från uttagningsprov att rekrytera från. Parlamentet noterar dessutom att inflationseffekterna av Rysslands olagliga anfallskrig mot Ukraina fortsatte att skapa budgettryck på domstolen genom t.ex. stigande kostnader för tjänsteresor eller en ökning av priserna på avtalade varor och tjänster. Parlamentet lovordar domstolen för de åtgärder den vidtagit för att mildra dessa effekter, nämligen att dra ned på antalet tjänsteresor, begränsa energiutgifterna och framför allt införa prioriteringar för projekt vid utarbetandet av budgetberäkningen. Parlamentet erkänner behovet av att alla </w:t>
      </w:r>
      <w:r w:rsidRPr="00C43507">
        <w:lastRenderedPageBreak/>
        <w:t>unionens institutioner förbättrar sin budgetförvaltning genom att även ta hänsyn till prisvolatilitet, särskilt inom energisektorn, när de ingår avtal med tjänsteleverantörer. Parlamentet uppmanar domstolen att fortsätta att förbättra kostnadseffektiviteten och den proaktiva budgetplaneringen för att upprätthålla den rättsliga kvaliteten inom ramen för tillgängliga resurser.</w:t>
      </w:r>
    </w:p>
    <w:p w14:paraId="118F2ECE" w14:textId="77777777" w:rsidR="0073782B" w:rsidRPr="00C43507" w:rsidRDefault="0073782B" w:rsidP="0073782B">
      <w:pPr>
        <w:pStyle w:val="NormalHanging12a"/>
        <w:widowControl/>
      </w:pPr>
      <w:r w:rsidRPr="00C43507">
        <w:t>8.</w:t>
      </w:r>
      <w:r w:rsidRPr="00C43507">
        <w:tab/>
        <w:t>Europaparlamentet konstaterar en liten ökning av den genomsnittliga betalningstiden från 23,1 dagar 2023 till 23,7 dagar 2024 och en ökning av andelen fakturor som mottas elektroniskt, från 81 % 2023 till 88 % 2024. Parlamentet noterar utifrån domstolens uppföljning av iakttagelserna i parlamentets resolution om ansvarsfrihet för 2023 (</w:t>
      </w:r>
      <w:r w:rsidRPr="00C43507">
        <w:rPr>
          <w:i/>
        </w:rPr>
        <w:t>uppföljningsrapporten</w:t>
      </w:r>
      <w:r w:rsidRPr="00C43507">
        <w:t>) att betalningen av fakturor som rör extern översättning villkoras av en granskningsprocess, som är nödvändig för att säkerställa den höga kvalitet på översättningen som krävs.</w:t>
      </w:r>
    </w:p>
    <w:p w14:paraId="3D0358B9" w14:textId="77777777" w:rsidR="0073782B" w:rsidRPr="00C43507" w:rsidRDefault="0073782B" w:rsidP="0073782B">
      <w:pPr>
        <w:pStyle w:val="NormalHanging12a"/>
        <w:widowControl/>
      </w:pPr>
      <w:r w:rsidRPr="00C43507">
        <w:t>9.</w:t>
      </w:r>
      <w:r w:rsidRPr="00C43507">
        <w:tab/>
        <w:t>Europaparlamentet noterar med tillfredsställelse att domstolens budget för tjänsteresor för ledamöter och personal minskade för andra året i rad, från 638 000 EUR 2023 till 616 000 EUR 2024, vilket motsvarar en minskning på cirka 3,44 %.</w:t>
      </w:r>
    </w:p>
    <w:p w14:paraId="446F7A69" w14:textId="77777777" w:rsidR="0073782B" w:rsidRPr="00C43507" w:rsidRDefault="0073782B" w:rsidP="0073782B">
      <w:pPr>
        <w:pStyle w:val="NormalHanging12a"/>
        <w:widowControl/>
        <w:rPr>
          <w:b/>
        </w:rPr>
      </w:pPr>
      <w:r w:rsidRPr="00C43507">
        <w:rPr>
          <w:b/>
        </w:rPr>
        <w:t>Intern förvaltning, verksamhetsresultat och intern kontroll</w:t>
      </w:r>
    </w:p>
    <w:p w14:paraId="03B7F9BF" w14:textId="77777777" w:rsidR="0073782B" w:rsidRPr="00C43507" w:rsidRDefault="0073782B" w:rsidP="0073782B">
      <w:pPr>
        <w:widowControl/>
        <w:spacing w:after="240"/>
        <w:ind w:left="567" w:hanging="567"/>
      </w:pPr>
      <w:r w:rsidRPr="00C43507">
        <w:t>10.</w:t>
      </w:r>
      <w:r w:rsidRPr="00C43507">
        <w:tab/>
        <w:t xml:space="preserve">Europaparlamentet noterar med tillfredsställelse utifrån domstolens svar på frågeformuläret för ansvarsfriheten för 2024 de ansträngningar som domstolen gjort för att slutföra reformen av rättsväsendet i syfte att delvis överföra behörigheten att meddela förhandsavgöranden från domstolen till tribunalen och möjliggöra genomförandet av det nya regelverket från och med den 1 oktober 2024. Parlamentet noterar i detta sammanhang omorganisationen av tribunalens struktur, ändringen av domstolens arbetsordning, antagandet av en ny uppsättning praktiska regler för tribunalen för genomförandet av arbetsordningen, antagandet av ett nytt beslut om ingivande och delgivning av rättegångshandlingar via e-Curia, utvecklingen av en ny applikation (en gemensam kontaktpunkt eller en så kallad </w:t>
      </w:r>
      <w:proofErr w:type="spellStart"/>
      <w:r w:rsidRPr="00C43507">
        <w:t>one</w:t>
      </w:r>
      <w:proofErr w:type="spellEnd"/>
      <w:r w:rsidRPr="00C43507">
        <w:t xml:space="preserve">-stop shop) för snabb analys och handläggning av mål, ökad effektivitet och kvalitet på de rättsliga avgörandena och harmonisering av praxis inom de två rättsinstansernas kanslier under 2024. Parlamentet noterar med tillfredsställelse att under de första tre månaderna efter reformens ikraftträdande överfördes redan 19 förhandsavgöranden till tribunalen, vilket markerar de första resultaten mot en mer balanserad fördelning av arbetsbördan mellan de två rättsinstanserna. Parlamentet noterar att de enda merkostnaderna i samband med genomförandet av reformen av rättsväsendet var </w:t>
      </w:r>
      <w:proofErr w:type="spellStart"/>
      <w:r w:rsidRPr="00C43507">
        <w:t>it-relaterade</w:t>
      </w:r>
      <w:proofErr w:type="spellEnd"/>
      <w:r w:rsidRPr="00C43507">
        <w:t xml:space="preserve"> kostnader för utvecklingen av den gemensamma kontaktpunkten, som uppgick till cirka 805 000 EUR, medan reformen när det gäller personal hölls budgetneutral genom omfördelning av tjänster och uppgifter inom institutionen. Parlamentet uppmanar domstolen att rapportera om den konkreta inverkan av reformen av rättsväsendet på effektiviteten, förfarandenas längd och fördelningen av arbetsbördan mellan domstolen och tribunalen, inbegripet de digitala verktygens inverkan på handläggningstiderna och balansen i arbetsbördan. Parlamentet uppmanar domstolen att inför nästa ansvarsfrihetsförfarande lägga fram en omfattande efterhandsutvärdering av reformen.</w:t>
      </w:r>
    </w:p>
    <w:p w14:paraId="43F4C192" w14:textId="77777777" w:rsidR="0073782B" w:rsidRPr="00C43507" w:rsidRDefault="0073782B" w:rsidP="0073782B">
      <w:pPr>
        <w:pStyle w:val="NormalHanging12a"/>
        <w:widowControl/>
      </w:pPr>
      <w:r w:rsidRPr="00C43507">
        <w:t>11.</w:t>
      </w:r>
      <w:r w:rsidRPr="00C43507">
        <w:tab/>
        <w:t xml:space="preserve">Europaparlamentet noterar att domstolen under 2024 avgjorde 12 mål om principen om unionsrättens företräde, varav 10 mål om förhandsavgöranden och två mål om överträdelser. Parlamentet upprepar att principen om unionsrättens företräde, som säkerställer en enhetlig tolkning och tillämpning av unionsrätten i alla medlemsstater och slår vakt om rättsstatsprincipen som ett av unionens kärnvärden, är av avgörande </w:t>
      </w:r>
      <w:r w:rsidRPr="00C43507">
        <w:lastRenderedPageBreak/>
        <w:t>betydelse. Parlamentet upprepar med eftertryck att unionsrättens företräde är hörnstenen i unionens rättsordning, och framhåller domstolens centrala roll i upprätthållandet av rättsstatsprincipen i unionen. Parlamentet noterar att det i artikel 4.2 i fördraget om Europeiska unionen föreskrivs följande: ”Unionen ska respektera medlemsstaternas likhet inför fördragen samt deras nationella identitet, som kommer till uttryck i deras politiska och konstitutionella grundstrukturer, inbegripet det lokala och regionala självstyret”.</w:t>
      </w:r>
    </w:p>
    <w:p w14:paraId="1FB2C5D3" w14:textId="77777777" w:rsidR="0073782B" w:rsidRPr="00C43507" w:rsidRDefault="0073782B" w:rsidP="0073782B">
      <w:pPr>
        <w:pStyle w:val="NormalHanging12a"/>
        <w:widowControl/>
      </w:pPr>
      <w:r w:rsidRPr="00C43507">
        <w:t>12.</w:t>
      </w:r>
      <w:r w:rsidRPr="00C43507">
        <w:tab/>
        <w:t>Europaparlamentet noterar utifrån domstolens svar på frågeformuläret för ansvarsfriheten för 2024 att 920 nya mål lämnades in till domstolen under 2024 (jämfört med 821 under 2023), varav 62,30 % rörde begäran om förhandsavgörande och 277 var överklaganden av tribunalens beslut. Parlamentet noterar att antalet nya mål vid tribunalen minskade kraftigt, från 1 271 mål 2023 till 786 mål 2024, varav 35,88 % var talan om ogiltigförklaring av rättsakter som antagits av unionens institutioner, 34,10 % avsåg immateriella rättigheter och 9,67 % avsåg tvister mellan unionens institutioner och deras personal.</w:t>
      </w:r>
    </w:p>
    <w:p w14:paraId="285BE394" w14:textId="77777777" w:rsidR="0073782B" w:rsidRPr="00C43507" w:rsidRDefault="0073782B" w:rsidP="0073782B">
      <w:pPr>
        <w:pStyle w:val="NormalHanging12a"/>
        <w:widowControl/>
      </w:pPr>
      <w:r w:rsidRPr="00C43507">
        <w:t>13.</w:t>
      </w:r>
      <w:r w:rsidRPr="00C43507">
        <w:tab/>
        <w:t>Europaparlamentet delar domstolens åsikt att kommissionen, i egenskap av fördragens väktare, bör kontrollera medlemsstaternas efterlevnad av domstolens beslut. Parlamentet upprepar sin uppmaning till domstolen att, strikt inom ramen för sin roll, inrätta en mekanism för att identifiera bra och dålig praxis bland medlemsstaterna.</w:t>
      </w:r>
    </w:p>
    <w:p w14:paraId="683679E2" w14:textId="77777777" w:rsidR="0073782B" w:rsidRPr="00C43507" w:rsidRDefault="0073782B" w:rsidP="0073782B">
      <w:pPr>
        <w:pStyle w:val="NormalHanging12a"/>
        <w:widowControl/>
      </w:pPr>
      <w:r w:rsidRPr="00C43507">
        <w:t>14.</w:t>
      </w:r>
      <w:r w:rsidRPr="00C43507">
        <w:tab/>
        <w:t xml:space="preserve">Europaparlamentet noterar en ökning av antalet avgjorda mål vid tribunalen från 904 år 2023 till 922 år 2024 och en ökning av antalet avgjorda mål vid domstolen från 783 år 2023 till 863 år 2024, och att den sistnämnda ökningen 2024 påskyndades av den partiella nytillsättningen av domstolens domare och generaladvokater vart tredje år. Parlamentet noterar vidare en ökning av antalet pågående mål vid domstolen från 1 149 år 2023 till 1 206 år 2024, och en minskning av antalet pågående mål vid tribunalen från 1 438 år 2023 till 1 302 år 2024 (inklusive en serie på 404 i huvudsak identiska mål som räknades som ett enda mål), delvis på grund av att vissa stora grupper av mål avslutades. </w:t>
      </w:r>
    </w:p>
    <w:p w14:paraId="0CEEBA22" w14:textId="77777777" w:rsidR="0073782B" w:rsidRPr="00C43507" w:rsidRDefault="0073782B" w:rsidP="0073782B">
      <w:pPr>
        <w:pStyle w:val="NormalHanging12a"/>
        <w:widowControl/>
      </w:pPr>
      <w:r w:rsidRPr="00C43507">
        <w:t>15.</w:t>
      </w:r>
      <w:r w:rsidRPr="00C43507">
        <w:tab/>
        <w:t>Europaparlamentet välkomnar samtidigt minskningen av den genomsnittliga tiden för att avgöra mål enligt förfarandet för brådskande mål vid domstolen, som minskade från 4,3 månader 2023 till 3,3 månader 2024.</w:t>
      </w:r>
    </w:p>
    <w:p w14:paraId="3D675476" w14:textId="77777777" w:rsidR="0073782B" w:rsidRPr="00C43507" w:rsidRDefault="0073782B" w:rsidP="0073782B">
      <w:pPr>
        <w:pStyle w:val="NormalHanging12a"/>
        <w:widowControl/>
      </w:pPr>
      <w:r w:rsidRPr="00C43507">
        <w:t>16.</w:t>
      </w:r>
      <w:r w:rsidRPr="00C43507">
        <w:tab/>
        <w:t>Europaparlamentet noterar att den genomsnittliga handläggningstiden för de mål som avslutades av domstolen var 17,7 månader 2024 jämfört med 16,1 månader 2023, och att denna ökning med cirka sex veckor berodde på komplexiteten och volymerna för vissa ärenden (såsom talan som väcktes 2020 mot unionens så kallade mobilitetspaket och avslutades 2024). Parlamentet noterar att den genomsnittliga handläggningstiden för de mål som avslutades genom dom eller beslut av tribunalen ökade från 18,2 månader 2023 till 18,5 månader 2024. Parlamentet betonar att snabba rättsliga förfaranden måste förbli ett centralt prestationsmål, eftersom alltför långa handläggningstider direkt påverkar den rättsliga förutsebarheten för medborgare, nationella domstolar och ekonomiska aktörer.</w:t>
      </w:r>
    </w:p>
    <w:p w14:paraId="40200FDA" w14:textId="77777777" w:rsidR="0073782B" w:rsidRPr="00C43507" w:rsidRDefault="0073782B" w:rsidP="0073782B">
      <w:pPr>
        <w:pStyle w:val="NormalHanging12a"/>
        <w:widowControl/>
      </w:pPr>
      <w:r w:rsidRPr="00C43507">
        <w:t>17.</w:t>
      </w:r>
      <w:r w:rsidRPr="00C43507">
        <w:tab/>
        <w:t xml:space="preserve">Europaparlamentet uppmanar domstolen att i samarbete med nationella domstolar undersöka möjligheterna till praktiska vägledningsverktyg (såsom riktlinjer, mallar för begäran om förhandsavgörande och onlinekurser) för att främja en tydlig och fokuserad </w:t>
      </w:r>
      <w:r w:rsidRPr="00C43507">
        <w:lastRenderedPageBreak/>
        <w:t>formulering av de frågor som lämnas in för förhandsavgöranden och därigenom minska risken för onödiga eller alltför långdragna förfaranden.</w:t>
      </w:r>
    </w:p>
    <w:p w14:paraId="290D07FF" w14:textId="77777777" w:rsidR="0073782B" w:rsidRPr="00C43507" w:rsidRDefault="0073782B" w:rsidP="0073782B">
      <w:pPr>
        <w:pStyle w:val="NormalHanging12a"/>
        <w:widowControl/>
      </w:pPr>
      <w:r w:rsidRPr="00C43507">
        <w:t>18.</w:t>
      </w:r>
      <w:r w:rsidRPr="00C43507">
        <w:tab/>
        <w:t>Europaparlamentet lovordar domstolen för den ökning som registrerats i användningen av applikationen e-Curia, där antalet konton som öppnats av nationella domstolar ökade från 451 under 2023 till 566 under 2024 och andelen inlagor som lämnats in via e-Curia uppgick till 91 % vid domstolen och 96 % vid tribunalen.</w:t>
      </w:r>
    </w:p>
    <w:p w14:paraId="73F88764" w14:textId="77777777" w:rsidR="0073782B" w:rsidRPr="00C43507" w:rsidRDefault="0073782B" w:rsidP="0073782B">
      <w:pPr>
        <w:pStyle w:val="NormalHanging12a"/>
        <w:widowControl/>
      </w:pPr>
      <w:r w:rsidRPr="00C43507">
        <w:t>19.</w:t>
      </w:r>
      <w:r w:rsidRPr="00C43507">
        <w:tab/>
        <w:t>Europaparlamentet välkomnar den prestationsbaserade strategi som utvecklats av domstolen och som gör det möjligt för domstolen att fatta beslut på grundval av i vilken utsträckning dess mål har uppnåtts, mätt genom en uppsättning arbetsbelastningsindikatorer och operativa indikatorer (t.ex. kostnadseffektivitet, andel slutförda projekt, användartillfredsställelse och resursoptimering) som är skräddarsydda för varje avdelning. Parlamentet noterar att de nyckelprestationsindikatorer som används av domstolen omfattar en rad olika specifika områden till stöd för de fem förvaltningsmålen rörande de två rättsinstansernas korrekta funktionssätt, digitalisering och ny teknik, öppenhet och transparens, flerspråkighet och personalförvaltning. Parlamentet framhåller att domstolen måste se till att dessa indikatorer är transparenta, resultatinriktade och regelbundet ses över så att man får till stånd en effektiv förvaltning och ansvarsskyldighet.</w:t>
      </w:r>
    </w:p>
    <w:p w14:paraId="206F0BA7" w14:textId="77777777" w:rsidR="0073782B" w:rsidRPr="00C43507" w:rsidRDefault="0073782B" w:rsidP="0073782B">
      <w:pPr>
        <w:pStyle w:val="NormalHanging12a"/>
        <w:widowControl/>
      </w:pPr>
      <w:r w:rsidRPr="00C43507">
        <w:t>20.</w:t>
      </w:r>
      <w:r w:rsidRPr="00C43507">
        <w:tab/>
        <w:t>Europaparlamentet välkomnar dess strategi, som reviderades 2024, avseende avkastningen på investeringar i innovationsinitiativ, genom att ta hänsyn till kostnadsutvärdering med hjälp av parametrar såsom genomförande och personalinsatser, årligt underhåll, entreprenörskostnader och andra typer av kostnader, samt utvärdering av fördelar med hjälp av parametrar såsom förväntade vinster, strategiska fördelar och antalet användare som påverkas. Parlamentet noterar att domstolen under 2024 också gjorde en grundlig översyn av sitt system för att följa projektförvaltning och finansiell spårning av projekt, i syfte att säkerställa fullständig rapportering och kontroll över sina tidsbaserade digitaliseringskonsulttjänster senast 2025. Parlamentet uppmanar domstolen att hålla den ansvarsfrihetsbeviljande myndigheten uppdaterad i denna fråga.</w:t>
      </w:r>
    </w:p>
    <w:p w14:paraId="5F1ED71D" w14:textId="77777777" w:rsidR="0073782B" w:rsidRPr="00C43507" w:rsidRDefault="0073782B" w:rsidP="0073782B">
      <w:pPr>
        <w:pStyle w:val="NormalHanging12a"/>
        <w:widowControl/>
      </w:pPr>
      <w:r w:rsidRPr="00C43507">
        <w:t>21.</w:t>
      </w:r>
      <w:r w:rsidRPr="00C43507">
        <w:tab/>
        <w:t>Europaparlamentet noterar utifrån domstolens internrevisionsrapport för 2024 (</w:t>
      </w:r>
      <w:r w:rsidRPr="00C43507">
        <w:rPr>
          <w:i/>
          <w:iCs/>
        </w:rPr>
        <w:t>den interna rapporten</w:t>
      </w:r>
      <w:r w:rsidRPr="00C43507">
        <w:t xml:space="preserve">) att den huvudsakliga revisionsverksamhet som utfördes av domstolens internrevisionsavdelning 2024 gällde en revision av domstolens projekt för att uppgradera sina arrangemang för infrastruktursäkerhet och projekt för </w:t>
      </w:r>
      <w:proofErr w:type="spellStart"/>
      <w:r w:rsidRPr="00C43507">
        <w:t>fastighetsinventering</w:t>
      </w:r>
      <w:proofErr w:type="spellEnd"/>
      <w:r w:rsidRPr="00C43507">
        <w:t>, samt tre studier: om förändringar i EU-domstolens behov av humankapital i den generativa artificiella intelligensens tidsålder, om organisationers och deras anställdas kompetens i en föränderlig miljö och om arbetstagarnas välbefinnande och ny teknik. Parlamentet noterar med tillfredsställelse utifrån den interna rapporten att de berörda avdelningarna vidtog åtgärder för att genomföra revisionsrekommendationerna, ofta innan revisionerna avslutades. Parlamentet noterar vidare att när det gäller 2024 års program pågick arbete under 2025 för en revision av it</w:t>
      </w:r>
      <w:r w:rsidRPr="00C43507">
        <w:noBreakHyphen/>
        <w:t>licenser och för den sista delen av revisionen av förvaltningen av inköp av möbler och utrustning. Parlamentet konstaterar att det rapporterade läget för den senare revisionen har förblivit oförändrat under två på varandra följande rapporteringsperioder. Parlamentet uppmanar domstolen att i framtiden lägga fram en uppdatering om övervakningen av de åtgärder som vidtagits med anledning av internrevisionens rekommendationer i tabellformat, med status för genomförandet av varje åtgärd och rekommendation.</w:t>
      </w:r>
    </w:p>
    <w:p w14:paraId="3D2F5E62" w14:textId="77777777" w:rsidR="0073782B" w:rsidRPr="00C43507" w:rsidRDefault="0073782B" w:rsidP="0073782B">
      <w:pPr>
        <w:pStyle w:val="NormalHanging12a"/>
        <w:widowControl/>
        <w:rPr>
          <w:b/>
        </w:rPr>
      </w:pPr>
      <w:r w:rsidRPr="00C43507">
        <w:rPr>
          <w:b/>
        </w:rPr>
        <w:lastRenderedPageBreak/>
        <w:t>Personalresurser, jämställdhet och personalens välbefinnande</w:t>
      </w:r>
    </w:p>
    <w:p w14:paraId="5D44B030" w14:textId="77777777" w:rsidR="0073782B" w:rsidRPr="00C43507" w:rsidRDefault="0073782B" w:rsidP="0073782B">
      <w:pPr>
        <w:pStyle w:val="NormalHanging12a"/>
        <w:widowControl/>
      </w:pPr>
      <w:r w:rsidRPr="00C43507">
        <w:t>22.</w:t>
      </w:r>
      <w:r w:rsidRPr="00C43507">
        <w:tab/>
        <w:t>Europaparlamentet noterar att det totala antalet tjänstemän vid årets slut ökade från 1 340 (58 %) 2023 till 1 354 (60 %) 2024, att antalet tillfälligt anställda minskade från 765 (33 %) 2023 till 740 (33 %) 2024 och att antalet kontraktsanställda minskade från 198 (9 %) 2023 till 173 (7 %) 2024. Parlamentet noterar att tillsättningsgraden minskade något från 97,11 % 2023 till 96,70 % 2024 och att den årliga personalomsättningen minskade från 6,54 % 2023 till 6,32 % 2024, och att 41 % av personalavgångarna var pensionsrelaterade.</w:t>
      </w:r>
    </w:p>
    <w:p w14:paraId="2F28126E" w14:textId="77777777" w:rsidR="0073782B" w:rsidRPr="00C43507" w:rsidRDefault="0073782B" w:rsidP="0073782B">
      <w:pPr>
        <w:pStyle w:val="NormalHanging12a"/>
        <w:widowControl/>
      </w:pPr>
      <w:r w:rsidRPr="00C43507">
        <w:t>23.</w:t>
      </w:r>
      <w:r w:rsidRPr="00C43507">
        <w:tab/>
        <w:t>Europaparlamentet noterar att domstolen har 27 domare och 11 generaladvokater och att tribunalen har 54 domare. Parlamentet noterar vidare att nio nya domare vid domstolen och två nya domare vid tribunalen tillträdde vid den partiella nytillsättningen 2024. Parlamentet beklagar att könsfördelningen inom domstolen och tribunalen alltjämt är mycket ojämn. Parlamentet uttrycker sin uppskattning över skrivelsen från tribunalens ordförande till regeringskonferensens ordförande 2024, där medlemsstaterna uppmanas att ta hänsyn till behovet av en jämn könsfördelning när de nominerar kandidater i samband med utnämningen av nya domare och generaladvokater. Parlamentet uppmanar på nytt medlemsstaterna att beakta behovet av en jämn könsfördelning när de nominerar kandidater i samband med nytillsättning av domare, samtidigt som man säkerställer att nomineringarna fortsatt baseras på kriterier som omfattar meriter, kvalifikationer och oberoende.</w:t>
      </w:r>
    </w:p>
    <w:p w14:paraId="2F57DC81" w14:textId="77777777" w:rsidR="0073782B" w:rsidRPr="00C43507" w:rsidRDefault="0073782B" w:rsidP="0073782B">
      <w:pPr>
        <w:pStyle w:val="NormalHanging12a"/>
        <w:widowControl/>
      </w:pPr>
      <w:r w:rsidRPr="00C43507">
        <w:t>24.</w:t>
      </w:r>
      <w:r w:rsidRPr="00C43507">
        <w:tab/>
        <w:t>Europaparlamentet noterar att domstolen 2024 utgjordes av 60,70 % kvinnor och 39,30 % män. Parlamentet noterar att den kvinnliga representationen var högst bland assistenter (69,14 %) och tyvärr lägst i högre chefsbefattningar (35,71 %). Parlamentet noterar vidare en ökning av andelen kvinnor på mellanchefsnivå från 43,33 % 2023 till 51,61 % 2024. Parlamentet noterar med tillfredsställelse utifrån den delegerade utanordnarens förvaltningsrapport för 2024 att andelen kvinnor i ledande befattningar totalt sett har ökat, från 37,50 % 2018 till 48,70 % 2024. Parlamentet betonar att den ihållande underrepresentationen av kvinnor i högre chefsbefattningar fortfarande är ett problem, och uppmuntrar domstolen att fortsätta att stärka de riktade åtgärder som syftar till att stödja kvinnors karriärutveckling och karriärvägar med ledarskapsfokus, samtidigt som principerna om meriter och transparens respekteras till fullo.</w:t>
      </w:r>
    </w:p>
    <w:p w14:paraId="58B312D5" w14:textId="77777777" w:rsidR="0073782B" w:rsidRPr="00C43507" w:rsidRDefault="0073782B" w:rsidP="0073782B">
      <w:pPr>
        <w:pStyle w:val="NormalHanging12a"/>
        <w:widowControl/>
        <w:rPr>
          <w:bCs/>
          <w:iCs/>
        </w:rPr>
      </w:pPr>
      <w:r w:rsidRPr="00C43507">
        <w:t>25.</w:t>
      </w:r>
      <w:r w:rsidRPr="00C43507">
        <w:tab/>
        <w:t>Europaparlamentet välkomnar inrättandet av en handlingsplan för Europarådets konvention om förebyggande och bekämpning av våld mot kvinnor och av våld i hemmet (Istanbulkonventionen) som innebär att man anpassar åtgärder, utfärdar rekommendationer och organiserar informations- och utbildningsåtgärder för all personal för att förebygga fall av trakasserier. Parlamentet noterar ytterligare åtgärder som aviserats, bland annat fortsatt samarbete med nationella organisationer som arbetar med att förebygga våld mot kvinnor, ytterligare initiativ för att öka medvetenheten och utbildningstillfällen som särskilt belyser effekterna av mikroaggressioner och könsbaserade fördomar. Parlamentet beklagar i detta avseende avsaknaden av obligatorisk utbildning för domstolens ledamöter, såsom anges i domstolens svar på frågeformuläret för ansvarsfriheten 2024. Parlamentet kräver därför att alla – både domstolens personal och ledamöter – inkluderas i obligatoriska utbildningstillfällen på området för förebyggande av våld mot kvinnor.</w:t>
      </w:r>
    </w:p>
    <w:p w14:paraId="68E66AA4" w14:textId="77777777" w:rsidR="0073782B" w:rsidRPr="00C43507" w:rsidRDefault="0073782B" w:rsidP="0073782B">
      <w:pPr>
        <w:pStyle w:val="NormalHanging12a"/>
        <w:widowControl/>
      </w:pPr>
      <w:r w:rsidRPr="00C43507">
        <w:t>26.</w:t>
      </w:r>
      <w:r w:rsidRPr="00C43507">
        <w:tab/>
        <w:t xml:space="preserve">Europaparlamentet noterar med uppskattning de olika insatser och åtgärder som domstolen gjort med avseende på sin personal, även i rekryteringsskedet, till förmån för </w:t>
      </w:r>
      <w:r w:rsidRPr="00C43507">
        <w:lastRenderedPageBreak/>
        <w:t>jämlikhet, inkludering, ömsesidig respekt och mångfald. Parlamentet noterar särskilt lanseringen 2024 av en ny utbildning om mångfald och inkludering med fokus på förebyggande av mikroaggressioner och, från och med 2025, två nya utbildningar om fastställande av sunda gränser för att förbättra prestationerna och om en miljö utan trakasserier, som anordnas till följd av rekommendationerna från domstolens avdelningsövergripande arbetsgrupp om Istanbulkonventionen. Parlamentet noterar med uppskattning domstolens individanpassade stödåtgärder (avseende uppgifter, arbetstider och arbetsutrymmen) sedan 2022, för personal med funktionsnedsättning, institutionens deltagande i den temavecka om funktionsnedsättningar som anordnades 2024 och utvecklingen från och med 2025 av ett pilotprogram för praktikanter med funktionsnedsättning. Parlamentet uppmanar domstolen att informera den ansvarsfrihetsbeviljande myndigheten om resultatet av detta program.</w:t>
      </w:r>
    </w:p>
    <w:p w14:paraId="6A95F9AE" w14:textId="77777777" w:rsidR="0073782B" w:rsidRPr="00C43507" w:rsidRDefault="0073782B" w:rsidP="0073782B">
      <w:pPr>
        <w:pStyle w:val="NormalHanging12a"/>
        <w:widowControl/>
      </w:pPr>
      <w:r w:rsidRPr="00C43507">
        <w:t>27.</w:t>
      </w:r>
      <w:r w:rsidRPr="00C43507">
        <w:tab/>
        <w:t xml:space="preserve">Europaparlamentet välkomnar att alla unionens nationaliteter är representerade bland domstolens personal. Parlamentet noterar dock att vissa nationaliteter är mer representerade än andra, och att vissa av dem till stor del är överrepresenterade. Parlamentet stöder domstolens intensifierade insatser för att utlysa lediga tjänster så brett som möjligt via interinstitutionella webbplatser, sociala medier och </w:t>
      </w:r>
      <w:proofErr w:type="spellStart"/>
      <w:r w:rsidRPr="00C43507">
        <w:t>Epso</w:t>
      </w:r>
      <w:proofErr w:type="spellEnd"/>
      <w:r w:rsidRPr="00C43507">
        <w:t>. Parlamentet noterar utifrån uppföljningsrapporten domstolens åtagande att analysera relevanta uppgifter för genomförandet av riktade åtgärder för att förbättra den geografiska representationen bland dess personal, inbegripet praktikanter. Parlamentet välkomnar domstolens insatser för att öka medvetenheten om praktikprogrammen bland underrepresenterade medlemsstaters nationella förvaltningar och ständiga representationer.  När det gäller praktik inom ramen för det europeiska nätverket för rättslig utbildning (EJTN) noterar parlamentet med tillfredsställelse att domstolen under 2024 mottog ansökningar från tre nya medlemsstater som för första gången deltog i dess långsiktiga utbildningsprogram för nationella rättstillämpare.</w:t>
      </w:r>
    </w:p>
    <w:p w14:paraId="16987BD4" w14:textId="77777777" w:rsidR="0073782B" w:rsidRPr="00C43507" w:rsidRDefault="0073782B" w:rsidP="0073782B">
      <w:pPr>
        <w:pStyle w:val="NormalHanging12a"/>
        <w:widowControl/>
      </w:pPr>
      <w:r w:rsidRPr="00C43507">
        <w:t>28.</w:t>
      </w:r>
      <w:r w:rsidRPr="00C43507">
        <w:tab/>
        <w:t>Europaparlamentet lovordar domstolens åtgärder på området (rättslig) flerspråkighet under 2024, såsom slutförandet och lanseringen av en webbplats om flerspråkighet, den gemensamma organisationen av den första upplagan av en sommarskola tillsammans med andra unionsinstitutioner, det nära samarbetet med medlemsstaterna för att utveckla en pool av extern expertis för att hantera ökningen av översättningsvolymerna och täcka alla språkkombinationer, medvetandehöjande åtgärder för frilansmarknaden och en fortsatt uppgradering av förfaranden och färdigheter när det gäller användningen av digitala verktyg (inbegripet AI-relaterade) för översättning.</w:t>
      </w:r>
    </w:p>
    <w:p w14:paraId="72D331E7" w14:textId="77777777" w:rsidR="0073782B" w:rsidRPr="00C43507" w:rsidRDefault="0073782B" w:rsidP="0073782B">
      <w:pPr>
        <w:pStyle w:val="NormalHanging12a"/>
        <w:widowControl/>
      </w:pPr>
      <w:r w:rsidRPr="00C43507">
        <w:t>29.</w:t>
      </w:r>
      <w:r w:rsidRPr="00C43507">
        <w:tab/>
        <w:t xml:space="preserve">Europaparlamentet lovordar domstolen för dess åtgärder för att avhjälpa svårigheterna att rekrytera personal och främja Luxemburg som arbetsplats bland unga utexaminerade. Parlamentet noterar med tillfredsställelse domstolens bidrag till inrättandet och genomförandet av ett bostadsbidrag som betalas ut retroaktivt från och med den 1 januari 2025 till personal i lägre lönegrader, förberedelserna av </w:t>
      </w:r>
      <w:proofErr w:type="spellStart"/>
      <w:r w:rsidRPr="00C43507">
        <w:t>Epsos</w:t>
      </w:r>
      <w:proofErr w:type="spellEnd"/>
      <w:r w:rsidRPr="00C43507">
        <w:t xml:space="preserve"> uttagningsprov som särskilt riktar sig till personal som ska anställas i Luxemburg samt informationsmöten och sommarskolor. Parlamentet uppmuntrar till ett närmare samarbete med </w:t>
      </w:r>
      <w:proofErr w:type="spellStart"/>
      <w:r w:rsidRPr="00C43507">
        <w:t>Epso</w:t>
      </w:r>
      <w:proofErr w:type="spellEnd"/>
      <w:r w:rsidRPr="00C43507">
        <w:t xml:space="preserve"> och andra institutioner för att bredda reserven av kvalificerade sökande och stärka de konkurrensutsatta urvalsprocesserna på specialiserade områden. Parlamentet noterar utifrån uppföljningsrapporten att domstolen på uppdrag av den interinstitutionella högnivågruppen genomförde ett projekt/en undersökning för att fastställa om det skulle vara möjligt att teckna hyresavtal för tillfälliga bostäder (dvs. för en period på högst ett år) till marknadspris (eller lägre) som skulle betalas direkt av personalen. Parlamentet noterar vidare att undersökningen var framgångsrik och att </w:t>
      </w:r>
      <w:r w:rsidRPr="00C43507">
        <w:lastRenderedPageBreak/>
        <w:t>arbetsgruppen följaktligen har lämnat in ett servicenivåavtal till de deltagande institutionerna för att ge domstolen i uppdrag att genomföra ett förfarandet för att förhandla om fastigheter med enheter som har presenterat lämpliga projekt. Parlamentet uppmanar domstolen att hålla den ansvarsfrihetsbeviljande myndigheten informerad om uppföljningen i denna fråga.</w:t>
      </w:r>
    </w:p>
    <w:p w14:paraId="2B2E6C78" w14:textId="77777777" w:rsidR="0073782B" w:rsidRPr="00C43507" w:rsidRDefault="0073782B" w:rsidP="0073782B">
      <w:pPr>
        <w:pStyle w:val="NormalHanging12a"/>
        <w:widowControl/>
      </w:pPr>
      <w:r w:rsidRPr="00C43507">
        <w:t>30.</w:t>
      </w:r>
      <w:r w:rsidRPr="00C43507">
        <w:tab/>
        <w:t>Europaparlamentet noterar att domstolen rekryterade 201 praktikanter inom ramen för det allmänna (avlönade) praktikprogrammet. Parlamentet noterar vidare att 34 % av de kandidater som ursprungligen valts ut avböjde domstolens erbjudande efter att ha blivit medvetna om de höga levnadskostnaderna i Luxembourg</w:t>
      </w:r>
      <w:bookmarkStart w:id="8" w:name="_Hlk215138302"/>
      <w:r w:rsidRPr="00C43507">
        <w:t xml:space="preserve">. Parlamentet betonar på nytt att praktiktjänstgöring bör vara avlönad i enlighet med parlamentets resolution av den 14 juni 2023 om kvalitetspraktik i unionen (2020/2005(INL)), där man förespråkar att alla praktikplatser i unionen bör vara avlönade. </w:t>
      </w:r>
      <w:bookmarkEnd w:id="8"/>
      <w:r w:rsidRPr="00C43507">
        <w:t>Parlamentet välkomnar att alla praktikanter vid domstolen för närvarande får ett bidrag under sin vistelse, huvudsakligen från domstolen och i vissa specifika fall från andra källor. Parlamentet noterar att domstolen endast tar emot ett fåtal praktikanter (sju under 2024) som avlönas av andra källor, och för korta perioder.</w:t>
      </w:r>
    </w:p>
    <w:p w14:paraId="2F0413AF" w14:textId="77777777" w:rsidR="0073782B" w:rsidRPr="00C43507" w:rsidRDefault="0073782B" w:rsidP="0073782B">
      <w:pPr>
        <w:pStyle w:val="NormalHanging12a"/>
        <w:widowControl/>
      </w:pPr>
      <w:r w:rsidRPr="00C43507">
        <w:t>31.</w:t>
      </w:r>
      <w:r w:rsidRPr="00C43507">
        <w:tab/>
        <w:t xml:space="preserve">Europaparlamentet noterar att det under 2024 dokumenterades 17 fall av utbrändhet, varav åtta nya fall rapporterades 2024 och nio fall rapporterades 2023, och att den berörda personalen fick professionellt stöd och vägledning. Parlamentet noterar med tillfredsställelse att domstolen under 2024 förblev en föregångare när det gäller initiativ som främjar personalens fysiska och psykiska välbefinnande och att den behandlar utbrändhet och psykosociala risker, t.ex. genom konsultation med en socialarbetare eller en psykolog, konferenser om </w:t>
      </w:r>
      <w:proofErr w:type="spellStart"/>
      <w:r w:rsidRPr="00C43507">
        <w:t>mindfulness</w:t>
      </w:r>
      <w:proofErr w:type="spellEnd"/>
      <w:r w:rsidRPr="00C43507">
        <w:t xml:space="preserve"> och digital balans, specialiserade workshoppar och medvetandehöjande åtgärder om hälsofrågor, utbildning i första hjälpen och rekrytering av två deltidsanställda psykologer. Parlamentet erkänner framgången med användningen av flexibla arbetsformer, däribland domstolens system för distansarbete, som i slutändan syftar till en bättre balans mellan arbete och privatliv för de anställda.</w:t>
      </w:r>
    </w:p>
    <w:p w14:paraId="4A73DD1E" w14:textId="77777777" w:rsidR="0073782B" w:rsidRPr="00C43507" w:rsidRDefault="0073782B" w:rsidP="0073782B">
      <w:pPr>
        <w:pStyle w:val="NormalHanging12a"/>
        <w:widowControl/>
      </w:pPr>
      <w:r w:rsidRPr="00C43507">
        <w:t>32.</w:t>
      </w:r>
      <w:r w:rsidRPr="00C43507">
        <w:tab/>
        <w:t>Europaparlamentet noterar att en administrativ utredning om ett misstänkt fall av sexuella trakasserier rörande en anställd inleddes 2023 och att ärendet avslutades med en påföljd 2024. Parlamentet noterar att ingen ny administrativ utredning om trakasserier inleddes under 2024.</w:t>
      </w:r>
    </w:p>
    <w:p w14:paraId="59F698BF" w14:textId="77777777" w:rsidR="0073782B" w:rsidRPr="00C43507" w:rsidRDefault="0073782B" w:rsidP="0073782B">
      <w:pPr>
        <w:pStyle w:val="NormalHanging12a"/>
        <w:widowControl/>
        <w:rPr>
          <w:b/>
        </w:rPr>
      </w:pPr>
      <w:r w:rsidRPr="00C43507">
        <w:rPr>
          <w:b/>
        </w:rPr>
        <w:t>Etisk ram, transparens och tillgång till rättslig prövning för medborgarna</w:t>
      </w:r>
    </w:p>
    <w:p w14:paraId="644EB0D9" w14:textId="77777777" w:rsidR="0073782B" w:rsidRPr="00C43507" w:rsidRDefault="0073782B" w:rsidP="0073782B">
      <w:pPr>
        <w:pStyle w:val="NormalHanging12a"/>
        <w:widowControl/>
      </w:pPr>
      <w:r w:rsidRPr="00C43507">
        <w:t>33.</w:t>
      </w:r>
      <w:r w:rsidRPr="00C43507">
        <w:tab/>
        <w:t xml:space="preserve">Europaparlamentet noterar, i enlighet med vad som begärts i tidigare rekommendationer om ansvarsfrihet, att den nya uppförandekoden för tjänstemän och övriga anställda vid EU-domstolen, som återspeglar domstolens värderingar och engagemang för höga etiska normer, antogs i mars 2024, och noterar att uppförandekoden innehåller bestämmelser om intressekonflikter, lojalitetsplikt, skyldighet att iaktta </w:t>
      </w:r>
      <w:proofErr w:type="spellStart"/>
      <w:r w:rsidRPr="00C43507">
        <w:t>konfidentialitet</w:t>
      </w:r>
      <w:proofErr w:type="spellEnd"/>
      <w:r w:rsidRPr="00C43507">
        <w:t xml:space="preserve"> och diskretion, bisysslor, yrkesverksamhet efter avslutad tjänstgöring och publikationer, bestämmelser mot trakasserier och att den även gäller för utstationerade nationella experter och för biträdande domare inom ramen för det europeiska nätverket för rättslig utbildning.  Parlamentet noterar med tillfredsställelse att domstolen har vidtagit åtgärder för att presentera och förklara uppförandekoden så brett som möjligt och för att göra personalen fullt medveten om de nya reglerna och den bredare rättsliga ram som de ingår i, och att utbildning om uppförandekoden och personalens rättigheter och skyldigheter är obligatorisk för nyanställda och rekommenderas starkt för all personal </w:t>
      </w:r>
      <w:r w:rsidRPr="00C43507">
        <w:lastRenderedPageBreak/>
        <w:t>vid domstolen, samt att totalt 561 personer (dvs. 24,75 % av domstolens totala antal tjänstemän och övriga anställda) deltog i sådan utbildning under 2024. Parlamentet noterar vidare att liknande utbildning också hade erbjudits nya ledamöter av domstolen under 2024. Parlamentet noterar med tillfredsställelse domstolens nätverk av konfidentiella rådgivare som bistår personalen i händelse av trakasserier, samt det program för talanghantering som erbjuds handläggare med hög potential och som bland annat omfattar etiskt ledarskap. Parlamentet uppmuntrar domstolen att gradvis stärka tillhandahållandet av utbildning om uppförandekoden för all personal utan undantag, för att säkerställa en gemensam förståelse av etiska normer inom hela institutionen.</w:t>
      </w:r>
    </w:p>
    <w:p w14:paraId="39E37064" w14:textId="77777777" w:rsidR="0073782B" w:rsidRPr="00C43507" w:rsidRDefault="0073782B" w:rsidP="0073782B">
      <w:pPr>
        <w:pStyle w:val="NormalHanging12a"/>
        <w:widowControl/>
      </w:pPr>
      <w:r w:rsidRPr="00C43507">
        <w:t>34.</w:t>
      </w:r>
      <w:r w:rsidRPr="00C43507">
        <w:tab/>
        <w:t>Europaparlamentet noterar att ledamöternas intresseförklaringar sedan antagandet av uppförandekoden för ledamöter och före detta ledamöter i domstolen offentliggörs på nätet för att undvika eventuella intressekonflikter i hanteringen av ärenden. Parlamentet noterar med tillfredsställelse utifrån uppföljningsrapporten att domstolen 2024 undertecknade avtalet om inrättande av det interinstitutionella organet för etiska normer, som bland sina uppgifter har att utarbeta gemensamma miniminormer för hur ledamöterna av de undertecknande institutionerna ska uppträda. Parlamentet konstaterar att domstolen har observatörsstatus inom detta organ för att bevara rättsväsendets oberoende.</w:t>
      </w:r>
    </w:p>
    <w:p w14:paraId="655B73F5" w14:textId="77777777" w:rsidR="0073782B" w:rsidRPr="00C43507" w:rsidRDefault="0073782B" w:rsidP="0073782B">
      <w:pPr>
        <w:pStyle w:val="NormalHanging12a"/>
        <w:widowControl/>
      </w:pPr>
      <w:r w:rsidRPr="00C43507">
        <w:t>35.</w:t>
      </w:r>
      <w:r w:rsidRPr="00C43507">
        <w:tab/>
        <w:t>Europaparlamentet noterar dess kraftfulla policy för upptäckt och förebyggande av intressekonflikter inom institutionen och svängdörrsproblematik, där den nya uppförandekoden fastställer särskilda och strängare regler för chefer och rättssekreterare. Parlamentet noterar att tre potentiella förklaringar om intressekonflikter från anställda behandlades under 2024, men att ingen krävde korrigerande åtgärder. Parlamentet noterar vidare att 57 anställda under 2024 förklarade sin avsikt att arbeta efter att ha lämnat domstolen, men att ingen av dem omfattades av en karensperiod. Parlamentet noterar dock att karensperioden för ett ärende som lämnades in 2023 av en tidigare högre tjänsteman fortsatte under 2024. Parlamentet noterar att inga fall av visselblåsning rapporterades inom domstolen 2024.</w:t>
      </w:r>
    </w:p>
    <w:p w14:paraId="007C70B9" w14:textId="77777777" w:rsidR="0073782B" w:rsidRPr="00C43507" w:rsidRDefault="0073782B" w:rsidP="0073782B">
      <w:pPr>
        <w:pStyle w:val="NormalHanging12a"/>
        <w:widowControl/>
      </w:pPr>
      <w:r w:rsidRPr="00C43507">
        <w:t>36.</w:t>
      </w:r>
      <w:r w:rsidRPr="00C43507">
        <w:tab/>
        <w:t>Europaparlamentet noterar utifrån uppföljningsrapporten att policyn för avsägelse för domare vid faktiska eller skenbara intressekonflikter redan är obligatorisk och att domstolen använder en testad mekanism för att förebygga intressekonflikter, samt att denna mekanism täcker processen för urval av domstolens ledamöter och får full effekt när de tillträder sina ämbeten.</w:t>
      </w:r>
    </w:p>
    <w:p w14:paraId="40FD2034" w14:textId="77777777" w:rsidR="0073782B" w:rsidRPr="00C43507" w:rsidRDefault="0073782B" w:rsidP="0073782B">
      <w:pPr>
        <w:pStyle w:val="NormalHanging12a"/>
        <w:widowControl/>
      </w:pPr>
      <w:r w:rsidRPr="00C43507">
        <w:t>37.</w:t>
      </w:r>
      <w:r w:rsidRPr="00C43507">
        <w:tab/>
        <w:t>Europaparlamentet noterar att samtliga ledamöter av domstolen var bosatta i Luxemburg 2024, i överensstämmelse med artikel 14 i stadgan.</w:t>
      </w:r>
    </w:p>
    <w:p w14:paraId="49C9512B" w14:textId="77777777" w:rsidR="0073782B" w:rsidRPr="00C43507" w:rsidRDefault="0073782B" w:rsidP="0073782B">
      <w:pPr>
        <w:pStyle w:val="NormalHanging12a"/>
        <w:widowControl/>
      </w:pPr>
      <w:r w:rsidRPr="00C43507">
        <w:t>38.</w:t>
      </w:r>
      <w:r w:rsidRPr="00C43507">
        <w:tab/>
        <w:t>Europaparlamentet noterar att förteckningen över extern verksamhet som bedrivs av ledamöterna av både domstolen och tribunalen har offentliggjorts på domstolens webbplats sedan 2018 och att sådan verksamhet endast godkänns om den är förenlig med kraven i uppförandekoden för domstolens ledamöter och med deras skyldigheter att vara tillgängliga för rättslig verksamhet. Parlamentet välkomnar domstolens åtagande enligt uppföljningsrapporten att analysera möjligheterna att förbättra kvaliteten på och läsbarheten när det gäller den offentliggjorda informationen om extern verksamhet.</w:t>
      </w:r>
    </w:p>
    <w:p w14:paraId="4B3BC19A" w14:textId="77777777" w:rsidR="0073782B" w:rsidRPr="00C43507" w:rsidRDefault="0073782B" w:rsidP="0073782B">
      <w:pPr>
        <w:pStyle w:val="NormalHanging12a"/>
        <w:widowControl/>
      </w:pPr>
      <w:r w:rsidRPr="00C43507">
        <w:t>39.</w:t>
      </w:r>
      <w:r w:rsidRPr="00C43507">
        <w:tab/>
        <w:t xml:space="preserve">Europaparlamentet påminner om sin rekommendation från 2023 till alla unionens institutioner om att enas om ett enda system för användning av tjänstefordon som ska tillämpas horisontellt. Parlamentet noterar i detta sammanhang och utifrån </w:t>
      </w:r>
      <w:r w:rsidRPr="00C43507">
        <w:lastRenderedPageBreak/>
        <w:t>uppföljningsrapporten att domstolen, revisionsrätten, parlamentet och kommissionen under 2024 inrättade en interinstitutionell arbetsgrupp i syfte att utbyta information om respektive praxis och identifiera sätt för harmonisering av reglerna, samtidigt som varje institutions självständighet och särdrag respekteras. Parlamentet påminner om sin åsikt att bilparken inte under några omständigheter bör användas utanför det strikta utförandet av domstolsledamöternas uppgifter. Parlamentet noterar vidare utifrån uppföljningsrapporten att arbetsgruppen har gjort en jämförande analys i frågan och undersöker andra frågor som rör förvaltningen av bilparken. Parlamentet uppmanar arbetsgruppen att agera snabbt i denna fråga och att så snart som möjligt informera den ansvarsfrihetsbeviljande myndigheten om resultatet av sitt arbete och sina slutsatser.</w:t>
      </w:r>
    </w:p>
    <w:p w14:paraId="4E7F08C3" w14:textId="77777777" w:rsidR="0073782B" w:rsidRPr="00C43507" w:rsidRDefault="0073782B" w:rsidP="0073782B">
      <w:pPr>
        <w:pStyle w:val="NormalHanging12a"/>
        <w:widowControl/>
      </w:pPr>
      <w:r w:rsidRPr="00C43507">
        <w:t>40.</w:t>
      </w:r>
      <w:r w:rsidRPr="00C43507">
        <w:tab/>
        <w:t>Europaparlamentet noterar att domstolen inte rapporterade några fall av bedrägeri, korruption eller missbruk av unionens medel under 2024. Parlamentet noterar att domstolens strategi mot bedrägerier är en inordnad del av dess integrerade ram för intern kontroll och riskhantering, med särskilt fokus på riskerna med felaktigt utlämnande av information. Parlamentet noterar att dess interna regelverk innehåller ett beslut om utredningar av bedrägeri, korruption eller olaglig verksamhet som riktar sig mot unionens intressen och ett beslut och riktlinjer om visselblåsning, bland annat bestämmelser om information och skydd för visselblåsare.</w:t>
      </w:r>
    </w:p>
    <w:p w14:paraId="7A7FF62E" w14:textId="77777777" w:rsidR="0073782B" w:rsidRPr="00C43507" w:rsidRDefault="0073782B" w:rsidP="0073782B">
      <w:pPr>
        <w:pStyle w:val="NormalHanging12a"/>
        <w:widowControl/>
      </w:pPr>
      <w:r w:rsidRPr="00C43507">
        <w:t>41.</w:t>
      </w:r>
      <w:r w:rsidRPr="00C43507">
        <w:tab/>
        <w:t xml:space="preserve">Europaparlamentet välkomnar domstolens åtagande att öka transparensen, tillgången till rättslig prövning och den offentliga öppenheten, och därmed bidra till att främja allmänhetens förtroende för unionens institutioner, samtidigt som man väger detta mot andra grundläggande frågor såsom rättsväsendets ostördhet, förfarandenas </w:t>
      </w:r>
      <w:proofErr w:type="spellStart"/>
      <w:r w:rsidRPr="00C43507">
        <w:t>konfidentialitet</w:t>
      </w:r>
      <w:proofErr w:type="spellEnd"/>
      <w:r w:rsidRPr="00C43507">
        <w:t xml:space="preserve"> och skyddet av personuppgifter. Parlamentet betonar att ökad transparens också måste bidra till att stärka allmänhetens förtroende för domstolens rättspraxis. Parlamentet uppmuntrar domstolen att fortsätta sina ansträngningar för att förbättra tydligheten, tillgängligheten och förutsebarheten i sin rättspraxis, särskilt i mål med betydande konstitutionella eller samhälleliga konsekvenser. Parlamentet noterar att domstolen under 2024 konsoliderade strömningstjänsten för domstolens och tribunalens förhandlingar på webbplatsen Curia och därigenom förbättrade medborgarnas tillgång till domstolens dömande verksamhet. Parlamentet välkomnar i detta sammanhang, till följd av den reform av rättsväsendet som antogs 2024, den ökade transparensen i förfarandet för förhandsavgörande genom att göra det möjligt att offentliggöra skriftliga synpunkter på domstolens webbplats inom rimlig tid efter det att målet har avslutats.</w:t>
      </w:r>
    </w:p>
    <w:p w14:paraId="1A143EA5" w14:textId="77777777" w:rsidR="0073782B" w:rsidRPr="00C43507" w:rsidRDefault="0073782B" w:rsidP="0073782B">
      <w:pPr>
        <w:pStyle w:val="NormalHanging12a"/>
        <w:widowControl/>
      </w:pPr>
      <w:r w:rsidRPr="00C43507">
        <w:t>42.</w:t>
      </w:r>
      <w:r w:rsidRPr="00C43507">
        <w:tab/>
        <w:t>Europaparlamentet noterar med tillfredsställelse utifrån uppföljningsrapporten att domstolen, efter ett framgångsrikt pilotprojekt som inleddes 2022 och uppdateringen av dess arbetsordning 2024, utvidgade strömningstjänsten till att inkludera viktiga mål som prövas av en avdelning med fem domare, samt i det närmaste direktsändning av muntliga anföranden och direktsändningar av avkunnande av domar och generaladvokaternas förslag till avgörande. Parlamentet noterar vidare att sedan den 1 september 2024 är videoinspelningar av förhandlingar för avkunnande av domar och förslag till avgöranden ständigt tillgängliga på domstolens webbplats, och videoinspelningar av muntliga anföranden är tillgängliga under en månad efter förhandlingen. Parlamentet noterar med tillfredsställelse att tribunalen har vidtagit liknande åtgärder för att säkerställa en utökad tillgång för allmänheten till dess förfaranden.</w:t>
      </w:r>
    </w:p>
    <w:p w14:paraId="15B40434" w14:textId="77777777" w:rsidR="0073782B" w:rsidRPr="00C43507" w:rsidRDefault="0073782B" w:rsidP="0073782B">
      <w:pPr>
        <w:pStyle w:val="NormalHanging12a"/>
        <w:widowControl/>
      </w:pPr>
      <w:r w:rsidRPr="00C43507">
        <w:lastRenderedPageBreak/>
        <w:t>43.</w:t>
      </w:r>
      <w:r w:rsidRPr="00C43507">
        <w:tab/>
        <w:t>Europaparlamentet noterar att domstolen under 2024 registrerade 20 förfrågningar om allmänhetens tillgång till administrativa handlingar och beviljade tillgång till administrativa handlingar i 15 fall. Parlamentet noterar att Europeiska ombudsmannen inte hanterade något ärende som rörde domstolen.</w:t>
      </w:r>
    </w:p>
    <w:p w14:paraId="36120493" w14:textId="77777777" w:rsidR="0073782B" w:rsidRPr="00C43507" w:rsidRDefault="0073782B" w:rsidP="0073782B">
      <w:pPr>
        <w:pStyle w:val="NormalHanging12a"/>
        <w:widowControl/>
        <w:ind w:left="0" w:firstLine="0"/>
        <w:rPr>
          <w:b/>
        </w:rPr>
      </w:pPr>
      <w:r w:rsidRPr="00C43507">
        <w:rPr>
          <w:b/>
        </w:rPr>
        <w:t>Digitalisering, cybersäkerhet och skydd av personuppgifter</w:t>
      </w:r>
    </w:p>
    <w:p w14:paraId="6C465264" w14:textId="77777777" w:rsidR="0073782B" w:rsidRPr="00C43507" w:rsidRDefault="0073782B" w:rsidP="0073782B">
      <w:pPr>
        <w:widowControl/>
        <w:spacing w:after="240"/>
        <w:ind w:left="567" w:hanging="567"/>
      </w:pPr>
      <w:r w:rsidRPr="00C43507">
        <w:t>44.</w:t>
      </w:r>
      <w:r w:rsidRPr="00C43507">
        <w:tab/>
        <w:t xml:space="preserve">Europaparlamentet noterar att budgetutgifterna under 2024, jämfört med 2023, minskade med 9 % för </w:t>
      </w:r>
      <w:proofErr w:type="spellStart"/>
      <w:r w:rsidRPr="00C43507">
        <w:t>it-projekt</w:t>
      </w:r>
      <w:proofErr w:type="spellEnd"/>
      <w:r w:rsidRPr="00C43507">
        <w:t xml:space="preserve"> och med 69 % för cybersäkerhetsprojekt, medan de ökade med 16 % för </w:t>
      </w:r>
      <w:proofErr w:type="spellStart"/>
      <w:r w:rsidRPr="00C43507">
        <w:t>it-utrustning</w:t>
      </w:r>
      <w:proofErr w:type="spellEnd"/>
      <w:r w:rsidRPr="00C43507">
        <w:t xml:space="preserve"> och 2 % för cybersäkerhetstjänster, cybersäkerhetslicenser och cybersäkerhetsutrustning. Parlamentet konstaterar att den betydande minskningen av </w:t>
      </w:r>
      <w:proofErr w:type="spellStart"/>
      <w:r w:rsidRPr="00C43507">
        <w:t>it-projekt</w:t>
      </w:r>
      <w:proofErr w:type="spellEnd"/>
      <w:r w:rsidRPr="00C43507">
        <w:t xml:space="preserve"> beror på att vissa cybersäkerhetsprojekt gick in i driftsfasen 2024 och att utgifterna därmed ingår i den vanliga driftsbudgeten.</w:t>
      </w:r>
    </w:p>
    <w:p w14:paraId="60D3C21C" w14:textId="77777777" w:rsidR="0073782B" w:rsidRPr="00C43507" w:rsidRDefault="0073782B" w:rsidP="0073782B">
      <w:pPr>
        <w:widowControl/>
        <w:spacing w:after="240"/>
        <w:ind w:left="567" w:hanging="567"/>
      </w:pPr>
      <w:r w:rsidRPr="00C43507">
        <w:t>45.</w:t>
      </w:r>
      <w:r w:rsidRPr="00C43507">
        <w:tab/>
        <w:t>Europaparlamentet lovordar domstolen för de framsteg som gjorts i olika digitala projekt under 2024, såsom införandet av det uppgraderade SIGA-programmet för integrerad data- och ärendehantering, den ökade och förbättrade användningen av HAN/</w:t>
      </w:r>
      <w:proofErr w:type="spellStart"/>
      <w:r w:rsidRPr="00C43507">
        <w:t>Ares</w:t>
      </w:r>
      <w:proofErr w:type="spellEnd"/>
      <w:r w:rsidRPr="00C43507">
        <w:t xml:space="preserve">-applikationen (domstolens elektroniska system för registrering och hantering av handlingar), genomförandet av EU Sign (ett system för digital signatur) och översynen av både Curia-webbplatsen och sökverktyget </w:t>
      </w:r>
      <w:proofErr w:type="spellStart"/>
      <w:r w:rsidRPr="00C43507">
        <w:t>InfoCuria</w:t>
      </w:r>
      <w:proofErr w:type="spellEnd"/>
      <w:r w:rsidRPr="00C43507">
        <w:t>. Parlamentet erkänner vikten av att öka användningen av applikationen e-Curia för ingivande och delgivning av rättegångshandlingar på elektronisk väg.</w:t>
      </w:r>
    </w:p>
    <w:p w14:paraId="36CA88B6" w14:textId="77777777" w:rsidR="0073782B" w:rsidRPr="00C43507" w:rsidRDefault="0073782B" w:rsidP="0073782B">
      <w:pPr>
        <w:widowControl/>
        <w:spacing w:after="240"/>
        <w:ind w:left="567" w:hanging="567"/>
      </w:pPr>
      <w:r w:rsidRPr="00C43507">
        <w:t>46.</w:t>
      </w:r>
      <w:r w:rsidRPr="00C43507">
        <w:tab/>
        <w:t xml:space="preserve">Europaparlamentet noterar att domstolen fortsatte att automatisera sina processer genom att från och med 2024 använda en robotprogramvara för hanteringen av repetitiva uppgifter såsom transkribering av förhandlingar och betalning av fakturor. Parlamentet förväntar sig att tillämpningen av robotiserad processautomatisering kommer att bidra till att optimera resurserna i hela domstolen. Parlamentet erkänner vikten av interinstitutionellt samarbete som gynnar domstolen när det gäller effektivitetsvinster som genereras av användningen av stora </w:t>
      </w:r>
      <w:proofErr w:type="spellStart"/>
      <w:r w:rsidRPr="00C43507">
        <w:t>it-system</w:t>
      </w:r>
      <w:proofErr w:type="spellEnd"/>
      <w:r w:rsidRPr="00C43507">
        <w:t xml:space="preserve"> för dokument- och registerhantering (HAN/</w:t>
      </w:r>
      <w:proofErr w:type="spellStart"/>
      <w:r w:rsidRPr="00C43507">
        <w:t>Ares</w:t>
      </w:r>
      <w:proofErr w:type="spellEnd"/>
      <w:r w:rsidRPr="00C43507">
        <w:t>), mänskliga resurser (</w:t>
      </w:r>
      <w:proofErr w:type="spellStart"/>
      <w:r w:rsidRPr="00C43507">
        <w:t>Sysper</w:t>
      </w:r>
      <w:proofErr w:type="spellEnd"/>
      <w:r w:rsidRPr="00C43507">
        <w:t xml:space="preserve"> och personalfrågor), hantering av räkenskapsinformation (SAP) och andra kommissionssystem (AI-baserade), till exempel för översättningstjänster (</w:t>
      </w:r>
      <w:proofErr w:type="spellStart"/>
      <w:r w:rsidRPr="00C43507">
        <w:t>eTranslation</w:t>
      </w:r>
      <w:proofErr w:type="spellEnd"/>
      <w:r w:rsidRPr="00C43507">
        <w:t>).</w:t>
      </w:r>
    </w:p>
    <w:p w14:paraId="12EB6E1C" w14:textId="77777777" w:rsidR="0073782B" w:rsidRPr="00C43507" w:rsidRDefault="0073782B" w:rsidP="0073782B">
      <w:pPr>
        <w:widowControl/>
        <w:spacing w:after="240"/>
        <w:ind w:left="567" w:hanging="567"/>
      </w:pPr>
      <w:r w:rsidRPr="00C43507">
        <w:t>47.</w:t>
      </w:r>
      <w:r w:rsidRPr="00C43507">
        <w:tab/>
        <w:t>Europaparlamentet noterar med intresse lanseringen 2024 av ett pilotprojekt som ger alla domstolens avdelningar tillgång till AI-assistenter. Parlamentet understryker vikten av att säkerställa efterlevnad av etiska principer vid användning av AI-verktyg och i synnerhet av domstolens AI-riktlinjer som antogs 2024, för att på så sätt säkerställa mänsklig tillsyn när det gäller principen om rättsliga förfarandens oberoende. Parlamentet understryker att användningen av AI-verktyg i en rättslig miljö under inga omständigheter får vare sig ersätta mänskliga rättsliga resonemang eller det mänskliga utrymmet för skönsmässig bedömning från rättsinstansens sida eller undergräva domarnas personliga ansvar. Parlamentet framhåller i detta sammanhang den tillsynsroll som domstolens AI-styrelse har. Parlamentet lovordar domstolen för det omfattande utbildningsprogram som den införde 2024, med början i en ”månad för AI</w:t>
      </w:r>
      <w:r w:rsidRPr="00C43507">
        <w:noBreakHyphen/>
        <w:t xml:space="preserve">medvetenhet” som omfattade utbildningstillfällen, rundabordssamtal som leddes av AI-experter, </w:t>
      </w:r>
      <w:proofErr w:type="spellStart"/>
      <w:r w:rsidRPr="00C43507">
        <w:t>webbinarier</w:t>
      </w:r>
      <w:proofErr w:type="spellEnd"/>
      <w:r w:rsidRPr="00C43507">
        <w:t xml:space="preserve"> och ”</w:t>
      </w:r>
      <w:proofErr w:type="spellStart"/>
      <w:r w:rsidRPr="00C43507">
        <w:t>bootcamps</w:t>
      </w:r>
      <w:proofErr w:type="spellEnd"/>
      <w:r w:rsidRPr="00C43507">
        <w:t xml:space="preserve">”, som ett första och viktigt steg mot att öka personalens medvetenhet om domstolens AI-strategi och AI-riktlinjer och AI i allmänhet. Parlamentet noterar att personalen också deltar i kurser om förändringsledning, kunskapsöverföring, mentorskap och mental flexibilitet för att </w:t>
      </w:r>
      <w:r w:rsidRPr="00C43507">
        <w:lastRenderedPageBreak/>
        <w:t>stödja anpassning till ny teknik. Parlamentet uppmanar domstolen att fortsätta att anordna sådana utbildnings- och informationsprogram.</w:t>
      </w:r>
    </w:p>
    <w:p w14:paraId="6CEBE04A" w14:textId="77777777" w:rsidR="0073782B" w:rsidRPr="00C43507" w:rsidRDefault="0073782B" w:rsidP="0073782B">
      <w:pPr>
        <w:widowControl/>
        <w:spacing w:after="240"/>
        <w:ind w:left="567" w:hanging="567"/>
      </w:pPr>
      <w:r w:rsidRPr="00C43507">
        <w:t>48.</w:t>
      </w:r>
      <w:r w:rsidRPr="00C43507">
        <w:tab/>
        <w:t>Europaparlamentet noterar utifrån uppföljningsrapporten att domstolen, efter ikraftträdandet av den nya cybersäkerhetsförordningen i början av 2024, upprättade en handlingsplan för cybersäkerhet och håller på att genomföra relaterade it</w:t>
      </w:r>
      <w:r w:rsidRPr="00C43507">
        <w:noBreakHyphen/>
        <w:t>infrastrukturprojekt. Parlamentet noterar att EU-domstolen genomför minst tre årliga katastroftester som omfattar system på plats, telekommunikationstjänster och automatiskt omkoppling till en reservanslutning vid avbrott i internetuppkopplingen.</w:t>
      </w:r>
    </w:p>
    <w:p w14:paraId="300878F6" w14:textId="77777777" w:rsidR="0073782B" w:rsidRPr="00C43507" w:rsidRDefault="0073782B" w:rsidP="0073782B">
      <w:pPr>
        <w:widowControl/>
        <w:spacing w:after="240"/>
        <w:ind w:left="567" w:hanging="567"/>
      </w:pPr>
      <w:r w:rsidRPr="00C43507">
        <w:t>49.</w:t>
      </w:r>
      <w:r w:rsidRPr="00C43507">
        <w:tab/>
        <w:t>Europaparlamentet noterar att den operativa kapaciteten för cybersäkerhet stärktes ytterligare under 2024 för att uppfylla kraven i förordning (EU, Euratom) 2023/2841 och för att hantera det ökande antalet cyberattacker. Parlamentet konstaterar att inga större cyberattacker ägde rum under 2024. Parlamentet noterar med oro att i genomsnitt 142 säkerhetsincidenter per månad registrerades och analyserades, varav vissa krävde mänskligt ingripande. Parlamentet betonar att cybersäkerhet är en strategisk investering som är avgörande för att skydda rättsväsendets oberoende, dataintegriteten och kontinuiteten i den dömande verksamheten, vilket därför understryker behovet av varaktiga och förutsägbara investeringar i cybersäkerhetskapacitet, personalutbildning och interinstitutionellt samarbete.</w:t>
      </w:r>
    </w:p>
    <w:p w14:paraId="5015356E" w14:textId="77777777" w:rsidR="0073782B" w:rsidRPr="00C43507" w:rsidRDefault="0073782B" w:rsidP="0073782B">
      <w:pPr>
        <w:widowControl/>
        <w:spacing w:after="240"/>
        <w:ind w:left="567" w:hanging="567"/>
      </w:pPr>
      <w:r w:rsidRPr="00C43507">
        <w:t>50.</w:t>
      </w:r>
      <w:r w:rsidRPr="00C43507">
        <w:tab/>
        <w:t>Europaparlamentet konstaterar att Europeiska datatillsynsmannens (EDPS) utredning av användningen av molntjänster som tillhandahålls av Amazon Web Services och Microsoft inom ramen för Cloud II-avtal och som används av unionens institutioner, organ och byråer avslutades 2025. Parlamentet noterar vidare att inga rekommendationer utfärdades för domstolen efter denna utredning.</w:t>
      </w:r>
    </w:p>
    <w:p w14:paraId="58AFA26A" w14:textId="77777777" w:rsidR="0073782B" w:rsidRPr="00C43507" w:rsidRDefault="0073782B" w:rsidP="0073782B">
      <w:pPr>
        <w:widowControl/>
        <w:spacing w:after="240"/>
        <w:ind w:left="567" w:hanging="567"/>
      </w:pPr>
      <w:r w:rsidRPr="00C43507">
        <w:t>51.</w:t>
      </w:r>
      <w:r w:rsidRPr="00C43507">
        <w:tab/>
        <w:t xml:space="preserve">Europaparlamentet noterar att domstolen, som ett led i sitt övergripande initiativ för att bli mer tillgänglig och inkluderande för sårbara personer, har fortsatt att tillämpa ”inbyggd tillgänglighet” i samband med alla ändringar och all utveckling av sina </w:t>
      </w:r>
      <w:proofErr w:type="spellStart"/>
      <w:r w:rsidRPr="00C43507">
        <w:t>it</w:t>
      </w:r>
      <w:r w:rsidRPr="00C43507">
        <w:noBreakHyphen/>
        <w:t>system</w:t>
      </w:r>
      <w:proofErr w:type="spellEnd"/>
      <w:r w:rsidRPr="00C43507">
        <w:t>. Parlamentet noterar att domstolen efter en granskning av webbplatsen Curia 2023 inför teknik för att förbättra webbplatsens tillgänglighet för en bred rad användare, t.ex. personer med nedsatt syn, nedsatt hörsel eller inlärningssvårigheter. Parlamentet uppmanar domstolen att hålla den ansvarsfrihetsbeviljande myndigheten uppdaterad i denna fråga.</w:t>
      </w:r>
    </w:p>
    <w:p w14:paraId="64F69419" w14:textId="77777777" w:rsidR="0073782B" w:rsidRPr="00C43507" w:rsidRDefault="0073782B" w:rsidP="0073782B">
      <w:pPr>
        <w:pStyle w:val="NormalHanging12a"/>
        <w:widowControl/>
        <w:ind w:left="0" w:firstLine="0"/>
        <w:rPr>
          <w:b/>
        </w:rPr>
      </w:pPr>
      <w:r w:rsidRPr="00C43507">
        <w:rPr>
          <w:b/>
        </w:rPr>
        <w:t>Byggnader</w:t>
      </w:r>
    </w:p>
    <w:p w14:paraId="629C69E2" w14:textId="77777777" w:rsidR="0073782B" w:rsidRPr="00C43507" w:rsidRDefault="0073782B" w:rsidP="0073782B">
      <w:pPr>
        <w:pStyle w:val="NormalHanging12a"/>
        <w:widowControl/>
      </w:pPr>
      <w:r w:rsidRPr="00C43507">
        <w:t>52.</w:t>
      </w:r>
      <w:r w:rsidRPr="00C43507">
        <w:tab/>
        <w:t xml:space="preserve">Europaparlamentet noterar utifrån uppföljningsrapporten att det inom ramen för två pilotprojekt om den mest effektiva användningen av domstolens lokaler hölls flera workshoppar under 2024, vilket ledde till att två inredningsplaner utvecklades som var skräddarsydda för varje tjänsts behov. Parlamentet noterar att uppföljningen av dessa projekt har avbrutits för att först ge tid att bedöma den inverkan som AI-integrering kan ha på domstolens arbetsmetoder och, i slutändan, på användningen av utrymmen och kontor. </w:t>
      </w:r>
    </w:p>
    <w:p w14:paraId="2596E509" w14:textId="77777777" w:rsidR="0073782B" w:rsidRPr="00C43507" w:rsidRDefault="0073782B" w:rsidP="0073782B">
      <w:pPr>
        <w:pStyle w:val="NormalHanging12a"/>
        <w:widowControl/>
      </w:pPr>
      <w:r w:rsidRPr="00C43507">
        <w:t>53.</w:t>
      </w:r>
      <w:r w:rsidRPr="00C43507">
        <w:tab/>
        <w:t xml:space="preserve">Europaparlamentet noterar att domstolen under 2024 fortsatte sitt omfattande initiativ för att öka tillgängligheten och inkluderingen för personer med funktionsnedsättning. Parlamentet noterar särskilt att domstolen har utarbetat en långsiktig handlingsplan för att säkerställa att dess byggnader uppfyller de rättsliga standarderna för tillgänglighet senast den 1 januari 2032 i enlighet med luxemburgsk lagstiftning. Parlamentet </w:t>
      </w:r>
      <w:r w:rsidRPr="00C43507">
        <w:lastRenderedPageBreak/>
        <w:t>uppskattar att domstolen har upprättat en förteckning över förbättringspunkter för delar av sin infrastruktur och anlitat en arkitekt för en genomförbarhetsstudie som kommer att fastställa vilka åtgärder som måste vidtas. Parlamentet uppmanar domstolen att hålla den ansvarsfrihetsbeviljande myndigheten uppdaterad i denna fråga.</w:t>
      </w:r>
    </w:p>
    <w:p w14:paraId="28DD4D42" w14:textId="77777777" w:rsidR="0073782B" w:rsidRPr="00C43507" w:rsidRDefault="0073782B" w:rsidP="0073782B">
      <w:pPr>
        <w:pStyle w:val="NormalHanging12a"/>
        <w:widowControl/>
        <w:ind w:left="0" w:firstLine="0"/>
        <w:rPr>
          <w:b/>
        </w:rPr>
      </w:pPr>
      <w:r w:rsidRPr="00C43507">
        <w:rPr>
          <w:b/>
        </w:rPr>
        <w:t>Miljö och hållbarhet</w:t>
      </w:r>
    </w:p>
    <w:p w14:paraId="4CE99F4A" w14:textId="77777777" w:rsidR="0073782B" w:rsidRPr="00C43507" w:rsidRDefault="0073782B" w:rsidP="0073782B">
      <w:pPr>
        <w:widowControl/>
        <w:spacing w:after="240"/>
        <w:ind w:left="567" w:hanging="567"/>
      </w:pPr>
      <w:r w:rsidRPr="00C43507">
        <w:t>54.</w:t>
      </w:r>
      <w:r w:rsidRPr="00C43507">
        <w:tab/>
        <w:t>Europaparlamentet lovordar domstolen för dess fortsatta insatser och betydande framsteg med att minska sitt miljöavtryck under 2024, vilket framgår av dess resultat i förhållande till grundscenariot i miljölednings- och miljörevisionsordningen (Emas) från 2015 med minskningar per heltidsekvivalent som uppnåtts för många typer av förbrukning/utsläpp (uppvärmning: -37,5 %, elektricitet: -29,3 %, papper: -64,2 %, kontors- och matsalsavfall: -40,4 %, växthusgasutsläpp: -26,7 %). Parlamentet noterar en övergripande förbättring jämfört med de minskningar som rapporterades för 2023. Parlamentet konstaterar att dessa resultat, i kombination med marknadsvillkoren, ledde till en minskning av energiutgifterna med 18 % jämfört med prognoserna. Parlamentet lovordar i detta sammanhang den robusta integreringen av hållbarhet i domstolens ram för riskhantering och ansvarsskyldighet, i enlighet med dess Emas-certifiering.</w:t>
      </w:r>
    </w:p>
    <w:p w14:paraId="3990AA35" w14:textId="77777777" w:rsidR="0073782B" w:rsidRPr="00C43507" w:rsidRDefault="0073782B" w:rsidP="0073782B">
      <w:pPr>
        <w:widowControl/>
        <w:spacing w:after="240"/>
        <w:ind w:left="567" w:hanging="567"/>
      </w:pPr>
      <w:r w:rsidRPr="00C43507">
        <w:t>55.</w:t>
      </w:r>
      <w:r w:rsidRPr="00C43507">
        <w:tab/>
        <w:t>Europaparlamentet välkomnar de betydande investeringarna under 2024 för att förbättra energieffektiviteten i domstolens byggnader, däribland nästan 1,5 miljoner EUR för omfattande installation av LED-belysning och över 0,4 miljoner EUR för byggnadsisoleringsarbeten. Parlamentet noterar med tillfredsställelse att all inköpt el kom från förnybara källor och att uppvärmningen levereras av ett fjärrsystem som drivs med biomassa. Parlamentet välkomnar domstolens åtagande att framtidssäkra sin gröna energiförsörjning genom planerat deltagande i energiköpsavtal.</w:t>
      </w:r>
    </w:p>
    <w:p w14:paraId="7DDE824D" w14:textId="77777777" w:rsidR="0073782B" w:rsidRPr="00C43507" w:rsidRDefault="0073782B" w:rsidP="0073782B">
      <w:pPr>
        <w:widowControl/>
        <w:spacing w:after="240"/>
        <w:ind w:left="567" w:hanging="567"/>
      </w:pPr>
      <w:r w:rsidRPr="00C43507">
        <w:t>56.</w:t>
      </w:r>
      <w:r w:rsidRPr="00C43507">
        <w:tab/>
        <w:t xml:space="preserve">Europaparlamentet lovordar domstolen för dess strikta strategi för hållbar upphandling, genom kategoriseringen av anbudsinfordringar på grundval av effekterna av deras miljöklausuler (”ljusgrön”, ”medelgrön”, ”mörkgrön”), den systematiska användningen av verktyg såsom den obligatoriska självbedömningen av ”grön prestanda” och samrådet med den interinstitutionella </w:t>
      </w:r>
      <w:proofErr w:type="spellStart"/>
      <w:r w:rsidRPr="00C43507">
        <w:t>helpdesken</w:t>
      </w:r>
      <w:proofErr w:type="spellEnd"/>
      <w:r w:rsidRPr="00C43507">
        <w:t xml:space="preserve"> för hållbar offentlig upphandling. Parlamentet noterar att åtta större anbud över 60 000 EUR under 2024 var ”gröna inköp”, varav åtta innehöll betydande miljöklausuler. Parlamentet välkomnar särskilt det framgångsrika genomförandet av det nya cateringkontraktet, som kräver hållbara livsmedelsmetoder och har ISO 14001-certifiering, och uppnåendet av målet att begränsa ”ljusgröna” anbud till långt under målet på 50 %.</w:t>
      </w:r>
    </w:p>
    <w:p w14:paraId="5C39B603" w14:textId="77777777" w:rsidR="0073782B" w:rsidRPr="00C43507" w:rsidRDefault="0073782B" w:rsidP="0073782B">
      <w:pPr>
        <w:widowControl/>
        <w:spacing w:after="240"/>
        <w:ind w:left="567" w:hanging="567"/>
      </w:pPr>
      <w:r w:rsidRPr="00C43507">
        <w:t>57.</w:t>
      </w:r>
      <w:r w:rsidRPr="00C43507">
        <w:tab/>
        <w:t xml:space="preserve">Europaparlamentet lovordar domstolen för dess omfattande och effektiva strategi för hållbar rörlighet för personal och ledamöter. Parlamentet noterar i detta sammanhang de fortsatta subventionerna till kollektivtrafik för gränsöverskridande pendling och cykelsystemet </w:t>
      </w:r>
      <w:proofErr w:type="spellStart"/>
      <w:r w:rsidRPr="00C43507">
        <w:t>Vel’Oh</w:t>
      </w:r>
      <w:proofErr w:type="spellEnd"/>
      <w:r w:rsidRPr="00C43507">
        <w:t xml:space="preserve">! tillsammans med betydande infrastrukturförbättringar, bland annat installationen 2024 av ett stort antal laddningsstationer för el- och hybridfordon. </w:t>
      </w:r>
    </w:p>
    <w:p w14:paraId="2D087C9D" w14:textId="77777777" w:rsidR="0073782B" w:rsidRPr="00C43507" w:rsidRDefault="0073782B" w:rsidP="0073782B">
      <w:pPr>
        <w:widowControl/>
        <w:spacing w:after="240"/>
        <w:ind w:left="567" w:hanging="567"/>
      </w:pPr>
      <w:r w:rsidRPr="00C43507">
        <w:t>58.</w:t>
      </w:r>
      <w:r w:rsidRPr="00C43507">
        <w:tab/>
        <w:t>Europaparlamentet noterar den betydande övergången till hållbara arbetsmetoder, med en betydande ökning av användningen av videokonferenser av domstolens ledamöter för att undvika resor, vilket framgår av det faktum att denna metod användes 131 gånger 2024, jämfört med endast tre gånger 2019. Parlamentet välkomnar vidare den pågående digitaliseringen av processer, som, i kombination med avlägsnandet av 80 % av de personliga skrivarna, har varit en viktig drivkraft för den drastiska minskningen av domstolens pappersförbrukning.</w:t>
      </w:r>
    </w:p>
    <w:p w14:paraId="39A15F9D" w14:textId="77777777" w:rsidR="0073782B" w:rsidRPr="00C43507" w:rsidRDefault="0073782B" w:rsidP="0073782B">
      <w:pPr>
        <w:pStyle w:val="NormalHanging12a"/>
        <w:widowControl/>
        <w:rPr>
          <w:b/>
        </w:rPr>
      </w:pPr>
      <w:r w:rsidRPr="00C43507">
        <w:rPr>
          <w:b/>
        </w:rPr>
        <w:lastRenderedPageBreak/>
        <w:t>Interinstitutionellt samarbete</w:t>
      </w:r>
    </w:p>
    <w:p w14:paraId="7EDDD5EF" w14:textId="77777777" w:rsidR="0073782B" w:rsidRPr="00C43507" w:rsidRDefault="0073782B" w:rsidP="0073782B">
      <w:pPr>
        <w:pStyle w:val="NormalHanging12a"/>
        <w:widowControl/>
      </w:pPr>
      <w:r w:rsidRPr="00C43507">
        <w:t>59.</w:t>
      </w:r>
      <w:r w:rsidRPr="00C43507">
        <w:tab/>
        <w:t xml:space="preserve">Europaparlamentet noterar domstolens samarbete med andra institutioner och framför allt de gemensamma tillämpningarna och </w:t>
      </w:r>
      <w:proofErr w:type="spellStart"/>
      <w:r w:rsidRPr="00C43507">
        <w:t>värdtjänsterna</w:t>
      </w:r>
      <w:proofErr w:type="spellEnd"/>
      <w:r w:rsidRPr="00C43507">
        <w:t xml:space="preserve"> på grundval av servicenivåavtal med kommissionen och deltagandet i interinstitutionella upphandlingsförfaranden, som gjort att domstolen har kunnat optimera kostnaderna och resurserna. Parlamentet erkänner vikten av domstolens interinstitutionella samarbete med cybersäkerhetstjänsten för unionens institutioner, organ och byråer (CERT-EU) och Europeiska unionens cybersäkerhetsbyrå (</w:t>
      </w:r>
      <w:proofErr w:type="spellStart"/>
      <w:r w:rsidRPr="00C43507">
        <w:t>Enisa</w:t>
      </w:r>
      <w:proofErr w:type="spellEnd"/>
      <w:r w:rsidRPr="00C43507">
        <w:t>), bland annat deltagande i tekniska rådgivande grupper för verktyg, metoder och medvetenhet samt i CERT-EU:s initiativ för generativ AI.</w:t>
      </w:r>
    </w:p>
    <w:p w14:paraId="1F65321B" w14:textId="77777777" w:rsidR="0073782B" w:rsidRPr="00C43507" w:rsidRDefault="0073782B" w:rsidP="0073782B">
      <w:pPr>
        <w:pStyle w:val="NormalHanging12a"/>
        <w:widowControl/>
      </w:pPr>
      <w:r w:rsidRPr="00C43507">
        <w:t>60.</w:t>
      </w:r>
      <w:r w:rsidRPr="00C43507">
        <w:tab/>
        <w:t xml:space="preserve">Europaparlamentet noterar att domstolen har ingått flera servicenivåavtal för underhåll av </w:t>
      </w:r>
      <w:proofErr w:type="spellStart"/>
      <w:r w:rsidRPr="00C43507">
        <w:t>it-infrastruktur</w:t>
      </w:r>
      <w:proofErr w:type="spellEnd"/>
      <w:r w:rsidRPr="00C43507">
        <w:t>, användning av HR-verktyg, utbetalning av vissa individuella ersättningar och användning av dokumenthanteringssystemet HAN/</w:t>
      </w:r>
      <w:proofErr w:type="spellStart"/>
      <w:r w:rsidRPr="00C43507">
        <w:t>Ares</w:t>
      </w:r>
      <w:proofErr w:type="spellEnd"/>
      <w:r w:rsidRPr="00C43507">
        <w:t>. Parlamentet välkomnar förnyelsen av den årliga finansieringsöverenskommelse som ingåtts med andra unionsinstitutioners översättningstjänster. Parlamentet noterar att domstolen undertecknade två samförståndsavtal 2024 med kommissionen och parlamentet: ett samförståndsavtal om fördelning av den ekonomiska bördan i samband med användningen av ett distanstestverktyg för interinstitutionella ackrediteringstester och ett samförståndsavtal om kostnadsdelning för tolkningstjänsternas gemensamma utåtriktade verksamhet.</w:t>
      </w:r>
    </w:p>
    <w:p w14:paraId="083FE817" w14:textId="77777777" w:rsidR="0073782B" w:rsidRPr="00C43507" w:rsidRDefault="0073782B" w:rsidP="0073782B">
      <w:pPr>
        <w:pStyle w:val="NormalHanging12a"/>
        <w:widowControl/>
      </w:pPr>
      <w:r w:rsidRPr="00C43507">
        <w:t>61.</w:t>
      </w:r>
      <w:r w:rsidRPr="00C43507">
        <w:tab/>
        <w:t xml:space="preserve">Europaparlamentet uppskattar att domstolen samarbetar fullt ut med Europeiska byrån för bedrägeribekämpning (Olaf), revisionsrätten, EDPS och Europeiska ombudsmannen. Parlamentet noterar domstolens partnerskap med EJTN, som hjälper domstolen i dess arbete för att främja en gemensam rättskultur i hela unionen, säkerställa en konsekvent och enhetlig tillämpning av unionsrätten i alla medlemsstater och stärka det ömsesidiga förtroendet mellan nationella rättsväsenden och domstolen. Parlamentet uppskattar i detta sammanhang anordnandet av årliga möten med kontaktpersoner för nationella domstolar, tematiska grupper, </w:t>
      </w:r>
      <w:proofErr w:type="spellStart"/>
      <w:r w:rsidRPr="00C43507">
        <w:t>webbinarier</w:t>
      </w:r>
      <w:proofErr w:type="spellEnd"/>
      <w:r w:rsidRPr="00C43507">
        <w:t xml:space="preserve"> och besök av företrädare för domstolen vid nationella domstolar och vice versa. Parlamentet noterar särskilt det årliga mötet för EJTN-korrespondenterna som ägde rum i Bryssel 2024, besöket i Warszawa av en delegation från tribunalen samt det årliga mötet för domare vid en särskild konferens inom domstolen för att uppmärksamma 20-årsdagen av 2004 års utvidgning. Parlamentet noterar vidare utifrån uppföljningsrapporten att ett större antal domare deltog i seminarier under 2024 och att nationella rättstillämpare från tre nya medlemsstater lämnade in ansökningar för första gången till domstolens långsiktiga utbildningsprogram.</w:t>
      </w:r>
    </w:p>
    <w:p w14:paraId="16B76943" w14:textId="77777777" w:rsidR="0073782B" w:rsidRPr="00C43507" w:rsidRDefault="0073782B" w:rsidP="0073782B">
      <w:pPr>
        <w:pStyle w:val="NormalHanging12a"/>
        <w:widowControl/>
      </w:pPr>
      <w:r w:rsidRPr="00C43507">
        <w:t>62.</w:t>
      </w:r>
      <w:r w:rsidRPr="00C43507">
        <w:tab/>
        <w:t>Europaparlamentet gläder sig över att domstolen och parlamentet har beslutat att hålla årliga möten, som är avsedda som dialoger om frågor av gemensamt intresse, såsom förvaltning, potential för förbättring av rättssystemet eller medborgarnas uppfattning om rättsstatsprincipen. Parlamentet noterar att det första mötet ägde rum i mars 2024.</w:t>
      </w:r>
    </w:p>
    <w:p w14:paraId="154DFDF1" w14:textId="77777777" w:rsidR="0073782B" w:rsidRPr="00C43507" w:rsidRDefault="0073782B" w:rsidP="0073782B">
      <w:pPr>
        <w:pStyle w:val="NormalHanging12a"/>
        <w:widowControl/>
        <w:ind w:left="0" w:firstLine="0"/>
        <w:rPr>
          <w:b/>
        </w:rPr>
      </w:pPr>
      <w:r w:rsidRPr="00C43507">
        <w:rPr>
          <w:b/>
        </w:rPr>
        <w:t>Kommunikation</w:t>
      </w:r>
    </w:p>
    <w:p w14:paraId="6C13CEC7" w14:textId="77777777" w:rsidR="0073782B" w:rsidRPr="00C43507" w:rsidRDefault="0073782B" w:rsidP="0073782B">
      <w:pPr>
        <w:pStyle w:val="NormalHanging12a"/>
        <w:widowControl/>
      </w:pPr>
      <w:r w:rsidRPr="00C43507">
        <w:t>63.</w:t>
      </w:r>
      <w:r w:rsidRPr="00C43507">
        <w:tab/>
        <w:t xml:space="preserve">Europaparlamentet noterar att domstolen anordnar regelbundna besök och att totalt 16 319 besökare registrerades under 2024. Parlamentet noterar att omkring 2 500 av dessa besökare deltog i domstolens öppet </w:t>
      </w:r>
      <w:proofErr w:type="spellStart"/>
      <w:r w:rsidRPr="00C43507">
        <w:t>hus-dag</w:t>
      </w:r>
      <w:proofErr w:type="spellEnd"/>
      <w:r w:rsidRPr="00C43507">
        <w:t xml:space="preserve"> samma år. Parlamentet noterar vidare att domstolen utöver regelbundna besök också anordnar virtuella besök. Parlamentet </w:t>
      </w:r>
      <w:r w:rsidRPr="00C43507">
        <w:lastRenderedPageBreak/>
        <w:t>noterar att 7 % av domstolens alla besökare 2024 var virtuella, och att 43 % av dem var studenter.</w:t>
      </w:r>
    </w:p>
    <w:p w14:paraId="4EF0AC64" w14:textId="77777777" w:rsidR="0073782B" w:rsidRPr="00C43507" w:rsidRDefault="0073782B" w:rsidP="0073782B">
      <w:pPr>
        <w:pStyle w:val="NormalHanging12a"/>
        <w:widowControl/>
      </w:pPr>
      <w:r w:rsidRPr="00C43507">
        <w:t>64.</w:t>
      </w:r>
      <w:r w:rsidRPr="00C43507">
        <w:tab/>
        <w:t>Europaparlamentet noterar att domstolen under 2024 stärkte sitt arbete för att kommunicera med unionsmedborgarna genom att nå ut bättre i sociala medier. Parlamentet noterar att antalet prenumeranter på domstolens LinkedIn-konto hade ökat med 26 % och antalet följare på dess två konton på X (tidigare Twitter) med 2,5 %, samt att visningarna på dess YouTubekanal ökade med 137 % och antalet YouTube‑prenumeranter med mer än 329 % i slutet av 2024 jämfört med föregående år. Parlamentet noterar att den kraftiga ökningen av visningar och prenumeranter delvis berodde på en marknadsföringskampanj som anordnades av domstolen.</w:t>
      </w:r>
    </w:p>
    <w:p w14:paraId="02125B2A" w14:textId="77777777" w:rsidR="0073782B" w:rsidRPr="00C43507" w:rsidRDefault="0073782B" w:rsidP="0073782B">
      <w:pPr>
        <w:pStyle w:val="NormalHanging12a"/>
        <w:widowControl/>
      </w:pPr>
      <w:r w:rsidRPr="00C43507">
        <w:t>65.</w:t>
      </w:r>
      <w:r w:rsidRPr="00C43507">
        <w:tab/>
        <w:t xml:space="preserve">Europaparlamentet noterar att domstolen under 2024 inledde en studie om att utöka sin närvaro på sociala medier, vilket ledde till beslutet att öppna konton på </w:t>
      </w:r>
      <w:proofErr w:type="spellStart"/>
      <w:r w:rsidRPr="00C43507">
        <w:t>Instagram</w:t>
      </w:r>
      <w:proofErr w:type="spellEnd"/>
      <w:r w:rsidRPr="00C43507">
        <w:t xml:space="preserve">, </w:t>
      </w:r>
      <w:proofErr w:type="spellStart"/>
      <w:r w:rsidRPr="00C43507">
        <w:t>Bluesky</w:t>
      </w:r>
      <w:proofErr w:type="spellEnd"/>
      <w:r w:rsidRPr="00C43507">
        <w:t xml:space="preserve">, </w:t>
      </w:r>
      <w:proofErr w:type="spellStart"/>
      <w:r w:rsidRPr="00C43507">
        <w:t>Threads</w:t>
      </w:r>
      <w:proofErr w:type="spellEnd"/>
      <w:r w:rsidRPr="00C43507">
        <w:t xml:space="preserve"> och </w:t>
      </w:r>
      <w:proofErr w:type="spellStart"/>
      <w:r w:rsidRPr="00C43507">
        <w:t>WhatsApp</w:t>
      </w:r>
      <w:proofErr w:type="spellEnd"/>
      <w:r w:rsidRPr="00C43507">
        <w:t xml:space="preserve"> 2025.</w:t>
      </w:r>
    </w:p>
    <w:p w14:paraId="11FDA02A" w14:textId="1717F36B" w:rsidR="00E365E1" w:rsidRPr="00C43507" w:rsidRDefault="0073782B" w:rsidP="00E0279F">
      <w:pPr>
        <w:pStyle w:val="NormalHanging12a"/>
        <w:widowControl/>
      </w:pPr>
      <w:r w:rsidRPr="00C43507">
        <w:t>66.</w:t>
      </w:r>
      <w:r w:rsidRPr="00C43507">
        <w:tab/>
        <w:t>Europaparlamentet noterar med uppskattning andra viktiga åtgärder och planer från domstolens sida för att öka transparensen och tillgängligheten och tillgodose behoven hos rättstillämpare, medier och allmänheten (däribland yngre generationer), såsom översynen av domstolens webbplats och införandet av en ny (enda) sökmotor, lanseringen av en ny flerspråkig webb-tv-plattform med innehåll om domstolens arbete och beslut, offentliggörandet av videor på sociala medier, förenklingen av det språk som används i domstolens pressmeddelanden och översynen av domstolens årliga rapportering för att tillhandahålla tydligare översikter över rättspraxis och statistik.</w:t>
      </w:r>
    </w:p>
    <w:sectPr w:rsidR="00E365E1" w:rsidRPr="00C43507" w:rsidSect="002E0E35">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05D89" w14:textId="77777777" w:rsidR="0048519C" w:rsidRPr="002E0E35" w:rsidRDefault="0048519C">
      <w:r w:rsidRPr="002E0E35">
        <w:separator/>
      </w:r>
    </w:p>
  </w:endnote>
  <w:endnote w:type="continuationSeparator" w:id="0">
    <w:p w14:paraId="1D4115F9" w14:textId="77777777" w:rsidR="0048519C" w:rsidRPr="002E0E35" w:rsidRDefault="0048519C">
      <w:r w:rsidRPr="002E0E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9F3DD" w14:textId="77777777" w:rsidR="0073782B" w:rsidRPr="002E0E35" w:rsidRDefault="0073782B" w:rsidP="00D55137">
    <w:pPr>
      <w:pStyle w:val="EPFooter"/>
    </w:pPr>
    <w:r w:rsidRPr="002E0E35">
      <w:t>PE</w:t>
    </w:r>
    <w:r w:rsidRPr="002E0E35">
      <w:rPr>
        <w:rStyle w:val="HideTWBExt"/>
      </w:rPr>
      <w:t>&lt;</w:t>
    </w:r>
    <w:proofErr w:type="spellStart"/>
    <w:r w:rsidRPr="002E0E35">
      <w:rPr>
        <w:rStyle w:val="HideTWBExt"/>
      </w:rPr>
      <w:t>NoPE</w:t>
    </w:r>
    <w:proofErr w:type="spellEnd"/>
    <w:r w:rsidRPr="002E0E35">
      <w:rPr>
        <w:rStyle w:val="HideTWBExt"/>
      </w:rPr>
      <w:t>&gt;</w:t>
    </w:r>
    <w:r w:rsidRPr="002E0E35">
      <w:t>778.060</w:t>
    </w:r>
    <w:r w:rsidRPr="002E0E35">
      <w:rPr>
        <w:rStyle w:val="HideTWBExt"/>
      </w:rPr>
      <w:t>&lt;/</w:t>
    </w:r>
    <w:proofErr w:type="spellStart"/>
    <w:r w:rsidRPr="002E0E35">
      <w:rPr>
        <w:rStyle w:val="HideTWBExt"/>
      </w:rPr>
      <w:t>NoPE</w:t>
    </w:r>
    <w:proofErr w:type="spellEnd"/>
    <w:r w:rsidRPr="002E0E35">
      <w:rPr>
        <w:rStyle w:val="HideTWBExt"/>
      </w:rPr>
      <w:t>&gt;&lt;Version&gt;</w:t>
    </w:r>
    <w:r w:rsidRPr="002E0E35">
      <w:t>v02-00</w:t>
    </w:r>
    <w:r w:rsidRPr="002E0E35">
      <w:rPr>
        <w:rStyle w:val="HideTWBExt"/>
      </w:rPr>
      <w:t>&lt;/Version&gt;</w:t>
    </w:r>
    <w:r w:rsidRPr="002E0E35">
      <w:tab/>
    </w:r>
    <w:r w:rsidRPr="002E0E35">
      <w:fldChar w:fldCharType="begin"/>
    </w:r>
    <w:r w:rsidRPr="002E0E35">
      <w:instrText xml:space="preserve"> PAGE  \* MERGEFORMAT </w:instrText>
    </w:r>
    <w:r w:rsidRPr="002E0E35">
      <w:fldChar w:fldCharType="separate"/>
    </w:r>
    <w:r w:rsidRPr="002E0E35">
      <w:rPr>
        <w:noProof/>
      </w:rPr>
      <w:t>6</w:t>
    </w:r>
    <w:r w:rsidRPr="002E0E35">
      <w:fldChar w:fldCharType="end"/>
    </w:r>
    <w:r w:rsidRPr="002E0E35">
      <w:t>/</w:t>
    </w:r>
    <w:fldSimple w:instr=" NUMPAGES  \* MERGEFORMAT ">
      <w:r w:rsidRPr="002E0E35">
        <w:rPr>
          <w:noProof/>
        </w:rPr>
        <w:t>1</w:t>
      </w:r>
    </w:fldSimple>
    <w:r w:rsidRPr="002E0E35">
      <w:tab/>
    </w:r>
    <w:r w:rsidRPr="002E0E35">
      <w:rPr>
        <w:rStyle w:val="HideTWBExt"/>
      </w:rPr>
      <w:t>&lt;PathFdR&gt;</w:t>
    </w:r>
    <w:r w:rsidRPr="002E0E35">
      <w:t>RR\1339440SV.docx</w:t>
    </w:r>
    <w:r w:rsidRPr="002E0E35">
      <w:rPr>
        <w:rStyle w:val="HideTWBExt"/>
      </w:rPr>
      <w:t>&lt;/</w:t>
    </w:r>
    <w:proofErr w:type="spellStart"/>
    <w:r w:rsidRPr="002E0E35">
      <w:rPr>
        <w:rStyle w:val="HideTWBExt"/>
      </w:rPr>
      <w:t>PathFdR</w:t>
    </w:r>
    <w:proofErr w:type="spellEnd"/>
    <w:r w:rsidRPr="002E0E35">
      <w:rPr>
        <w:rStyle w:val="HideTWBExt"/>
      </w:rPr>
      <w:t>&gt;</w:t>
    </w:r>
  </w:p>
  <w:p w14:paraId="0E5D5FB9" w14:textId="77777777" w:rsidR="0073782B" w:rsidRPr="002E0E35" w:rsidRDefault="0073782B" w:rsidP="00D55137">
    <w:pPr>
      <w:pStyle w:val="EPFooter2"/>
    </w:pPr>
    <w:r w:rsidRPr="002E0E35">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99335" w14:textId="294873BA" w:rsidR="0073782B" w:rsidRPr="002E0E35" w:rsidRDefault="0073782B" w:rsidP="00D5513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D90E3" w14:textId="77777777" w:rsidR="0073782B" w:rsidRPr="002E0E35" w:rsidRDefault="0073782B" w:rsidP="00D55137">
    <w:pPr>
      <w:pStyle w:val="EPFooter"/>
    </w:pPr>
    <w:r w:rsidRPr="002E0E35">
      <w:rPr>
        <w:rStyle w:val="HideTWBExt"/>
      </w:rPr>
      <w:t>&lt;PathFdR&gt;</w:t>
    </w:r>
    <w:r w:rsidRPr="002E0E35">
      <w:t>RR\1339440SV.docx</w:t>
    </w:r>
    <w:r w:rsidRPr="002E0E35">
      <w:rPr>
        <w:rStyle w:val="HideTWBExt"/>
      </w:rPr>
      <w:t>&lt;/</w:t>
    </w:r>
    <w:proofErr w:type="spellStart"/>
    <w:r w:rsidRPr="002E0E35">
      <w:rPr>
        <w:rStyle w:val="HideTWBExt"/>
      </w:rPr>
      <w:t>PathFdR</w:t>
    </w:r>
    <w:proofErr w:type="spellEnd"/>
    <w:r w:rsidRPr="002E0E35">
      <w:rPr>
        <w:rStyle w:val="HideTWBExt"/>
      </w:rPr>
      <w:t>&gt;</w:t>
    </w:r>
    <w:r w:rsidRPr="002E0E35">
      <w:tab/>
    </w:r>
    <w:r w:rsidRPr="002E0E35">
      <w:tab/>
      <w:t>PE</w:t>
    </w:r>
    <w:r w:rsidRPr="002E0E35">
      <w:rPr>
        <w:rStyle w:val="HideTWBExt"/>
      </w:rPr>
      <w:t>&lt;</w:t>
    </w:r>
    <w:proofErr w:type="spellStart"/>
    <w:r w:rsidRPr="002E0E35">
      <w:rPr>
        <w:rStyle w:val="HideTWBExt"/>
      </w:rPr>
      <w:t>NoPE</w:t>
    </w:r>
    <w:proofErr w:type="spellEnd"/>
    <w:r w:rsidRPr="002E0E35">
      <w:rPr>
        <w:rStyle w:val="HideTWBExt"/>
      </w:rPr>
      <w:t>&gt;</w:t>
    </w:r>
    <w:r w:rsidRPr="002E0E35">
      <w:t>778.060</w:t>
    </w:r>
    <w:r w:rsidRPr="002E0E35">
      <w:rPr>
        <w:rStyle w:val="HideTWBExt"/>
      </w:rPr>
      <w:t>&lt;/</w:t>
    </w:r>
    <w:proofErr w:type="spellStart"/>
    <w:r w:rsidRPr="002E0E35">
      <w:rPr>
        <w:rStyle w:val="HideTWBExt"/>
      </w:rPr>
      <w:t>NoPE</w:t>
    </w:r>
    <w:proofErr w:type="spellEnd"/>
    <w:r w:rsidRPr="002E0E35">
      <w:rPr>
        <w:rStyle w:val="HideTWBExt"/>
      </w:rPr>
      <w:t>&gt;&lt;Version&gt;</w:t>
    </w:r>
    <w:r w:rsidRPr="002E0E35">
      <w:t>v02-00</w:t>
    </w:r>
    <w:r w:rsidRPr="002E0E35">
      <w:rPr>
        <w:rStyle w:val="HideTWBExt"/>
      </w:rPr>
      <w:t>&lt;/Version&gt;</w:t>
    </w:r>
  </w:p>
  <w:p w14:paraId="720C4B73" w14:textId="77777777" w:rsidR="0073782B" w:rsidRPr="002E0E35" w:rsidRDefault="0073782B" w:rsidP="00D55137">
    <w:pPr>
      <w:pStyle w:val="EPFooter2"/>
    </w:pPr>
    <w:r w:rsidRPr="002E0E35">
      <w:t>SV</w:t>
    </w:r>
    <w:r w:rsidRPr="002E0E35">
      <w:tab/>
    </w:r>
    <w:r w:rsidRPr="002E0E35">
      <w:rPr>
        <w:b w:val="0"/>
        <w:i/>
        <w:color w:val="C0C0C0"/>
        <w:sz w:val="22"/>
      </w:rPr>
      <w:t>Förenade i mångfalden</w:t>
    </w:r>
    <w:r w:rsidRPr="002E0E35">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FB601" w14:textId="77777777" w:rsidR="00064002" w:rsidRPr="002E0E3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A30E8" w14:textId="77777777" w:rsidR="00064002" w:rsidRPr="002E0E35"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21F62" w14:textId="77777777" w:rsidR="00064002" w:rsidRPr="002E0E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C9091" w14:textId="77777777" w:rsidR="0048519C" w:rsidRPr="002E0E35" w:rsidRDefault="0048519C">
      <w:r w:rsidRPr="002E0E35">
        <w:separator/>
      </w:r>
    </w:p>
  </w:footnote>
  <w:footnote w:type="continuationSeparator" w:id="0">
    <w:p w14:paraId="0AF66663" w14:textId="77777777" w:rsidR="0048519C" w:rsidRPr="002E0E35" w:rsidRDefault="0048519C">
      <w:r w:rsidRPr="002E0E35">
        <w:continuationSeparator/>
      </w:r>
    </w:p>
  </w:footnote>
  <w:footnote w:id="1">
    <w:p w14:paraId="122FD7F0" w14:textId="72F3B8C1" w:rsidR="0073782B" w:rsidRPr="00795495" w:rsidRDefault="0073782B" w:rsidP="002E0E35">
      <w:pPr>
        <w:pStyle w:val="FootnoteText"/>
        <w:ind w:left="567" w:hanging="567"/>
        <w:rPr>
          <w:sz w:val="24"/>
          <w:lang w:val="fi-FI"/>
        </w:rPr>
      </w:pPr>
      <w:r w:rsidRPr="002E0E35">
        <w:rPr>
          <w:rStyle w:val="FootnoteReference"/>
          <w:sz w:val="24"/>
          <w:lang w:val="sv-SE"/>
        </w:rPr>
        <w:footnoteRef/>
      </w:r>
      <w:r w:rsidR="002E0E35" w:rsidRPr="00795495">
        <w:rPr>
          <w:sz w:val="24"/>
          <w:lang w:val="fi-FI"/>
        </w:rPr>
        <w:t xml:space="preserve"> </w:t>
      </w:r>
      <w:r w:rsidR="002E0E35" w:rsidRPr="00795495">
        <w:rPr>
          <w:sz w:val="24"/>
          <w:lang w:val="fi-FI"/>
        </w:rPr>
        <w:tab/>
      </w:r>
      <w:r w:rsidRPr="00795495">
        <w:rPr>
          <w:sz w:val="24"/>
          <w:lang w:val="fi-FI"/>
        </w:rPr>
        <w:t>EUT L</w:t>
      </w:r>
      <w:r w:rsidR="002E6203">
        <w:rPr>
          <w:sz w:val="24"/>
          <w:lang w:val="fi-FI"/>
        </w:rPr>
        <w:t>,</w:t>
      </w:r>
      <w:r w:rsidRPr="00795495">
        <w:rPr>
          <w:sz w:val="24"/>
          <w:lang w:val="fi-FI"/>
        </w:rPr>
        <w:t xml:space="preserve"> </w:t>
      </w:r>
      <w:r w:rsidR="008B3783" w:rsidRPr="00795495">
        <w:rPr>
          <w:sz w:val="24"/>
          <w:lang w:val="fi-FI"/>
        </w:rPr>
        <w:t>2024/</w:t>
      </w:r>
      <w:r w:rsidRPr="00795495">
        <w:rPr>
          <w:sz w:val="24"/>
          <w:lang w:val="fi-FI"/>
        </w:rPr>
        <w:t xml:space="preserve">207, 22.2.2024, ELI: </w:t>
      </w:r>
      <w:hyperlink r:id="rId1" w:history="1">
        <w:r w:rsidRPr="00795495">
          <w:rPr>
            <w:rStyle w:val="Hyperlink"/>
            <w:sz w:val="24"/>
            <w:lang w:val="fi-FI"/>
          </w:rPr>
          <w:t>http://data.europa.eu/eli/budget/2024/207/oj</w:t>
        </w:r>
      </w:hyperlink>
      <w:r w:rsidRPr="00795495">
        <w:rPr>
          <w:sz w:val="24"/>
          <w:lang w:val="fi-FI"/>
        </w:rPr>
        <w:t>.</w:t>
      </w:r>
    </w:p>
  </w:footnote>
  <w:footnote w:id="2">
    <w:p w14:paraId="507BCBF5" w14:textId="1A62F56A" w:rsidR="0073782B" w:rsidRPr="00795495" w:rsidRDefault="0073782B" w:rsidP="002E0E35">
      <w:pPr>
        <w:pStyle w:val="FootnoteText"/>
        <w:ind w:left="567" w:hanging="567"/>
        <w:rPr>
          <w:sz w:val="24"/>
          <w:lang w:val="fr-BE"/>
        </w:rPr>
      </w:pPr>
      <w:r w:rsidRPr="002E0E35">
        <w:rPr>
          <w:rStyle w:val="FootnoteReference"/>
          <w:sz w:val="24"/>
          <w:lang w:val="sv-SE"/>
        </w:rPr>
        <w:footnoteRef/>
      </w:r>
      <w:r w:rsidR="002E0E35" w:rsidRPr="00795495">
        <w:rPr>
          <w:sz w:val="24"/>
          <w:lang w:val="fr-BE"/>
        </w:rPr>
        <w:t xml:space="preserve"> </w:t>
      </w:r>
      <w:r w:rsidR="002E0E35" w:rsidRPr="00795495">
        <w:rPr>
          <w:sz w:val="24"/>
          <w:lang w:val="fr-BE"/>
        </w:rPr>
        <w:tab/>
      </w:r>
      <w:r w:rsidRPr="00795495">
        <w:rPr>
          <w:sz w:val="24"/>
          <w:lang w:val="fr-BE"/>
        </w:rPr>
        <w:t>EUT C, C/2025/4944, 13.10.2025, ELI: </w:t>
      </w:r>
      <w:hyperlink r:id="rId2" w:tgtFrame="_blank" w:tooltip="Ger tillgång till detta dokument via dess ELI URI." w:history="1">
        <w:r w:rsidRPr="00795495">
          <w:rPr>
            <w:rStyle w:val="Hyperlink"/>
            <w:sz w:val="24"/>
            <w:lang w:val="fr-BE"/>
          </w:rPr>
          <w:t>http://data.europa.eu/eli/C/2025/4944/oj</w:t>
        </w:r>
      </w:hyperlink>
      <w:r w:rsidRPr="00795495">
        <w:rPr>
          <w:sz w:val="24"/>
          <w:lang w:val="fr-BE"/>
        </w:rPr>
        <w:t>.</w:t>
      </w:r>
    </w:p>
  </w:footnote>
  <w:footnote w:id="3">
    <w:p w14:paraId="384C5191" w14:textId="45966416" w:rsidR="0073782B" w:rsidRPr="00795495" w:rsidRDefault="0073782B" w:rsidP="002E0E35">
      <w:pPr>
        <w:pStyle w:val="FootnoteText"/>
        <w:ind w:left="567" w:hanging="567"/>
        <w:rPr>
          <w:sz w:val="24"/>
          <w:lang w:val="fi-FI"/>
        </w:rPr>
      </w:pPr>
      <w:r w:rsidRPr="002E0E35">
        <w:rPr>
          <w:rStyle w:val="FootnoteReference"/>
          <w:sz w:val="24"/>
          <w:lang w:val="sv-SE"/>
        </w:rPr>
        <w:footnoteRef/>
      </w:r>
      <w:r w:rsidR="002E0E35" w:rsidRPr="00795495">
        <w:rPr>
          <w:sz w:val="24"/>
          <w:lang w:val="fi-FI"/>
        </w:rPr>
        <w:t xml:space="preserve"> </w:t>
      </w:r>
      <w:r w:rsidR="002E0E35" w:rsidRPr="00795495">
        <w:rPr>
          <w:sz w:val="24"/>
          <w:lang w:val="fi-FI"/>
        </w:rPr>
        <w:tab/>
      </w:r>
      <w:r w:rsidRPr="00795495">
        <w:rPr>
          <w:sz w:val="24"/>
          <w:lang w:val="fi-FI"/>
        </w:rPr>
        <w:t xml:space="preserve">EUT C, C/2025/5409, 8.10.2025, ELI: </w:t>
      </w:r>
      <w:hyperlink r:id="rId3" w:history="1">
        <w:r w:rsidRPr="00795495">
          <w:rPr>
            <w:rStyle w:val="Hyperlink"/>
            <w:sz w:val="24"/>
            <w:lang w:val="fi-FI"/>
          </w:rPr>
          <w:t>http://data.europa.eu/eli/C/2025/5409/oj</w:t>
        </w:r>
      </w:hyperlink>
      <w:r w:rsidRPr="00795495">
        <w:rPr>
          <w:sz w:val="24"/>
          <w:lang w:val="fi-FI"/>
        </w:rPr>
        <w:t>.</w:t>
      </w:r>
    </w:p>
  </w:footnote>
  <w:footnote w:id="4">
    <w:p w14:paraId="62E2002A" w14:textId="1EDAB63F" w:rsidR="0073782B" w:rsidRPr="00795495" w:rsidRDefault="0073782B" w:rsidP="002E0E35">
      <w:pPr>
        <w:pStyle w:val="FootnoteText"/>
        <w:ind w:left="567" w:hanging="567"/>
        <w:rPr>
          <w:sz w:val="24"/>
          <w:lang w:val="fi-FI"/>
        </w:rPr>
      </w:pPr>
      <w:r w:rsidRPr="002E0E35">
        <w:rPr>
          <w:rStyle w:val="FootnoteReference"/>
          <w:sz w:val="24"/>
          <w:lang w:val="sv-SE"/>
        </w:rPr>
        <w:footnoteRef/>
      </w:r>
      <w:r w:rsidR="002E0E35" w:rsidRPr="00795495">
        <w:rPr>
          <w:sz w:val="24"/>
          <w:lang w:val="fi-FI"/>
        </w:rPr>
        <w:t xml:space="preserve"> </w:t>
      </w:r>
      <w:r w:rsidR="002E0E35" w:rsidRPr="00795495">
        <w:rPr>
          <w:sz w:val="24"/>
          <w:lang w:val="fi-FI"/>
        </w:rPr>
        <w:tab/>
      </w:r>
      <w:r w:rsidRPr="00795495">
        <w:rPr>
          <w:sz w:val="24"/>
          <w:lang w:val="fi-FI"/>
        </w:rPr>
        <w:t xml:space="preserve">EUT C, C/2025/5407, 13.10.2025, ELI: </w:t>
      </w:r>
      <w:hyperlink r:id="rId4" w:history="1">
        <w:r w:rsidRPr="00795495">
          <w:rPr>
            <w:rStyle w:val="Hyperlink"/>
            <w:sz w:val="24"/>
            <w:lang w:val="fi-FI"/>
          </w:rPr>
          <w:t>http://data.europa.eu/eli/C/2025/5407/oj</w:t>
        </w:r>
      </w:hyperlink>
      <w:r w:rsidRPr="00795495">
        <w:rPr>
          <w:sz w:val="24"/>
          <w:lang w:val="fi-FI"/>
        </w:rPr>
        <w:t>.</w:t>
      </w:r>
    </w:p>
  </w:footnote>
  <w:footnote w:id="5">
    <w:p w14:paraId="132D38F5" w14:textId="3CB6605B" w:rsidR="0073782B" w:rsidRPr="00795495" w:rsidRDefault="0073782B" w:rsidP="002E0E35">
      <w:pPr>
        <w:pStyle w:val="FootnoteText"/>
        <w:ind w:left="567" w:hanging="567"/>
        <w:rPr>
          <w:sz w:val="24"/>
          <w:lang w:val="fi-FI"/>
        </w:rPr>
      </w:pPr>
      <w:r w:rsidRPr="002E0E35">
        <w:rPr>
          <w:rStyle w:val="FootnoteReference"/>
          <w:sz w:val="24"/>
          <w:lang w:val="sv-SE"/>
        </w:rPr>
        <w:footnoteRef/>
      </w:r>
      <w:r w:rsidR="002E0E35" w:rsidRPr="00795495">
        <w:rPr>
          <w:sz w:val="24"/>
          <w:lang w:val="fi-FI"/>
        </w:rPr>
        <w:t xml:space="preserve"> </w:t>
      </w:r>
      <w:r w:rsidR="002E0E35" w:rsidRPr="00795495">
        <w:rPr>
          <w:sz w:val="24"/>
          <w:lang w:val="fi-FI"/>
        </w:rPr>
        <w:tab/>
      </w:r>
      <w:r w:rsidRPr="00795495">
        <w:rPr>
          <w:sz w:val="24"/>
          <w:lang w:val="fi-FI"/>
        </w:rPr>
        <w:t xml:space="preserve">EUT L 193, 30.7.2018, s. 1, ELI: </w:t>
      </w:r>
      <w:hyperlink r:id="rId5" w:history="1">
        <w:r w:rsidRPr="00795495">
          <w:rPr>
            <w:rStyle w:val="Hyperlink"/>
            <w:sz w:val="24"/>
            <w:lang w:val="fi-FI"/>
          </w:rPr>
          <w:t>http://data.europa.eu/eli/reg/2018/1046/oj</w:t>
        </w:r>
      </w:hyperlink>
      <w:r w:rsidRPr="00795495">
        <w:rPr>
          <w:sz w:val="24"/>
          <w:lang w:val="fi-FI"/>
        </w:rPr>
        <w:t>.</w:t>
      </w:r>
    </w:p>
  </w:footnote>
  <w:footnote w:id="6">
    <w:p w14:paraId="48EEBF7B" w14:textId="51AF5C14" w:rsidR="0073782B" w:rsidRPr="00795495" w:rsidRDefault="0073782B" w:rsidP="002E0E35">
      <w:pPr>
        <w:pStyle w:val="FootnoteText"/>
        <w:ind w:left="567" w:hanging="567"/>
        <w:rPr>
          <w:sz w:val="24"/>
          <w:szCs w:val="24"/>
          <w:lang w:val="fi-FI"/>
        </w:rPr>
      </w:pPr>
      <w:r w:rsidRPr="002E0E35">
        <w:rPr>
          <w:rStyle w:val="FootnoteReference"/>
          <w:sz w:val="24"/>
          <w:lang w:val="sv-SE"/>
        </w:rPr>
        <w:footnoteRef/>
      </w:r>
      <w:r w:rsidR="002E0E35" w:rsidRPr="00795495">
        <w:rPr>
          <w:sz w:val="24"/>
          <w:lang w:val="fi-FI"/>
        </w:rPr>
        <w:t xml:space="preserve"> </w:t>
      </w:r>
      <w:r w:rsidR="002E0E35" w:rsidRPr="00795495">
        <w:rPr>
          <w:sz w:val="24"/>
          <w:lang w:val="fi-FI"/>
        </w:rPr>
        <w:tab/>
      </w:r>
      <w:r w:rsidRPr="00795495">
        <w:rPr>
          <w:sz w:val="24"/>
          <w:lang w:val="fi-FI"/>
        </w:rPr>
        <w:t xml:space="preserve">EUT L, 2024/2509, 26.9.2024, ELI: </w:t>
      </w:r>
      <w:hyperlink r:id="rId6" w:history="1">
        <w:r w:rsidRPr="00795495">
          <w:rPr>
            <w:rStyle w:val="Hyperlink"/>
            <w:sz w:val="24"/>
            <w:lang w:val="fi-FI"/>
          </w:rPr>
          <w:t>http://data.europa.eu/eli/reg/2024/2509/oj</w:t>
        </w:r>
      </w:hyperlink>
      <w:r w:rsidRPr="00795495">
        <w:rPr>
          <w:sz w:val="24"/>
          <w:lang w:val="fi-FI"/>
        </w:rPr>
        <w:t>.</w:t>
      </w:r>
    </w:p>
  </w:footnote>
  <w:footnote w:id="7">
    <w:p w14:paraId="0A34BF88" w14:textId="0B8F2159" w:rsidR="0073782B" w:rsidRPr="002E0E35" w:rsidRDefault="0073782B" w:rsidP="002E0E35">
      <w:pPr>
        <w:pStyle w:val="FootnoteText"/>
        <w:ind w:left="567" w:hanging="567"/>
        <w:rPr>
          <w:sz w:val="24"/>
          <w:szCs w:val="24"/>
          <w:lang w:val="sv-SE"/>
        </w:rPr>
      </w:pPr>
      <w:r w:rsidRPr="002E0E35">
        <w:rPr>
          <w:rStyle w:val="FootnoteReference"/>
          <w:sz w:val="24"/>
          <w:szCs w:val="24"/>
          <w:lang w:val="sv-SE"/>
        </w:rPr>
        <w:footnoteRef/>
      </w:r>
      <w:r w:rsidR="002E0E35" w:rsidRPr="002E0E35">
        <w:rPr>
          <w:sz w:val="24"/>
          <w:lang w:val="sv-SE"/>
        </w:rPr>
        <w:t xml:space="preserve"> </w:t>
      </w:r>
      <w:r w:rsidR="002E0E35" w:rsidRPr="002E0E35">
        <w:rPr>
          <w:sz w:val="24"/>
          <w:lang w:val="sv-SE"/>
        </w:rPr>
        <w:tab/>
      </w:r>
      <w:r w:rsidRPr="002E0E35">
        <w:rPr>
          <w:sz w:val="24"/>
          <w:lang w:val="sv-SE"/>
        </w:rPr>
        <w:t xml:space="preserve">Europaparlamentets och rådets förordning (EU, Euratom) 2024/2019 av den 11 april 2024 om ändring av protokoll nr 3 om stadgan för Europeiska unionens domstol (EUT L, 2024/2019, 12.8.2024, ELI: </w:t>
      </w:r>
      <w:hyperlink r:id="rId7" w:history="1">
        <w:r w:rsidRPr="002E0E35">
          <w:rPr>
            <w:rStyle w:val="Hyperlink"/>
            <w:sz w:val="24"/>
            <w:lang w:val="sv-SE"/>
          </w:rPr>
          <w:t>http://data.europa.eu/eli/reg/2024/2019/oj</w:t>
        </w:r>
      </w:hyperlink>
      <w:r w:rsidRPr="002E0E35">
        <w:rPr>
          <w:rStyle w:val="Hyperlink"/>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EEB5B" w14:textId="77777777" w:rsidR="0073782B" w:rsidRPr="002E0E35" w:rsidRDefault="007378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0F015" w14:textId="77777777" w:rsidR="0073782B" w:rsidRPr="002E0E35" w:rsidRDefault="007378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044AB" w14:textId="77777777" w:rsidR="0073782B" w:rsidRPr="002E0E35" w:rsidRDefault="0073782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3BAC" w14:textId="77777777" w:rsidR="00064002" w:rsidRPr="002E0E35"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FA429" w14:textId="77777777" w:rsidR="00064002" w:rsidRPr="002E0E35"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CDCA8" w14:textId="77777777" w:rsidR="00064002" w:rsidRPr="002E0E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4725991">
    <w:abstractNumId w:val="9"/>
  </w:num>
  <w:num w:numId="2" w16cid:durableId="1855145109">
    <w:abstractNumId w:val="9"/>
  </w:num>
  <w:num w:numId="3" w16cid:durableId="610823990">
    <w:abstractNumId w:val="7"/>
  </w:num>
  <w:num w:numId="4" w16cid:durableId="1907765092">
    <w:abstractNumId w:val="7"/>
  </w:num>
  <w:num w:numId="5" w16cid:durableId="629676028">
    <w:abstractNumId w:val="6"/>
  </w:num>
  <w:num w:numId="6" w16cid:durableId="1367370504">
    <w:abstractNumId w:val="6"/>
  </w:num>
  <w:num w:numId="7" w16cid:durableId="489297236">
    <w:abstractNumId w:val="5"/>
  </w:num>
  <w:num w:numId="8" w16cid:durableId="248853272">
    <w:abstractNumId w:val="5"/>
  </w:num>
  <w:num w:numId="9" w16cid:durableId="1326737861">
    <w:abstractNumId w:val="4"/>
  </w:num>
  <w:num w:numId="10" w16cid:durableId="1964916502">
    <w:abstractNumId w:val="4"/>
  </w:num>
  <w:num w:numId="11" w16cid:durableId="374745248">
    <w:abstractNumId w:val="8"/>
  </w:num>
  <w:num w:numId="12" w16cid:durableId="357589588">
    <w:abstractNumId w:val="8"/>
  </w:num>
  <w:num w:numId="13" w16cid:durableId="1647199642">
    <w:abstractNumId w:val="3"/>
  </w:num>
  <w:num w:numId="14" w16cid:durableId="1430004446">
    <w:abstractNumId w:val="3"/>
  </w:num>
  <w:num w:numId="15" w16cid:durableId="1924021351">
    <w:abstractNumId w:val="2"/>
  </w:num>
  <w:num w:numId="16" w16cid:durableId="216745315">
    <w:abstractNumId w:val="2"/>
  </w:num>
  <w:num w:numId="17" w16cid:durableId="130247108">
    <w:abstractNumId w:val="1"/>
  </w:num>
  <w:num w:numId="18" w16cid:durableId="967321080">
    <w:abstractNumId w:val="1"/>
  </w:num>
  <w:num w:numId="19" w16cid:durableId="116410872">
    <w:abstractNumId w:val="0"/>
  </w:num>
  <w:num w:numId="20" w16cid:durableId="345331453">
    <w:abstractNumId w:val="0"/>
  </w:num>
  <w:num w:numId="21" w16cid:durableId="635332804">
    <w:abstractNumId w:val="9"/>
  </w:num>
  <w:num w:numId="22" w16cid:durableId="1126780267">
    <w:abstractNumId w:val="7"/>
  </w:num>
  <w:num w:numId="23" w16cid:durableId="1582445906">
    <w:abstractNumId w:val="6"/>
  </w:num>
  <w:num w:numId="24" w16cid:durableId="100032870">
    <w:abstractNumId w:val="5"/>
  </w:num>
  <w:num w:numId="25" w16cid:durableId="90199011">
    <w:abstractNumId w:val="4"/>
  </w:num>
  <w:num w:numId="26" w16cid:durableId="1949924792">
    <w:abstractNumId w:val="8"/>
  </w:num>
  <w:num w:numId="27" w16cid:durableId="694187960">
    <w:abstractNumId w:val="3"/>
  </w:num>
  <w:num w:numId="28" w16cid:durableId="1412773996">
    <w:abstractNumId w:val="2"/>
  </w:num>
  <w:num w:numId="29" w16cid:durableId="205869886">
    <w:abstractNumId w:val="1"/>
  </w:num>
  <w:num w:numId="30" w16cid:durableId="489055893">
    <w:abstractNumId w:val="0"/>
  </w:num>
  <w:num w:numId="31" w16cid:durableId="1357191731">
    <w:abstractNumId w:val="9"/>
  </w:num>
  <w:num w:numId="32" w16cid:durableId="346760529">
    <w:abstractNumId w:val="7"/>
  </w:num>
  <w:num w:numId="33" w16cid:durableId="1180580118">
    <w:abstractNumId w:val="6"/>
  </w:num>
  <w:num w:numId="34" w16cid:durableId="289481895">
    <w:abstractNumId w:val="5"/>
  </w:num>
  <w:num w:numId="35" w16cid:durableId="1905098530">
    <w:abstractNumId w:val="4"/>
  </w:num>
  <w:num w:numId="36" w16cid:durableId="595285426">
    <w:abstractNumId w:val="8"/>
  </w:num>
  <w:num w:numId="37" w16cid:durableId="1122310604">
    <w:abstractNumId w:val="3"/>
  </w:num>
  <w:num w:numId="38" w16cid:durableId="1243563288">
    <w:abstractNumId w:val="2"/>
  </w:num>
  <w:num w:numId="39" w16cid:durableId="255482240">
    <w:abstractNumId w:val="1"/>
  </w:num>
  <w:num w:numId="40" w16cid:durableId="1549414258">
    <w:abstractNumId w:val="0"/>
  </w:num>
  <w:num w:numId="41" w16cid:durableId="1223518923">
    <w:abstractNumId w:val="10"/>
  </w:num>
  <w:num w:numId="42" w16cid:durableId="1220820369">
    <w:abstractNumId w:val="10"/>
  </w:num>
  <w:num w:numId="43" w16cid:durableId="2139760430">
    <w:abstractNumId w:val="10"/>
  </w:num>
  <w:num w:numId="44" w16cid:durableId="17873072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5/2026"/>
    <w:docVar w:name="dvlangue" w:val="SV"/>
    <w:docVar w:name="dvnumam" w:val="0"/>
    <w:docVar w:name="dvpe" w:val="778.060"/>
    <w:docVar w:name="dvrapporteur" w:val="Föredragande: "/>
    <w:docVar w:name="dvtitre" w:val="Europaparlamentets beslut av den xx xx 2026 om ansvarsfrihet för genomförandet av Europeiska unionens allmänna budget för budgetåret 2024, avsnitt IV – Europeiska unionens domstol(2025/2148(DEC))"/>
  </w:docVars>
  <w:rsids>
    <w:rsidRoot w:val="0048519C"/>
    <w:rsid w:val="00002272"/>
    <w:rsid w:val="00064002"/>
    <w:rsid w:val="000677B9"/>
    <w:rsid w:val="000831BA"/>
    <w:rsid w:val="000A42CC"/>
    <w:rsid w:val="000D38F1"/>
    <w:rsid w:val="000E7DD9"/>
    <w:rsid w:val="0010095E"/>
    <w:rsid w:val="00125B37"/>
    <w:rsid w:val="00187494"/>
    <w:rsid w:val="001F32AE"/>
    <w:rsid w:val="002767FF"/>
    <w:rsid w:val="002B18FE"/>
    <w:rsid w:val="002B5493"/>
    <w:rsid w:val="002E0E35"/>
    <w:rsid w:val="002E6203"/>
    <w:rsid w:val="00343214"/>
    <w:rsid w:val="00361C00"/>
    <w:rsid w:val="0037689E"/>
    <w:rsid w:val="00395FA1"/>
    <w:rsid w:val="003E15D4"/>
    <w:rsid w:val="00411CCE"/>
    <w:rsid w:val="0041666E"/>
    <w:rsid w:val="00421060"/>
    <w:rsid w:val="00471C19"/>
    <w:rsid w:val="0048519C"/>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3782B"/>
    <w:rsid w:val="00747932"/>
    <w:rsid w:val="00751A4A"/>
    <w:rsid w:val="00756632"/>
    <w:rsid w:val="00762C74"/>
    <w:rsid w:val="00786EC0"/>
    <w:rsid w:val="007873AC"/>
    <w:rsid w:val="00795495"/>
    <w:rsid w:val="007D1690"/>
    <w:rsid w:val="007E22AD"/>
    <w:rsid w:val="00817416"/>
    <w:rsid w:val="00842779"/>
    <w:rsid w:val="00865F67"/>
    <w:rsid w:val="00881A7B"/>
    <w:rsid w:val="008840E5"/>
    <w:rsid w:val="00887B3E"/>
    <w:rsid w:val="008B3783"/>
    <w:rsid w:val="008C2AC6"/>
    <w:rsid w:val="00930C23"/>
    <w:rsid w:val="0093193B"/>
    <w:rsid w:val="009509D8"/>
    <w:rsid w:val="00950B64"/>
    <w:rsid w:val="00981893"/>
    <w:rsid w:val="009B3ECF"/>
    <w:rsid w:val="00A1687D"/>
    <w:rsid w:val="00A43E52"/>
    <w:rsid w:val="00A4678D"/>
    <w:rsid w:val="00A778C7"/>
    <w:rsid w:val="00A947D4"/>
    <w:rsid w:val="00AB441E"/>
    <w:rsid w:val="00AB6293"/>
    <w:rsid w:val="00AE0928"/>
    <w:rsid w:val="00AF3B82"/>
    <w:rsid w:val="00B12E95"/>
    <w:rsid w:val="00B22876"/>
    <w:rsid w:val="00B558F0"/>
    <w:rsid w:val="00BD48FE"/>
    <w:rsid w:val="00BD7684"/>
    <w:rsid w:val="00BD7BD8"/>
    <w:rsid w:val="00BE6ADC"/>
    <w:rsid w:val="00C05BFE"/>
    <w:rsid w:val="00C23CD4"/>
    <w:rsid w:val="00C43507"/>
    <w:rsid w:val="00C61C0C"/>
    <w:rsid w:val="00C941CB"/>
    <w:rsid w:val="00CC2357"/>
    <w:rsid w:val="00CE18F4"/>
    <w:rsid w:val="00CF071A"/>
    <w:rsid w:val="00D058B8"/>
    <w:rsid w:val="00D56C11"/>
    <w:rsid w:val="00D834A0"/>
    <w:rsid w:val="00D872DF"/>
    <w:rsid w:val="00D91E21"/>
    <w:rsid w:val="00DA7FCD"/>
    <w:rsid w:val="00E0279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8932EE"/>
  <w15:chartTrackingRefBased/>
  <w15:docId w15:val="{3EBBCD3E-3DE9-437A-A16E-ABDC6F08C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3782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3782B"/>
    <w:pPr>
      <w:spacing w:before="480" w:after="240"/>
    </w:pPr>
  </w:style>
  <w:style w:type="paragraph" w:customStyle="1" w:styleId="PageHeading">
    <w:name w:val="PageHeading"/>
    <w:basedOn w:val="Normal"/>
    <w:rsid w:val="0073782B"/>
    <w:pPr>
      <w:keepNext/>
      <w:spacing w:after="480"/>
      <w:jc w:val="center"/>
    </w:pPr>
    <w:rPr>
      <w:rFonts w:ascii="Arial" w:hAnsi="Arial" w:cs="Arial"/>
      <w:b/>
    </w:rPr>
  </w:style>
  <w:style w:type="paragraph" w:customStyle="1" w:styleId="NormalBold">
    <w:name w:val="NormalBold"/>
    <w:basedOn w:val="Normal"/>
    <w:rsid w:val="0073782B"/>
    <w:rPr>
      <w:b/>
    </w:rPr>
  </w:style>
  <w:style w:type="paragraph" w:customStyle="1" w:styleId="NormalHanging12a">
    <w:name w:val="NormalHanging12a"/>
    <w:basedOn w:val="Normal"/>
    <w:link w:val="NormalHanging12aChar"/>
    <w:qFormat/>
    <w:rsid w:val="0073782B"/>
    <w:pPr>
      <w:spacing w:after="240"/>
      <w:ind w:left="567" w:hanging="567"/>
    </w:pPr>
  </w:style>
  <w:style w:type="paragraph" w:styleId="Header">
    <w:name w:val="header"/>
    <w:basedOn w:val="Normal"/>
    <w:link w:val="HeaderChar"/>
    <w:rsid w:val="0073782B"/>
    <w:pPr>
      <w:tabs>
        <w:tab w:val="center" w:pos="4513"/>
        <w:tab w:val="right" w:pos="9026"/>
      </w:tabs>
    </w:pPr>
  </w:style>
  <w:style w:type="character" w:customStyle="1" w:styleId="HeaderChar">
    <w:name w:val="Header Char"/>
    <w:basedOn w:val="DefaultParagraphFont"/>
    <w:link w:val="Header"/>
    <w:rsid w:val="0073782B"/>
    <w:rPr>
      <w:sz w:val="24"/>
      <w:lang w:val="sv-SE"/>
    </w:rPr>
  </w:style>
  <w:style w:type="paragraph" w:customStyle="1" w:styleId="EPFooter">
    <w:name w:val="EPFooter"/>
    <w:basedOn w:val="Normal"/>
    <w:rsid w:val="0073782B"/>
    <w:pPr>
      <w:tabs>
        <w:tab w:val="center" w:pos="4535"/>
        <w:tab w:val="right" w:pos="9071"/>
      </w:tabs>
      <w:spacing w:before="240" w:after="240"/>
    </w:pPr>
    <w:rPr>
      <w:color w:val="010000"/>
      <w:sz w:val="22"/>
    </w:rPr>
  </w:style>
  <w:style w:type="character" w:styleId="Hyperlink">
    <w:name w:val="Hyperlink"/>
    <w:basedOn w:val="DefaultParagraphFont"/>
    <w:rsid w:val="0073782B"/>
    <w:rPr>
      <w:color w:val="0563C1" w:themeColor="hyperlink"/>
      <w:u w:val="single"/>
    </w:rPr>
  </w:style>
  <w:style w:type="character" w:customStyle="1" w:styleId="NormalHanging12aChar">
    <w:name w:val="NormalHanging12a Char"/>
    <w:basedOn w:val="DefaultParagraphFont"/>
    <w:link w:val="NormalHanging12a"/>
    <w:locked/>
    <w:rsid w:val="0073782B"/>
    <w:rPr>
      <w:sz w:val="24"/>
      <w:lang w:val="sv-SE"/>
    </w:rPr>
  </w:style>
  <w:style w:type="paragraph" w:customStyle="1" w:styleId="Normal12a">
    <w:name w:val="Normal12a"/>
    <w:basedOn w:val="Normal"/>
    <w:rsid w:val="0073782B"/>
    <w:pPr>
      <w:spacing w:after="240"/>
    </w:pPr>
  </w:style>
  <w:style w:type="paragraph" w:customStyle="1" w:styleId="PageHeadingNotTOC">
    <w:name w:val="PageHeadingNotTOC"/>
    <w:basedOn w:val="Normal"/>
    <w:rsid w:val="0073782B"/>
    <w:pPr>
      <w:keepNext/>
      <w:spacing w:after="480"/>
      <w:jc w:val="center"/>
    </w:pPr>
    <w:rPr>
      <w:rFonts w:ascii="Arial" w:hAnsi="Arial" w:cs="Arial"/>
      <w:b/>
    </w:rPr>
  </w:style>
  <w:style w:type="paragraph" w:customStyle="1" w:styleId="Normal24a">
    <w:name w:val="Normal24a"/>
    <w:basedOn w:val="Normal"/>
    <w:link w:val="Normal24aChar"/>
    <w:rsid w:val="0073782B"/>
    <w:pPr>
      <w:spacing w:after="480"/>
    </w:pPr>
    <w:rPr>
      <w:color w:val="008080"/>
    </w:rPr>
  </w:style>
  <w:style w:type="character" w:customStyle="1" w:styleId="Normal24aChar">
    <w:name w:val="Normal24a Char"/>
    <w:basedOn w:val="DefaultParagraphFont"/>
    <w:link w:val="Normal24a"/>
    <w:rsid w:val="0073782B"/>
    <w:rPr>
      <w:color w:val="008080"/>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6963</Words>
  <Characters>46689</Characters>
  <Application>Microsoft Office Word</Application>
  <DocSecurity>0</DocSecurity>
  <Lines>389</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2026-05-05T08:26:00Z</dcterms:created>
  <dcterms:modified xsi:type="dcterms:W3CDTF">2026-05-05T08:26:00Z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P10_TA(2026)0128_</vt:lpwstr>
  </property>
  <property fmtid="{D5CDD505-2E9C-101B-9397-08002B2CF9AE}" pid="4" name="&lt;Type&gt;">
    <vt:lpwstr>RR</vt:lpwstr>
  </property>
</Properties>
</file>