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B07C0" w14:paraId="74709ACC" w14:textId="77777777" w:rsidTr="0010095E">
        <w:trPr>
          <w:trHeight w:hRule="exact" w:val="1418"/>
        </w:trPr>
        <w:tc>
          <w:tcPr>
            <w:tcW w:w="6804" w:type="dxa"/>
            <w:shd w:val="clear" w:color="auto" w:fill="auto"/>
            <w:vAlign w:val="center"/>
          </w:tcPr>
          <w:p w14:paraId="0F35767B" w14:textId="3EC716EA" w:rsidR="00751A4A" w:rsidRPr="00EB07C0" w:rsidRDefault="007C6028" w:rsidP="0010095E">
            <w:pPr>
              <w:pStyle w:val="EPName"/>
            </w:pPr>
            <w:r w:rsidRPr="00EB07C0">
              <w:t>Европейски</w:t>
            </w:r>
            <w:r w:rsidR="008B24FC" w:rsidRPr="00EB07C0">
              <w:t xml:space="preserve"> парламент</w:t>
            </w:r>
          </w:p>
          <w:p w14:paraId="110EFE4A" w14:textId="6EBD81BF" w:rsidR="00751A4A" w:rsidRPr="00EB07C0" w:rsidRDefault="005F1B17" w:rsidP="005F1B17">
            <w:pPr>
              <w:pStyle w:val="EPTerm"/>
              <w:rPr>
                <w:rStyle w:val="HideTWBExt"/>
                <w:noProof w:val="0"/>
                <w:vanish w:val="0"/>
                <w:color w:val="auto"/>
              </w:rPr>
            </w:pPr>
            <w:r w:rsidRPr="00EB07C0">
              <w:t>2024</w:t>
            </w:r>
            <w:r w:rsidR="007C6028">
              <w:t> – </w:t>
            </w:r>
            <w:r w:rsidR="00817416" w:rsidRPr="00EB07C0">
              <w:t>202</w:t>
            </w:r>
            <w:r w:rsidRPr="00EB07C0">
              <w:t>9</w:t>
            </w:r>
          </w:p>
        </w:tc>
        <w:tc>
          <w:tcPr>
            <w:tcW w:w="2268" w:type="dxa"/>
            <w:shd w:val="clear" w:color="auto" w:fill="auto"/>
          </w:tcPr>
          <w:p w14:paraId="073E19CE" w14:textId="77777777" w:rsidR="00751A4A" w:rsidRPr="00EB07C0" w:rsidRDefault="00187494" w:rsidP="0010095E">
            <w:pPr>
              <w:pStyle w:val="EPLogo"/>
            </w:pPr>
            <w:r w:rsidRPr="00EB07C0">
              <w:rPr>
                <w:noProof/>
                <w:lang w:eastAsia="ja-JP"/>
              </w:rPr>
              <w:drawing>
                <wp:inline distT="0" distB="0" distL="0" distR="0" wp14:anchorId="40D2EA30" wp14:editId="766F1BA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EEF6F56" w14:textId="77777777" w:rsidR="00D058B8" w:rsidRPr="00EB07C0" w:rsidRDefault="00D058B8" w:rsidP="004C5D52">
      <w:pPr>
        <w:pStyle w:val="LineTop"/>
      </w:pPr>
    </w:p>
    <w:p w14:paraId="628EE705" w14:textId="61C501A2" w:rsidR="00680577" w:rsidRPr="00EB07C0" w:rsidRDefault="008B24FC" w:rsidP="00680577">
      <w:pPr>
        <w:pStyle w:val="EPBodyTA1"/>
      </w:pPr>
      <w:r w:rsidRPr="00EB07C0">
        <w:t>ТЕКСТОВЕ</w:t>
      </w:r>
    </w:p>
    <w:p w14:paraId="1F418E2C" w14:textId="77777777" w:rsidR="00D058B8" w:rsidRPr="00EB07C0" w:rsidRDefault="00D058B8" w:rsidP="00D058B8">
      <w:pPr>
        <w:pStyle w:val="LineBottom"/>
      </w:pPr>
    </w:p>
    <w:p w14:paraId="39366F1B" w14:textId="2E0C9844" w:rsidR="008B24FC" w:rsidRPr="00EB07C0" w:rsidRDefault="008B24FC" w:rsidP="008B24FC">
      <w:pPr>
        <w:pStyle w:val="ATHeading1"/>
      </w:pPr>
      <w:bookmarkStart w:id="0" w:name="TANumber"/>
      <w:r w:rsidRPr="00EB07C0">
        <w:t>P10_TA(2026)0</w:t>
      </w:r>
      <w:r w:rsidR="000D44B8">
        <w:rPr>
          <w:lang w:val="en-GB"/>
        </w:rPr>
        <w:t>129</w:t>
      </w:r>
      <w:bookmarkEnd w:id="0"/>
    </w:p>
    <w:p w14:paraId="137D2B74" w14:textId="77777777" w:rsidR="008B24FC" w:rsidRPr="00EB07C0" w:rsidRDefault="008B24FC" w:rsidP="008B24FC">
      <w:pPr>
        <w:pStyle w:val="ATHeading2"/>
      </w:pPr>
      <w:bookmarkStart w:id="1" w:name="title"/>
      <w:r w:rsidRPr="00EB07C0">
        <w:t>Освобождаване от отговорност във връзка с изпълнението на бюджета за 2024 г.: Общ бюджет на ЕС - Сметна палата</w:t>
      </w:r>
      <w:bookmarkEnd w:id="1"/>
    </w:p>
    <w:p w14:paraId="5F83D3A8" w14:textId="77777777" w:rsidR="008B24FC" w:rsidRPr="00EB07C0" w:rsidRDefault="008B24FC" w:rsidP="008B24FC">
      <w:pPr>
        <w:rPr>
          <w:i/>
          <w:vanish/>
        </w:rPr>
      </w:pPr>
      <w:r w:rsidRPr="00EB07C0">
        <w:rPr>
          <w:i/>
        </w:rPr>
        <w:fldChar w:fldCharType="begin"/>
      </w:r>
      <w:r w:rsidRPr="00EB07C0">
        <w:rPr>
          <w:i/>
        </w:rPr>
        <w:instrText xml:space="preserve"> TC"(</w:instrText>
      </w:r>
      <w:bookmarkStart w:id="2" w:name="DocNumber"/>
      <w:r w:rsidRPr="00EB07C0">
        <w:rPr>
          <w:i/>
        </w:rPr>
        <w:instrText>A10-0052/2026</w:instrText>
      </w:r>
      <w:bookmarkEnd w:id="2"/>
      <w:r w:rsidRPr="00EB07C0">
        <w:rPr>
          <w:i/>
        </w:rPr>
        <w:instrText xml:space="preserve"> - Докладчик: Паскуале Тридико)"\l3 \n&gt; \* MERGEFORMAT </w:instrText>
      </w:r>
      <w:r w:rsidRPr="00EB07C0">
        <w:rPr>
          <w:i/>
        </w:rPr>
        <w:fldChar w:fldCharType="end"/>
      </w:r>
    </w:p>
    <w:p w14:paraId="56E34EB3" w14:textId="77777777" w:rsidR="008B24FC" w:rsidRPr="00EB07C0" w:rsidRDefault="008B24FC" w:rsidP="008B24FC">
      <w:pPr>
        <w:rPr>
          <w:vanish/>
        </w:rPr>
      </w:pPr>
      <w:bookmarkStart w:id="3" w:name="Commission"/>
      <w:r w:rsidRPr="00EB07C0">
        <w:rPr>
          <w:vanish/>
        </w:rPr>
        <w:t>Комисия по бюджетен контрол</w:t>
      </w:r>
      <w:bookmarkEnd w:id="3"/>
    </w:p>
    <w:p w14:paraId="66A29BD1" w14:textId="77777777" w:rsidR="008B24FC" w:rsidRPr="00EB07C0" w:rsidRDefault="008B24FC" w:rsidP="008B24FC">
      <w:pPr>
        <w:rPr>
          <w:vanish/>
        </w:rPr>
      </w:pPr>
      <w:bookmarkStart w:id="4" w:name="PE"/>
      <w:r w:rsidRPr="00EB07C0">
        <w:rPr>
          <w:vanish/>
        </w:rPr>
        <w:t>PE778.062</w:t>
      </w:r>
      <w:bookmarkEnd w:id="4"/>
    </w:p>
    <w:p w14:paraId="6A5917EF" w14:textId="1357A1C1" w:rsidR="008B24FC" w:rsidRPr="00EB07C0" w:rsidRDefault="00463268" w:rsidP="008B24FC">
      <w:pPr>
        <w:pStyle w:val="ATHeading3"/>
      </w:pPr>
      <w:bookmarkStart w:id="5" w:name="Sujet"/>
      <w:r>
        <w:t xml:space="preserve">1. </w:t>
      </w:r>
      <w:r w:rsidR="008B24FC" w:rsidRPr="00EB07C0">
        <w:t xml:space="preserve">Решение на Европейския парламент от </w:t>
      </w:r>
      <w:r w:rsidR="007C6028">
        <w:t>29 април</w:t>
      </w:r>
      <w:r w:rsidR="008B24FC" w:rsidRPr="00EB07C0">
        <w:t xml:space="preserve"> 2026 г. относно освобождаването от отговорност във връзка с изпълнението на общия бюджет на Европейския съюз за финансовата 2024 година, раздел V ‒ Сметна палата</w:t>
      </w:r>
      <w:bookmarkEnd w:id="5"/>
      <w:r w:rsidR="008B24FC" w:rsidRPr="00EB07C0">
        <w:t xml:space="preserve"> </w:t>
      </w:r>
      <w:bookmarkStart w:id="6" w:name="References"/>
      <w:r w:rsidR="008B24FC" w:rsidRPr="00EB07C0">
        <w:t>(2025/2149(DEC))</w:t>
      </w:r>
      <w:bookmarkEnd w:id="6"/>
    </w:p>
    <w:p w14:paraId="31487CED" w14:textId="77777777" w:rsidR="003F6D3E" w:rsidRPr="00EB07C0" w:rsidRDefault="003F6D3E" w:rsidP="003F6D3E">
      <w:pPr>
        <w:pStyle w:val="EPComma"/>
        <w:widowControl/>
      </w:pPr>
      <w:bookmarkStart w:id="7" w:name="TextBodyBegin"/>
      <w:bookmarkEnd w:id="7"/>
      <w:r w:rsidRPr="00EB07C0">
        <w:rPr>
          <w:i/>
        </w:rPr>
        <w:t>Европейският парламент</w:t>
      </w:r>
      <w:r w:rsidRPr="00EB07C0">
        <w:t>,</w:t>
      </w:r>
    </w:p>
    <w:p w14:paraId="44ED6E35" w14:textId="77777777" w:rsidR="003F6D3E" w:rsidRPr="00EB07C0" w:rsidRDefault="003F6D3E" w:rsidP="003F6D3E">
      <w:pPr>
        <w:pStyle w:val="NormalHanging12a"/>
        <w:widowControl/>
      </w:pPr>
      <w:r w:rsidRPr="00EB07C0">
        <w:t>—</w:t>
      </w:r>
      <w:r w:rsidRPr="00EB07C0">
        <w:tab/>
        <w:t>като взе предвид общия бюджет на Европейския съюз за финансовата 2024 година</w:t>
      </w:r>
      <w:r w:rsidRPr="00EB07C0">
        <w:rPr>
          <w:rStyle w:val="FootnoteReference"/>
        </w:rPr>
        <w:footnoteReference w:id="1"/>
      </w:r>
      <w:r w:rsidRPr="00EB07C0">
        <w:t>,</w:t>
      </w:r>
    </w:p>
    <w:p w14:paraId="63A9C67C" w14:textId="77777777" w:rsidR="003F6D3E" w:rsidRPr="00EB07C0" w:rsidRDefault="003F6D3E" w:rsidP="003F6D3E">
      <w:pPr>
        <w:pStyle w:val="NormalHanging12a"/>
        <w:widowControl/>
      </w:pPr>
      <w:r w:rsidRPr="00EB07C0">
        <w:t>—</w:t>
      </w:r>
      <w:r w:rsidRPr="00EB07C0">
        <w:tab/>
        <w:t>като взе предвид консолидираните годишни отчети на Европейския съюз за финансовата 2024 година (COM(2025)0359 – C10</w:t>
      </w:r>
      <w:r w:rsidRPr="00EB07C0">
        <w:noBreakHyphen/>
        <w:t>0149/2025)</w:t>
      </w:r>
      <w:r w:rsidRPr="00EB07C0">
        <w:rPr>
          <w:rStyle w:val="FootnoteReference"/>
        </w:rPr>
        <w:footnoteReference w:id="2"/>
      </w:r>
      <w:r w:rsidRPr="00EB07C0">
        <w:t>,</w:t>
      </w:r>
    </w:p>
    <w:p w14:paraId="03307E15" w14:textId="77777777" w:rsidR="003F6D3E" w:rsidRPr="00EB07C0" w:rsidRDefault="003F6D3E" w:rsidP="003F6D3E">
      <w:pPr>
        <w:pStyle w:val="NormalHanging12a"/>
        <w:widowControl/>
      </w:pPr>
      <w:r w:rsidRPr="00EB07C0">
        <w:t>—</w:t>
      </w:r>
      <w:r w:rsidRPr="00EB07C0">
        <w:tab/>
        <w:t>като взе предвид годишния доклад на Сметната палата пред органа по освобождаване от отговорност относно вътрешните одити, осъществени през 2024 г.,</w:t>
      </w:r>
    </w:p>
    <w:p w14:paraId="7661A8D8" w14:textId="77777777" w:rsidR="003F6D3E" w:rsidRPr="00EB07C0" w:rsidRDefault="003F6D3E" w:rsidP="003F6D3E">
      <w:pPr>
        <w:pStyle w:val="NormalHanging12a"/>
        <w:widowControl/>
      </w:pPr>
      <w:r w:rsidRPr="00EB07C0">
        <w:t>—</w:t>
      </w:r>
      <w:r w:rsidRPr="00EB07C0">
        <w:tab/>
        <w:t>като взе предвид годишния доклад на Сметната палата относно изпълнението на бюджета за финансовата 2024 година, придружен от отговорите на институциите</w:t>
      </w:r>
      <w:r w:rsidRPr="00EB07C0">
        <w:rPr>
          <w:rStyle w:val="FootnoteReference"/>
        </w:rPr>
        <w:footnoteReference w:id="3"/>
      </w:r>
      <w:r w:rsidRPr="00EB07C0">
        <w:t>,</w:t>
      </w:r>
    </w:p>
    <w:p w14:paraId="1B974FAC" w14:textId="77777777" w:rsidR="003F6D3E" w:rsidRPr="00EB07C0" w:rsidRDefault="003F6D3E" w:rsidP="003F6D3E">
      <w:pPr>
        <w:pStyle w:val="NormalHanging12a"/>
        <w:widowControl/>
      </w:pPr>
      <w:r w:rsidRPr="00EB07C0">
        <w:t>—</w:t>
      </w:r>
      <w:r w:rsidRPr="00EB07C0">
        <w:tab/>
        <w:t>като взе предвид декларацията за достоверност</w:t>
      </w:r>
      <w:r w:rsidRPr="00EB07C0">
        <w:rPr>
          <w:rStyle w:val="FootnoteReference"/>
        </w:rPr>
        <w:footnoteReference w:id="4"/>
      </w:r>
      <w:r w:rsidRPr="00EB07C0">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2024 година в съответствие с член 287 от Договора за функционирането на Европейския съюз,</w:t>
      </w:r>
    </w:p>
    <w:p w14:paraId="16D844F1" w14:textId="77777777" w:rsidR="003F6D3E" w:rsidRPr="00EB07C0" w:rsidRDefault="003F6D3E" w:rsidP="003F6D3E">
      <w:pPr>
        <w:pStyle w:val="NormalHanging12a"/>
        <w:widowControl/>
      </w:pPr>
      <w:r w:rsidRPr="00EB07C0">
        <w:t>—</w:t>
      </w:r>
      <w:r w:rsidRPr="00EB07C0">
        <w:tab/>
        <w:t>като взе предвид член 314, параграф 10 и членове 317, 318 и 319 от Договора за функционирането на Европейския съюз,</w:t>
      </w:r>
    </w:p>
    <w:p w14:paraId="01D981A9" w14:textId="77777777" w:rsidR="003F6D3E" w:rsidRPr="00EB07C0" w:rsidRDefault="003F6D3E" w:rsidP="003F6D3E">
      <w:pPr>
        <w:pStyle w:val="NormalHanging12a"/>
        <w:widowControl/>
      </w:pPr>
      <w:r w:rsidRPr="00EB07C0">
        <w:t>—</w:t>
      </w:r>
      <w:r w:rsidRPr="00EB07C0">
        <w:tab/>
        <w:t xml:space="preserve">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w:t>
      </w:r>
      <w:r w:rsidRPr="00EB07C0">
        <w:lastRenderedPageBreak/>
        <w:t>за отмяна на Регламент (ЕС, Евратом) № 966/2012</w:t>
      </w:r>
      <w:r w:rsidRPr="00EB07C0">
        <w:rPr>
          <w:rStyle w:val="FootnoteReference"/>
        </w:rPr>
        <w:footnoteReference w:id="5"/>
      </w:r>
      <w:r w:rsidRPr="00EB07C0">
        <w:t>, и по-специално членове 59, 118, 260, 261 и 262 от него,</w:t>
      </w:r>
    </w:p>
    <w:p w14:paraId="104FD50A" w14:textId="77777777" w:rsidR="003F6D3E" w:rsidRPr="00EB07C0" w:rsidRDefault="003F6D3E" w:rsidP="003F6D3E">
      <w:pPr>
        <w:pStyle w:val="NormalHanging12a"/>
        <w:widowControl/>
      </w:pPr>
      <w:r w:rsidRPr="00EB07C0">
        <w:t>—</w:t>
      </w:r>
      <w:r w:rsidRPr="00EB07C0">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EB07C0">
        <w:rPr>
          <w:rStyle w:val="FootnoteReference"/>
        </w:rPr>
        <w:footnoteReference w:id="6"/>
      </w:r>
      <w:r w:rsidRPr="00EB07C0">
        <w:t>, и по-специално членове 59, 118, 266, 267 и 268 от него,</w:t>
      </w:r>
    </w:p>
    <w:p w14:paraId="61AC8D4A" w14:textId="77777777" w:rsidR="003F6D3E" w:rsidRPr="00EB07C0" w:rsidRDefault="003F6D3E" w:rsidP="003F6D3E">
      <w:pPr>
        <w:pStyle w:val="NormalHanging12a"/>
        <w:widowControl/>
      </w:pPr>
      <w:r w:rsidRPr="00EB07C0">
        <w:t>—</w:t>
      </w:r>
      <w:r w:rsidRPr="00EB07C0">
        <w:tab/>
        <w:t>като взе предвид член 102 и приложение V към своя Правилник за дейността,</w:t>
      </w:r>
    </w:p>
    <w:p w14:paraId="33B54A9E" w14:textId="77777777" w:rsidR="003F6D3E" w:rsidRPr="00EB07C0" w:rsidRDefault="003F6D3E" w:rsidP="003F6D3E">
      <w:pPr>
        <w:pStyle w:val="NormalHanging12a"/>
        <w:widowControl/>
      </w:pPr>
      <w:r w:rsidRPr="00EB07C0">
        <w:t>—</w:t>
      </w:r>
      <w:r w:rsidRPr="00EB07C0">
        <w:tab/>
        <w:t>като взе предвид доклада на комисията по бюджетен контрол (A10-0052/2026),</w:t>
      </w:r>
    </w:p>
    <w:p w14:paraId="4CFC571B" w14:textId="77777777" w:rsidR="003F6D3E" w:rsidRPr="00EB07C0" w:rsidRDefault="003F6D3E" w:rsidP="003F6D3E">
      <w:pPr>
        <w:pStyle w:val="NormalHanging12a"/>
        <w:widowControl/>
      </w:pPr>
      <w:r w:rsidRPr="00EB07C0">
        <w:t>1.</w:t>
      </w:r>
      <w:r w:rsidRPr="00EB07C0">
        <w:tab/>
        <w:t>освобождава от отговорност генералния секретар на Сметната палата във връзка с изпълнението на бюджета на Сметната палата за финансовата 2024 година;</w:t>
      </w:r>
    </w:p>
    <w:p w14:paraId="07A67A22" w14:textId="77777777" w:rsidR="003F6D3E" w:rsidRPr="00EB07C0" w:rsidRDefault="003F6D3E" w:rsidP="003F6D3E">
      <w:pPr>
        <w:pStyle w:val="NormalHanging12a"/>
        <w:widowControl/>
      </w:pPr>
      <w:r w:rsidRPr="00EB07C0">
        <w:t>2.</w:t>
      </w:r>
      <w:r w:rsidRPr="00EB07C0">
        <w:tab/>
        <w:t>представя своите забележки в резолюцията по-долу;</w:t>
      </w:r>
    </w:p>
    <w:p w14:paraId="18A81D3B" w14:textId="77777777" w:rsidR="003F6D3E" w:rsidRPr="00EB07C0" w:rsidRDefault="003F6D3E" w:rsidP="003F6D3E">
      <w:pPr>
        <w:pStyle w:val="NormalHanging12a"/>
        <w:widowControl/>
      </w:pPr>
      <w:r w:rsidRPr="00EB07C0">
        <w:t>3.</w:t>
      </w:r>
      <w:r w:rsidRPr="00EB07C0">
        <w:tab/>
        <w:t xml:space="preserve">възлага на своя председател да предаде настоящото решение, както и резолюцията, която е неразделна част от него, на Съвета, на Комисията и на Сметната палата и да осигури публикуването им в </w:t>
      </w:r>
      <w:r w:rsidRPr="00EB07C0">
        <w:rPr>
          <w:i/>
        </w:rPr>
        <w:t>Официален вестник на Европейския съюз</w:t>
      </w:r>
      <w:r w:rsidRPr="00EB07C0">
        <w:t xml:space="preserve"> (серия L).</w:t>
      </w:r>
    </w:p>
    <w:p w14:paraId="047620BA" w14:textId="77777777" w:rsidR="003F6D3E" w:rsidRPr="00EB07C0" w:rsidRDefault="003F6D3E" w:rsidP="003F6D3E">
      <w:pPr>
        <w:widowControl/>
      </w:pPr>
    </w:p>
    <w:p w14:paraId="42D22D34" w14:textId="77777777" w:rsidR="003F6D3E" w:rsidRPr="00EB07C0" w:rsidRDefault="003F6D3E" w:rsidP="003F6D3E">
      <w:pPr>
        <w:pStyle w:val="PageHeading"/>
        <w:widowControl/>
        <w:sectPr w:rsidR="003F6D3E" w:rsidRPr="00EB07C0" w:rsidSect="00EB07C0">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C1E0BDB" w14:textId="32592FEA" w:rsidR="00463268" w:rsidRDefault="00463268" w:rsidP="00463268">
      <w:pPr>
        <w:pStyle w:val="ATHeading3"/>
      </w:pPr>
      <w:r>
        <w:lastRenderedPageBreak/>
        <w:t>2. Резолюция на Европейския парламент от 29 април 2026 г., съдържаща забележки</w:t>
      </w:r>
      <w:r w:rsidR="00EE4448">
        <w:t>те</w:t>
      </w:r>
      <w:r>
        <w:t>, които са неразделна част от решението за освобождаване от отговорност във връзка с изпълнението на общия бюджет на Европейския съюз за финансовата 2024 година, раздел V – Сметна палата (2025/2149(DEC))</w:t>
      </w:r>
    </w:p>
    <w:p w14:paraId="42F830B7" w14:textId="77777777" w:rsidR="003F6D3E" w:rsidRPr="00EB07C0" w:rsidRDefault="003F6D3E" w:rsidP="003F6D3E">
      <w:pPr>
        <w:pStyle w:val="EPComma"/>
        <w:widowControl/>
      </w:pPr>
      <w:r w:rsidRPr="00EB07C0">
        <w:rPr>
          <w:i/>
        </w:rPr>
        <w:t>Европейският парламент</w:t>
      </w:r>
      <w:r w:rsidRPr="00EB07C0">
        <w:t>,</w:t>
      </w:r>
    </w:p>
    <w:p w14:paraId="4671A47D" w14:textId="77777777" w:rsidR="003F6D3E" w:rsidRPr="00EB07C0" w:rsidRDefault="003F6D3E" w:rsidP="003F6D3E">
      <w:pPr>
        <w:pStyle w:val="NormalHanging12a"/>
        <w:widowControl/>
      </w:pPr>
      <w:r w:rsidRPr="00EB07C0">
        <w:t>—</w:t>
      </w:r>
      <w:r w:rsidRPr="00EB07C0">
        <w:tab/>
        <w:t>като взе предвид своето решение за освобождаване от отговорност във връзка с изпълнението на общия бюджет на Европейския съюз за финансовата 2024 година, раздел V — Сметна палата,</w:t>
      </w:r>
    </w:p>
    <w:p w14:paraId="10C0183E" w14:textId="77777777" w:rsidR="003F6D3E" w:rsidRPr="00EB07C0" w:rsidRDefault="003F6D3E" w:rsidP="003F6D3E">
      <w:pPr>
        <w:pStyle w:val="NormalHanging12a"/>
        <w:widowControl/>
      </w:pPr>
      <w:r w:rsidRPr="00EB07C0">
        <w:t>—</w:t>
      </w:r>
      <w:r w:rsidRPr="00EB07C0">
        <w:tab/>
        <w:t>като взе предвид член 102 и приложение V към своя Правилник за дейността,</w:t>
      </w:r>
    </w:p>
    <w:p w14:paraId="346ECB48" w14:textId="77777777" w:rsidR="003F6D3E" w:rsidRPr="00EB07C0" w:rsidRDefault="003F6D3E" w:rsidP="003F6D3E">
      <w:pPr>
        <w:pStyle w:val="NormalHanging12a"/>
        <w:widowControl/>
      </w:pPr>
      <w:r w:rsidRPr="00EB07C0">
        <w:t>—</w:t>
      </w:r>
      <w:r w:rsidRPr="00EB07C0">
        <w:tab/>
        <w:t>като взе предвид доклада на комисията по бюджетен контрол (A10-0052/2026),</w:t>
      </w:r>
    </w:p>
    <w:p w14:paraId="19794AF2" w14:textId="77777777" w:rsidR="003F6D3E" w:rsidRPr="00EB07C0" w:rsidRDefault="003F6D3E" w:rsidP="003F6D3E">
      <w:pPr>
        <w:pStyle w:val="NormalHanging12a"/>
        <w:widowControl/>
        <w:ind w:left="570"/>
        <w:rPr>
          <w:szCs w:val="24"/>
        </w:rPr>
      </w:pPr>
      <w:r w:rsidRPr="00EB07C0">
        <w:t>А.</w:t>
      </w:r>
      <w:r w:rsidRPr="00EB07C0">
        <w:tab/>
        <w:t>като има предвид, че в контекста на процедурата по освобождаване от отговорност органът по освобождаване от отговорност желае да подчертае особеното значение на по-нататъшното укрепване на демократичната легитимност на институциите на Съюза чрез повишаване на прозрачността и отчетността и прилагане на концепцията за бюджетиране, основано на изпълнението, и добро управление на човешките ресурси;</w:t>
      </w:r>
    </w:p>
    <w:p w14:paraId="5D3CEBD2" w14:textId="77777777" w:rsidR="003F6D3E" w:rsidRPr="00EB07C0" w:rsidRDefault="003F6D3E" w:rsidP="003F6D3E">
      <w:pPr>
        <w:pStyle w:val="NormalHanging12a"/>
        <w:widowControl/>
        <w:rPr>
          <w:szCs w:val="24"/>
        </w:rPr>
      </w:pPr>
      <w:r w:rsidRPr="00EB07C0">
        <w:t>Б.</w:t>
      </w:r>
      <w:r w:rsidRPr="00EB07C0">
        <w:tab/>
        <w:t>като има предвид, че Сметната палата („Палатата“) е външният одитор на Съюза, на който е поверена задачата чрез независима, професионална и имаща въздействие одитна дейност да оценява икономичността, ефективността, ефикасността, законосъобразността и редовността на действията на Съюза за подобряване на отчетността, прозрачността и финансовото управление, като по този начин се повишава доверието на гражданите и се реагира ефективно на настоящите и бъдещите предизвикателства пред Съюза;</w:t>
      </w:r>
    </w:p>
    <w:p w14:paraId="052FC331" w14:textId="77777777" w:rsidR="003F6D3E" w:rsidRPr="00EB07C0" w:rsidRDefault="003F6D3E" w:rsidP="003F6D3E">
      <w:pPr>
        <w:pStyle w:val="NormalHanging12a"/>
        <w:widowControl/>
        <w:rPr>
          <w:szCs w:val="24"/>
        </w:rPr>
      </w:pPr>
      <w:r w:rsidRPr="00EB07C0">
        <w:t>В.</w:t>
      </w:r>
      <w:r w:rsidRPr="00EB07C0">
        <w:tab/>
        <w:t xml:space="preserve">като има предвид, че без да се засягат членове 287 и 319 от Договора за функционирането на Европейския съюз (ДФЕС), всяка година след приключването на финансовата 1987 година отчетите на Палатата за приходите и разходите се одитират от независим външен одитор и че от доклада за финансовата 1992 година докладите на външния одитор се публикуват в </w:t>
      </w:r>
      <w:r w:rsidRPr="00EB07C0">
        <w:rPr>
          <w:i/>
        </w:rPr>
        <w:t>Официален вестник на Европейския съюз</w:t>
      </w:r>
      <w:r w:rsidRPr="00EB07C0">
        <w:t>;</w:t>
      </w:r>
    </w:p>
    <w:p w14:paraId="145FD17F" w14:textId="77777777" w:rsidR="003F6D3E" w:rsidRPr="00EB07C0" w:rsidRDefault="003F6D3E" w:rsidP="003F6D3E">
      <w:pPr>
        <w:pStyle w:val="NormalHanging12a"/>
        <w:widowControl/>
        <w:rPr>
          <w:szCs w:val="24"/>
        </w:rPr>
      </w:pPr>
      <w:r w:rsidRPr="00EB07C0">
        <w:t>Г.</w:t>
      </w:r>
      <w:r w:rsidRPr="00EB07C0">
        <w:tab/>
        <w:t>като има предвид, че управленската отчетност пред бюджетните органи се осигурява чрез годишния отчет за дейността на генералния секретар на Палатата, чиято цел, в съответствие с член 74, параграф 9 от Финансовия регламент, е да предоставя информация относно управлението на ресурсите, включително системите, и относно ефикасността и ефективността на системите за вътрешен контрол на Палатата;</w:t>
      </w:r>
    </w:p>
    <w:p w14:paraId="3AF4AC6F" w14:textId="77777777" w:rsidR="003F6D3E" w:rsidRPr="00EB07C0" w:rsidRDefault="003F6D3E" w:rsidP="003F6D3E">
      <w:pPr>
        <w:pStyle w:val="NormalHanging12a"/>
        <w:widowControl/>
        <w:rPr>
          <w:szCs w:val="24"/>
        </w:rPr>
      </w:pPr>
      <w:r w:rsidRPr="00EB07C0">
        <w:t>Д.</w:t>
      </w:r>
      <w:r w:rsidRPr="00EB07C0">
        <w:tab/>
        <w:t>като има предвид, че като изпълнява задачите си прозрачно и независимо, Палатата допринася за демократичния контрол, обществения дебат и доброто финансово управление на Съюза;</w:t>
      </w:r>
    </w:p>
    <w:p w14:paraId="5787FA1C" w14:textId="77777777" w:rsidR="003F6D3E" w:rsidRPr="00EB07C0" w:rsidRDefault="003F6D3E" w:rsidP="003F6D3E">
      <w:pPr>
        <w:pStyle w:val="NormalHanging12a"/>
        <w:widowControl/>
        <w:rPr>
          <w:szCs w:val="24"/>
        </w:rPr>
      </w:pPr>
      <w:r w:rsidRPr="00EB07C0">
        <w:t>Е.</w:t>
      </w:r>
      <w:r w:rsidRPr="00EB07C0">
        <w:tab/>
        <w:t xml:space="preserve">като има предвид, че съгласно позицията на Палатата, за да се оценят управлението на Съюза, неговата отчетност и прозрачност, както и качеството и надеждността на докладваните информация и данни относно прилагането на </w:t>
      </w:r>
      <w:r w:rsidRPr="00EB07C0">
        <w:lastRenderedPageBreak/>
        <w:t>политиките на Съюза, най-доброто решение е на Палатата да бъде възложено да извършва одит на всички институции, органи, служби и агенции на Съюза, създадени с Договорите или съгласно тях, и на всички междуправителствени структури от основно значение за функционирането на Съюза; като има предвид, че Парламентът решително подкрепя Палатата и ще приветства инициативи, които могат да увеличат способността на Палатата да изпълнява своя мандат;</w:t>
      </w:r>
    </w:p>
    <w:p w14:paraId="1692F192" w14:textId="77777777" w:rsidR="003F6D3E" w:rsidRPr="00EB07C0" w:rsidRDefault="003F6D3E" w:rsidP="003F6D3E">
      <w:pPr>
        <w:pStyle w:val="NormalHanging12a"/>
        <w:widowControl/>
        <w:rPr>
          <w:szCs w:val="24"/>
        </w:rPr>
      </w:pPr>
      <w:r w:rsidRPr="00EB07C0">
        <w:t>1.</w:t>
      </w:r>
      <w:r w:rsidRPr="00EB07C0">
        <w:tab/>
        <w:t>отбелязва, че бюджетът на Палатата попада в обхвата на функция 7 „Европейска публична администрация“ от многогодишната финансова рамка (МФР), която през 2024 г. възлиза на 13,3 милиарда евро (представляващи 6,9% от общия бюджет на Съюза); отбелязва, че бюджетът на Палатата в размер на приблизително 0,2 милиарда евро представлява приблизително 1,5% от общите административни разходи на Съюза;</w:t>
      </w:r>
    </w:p>
    <w:p w14:paraId="1E4A2903" w14:textId="77777777" w:rsidR="003F6D3E" w:rsidRPr="00EB07C0" w:rsidRDefault="003F6D3E" w:rsidP="003F6D3E">
      <w:pPr>
        <w:pStyle w:val="NormalHanging12a"/>
        <w:widowControl/>
        <w:rPr>
          <w:szCs w:val="24"/>
        </w:rPr>
      </w:pPr>
      <w:r w:rsidRPr="00EB07C0">
        <w:t>2.</w:t>
      </w:r>
      <w:r w:rsidRPr="00EB07C0">
        <w:tab/>
        <w:t>отбелязва, че в своя годишен доклад за финансовата 2024 година („доклада на Палатата“) Палатата посочва, че е проверила извадка от 70 операции в обхвата на функция „Администрация“, което е същият брой проверени операции, както през 2023 г.; отбелязва, че Палатата посочва освен това, че административните разходи включват разходи за човешки ресурси, в т.ч. разходи за пенсии, които през 2024 г. представляват приблизително 69% от общия размер на административните разходи, и разходи за сгради, оборудване, енергия, комуникации и информационни технологии (ИТ), и че дългогодишната ѝ работа показва, че разходите в тази област като цяло се характеризират с ниско ниво на риск;</w:t>
      </w:r>
    </w:p>
    <w:p w14:paraId="1E1409B2" w14:textId="77777777" w:rsidR="003F6D3E" w:rsidRPr="00EB07C0" w:rsidRDefault="003F6D3E" w:rsidP="003F6D3E">
      <w:pPr>
        <w:pStyle w:val="NormalHanging12a"/>
        <w:widowControl/>
        <w:rPr>
          <w:szCs w:val="24"/>
        </w:rPr>
      </w:pPr>
      <w:r w:rsidRPr="00EB07C0">
        <w:t>3.</w:t>
      </w:r>
      <w:r w:rsidRPr="00EB07C0">
        <w:tab/>
        <w:t xml:space="preserve">отбелязва, че 16 (23%) от 70-те проверени операции съдържат грешки, но че въз основа на трите </w:t>
      </w:r>
      <w:proofErr w:type="spellStart"/>
      <w:r w:rsidRPr="00EB07C0">
        <w:t>остойностени</w:t>
      </w:r>
      <w:proofErr w:type="spellEnd"/>
      <w:r w:rsidRPr="00EB07C0">
        <w:t xml:space="preserve"> грешки Палатата заключава, че изчисленият процент грешки е под прага на същественост;</w:t>
      </w:r>
    </w:p>
    <w:p w14:paraId="01C4AE96" w14:textId="77777777" w:rsidR="003F6D3E" w:rsidRPr="00EB07C0" w:rsidRDefault="003F6D3E" w:rsidP="003F6D3E">
      <w:pPr>
        <w:pStyle w:val="NormalHanging12a"/>
        <w:widowControl/>
        <w:rPr>
          <w:szCs w:val="24"/>
        </w:rPr>
      </w:pPr>
      <w:r w:rsidRPr="00EB07C0">
        <w:t>4.</w:t>
      </w:r>
      <w:r w:rsidRPr="00EB07C0">
        <w:tab/>
        <w:t>отбелязва, че финансовите отчети на Палатата се проверяват от независим външен одитор с цел да се осигури прилагането на същите принципи на прозрачност, отчетност и независимост като прилаганите от Палатата спрямо одитираните от нея субекти;</w:t>
      </w:r>
    </w:p>
    <w:p w14:paraId="716A5774" w14:textId="77777777" w:rsidR="003F6D3E" w:rsidRPr="00EB07C0" w:rsidRDefault="003F6D3E" w:rsidP="003F6D3E">
      <w:pPr>
        <w:pStyle w:val="NormalHanging12a"/>
        <w:widowControl/>
        <w:rPr>
          <w:szCs w:val="24"/>
        </w:rPr>
      </w:pPr>
      <w:r w:rsidRPr="00EB07C0">
        <w:t>5.</w:t>
      </w:r>
      <w:r w:rsidRPr="00EB07C0">
        <w:tab/>
        <w:t>приветства Специален доклад 24/2024 на Палатата и нейните констатации и препоръки относно рамката за заетост на публичната администрация на Съюза; припомня, че счита за важно да се провежда по-задълбочено разследване на административните разходи и повтаря призива си за включване в неговата работа на изчерпателни данни за всички институции, за да се осигури съгласувана основа за последователна процедура по освобождаване от отговорност във връзка с изпълнението на бюджета; приканва Палатата да информира редовно органа по освобождаване от отговорност за всички инициативи по този въпрос;</w:t>
      </w:r>
    </w:p>
    <w:p w14:paraId="17A9E85E" w14:textId="77777777" w:rsidR="003F6D3E" w:rsidRPr="00EB07C0" w:rsidRDefault="003F6D3E" w:rsidP="003F6D3E">
      <w:pPr>
        <w:pStyle w:val="NormalHanging12a"/>
        <w:widowControl/>
        <w:rPr>
          <w:bCs/>
          <w:iCs/>
          <w:szCs w:val="24"/>
        </w:rPr>
      </w:pPr>
      <w:r w:rsidRPr="00EB07C0">
        <w:t>6.</w:t>
      </w:r>
      <w:r w:rsidRPr="00EB07C0">
        <w:tab/>
        <w:t xml:space="preserve">отбелязва съобщението на Палатата от 1 октомври 2025 г. относно въвеждането на преразгледан одитен подход за съвместните предприятия, считано от финансовата 2025 година; отбелязва, че тази промяна беше предизвикана, наред с другото, от ограничения капацитет на човешките ресурси и от прекратяването на одитите на съвместните предприятия по линия на „Хоризонт Европа“ от страна на службата за вътрешен одит на Комисията, която преди това одитираше съвместните предприятия, като по този начин беше намалено наличието на допълнителна одитна увереност; отбелязва освен това, че новият подход предвижда подходящ размер на одитната извадка, консолидиране на одитната </w:t>
      </w:r>
      <w:r w:rsidRPr="00EB07C0">
        <w:lastRenderedPageBreak/>
        <w:t>дейност за всички съвместни предприятия и изготвянето на две отделни декларации за достоверност, подкрепени от допълнителни тематични и специални доклади; призовава Палатата да гарантира, че преразгледаната методика се прилага своевременно и че тя продължава да отговаря на най-високите стандарти за качество, надеждност и достоверност на одита с цел защита на финансовите интереси на Съюза;</w:t>
      </w:r>
    </w:p>
    <w:p w14:paraId="6C4425DA" w14:textId="77777777" w:rsidR="003F6D3E" w:rsidRPr="00EB07C0" w:rsidRDefault="003F6D3E" w:rsidP="003F6D3E">
      <w:pPr>
        <w:pStyle w:val="NormalHanging12a"/>
        <w:widowControl/>
        <w:rPr>
          <w:b/>
          <w:i/>
          <w:iCs/>
          <w:szCs w:val="24"/>
        </w:rPr>
      </w:pPr>
      <w:r w:rsidRPr="00EB07C0">
        <w:rPr>
          <w:b/>
          <w:i/>
        </w:rPr>
        <w:t>Бюджетно и финансово управление</w:t>
      </w:r>
    </w:p>
    <w:p w14:paraId="0D6D15E2" w14:textId="77777777" w:rsidR="003F6D3E" w:rsidRPr="00EB07C0" w:rsidRDefault="003F6D3E" w:rsidP="003F6D3E">
      <w:pPr>
        <w:pStyle w:val="NormalHanging12a"/>
        <w:widowControl/>
        <w:rPr>
          <w:szCs w:val="24"/>
        </w:rPr>
      </w:pPr>
      <w:r w:rsidRPr="00EB07C0">
        <w:t>7.</w:t>
      </w:r>
      <w:r w:rsidRPr="00EB07C0">
        <w:tab/>
        <w:t>отбелязва, че общият бюджет (бюджетни кредити C1) на Палатата за 2024 г. възлиза на 185 655 890 EUR, което се равнява на увеличение с 6,05% спрямо предоставените ѝ през 2023 г. 175 059 922 EUR; отбелязва, че увеличението се дължи предимно на корекциите на заплатите; отбелязва, че за 2024 г. 89,50% от бюджетните кредити (което е увеличение спрямо 88,50% през 2023 г.) са за членовете и служителите на Палатата, а 10,50% — за сгради, оборудване и други разходи (което е намаление спрямо 11,60% през 2023 г.);</w:t>
      </w:r>
    </w:p>
    <w:p w14:paraId="2CED31FB" w14:textId="77777777" w:rsidR="003F6D3E" w:rsidRPr="00EB07C0" w:rsidRDefault="003F6D3E" w:rsidP="003F6D3E">
      <w:pPr>
        <w:pStyle w:val="NormalHanging12a"/>
        <w:widowControl/>
        <w:rPr>
          <w:szCs w:val="24"/>
        </w:rPr>
      </w:pPr>
      <w:r w:rsidRPr="00EB07C0">
        <w:t>8.</w:t>
      </w:r>
      <w:r w:rsidRPr="00EB07C0">
        <w:tab/>
        <w:t>отбелязва, че степента на изпълнение на поетите задължения и плащанията през 2024 г. е все така висока, почти същата като тази през 2023 г., като степента на усвояване на бюджетните кредити е 97,30%, а плащанията представляват 94,81% от общия размер на поетите задължения през 2024 г.; отбелязва увеличение на отменените бюджетни кредити в края на годината от приблизително 3,4 милиона евро през 2023 г. на 4,4 милиона евро през 2024 г.; приветства Палатата за това, че през 2024 г. запази под 11 дни средния срок за плащане на фактури; насърчава Палатата да поддържа строга дисциплина по отношение на разходите, да продължи да дава приоритет на оперативната ефективност и допълнително да намали анулирането на бюджетни кредити в края на годината, като по този начин повиши ефективността, включително икономическата ефективност, на своите бюджетни кредити;</w:t>
      </w:r>
    </w:p>
    <w:p w14:paraId="22A32A79" w14:textId="77777777" w:rsidR="003F6D3E" w:rsidRPr="00EB07C0" w:rsidRDefault="003F6D3E" w:rsidP="003F6D3E">
      <w:pPr>
        <w:pStyle w:val="NormalHanging12a"/>
        <w:widowControl/>
        <w:rPr>
          <w:szCs w:val="24"/>
        </w:rPr>
      </w:pPr>
      <w:r w:rsidRPr="00EB07C0">
        <w:t>9.</w:t>
      </w:r>
      <w:r w:rsidRPr="00EB07C0">
        <w:tab/>
        <w:t>отбелязва бюджетните прегледи, които Палатата извършва редовно през годината и които през 2024 г. доведоха до 29 бюджетни трансфера на обща стойност приблизително 4,5 милиона евро, което представлява намаление спрямо приблизително 5,7 милиона евро през 2023 г.; отбелязва, че тези трансфери бяха необходими за подсилване на бюджетните редове, свързани, наред с другото, с ИТ проекти (+ 20,28%), оборудване на помещения (+ 560,18%) и техническо оборудване и инсталации (73,53%); отбелязва, че според отговорите на Палатата на въпросника, представен от комисията по бюджетен контрол с оглед на процедурата по освобождаване от отговорност във връзка с изпълнението на бюджета за 2024 г. („въпросника“), преразпределенията са наложени също така от по-високото от предвиденото в бюджета равнище на инфлация и произтичащите от това ценови индексации, засягащи нови и съществуващи договори;</w:t>
      </w:r>
    </w:p>
    <w:p w14:paraId="68A137F3" w14:textId="77777777" w:rsidR="003F6D3E" w:rsidRPr="00EB07C0" w:rsidRDefault="003F6D3E" w:rsidP="003F6D3E">
      <w:pPr>
        <w:pStyle w:val="NormalHanging12a"/>
        <w:widowControl/>
        <w:rPr>
          <w:szCs w:val="24"/>
        </w:rPr>
      </w:pPr>
      <w:r w:rsidRPr="00EB07C0">
        <w:t>10.</w:t>
      </w:r>
      <w:r w:rsidRPr="00EB07C0">
        <w:tab/>
        <w:t xml:space="preserve">отбелязва въз основа на въпросника, че за Палатата въздействието на незаконната агресивна война на Русия срещу Украйна през 2024 г. е намерило израз в обусловено от инфлацията увеличение на разходите за стоки, услуги и логистика; приветства мерките на Палатата за противодействие на това въздействие чрез извършване на по-подробни анализи преди започването на процедурите за възлагане на обществени поръчки, за да се осигурят реалистично планиране и ефективно възлагане на обществени поръчки; отбелязва освен това със задоволство значителния спад на разходите на Палатата за потребление на </w:t>
      </w:r>
      <w:r w:rsidRPr="00EB07C0">
        <w:lastRenderedPageBreak/>
        <w:t>енергия (бюджетна позиция 2 0 2 4) от 1 556 671 EUR през 2023 г. на 887 827 EUR през 2024 г., главно поради намаление на фиксираната цена на електроенергията, в съответствие с междуинституционалния договор със съответния доставчик; признава необходимостта всички институции на Съюза да подобрят своето бюджетно управление, включително като вземат предвид нестабилността на цените, особено в енергийния сектор, при сключването на договори с доставчици на услуги;</w:t>
      </w:r>
    </w:p>
    <w:p w14:paraId="0BEC56DF" w14:textId="77777777" w:rsidR="003F6D3E" w:rsidRPr="00EB07C0" w:rsidRDefault="003F6D3E" w:rsidP="003F6D3E">
      <w:pPr>
        <w:pStyle w:val="NormalHanging12a"/>
        <w:widowControl/>
        <w:rPr>
          <w:szCs w:val="24"/>
        </w:rPr>
      </w:pPr>
      <w:r w:rsidRPr="00EB07C0">
        <w:t>11.</w:t>
      </w:r>
      <w:r w:rsidRPr="00EB07C0">
        <w:tab/>
        <w:t>отбелязва, че бюджетни кредити за поети задължения в размер на приблизително 9,9 милиона евро за дял 1 от бюджета и приблизително 8,4 милиона евро за дял 2 от бюджета са пренесени автоматично от 2024 към 2025 г. за покриване на разходи, наред с другото, за командировки, обучение и писмени преводи; отбелязва, че сума в размер на 602 000 EUR е пренесена с решение, като тя е свързана с бюджетен трансфер, одобрен от бюджетните органи за замяната на асансьорите в сградата „K1“ на Палатата;</w:t>
      </w:r>
    </w:p>
    <w:p w14:paraId="04CD6A94" w14:textId="77777777" w:rsidR="003F6D3E" w:rsidRPr="00EB07C0" w:rsidRDefault="003F6D3E" w:rsidP="003F6D3E">
      <w:pPr>
        <w:pStyle w:val="NormalHanging12a"/>
        <w:widowControl/>
        <w:rPr>
          <w:szCs w:val="24"/>
        </w:rPr>
      </w:pPr>
      <w:r w:rsidRPr="00EB07C0">
        <w:t>12.</w:t>
      </w:r>
      <w:r w:rsidRPr="00EB07C0">
        <w:tab/>
        <w:t>отбелязва, че предвидените в бюджета кредити (C1) за командировки на членовете и служителите на Палатата възлизат на 2 860 000 EUR през 2024 г. (което представлява увеличение спрямо 2 722 000 EUR през 2023 г.); отбелязва, че от тези бюджетни кредити са поети задължения за 2 469 344 EUR, като през 2024 г. са извършени плащания за 2 184 344 EUR (т.е. постигната е степен на изпълнение от 88,46%);</w:t>
      </w:r>
    </w:p>
    <w:p w14:paraId="577E60C5" w14:textId="77777777" w:rsidR="003F6D3E" w:rsidRPr="00EB07C0" w:rsidRDefault="003F6D3E" w:rsidP="003F6D3E">
      <w:pPr>
        <w:pStyle w:val="NormalHanging12a"/>
        <w:widowControl/>
        <w:rPr>
          <w:szCs w:val="24"/>
        </w:rPr>
      </w:pPr>
      <w:r w:rsidRPr="00EB07C0">
        <w:t>13.</w:t>
      </w:r>
      <w:r w:rsidRPr="00EB07C0">
        <w:tab/>
        <w:t>отбелязва със задоволство въз основа на въпросника намалението на предвидените в бюджета кредити по бюджетната позиция на Палатата за публикации от 810 000 EUR през 2014 г. на 300 000 EUR през 2024 г. поради увеличаване на вътрешното изготвяне на доклади и онлайн разпространението на публикации; отбелязва, че прогнозите на Палатата за тази бюджетна позиция намаляха допълнително през следващите бюджетни години; отбелязва освен това тенденцията на Палатата да намалява бюджета за устен превод и услуги на експерти (консултации, проучвания и др.), както и плана за извеждане от експлоатация на ползваните от нея услуги за фиксирана телефония с цел генериране на допълнителни икономии;</w:t>
      </w:r>
    </w:p>
    <w:p w14:paraId="26533777" w14:textId="77777777" w:rsidR="003F6D3E" w:rsidRPr="00EB07C0" w:rsidRDefault="003F6D3E" w:rsidP="003F6D3E">
      <w:pPr>
        <w:pStyle w:val="NormalHanging12a"/>
        <w:widowControl/>
        <w:rPr>
          <w:szCs w:val="24"/>
        </w:rPr>
      </w:pPr>
      <w:r w:rsidRPr="00EB07C0">
        <w:t>14.</w:t>
      </w:r>
      <w:r w:rsidRPr="00EB07C0">
        <w:tab/>
        <w:t>приветства, както е отразено в отговора на Палатата на различните въпроси, повдигнати от органа по освобождаване от отговорност в контекста на процедурата по освобождаване от отговорност във връзка с изпълнението на бюджета за финансовата 2023 година (наричан по-долу „доклада за последващите действия“), продължаващата работа на Палатата по преразглеждане на нейното ръководство за командировките с цел проактивното решаване (т.е. в момента на подготовката на командировката), наред с другото, на въпроси като ефективността на разходите и начините за свеждане до минимум на въздействието върху околната среда; приканва Палатата да информира редовно органа по освобождаване от отговорност за напредъка, постигнат в това отношение;</w:t>
      </w:r>
    </w:p>
    <w:p w14:paraId="61839829" w14:textId="77777777" w:rsidR="003F6D3E" w:rsidRDefault="003F6D3E" w:rsidP="003F6D3E">
      <w:pPr>
        <w:pStyle w:val="NormalHanging12a"/>
        <w:widowControl/>
        <w:rPr>
          <w:lang w:val="en-GB"/>
        </w:rPr>
      </w:pPr>
      <w:r w:rsidRPr="00EB07C0">
        <w:t>15.</w:t>
      </w:r>
      <w:r w:rsidRPr="00EB07C0">
        <w:tab/>
        <w:t>отбелязва със задоволство, че външният одитор декларира, че разпределените ресурси са използвани по предназначение и че процедурите за контрол, въведени от разпоредителите с бюджетни кредити, са осигурили необходимите гаранции, за да се гарантира, че финансовите операции са в съответствие с приложимите правила и разпоредби;</w:t>
      </w:r>
    </w:p>
    <w:p w14:paraId="4148C762" w14:textId="57402D58" w:rsidR="00C41FFB" w:rsidRPr="00CC21FC" w:rsidRDefault="00C41FFB" w:rsidP="003F6D3E">
      <w:pPr>
        <w:pStyle w:val="NormalHanging12a"/>
        <w:widowControl/>
        <w:rPr>
          <w:szCs w:val="24"/>
        </w:rPr>
      </w:pPr>
      <w:r w:rsidRPr="00CC21FC">
        <w:rPr>
          <w:szCs w:val="24"/>
        </w:rPr>
        <w:lastRenderedPageBreak/>
        <w:t>16.</w:t>
      </w:r>
      <w:r w:rsidRPr="00CC21FC">
        <w:rPr>
          <w:szCs w:val="24"/>
        </w:rPr>
        <w:tab/>
        <w:t xml:space="preserve">подчертава, че </w:t>
      </w:r>
      <w:r w:rsidR="002D2049">
        <w:rPr>
          <w:szCs w:val="24"/>
        </w:rPr>
        <w:t>С</w:t>
      </w:r>
      <w:r w:rsidRPr="00CC21FC">
        <w:rPr>
          <w:szCs w:val="24"/>
        </w:rPr>
        <w:t>метна</w:t>
      </w:r>
      <w:r w:rsidR="002D2049">
        <w:rPr>
          <w:szCs w:val="24"/>
        </w:rPr>
        <w:t>та</w:t>
      </w:r>
      <w:r w:rsidRPr="00CC21FC">
        <w:rPr>
          <w:szCs w:val="24"/>
        </w:rPr>
        <w:t xml:space="preserve"> палата е външният одитор на Съюза и крайъгълният камък на независимата финансова отчетност по отношение на бюджета на Съюза; подчертава, че в условията на безпрецедентно нарастване на разходите на Съюза, на обема на операциите по получаване на заеми и на сложността на новите финансови инструменти, на Палатата трябва да бъдат предоставени ресурси, които са съизмерими с мащаба и сложността на нейния одитен мандат; подкрепя непрекъснатата дисциплина на Палатата по отношение на разходите; приканва бюджетните органи да гарантират при приемането на бъдещите бюджети, че Палатата разполага с достатъчно ресурси, за да контролира бързо разширяващата се финансова архитектура на Съюза;</w:t>
      </w:r>
    </w:p>
    <w:p w14:paraId="1071451F" w14:textId="77777777" w:rsidR="003F6D3E" w:rsidRPr="00EB07C0" w:rsidRDefault="003F6D3E" w:rsidP="003F6D3E">
      <w:pPr>
        <w:pStyle w:val="NormalHanging12a"/>
        <w:widowControl/>
        <w:rPr>
          <w:b/>
          <w:i/>
          <w:iCs/>
          <w:szCs w:val="24"/>
        </w:rPr>
      </w:pPr>
      <w:r w:rsidRPr="00EB07C0">
        <w:rPr>
          <w:b/>
          <w:i/>
        </w:rPr>
        <w:t>Вътрешно управление, резултати от дейността и вътрешен контрол</w:t>
      </w:r>
    </w:p>
    <w:p w14:paraId="64758323" w14:textId="7900C255" w:rsidR="003F6D3E" w:rsidRPr="00EB07C0" w:rsidRDefault="00CC21FC" w:rsidP="003F6D3E">
      <w:pPr>
        <w:pStyle w:val="NormalHanging12a"/>
        <w:widowControl/>
        <w:rPr>
          <w:szCs w:val="24"/>
        </w:rPr>
      </w:pPr>
      <w:r>
        <w:t>17</w:t>
      </w:r>
      <w:r w:rsidR="003F6D3E" w:rsidRPr="00EB07C0">
        <w:t>.</w:t>
      </w:r>
      <w:r w:rsidR="003F6D3E" w:rsidRPr="00EB07C0">
        <w:tab/>
        <w:t>отбелязва, че Палатата прекара общо 3 176 дни в държавите членки и извън Съюза спрямо 4 897 дни през 2023 г. и 1 244 дни в институциите, агенциите и органите на Съюза и други международни организации и частни одиторски предприятия спрямо 1 370 дни през 2023 г.;</w:t>
      </w:r>
    </w:p>
    <w:p w14:paraId="0B34BD7E" w14:textId="2D2C2793" w:rsidR="003F6D3E" w:rsidRPr="00EB07C0" w:rsidRDefault="00CC21FC" w:rsidP="003F6D3E">
      <w:pPr>
        <w:pStyle w:val="NormalHanging12a"/>
        <w:widowControl/>
        <w:rPr>
          <w:szCs w:val="24"/>
        </w:rPr>
      </w:pPr>
      <w:r>
        <w:t>18</w:t>
      </w:r>
      <w:r w:rsidR="003F6D3E" w:rsidRPr="00EB07C0">
        <w:t>.</w:t>
      </w:r>
      <w:r w:rsidR="003F6D3E" w:rsidRPr="00EB07C0">
        <w:tab/>
        <w:t>отбелязва, че през 2024 г. Палатата представи два годишни доклада, три специфични годишни доклада, 28 специални доклада, четири прегледа и три становища, или общо 40 публикации (което представлява намаление спрямо 45 публикации през 2023 г.); приветства акцента, който Палатата постави през 2024 г. чрез специални доклади и прегледи върху неотложните предизвикателства, пред които е изправен Съюзът по важни въпроси, като финансовите инструменти в рамките на политиката на сближаване, прозрачността на финансирането, предоставяно от Съюза на НПО, органите на Съюза за борба с измамите, сигурността на доставките на газ, инвестициите в изкуствен интелект (ИИ), адаптирането към изменението на климата, усвояването на средствата по Механизма за възстановяване и устойчивост, процеса на формиране на автомобилен парк с нулеви емисии, подкрепата за бежанците в Турция и промишлената политика на Съюза в областта на водорода; приветства освен това планираните доклади на Палатата относно Механизма за възстановяване и устойчивост в области като прозрачността и проследимостта, както и относно структурата и стратегията на Съюза във връзка с борбата срещу измамите и подкрепата на Съюза за Украйна, Молдова и Грузия; отбелязва подобрение по отношение на удовлетвореността на заинтересованите лица от работата на Палатата, като проведено през 2024 г. проучване показва, че 89% от респондентите (спрямо 85% през 2023 г.) считат докладите на Палатата за полезни, а 82% (което представлява увеличение спрямо 78%) считат, че работата на Палатата оказва въздействие;</w:t>
      </w:r>
    </w:p>
    <w:p w14:paraId="01565435" w14:textId="11F6ED13" w:rsidR="003F6D3E" w:rsidRPr="00EB07C0" w:rsidRDefault="00CC21FC" w:rsidP="003F6D3E">
      <w:pPr>
        <w:pStyle w:val="NormalHanging12a"/>
        <w:widowControl/>
        <w:rPr>
          <w:bCs/>
          <w:iCs/>
          <w:szCs w:val="24"/>
        </w:rPr>
      </w:pPr>
      <w:r>
        <w:t>19</w:t>
      </w:r>
      <w:r w:rsidR="003F6D3E" w:rsidRPr="00EB07C0">
        <w:t>.</w:t>
      </w:r>
      <w:r w:rsidR="003F6D3E" w:rsidRPr="00EB07C0">
        <w:tab/>
        <w:t>призовава Палатата да предоставя по-подробни и систематични оценки на страничните ефекти на финансираните от Съюза програми върху държавите членки, както на програмите с висока степен на усвояване, така и на тези с ниска степен на усвояване на средства на Съюза; подчертава, че един всеобхватен анализ на икономическото, социалното, административното и териториалното въздействие на подобни странични ефекти, включително трансграничните ефекти и въздействието върху разпределението на доходите, ще усъвършенства оценката на дългосрочното въздействие, добавената стойност и устойчивостта на разходите на Съюза и ще подкрепи изготвянето на политики в условия на по-добра информираност както на равнището на Съюза, така и на национално равнище;</w:t>
      </w:r>
    </w:p>
    <w:p w14:paraId="67E92907" w14:textId="48F1ADFF" w:rsidR="003F6D3E" w:rsidRPr="00EB07C0" w:rsidRDefault="00CC21FC" w:rsidP="003F6D3E">
      <w:pPr>
        <w:pStyle w:val="NormalHanging12a"/>
        <w:widowControl/>
        <w:rPr>
          <w:szCs w:val="24"/>
        </w:rPr>
      </w:pPr>
      <w:r>
        <w:lastRenderedPageBreak/>
        <w:t>20</w:t>
      </w:r>
      <w:r w:rsidR="003F6D3E" w:rsidRPr="00EB07C0">
        <w:t>.</w:t>
      </w:r>
      <w:r w:rsidR="003F6D3E" w:rsidRPr="00EB07C0">
        <w:tab/>
        <w:t>отбелязва, че Палатата разполага с набор от ключови показатели за изпълнението (КПИ) за измерване на напредъка към постигането на своите стратегически цели в съответствие със стратегията на Палатата за периода 2021 — 2025 г.; отбелязва стратегическите цели на Палатата за 2024 г.: подобряване на отчетността, прозрачността и механизмите за одит, насочване към области и теми, в които одитите могат да добавят най-голяма стойност, и предоставяне на силна одитна увереност в една изпълнена с предизвикателства и променяща се среда; приканва Палатата да представя в бъдеще своите КПИ, степента на постигнатия напредък и целите в обобщен вид (под формата на таблица); призовава Палатата да усъвършенства КПИ въз основа на резултатите от изпълнението и прилагането на европейските политики с цел ясно измерване на въздействието на политиките, провеждани от Комисията;</w:t>
      </w:r>
    </w:p>
    <w:p w14:paraId="76D7DF16" w14:textId="7AACDD09" w:rsidR="003F6D3E" w:rsidRPr="00EB07C0" w:rsidRDefault="00CC21FC" w:rsidP="003F6D3E">
      <w:pPr>
        <w:pStyle w:val="NormalHanging12a"/>
        <w:widowControl/>
        <w:rPr>
          <w:bCs/>
          <w:iCs/>
          <w:szCs w:val="24"/>
        </w:rPr>
      </w:pPr>
      <w:r>
        <w:t>21</w:t>
      </w:r>
      <w:r w:rsidR="003F6D3E" w:rsidRPr="00EB07C0">
        <w:t>.</w:t>
      </w:r>
      <w:r w:rsidR="003F6D3E" w:rsidRPr="00EB07C0">
        <w:tab/>
        <w:t>приканва Палатата да консолидира своите констатации в сравнителен анализ на изпълнението и да разработи методика за „компас за изпълнението“ на програмите на Съюза; счита, че подобен инструмент ще предостави на органа по освобождаване от отговорност, на лицата, отговорни за вземането на решения, и на широката общественост ясни насоки относно това кои програми използват ефективно ресурсите и кои биха могли да бъдат прекратени или основно преструктурирани, като същевременно се отчита разнообразието от политики;</w:t>
      </w:r>
    </w:p>
    <w:p w14:paraId="529649B9" w14:textId="54A89476" w:rsidR="003F6D3E" w:rsidRPr="00EB07C0" w:rsidRDefault="00CC21FC" w:rsidP="003F6D3E">
      <w:pPr>
        <w:pStyle w:val="NormalHanging12a"/>
        <w:widowControl/>
        <w:rPr>
          <w:szCs w:val="24"/>
        </w:rPr>
      </w:pPr>
      <w:r>
        <w:t>22</w:t>
      </w:r>
      <w:r w:rsidR="003F6D3E" w:rsidRPr="00EB07C0">
        <w:t>.</w:t>
      </w:r>
      <w:r w:rsidR="003F6D3E" w:rsidRPr="00EB07C0">
        <w:tab/>
        <w:t>високо оценява факта, че Палатата измерва изпълнението на своите препоръки въз основа на проследяване на последващите действия, осъществявано от нейните одитори; отбелязва, че през 2024 г. Палатата анализира изпълнението на препоръките в докладите си от 2020 г., отправени към Комисията и други институции; отбелязва, че 93% от общо 19 препоръки, отправени в годишния доклад на Палатата от 2020 г., и 88% от 186 препоръки, отправени в специалните доклади на Палатата от 2020 г., са изпълнени изцяло, в известна или в значителна степен;</w:t>
      </w:r>
    </w:p>
    <w:p w14:paraId="6A972C6D" w14:textId="625445D0" w:rsidR="003F6D3E" w:rsidRPr="00EB07C0" w:rsidRDefault="00CC21FC" w:rsidP="003F6D3E">
      <w:pPr>
        <w:pStyle w:val="NormalHanging12a"/>
        <w:widowControl/>
        <w:rPr>
          <w:szCs w:val="24"/>
        </w:rPr>
      </w:pPr>
      <w:r>
        <w:t>23</w:t>
      </w:r>
      <w:r w:rsidR="003F6D3E" w:rsidRPr="00EB07C0">
        <w:t>.</w:t>
      </w:r>
      <w:r w:rsidR="003F6D3E" w:rsidRPr="00EB07C0">
        <w:tab/>
        <w:t xml:space="preserve">отбелязва, че според доклада за последващите действия Комисията се е съгласила да предостави на Палатата ръчно извлечени данни от инструмента </w:t>
      </w:r>
      <w:proofErr w:type="spellStart"/>
      <w:r w:rsidR="003F6D3E" w:rsidRPr="00EB07C0">
        <w:rPr>
          <w:i/>
          <w:iCs/>
        </w:rPr>
        <w:t>Arachne</w:t>
      </w:r>
      <w:proofErr w:type="spellEnd"/>
      <w:r w:rsidR="003F6D3E" w:rsidRPr="00EB07C0">
        <w:t xml:space="preserve">; въпреки това изразява съжаление относно факта, че достъпът на Палатата до FENIX, инструмента за докладване относно Механизма за възстановяване и устойчивост, продължава да бъде нерешен въпрос, като Комисията предоставя на Палатата частичен достъп само до някои от модулите на FENIX, а съдържащата се в тях информация не се актуализира своевременно; приветства докладваното увеличение на броя на потребителите от Палатата, които имат достъп до FENIX; подкрепя въпреки това искането на Палатата Комисията да ѝ предостави пълен достъп във възможно най-кратък срок; отбелязва, че генералната дирекция „Икономически и финансови въпроси“ на Комисията се стреми да предоставя на Палатата достъп до досиетата във FENIX в срок до две седмици от одобряването на искане за плащане; изразява при все това тревога, че на практика в много случаи този срок не се спазва и че в някои случаи са възниквали закъснения от до два месеца и половина, което значително забавя формулирането на констатациите на Палатата или подкопава ефективността и навременността на одитната работа на Палатата, по-специално във връзка с високорисковите разходи, какъвто е случаят с Механизма за възстановяване и устойчивост; припомня при тези обстоятелства на Комисията нейното задължение съгласно член 263 от Финансовия регламент да предостави на Палатата всеобхватен достъп до всички съответни системи и бази данни (сред които </w:t>
      </w:r>
      <w:proofErr w:type="spellStart"/>
      <w:r w:rsidR="003F6D3E" w:rsidRPr="00EB07C0">
        <w:rPr>
          <w:i/>
          <w:iCs/>
        </w:rPr>
        <w:t>Arachne</w:t>
      </w:r>
      <w:proofErr w:type="spellEnd"/>
      <w:r w:rsidR="003F6D3E" w:rsidRPr="00EB07C0">
        <w:t xml:space="preserve">, FENIX и ARES); призовава </w:t>
      </w:r>
      <w:r w:rsidR="003F6D3E" w:rsidRPr="00EB07C0">
        <w:lastRenderedPageBreak/>
        <w:t xml:space="preserve">следователно Комисията незабавно да коригира това положение, включително като сключи междуинституционална договореност, която да гарантира пълния и систематичен достъп на Палатата в реално време до всички съответни бази данни, включително </w:t>
      </w:r>
      <w:proofErr w:type="spellStart"/>
      <w:r w:rsidR="003F6D3E" w:rsidRPr="00EB07C0">
        <w:rPr>
          <w:i/>
          <w:iCs/>
        </w:rPr>
        <w:t>Arachne</w:t>
      </w:r>
      <w:proofErr w:type="spellEnd"/>
      <w:r w:rsidR="003F6D3E" w:rsidRPr="00EB07C0">
        <w:t xml:space="preserve"> и FENIX; приканва Палатата да докладва на органа по освобождаване от отговорност относно постигнатите конкретни подобрения;</w:t>
      </w:r>
    </w:p>
    <w:p w14:paraId="449032DB" w14:textId="77777777" w:rsidR="003F6D3E" w:rsidRPr="00EB07C0" w:rsidRDefault="003F6D3E" w:rsidP="003F6D3E">
      <w:pPr>
        <w:pStyle w:val="NormalHanging12a"/>
        <w:widowControl/>
        <w:rPr>
          <w:b/>
          <w:i/>
          <w:iCs/>
          <w:szCs w:val="24"/>
        </w:rPr>
      </w:pPr>
      <w:r w:rsidRPr="00EB07C0">
        <w:rPr>
          <w:b/>
          <w:i/>
        </w:rPr>
        <w:t>Човешки ресурси, равенство и благосъстояние на служителите</w:t>
      </w:r>
    </w:p>
    <w:p w14:paraId="6AFBCC8E" w14:textId="56071953" w:rsidR="003F6D3E" w:rsidRPr="00EB07C0" w:rsidRDefault="00CC21FC" w:rsidP="003F6D3E">
      <w:pPr>
        <w:pStyle w:val="NormalHanging12a"/>
        <w:widowControl/>
        <w:rPr>
          <w:szCs w:val="24"/>
        </w:rPr>
      </w:pPr>
      <w:bookmarkStart w:id="8" w:name="_Hlk216182035"/>
      <w:r>
        <w:t>24</w:t>
      </w:r>
      <w:r w:rsidR="003F6D3E" w:rsidRPr="00EB07C0">
        <w:t>.</w:t>
      </w:r>
      <w:r w:rsidR="003F6D3E" w:rsidRPr="00EB07C0">
        <w:tab/>
        <w:t>отбелязва, че в края на 2024 г. Палатата е имала 961 служители (което представлява намаление спрямо 969 през 2023 г.), включително срочно наети служители (192 през 2024 г., което представлява намаление спрямо 204 през 2023 г.), договорно наети служители (84 през 2024 г., което представлява намаление спрямо 86 през 2023 г.) и командировани национални експерти (26 през 2024 г. — същият брой, както през 2023 г.); припомня, че е важно да се предоставят безсрочни трудови договори на служителите с цел да се поддържат уменията, като се гарантират приемственост и продуктивна и стабилна работна среда;</w:t>
      </w:r>
    </w:p>
    <w:p w14:paraId="58E34AFC" w14:textId="2382507C" w:rsidR="003F6D3E" w:rsidRPr="00EB07C0" w:rsidRDefault="00CC21FC" w:rsidP="003F6D3E">
      <w:pPr>
        <w:pStyle w:val="NormalHanging12a"/>
        <w:widowControl/>
        <w:rPr>
          <w:szCs w:val="24"/>
        </w:rPr>
      </w:pPr>
      <w:r>
        <w:t>25</w:t>
      </w:r>
      <w:r w:rsidR="003F6D3E" w:rsidRPr="00EB07C0">
        <w:t>.</w:t>
      </w:r>
      <w:r w:rsidR="003F6D3E" w:rsidRPr="00EB07C0">
        <w:tab/>
        <w:t>отбелязва, че през 2024 г. 54% от служителите на Палатата са жени (което представлява увеличение спрямо 53% през 2023 г.), а 4</w:t>
      </w:r>
      <w:r w:rsidR="00EE4448">
        <w:t>6</w:t>
      </w:r>
      <w:r w:rsidR="003F6D3E" w:rsidRPr="00EB07C0">
        <w:t xml:space="preserve">% — мъже; изразява съжаление относно факта, че жените представляват едва 30% от висшето ръководство на Палатата — както през 2023 г.; отбелязва освен това намалението на дела на жените на средни ръководни длъжности от 40% на 37,30% през 2023 г.; припомня факта, че равенството между половете е основан на Договорите принцип, който следва да се зачита от всички институции, и приканва Палатата да продължи да полага усилия за насърчаване на баланса между половете на равнище средно и висше ръководство; </w:t>
      </w:r>
      <w:bookmarkEnd w:id="8"/>
    </w:p>
    <w:p w14:paraId="22C098DD" w14:textId="7C5CC550" w:rsidR="003F6D3E" w:rsidRPr="00EB07C0" w:rsidRDefault="00CC21FC" w:rsidP="003F6D3E">
      <w:pPr>
        <w:pStyle w:val="NormalHanging12a"/>
        <w:widowControl/>
        <w:rPr>
          <w:szCs w:val="24"/>
        </w:rPr>
      </w:pPr>
      <w:r>
        <w:t>26</w:t>
      </w:r>
      <w:r w:rsidR="003F6D3E" w:rsidRPr="00EB07C0">
        <w:t>.</w:t>
      </w:r>
      <w:r w:rsidR="003F6D3E" w:rsidRPr="00EB07C0">
        <w:tab/>
        <w:t xml:space="preserve">отбелязва въз основа на въпросника, че през 2024 г. в Палатата са работили 64 стажанти, 59 от които са получавали месечна надбавка; приветства новата програма на Палатата, озаглавена </w:t>
      </w:r>
      <w:proofErr w:type="spellStart"/>
      <w:r w:rsidR="003F6D3E" w:rsidRPr="00EB07C0">
        <w:rPr>
          <w:i/>
          <w:iCs/>
        </w:rPr>
        <w:t>TraineEca</w:t>
      </w:r>
      <w:proofErr w:type="spellEnd"/>
      <w:r w:rsidR="003F6D3E" w:rsidRPr="00EB07C0">
        <w:rPr>
          <w:i/>
          <w:iCs/>
        </w:rPr>
        <w:t xml:space="preserve"> </w:t>
      </w:r>
      <w:proofErr w:type="spellStart"/>
      <w:r w:rsidR="003F6D3E" w:rsidRPr="00EB07C0">
        <w:rPr>
          <w:i/>
          <w:iCs/>
        </w:rPr>
        <w:t>Career</w:t>
      </w:r>
      <w:proofErr w:type="spellEnd"/>
      <w:r w:rsidR="003F6D3E" w:rsidRPr="00EB07C0">
        <w:rPr>
          <w:i/>
          <w:iCs/>
        </w:rPr>
        <w:t xml:space="preserve"> </w:t>
      </w:r>
      <w:proofErr w:type="spellStart"/>
      <w:r w:rsidR="003F6D3E" w:rsidRPr="00EB07C0">
        <w:rPr>
          <w:i/>
          <w:iCs/>
        </w:rPr>
        <w:t>Development</w:t>
      </w:r>
      <w:proofErr w:type="spellEnd"/>
      <w:r w:rsidR="003F6D3E" w:rsidRPr="00EB07C0">
        <w:t>, която има за цел да предложи възможности за работа на стажантите с най-големи заслуги; отбелязва освен това плана на Палатата да предложи специални стажове в областта на изкуствения интелект (ИИ) на наскоро завършили висше образование и докторанти в тази област; отново подчертава, че стажовете следва да бъдат платени в съответствие с резолюцията на Парламента от 15 юни 2023 г. относно качествени стажове в Съюза (2020/2005(INL)), в която се призовава всички стажове в Съюза да бъдат платени; подчертава, че неплатените стажове представляват форма на експлоатация на младите работници и служители и пречка пред равните възможности;</w:t>
      </w:r>
    </w:p>
    <w:p w14:paraId="51B51EAA" w14:textId="0E0A9383" w:rsidR="003F6D3E" w:rsidRPr="00EB07C0" w:rsidRDefault="00CC21FC" w:rsidP="003F6D3E">
      <w:pPr>
        <w:pStyle w:val="NormalHanging12a"/>
        <w:widowControl/>
        <w:rPr>
          <w:szCs w:val="24"/>
        </w:rPr>
      </w:pPr>
      <w:r>
        <w:t>27</w:t>
      </w:r>
      <w:r w:rsidR="003F6D3E" w:rsidRPr="00EB07C0">
        <w:t>.</w:t>
      </w:r>
      <w:r w:rsidR="003F6D3E" w:rsidRPr="00EB07C0">
        <w:tab/>
        <w:t xml:space="preserve">отбелязва въз основа на въпросника, че набирането на длъжностни лица е продължило да бъде предизвикателство за Палатата през 2024 г. поради недостатъчната привлекателност на Люксембург като място на работа или липсата на интерес към работните места в областта на одита и контрола сред младите работници и служители; отбелязва със задоволство, че Палатата предприема действия по този въпрос, като организира редовни процедури за подбор, насочени към стажантите в Палатата, организира вътрешни конкурси за задържане на талантите с най-големи заслуги и увеличи информационните дейности; насърчава Палатата да продължи тези усилия, за да се осигури непрекъснатостта на нейната дейност; признава в този контекст, че е необходима </w:t>
      </w:r>
      <w:r w:rsidR="003F6D3E" w:rsidRPr="00EB07C0">
        <w:lastRenderedPageBreak/>
        <w:t>специална клауза с оглед на организирането също така на конкурси на Европейската служба за подбор на персонал (EPSO) изключително за Люксембург; приветства Палатата за това, че се присъедини към междуинституционално споразумение, съгласно което считано от 2025 г. служителите, наети от установени в Люксембург институции на Съюза, получават жилищни надбавки, за да се компенсират високите разходи за живот в Люксембург;</w:t>
      </w:r>
    </w:p>
    <w:p w14:paraId="2C664B6E" w14:textId="46C9CF66" w:rsidR="003F6D3E" w:rsidRPr="00EB07C0" w:rsidRDefault="00CC21FC" w:rsidP="003F6D3E">
      <w:pPr>
        <w:pStyle w:val="NormalHanging12a"/>
        <w:widowControl/>
        <w:rPr>
          <w:szCs w:val="24"/>
        </w:rPr>
      </w:pPr>
      <w:r>
        <w:t>28</w:t>
      </w:r>
      <w:r w:rsidR="003F6D3E" w:rsidRPr="00EB07C0">
        <w:t>.</w:t>
      </w:r>
      <w:r w:rsidR="003F6D3E" w:rsidRPr="00EB07C0">
        <w:tab/>
        <w:t>известно му е, че Палатата няма роля в процеса на подбор на своите членове съгласно член 286, параграф 2 от ДФЕС; припомня, че въпреки това съществува значителен дисбаланс между половете сред членовете на Палатата, с едва десет жени от общо 27 членове; изразява съжаление поради факта, че редица държави членки никога не са предлагали жена за член на Палатата; отново призовава държавите членки да вземат предвид необходимостта от баланс между половете при предлагането на кандидати, в стремеж да се постигне по-балансиран и представителен състав на Палатата, като същевременно гарантират, че номинациите продължават да се основават на критерии за заслуги, квалификация и независимост;</w:t>
      </w:r>
    </w:p>
    <w:p w14:paraId="6B689579" w14:textId="4726487B" w:rsidR="003F6D3E" w:rsidRPr="00EB07C0" w:rsidRDefault="00CC21FC" w:rsidP="003F6D3E">
      <w:pPr>
        <w:pStyle w:val="NormalHanging12a"/>
        <w:widowControl/>
        <w:rPr>
          <w:szCs w:val="24"/>
        </w:rPr>
      </w:pPr>
      <w:r>
        <w:t>29</w:t>
      </w:r>
      <w:r w:rsidR="003F6D3E" w:rsidRPr="00EB07C0">
        <w:t>.</w:t>
      </w:r>
      <w:r w:rsidR="003F6D3E" w:rsidRPr="00EB07C0">
        <w:tab/>
        <w:t>изразява все така съжаление във връзка с практиката на Съвета да номинира членове на Палатата, въпреки че те са били отхвърлени от Парламента; отново призовава за преразглеждане на процедурата по номиниране, така че да се предостави на Парламента обвързваща роля при оценката на пригодността на кандидатите за членове на Палатата;</w:t>
      </w:r>
    </w:p>
    <w:p w14:paraId="263B2CFC" w14:textId="22B77B04" w:rsidR="003F6D3E" w:rsidRPr="00EB07C0" w:rsidRDefault="00CC21FC" w:rsidP="003F6D3E">
      <w:pPr>
        <w:pStyle w:val="NormalHanging12a"/>
        <w:widowControl/>
        <w:rPr>
          <w:szCs w:val="24"/>
        </w:rPr>
      </w:pPr>
      <w:r>
        <w:t>30</w:t>
      </w:r>
      <w:r w:rsidR="003F6D3E" w:rsidRPr="00EB07C0">
        <w:t>.</w:t>
      </w:r>
      <w:r w:rsidR="003F6D3E" w:rsidRPr="00EB07C0">
        <w:tab/>
        <w:t>оценява широко прилагания режим на работа от разстояние, предлаган от Палатата с цел смекчаване на предизвикателствата, свързани с набирането на служители, с до десет дни месечно, от които пет дни може да се работи от разстояние извън мястото на работа, като общият им брой е до 30 дни годишно; отбелязва въз основа на въпросника, че Палатата е преразгледала своите хибридни правила за работа през 2024 г., за да вземе предвид, наред с другото, получената обратна информация; приканва Палатата да извършва редовни проверки, за да осигури спазването на тези правила; отбелязва със задоволство въз основа на въпросника, че Палатата предприема различни действия, за да осигури физическото и психичното благосъстояние на своите служители;</w:t>
      </w:r>
    </w:p>
    <w:p w14:paraId="473973EC" w14:textId="73F7043E" w:rsidR="003F6D3E" w:rsidRPr="00EB07C0" w:rsidRDefault="00CC21FC" w:rsidP="003F6D3E">
      <w:pPr>
        <w:pStyle w:val="NormalHanging12a"/>
        <w:widowControl/>
        <w:rPr>
          <w:szCs w:val="24"/>
        </w:rPr>
      </w:pPr>
      <w:r>
        <w:t>31</w:t>
      </w:r>
      <w:r w:rsidR="003F6D3E" w:rsidRPr="00EB07C0">
        <w:t>.</w:t>
      </w:r>
      <w:r w:rsidR="003F6D3E" w:rsidRPr="00EB07C0">
        <w:tab/>
        <w:t>отбелязва увеличение както на дела на незаетите работни места — от 2,27% през 2023 г. на 2,49% през 2024 г., така и на коефициента на текучеството — от 6,60% през 2023 г. на 7,90% през 2024 г., като коефициентът на текучеството представлява броят на напускащите служители като дял от общия брой служители;</w:t>
      </w:r>
    </w:p>
    <w:p w14:paraId="0220FD4E" w14:textId="666ABCC7" w:rsidR="003F6D3E" w:rsidRPr="00EB07C0" w:rsidRDefault="00CC21FC" w:rsidP="003F6D3E">
      <w:pPr>
        <w:pStyle w:val="NormalHanging12a"/>
        <w:widowControl/>
        <w:rPr>
          <w:szCs w:val="24"/>
        </w:rPr>
      </w:pPr>
      <w:r>
        <w:t>32</w:t>
      </w:r>
      <w:r w:rsidR="003F6D3E" w:rsidRPr="00EB07C0">
        <w:t>.</w:t>
      </w:r>
      <w:r w:rsidR="003F6D3E" w:rsidRPr="00EB07C0">
        <w:tab/>
        <w:t xml:space="preserve">отбелязва, че няколко националности, по-специално от скандинавските държави членки, са недостатъчно представени сред служителите на Палатата; отбелязва, че съществува риск от по-нататъшно влошаване на положението поради застаряването на служителите и поради факта, че не се набират достатъчно кандидати от тези държави членки; припомня непрекъснатите усилия на Палатата за справяне с този дисбаланс чрез повишаване на публичността на конкурсите и обявленията за свободни длъжности на Палатата в значително по-слабо представените държави членки в сътрудничество с членове на Палатата за разпространение на нейните обявления и достигане до потенциални кандидати </w:t>
      </w:r>
      <w:r w:rsidR="003F6D3E" w:rsidRPr="00EB07C0">
        <w:lastRenderedPageBreak/>
        <w:t>чрез участие в професионални изложения в определени държави членки; отбелязва освен това, че според доклада за последващите действия Палатата също така е разработила план за действие с десет действия за следващите пет години с цел преодоляване на настоящото недостатъчно представителство на някои държави членки; приканва Палатата да информира редовно органа по освобождаване от отговорност за постигнатия напредък по изпълнението на този план за действие и за резултатите от изпълнението му;</w:t>
      </w:r>
    </w:p>
    <w:p w14:paraId="46A24146" w14:textId="27D8FAAE" w:rsidR="003F6D3E" w:rsidRPr="00EB07C0" w:rsidRDefault="00CC21FC" w:rsidP="003F6D3E">
      <w:pPr>
        <w:pStyle w:val="NormalHanging12a"/>
        <w:widowControl/>
        <w:rPr>
          <w:szCs w:val="24"/>
        </w:rPr>
      </w:pPr>
      <w:r>
        <w:t>33</w:t>
      </w:r>
      <w:r w:rsidR="003F6D3E" w:rsidRPr="00EB07C0">
        <w:t>.</w:t>
      </w:r>
      <w:r w:rsidR="003F6D3E" w:rsidRPr="00EB07C0">
        <w:tab/>
        <w:t>припомня, че в края на 2023 г. бяха заети всичките 29 допълнителни длъжности (срочно наети служители), необходими за одита на изпълнението на бюджета от 723,8 милиарда евро на Механизма за възстановяване и устойчивост; разбира обаче, че съществеността, сложността, големите суми и бързо изпълнените плащания от Механизма за възстановяване и устойчивост продължават да пораждат предизвикателства и че настоящите ресурси не са достатъчни, за да се гарантира систематично, че разходите по Механизма за възстановяване и устойчивост са в съответствие с правилата на Съюза и с националните правила, и за да се отговори на увеличените дейности на Съюза; приветства въпреки това усилията, положени от Палатата за изпълнение на нейните задължения по отношение на Механизма за възстановяване и устойчивост до момента, въпреки недостатъчните налични ресурси; подкрепя в този контекст искането на Палатата за преобразуване на 29-те служители на срочен договор, наети за осъществяването на свързани с Механизма за възстановяване и устойчивост одити, в постоянни длъжности; подчертава, че е важно да се гарантира, че на Палатата се осигуряват последователно подходящо равнище човешки ресурси и че тя е структурно подготвена за изпълнение както на своя мандат, така и на допълнителните отговорности, произтичащи от бъдещите основани на изпълнението инструменти за финансиране, включително многогодишната финансова рамка;</w:t>
      </w:r>
    </w:p>
    <w:p w14:paraId="59AEED27" w14:textId="4A15BDA0" w:rsidR="003F6D3E" w:rsidRPr="00EB07C0" w:rsidRDefault="00CC21FC" w:rsidP="003F6D3E">
      <w:pPr>
        <w:pStyle w:val="NormalHanging12a"/>
        <w:widowControl/>
        <w:rPr>
          <w:bCs/>
          <w:iCs/>
          <w:szCs w:val="24"/>
        </w:rPr>
      </w:pPr>
      <w:r>
        <w:t>34</w:t>
      </w:r>
      <w:r w:rsidR="003F6D3E" w:rsidRPr="00EB07C0">
        <w:t>.</w:t>
      </w:r>
      <w:r w:rsidR="003F6D3E" w:rsidRPr="00EB07C0">
        <w:tab/>
        <w:t>отбелязва със задоволство, че и през 2024 г. Палатата надхвърли определената цел за професионално обучение, която е пет дни за неезиково обучение за одиторите годишно, в съответствие с препоръките на Международната федерация на счетоводителите, и два дни за служителите, чиито задачи не са свързани с одит (съответно 5,8 и 3,9 дни);</w:t>
      </w:r>
    </w:p>
    <w:p w14:paraId="26CCD007" w14:textId="3F1889DA" w:rsidR="003F6D3E" w:rsidRPr="00EB07C0" w:rsidRDefault="00CC21FC" w:rsidP="003F6D3E">
      <w:pPr>
        <w:pStyle w:val="NormalHanging12a"/>
        <w:widowControl/>
        <w:rPr>
          <w:szCs w:val="24"/>
        </w:rPr>
      </w:pPr>
      <w:r>
        <w:t>35</w:t>
      </w:r>
      <w:r w:rsidR="003F6D3E" w:rsidRPr="00EB07C0">
        <w:t>.</w:t>
      </w:r>
      <w:r w:rsidR="003F6D3E" w:rsidRPr="00EB07C0">
        <w:tab/>
        <w:t>отбелязва, че през 2024 г. средното отсъствие поради заболяване е 9,9 дни на служител, което е почти същото, както през 2023 г.; отбелязва освен това, че през 2024 г. трима служители (четирима през 2023 г.) са отсъствали поради продължително заболяване, което се определя като продължаващо повече от 200 дни в годината;</w:t>
      </w:r>
    </w:p>
    <w:p w14:paraId="1A5574BC" w14:textId="2B6D4B29" w:rsidR="003F6D3E" w:rsidRPr="00EB07C0" w:rsidRDefault="00CC21FC" w:rsidP="003F6D3E">
      <w:pPr>
        <w:pStyle w:val="NormalHanging12a"/>
        <w:widowControl/>
        <w:rPr>
          <w:szCs w:val="24"/>
        </w:rPr>
      </w:pPr>
      <w:r>
        <w:t>36</w:t>
      </w:r>
      <w:r w:rsidR="003F6D3E" w:rsidRPr="00EB07C0">
        <w:t>.</w:t>
      </w:r>
      <w:r w:rsidR="003F6D3E" w:rsidRPr="00EB07C0">
        <w:tab/>
        <w:t xml:space="preserve">отбелязва, че през 2024 г. са докладвани 13 случая на професионално изчерпване, което е увеличение спрямо докладваните през 2023 г. седем случая; отбелязва със загриженост значителното увеличение на докладваните случаи на професионално изчерпване през 2024 г.; призовава Палатата да извърши задълбочен анализ на причините за това значително увеличение, включително разпределението на работното натоварване, организационните фактори и структурните рискове, и да включи основани на доказателства констатации в своите практики за планиране и управление на човешките ресурси с цел ефективно предотвратяване на професионално изчерпване и подобряване на работната среда; приветства факта, че Палатата предприе редица стъпки за намаляване на риска от професионално </w:t>
      </w:r>
      <w:r w:rsidR="003F6D3E" w:rsidRPr="00EB07C0">
        <w:lastRenderedPageBreak/>
        <w:t>изчерпване, като въведе пълна програма за благосъстояние, предлага обучение за устойчивост, публикува и прилага насоки относно завръщането на работа след дългосрочен отпуск по болест, продължава да предлага първа помощ за психичното здраве и предоставя финансова подкрепа на служителите, като покрива разходите за десет сесии с психолог по техен избор; отбелязва по-специално, че през 2024 г. Палатата организира четири задължителни обучения за ръководители с акцент върху благосъстоянието на служителите, резултатите, равновесието между професионалния и личния живот и предотвратяването на професионално изчерпване;</w:t>
      </w:r>
    </w:p>
    <w:p w14:paraId="5B6C221E" w14:textId="1AE92B01" w:rsidR="003F6D3E" w:rsidRPr="00EB07C0" w:rsidRDefault="00CC21FC" w:rsidP="003F6D3E">
      <w:pPr>
        <w:pStyle w:val="NormalHanging12a"/>
        <w:widowControl/>
        <w:rPr>
          <w:szCs w:val="24"/>
        </w:rPr>
      </w:pPr>
      <w:r>
        <w:t>37</w:t>
      </w:r>
      <w:r w:rsidR="003F6D3E" w:rsidRPr="00EB07C0">
        <w:t>.</w:t>
      </w:r>
      <w:r w:rsidR="003F6D3E" w:rsidRPr="00EB07C0">
        <w:tab/>
        <w:t>приветства дейностите на Палатата за повишаване на осведомеността, проучванията и обученията, предлагани през 2024 г. на нейните служители, на нейните членове или общо на служителите и членовете, относно политиката на Палатата за борба с тормоза и за уважение на работното място; отбелязва със загриженост, че през 2024 г. е проведено едно административно разследване във връзка с твърдения за сексуален и психически тормоз, което е последвано от дисциплинарни действия въз основа на заключението, че е установено неподходящо поведение от страна на разследваното лице;</w:t>
      </w:r>
    </w:p>
    <w:p w14:paraId="5E65C039" w14:textId="7E23874C" w:rsidR="003F6D3E" w:rsidRPr="00EB07C0" w:rsidRDefault="00CC21FC" w:rsidP="003F6D3E">
      <w:pPr>
        <w:pStyle w:val="NormalHanging12a"/>
        <w:widowControl/>
        <w:rPr>
          <w:szCs w:val="24"/>
        </w:rPr>
      </w:pPr>
      <w:r>
        <w:t>38</w:t>
      </w:r>
      <w:r w:rsidR="003F6D3E" w:rsidRPr="00EB07C0">
        <w:t>.</w:t>
      </w:r>
      <w:r w:rsidR="003F6D3E" w:rsidRPr="00EB07C0">
        <w:tab/>
        <w:t>отбелязва въз основа на въпросника, че Палатата е предприела редица действия през 2024 г. в съответствие със своя план за действие за многообразие и приобщаване за периода 2021 — 2025 г. в различни области, като набиране на служители, обучение, професионална кариера, условия на труд и осведоменост на служителите; отбелязва, че Палатата интегрира многообразието и приобщаването в своите процеси за управление на изпълнението, оценка, сертифициране и повишаване, както и в своите програми за обучение, като през 2024 г. 13 ръководители са преминали доброволна оценка по въпросите на многообразието и приобщаването; приветства специализирания курс за обучение, озаглавен „</w:t>
      </w:r>
      <w:proofErr w:type="spellStart"/>
      <w:r w:rsidR="003F6D3E" w:rsidRPr="00EB07C0">
        <w:t>Women</w:t>
      </w:r>
      <w:proofErr w:type="spellEnd"/>
      <w:r w:rsidR="003F6D3E" w:rsidRPr="00EB07C0">
        <w:t xml:space="preserve"> </w:t>
      </w:r>
      <w:proofErr w:type="spellStart"/>
      <w:r w:rsidR="003F6D3E" w:rsidRPr="00EB07C0">
        <w:t>managers</w:t>
      </w:r>
      <w:proofErr w:type="spellEnd"/>
      <w:r w:rsidR="003F6D3E" w:rsidRPr="00EB07C0">
        <w:t xml:space="preserve"> </w:t>
      </w:r>
      <w:proofErr w:type="spellStart"/>
      <w:r w:rsidR="003F6D3E" w:rsidRPr="00EB07C0">
        <w:t>rise</w:t>
      </w:r>
      <w:proofErr w:type="spellEnd"/>
      <w:r w:rsidR="003F6D3E" w:rsidRPr="00EB07C0">
        <w:t xml:space="preserve"> </w:t>
      </w:r>
      <w:proofErr w:type="spellStart"/>
      <w:r w:rsidR="003F6D3E" w:rsidRPr="00EB07C0">
        <w:t>up</w:t>
      </w:r>
      <w:proofErr w:type="spellEnd"/>
      <w:r w:rsidR="003F6D3E" w:rsidRPr="00EB07C0">
        <w:t xml:space="preserve">: </w:t>
      </w:r>
      <w:proofErr w:type="spellStart"/>
      <w:r w:rsidR="003F6D3E" w:rsidRPr="00EB07C0">
        <w:t>skilling</w:t>
      </w:r>
      <w:proofErr w:type="spellEnd"/>
      <w:r w:rsidR="003F6D3E" w:rsidRPr="00EB07C0">
        <w:t xml:space="preserve"> </w:t>
      </w:r>
      <w:proofErr w:type="spellStart"/>
      <w:r w:rsidR="003F6D3E" w:rsidRPr="00EB07C0">
        <w:t>for</w:t>
      </w:r>
      <w:proofErr w:type="spellEnd"/>
      <w:r w:rsidR="003F6D3E" w:rsidRPr="00EB07C0">
        <w:t xml:space="preserve"> </w:t>
      </w:r>
      <w:proofErr w:type="spellStart"/>
      <w:r w:rsidR="003F6D3E" w:rsidRPr="00EB07C0">
        <w:t>success</w:t>
      </w:r>
      <w:proofErr w:type="spellEnd"/>
      <w:r w:rsidR="003F6D3E" w:rsidRPr="00EB07C0">
        <w:t>“ (Възход на жените мениджъри: придобиване на умения за успех), който Палатата организира, за да насърчи жените да заемат ръководни длъжности; приветства освен това новите програми на Палатата за положителни действия за стажантите и договорно наетите служители, насочени към хората с увреждания, като се предлагат два стажа годишно на хора с признати увреждания; отбелязва със задоволство, че през 2024 г. Палатата организира за четвърти път седмица на осведомеността относно уврежданията, по време на която беше въведена нова пътна карта за хората с увреждания, като по този начин се подчертават усилията на Палатата за изграждане на по-приобщаващо работно място; отбелязва със задоволство, че Палатата публикува и средносрочни прегледи на своя план за действие за многообразие и приобщаване, за да осигури прозрачност и ангажираност в цялата организация;</w:t>
      </w:r>
    </w:p>
    <w:p w14:paraId="008C370F" w14:textId="77777777" w:rsidR="003F6D3E" w:rsidRPr="00EB07C0" w:rsidRDefault="003F6D3E" w:rsidP="003F6D3E">
      <w:pPr>
        <w:pStyle w:val="NormalHanging12a"/>
        <w:widowControl/>
        <w:rPr>
          <w:b/>
          <w:i/>
          <w:iCs/>
          <w:szCs w:val="24"/>
        </w:rPr>
      </w:pPr>
      <w:r w:rsidRPr="00EB07C0">
        <w:rPr>
          <w:b/>
          <w:i/>
        </w:rPr>
        <w:t>Етична рамка и прозрачност</w:t>
      </w:r>
    </w:p>
    <w:p w14:paraId="1E28E097" w14:textId="340A68D2" w:rsidR="003F6D3E" w:rsidRPr="00EB07C0" w:rsidRDefault="00CC21FC" w:rsidP="003F6D3E">
      <w:pPr>
        <w:pStyle w:val="NormalHanging12a"/>
        <w:widowControl/>
        <w:rPr>
          <w:szCs w:val="24"/>
        </w:rPr>
      </w:pPr>
      <w:r>
        <w:t>39</w:t>
      </w:r>
      <w:r w:rsidR="003F6D3E" w:rsidRPr="00EB07C0">
        <w:t>.</w:t>
      </w:r>
      <w:r w:rsidR="003F6D3E" w:rsidRPr="00EB07C0">
        <w:tab/>
        <w:t xml:space="preserve">подчертава изключително важната роля на Палатата като независим външен одитор на Съюза и пазител на неговите финанси, което изисква от Палатата да се придържа към най-високите стандарти за почтеност, професионализъм и отчетност, както и към принципа на взаимно лоялно сътрудничество между институциите на Съюза, служейки като образцова институция, която вдъхва доверие и осигурява надеждност; припомня, че в съответствие с член 285 от ДФЕС членовете на Палатата трябва да изпълняват функциите си при пълна </w:t>
      </w:r>
      <w:r w:rsidR="003F6D3E" w:rsidRPr="00EB07C0">
        <w:lastRenderedPageBreak/>
        <w:t>независимост и да се придържат към най-високите етични принципи, като демонстрират почтеност, обективност, професионално поведение, достойнство, ангажираност и лоялност;</w:t>
      </w:r>
    </w:p>
    <w:p w14:paraId="213CC5CB" w14:textId="0E63FDA9" w:rsidR="003F6D3E" w:rsidRPr="00EB07C0" w:rsidRDefault="00CC21FC" w:rsidP="003F6D3E">
      <w:pPr>
        <w:pStyle w:val="NormalHanging12a"/>
        <w:widowControl/>
        <w:rPr>
          <w:szCs w:val="24"/>
        </w:rPr>
      </w:pPr>
      <w:r>
        <w:t>40</w:t>
      </w:r>
      <w:r w:rsidR="003F6D3E" w:rsidRPr="00EB07C0">
        <w:t>.</w:t>
      </w:r>
      <w:r w:rsidR="003F6D3E" w:rsidRPr="00EB07C0">
        <w:tab/>
        <w:t>отбелязва със загриженост отказа на Палатата да снеме имунитета на бившия си председател и решението на Палатата да отхвърли искането на Европейската прокуратура да позволи на редица служители на Палатата да свидетелстват в рамките на текущо наказателно разследване; отбелязва въз основа на доклада за последващите действия, че Палатата не е свалила посочения имунитет, тъй като Европейската прокуратура не е предоставила на Палатата достатъчно информация, която да ѝ позволи да разбере във връзка с кои действия са обвинени засегнатите лица и в каква степен тези действия биха могли да представляват престъпно поведение, като Палатата се е позовала на съдебната практика като част от приложимата правна уредба в подкрепа на тази си позиция; отбелязва, че на 10 февруари 2025 г. Европейската прокуратура обжалва (дело T-99/25) пред Съда на Европейския съюз съгласно член 263, параграф 4 от ДФЕС решението на Палатата да отхвърли искането на Европейската прокуратура да позволи на редица служители на Палатата да свидетелстват в текущо наказателно разследване; отбелязва освен това, че горепосочената жалба не оспорва решението да не се снема имунитетът на засегнатите лица; подчертава, че задължението на институциите на Съюза за лоялно сътрудничество изисква разрешенията за изслушване на служители като свидетели в наказателни разследвания да бъдат отказвани само при строго изключителни обстоятелства; настоятелно призовава Палатата да поясни критериите, прилагани при вземането на решения по искания на Европейската прокуратура, и да гарантира, че тези решения не могат да се възприемат като възпрепятстващи съдебните разследвания; призовава Палатата да поддържа високо равнище на прозрачност и отчетност при сътрудничеството си с Европейската прокуратура и други органи на Съюза, отговарящи за борбата срещу измами и неправомерни действия и да гарантира, че имунитетът не се използва за възпрепятстване на законни съдебни производства;</w:t>
      </w:r>
    </w:p>
    <w:p w14:paraId="337CBFEC" w14:textId="2D06E6CE" w:rsidR="003F6D3E" w:rsidRPr="00EB07C0" w:rsidRDefault="00CC21FC" w:rsidP="003F6D3E">
      <w:pPr>
        <w:pStyle w:val="NormalHanging12a"/>
        <w:widowControl/>
        <w:rPr>
          <w:szCs w:val="24"/>
        </w:rPr>
      </w:pPr>
      <w:r>
        <w:t>41</w:t>
      </w:r>
      <w:r w:rsidR="003F6D3E" w:rsidRPr="00EB07C0">
        <w:t>.</w:t>
      </w:r>
      <w:r w:rsidR="003F6D3E" w:rsidRPr="00EB07C0">
        <w:tab/>
        <w:t>отбелязва, че през 2024 г. няма случаи на подадени сигнали за нередности в Палатата; отбелязва освен това, че през 2023 г. Палатата започна процес на актуализиране на правилата си за провеждане на административни разследвания и дисциплинарни процедури, който приключи в началото на 2024 г.;</w:t>
      </w:r>
    </w:p>
    <w:p w14:paraId="53DB8149" w14:textId="7CD13F54" w:rsidR="003F6D3E" w:rsidRPr="00EB07C0" w:rsidRDefault="00CC21FC" w:rsidP="003F6D3E">
      <w:pPr>
        <w:pStyle w:val="NormalHanging12a"/>
        <w:widowControl/>
        <w:rPr>
          <w:szCs w:val="24"/>
        </w:rPr>
      </w:pPr>
      <w:r>
        <w:t>42</w:t>
      </w:r>
      <w:r w:rsidR="003F6D3E" w:rsidRPr="00EB07C0">
        <w:t>.</w:t>
      </w:r>
      <w:r w:rsidR="003F6D3E" w:rsidRPr="00EB07C0">
        <w:tab/>
        <w:t>отбелязва със задоволство, че Палатата разполага със солидна етична рамка, която включва етични насоки, приложими както за членовете, така и за служителите на Палатата, и с кодекс за поведение за членовете на Палатата; отбелязва, че Палатата има и комитет по етика, който заседава редовно, за да прави преглед на съответните етични въпроси, включително външните дейности на членовете на Палатата, и който се състои от двама членове на Палатата и един външен член; отбелязва въз основа на годишния доклад на комитета по етика за 2024 г., че той е провел шест заседания и е получил 17 декларации от настоящи членове на Палатата (относно външни дейности) и бивши членове на Палатата (относно техните планове за заетост, след като приключи мандатът им в Палатата), като всички те са получили положително становище през 2024 г.;</w:t>
      </w:r>
    </w:p>
    <w:p w14:paraId="26FBA6B9" w14:textId="02777933" w:rsidR="003F6D3E" w:rsidRPr="00EB07C0" w:rsidRDefault="00CC21FC" w:rsidP="003F6D3E">
      <w:pPr>
        <w:pStyle w:val="NormalHanging12a"/>
        <w:widowControl/>
        <w:rPr>
          <w:szCs w:val="24"/>
        </w:rPr>
      </w:pPr>
      <w:r>
        <w:t>43</w:t>
      </w:r>
      <w:r w:rsidR="003F6D3E" w:rsidRPr="00EB07C0">
        <w:t>.</w:t>
      </w:r>
      <w:r w:rsidR="003F6D3E" w:rsidRPr="00EB07C0">
        <w:tab/>
        <w:t xml:space="preserve">отбелязва, че декларациите за интереси на членовете на Палатата се попълват ежегодно, както и всеки път, когато настъпи значителна промяна, и се публикуват </w:t>
      </w:r>
      <w:r w:rsidR="003F6D3E" w:rsidRPr="00EB07C0">
        <w:lastRenderedPageBreak/>
        <w:t>на уебсайтовете на Палатата; отбелязва със задоволство, че подробности относно командировките на членовете на Палатата, включително разходите, също се публикуват онлайн; приветства Палатата за приключването на работата по актуализирането на нейните правила за предприемане на административни и дисциплинарни действия през 2024 г.; отбелязва въз основа на въпросника, че през 2024 г. не са установени случаи на конфликт на интереси;</w:t>
      </w:r>
    </w:p>
    <w:p w14:paraId="1F37D73C" w14:textId="3C713A6C" w:rsidR="003F6D3E" w:rsidRPr="00EB07C0" w:rsidRDefault="00CC21FC" w:rsidP="003F6D3E">
      <w:pPr>
        <w:pStyle w:val="NormalHanging12a"/>
        <w:widowControl/>
        <w:rPr>
          <w:szCs w:val="24"/>
        </w:rPr>
      </w:pPr>
      <w:r>
        <w:t>44</w:t>
      </w:r>
      <w:r w:rsidR="003F6D3E" w:rsidRPr="00EB07C0">
        <w:t>.</w:t>
      </w:r>
      <w:r w:rsidR="003F6D3E" w:rsidRPr="00EB07C0">
        <w:tab/>
        <w:t>отбелязва със задоволство въз основа на въпросника, че Палатата организира ежегодно ден за обучение по етика; отбелязва освен това, че Палатата е предоставила на всички служители, включително новопостъпилите служители и ръководителите, курсове по въпроси от областта на етиката, включително три семинара по етика през 2024 г.; отбелязва, че тези курсове са привлекли 681 участници през посочената година;</w:t>
      </w:r>
    </w:p>
    <w:p w14:paraId="3C48CBF9" w14:textId="5EDB111C" w:rsidR="003F6D3E" w:rsidRPr="00EB07C0" w:rsidRDefault="00CC21FC" w:rsidP="003F6D3E">
      <w:pPr>
        <w:pStyle w:val="NormalHanging12a"/>
        <w:widowControl/>
        <w:rPr>
          <w:szCs w:val="24"/>
        </w:rPr>
      </w:pPr>
      <w:r>
        <w:t>45</w:t>
      </w:r>
      <w:r w:rsidR="003F6D3E" w:rsidRPr="00EB07C0">
        <w:t>.</w:t>
      </w:r>
      <w:r w:rsidR="003F6D3E" w:rsidRPr="00EB07C0">
        <w:tab/>
        <w:t>отбелязва, че през 2024 г. нито Европейската служба за борба с измамите (OLAF), нито Омбудсманът започнаха разследвания, засягащи Палатата;</w:t>
      </w:r>
    </w:p>
    <w:p w14:paraId="4FC5EB9E" w14:textId="152C41C8" w:rsidR="003F6D3E" w:rsidRPr="00EB07C0" w:rsidRDefault="00CC21FC" w:rsidP="003F6D3E">
      <w:pPr>
        <w:pStyle w:val="NormalHanging12a"/>
        <w:widowControl/>
        <w:rPr>
          <w:szCs w:val="24"/>
        </w:rPr>
      </w:pPr>
      <w:r>
        <w:t>46</w:t>
      </w:r>
      <w:r w:rsidR="003F6D3E" w:rsidRPr="00EB07C0">
        <w:t>.</w:t>
      </w:r>
      <w:r w:rsidR="003F6D3E" w:rsidRPr="00EB07C0">
        <w:tab/>
        <w:t xml:space="preserve">отново отправя критиката, изразена в предходни резолюции за освобождаване от отговорност, във връзка с решението на Палатата от 2022 г. относно пътуванията, командировките и използването на шофьори и автомобили от страна на нейните членове, което противоречи на общия принцип, че автомобилният парк не следва при никакви обстоятелства да се използва за други цели освен стриктно за изпълнението на задълженията на членовете на Палатата; отново призовава всички институции на Съюза да се споразумеят за единна система относно използването на служебните автомобили, която да се прилага хоризонтално, като по този начин ще се намали объркването и ще се увеличат прозрачността и ефикасността при използването на публични средства; приветства факта, че през 2024 г. Палатата, съвместно със Съда на ЕС, покани Комисията да участва в междуинституционален диалог с оглед на договарянето на общи правила относно използването на служебните автомобили; отбелязва в този контекст въз основа на въпросника, че е била създадена </w:t>
      </w:r>
      <w:proofErr w:type="spellStart"/>
      <w:r w:rsidR="003F6D3E" w:rsidRPr="00EB07C0">
        <w:rPr>
          <w:i/>
        </w:rPr>
        <w:t>ad</w:t>
      </w:r>
      <w:proofErr w:type="spellEnd"/>
      <w:r w:rsidR="003F6D3E" w:rsidRPr="00EB07C0">
        <w:rPr>
          <w:i/>
        </w:rPr>
        <w:t xml:space="preserve"> </w:t>
      </w:r>
      <w:proofErr w:type="spellStart"/>
      <w:r w:rsidR="003F6D3E" w:rsidRPr="00EB07C0">
        <w:rPr>
          <w:i/>
        </w:rPr>
        <w:t>hoc</w:t>
      </w:r>
      <w:proofErr w:type="spellEnd"/>
      <w:r w:rsidR="003F6D3E" w:rsidRPr="00EB07C0">
        <w:t xml:space="preserve"> работна група, която е заседавала многократно и е издала няколко препоръки; приканва Палатата да информира редовно органа по освобождаване от отговорност за напредъка, постигнат по този въпрос;</w:t>
      </w:r>
    </w:p>
    <w:p w14:paraId="76ECF645" w14:textId="5DE44AA1" w:rsidR="003F6D3E" w:rsidRPr="00EB07C0" w:rsidRDefault="00CC21FC" w:rsidP="003F6D3E">
      <w:pPr>
        <w:pStyle w:val="NormalHanging12a"/>
        <w:widowControl/>
        <w:rPr>
          <w:szCs w:val="24"/>
        </w:rPr>
      </w:pPr>
      <w:r>
        <w:t>47</w:t>
      </w:r>
      <w:r w:rsidR="003F6D3E" w:rsidRPr="00EB07C0">
        <w:t>.</w:t>
      </w:r>
      <w:r w:rsidR="003F6D3E" w:rsidRPr="00EB07C0">
        <w:tab/>
        <w:t>припомня факта, че Службата за вътрешен одит на Палатата извърши одит на етичната рамка, приложима за служителите и членовете на Палатата; отбелязва въз основа на окончателния доклад (02/2023), изпратен от Палатата на председателя на Парламента на 9 юли 2024 г., и въз основа на въпросника, че Службата за вътрешен одит е отправила 16 препоръки, 15 от които вече са изпълнени, а една препоръка относно конфликтите на интереси на служителите е в процес на изпълнение; настоятелно призовава Палатата да приключи незабавно препоръката в процес на изпълнение и я приканва да информира надлежно органа по освобождаване от отговорност за напредъка, постигнат в това отношение;</w:t>
      </w:r>
    </w:p>
    <w:p w14:paraId="7BB0A827" w14:textId="1A0FEC71" w:rsidR="003F6D3E" w:rsidRPr="00EB07C0" w:rsidRDefault="00CC21FC" w:rsidP="003F6D3E">
      <w:pPr>
        <w:pStyle w:val="NormalHanging12a"/>
        <w:widowControl/>
        <w:rPr>
          <w:szCs w:val="24"/>
        </w:rPr>
      </w:pPr>
      <w:bookmarkStart w:id="9" w:name="_Hlk215774993"/>
      <w:r>
        <w:t>48</w:t>
      </w:r>
      <w:r w:rsidR="003F6D3E" w:rsidRPr="00EB07C0">
        <w:t>.</w:t>
      </w:r>
      <w:r w:rsidR="003F6D3E" w:rsidRPr="00EB07C0">
        <w:tab/>
        <w:t xml:space="preserve">отбелязва, че според доклада на Палатата през 2024 г. не са установени случаи на корупция или измами във вътрешните операции на Палатата; високо оценява факта, че Палатата организира превантивно обучение относно политиките и процедурите за борба с корупцията, десет сесии от което са проведени през 2024 г., като са присъствали общо 257 души; високо оценява факта, че според доклада за последващите действия през 2024 г. Палатата е публикувала единен </w:t>
      </w:r>
      <w:r w:rsidR="003F6D3E" w:rsidRPr="00EB07C0">
        <w:lastRenderedPageBreak/>
        <w:t>консолидиран документ относно разглеждането на свързани с измами въпроси в контекста на своите одитни дейности, който предоставя изчерпателни и подробни насоки на одиторите на Палатата, като по този начин е хармонизирала начина, по който одитните състави на Палатата разглеждат случаите на предполагаема измама, корупция или друга незаконна дейност, засягащи финансовите интереси на Съюза и разкрити по време на външната одитна дейност, и допринася за осигуряването на съгласуваност; отбелязва, че рискът от измами във връзка с вътрешните операции на Палатата се управлява чрез рамката за вътрешен контрол на Палатата, създадена с цел предотвратяване, откриване, коригиране и предприемане на последващи действия във връзка с всички нередности, свързани с членове или служители на Палатата, които биха могли да засегнат финансовите интереси на Съюза; отбелязва освен това становището на Палатата, че разработването на самостоятелна стратегия за борба с измамите за вътрешните операции ще доведе до непропорционална административна тежест, като се има предвид вече въведеният обстоен контрол, но въпреки това продължава да изисква от Палатата да приеме стратегия за борба с измамите, обхващаща всички видове операции;</w:t>
      </w:r>
    </w:p>
    <w:bookmarkEnd w:id="9"/>
    <w:p w14:paraId="432FE05F" w14:textId="60752DBB" w:rsidR="003F6D3E" w:rsidRPr="00EB07C0" w:rsidRDefault="00CC21FC" w:rsidP="003F6D3E">
      <w:pPr>
        <w:pStyle w:val="NormalHanging12a"/>
        <w:widowControl/>
        <w:rPr>
          <w:szCs w:val="24"/>
        </w:rPr>
      </w:pPr>
      <w:r>
        <w:t>49</w:t>
      </w:r>
      <w:r w:rsidR="003F6D3E" w:rsidRPr="00EB07C0">
        <w:t>.</w:t>
      </w:r>
      <w:r w:rsidR="003F6D3E" w:rsidRPr="00EB07C0">
        <w:tab/>
        <w:t>отбелязва становището на Палатата, изразено в доклада за последващите действия, че ролята ѝ на независима външна одитна институция я поставя извън типичния обхват на субектите, които се стремят да взаимодействат с органите за вземане на решения на Съюза и да лобират пред тях; счита, че този аргумент не е изцяло приложим, тъй като Палатата изготвя специални доклади, в които проверява дали са постигнати целите на политиките и програмите на Съюза, което придава на работата на Палатата политическо или консултативно измерение, въпреки че Палатата не е орган за вземане на решения; припомня освен това, че има други органи на Съюза, които не вземат решения, както и консултативни органи на Съюза, които официално се присъединиха към регистъра за прозрачност на Съюза; отново призовава Палатата незабавно да се присъедини към регистъра за прозрачност в съответствие с практиките на други органи на Съюза, които не вземат решения, за да се укрепи общественото доверие, като същевременно напълно се запази независимостта ѝ като външен одитор на Съюза;</w:t>
      </w:r>
    </w:p>
    <w:p w14:paraId="1EBF6E43" w14:textId="77777777" w:rsidR="003F6D3E" w:rsidRPr="00EB07C0" w:rsidRDefault="003F6D3E" w:rsidP="003F6D3E">
      <w:pPr>
        <w:pStyle w:val="NormalHanging12a"/>
        <w:widowControl/>
        <w:rPr>
          <w:b/>
          <w:i/>
          <w:iCs/>
          <w:szCs w:val="24"/>
        </w:rPr>
      </w:pPr>
      <w:r w:rsidRPr="00EB07C0">
        <w:rPr>
          <w:b/>
          <w:i/>
        </w:rPr>
        <w:t>Цифровизация, киберсигурност и защита на данните</w:t>
      </w:r>
    </w:p>
    <w:p w14:paraId="30F5BA56" w14:textId="0A6846A3" w:rsidR="003F6D3E" w:rsidRPr="00EB07C0" w:rsidRDefault="00CC21FC" w:rsidP="003F6D3E">
      <w:pPr>
        <w:pStyle w:val="NormalHanging12a"/>
        <w:widowControl/>
        <w:rPr>
          <w:szCs w:val="24"/>
        </w:rPr>
      </w:pPr>
      <w:r>
        <w:t>50</w:t>
      </w:r>
      <w:r w:rsidR="003F6D3E" w:rsidRPr="00EB07C0">
        <w:t>.</w:t>
      </w:r>
      <w:r w:rsidR="003F6D3E" w:rsidRPr="00EB07C0">
        <w:tab/>
        <w:t>отбелязва въз основа на въпросника, че общият бюджет на Палатата за ИТ (хардуер, софтуер, ИТ услуги и телекомуникации), за който са поети задължения, е намалял с 12,10% от приблизително 10,8 милиона евро през 2023 г. на приблизително 9,5 милиона евро през 2024 г.; отбелязва сред големите ИТ проекти на Палатата, финансирани през 2024 г., модернизирането на нейния уебсайт и интранет, преминаването към по-сигурно решение за достъп от разстояние и въвеждането на нова система за управление на писмените преводи;</w:t>
      </w:r>
    </w:p>
    <w:p w14:paraId="5DFA3F58" w14:textId="5D6A9DAD" w:rsidR="003F6D3E" w:rsidRPr="00EB07C0" w:rsidRDefault="00CC21FC" w:rsidP="003F6D3E">
      <w:pPr>
        <w:pStyle w:val="NormalHanging12a"/>
        <w:widowControl/>
        <w:rPr>
          <w:szCs w:val="24"/>
        </w:rPr>
      </w:pPr>
      <w:r>
        <w:t>51</w:t>
      </w:r>
      <w:r w:rsidR="003F6D3E" w:rsidRPr="00EB07C0">
        <w:t>.</w:t>
      </w:r>
      <w:r w:rsidR="003F6D3E" w:rsidRPr="00EB07C0">
        <w:tab/>
        <w:t>решително подкрепя усилията на Палатата за развитие на екосистема от знания относно одита чрез цифровизация; отбелязва в този контекст въз основа на въпросника, че през 2024 г. Палатата е изпълнила няколко инициативи за повишаване на своя цифров капацитет и своята оперативна ефективност, включително интегрирането на ИТ системите за одит, повишаването на оперативната съвместимост между системите и приложенията, въвеждането на виртуален асистент за четене на документи (</w:t>
      </w:r>
      <w:proofErr w:type="spellStart"/>
      <w:r w:rsidR="003F6D3E" w:rsidRPr="00EB07C0">
        <w:rPr>
          <w:i/>
          <w:iCs/>
        </w:rPr>
        <w:t>Document</w:t>
      </w:r>
      <w:proofErr w:type="spellEnd"/>
      <w:r w:rsidR="003F6D3E" w:rsidRPr="00EB07C0">
        <w:rPr>
          <w:i/>
          <w:iCs/>
        </w:rPr>
        <w:t xml:space="preserve"> </w:t>
      </w:r>
      <w:proofErr w:type="spellStart"/>
      <w:r w:rsidR="003F6D3E" w:rsidRPr="00EB07C0">
        <w:rPr>
          <w:i/>
          <w:iCs/>
        </w:rPr>
        <w:t>Reading</w:t>
      </w:r>
      <w:proofErr w:type="spellEnd"/>
      <w:r w:rsidR="003F6D3E" w:rsidRPr="00EB07C0">
        <w:rPr>
          <w:i/>
          <w:iCs/>
        </w:rPr>
        <w:t xml:space="preserve"> </w:t>
      </w:r>
      <w:proofErr w:type="spellStart"/>
      <w:r w:rsidR="003F6D3E" w:rsidRPr="00EB07C0">
        <w:rPr>
          <w:i/>
          <w:iCs/>
        </w:rPr>
        <w:t>Assistant</w:t>
      </w:r>
      <w:proofErr w:type="spellEnd"/>
      <w:r w:rsidR="003F6D3E" w:rsidRPr="00EB07C0">
        <w:t xml:space="preserve">, или DORA) в подкрепа на управлението на знанията в рамките на одитните дейности, </w:t>
      </w:r>
      <w:r w:rsidR="003F6D3E" w:rsidRPr="00EB07C0">
        <w:lastRenderedPageBreak/>
        <w:t xml:space="preserve">въвеждането на услугата </w:t>
      </w:r>
      <w:proofErr w:type="spellStart"/>
      <w:r w:rsidR="003F6D3E" w:rsidRPr="00EB07C0">
        <w:rPr>
          <w:i/>
          <w:iCs/>
        </w:rPr>
        <w:t>BibliotECA</w:t>
      </w:r>
      <w:proofErr w:type="spellEnd"/>
      <w:r w:rsidR="003F6D3E" w:rsidRPr="00EB07C0">
        <w:rPr>
          <w:i/>
          <w:iCs/>
        </w:rPr>
        <w:t xml:space="preserve"> </w:t>
      </w:r>
      <w:proofErr w:type="spellStart"/>
      <w:r w:rsidR="003F6D3E" w:rsidRPr="00EB07C0">
        <w:rPr>
          <w:i/>
          <w:iCs/>
        </w:rPr>
        <w:t>Discovery</w:t>
      </w:r>
      <w:proofErr w:type="spellEnd"/>
      <w:r w:rsidR="003F6D3E" w:rsidRPr="00EB07C0">
        <w:rPr>
          <w:i/>
          <w:iCs/>
        </w:rPr>
        <w:t xml:space="preserve"> </w:t>
      </w:r>
      <w:proofErr w:type="spellStart"/>
      <w:r w:rsidR="003F6D3E" w:rsidRPr="00EB07C0">
        <w:rPr>
          <w:i/>
          <w:iCs/>
        </w:rPr>
        <w:t>Collections</w:t>
      </w:r>
      <w:proofErr w:type="spellEnd"/>
      <w:r w:rsidR="003F6D3E" w:rsidRPr="00EB07C0">
        <w:t xml:space="preserve"> и приемането на нова политика в областта на цифровото архивиране; подчертава, че съчетаването на цифровизацията с увеличен брой посещения на място следва да доведе до по-ефективни и точни одитни резултати; насърчава допълнителни инвестиции в подпомагани от ИИ инструменти за одит и в оперативната съвместимост на системите с цел повишаване на точността на одитите, намаляване на административната тежест и постигане на максимална икономическа ефективност;</w:t>
      </w:r>
    </w:p>
    <w:p w14:paraId="645D0575" w14:textId="5E2FD41B" w:rsidR="003F6D3E" w:rsidRPr="00EB07C0" w:rsidRDefault="00CC21FC" w:rsidP="003F6D3E">
      <w:pPr>
        <w:pStyle w:val="NormalHanging12a"/>
        <w:widowControl/>
        <w:rPr>
          <w:szCs w:val="24"/>
        </w:rPr>
      </w:pPr>
      <w:r>
        <w:t>52</w:t>
      </w:r>
      <w:r w:rsidR="003F6D3E" w:rsidRPr="00EB07C0">
        <w:t>.</w:t>
      </w:r>
      <w:r w:rsidR="003F6D3E" w:rsidRPr="00EB07C0">
        <w:tab/>
        <w:t xml:space="preserve">високо оценява публикуването на първоначалната стратегия на Палатата за изкуствения интелект и пътната карта за внедряване за периода 2024 — 2025 г.; отбелязва със задоволство въз основа на въпросника, че Палатата е постигнала стабилен напредък в изпълнението на тази стратегия, като се е съсредоточила, наред с другото, върху изпитването и подготовката за внедряването на инструменти като </w:t>
      </w:r>
      <w:r w:rsidR="003F6D3E" w:rsidRPr="00EB07C0">
        <w:rPr>
          <w:i/>
          <w:iCs/>
        </w:rPr>
        <w:t xml:space="preserve">Microsoft </w:t>
      </w:r>
      <w:proofErr w:type="spellStart"/>
      <w:r w:rsidR="003F6D3E" w:rsidRPr="00EB07C0">
        <w:rPr>
          <w:i/>
          <w:iCs/>
        </w:rPr>
        <w:t>Copilot</w:t>
      </w:r>
      <w:proofErr w:type="spellEnd"/>
      <w:r w:rsidR="003F6D3E" w:rsidRPr="00EB07C0">
        <w:t xml:space="preserve"> и GPT@EC, повишаването на осведомеността на служителите чрез целенасочено обучение в областта на ИИ, както и изпитването на приложения с ИИ в хода на одитната работа и споделянето на предварителни констатации; приветства освен това укрепването на управлението на ИИ на Палатата, като през 2024 г. Палатата създаде консултативен комитет по ИИ и назначи кореспондент по ИИ; отбелязва със задоволство, че консултативният комитет по ИИ, чиято роля е да подкрепя и дава съвети на Палатата при изпълнението на нейните задължения, произтичащи от правната и етичната рамка, уреждаща използването на ИИ, се състои от служители с експертен опит в различни области, така че да се осигури всеобхватен подход и разбиране на въздействието на ИИ; призовава Палатата, като част от своята стратегия за ИИ, да разработи ясни показатели за оценка на добавената стойност, рисковете и ограниченията на подпомаганите от ИИ инструменти за одит и да докладва редовно на Парламента относно тяхното въздействие върху качеството на одитите, прозрачността и отговорността; подчертава, че ИИ трябва да се използва при спазване на строги принципи на етично използване, прозрачност, защита на данните, човешки надзор и защита срещу алгоритмични предубеждения и злоупотреба;</w:t>
      </w:r>
    </w:p>
    <w:p w14:paraId="5FA74852" w14:textId="6BE8FCFA" w:rsidR="003F6D3E" w:rsidRPr="00EB07C0" w:rsidRDefault="00CC21FC" w:rsidP="003F6D3E">
      <w:pPr>
        <w:pStyle w:val="NormalHanging12a"/>
        <w:widowControl/>
        <w:rPr>
          <w:szCs w:val="24"/>
        </w:rPr>
      </w:pPr>
      <w:r>
        <w:t>53</w:t>
      </w:r>
      <w:r w:rsidR="003F6D3E" w:rsidRPr="00EB07C0">
        <w:t>.</w:t>
      </w:r>
      <w:r w:rsidR="003F6D3E" w:rsidRPr="00EB07C0">
        <w:tab/>
        <w:t xml:space="preserve">отбелязва въз основа на въпросника, че Палатата е реализирала напредък в изпълнението на своя план за киберсигурност, като е постигнала няколко важни етапни цели през 2024 г., включително приемането на система за удостоверяване на автентичността без пароли чрез </w:t>
      </w:r>
      <w:r w:rsidR="003F6D3E" w:rsidRPr="00EB07C0">
        <w:rPr>
          <w:i/>
          <w:iCs/>
        </w:rPr>
        <w:t xml:space="preserve">Windows </w:t>
      </w:r>
      <w:proofErr w:type="spellStart"/>
      <w:r w:rsidR="003F6D3E" w:rsidRPr="00EB07C0">
        <w:rPr>
          <w:i/>
          <w:iCs/>
        </w:rPr>
        <w:t>Hello</w:t>
      </w:r>
      <w:proofErr w:type="spellEnd"/>
      <w:r w:rsidR="003F6D3E" w:rsidRPr="00EB07C0">
        <w:rPr>
          <w:i/>
          <w:iCs/>
        </w:rPr>
        <w:t xml:space="preserve"> </w:t>
      </w:r>
      <w:proofErr w:type="spellStart"/>
      <w:r w:rsidR="003F6D3E" w:rsidRPr="00EB07C0">
        <w:rPr>
          <w:i/>
          <w:iCs/>
        </w:rPr>
        <w:t>for</w:t>
      </w:r>
      <w:proofErr w:type="spellEnd"/>
      <w:r w:rsidR="003F6D3E" w:rsidRPr="00EB07C0">
        <w:rPr>
          <w:i/>
          <w:iCs/>
        </w:rPr>
        <w:t xml:space="preserve"> </w:t>
      </w:r>
      <w:proofErr w:type="spellStart"/>
      <w:r w:rsidR="003F6D3E" w:rsidRPr="00EB07C0">
        <w:rPr>
          <w:i/>
          <w:iCs/>
        </w:rPr>
        <w:t>Business</w:t>
      </w:r>
      <w:proofErr w:type="spellEnd"/>
      <w:r w:rsidR="003F6D3E" w:rsidRPr="00EB07C0">
        <w:t xml:space="preserve">, прилагането на принципите на нулево доверие за укрепване на сигурността на достъпа до системите в облак и системите, основани на </w:t>
      </w:r>
      <w:r w:rsidR="003F6D3E" w:rsidRPr="00EB07C0">
        <w:rPr>
          <w:i/>
          <w:iCs/>
        </w:rPr>
        <w:t xml:space="preserve">EU </w:t>
      </w:r>
      <w:proofErr w:type="spellStart"/>
      <w:r w:rsidR="003F6D3E" w:rsidRPr="00EB07C0">
        <w:rPr>
          <w:i/>
          <w:iCs/>
        </w:rPr>
        <w:t>Login</w:t>
      </w:r>
      <w:proofErr w:type="spellEnd"/>
      <w:r w:rsidR="003F6D3E" w:rsidRPr="00EB07C0">
        <w:t xml:space="preserve">, и внедряването на инструмент за управление на привилегирования достъп с цел по-добра защита на администрирането на информационните системи; отбелязва освен това, че Палатата също така е подобрила подготвеността си в областта на киберсигурността, като е участвала в съвместното учение за повишаване на осведомеността и подготвеността в областта на киберсигурността (JASPER), организирано съвместно от Службата за киберсигурност за институциите, органите, службите и агенциите на Съюза (CERT-EU) и Агенцията на Европейския съюз за киберсигурност (ENISA), и е повишила осведомеността на служителите чрез симулационни учения относно </w:t>
      </w:r>
      <w:proofErr w:type="spellStart"/>
      <w:r w:rsidR="003F6D3E" w:rsidRPr="00EB07C0">
        <w:t>фишинга</w:t>
      </w:r>
      <w:proofErr w:type="spellEnd"/>
      <w:r w:rsidR="003F6D3E" w:rsidRPr="00EB07C0">
        <w:t xml:space="preserve"> с цел намаляване на рисковете, свързани със социалното инженерство;</w:t>
      </w:r>
    </w:p>
    <w:p w14:paraId="2F8E646E" w14:textId="643DF59C" w:rsidR="003F6D3E" w:rsidRPr="00EB07C0" w:rsidRDefault="00CC21FC" w:rsidP="003F6D3E">
      <w:pPr>
        <w:pStyle w:val="NormalHanging12a"/>
        <w:widowControl/>
        <w:rPr>
          <w:szCs w:val="24"/>
        </w:rPr>
      </w:pPr>
      <w:r>
        <w:lastRenderedPageBreak/>
        <w:t>54</w:t>
      </w:r>
      <w:r w:rsidR="003F6D3E" w:rsidRPr="00EB07C0">
        <w:t>.</w:t>
      </w:r>
      <w:r w:rsidR="003F6D3E" w:rsidRPr="00EB07C0">
        <w:tab/>
        <w:t>отбелязва със загриженост, че Палатата беше подложена на кибератака, за която пое отговорност проруска група и при която беше деактивиран нейният публичен уебсайт като част от координирано действие за дестабилизиране на изборите за Европейски парламент през 2024 г.; приветства ангажимента на Палатата за преоценка на рисковете за киберсигурността най-малко на всеки две години; насърчава непрекъснатото провеждане на редовно обучение на служителите относно киберзаплахите с цел повишаване на институционалната издръжливост; приканва Палатата да информира редовно органа по освобождаване от отговорност за резултатите от всяка оценка на рисковете за киберсигурността, която Палатата извършва в контекста на прилагането на Регламент (ЕС, Евратом) 2023/2841</w:t>
      </w:r>
      <w:r w:rsidR="003F6D3E" w:rsidRPr="00EB07C0">
        <w:rPr>
          <w:szCs w:val="24"/>
          <w:vertAlign w:val="superscript"/>
        </w:rPr>
        <w:footnoteReference w:id="7"/>
      </w:r>
      <w:r w:rsidR="003F6D3E" w:rsidRPr="00EB07C0">
        <w:t>;</w:t>
      </w:r>
    </w:p>
    <w:p w14:paraId="04AFA65B" w14:textId="4858AC4E" w:rsidR="003F6D3E" w:rsidRPr="00EB07C0" w:rsidRDefault="00CC21FC" w:rsidP="003F6D3E">
      <w:pPr>
        <w:pStyle w:val="NormalHanging12a"/>
        <w:widowControl/>
        <w:rPr>
          <w:szCs w:val="24"/>
        </w:rPr>
      </w:pPr>
      <w:r>
        <w:t>55</w:t>
      </w:r>
      <w:r w:rsidR="003F6D3E" w:rsidRPr="00EB07C0">
        <w:t>.</w:t>
      </w:r>
      <w:r w:rsidR="003F6D3E" w:rsidRPr="00EB07C0">
        <w:tab/>
        <w:t xml:space="preserve">приветства планираните за 2025 г. инициативи, които имат за цел допълнително укрепване на цифровата трансформация и киберсигурността, като внедряването на </w:t>
      </w:r>
      <w:r w:rsidR="003F6D3E" w:rsidRPr="00EB07C0">
        <w:rPr>
          <w:i/>
          <w:iCs/>
        </w:rPr>
        <w:t xml:space="preserve">Microsoft </w:t>
      </w:r>
      <w:proofErr w:type="spellStart"/>
      <w:r w:rsidR="003F6D3E" w:rsidRPr="00EB07C0">
        <w:rPr>
          <w:i/>
          <w:iCs/>
        </w:rPr>
        <w:t>Copilot</w:t>
      </w:r>
      <w:proofErr w:type="spellEnd"/>
      <w:r w:rsidR="003F6D3E" w:rsidRPr="00EB07C0">
        <w:t>, прилагането на местни модели на генеративен ИИ и инсталирането на биометрична проверка на преносимите компютри; отбелязва също така плана на Палатата да модернизира своята ИТ инфраструктура с нови сървъри, да инсталира нови способности в подкрепа на комбинираните заседания и да задълбочи сътрудничеството си с Междуинституционалния комитет за цифрова трансформация в областта на нововъзникващите технологии, като ИИ;</w:t>
      </w:r>
    </w:p>
    <w:p w14:paraId="618DB517" w14:textId="0CD70A00" w:rsidR="003F6D3E" w:rsidRPr="00EB07C0" w:rsidRDefault="00CC21FC" w:rsidP="003F6D3E">
      <w:pPr>
        <w:pStyle w:val="NormalHanging12a"/>
        <w:widowControl/>
        <w:rPr>
          <w:szCs w:val="24"/>
        </w:rPr>
      </w:pPr>
      <w:r>
        <w:t>56</w:t>
      </w:r>
      <w:r w:rsidR="003F6D3E" w:rsidRPr="00EB07C0">
        <w:t>.</w:t>
      </w:r>
      <w:r w:rsidR="003F6D3E" w:rsidRPr="00EB07C0">
        <w:tab/>
        <w:t>очаква преразгледаната политика за електронния подпис, въведена от Палатата през 2025 г., допълнително да улесни използването на усъвършенствани електронни подписи и да намали зависимостта от процедури на хартиен носител, особено за външната договорна документация; с интерес очаква следващите стъпки за цифровизация на процесите на одобрение и подписване; признава положителното качествено въздействие на цифровизацията върху одитните работни процеси, сътрудничеството и прозрачността, което допринася за по-гъвкави и надеждни одитни резултати;</w:t>
      </w:r>
    </w:p>
    <w:p w14:paraId="146930DD" w14:textId="30A7576D" w:rsidR="003F6D3E" w:rsidRPr="00EB07C0" w:rsidRDefault="00CC21FC" w:rsidP="003F6D3E">
      <w:pPr>
        <w:pStyle w:val="NormalHanging12a"/>
        <w:widowControl/>
        <w:rPr>
          <w:szCs w:val="24"/>
        </w:rPr>
      </w:pPr>
      <w:r>
        <w:t>57</w:t>
      </w:r>
      <w:r w:rsidR="003F6D3E" w:rsidRPr="00EB07C0">
        <w:t>.</w:t>
      </w:r>
      <w:r w:rsidR="003F6D3E" w:rsidRPr="00EB07C0">
        <w:tab/>
        <w:t xml:space="preserve">приветства непрекъснатите усилия на Палатата за укрепване на уменията на служителите чрез нейната програма за обучение в областта на данните и технологиите във връзка с използването на одита на данните и технологиите, разработена в сътрудничество с екипа на Палатата за данни и технологии в одитната дейност (екипа DATA); отбелязва, че тази инициатива подкрепя цифровата трансформация на институцията, като насърчава култура на иновации и предоставя структурирана учебна пътека от основно до напреднало равнище в областта на науката за данните, ИИ и одита на информационните технологии; признава широкия спектър от курсове, проведени през 2024 г., включително модули за машинно самообучение, киберсигурност, правната уредба относно използването на ИИ и визуализацията на данни, както и практическо ИТ обучение относно </w:t>
      </w:r>
      <w:r w:rsidR="003F6D3E" w:rsidRPr="00EB07C0">
        <w:rPr>
          <w:i/>
          <w:iCs/>
        </w:rPr>
        <w:t>Microsoft Office</w:t>
      </w:r>
      <w:r w:rsidR="003F6D3E" w:rsidRPr="00EB07C0">
        <w:t xml:space="preserve"> и специфични за одита инструменти, които повишават техническия експертен опит и оперативната ефективност на одиторите;</w:t>
      </w:r>
    </w:p>
    <w:p w14:paraId="22844B47" w14:textId="77777777" w:rsidR="003F6D3E" w:rsidRPr="00EB07C0" w:rsidRDefault="003F6D3E" w:rsidP="003F6D3E">
      <w:pPr>
        <w:pStyle w:val="NormalHanging12a"/>
        <w:widowControl/>
        <w:rPr>
          <w:b/>
          <w:i/>
          <w:iCs/>
          <w:szCs w:val="24"/>
        </w:rPr>
      </w:pPr>
      <w:r w:rsidRPr="00EB07C0">
        <w:rPr>
          <w:b/>
          <w:i/>
        </w:rPr>
        <w:t>Сгради</w:t>
      </w:r>
    </w:p>
    <w:p w14:paraId="4848B716" w14:textId="1ED1B7A2" w:rsidR="003F6D3E" w:rsidRPr="00EB07C0" w:rsidRDefault="00CC21FC" w:rsidP="003F6D3E">
      <w:pPr>
        <w:pStyle w:val="NormalHanging12a"/>
        <w:widowControl/>
        <w:rPr>
          <w:szCs w:val="24"/>
        </w:rPr>
      </w:pPr>
      <w:r>
        <w:lastRenderedPageBreak/>
        <w:t>58</w:t>
      </w:r>
      <w:r w:rsidR="003F6D3E" w:rsidRPr="00EB07C0">
        <w:t>.</w:t>
      </w:r>
      <w:r w:rsidR="003F6D3E" w:rsidRPr="00EB07C0">
        <w:tab/>
        <w:t>отбелязва, че според доклада на Палатата относно бюджетното и финансовото управление за 2024 г. бюджетните кредити за поети задължения за сградите на Палатата за текущата година и свързаните с тях разходи възлизат на приблизително 5,7 милиона евро (същата сума, както през 2023 г.), със степен на изпълнение от 51,30% през 2024 г., което представлява спад спрямо 62,26% през 2023 г.;</w:t>
      </w:r>
    </w:p>
    <w:p w14:paraId="28A4AE18" w14:textId="6E7E7CD1" w:rsidR="003F6D3E" w:rsidRPr="00EB07C0" w:rsidRDefault="00CC21FC" w:rsidP="003F6D3E">
      <w:pPr>
        <w:pStyle w:val="NormalHanging12a"/>
        <w:widowControl/>
        <w:rPr>
          <w:szCs w:val="24"/>
        </w:rPr>
      </w:pPr>
      <w:r>
        <w:t>59</w:t>
      </w:r>
      <w:r w:rsidR="003F6D3E" w:rsidRPr="00EB07C0">
        <w:t>.</w:t>
      </w:r>
      <w:r w:rsidR="003F6D3E" w:rsidRPr="00EB07C0">
        <w:tab/>
        <w:t>отбелязва със задоволство, че през 2024 г. Палатата започна ново проучване относно обозначенията в сградите като последващо действие във връзка с резултатите от одита на достъпността на всички сгради на Палатата, проведен през 2023 г.; отбелязва освен това въз основа на въпросника, че през 2024 г. Палатата е продължила да полага усилия за усъвършенстване на своите сгради, като е взела предвид изискванията за достъпност при модернизирането или обновяването на асансьорите и общите части;</w:t>
      </w:r>
    </w:p>
    <w:p w14:paraId="50B7A629" w14:textId="05875C42" w:rsidR="003F6D3E" w:rsidRPr="00EB07C0" w:rsidRDefault="00CC21FC" w:rsidP="003F6D3E">
      <w:pPr>
        <w:pStyle w:val="NormalHanging12a"/>
        <w:widowControl/>
        <w:rPr>
          <w:szCs w:val="24"/>
        </w:rPr>
      </w:pPr>
      <w:r>
        <w:t>60</w:t>
      </w:r>
      <w:r w:rsidR="003F6D3E" w:rsidRPr="00EB07C0">
        <w:t>.</w:t>
      </w:r>
      <w:r w:rsidR="003F6D3E" w:rsidRPr="00EB07C0">
        <w:tab/>
        <w:t>отбелязва сред проектите на Палатата, свързани със сградния фонд, които бяха започнати или приключени през 2024 г.: преобразуването на бившата зала на центъра за данни, първата фаза от модернизацията на аудио-визуалната система в конферентната зала в сградата „K2“, инсталирането на две кухненски помещения и работата по покрива на сградата „K2“;</w:t>
      </w:r>
    </w:p>
    <w:p w14:paraId="306E4BC3" w14:textId="77777777" w:rsidR="003F6D3E" w:rsidRPr="00EB07C0" w:rsidRDefault="003F6D3E" w:rsidP="003F6D3E">
      <w:pPr>
        <w:pStyle w:val="NormalHanging12a"/>
        <w:widowControl/>
        <w:rPr>
          <w:b/>
          <w:i/>
          <w:iCs/>
          <w:szCs w:val="24"/>
        </w:rPr>
      </w:pPr>
      <w:r w:rsidRPr="00EB07C0">
        <w:rPr>
          <w:b/>
          <w:i/>
        </w:rPr>
        <w:t>Околна среда и устойчивост</w:t>
      </w:r>
    </w:p>
    <w:p w14:paraId="125D3BA7" w14:textId="34EB0D0B" w:rsidR="003F6D3E" w:rsidRPr="00EB07C0" w:rsidRDefault="00CC21FC" w:rsidP="003F6D3E">
      <w:pPr>
        <w:pStyle w:val="NormalHanging12a"/>
        <w:widowControl/>
        <w:rPr>
          <w:szCs w:val="24"/>
        </w:rPr>
      </w:pPr>
      <w:r>
        <w:t>61</w:t>
      </w:r>
      <w:r w:rsidR="003F6D3E" w:rsidRPr="00EB07C0">
        <w:t>.</w:t>
      </w:r>
      <w:r w:rsidR="003F6D3E" w:rsidRPr="00EB07C0">
        <w:tab/>
        <w:t>приветства със задоволство постоянните усилия на Палатата да бъде устойчива институция; отбелязва, че през 2024 г. Палатата публикува своя четвърти доклад за устойчивостта, в който се измерва икономическото, социалното и екологичното въздействие на операциите на Палатата; отбелязва със задоволство, че 91% от специалните доклади и прегледи на Палатата, публикувани през 2024 г., обхващат теми, свързани с целите на ООН за устойчиво развитие; приветства факта, че през 2024 г. 40% от договорите за обществени поръчки на Палатата включват критерии за екологосъобразна и кръгова икономика, а 98% от стоките и услугите са закупени от местни доставчици;</w:t>
      </w:r>
    </w:p>
    <w:p w14:paraId="1DC637E8" w14:textId="38603A42" w:rsidR="003F6D3E" w:rsidRPr="00EB07C0" w:rsidRDefault="00CC21FC" w:rsidP="003F6D3E">
      <w:pPr>
        <w:pStyle w:val="NormalHanging12a"/>
        <w:widowControl/>
        <w:rPr>
          <w:szCs w:val="24"/>
        </w:rPr>
      </w:pPr>
      <w:r>
        <w:t>62</w:t>
      </w:r>
      <w:r w:rsidR="003F6D3E" w:rsidRPr="00EB07C0">
        <w:t>.</w:t>
      </w:r>
      <w:r w:rsidR="003F6D3E" w:rsidRPr="00EB07C0">
        <w:tab/>
        <w:t xml:space="preserve">отбелязва, че Палатата е сертифицирана по Схемата на Общността за управление по околна среда и одит (EMAS) и има политика в областта на околната среда от 2014 г. насам, която беше актуализирана през 2025 г.; отбелязва, че Палатата измерва своя въглероден отпечатък, като използва последната версия на метода </w:t>
      </w:r>
      <w:proofErr w:type="spellStart"/>
      <w:r w:rsidR="003F6D3E" w:rsidRPr="00EB07C0">
        <w:rPr>
          <w:i/>
          <w:iCs/>
        </w:rPr>
        <w:t>Bilan</w:t>
      </w:r>
      <w:proofErr w:type="spellEnd"/>
      <w:r w:rsidR="003F6D3E" w:rsidRPr="00EB07C0">
        <w:rPr>
          <w:i/>
          <w:iCs/>
        </w:rPr>
        <w:t xml:space="preserve"> </w:t>
      </w:r>
      <w:proofErr w:type="spellStart"/>
      <w:r w:rsidR="003F6D3E" w:rsidRPr="00EB07C0">
        <w:rPr>
          <w:i/>
          <w:iCs/>
        </w:rPr>
        <w:t>Carbon</w:t>
      </w:r>
      <w:proofErr w:type="spellEnd"/>
      <w:r w:rsidR="003F6D3E" w:rsidRPr="00EB07C0">
        <w:t>, който обхваща области на оперативно (дейности на Палатата) и организационно (трите сгради в Люксембург) равнище; отбелязва, че общите емисии на парникови газове на Палатата през 2024 г. са 9 108 тона CO</w:t>
      </w:r>
      <w:r w:rsidR="003F6D3E" w:rsidRPr="00EB07C0">
        <w:rPr>
          <w:vertAlign w:val="subscript"/>
        </w:rPr>
        <w:t>2</w:t>
      </w:r>
      <w:r w:rsidR="003F6D3E" w:rsidRPr="00EB07C0">
        <w:t>, което представлява намаление с 15% спрямо емисиите през 2014 г., но и увеличение с 1,60% спрямо тези през 2023 г.; отбелязва, че закупуването на стоки и услуги и пътническият транспорт са допринесли най-много за общите емисии на Палатата през 2024 г., тоест съответно 31 и 29%;</w:t>
      </w:r>
    </w:p>
    <w:p w14:paraId="585B88A3" w14:textId="5EA7D8F5" w:rsidR="003F6D3E" w:rsidRPr="00EB07C0" w:rsidRDefault="00CC21FC" w:rsidP="003F6D3E">
      <w:pPr>
        <w:pStyle w:val="NormalHanging12a"/>
        <w:widowControl/>
        <w:rPr>
          <w:szCs w:val="24"/>
        </w:rPr>
      </w:pPr>
      <w:r>
        <w:t>63</w:t>
      </w:r>
      <w:r w:rsidR="003F6D3E" w:rsidRPr="00EB07C0">
        <w:t>.</w:t>
      </w:r>
      <w:r w:rsidR="003F6D3E" w:rsidRPr="00EB07C0">
        <w:tab/>
        <w:t xml:space="preserve">отбелязва със задоволство екологичната декларация на Палатата, в която се представят резултатите за 2024 г., включително вече предприетите и планираните за изпълнение действия, които имат за цел да намалят въздействието на дейностите на Палатата върху околната среда и да постигнат или надхвърлят нейните годишни цели за екологични резултати; отбелязва, че Палатата измерва своите екологични резултати, като използва набор от показатели и еталони за </w:t>
      </w:r>
      <w:r w:rsidR="003F6D3E" w:rsidRPr="00EB07C0">
        <w:lastRenderedPageBreak/>
        <w:t>отлични постижения; отбелязва, че Палатата има набор от общи и специфични цели в рамките на своята програма в областта на околната среда за периода 2023 — 2025 г., повечето от които са постигнати през 2024 г., по-специално по отношение на намаляването на потреблението на енергия на Палатата (електроенергия: - 24%; отопление: - 21,80%), емисиите във въздуха (- 30%) и потреблението на вода (- 45%), както и по отношение на увеличаването на броя на процедурите за възлагане на обществени поръчки, които включват екологични критерии (над 30%); независимо от това отбелязва обръщане на тенденцията по отношение на броя на отпечатаните страници (+ 9,1%) и на намаляването на количеството на отпадъците, генерирани за годината (+ 27,50%); оценява действията на Палатата за противодействие на отрицателното ѝ въздействие върху биологичното разнообразие; отбелязва, че сградите на Палатата са домакин на няколко пчелни семейства, произвеждащи мед, който се добива от доброволци сред служителите, и че тя участва в инициативи за засаждане на дървета в Люксембург, както и в други дейности, свързани с околната среда, като част от участието на Палатата в междуинституционалните дни на EMAS на Съюза през 2024 г.; приветства увеличаването на броя на служителите, използващи споделени велосипеди в града, от 172 през 2023 г. на 201 през 2024 г.; приветства подкрепата на Палатата за използването на мобилността за пътуване до и от работното място, например с велосипед, като покрива разходите за абонамент за схемата за съвместно ползване на велосипеди в град Люксембург или за обществения транспорт и частично възстановява разходите за абонамент за служителите, които живеят извън Люксембург, като се отчита увеличение на броя на възползвалите се от този вид схема за възстановяване на разходите от 28 през 2023 г. на 30 служители през 2024 г.;</w:t>
      </w:r>
    </w:p>
    <w:p w14:paraId="4A95A863" w14:textId="683B06D1" w:rsidR="003F6D3E" w:rsidRPr="00EB07C0" w:rsidRDefault="00CC21FC" w:rsidP="003F6D3E">
      <w:pPr>
        <w:pStyle w:val="NormalHanging12a"/>
        <w:widowControl/>
        <w:rPr>
          <w:szCs w:val="24"/>
        </w:rPr>
      </w:pPr>
      <w:r>
        <w:t>64</w:t>
      </w:r>
      <w:r w:rsidR="003F6D3E" w:rsidRPr="00EB07C0">
        <w:t>.</w:t>
      </w:r>
      <w:r w:rsidR="003F6D3E" w:rsidRPr="00EB07C0">
        <w:tab/>
        <w:t>припомня, че през 2023 г. Палатата подписа споразумение с люксембургските органи за създаване на план за мобилност; отбелязва въз основа на въпросника, че планът за мобилност е представен със закъснение през април 2025 г. и че резултатите от анализа на плана ще бъдат взети предвид при разработването на програмата на EMAS за периода 2026 — 2028 г.;</w:t>
      </w:r>
    </w:p>
    <w:p w14:paraId="6A69A944" w14:textId="77777777" w:rsidR="003F6D3E" w:rsidRPr="00EB07C0" w:rsidRDefault="003F6D3E" w:rsidP="003F6D3E">
      <w:pPr>
        <w:pStyle w:val="NormalHanging12a"/>
        <w:widowControl/>
        <w:rPr>
          <w:b/>
          <w:i/>
          <w:iCs/>
          <w:szCs w:val="24"/>
        </w:rPr>
      </w:pPr>
      <w:r w:rsidRPr="00EB07C0">
        <w:rPr>
          <w:b/>
          <w:i/>
        </w:rPr>
        <w:t>Междуинституционално сътрудничество</w:t>
      </w:r>
    </w:p>
    <w:p w14:paraId="728F8498" w14:textId="3B817BA2" w:rsidR="003F6D3E" w:rsidRPr="00EB07C0" w:rsidRDefault="00CC21FC" w:rsidP="003F6D3E">
      <w:pPr>
        <w:pStyle w:val="NormalHanging12a"/>
        <w:widowControl/>
        <w:rPr>
          <w:szCs w:val="24"/>
        </w:rPr>
      </w:pPr>
      <w:r>
        <w:t>65</w:t>
      </w:r>
      <w:r w:rsidR="003F6D3E" w:rsidRPr="00EB07C0">
        <w:t>.</w:t>
      </w:r>
      <w:r w:rsidR="003F6D3E" w:rsidRPr="00EB07C0">
        <w:tab/>
        <w:t xml:space="preserve">признава, че междуинституционалното сътрудничество повишава ефективността чрез използването на споделени инструменти и услуги, като генерира икономии, които дават възможност за вътрешно преразпределяне на служители, осигуряват по-добри цени поради икономии от мащаба и предоставят достъп до специализиран експертен опит в рамките на други органи на Съюза; отбелязва, че през 2024 г. Палатата продължи или разшири сътрудничеството си чрез съществуващи и нови споразумения за нивото на обслужване, включително относно управлението на пенсиите, трансформацията на човешките ресурси и издаването на разрешения за преминаване на Съюза, както и чрез участие в междуинституционални комитети и партньорства, например споделени финансови системи и киберсигурност и цифрова трансформация; отбелязва освен това, че това сътрудничество улесни обмена и разработването на информационни решения, което доведе до значителни бюджетни икономии през 2024 г. в области, сред които информационните технологии, управлението на командировките и човешките ресурси, като Палатата използва разработени от Комисията инструменти за човешките ресурси, обученията и електронен превод на стойност приблизително 500 000 EUR, както и счетоводни услуги SAP, хоствани от Съвета, </w:t>
      </w:r>
      <w:r w:rsidR="003F6D3E" w:rsidRPr="00EB07C0">
        <w:lastRenderedPageBreak/>
        <w:t>на стойност около 170 000 EUR; приветства факта, че Палатата продължава да използва услугите на Европейското училище по администрация за обучение и сертифициране;</w:t>
      </w:r>
    </w:p>
    <w:p w14:paraId="06DEB4D5" w14:textId="7170CB6B" w:rsidR="003F6D3E" w:rsidRPr="00EB07C0" w:rsidRDefault="00CC21FC" w:rsidP="003F6D3E">
      <w:pPr>
        <w:pStyle w:val="NormalHanging12a"/>
        <w:widowControl/>
        <w:rPr>
          <w:szCs w:val="24"/>
        </w:rPr>
      </w:pPr>
      <w:r>
        <w:t>66</w:t>
      </w:r>
      <w:r w:rsidR="003F6D3E" w:rsidRPr="00EB07C0">
        <w:t>.</w:t>
      </w:r>
      <w:r w:rsidR="003F6D3E" w:rsidRPr="00EB07C0">
        <w:tab/>
        <w:t>припомня отново, че ефективното сътрудничество между Палатата и Комисията ще остане ограничено, ако Комисията не възприеме методиката на Палатата за оценка на процента грешки, която методика се основава на независима и всеобхватна оценка на всички нарушения на правилата, за разлика от практиката на Комисията да поставя акцента върху подлежащите на корекция грешки;</w:t>
      </w:r>
    </w:p>
    <w:p w14:paraId="28CBFB5D" w14:textId="0F38B259" w:rsidR="003F6D3E" w:rsidRPr="00EB07C0" w:rsidRDefault="00CC21FC" w:rsidP="003F6D3E">
      <w:pPr>
        <w:pStyle w:val="NormalHanging12a"/>
        <w:widowControl/>
        <w:rPr>
          <w:szCs w:val="24"/>
        </w:rPr>
      </w:pPr>
      <w:r>
        <w:t>67</w:t>
      </w:r>
      <w:r w:rsidR="003F6D3E" w:rsidRPr="00EB07C0">
        <w:t>.</w:t>
      </w:r>
      <w:r w:rsidR="003F6D3E" w:rsidRPr="00EB07C0">
        <w:tab/>
        <w:t xml:space="preserve">приветства тясното сътрудничество на Палатата както с OLAF, така и с Европейската прокуратура, включително чрез организиране на семинари и мероприятия за повишаване на осведомеността и обмен на знания и опит; приветства ангажимента на Палатата да продължи да предава всички </w:t>
      </w:r>
      <w:proofErr w:type="spellStart"/>
      <w:r w:rsidR="003F6D3E" w:rsidRPr="00EB07C0">
        <w:rPr>
          <w:i/>
        </w:rPr>
        <w:t>prima</w:t>
      </w:r>
      <w:proofErr w:type="spellEnd"/>
      <w:r w:rsidR="003F6D3E" w:rsidRPr="00EB07C0">
        <w:rPr>
          <w:i/>
        </w:rPr>
        <w:t xml:space="preserve"> </w:t>
      </w:r>
      <w:proofErr w:type="spellStart"/>
      <w:r w:rsidR="003F6D3E" w:rsidRPr="00EB07C0">
        <w:rPr>
          <w:i/>
        </w:rPr>
        <w:t>facie</w:t>
      </w:r>
      <w:proofErr w:type="spellEnd"/>
      <w:r w:rsidR="003F6D3E" w:rsidRPr="00EB07C0">
        <w:t xml:space="preserve"> основани на доказателства съмнения за нарушения на OLAF, Европейската прокуратура или и двете; отбелязва, че през 2024 г. Палатата предаде на OLAF 19 случая със съмнения за измама, като седем от тях предаде и на Европейската прокуратура;</w:t>
      </w:r>
    </w:p>
    <w:p w14:paraId="3476EA2A" w14:textId="0D1EB828" w:rsidR="003F6D3E" w:rsidRPr="00EB07C0" w:rsidRDefault="00CC21FC" w:rsidP="003F6D3E">
      <w:pPr>
        <w:pStyle w:val="NormalHanging12a"/>
        <w:widowControl/>
        <w:rPr>
          <w:szCs w:val="24"/>
        </w:rPr>
      </w:pPr>
      <w:r>
        <w:t>68</w:t>
      </w:r>
      <w:r w:rsidR="003F6D3E" w:rsidRPr="00EB07C0">
        <w:t>.</w:t>
      </w:r>
      <w:r w:rsidR="003F6D3E" w:rsidRPr="00EB07C0">
        <w:tab/>
        <w:t>е убеден, че една единна интегрирана информационна система за извличане на данни и измерване на риска може да бъде ценен източник на данни, което ще позволи на Палатата, OLAF и Европейската прокуратура да укрепят усилията си за одит и контрол; подчертава, че неограниченият достъп до тази система и нейните данни следва да се предоставя без необосновани ограничения и че този достъп незабавно ще осигури възможност за проучването и използването на допълнителни цифрови инструменти и нововъзникващи технологии в одитите на Палатата;</w:t>
      </w:r>
    </w:p>
    <w:p w14:paraId="51021CC2" w14:textId="6E8B965E" w:rsidR="003F6D3E" w:rsidRPr="00EB07C0" w:rsidRDefault="00CC21FC" w:rsidP="003F6D3E">
      <w:pPr>
        <w:pStyle w:val="NormalHanging12a"/>
        <w:widowControl/>
        <w:rPr>
          <w:bCs/>
          <w:iCs/>
          <w:szCs w:val="24"/>
        </w:rPr>
      </w:pPr>
      <w:r>
        <w:t>69</w:t>
      </w:r>
      <w:r w:rsidR="003F6D3E" w:rsidRPr="00EB07C0">
        <w:t>.</w:t>
      </w:r>
      <w:r w:rsidR="003F6D3E" w:rsidRPr="00EB07C0">
        <w:tab/>
        <w:t>подчертава важната роля на Палатата в системата на Съюза за борба с измамите; отбелязва, че одитите и специалните доклади на Палатата систематично установяват слабости, нередности и рискове, като по този начин предизвикват предприемането на корективни действия и действия за събиране на вземания от страна на Комисията, държавите членки и други участници в системата за борба с измамите; отбелязва, че чрез тази надзорна функция Палатата не само повишава прозрачността и отчетността, но също така укрепва цялостния капацитет на системата на ЕС за възпиране и откриване, като гарантира, че публичните средства се управляват добре и са защитени от измами и злоупотреби;</w:t>
      </w:r>
    </w:p>
    <w:p w14:paraId="59160D9A" w14:textId="7C148B0E" w:rsidR="003F6D3E" w:rsidRPr="00EB07C0" w:rsidRDefault="00CC21FC" w:rsidP="003F6D3E">
      <w:pPr>
        <w:pStyle w:val="NormalHanging12a"/>
        <w:widowControl/>
        <w:rPr>
          <w:szCs w:val="24"/>
        </w:rPr>
      </w:pPr>
      <w:r>
        <w:t>70</w:t>
      </w:r>
      <w:r w:rsidR="003F6D3E" w:rsidRPr="00EB07C0">
        <w:t>.</w:t>
      </w:r>
      <w:r w:rsidR="003F6D3E" w:rsidRPr="00EB07C0">
        <w:tab/>
        <w:t>приветства откритостта на Палатата с оглед на установяването на годишен междуинституционален диалог между Палатата, Парламента, Съвета и Комисията, както беше поискано от Парламента в неговите резолюции за освобождаване от отговорност във връзка с изпълнението на бюджета;</w:t>
      </w:r>
    </w:p>
    <w:p w14:paraId="3E149F97" w14:textId="3B27A27B" w:rsidR="003F6D3E" w:rsidRPr="00EB07C0" w:rsidRDefault="00CC21FC" w:rsidP="003F6D3E">
      <w:pPr>
        <w:pStyle w:val="NormalHanging12a"/>
        <w:widowControl/>
        <w:rPr>
          <w:szCs w:val="24"/>
        </w:rPr>
      </w:pPr>
      <w:r>
        <w:t>71</w:t>
      </w:r>
      <w:r w:rsidR="003F6D3E" w:rsidRPr="00EB07C0">
        <w:t>.</w:t>
      </w:r>
      <w:r w:rsidR="003F6D3E" w:rsidRPr="00EB07C0">
        <w:tab/>
        <w:t xml:space="preserve">отново изразява съжаление, че въпреки подобрения достъп до документи и информация на Европейската инвестиционна банка (ЕИБ), Палатата не разполага с мандат за одит на операции, финансирани със собствени средства на ЕИБ; призовава Палатата да получи такъв мандат, като се има предвид мисията на ЕИБ да изпълнява целите на Съюза и нарастващата ѝ роля в икономическата и политическата среда на Съюза, която роля надхвърля използването на бюджета на Съюза за гарантиране на неговите операции; припомня, че в своя Специален доклад 05/2023, озаглавен „Финансова среда на ЕС — Съчетание от разнородни </w:t>
      </w:r>
      <w:r w:rsidR="003F6D3E" w:rsidRPr="00EB07C0">
        <w:lastRenderedPageBreak/>
        <w:t>елементи, което се нуждае от допълнително опростяване и по-голяма отчетност“, Палатата заявява, че следва да бъдат предоставени правомощия за публичен одит на всякакъв вид финансиране на политиките на ЕС;</w:t>
      </w:r>
    </w:p>
    <w:p w14:paraId="383B4B1C" w14:textId="7A910F0A" w:rsidR="003F6D3E" w:rsidRPr="00EB07C0" w:rsidRDefault="00CC21FC" w:rsidP="003F6D3E">
      <w:pPr>
        <w:pStyle w:val="NormalHanging12a"/>
        <w:widowControl/>
        <w:rPr>
          <w:szCs w:val="24"/>
        </w:rPr>
      </w:pPr>
      <w:r>
        <w:t>72</w:t>
      </w:r>
      <w:r w:rsidR="003F6D3E" w:rsidRPr="00EB07C0">
        <w:t>.</w:t>
      </w:r>
      <w:r w:rsidR="003F6D3E" w:rsidRPr="00EB07C0">
        <w:tab/>
        <w:t xml:space="preserve">приветства факта, че според въпросника е налице тясно сътрудничество между Палатата и Европейския надзорен орган по защита на данните (ЕНОЗД), главно чрез длъжностното лице по защита на данните на Палатата; отбелязва, че това сътрудничество обхваща тълкуването на конкретни разпоредби на Регламент (ЕС) 2018/1725, дейности по споделяне на знания и други форми на междуинституционален обмен и принос в областта на ИИ; оценява участието на Палатата в мероприятието за повишаване на осведомеността относно нарушения на сигурността на личните данни при справянето с инциденти в областта на киберсигурността (PATRICIA </w:t>
      </w:r>
      <w:proofErr w:type="spellStart"/>
      <w:r w:rsidR="003F6D3E" w:rsidRPr="00EB07C0">
        <w:t>Exercise</w:t>
      </w:r>
      <w:proofErr w:type="spellEnd"/>
      <w:r w:rsidR="003F6D3E" w:rsidRPr="00EB07C0">
        <w:t xml:space="preserve"> 2024), организирано от ЕНОЗД и ENISA, което имаше за цел да повиши осведомеността относно управлението на нарушения на сигурността на личните данни сред служителите;</w:t>
      </w:r>
    </w:p>
    <w:p w14:paraId="55BD3030" w14:textId="77777777" w:rsidR="003F6D3E" w:rsidRPr="00EB07C0" w:rsidRDefault="003F6D3E" w:rsidP="003F6D3E">
      <w:pPr>
        <w:pStyle w:val="NormalHanging12a"/>
        <w:widowControl/>
        <w:rPr>
          <w:b/>
          <w:i/>
          <w:iCs/>
          <w:szCs w:val="24"/>
        </w:rPr>
      </w:pPr>
      <w:r w:rsidRPr="00EB07C0">
        <w:rPr>
          <w:b/>
          <w:i/>
        </w:rPr>
        <w:t>Комуникация</w:t>
      </w:r>
    </w:p>
    <w:p w14:paraId="55EE720F" w14:textId="29FAE1FA" w:rsidR="003F6D3E" w:rsidRPr="00EB07C0" w:rsidRDefault="00CC21FC" w:rsidP="003F6D3E">
      <w:pPr>
        <w:pStyle w:val="NormalHanging12a"/>
        <w:widowControl/>
        <w:rPr>
          <w:szCs w:val="24"/>
        </w:rPr>
      </w:pPr>
      <w:r>
        <w:t>73</w:t>
      </w:r>
      <w:r w:rsidR="003F6D3E" w:rsidRPr="00EB07C0">
        <w:t>.</w:t>
      </w:r>
      <w:r w:rsidR="003F6D3E" w:rsidRPr="00EB07C0">
        <w:tab/>
        <w:t>отбелязва факта, че през 2024 г. бюджетът, разпределен за дейности на Палатата в областта на комуникацията и дейностите за популяризиране, възлиза на 225 000 EUR (същият, както през 2023 г.), като степента на усвояване е 92,32% (което представлява увеличение спрямо 81,13% през 2023 г.); отбелязва, че по-голямата част от бюджета е изразходвана за услуги за мониторинг на медиите (80 000 EUR) и за кампании в медиите (18 133,91 EUR), следвани от разходите за връзки със заинтересованите лица, които включват главно разходи за платформа за стратегически анализ (62 100 EUR), комуникационни дейности (32 543,37 EUR), социални медии (8 604,66 EUR) и публикации (6 346,47EUR);</w:t>
      </w:r>
    </w:p>
    <w:p w14:paraId="379A945F" w14:textId="18BC0AAA" w:rsidR="003F6D3E" w:rsidRPr="00EB07C0" w:rsidRDefault="00CC21FC" w:rsidP="003F6D3E">
      <w:pPr>
        <w:pStyle w:val="NormalHanging12a"/>
        <w:widowControl/>
        <w:rPr>
          <w:szCs w:val="24"/>
        </w:rPr>
      </w:pPr>
      <w:r>
        <w:t>74</w:t>
      </w:r>
      <w:r w:rsidR="003F6D3E" w:rsidRPr="00EB07C0">
        <w:t>.</w:t>
      </w:r>
      <w:r w:rsidR="003F6D3E" w:rsidRPr="00EB07C0">
        <w:tab/>
        <w:t xml:space="preserve">подкрепя разрастващата се медийна стратегия на Палатата, която доведе до рекорд от над 24 000 публикувани онлайн статии през 2024 г. относно одитните доклади на Палатата, други публикации или Палатата въобще, като по този начин се утвърждава възходящата тенденция в отразяването, наблюдавана през последните години (2023 г.: 22 000; 2022 г.: 20 000; 2021 г.: 18 000); отбелязва със задоволство, че според доклада на Палатата броят на посетителите на обновения през 2023 г. уебсайт на Палатата се е увеличил и отчита 780 000 посещения през 2024 г. (700 000 през 2023 г.), 1 295 025 прегледа на отделни страници и 56 440 изтегляния; приветства факта, че до края на 2024 г. четирите главни профила на Палатата в социалните мрежи (X, </w:t>
      </w:r>
      <w:proofErr w:type="spellStart"/>
      <w:r w:rsidR="003F6D3E" w:rsidRPr="00EB07C0">
        <w:t>LinkedIn</w:t>
      </w:r>
      <w:proofErr w:type="spellEnd"/>
      <w:r w:rsidR="003F6D3E" w:rsidRPr="00EB07C0">
        <w:t xml:space="preserve">, </w:t>
      </w:r>
      <w:proofErr w:type="spellStart"/>
      <w:r w:rsidR="003F6D3E" w:rsidRPr="00EB07C0">
        <w:t>Facebook</w:t>
      </w:r>
      <w:proofErr w:type="spellEnd"/>
      <w:r w:rsidR="003F6D3E" w:rsidRPr="00EB07C0">
        <w:t xml:space="preserve"> и Instagram) са привлекли над 61 500 последователи спрямо 55 000 през 2023 г. и 49 500 през 2022 г.; приветства Палатата за публикуването през ноември 2024 г. на първия ѝ месечен бюлетин в </w:t>
      </w:r>
      <w:proofErr w:type="spellStart"/>
      <w:r w:rsidR="003F6D3E" w:rsidRPr="00EB07C0">
        <w:t>LinkedIn</w:t>
      </w:r>
      <w:proofErr w:type="spellEnd"/>
      <w:r w:rsidR="003F6D3E" w:rsidRPr="00EB07C0">
        <w:t xml:space="preserve"> (</w:t>
      </w:r>
      <w:r w:rsidR="003F6D3E" w:rsidRPr="00EB07C0">
        <w:rPr>
          <w:i/>
          <w:iCs/>
        </w:rPr>
        <w:t xml:space="preserve">ECA </w:t>
      </w:r>
      <w:proofErr w:type="spellStart"/>
      <w:r w:rsidR="003F6D3E" w:rsidRPr="00EB07C0">
        <w:rPr>
          <w:i/>
          <w:iCs/>
        </w:rPr>
        <w:t>Insights</w:t>
      </w:r>
      <w:proofErr w:type="spellEnd"/>
      <w:r w:rsidR="003F6D3E" w:rsidRPr="00EB07C0">
        <w:t>), който представя акценти от наскоро публикувани доклади и предварителни прегледи на предстоящи одити и който привлече над 8 500 абонати до края на посочената година;</w:t>
      </w:r>
    </w:p>
    <w:p w14:paraId="403AE212" w14:textId="00F1E33E" w:rsidR="003F6D3E" w:rsidRPr="00EB07C0" w:rsidRDefault="00CC21FC" w:rsidP="003F6D3E">
      <w:pPr>
        <w:pStyle w:val="NormalHanging12a"/>
        <w:widowControl/>
        <w:rPr>
          <w:szCs w:val="24"/>
        </w:rPr>
      </w:pPr>
      <w:r>
        <w:t>75</w:t>
      </w:r>
      <w:r w:rsidR="003F6D3E" w:rsidRPr="00EB07C0">
        <w:t>.</w:t>
      </w:r>
      <w:r w:rsidR="003F6D3E" w:rsidRPr="00EB07C0">
        <w:tab/>
        <w:t>приветства факта, че Палатата разполага с цифрово достъпен уебсайт (ниво A++), който се одитира два пъти годишно от външен консултант, за да се оцени дали уебсайтът е съобразен със съответните стандарти за достъпност и да се установят пречките пред достъпността за потребителите с увреждания; високо оценява факта, че като цяло постигането на достъпност се оценява като много добро, и отбелязва, че в резултат на одита са предложени някои препоръки за допълнително повишаване и за поддържане на нивото на достъпност на уебсайта;</w:t>
      </w:r>
    </w:p>
    <w:p w14:paraId="2DFF930C" w14:textId="5AA77FF0" w:rsidR="003F6D3E" w:rsidRPr="00EB07C0" w:rsidRDefault="00CC21FC" w:rsidP="003F6D3E">
      <w:pPr>
        <w:pStyle w:val="NormalHanging12a"/>
        <w:widowControl/>
        <w:rPr>
          <w:szCs w:val="24"/>
        </w:rPr>
      </w:pPr>
      <w:r>
        <w:lastRenderedPageBreak/>
        <w:t>76</w:t>
      </w:r>
      <w:r w:rsidR="003F6D3E" w:rsidRPr="00EB07C0">
        <w:t>.</w:t>
      </w:r>
      <w:r w:rsidR="003F6D3E" w:rsidRPr="00EB07C0">
        <w:tab/>
        <w:t>отбелязва, че през 2024 г. Палатата публикува 44 съобщения за пресата на 24 езика на Съюза, както и различни информационни бележки, информация за медиите и готови за публикация аудио изявления на някои езици; отбелязва, че освен това тя проведе 20 онлайн пресконференции и 14 допълнителни пресконференции по държави за представянето на годишния доклад за разглежданата година; подчертава, че в пресконференциите участваха общо 876 журналисти, повечето от които представители на големи национални медии на държавите членки;</w:t>
      </w:r>
    </w:p>
    <w:p w14:paraId="40B90A47" w14:textId="66E3FFCA" w:rsidR="003F6D3E" w:rsidRPr="00EB07C0" w:rsidRDefault="00CC21FC" w:rsidP="003F6D3E">
      <w:pPr>
        <w:pStyle w:val="NormalHanging12a"/>
        <w:widowControl/>
        <w:rPr>
          <w:bCs/>
          <w:iCs/>
        </w:rPr>
      </w:pPr>
      <w:r>
        <w:t>77</w:t>
      </w:r>
      <w:r w:rsidR="003F6D3E" w:rsidRPr="00EB07C0">
        <w:t>.</w:t>
      </w:r>
      <w:r w:rsidR="003F6D3E" w:rsidRPr="00EB07C0">
        <w:tab/>
        <w:t>приветства Специален доклад 11/2025 на Палатата, озаглавен „Прозрачност на финансирането от ЕС за неправителствени организации“; отбелязва със загриженост установените в него проблеми, включително недостатъците по отношение на прозрачността, класифицирането и надзора; подчертава необходимостта Палатата да продължи и да задълбочи мониторинга и докладването си по тези въпроси, за да се осигури пълно спазване на финансовите правила, изискванията за прозрачност и основните ценности на Съюза;</w:t>
      </w:r>
    </w:p>
    <w:p w14:paraId="15CC143F" w14:textId="53D8D960" w:rsidR="003F6D3E" w:rsidRPr="00EB07C0" w:rsidRDefault="00CC21FC" w:rsidP="003F6D3E">
      <w:pPr>
        <w:pStyle w:val="NormalHanging12a"/>
        <w:widowControl/>
        <w:rPr>
          <w:bCs/>
          <w:iCs/>
          <w:szCs w:val="24"/>
        </w:rPr>
      </w:pPr>
      <w:r>
        <w:t>78</w:t>
      </w:r>
      <w:r w:rsidR="003F6D3E" w:rsidRPr="00EB07C0">
        <w:t>.</w:t>
      </w:r>
      <w:r w:rsidR="003F6D3E" w:rsidRPr="00EB07C0">
        <w:tab/>
        <w:t>при тези обстоятелства насърчава Палатата да изготви специален доклад относно финансирането от Съюза, предоставяно на НПО, действащи в контекста на Газа, и на организации, участващи в създаването на учебници за палестинските училища; подчертава, че този контрол е от решаващо значение, за да се гарантира, че средствата на Съюза не се отклоняват, пряко или косвено, към терористични организации или свързани с тях лица, нито се използват по начин, който насърчава омразата, радикализацията или подбуждането към насилие, и за да се осигури пълно спазване на финансовите правила на Съюза, стандартите за прозрачност и основните ценности на Съюза;</w:t>
      </w:r>
    </w:p>
    <w:p w14:paraId="51316F2E" w14:textId="41180E6B" w:rsidR="003F6D3E" w:rsidRPr="00EB07C0" w:rsidRDefault="00CC21FC" w:rsidP="003F6D3E">
      <w:pPr>
        <w:pStyle w:val="NormalHanging12a"/>
        <w:widowControl/>
        <w:rPr>
          <w:szCs w:val="24"/>
        </w:rPr>
      </w:pPr>
      <w:r>
        <w:t>79</w:t>
      </w:r>
      <w:r w:rsidR="003F6D3E" w:rsidRPr="00EB07C0">
        <w:t>.</w:t>
      </w:r>
      <w:r w:rsidR="003F6D3E" w:rsidRPr="00EB07C0">
        <w:tab/>
        <w:t>приветства факта, че за да увеличи обществената ангажираност, от 2024 г. насам Палатата предоставя на гражданите възможност да допринасят за нейната работна програма, като правят одитни предложения чрез уебсайта на Палатата;</w:t>
      </w:r>
    </w:p>
    <w:p w14:paraId="70831DB0" w14:textId="52EDF0D8" w:rsidR="00EB07C0" w:rsidRPr="00EB07C0" w:rsidRDefault="00CC21FC" w:rsidP="00EB07C0">
      <w:pPr>
        <w:pStyle w:val="NormalHanging12a"/>
        <w:widowControl/>
      </w:pPr>
      <w:r>
        <w:t>80</w:t>
      </w:r>
      <w:r w:rsidR="003F6D3E" w:rsidRPr="00EB07C0">
        <w:t>.</w:t>
      </w:r>
      <w:r w:rsidR="003F6D3E" w:rsidRPr="00EB07C0">
        <w:tab/>
        <w:t>оценява високо факта, че Палатата прави оценка на вероятното въздействие и ползата от дейността си въз основа на това как тя се възприема от читателите на нейните доклади в Парламента, Съвета, Комисията, агенциите на Съюза, постоянните представителства на държавите членки, агенциите и върховните одитни институции на държавите членки, НПО, представители на академичните среди, медиите и други участници; отбелязва в този контекст, че от 2018 г. насам Палатата извършва анонимни електронни проучвания, чрез които търси от читателите обратна връзка относно качеството на избрани доклади и очаква от тях общи предложения, свързани с нейната работа; подчертава, че през 2024 г. 89% от респондентите считат докладите на Палатата за полезни за работата си, а 82% считат, че тези доклади оказват въздействие; отбелязва със задоволство, че през 2024 г. Палатата представи резултатите от своята работа 578 пъти пред различни заинтересовани лица (напр. Парламента, Съвета и националните парламенти) спрямо 456 през 2023 г. и 437 през 2022 г.</w:t>
      </w:r>
    </w:p>
    <w:p w14:paraId="23663FC6" w14:textId="5DBCA60B" w:rsidR="00E365E1" w:rsidRPr="00EB07C0" w:rsidRDefault="00E365E1" w:rsidP="008B24FC"/>
    <w:sectPr w:rsidR="00E365E1" w:rsidRPr="00EB07C0" w:rsidSect="00EB07C0">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29D093" w14:textId="77777777" w:rsidR="008B24FC" w:rsidRPr="00EB07C0" w:rsidRDefault="008B24FC">
      <w:r w:rsidRPr="00EB07C0">
        <w:separator/>
      </w:r>
    </w:p>
  </w:endnote>
  <w:endnote w:type="continuationSeparator" w:id="0">
    <w:p w14:paraId="0F9DBF71" w14:textId="77777777" w:rsidR="008B24FC" w:rsidRPr="00EB07C0" w:rsidRDefault="008B24FC">
      <w:r w:rsidRPr="00EB07C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F6F1B" w14:textId="77777777" w:rsidR="003F6D3E" w:rsidRPr="00EB07C0" w:rsidRDefault="003F6D3E" w:rsidP="00DC3645">
    <w:pPr>
      <w:pStyle w:val="EPFooter"/>
    </w:pPr>
    <w:r w:rsidRPr="00EB07C0">
      <w:t>PE</w:t>
    </w:r>
    <w:r w:rsidRPr="00EB07C0">
      <w:rPr>
        <w:rStyle w:val="HideTWBExt"/>
      </w:rPr>
      <w:t>&lt;NoPE&gt;</w:t>
    </w:r>
    <w:r w:rsidRPr="00EB07C0">
      <w:t>778.062</w:t>
    </w:r>
    <w:r w:rsidRPr="00EB07C0">
      <w:rPr>
        <w:rStyle w:val="HideTWBExt"/>
      </w:rPr>
      <w:t>&lt;/NoPE&gt;&lt;Version&gt;</w:t>
    </w:r>
    <w:r w:rsidRPr="00EB07C0">
      <w:t>v03-00</w:t>
    </w:r>
    <w:r w:rsidRPr="00EB07C0">
      <w:rPr>
        <w:rStyle w:val="HideTWBExt"/>
      </w:rPr>
      <w:t>&lt;/Version&gt;</w:t>
    </w:r>
    <w:r w:rsidRPr="00EB07C0">
      <w:tab/>
    </w:r>
    <w:r w:rsidRPr="00EB07C0">
      <w:fldChar w:fldCharType="begin"/>
    </w:r>
    <w:r w:rsidRPr="00EB07C0">
      <w:instrText xml:space="preserve"> PAGE  \* MERGEFORMAT </w:instrText>
    </w:r>
    <w:r w:rsidRPr="00EB07C0">
      <w:fldChar w:fldCharType="separate"/>
    </w:r>
    <w:r w:rsidRPr="00EB07C0">
      <w:rPr>
        <w:noProof/>
      </w:rPr>
      <w:t>1</w:t>
    </w:r>
    <w:r w:rsidRPr="00EB07C0">
      <w:fldChar w:fldCharType="end"/>
    </w:r>
    <w:r w:rsidRPr="00EB07C0">
      <w:t>/</w:t>
    </w:r>
    <w:fldSimple w:instr=" NUMPAGES  \* MERGEFORMAT ">
      <w:r w:rsidRPr="00EB07C0">
        <w:rPr>
          <w:noProof/>
        </w:rPr>
        <w:t>1</w:t>
      </w:r>
    </w:fldSimple>
    <w:r w:rsidRPr="00EB07C0">
      <w:tab/>
    </w:r>
    <w:r w:rsidRPr="00EB07C0">
      <w:rPr>
        <w:rStyle w:val="HideTWBExt"/>
      </w:rPr>
      <w:t>&lt;PathFdR&gt;</w:t>
    </w:r>
    <w:r w:rsidRPr="00EB07C0">
      <w:t>RR\1340133BG.docx</w:t>
    </w:r>
    <w:r w:rsidRPr="00EB07C0">
      <w:rPr>
        <w:rStyle w:val="HideTWBExt"/>
      </w:rPr>
      <w:t>&lt;/PathFdR&gt;</w:t>
    </w:r>
  </w:p>
  <w:p w14:paraId="53463E90" w14:textId="77777777" w:rsidR="003F6D3E" w:rsidRPr="00EB07C0" w:rsidRDefault="003F6D3E" w:rsidP="00DC3645">
    <w:pPr>
      <w:pStyle w:val="EPFooter2"/>
    </w:pPr>
    <w:r w:rsidRPr="00EB07C0">
      <w:t>BG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26AFC" w14:textId="77777777" w:rsidR="003F6D3E" w:rsidRPr="00EB07C0" w:rsidRDefault="003F6D3E" w:rsidP="00DC3645">
    <w:pPr>
      <w:pStyle w:val="EPFooter"/>
    </w:pPr>
    <w:r w:rsidRPr="00EB07C0">
      <w:rPr>
        <w:rStyle w:val="HideTWBExt"/>
      </w:rPr>
      <w:t>&lt;PathFdR&gt;</w:t>
    </w:r>
    <w:r w:rsidRPr="00EB07C0">
      <w:t>RR\1340133BG.docx</w:t>
    </w:r>
    <w:r w:rsidRPr="00EB07C0">
      <w:rPr>
        <w:rStyle w:val="HideTWBExt"/>
      </w:rPr>
      <w:t>&lt;/PathFdR&gt;</w:t>
    </w:r>
    <w:r w:rsidRPr="00EB07C0">
      <w:tab/>
    </w:r>
    <w:r w:rsidRPr="00EB07C0">
      <w:tab/>
      <w:t>PE</w:t>
    </w:r>
    <w:r w:rsidRPr="00EB07C0">
      <w:rPr>
        <w:rStyle w:val="HideTWBExt"/>
      </w:rPr>
      <w:t>&lt;NoPE&gt;</w:t>
    </w:r>
    <w:r w:rsidRPr="00EB07C0">
      <w:t>778.062</w:t>
    </w:r>
    <w:r w:rsidRPr="00EB07C0">
      <w:rPr>
        <w:rStyle w:val="HideTWBExt"/>
      </w:rPr>
      <w:t>&lt;/NoPE&gt;&lt;Version&gt;</w:t>
    </w:r>
    <w:r w:rsidRPr="00EB07C0">
      <w:t>v03-00</w:t>
    </w:r>
    <w:r w:rsidRPr="00EB07C0">
      <w:rPr>
        <w:rStyle w:val="HideTWBExt"/>
      </w:rPr>
      <w:t>&lt;/Version&gt;</w:t>
    </w:r>
  </w:p>
  <w:p w14:paraId="440F09F5" w14:textId="77777777" w:rsidR="003F6D3E" w:rsidRPr="00EB07C0" w:rsidRDefault="003F6D3E" w:rsidP="00DC3645">
    <w:pPr>
      <w:pStyle w:val="EPFooter2"/>
    </w:pPr>
    <w:r w:rsidRPr="00EB07C0">
      <w:t>BG</w:t>
    </w:r>
    <w:r w:rsidRPr="00EB07C0">
      <w:tab/>
    </w:r>
    <w:r w:rsidRPr="00EB07C0">
      <w:rPr>
        <w:b w:val="0"/>
        <w:i/>
        <w:color w:val="C0C0C0"/>
        <w:sz w:val="22"/>
      </w:rPr>
      <w:t>Единство в многообразието</w:t>
    </w:r>
    <w:r w:rsidRPr="00EB07C0">
      <w:tab/>
      <w:t>BG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26ACB" w14:textId="77777777" w:rsidR="00064002" w:rsidRPr="00EB07C0"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C7812" w14:textId="77777777" w:rsidR="00064002" w:rsidRPr="00EB07C0"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A0E86" w14:textId="77777777" w:rsidR="00064002" w:rsidRPr="00EB07C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9BCFC7" w14:textId="77777777" w:rsidR="008B24FC" w:rsidRPr="00EB07C0" w:rsidRDefault="008B24FC">
      <w:r w:rsidRPr="00EB07C0">
        <w:separator/>
      </w:r>
    </w:p>
  </w:footnote>
  <w:footnote w:type="continuationSeparator" w:id="0">
    <w:p w14:paraId="48E4114A" w14:textId="77777777" w:rsidR="008B24FC" w:rsidRPr="00EB07C0" w:rsidRDefault="008B24FC">
      <w:r w:rsidRPr="00EB07C0">
        <w:continuationSeparator/>
      </w:r>
    </w:p>
  </w:footnote>
  <w:footnote w:id="1">
    <w:p w14:paraId="17F47C48" w14:textId="15E771E9" w:rsidR="003F6D3E" w:rsidRPr="00EB07C0" w:rsidRDefault="003F6D3E" w:rsidP="00EB07C0">
      <w:pPr>
        <w:pStyle w:val="FootnoteText"/>
        <w:ind w:left="567" w:hanging="567"/>
        <w:rPr>
          <w:sz w:val="24"/>
          <w:lang w:val="bg-BG"/>
        </w:rPr>
      </w:pPr>
      <w:r w:rsidRPr="00EB07C0">
        <w:rPr>
          <w:rStyle w:val="FootnoteReference"/>
          <w:sz w:val="24"/>
          <w:lang w:val="bg-BG"/>
        </w:rPr>
        <w:footnoteRef/>
      </w:r>
      <w:r w:rsidR="00EB07C0" w:rsidRPr="00EB07C0">
        <w:rPr>
          <w:sz w:val="24"/>
          <w:lang w:val="bg-BG"/>
        </w:rPr>
        <w:t xml:space="preserve"> </w:t>
      </w:r>
      <w:r w:rsidR="00EB07C0" w:rsidRPr="00EB07C0">
        <w:rPr>
          <w:sz w:val="24"/>
          <w:lang w:val="bg-BG"/>
        </w:rPr>
        <w:tab/>
      </w:r>
      <w:r w:rsidRPr="00EB07C0">
        <w:rPr>
          <w:sz w:val="24"/>
          <w:lang w:val="bg-BG"/>
        </w:rPr>
        <w:t>ОВ L</w:t>
      </w:r>
      <w:r w:rsidR="00D22551">
        <w:rPr>
          <w:sz w:val="24"/>
          <w:lang w:val="bg-BG"/>
        </w:rPr>
        <w:t>,</w:t>
      </w:r>
      <w:r w:rsidRPr="00EB07C0">
        <w:rPr>
          <w:sz w:val="24"/>
          <w:lang w:val="bg-BG"/>
        </w:rPr>
        <w:t> </w:t>
      </w:r>
      <w:r w:rsidR="00EE4448">
        <w:rPr>
          <w:sz w:val="24"/>
          <w:lang w:val="en-GB"/>
        </w:rPr>
        <w:t>2024/</w:t>
      </w:r>
      <w:r w:rsidRPr="00EB07C0">
        <w:rPr>
          <w:sz w:val="24"/>
          <w:lang w:val="bg-BG"/>
        </w:rPr>
        <w:t xml:space="preserve">207, 22.2.2024 г.. </w:t>
      </w:r>
      <w:hyperlink r:id="rId1" w:history="1">
        <w:r w:rsidRPr="00EB07C0">
          <w:rPr>
            <w:rStyle w:val="Hyperlink"/>
            <w:sz w:val="24"/>
            <w:lang w:val="bg-BG"/>
          </w:rPr>
          <w:t>http://data.europa.eu/eli/budget/2024/207/oj</w:t>
        </w:r>
      </w:hyperlink>
      <w:r w:rsidRPr="00EB07C0">
        <w:rPr>
          <w:sz w:val="24"/>
          <w:lang w:val="bg-BG"/>
        </w:rPr>
        <w:t>.</w:t>
      </w:r>
    </w:p>
  </w:footnote>
  <w:footnote w:id="2">
    <w:p w14:paraId="19508776" w14:textId="368E11C7" w:rsidR="003F6D3E" w:rsidRPr="00EB07C0" w:rsidRDefault="003F6D3E" w:rsidP="00EB07C0">
      <w:pPr>
        <w:pStyle w:val="FootnoteText"/>
        <w:ind w:left="567" w:hanging="567"/>
        <w:rPr>
          <w:sz w:val="24"/>
          <w:lang w:val="bg-BG"/>
        </w:rPr>
      </w:pPr>
      <w:r w:rsidRPr="00EB07C0">
        <w:rPr>
          <w:rStyle w:val="FootnoteReference"/>
          <w:sz w:val="24"/>
          <w:lang w:val="bg-BG"/>
        </w:rPr>
        <w:footnoteRef/>
      </w:r>
      <w:r w:rsidR="00EB07C0" w:rsidRPr="00EB07C0">
        <w:rPr>
          <w:sz w:val="24"/>
          <w:lang w:val="bg-BG"/>
        </w:rPr>
        <w:t xml:space="preserve"> </w:t>
      </w:r>
      <w:r w:rsidR="00EB07C0" w:rsidRPr="00EB07C0">
        <w:rPr>
          <w:sz w:val="24"/>
          <w:lang w:val="bg-BG"/>
        </w:rPr>
        <w:tab/>
      </w:r>
      <w:r w:rsidRPr="00EB07C0">
        <w:rPr>
          <w:sz w:val="24"/>
          <w:lang w:val="bg-BG"/>
        </w:rPr>
        <w:t xml:space="preserve">ОВ C, C/2025/4944, 13.10.2025 г., ELI: </w:t>
      </w:r>
      <w:hyperlink r:id="rId2" w:history="1">
        <w:r w:rsidRPr="00EB07C0">
          <w:rPr>
            <w:rStyle w:val="Hyperlink"/>
            <w:sz w:val="24"/>
            <w:lang w:val="bg-BG"/>
          </w:rPr>
          <w:t>http://data.europa.eu/eli/C/2025/4944/oj</w:t>
        </w:r>
      </w:hyperlink>
      <w:r w:rsidRPr="00EB07C0">
        <w:rPr>
          <w:sz w:val="24"/>
          <w:lang w:val="bg-BG"/>
        </w:rPr>
        <w:t>.</w:t>
      </w:r>
    </w:p>
  </w:footnote>
  <w:footnote w:id="3">
    <w:p w14:paraId="41698146" w14:textId="34C2CF94" w:rsidR="003F6D3E" w:rsidRPr="00EB07C0" w:rsidRDefault="003F6D3E" w:rsidP="00EB07C0">
      <w:pPr>
        <w:pStyle w:val="FootnoteText"/>
        <w:ind w:left="567" w:hanging="567"/>
        <w:rPr>
          <w:sz w:val="24"/>
          <w:lang w:val="bg-BG"/>
        </w:rPr>
      </w:pPr>
      <w:r w:rsidRPr="00EB07C0">
        <w:rPr>
          <w:rStyle w:val="FootnoteReference"/>
          <w:sz w:val="24"/>
          <w:lang w:val="bg-BG"/>
        </w:rPr>
        <w:footnoteRef/>
      </w:r>
      <w:r w:rsidR="00EB07C0" w:rsidRPr="00EB07C0">
        <w:rPr>
          <w:sz w:val="24"/>
          <w:lang w:val="bg-BG"/>
        </w:rPr>
        <w:t xml:space="preserve"> </w:t>
      </w:r>
      <w:r w:rsidR="00EB07C0" w:rsidRPr="00EB07C0">
        <w:rPr>
          <w:sz w:val="24"/>
          <w:lang w:val="bg-BG"/>
        </w:rPr>
        <w:tab/>
      </w:r>
      <w:r w:rsidRPr="00EB07C0">
        <w:rPr>
          <w:sz w:val="24"/>
          <w:lang w:val="bg-BG"/>
        </w:rPr>
        <w:t xml:space="preserve">ОВ C, C/2025/5409, 8.10.2025 г., ELI: </w:t>
      </w:r>
      <w:hyperlink r:id="rId3" w:history="1">
        <w:r w:rsidRPr="00EB07C0">
          <w:rPr>
            <w:rStyle w:val="Hyperlink"/>
            <w:sz w:val="24"/>
            <w:lang w:val="bg-BG"/>
          </w:rPr>
          <w:t>http://data.europa.eu/eli/C/2025/5409/oj</w:t>
        </w:r>
      </w:hyperlink>
      <w:r w:rsidRPr="00EB07C0">
        <w:rPr>
          <w:sz w:val="24"/>
          <w:lang w:val="bg-BG"/>
        </w:rPr>
        <w:t>.</w:t>
      </w:r>
    </w:p>
  </w:footnote>
  <w:footnote w:id="4">
    <w:p w14:paraId="0791383E" w14:textId="592E0650" w:rsidR="003F6D3E" w:rsidRPr="00EB07C0" w:rsidRDefault="003F6D3E" w:rsidP="00EB07C0">
      <w:pPr>
        <w:pStyle w:val="FootnoteText"/>
        <w:ind w:left="567" w:hanging="567"/>
        <w:rPr>
          <w:sz w:val="24"/>
          <w:lang w:val="bg-BG"/>
        </w:rPr>
      </w:pPr>
      <w:r w:rsidRPr="00EB07C0">
        <w:rPr>
          <w:rStyle w:val="FootnoteReference"/>
          <w:sz w:val="24"/>
          <w:lang w:val="bg-BG"/>
        </w:rPr>
        <w:footnoteRef/>
      </w:r>
      <w:r w:rsidR="00EB07C0" w:rsidRPr="00EB07C0">
        <w:rPr>
          <w:sz w:val="24"/>
          <w:lang w:val="bg-BG"/>
        </w:rPr>
        <w:t xml:space="preserve"> </w:t>
      </w:r>
      <w:r w:rsidR="00EB07C0" w:rsidRPr="00EB07C0">
        <w:rPr>
          <w:sz w:val="24"/>
          <w:lang w:val="bg-BG"/>
        </w:rPr>
        <w:tab/>
      </w:r>
      <w:r w:rsidRPr="00EB07C0">
        <w:rPr>
          <w:sz w:val="24"/>
          <w:lang w:val="bg-BG"/>
        </w:rPr>
        <w:t xml:space="preserve">ОВ C, C/2025/5407, 13.10.2025 г., ELI: </w:t>
      </w:r>
      <w:hyperlink r:id="rId4" w:history="1">
        <w:r w:rsidRPr="00EB07C0">
          <w:rPr>
            <w:rStyle w:val="Hyperlink"/>
            <w:sz w:val="24"/>
            <w:lang w:val="bg-BG"/>
          </w:rPr>
          <w:t>http://data.europa.eu/eli/C/2025/5407/oj</w:t>
        </w:r>
      </w:hyperlink>
      <w:r w:rsidRPr="00EB07C0">
        <w:rPr>
          <w:sz w:val="24"/>
          <w:lang w:val="bg-BG"/>
        </w:rPr>
        <w:t>.</w:t>
      </w:r>
    </w:p>
  </w:footnote>
  <w:footnote w:id="5">
    <w:p w14:paraId="692765E2" w14:textId="1D6179E5" w:rsidR="003F6D3E" w:rsidRPr="00EB07C0" w:rsidRDefault="003F6D3E" w:rsidP="00EB07C0">
      <w:pPr>
        <w:pStyle w:val="FootnoteText"/>
        <w:ind w:left="567" w:hanging="567"/>
        <w:rPr>
          <w:sz w:val="24"/>
          <w:lang w:val="bg-BG"/>
        </w:rPr>
      </w:pPr>
      <w:r w:rsidRPr="00EB07C0">
        <w:rPr>
          <w:rStyle w:val="FootnoteReference"/>
          <w:sz w:val="24"/>
          <w:lang w:val="bg-BG"/>
        </w:rPr>
        <w:footnoteRef/>
      </w:r>
      <w:r w:rsidR="00EB07C0" w:rsidRPr="00EB07C0">
        <w:rPr>
          <w:sz w:val="24"/>
          <w:lang w:val="bg-BG"/>
        </w:rPr>
        <w:t xml:space="preserve"> </w:t>
      </w:r>
      <w:r w:rsidR="00EB07C0" w:rsidRPr="00EB07C0">
        <w:rPr>
          <w:sz w:val="24"/>
          <w:lang w:val="bg-BG"/>
        </w:rPr>
        <w:tab/>
      </w:r>
      <w:r w:rsidRPr="00EB07C0">
        <w:rPr>
          <w:sz w:val="24"/>
          <w:lang w:val="bg-BG"/>
        </w:rPr>
        <w:t xml:space="preserve">ОВ L 193, 30.7.2018 г., стр. 1, ELI: </w:t>
      </w:r>
      <w:hyperlink r:id="rId5" w:history="1">
        <w:r w:rsidRPr="00EB07C0">
          <w:rPr>
            <w:rStyle w:val="Hyperlink"/>
            <w:sz w:val="24"/>
            <w:lang w:val="bg-BG"/>
          </w:rPr>
          <w:t>http://data.europa.eu/eli/reg/2018/1046/oj</w:t>
        </w:r>
      </w:hyperlink>
      <w:r w:rsidRPr="00EB07C0">
        <w:rPr>
          <w:sz w:val="24"/>
          <w:lang w:val="bg-BG"/>
        </w:rPr>
        <w:t>.</w:t>
      </w:r>
    </w:p>
  </w:footnote>
  <w:footnote w:id="6">
    <w:p w14:paraId="277C7442" w14:textId="444B4B52" w:rsidR="003F6D3E" w:rsidRPr="00EB07C0" w:rsidRDefault="003F6D3E" w:rsidP="00EB07C0">
      <w:pPr>
        <w:pStyle w:val="FootnoteText"/>
        <w:ind w:left="567" w:hanging="567"/>
        <w:rPr>
          <w:sz w:val="24"/>
          <w:lang w:val="bg-BG"/>
        </w:rPr>
      </w:pPr>
      <w:r w:rsidRPr="00EB07C0">
        <w:rPr>
          <w:rStyle w:val="FootnoteReference"/>
          <w:sz w:val="24"/>
          <w:lang w:val="bg-BG"/>
        </w:rPr>
        <w:footnoteRef/>
      </w:r>
      <w:r w:rsidR="00EB07C0" w:rsidRPr="00EB07C0">
        <w:rPr>
          <w:sz w:val="24"/>
          <w:lang w:val="bg-BG"/>
        </w:rPr>
        <w:t xml:space="preserve"> </w:t>
      </w:r>
      <w:r w:rsidR="00EB07C0" w:rsidRPr="00EB07C0">
        <w:rPr>
          <w:sz w:val="24"/>
          <w:lang w:val="bg-BG"/>
        </w:rPr>
        <w:tab/>
      </w:r>
      <w:r w:rsidRPr="00EB07C0">
        <w:rPr>
          <w:sz w:val="24"/>
          <w:lang w:val="bg-BG"/>
        </w:rPr>
        <w:t xml:space="preserve">ОВ L, 2024/2509, 26.9.2024 г., ELI: </w:t>
      </w:r>
      <w:hyperlink r:id="rId6" w:history="1">
        <w:r w:rsidRPr="00EB07C0">
          <w:rPr>
            <w:rStyle w:val="Hyperlink"/>
            <w:sz w:val="24"/>
            <w:lang w:val="bg-BG"/>
          </w:rPr>
          <w:t>http://data.europa.eu/eli/reg/2024/2509/oj</w:t>
        </w:r>
      </w:hyperlink>
      <w:r w:rsidRPr="00EB07C0">
        <w:rPr>
          <w:sz w:val="24"/>
          <w:lang w:val="bg-BG"/>
        </w:rPr>
        <w:t>.</w:t>
      </w:r>
    </w:p>
  </w:footnote>
  <w:footnote w:id="7">
    <w:p w14:paraId="6C84C3B1" w14:textId="5782BCD8" w:rsidR="003F6D3E" w:rsidRPr="00EB07C0" w:rsidRDefault="003F6D3E" w:rsidP="00EB07C0">
      <w:pPr>
        <w:pStyle w:val="FootnoteText"/>
        <w:ind w:left="567" w:hanging="567"/>
        <w:rPr>
          <w:sz w:val="24"/>
          <w:lang w:val="bg-BG"/>
        </w:rPr>
      </w:pPr>
      <w:r w:rsidRPr="00EB07C0">
        <w:rPr>
          <w:rStyle w:val="FootnoteReference"/>
          <w:sz w:val="24"/>
          <w:lang w:val="bg-BG"/>
        </w:rPr>
        <w:footnoteRef/>
      </w:r>
      <w:r w:rsidR="00EB07C0" w:rsidRPr="00EB07C0">
        <w:rPr>
          <w:sz w:val="24"/>
          <w:lang w:val="bg-BG"/>
        </w:rPr>
        <w:t xml:space="preserve"> </w:t>
      </w:r>
      <w:r w:rsidR="00EB07C0" w:rsidRPr="00EB07C0">
        <w:rPr>
          <w:sz w:val="24"/>
          <w:lang w:val="bg-BG"/>
        </w:rPr>
        <w:tab/>
      </w:r>
      <w:r w:rsidRPr="00EB07C0">
        <w:rPr>
          <w:sz w:val="24"/>
          <w:lang w:val="bg-BG"/>
        </w:rPr>
        <w:t>Регламент (ЕС, Евратом) 2023/2841 на Европейския парламент и на Съвета от 13 декември 2023 г. за определяне на мерки за високо общо ниво на киберсигурност в институциите, органите, службите и агенциите на Съюза (ОВ L, 2023/2841, 18.12.2023 г., ELI: </w:t>
      </w:r>
      <w:hyperlink r:id="rId7"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EB07C0">
          <w:rPr>
            <w:rStyle w:val="Hyperlink"/>
            <w:sz w:val="24"/>
            <w:lang w:val="bg-BG"/>
          </w:rPr>
          <w:t>http://data.europa.eu/eli/reg/2023/2841/oj</w:t>
        </w:r>
      </w:hyperlink>
      <w:r w:rsidRPr="00EB07C0">
        <w:rPr>
          <w:sz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AFEF0" w14:textId="77777777" w:rsidR="00064002" w:rsidRPr="00EB07C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45F7E" w14:textId="77777777" w:rsidR="00064002" w:rsidRPr="00EB07C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D201C" w14:textId="77777777" w:rsidR="00064002" w:rsidRPr="00EB07C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14827886">
    <w:abstractNumId w:val="9"/>
  </w:num>
  <w:num w:numId="2" w16cid:durableId="1510874939">
    <w:abstractNumId w:val="9"/>
  </w:num>
  <w:num w:numId="3" w16cid:durableId="1124811077">
    <w:abstractNumId w:val="7"/>
  </w:num>
  <w:num w:numId="4" w16cid:durableId="580918515">
    <w:abstractNumId w:val="7"/>
  </w:num>
  <w:num w:numId="5" w16cid:durableId="782388123">
    <w:abstractNumId w:val="6"/>
  </w:num>
  <w:num w:numId="6" w16cid:durableId="1706251677">
    <w:abstractNumId w:val="6"/>
  </w:num>
  <w:num w:numId="7" w16cid:durableId="204873871">
    <w:abstractNumId w:val="5"/>
  </w:num>
  <w:num w:numId="8" w16cid:durableId="499659865">
    <w:abstractNumId w:val="5"/>
  </w:num>
  <w:num w:numId="9" w16cid:durableId="1986466746">
    <w:abstractNumId w:val="4"/>
  </w:num>
  <w:num w:numId="10" w16cid:durableId="1883470294">
    <w:abstractNumId w:val="4"/>
  </w:num>
  <w:num w:numId="11" w16cid:durableId="41756314">
    <w:abstractNumId w:val="8"/>
  </w:num>
  <w:num w:numId="12" w16cid:durableId="1826388893">
    <w:abstractNumId w:val="8"/>
  </w:num>
  <w:num w:numId="13" w16cid:durableId="472140363">
    <w:abstractNumId w:val="3"/>
  </w:num>
  <w:num w:numId="14" w16cid:durableId="825316716">
    <w:abstractNumId w:val="3"/>
  </w:num>
  <w:num w:numId="15" w16cid:durableId="808060687">
    <w:abstractNumId w:val="2"/>
  </w:num>
  <w:num w:numId="16" w16cid:durableId="1769496545">
    <w:abstractNumId w:val="2"/>
  </w:num>
  <w:num w:numId="17" w16cid:durableId="8680522">
    <w:abstractNumId w:val="1"/>
  </w:num>
  <w:num w:numId="18" w16cid:durableId="1318191631">
    <w:abstractNumId w:val="1"/>
  </w:num>
  <w:num w:numId="19" w16cid:durableId="1381982048">
    <w:abstractNumId w:val="0"/>
  </w:num>
  <w:num w:numId="20" w16cid:durableId="1550724511">
    <w:abstractNumId w:val="0"/>
  </w:num>
  <w:num w:numId="21" w16cid:durableId="804080219">
    <w:abstractNumId w:val="9"/>
  </w:num>
  <w:num w:numId="22" w16cid:durableId="1907060211">
    <w:abstractNumId w:val="7"/>
  </w:num>
  <w:num w:numId="23" w16cid:durableId="1804344956">
    <w:abstractNumId w:val="6"/>
  </w:num>
  <w:num w:numId="24" w16cid:durableId="291180861">
    <w:abstractNumId w:val="5"/>
  </w:num>
  <w:num w:numId="25" w16cid:durableId="913516030">
    <w:abstractNumId w:val="4"/>
  </w:num>
  <w:num w:numId="26" w16cid:durableId="836992541">
    <w:abstractNumId w:val="8"/>
  </w:num>
  <w:num w:numId="27" w16cid:durableId="2015035519">
    <w:abstractNumId w:val="3"/>
  </w:num>
  <w:num w:numId="28" w16cid:durableId="1570119176">
    <w:abstractNumId w:val="2"/>
  </w:num>
  <w:num w:numId="29" w16cid:durableId="1696038135">
    <w:abstractNumId w:val="1"/>
  </w:num>
  <w:num w:numId="30" w16cid:durableId="2075659236">
    <w:abstractNumId w:val="0"/>
  </w:num>
  <w:num w:numId="31" w16cid:durableId="1144548074">
    <w:abstractNumId w:val="9"/>
  </w:num>
  <w:num w:numId="32" w16cid:durableId="313995547">
    <w:abstractNumId w:val="7"/>
  </w:num>
  <w:num w:numId="33" w16cid:durableId="930166552">
    <w:abstractNumId w:val="6"/>
  </w:num>
  <w:num w:numId="34" w16cid:durableId="1898197757">
    <w:abstractNumId w:val="5"/>
  </w:num>
  <w:num w:numId="35" w16cid:durableId="1879514019">
    <w:abstractNumId w:val="4"/>
  </w:num>
  <w:num w:numId="36" w16cid:durableId="1265767476">
    <w:abstractNumId w:val="8"/>
  </w:num>
  <w:num w:numId="37" w16cid:durableId="1771465515">
    <w:abstractNumId w:val="3"/>
  </w:num>
  <w:num w:numId="38" w16cid:durableId="117072526">
    <w:abstractNumId w:val="2"/>
  </w:num>
  <w:num w:numId="39" w16cid:durableId="1917014361">
    <w:abstractNumId w:val="1"/>
  </w:num>
  <w:num w:numId="40" w16cid:durableId="527908355">
    <w:abstractNumId w:val="0"/>
  </w:num>
  <w:num w:numId="41" w16cid:durableId="1933932932">
    <w:abstractNumId w:val="10"/>
  </w:num>
  <w:num w:numId="42" w16cid:durableId="1492525065">
    <w:abstractNumId w:val="10"/>
  </w:num>
  <w:num w:numId="43" w16cid:durableId="932130758">
    <w:abstractNumId w:val="10"/>
  </w:num>
  <w:num w:numId="44" w16cid:durableId="178418390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2/2026"/>
    <w:docVar w:name="dvlangue" w:val="BG"/>
    <w:docVar w:name="dvnumam" w:val="0"/>
    <w:docVar w:name="dvpe" w:val="778.062"/>
    <w:docVar w:name="dvrapporteur" w:val="Докладчик: "/>
    <w:docVar w:name="dvtitre" w:val="Решение на Европейския парламент от ... 2026 г. относно освобождаването от отговорност във връзка с изпълнението на общия бюджет на Европейския съюз за финансовата 2024 година, раздел V ‒ Сметна палата(2025/2149(DEC))"/>
  </w:docVars>
  <w:rsids>
    <w:rsidRoot w:val="008B24FC"/>
    <w:rsid w:val="00002272"/>
    <w:rsid w:val="00064002"/>
    <w:rsid w:val="000677B9"/>
    <w:rsid w:val="000831BA"/>
    <w:rsid w:val="000A42CC"/>
    <w:rsid w:val="000D44B8"/>
    <w:rsid w:val="000E7DD9"/>
    <w:rsid w:val="0010095E"/>
    <w:rsid w:val="00125B37"/>
    <w:rsid w:val="00187494"/>
    <w:rsid w:val="001F32AE"/>
    <w:rsid w:val="002767FF"/>
    <w:rsid w:val="002B18FE"/>
    <w:rsid w:val="002B5493"/>
    <w:rsid w:val="002D2049"/>
    <w:rsid w:val="00343214"/>
    <w:rsid w:val="00361C00"/>
    <w:rsid w:val="00395FA1"/>
    <w:rsid w:val="003E15D4"/>
    <w:rsid w:val="003F6D3E"/>
    <w:rsid w:val="00411CCE"/>
    <w:rsid w:val="0041666E"/>
    <w:rsid w:val="00421060"/>
    <w:rsid w:val="00463268"/>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2715"/>
    <w:rsid w:val="00734777"/>
    <w:rsid w:val="00747932"/>
    <w:rsid w:val="00751A4A"/>
    <w:rsid w:val="00756632"/>
    <w:rsid w:val="00762C74"/>
    <w:rsid w:val="00786EC0"/>
    <w:rsid w:val="007C6028"/>
    <w:rsid w:val="007D1690"/>
    <w:rsid w:val="007E22AD"/>
    <w:rsid w:val="00817416"/>
    <w:rsid w:val="008252F2"/>
    <w:rsid w:val="00842779"/>
    <w:rsid w:val="00865F67"/>
    <w:rsid w:val="00881A7B"/>
    <w:rsid w:val="008840E5"/>
    <w:rsid w:val="00887B3E"/>
    <w:rsid w:val="008B24FC"/>
    <w:rsid w:val="008C2AC6"/>
    <w:rsid w:val="00930C23"/>
    <w:rsid w:val="0093193B"/>
    <w:rsid w:val="009509D8"/>
    <w:rsid w:val="00950B64"/>
    <w:rsid w:val="00981893"/>
    <w:rsid w:val="00A12B20"/>
    <w:rsid w:val="00A1687D"/>
    <w:rsid w:val="00A43E52"/>
    <w:rsid w:val="00A4678D"/>
    <w:rsid w:val="00A778C7"/>
    <w:rsid w:val="00AB441E"/>
    <w:rsid w:val="00AB6293"/>
    <w:rsid w:val="00AE0928"/>
    <w:rsid w:val="00AF3B82"/>
    <w:rsid w:val="00B12E95"/>
    <w:rsid w:val="00B22876"/>
    <w:rsid w:val="00B558F0"/>
    <w:rsid w:val="00B85D63"/>
    <w:rsid w:val="00BD48FE"/>
    <w:rsid w:val="00BD7BD8"/>
    <w:rsid w:val="00BE6ADC"/>
    <w:rsid w:val="00C05BFE"/>
    <w:rsid w:val="00C23CD4"/>
    <w:rsid w:val="00C41FFB"/>
    <w:rsid w:val="00C61C0C"/>
    <w:rsid w:val="00C941CB"/>
    <w:rsid w:val="00CB533A"/>
    <w:rsid w:val="00CC21FC"/>
    <w:rsid w:val="00CC2357"/>
    <w:rsid w:val="00CF071A"/>
    <w:rsid w:val="00D058B8"/>
    <w:rsid w:val="00D22551"/>
    <w:rsid w:val="00D56C11"/>
    <w:rsid w:val="00D834A0"/>
    <w:rsid w:val="00D872DF"/>
    <w:rsid w:val="00D91E21"/>
    <w:rsid w:val="00DA7FCD"/>
    <w:rsid w:val="00E365E1"/>
    <w:rsid w:val="00E820A4"/>
    <w:rsid w:val="00EB006A"/>
    <w:rsid w:val="00EB07C0"/>
    <w:rsid w:val="00EB4772"/>
    <w:rsid w:val="00EB6437"/>
    <w:rsid w:val="00ED169E"/>
    <w:rsid w:val="00ED4235"/>
    <w:rsid w:val="00EE4448"/>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18BAB9"/>
  <w15:chartTrackingRefBased/>
  <w15:docId w15:val="{F3A58C3A-D81D-4C7F-B45D-B13A3CD00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F6D3E"/>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3F6D3E"/>
    <w:pPr>
      <w:spacing w:before="480" w:after="240"/>
    </w:pPr>
  </w:style>
  <w:style w:type="paragraph" w:customStyle="1" w:styleId="PageHeading">
    <w:name w:val="PageHeading"/>
    <w:basedOn w:val="Normal"/>
    <w:rsid w:val="003F6D3E"/>
    <w:pPr>
      <w:keepNext/>
      <w:spacing w:after="480"/>
      <w:jc w:val="center"/>
    </w:pPr>
    <w:rPr>
      <w:rFonts w:ascii="Arial" w:hAnsi="Arial" w:cs="Arial"/>
      <w:b/>
    </w:rPr>
  </w:style>
  <w:style w:type="paragraph" w:customStyle="1" w:styleId="NormalBold">
    <w:name w:val="NormalBold"/>
    <w:basedOn w:val="Normal"/>
    <w:rsid w:val="003F6D3E"/>
    <w:rPr>
      <w:b/>
    </w:rPr>
  </w:style>
  <w:style w:type="paragraph" w:customStyle="1" w:styleId="NormalHanging12a">
    <w:name w:val="NormalHanging12a"/>
    <w:basedOn w:val="Normal"/>
    <w:link w:val="NormalHanging12aChar"/>
    <w:qFormat/>
    <w:rsid w:val="003F6D3E"/>
    <w:pPr>
      <w:spacing w:after="240"/>
      <w:ind w:left="567" w:hanging="567"/>
    </w:pPr>
  </w:style>
  <w:style w:type="paragraph" w:styleId="Header">
    <w:name w:val="header"/>
    <w:basedOn w:val="Normal"/>
    <w:link w:val="HeaderChar"/>
    <w:rsid w:val="003F6D3E"/>
    <w:pPr>
      <w:tabs>
        <w:tab w:val="center" w:pos="4513"/>
        <w:tab w:val="right" w:pos="9026"/>
      </w:tabs>
    </w:pPr>
  </w:style>
  <w:style w:type="character" w:customStyle="1" w:styleId="HeaderChar">
    <w:name w:val="Header Char"/>
    <w:basedOn w:val="DefaultParagraphFont"/>
    <w:link w:val="Header"/>
    <w:rsid w:val="003F6D3E"/>
    <w:rPr>
      <w:sz w:val="24"/>
      <w:lang w:val="bg-BG"/>
    </w:rPr>
  </w:style>
  <w:style w:type="paragraph" w:customStyle="1" w:styleId="EPFooter">
    <w:name w:val="EPFooter"/>
    <w:basedOn w:val="Normal"/>
    <w:rsid w:val="003F6D3E"/>
    <w:pPr>
      <w:tabs>
        <w:tab w:val="center" w:pos="4535"/>
        <w:tab w:val="right" w:pos="9071"/>
      </w:tabs>
      <w:spacing w:before="240" w:after="240"/>
    </w:pPr>
    <w:rPr>
      <w:color w:val="010000"/>
      <w:sz w:val="22"/>
    </w:rPr>
  </w:style>
  <w:style w:type="character" w:styleId="Hyperlink">
    <w:name w:val="Hyperlink"/>
    <w:basedOn w:val="DefaultParagraphFont"/>
    <w:rsid w:val="003F6D3E"/>
    <w:rPr>
      <w:color w:val="0563C1" w:themeColor="hyperlink"/>
      <w:u w:val="single"/>
    </w:rPr>
  </w:style>
  <w:style w:type="character" w:customStyle="1" w:styleId="NormalHanging12aChar">
    <w:name w:val="NormalHanging12a Char"/>
    <w:basedOn w:val="DefaultParagraphFont"/>
    <w:link w:val="NormalHanging12a"/>
    <w:locked/>
    <w:rsid w:val="003F6D3E"/>
    <w:rPr>
      <w:sz w:val="24"/>
      <w:lang w:val="bg-BG"/>
    </w:rPr>
  </w:style>
  <w:style w:type="paragraph" w:styleId="Revision">
    <w:name w:val="Revision"/>
    <w:hidden/>
    <w:uiPriority w:val="99"/>
    <w:semiHidden/>
    <w:rsid w:val="00EE4448"/>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5409/oj" TargetMode="External"/><Relationship Id="rId7" Type="http://schemas.openxmlformats.org/officeDocument/2006/relationships/hyperlink" Target="http://data.europa.eu/eli/reg/2023/2841/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5/54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10062</Words>
  <Characters>57355</Characters>
  <Application>Microsoft Office Word</Application>
  <DocSecurity>0</DocSecurity>
  <Lines>477</Lines>
  <Paragraphs>134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67283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MINKOVA Maria</dc:creator>
  <cp:keywords/>
  <cp:lastModifiedBy>GIRGINOV Kiril</cp:lastModifiedBy>
  <cp:revision>2</cp:revision>
  <cp:lastPrinted>2004-11-19T15:42:00Z</cp:lastPrinted>
  <dcterms:created xsi:type="dcterms:W3CDTF">2026-05-05T09:22:00Z</dcterms:created>
  <dcterms:modified xsi:type="dcterms:W3CDTF">2026-05-05T09:22:00Z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P10_TA(2026)0129_</vt:lpwstr>
  </property>
  <property fmtid="{D5CDD505-2E9C-101B-9397-08002B2CF9AE}" pid="4" name="&lt;Type&gt;">
    <vt:lpwstr>RR</vt:lpwstr>
  </property>
</Properties>
</file>