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C29C0" w14:paraId="4E8944CA" w14:textId="77777777" w:rsidTr="0010095E">
        <w:trPr>
          <w:trHeight w:hRule="exact" w:val="1418"/>
        </w:trPr>
        <w:tc>
          <w:tcPr>
            <w:tcW w:w="6804" w:type="dxa"/>
            <w:shd w:val="clear" w:color="auto" w:fill="auto"/>
            <w:vAlign w:val="center"/>
          </w:tcPr>
          <w:p w14:paraId="7EC01B4D" w14:textId="77777777" w:rsidR="00751A4A" w:rsidRPr="000C29C0" w:rsidRDefault="006A2696" w:rsidP="0010095E">
            <w:pPr>
              <w:pStyle w:val="EPName"/>
            </w:pPr>
            <w:r w:rsidRPr="000C29C0">
              <w:t>Evropský parlament</w:t>
            </w:r>
          </w:p>
          <w:p w14:paraId="2AE46551" w14:textId="77777777" w:rsidR="00751A4A" w:rsidRPr="000C29C0" w:rsidRDefault="005F1B17" w:rsidP="005F1B17">
            <w:pPr>
              <w:pStyle w:val="EPTerm"/>
              <w:rPr>
                <w:rStyle w:val="HideTWBExt"/>
                <w:noProof w:val="0"/>
                <w:vanish w:val="0"/>
                <w:color w:val="auto"/>
              </w:rPr>
            </w:pPr>
            <w:r w:rsidRPr="000C29C0">
              <w:t>2024</w:t>
            </w:r>
            <w:r w:rsidR="00817416" w:rsidRPr="000C29C0">
              <w:t>-202</w:t>
            </w:r>
            <w:r w:rsidRPr="000C29C0">
              <w:t>9</w:t>
            </w:r>
          </w:p>
        </w:tc>
        <w:tc>
          <w:tcPr>
            <w:tcW w:w="2268" w:type="dxa"/>
            <w:shd w:val="clear" w:color="auto" w:fill="auto"/>
          </w:tcPr>
          <w:p w14:paraId="170FA713" w14:textId="77777777" w:rsidR="00751A4A" w:rsidRPr="000C29C0" w:rsidRDefault="00187494" w:rsidP="0010095E">
            <w:pPr>
              <w:pStyle w:val="EPLogo"/>
            </w:pPr>
            <w:r w:rsidRPr="000C29C0">
              <w:rPr>
                <w:noProof/>
                <w:lang w:eastAsia="ja-JP"/>
              </w:rPr>
              <w:drawing>
                <wp:inline distT="0" distB="0" distL="0" distR="0" wp14:anchorId="2CCBE250" wp14:editId="24B5ED8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320DEC4" w14:textId="77777777" w:rsidR="00D058B8" w:rsidRPr="000C29C0" w:rsidRDefault="00D058B8" w:rsidP="004C5D52">
      <w:pPr>
        <w:pStyle w:val="LineTop"/>
      </w:pPr>
    </w:p>
    <w:p w14:paraId="1F0EAF77" w14:textId="77777777" w:rsidR="00680577" w:rsidRPr="000C29C0" w:rsidRDefault="006A2696" w:rsidP="00680577">
      <w:pPr>
        <w:pStyle w:val="EPBodyTA1"/>
      </w:pPr>
      <w:r w:rsidRPr="000C29C0">
        <w:t>PŘIJATÉ TEXTY</w:t>
      </w:r>
    </w:p>
    <w:p w14:paraId="116E2CCC" w14:textId="77777777" w:rsidR="00D058B8" w:rsidRPr="000C29C0" w:rsidRDefault="00D058B8" w:rsidP="00D058B8">
      <w:pPr>
        <w:pStyle w:val="LineBottom"/>
      </w:pPr>
    </w:p>
    <w:p w14:paraId="4AB939F1" w14:textId="328DC097" w:rsidR="006A2696" w:rsidRPr="000C29C0" w:rsidRDefault="006A2696" w:rsidP="006A2696">
      <w:pPr>
        <w:pStyle w:val="ATHeading1"/>
      </w:pPr>
      <w:bookmarkStart w:id="0" w:name="TANumber"/>
      <w:r w:rsidRPr="000C29C0">
        <w:t>P10_</w:t>
      </w:r>
      <w:proofErr w:type="gramStart"/>
      <w:r w:rsidRPr="000C29C0">
        <w:t>TA(</w:t>
      </w:r>
      <w:proofErr w:type="gramEnd"/>
      <w:r w:rsidRPr="000C29C0">
        <w:t>2026)0</w:t>
      </w:r>
      <w:r w:rsidR="00B207D7">
        <w:t>129</w:t>
      </w:r>
      <w:bookmarkEnd w:id="0"/>
    </w:p>
    <w:p w14:paraId="3EF0B65B" w14:textId="77777777" w:rsidR="006A2696" w:rsidRPr="000C29C0" w:rsidRDefault="006A2696" w:rsidP="006A2696">
      <w:pPr>
        <w:pStyle w:val="ATHeading2"/>
      </w:pPr>
      <w:bookmarkStart w:id="1" w:name="title"/>
      <w:r w:rsidRPr="000C29C0">
        <w:t>Udělení absolutoria za rok 2024: souhrnný rozpočet EU – Účetní dvůr</w:t>
      </w:r>
      <w:bookmarkEnd w:id="1"/>
    </w:p>
    <w:p w14:paraId="339098CD" w14:textId="77777777" w:rsidR="006A2696" w:rsidRPr="000C29C0" w:rsidRDefault="006A2696" w:rsidP="006A2696">
      <w:pPr>
        <w:rPr>
          <w:i/>
          <w:vanish/>
        </w:rPr>
      </w:pPr>
      <w:r w:rsidRPr="000C29C0">
        <w:rPr>
          <w:i/>
        </w:rPr>
        <w:fldChar w:fldCharType="begin"/>
      </w:r>
      <w:r w:rsidRPr="000C29C0">
        <w:rPr>
          <w:i/>
        </w:rPr>
        <w:instrText xml:space="preserve"> TC"(</w:instrText>
      </w:r>
      <w:bookmarkStart w:id="2" w:name="DocNumber"/>
      <w:r w:rsidRPr="000C29C0">
        <w:rPr>
          <w:i/>
        </w:rPr>
        <w:instrText>A10-0052/2026</w:instrText>
      </w:r>
      <w:bookmarkEnd w:id="2"/>
      <w:r w:rsidRPr="000C29C0">
        <w:rPr>
          <w:i/>
        </w:rPr>
        <w:instrText xml:space="preserve"> - Zpravodaj: </w:instrText>
      </w:r>
      <w:proofErr w:type="spellStart"/>
      <w:r w:rsidRPr="000C29C0">
        <w:rPr>
          <w:i/>
        </w:rPr>
        <w:instrText>Pasquale</w:instrText>
      </w:r>
      <w:proofErr w:type="spellEnd"/>
      <w:r w:rsidRPr="000C29C0">
        <w:rPr>
          <w:i/>
        </w:rPr>
        <w:instrText xml:space="preserve"> </w:instrText>
      </w:r>
      <w:proofErr w:type="spellStart"/>
      <w:r w:rsidRPr="000C29C0">
        <w:rPr>
          <w:i/>
        </w:rPr>
        <w:instrText>Tridico</w:instrText>
      </w:r>
      <w:proofErr w:type="spellEnd"/>
      <w:r w:rsidRPr="000C29C0">
        <w:rPr>
          <w:i/>
        </w:rPr>
        <w:instrText xml:space="preserve">)"\l3 \n&gt; \* MERGEFORMAT </w:instrText>
      </w:r>
      <w:r w:rsidRPr="000C29C0">
        <w:rPr>
          <w:i/>
        </w:rPr>
        <w:fldChar w:fldCharType="end"/>
      </w:r>
    </w:p>
    <w:p w14:paraId="4D42BED9" w14:textId="77777777" w:rsidR="006A2696" w:rsidRPr="000C29C0" w:rsidRDefault="006A2696" w:rsidP="006A2696">
      <w:pPr>
        <w:rPr>
          <w:vanish/>
        </w:rPr>
      </w:pPr>
      <w:bookmarkStart w:id="3" w:name="Commission"/>
      <w:r w:rsidRPr="000C29C0">
        <w:rPr>
          <w:vanish/>
        </w:rPr>
        <w:t>Výbor pro rozpočtovou kontrolu</w:t>
      </w:r>
      <w:bookmarkEnd w:id="3"/>
    </w:p>
    <w:p w14:paraId="14A06486" w14:textId="77777777" w:rsidR="006A2696" w:rsidRPr="000C29C0" w:rsidRDefault="006A2696" w:rsidP="006A2696">
      <w:pPr>
        <w:rPr>
          <w:vanish/>
        </w:rPr>
      </w:pPr>
      <w:bookmarkStart w:id="4" w:name="PE"/>
      <w:r w:rsidRPr="000C29C0">
        <w:rPr>
          <w:vanish/>
        </w:rPr>
        <w:t>PE778.062</w:t>
      </w:r>
      <w:bookmarkEnd w:id="4"/>
    </w:p>
    <w:p w14:paraId="683D2C6A" w14:textId="55F97C0A" w:rsidR="006A2696" w:rsidRPr="000C29C0" w:rsidRDefault="006A2696" w:rsidP="006A2696">
      <w:pPr>
        <w:pStyle w:val="ATHeading3"/>
      </w:pPr>
      <w:bookmarkStart w:id="5" w:name="Sujet"/>
      <w:r w:rsidRPr="000C29C0">
        <w:t xml:space="preserve">1. </w:t>
      </w:r>
      <w:r w:rsidR="00EA5448">
        <w:t>Rozhodnutí</w:t>
      </w:r>
      <w:r w:rsidRPr="000C29C0">
        <w:t xml:space="preserve"> Evropského parlamentu ze dne 29. dubna 2026 o udělení absolutoria za plnění souhrnného rozpočtu Evropské unie na rozpočtový rok 2024, oddíl V – Účetní dvůr</w:t>
      </w:r>
      <w:bookmarkEnd w:id="5"/>
      <w:r w:rsidRPr="000C29C0">
        <w:t xml:space="preserve"> </w:t>
      </w:r>
      <w:bookmarkStart w:id="6" w:name="References"/>
      <w:r w:rsidRPr="000C29C0">
        <w:t>(2025/2149(DEC))</w:t>
      </w:r>
      <w:bookmarkEnd w:id="6"/>
    </w:p>
    <w:p w14:paraId="0DBBCA4E" w14:textId="77777777" w:rsidR="00B61F8A" w:rsidRPr="000C29C0" w:rsidRDefault="00B61F8A" w:rsidP="00B61F8A">
      <w:pPr>
        <w:pStyle w:val="EPComma"/>
      </w:pPr>
      <w:bookmarkStart w:id="7" w:name="TextBodyBegin"/>
      <w:bookmarkEnd w:id="7"/>
      <w:r w:rsidRPr="000C29C0">
        <w:rPr>
          <w:i/>
        </w:rPr>
        <w:t>Evropský parlament</w:t>
      </w:r>
      <w:r w:rsidRPr="000C29C0">
        <w:t>,</w:t>
      </w:r>
    </w:p>
    <w:p w14:paraId="784CDD7C" w14:textId="77777777" w:rsidR="00B61F8A" w:rsidRPr="000C29C0" w:rsidRDefault="00B61F8A" w:rsidP="00F97E7F">
      <w:pPr>
        <w:pStyle w:val="NormalHanging12a"/>
      </w:pPr>
      <w:r w:rsidRPr="000C29C0">
        <w:t>–</w:t>
      </w:r>
      <w:r w:rsidRPr="000C29C0">
        <w:tab/>
        <w:t>s ohledem na souhrnný rozpočet Evropské unie na rozpočtový rok 2024</w:t>
      </w:r>
      <w:r w:rsidRPr="000C29C0">
        <w:rPr>
          <w:rStyle w:val="FootnoteReference"/>
        </w:rPr>
        <w:footnoteReference w:id="1"/>
      </w:r>
      <w:r w:rsidRPr="000C29C0">
        <w:t>,</w:t>
      </w:r>
    </w:p>
    <w:p w14:paraId="37D9E55E" w14:textId="77777777" w:rsidR="00B61F8A" w:rsidRPr="000C29C0" w:rsidRDefault="00B61F8A" w:rsidP="00F97E7F">
      <w:pPr>
        <w:pStyle w:val="NormalHanging12a"/>
      </w:pPr>
      <w:r w:rsidRPr="000C29C0">
        <w:t>–</w:t>
      </w:r>
      <w:r w:rsidRPr="000C29C0">
        <w:tab/>
        <w:t>s ohledem na konsolidovanou účetní závěrku Evropské unie za rozpočtový rok 2024 (</w:t>
      </w:r>
      <w:proofErr w:type="gramStart"/>
      <w:r w:rsidRPr="000C29C0">
        <w:t>COM(</w:t>
      </w:r>
      <w:proofErr w:type="gramEnd"/>
      <w:r w:rsidRPr="000C29C0">
        <w:t>2025)0359 – C10</w:t>
      </w:r>
      <w:r w:rsidRPr="000C29C0">
        <w:noBreakHyphen/>
        <w:t>0149/2025)</w:t>
      </w:r>
      <w:r w:rsidRPr="000C29C0">
        <w:rPr>
          <w:rStyle w:val="FootnoteReference"/>
        </w:rPr>
        <w:footnoteReference w:id="2"/>
      </w:r>
      <w:r w:rsidRPr="000C29C0">
        <w:t>,</w:t>
      </w:r>
    </w:p>
    <w:p w14:paraId="3D4122C9" w14:textId="77777777" w:rsidR="00B61F8A" w:rsidRPr="000C29C0" w:rsidRDefault="00B61F8A" w:rsidP="00F97E7F">
      <w:pPr>
        <w:pStyle w:val="NormalHanging12a"/>
      </w:pPr>
      <w:r w:rsidRPr="000C29C0">
        <w:t>–</w:t>
      </w:r>
      <w:r w:rsidRPr="000C29C0">
        <w:tab/>
        <w:t>s ohledem na výroční zprávu Účetního dvora předkládanou orgánu udělujícímu absolutorium o interních auditech provedených v roce 2024,</w:t>
      </w:r>
    </w:p>
    <w:p w14:paraId="06E0587B" w14:textId="77777777" w:rsidR="00B61F8A" w:rsidRPr="000C29C0" w:rsidRDefault="00B61F8A" w:rsidP="00F97E7F">
      <w:pPr>
        <w:pStyle w:val="NormalHanging12a"/>
      </w:pPr>
      <w:r w:rsidRPr="000C29C0">
        <w:t>–</w:t>
      </w:r>
      <w:r w:rsidRPr="000C29C0">
        <w:tab/>
        <w:t>s ohledem na výroční zprávu Účetního dvora o plnění rozpočtu na rozpočtový rok 2024 spolu s odpověďmi orgánů</w:t>
      </w:r>
      <w:r w:rsidRPr="000C29C0">
        <w:rPr>
          <w:rStyle w:val="FootnoteReference"/>
        </w:rPr>
        <w:footnoteReference w:id="3"/>
      </w:r>
      <w:r w:rsidRPr="000C29C0">
        <w:t>,</w:t>
      </w:r>
    </w:p>
    <w:p w14:paraId="67AF29E4" w14:textId="77777777" w:rsidR="00B61F8A" w:rsidRPr="000C29C0" w:rsidRDefault="00B61F8A" w:rsidP="00F97E7F">
      <w:pPr>
        <w:pStyle w:val="NormalHanging12a"/>
      </w:pPr>
      <w:r w:rsidRPr="000C29C0">
        <w:t>–</w:t>
      </w:r>
      <w:r w:rsidRPr="000C29C0">
        <w:tab/>
        <w:t>s ohledem na prohlášení o věrohodnosti</w:t>
      </w:r>
      <w:r w:rsidRPr="000C29C0">
        <w:rPr>
          <w:rStyle w:val="FootnoteReference"/>
        </w:rPr>
        <w:footnoteReference w:id="4"/>
      </w:r>
      <w:r w:rsidRPr="000C29C0">
        <w:t xml:space="preserve"> účetnictví a o legalitě a správnosti uskutečněných operací, které předložil Účetní dvůr za rozpočtový rok 2024 podle článku 287 Smlouvy o fungování Evropské unie,</w:t>
      </w:r>
    </w:p>
    <w:p w14:paraId="45E70D68" w14:textId="77777777" w:rsidR="00B61F8A" w:rsidRPr="000C29C0" w:rsidRDefault="00B61F8A" w:rsidP="00F97E7F">
      <w:pPr>
        <w:pStyle w:val="NormalHanging12a"/>
      </w:pPr>
      <w:r w:rsidRPr="000C29C0">
        <w:t>–</w:t>
      </w:r>
      <w:r w:rsidRPr="000C29C0">
        <w:tab/>
        <w:t>s ohledem na čl. 314 odst. 10 a články 317, 318 a 319 Smlouvy o fungování Evropské unie,</w:t>
      </w:r>
    </w:p>
    <w:p w14:paraId="4BFA391B" w14:textId="77777777" w:rsidR="00B61F8A" w:rsidRPr="000C29C0" w:rsidRDefault="00B61F8A" w:rsidP="00F97E7F">
      <w:pPr>
        <w:pStyle w:val="NormalHanging12a"/>
      </w:pPr>
      <w:r w:rsidRPr="000C29C0">
        <w:t>–</w:t>
      </w:r>
      <w:r w:rsidRPr="000C29C0">
        <w:tab/>
        <w:t xml:space="preserve">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a (EU) č. 283/2014 a rozhodnutí č. 541/2014/EU a zrušuje nařízení (EU, Euratom) </w:t>
      </w:r>
      <w:r w:rsidRPr="000C29C0">
        <w:lastRenderedPageBreak/>
        <w:t>č. 966/2012</w:t>
      </w:r>
      <w:r w:rsidRPr="000C29C0">
        <w:rPr>
          <w:rStyle w:val="FootnoteReference"/>
        </w:rPr>
        <w:footnoteReference w:id="5"/>
      </w:r>
      <w:r w:rsidRPr="000C29C0">
        <w:t>, a zejména na články 59, 118, 260, 261 a 262 tohoto nařízení,</w:t>
      </w:r>
    </w:p>
    <w:p w14:paraId="596D90FB" w14:textId="77777777" w:rsidR="00B61F8A" w:rsidRPr="000C29C0" w:rsidRDefault="00B61F8A" w:rsidP="00F97E7F">
      <w:pPr>
        <w:pStyle w:val="NormalHanging12a"/>
      </w:pPr>
      <w:r w:rsidRPr="000C29C0">
        <w:t>–</w:t>
      </w:r>
      <w:r w:rsidRPr="000C29C0">
        <w:tab/>
        <w:t>s ohledem na nařízení Evropského parlamentu a Rady (EU, Euratom) 2024/2509 ze dne 23. září 2024, kterým se stanoví finanční pravidla pro souhrnný rozpočet Unie</w:t>
      </w:r>
      <w:r w:rsidRPr="000C29C0">
        <w:rPr>
          <w:rStyle w:val="FootnoteReference"/>
        </w:rPr>
        <w:footnoteReference w:id="6"/>
      </w:r>
      <w:r w:rsidRPr="000C29C0">
        <w:t>, a zejména na články 59, 118, 266, 267 a 268 tohoto nařízení,</w:t>
      </w:r>
    </w:p>
    <w:p w14:paraId="5B5FD4A9" w14:textId="77777777" w:rsidR="00B61F8A" w:rsidRPr="000C29C0" w:rsidRDefault="00B61F8A" w:rsidP="00F97E7F">
      <w:pPr>
        <w:pStyle w:val="NormalHanging12a"/>
      </w:pPr>
      <w:r w:rsidRPr="000C29C0">
        <w:t>–</w:t>
      </w:r>
      <w:r w:rsidRPr="000C29C0">
        <w:tab/>
        <w:t>s ohledem na článek 102 a přílohu V jednacího řádu,</w:t>
      </w:r>
    </w:p>
    <w:p w14:paraId="066E2B51" w14:textId="77777777" w:rsidR="00B61F8A" w:rsidRPr="000C29C0" w:rsidRDefault="00B61F8A" w:rsidP="00F97E7F">
      <w:pPr>
        <w:pStyle w:val="NormalHanging12a"/>
      </w:pPr>
      <w:r w:rsidRPr="000C29C0">
        <w:t>–</w:t>
      </w:r>
      <w:r w:rsidRPr="000C29C0">
        <w:tab/>
        <w:t>s ohledem na zprávu Výboru pro rozpočtovou kontrolu (A10</w:t>
      </w:r>
      <w:r w:rsidRPr="000C29C0">
        <w:noBreakHyphen/>
        <w:t>0052/2026),</w:t>
      </w:r>
    </w:p>
    <w:p w14:paraId="4B8086AF" w14:textId="07D26627" w:rsidR="00B61F8A" w:rsidRPr="000C29C0" w:rsidRDefault="00B61F8A" w:rsidP="00F97E7F">
      <w:pPr>
        <w:pStyle w:val="NormalHanging12a"/>
      </w:pPr>
      <w:r w:rsidRPr="000C29C0">
        <w:t>1.</w:t>
      </w:r>
      <w:r w:rsidRPr="000C29C0">
        <w:tab/>
        <w:t>uděluje generálnímu tajemníkovi Účetního dvora absolutorium za plnění rozpočtu Účetního dvora na rozpočtový rok 2024;</w:t>
      </w:r>
    </w:p>
    <w:p w14:paraId="1CBBD3A0" w14:textId="77777777" w:rsidR="00B61F8A" w:rsidRPr="000C29C0" w:rsidRDefault="00B61F8A" w:rsidP="00F97E7F">
      <w:pPr>
        <w:pStyle w:val="NormalHanging12a"/>
      </w:pPr>
      <w:r w:rsidRPr="000C29C0">
        <w:t>2.</w:t>
      </w:r>
      <w:r w:rsidRPr="000C29C0">
        <w:tab/>
        <w:t>předkládá své připomínky v níže uvedeném usnesení;</w:t>
      </w:r>
    </w:p>
    <w:p w14:paraId="6CB251C0" w14:textId="77777777" w:rsidR="00B61F8A" w:rsidRPr="000C29C0" w:rsidRDefault="00B61F8A" w:rsidP="00F97E7F">
      <w:pPr>
        <w:pStyle w:val="NormalHanging12a"/>
      </w:pPr>
      <w:r w:rsidRPr="000C29C0">
        <w:t>3.</w:t>
      </w:r>
      <w:r w:rsidRPr="000C29C0">
        <w:tab/>
        <w:t>pověřuje svou předsedkyni, aby předala toto rozhodnutí a usnesení, které je jeho nedílnou součástí, Radě, Komisi a Účetnímu dvoru, a aby zajistila jejich zveřejnění v </w:t>
      </w:r>
      <w:r w:rsidRPr="000C29C0">
        <w:rPr>
          <w:i/>
        </w:rPr>
        <w:t>Úředním věstníku Evropské unie</w:t>
      </w:r>
      <w:r w:rsidRPr="000C29C0">
        <w:t xml:space="preserve"> (řada L).</w:t>
      </w:r>
    </w:p>
    <w:p w14:paraId="0FF72E89" w14:textId="77777777" w:rsidR="00B61F8A" w:rsidRPr="000C29C0" w:rsidRDefault="00B61F8A" w:rsidP="00B61F8A"/>
    <w:p w14:paraId="18C0F3F2" w14:textId="77777777" w:rsidR="00B61F8A" w:rsidRPr="000C29C0" w:rsidRDefault="00B61F8A" w:rsidP="00B61F8A">
      <w:pPr>
        <w:pStyle w:val="PageHeading"/>
        <w:sectPr w:rsidR="00B61F8A" w:rsidRPr="000C29C0" w:rsidSect="000C29C0">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0137121" w14:textId="68E64B74" w:rsidR="00B61F8A" w:rsidRPr="000C29C0" w:rsidRDefault="00B61F8A" w:rsidP="00541C68">
      <w:pPr>
        <w:pStyle w:val="ATHeading3"/>
      </w:pPr>
      <w:bookmarkStart w:id="8" w:name="_Toc227313562"/>
      <w:r w:rsidRPr="000C29C0">
        <w:lastRenderedPageBreak/>
        <w:t xml:space="preserve">2. </w:t>
      </w:r>
      <w:r w:rsidR="00541C68" w:rsidRPr="000C29C0">
        <w:t>Usnesení Evropského parlamentu</w:t>
      </w:r>
      <w:bookmarkEnd w:id="8"/>
      <w:r w:rsidR="00541C68">
        <w:t xml:space="preserve"> </w:t>
      </w:r>
      <w:r w:rsidR="00541C68" w:rsidRPr="000C29C0">
        <w:t xml:space="preserve">ze dne 29. dubna 2026 </w:t>
      </w:r>
      <w:r w:rsidRPr="000C29C0">
        <w:t>obsahující připomínky, které jsou nedílnou součástí rozhodnutí o plnění souhrnného rozpočtu Evropské unie na rozpočtový rok 2024, oddíl V – Účetní dvůr</w:t>
      </w:r>
      <w:r w:rsidR="00541C68">
        <w:t xml:space="preserve"> </w:t>
      </w:r>
      <w:r w:rsidRPr="000C29C0">
        <w:t>(2025/2149(DEC))</w:t>
      </w:r>
    </w:p>
    <w:p w14:paraId="14E7E56B" w14:textId="77777777" w:rsidR="00B61F8A" w:rsidRPr="000C29C0" w:rsidRDefault="00B61F8A" w:rsidP="00B61F8A">
      <w:pPr>
        <w:pStyle w:val="EPComma"/>
      </w:pPr>
      <w:r w:rsidRPr="000C29C0">
        <w:rPr>
          <w:i/>
        </w:rPr>
        <w:t>Evropský parlament</w:t>
      </w:r>
      <w:r w:rsidRPr="000C29C0">
        <w:t>,</w:t>
      </w:r>
    </w:p>
    <w:p w14:paraId="1F58F8F7" w14:textId="77777777" w:rsidR="00B61F8A" w:rsidRPr="00F97E7F" w:rsidRDefault="00B61F8A" w:rsidP="00F97E7F">
      <w:pPr>
        <w:pStyle w:val="NormalHanging12a"/>
        <w:rPr>
          <w:szCs w:val="24"/>
        </w:rPr>
      </w:pPr>
      <w:r w:rsidRPr="000C29C0">
        <w:t>–</w:t>
      </w:r>
      <w:r w:rsidRPr="000C29C0">
        <w:tab/>
        <w:t xml:space="preserve">s ohledem na své </w:t>
      </w:r>
      <w:r w:rsidRPr="00F97E7F">
        <w:rPr>
          <w:szCs w:val="24"/>
        </w:rPr>
        <w:t>rozhodnutí o udělení absolutoria za plnění souhrnného rozpočtu Evropské unie na rozpočtový rok 2024, oddíl V – Účetní dvůr,</w:t>
      </w:r>
    </w:p>
    <w:p w14:paraId="3353CCF6" w14:textId="77777777" w:rsidR="00B61F8A" w:rsidRPr="00F97E7F" w:rsidRDefault="00B61F8A" w:rsidP="00F97E7F">
      <w:pPr>
        <w:pStyle w:val="NormalHanging12a"/>
        <w:rPr>
          <w:szCs w:val="24"/>
        </w:rPr>
      </w:pPr>
      <w:r w:rsidRPr="00F97E7F">
        <w:rPr>
          <w:szCs w:val="24"/>
        </w:rPr>
        <w:t>–</w:t>
      </w:r>
      <w:r w:rsidRPr="00F97E7F">
        <w:rPr>
          <w:szCs w:val="24"/>
        </w:rPr>
        <w:tab/>
        <w:t>s ohledem na článek 102 a přílohu V jednacího řádu,</w:t>
      </w:r>
    </w:p>
    <w:p w14:paraId="30EAB9CF" w14:textId="77777777" w:rsidR="00B61F8A" w:rsidRPr="00F97E7F" w:rsidRDefault="00B61F8A" w:rsidP="00F97E7F">
      <w:pPr>
        <w:pStyle w:val="NormalHanging12a"/>
        <w:rPr>
          <w:szCs w:val="24"/>
        </w:rPr>
      </w:pPr>
      <w:r w:rsidRPr="00F97E7F">
        <w:rPr>
          <w:szCs w:val="24"/>
        </w:rPr>
        <w:t>–</w:t>
      </w:r>
      <w:r w:rsidRPr="00F97E7F">
        <w:rPr>
          <w:szCs w:val="24"/>
        </w:rPr>
        <w:tab/>
        <w:t>s ohledem na zprávu Výboru pro rozpočtovou kontrolu (A10</w:t>
      </w:r>
      <w:r w:rsidRPr="00F97E7F">
        <w:rPr>
          <w:szCs w:val="24"/>
        </w:rPr>
        <w:noBreakHyphen/>
        <w:t>0052/2026),</w:t>
      </w:r>
    </w:p>
    <w:p w14:paraId="37E6F5C5" w14:textId="77777777" w:rsidR="00B61F8A" w:rsidRPr="00F97E7F" w:rsidRDefault="00B61F8A" w:rsidP="00F97E7F">
      <w:pPr>
        <w:pStyle w:val="NormalHanging12a"/>
        <w:rPr>
          <w:szCs w:val="24"/>
        </w:rPr>
      </w:pPr>
      <w:r w:rsidRPr="00F97E7F">
        <w:rPr>
          <w:szCs w:val="24"/>
        </w:rPr>
        <w:t>A.</w:t>
      </w:r>
      <w:r w:rsidRPr="00F97E7F">
        <w:rPr>
          <w:szCs w:val="24"/>
        </w:rPr>
        <w:tab/>
        <w:t>vzhledem k tomu, že v souvislosti s postupem udělování absolutoria chce orgán příslušný k udělení absolutoria zdůraznit zvláštní význam dalšího posilování demokratické legitimity orgánů Unie zlepšením transparentnosti a odpovědnosti a prováděním koncepce sestavování rozpočtu podle výkonnosti a řádné správy lidských zdrojů;</w:t>
      </w:r>
    </w:p>
    <w:p w14:paraId="326F498E" w14:textId="31CE9EDE" w:rsidR="00B61F8A" w:rsidRPr="00F97E7F" w:rsidRDefault="00B61F8A" w:rsidP="00F97E7F">
      <w:pPr>
        <w:pStyle w:val="NormalHanging12a"/>
        <w:rPr>
          <w:szCs w:val="24"/>
        </w:rPr>
      </w:pPr>
      <w:r w:rsidRPr="00F97E7F">
        <w:rPr>
          <w:szCs w:val="24"/>
        </w:rPr>
        <w:t>B.</w:t>
      </w:r>
      <w:r w:rsidRPr="00F97E7F">
        <w:rPr>
          <w:szCs w:val="24"/>
        </w:rPr>
        <w:tab/>
        <w:t>vzhledem k tomu, že Evropský účetní dvůr (</w:t>
      </w:r>
      <w:r w:rsidR="003931FA">
        <w:rPr>
          <w:szCs w:val="24"/>
        </w:rPr>
        <w:t xml:space="preserve">dále jen </w:t>
      </w:r>
      <w:r w:rsidRPr="00F97E7F">
        <w:rPr>
          <w:szCs w:val="24"/>
        </w:rPr>
        <w:t>„Účetní dvůr“) je externím auditorem Unie pověřeným tím, aby pomocí nezávislé a profesionální auditní práce s významným dopadem hodnotil hospodárnost, účelnost, účinnost, legalitu a správnost opatření Unie s cílem zlepšit odpovědnost, transparentnost a finanční řízení, a tím posílit důvěru občanů a účinně reagovat na současné a budoucí výzvy, kterým Unie čelí;</w:t>
      </w:r>
    </w:p>
    <w:p w14:paraId="72658EE5" w14:textId="77777777" w:rsidR="00B61F8A" w:rsidRPr="00F97E7F" w:rsidRDefault="00B61F8A" w:rsidP="00F97E7F">
      <w:pPr>
        <w:pStyle w:val="NormalHanging12a"/>
        <w:rPr>
          <w:szCs w:val="24"/>
        </w:rPr>
      </w:pPr>
      <w:r w:rsidRPr="00F97E7F">
        <w:rPr>
          <w:szCs w:val="24"/>
        </w:rPr>
        <w:t>C.</w:t>
      </w:r>
      <w:r w:rsidRPr="00F97E7F">
        <w:rPr>
          <w:szCs w:val="24"/>
        </w:rPr>
        <w:tab/>
        <w:t>vzhledem k tomu, že aniž jsou dotčeny články 287 a 319 Smlouvy o fungování Evropské unie (SFEU), nechává Účetní dvůr od konce rozpočtového roku 1987 každoročně provádět audit svých příjmů a výdajů nezávislým externím auditorem a od zprávy za rozpočtový rok 1992 jsou zprávy externího auditora zveřejňovány v </w:t>
      </w:r>
      <w:r w:rsidRPr="00F97E7F">
        <w:rPr>
          <w:i/>
          <w:szCs w:val="24"/>
        </w:rPr>
        <w:t>Úředním věstníku Evropské unie</w:t>
      </w:r>
      <w:r w:rsidRPr="00F97E7F">
        <w:rPr>
          <w:szCs w:val="24"/>
        </w:rPr>
        <w:t>;</w:t>
      </w:r>
    </w:p>
    <w:p w14:paraId="3D27DDE1" w14:textId="77777777" w:rsidR="00B61F8A" w:rsidRPr="00F97E7F" w:rsidRDefault="00B61F8A" w:rsidP="00F97E7F">
      <w:pPr>
        <w:pStyle w:val="NormalHanging12a"/>
        <w:rPr>
          <w:szCs w:val="24"/>
        </w:rPr>
      </w:pPr>
      <w:r w:rsidRPr="00F97E7F">
        <w:rPr>
          <w:szCs w:val="24"/>
        </w:rPr>
        <w:t>D.</w:t>
      </w:r>
      <w:r w:rsidRPr="00F97E7F">
        <w:rPr>
          <w:szCs w:val="24"/>
        </w:rPr>
        <w:tab/>
        <w:t>vzhledem k tomu, že odpovědnost za řízení vůči rozpočtovým orgánům je zajištěna prostřednictvím výroční zprávy o činnosti generálního tajemníka Účetního dvora, jejímž účelem je v souladu s čl. 74 odst. 9 finančního nařízení poskytovat informace o řízení zdrojů včetně systémů a o efektivnosti a účinnosti systémů vnitřní kontroly Účetního dvora;</w:t>
      </w:r>
    </w:p>
    <w:p w14:paraId="3D77CFCA" w14:textId="77777777" w:rsidR="00B61F8A" w:rsidRPr="00F97E7F" w:rsidRDefault="00B61F8A" w:rsidP="00F97E7F">
      <w:pPr>
        <w:pStyle w:val="NormalHanging12a"/>
        <w:rPr>
          <w:szCs w:val="24"/>
        </w:rPr>
      </w:pPr>
      <w:r w:rsidRPr="00F97E7F">
        <w:rPr>
          <w:szCs w:val="24"/>
        </w:rPr>
        <w:t>E.</w:t>
      </w:r>
      <w:r w:rsidRPr="00F97E7F">
        <w:rPr>
          <w:szCs w:val="24"/>
        </w:rPr>
        <w:tab/>
        <w:t>vzhledem k tomu, že Účetní dvůr tím, že vykonává svou činnost transparentním a nezávislým způsobem, přispívá k demokratickému dohledu, veřejné debatě a řádnému finančnímu řízení Unie;</w:t>
      </w:r>
    </w:p>
    <w:p w14:paraId="386B4410" w14:textId="77777777" w:rsidR="00B61F8A" w:rsidRPr="00F97E7F" w:rsidRDefault="00B61F8A" w:rsidP="00F97E7F">
      <w:pPr>
        <w:pStyle w:val="NormalHanging12a"/>
        <w:rPr>
          <w:szCs w:val="24"/>
        </w:rPr>
      </w:pPr>
      <w:r w:rsidRPr="00F97E7F">
        <w:rPr>
          <w:szCs w:val="24"/>
        </w:rPr>
        <w:t>F.</w:t>
      </w:r>
      <w:r w:rsidRPr="00F97E7F">
        <w:rPr>
          <w:szCs w:val="24"/>
        </w:rPr>
        <w:tab/>
        <w:t>vzhledem k tomu, že Účetní dvůr zaujal postoj, podle něhož by nejlepším řešením pro posouzení správy Unie, její odpovědnosti a transparentnosti a kvality a spolehlivosti vykázaných informací a údajů o provádění politik Unie bylo pověřit Účetní dvůr auditem všech orgánů, institucí a jiných subjektů Unie zřízených Smlouvami nebo podle Smluv a všech mezivládních struktur, jež mají klíčový význam pro fungování Unie; vzhledem k tomu, že Parlament důrazně podporuje Účetní dvůr a uvítal by iniciativy, které by posílily schopnost Účetního dvora naplnit jeho mandát;</w:t>
      </w:r>
    </w:p>
    <w:p w14:paraId="061EDED3" w14:textId="77777777" w:rsidR="00B61F8A" w:rsidRPr="00F97E7F" w:rsidRDefault="00B61F8A" w:rsidP="00F97E7F">
      <w:pPr>
        <w:pStyle w:val="NormalHanging12a"/>
        <w:rPr>
          <w:szCs w:val="24"/>
        </w:rPr>
      </w:pPr>
      <w:r w:rsidRPr="00F97E7F">
        <w:rPr>
          <w:szCs w:val="24"/>
        </w:rPr>
        <w:t>1.</w:t>
      </w:r>
      <w:r w:rsidRPr="00F97E7F">
        <w:rPr>
          <w:szCs w:val="24"/>
        </w:rPr>
        <w:tab/>
        <w:t xml:space="preserve">konstatuje, že rozpočet Účetního dvora spadá do okruhu 7 VFR „Evropská veřejná správa“, který v roce 2024 činil 13,3 miliardy EUR (což představuje 6,9 % celkového </w:t>
      </w:r>
      <w:r w:rsidRPr="00F97E7F">
        <w:rPr>
          <w:szCs w:val="24"/>
        </w:rPr>
        <w:lastRenderedPageBreak/>
        <w:t>rozpočtu Unie); konstatuje, že rozpočet Účetního dvora ve výši přibližně 0,2 miliardy EUR představuje přibližně 1,5 % celkových správních výdajů Unie;</w:t>
      </w:r>
    </w:p>
    <w:p w14:paraId="6957034A" w14:textId="77777777" w:rsidR="00B61F8A" w:rsidRPr="00F97E7F" w:rsidRDefault="00B61F8A" w:rsidP="00F97E7F">
      <w:pPr>
        <w:pStyle w:val="NormalHanging12a"/>
        <w:rPr>
          <w:szCs w:val="24"/>
        </w:rPr>
      </w:pPr>
      <w:r w:rsidRPr="00F97E7F">
        <w:rPr>
          <w:szCs w:val="24"/>
        </w:rPr>
        <w:t>2.</w:t>
      </w:r>
      <w:r w:rsidRPr="00F97E7F">
        <w:rPr>
          <w:szCs w:val="24"/>
        </w:rPr>
        <w:tab/>
        <w:t>konstatuje, že Účetní dvůr ve výroční zprávě za rozpočtový rok 2024 („zpráva Účetního dvora“) zkoumal vzorek 70 transakcí v okruhu „Správa“, což je stejný počet jako v roce 2023; konstatuje, že Účetní dvůr dále uvádí, že správní výdaje zahrnují výdaje na lidské zdroje včetně výdajů na důchody, které v roce 2024 představovaly přibližně 69 % celkových správních výdajů, a výdaje na budovy, vybavení, energie a komunikační a informační technologie (IT), a že z jeho dlouholeté práce vyplývá, že tyto výdaje celkově vykazují nízké riziko;</w:t>
      </w:r>
    </w:p>
    <w:p w14:paraId="4A262864" w14:textId="77777777" w:rsidR="00B61F8A" w:rsidRPr="00F97E7F" w:rsidRDefault="00B61F8A" w:rsidP="00F97E7F">
      <w:pPr>
        <w:pStyle w:val="NormalHanging12a"/>
        <w:rPr>
          <w:szCs w:val="24"/>
        </w:rPr>
      </w:pPr>
      <w:r w:rsidRPr="00F97E7F">
        <w:rPr>
          <w:szCs w:val="24"/>
        </w:rPr>
        <w:t>3.</w:t>
      </w:r>
      <w:r w:rsidRPr="00F97E7F">
        <w:rPr>
          <w:szCs w:val="24"/>
        </w:rPr>
        <w:tab/>
        <w:t>konstatuje, že 16 (23 %) ze 70 transakcí obsahovalo chyby, ale že na základě tří chyb, které byly vyčísleny, Účetní dvůr odhaduje, že míra chyb je pod prahem významnosti;</w:t>
      </w:r>
    </w:p>
    <w:p w14:paraId="34E85D7E" w14:textId="77777777" w:rsidR="00B61F8A" w:rsidRPr="00F97E7F" w:rsidRDefault="00B61F8A" w:rsidP="00F97E7F">
      <w:pPr>
        <w:pStyle w:val="NormalHanging12a"/>
        <w:rPr>
          <w:szCs w:val="24"/>
        </w:rPr>
      </w:pPr>
      <w:r w:rsidRPr="00F97E7F">
        <w:rPr>
          <w:szCs w:val="24"/>
        </w:rPr>
        <w:t>4.</w:t>
      </w:r>
      <w:r w:rsidRPr="00F97E7F">
        <w:rPr>
          <w:szCs w:val="24"/>
        </w:rPr>
        <w:tab/>
        <w:t>bere na vědomí, že finanční výkazy Účetního dvora kontroluje nezávislý externí auditor, aby bylo zajištěno dodržování týchž zásad transparentnosti, odpovědnosti a nezávislosti, jaké Účetní dvůr uplatňuje na jím kontrolované subjekty;</w:t>
      </w:r>
    </w:p>
    <w:p w14:paraId="51578A75" w14:textId="77777777" w:rsidR="00B61F8A" w:rsidRPr="00F97E7F" w:rsidRDefault="00B61F8A" w:rsidP="00F97E7F">
      <w:pPr>
        <w:pStyle w:val="NormalHanging12a"/>
        <w:rPr>
          <w:szCs w:val="24"/>
        </w:rPr>
      </w:pPr>
      <w:r w:rsidRPr="00F97E7F">
        <w:rPr>
          <w:szCs w:val="24"/>
        </w:rPr>
        <w:t>5.</w:t>
      </w:r>
      <w:r w:rsidRPr="00F97E7F">
        <w:rPr>
          <w:szCs w:val="24"/>
        </w:rPr>
        <w:tab/>
        <w:t xml:space="preserve">vítá zvláštní zprávu Účetního dvora č. 24/2024 a její zjištění a doporučení týkající se rámce zaměstnanosti ve veřejné službě Unie; připomíná, že považuje za důležité </w:t>
      </w:r>
      <w:r w:rsidRPr="00F97E7F">
        <w:rPr>
          <w:szCs w:val="24"/>
          <w:shd w:val="clear" w:color="auto" w:fill="FFFFFF"/>
        </w:rPr>
        <w:t>provést důkladnější šetření, a opakuje svou výzvu, aby do této činnosti byly zahrnuty komplexní údaje o všech orgánech a institucích s cílem poskytnout soudržný základ pro jednotný postup udělování absolutoria; vyzývá Účetní dvůr, aby orgán příslušný k udělení absolutoria průběžně informoval o jakékoli iniciativě v této záležitosti;</w:t>
      </w:r>
    </w:p>
    <w:p w14:paraId="2667829F" w14:textId="77777777" w:rsidR="00B61F8A" w:rsidRPr="00F97E7F" w:rsidRDefault="00B61F8A" w:rsidP="00F97E7F">
      <w:pPr>
        <w:pStyle w:val="NormalHanging12a"/>
        <w:rPr>
          <w:bCs/>
          <w:iCs/>
          <w:szCs w:val="24"/>
        </w:rPr>
      </w:pPr>
      <w:r w:rsidRPr="00F97E7F">
        <w:rPr>
          <w:szCs w:val="24"/>
        </w:rPr>
        <w:t>6.</w:t>
      </w:r>
      <w:r w:rsidRPr="00F97E7F">
        <w:rPr>
          <w:szCs w:val="24"/>
        </w:rPr>
        <w:tab/>
        <w:t>bere na vědomí oznámení Účetního dvora ze dne 1. října 2025 o zavedení revidovaného přístupu k auditu společných podniků počínaje účetním rokem 2025; konstatuje, že tato změna byla mimo jiné způsobena omezenými personálními kapacitami a ukončením auditů společných podniků, na které se vztahuje program Horizont Evropa, ze strany útvaru interního auditu Komise, který do té doby audity společných podniků prováděl, čímž se omezila dostupnost doplňkové věrohodnosti auditu; dále konstatuje, že nový přístup počítá s odpovídající velikostí auditního vzorku, konsolidací auditní činnosti ve všech společných podnicích a vydáním dvou samostatných prohlášení o věrohodnosti podpořených dalšími tematickými a zvláštními zprávami; vyzývá Účetní dvůr, aby zajistil, že revidovaná metodika bude provedena včas a že bude i nadále splňovat nejvyšší standardy kvality auditu, spolehlivosti a věrohodnosti, pokud jde o ochranu finančních zájmů Unie;</w:t>
      </w:r>
    </w:p>
    <w:p w14:paraId="6C0AD89D" w14:textId="77777777" w:rsidR="00B61F8A" w:rsidRPr="00F97E7F" w:rsidRDefault="00B61F8A" w:rsidP="00F97E7F">
      <w:pPr>
        <w:pStyle w:val="NormalHanging12a"/>
        <w:rPr>
          <w:b/>
          <w:i/>
          <w:iCs/>
          <w:szCs w:val="24"/>
        </w:rPr>
      </w:pPr>
      <w:r w:rsidRPr="00F97E7F">
        <w:rPr>
          <w:b/>
          <w:i/>
          <w:szCs w:val="24"/>
        </w:rPr>
        <w:t>Rozpočtové a finanční řízení</w:t>
      </w:r>
    </w:p>
    <w:p w14:paraId="7724EA7B" w14:textId="77777777" w:rsidR="00B61F8A" w:rsidRPr="00F97E7F" w:rsidRDefault="00B61F8A" w:rsidP="00F97E7F">
      <w:pPr>
        <w:pStyle w:val="NormalHanging12a"/>
        <w:rPr>
          <w:szCs w:val="24"/>
        </w:rPr>
      </w:pPr>
      <w:r w:rsidRPr="00F97E7F">
        <w:rPr>
          <w:szCs w:val="24"/>
        </w:rPr>
        <w:t>7.</w:t>
      </w:r>
      <w:r w:rsidRPr="00F97E7F">
        <w:rPr>
          <w:szCs w:val="24"/>
        </w:rPr>
        <w:tab/>
        <w:t>konstatuje, že celkový rozpočet Účetního dvora (prostředky C1) na rok 2024 činil 185 655 890 EUR, což odpovídá nárůstu o 6,05 % oproti 175 059 922 EUR v roce 2023; konstatuje, že toto zvýšení bylo způsobeno především úpravou platů; konstatuje, že v roce 2024 bylo 89,50 % prostředků (oproti 88,50 % v roce 2023) určeno pro členy a zaměstnance, zatímco 10,50 % na budovy, vybavení a různé výdaje (pokles z 11,60 % v roce 2023);</w:t>
      </w:r>
    </w:p>
    <w:p w14:paraId="5E445CCE" w14:textId="77777777" w:rsidR="00B61F8A" w:rsidRPr="00F97E7F" w:rsidRDefault="00B61F8A" w:rsidP="00F97E7F">
      <w:pPr>
        <w:pStyle w:val="NormalHanging12a"/>
        <w:rPr>
          <w:szCs w:val="24"/>
        </w:rPr>
      </w:pPr>
      <w:r w:rsidRPr="00F97E7F">
        <w:rPr>
          <w:szCs w:val="24"/>
        </w:rPr>
        <w:t>8.</w:t>
      </w:r>
      <w:r w:rsidRPr="00F97E7F">
        <w:rPr>
          <w:szCs w:val="24"/>
        </w:rPr>
        <w:tab/>
        <w:t xml:space="preserve">konstatuje, že míra plnění závazků a plateb v roce 2024 zůstala vysoká, téměř stejná jako v roce 2023, zatímco míra čerpání prostředků činila 97,30 % a platby představovaly 94,81 % celkových závazků v roce 2024; bere na vědomí zvýšení objemu zrušených prostředků na konci roku z přibližně 3,4 milionu EUR v roce 2023 na </w:t>
      </w:r>
      <w:r w:rsidRPr="00F97E7F">
        <w:rPr>
          <w:szCs w:val="24"/>
        </w:rPr>
        <w:lastRenderedPageBreak/>
        <w:t>4,4 milionu EUR v roce 2024; chválí Účetní dvůr za to, že v roce 2024 udržel průměrnou dobu úhrady faktur pod 11 dny; vybízí Účetní dvůr, aby zachoval přísnou nákladovou kázeň, nadále upřednostňoval provozní efektivitu a dále snižoval počet rušených výdajů na konci roku, čímž by se zlepšila efektivita a optimálnější využití jeho rozpočtových prostředků;</w:t>
      </w:r>
    </w:p>
    <w:p w14:paraId="7FA928DE" w14:textId="77777777" w:rsidR="00B61F8A" w:rsidRPr="00F97E7F" w:rsidRDefault="00B61F8A" w:rsidP="00F97E7F">
      <w:pPr>
        <w:pStyle w:val="NormalHanging12a"/>
        <w:rPr>
          <w:szCs w:val="24"/>
        </w:rPr>
      </w:pPr>
      <w:r w:rsidRPr="00F97E7F">
        <w:rPr>
          <w:szCs w:val="24"/>
        </w:rPr>
        <w:t>9.</w:t>
      </w:r>
      <w:r w:rsidRPr="00F97E7F">
        <w:rPr>
          <w:szCs w:val="24"/>
        </w:rPr>
        <w:tab/>
        <w:t>konstatuje, že Účetní dvůr v průběhu roku pravidelně prováděl přezkumy rozpočtu, které v roce 2024 vedly k 29 rozpočtovým převodům v celkové výši přibližně 4,5 milionu EUR, což představuje pokles oproti přibližně 5,7 milionu EUR v roce 2023; konstatuje, že tyto převody byly nutné k posílení rozpočtových položek týkajících se mimo jiné projektů IT (+20,28 %), zařízení prostor (+560,18 %) a technického vybavení a zařízení (73,53 %); konstatuje, že podle odpovědí Účetního dvora na dotazník, který předložil Výbor pro rozpočtovou kontrolu k udělení absolutoria za plnění rozpočtu na rok 2024 („dotazník“), bylo přerozdělení rovněž nezbytné vzhledem k vyšší míře inflace, než jaká byla uvedena v rozpočtu, a výsledné indexaci cen, která měla dopad na nové i stávající zakázky;</w:t>
      </w:r>
    </w:p>
    <w:p w14:paraId="1791CB48" w14:textId="77777777" w:rsidR="00B61F8A" w:rsidRPr="00F97E7F" w:rsidRDefault="00B61F8A" w:rsidP="00F97E7F">
      <w:pPr>
        <w:pStyle w:val="NormalHanging12a"/>
        <w:rPr>
          <w:szCs w:val="24"/>
        </w:rPr>
      </w:pPr>
      <w:r w:rsidRPr="00F97E7F">
        <w:rPr>
          <w:szCs w:val="24"/>
        </w:rPr>
        <w:t>10.</w:t>
      </w:r>
      <w:r w:rsidRPr="00F97E7F">
        <w:rPr>
          <w:szCs w:val="24"/>
        </w:rPr>
        <w:tab/>
        <w:t>konstatuje, že podle dotazníku se dopad ruské protiprávní útočné války proti Ukrajině projevil v roce 2024 v podobě zvýšení nákladů na zboží, služby a logistiku v důsledku inflace; vítá opatření Účetního dvora, která mají těmto dopadům čelit vypracováním podrobnějších analýz před uvedením na trh, aby se zajistilo realistické plánování a účinné zadávání veřejných zakázek; dále s uspokojením konstatuje, že náklady Účetního dvora na spotřebu energie (rozpočtová položka č. 2024) výrazně klesly z 1 556 671 EUR v roce 2023 na 887 827 EUR v roce 2024, zejména v důsledku snížení pevné ceny elektřiny v souladu s interinstitucionální smlouvou s dotčeným poskytovatelem; uznává, že je třeba, aby všechny orgány Unie zlepšily své rozpočtové řízení, a to i tím, že při uzavírání smluv s poskytovateli služeb zohlední kolísání cen, zejména v odvětví energetiky;</w:t>
      </w:r>
    </w:p>
    <w:p w14:paraId="4F303BBB" w14:textId="77777777" w:rsidR="00B61F8A" w:rsidRPr="00F97E7F" w:rsidRDefault="00B61F8A" w:rsidP="00F97E7F">
      <w:pPr>
        <w:pStyle w:val="NormalHanging12a"/>
        <w:rPr>
          <w:szCs w:val="24"/>
        </w:rPr>
      </w:pPr>
      <w:r w:rsidRPr="00F97E7F">
        <w:rPr>
          <w:szCs w:val="24"/>
        </w:rPr>
        <w:t>11.</w:t>
      </w:r>
      <w:r w:rsidRPr="00F97E7F">
        <w:rPr>
          <w:szCs w:val="24"/>
        </w:rPr>
        <w:tab/>
        <w:t>konstatuje, že závazky v celkové výši přibližně 9,9 milionu EUR v rozpočtové hlavě 1 a přibližně 8,4 milionu EUR v rozpočtové hlavě 2 byly automaticky přeneseny z roku 2024 do roku 2025 na pokrytí nákladů mimo jiné na služební cesty, školení a překlady; konstatuje, že na základě rozhodnutí byla přenesena částka 602 000 EUR, přičemž tato částka souvisí s převodem rozpočtových prostředků schválených rozpočtovými orgány na výměnu výtahů v budově K1 Účetního dvora;</w:t>
      </w:r>
    </w:p>
    <w:p w14:paraId="08706614" w14:textId="77777777" w:rsidR="00B61F8A" w:rsidRPr="00F97E7F" w:rsidRDefault="00B61F8A" w:rsidP="00F97E7F">
      <w:pPr>
        <w:pStyle w:val="NormalHanging12a"/>
        <w:rPr>
          <w:szCs w:val="24"/>
        </w:rPr>
      </w:pPr>
      <w:r w:rsidRPr="00F97E7F">
        <w:rPr>
          <w:szCs w:val="24"/>
        </w:rPr>
        <w:t>12.</w:t>
      </w:r>
      <w:r w:rsidRPr="00F97E7F">
        <w:rPr>
          <w:szCs w:val="24"/>
        </w:rPr>
        <w:tab/>
        <w:t>konstatuje, že rozpočtové prostředky (C1) na služební cesty členů a zaměstnanců Účetního dvora v roce 2024 činily 2 860 000 EUR (oproti 2 722 000 EUR v roce 2023); konstatuje, že z těchto prostředků byla přidělena na závazky částka 2 469 344 EUR, z čehož 2 184 344 EUR bylo vyplaceno (tj. míra plnění 88,46 %) v roce 2024;</w:t>
      </w:r>
    </w:p>
    <w:p w14:paraId="5B08CB61" w14:textId="77777777" w:rsidR="00B61F8A" w:rsidRPr="00F97E7F" w:rsidRDefault="00B61F8A" w:rsidP="00F97E7F">
      <w:pPr>
        <w:pStyle w:val="NormalHanging12a"/>
        <w:rPr>
          <w:szCs w:val="24"/>
        </w:rPr>
      </w:pPr>
      <w:r w:rsidRPr="00F97E7F">
        <w:rPr>
          <w:szCs w:val="24"/>
        </w:rPr>
        <w:t>13.</w:t>
      </w:r>
      <w:r w:rsidRPr="00F97E7F">
        <w:rPr>
          <w:szCs w:val="24"/>
        </w:rPr>
        <w:tab/>
        <w:t>s uspokojením konstatuje, že podle dotazníku se rozpočtové prostředky Účetního dvora na publikace snížily z 810 000 EUR v roce 2014 na 300 000 EUR v roce 2024 v důsledku zvýšení objemu zpráv vypracovávaných interně a virtuálního šíření publikací; konstatuje, že odhady Účetního dvora pro tuto rozpočtovou položku se v následujících rozpočtových letech dále snižovaly; dále bere na vědomí tendenci Účetního dvora snižovat rozpočet na tlumočení a služby odborníků (konzultace, studie atd.) a plán vyřadit z provozu pevnou telefonní linku v zájmu dosažení dalších úspor;</w:t>
      </w:r>
    </w:p>
    <w:p w14:paraId="7B6F3854" w14:textId="77777777" w:rsidR="00B61F8A" w:rsidRPr="00F97E7F" w:rsidRDefault="00B61F8A" w:rsidP="00F97E7F">
      <w:pPr>
        <w:pStyle w:val="NormalHanging12a"/>
        <w:rPr>
          <w:szCs w:val="24"/>
        </w:rPr>
      </w:pPr>
      <w:r w:rsidRPr="00F97E7F">
        <w:rPr>
          <w:szCs w:val="24"/>
        </w:rPr>
        <w:t>14.</w:t>
      </w:r>
      <w:r w:rsidRPr="00F97E7F">
        <w:rPr>
          <w:szCs w:val="24"/>
        </w:rPr>
        <w:tab/>
        <w:t xml:space="preserve">vítá pokračující činnost Účetního dvora – jak vyplývá z odpovědi Účetního dvora na různé připomínky orgánu příslušného k udělení absolutoria v souvislosti s udělením </w:t>
      </w:r>
      <w:r w:rsidRPr="00F97E7F">
        <w:rPr>
          <w:szCs w:val="24"/>
        </w:rPr>
        <w:lastRenderedPageBreak/>
        <w:t>absolutoria za rok 2023 („monitorovací zpráva“) – zaměřenou na revizi příručky pro služební cesty s cílem řešit proaktivním způsobem (tj. v okamžiku přípravy služební cesty) mimo jiné otázky, jako je nákladová efektivnost a způsoby minimalizace dopadu na životní prostředí; vyzývá Účetní dvůr, aby orgán příslušný k udělení absolutoria průběžně informoval o pokroku dosaženém v tomto ohledu;</w:t>
      </w:r>
    </w:p>
    <w:p w14:paraId="74D0E486" w14:textId="77777777" w:rsidR="00B61F8A" w:rsidRDefault="00B61F8A" w:rsidP="00F97E7F">
      <w:pPr>
        <w:pStyle w:val="NormalHanging12a"/>
        <w:rPr>
          <w:szCs w:val="24"/>
        </w:rPr>
      </w:pPr>
      <w:r w:rsidRPr="00F97E7F">
        <w:rPr>
          <w:szCs w:val="24"/>
        </w:rPr>
        <w:t>15.</w:t>
      </w:r>
      <w:r w:rsidRPr="00F97E7F">
        <w:rPr>
          <w:szCs w:val="24"/>
        </w:rPr>
        <w:tab/>
        <w:t>s uspokojením konstatuje, že externí auditor prohlásil, že přidělené prostředky byly použity k určenému účelu a že kontrolní postupy zavedené schvalujícími osobami poskytují nezbytné záruky, že finanční operace jsou v souladu s platnými pravidly a předpisy;</w:t>
      </w:r>
    </w:p>
    <w:p w14:paraId="5BF50FB8" w14:textId="2107AB08" w:rsidR="00867848" w:rsidRPr="00F97E7F" w:rsidRDefault="00867848" w:rsidP="00F97E7F">
      <w:pPr>
        <w:pStyle w:val="NormalHanging12a"/>
        <w:rPr>
          <w:szCs w:val="24"/>
        </w:rPr>
      </w:pPr>
      <w:r w:rsidRPr="00867848">
        <w:rPr>
          <w:szCs w:val="24"/>
        </w:rPr>
        <w:t>1</w:t>
      </w:r>
      <w:r>
        <w:rPr>
          <w:szCs w:val="24"/>
        </w:rPr>
        <w:t>6</w:t>
      </w:r>
      <w:r w:rsidRPr="00867848">
        <w:rPr>
          <w:szCs w:val="24"/>
        </w:rPr>
        <w:t>.</w:t>
      </w:r>
      <w:r w:rsidRPr="00867848">
        <w:rPr>
          <w:szCs w:val="24"/>
        </w:rPr>
        <w:tab/>
        <w:t xml:space="preserve">zdůrazňuje, že </w:t>
      </w:r>
      <w:r w:rsidR="0029430D">
        <w:rPr>
          <w:szCs w:val="24"/>
        </w:rPr>
        <w:t>Ú</w:t>
      </w:r>
      <w:r w:rsidRPr="00867848">
        <w:rPr>
          <w:szCs w:val="24"/>
        </w:rPr>
        <w:t>četní dvůr je externím auditorem Unie a základním prvkem nezávislé finanční odpovědnosti za rozpočet Unie; zdůrazňuje, že v souvislosti s bezprecedentním růstem výdajů Unie, objemem výpůjčních operací a se složitostí nových finančních nástrojů musí být Účetnímu dvoru poskytnuty zdroje, které odpovídají rozsahu a složitosti jeho auditního mandátu; podporuje trvalou nákladovou kázeň Účetního dvora; vyzývá rozpočtové orgány, aby při přijímání budoucích rozpočtů zajistily, aby měl Účetní dvůr dostatečné zdroje na kontrolu rychle se rozšiřující finanční struktury Unie;</w:t>
      </w:r>
    </w:p>
    <w:p w14:paraId="0CDBEC2F" w14:textId="77777777" w:rsidR="00B61F8A" w:rsidRPr="00F97E7F" w:rsidRDefault="00B61F8A" w:rsidP="00F97E7F">
      <w:pPr>
        <w:pStyle w:val="NormalHanging12a"/>
        <w:rPr>
          <w:b/>
          <w:i/>
          <w:iCs/>
          <w:szCs w:val="24"/>
        </w:rPr>
      </w:pPr>
      <w:r w:rsidRPr="00F97E7F">
        <w:rPr>
          <w:b/>
          <w:i/>
          <w:szCs w:val="24"/>
        </w:rPr>
        <w:t>Vnitřní řízení, výkonnost a interní kontrola</w:t>
      </w:r>
    </w:p>
    <w:p w14:paraId="6C007228" w14:textId="0E28BB0A" w:rsidR="00B61F8A" w:rsidRPr="00F97E7F" w:rsidRDefault="00B61F8A" w:rsidP="00F97E7F">
      <w:pPr>
        <w:pStyle w:val="NormalHanging12a"/>
        <w:rPr>
          <w:szCs w:val="24"/>
        </w:rPr>
      </w:pPr>
      <w:r w:rsidRPr="00F97E7F">
        <w:rPr>
          <w:szCs w:val="24"/>
        </w:rPr>
        <w:t>1</w:t>
      </w:r>
      <w:r w:rsidR="00867848">
        <w:rPr>
          <w:szCs w:val="24"/>
        </w:rPr>
        <w:t>7</w:t>
      </w:r>
      <w:r w:rsidRPr="00F97E7F">
        <w:rPr>
          <w:szCs w:val="24"/>
        </w:rPr>
        <w:t>.</w:t>
      </w:r>
      <w:r w:rsidRPr="00F97E7F">
        <w:rPr>
          <w:szCs w:val="24"/>
        </w:rPr>
        <w:tab/>
        <w:t>konstatuje, že Účetní dvůr strávil v členských státech a mimo Unii celkem 3 176 dní, zatímco v roce 2023 to bylo 4 897 dní, a v orgánech, institucích a jiných subjektech Unie a dalších mezinárodních organizacích a soukromých auditorských společnostech 1 244 dní, zatímco v roce 2023 to bylo 1 370 dní;</w:t>
      </w:r>
    </w:p>
    <w:p w14:paraId="68285360" w14:textId="4B9C2BEC" w:rsidR="00B61F8A" w:rsidRPr="00F97E7F" w:rsidRDefault="00B61F8A" w:rsidP="00F97E7F">
      <w:pPr>
        <w:pStyle w:val="NormalHanging12a"/>
        <w:rPr>
          <w:szCs w:val="24"/>
        </w:rPr>
      </w:pPr>
      <w:r w:rsidRPr="00F97E7F">
        <w:rPr>
          <w:szCs w:val="24"/>
        </w:rPr>
        <w:t>1</w:t>
      </w:r>
      <w:r w:rsidR="00867848">
        <w:rPr>
          <w:szCs w:val="24"/>
        </w:rPr>
        <w:t>8</w:t>
      </w:r>
      <w:r w:rsidRPr="00F97E7F">
        <w:rPr>
          <w:szCs w:val="24"/>
        </w:rPr>
        <w:t>.</w:t>
      </w:r>
      <w:r w:rsidRPr="00F97E7F">
        <w:rPr>
          <w:szCs w:val="24"/>
        </w:rPr>
        <w:tab/>
        <w:t>konstatuje, že v roce 2024 Účetní dvůr předložil 2 výroční zprávy, 3 zvláštní výroční zprávy, 28 zvláštních zpráv, 4 přezkumy a 3 stanoviska, celkem 40 položek (oproti 45 položkám v roce 2023); vítá, že se Účetní dvůr v roce 2024 prostřednictvím zvláštních zpráv a přezkumů zaměřoval na naléhavé výzvy, kterým Unie čelí v klíčových oblastech, jako jsou finanční nástroje v politice soudržnosti, transparentnost financování Unie poskytovaného nevládním organizacím, orgány Unie bojující proti podvodům, bezpečnost dodávek plynu, investice do umělé inteligence, přizpůsobení se změně klimatu, čerpání prostředků z Nástroje pro oživení a odolnost („RRF“), cesta k automobilům s nulovými emisemi, podpora uprchlíků v Turecku či průmyslová politika Unie v oblasti vodíku; dále vítá plánované zprávy Účetního dvora o Nástroji pro oživení a odolnost v oblastech, jako je transparentnost a sledovatelnost, jakož i o architektuře a strategii Unie v boji proti podvodům a o podpoře Unie Ukrajině, Moldavsku a Gruzii; bere na vědomí zlepšení, pokud jde o spokojenost zúčastněných stran s prací Účetního dvora, přičemž z průzkumu provedeného v roce 2024 vyplývá, že 89 % dotázaných (oproti 85 % v roce 2023) považovalo zprávy Účetního dvora za užitečné a že 82 % (oproti 78 %) považovalo činnost Účetního dvora za přínosnou;</w:t>
      </w:r>
    </w:p>
    <w:p w14:paraId="6E138AF9" w14:textId="414DECE7" w:rsidR="00B61F8A" w:rsidRPr="00F97E7F" w:rsidRDefault="00B61F8A" w:rsidP="00F97E7F">
      <w:pPr>
        <w:pStyle w:val="NormalHanging12a"/>
        <w:rPr>
          <w:bCs/>
          <w:iCs/>
          <w:szCs w:val="24"/>
        </w:rPr>
      </w:pPr>
      <w:r w:rsidRPr="00F97E7F">
        <w:rPr>
          <w:szCs w:val="24"/>
        </w:rPr>
        <w:t>1</w:t>
      </w:r>
      <w:r w:rsidR="00867848">
        <w:rPr>
          <w:szCs w:val="24"/>
        </w:rPr>
        <w:t>9</w:t>
      </w:r>
      <w:r w:rsidRPr="00F97E7F">
        <w:rPr>
          <w:szCs w:val="24"/>
        </w:rPr>
        <w:t>.</w:t>
      </w:r>
      <w:r w:rsidRPr="00F97E7F">
        <w:rPr>
          <w:szCs w:val="24"/>
        </w:rPr>
        <w:tab/>
        <w:t>vyzývá Účetní dvůr, aby poskytl podrobnější a systematičtější posouzení vedlejších účinků programů financovaných Unií na členské státy, a to jak na členské státy s vysokou, tak na členské státy s nízkou mírou čerpání evropských finančních prostředků; zdůrazňuje, že komplexní analýza hospodářských, sociálních, správních a územních dopadů těchto vedlejších účinků, včetně přeshraničních a distribučních účinků, by posílila hodnocení dlouhodobého dopadu, přidané hodnoty a udržitelnosti výdajů Unie a podpořila by informovanější tvorbu politik na úrovni Unie i na vnitrostátní úrovni;</w:t>
      </w:r>
    </w:p>
    <w:p w14:paraId="7EC77162" w14:textId="65863088" w:rsidR="00B61F8A" w:rsidRPr="00F97E7F" w:rsidRDefault="00867848" w:rsidP="00F97E7F">
      <w:pPr>
        <w:pStyle w:val="NormalHanging12a"/>
        <w:rPr>
          <w:szCs w:val="24"/>
        </w:rPr>
      </w:pPr>
      <w:r>
        <w:rPr>
          <w:szCs w:val="24"/>
        </w:rPr>
        <w:lastRenderedPageBreak/>
        <w:t>20</w:t>
      </w:r>
      <w:r w:rsidR="00B61F8A" w:rsidRPr="00F97E7F">
        <w:rPr>
          <w:szCs w:val="24"/>
        </w:rPr>
        <w:t>.</w:t>
      </w:r>
      <w:r w:rsidR="00B61F8A" w:rsidRPr="00F97E7F">
        <w:rPr>
          <w:szCs w:val="24"/>
        </w:rPr>
        <w:tab/>
        <w:t>konstatuje, že Účetní dvůr má soubor klíčových ukazatelů výkonnosti (KPI), jimiž měří pokrok dosažený při plnění svých strategických cílů v souladu se strategií Účetního dvora na období 2021–2025; bere na vědomí strategické cíle Účetního dvora pro rok 2024: zlepšení vyvozování odpovědnosti, transparentnosti a auditních mechanismů, zaměření na oblasti a témata, v nichž mohou audity přinést největší přidanou hodnotu, a zajištění silné věrohodnosti auditu v náročném a měnícím se prostředí; vyzývá Účetní dvůr, aby v budoucnu předkládal své klíčové ukazatele výkonnosti, míru dosaženého pokroku a cíle v souhrnné podobě (ve formátu tabulky); vyzývá Účetní dvůr, aby dále rozvíjel klíčové ukazatele výkonnosti na základě výkonnosti a výsledků evropských politik s cílem jasně měřit dopad politik prováděných Komisí;</w:t>
      </w:r>
    </w:p>
    <w:p w14:paraId="4455B16A" w14:textId="6800D0B5" w:rsidR="00B61F8A" w:rsidRPr="00F97E7F" w:rsidRDefault="00B61F8A" w:rsidP="00F97E7F">
      <w:pPr>
        <w:pStyle w:val="NormalHanging12a"/>
        <w:rPr>
          <w:bCs/>
          <w:iCs/>
          <w:szCs w:val="24"/>
        </w:rPr>
      </w:pPr>
      <w:r w:rsidRPr="00F97E7F">
        <w:rPr>
          <w:szCs w:val="24"/>
        </w:rPr>
        <w:t>2</w:t>
      </w:r>
      <w:r w:rsidR="00867848">
        <w:rPr>
          <w:szCs w:val="24"/>
        </w:rPr>
        <w:t>1</w:t>
      </w:r>
      <w:r w:rsidRPr="00F97E7F">
        <w:rPr>
          <w:szCs w:val="24"/>
        </w:rPr>
        <w:t>.</w:t>
      </w:r>
      <w:r w:rsidRPr="00F97E7F">
        <w:rPr>
          <w:szCs w:val="24"/>
        </w:rPr>
        <w:tab/>
        <w:t>vyzývá Účetní dvůr, aby svá zjištění konsolidoval do srovnávací analýzy výkonnosti a aby vypracoval metodiku pro „kompas výkonnosti“ programů Unie; domnívá se, že takový nástroj by při respektování rozmanitosti politik poskytl orgánu příslušnému k udělení absolutoria, činitelům s rozhodovací pravomocí a široké veřejnosti jasná vodítka ohledně toho, které programy účinně využívají zdroje a které by mohly být kandidáty na ukončení nebo zásadní restrukturalizaci;</w:t>
      </w:r>
    </w:p>
    <w:p w14:paraId="2684103E" w14:textId="0253A0E6" w:rsidR="00B61F8A" w:rsidRPr="00F97E7F" w:rsidRDefault="00B61F8A" w:rsidP="00F97E7F">
      <w:pPr>
        <w:pStyle w:val="NormalHanging12a"/>
        <w:rPr>
          <w:szCs w:val="24"/>
        </w:rPr>
      </w:pPr>
      <w:r w:rsidRPr="00F97E7F">
        <w:rPr>
          <w:szCs w:val="24"/>
        </w:rPr>
        <w:t>2</w:t>
      </w:r>
      <w:r w:rsidR="00867848">
        <w:rPr>
          <w:szCs w:val="24"/>
        </w:rPr>
        <w:t>2</w:t>
      </w:r>
      <w:r w:rsidRPr="00F97E7F">
        <w:rPr>
          <w:szCs w:val="24"/>
        </w:rPr>
        <w:t>.</w:t>
      </w:r>
      <w:r w:rsidRPr="00F97E7F">
        <w:rPr>
          <w:szCs w:val="24"/>
        </w:rPr>
        <w:tab/>
        <w:t>oceňuje, že Účetní dvůr měří provádění svých doporučení na základě návazných opatření provedených jeho auditory; konstatuje, že v roce 2024 Účetní dvůr analyzoval doporučení určená Komisi a jiným orgánům, která jsou uvedena v jeho zprávách za rok 2020; konstatuje, že 93 % z 19 doporučení uvedených ve výroční zprávě Účetního dvora za rok 2020 a 88 % ze 186 doporučení uvedených ve zvláštních zprávách Účetního dvora za rok 2020 bylo realizováno buď v plném rozsahu, nebo v některých ohledech či ve většině ohledů;</w:t>
      </w:r>
    </w:p>
    <w:p w14:paraId="336FE11B" w14:textId="5D5055AB" w:rsidR="00B61F8A" w:rsidRPr="00F97E7F" w:rsidRDefault="00B61F8A" w:rsidP="00F97E7F">
      <w:pPr>
        <w:pStyle w:val="NormalHanging12a"/>
        <w:rPr>
          <w:szCs w:val="24"/>
        </w:rPr>
      </w:pPr>
      <w:r w:rsidRPr="00F97E7F">
        <w:rPr>
          <w:szCs w:val="24"/>
        </w:rPr>
        <w:t>2</w:t>
      </w:r>
      <w:r w:rsidR="00867848">
        <w:rPr>
          <w:szCs w:val="24"/>
        </w:rPr>
        <w:t>3</w:t>
      </w:r>
      <w:r w:rsidRPr="00F97E7F">
        <w:rPr>
          <w:szCs w:val="24"/>
        </w:rPr>
        <w:t>.</w:t>
      </w:r>
      <w:r w:rsidRPr="00F97E7F">
        <w:rPr>
          <w:szCs w:val="24"/>
        </w:rPr>
        <w:tab/>
        <w:t>bere na vědomí, že podle monitorovací zprávy Komise souhlasila s tím, že Účetnímu dvoru poskytne manuální extrakci údajů z nástroje ARACHNE; vyjadřuje však politování nad tím, že přístup Účetního dvora k nástroji FENIX, který slouží pro podávání zpráv o RRF zůstává otevřenou otázkou, neboť Komise poskytla Účetnímu dvoru částečný přístup pouze k některým modulům nástroje FENIX a informace v nich obsažené nejsou včas aktualizovány; vítá zaznamenaný nárůst počtu uživatelů Účetního dvora, kteří mají přístup k nástroji FENIX; podporuje však žádost Účetního dvora, aby mu Komise co nejdříve udělila úplný přístup; připomíná, že Generální ředitelství Komise pro hospodářské a finanční záležitosti usiluje o to, aby měl Účetní dvůr přístup k souborům modulu FENIX do 2 týdnů od schválení žádosti o platbu; je však znepokojen tím, že v praxi se tato lhůta v mnoha případech nedodržuje a v některých případech došlo ke zpožděním v délce až 2,5 měsíce, což významně zpomaluje předkládání zjištění Účetního dvora nebo ohrožuje účinnost a včasnost auditní práce Účetního dvora, zejména u vysoce rizikových výdajů, jako je například RRF; připomíná v této souvislosti Komisi její povinnost podle článku 263 finančního nařízení poskytnout Účetnímu dvoru komplexní přístup ke všem příslušným systémům a databázím (mimo jiné ARACHNE, FENIX a ARES); vyzývá proto Komisi, aby tuto situaci neprodleně napravila, mimo jiné uzavřením interinstitucionální dohody, která zajistí Účetnímu dvoru plný a systematický přístup ke všem příslušným databázím v reálném čase, včetně databází ARACHNE a FENIX; vyzývá Účetní dvůr, aby orgán příslušný k udělení absolutoria informoval o konkrétních zlepšeních, jichž bylo dosaženo;</w:t>
      </w:r>
    </w:p>
    <w:p w14:paraId="661BA6B1" w14:textId="77777777" w:rsidR="00B61F8A" w:rsidRPr="00F97E7F" w:rsidRDefault="00B61F8A" w:rsidP="00F97E7F">
      <w:pPr>
        <w:pStyle w:val="NormalHanging12a"/>
        <w:rPr>
          <w:b/>
          <w:i/>
          <w:iCs/>
          <w:szCs w:val="24"/>
        </w:rPr>
      </w:pPr>
      <w:r w:rsidRPr="00F97E7F">
        <w:rPr>
          <w:b/>
          <w:i/>
          <w:szCs w:val="24"/>
        </w:rPr>
        <w:t>Lidské zdroje, rovnost a dobré pracovní podmínky zaměstnanců</w:t>
      </w:r>
    </w:p>
    <w:p w14:paraId="4DD6C4FE" w14:textId="6DF37137" w:rsidR="00B61F8A" w:rsidRPr="00F97E7F" w:rsidRDefault="00B61F8A" w:rsidP="00F97E7F">
      <w:pPr>
        <w:pStyle w:val="NormalHanging12a"/>
        <w:rPr>
          <w:szCs w:val="24"/>
        </w:rPr>
      </w:pPr>
      <w:bookmarkStart w:id="9" w:name="_Hlk216182035"/>
      <w:r w:rsidRPr="00F97E7F">
        <w:rPr>
          <w:szCs w:val="24"/>
        </w:rPr>
        <w:lastRenderedPageBreak/>
        <w:t>2</w:t>
      </w:r>
      <w:r w:rsidR="00867848">
        <w:rPr>
          <w:szCs w:val="24"/>
        </w:rPr>
        <w:t>4</w:t>
      </w:r>
      <w:r w:rsidRPr="00F97E7F">
        <w:rPr>
          <w:szCs w:val="24"/>
        </w:rPr>
        <w:t>.</w:t>
      </w:r>
      <w:r w:rsidRPr="00F97E7F">
        <w:rPr>
          <w:szCs w:val="24"/>
        </w:rPr>
        <w:tab/>
        <w:t>konstatuje, že na konci roku 2024 měl Účetní dvůr 961 zaměstnanců (pokles z 969 v roce 2023), včetně dočasných zaměstnanců (192 v roce 2024, pokles z 204 v roce 2023), smluvních zaměstnanců (84 v roce 2024, pokles z 86 v roce 2023) a vyslaných národních odborníků (26 v roce 2024, stejně jako v roce 2023); připomíná, že je třeba poskytovat zaměstnancům smlouvy na dobu neurčitou, aby bylo možné udržet jejich kvalifikaci a zajistit kontinuitu a produktivní a stabilní pracovní prostředí;</w:t>
      </w:r>
    </w:p>
    <w:p w14:paraId="4350254E" w14:textId="72BBE7FE" w:rsidR="00B61F8A" w:rsidRPr="00F97E7F" w:rsidRDefault="00B61F8A" w:rsidP="00F97E7F">
      <w:pPr>
        <w:pStyle w:val="NormalHanging12a"/>
        <w:rPr>
          <w:szCs w:val="24"/>
        </w:rPr>
      </w:pPr>
      <w:r w:rsidRPr="00F97E7F">
        <w:rPr>
          <w:szCs w:val="24"/>
        </w:rPr>
        <w:t>2</w:t>
      </w:r>
      <w:r w:rsidR="00867848">
        <w:rPr>
          <w:szCs w:val="24"/>
        </w:rPr>
        <w:t>5</w:t>
      </w:r>
      <w:r w:rsidRPr="00F97E7F">
        <w:rPr>
          <w:szCs w:val="24"/>
        </w:rPr>
        <w:t>.</w:t>
      </w:r>
      <w:r w:rsidRPr="00F97E7F">
        <w:rPr>
          <w:szCs w:val="24"/>
        </w:rPr>
        <w:tab/>
        <w:t>konstatuje, že v roce 2024 tvořily 54 % zaměstnanců Účetního dvora ženy (nárůst oproti 53 % v roce 2023) a 4</w:t>
      </w:r>
      <w:r w:rsidR="00541C68">
        <w:rPr>
          <w:szCs w:val="24"/>
        </w:rPr>
        <w:t>6</w:t>
      </w:r>
      <w:r w:rsidRPr="00F97E7F">
        <w:rPr>
          <w:szCs w:val="24"/>
        </w:rPr>
        <w:t xml:space="preserve"> % muži; vyjadřuje politování nad tím, že ženy tvoří pouze 30 % vrcholového vedení Účetního dvora, což je stejný podíl jako v roce 2023; vyjadřuje politování nad dalším poklesem podílu žen mezi vedoucími pracovníky na střední úrovni ze 40 % na 37,3 % v roce 2023; připomíná skutečnost, že genderová rovnost je jednou ze zásad zakotvených ve Smlouvě, kterou by měly dodržovat všechny orgány, a vyzývá Účetní dvůr, aby pokračoval ve svém úsilí o podporu vyváženého zastoupení žen a mužů mezi vedoucími pracovníky na střední a vrcholné úrovni vedení; </w:t>
      </w:r>
      <w:bookmarkEnd w:id="9"/>
    </w:p>
    <w:p w14:paraId="74B403CA" w14:textId="5F8CEDBB" w:rsidR="00B61F8A" w:rsidRPr="00F97E7F" w:rsidRDefault="00B61F8A" w:rsidP="00F97E7F">
      <w:pPr>
        <w:pStyle w:val="NormalHanging12a"/>
        <w:rPr>
          <w:szCs w:val="24"/>
        </w:rPr>
      </w:pPr>
      <w:r w:rsidRPr="00F97E7F">
        <w:rPr>
          <w:szCs w:val="24"/>
        </w:rPr>
        <w:t>2</w:t>
      </w:r>
      <w:r w:rsidR="00867848">
        <w:rPr>
          <w:szCs w:val="24"/>
        </w:rPr>
        <w:t>6</w:t>
      </w:r>
      <w:r w:rsidRPr="00F97E7F">
        <w:rPr>
          <w:szCs w:val="24"/>
        </w:rPr>
        <w:t>.</w:t>
      </w:r>
      <w:r w:rsidRPr="00F97E7F">
        <w:rPr>
          <w:szCs w:val="24"/>
        </w:rPr>
        <w:tab/>
        <w:t xml:space="preserve">konstatuje, že podle dotazníku Účetní dvůr v roce 2024 zaměstnával 64 stážistů, z nichž 59 pobíralo měsíční příspěvek; vítá nový program profesního rozvoje Účetního dvora nazvaný </w:t>
      </w:r>
      <w:proofErr w:type="spellStart"/>
      <w:r w:rsidRPr="00F97E7F">
        <w:rPr>
          <w:szCs w:val="24"/>
        </w:rPr>
        <w:t>TraineEca</w:t>
      </w:r>
      <w:proofErr w:type="spellEnd"/>
      <w:r w:rsidRPr="00F97E7F">
        <w:rPr>
          <w:szCs w:val="24"/>
        </w:rPr>
        <w:t xml:space="preserve"> </w:t>
      </w:r>
      <w:proofErr w:type="spellStart"/>
      <w:r w:rsidRPr="00F97E7F">
        <w:rPr>
          <w:szCs w:val="24"/>
        </w:rPr>
        <w:t>Career</w:t>
      </w:r>
      <w:proofErr w:type="spellEnd"/>
      <w:r w:rsidRPr="00F97E7F">
        <w:rPr>
          <w:szCs w:val="24"/>
        </w:rPr>
        <w:t xml:space="preserve"> Development, jehož cílem je nabídnout pracovní příležitosti nejtalentovanějším stážistům; dále bere na vědomí plán Účetního dvora nabídnout speciální stáže v oblasti umělé inteligence čerstvým absolventům vysokých škol a doktorandům v této oblasti; opět zdůrazňuje, že za stáže by měla být vyplácena odměna v souladu s usnesením Parlamentu ze dne 15. června 2023 o kvalitních stážích v Unii (2020/2005(INL)), které obsahuje výzvu, aby byly všechny stáže v Unii placené; zdůrazňuje, že neplacené stáže představují formu vykořisťování mladých pracovníků a překážku pro rovné příležitosti;</w:t>
      </w:r>
    </w:p>
    <w:p w14:paraId="39025026" w14:textId="5F6065C8" w:rsidR="00B61F8A" w:rsidRPr="00F97E7F" w:rsidRDefault="00B61F8A" w:rsidP="00F97E7F">
      <w:pPr>
        <w:pStyle w:val="NormalHanging12a"/>
        <w:rPr>
          <w:szCs w:val="24"/>
        </w:rPr>
      </w:pPr>
      <w:r w:rsidRPr="00F97E7F">
        <w:rPr>
          <w:szCs w:val="24"/>
        </w:rPr>
        <w:t>2</w:t>
      </w:r>
      <w:r w:rsidR="00867848">
        <w:rPr>
          <w:szCs w:val="24"/>
        </w:rPr>
        <w:t>7</w:t>
      </w:r>
      <w:r w:rsidRPr="00F97E7F">
        <w:rPr>
          <w:szCs w:val="24"/>
        </w:rPr>
        <w:t>.</w:t>
      </w:r>
      <w:r w:rsidRPr="00F97E7F">
        <w:rPr>
          <w:szCs w:val="24"/>
        </w:rPr>
        <w:tab/>
        <w:t>konstatuje, že podle dotazníku představuje nábor úředníků pro Účetní dvůr v roce 2024 i nadále problém, a to z důvodu nedostatečné atraktivity Lucemburska jako místa výkonu zaměstnání nebo nezájmu mladých pracovníků o práci v oblasti auditu a kontroly; s uspokojením konstatuje, že Účetní dvůr tento problém řešil pořádáním pravidelných výběrových řízení zaměřených na stážisty Účetního dvora, pořádáním interních výběrových řízení s cílem udržet si nejtalentovanější uchazeče a zintenzivněním informačních činností; vybízí Účetní dvůr, aby pokračoval v tomto úsilí s cílem zajistit kontinuitu své činnosti; v této souvislosti uznává, že je zapotřebí konkurenční doložka, aby bylo možné pořádat výběrová řízení EPSO také výhradně pro Lucembursko; chválí Účetní dvůr za to, že se připojil k interinstitucionální dohodě, podle níž zaměstnanci přijatí orgány Unie se sídlem v Lucemburku dostávají od roku 2025 příspěvek na bydlení, který má kompenzovat vysoké životní náklady v Lucembursku;</w:t>
      </w:r>
    </w:p>
    <w:p w14:paraId="28C98DB5" w14:textId="102D94CF" w:rsidR="00B61F8A" w:rsidRPr="00F97E7F" w:rsidRDefault="00B61F8A" w:rsidP="00F97E7F">
      <w:pPr>
        <w:pStyle w:val="NormalHanging12a"/>
        <w:rPr>
          <w:szCs w:val="24"/>
        </w:rPr>
      </w:pPr>
      <w:r w:rsidRPr="00F97E7F">
        <w:rPr>
          <w:szCs w:val="24"/>
        </w:rPr>
        <w:t>2</w:t>
      </w:r>
      <w:r w:rsidR="00867848">
        <w:rPr>
          <w:szCs w:val="24"/>
        </w:rPr>
        <w:t>8</w:t>
      </w:r>
      <w:r w:rsidRPr="00F97E7F">
        <w:rPr>
          <w:szCs w:val="24"/>
        </w:rPr>
        <w:t>.</w:t>
      </w:r>
      <w:r w:rsidRPr="00F97E7F">
        <w:rPr>
          <w:szCs w:val="24"/>
        </w:rPr>
        <w:tab/>
        <w:t>je si vědom toho, že Účetní dvůr nemá žádnou úlohu v postupu výběru členů podle čl. 286 odst. 2 SFEU; připomíná však, že mezi členy Účetního dvora stále existuje značná genderová nerovnováha, neboť z 27 členů je pouze 10 žen; vyjadřuje politování nad tím, že několik členských států nikdy nenominovalo ženu za členku Účetního dvora; opětovně vyzývá členské státy, aby při navrhování kandidátů zohledňovaly potřebu genderové vyváženosti a usilovaly o vyváženější a reprezentativnější složení Účetního dvora a zároveň zajistily, aby nominace byly i nadále založeny na kritériích zásluh, kvalifikace a nezávislosti;</w:t>
      </w:r>
    </w:p>
    <w:p w14:paraId="574E32AB" w14:textId="3FB272EF" w:rsidR="00B61F8A" w:rsidRPr="00F97E7F" w:rsidRDefault="00B61F8A" w:rsidP="00F97E7F">
      <w:pPr>
        <w:pStyle w:val="NormalHanging12a"/>
        <w:rPr>
          <w:szCs w:val="24"/>
        </w:rPr>
      </w:pPr>
      <w:r w:rsidRPr="00F97E7F">
        <w:rPr>
          <w:szCs w:val="24"/>
        </w:rPr>
        <w:t>2</w:t>
      </w:r>
      <w:r w:rsidR="00867848">
        <w:rPr>
          <w:szCs w:val="24"/>
        </w:rPr>
        <w:t>9</w:t>
      </w:r>
      <w:r w:rsidRPr="00F97E7F">
        <w:rPr>
          <w:szCs w:val="24"/>
        </w:rPr>
        <w:t>.</w:t>
      </w:r>
      <w:r w:rsidRPr="00F97E7F">
        <w:rPr>
          <w:szCs w:val="24"/>
        </w:rPr>
        <w:tab/>
        <w:t xml:space="preserve">nadále vyjadřuje politování nad postupem Rady, která nominuje kandidáty na členy </w:t>
      </w:r>
      <w:r w:rsidRPr="00F97E7F">
        <w:rPr>
          <w:szCs w:val="24"/>
        </w:rPr>
        <w:lastRenderedPageBreak/>
        <w:t>Účetního dvora, přestože je Parlament odmítl; znovu vyzývá k revizi postupu nominací, která by Parlamentu svěřila závaznou úlohu při posuzování vhodnosti kandidátů na členy Účetního dvora;</w:t>
      </w:r>
    </w:p>
    <w:p w14:paraId="6DFAA2C2" w14:textId="3BF01B55" w:rsidR="00B61F8A" w:rsidRPr="00F97E7F" w:rsidRDefault="00867848" w:rsidP="00F97E7F">
      <w:pPr>
        <w:pStyle w:val="NormalHanging12a"/>
        <w:rPr>
          <w:szCs w:val="24"/>
        </w:rPr>
      </w:pPr>
      <w:r>
        <w:rPr>
          <w:szCs w:val="24"/>
        </w:rPr>
        <w:t>30</w:t>
      </w:r>
      <w:r w:rsidR="00B61F8A" w:rsidRPr="00F97E7F">
        <w:rPr>
          <w:szCs w:val="24"/>
        </w:rPr>
        <w:t>.</w:t>
      </w:r>
      <w:r w:rsidR="00B61F8A" w:rsidRPr="00F97E7F">
        <w:rPr>
          <w:szCs w:val="24"/>
        </w:rPr>
        <w:tab/>
        <w:t>oceňuje rozsáhlý režim práce na dálku, který Účetní dvůr nabízí za účelem zmírnění problémů s náborem zaměstnanců, a to až na 10 dní měsíčně, z nichž 5 dní lze strávit prací na dálku mimo místo výkonu zaměstnání, s omezením na 30 dnů ročně; konstatuje, že podle dotazníku Účetní dvůr v roce 2024 revidoval svá pravidla pro hybridní práci a přihlédl mimo jiné k obdržené zpětné vazbě; vyzývá Účetní dvůr, aby prováděl pravidelné kontroly dodržování těchto pravidel; s uspokojením konstatuje, že podle dotazníku přijímá Účetní dvůr různá opatření k zajištění fyzické a duševní pohody svých zaměstnanců;</w:t>
      </w:r>
    </w:p>
    <w:p w14:paraId="4342E81C" w14:textId="055563EC" w:rsidR="00B61F8A" w:rsidRPr="00F97E7F" w:rsidRDefault="00B61F8A" w:rsidP="00F97E7F">
      <w:pPr>
        <w:pStyle w:val="NormalHanging12a"/>
        <w:rPr>
          <w:szCs w:val="24"/>
        </w:rPr>
      </w:pPr>
      <w:r w:rsidRPr="00F97E7F">
        <w:rPr>
          <w:szCs w:val="24"/>
        </w:rPr>
        <w:t>3</w:t>
      </w:r>
      <w:r w:rsidR="00867848">
        <w:rPr>
          <w:szCs w:val="24"/>
        </w:rPr>
        <w:t>1</w:t>
      </w:r>
      <w:r w:rsidRPr="00F97E7F">
        <w:rPr>
          <w:szCs w:val="24"/>
        </w:rPr>
        <w:t>.</w:t>
      </w:r>
      <w:r w:rsidRPr="00F97E7F">
        <w:rPr>
          <w:szCs w:val="24"/>
        </w:rPr>
        <w:tab/>
        <w:t>bere na vědomí nárůst míry volných pracovních míst i míry fluktuace z 6,6 % v roce 2023 na 7,9 % v roce 2024 v případě fluktuace zaměstnanců a z 2,27 % na 2,49 % v případě míry volných pracovních míst, přičemž míra fluktuace představuje počet odcházejících zaměstnanců v poměru ke všem zaměstnancům;</w:t>
      </w:r>
    </w:p>
    <w:p w14:paraId="78CF48EB" w14:textId="37E7189F" w:rsidR="00B61F8A" w:rsidRPr="00F97E7F" w:rsidRDefault="00B61F8A" w:rsidP="00F97E7F">
      <w:pPr>
        <w:pStyle w:val="NormalHanging12a"/>
        <w:rPr>
          <w:szCs w:val="24"/>
        </w:rPr>
      </w:pPr>
      <w:r w:rsidRPr="00F97E7F">
        <w:rPr>
          <w:szCs w:val="24"/>
        </w:rPr>
        <w:t>3</w:t>
      </w:r>
      <w:r w:rsidR="00867848">
        <w:rPr>
          <w:szCs w:val="24"/>
        </w:rPr>
        <w:t>2</w:t>
      </w:r>
      <w:r w:rsidRPr="00F97E7F">
        <w:rPr>
          <w:szCs w:val="24"/>
        </w:rPr>
        <w:t>.</w:t>
      </w:r>
      <w:r w:rsidRPr="00F97E7F">
        <w:rPr>
          <w:szCs w:val="24"/>
        </w:rPr>
        <w:tab/>
        <w:t>konstatuje, že mezi zaměstnanci Účetního dvora je nedostatečně zastoupeno několik národností, zejména ze severských členských států; konstatuje, že existuje riziko, že se situace bude dále zhoršovat v důsledku stárnutí zaměstnanců a nedostatečného náboru kandidátů z těchto členských států; připomíná, že se Účetní dvůr opakovaně snaží tuto nerovnováhu řešit větší propagací výběrových řízení a oznámení o volném pracovním místě ve výrazně méně zastoupených členských státech, spoluprací s členy Účetního dvora při šíření jeho oznámení a oslovováním potenciálních uchazečů prostřednictvím účasti na veletrzích pracovních příležitostí v některých členských státech; dále konstatuje, že podle monitorovací zprávy vypracoval Účetní dvůr také akční plán s deseti opatřeními na příštích pět let s cílem zvrátit současné nedostatečné zastoupení některých členských států; vyzývá Účetní dvůr, aby orgán příslušný k udělení absolutoria průběžně informoval o pokroku a výsledcích provádění tohoto akčního plánu;</w:t>
      </w:r>
    </w:p>
    <w:p w14:paraId="432D5BE7" w14:textId="37A854F8" w:rsidR="00B61F8A" w:rsidRPr="00F97E7F" w:rsidRDefault="00B61F8A" w:rsidP="00F97E7F">
      <w:pPr>
        <w:pStyle w:val="NormalHanging12a"/>
        <w:rPr>
          <w:szCs w:val="24"/>
        </w:rPr>
      </w:pPr>
      <w:r w:rsidRPr="00F97E7F">
        <w:rPr>
          <w:szCs w:val="24"/>
        </w:rPr>
        <w:t>3</w:t>
      </w:r>
      <w:r w:rsidR="00867848">
        <w:rPr>
          <w:szCs w:val="24"/>
        </w:rPr>
        <w:t>3</w:t>
      </w:r>
      <w:r w:rsidRPr="00F97E7F">
        <w:rPr>
          <w:szCs w:val="24"/>
        </w:rPr>
        <w:t>.</w:t>
      </w:r>
      <w:r w:rsidRPr="00F97E7F">
        <w:rPr>
          <w:szCs w:val="24"/>
        </w:rPr>
        <w:tab/>
        <w:t>připomíná skutečnost, že na konci roku 2023 bylo obsazeno všech 29 dodatečných pracovních míst (dočasných zaměstnanců) nezbytných pro audit Nástroje pro oživení a odolnost v hodnotě 723,8 miliardy EUR; chápe však, že významnost, složitost a vysoké částky a rychlé vyplácení z Nástroje pro oživení a odolnost nadále představují výzvu a že stávající zdroje nejsou dostatečné k systematickému zajištění souladu výdajů z Nástroje pro oživení a odolnost s pravidly Unie a vnitrostátními pravidly a k reakci na zvýšené aktivity Unie; oceňuje nicméně úsilí, které Účetní dvůr dosud vynaložil na plnění svých povinností v souvislosti s RRF, a to i přes nedostatek dostupných zdrojů; v této souvislosti podporuje žádost Účetního dvora o přeměnu 29 dočasných zaměstnanců přijatých pro účely auditů souvisejících s Nástrojem pro oživení a odolnost na stálá pracovní místa; zdůrazňuje, že je důležité zajistit, aby měl Účetní dvůr trvale dostatečné personální obsazení a strukturální vybavení, a mohl tak plnit svůj mandát i další povinnosti vyplývající z budoucích finančních nástrojů založených na výkonnosti, včetně víceletého finančního rámce;</w:t>
      </w:r>
    </w:p>
    <w:p w14:paraId="3E2B8290" w14:textId="4FD07354" w:rsidR="00B61F8A" w:rsidRPr="00F97E7F" w:rsidRDefault="00B61F8A" w:rsidP="00F97E7F">
      <w:pPr>
        <w:pStyle w:val="NormalHanging12a"/>
        <w:rPr>
          <w:bCs/>
          <w:iCs/>
          <w:szCs w:val="24"/>
        </w:rPr>
      </w:pPr>
      <w:r w:rsidRPr="00F97E7F">
        <w:rPr>
          <w:szCs w:val="24"/>
        </w:rPr>
        <w:t>3</w:t>
      </w:r>
      <w:r w:rsidR="00867848">
        <w:rPr>
          <w:szCs w:val="24"/>
        </w:rPr>
        <w:t>4</w:t>
      </w:r>
      <w:r w:rsidRPr="00F97E7F">
        <w:rPr>
          <w:szCs w:val="24"/>
        </w:rPr>
        <w:t>.</w:t>
      </w:r>
      <w:r w:rsidRPr="00F97E7F">
        <w:rPr>
          <w:szCs w:val="24"/>
        </w:rPr>
        <w:tab/>
        <w:t>s uznáním konstatuje, že i v roce 2024 Účetní dvůr překročil cíl pro počet dní odborné přípravy, který je stanoven jako pět dní jiné než jazykové odborné přípravy ročně pro auditory (v souladu s doporučeními Mezinárodní federace účetních) a dva dny pro zaměstnance mimo audit (5,8 a 3,9);</w:t>
      </w:r>
    </w:p>
    <w:p w14:paraId="263C9964" w14:textId="0AE53110" w:rsidR="00B61F8A" w:rsidRPr="00F97E7F" w:rsidRDefault="00B61F8A" w:rsidP="00F97E7F">
      <w:pPr>
        <w:pStyle w:val="NormalHanging12a"/>
        <w:rPr>
          <w:szCs w:val="24"/>
        </w:rPr>
      </w:pPr>
      <w:r w:rsidRPr="00F97E7F">
        <w:rPr>
          <w:szCs w:val="24"/>
        </w:rPr>
        <w:lastRenderedPageBreak/>
        <w:t>3</w:t>
      </w:r>
      <w:r w:rsidR="00867848">
        <w:rPr>
          <w:szCs w:val="24"/>
        </w:rPr>
        <w:t>5</w:t>
      </w:r>
      <w:r w:rsidRPr="00F97E7F">
        <w:rPr>
          <w:szCs w:val="24"/>
        </w:rPr>
        <w:t>.</w:t>
      </w:r>
      <w:r w:rsidRPr="00F97E7F">
        <w:rPr>
          <w:szCs w:val="24"/>
        </w:rPr>
        <w:tab/>
        <w:t>konstatuje, že v roce 2024 činila průměrná absence kvůli nemoci 9,9 dnů na zaměstnance, tedy téměř stejně jako v roce 2023; kromě toho konstatuje, že v roce 2024 nebyli na pracovišti přítomni 3 zaměstnanci (4 v roce 2023) kvůli dlouhodobé nemoci, která je definována tak, že trvá déle než 200 dnů v roce;</w:t>
      </w:r>
    </w:p>
    <w:p w14:paraId="7DD56B50" w14:textId="1597FA99" w:rsidR="00B61F8A" w:rsidRPr="00F97E7F" w:rsidRDefault="00B61F8A" w:rsidP="00F97E7F">
      <w:pPr>
        <w:pStyle w:val="NormalHanging12a"/>
        <w:rPr>
          <w:szCs w:val="24"/>
        </w:rPr>
      </w:pPr>
      <w:r w:rsidRPr="00F97E7F">
        <w:rPr>
          <w:szCs w:val="24"/>
        </w:rPr>
        <w:t>3</w:t>
      </w:r>
      <w:r w:rsidR="00867848">
        <w:rPr>
          <w:szCs w:val="24"/>
        </w:rPr>
        <w:t>6</w:t>
      </w:r>
      <w:r w:rsidRPr="00F97E7F">
        <w:rPr>
          <w:szCs w:val="24"/>
        </w:rPr>
        <w:t>.</w:t>
      </w:r>
      <w:r w:rsidRPr="00F97E7F">
        <w:rPr>
          <w:szCs w:val="24"/>
        </w:rPr>
        <w:tab/>
        <w:t>konstatuje, že v roce 2024 bylo hlášeno 13 případů vyhoření, což je o 7 případů více než v roce 2023; se znepokojením bere na vědomí výrazný nárůst hlášených případů vyhoření v roce 2024; vyzývá Účetní dvůr, aby provedl důkladnou analýzu důvodů tohoto významného nárůstu, včetně rozdělení pracovní zátěže, organizačních faktorů a strukturálních rizik, a aby do svých postupů plánování a řízení lidských zdrojů začlenil zjištění založená na důkazech s cílem účinně předcházet vyhoření a zlepšit pracovní prostředí; vítá skutečnost, že Účetní dvůr podnikl několik kroků ke snížení rizika vzniku syndromu vyhoření zavedením plnohodnotného programu pro dobré pracovní podmínky a nabídl školení o odolnosti, zveřejnil a zavedl pokyny pro návrat do práce po dlouhodobé nemocenské, pokračoval v nabídce první pomoci v oblasti duševního zdraví a poskytoval finanční podporu pro zaměstnance, která pokryje náklady na 10 sezení s psychologem podle vlastního výběru; konstatuje zejména, že Účetní dvůr v roce 2024 uspořádal čtyři povinná školení pro vedoucí pracovníky, která byla zaměřena na dobré pracovní podmínky zaměstnanců, výkonnost, rovnováhu mezi pracovním a soukromým životem a prevenci vyhoření;</w:t>
      </w:r>
    </w:p>
    <w:p w14:paraId="7F82E208" w14:textId="02757383" w:rsidR="00B61F8A" w:rsidRPr="00F97E7F" w:rsidRDefault="00B61F8A" w:rsidP="00F97E7F">
      <w:pPr>
        <w:pStyle w:val="NormalHanging12a"/>
        <w:rPr>
          <w:szCs w:val="24"/>
        </w:rPr>
      </w:pPr>
      <w:r w:rsidRPr="00F97E7F">
        <w:rPr>
          <w:szCs w:val="24"/>
        </w:rPr>
        <w:t>3</w:t>
      </w:r>
      <w:r w:rsidR="00867848">
        <w:rPr>
          <w:szCs w:val="24"/>
        </w:rPr>
        <w:t>7</w:t>
      </w:r>
      <w:r w:rsidRPr="00F97E7F">
        <w:rPr>
          <w:szCs w:val="24"/>
        </w:rPr>
        <w:t>.</w:t>
      </w:r>
      <w:r w:rsidRPr="00F97E7F">
        <w:rPr>
          <w:szCs w:val="24"/>
        </w:rPr>
        <w:tab/>
        <w:t>chválí činnosti Účetního dvora zaměřené na zvyšování povědomí, průzkumy a školení, které Účetní dvůr v roce 2024 nabídl svým zaměstnancům, členům nebo oběma skupinám, v rámci politiky Účetního dvora zaměřené proti obtěžování a na podporu respektu na pracovišti; se znepokojením konstatuje, že v roce 2024 proběhlo jedno správní vyšetřování týkající se obvinění ze sexuálního a psychického obtěžování, po němž následovala disciplinární opatření na základě závěru, že se vyšetřovaná osoba dopustila nevhodného chování;</w:t>
      </w:r>
    </w:p>
    <w:p w14:paraId="5B26446A" w14:textId="6EDD1758" w:rsidR="00B61F8A" w:rsidRPr="00F97E7F" w:rsidRDefault="00B61F8A" w:rsidP="00F97E7F">
      <w:pPr>
        <w:pStyle w:val="NormalHanging12a"/>
        <w:rPr>
          <w:szCs w:val="24"/>
        </w:rPr>
      </w:pPr>
      <w:r w:rsidRPr="00F97E7F">
        <w:rPr>
          <w:szCs w:val="24"/>
        </w:rPr>
        <w:t>3</w:t>
      </w:r>
      <w:r w:rsidR="00867848">
        <w:rPr>
          <w:szCs w:val="24"/>
        </w:rPr>
        <w:t>8</w:t>
      </w:r>
      <w:r w:rsidRPr="00F97E7F">
        <w:rPr>
          <w:szCs w:val="24"/>
        </w:rPr>
        <w:t>.</w:t>
      </w:r>
      <w:r w:rsidRPr="00F97E7F">
        <w:rPr>
          <w:szCs w:val="24"/>
        </w:rPr>
        <w:tab/>
        <w:t xml:space="preserve">konstatuje, že podle dotazníku přijal Účetní dvůr v roce 2024 v souladu se svým akčním plánem pro rozmanitost a inkluzi na období 2021–2025 řadu opatření v různých oblastech, jako je nábor, odborná příprava, profesní rozvoj, pracovní podmínky či informovanost zaměstnanců; konstatuje, že Účetní dvůr začleňuje hlediska rozmanitosti a inkluze do svých procesů řízení výkonnosti, hodnocení, certifikace a povyšování, jakož i do svých vzdělávacích programů, přičemž v roce 2024 podstoupilo dobrovolné hodnocení rozmanitosti a inkluze 13 vedoucích pracovníků; vítá specializované školení pro ženy za účelem posilování dovedností potřebných k úspěšnému výkonu vedoucích pozic s názvem </w:t>
      </w:r>
      <w:proofErr w:type="spellStart"/>
      <w:r w:rsidRPr="00F97E7F">
        <w:rPr>
          <w:szCs w:val="24"/>
        </w:rPr>
        <w:t>Women</w:t>
      </w:r>
      <w:proofErr w:type="spellEnd"/>
      <w:r w:rsidRPr="00F97E7F">
        <w:rPr>
          <w:szCs w:val="24"/>
        </w:rPr>
        <w:t xml:space="preserve"> </w:t>
      </w:r>
      <w:proofErr w:type="spellStart"/>
      <w:r w:rsidRPr="00F97E7F">
        <w:rPr>
          <w:szCs w:val="24"/>
        </w:rPr>
        <w:t>managers</w:t>
      </w:r>
      <w:proofErr w:type="spellEnd"/>
      <w:r w:rsidRPr="00F97E7F">
        <w:rPr>
          <w:szCs w:val="24"/>
        </w:rPr>
        <w:t xml:space="preserve"> </w:t>
      </w:r>
      <w:proofErr w:type="spellStart"/>
      <w:r w:rsidRPr="00F97E7F">
        <w:rPr>
          <w:szCs w:val="24"/>
        </w:rPr>
        <w:t>rise</w:t>
      </w:r>
      <w:proofErr w:type="spellEnd"/>
      <w:r w:rsidRPr="00F97E7F">
        <w:rPr>
          <w:szCs w:val="24"/>
        </w:rPr>
        <w:t xml:space="preserve"> up: </w:t>
      </w:r>
      <w:proofErr w:type="spellStart"/>
      <w:r w:rsidRPr="00F97E7F">
        <w:rPr>
          <w:szCs w:val="24"/>
        </w:rPr>
        <w:t>skilling</w:t>
      </w:r>
      <w:proofErr w:type="spellEnd"/>
      <w:r w:rsidRPr="00F97E7F">
        <w:rPr>
          <w:szCs w:val="24"/>
        </w:rPr>
        <w:t xml:space="preserve"> </w:t>
      </w:r>
      <w:proofErr w:type="spellStart"/>
      <w:r w:rsidRPr="00F97E7F">
        <w:rPr>
          <w:szCs w:val="24"/>
        </w:rPr>
        <w:t>for</w:t>
      </w:r>
      <w:proofErr w:type="spellEnd"/>
      <w:r w:rsidRPr="00F97E7F">
        <w:rPr>
          <w:szCs w:val="24"/>
        </w:rPr>
        <w:t xml:space="preserve"> </w:t>
      </w:r>
      <w:proofErr w:type="spellStart"/>
      <w:r w:rsidRPr="00F97E7F">
        <w:rPr>
          <w:szCs w:val="24"/>
        </w:rPr>
        <w:t>success</w:t>
      </w:r>
      <w:proofErr w:type="spellEnd"/>
      <w:r w:rsidRPr="00F97E7F">
        <w:rPr>
          <w:szCs w:val="24"/>
        </w:rPr>
        <w:t>, které Účetní dvůr uspořádal s cílem podpořit ženy v jejich snaze o získání vedoucích pozic; dále vítá nové programy pozitivních činností Účetního dvora pro stážisty a smluvní zaměstnance zaměřené na osoby se zdravotním postižením, kdy jsou osobám s uznaným zdravotním postižením nabízeny dvě stáže ročně; s uspokojením konstatuje, že Účetní dvůr uspořádal v roce 2024 čtvrtý Týden povědomí o zdravotním postižení, v jehož rámci byl představen nový plán pro osoby se zdravotním postižením, který upozorňuje na úsilí Účetního dvora o vytvoření inkluzivnějšího pracoviště; s uspokojením konstatuje, že za účelem zajištění transparentnosti a zapojení celé organizace zveřejňuje Účetní dvůr také přezkumy svého akčního plánu pro rozmanitost a inkluzi v polovině období;</w:t>
      </w:r>
    </w:p>
    <w:p w14:paraId="661B8BEB" w14:textId="77777777" w:rsidR="00B61F8A" w:rsidRPr="00F97E7F" w:rsidRDefault="00B61F8A" w:rsidP="00F97E7F">
      <w:pPr>
        <w:pStyle w:val="NormalHanging12a"/>
        <w:rPr>
          <w:b/>
          <w:i/>
          <w:iCs/>
          <w:szCs w:val="24"/>
        </w:rPr>
      </w:pPr>
      <w:r w:rsidRPr="00F97E7F">
        <w:rPr>
          <w:b/>
          <w:i/>
          <w:szCs w:val="24"/>
        </w:rPr>
        <w:t>Etický rámec a transparentnost</w:t>
      </w:r>
    </w:p>
    <w:p w14:paraId="49D3A869" w14:textId="32D57200" w:rsidR="00B61F8A" w:rsidRPr="00F97E7F" w:rsidRDefault="00B61F8A" w:rsidP="00F97E7F">
      <w:pPr>
        <w:pStyle w:val="NormalHanging12a"/>
        <w:rPr>
          <w:szCs w:val="24"/>
        </w:rPr>
      </w:pPr>
      <w:r w:rsidRPr="00F97E7F">
        <w:rPr>
          <w:szCs w:val="24"/>
        </w:rPr>
        <w:t>3</w:t>
      </w:r>
      <w:r w:rsidR="00867848">
        <w:rPr>
          <w:szCs w:val="24"/>
        </w:rPr>
        <w:t>9</w:t>
      </w:r>
      <w:r w:rsidRPr="00F97E7F">
        <w:rPr>
          <w:szCs w:val="24"/>
        </w:rPr>
        <w:t>.</w:t>
      </w:r>
      <w:r w:rsidRPr="00F97E7F">
        <w:rPr>
          <w:szCs w:val="24"/>
        </w:rPr>
        <w:tab/>
        <w:t xml:space="preserve">poukazuje na zásadní úlohu Účetního dvora jako nezávislého externího auditora Unie </w:t>
      </w:r>
      <w:r w:rsidRPr="00F97E7F">
        <w:rPr>
          <w:szCs w:val="24"/>
        </w:rPr>
        <w:lastRenderedPageBreak/>
        <w:t>a strážce jejích financí, která vyžaduje, aby Účetní dvůr dodržoval nejvyšší normy bezúhonnosti, profesionality a odpovědnosti, jakož i zásadu vzájemné loajální spolupráce mezi orgány Unie a sloužil jako vzorový orgán vzbuzující důvěru a zakládající věrohodnost; připomíná, že v souladu s článkem 285 SFEU musejí být členové Účetního dvora zcela nezávislí, dodržovat nejvyšší etické zásady a prokazovat bezúhonnost, objektivitu, profesionální chování, důstojnost, odhodlání a loajalitu;</w:t>
      </w:r>
    </w:p>
    <w:p w14:paraId="57F0AF84" w14:textId="41832B1D" w:rsidR="00B61F8A" w:rsidRPr="00F97E7F" w:rsidRDefault="00867848" w:rsidP="00F97E7F">
      <w:pPr>
        <w:pStyle w:val="NormalHanging12a"/>
        <w:rPr>
          <w:szCs w:val="24"/>
        </w:rPr>
      </w:pPr>
      <w:r>
        <w:rPr>
          <w:szCs w:val="24"/>
        </w:rPr>
        <w:t>40</w:t>
      </w:r>
      <w:r w:rsidR="00B61F8A" w:rsidRPr="00F97E7F">
        <w:rPr>
          <w:szCs w:val="24"/>
        </w:rPr>
        <w:t>.</w:t>
      </w:r>
      <w:r w:rsidR="00B61F8A" w:rsidRPr="00F97E7F">
        <w:rPr>
          <w:szCs w:val="24"/>
        </w:rPr>
        <w:tab/>
        <w:t>bere se znepokojením na vědomí, že Účetní dvůr odmítl zbavit svého bývalého předsedu imunity, a nad rozhodnutím Účetního dvora zamítnout žádost Úřadu evropského veřejného žalobce (EPPO), aby několik zaměstnanců Účetního dvora mohlo svědčit v probíhajícím trestním vyšetřování; na základě monitorovací zprávy bere na vědomí, že Účetní dvůr nezrušil uvedenou imunitu, protože úřad EPPO neposkytl Účetnímu dvoru dostatečné informace, které by mu umožnily získat představu, z jakých činů jsou dotyčné osoby obviněny a do jaké míry mohou tyto činy představovat trestnou činnost, a že Účetní dvůr se na podporu svého postoje opírá o judikaturu jako součást platného právního rámce; bere na vědomí, že dne 10. února 2025 podal úřad EPPO podle čl. 263 odst. 4 Smlouvy o fungování EU odvolání k Soudnímu dvoru Evropské unie (věc č. T-99/25) proti rozhodnutí Účetního dvora zamítnout žádost úřadu EPPO o povolení vyslechnutí několika zaměstnanců Účetního dvora v probíhajícím trestním vyšetřování; dále konstatuje, že uvedený opravný prostředek nenapadá skutečnost, že dotčené osoby nebyly zbaveny imunity; zdůrazňuje, že povinnost loajální spolupráce orgánů Unie vyžaduje, aby povolení vyslechnout zaměstnance jako svědky v trestním vyšetřování byla zamítána pouze za zcela výjimečných okolností; naléhavě vyzývá Účetní dvůr, aby objasnil kritéria uplatňovaná při rozhodování o žádostech EPPO a zajistil, aby tato rozhodnutí nemohla být vnímána jako maření soudního vyšetřování; vyzývá Účetní dvůr, aby v rámci své spolupráce s EPPO a dalšími subjekty Unie odpovědnými za boj proti podvodům a protiprávnímu jednání zachoval vysokou míru transparentnosti a odpovědnosti a aby zajistil, že imunita nebude uplatňována k maření legitimního soudního řízení;</w:t>
      </w:r>
    </w:p>
    <w:p w14:paraId="478A3FF5" w14:textId="6019CB74" w:rsidR="00B61F8A" w:rsidRPr="00F97E7F" w:rsidRDefault="00B61F8A" w:rsidP="00F97E7F">
      <w:pPr>
        <w:pStyle w:val="NormalHanging12a"/>
        <w:rPr>
          <w:szCs w:val="24"/>
        </w:rPr>
      </w:pPr>
      <w:r w:rsidRPr="00F97E7F">
        <w:rPr>
          <w:szCs w:val="24"/>
        </w:rPr>
        <w:t>4</w:t>
      </w:r>
      <w:r w:rsidR="00867848">
        <w:rPr>
          <w:szCs w:val="24"/>
        </w:rPr>
        <w:t>1</w:t>
      </w:r>
      <w:r w:rsidRPr="00F97E7F">
        <w:rPr>
          <w:szCs w:val="24"/>
        </w:rPr>
        <w:t>.</w:t>
      </w:r>
      <w:r w:rsidRPr="00F97E7F">
        <w:rPr>
          <w:szCs w:val="24"/>
        </w:rPr>
        <w:tab/>
        <w:t xml:space="preserve">konstatuje, že v roce 2024 nebyly v Účetním dvoře zaznamenány žádné případy </w:t>
      </w:r>
      <w:proofErr w:type="spellStart"/>
      <w:r w:rsidRPr="00F97E7F">
        <w:rPr>
          <w:szCs w:val="24"/>
        </w:rPr>
        <w:t>whistleblowingu</w:t>
      </w:r>
      <w:proofErr w:type="spellEnd"/>
      <w:r w:rsidRPr="00F97E7F">
        <w:rPr>
          <w:szCs w:val="24"/>
        </w:rPr>
        <w:t>; dále konstatuje, že v roce 2023 Účetní dvůr zahájil proces aktualizace svých pravidel pro provádění správních šetření a disciplinárních řízení, která byla dokončena na začátku roku 2024;</w:t>
      </w:r>
    </w:p>
    <w:p w14:paraId="1DC46E27" w14:textId="589F0BC3" w:rsidR="00B61F8A" w:rsidRPr="00F97E7F" w:rsidRDefault="00B61F8A" w:rsidP="00F97E7F">
      <w:pPr>
        <w:pStyle w:val="NormalHanging12a"/>
        <w:rPr>
          <w:szCs w:val="24"/>
        </w:rPr>
      </w:pPr>
      <w:r w:rsidRPr="00F97E7F">
        <w:rPr>
          <w:szCs w:val="24"/>
        </w:rPr>
        <w:t>4</w:t>
      </w:r>
      <w:r w:rsidR="00867848">
        <w:rPr>
          <w:szCs w:val="24"/>
        </w:rPr>
        <w:t>2</w:t>
      </w:r>
      <w:r w:rsidRPr="00F97E7F">
        <w:rPr>
          <w:szCs w:val="24"/>
        </w:rPr>
        <w:t>.</w:t>
      </w:r>
      <w:r w:rsidRPr="00F97E7F">
        <w:rPr>
          <w:szCs w:val="24"/>
        </w:rPr>
        <w:tab/>
        <w:t>s uspokojením konstatuje, že Účetní dvůr má zaveden robustní etický rámec, který zahrnuje etické zásady vztahující se na členy i zaměstnance Účetního dvora a kodex chování členů Účetního dvora; konstatuje, že Účetní dvůr má rovněž etickou komisi, která se pravidelně schází za účelem přezkoumání příslušných etických záležitostí, včetně externích aktivit členů, a která je tvořena dvěma členy Účetního dvora a jedním externím členem; na základě výroční zprávy etického výboru za rok 2024 konstatuje, že etický výbor se sešel na šesti schůzích a obdržel 17 prohlášení od stávajících členů Účetního dvora (o mimopracovní činnosti) a bývalých členů Účetního dvora (o zamýšleném povolání po ukončení výkonu funkce), přičemž ve všech těchto případech bylo v roce 2024 vydáno kladné stanovisko;</w:t>
      </w:r>
    </w:p>
    <w:p w14:paraId="13C280F9" w14:textId="689323E2" w:rsidR="00B61F8A" w:rsidRPr="00F97E7F" w:rsidRDefault="00B61F8A" w:rsidP="00F97E7F">
      <w:pPr>
        <w:pStyle w:val="NormalHanging12a"/>
        <w:rPr>
          <w:szCs w:val="24"/>
        </w:rPr>
      </w:pPr>
      <w:r w:rsidRPr="00F97E7F">
        <w:rPr>
          <w:szCs w:val="24"/>
        </w:rPr>
        <w:t>4</w:t>
      </w:r>
      <w:r w:rsidR="00867848">
        <w:rPr>
          <w:szCs w:val="24"/>
        </w:rPr>
        <w:t>3</w:t>
      </w:r>
      <w:r w:rsidRPr="00F97E7F">
        <w:rPr>
          <w:szCs w:val="24"/>
        </w:rPr>
        <w:t>.</w:t>
      </w:r>
      <w:r w:rsidRPr="00F97E7F">
        <w:rPr>
          <w:szCs w:val="24"/>
        </w:rPr>
        <w:tab/>
        <w:t xml:space="preserve">bere na vědomí, že prohlášení o zájmech členů Účetního dvora se vyplňují každoročně a při každé významné změně a jsou zveřejňována na internetových stránkách Účetního dvora; s uspokojením konstatuje, že podrobnosti o služebních cestách členů Účetního dvora, včetně nákladů, jsou rovněž zveřejněny na online; oceňuje, že Účetní dvůr dokončil práce na aktualizaci svých pravidel pro provádění správních a kárných </w:t>
      </w:r>
      <w:r w:rsidRPr="00F97E7F">
        <w:rPr>
          <w:szCs w:val="24"/>
        </w:rPr>
        <w:lastRenderedPageBreak/>
        <w:t>opatření v roce 2024; konstatuje, že podle dotazníku nebyl v roce 2024 zjištěn žádný případ střetu zájmů;</w:t>
      </w:r>
    </w:p>
    <w:p w14:paraId="27DA89C7" w14:textId="6FD49274" w:rsidR="00B61F8A" w:rsidRPr="00F97E7F" w:rsidRDefault="00B61F8A" w:rsidP="00F97E7F">
      <w:pPr>
        <w:pStyle w:val="NormalHanging12a"/>
        <w:rPr>
          <w:szCs w:val="24"/>
        </w:rPr>
      </w:pPr>
      <w:r w:rsidRPr="00F97E7F">
        <w:rPr>
          <w:szCs w:val="24"/>
        </w:rPr>
        <w:t>4</w:t>
      </w:r>
      <w:r w:rsidR="00867848">
        <w:rPr>
          <w:szCs w:val="24"/>
        </w:rPr>
        <w:t>4</w:t>
      </w:r>
      <w:r w:rsidRPr="00F97E7F">
        <w:rPr>
          <w:szCs w:val="24"/>
        </w:rPr>
        <w:t>.</w:t>
      </w:r>
      <w:r w:rsidRPr="00F97E7F">
        <w:rPr>
          <w:szCs w:val="24"/>
        </w:rPr>
        <w:tab/>
        <w:t>s uspokojením konstatuje, že podle dotazníku Účetní dvůr každoročně pořádá vzdělávací akci v rámci dne etiky; dále konstatuje, že Účetní dvůr poskytl všem zaměstnancům, včetně nových zaměstnanců a vedoucích pracovníků, kurzy související s etikou, včetně tří seminářů o etice v roce 2024; konstatuje, že v tomto roce se těchto kurzů zúčastnilo 681 účastníků;</w:t>
      </w:r>
    </w:p>
    <w:p w14:paraId="05E46F6A" w14:textId="490367EC" w:rsidR="00B61F8A" w:rsidRPr="00F97E7F" w:rsidRDefault="00B61F8A" w:rsidP="00F97E7F">
      <w:pPr>
        <w:pStyle w:val="NormalHanging12a"/>
        <w:rPr>
          <w:szCs w:val="24"/>
        </w:rPr>
      </w:pPr>
      <w:r w:rsidRPr="00F97E7F">
        <w:rPr>
          <w:szCs w:val="24"/>
        </w:rPr>
        <w:t>4</w:t>
      </w:r>
      <w:r w:rsidR="00867848">
        <w:rPr>
          <w:szCs w:val="24"/>
        </w:rPr>
        <w:t>5</w:t>
      </w:r>
      <w:r w:rsidRPr="00F97E7F">
        <w:rPr>
          <w:szCs w:val="24"/>
        </w:rPr>
        <w:t>.</w:t>
      </w:r>
      <w:r w:rsidRPr="00F97E7F">
        <w:rPr>
          <w:szCs w:val="24"/>
        </w:rPr>
        <w:tab/>
        <w:t>konstatuje, že v roce 2024 nezahájili Evropský úřad pro boj proti podvodům (OLAF) ani veřejná ochránkyně práv žádné šetření týkající se Účetního dvora;</w:t>
      </w:r>
    </w:p>
    <w:p w14:paraId="2792DA00" w14:textId="22B6A546" w:rsidR="00B61F8A" w:rsidRPr="00F97E7F" w:rsidRDefault="00B61F8A" w:rsidP="00F97E7F">
      <w:pPr>
        <w:pStyle w:val="NormalHanging12a"/>
        <w:rPr>
          <w:szCs w:val="24"/>
        </w:rPr>
      </w:pPr>
      <w:r w:rsidRPr="00F97E7F">
        <w:rPr>
          <w:szCs w:val="24"/>
        </w:rPr>
        <w:t>4</w:t>
      </w:r>
      <w:r w:rsidR="00867848">
        <w:rPr>
          <w:szCs w:val="24"/>
        </w:rPr>
        <w:t>6</w:t>
      </w:r>
      <w:r w:rsidRPr="00F97E7F">
        <w:rPr>
          <w:szCs w:val="24"/>
        </w:rPr>
        <w:t>.</w:t>
      </w:r>
      <w:r w:rsidRPr="00F97E7F">
        <w:rPr>
          <w:szCs w:val="24"/>
        </w:rPr>
        <w:tab/>
        <w:t xml:space="preserve">znovu připomíná svou kritiku, kterou vyjádřil v předchozích usneseních o udělení absolutoria, týkající se rozhodnutí Účetního dvora z roku 2022 o cestách, služebních cestách a využívání řidičů a automobilů jeho členy, které je v rozporu s obecnou zásadou, že vozový park by neměl být za žádných okolností využíván mimo úzce vymezený výkon povinností členů Účetního dvora; dále opakuje svou výzvu všem orgánům Unie, aby se dohodly na jednotném systému používání služebních automobilů, který by byl uplatňován horizontálně a který by omezil nejasnosti a zvýšil transparentnost a účinnost využívání veřejných prostředků. vítá skutečnost, že v roce 2024 vyzval Účetní dvůr společně se SDEU Komisi, aby se zapojila do interinstitucionálního dialogu s cílem dohodnout se na společných pravidlech týkajících se používání služebních vozidel; v této souvislosti konstatuje, že podle dotazníku byla vytvořena </w:t>
      </w:r>
      <w:r w:rsidRPr="00A908D3">
        <w:rPr>
          <w:i/>
          <w:iCs/>
          <w:szCs w:val="24"/>
        </w:rPr>
        <w:t>ad hoc</w:t>
      </w:r>
      <w:r w:rsidRPr="00F97E7F">
        <w:rPr>
          <w:szCs w:val="24"/>
        </w:rPr>
        <w:t xml:space="preserve"> pracovní skupina, která se několikrát sešla a vydala několik doporučení; vyzývá Výbor, aby orgán příslušný k udělení absolutoria průběžně informoval o pokroku v této záležitosti;</w:t>
      </w:r>
    </w:p>
    <w:p w14:paraId="47C1F715" w14:textId="53EF2E6B" w:rsidR="00B61F8A" w:rsidRPr="00F97E7F" w:rsidRDefault="00B61F8A" w:rsidP="00F97E7F">
      <w:pPr>
        <w:pStyle w:val="NormalHanging12a"/>
        <w:rPr>
          <w:szCs w:val="24"/>
        </w:rPr>
      </w:pPr>
      <w:r w:rsidRPr="00F97E7F">
        <w:rPr>
          <w:szCs w:val="24"/>
        </w:rPr>
        <w:t>4</w:t>
      </w:r>
      <w:r w:rsidR="00867848">
        <w:rPr>
          <w:szCs w:val="24"/>
        </w:rPr>
        <w:t>7</w:t>
      </w:r>
      <w:r w:rsidRPr="00F97E7F">
        <w:rPr>
          <w:szCs w:val="24"/>
        </w:rPr>
        <w:t>.</w:t>
      </w:r>
      <w:r w:rsidRPr="00F97E7F">
        <w:rPr>
          <w:szCs w:val="24"/>
        </w:rPr>
        <w:tab/>
        <w:t>připomíná, že Útvar interního auditu Účetního dvora (IAS) provedl audit etického rámce platného pro zaměstnance a členy Účetního dvora; konstatuje, že podle závěrečné zprávy (02/2023), kterou Účetní dvůr zaslal předsedovi Parlamentu dne 9. července 2024, a podle dotazníku vydal Útvar interního auditu 16 doporučení, z nichž 15 již bylo splněno, přičemž jedno, týkající se střetu zájmů zaměstnanců, dosud realizováno nebylo; naléhavě vyzývá Účetní dvůr, aby neprodleně dokončil zbývající doporučení, a vyzývá jej, aby orgán příslušný k udělení absolutoria řádně informoval o pokroku dosaženém v tomto ohledu;</w:t>
      </w:r>
    </w:p>
    <w:p w14:paraId="7730CC99" w14:textId="19D49D5C" w:rsidR="00B61F8A" w:rsidRPr="00F97E7F" w:rsidRDefault="00B61F8A" w:rsidP="00F97E7F">
      <w:pPr>
        <w:pStyle w:val="NormalHanging12a"/>
        <w:rPr>
          <w:szCs w:val="24"/>
        </w:rPr>
      </w:pPr>
      <w:bookmarkStart w:id="10" w:name="_Hlk215774993"/>
      <w:r w:rsidRPr="00F97E7F">
        <w:rPr>
          <w:szCs w:val="24"/>
        </w:rPr>
        <w:t>4</w:t>
      </w:r>
      <w:r w:rsidR="00867848">
        <w:rPr>
          <w:szCs w:val="24"/>
        </w:rPr>
        <w:t>8</w:t>
      </w:r>
      <w:r w:rsidRPr="00F97E7F">
        <w:rPr>
          <w:szCs w:val="24"/>
        </w:rPr>
        <w:t>.</w:t>
      </w:r>
      <w:r w:rsidRPr="00F97E7F">
        <w:rPr>
          <w:szCs w:val="24"/>
        </w:rPr>
        <w:tab/>
        <w:t xml:space="preserve">konstatuje, že podle zprávy Účetního dvora nebyly v roce 2024 zjištěny žádné případy korupce nebo podvodů ve vnitřních operacích Účetního dvora; oceňuje, že Účetní dvůr pořádá preventivní školení zaměřená na politiky a postupy boje proti korupci, kterých se v roce 2024 zúčastnilo celkem 10 osob; oceňuje skutečnost, že podle monitorovací zprávy vydal Účetní dvůr v roce 2024 jednotný konsolidovaný dokument o řešení záležitostí souvisejících s podvody v rámci svých auditních činností, který poskytuje auditorům Účetního dvora komplexní a podrobné pokyny, čímž harmonizoval způsob, jakým auditní senáty Účetního dvora řeší případy podezření z podvodu, korupce nebo jiného protiprávního jednání poškozujícího finanční zájmy Unie, které byly odhaleny během externího auditu, a přispěl k zajištění soudržnosti; konstatuje, že riziko podvodů v souvislosti s vnitřními operacemi Účetního dvora je řízeno prostřednictvím rámce interní kontroly Účetního dvora, jehož cílem je předcházet veškerým nesrovnalostem týkajících se členů nebo zaměstnanců Účetního dvora, které by mohly mít dopad na finanční zájmy Unie, odhalovat je, napravovat a přijímat následná opatření; dále bere na vědomí názor Účetního dvora, že navržení samostatné strategie boje proti podvodům </w:t>
      </w:r>
      <w:r w:rsidRPr="00F97E7F">
        <w:rPr>
          <w:szCs w:val="24"/>
        </w:rPr>
        <w:lastRenderedPageBreak/>
        <w:t>pro vnitřní operace by „by vzhledem k rozsáhlým kontrolám, které jsou již zavedeny, znamenalo nepřiměřenou administrativní zátěž“, ale nadále žádá Účetní dvůr, aby přijal strategii boje proti podvodům, která by se vztahovala na všechny druhy operací;</w:t>
      </w:r>
    </w:p>
    <w:bookmarkEnd w:id="10"/>
    <w:p w14:paraId="2625FFF8" w14:textId="23BFC4BB" w:rsidR="00B61F8A" w:rsidRPr="00F97E7F" w:rsidRDefault="00B61F8A" w:rsidP="00F97E7F">
      <w:pPr>
        <w:pStyle w:val="NormalHanging12a"/>
        <w:rPr>
          <w:szCs w:val="24"/>
        </w:rPr>
      </w:pPr>
      <w:r w:rsidRPr="00F97E7F">
        <w:rPr>
          <w:szCs w:val="24"/>
        </w:rPr>
        <w:t>4</w:t>
      </w:r>
      <w:r w:rsidR="00867848">
        <w:rPr>
          <w:szCs w:val="24"/>
        </w:rPr>
        <w:t>9</w:t>
      </w:r>
      <w:r w:rsidRPr="00F97E7F">
        <w:rPr>
          <w:szCs w:val="24"/>
        </w:rPr>
        <w:t>.</w:t>
      </w:r>
      <w:r w:rsidRPr="00F97E7F">
        <w:rPr>
          <w:szCs w:val="24"/>
        </w:rPr>
        <w:tab/>
        <w:t>bere na vědomí názor Účetního dvora vyjádřený v monitorovací zprávě, že jeho úloha nezávislého externího auditního orgánu jej staví mimo typický okruh subjektů, které se snaží komunikovat s rozhodovacími orgány Unie a lobbovat u nich; je toho názoru, že tento argument nelze plně uplatnit, protože Účetní dvůr vydává zvláštní zprávy, v nichž zkoumá, zda byly splněny cíle politik a programů Unie, což dává jeho činnosti politický či poradní rozměr, třebaže Účetní dvůr není rozhodovacím orgánem; dále připomíná, že k rejstříku transparentnosti Unie se formálně připojily i další nerozhodovací a poradní orgány Unie; znovu proto vyzývá Účetní dvůr, aby se neprodleně připojil k rejstříku transparentnosti v souladu s postupy jiných subjektů Unie, které nemají rozhodovací pravomoc, s cílem posílit důvěru veřejnosti při plném zachování své nezávislosti jako externího auditora Unie;</w:t>
      </w:r>
    </w:p>
    <w:p w14:paraId="1AD9A6A3" w14:textId="77777777" w:rsidR="00B61F8A" w:rsidRPr="00F97E7F" w:rsidRDefault="00B61F8A" w:rsidP="00F97E7F">
      <w:pPr>
        <w:pStyle w:val="NormalHanging12a"/>
        <w:rPr>
          <w:b/>
          <w:i/>
          <w:iCs/>
          <w:szCs w:val="24"/>
        </w:rPr>
      </w:pPr>
      <w:r w:rsidRPr="00F97E7F">
        <w:rPr>
          <w:b/>
          <w:i/>
          <w:szCs w:val="24"/>
        </w:rPr>
        <w:t>Digitalizace, kybernetická bezpečnost a ochrana údajů</w:t>
      </w:r>
    </w:p>
    <w:p w14:paraId="2ADA7104" w14:textId="0EEB0278" w:rsidR="00B61F8A" w:rsidRPr="00F97E7F" w:rsidRDefault="00867848" w:rsidP="00F97E7F">
      <w:pPr>
        <w:pStyle w:val="NormalHanging12a"/>
        <w:rPr>
          <w:szCs w:val="24"/>
        </w:rPr>
      </w:pPr>
      <w:r>
        <w:rPr>
          <w:szCs w:val="24"/>
        </w:rPr>
        <w:t>50</w:t>
      </w:r>
      <w:r w:rsidR="00B61F8A" w:rsidRPr="00F97E7F">
        <w:rPr>
          <w:szCs w:val="24"/>
        </w:rPr>
        <w:t>.</w:t>
      </w:r>
      <w:r w:rsidR="00B61F8A" w:rsidRPr="00F97E7F">
        <w:rPr>
          <w:szCs w:val="24"/>
        </w:rPr>
        <w:tab/>
        <w:t>konstatuje, že podle dotazníku se celkový rozpočet Účetního dvora na IT (hardware, software, IT služby a telekomunikace) snížil o 12,10 % z přibližně 10,8 milionu EUR v roce 2023 na přibližně 9,5 milionu EUR v roce 2024; mezi hlavními projekty Účetního dvora v oblasti informačních technologií financovanými v roce 2024 bere na vědomí modernizaci internetových stránek a intranetu, přechod na bezpečnější řešení vzdáleného přístupu a zavedení nového systému pro správu překladů;</w:t>
      </w:r>
    </w:p>
    <w:p w14:paraId="192E69F7" w14:textId="68CA6279" w:rsidR="00B61F8A" w:rsidRPr="00F97E7F" w:rsidRDefault="00B61F8A" w:rsidP="00F97E7F">
      <w:pPr>
        <w:pStyle w:val="NormalHanging12a"/>
        <w:rPr>
          <w:szCs w:val="24"/>
        </w:rPr>
      </w:pPr>
      <w:r w:rsidRPr="00F97E7F">
        <w:rPr>
          <w:szCs w:val="24"/>
        </w:rPr>
        <w:t>5</w:t>
      </w:r>
      <w:r w:rsidR="00867848">
        <w:rPr>
          <w:szCs w:val="24"/>
        </w:rPr>
        <w:t>1</w:t>
      </w:r>
      <w:r w:rsidRPr="00F97E7F">
        <w:rPr>
          <w:szCs w:val="24"/>
        </w:rPr>
        <w:t>.</w:t>
      </w:r>
      <w:r w:rsidRPr="00F97E7F">
        <w:rPr>
          <w:szCs w:val="24"/>
        </w:rPr>
        <w:tab/>
        <w:t xml:space="preserve">důrazně podporuje úsilí Účetního dvora o rozvoj znalostního ekosystému auditu prostřednictvím digitalizace; v této souvislosti konstatuje, že podle dotazníku provedl Účetní dvůr v roce 2024 několik iniciativ na posílení svých digitálních schopností a provozní účinnosti, včetně integrace informačních systémů pro audit, zvýšení interoperability mezi systémy a aplikacemi, zavedení asistenta pro čtení dokumentů (DORA) na podporu řízení znalostí při auditních činnostech, spuštění služby </w:t>
      </w:r>
      <w:proofErr w:type="spellStart"/>
      <w:r w:rsidRPr="00F97E7F">
        <w:rPr>
          <w:szCs w:val="24"/>
        </w:rPr>
        <w:t>BibliotECA</w:t>
      </w:r>
      <w:proofErr w:type="spellEnd"/>
      <w:r w:rsidRPr="00F97E7F">
        <w:rPr>
          <w:szCs w:val="24"/>
        </w:rPr>
        <w:t xml:space="preserve"> Discovery </w:t>
      </w:r>
      <w:proofErr w:type="spellStart"/>
      <w:r w:rsidRPr="00F97E7F">
        <w:rPr>
          <w:szCs w:val="24"/>
        </w:rPr>
        <w:t>Collections</w:t>
      </w:r>
      <w:proofErr w:type="spellEnd"/>
      <w:r w:rsidRPr="00F97E7F">
        <w:rPr>
          <w:szCs w:val="24"/>
        </w:rPr>
        <w:t xml:space="preserve"> Service a přijetí nové politiky digitální archivace; zdůrazňuje, že spojení digitalizace s větším počtem kontrol na místě by mělo vést k účinnějším a přesnějším výsledkům auditů; vybízí k dalším investicím do auditních nástrojů podporovaných umělou inteligencí a interoperability systémů s cílem zvýšit přesnost auditu, snížit administrativní zátěž a maximalizovat efektivnost nákladů;</w:t>
      </w:r>
    </w:p>
    <w:p w14:paraId="24A3F576" w14:textId="3730B498" w:rsidR="00B61F8A" w:rsidRPr="00F97E7F" w:rsidRDefault="00B61F8A" w:rsidP="00F97E7F">
      <w:pPr>
        <w:pStyle w:val="NormalHanging12a"/>
        <w:rPr>
          <w:szCs w:val="24"/>
        </w:rPr>
      </w:pPr>
      <w:r w:rsidRPr="00F97E7F">
        <w:rPr>
          <w:szCs w:val="24"/>
        </w:rPr>
        <w:t>5</w:t>
      </w:r>
      <w:r w:rsidR="00867848">
        <w:rPr>
          <w:szCs w:val="24"/>
        </w:rPr>
        <w:t>2</w:t>
      </w:r>
      <w:r w:rsidRPr="00F97E7F">
        <w:rPr>
          <w:szCs w:val="24"/>
        </w:rPr>
        <w:t>.</w:t>
      </w:r>
      <w:r w:rsidRPr="00F97E7F">
        <w:rPr>
          <w:szCs w:val="24"/>
        </w:rPr>
        <w:tab/>
        <w:t xml:space="preserve">oceňuje zveřejnění výchozí strategie Účetního dvora pro umělou inteligenci a plánu zavádění umělé inteligence na období 2024–2025; s uspokojením konstatuje, že podle dotazníku dosahuje Účetní dvůr při provádění této strategie stabilního pokroku, přičemž se zaměřuje mimo jiné na testování nástrojů, jako jsou Microsoft </w:t>
      </w:r>
      <w:proofErr w:type="spellStart"/>
      <w:r w:rsidRPr="00F97E7F">
        <w:rPr>
          <w:szCs w:val="24"/>
        </w:rPr>
        <w:t>Copilot</w:t>
      </w:r>
      <w:proofErr w:type="spellEnd"/>
      <w:r w:rsidRPr="00F97E7F">
        <w:rPr>
          <w:szCs w:val="24"/>
        </w:rPr>
        <w:t xml:space="preserve"> a GPT@EC, a přípravu na jejich zavádění, zvyšování povědomí zaměstnanců prostřednictvím cíleného školení v oblasti umělé inteligence, jakož i na testování aplikací umělé inteligence v rámci auditní činnosti a sdílení předběžných zjištění; dále vítá posílení správy Účetního dvora v oblasti umělé inteligence, kdy Účetní dvůr v roce 2024 zřídil poradní výbor pro umělou inteligenci a jmenoval zpravodaje pro umělou inteligenci; s uspokojením konstatuje, že poradní výbor pro umělou inteligenci, jehož úkolem je podporovat Účetní dvůr a poskytovat mu poradenství při plnění jeho povinností vyplývajících z právního a etického rámce upravujícího používání umělé inteligence, je složen ze zaměstnanců s různými odbornými znalostmi, aby byl zajištěn komplexní přístup a pochopení dopadu umělé inteligence; vyzývá Účetní dvůr, aby v rámci své </w:t>
      </w:r>
      <w:r w:rsidRPr="00F97E7F">
        <w:rPr>
          <w:szCs w:val="24"/>
        </w:rPr>
        <w:lastRenderedPageBreak/>
        <w:t>strategie pro umělou inteligenci vypracoval jasné ukazatele pro posuzování přidané hodnoty, rizik a omezení auditních nástrojů podporovaných umělou inteligencí a aby Parlamentu pravidelně podával zprávy o jejich dopadu na kvalitu auditu, transparentnost a odpovědnost; zdůrazňuje, že umělá inteligence musí být používána v souladu s přísnými zásadami etického využívání, transparentnosti, ochrany údajů, lidského dohledu a ochrany před algoritmickými předsudky nebo zneužitím;</w:t>
      </w:r>
    </w:p>
    <w:p w14:paraId="410C6358" w14:textId="628CEFA0" w:rsidR="00B61F8A" w:rsidRPr="00F97E7F" w:rsidRDefault="00B61F8A" w:rsidP="00F97E7F">
      <w:pPr>
        <w:pStyle w:val="NormalHanging12a"/>
        <w:rPr>
          <w:szCs w:val="24"/>
        </w:rPr>
      </w:pPr>
      <w:r w:rsidRPr="00F97E7F">
        <w:rPr>
          <w:szCs w:val="24"/>
        </w:rPr>
        <w:t>5</w:t>
      </w:r>
      <w:r w:rsidR="00867848">
        <w:rPr>
          <w:szCs w:val="24"/>
        </w:rPr>
        <w:t>3</w:t>
      </w:r>
      <w:r w:rsidRPr="00F97E7F">
        <w:rPr>
          <w:szCs w:val="24"/>
        </w:rPr>
        <w:t>.</w:t>
      </w:r>
      <w:r w:rsidRPr="00F97E7F">
        <w:rPr>
          <w:szCs w:val="24"/>
        </w:rPr>
        <w:tab/>
        <w:t xml:space="preserve">konstatuje, že podle dotazníku dosáhl Účetní dvůr pokroku při provádění svého plánu kybernetické bezpečnosti a v roce 2024 dosáhl několika důležitých milníků, včetně přijetí systému ověření bez hesla prostřednictvím systému Windows Hello </w:t>
      </w:r>
      <w:proofErr w:type="spellStart"/>
      <w:r w:rsidRPr="00F97E7F">
        <w:rPr>
          <w:szCs w:val="24"/>
        </w:rPr>
        <w:t>for</w:t>
      </w:r>
      <w:proofErr w:type="spellEnd"/>
      <w:r w:rsidRPr="00F97E7F">
        <w:rPr>
          <w:szCs w:val="24"/>
        </w:rPr>
        <w:t xml:space="preserve"> Business, uplatňování zásad nulové důvěry s cílem posílit bezpečnost přístupu pro cloudové služby a systémy EU založené na přihlašování a zavedení nástroje pro správu privilegovaného přístupu s cílem lépe chránit správu IT systémů; dále konstatuje, že Účetní dvůr rovněž zvýšil svou připravenost v oblasti kybernetické bezpečnosti tím, že se účastní činnosti Společné pomoci při podpoře projektů v evropských regionech (JASPER), kterou spoluorganizují Služba kybernetické bezpečnosti pro orgány, instituce a jiné subjekty Unie (CERT-EU) a Agentura Evropské unie pro kybernetickou bezpečnost (ENISA), a zvyšoval povědomí zaměstnanců prostřednictvím simulací </w:t>
      </w:r>
      <w:proofErr w:type="spellStart"/>
      <w:r w:rsidRPr="00F97E7F">
        <w:rPr>
          <w:szCs w:val="24"/>
        </w:rPr>
        <w:t>phishingových</w:t>
      </w:r>
      <w:proofErr w:type="spellEnd"/>
      <w:r w:rsidRPr="00F97E7F">
        <w:rPr>
          <w:szCs w:val="24"/>
        </w:rPr>
        <w:t xml:space="preserve"> útoků s cílem zmírnit rizika sociálního inženýrství;</w:t>
      </w:r>
    </w:p>
    <w:p w14:paraId="134BF8A5" w14:textId="1EFD72E7" w:rsidR="00B61F8A" w:rsidRPr="00F97E7F" w:rsidRDefault="00B61F8A" w:rsidP="00F97E7F">
      <w:pPr>
        <w:pStyle w:val="NormalHanging12a"/>
        <w:rPr>
          <w:szCs w:val="24"/>
        </w:rPr>
      </w:pPr>
      <w:r w:rsidRPr="00F97E7F">
        <w:rPr>
          <w:szCs w:val="24"/>
        </w:rPr>
        <w:t>5</w:t>
      </w:r>
      <w:r w:rsidR="00867848">
        <w:rPr>
          <w:szCs w:val="24"/>
        </w:rPr>
        <w:t>4</w:t>
      </w:r>
      <w:r w:rsidRPr="00F97E7F">
        <w:rPr>
          <w:szCs w:val="24"/>
        </w:rPr>
        <w:t>.</w:t>
      </w:r>
      <w:r w:rsidRPr="00F97E7F">
        <w:rPr>
          <w:szCs w:val="24"/>
        </w:rPr>
        <w:tab/>
        <w:t>se znepokojením konstatuje, že Účetní dvůr se stal terčem kybernetického útoku, k němuž se přihlásila jedna proruská skupina a který vyřadil z provozu veřejné internetové stránky Ú</w:t>
      </w:r>
      <w:r w:rsidR="003931FA">
        <w:rPr>
          <w:szCs w:val="24"/>
        </w:rPr>
        <w:t>četního dvora</w:t>
      </w:r>
      <w:r w:rsidRPr="00F97E7F">
        <w:rPr>
          <w:szCs w:val="24"/>
        </w:rPr>
        <w:t>, a to v rámci koordinované akce, jejímž záměrem bylo destabilizovat volby do Evropského parlamentu v roce 2024; vítá závazek Účetního dvora přehodnocovat rizika kybernetické bezpečnosti nejméně každé dva roky; vybízí k pokračujícímu provádění pravidelného školení zaměstnanců o kybernetických hrozbách s cílem posílit institucionální odolnost; vyzývá Účetní dvůr, aby informoval orgán příslušný k udělení absolutoria o výsledku případného posouzení rizik v oblasti kybernetické bezpečnosti, které by Účetní dvůr mohl provést v souvislosti s prováděním nařízení (EU, Euratom) 2023/2841</w:t>
      </w:r>
      <w:r w:rsidRPr="00F97E7F">
        <w:rPr>
          <w:szCs w:val="24"/>
          <w:vertAlign w:val="superscript"/>
        </w:rPr>
        <w:footnoteReference w:id="7"/>
      </w:r>
      <w:r w:rsidRPr="00F97E7F">
        <w:rPr>
          <w:szCs w:val="24"/>
        </w:rPr>
        <w:t>;</w:t>
      </w:r>
    </w:p>
    <w:p w14:paraId="648E84F7" w14:textId="7C2DDD68" w:rsidR="00B61F8A" w:rsidRPr="00F97E7F" w:rsidRDefault="00B61F8A" w:rsidP="00F97E7F">
      <w:pPr>
        <w:pStyle w:val="NormalHanging12a"/>
        <w:rPr>
          <w:szCs w:val="24"/>
        </w:rPr>
      </w:pPr>
      <w:r w:rsidRPr="00F97E7F">
        <w:rPr>
          <w:szCs w:val="24"/>
        </w:rPr>
        <w:t>5</w:t>
      </w:r>
      <w:r w:rsidR="00867848">
        <w:rPr>
          <w:szCs w:val="24"/>
        </w:rPr>
        <w:t>5</w:t>
      </w:r>
      <w:r w:rsidRPr="00F97E7F">
        <w:rPr>
          <w:szCs w:val="24"/>
        </w:rPr>
        <w:t>.</w:t>
      </w:r>
      <w:r w:rsidRPr="00F97E7F">
        <w:rPr>
          <w:szCs w:val="24"/>
        </w:rPr>
        <w:tab/>
        <w:t xml:space="preserve">vítá plánované iniciativy na rok 2025, jejichž cílem je dále posílit digitální transformaci a kybernetickou bezpečnost, jako je zavedení asistenta Microsoft </w:t>
      </w:r>
      <w:proofErr w:type="spellStart"/>
      <w:r w:rsidRPr="00F97E7F">
        <w:rPr>
          <w:szCs w:val="24"/>
        </w:rPr>
        <w:t>Copilot</w:t>
      </w:r>
      <w:proofErr w:type="spellEnd"/>
      <w:r w:rsidRPr="00F97E7F">
        <w:rPr>
          <w:szCs w:val="24"/>
        </w:rPr>
        <w:t>, provedení místních modelů generativní umělé inteligence a instalace biometrického ověření na noteboocích; bere rovněž na vědomí plán Účetního dvora modernizovat svou IT infrastrukturu pomocí nových serverů, instalovat nové kapacity na podporu hybridních schůzí a posílit spolupráci s interinstitucionálním výborem pro digitální transformaci v oblasti nově vznikajících technologií, jako je umělá inteligence;</w:t>
      </w:r>
    </w:p>
    <w:p w14:paraId="4A8FEC52" w14:textId="0693E8A7" w:rsidR="00B61F8A" w:rsidRPr="00F97E7F" w:rsidRDefault="00B61F8A" w:rsidP="00F97E7F">
      <w:pPr>
        <w:pStyle w:val="NormalHanging12a"/>
        <w:rPr>
          <w:szCs w:val="24"/>
        </w:rPr>
      </w:pPr>
      <w:r w:rsidRPr="00F97E7F">
        <w:rPr>
          <w:szCs w:val="24"/>
        </w:rPr>
        <w:t>5</w:t>
      </w:r>
      <w:r w:rsidR="00867848">
        <w:rPr>
          <w:szCs w:val="24"/>
        </w:rPr>
        <w:t>6</w:t>
      </w:r>
      <w:r w:rsidRPr="00F97E7F">
        <w:rPr>
          <w:szCs w:val="24"/>
        </w:rPr>
        <w:t>.</w:t>
      </w:r>
      <w:r w:rsidRPr="00F97E7F">
        <w:rPr>
          <w:szCs w:val="24"/>
        </w:rPr>
        <w:tab/>
        <w:t>očekává, že revidovaná politika v oblasti elektronického podpisu, kterou Účetní dvůr zavedl v roce 2025, dále usnadní používání zaručených elektronických podpisů a sníží závislost na papírových postupech, zejména v případě externí smluvní dokumentace; se zájmem očekává pokračující digitalizaci postupů schvalování a podepisování; uznává příznivý kvalitativní dopad digitalizace na pracovní postupy auditu, spolupráci a transparentnost, což přispěje k operativnějším a spolehlivějším výsledkům auditu;</w:t>
      </w:r>
    </w:p>
    <w:p w14:paraId="0E69D18B" w14:textId="73510A88" w:rsidR="00B61F8A" w:rsidRPr="00F97E7F" w:rsidRDefault="00B61F8A" w:rsidP="00F97E7F">
      <w:pPr>
        <w:pStyle w:val="NormalHanging12a"/>
        <w:rPr>
          <w:szCs w:val="24"/>
        </w:rPr>
      </w:pPr>
      <w:r w:rsidRPr="00F97E7F">
        <w:rPr>
          <w:szCs w:val="24"/>
        </w:rPr>
        <w:lastRenderedPageBreak/>
        <w:t>5</w:t>
      </w:r>
      <w:r w:rsidR="00867848">
        <w:rPr>
          <w:szCs w:val="24"/>
        </w:rPr>
        <w:t>7</w:t>
      </w:r>
      <w:r w:rsidRPr="00F97E7F">
        <w:rPr>
          <w:szCs w:val="24"/>
        </w:rPr>
        <w:t>.</w:t>
      </w:r>
      <w:r w:rsidRPr="00F97E7F">
        <w:rPr>
          <w:szCs w:val="24"/>
        </w:rPr>
        <w:tab/>
        <w:t>vítá pokračující úsilí Účetního dvora o posílení dovedností zaměstnanců prostřednictvím programu školení o využívání dat a technologií v oblasti auditu dat a technologií, který byl vypracován ve spolupráci s týmem DATA Účetního dvora; konstatuje, že tato iniciativa podporuje digitální transformaci orgánu tím, že podporuje kulturu inovací a poskytuje strukturovaný způsob vzdělávání od základní po pokročilou úroveň v oblasti datové vědy, umělé inteligence a auditu IT; bere na vědomí širokou škálu kurzů pořádaných v roce 2024, včetně modulů o strojovém učení, kybernetické bezpečnosti, právním rámci upravujícím používání umělé inteligence a vizualizaci dat, jakož i praktických školení v oblasti IT o Microsoft Office a specifických nástrojích pro audit, které zvyšují technické znalosti auditorů a jejich provozní efektivitu;</w:t>
      </w:r>
    </w:p>
    <w:p w14:paraId="0C988D7A" w14:textId="77777777" w:rsidR="00B61F8A" w:rsidRPr="00F97E7F" w:rsidRDefault="00B61F8A" w:rsidP="00F97E7F">
      <w:pPr>
        <w:pStyle w:val="NormalHanging12a"/>
        <w:rPr>
          <w:b/>
          <w:i/>
          <w:iCs/>
          <w:szCs w:val="24"/>
        </w:rPr>
      </w:pPr>
      <w:r w:rsidRPr="00F97E7F">
        <w:rPr>
          <w:b/>
          <w:i/>
          <w:szCs w:val="24"/>
        </w:rPr>
        <w:t>Budovy</w:t>
      </w:r>
    </w:p>
    <w:p w14:paraId="53783BD7" w14:textId="070E08A2" w:rsidR="00B61F8A" w:rsidRPr="00F97E7F" w:rsidRDefault="00B61F8A" w:rsidP="00F97E7F">
      <w:pPr>
        <w:pStyle w:val="NormalHanging12a"/>
        <w:rPr>
          <w:szCs w:val="24"/>
        </w:rPr>
      </w:pPr>
      <w:r w:rsidRPr="00F97E7F">
        <w:rPr>
          <w:szCs w:val="24"/>
        </w:rPr>
        <w:t>5</w:t>
      </w:r>
      <w:r w:rsidR="00867848">
        <w:rPr>
          <w:szCs w:val="24"/>
        </w:rPr>
        <w:t>8</w:t>
      </w:r>
      <w:r w:rsidRPr="00F97E7F">
        <w:rPr>
          <w:szCs w:val="24"/>
        </w:rPr>
        <w:t>.</w:t>
      </w:r>
      <w:r w:rsidRPr="00F97E7F">
        <w:rPr>
          <w:szCs w:val="24"/>
        </w:rPr>
        <w:tab/>
        <w:t>konstatuje, že podle zprávy Účetního dvora o rozpočtovém a finančním řízení za rok 2024 činily prostředky na závazky na budovy Účetního dvora a související náklady v běžném roce přibližně 5,7 milionu EUR (stejně jako v roce 2023), přičemž míra plnění v roce 2024 činila 51,3 %, což je pokles oproti 62,26 % v roce 2023;</w:t>
      </w:r>
    </w:p>
    <w:p w14:paraId="469C7BA0" w14:textId="406DE0D4" w:rsidR="00B61F8A" w:rsidRPr="00F97E7F" w:rsidRDefault="00B61F8A" w:rsidP="00F97E7F">
      <w:pPr>
        <w:pStyle w:val="NormalHanging12a"/>
        <w:rPr>
          <w:szCs w:val="24"/>
        </w:rPr>
      </w:pPr>
      <w:r w:rsidRPr="00F97E7F">
        <w:rPr>
          <w:szCs w:val="24"/>
        </w:rPr>
        <w:t>5</w:t>
      </w:r>
      <w:r w:rsidR="00867848">
        <w:rPr>
          <w:szCs w:val="24"/>
        </w:rPr>
        <w:t>9</w:t>
      </w:r>
      <w:r w:rsidRPr="00F97E7F">
        <w:rPr>
          <w:szCs w:val="24"/>
        </w:rPr>
        <w:t>.</w:t>
      </w:r>
      <w:r w:rsidRPr="00F97E7F">
        <w:rPr>
          <w:szCs w:val="24"/>
        </w:rPr>
        <w:tab/>
        <w:t>s uspokojením konstatuje, že Účetní dvůr zahájil v roce 2024 novou studii o značení budov v návaznosti na výsledky auditu přístupnosti všech budov Účetního dvora, který byl proveden v roce 2023; dále konstatuje, že podle dotazníku Účetní dvůr v roce 2024 pokračoval v úsilí o zlepšení svých budov tím, že při modernizaci nebo renovaci výtahů a společných prostor zohlednil požadavky na přístupnost;</w:t>
      </w:r>
    </w:p>
    <w:p w14:paraId="7C3F7EC4" w14:textId="525704C6" w:rsidR="00B61F8A" w:rsidRPr="00F97E7F" w:rsidRDefault="00867848" w:rsidP="00F97E7F">
      <w:pPr>
        <w:pStyle w:val="NormalHanging12a"/>
        <w:rPr>
          <w:szCs w:val="24"/>
        </w:rPr>
      </w:pPr>
      <w:r>
        <w:rPr>
          <w:szCs w:val="24"/>
        </w:rPr>
        <w:t>60</w:t>
      </w:r>
      <w:r w:rsidR="00B61F8A" w:rsidRPr="00F97E7F">
        <w:rPr>
          <w:szCs w:val="24"/>
        </w:rPr>
        <w:t>.</w:t>
      </w:r>
      <w:r w:rsidR="00B61F8A" w:rsidRPr="00F97E7F">
        <w:rPr>
          <w:szCs w:val="24"/>
        </w:rPr>
        <w:tab/>
        <w:t>bere na vědomí tyto projekty Účetního dvora týkající se budov, které byly zahájeny nebo dokončeny v roce 2024: přeměna bývalé místnosti datového centra, první fáze modernizace audiovizuálního systému v konferenční místnosti v budově K2, instalace dvou kuchyňských koutů a práce na střeše budovy K2;</w:t>
      </w:r>
    </w:p>
    <w:p w14:paraId="2AEF16A5" w14:textId="77777777" w:rsidR="00B61F8A" w:rsidRPr="00F97E7F" w:rsidRDefault="00B61F8A" w:rsidP="00F97E7F">
      <w:pPr>
        <w:pStyle w:val="NormalHanging12a"/>
        <w:rPr>
          <w:b/>
          <w:i/>
          <w:iCs/>
          <w:szCs w:val="24"/>
        </w:rPr>
      </w:pPr>
      <w:r w:rsidRPr="00F97E7F">
        <w:rPr>
          <w:b/>
          <w:i/>
          <w:szCs w:val="24"/>
        </w:rPr>
        <w:t>Životní prostředí a udržitelnost</w:t>
      </w:r>
    </w:p>
    <w:p w14:paraId="31449215" w14:textId="6F5EFF03" w:rsidR="00B61F8A" w:rsidRPr="00F97E7F" w:rsidRDefault="00B61F8A" w:rsidP="00F97E7F">
      <w:pPr>
        <w:pStyle w:val="NormalHanging12a"/>
        <w:rPr>
          <w:szCs w:val="24"/>
        </w:rPr>
      </w:pPr>
      <w:r w:rsidRPr="00F97E7F">
        <w:rPr>
          <w:szCs w:val="24"/>
        </w:rPr>
        <w:t>6</w:t>
      </w:r>
      <w:r w:rsidR="00867848">
        <w:rPr>
          <w:szCs w:val="24"/>
        </w:rPr>
        <w:t>1</w:t>
      </w:r>
      <w:r w:rsidRPr="00F97E7F">
        <w:rPr>
          <w:szCs w:val="24"/>
        </w:rPr>
        <w:t>.</w:t>
      </w:r>
      <w:r w:rsidRPr="00F97E7F">
        <w:rPr>
          <w:szCs w:val="24"/>
        </w:rPr>
        <w:tab/>
        <w:t>s uspokojením vítá pokračující úsilí Účetního dvora o to, aby se stal udržitelným orgánem; konstatuje, že Účetní dvůr vydal v roce 2024 svou čtvrtou zprávu o udržitelnosti obsahující hodnocení ekonomických, sociálních a environmentálních dopadů jeho činnosti; s uspokojením konstatuje, že 91 % zvláštních zpráv a přezkumů Účetního dvora zveřejněných v roce 2024 se týkalo témat souvisejících s cíli OSN v oblasti udržitelného rozvoje; vítá skutečnost, že 40 % veřejných zakázek Účetního dvora zahrnovalo kritéria zeleného a oběhového hospodářství a 98 % nákupů zboží a služeb Účetního dvora v roce 2024 pocházelo od místních dodavatelů;</w:t>
      </w:r>
    </w:p>
    <w:p w14:paraId="2EA4F6D0" w14:textId="2A6A0330" w:rsidR="00B61F8A" w:rsidRPr="00F97E7F" w:rsidRDefault="00B61F8A" w:rsidP="00F97E7F">
      <w:pPr>
        <w:pStyle w:val="NormalHanging12a"/>
        <w:rPr>
          <w:szCs w:val="24"/>
        </w:rPr>
      </w:pPr>
      <w:r w:rsidRPr="00F97E7F">
        <w:rPr>
          <w:szCs w:val="24"/>
        </w:rPr>
        <w:t>6</w:t>
      </w:r>
      <w:r w:rsidR="00867848">
        <w:rPr>
          <w:szCs w:val="24"/>
        </w:rPr>
        <w:t>2</w:t>
      </w:r>
      <w:r w:rsidRPr="00F97E7F">
        <w:rPr>
          <w:szCs w:val="24"/>
        </w:rPr>
        <w:t>.</w:t>
      </w:r>
      <w:r w:rsidRPr="00F97E7F">
        <w:rPr>
          <w:szCs w:val="24"/>
        </w:rPr>
        <w:tab/>
        <w:t>konstatuje, že Účetní dvůr je certifikován v rámci systému pro environmentální řízení podniků a audit (EMAS) a od roku 2014 má zavedenu politiku v oblasti životního prostředí, která byla v roce 2025 aktualizována; konstatuje, že Účetní dvůr měří svou uhlíkovou stopu pomocí nejnovější verze metody „</w:t>
      </w:r>
      <w:proofErr w:type="spellStart"/>
      <w:r w:rsidRPr="00F97E7F">
        <w:rPr>
          <w:szCs w:val="24"/>
        </w:rPr>
        <w:t>Bilan</w:t>
      </w:r>
      <w:proofErr w:type="spellEnd"/>
      <w:r w:rsidRPr="00F97E7F">
        <w:rPr>
          <w:szCs w:val="24"/>
        </w:rPr>
        <w:t xml:space="preserve"> </w:t>
      </w:r>
      <w:proofErr w:type="spellStart"/>
      <w:r w:rsidRPr="00F97E7F">
        <w:rPr>
          <w:szCs w:val="24"/>
        </w:rPr>
        <w:t>Carbon</w:t>
      </w:r>
      <w:proofErr w:type="spellEnd"/>
      <w:r w:rsidRPr="00F97E7F">
        <w:rPr>
          <w:szCs w:val="24"/>
        </w:rPr>
        <w:t>“, která zahrnuje měření na provozní (činnosti Účetního dvora) i organizační (tři budovy v Lucemburku) úrovni; konstatuje, že celkové emise skleníkových plynů Účetního dvora v roce 2024 činily 9 108 tun CO</w:t>
      </w:r>
      <w:r w:rsidRPr="00F97E7F">
        <w:rPr>
          <w:szCs w:val="24"/>
          <w:vertAlign w:val="subscript"/>
        </w:rPr>
        <w:t>2</w:t>
      </w:r>
      <w:r w:rsidRPr="00F97E7F">
        <w:rPr>
          <w:szCs w:val="24"/>
        </w:rPr>
        <w:t>, což představuje pokles o 15 % ve srovnání s emisemi v roce 2014, ale nárůst o 1,6 % ve srovnání s emisemi v roce 2023; konstatuje, že na celkových emisích Účetního dvora v roce 2024 se nejvíce podílely nákupy zboží a služeb (31 %) a osobní doprava (29 %);</w:t>
      </w:r>
    </w:p>
    <w:p w14:paraId="099D5279" w14:textId="40090DE5" w:rsidR="00B61F8A" w:rsidRPr="00F97E7F" w:rsidRDefault="00B61F8A" w:rsidP="00F97E7F">
      <w:pPr>
        <w:pStyle w:val="NormalHanging12a"/>
        <w:rPr>
          <w:szCs w:val="24"/>
        </w:rPr>
      </w:pPr>
      <w:r w:rsidRPr="00F97E7F">
        <w:rPr>
          <w:szCs w:val="24"/>
        </w:rPr>
        <w:lastRenderedPageBreak/>
        <w:t>6</w:t>
      </w:r>
      <w:r w:rsidR="00867848">
        <w:rPr>
          <w:szCs w:val="24"/>
        </w:rPr>
        <w:t>3</w:t>
      </w:r>
      <w:r w:rsidRPr="00F97E7F">
        <w:rPr>
          <w:szCs w:val="24"/>
        </w:rPr>
        <w:t>.</w:t>
      </w:r>
      <w:r w:rsidRPr="00F97E7F">
        <w:rPr>
          <w:szCs w:val="24"/>
        </w:rPr>
        <w:tab/>
        <w:t>s uspokojením bere na vědomí environmentální prohlášení Účetního dvora, v němž jsou uvedeny výsledky za rok 2024, včetně již přijatých a plánovaných opatření, jejichž cílem je snížit dopad činností Účetního dvora na životní prostředí a dosáhnout ročních cílů v oblasti vlivu činnosti Účetního dvora na životní prostředí nebo je překonat; konstatuje, že Účetní dvůr měří vliv své činnosti na životní prostředí pomocí souboru ukazatelů a kritérií excelence; konstatuje, že Účetní dvůr má v rámci svého programu pro životní prostředí na období 2023–2025 soubor obecných a specifických cílů, z nichž většiny bylo dosaženo v roce 2024, zejména pokud jde o snížení spotřeby energie Účetního dvora (elektřina: -24 %; vytápění: −21,80 %), emise do ovzduší (−30 %) a spotřeba vody (−45 %) a zvýšení počtu zadávacích řízení, která zahrnují environmentální kritéria (více než 30 %); bere však na vědomí i změnu trendu, pokud jde o počet vytištěných stran (+9,1 %) a snížení roční produkce odpadu (+27,50 %); oceňuje opatření Účetního dvora, která mají vyvážit jeho nepříznivý dopad na biologickou rozmanitost; konstatuje, že Účetní dvůr má ve svých prostorách několik včelstev produkujících med, který sbírají dobrovolníci z řad zaměstnanců, a že se podílí na iniciativách zaměřených na výsadbu stromů v Lucembursku a účastnil se dalších ekologických aktivit v rámci své účasti na interinstitucionálních dnech Unie EMAS 2024; vítá skutečnost, že počet zaměstnanců využívajících městská sdílená kola se zvýšil ze 172 v roce 2023 na 201 v roce 2024; vítá podporu Účetního dvora pro využívání mobility při dojíždění, jako je jízda na kole, tím, že pokrývá náklady na předplatné systému sdílení jízdních kol města Lucemburk nebo veřejnou dopravu tím, že částečně proplácí předplatní jízdenku pro přeshraniční zaměstnance, přičemž počet zaměstnanců využívajících tohoto typu systému náhrad se zvýšil z 28 v roce 2023 na 30 v roce 2024;</w:t>
      </w:r>
    </w:p>
    <w:p w14:paraId="73719551" w14:textId="3666F2A4" w:rsidR="00B61F8A" w:rsidRPr="00F97E7F" w:rsidRDefault="00B61F8A" w:rsidP="00F97E7F">
      <w:pPr>
        <w:pStyle w:val="NormalHanging12a"/>
        <w:rPr>
          <w:szCs w:val="24"/>
        </w:rPr>
      </w:pPr>
      <w:r w:rsidRPr="00F97E7F">
        <w:rPr>
          <w:szCs w:val="24"/>
        </w:rPr>
        <w:t>6</w:t>
      </w:r>
      <w:r w:rsidR="00867848">
        <w:rPr>
          <w:szCs w:val="24"/>
        </w:rPr>
        <w:t>4</w:t>
      </w:r>
      <w:r w:rsidRPr="00F97E7F">
        <w:rPr>
          <w:szCs w:val="24"/>
        </w:rPr>
        <w:t>.</w:t>
      </w:r>
      <w:r w:rsidRPr="00F97E7F">
        <w:rPr>
          <w:szCs w:val="24"/>
        </w:rPr>
        <w:tab/>
        <w:t>připomíná, že v roce 2023 Účetní dvůr podepsal úmluvu s lucemburskými orgány o vytvoření plánu mobility; konstatuje, že podle dotazníku byl plán mobility předložen se zpožděním v dubnu 2025 a že výsledky analýzy plánu budou zohledněny při vypracovávání programu EMAS na období 2026–2028;</w:t>
      </w:r>
    </w:p>
    <w:p w14:paraId="677A2874" w14:textId="77777777" w:rsidR="00B61F8A" w:rsidRPr="00F97E7F" w:rsidRDefault="00B61F8A" w:rsidP="00F97E7F">
      <w:pPr>
        <w:pStyle w:val="NormalHanging12a"/>
        <w:rPr>
          <w:b/>
          <w:i/>
          <w:iCs/>
          <w:szCs w:val="24"/>
        </w:rPr>
      </w:pPr>
      <w:r w:rsidRPr="00F97E7F">
        <w:rPr>
          <w:b/>
          <w:i/>
          <w:szCs w:val="24"/>
        </w:rPr>
        <w:t>Interinstitucionální spolupráce</w:t>
      </w:r>
    </w:p>
    <w:p w14:paraId="546ED6DC" w14:textId="26775F5D" w:rsidR="00B61F8A" w:rsidRPr="00F97E7F" w:rsidRDefault="00B61F8A" w:rsidP="00F97E7F">
      <w:pPr>
        <w:pStyle w:val="NormalHanging12a"/>
        <w:rPr>
          <w:szCs w:val="24"/>
        </w:rPr>
      </w:pPr>
      <w:r w:rsidRPr="00F97E7F">
        <w:rPr>
          <w:szCs w:val="24"/>
        </w:rPr>
        <w:t>6</w:t>
      </w:r>
      <w:r w:rsidR="00867848">
        <w:rPr>
          <w:szCs w:val="24"/>
        </w:rPr>
        <w:t>5</w:t>
      </w:r>
      <w:r w:rsidRPr="00F97E7F">
        <w:rPr>
          <w:szCs w:val="24"/>
        </w:rPr>
        <w:t>.</w:t>
      </w:r>
      <w:r w:rsidRPr="00F97E7F">
        <w:rPr>
          <w:szCs w:val="24"/>
        </w:rPr>
        <w:tab/>
        <w:t>uznává, že interinstitucionální spolupráce zvyšuje efektivitu prostřednictvím využívání sdílených nástrojů a služeb, což přináší úspory, které umožňují interní přesuny zaměstnanců, zajišťují lepší ceny díky úsporám z rozsahu a umožňují přístup ke specializovaným odborným znalostem v rámci jiných subjektů Unie; konstatuje, že v roce 2024 Účetní dvůr pokračoval ve spolupráci – nebo ji rozšířil – prostřednictvím stávajících a nových dohod o úrovni služeb (SLA), mimo jiné v oblasti správy důchodů, transformace lidských zdrojů a vydávání průkazů Unie, a prostřednictvím účasti v interinstitucionálních výborech a partnerstvích, jako jsou sdílené finanční systémy a kybernetická bezpečnost a digitální transformace; dále konstatuje, že tato spolupráce usnadňuje výměnu a vývoj IT řešení, což v roce 2024 vedlo k významným rozpočtovým úsporám v oblastech, včetně IT, řízení služebních cest a lidských zdrojů, přičemž Účetní dvůr využíval nástroje vyvinuté Komisí pro oblast lidských zdrojů, školení a elektronický překlad v hodnotě přibližně 500 000 EUR a účetní služby SAP spravované Radou v hodnotě přibližně 170 000 EUR; vítá skutečnost, že Účetní dvůr i nadále využívá školicí a certifikační služby Evropské správní školy;</w:t>
      </w:r>
    </w:p>
    <w:p w14:paraId="3B35A544" w14:textId="4C9227D5" w:rsidR="00B61F8A" w:rsidRPr="00F97E7F" w:rsidRDefault="00B61F8A" w:rsidP="00F97E7F">
      <w:pPr>
        <w:pStyle w:val="NormalHanging12a"/>
        <w:rPr>
          <w:szCs w:val="24"/>
        </w:rPr>
      </w:pPr>
      <w:r w:rsidRPr="00F97E7F">
        <w:rPr>
          <w:szCs w:val="24"/>
        </w:rPr>
        <w:t>6</w:t>
      </w:r>
      <w:r w:rsidR="00867848">
        <w:rPr>
          <w:szCs w:val="24"/>
        </w:rPr>
        <w:t>6</w:t>
      </w:r>
      <w:r w:rsidRPr="00F97E7F">
        <w:rPr>
          <w:szCs w:val="24"/>
        </w:rPr>
        <w:t>.</w:t>
      </w:r>
      <w:r w:rsidRPr="00F97E7F">
        <w:rPr>
          <w:szCs w:val="24"/>
        </w:rPr>
        <w:tab/>
        <w:t xml:space="preserve">znovu připomíná, že účinná spolupráce mezi Účetním dvorem a Komisí bude i nadále omezená, pokud Komise nepřijme metodiku Účetního dvora pro posuzování míry chyb, která je založena na nezávislém a komplexním hodnocení všech porušení pravidel, na </w:t>
      </w:r>
      <w:r w:rsidRPr="00F97E7F">
        <w:rPr>
          <w:szCs w:val="24"/>
        </w:rPr>
        <w:lastRenderedPageBreak/>
        <w:t>rozdíl od Komise, která klade důraz na chyby, které lze napravit;</w:t>
      </w:r>
    </w:p>
    <w:p w14:paraId="1411F866" w14:textId="1E0F074C" w:rsidR="00B61F8A" w:rsidRPr="00F97E7F" w:rsidRDefault="00B61F8A" w:rsidP="00F97E7F">
      <w:pPr>
        <w:pStyle w:val="NormalHanging12a"/>
        <w:rPr>
          <w:szCs w:val="24"/>
        </w:rPr>
      </w:pPr>
      <w:r w:rsidRPr="00F97E7F">
        <w:rPr>
          <w:szCs w:val="24"/>
        </w:rPr>
        <w:t>6</w:t>
      </w:r>
      <w:r w:rsidR="00867848">
        <w:rPr>
          <w:szCs w:val="24"/>
        </w:rPr>
        <w:t>7</w:t>
      </w:r>
      <w:r w:rsidRPr="00F97E7F">
        <w:rPr>
          <w:szCs w:val="24"/>
        </w:rPr>
        <w:t>.</w:t>
      </w:r>
      <w:r w:rsidRPr="00F97E7F">
        <w:rPr>
          <w:szCs w:val="24"/>
        </w:rPr>
        <w:tab/>
        <w:t>vítá skutečnost, že Účetní dvůr úzce spolupracuje s úřady OLAF i EPPO, mimo jiné i pořádáním workshopů a osvětových akcí a výměnou poznatků a odborných znalostí; vítá závazek Účetního dvora nadále předávat veškerá podezření založená na důkazech prima facie úřadu OLAF, úřadu EPPO nebo oběma těmto orgánům; konstatuje, že Účetní dvůr v roce 2024 předal 19 případů podezření na podvod úřadu OLAF a 7 z nich úřadu EPPO;</w:t>
      </w:r>
    </w:p>
    <w:p w14:paraId="10731A9A" w14:textId="4197BE2F" w:rsidR="00B61F8A" w:rsidRPr="00F97E7F" w:rsidRDefault="00B61F8A" w:rsidP="00F97E7F">
      <w:pPr>
        <w:pStyle w:val="NormalHanging12a"/>
        <w:rPr>
          <w:szCs w:val="24"/>
        </w:rPr>
      </w:pPr>
      <w:r w:rsidRPr="00F97E7F">
        <w:rPr>
          <w:szCs w:val="24"/>
        </w:rPr>
        <w:t>6</w:t>
      </w:r>
      <w:r w:rsidR="00867848">
        <w:rPr>
          <w:szCs w:val="24"/>
        </w:rPr>
        <w:t>8</w:t>
      </w:r>
      <w:r w:rsidRPr="00F97E7F">
        <w:rPr>
          <w:szCs w:val="24"/>
        </w:rPr>
        <w:t>.</w:t>
      </w:r>
      <w:r w:rsidRPr="00F97E7F">
        <w:rPr>
          <w:szCs w:val="24"/>
        </w:rPr>
        <w:tab/>
        <w:t>je přesvědčen, že jednotný integrovaný IT systém pro vytěžování dat a hodnocení rizik by mohl být cenným zdrojem údajů, který by Účetnímu dvoru, úřadu OLAF a úřadu EPPO umožnil posílit činnost v oblasti auditu a kontroly; zdůrazňuje, že neomezený přístup k tomuto systému a jeho údajům by měl být poskytován bez jakýchkoli neodůvodněných omezení a že tento přístup by okamžitě umožnil zkoumání a využívání dalších digitálních nástrojů a nově vznikajících technologií v rámci auditů Účetního dvora;</w:t>
      </w:r>
    </w:p>
    <w:p w14:paraId="2AD04C9B" w14:textId="7567E72A" w:rsidR="00B61F8A" w:rsidRPr="00F97E7F" w:rsidRDefault="00B61F8A" w:rsidP="00F97E7F">
      <w:pPr>
        <w:pStyle w:val="NormalHanging12a"/>
        <w:rPr>
          <w:bCs/>
          <w:iCs/>
          <w:szCs w:val="24"/>
        </w:rPr>
      </w:pPr>
      <w:r w:rsidRPr="00F97E7F">
        <w:rPr>
          <w:szCs w:val="24"/>
        </w:rPr>
        <w:t>6</w:t>
      </w:r>
      <w:r w:rsidR="00867848">
        <w:rPr>
          <w:szCs w:val="24"/>
        </w:rPr>
        <w:t>9</w:t>
      </w:r>
      <w:r w:rsidRPr="00F97E7F">
        <w:rPr>
          <w:szCs w:val="24"/>
        </w:rPr>
        <w:t>.</w:t>
      </w:r>
      <w:r w:rsidRPr="00F97E7F">
        <w:rPr>
          <w:szCs w:val="24"/>
        </w:rPr>
        <w:tab/>
        <w:t>zdůrazňuje důležitou úlohu Účetního dvora ve struktuře Unie pro boj proti podvodům; konstatuje, že audity a zvláštní zprávy Účetního dvora systematicky identifikují nedostatky, nesrovnalosti a rizika, čímž spouštějí nápravná a vymáhací opatření ke zpětnému získání prostředků prováděné Komisí, členskými státy a dalšími aktéry struktury boje proti podvodům; konstatuje, že prostřednictvím této funkce dohledu Účetní dvůr nejen zvyšuje transparentnost a odpovědnost, ale také posiluje celkovou kapacitu systému EU v oblasti kontroly a odhalování a zajišťuje, aby byly veřejné finanční prostředky řádně spravovány a chráněny před podvody a zneužíváním;</w:t>
      </w:r>
    </w:p>
    <w:p w14:paraId="141794CD" w14:textId="2E1C2B26" w:rsidR="00B61F8A" w:rsidRPr="00F97E7F" w:rsidRDefault="00867848" w:rsidP="00F97E7F">
      <w:pPr>
        <w:pStyle w:val="NormalHanging12a"/>
        <w:rPr>
          <w:szCs w:val="24"/>
        </w:rPr>
      </w:pPr>
      <w:r>
        <w:rPr>
          <w:szCs w:val="24"/>
        </w:rPr>
        <w:t>70</w:t>
      </w:r>
      <w:r w:rsidR="00B61F8A" w:rsidRPr="00F97E7F">
        <w:rPr>
          <w:szCs w:val="24"/>
        </w:rPr>
        <w:t>.</w:t>
      </w:r>
      <w:r w:rsidR="00B61F8A" w:rsidRPr="00F97E7F">
        <w:rPr>
          <w:szCs w:val="24"/>
        </w:rPr>
        <w:tab/>
        <w:t>vítá otevřenost Účetního dvora k navázání každoročního interinstitucionálního dialogu mezi Účetním dvorem, Parlamentem, Radou a Komisí, jak požadoval Parlament ve svých usneseních o udělení absolutoria;</w:t>
      </w:r>
    </w:p>
    <w:p w14:paraId="67B442AE" w14:textId="09B01212" w:rsidR="00B61F8A" w:rsidRPr="00F97E7F" w:rsidRDefault="00B61F8A" w:rsidP="00F97E7F">
      <w:pPr>
        <w:pStyle w:val="NormalHanging12a"/>
        <w:rPr>
          <w:szCs w:val="24"/>
        </w:rPr>
      </w:pPr>
      <w:r w:rsidRPr="00F97E7F">
        <w:rPr>
          <w:szCs w:val="24"/>
        </w:rPr>
        <w:t>7</w:t>
      </w:r>
      <w:r w:rsidR="00867848">
        <w:rPr>
          <w:szCs w:val="24"/>
        </w:rPr>
        <w:t>1</w:t>
      </w:r>
      <w:r w:rsidRPr="00F97E7F">
        <w:rPr>
          <w:szCs w:val="24"/>
        </w:rPr>
        <w:t>.</w:t>
      </w:r>
      <w:r w:rsidRPr="00F97E7F">
        <w:rPr>
          <w:szCs w:val="24"/>
        </w:rPr>
        <w:tab/>
        <w:t>znovu vyjadřuje politování nad tím, že navzdory lepšímu přístupu k dokumentům a informacím Evropské investiční banky (EIB) nemá Účetní dvůr mandát provádět audit operací financovaných z vlastních prostředků EIB; požaduje, aby byl tento mandát Účetnímu dvoru udělen vzhledem k poslání EIB naplňovat cíle Unie a k jejímu rostoucímu významu v hospodářském a politickém prostředí Unie, který překračuje pouhé využívání rozpočtu Unie k zaručení jejích činností; připomíná, že Účetní dvůr ve zvláštní zprávě 05/2023 nazvané Finanční prostředí EU – Nesourodý soubor nástrojů vyžadující další zjednodušení a lepší vyvozování odpovědnosti, uvedl, že u všech typů financování politik Unie je třeba definovat mandáty veřejného auditu;</w:t>
      </w:r>
    </w:p>
    <w:p w14:paraId="096EEE9F" w14:textId="42B1F808" w:rsidR="00B61F8A" w:rsidRPr="00F97E7F" w:rsidRDefault="00B61F8A" w:rsidP="00F97E7F">
      <w:pPr>
        <w:pStyle w:val="NormalHanging12a"/>
        <w:rPr>
          <w:szCs w:val="24"/>
        </w:rPr>
      </w:pPr>
      <w:r w:rsidRPr="00F97E7F">
        <w:rPr>
          <w:szCs w:val="24"/>
        </w:rPr>
        <w:t>7</w:t>
      </w:r>
      <w:r w:rsidR="00867848">
        <w:rPr>
          <w:szCs w:val="24"/>
        </w:rPr>
        <w:t>2</w:t>
      </w:r>
      <w:r w:rsidRPr="00F97E7F">
        <w:rPr>
          <w:szCs w:val="24"/>
        </w:rPr>
        <w:t>.</w:t>
      </w:r>
      <w:r w:rsidRPr="00F97E7F">
        <w:rPr>
          <w:szCs w:val="24"/>
        </w:rPr>
        <w:tab/>
        <w:t>vítá skutečnost, že podle dotazníku probíhala úzká spolupráce mezi Účetním dvorem a evropským inspektorem ochrany údajů, především prostřednictvím pověřence pro ochranu osobních údajů Účetního dvora; konstatuje, že tato spolupráce zahrnuje výklad konkrétních ustanovení nařízení (EU) 2018/1725, činnosti v oblasti sdílení znalostí a další interinstitucionální výměny a příspěvky v oblasti umělé inteligence; oceňuje účast Účetního dvora na projektu zvyšování povědomí o porušení zabezpečení osobních údajů při řešení kybernetických bezpečnostních incidentů, který uspořádali evropský inspektor ochrany údajů a agentura ENISA a jehož účelem bylo zvýšit povědomí zaměstnanců o řízení případů porušení zabezpečení osobních údajů;</w:t>
      </w:r>
    </w:p>
    <w:p w14:paraId="7FC50254" w14:textId="77777777" w:rsidR="00B61F8A" w:rsidRPr="00F97E7F" w:rsidRDefault="00B61F8A" w:rsidP="00F97E7F">
      <w:pPr>
        <w:pStyle w:val="NormalHanging12a"/>
        <w:rPr>
          <w:b/>
          <w:i/>
          <w:iCs/>
          <w:szCs w:val="24"/>
        </w:rPr>
      </w:pPr>
      <w:r w:rsidRPr="00F97E7F">
        <w:rPr>
          <w:b/>
          <w:i/>
          <w:szCs w:val="24"/>
        </w:rPr>
        <w:t>Komunikační činnost</w:t>
      </w:r>
    </w:p>
    <w:p w14:paraId="43F7560A" w14:textId="40852D4A" w:rsidR="00B61F8A" w:rsidRPr="00F97E7F" w:rsidRDefault="00B61F8A" w:rsidP="00F97E7F">
      <w:pPr>
        <w:pStyle w:val="NormalHanging12a"/>
        <w:rPr>
          <w:szCs w:val="24"/>
        </w:rPr>
      </w:pPr>
      <w:r w:rsidRPr="00F97E7F">
        <w:rPr>
          <w:szCs w:val="24"/>
        </w:rPr>
        <w:lastRenderedPageBreak/>
        <w:t>7</w:t>
      </w:r>
      <w:r w:rsidR="00867848">
        <w:rPr>
          <w:szCs w:val="24"/>
        </w:rPr>
        <w:t>3</w:t>
      </w:r>
      <w:r w:rsidRPr="00F97E7F">
        <w:rPr>
          <w:szCs w:val="24"/>
        </w:rPr>
        <w:t>.</w:t>
      </w:r>
      <w:r w:rsidRPr="00F97E7F">
        <w:rPr>
          <w:szCs w:val="24"/>
        </w:rPr>
        <w:tab/>
        <w:t>bere na vědomí skutečnost, že v roce 2024 činil rozpočet přidělený na komunikační a propagační činnosti Účetního dvora 225 000 EUR (stejně jako v roce 2023), přičemž míra čerpání prostředků činila 92,32 % (oproti 81,13 % v roce 2023); konstatuje, že většina rozpočtu byla vynaložena na služby monitorování sdělovacích prostředků (80 000 EUR) a na činnosti týkající se tisku (18 133,91 EUR), po nich následovaly výdaje na vztahy se zúčastněnými stranami, které tvořily hlavně náklady na platformu pro informace o politikách (62 100 EUR), komunikační činnosti (32 543,37 EUR), sociální sítě (8 604,66 EUR) a publikace (6 346,47 EUR);</w:t>
      </w:r>
    </w:p>
    <w:p w14:paraId="02AC8B7D" w14:textId="50273651" w:rsidR="00B61F8A" w:rsidRPr="00F97E7F" w:rsidRDefault="00B61F8A" w:rsidP="00F97E7F">
      <w:pPr>
        <w:pStyle w:val="NormalHanging12a"/>
        <w:rPr>
          <w:szCs w:val="24"/>
        </w:rPr>
      </w:pPr>
      <w:r w:rsidRPr="00F97E7F">
        <w:rPr>
          <w:szCs w:val="24"/>
        </w:rPr>
        <w:t>7</w:t>
      </w:r>
      <w:r w:rsidR="00867848">
        <w:rPr>
          <w:szCs w:val="24"/>
        </w:rPr>
        <w:t>4</w:t>
      </w:r>
      <w:r w:rsidRPr="00F97E7F">
        <w:rPr>
          <w:szCs w:val="24"/>
        </w:rPr>
        <w:t>.</w:t>
      </w:r>
      <w:r w:rsidRPr="00F97E7F">
        <w:rPr>
          <w:szCs w:val="24"/>
        </w:rPr>
        <w:tab/>
        <w:t xml:space="preserve">podporuje strategii Účetního dvora v oblasti rozšiřování využívání médií, díky níž bylo v roce 2024 zveřejněno rekordních více než 24 000 tiskových článků online, které se týkaly auditních zpráv Účetního dvora, jiných publikací nebo Účetního dvora obecně, což potvrzuje rostoucí trend v poskytování informací pozorovaný v posledních letech (2023: 22 000; 2022: 20 000; 2021: 18 000); s uspokojením konstatuje, že podle zprávy Účetního dvora došlo k nárůstu počtu návštěvníků internetových stránek Účetního dvora, které byly spuštěny v roce 2023, přičemž v roce 2024 jich bylo 780 000 (2023: 700 000), bylo zaznamenáno 1 295 025 unikátních zobrazení stránek a 56 440 stažení; vítá skutečnost, že do konce roku 2024 měly čtyři hlavní účty Účetního dvora na sociálních sítích (X, LinkedIn, Facebook, Instagram) více než 61 500 sledujících, přičemž v roce 2023 jich bylo 55 000 a v roce 2022 49 500; chválí Účetní dvůr za to, že v listopadu 2024 zahájil vydávání svého prvního měsíčního zpravodaje na síti LinkedIn (ECA </w:t>
      </w:r>
      <w:proofErr w:type="spellStart"/>
      <w:r w:rsidRPr="00F97E7F">
        <w:rPr>
          <w:szCs w:val="24"/>
        </w:rPr>
        <w:t>Insights</w:t>
      </w:r>
      <w:proofErr w:type="spellEnd"/>
      <w:r w:rsidRPr="00F97E7F">
        <w:rPr>
          <w:szCs w:val="24"/>
        </w:rPr>
        <w:t>), který přináší nejdůležitější informace o nedávných zprávách a náhledy nadcházejících auditů a který do konce tohoto roku přilákal více než 8 500 odběratelů;</w:t>
      </w:r>
    </w:p>
    <w:p w14:paraId="306FE353" w14:textId="0B5B9161" w:rsidR="00B61F8A" w:rsidRPr="00F97E7F" w:rsidRDefault="00B61F8A" w:rsidP="00F97E7F">
      <w:pPr>
        <w:pStyle w:val="NormalHanging12a"/>
        <w:rPr>
          <w:szCs w:val="24"/>
        </w:rPr>
      </w:pPr>
      <w:r w:rsidRPr="00F97E7F">
        <w:rPr>
          <w:szCs w:val="24"/>
        </w:rPr>
        <w:t>7</w:t>
      </w:r>
      <w:r w:rsidR="00867848">
        <w:rPr>
          <w:szCs w:val="24"/>
        </w:rPr>
        <w:t>5</w:t>
      </w:r>
      <w:r w:rsidRPr="00F97E7F">
        <w:rPr>
          <w:szCs w:val="24"/>
        </w:rPr>
        <w:t>.</w:t>
      </w:r>
      <w:r w:rsidRPr="00F97E7F">
        <w:rPr>
          <w:szCs w:val="24"/>
        </w:rPr>
        <w:tab/>
        <w:t>vítá skutečnost, že Účetní dvůr má digitálně přístupné internetové stránky (úroveň A++), které dvakrát ročně kontroluje externí konzultant s cílem posoudit, zda internetové stránky splňují příslušné normy přístupnosti, a zjistit překážky přístupnosti pro uživatele se zdravotním postižením; oceňuje, že celkově je přístupnost hodnocena jako velmi dobrá, a konstatuje, že na základě auditu byla navržena některá doporučení k dalšímu zlepšování a udržování přístupnosti webových stránek;</w:t>
      </w:r>
    </w:p>
    <w:p w14:paraId="4F70A160" w14:textId="52E4E272" w:rsidR="00B61F8A" w:rsidRPr="00F97E7F" w:rsidRDefault="00B61F8A" w:rsidP="00F97E7F">
      <w:pPr>
        <w:pStyle w:val="NormalHanging12a"/>
        <w:rPr>
          <w:szCs w:val="24"/>
        </w:rPr>
      </w:pPr>
      <w:r w:rsidRPr="00F97E7F">
        <w:rPr>
          <w:szCs w:val="24"/>
        </w:rPr>
        <w:t>7</w:t>
      </w:r>
      <w:r w:rsidR="00867848">
        <w:rPr>
          <w:szCs w:val="24"/>
        </w:rPr>
        <w:t>6</w:t>
      </w:r>
      <w:r w:rsidRPr="00F97E7F">
        <w:rPr>
          <w:szCs w:val="24"/>
        </w:rPr>
        <w:t>.</w:t>
      </w:r>
      <w:r w:rsidRPr="00F97E7F">
        <w:rPr>
          <w:szCs w:val="24"/>
        </w:rPr>
        <w:tab/>
        <w:t>konstatuje, že roce 2024 Účetní dvůr vydal 44 tiskových zpráv ve 24 jazycích Unie a také různá informační sdělení, sdělení pro média a okamžitě použitelná zvuková prohlášení v některých jazycích; konstatuje dále, že Účetní dvůr v uvedeném roce v souvislosti s výroční zprávou uspořádal 20 tiskových konferencí online a dalších 14 tiskových konferencí zaměřených na jednotlivé země; zdůrazňuje, že celkem se tiskových konferencí Účetního dvora zúčastnilo 876 novinářů, z nichž většina zastupovala významné sdělovací prostředky z členských států;</w:t>
      </w:r>
    </w:p>
    <w:p w14:paraId="2EEBAF86" w14:textId="31D00FB3" w:rsidR="00B61F8A" w:rsidRPr="00F97E7F" w:rsidRDefault="00B61F8A" w:rsidP="00F97E7F">
      <w:pPr>
        <w:pStyle w:val="NormalHanging12a"/>
        <w:rPr>
          <w:bCs/>
          <w:iCs/>
          <w:szCs w:val="24"/>
        </w:rPr>
      </w:pPr>
      <w:r w:rsidRPr="00F97E7F">
        <w:rPr>
          <w:szCs w:val="24"/>
        </w:rPr>
        <w:t>7</w:t>
      </w:r>
      <w:r w:rsidR="00867848">
        <w:rPr>
          <w:szCs w:val="24"/>
        </w:rPr>
        <w:t>7</w:t>
      </w:r>
      <w:r w:rsidRPr="00F97E7F">
        <w:rPr>
          <w:szCs w:val="24"/>
        </w:rPr>
        <w:t>.</w:t>
      </w:r>
      <w:r w:rsidRPr="00F97E7F">
        <w:rPr>
          <w:szCs w:val="24"/>
        </w:rPr>
        <w:tab/>
        <w:t>vítá zvláštní zprávu Účetního dvora 11/2025: Transparentnost financování EU pro nevládní organizace; se znepokojením bere na vědomí problémy, které jsou v ní uvedeny, včetně nedostatků v oblasti transparentnosti, klasifikace a dohledu; zdůrazňuje, že je třeba, aby Účetní dvůr pokračoval v monitorování a podávání zpráv o těchto otázkách a posílil tuto svoji činnost s cílem zajistit plný soulad s finančními pravidly, požadavky na transparentnost a základními hodnotami Unie;</w:t>
      </w:r>
    </w:p>
    <w:p w14:paraId="22B984BE" w14:textId="15F7092A" w:rsidR="00B61F8A" w:rsidRPr="00F97E7F" w:rsidRDefault="00B61F8A" w:rsidP="00F97E7F">
      <w:pPr>
        <w:pStyle w:val="NormalHanging12a"/>
        <w:rPr>
          <w:bCs/>
          <w:iCs/>
          <w:szCs w:val="24"/>
        </w:rPr>
      </w:pPr>
      <w:r w:rsidRPr="00F97E7F">
        <w:rPr>
          <w:szCs w:val="24"/>
        </w:rPr>
        <w:t>7</w:t>
      </w:r>
      <w:r w:rsidR="00867848">
        <w:rPr>
          <w:szCs w:val="24"/>
        </w:rPr>
        <w:t>8</w:t>
      </w:r>
      <w:r w:rsidRPr="00F97E7F">
        <w:rPr>
          <w:szCs w:val="24"/>
        </w:rPr>
        <w:t>.</w:t>
      </w:r>
      <w:r w:rsidRPr="00F97E7F">
        <w:rPr>
          <w:szCs w:val="24"/>
        </w:rPr>
        <w:tab/>
        <w:t xml:space="preserve">vybízí v této souvislosti Účetní dvůr, aby vypracoval zvláštní zprávu o finančních prostředcích Unie poskytovaných nevládním organizacím působícím v Gaze a organizacím, které se podílejí na tvorbě palestinských školních učebnic; zdůrazňuje, že taková kontrola má zásadní význam pro zajištění toho, aby finanční prostředky Unie nebyly přímo ani nepřímo přesměrovány na teroristické organizace nebo jejich </w:t>
      </w:r>
      <w:r w:rsidRPr="00F97E7F">
        <w:rPr>
          <w:szCs w:val="24"/>
        </w:rPr>
        <w:lastRenderedPageBreak/>
        <w:t>přidružené subjekty, ani aby nebyly používány způsobem, který podporuje nenávist, radikalizaci nebo podněcování k násilí, a aby byl zajištěn plný soulad s finančními pravidly Unie, normami transparentnosti a základními hodnotami Unie;</w:t>
      </w:r>
    </w:p>
    <w:p w14:paraId="4226376D" w14:textId="41276082" w:rsidR="00B61F8A" w:rsidRPr="00F97E7F" w:rsidRDefault="00B61F8A" w:rsidP="00F97E7F">
      <w:pPr>
        <w:pStyle w:val="NormalHanging12a"/>
        <w:rPr>
          <w:szCs w:val="24"/>
        </w:rPr>
      </w:pPr>
      <w:r w:rsidRPr="00F97E7F">
        <w:rPr>
          <w:szCs w:val="24"/>
        </w:rPr>
        <w:t>7</w:t>
      </w:r>
      <w:r w:rsidR="00867848">
        <w:rPr>
          <w:szCs w:val="24"/>
        </w:rPr>
        <w:t>9</w:t>
      </w:r>
      <w:r w:rsidRPr="00F97E7F">
        <w:rPr>
          <w:szCs w:val="24"/>
        </w:rPr>
        <w:t>.</w:t>
      </w:r>
      <w:r w:rsidRPr="00F97E7F">
        <w:rPr>
          <w:szCs w:val="24"/>
        </w:rPr>
        <w:tab/>
        <w:t>vítá skutečnost, že v zájmu většího zapojení veřejnosti Účetní dvůr od roku 2024 poskytuje občanům možnost přispívat k jeho pracovnímu programu podáváním návrhů na audit prostřednictvím internetových stránek Účetního dvora;</w:t>
      </w:r>
    </w:p>
    <w:p w14:paraId="7E060461" w14:textId="1EAE234F" w:rsidR="00E365E1" w:rsidRPr="00F97E7F" w:rsidRDefault="00867848" w:rsidP="00F97E7F">
      <w:pPr>
        <w:spacing w:after="240"/>
        <w:ind w:left="567" w:hanging="567"/>
        <w:rPr>
          <w:szCs w:val="24"/>
        </w:rPr>
      </w:pPr>
      <w:r>
        <w:rPr>
          <w:szCs w:val="24"/>
        </w:rPr>
        <w:t>80</w:t>
      </w:r>
      <w:r w:rsidR="00B61F8A" w:rsidRPr="00F97E7F">
        <w:rPr>
          <w:szCs w:val="24"/>
        </w:rPr>
        <w:t>.</w:t>
      </w:r>
      <w:r w:rsidR="00B61F8A" w:rsidRPr="00F97E7F">
        <w:rPr>
          <w:szCs w:val="24"/>
        </w:rPr>
        <w:tab/>
        <w:t>oceňuje, že Účetní dvůr hodnotí pravděpodobný dopad a užitečnost své práce, jak je vnímají čtenáři zpráv Účetního dvora v Parlamentu, Radě, Komisi, agenturách Unie, stálých zastoupeních členských států, agenturách a nejvyšších kontrolních orgánech členských států, nevládních organizacích, akademické obci, sdělovacích prostředcích a dalších subjektech; v této souvislosti konstatuje, že od roku 2018 Účetní dvůr provádí anonymizované elektronické průzkumy, v nichž své čtenáře žádá, aby se vyjádřili ke kvalitě vybraných zpráv a předkládali obecné návrhy týkající se práce Účetního dvora; zdůrazňuje, že v roce 2024 pokládalo 89 % dotázaných zprávy Účetního dvora za užitečné pro svou práci a 82 % z nich se domnívalo, že mají dopad; s uspokojením konstatuje, že v roce 2024 předložil Účetní dvůr výsledky své práce při 578 příležitostech různým zúčastněným stranám (např. Parlamentu, Radě a vnitrostátním parlamentům), což představuje nárůst oproti 456 v roce 2023 a 437 v roce 2022.</w:t>
      </w:r>
    </w:p>
    <w:sectPr w:rsidR="00E365E1" w:rsidRPr="00F97E7F" w:rsidSect="000C29C0">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B63799" w14:textId="77777777" w:rsidR="006A2696" w:rsidRPr="000C29C0" w:rsidRDefault="006A2696">
      <w:r w:rsidRPr="000C29C0">
        <w:separator/>
      </w:r>
    </w:p>
  </w:endnote>
  <w:endnote w:type="continuationSeparator" w:id="0">
    <w:p w14:paraId="7F4D6934" w14:textId="77777777" w:rsidR="006A2696" w:rsidRPr="000C29C0" w:rsidRDefault="006A2696">
      <w:r w:rsidRPr="000C29C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C49F3" w14:textId="77777777" w:rsidR="00B61F8A" w:rsidRPr="000C29C0" w:rsidRDefault="00B61F8A" w:rsidP="00334407">
    <w:pPr>
      <w:pStyle w:val="EPFooter"/>
    </w:pPr>
    <w:r w:rsidRPr="000C29C0">
      <w:t>PE</w:t>
    </w:r>
    <w:r w:rsidRPr="000C29C0">
      <w:rPr>
        <w:rStyle w:val="HideTWBExt"/>
      </w:rPr>
      <w:t>&lt;</w:t>
    </w:r>
    <w:proofErr w:type="spellStart"/>
    <w:r w:rsidRPr="000C29C0">
      <w:rPr>
        <w:rStyle w:val="HideTWBExt"/>
      </w:rPr>
      <w:t>NoPE</w:t>
    </w:r>
    <w:proofErr w:type="spellEnd"/>
    <w:r w:rsidRPr="000C29C0">
      <w:rPr>
        <w:rStyle w:val="HideTWBExt"/>
      </w:rPr>
      <w:t>&gt;</w:t>
    </w:r>
    <w:r w:rsidRPr="000C29C0">
      <w:t>778.062</w:t>
    </w:r>
    <w:r w:rsidRPr="000C29C0">
      <w:rPr>
        <w:rStyle w:val="HideTWBExt"/>
      </w:rPr>
      <w:t>&lt;/</w:t>
    </w:r>
    <w:proofErr w:type="spellStart"/>
    <w:r w:rsidRPr="000C29C0">
      <w:rPr>
        <w:rStyle w:val="HideTWBExt"/>
      </w:rPr>
      <w:t>NoPE</w:t>
    </w:r>
    <w:proofErr w:type="spellEnd"/>
    <w:r w:rsidRPr="000C29C0">
      <w:rPr>
        <w:rStyle w:val="HideTWBExt"/>
      </w:rPr>
      <w:t>&gt;&lt;Version&gt;</w:t>
    </w:r>
    <w:r w:rsidRPr="000C29C0">
      <w:t>v03-00</w:t>
    </w:r>
    <w:r w:rsidRPr="000C29C0">
      <w:rPr>
        <w:rStyle w:val="HideTWBExt"/>
      </w:rPr>
      <w:t>&lt;/</w:t>
    </w:r>
    <w:proofErr w:type="spellStart"/>
    <w:r w:rsidRPr="000C29C0">
      <w:rPr>
        <w:rStyle w:val="HideTWBExt"/>
      </w:rPr>
      <w:t>Version</w:t>
    </w:r>
    <w:proofErr w:type="spellEnd"/>
    <w:r w:rsidRPr="000C29C0">
      <w:rPr>
        <w:rStyle w:val="HideTWBExt"/>
      </w:rPr>
      <w:t>&gt;</w:t>
    </w:r>
    <w:r w:rsidRPr="000C29C0">
      <w:tab/>
    </w:r>
    <w:r w:rsidRPr="000C29C0">
      <w:fldChar w:fldCharType="begin"/>
    </w:r>
    <w:r w:rsidRPr="000C29C0">
      <w:instrText xml:space="preserve"> PAGE  \* MERGEFORMAT </w:instrText>
    </w:r>
    <w:r w:rsidRPr="000C29C0">
      <w:fldChar w:fldCharType="separate"/>
    </w:r>
    <w:r w:rsidRPr="000C29C0">
      <w:rPr>
        <w:noProof/>
      </w:rPr>
      <w:t>20</w:t>
    </w:r>
    <w:r w:rsidRPr="000C29C0">
      <w:fldChar w:fldCharType="end"/>
    </w:r>
    <w:r w:rsidRPr="000C29C0">
      <w:t>/</w:t>
    </w:r>
    <w:fldSimple w:instr=" NUMPAGES  \* MERGEFORMAT ">
      <w:r w:rsidRPr="000C29C0">
        <w:rPr>
          <w:noProof/>
        </w:rPr>
        <w:t>21</w:t>
      </w:r>
    </w:fldSimple>
    <w:r w:rsidRPr="000C29C0">
      <w:tab/>
    </w:r>
    <w:r w:rsidRPr="000C29C0">
      <w:rPr>
        <w:rStyle w:val="HideTWBExt"/>
      </w:rPr>
      <w:t>&lt;PathFdR&gt;</w:t>
    </w:r>
    <w:r w:rsidRPr="000C29C0">
      <w:t>RR\1340133CS.docx</w:t>
    </w:r>
    <w:r w:rsidRPr="000C29C0">
      <w:rPr>
        <w:rStyle w:val="HideTWBExt"/>
      </w:rPr>
      <w:t>&lt;/</w:t>
    </w:r>
    <w:proofErr w:type="spellStart"/>
    <w:r w:rsidRPr="000C29C0">
      <w:rPr>
        <w:rStyle w:val="HideTWBExt"/>
      </w:rPr>
      <w:t>PathFdR</w:t>
    </w:r>
    <w:proofErr w:type="spellEnd"/>
    <w:r w:rsidRPr="000C29C0">
      <w:rPr>
        <w:rStyle w:val="HideTWBExt"/>
      </w:rPr>
      <w:t>&gt;</w:t>
    </w:r>
  </w:p>
  <w:p w14:paraId="118DB317" w14:textId="77777777" w:rsidR="00B61F8A" w:rsidRPr="000C29C0" w:rsidRDefault="00B61F8A" w:rsidP="00334407">
    <w:pPr>
      <w:pStyle w:val="EPFooter2"/>
    </w:pPr>
    <w:r w:rsidRPr="000C29C0">
      <w:t>CS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1577A" w14:textId="77777777" w:rsidR="00B61F8A" w:rsidRPr="000C29C0" w:rsidRDefault="00B61F8A" w:rsidP="00334407">
    <w:pPr>
      <w:pStyle w:val="EPFooter"/>
    </w:pPr>
    <w:r w:rsidRPr="000C29C0">
      <w:rPr>
        <w:rStyle w:val="HideTWBExt"/>
      </w:rPr>
      <w:t>&lt;PathFdR&gt;</w:t>
    </w:r>
    <w:r w:rsidRPr="000C29C0">
      <w:t>RR\1340133CS.docx</w:t>
    </w:r>
    <w:r w:rsidRPr="000C29C0">
      <w:rPr>
        <w:rStyle w:val="HideTWBExt"/>
      </w:rPr>
      <w:t>&lt;/</w:t>
    </w:r>
    <w:proofErr w:type="spellStart"/>
    <w:r w:rsidRPr="000C29C0">
      <w:rPr>
        <w:rStyle w:val="HideTWBExt"/>
      </w:rPr>
      <w:t>PathFdR</w:t>
    </w:r>
    <w:proofErr w:type="spellEnd"/>
    <w:r w:rsidRPr="000C29C0">
      <w:rPr>
        <w:rStyle w:val="HideTWBExt"/>
      </w:rPr>
      <w:t>&gt;</w:t>
    </w:r>
    <w:r w:rsidRPr="000C29C0">
      <w:tab/>
    </w:r>
    <w:r w:rsidRPr="000C29C0">
      <w:tab/>
      <w:t>PE</w:t>
    </w:r>
    <w:r w:rsidRPr="000C29C0">
      <w:rPr>
        <w:rStyle w:val="HideTWBExt"/>
      </w:rPr>
      <w:t>&lt;</w:t>
    </w:r>
    <w:proofErr w:type="spellStart"/>
    <w:r w:rsidRPr="000C29C0">
      <w:rPr>
        <w:rStyle w:val="HideTWBExt"/>
      </w:rPr>
      <w:t>NoPE</w:t>
    </w:r>
    <w:proofErr w:type="spellEnd"/>
    <w:r w:rsidRPr="000C29C0">
      <w:rPr>
        <w:rStyle w:val="HideTWBExt"/>
      </w:rPr>
      <w:t>&gt;</w:t>
    </w:r>
    <w:r w:rsidRPr="000C29C0">
      <w:t>778.062</w:t>
    </w:r>
    <w:r w:rsidRPr="000C29C0">
      <w:rPr>
        <w:rStyle w:val="HideTWBExt"/>
      </w:rPr>
      <w:t>&lt;/</w:t>
    </w:r>
    <w:proofErr w:type="spellStart"/>
    <w:r w:rsidRPr="000C29C0">
      <w:rPr>
        <w:rStyle w:val="HideTWBExt"/>
      </w:rPr>
      <w:t>NoPE</w:t>
    </w:r>
    <w:proofErr w:type="spellEnd"/>
    <w:r w:rsidRPr="000C29C0">
      <w:rPr>
        <w:rStyle w:val="HideTWBExt"/>
      </w:rPr>
      <w:t>&gt;&lt;Version&gt;</w:t>
    </w:r>
    <w:r w:rsidRPr="000C29C0">
      <w:t>v03-00</w:t>
    </w:r>
    <w:r w:rsidRPr="000C29C0">
      <w:rPr>
        <w:rStyle w:val="HideTWBExt"/>
      </w:rPr>
      <w:t>&lt;/</w:t>
    </w:r>
    <w:proofErr w:type="spellStart"/>
    <w:r w:rsidRPr="000C29C0">
      <w:rPr>
        <w:rStyle w:val="HideTWBExt"/>
      </w:rPr>
      <w:t>Version</w:t>
    </w:r>
    <w:proofErr w:type="spellEnd"/>
    <w:r w:rsidRPr="000C29C0">
      <w:rPr>
        <w:rStyle w:val="HideTWBExt"/>
      </w:rPr>
      <w:t>&gt;</w:t>
    </w:r>
  </w:p>
  <w:p w14:paraId="2CA5A7BB" w14:textId="77777777" w:rsidR="00B61F8A" w:rsidRPr="000C29C0" w:rsidRDefault="00B61F8A" w:rsidP="00334407">
    <w:pPr>
      <w:pStyle w:val="EPFooter2"/>
    </w:pPr>
    <w:r w:rsidRPr="000C29C0">
      <w:t>CS</w:t>
    </w:r>
    <w:r w:rsidRPr="000C29C0">
      <w:tab/>
    </w:r>
    <w:r w:rsidRPr="000C29C0">
      <w:rPr>
        <w:b w:val="0"/>
        <w:i/>
        <w:color w:val="C0C0C0"/>
        <w:sz w:val="22"/>
      </w:rPr>
      <w:t>Jednotná v rozmanitosti</w:t>
    </w:r>
    <w:r w:rsidRPr="000C29C0">
      <w:tab/>
      <w:t>CS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C4CF2" w14:textId="77777777" w:rsidR="00064002" w:rsidRPr="000C29C0"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AE01C" w14:textId="77777777" w:rsidR="00064002" w:rsidRPr="000C29C0"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70D98" w14:textId="77777777" w:rsidR="00064002" w:rsidRPr="000C29C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81A02A" w14:textId="77777777" w:rsidR="006A2696" w:rsidRPr="000C29C0" w:rsidRDefault="006A2696">
      <w:r w:rsidRPr="000C29C0">
        <w:separator/>
      </w:r>
    </w:p>
  </w:footnote>
  <w:footnote w:type="continuationSeparator" w:id="0">
    <w:p w14:paraId="5AE510AE" w14:textId="77777777" w:rsidR="006A2696" w:rsidRPr="000C29C0" w:rsidRDefault="006A2696">
      <w:r w:rsidRPr="000C29C0">
        <w:continuationSeparator/>
      </w:r>
    </w:p>
  </w:footnote>
  <w:footnote w:id="1">
    <w:p w14:paraId="7B6D23EA" w14:textId="650DDABA" w:rsidR="00B61F8A" w:rsidRPr="000C29C0" w:rsidRDefault="00B61F8A" w:rsidP="000C29C0">
      <w:pPr>
        <w:pStyle w:val="FootnoteText"/>
        <w:ind w:left="567" w:hanging="567"/>
        <w:rPr>
          <w:sz w:val="24"/>
          <w:lang w:val="cs-CZ"/>
        </w:rPr>
      </w:pPr>
      <w:r w:rsidRPr="000C29C0">
        <w:rPr>
          <w:rStyle w:val="FootnoteReference"/>
          <w:sz w:val="24"/>
          <w:lang w:val="cs-CZ"/>
        </w:rPr>
        <w:footnoteRef/>
      </w:r>
      <w:r w:rsidR="000C29C0" w:rsidRPr="000C29C0">
        <w:rPr>
          <w:sz w:val="24"/>
          <w:lang w:val="cs-CZ"/>
        </w:rPr>
        <w:t xml:space="preserve"> </w:t>
      </w:r>
      <w:r w:rsidR="000C29C0" w:rsidRPr="000C29C0">
        <w:rPr>
          <w:sz w:val="24"/>
          <w:lang w:val="cs-CZ"/>
        </w:rPr>
        <w:tab/>
      </w:r>
      <w:proofErr w:type="spellStart"/>
      <w:r w:rsidRPr="000C29C0">
        <w:rPr>
          <w:sz w:val="24"/>
          <w:lang w:val="cs-CZ"/>
        </w:rPr>
        <w:t>Úř</w:t>
      </w:r>
      <w:proofErr w:type="spellEnd"/>
      <w:r w:rsidRPr="000C29C0">
        <w:rPr>
          <w:sz w:val="24"/>
          <w:lang w:val="cs-CZ"/>
        </w:rPr>
        <w:t xml:space="preserve">. </w:t>
      </w:r>
      <w:proofErr w:type="spellStart"/>
      <w:r w:rsidRPr="000C29C0">
        <w:rPr>
          <w:sz w:val="24"/>
          <w:lang w:val="cs-CZ"/>
        </w:rPr>
        <w:t>věst</w:t>
      </w:r>
      <w:proofErr w:type="spellEnd"/>
      <w:r w:rsidRPr="000C29C0">
        <w:rPr>
          <w:sz w:val="24"/>
          <w:lang w:val="cs-CZ"/>
        </w:rPr>
        <w:t>. L</w:t>
      </w:r>
      <w:r w:rsidR="001F3F89">
        <w:rPr>
          <w:sz w:val="24"/>
          <w:lang w:val="cs-CZ"/>
        </w:rPr>
        <w:t>,</w:t>
      </w:r>
      <w:r w:rsidRPr="000C29C0">
        <w:rPr>
          <w:sz w:val="24"/>
          <w:lang w:val="cs-CZ"/>
        </w:rPr>
        <w:t xml:space="preserve"> </w:t>
      </w:r>
      <w:r w:rsidR="00541C68">
        <w:rPr>
          <w:sz w:val="24"/>
          <w:lang w:val="cs-CZ"/>
        </w:rPr>
        <w:t>2024/</w:t>
      </w:r>
      <w:r w:rsidRPr="000C29C0">
        <w:rPr>
          <w:sz w:val="24"/>
          <w:lang w:val="cs-CZ"/>
        </w:rPr>
        <w:t xml:space="preserve">207, 22.2.2024, ELI: </w:t>
      </w:r>
      <w:hyperlink r:id="rId1" w:history="1">
        <w:r w:rsidRPr="000C29C0">
          <w:rPr>
            <w:rStyle w:val="Hyperlink"/>
            <w:sz w:val="24"/>
            <w:lang w:val="cs-CZ"/>
          </w:rPr>
          <w:t>http://data.europa.eu/eli/budget/2024/207/oj</w:t>
        </w:r>
      </w:hyperlink>
      <w:r w:rsidRPr="000C29C0">
        <w:rPr>
          <w:sz w:val="24"/>
          <w:lang w:val="cs-CZ"/>
        </w:rPr>
        <w:t>.</w:t>
      </w:r>
    </w:p>
  </w:footnote>
  <w:footnote w:id="2">
    <w:p w14:paraId="2507BC26" w14:textId="1A22515D" w:rsidR="00B61F8A" w:rsidRPr="000C29C0" w:rsidRDefault="00B61F8A" w:rsidP="000C29C0">
      <w:pPr>
        <w:pStyle w:val="FootnoteText"/>
        <w:ind w:left="567" w:hanging="567"/>
        <w:rPr>
          <w:sz w:val="24"/>
          <w:lang w:val="cs-CZ"/>
        </w:rPr>
      </w:pPr>
      <w:r w:rsidRPr="000C29C0">
        <w:rPr>
          <w:rStyle w:val="FootnoteReference"/>
          <w:sz w:val="24"/>
          <w:lang w:val="cs-CZ"/>
        </w:rPr>
        <w:footnoteRef/>
      </w:r>
      <w:r w:rsidR="000C29C0" w:rsidRPr="000C29C0">
        <w:rPr>
          <w:sz w:val="24"/>
          <w:lang w:val="cs-CZ"/>
        </w:rPr>
        <w:t xml:space="preserve"> </w:t>
      </w:r>
      <w:r w:rsidR="000C29C0" w:rsidRPr="000C29C0">
        <w:rPr>
          <w:sz w:val="24"/>
          <w:lang w:val="cs-CZ"/>
        </w:rPr>
        <w:tab/>
      </w:r>
      <w:proofErr w:type="spellStart"/>
      <w:r w:rsidRPr="000C29C0">
        <w:rPr>
          <w:sz w:val="24"/>
          <w:lang w:val="cs-CZ"/>
        </w:rPr>
        <w:t>Úř</w:t>
      </w:r>
      <w:proofErr w:type="spellEnd"/>
      <w:r w:rsidRPr="000C29C0">
        <w:rPr>
          <w:sz w:val="24"/>
          <w:lang w:val="cs-CZ"/>
        </w:rPr>
        <w:t xml:space="preserve">. </w:t>
      </w:r>
      <w:proofErr w:type="spellStart"/>
      <w:r w:rsidRPr="000C29C0">
        <w:rPr>
          <w:sz w:val="24"/>
          <w:lang w:val="cs-CZ"/>
        </w:rPr>
        <w:t>věst</w:t>
      </w:r>
      <w:proofErr w:type="spellEnd"/>
      <w:r w:rsidRPr="000C29C0">
        <w:rPr>
          <w:sz w:val="24"/>
          <w:lang w:val="cs-CZ"/>
        </w:rPr>
        <w:t xml:space="preserve">. C, C/2025/4944, 13.10.2025, ELI: </w:t>
      </w:r>
      <w:hyperlink r:id="rId2" w:history="1">
        <w:r w:rsidRPr="000C29C0">
          <w:rPr>
            <w:rStyle w:val="Hyperlink"/>
            <w:sz w:val="24"/>
            <w:lang w:val="cs-CZ"/>
          </w:rPr>
          <w:t>http://data.europa.eu/eli/C/2025/4944/oj</w:t>
        </w:r>
      </w:hyperlink>
      <w:r w:rsidRPr="000C29C0">
        <w:rPr>
          <w:sz w:val="24"/>
          <w:lang w:val="cs-CZ"/>
        </w:rPr>
        <w:t>.</w:t>
      </w:r>
    </w:p>
  </w:footnote>
  <w:footnote w:id="3">
    <w:p w14:paraId="34C9C643" w14:textId="5D5A2B58" w:rsidR="00B61F8A" w:rsidRPr="000C29C0" w:rsidRDefault="00B61F8A" w:rsidP="000C29C0">
      <w:pPr>
        <w:pStyle w:val="FootnoteText"/>
        <w:ind w:left="567" w:hanging="567"/>
        <w:rPr>
          <w:sz w:val="24"/>
          <w:lang w:val="cs-CZ"/>
        </w:rPr>
      </w:pPr>
      <w:r w:rsidRPr="000C29C0">
        <w:rPr>
          <w:rStyle w:val="FootnoteReference"/>
          <w:sz w:val="24"/>
          <w:lang w:val="cs-CZ"/>
        </w:rPr>
        <w:footnoteRef/>
      </w:r>
      <w:r w:rsidR="000C29C0" w:rsidRPr="000C29C0">
        <w:rPr>
          <w:sz w:val="24"/>
          <w:lang w:val="cs-CZ"/>
        </w:rPr>
        <w:t xml:space="preserve"> </w:t>
      </w:r>
      <w:r w:rsidR="000C29C0" w:rsidRPr="000C29C0">
        <w:rPr>
          <w:sz w:val="24"/>
          <w:lang w:val="cs-CZ"/>
        </w:rPr>
        <w:tab/>
      </w:r>
      <w:proofErr w:type="spellStart"/>
      <w:r w:rsidRPr="000C29C0">
        <w:rPr>
          <w:sz w:val="24"/>
          <w:lang w:val="cs-CZ"/>
        </w:rPr>
        <w:t>Úř</w:t>
      </w:r>
      <w:proofErr w:type="spellEnd"/>
      <w:r w:rsidRPr="000C29C0">
        <w:rPr>
          <w:sz w:val="24"/>
          <w:lang w:val="cs-CZ"/>
        </w:rPr>
        <w:t xml:space="preserve">. </w:t>
      </w:r>
      <w:proofErr w:type="spellStart"/>
      <w:r w:rsidRPr="000C29C0">
        <w:rPr>
          <w:sz w:val="24"/>
          <w:lang w:val="cs-CZ"/>
        </w:rPr>
        <w:t>věst</w:t>
      </w:r>
      <w:proofErr w:type="spellEnd"/>
      <w:r w:rsidRPr="000C29C0">
        <w:rPr>
          <w:sz w:val="24"/>
          <w:lang w:val="cs-CZ"/>
        </w:rPr>
        <w:t xml:space="preserve">. C, C/2025/5409, 8.10.2025, ELI: </w:t>
      </w:r>
      <w:hyperlink r:id="rId3" w:history="1">
        <w:r w:rsidRPr="000C29C0">
          <w:rPr>
            <w:rStyle w:val="Hyperlink"/>
            <w:sz w:val="24"/>
            <w:lang w:val="cs-CZ"/>
          </w:rPr>
          <w:t>http://data.europa.eu/eli/C/2025/5409/oj</w:t>
        </w:r>
      </w:hyperlink>
      <w:r w:rsidRPr="000C29C0">
        <w:rPr>
          <w:sz w:val="24"/>
          <w:lang w:val="cs-CZ"/>
        </w:rPr>
        <w:t>.</w:t>
      </w:r>
    </w:p>
  </w:footnote>
  <w:footnote w:id="4">
    <w:p w14:paraId="3BC7C49E" w14:textId="0185F3AA" w:rsidR="00B61F8A" w:rsidRPr="000C29C0" w:rsidRDefault="00B61F8A" w:rsidP="000C29C0">
      <w:pPr>
        <w:pStyle w:val="FootnoteText"/>
        <w:ind w:left="567" w:hanging="567"/>
        <w:rPr>
          <w:sz w:val="24"/>
          <w:lang w:val="cs-CZ"/>
        </w:rPr>
      </w:pPr>
      <w:r w:rsidRPr="000C29C0">
        <w:rPr>
          <w:rStyle w:val="FootnoteReference"/>
          <w:sz w:val="24"/>
          <w:lang w:val="cs-CZ"/>
        </w:rPr>
        <w:footnoteRef/>
      </w:r>
      <w:r w:rsidR="000C29C0" w:rsidRPr="000C29C0">
        <w:rPr>
          <w:sz w:val="24"/>
          <w:lang w:val="cs-CZ"/>
        </w:rPr>
        <w:t xml:space="preserve"> </w:t>
      </w:r>
      <w:r w:rsidR="000C29C0" w:rsidRPr="000C29C0">
        <w:rPr>
          <w:sz w:val="24"/>
          <w:lang w:val="cs-CZ"/>
        </w:rPr>
        <w:tab/>
      </w:r>
      <w:proofErr w:type="spellStart"/>
      <w:r w:rsidRPr="000C29C0">
        <w:rPr>
          <w:sz w:val="24"/>
          <w:lang w:val="cs-CZ"/>
        </w:rPr>
        <w:t>Úř</w:t>
      </w:r>
      <w:proofErr w:type="spellEnd"/>
      <w:r w:rsidRPr="000C29C0">
        <w:rPr>
          <w:sz w:val="24"/>
          <w:lang w:val="cs-CZ"/>
        </w:rPr>
        <w:t xml:space="preserve">. </w:t>
      </w:r>
      <w:proofErr w:type="spellStart"/>
      <w:r w:rsidRPr="000C29C0">
        <w:rPr>
          <w:sz w:val="24"/>
          <w:lang w:val="cs-CZ"/>
        </w:rPr>
        <w:t>věst</w:t>
      </w:r>
      <w:proofErr w:type="spellEnd"/>
      <w:r w:rsidRPr="000C29C0">
        <w:rPr>
          <w:sz w:val="24"/>
          <w:lang w:val="cs-CZ"/>
        </w:rPr>
        <w:t xml:space="preserve">. C, C/2025/5407, 13.10.2025, ELI: </w:t>
      </w:r>
      <w:hyperlink r:id="rId4" w:history="1">
        <w:r w:rsidRPr="000C29C0">
          <w:rPr>
            <w:rStyle w:val="Hyperlink"/>
            <w:sz w:val="24"/>
            <w:lang w:val="cs-CZ"/>
          </w:rPr>
          <w:t>http://data.europa.eu/eli/C/2025/5407/oj</w:t>
        </w:r>
      </w:hyperlink>
      <w:r w:rsidRPr="000C29C0">
        <w:rPr>
          <w:sz w:val="24"/>
          <w:lang w:val="cs-CZ"/>
        </w:rPr>
        <w:t>.</w:t>
      </w:r>
    </w:p>
  </w:footnote>
  <w:footnote w:id="5">
    <w:p w14:paraId="79CEB7CA" w14:textId="5831A8AE" w:rsidR="00B61F8A" w:rsidRPr="000C29C0" w:rsidRDefault="00B61F8A" w:rsidP="000C29C0">
      <w:pPr>
        <w:pStyle w:val="FootnoteText"/>
        <w:ind w:left="567" w:hanging="567"/>
        <w:rPr>
          <w:sz w:val="24"/>
          <w:lang w:val="cs-CZ"/>
        </w:rPr>
      </w:pPr>
      <w:r w:rsidRPr="000C29C0">
        <w:rPr>
          <w:rStyle w:val="FootnoteReference"/>
          <w:sz w:val="24"/>
          <w:lang w:val="cs-CZ"/>
        </w:rPr>
        <w:footnoteRef/>
      </w:r>
      <w:r w:rsidR="000C29C0" w:rsidRPr="000C29C0">
        <w:rPr>
          <w:sz w:val="24"/>
          <w:lang w:val="cs-CZ"/>
        </w:rPr>
        <w:t xml:space="preserve"> </w:t>
      </w:r>
      <w:r w:rsidR="000C29C0" w:rsidRPr="000C29C0">
        <w:rPr>
          <w:sz w:val="24"/>
          <w:lang w:val="cs-CZ"/>
        </w:rPr>
        <w:tab/>
      </w:r>
      <w:proofErr w:type="spellStart"/>
      <w:r w:rsidRPr="000C29C0">
        <w:rPr>
          <w:sz w:val="24"/>
          <w:lang w:val="cs-CZ"/>
        </w:rPr>
        <w:t>Úř</w:t>
      </w:r>
      <w:proofErr w:type="spellEnd"/>
      <w:r w:rsidRPr="000C29C0">
        <w:rPr>
          <w:sz w:val="24"/>
          <w:lang w:val="cs-CZ"/>
        </w:rPr>
        <w:t xml:space="preserve">. </w:t>
      </w:r>
      <w:proofErr w:type="spellStart"/>
      <w:r w:rsidRPr="000C29C0">
        <w:rPr>
          <w:sz w:val="24"/>
          <w:lang w:val="cs-CZ"/>
        </w:rPr>
        <w:t>věst</w:t>
      </w:r>
      <w:proofErr w:type="spellEnd"/>
      <w:r w:rsidRPr="000C29C0">
        <w:rPr>
          <w:sz w:val="24"/>
          <w:lang w:val="cs-CZ"/>
        </w:rPr>
        <w:t xml:space="preserve">. L 193, 30.7.2018, s. 1, ELI: </w:t>
      </w:r>
      <w:hyperlink r:id="rId5" w:history="1">
        <w:r w:rsidRPr="000C29C0">
          <w:rPr>
            <w:rStyle w:val="Hyperlink"/>
            <w:sz w:val="24"/>
            <w:lang w:val="cs-CZ"/>
          </w:rPr>
          <w:t>http://data.europa.eu/eli/reg/2018/1046/oj</w:t>
        </w:r>
      </w:hyperlink>
      <w:r w:rsidRPr="000C29C0">
        <w:rPr>
          <w:sz w:val="24"/>
          <w:lang w:val="cs-CZ"/>
        </w:rPr>
        <w:t>.</w:t>
      </w:r>
    </w:p>
  </w:footnote>
  <w:footnote w:id="6">
    <w:p w14:paraId="0A6DAAC9" w14:textId="28F5D39E" w:rsidR="00B61F8A" w:rsidRPr="000C29C0" w:rsidRDefault="00B61F8A" w:rsidP="000C29C0">
      <w:pPr>
        <w:pStyle w:val="FootnoteText"/>
        <w:ind w:left="567" w:hanging="567"/>
        <w:rPr>
          <w:sz w:val="24"/>
          <w:lang w:val="cs-CZ"/>
        </w:rPr>
      </w:pPr>
      <w:r w:rsidRPr="000C29C0">
        <w:rPr>
          <w:rStyle w:val="FootnoteReference"/>
          <w:sz w:val="24"/>
          <w:lang w:val="cs-CZ"/>
        </w:rPr>
        <w:footnoteRef/>
      </w:r>
      <w:r w:rsidR="000C29C0" w:rsidRPr="000C29C0">
        <w:rPr>
          <w:sz w:val="24"/>
          <w:lang w:val="cs-CZ"/>
        </w:rPr>
        <w:t xml:space="preserve"> </w:t>
      </w:r>
      <w:r w:rsidR="000C29C0" w:rsidRPr="000C29C0">
        <w:rPr>
          <w:sz w:val="24"/>
          <w:lang w:val="cs-CZ"/>
        </w:rPr>
        <w:tab/>
      </w:r>
      <w:proofErr w:type="spellStart"/>
      <w:r w:rsidRPr="000C29C0">
        <w:rPr>
          <w:sz w:val="24"/>
          <w:lang w:val="cs-CZ"/>
        </w:rPr>
        <w:t>Úř</w:t>
      </w:r>
      <w:proofErr w:type="spellEnd"/>
      <w:r w:rsidRPr="000C29C0">
        <w:rPr>
          <w:sz w:val="24"/>
          <w:lang w:val="cs-CZ"/>
        </w:rPr>
        <w:t xml:space="preserve">. </w:t>
      </w:r>
      <w:proofErr w:type="spellStart"/>
      <w:r w:rsidRPr="000C29C0">
        <w:rPr>
          <w:sz w:val="24"/>
          <w:lang w:val="cs-CZ"/>
        </w:rPr>
        <w:t>věst</w:t>
      </w:r>
      <w:proofErr w:type="spellEnd"/>
      <w:r w:rsidRPr="000C29C0">
        <w:rPr>
          <w:sz w:val="24"/>
          <w:lang w:val="cs-CZ"/>
        </w:rPr>
        <w:t xml:space="preserve">. L, 2024/2509, 26.9.2024, ELI: </w:t>
      </w:r>
      <w:hyperlink r:id="rId6" w:history="1">
        <w:r w:rsidRPr="000C29C0">
          <w:rPr>
            <w:rStyle w:val="Hyperlink"/>
            <w:sz w:val="24"/>
            <w:lang w:val="cs-CZ"/>
          </w:rPr>
          <w:t>http://data.europa.eu/eli/reg/2024/2509/oj</w:t>
        </w:r>
      </w:hyperlink>
      <w:r w:rsidRPr="000C29C0">
        <w:rPr>
          <w:sz w:val="24"/>
          <w:lang w:val="cs-CZ"/>
        </w:rPr>
        <w:t>.</w:t>
      </w:r>
    </w:p>
  </w:footnote>
  <w:footnote w:id="7">
    <w:p w14:paraId="2C3D91CD" w14:textId="04871A08" w:rsidR="00B61F8A" w:rsidRPr="000C29C0" w:rsidRDefault="00B61F8A" w:rsidP="000C29C0">
      <w:pPr>
        <w:pStyle w:val="FootnoteText"/>
        <w:ind w:left="567" w:hanging="567"/>
        <w:rPr>
          <w:sz w:val="24"/>
          <w:lang w:val="cs-CZ"/>
        </w:rPr>
      </w:pPr>
      <w:r w:rsidRPr="000C29C0">
        <w:rPr>
          <w:rStyle w:val="FootnoteReference"/>
          <w:sz w:val="24"/>
          <w:lang w:val="cs-CZ"/>
        </w:rPr>
        <w:footnoteRef/>
      </w:r>
      <w:r w:rsidR="000C29C0" w:rsidRPr="000C29C0">
        <w:rPr>
          <w:sz w:val="24"/>
          <w:lang w:val="cs-CZ"/>
        </w:rPr>
        <w:t xml:space="preserve"> </w:t>
      </w:r>
      <w:r w:rsidR="000C29C0" w:rsidRPr="000C29C0">
        <w:rPr>
          <w:sz w:val="24"/>
          <w:lang w:val="cs-CZ"/>
        </w:rPr>
        <w:tab/>
      </w:r>
      <w:r w:rsidRPr="000C29C0">
        <w:rPr>
          <w:sz w:val="24"/>
          <w:lang w:val="cs-CZ"/>
        </w:rPr>
        <w:t>Nařízení Evropského parlamentu a Rady (EU, Euratom) 2023/2841 ze dne 13. prosince 2023, kterým se stanoví opatření k zajištění vysoké společné úrovně kybernetické bezpečnosti v orgánech, institucích a jiných subjektech Unie (</w:t>
      </w:r>
      <w:proofErr w:type="spellStart"/>
      <w:r w:rsidR="001F3F89">
        <w:rPr>
          <w:sz w:val="24"/>
          <w:lang w:val="cs-CZ"/>
        </w:rPr>
        <w:t>Úř</w:t>
      </w:r>
      <w:proofErr w:type="spellEnd"/>
      <w:r w:rsidR="001F3F89">
        <w:rPr>
          <w:sz w:val="24"/>
          <w:lang w:val="cs-CZ"/>
        </w:rPr>
        <w:t>. věst.</w:t>
      </w:r>
      <w:r w:rsidRPr="000C29C0">
        <w:rPr>
          <w:sz w:val="24"/>
          <w:lang w:val="cs-CZ"/>
        </w:rPr>
        <w:t xml:space="preserve"> L, 2023/2841, 18.12.2023, ELI: </w:t>
      </w:r>
      <w:hyperlink r:id="rId7" w:tgtFrame="_blank" w:tooltip="Umožňuje přístup k tomuto dokumentu prostřednictvím identifikátoru ELI URI." w:history="1">
        <w:r w:rsidRPr="000C29C0">
          <w:rPr>
            <w:rStyle w:val="Hyperlink"/>
            <w:sz w:val="24"/>
            <w:lang w:val="cs-CZ"/>
          </w:rPr>
          <w:t>http://data.europa.eu/</w:t>
        </w:r>
        <w:proofErr w:type="spellStart"/>
        <w:r w:rsidRPr="000C29C0">
          <w:rPr>
            <w:rStyle w:val="Hyperlink"/>
            <w:sz w:val="24"/>
            <w:lang w:val="cs-CZ"/>
          </w:rPr>
          <w:t>eli</w:t>
        </w:r>
        <w:proofErr w:type="spellEnd"/>
        <w:r w:rsidRPr="000C29C0">
          <w:rPr>
            <w:rStyle w:val="Hyperlink"/>
            <w:sz w:val="24"/>
            <w:lang w:val="cs-CZ"/>
          </w:rPr>
          <w:t>/</w:t>
        </w:r>
        <w:proofErr w:type="spellStart"/>
        <w:r w:rsidRPr="000C29C0">
          <w:rPr>
            <w:rStyle w:val="Hyperlink"/>
            <w:sz w:val="24"/>
            <w:lang w:val="cs-CZ"/>
          </w:rPr>
          <w:t>reg</w:t>
        </w:r>
        <w:proofErr w:type="spellEnd"/>
        <w:r w:rsidRPr="000C29C0">
          <w:rPr>
            <w:rStyle w:val="Hyperlink"/>
            <w:sz w:val="24"/>
            <w:lang w:val="cs-CZ"/>
          </w:rPr>
          <w:t>/2023/2841/oj</w:t>
        </w:r>
      </w:hyperlink>
      <w:r w:rsidRPr="000C29C0">
        <w:rPr>
          <w:sz w:val="24"/>
          <w:lang w:val="cs-CZ"/>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C3F31" w14:textId="77777777" w:rsidR="00064002" w:rsidRPr="000C29C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71C87" w14:textId="77777777" w:rsidR="00064002" w:rsidRPr="000C29C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13F5A" w14:textId="77777777" w:rsidR="00064002" w:rsidRPr="000C29C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9091318"/>
    <w:multiLevelType w:val="hybridMultilevel"/>
    <w:tmpl w:val="143224D2"/>
    <w:lvl w:ilvl="0" w:tplc="9D5C48F8">
      <w:start w:val="1"/>
      <w:numFmt w:val="upperLetter"/>
      <w:lvlText w:val="%1."/>
      <w:lvlJc w:val="left"/>
      <w:pPr>
        <w:tabs>
          <w:tab w:val="num" w:pos="360"/>
        </w:tabs>
        <w:ind w:left="360" w:hanging="360"/>
      </w:pPr>
      <w:rPr>
        <w:rFonts w:hint="default"/>
      </w:rPr>
    </w:lvl>
    <w:lvl w:ilvl="1" w:tplc="DEC49F6A" w:tentative="1">
      <w:start w:val="1"/>
      <w:numFmt w:val="lowerLetter"/>
      <w:lvlText w:val="%2."/>
      <w:lvlJc w:val="left"/>
      <w:pPr>
        <w:tabs>
          <w:tab w:val="num" w:pos="1080"/>
        </w:tabs>
        <w:ind w:left="1080" w:hanging="360"/>
      </w:pPr>
    </w:lvl>
    <w:lvl w:ilvl="2" w:tplc="30826842" w:tentative="1">
      <w:start w:val="1"/>
      <w:numFmt w:val="lowerRoman"/>
      <w:lvlText w:val="%3."/>
      <w:lvlJc w:val="right"/>
      <w:pPr>
        <w:tabs>
          <w:tab w:val="num" w:pos="1800"/>
        </w:tabs>
        <w:ind w:left="1800" w:hanging="180"/>
      </w:pPr>
    </w:lvl>
    <w:lvl w:ilvl="3" w:tplc="121C332A" w:tentative="1">
      <w:start w:val="1"/>
      <w:numFmt w:val="decimal"/>
      <w:lvlText w:val="%4."/>
      <w:lvlJc w:val="left"/>
      <w:pPr>
        <w:tabs>
          <w:tab w:val="num" w:pos="2520"/>
        </w:tabs>
        <w:ind w:left="2520" w:hanging="360"/>
      </w:pPr>
    </w:lvl>
    <w:lvl w:ilvl="4" w:tplc="2D7A26E0" w:tentative="1">
      <w:start w:val="1"/>
      <w:numFmt w:val="lowerLetter"/>
      <w:lvlText w:val="%5."/>
      <w:lvlJc w:val="left"/>
      <w:pPr>
        <w:tabs>
          <w:tab w:val="num" w:pos="3240"/>
        </w:tabs>
        <w:ind w:left="3240" w:hanging="360"/>
      </w:pPr>
    </w:lvl>
    <w:lvl w:ilvl="5" w:tplc="EB861778" w:tentative="1">
      <w:start w:val="1"/>
      <w:numFmt w:val="lowerRoman"/>
      <w:lvlText w:val="%6."/>
      <w:lvlJc w:val="right"/>
      <w:pPr>
        <w:tabs>
          <w:tab w:val="num" w:pos="3960"/>
        </w:tabs>
        <w:ind w:left="3960" w:hanging="180"/>
      </w:pPr>
    </w:lvl>
    <w:lvl w:ilvl="6" w:tplc="A266A7D0" w:tentative="1">
      <w:start w:val="1"/>
      <w:numFmt w:val="decimal"/>
      <w:lvlText w:val="%7."/>
      <w:lvlJc w:val="left"/>
      <w:pPr>
        <w:tabs>
          <w:tab w:val="num" w:pos="4680"/>
        </w:tabs>
        <w:ind w:left="4680" w:hanging="360"/>
      </w:pPr>
    </w:lvl>
    <w:lvl w:ilvl="7" w:tplc="5B8EE450" w:tentative="1">
      <w:start w:val="1"/>
      <w:numFmt w:val="lowerLetter"/>
      <w:lvlText w:val="%8."/>
      <w:lvlJc w:val="left"/>
      <w:pPr>
        <w:tabs>
          <w:tab w:val="num" w:pos="5400"/>
        </w:tabs>
        <w:ind w:left="5400" w:hanging="360"/>
      </w:pPr>
    </w:lvl>
    <w:lvl w:ilvl="8" w:tplc="6A3282B8" w:tentative="1">
      <w:start w:val="1"/>
      <w:numFmt w:val="lowerRoman"/>
      <w:lvlText w:val="%9."/>
      <w:lvlJc w:val="right"/>
      <w:pPr>
        <w:tabs>
          <w:tab w:val="num" w:pos="6120"/>
        </w:tabs>
        <w:ind w:left="612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62D6E49"/>
    <w:multiLevelType w:val="hybridMultilevel"/>
    <w:tmpl w:val="78B8CEFC"/>
    <w:lvl w:ilvl="0" w:tplc="3410A468">
      <w:start w:val="1"/>
      <w:numFmt w:val="decimal"/>
      <w:lvlText w:val="%1."/>
      <w:lvlJc w:val="left"/>
      <w:pPr>
        <w:tabs>
          <w:tab w:val="num" w:pos="720"/>
        </w:tabs>
        <w:ind w:left="720" w:hanging="360"/>
      </w:pPr>
    </w:lvl>
    <w:lvl w:ilvl="1" w:tplc="BC46455E" w:tentative="1">
      <w:start w:val="1"/>
      <w:numFmt w:val="lowerLetter"/>
      <w:lvlText w:val="%2."/>
      <w:lvlJc w:val="left"/>
      <w:pPr>
        <w:tabs>
          <w:tab w:val="num" w:pos="1440"/>
        </w:tabs>
        <w:ind w:left="1440" w:hanging="360"/>
      </w:pPr>
    </w:lvl>
    <w:lvl w:ilvl="2" w:tplc="872652A8" w:tentative="1">
      <w:start w:val="1"/>
      <w:numFmt w:val="lowerRoman"/>
      <w:lvlText w:val="%3."/>
      <w:lvlJc w:val="right"/>
      <w:pPr>
        <w:tabs>
          <w:tab w:val="num" w:pos="2160"/>
        </w:tabs>
        <w:ind w:left="2160" w:hanging="180"/>
      </w:pPr>
    </w:lvl>
    <w:lvl w:ilvl="3" w:tplc="6C1C0F7C" w:tentative="1">
      <w:start w:val="1"/>
      <w:numFmt w:val="decimal"/>
      <w:lvlText w:val="%4."/>
      <w:lvlJc w:val="left"/>
      <w:pPr>
        <w:tabs>
          <w:tab w:val="num" w:pos="2880"/>
        </w:tabs>
        <w:ind w:left="2880" w:hanging="360"/>
      </w:pPr>
    </w:lvl>
    <w:lvl w:ilvl="4" w:tplc="6A7A293A" w:tentative="1">
      <w:start w:val="1"/>
      <w:numFmt w:val="lowerLetter"/>
      <w:lvlText w:val="%5."/>
      <w:lvlJc w:val="left"/>
      <w:pPr>
        <w:tabs>
          <w:tab w:val="num" w:pos="3600"/>
        </w:tabs>
        <w:ind w:left="3600" w:hanging="360"/>
      </w:pPr>
    </w:lvl>
    <w:lvl w:ilvl="5" w:tplc="076E8294" w:tentative="1">
      <w:start w:val="1"/>
      <w:numFmt w:val="lowerRoman"/>
      <w:lvlText w:val="%6."/>
      <w:lvlJc w:val="right"/>
      <w:pPr>
        <w:tabs>
          <w:tab w:val="num" w:pos="4320"/>
        </w:tabs>
        <w:ind w:left="4320" w:hanging="180"/>
      </w:pPr>
    </w:lvl>
    <w:lvl w:ilvl="6" w:tplc="10E8E6A8" w:tentative="1">
      <w:start w:val="1"/>
      <w:numFmt w:val="decimal"/>
      <w:lvlText w:val="%7."/>
      <w:lvlJc w:val="left"/>
      <w:pPr>
        <w:tabs>
          <w:tab w:val="num" w:pos="5040"/>
        </w:tabs>
        <w:ind w:left="5040" w:hanging="360"/>
      </w:pPr>
    </w:lvl>
    <w:lvl w:ilvl="7" w:tplc="69A2CA3A" w:tentative="1">
      <w:start w:val="1"/>
      <w:numFmt w:val="lowerLetter"/>
      <w:lvlText w:val="%8."/>
      <w:lvlJc w:val="left"/>
      <w:pPr>
        <w:tabs>
          <w:tab w:val="num" w:pos="5760"/>
        </w:tabs>
        <w:ind w:left="5760" w:hanging="360"/>
      </w:pPr>
    </w:lvl>
    <w:lvl w:ilvl="8" w:tplc="C26E6F82" w:tentative="1">
      <w:start w:val="1"/>
      <w:numFmt w:val="lowerRoman"/>
      <w:lvlText w:val="%9."/>
      <w:lvlJc w:val="right"/>
      <w:pPr>
        <w:tabs>
          <w:tab w:val="num" w:pos="6480"/>
        </w:tabs>
        <w:ind w:left="6480" w:hanging="180"/>
      </w:pPr>
    </w:lvl>
  </w:abstractNum>
  <w:abstractNum w:abstractNumId="14" w15:restartNumberingAfterBreak="0">
    <w:nsid w:val="77832F60"/>
    <w:multiLevelType w:val="hybridMultilevel"/>
    <w:tmpl w:val="5204C218"/>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5" w15:restartNumberingAfterBreak="0">
    <w:nsid w:val="7E8D39F4"/>
    <w:multiLevelType w:val="hybridMultilevel"/>
    <w:tmpl w:val="FA9A7A50"/>
    <w:lvl w:ilvl="0" w:tplc="CFB01BAC">
      <w:start w:val="1"/>
      <w:numFmt w:val="upperLetter"/>
      <w:lvlText w:val="%1."/>
      <w:lvlJc w:val="left"/>
      <w:pPr>
        <w:ind w:left="570" w:hanging="570"/>
      </w:pPr>
      <w:rPr>
        <w:rFonts w:ascii="Times New Roman" w:eastAsia="Times New Roman" w:hAnsi="Times New Roman" w:cs="Times New Roman"/>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num w:numId="1" w16cid:durableId="669797425">
    <w:abstractNumId w:val="9"/>
  </w:num>
  <w:num w:numId="2" w16cid:durableId="1057122860">
    <w:abstractNumId w:val="9"/>
  </w:num>
  <w:num w:numId="3" w16cid:durableId="280964908">
    <w:abstractNumId w:val="7"/>
  </w:num>
  <w:num w:numId="4" w16cid:durableId="2079159704">
    <w:abstractNumId w:val="7"/>
  </w:num>
  <w:num w:numId="5" w16cid:durableId="1569724487">
    <w:abstractNumId w:val="6"/>
  </w:num>
  <w:num w:numId="6" w16cid:durableId="1887718475">
    <w:abstractNumId w:val="6"/>
  </w:num>
  <w:num w:numId="7" w16cid:durableId="119690360">
    <w:abstractNumId w:val="5"/>
  </w:num>
  <w:num w:numId="8" w16cid:durableId="292365853">
    <w:abstractNumId w:val="5"/>
  </w:num>
  <w:num w:numId="9" w16cid:durableId="231308401">
    <w:abstractNumId w:val="4"/>
  </w:num>
  <w:num w:numId="10" w16cid:durableId="618952706">
    <w:abstractNumId w:val="4"/>
  </w:num>
  <w:num w:numId="11" w16cid:durableId="2137946056">
    <w:abstractNumId w:val="8"/>
  </w:num>
  <w:num w:numId="12" w16cid:durableId="2095585394">
    <w:abstractNumId w:val="8"/>
  </w:num>
  <w:num w:numId="13" w16cid:durableId="586114882">
    <w:abstractNumId w:val="3"/>
  </w:num>
  <w:num w:numId="14" w16cid:durableId="1137189676">
    <w:abstractNumId w:val="3"/>
  </w:num>
  <w:num w:numId="15" w16cid:durableId="1341002028">
    <w:abstractNumId w:val="2"/>
  </w:num>
  <w:num w:numId="16" w16cid:durableId="913517357">
    <w:abstractNumId w:val="2"/>
  </w:num>
  <w:num w:numId="17" w16cid:durableId="1877765747">
    <w:abstractNumId w:val="1"/>
  </w:num>
  <w:num w:numId="18" w16cid:durableId="443811935">
    <w:abstractNumId w:val="1"/>
  </w:num>
  <w:num w:numId="19" w16cid:durableId="448931777">
    <w:abstractNumId w:val="0"/>
  </w:num>
  <w:num w:numId="20" w16cid:durableId="1696153444">
    <w:abstractNumId w:val="0"/>
  </w:num>
  <w:num w:numId="21" w16cid:durableId="577326893">
    <w:abstractNumId w:val="9"/>
  </w:num>
  <w:num w:numId="22" w16cid:durableId="1951741632">
    <w:abstractNumId w:val="7"/>
  </w:num>
  <w:num w:numId="23" w16cid:durableId="2101099217">
    <w:abstractNumId w:val="6"/>
  </w:num>
  <w:num w:numId="24" w16cid:durableId="1270120099">
    <w:abstractNumId w:val="5"/>
  </w:num>
  <w:num w:numId="25" w16cid:durableId="135495598">
    <w:abstractNumId w:val="4"/>
  </w:num>
  <w:num w:numId="26" w16cid:durableId="1490826778">
    <w:abstractNumId w:val="8"/>
  </w:num>
  <w:num w:numId="27" w16cid:durableId="652830897">
    <w:abstractNumId w:val="3"/>
  </w:num>
  <w:num w:numId="28" w16cid:durableId="273368034">
    <w:abstractNumId w:val="2"/>
  </w:num>
  <w:num w:numId="29" w16cid:durableId="1024483455">
    <w:abstractNumId w:val="1"/>
  </w:num>
  <w:num w:numId="30" w16cid:durableId="528958336">
    <w:abstractNumId w:val="0"/>
  </w:num>
  <w:num w:numId="31" w16cid:durableId="1221405540">
    <w:abstractNumId w:val="9"/>
  </w:num>
  <w:num w:numId="32" w16cid:durableId="837892795">
    <w:abstractNumId w:val="7"/>
  </w:num>
  <w:num w:numId="33" w16cid:durableId="672222041">
    <w:abstractNumId w:val="6"/>
  </w:num>
  <w:num w:numId="34" w16cid:durableId="612901288">
    <w:abstractNumId w:val="5"/>
  </w:num>
  <w:num w:numId="35" w16cid:durableId="1994677708">
    <w:abstractNumId w:val="4"/>
  </w:num>
  <w:num w:numId="36" w16cid:durableId="1562860206">
    <w:abstractNumId w:val="8"/>
  </w:num>
  <w:num w:numId="37" w16cid:durableId="46075525">
    <w:abstractNumId w:val="3"/>
  </w:num>
  <w:num w:numId="38" w16cid:durableId="1089959411">
    <w:abstractNumId w:val="2"/>
  </w:num>
  <w:num w:numId="39" w16cid:durableId="2047489821">
    <w:abstractNumId w:val="1"/>
  </w:num>
  <w:num w:numId="40" w16cid:durableId="573200262">
    <w:abstractNumId w:val="0"/>
  </w:num>
  <w:num w:numId="41" w16cid:durableId="1583249799">
    <w:abstractNumId w:val="10"/>
  </w:num>
  <w:num w:numId="42" w16cid:durableId="1244991326">
    <w:abstractNumId w:val="10"/>
  </w:num>
  <w:num w:numId="43" w16cid:durableId="122113148">
    <w:abstractNumId w:val="10"/>
  </w:num>
  <w:num w:numId="44" w16cid:durableId="1964118396">
    <w:abstractNumId w:val="12"/>
  </w:num>
  <w:num w:numId="45" w16cid:durableId="1304432130">
    <w:abstractNumId w:val="13"/>
  </w:num>
  <w:num w:numId="46" w16cid:durableId="142354269">
    <w:abstractNumId w:val="11"/>
  </w:num>
  <w:num w:numId="47" w16cid:durableId="99811436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7161292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99802749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2/2026"/>
    <w:docVar w:name="dvlangue" w:val="CS"/>
    <w:docVar w:name="dvnumam" w:val="0"/>
    <w:docVar w:name="dvpe" w:val="778.062"/>
    <w:docVar w:name="dvrapporteur" w:val="Zpravodaj: "/>
    <w:docVar w:name="dvtitre" w:val="1. Usnesení Evropského parlamentu ze dne 29. dubna 2026 o udělení absolutoria za plnění souhrnného rozpočtu Evropské unie na rozpočtový rok 2024, oddíl V – Účetní dvůr(2025/2149(DEC))"/>
  </w:docVars>
  <w:rsids>
    <w:rsidRoot w:val="006A2696"/>
    <w:rsid w:val="00002272"/>
    <w:rsid w:val="00006E96"/>
    <w:rsid w:val="00064002"/>
    <w:rsid w:val="000677B9"/>
    <w:rsid w:val="000831BA"/>
    <w:rsid w:val="000A42CC"/>
    <w:rsid w:val="000C29C0"/>
    <w:rsid w:val="000E7DD9"/>
    <w:rsid w:val="0010095E"/>
    <w:rsid w:val="00125B37"/>
    <w:rsid w:val="00187494"/>
    <w:rsid w:val="001F32AE"/>
    <w:rsid w:val="001F3F89"/>
    <w:rsid w:val="00215AC2"/>
    <w:rsid w:val="00276687"/>
    <w:rsid w:val="002767FF"/>
    <w:rsid w:val="0029430D"/>
    <w:rsid w:val="002B18FE"/>
    <w:rsid w:val="002B5493"/>
    <w:rsid w:val="00343214"/>
    <w:rsid w:val="00361C00"/>
    <w:rsid w:val="003931FA"/>
    <w:rsid w:val="00395FA1"/>
    <w:rsid w:val="003E15D4"/>
    <w:rsid w:val="00411CCE"/>
    <w:rsid w:val="0041666E"/>
    <w:rsid w:val="00421060"/>
    <w:rsid w:val="00471C19"/>
    <w:rsid w:val="004867E3"/>
    <w:rsid w:val="00494A28"/>
    <w:rsid w:val="004C0004"/>
    <w:rsid w:val="004C5D52"/>
    <w:rsid w:val="0050519A"/>
    <w:rsid w:val="005072A1"/>
    <w:rsid w:val="00514517"/>
    <w:rsid w:val="00541C68"/>
    <w:rsid w:val="00545827"/>
    <w:rsid w:val="00560270"/>
    <w:rsid w:val="005625B5"/>
    <w:rsid w:val="005C2568"/>
    <w:rsid w:val="005F1B17"/>
    <w:rsid w:val="006037C0"/>
    <w:rsid w:val="006631B6"/>
    <w:rsid w:val="00680577"/>
    <w:rsid w:val="006A2696"/>
    <w:rsid w:val="006F74FA"/>
    <w:rsid w:val="00731ADD"/>
    <w:rsid w:val="00734777"/>
    <w:rsid w:val="00747932"/>
    <w:rsid w:val="00751A4A"/>
    <w:rsid w:val="00756632"/>
    <w:rsid w:val="00762C74"/>
    <w:rsid w:val="00786EC0"/>
    <w:rsid w:val="007C50C2"/>
    <w:rsid w:val="007D1690"/>
    <w:rsid w:val="007E22AD"/>
    <w:rsid w:val="00817416"/>
    <w:rsid w:val="00842779"/>
    <w:rsid w:val="00865F67"/>
    <w:rsid w:val="00867848"/>
    <w:rsid w:val="00881A7B"/>
    <w:rsid w:val="008840E5"/>
    <w:rsid w:val="00887B3E"/>
    <w:rsid w:val="008C2AC6"/>
    <w:rsid w:val="00930C23"/>
    <w:rsid w:val="0093193B"/>
    <w:rsid w:val="009509D8"/>
    <w:rsid w:val="00950B64"/>
    <w:rsid w:val="00965661"/>
    <w:rsid w:val="00981893"/>
    <w:rsid w:val="00A1687D"/>
    <w:rsid w:val="00A43E52"/>
    <w:rsid w:val="00A4678D"/>
    <w:rsid w:val="00A778C7"/>
    <w:rsid w:val="00A908D3"/>
    <w:rsid w:val="00AB441E"/>
    <w:rsid w:val="00AB6293"/>
    <w:rsid w:val="00AE0928"/>
    <w:rsid w:val="00AF3B82"/>
    <w:rsid w:val="00B12E95"/>
    <w:rsid w:val="00B207D7"/>
    <w:rsid w:val="00B22876"/>
    <w:rsid w:val="00B558F0"/>
    <w:rsid w:val="00B61F8A"/>
    <w:rsid w:val="00BD48FE"/>
    <w:rsid w:val="00BD7BD8"/>
    <w:rsid w:val="00BE6ADC"/>
    <w:rsid w:val="00C05BFE"/>
    <w:rsid w:val="00C23CD4"/>
    <w:rsid w:val="00C61C0C"/>
    <w:rsid w:val="00C941CB"/>
    <w:rsid w:val="00CC2357"/>
    <w:rsid w:val="00CF071A"/>
    <w:rsid w:val="00D058B8"/>
    <w:rsid w:val="00D5608C"/>
    <w:rsid w:val="00D56C11"/>
    <w:rsid w:val="00D834A0"/>
    <w:rsid w:val="00D872DF"/>
    <w:rsid w:val="00D91E21"/>
    <w:rsid w:val="00DA7FCD"/>
    <w:rsid w:val="00E365E1"/>
    <w:rsid w:val="00E820A4"/>
    <w:rsid w:val="00EA5448"/>
    <w:rsid w:val="00EB006A"/>
    <w:rsid w:val="00EB4772"/>
    <w:rsid w:val="00ED169E"/>
    <w:rsid w:val="00ED4235"/>
    <w:rsid w:val="00F04346"/>
    <w:rsid w:val="00F075DC"/>
    <w:rsid w:val="00F149E9"/>
    <w:rsid w:val="00F5134D"/>
    <w:rsid w:val="00F74202"/>
    <w:rsid w:val="00F87713"/>
    <w:rsid w:val="00F97E7F"/>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24DE6F"/>
  <w15:chartTrackingRefBased/>
  <w15:docId w15:val="{EF1187B9-58FC-44AB-BF08-BF9E1F2A1B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cs-CZ"/>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B61F8A"/>
    <w:rPr>
      <w:b/>
      <w:kern w:val="28"/>
      <w:sz w:val="28"/>
      <w:lang w:val="fr-FR" w:eastAsia="fr-FR"/>
    </w:rPr>
  </w:style>
  <w:style w:type="character" w:customStyle="1" w:styleId="Heading2Char">
    <w:name w:val="Heading 2 Char"/>
    <w:basedOn w:val="DefaultParagraphFont"/>
    <w:link w:val="Heading2"/>
    <w:semiHidden/>
    <w:rsid w:val="00B61F8A"/>
    <w:rPr>
      <w:sz w:val="24"/>
      <w:lang w:val="fr-FR" w:eastAsia="fr-FR"/>
    </w:rPr>
  </w:style>
  <w:style w:type="character" w:customStyle="1" w:styleId="Heading3Char">
    <w:name w:val="Heading 3 Char"/>
    <w:basedOn w:val="DefaultParagraphFont"/>
    <w:link w:val="Heading3"/>
    <w:semiHidden/>
    <w:rsid w:val="00B61F8A"/>
    <w:rPr>
      <w:rFonts w:ascii="Arial" w:hAnsi="Arial"/>
      <w:sz w:val="24"/>
      <w:lang w:val="fr-FR" w:eastAsia="fr-FR"/>
    </w:rPr>
  </w:style>
  <w:style w:type="character" w:customStyle="1" w:styleId="Heading4Char">
    <w:name w:val="Heading 4 Char"/>
    <w:basedOn w:val="DefaultParagraphFont"/>
    <w:link w:val="Heading4"/>
    <w:semiHidden/>
    <w:rsid w:val="00B61F8A"/>
    <w:rPr>
      <w:sz w:val="24"/>
      <w:lang w:val="en-US" w:eastAsia="fr-FR"/>
    </w:rPr>
  </w:style>
  <w:style w:type="character" w:customStyle="1" w:styleId="Heading5Char">
    <w:name w:val="Heading 5 Char"/>
    <w:basedOn w:val="DefaultParagraphFont"/>
    <w:link w:val="Heading5"/>
    <w:semiHidden/>
    <w:rsid w:val="00B61F8A"/>
    <w:rPr>
      <w:sz w:val="24"/>
      <w:lang w:val="en-US" w:eastAsia="fr-FR"/>
    </w:rPr>
  </w:style>
  <w:style w:type="character" w:customStyle="1" w:styleId="Heading6Char">
    <w:name w:val="Heading 6 Char"/>
    <w:basedOn w:val="DefaultParagraphFont"/>
    <w:link w:val="Heading6"/>
    <w:semiHidden/>
    <w:rsid w:val="00B61F8A"/>
    <w:rPr>
      <w:i/>
      <w:sz w:val="22"/>
      <w:lang w:val="cs-CZ"/>
    </w:rPr>
  </w:style>
  <w:style w:type="character" w:customStyle="1" w:styleId="Heading7Char">
    <w:name w:val="Heading 7 Char"/>
    <w:basedOn w:val="DefaultParagraphFont"/>
    <w:link w:val="Heading7"/>
    <w:semiHidden/>
    <w:rsid w:val="00B61F8A"/>
    <w:rPr>
      <w:rFonts w:ascii="Arial" w:hAnsi="Arial"/>
      <w:sz w:val="24"/>
      <w:lang w:val="cs-CZ"/>
    </w:rPr>
  </w:style>
  <w:style w:type="character" w:customStyle="1" w:styleId="Heading8Char">
    <w:name w:val="Heading 8 Char"/>
    <w:basedOn w:val="DefaultParagraphFont"/>
    <w:link w:val="Heading8"/>
    <w:semiHidden/>
    <w:rsid w:val="00B61F8A"/>
    <w:rPr>
      <w:rFonts w:ascii="Arial" w:hAnsi="Arial"/>
      <w:i/>
      <w:sz w:val="24"/>
      <w:lang w:val="cs-CZ"/>
    </w:rPr>
  </w:style>
  <w:style w:type="character" w:customStyle="1" w:styleId="Heading9Char">
    <w:name w:val="Heading 9 Char"/>
    <w:basedOn w:val="DefaultParagraphFont"/>
    <w:link w:val="Heading9"/>
    <w:semiHidden/>
    <w:rsid w:val="00B61F8A"/>
    <w:rPr>
      <w:rFonts w:ascii="Arial" w:hAnsi="Arial"/>
      <w:b/>
      <w:i/>
      <w:sz w:val="18"/>
      <w:lang w:val="cs-CZ"/>
    </w:rPr>
  </w:style>
  <w:style w:type="paragraph" w:styleId="TOCHeading">
    <w:name w:val="TOC Heading"/>
    <w:basedOn w:val="Normal"/>
    <w:next w:val="Normal"/>
    <w:unhideWhenUsed/>
    <w:qFormat/>
    <w:rsid w:val="00B61F8A"/>
    <w:pPr>
      <w:widowControl/>
      <w:spacing w:after="240"/>
    </w:pPr>
    <w:rPr>
      <w:lang w:val="en-GB"/>
    </w:rPr>
  </w:style>
  <w:style w:type="paragraph" w:customStyle="1" w:styleId="EPFooter2">
    <w:name w:val="EPFooter2"/>
    <w:basedOn w:val="Normal"/>
    <w:next w:val="Normal"/>
    <w:rsid w:val="00B61F8A"/>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61F8A"/>
    <w:pPr>
      <w:spacing w:before="480" w:after="240"/>
    </w:pPr>
  </w:style>
  <w:style w:type="paragraph" w:customStyle="1" w:styleId="TOCPage">
    <w:name w:val="TOC Page"/>
    <w:basedOn w:val="Normal"/>
    <w:next w:val="TOC1"/>
    <w:rsid w:val="00B61F8A"/>
    <w:pPr>
      <w:keepNext/>
      <w:spacing w:after="240"/>
      <w:jc w:val="right"/>
    </w:pPr>
    <w:rPr>
      <w:rFonts w:ascii="Arial" w:hAnsi="Arial"/>
      <w:b/>
    </w:rPr>
  </w:style>
  <w:style w:type="paragraph" w:customStyle="1" w:styleId="PageHeading">
    <w:name w:val="PageHeading"/>
    <w:basedOn w:val="Normal"/>
    <w:rsid w:val="00B61F8A"/>
    <w:pPr>
      <w:keepNext/>
      <w:spacing w:after="480"/>
      <w:jc w:val="center"/>
    </w:pPr>
    <w:rPr>
      <w:rFonts w:ascii="Arial" w:hAnsi="Arial" w:cs="Arial"/>
      <w:b/>
    </w:rPr>
  </w:style>
  <w:style w:type="paragraph" w:customStyle="1" w:styleId="NormalBold">
    <w:name w:val="NormalBold"/>
    <w:basedOn w:val="Normal"/>
    <w:rsid w:val="00B61F8A"/>
    <w:rPr>
      <w:b/>
    </w:rPr>
  </w:style>
  <w:style w:type="paragraph" w:customStyle="1" w:styleId="NormalHanging12a">
    <w:name w:val="NormalHanging12a"/>
    <w:basedOn w:val="Normal"/>
    <w:link w:val="NormalHanging12aChar"/>
    <w:qFormat/>
    <w:rsid w:val="00B61F8A"/>
    <w:pPr>
      <w:spacing w:after="240"/>
      <w:ind w:left="567" w:hanging="567"/>
    </w:pPr>
  </w:style>
  <w:style w:type="paragraph" w:customStyle="1" w:styleId="CoverNormal24a">
    <w:name w:val="CoverNormal24a"/>
    <w:basedOn w:val="Normal"/>
    <w:rsid w:val="00B61F8A"/>
    <w:pPr>
      <w:spacing w:after="480"/>
      <w:ind w:left="1417"/>
    </w:pPr>
  </w:style>
  <w:style w:type="paragraph" w:customStyle="1" w:styleId="CoverNormal">
    <w:name w:val="CoverNormal"/>
    <w:basedOn w:val="Normal"/>
    <w:rsid w:val="00B61F8A"/>
    <w:pPr>
      <w:ind w:left="1418"/>
    </w:pPr>
  </w:style>
  <w:style w:type="paragraph" w:customStyle="1" w:styleId="CoverReference">
    <w:name w:val="CoverReference"/>
    <w:basedOn w:val="Normal"/>
    <w:rsid w:val="00B61F8A"/>
    <w:pPr>
      <w:spacing w:before="1080"/>
      <w:jc w:val="right"/>
    </w:pPr>
    <w:rPr>
      <w:rFonts w:ascii="Arial" w:hAnsi="Arial" w:cs="Arial"/>
      <w:b/>
    </w:rPr>
  </w:style>
  <w:style w:type="paragraph" w:customStyle="1" w:styleId="CoverDocType24a">
    <w:name w:val="CoverDocType24a"/>
    <w:basedOn w:val="Normal"/>
    <w:rsid w:val="00B61F8A"/>
    <w:pPr>
      <w:spacing w:after="480"/>
      <w:ind w:left="1418"/>
    </w:pPr>
    <w:rPr>
      <w:rFonts w:ascii="Arial" w:hAnsi="Arial"/>
      <w:b/>
      <w:sz w:val="48"/>
    </w:rPr>
  </w:style>
  <w:style w:type="paragraph" w:customStyle="1" w:styleId="CoverDate">
    <w:name w:val="CoverDate"/>
    <w:basedOn w:val="Normal"/>
    <w:rsid w:val="00B61F8A"/>
    <w:pPr>
      <w:spacing w:before="240" w:after="1200"/>
    </w:pPr>
  </w:style>
  <w:style w:type="paragraph" w:styleId="Header">
    <w:name w:val="header"/>
    <w:basedOn w:val="Normal"/>
    <w:link w:val="HeaderChar"/>
    <w:rsid w:val="00B61F8A"/>
    <w:pPr>
      <w:tabs>
        <w:tab w:val="center" w:pos="4513"/>
        <w:tab w:val="right" w:pos="9026"/>
      </w:tabs>
    </w:pPr>
  </w:style>
  <w:style w:type="character" w:customStyle="1" w:styleId="HeaderChar">
    <w:name w:val="Header Char"/>
    <w:basedOn w:val="DefaultParagraphFont"/>
    <w:link w:val="Header"/>
    <w:rsid w:val="00B61F8A"/>
    <w:rPr>
      <w:sz w:val="24"/>
      <w:lang w:val="cs-CZ"/>
    </w:rPr>
  </w:style>
  <w:style w:type="paragraph" w:customStyle="1" w:styleId="EPBody">
    <w:name w:val="EPBody"/>
    <w:basedOn w:val="Normal"/>
    <w:rsid w:val="00B61F8A"/>
    <w:pPr>
      <w:jc w:val="center"/>
    </w:pPr>
    <w:rPr>
      <w:rFonts w:ascii="Arial" w:hAnsi="Arial" w:cs="Arial"/>
      <w:i/>
      <w:sz w:val="22"/>
      <w:szCs w:val="22"/>
    </w:rPr>
  </w:style>
  <w:style w:type="paragraph" w:customStyle="1" w:styleId="EPFooter">
    <w:name w:val="EPFooter"/>
    <w:basedOn w:val="Normal"/>
    <w:rsid w:val="00B61F8A"/>
    <w:pPr>
      <w:tabs>
        <w:tab w:val="center" w:pos="4535"/>
        <w:tab w:val="right" w:pos="9071"/>
      </w:tabs>
      <w:spacing w:before="240" w:after="240"/>
    </w:pPr>
    <w:rPr>
      <w:color w:val="010000"/>
      <w:sz w:val="22"/>
    </w:rPr>
  </w:style>
  <w:style w:type="character" w:styleId="Hyperlink">
    <w:name w:val="Hyperlink"/>
    <w:basedOn w:val="DefaultParagraphFont"/>
    <w:rsid w:val="00B61F8A"/>
    <w:rPr>
      <w:color w:val="0563C1" w:themeColor="hyperlink"/>
      <w:u w:val="single"/>
    </w:rPr>
  </w:style>
  <w:style w:type="paragraph" w:styleId="Footer">
    <w:name w:val="footer"/>
    <w:basedOn w:val="Normal"/>
    <w:link w:val="FooterChar"/>
    <w:rsid w:val="00B61F8A"/>
    <w:pPr>
      <w:tabs>
        <w:tab w:val="center" w:pos="4513"/>
        <w:tab w:val="right" w:pos="9026"/>
      </w:tabs>
    </w:pPr>
  </w:style>
  <w:style w:type="character" w:customStyle="1" w:styleId="FooterChar">
    <w:name w:val="Footer Char"/>
    <w:basedOn w:val="DefaultParagraphFont"/>
    <w:link w:val="Footer"/>
    <w:rsid w:val="00B61F8A"/>
    <w:rPr>
      <w:sz w:val="24"/>
      <w:lang w:val="cs-CZ"/>
    </w:rPr>
  </w:style>
  <w:style w:type="character" w:styleId="CommentReference">
    <w:name w:val="annotation reference"/>
    <w:basedOn w:val="DefaultParagraphFont"/>
    <w:rsid w:val="00B61F8A"/>
    <w:rPr>
      <w:sz w:val="16"/>
      <w:szCs w:val="16"/>
    </w:rPr>
  </w:style>
  <w:style w:type="paragraph" w:styleId="CommentText">
    <w:name w:val="annotation text"/>
    <w:basedOn w:val="Normal"/>
    <w:link w:val="CommentTextChar"/>
    <w:rsid w:val="00B61F8A"/>
    <w:rPr>
      <w:sz w:val="20"/>
    </w:rPr>
  </w:style>
  <w:style w:type="character" w:customStyle="1" w:styleId="CommentTextChar">
    <w:name w:val="Comment Text Char"/>
    <w:basedOn w:val="DefaultParagraphFont"/>
    <w:link w:val="CommentText"/>
    <w:rsid w:val="00B61F8A"/>
    <w:rPr>
      <w:lang w:val="cs-CZ"/>
    </w:rPr>
  </w:style>
  <w:style w:type="paragraph" w:styleId="CommentSubject">
    <w:name w:val="annotation subject"/>
    <w:basedOn w:val="CommentText"/>
    <w:next w:val="CommentText"/>
    <w:link w:val="CommentSubjectChar"/>
    <w:unhideWhenUsed/>
    <w:rsid w:val="00B61F8A"/>
    <w:rPr>
      <w:b/>
      <w:bCs/>
    </w:rPr>
  </w:style>
  <w:style w:type="character" w:customStyle="1" w:styleId="CommentSubjectChar">
    <w:name w:val="Comment Subject Char"/>
    <w:basedOn w:val="CommentTextChar"/>
    <w:link w:val="CommentSubject"/>
    <w:rsid w:val="00B61F8A"/>
    <w:rPr>
      <w:b/>
      <w:bCs/>
      <w:lang w:val="cs-CZ"/>
    </w:rPr>
  </w:style>
  <w:style w:type="paragraph" w:styleId="BalloonText">
    <w:name w:val="Balloon Text"/>
    <w:basedOn w:val="Normal"/>
    <w:link w:val="BalloonTextChar"/>
    <w:unhideWhenUsed/>
    <w:rsid w:val="00B61F8A"/>
    <w:rPr>
      <w:rFonts w:ascii="Segoe UI" w:hAnsi="Segoe UI" w:cs="Segoe UI"/>
      <w:sz w:val="18"/>
      <w:szCs w:val="18"/>
    </w:rPr>
  </w:style>
  <w:style w:type="character" w:customStyle="1" w:styleId="BalloonTextChar">
    <w:name w:val="Balloon Text Char"/>
    <w:basedOn w:val="DefaultParagraphFont"/>
    <w:link w:val="BalloonText"/>
    <w:rsid w:val="00B61F8A"/>
    <w:rPr>
      <w:rFonts w:ascii="Segoe UI" w:hAnsi="Segoe UI" w:cs="Segoe UI"/>
      <w:sz w:val="18"/>
      <w:szCs w:val="18"/>
      <w:lang w:val="cs-CZ"/>
    </w:rPr>
  </w:style>
  <w:style w:type="character" w:styleId="UnresolvedMention">
    <w:name w:val="Unresolved Mention"/>
    <w:basedOn w:val="DefaultParagraphFont"/>
    <w:uiPriority w:val="99"/>
    <w:semiHidden/>
    <w:unhideWhenUsed/>
    <w:rsid w:val="00B61F8A"/>
    <w:rPr>
      <w:color w:val="605E5C"/>
      <w:shd w:val="clear" w:color="auto" w:fill="E1DFDD"/>
    </w:rPr>
  </w:style>
  <w:style w:type="paragraph" w:styleId="ListParagraph">
    <w:name w:val="List Paragraph"/>
    <w:basedOn w:val="Normal"/>
    <w:uiPriority w:val="34"/>
    <w:qFormat/>
    <w:rsid w:val="00B61F8A"/>
    <w:pPr>
      <w:ind w:left="720"/>
      <w:contextualSpacing/>
    </w:pPr>
  </w:style>
  <w:style w:type="character" w:customStyle="1" w:styleId="NormalHanging12aChar">
    <w:name w:val="NormalHanging12a Char"/>
    <w:basedOn w:val="DefaultParagraphFont"/>
    <w:link w:val="NormalHanging12a"/>
    <w:locked/>
    <w:rsid w:val="00B61F8A"/>
    <w:rPr>
      <w:sz w:val="24"/>
      <w:lang w:val="cs-CZ"/>
    </w:rPr>
  </w:style>
  <w:style w:type="paragraph" w:customStyle="1" w:styleId="Default">
    <w:name w:val="Default"/>
    <w:rsid w:val="00B61F8A"/>
    <w:pPr>
      <w:autoSpaceDE w:val="0"/>
      <w:autoSpaceDN w:val="0"/>
      <w:adjustRightInd w:val="0"/>
    </w:pPr>
    <w:rPr>
      <w:rFonts w:ascii="Calibri" w:eastAsiaTheme="minorHAnsi" w:hAnsi="Calibri" w:cs="Calibri"/>
      <w:color w:val="000000"/>
      <w:sz w:val="24"/>
      <w:szCs w:val="24"/>
      <w:lang w:val="cs-CZ" w:eastAsia="en-US"/>
      <w14:ligatures w14:val="standardContextual"/>
    </w:rPr>
  </w:style>
  <w:style w:type="paragraph" w:styleId="Revision">
    <w:name w:val="Revision"/>
    <w:hidden/>
    <w:uiPriority w:val="99"/>
    <w:semiHidden/>
    <w:rsid w:val="00B61F8A"/>
    <w:rPr>
      <w:sz w:val="24"/>
      <w:lang w:val="cs-CZ"/>
    </w:rPr>
  </w:style>
  <w:style w:type="paragraph" w:customStyle="1" w:styleId="Normal12a">
    <w:name w:val="Normal12a"/>
    <w:basedOn w:val="Normal"/>
    <w:rsid w:val="00B61F8A"/>
    <w:pPr>
      <w:spacing w:after="240"/>
    </w:pPr>
  </w:style>
  <w:style w:type="paragraph" w:customStyle="1" w:styleId="RollCallVotes">
    <w:name w:val="RollCallVotes"/>
    <w:basedOn w:val="Normal"/>
    <w:rsid w:val="00B61F8A"/>
    <w:pPr>
      <w:spacing w:before="120" w:after="120"/>
      <w:jc w:val="center"/>
    </w:pPr>
    <w:rPr>
      <w:b/>
      <w:bCs/>
      <w:snapToGrid w:val="0"/>
      <w:sz w:val="16"/>
      <w:lang w:eastAsia="en-US"/>
    </w:rPr>
  </w:style>
  <w:style w:type="paragraph" w:customStyle="1" w:styleId="RollCallTabs">
    <w:name w:val="RollCallTabs"/>
    <w:basedOn w:val="Normal"/>
    <w:qFormat/>
    <w:rsid w:val="00B61F8A"/>
    <w:pPr>
      <w:tabs>
        <w:tab w:val="center" w:pos="284"/>
        <w:tab w:val="left" w:pos="426"/>
      </w:tabs>
    </w:pPr>
    <w:rPr>
      <w:snapToGrid w:val="0"/>
      <w:lang w:eastAsia="en-US"/>
    </w:rPr>
  </w:style>
  <w:style w:type="paragraph" w:customStyle="1" w:styleId="RollCallSymbols14pt">
    <w:name w:val="RollCallSymbols14pt"/>
    <w:basedOn w:val="Normal"/>
    <w:rsid w:val="00B61F8A"/>
    <w:pPr>
      <w:spacing w:before="120" w:after="120"/>
      <w:jc w:val="center"/>
    </w:pPr>
    <w:rPr>
      <w:rFonts w:ascii="Arial" w:hAnsi="Arial"/>
      <w:b/>
      <w:bCs/>
      <w:snapToGrid w:val="0"/>
      <w:sz w:val="28"/>
      <w:lang w:eastAsia="en-US"/>
    </w:rPr>
  </w:style>
  <w:style w:type="paragraph" w:customStyle="1" w:styleId="RollCallTable">
    <w:name w:val="RollCallTable"/>
    <w:basedOn w:val="Normal"/>
    <w:rsid w:val="00B61F8A"/>
    <w:pPr>
      <w:spacing w:before="120" w:after="120"/>
    </w:pPr>
    <w:rPr>
      <w:snapToGrid w:val="0"/>
      <w:sz w:val="16"/>
      <w:lang w:eastAsia="en-US"/>
    </w:rPr>
  </w:style>
  <w:style w:type="paragraph" w:customStyle="1" w:styleId="Normal24a">
    <w:name w:val="Normal24a"/>
    <w:basedOn w:val="Normal"/>
    <w:rsid w:val="00B61F8A"/>
    <w:pPr>
      <w:spacing w:after="480"/>
    </w:pPr>
  </w:style>
  <w:style w:type="paragraph" w:customStyle="1" w:styleId="NormalBoldCenter">
    <w:name w:val="NormalBoldCenter"/>
    <w:basedOn w:val="Normal"/>
    <w:rsid w:val="00B61F8A"/>
    <w:pPr>
      <w:jc w:val="center"/>
    </w:pPr>
    <w:rPr>
      <w:b/>
    </w:rPr>
  </w:style>
  <w:style w:type="paragraph" w:customStyle="1" w:styleId="Footprint12b">
    <w:name w:val="Footprint12b"/>
    <w:basedOn w:val="Normal"/>
    <w:rsid w:val="00B61F8A"/>
    <w:pPr>
      <w:spacing w:before="240"/>
    </w:pPr>
    <w:rPr>
      <w:szCs w:val="24"/>
    </w:rPr>
  </w:style>
  <w:style w:type="paragraph" w:customStyle="1" w:styleId="NormalSingle">
    <w:name w:val="NormalSingle"/>
    <w:basedOn w:val="Normal"/>
    <w:qFormat/>
    <w:rsid w:val="00B61F8A"/>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5409/oj" TargetMode="External"/><Relationship Id="rId7" Type="http://schemas.openxmlformats.org/officeDocument/2006/relationships/hyperlink" Target="http://data.europa.eu/eli/reg/2023/2841/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5/54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8750</Words>
  <Characters>51241</Characters>
  <Application>Microsoft Office Word</Application>
  <DocSecurity>0</DocSecurity>
  <Lines>427</Lines>
  <Paragraphs>119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59872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KONOPKOVA Jindra</dc:creator>
  <cp:keywords/>
  <cp:lastModifiedBy>KONOPKOVA Jindra</cp:lastModifiedBy>
  <cp:revision>2</cp:revision>
  <cp:lastPrinted>2004-11-19T15:42:00Z</cp:lastPrinted>
  <dcterms:created xsi:type="dcterms:W3CDTF">2026-05-05T14:12:00Z</dcterms:created>
  <dcterms:modified xsi:type="dcterms:W3CDTF">2026-05-05T14:12:00Z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P10_TA(2026)0129_</vt:lpwstr>
  </property>
  <property fmtid="{D5CDD505-2E9C-101B-9397-08002B2CF9AE}" pid="4" name="&lt;Type&gt;">
    <vt:lpwstr>RR</vt:lpwstr>
  </property>
</Properties>
</file>