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4885" w14:paraId="68C808F8" w14:textId="77777777" w:rsidTr="0010095E">
        <w:trPr>
          <w:trHeight w:hRule="exact" w:val="1418"/>
        </w:trPr>
        <w:tc>
          <w:tcPr>
            <w:tcW w:w="6804" w:type="dxa"/>
            <w:shd w:val="clear" w:color="auto" w:fill="auto"/>
            <w:vAlign w:val="center"/>
          </w:tcPr>
          <w:p w14:paraId="59E7EA52" w14:textId="77777777" w:rsidR="00751A4A" w:rsidRPr="00A14885" w:rsidRDefault="00043988" w:rsidP="0010095E">
            <w:pPr>
              <w:pStyle w:val="EPName"/>
            </w:pPr>
            <w:r w:rsidRPr="00A14885">
              <w:t>Ευρωπαϊκό Κοινοβούλιο</w:t>
            </w:r>
          </w:p>
          <w:p w14:paraId="311542A0" w14:textId="77777777" w:rsidR="00751A4A" w:rsidRPr="00A14885" w:rsidRDefault="005F1B17" w:rsidP="005F1B17">
            <w:pPr>
              <w:pStyle w:val="EPTerm"/>
              <w:rPr>
                <w:rStyle w:val="HideTWBExt"/>
                <w:noProof w:val="0"/>
                <w:vanish w:val="0"/>
                <w:color w:val="auto"/>
              </w:rPr>
            </w:pPr>
            <w:r w:rsidRPr="00A14885">
              <w:t>2024</w:t>
            </w:r>
            <w:r w:rsidR="00817416" w:rsidRPr="00A14885">
              <w:t>-202</w:t>
            </w:r>
            <w:r w:rsidRPr="00A14885">
              <w:t>9</w:t>
            </w:r>
          </w:p>
        </w:tc>
        <w:tc>
          <w:tcPr>
            <w:tcW w:w="2268" w:type="dxa"/>
            <w:shd w:val="clear" w:color="auto" w:fill="auto"/>
          </w:tcPr>
          <w:p w14:paraId="17A9D11D" w14:textId="77777777" w:rsidR="00751A4A" w:rsidRPr="00A14885" w:rsidRDefault="00187494" w:rsidP="0010095E">
            <w:pPr>
              <w:pStyle w:val="EPLogo"/>
            </w:pPr>
            <w:r w:rsidRPr="00A14885">
              <w:rPr>
                <w:noProof/>
                <w:lang w:eastAsia="ja-JP"/>
              </w:rPr>
              <w:drawing>
                <wp:inline distT="0" distB="0" distL="0" distR="0" wp14:anchorId="420C2C1A" wp14:editId="6804C8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0CFE37" w14:textId="77777777" w:rsidR="00D058B8" w:rsidRPr="00A14885" w:rsidRDefault="00D058B8" w:rsidP="004C5D52">
      <w:pPr>
        <w:pStyle w:val="LineTop"/>
      </w:pPr>
    </w:p>
    <w:p w14:paraId="568161F1" w14:textId="77777777" w:rsidR="00680577" w:rsidRPr="00A14885" w:rsidRDefault="00043988" w:rsidP="00680577">
      <w:pPr>
        <w:pStyle w:val="EPBodyTA1"/>
      </w:pPr>
      <w:r w:rsidRPr="00A14885">
        <w:t>ΚΕΙΜΕΝΑ ΠΟΥ ΕΓΚΡΙΘΗΚΑΝ</w:t>
      </w:r>
    </w:p>
    <w:p w14:paraId="3C972BD9" w14:textId="77777777" w:rsidR="00D058B8" w:rsidRPr="00A14885" w:rsidRDefault="00D058B8" w:rsidP="00D058B8">
      <w:pPr>
        <w:pStyle w:val="LineBottom"/>
      </w:pPr>
    </w:p>
    <w:p w14:paraId="0E7A00BF" w14:textId="7AD4C13D" w:rsidR="00043988" w:rsidRPr="00A14885" w:rsidRDefault="00043988" w:rsidP="00043988">
      <w:pPr>
        <w:pStyle w:val="ATHeading1"/>
      </w:pPr>
      <w:bookmarkStart w:id="0" w:name="TANumber"/>
      <w:r w:rsidRPr="00A14885">
        <w:t>P10_TA(2026)0</w:t>
      </w:r>
      <w:r w:rsidR="002E727C" w:rsidRPr="00A14885">
        <w:t>129</w:t>
      </w:r>
      <w:bookmarkEnd w:id="0"/>
    </w:p>
    <w:p w14:paraId="797B5BDA" w14:textId="09251338" w:rsidR="00043988" w:rsidRPr="00A14885" w:rsidRDefault="00043988" w:rsidP="00043988">
      <w:pPr>
        <w:pStyle w:val="ATHeading2"/>
      </w:pPr>
      <w:bookmarkStart w:id="1" w:name="title"/>
      <w:r w:rsidRPr="00A14885">
        <w:t xml:space="preserve">Απαλλαγή 2024: Γενικός προϋπολογισμός της ΕΕ </w:t>
      </w:r>
      <w:r w:rsidR="0014185B" w:rsidRPr="00A14885">
        <w:t>–</w:t>
      </w:r>
      <w:r w:rsidRPr="00A14885">
        <w:t xml:space="preserve"> Ελεγκτικό Συνέδριο</w:t>
      </w:r>
      <w:bookmarkEnd w:id="1"/>
    </w:p>
    <w:p w14:paraId="0C7FAA71" w14:textId="77777777" w:rsidR="00043988" w:rsidRPr="00A14885" w:rsidRDefault="00043988" w:rsidP="00043988">
      <w:pPr>
        <w:rPr>
          <w:i/>
          <w:vanish/>
        </w:rPr>
      </w:pPr>
      <w:r w:rsidRPr="00A14885">
        <w:rPr>
          <w:i/>
        </w:rPr>
        <w:fldChar w:fldCharType="begin"/>
      </w:r>
      <w:r w:rsidRPr="00A14885">
        <w:rPr>
          <w:i/>
        </w:rPr>
        <w:instrText xml:space="preserve"> TC"(</w:instrText>
      </w:r>
      <w:bookmarkStart w:id="2" w:name="DocNumber"/>
      <w:r w:rsidRPr="00A14885">
        <w:rPr>
          <w:i/>
        </w:rPr>
        <w:instrText>A10-0052/2026</w:instrText>
      </w:r>
      <w:bookmarkEnd w:id="2"/>
      <w:r w:rsidRPr="00A14885">
        <w:rPr>
          <w:i/>
        </w:rPr>
        <w:instrText xml:space="preserve"> - Εισηγητής: Pasquale Tridico)"\l3 \n&gt; \* MERGEFORMAT </w:instrText>
      </w:r>
      <w:r w:rsidRPr="00A14885">
        <w:rPr>
          <w:i/>
        </w:rPr>
        <w:fldChar w:fldCharType="end"/>
      </w:r>
    </w:p>
    <w:p w14:paraId="18BA686D" w14:textId="77777777" w:rsidR="00043988" w:rsidRPr="00A14885" w:rsidRDefault="00043988" w:rsidP="00043988">
      <w:pPr>
        <w:rPr>
          <w:vanish/>
        </w:rPr>
      </w:pPr>
      <w:bookmarkStart w:id="3" w:name="Commission"/>
      <w:r w:rsidRPr="00A14885">
        <w:rPr>
          <w:vanish/>
        </w:rPr>
        <w:t>Επιτροπή Ελέγχου του Προϋπολογισμού</w:t>
      </w:r>
      <w:bookmarkEnd w:id="3"/>
    </w:p>
    <w:p w14:paraId="4244D9FD" w14:textId="77777777" w:rsidR="00043988" w:rsidRPr="00A14885" w:rsidRDefault="00043988" w:rsidP="00043988">
      <w:pPr>
        <w:rPr>
          <w:vanish/>
        </w:rPr>
      </w:pPr>
      <w:bookmarkStart w:id="4" w:name="PE"/>
      <w:r w:rsidRPr="00A14885">
        <w:rPr>
          <w:vanish/>
        </w:rPr>
        <w:t>PE778.062</w:t>
      </w:r>
      <w:bookmarkEnd w:id="4"/>
    </w:p>
    <w:p w14:paraId="666BA82F" w14:textId="7E2D38DF" w:rsidR="00043988" w:rsidRPr="00A14885" w:rsidRDefault="00B51A30" w:rsidP="00043988">
      <w:pPr>
        <w:pStyle w:val="ATHeading3"/>
      </w:pPr>
      <w:bookmarkStart w:id="5" w:name="Sujet"/>
      <w:r w:rsidRPr="00A14885">
        <w:t xml:space="preserve">1. </w:t>
      </w:r>
      <w:r w:rsidR="00043988" w:rsidRPr="00A14885">
        <w:t xml:space="preserve">Απόφαση του Ευρωπαϊκού Κοινοβουλίου της </w:t>
      </w:r>
      <w:r w:rsidRPr="00A14885">
        <w:t>29ης Απριλίου</w:t>
      </w:r>
      <w:r w:rsidR="00043988" w:rsidRPr="00A14885">
        <w:t xml:space="preserve"> 2026 σχετικά με την απαλλαγή όσον αφορά την εκτέλεση του γενικού προϋπολογισμού της Ευρωπαϊκής Ένωσης για το οικονομικό έτος 2024, τμήμα V – Ελεγκτικό Συνέδριο</w:t>
      </w:r>
      <w:bookmarkEnd w:id="5"/>
      <w:r w:rsidR="00043988" w:rsidRPr="00A14885">
        <w:t xml:space="preserve"> </w:t>
      </w:r>
      <w:bookmarkStart w:id="6" w:name="References"/>
      <w:r w:rsidR="00043988" w:rsidRPr="00A14885">
        <w:t>(2025/2149(DEC))</w:t>
      </w:r>
      <w:bookmarkEnd w:id="6"/>
    </w:p>
    <w:p w14:paraId="347F32E4" w14:textId="77777777" w:rsidR="002F02CE" w:rsidRPr="00A14885" w:rsidRDefault="002F02CE" w:rsidP="002F02CE">
      <w:pPr>
        <w:pStyle w:val="EPComma"/>
      </w:pPr>
      <w:bookmarkStart w:id="7" w:name="TextBodyBegin"/>
      <w:bookmarkEnd w:id="7"/>
      <w:r w:rsidRPr="00A14885">
        <w:rPr>
          <w:i/>
          <w:iCs/>
        </w:rPr>
        <w:t>Το Ευρωπαϊκό Κοινοβούλιο</w:t>
      </w:r>
      <w:r w:rsidRPr="00A14885">
        <w:t>,</w:t>
      </w:r>
    </w:p>
    <w:p w14:paraId="0ED01605" w14:textId="77777777" w:rsidR="002F02CE" w:rsidRPr="00A14885" w:rsidRDefault="002F02CE" w:rsidP="002F02CE">
      <w:pPr>
        <w:pStyle w:val="NormalHanging12a"/>
      </w:pPr>
      <w:r w:rsidRPr="00A14885">
        <w:t>–</w:t>
      </w:r>
      <w:r w:rsidRPr="00A14885">
        <w:tab/>
        <w:t>έχοντας υπόψη τον γενικό προϋπολογισμό της Ευρωπαϊκής Ένωσης για το οικονομικό έτος 2024</w:t>
      </w:r>
      <w:r w:rsidRPr="00A14885">
        <w:rPr>
          <w:rStyle w:val="FootnoteReference"/>
        </w:rPr>
        <w:footnoteReference w:id="1"/>
      </w:r>
      <w:r w:rsidRPr="00A14885">
        <w:t>,</w:t>
      </w:r>
    </w:p>
    <w:p w14:paraId="5FE97257" w14:textId="77777777" w:rsidR="002F02CE" w:rsidRPr="00A14885" w:rsidRDefault="002F02CE" w:rsidP="002F02CE">
      <w:pPr>
        <w:pStyle w:val="NormalHanging12a"/>
      </w:pPr>
      <w:r w:rsidRPr="00A14885">
        <w:t>–</w:t>
      </w:r>
      <w:r w:rsidRPr="00A14885">
        <w:tab/>
        <w:t>έχοντας υπόψη τους ενοποιημένους ετήσιους λογαριασμούς της Ευρωπαϊκής Ένωσης για το οικονομικό έτος 2024 (COM(2025)0359 – C10</w:t>
      </w:r>
      <w:r w:rsidRPr="00A14885">
        <w:noBreakHyphen/>
        <w:t>0149/2025)</w:t>
      </w:r>
      <w:r w:rsidRPr="00A14885">
        <w:rPr>
          <w:rStyle w:val="FootnoteReference"/>
        </w:rPr>
        <w:footnoteReference w:id="2"/>
      </w:r>
      <w:r w:rsidRPr="00A14885">
        <w:t>,</w:t>
      </w:r>
    </w:p>
    <w:p w14:paraId="19D45A1C" w14:textId="77777777" w:rsidR="002F02CE" w:rsidRPr="00A14885" w:rsidRDefault="002F02CE" w:rsidP="002F02CE">
      <w:pPr>
        <w:pStyle w:val="NormalHanging12a"/>
      </w:pPr>
      <w:r w:rsidRPr="00A14885">
        <w:t>–</w:t>
      </w:r>
      <w:r w:rsidRPr="00A14885">
        <w:tab/>
        <w:t>έχοντας υπόψη την ετήσια έκθεση του Ελεγκτικού Συνεδρίου προς την αρμόδια για την απαλλαγή αρχή σχετικά με τους εσωτερικούς ελέγχους που πραγματοποιήθηκαν το 2024,</w:t>
      </w:r>
    </w:p>
    <w:p w14:paraId="0291AA3C" w14:textId="77777777" w:rsidR="002F02CE" w:rsidRPr="00A14885" w:rsidRDefault="002F02CE" w:rsidP="002F02CE">
      <w:pPr>
        <w:pStyle w:val="NormalHanging12a"/>
      </w:pPr>
      <w:r w:rsidRPr="00A14885">
        <w:t>–</w:t>
      </w:r>
      <w:r w:rsidRPr="00A14885">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A14885">
        <w:rPr>
          <w:rStyle w:val="FootnoteReference"/>
        </w:rPr>
        <w:footnoteReference w:id="3"/>
      </w:r>
      <w:r w:rsidRPr="00A14885">
        <w:t>,</w:t>
      </w:r>
    </w:p>
    <w:p w14:paraId="293C6CE8" w14:textId="77777777" w:rsidR="002F02CE" w:rsidRPr="00A14885" w:rsidRDefault="002F02CE" w:rsidP="002F02CE">
      <w:pPr>
        <w:pStyle w:val="NormalHanging12a"/>
      </w:pPr>
      <w:r w:rsidRPr="00A14885">
        <w:t>–</w:t>
      </w:r>
      <w:r w:rsidRPr="00A14885">
        <w:tab/>
        <w:t>έχοντας υπόψη τη δήλωση αξιοπιστίας</w:t>
      </w:r>
      <w:r w:rsidRPr="00A14885">
        <w:rPr>
          <w:rStyle w:val="FootnoteReference"/>
        </w:rPr>
        <w:footnoteReference w:id="4"/>
      </w:r>
      <w:r w:rsidRPr="00A14885">
        <w:t xml:space="preserve"> η οποία βεβαιώνει την ακρίβεια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E2AC11A" w14:textId="77777777" w:rsidR="002F02CE" w:rsidRPr="00A14885" w:rsidRDefault="002F02CE" w:rsidP="002F02CE">
      <w:pPr>
        <w:pStyle w:val="NormalHanging12a"/>
      </w:pPr>
      <w:r w:rsidRPr="00A14885">
        <w:t>–</w:t>
      </w:r>
      <w:r w:rsidRPr="00A14885">
        <w:tab/>
        <w:t>έχοντας υπόψη το άρθρο 314 παράγραφος 10 και τα άρθρα 317, 318 και 319 της Συνθήκης για τη λειτουργία της Ευρωπαϊκής Ένωσης,</w:t>
      </w:r>
    </w:p>
    <w:p w14:paraId="193EAB22" w14:textId="77777777" w:rsidR="002F02CE" w:rsidRPr="00A14885" w:rsidRDefault="002F02CE" w:rsidP="002F02CE">
      <w:pPr>
        <w:pStyle w:val="NormalHanging12a"/>
      </w:pPr>
      <w:r w:rsidRPr="00A14885">
        <w:t>–</w:t>
      </w:r>
      <w:r w:rsidRPr="00A14885">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A14885">
        <w:lastRenderedPageBreak/>
        <w:t>την κατάργηση του κανονισμού (ΕΕ, Ευρατόμ) αριθ. 966/2012</w:t>
      </w:r>
      <w:r w:rsidRPr="00A14885">
        <w:rPr>
          <w:rStyle w:val="FootnoteReference"/>
        </w:rPr>
        <w:footnoteReference w:id="5"/>
      </w:r>
      <w:r w:rsidRPr="00A14885">
        <w:t>, και ιδίως τα άρθρα 59, 118, 260, 261 και 262,</w:t>
      </w:r>
    </w:p>
    <w:p w14:paraId="14380308" w14:textId="77777777" w:rsidR="002F02CE" w:rsidRPr="00A14885" w:rsidRDefault="002F02CE" w:rsidP="002F02CE">
      <w:pPr>
        <w:pStyle w:val="NormalHanging12a"/>
      </w:pPr>
      <w:r w:rsidRPr="00A14885">
        <w:t>–</w:t>
      </w:r>
      <w:r w:rsidRPr="00A14885">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A14885">
        <w:rPr>
          <w:rStyle w:val="FootnoteReference"/>
        </w:rPr>
        <w:footnoteReference w:id="6"/>
      </w:r>
      <w:r w:rsidRPr="00A14885">
        <w:t>, και ιδίως τα άρθρα 59, 118, 266, 267 και 268,</w:t>
      </w:r>
    </w:p>
    <w:p w14:paraId="43D90EEA" w14:textId="77777777" w:rsidR="002F02CE" w:rsidRPr="00A14885" w:rsidRDefault="002F02CE" w:rsidP="002F02CE">
      <w:pPr>
        <w:pStyle w:val="NormalHanging12a"/>
      </w:pPr>
      <w:r w:rsidRPr="00A14885">
        <w:t>–</w:t>
      </w:r>
      <w:r w:rsidRPr="00A14885">
        <w:tab/>
        <w:t>έχοντας υπόψη το άρθρο 102 και το παράρτημα V του Κανονισμού του,</w:t>
      </w:r>
    </w:p>
    <w:p w14:paraId="791E0C02" w14:textId="77777777" w:rsidR="002F02CE" w:rsidRPr="00A14885" w:rsidRDefault="002F02CE" w:rsidP="002F02CE">
      <w:pPr>
        <w:pStyle w:val="NormalHanging12a"/>
      </w:pPr>
      <w:r w:rsidRPr="00A14885">
        <w:t>–</w:t>
      </w:r>
      <w:r w:rsidRPr="00A14885">
        <w:tab/>
        <w:t>έχοντας υπόψη την έκθεση της Επιτροπής Ελέγχου του Προϋπολογισμού (A10-0052/2026),</w:t>
      </w:r>
    </w:p>
    <w:p w14:paraId="10BFA33D" w14:textId="77777777" w:rsidR="002F02CE" w:rsidRPr="00A14885" w:rsidRDefault="002F02CE" w:rsidP="002F02CE">
      <w:pPr>
        <w:pStyle w:val="NormalHanging12a"/>
      </w:pPr>
      <w:r w:rsidRPr="00A14885">
        <w:t>1.</w:t>
      </w:r>
      <w:r w:rsidRPr="00A14885">
        <w:tab/>
        <w:t>χορηγεί απαλλαγή στον Γενικό Γραμματέα του Ελεγκτικού Συνεδρίου όσον αφορά την εκτέλεση του προϋπολογισμού του Ελεγκτικού Συνεδρίου για το οικονομικό έτος 2024·</w:t>
      </w:r>
    </w:p>
    <w:p w14:paraId="22E60E0A" w14:textId="77777777" w:rsidR="002F02CE" w:rsidRPr="00A14885" w:rsidRDefault="002F02CE" w:rsidP="002F02CE">
      <w:pPr>
        <w:pStyle w:val="NormalHanging12a"/>
      </w:pPr>
      <w:r w:rsidRPr="00A14885">
        <w:t>2.</w:t>
      </w:r>
      <w:r w:rsidRPr="00A14885">
        <w:tab/>
        <w:t>εκθέτει τις παρατηρήσεις του στο ψήφισμα που ακολουθεί·</w:t>
      </w:r>
    </w:p>
    <w:p w14:paraId="6EB555EB" w14:textId="77777777" w:rsidR="002F02CE" w:rsidRPr="00A14885" w:rsidRDefault="002F02CE" w:rsidP="002F02CE">
      <w:pPr>
        <w:pStyle w:val="NormalHanging12a"/>
      </w:pPr>
      <w:r w:rsidRPr="00A14885">
        <w:t>3.</w:t>
      </w:r>
      <w:r w:rsidRPr="00A14885">
        <w:tab/>
        <w:t xml:space="preserve">αναθέτει στην Πρόεδρό του να διαβιβάσει την παρούσα απόφαση και το ψήφισμα που αποτελεί αναπόσπαστο μέρος της στο Συμβούλιο, στην Επιτροπή και στο Ελεγκτικό Συνέδριο, και να μεριμνήσει για τη δημοσίευσή τους στην </w:t>
      </w:r>
      <w:r w:rsidRPr="00A14885">
        <w:rPr>
          <w:i/>
          <w:iCs/>
        </w:rPr>
        <w:t>Επίσημη Εφημερίδα της Ευρωπαϊκής Ένωσης</w:t>
      </w:r>
      <w:r w:rsidRPr="00A14885">
        <w:t xml:space="preserve"> (σειρά L).</w:t>
      </w:r>
    </w:p>
    <w:p w14:paraId="3DAE12BB" w14:textId="77777777" w:rsidR="002F02CE" w:rsidRPr="00A14885" w:rsidRDefault="002F02CE" w:rsidP="002F02CE"/>
    <w:p w14:paraId="5A115B3C" w14:textId="77777777" w:rsidR="002F02CE" w:rsidRPr="00A14885" w:rsidRDefault="002F02CE" w:rsidP="002F02CE">
      <w:pPr>
        <w:pStyle w:val="PageHeading"/>
        <w:sectPr w:rsidR="002F02CE" w:rsidRPr="00A14885" w:rsidSect="0044385B">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843522" w14:textId="3391E285" w:rsidR="002F02CE" w:rsidRPr="00A14885" w:rsidRDefault="004B326E" w:rsidP="002E727C">
      <w:pPr>
        <w:pStyle w:val="ATHeading3"/>
      </w:pPr>
      <w:bookmarkStart w:id="8" w:name="_Toc227314450"/>
      <w:r w:rsidRPr="00A14885">
        <w:lastRenderedPageBreak/>
        <w:t>2. Ψήφισμα του Ευρωπαϊκού Κοινοβουλίου της 29ης Απριλίου 2026 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V – Ελεγκτικό Συνέδριο (2025/2149(DEC))</w:t>
      </w:r>
      <w:bookmarkEnd w:id="8"/>
    </w:p>
    <w:p w14:paraId="4FF71DC3" w14:textId="77777777" w:rsidR="002F02CE" w:rsidRPr="00A14885" w:rsidRDefault="002F02CE" w:rsidP="002F02CE">
      <w:pPr>
        <w:pStyle w:val="EPComma"/>
      </w:pPr>
      <w:r w:rsidRPr="00A14885">
        <w:rPr>
          <w:i/>
          <w:iCs/>
        </w:rPr>
        <w:t>Το Ευρωπαϊκό Κοινοβούλιο</w:t>
      </w:r>
      <w:r w:rsidRPr="00A14885">
        <w:t>,</w:t>
      </w:r>
    </w:p>
    <w:p w14:paraId="563D9575" w14:textId="77777777" w:rsidR="002F02CE" w:rsidRPr="00A14885" w:rsidRDefault="002F02CE" w:rsidP="002F02CE">
      <w:pPr>
        <w:pStyle w:val="NormalHanging12a"/>
      </w:pPr>
      <w:r w:rsidRPr="00A14885">
        <w:t>–</w:t>
      </w:r>
      <w:r w:rsidRPr="00A14885">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V – Ελεγκτικό Συνέδριο,</w:t>
      </w:r>
    </w:p>
    <w:p w14:paraId="139B9E9F" w14:textId="77777777" w:rsidR="002F02CE" w:rsidRPr="00A14885" w:rsidRDefault="002F02CE" w:rsidP="002F02CE">
      <w:pPr>
        <w:pStyle w:val="NormalHanging12a"/>
      </w:pPr>
      <w:r w:rsidRPr="00A14885">
        <w:t>–</w:t>
      </w:r>
      <w:r w:rsidRPr="00A14885">
        <w:tab/>
        <w:t>έχοντας υπόψη το άρθρο 102 και το παράρτημα V του Κανονισμού του,</w:t>
      </w:r>
    </w:p>
    <w:p w14:paraId="5420E991" w14:textId="77777777" w:rsidR="002F02CE" w:rsidRPr="00A14885" w:rsidRDefault="002F02CE" w:rsidP="002F02CE">
      <w:pPr>
        <w:pStyle w:val="NormalHanging12a"/>
      </w:pPr>
      <w:r w:rsidRPr="00A14885">
        <w:t>–</w:t>
      </w:r>
      <w:r w:rsidRPr="00A14885">
        <w:tab/>
        <w:t>έχοντας υπόψη την έκθεση της Επιτροπής Ελέγχου του Προϋπολογισμού (A10-0052/2026),</w:t>
      </w:r>
    </w:p>
    <w:p w14:paraId="0DAD352C" w14:textId="77777777" w:rsidR="002F02CE" w:rsidRPr="00A14885" w:rsidRDefault="002F02CE" w:rsidP="002F02CE">
      <w:pPr>
        <w:pStyle w:val="NormalHanging12a"/>
        <w:ind w:left="570"/>
        <w:rPr>
          <w:szCs w:val="24"/>
        </w:rPr>
      </w:pPr>
      <w:r w:rsidRPr="00A14885">
        <w:t>Α.</w:t>
      </w:r>
      <w:r w:rsidRPr="00A14885">
        <w:tab/>
        <w:t>λαμβάνοντας υπόψη ότι, στο πλαίσιο της διαδικασίας απαλλαγής, η αρμόδια για την απαλλαγή αρχή επιθυμεί να τονίσει την ιδιαίτερη σημασία που έχει η περαιτέρω ενίσχυση της δημοκρατικής νομιμοποίησης των θεσμικών οργάνων της Ένωσης μέσω της βελτίωσης της διαφάνειας και της λογοδοσίας και μέσω της εφαρμογής της προσέγγισης της κατάρτισης του προϋπολογισμού βάσει επιδόσεων και της χρηστής διαχείρισης των ανθρώπινων πόρων·</w:t>
      </w:r>
    </w:p>
    <w:p w14:paraId="48DD9620" w14:textId="77777777" w:rsidR="002F02CE" w:rsidRPr="00A14885" w:rsidRDefault="002F02CE" w:rsidP="002F02CE">
      <w:pPr>
        <w:pStyle w:val="NormalHanging12a"/>
        <w:rPr>
          <w:szCs w:val="24"/>
        </w:rPr>
      </w:pPr>
      <w:r w:rsidRPr="00A14885">
        <w:t>Β.</w:t>
      </w:r>
      <w:r w:rsidRPr="00A14885">
        <w:tab/>
        <w:t>λαμβάνοντας υπόψη ότι το Ελεγκτικό Συνέδριο είναι ο εξωτερικός ελεγκτής της Ένωσης, στον οποίον ανατίθεται, μέσω ανεξάρτητων, επαγγελματικών και αποτελεσματικών ελεγκτικών εργασιών, να αξιολογεί την οικονομία, την αποτελεσματικότητα, την αποδοτικότητα, τη νομιμότητα και την κανονικότητα της δράσης της Ένωσης για τη βελτίωση της λογοδοσίας, της διαφάνειας και της δημοσιονομικής διαχείρισης και, ως εκ τούτου, να ενισχύει την εμπιστοσύνη των πολιτών και να ανταποκρίνεται αποτελεσματικά στις τρέχουσες και τις μελλοντικές προκλήσεις που αντιμετωπίζει η Ένωση·</w:t>
      </w:r>
    </w:p>
    <w:p w14:paraId="77D52BDA" w14:textId="77777777" w:rsidR="002F02CE" w:rsidRPr="00A14885" w:rsidRDefault="002F02CE" w:rsidP="002F02CE">
      <w:pPr>
        <w:pStyle w:val="NormalHanging12a"/>
        <w:rPr>
          <w:szCs w:val="24"/>
        </w:rPr>
      </w:pPr>
      <w:r w:rsidRPr="00A14885">
        <w:t>Γ.</w:t>
      </w:r>
      <w:r w:rsidRPr="00A14885">
        <w:tab/>
        <w:t>λαμβάνοντας υπόψη ότι, με την επιφύλαξη των άρθρων 287 και 319 της Συνθήκης για τη λειτουργία της Ευρωπαϊκής Ένωσης (ΣΛΕΕ), κάθε έτος από το κλείσιμο του οικονομικού έτους 1987, οι λογαριασμοί διαχείρισης του Ελεγκτικού Συνεδρίου ελέγχονται από ανεξάρτητο εξωτερικό ελεγκτή κάθε έτος και, μετά την έκθεση για το οικονομικό έτος 1992, οι εκθέσεις του εξωτερικού ελεγκτή δημοσιεύονται στην Επίσημη Εφημερίδα της Ευρωπαϊκής Ένωσης·</w:t>
      </w:r>
    </w:p>
    <w:p w14:paraId="48004F6B" w14:textId="77777777" w:rsidR="002F02CE" w:rsidRPr="00A14885" w:rsidRDefault="002F02CE" w:rsidP="002F02CE">
      <w:pPr>
        <w:pStyle w:val="NormalHanging12a"/>
        <w:rPr>
          <w:szCs w:val="24"/>
        </w:rPr>
      </w:pPr>
      <w:r w:rsidRPr="00A14885">
        <w:t>Δ.</w:t>
      </w:r>
      <w:r w:rsidRPr="00A14885">
        <w:tab/>
        <w:t>λαμβάνοντας υπόψη ότι η λογοδοσία σχετικά με τη διαχείριση έναντι των αρμόδιων για τον προϋπολογισμό αρχών παρέχεται μέσω της ετήσιας έκθεσης δραστηριοτήτων του Γενικού Γραμματέα του Ελεγκτικού Συνεδρίου, σκοπός της οποίας, σύμφωνα με το άρθρο 74 παράγραφος 9 του δημοσιονομικού κανονισμού, είναι η παροχή πληροφοριών σχετικά με τη διαχείριση των πόρων, συμπεριλαμβανομένων των συστημάτων, καθώς και σχετικά με την αποδοτικότητα και την αποτελεσματικότητα των συστημάτων εσωτερικού ελέγχου του Ελεγκτικού Συνεδρίου·</w:t>
      </w:r>
    </w:p>
    <w:p w14:paraId="4EF39436" w14:textId="77777777" w:rsidR="002F02CE" w:rsidRPr="00A14885" w:rsidRDefault="002F02CE" w:rsidP="002F02CE">
      <w:pPr>
        <w:pStyle w:val="NormalHanging12a"/>
        <w:rPr>
          <w:szCs w:val="24"/>
        </w:rPr>
      </w:pPr>
      <w:r w:rsidRPr="00A14885">
        <w:t>Ε.</w:t>
      </w:r>
      <w:r w:rsidRPr="00A14885">
        <w:tab/>
        <w:t>λαμβάνοντας υπόψη ότι, ασκώντας τα καθήκοντά του με διαφάνεια και ανεξαρτησία, το Ελεγκτικό Συνέδριο συμβάλλει στη δημοκρατική εποπτεία, τον δημόσιο διάλογο και τη χρηστή δημοσιονομική διαχείριση της Ένωσης·</w:t>
      </w:r>
    </w:p>
    <w:p w14:paraId="7189BB5F" w14:textId="77777777" w:rsidR="002F02CE" w:rsidRPr="00A14885" w:rsidRDefault="002F02CE" w:rsidP="002F02CE">
      <w:pPr>
        <w:pStyle w:val="NormalHanging12a"/>
        <w:rPr>
          <w:szCs w:val="24"/>
        </w:rPr>
      </w:pPr>
      <w:r w:rsidRPr="00A14885">
        <w:lastRenderedPageBreak/>
        <w:t>ΣΤ.</w:t>
      </w:r>
      <w:r w:rsidRPr="00A14885">
        <w:tab/>
        <w:t>λαμβάνοντας υπόψη ότι το Ελεγκτικό Συνέδριο έχει λάβει θέση σύμφωνα με την οποία για την αξιολόγηση της διακυβέρνησης της Ένωσης, της λογοδοσίας και της διαφάνειάς της, καθώς και της ποιότητας και της αξιοπιστίας των πληροφοριών και των δεδομένων που υποβάλλονται σχετικά με την εφαρμογή των πολιτικών της Ένωσης, η καλύτερη λύση θα ήταν να ανατεθεί στο Ελεγκτικό Συνέδριο ο έλεγχος όλων των θεσμικών και λοιπών οργάνων και οργανισμών της Ένωσης που έχουν συσταθεί από τις Συνθήκες ή δυνάμει των Συνθηκών, καθώς και όλων των διακυβερνητικών δομών που έχουν καίρια σημασία για τη λειτουργία της Ένωσης· λαμβάνοντας υπόψη ότι το Κοινοβούλιο υποστηρίζει σθεναρά το Ελεγκτικό Συνέδριο και θα επικροτούσε πρωτοβουλίες που θα ενισχύσουν την ικανότητα του Ελεγκτικού Συνεδρίου να εκπληρώσει την εντολή του·</w:t>
      </w:r>
    </w:p>
    <w:p w14:paraId="4BE630F5" w14:textId="30C0E78F" w:rsidR="002F02CE" w:rsidRPr="00A14885" w:rsidRDefault="00A14885" w:rsidP="00A14885">
      <w:pPr>
        <w:pStyle w:val="NormalHanging12a"/>
        <w:ind w:hanging="570"/>
        <w:rPr>
          <w:szCs w:val="24"/>
        </w:rPr>
      </w:pPr>
      <w:r w:rsidRPr="00A14885">
        <w:rPr>
          <w:szCs w:val="24"/>
        </w:rPr>
        <w:t>1.</w:t>
      </w:r>
      <w:r w:rsidRPr="00A14885">
        <w:rPr>
          <w:szCs w:val="24"/>
        </w:rPr>
        <w:tab/>
      </w:r>
      <w:r w:rsidR="002F02CE" w:rsidRPr="00A14885">
        <w:t>σημειώνει ότι ο προϋπολογισμός του Ελεγκτικού Συνεδρίου εμπίπτει στον τομέα 7 του ΠΔΠ («Ευρωπαϊκή δημόσια διοίκηση»), ο οποίος ανήλθε σε 13,3 δισεκατομμύρια EUR το 2024 (ποσό που αντιστοιχεί στο 6,9</w:t>
      </w:r>
      <w:r w:rsidR="00B66A18" w:rsidRPr="00A14885">
        <w:t> %</w:t>
      </w:r>
      <w:r w:rsidR="002F02CE" w:rsidRPr="00A14885">
        <w:t xml:space="preserve"> του συνολικού προϋπολογισμού της Ένωσης)· σημειώνει ότι ο προϋπολογισμός του Ελεγκτικού Συνεδρίου, ύψους περίπου 0,2 δισεκατομμυρίου EUR, συνιστά περίπου το 1,5</w:t>
      </w:r>
      <w:r w:rsidR="00B66A18" w:rsidRPr="00A14885">
        <w:t> %</w:t>
      </w:r>
      <w:r w:rsidR="002F02CE" w:rsidRPr="00A14885">
        <w:t xml:space="preserve"> των συνολικών διοικητικών δαπανών της Ένωσης·</w:t>
      </w:r>
    </w:p>
    <w:p w14:paraId="58F1142C" w14:textId="2DDDCAFC" w:rsidR="002F02CE" w:rsidRPr="00A14885" w:rsidRDefault="00A14885" w:rsidP="00A14885">
      <w:pPr>
        <w:pStyle w:val="NormalHanging12a"/>
        <w:ind w:hanging="570"/>
        <w:rPr>
          <w:szCs w:val="24"/>
        </w:rPr>
      </w:pPr>
      <w:r w:rsidRPr="00A14885">
        <w:rPr>
          <w:szCs w:val="24"/>
        </w:rPr>
        <w:t>2.</w:t>
      </w:r>
      <w:r w:rsidRPr="00A14885">
        <w:rPr>
          <w:szCs w:val="24"/>
        </w:rPr>
        <w:tab/>
      </w:r>
      <w:r w:rsidR="002F02CE" w:rsidRPr="00A14885">
        <w:t>σημειώνει ότι το Ελεγκτικό Συνέδριο, στην ετήσια έκθεσή του για το οικονομικό έτος 2024 («έκθεση του Ελεγκτικού Συνεδρίου»), εξέτασε δείγμα 70 πράξεων στο πλαίσιο του τομέα «Διοίκηση», αριθμός ίδιος με εκείνον του 2023· σημειώνει ότι το Ελεγκτικό Συνέδριο αναφέρει περαιτέρω ότι οι διοικητικές δαπάνες περιλαμβάνουν τις δαπάνες για ανθρώπινους πόρους, συμπεριλαμβανομένων των δαπανών για συντάξεις, οι οποίες το 2024 αντιπροσώπευαν περίπου το 69</w:t>
      </w:r>
      <w:r w:rsidR="00B66A18" w:rsidRPr="00A14885">
        <w:t> %</w:t>
      </w:r>
      <w:r w:rsidR="002F02CE" w:rsidRPr="00A14885">
        <w:t xml:space="preserve"> των συνολικών διοικητικών δαπανών, καθώς και δαπάνες για κτήρια, εξοπλισμό, ενέργεια, επικοινωνίες και τεχνολογία των πληροφοριών, και ότι το έργο του επί σειρά ετών δείχνει ότι, συνολικά, οι δαπάνες αυτές είναι χαμηλού κινδύνου·</w:t>
      </w:r>
    </w:p>
    <w:p w14:paraId="339FCEC7" w14:textId="7630168B" w:rsidR="002F02CE" w:rsidRPr="00A14885" w:rsidRDefault="00A14885" w:rsidP="00A14885">
      <w:pPr>
        <w:pStyle w:val="NormalHanging12a"/>
        <w:ind w:hanging="570"/>
        <w:rPr>
          <w:szCs w:val="24"/>
        </w:rPr>
      </w:pPr>
      <w:r w:rsidRPr="00A14885">
        <w:rPr>
          <w:szCs w:val="24"/>
        </w:rPr>
        <w:t>3.</w:t>
      </w:r>
      <w:r w:rsidRPr="00A14885">
        <w:rPr>
          <w:szCs w:val="24"/>
        </w:rPr>
        <w:tab/>
      </w:r>
      <w:r w:rsidR="002F02CE" w:rsidRPr="00A14885">
        <w:t>σημειώνει ότι 16 (23</w:t>
      </w:r>
      <w:r w:rsidR="00B66A18" w:rsidRPr="00A14885">
        <w:t> %</w:t>
      </w:r>
      <w:r w:rsidR="002F02CE" w:rsidRPr="00A14885">
        <w:t>) από τις 70 πράξεις περιείχαν σφάλματα, αλλά ότι το Ελεγκτικό Συνέδριο, βάσει των τριών σφαλμάτων που ποσοτικοποιήθηκαν, εκτιμά ότι το επίπεδο σφάλματος είναι χαμηλότερο από το όριο σημαντικότητας·</w:t>
      </w:r>
    </w:p>
    <w:p w14:paraId="14CC6643" w14:textId="0131FFD4" w:rsidR="002F02CE" w:rsidRPr="00A14885" w:rsidRDefault="00A14885" w:rsidP="00A14885">
      <w:pPr>
        <w:pStyle w:val="NormalHanging12a"/>
        <w:ind w:hanging="570"/>
        <w:rPr>
          <w:szCs w:val="24"/>
        </w:rPr>
      </w:pPr>
      <w:r w:rsidRPr="00A14885">
        <w:rPr>
          <w:szCs w:val="24"/>
        </w:rPr>
        <w:t>4.</w:t>
      </w:r>
      <w:r w:rsidRPr="00A14885">
        <w:rPr>
          <w:szCs w:val="24"/>
        </w:rPr>
        <w:tab/>
      </w:r>
      <w:r w:rsidR="002F02CE" w:rsidRPr="00A14885">
        <w:t>σημειώνει ότι οι ισολογισμοί του Ελεγκτικού Συνεδρίου υπόκεινται σε λογιστικό έλεγχο τον οποίο διενεργεί ανεξάρτητος εξωτερικός ελεγκτής, προκειμένου να διασφαλιστεί η εφαρμογή των ίδιων αρχών διαφάνειας, λογοδοσίας και ανεξαρτησίας με αυτές που εφαρμόζει το Ελεγκτικό Συνέδριο στους ελεγχόμενους από αυτό·</w:t>
      </w:r>
    </w:p>
    <w:p w14:paraId="007BD423" w14:textId="51DF5E50" w:rsidR="002F02CE" w:rsidRPr="00A14885" w:rsidRDefault="00A14885" w:rsidP="00A14885">
      <w:pPr>
        <w:pStyle w:val="NormalHanging12a"/>
        <w:ind w:hanging="570"/>
        <w:rPr>
          <w:szCs w:val="24"/>
        </w:rPr>
      </w:pPr>
      <w:r w:rsidRPr="00A14885">
        <w:rPr>
          <w:szCs w:val="24"/>
        </w:rPr>
        <w:t>5.</w:t>
      </w:r>
      <w:r w:rsidRPr="00A14885">
        <w:rPr>
          <w:szCs w:val="24"/>
        </w:rPr>
        <w:tab/>
      </w:r>
      <w:r w:rsidR="002F02CE" w:rsidRPr="00A14885">
        <w:t>χαιρετίζει την ειδική έκθεση 24/2024 του Ελεγκτικού Συνεδρίου και τα πορίσματα και τις συστάσεις του σχετικά με το πλαίσιο απασχόλησης της δημόσιας διοίκησης της Ένωσης· υπενθυμίζει ότι θεωρεί σημαντικό να πραγματοποιηθεί μια διεξοδικότερη έρευνα σχετικά με τις διοικητικές δαπάνες και επαναλαμβάνει την έκκλησή του να συμπεριληφθούν στις εργασίες του ολοκληρωμένα στοιχεία για όλα τα θεσμικά όργανα, προκειμένου να δημιουργηθεί μια συνεκτική βάση για μια συνεπή διαδικασία απαλλαγής· καλεί το Ελεγκτικό Συνέδριο να τηρεί ενήμερη την αρμόδια για την απαλλαγή αρχή σχετικά με τυχόν πρωτοβουλίες σχετικά με το ζήτημα αυτό·</w:t>
      </w:r>
    </w:p>
    <w:p w14:paraId="2985F43F" w14:textId="316D86F6" w:rsidR="002F02CE" w:rsidRPr="00A14885" w:rsidRDefault="00A14885" w:rsidP="00A14885">
      <w:pPr>
        <w:pStyle w:val="NormalHanging12a"/>
        <w:ind w:hanging="570"/>
        <w:rPr>
          <w:bCs/>
          <w:iCs/>
          <w:szCs w:val="24"/>
        </w:rPr>
      </w:pPr>
      <w:r w:rsidRPr="00A14885">
        <w:rPr>
          <w:bCs/>
          <w:iCs/>
          <w:szCs w:val="24"/>
        </w:rPr>
        <w:t>6.</w:t>
      </w:r>
      <w:r w:rsidRPr="00A14885">
        <w:rPr>
          <w:bCs/>
          <w:iCs/>
          <w:szCs w:val="24"/>
        </w:rPr>
        <w:tab/>
      </w:r>
      <w:r w:rsidR="002F02CE" w:rsidRPr="00A14885">
        <w:t xml:space="preserve">σημειώνει την από 1ης Οκτωβρίου 2025 ανακοίνωση του Ελεγκτικού Συνεδρίου σχετικά με τη θέσπιση αναθεωρημένης προσέγγισης ελέγχου για τις κοινές επιχειρήσεις, αρχής γενομένης από το οικονομικό έτος 2025· σημειώνει ότι η αλλαγή αυτή οφείλεται, μεταξύ άλλων, στους περιορισμούς όσον αφορά τις ικανότητες του προσωπικού και στην παύση των ελέγχων των κοινών επιχειρήσεων στο πλαίσιο του </w:t>
      </w:r>
      <w:r w:rsidR="002F02CE" w:rsidRPr="00A14885">
        <w:lastRenderedPageBreak/>
        <w:t>προγράμματος «Ορίζων Ευρώπη» από την Υπηρεσία Εσωτερικού Λογιστικού Ελέγχου της Επιτροπής, η οποία είχε προηγουμένως ελέγξει τις κοινές επιχειρήσεις, περιορίζοντας έτσι τη διαθεσιμότητα συμπληρωματικής διασφάλισης ελέγχου· σημειώνει ακόμη ότι η νέα προσέγγιση προβλέπει επαρκές μέγεθος δείγματος ελέγχου, ενοποίηση των ελεγκτικών εργασιών σε όλες τις κοινές επιχειρήσεις και έκδοση δύο χωριστών δηλώσεων αξιοπιστίας, υποστηριζόμενων από πρόσθετες θεματικές και ειδικές εκθέσεις· καλεί το Ελεγκτικό Συνέδριο να μεριμνήσει ώστε η αναθεωρημένη μεθοδολογία να εφαρμόζεται εγκαίρως και να εξακολουθεί να πληροί τα πλέον υψηλά πρότυπα ποιότητας, αξιοπιστίας και διασφάλισης του ελέγχου για την προστασία των οικονομικών συμφερόντων της Ένωσης·</w:t>
      </w:r>
    </w:p>
    <w:p w14:paraId="12F7CAD7" w14:textId="77777777" w:rsidR="002F02CE" w:rsidRPr="00A14885" w:rsidRDefault="002F02CE" w:rsidP="002F02CE">
      <w:pPr>
        <w:pStyle w:val="NormalHanging12a"/>
        <w:rPr>
          <w:b/>
          <w:i/>
          <w:iCs/>
          <w:szCs w:val="24"/>
        </w:rPr>
      </w:pPr>
      <w:r w:rsidRPr="00A14885">
        <w:rPr>
          <w:b/>
          <w:i/>
        </w:rPr>
        <w:t>Οικονομική και δημοσιονομική διαχείριση</w:t>
      </w:r>
    </w:p>
    <w:p w14:paraId="472D50B1" w14:textId="6B017189" w:rsidR="002F02CE" w:rsidRPr="00A14885" w:rsidRDefault="00A14885" w:rsidP="00A14885">
      <w:pPr>
        <w:pStyle w:val="NormalHanging12a"/>
        <w:ind w:hanging="570"/>
        <w:rPr>
          <w:szCs w:val="24"/>
        </w:rPr>
      </w:pPr>
      <w:r w:rsidRPr="00A14885">
        <w:rPr>
          <w:szCs w:val="24"/>
        </w:rPr>
        <w:t>7.</w:t>
      </w:r>
      <w:r w:rsidRPr="00A14885">
        <w:rPr>
          <w:szCs w:val="24"/>
        </w:rPr>
        <w:tab/>
      </w:r>
      <w:r w:rsidR="002F02CE" w:rsidRPr="00A14885">
        <w:t>σημειώνει ότι ο συνολικός προϋπολογισμός (πιστώσεις C1) του Ελεγκτικού Συνεδρίου για το 2024 ανήλθε σε 185 655 890 EUR, ποσό που ισοδυναμεί με αύξηση κατά 6,05</w:t>
      </w:r>
      <w:r w:rsidR="00B66A18" w:rsidRPr="00A14885">
        <w:t> %</w:t>
      </w:r>
      <w:r w:rsidR="002F02CE" w:rsidRPr="00A14885">
        <w:t xml:space="preserve"> από 175 059 922 EUR το 2023· σημειώνει ότι η αύξηση οφειλόταν κυρίως σε μισθολογικές αναπροσαρμογές· σημειώνει ότι, για το 2024, το 89,50</w:t>
      </w:r>
      <w:r w:rsidR="00B66A18" w:rsidRPr="00A14885">
        <w:t> %</w:t>
      </w:r>
      <w:r w:rsidR="002F02CE" w:rsidRPr="00A14885">
        <w:t xml:space="preserve"> των πιστώσεων (έναντι 88,50</w:t>
      </w:r>
      <w:r w:rsidR="00B66A18" w:rsidRPr="00A14885">
        <w:t> %</w:t>
      </w:r>
      <w:r w:rsidR="002F02CE" w:rsidRPr="00A14885">
        <w:t xml:space="preserve"> το 2023) προοριζόταν για τα μέλη και το προσωπικό του, ενώ το 10,50</w:t>
      </w:r>
      <w:r w:rsidR="00B66A18" w:rsidRPr="00A14885">
        <w:t> %</w:t>
      </w:r>
      <w:r w:rsidR="002F02CE" w:rsidRPr="00A14885">
        <w:t xml:space="preserve"> προοριζόταν για κτήρια, εξοπλισμό και διάφορες δαπάνες (έναντι 11,60</w:t>
      </w:r>
      <w:r w:rsidR="00B66A18" w:rsidRPr="00A14885">
        <w:t>  %</w:t>
      </w:r>
      <w:r w:rsidR="002F02CE" w:rsidRPr="00A14885">
        <w:t xml:space="preserve"> το 2023)·</w:t>
      </w:r>
    </w:p>
    <w:p w14:paraId="307D696F" w14:textId="52964C7E" w:rsidR="002F02CE" w:rsidRPr="00A14885" w:rsidRDefault="00A14885" w:rsidP="00A14885">
      <w:pPr>
        <w:pStyle w:val="NormalHanging12a"/>
        <w:ind w:hanging="570"/>
        <w:rPr>
          <w:szCs w:val="24"/>
        </w:rPr>
      </w:pPr>
      <w:r w:rsidRPr="00A14885">
        <w:rPr>
          <w:szCs w:val="24"/>
        </w:rPr>
        <w:t>8.</w:t>
      </w:r>
      <w:r w:rsidRPr="00A14885">
        <w:rPr>
          <w:szCs w:val="24"/>
        </w:rPr>
        <w:tab/>
      </w:r>
      <w:r w:rsidR="002F02CE" w:rsidRPr="00A14885">
        <w:t>σημειώνει ότι τα ποσοστά εκτέλεσης των αναλήψεων υποχρεώσεων και των πληρωμών για το 2024 παρέμειναν υψηλά, σχεδόν στα ίδια επίπεδα με το 2023, ενώ το ποσοστό εκτέλεσης των πιστώσεων ανήλθε σε 97,30</w:t>
      </w:r>
      <w:r w:rsidR="00B66A18" w:rsidRPr="00A14885">
        <w:t> %</w:t>
      </w:r>
      <w:r w:rsidR="002F02CE" w:rsidRPr="00A14885">
        <w:t xml:space="preserve"> και οι πληρωμές αντιπροσώπευαν το 94,81</w:t>
      </w:r>
      <w:r w:rsidR="00B66A18" w:rsidRPr="00A14885">
        <w:t> %</w:t>
      </w:r>
      <w:r w:rsidR="002F02CE" w:rsidRPr="00A14885">
        <w:t xml:space="preserve"> των συνολικών αναλήψεων υποχρεώσεων το 2024· σημειώνει την αύξηση των ακυρωθεισών πιστώσεων στο τέλος του έτους από περίπου 3,4 εκατομμύρια EUR το 2023 σε 4,4 εκατομμύρια EUR το 2024· συγχαίρει το Ελεγκτικό Συνέδριο για το γεγονός ότι διατήρησε τον μέσο χρόνο πληρωμής των τιμολογίων το 2024 κάτω από 11 ημέρες· ενθαρρύνει το Ελεγκτικό Συνέδριο να διατηρήσει αυστηρή πειθαρχία ως προς το κόστος, να συνεχίσει να δίνει προτεραιότητα στην επιχειρησιακή αποδοτικότητα και να μειώσει περαιτέρω τις ακυρώσεις στο τέλος του έτους, βελτιώνοντας έτσι την αποδοτικότητα και την οικονομική αποδοτικότητα των πιστώσεών του·</w:t>
      </w:r>
    </w:p>
    <w:p w14:paraId="5642A249" w14:textId="37D71D92" w:rsidR="002F02CE" w:rsidRPr="00A14885" w:rsidRDefault="00A14885" w:rsidP="00A14885">
      <w:pPr>
        <w:pStyle w:val="NormalHanging12a"/>
        <w:ind w:hanging="570"/>
        <w:rPr>
          <w:szCs w:val="24"/>
        </w:rPr>
      </w:pPr>
      <w:r w:rsidRPr="00A14885">
        <w:rPr>
          <w:szCs w:val="24"/>
        </w:rPr>
        <w:t>9.</w:t>
      </w:r>
      <w:r w:rsidRPr="00A14885">
        <w:rPr>
          <w:szCs w:val="24"/>
        </w:rPr>
        <w:tab/>
      </w:r>
      <w:r w:rsidR="002F02CE" w:rsidRPr="00A14885">
        <w:t>σημειώνει ότι το Ελεγκτικό Συνέδριο πραγματοποίησε τακτικά επανεξετάσεις του προϋπολογισμού κατά τη διάρκεια του έτους, οι οποίες το 2024 είχαν ως αποτέλεσμα 29 μεταφορές πιστώσεων συνολικού ύψους περίπου 4</w:t>
      </w:r>
      <w:r w:rsidR="0014185B" w:rsidRPr="00A14885">
        <w:t>,</w:t>
      </w:r>
      <w:r w:rsidR="002F02CE" w:rsidRPr="00A14885">
        <w:t>5 εκατομμυρίων EUR, έναντι περίπου 5</w:t>
      </w:r>
      <w:r w:rsidR="0014185B" w:rsidRPr="00A14885">
        <w:t>,</w:t>
      </w:r>
      <w:r w:rsidR="002F02CE" w:rsidRPr="00A14885">
        <w:t>7 εκατομμυρίων EUR το 2023· σημειώνει ότι οι μεταφορές αυτές ήταν αναγκαίες για την ενίσχυση των γραμμών του σημειώνει ότι οι εν λόγω μεταφορές ήταν αναγκαίες για την ενίσχυση των γραμμών του προϋπολογισμού που σχετίζονται, μεταξύ άλλων, με έργα ΤΠ (+20,28</w:t>
      </w:r>
      <w:r w:rsidR="00B66A18" w:rsidRPr="00A14885">
        <w:t>  %</w:t>
      </w:r>
      <w:r w:rsidR="002F02CE" w:rsidRPr="00A14885">
        <w:t>), με τη διαρρύθμιση χώρων (+560,18</w:t>
      </w:r>
      <w:r w:rsidR="00B66A18" w:rsidRPr="00A14885">
        <w:t> %</w:t>
      </w:r>
      <w:r w:rsidR="002F02CE" w:rsidRPr="00A14885">
        <w:t>) και με τεχνικό εξοπλισμό και εγκαταστάσεις (73,53</w:t>
      </w:r>
      <w:r w:rsidR="00B66A18" w:rsidRPr="00A14885">
        <w:t> %</w:t>
      </w:r>
      <w:r w:rsidR="002F02CE" w:rsidRPr="00A14885">
        <w:t>)· σημειώνει ότι, σύμφωνα με τις απαντήσεις του Ελεγκτικού Συνεδρίου στο ερωτηματολόγιο που υπέβαλε η Επιτροπή Ελέγχου του Προϋπολογισμού για χορήγηση απαλλαγής για την εκτέλεση του προϋπολογισμού του 2024 («ερωτηματολόγιο»), οι ανακατανομές ήταν επίσης αναγκαίες λόγω του υψηλότερου από το προϋπολογισθέν επιπέδου πληθωρισμού και των επακόλουθων τιμαριθμικών αναπροσαρμογών που επηρεάζουν νέες και υφιστάμενες συμβάσεις·</w:t>
      </w:r>
    </w:p>
    <w:p w14:paraId="5558B7FD" w14:textId="17191213" w:rsidR="002F02CE" w:rsidRPr="00A14885" w:rsidRDefault="00A14885" w:rsidP="00A14885">
      <w:pPr>
        <w:pStyle w:val="NormalHanging12a"/>
        <w:ind w:hanging="570"/>
        <w:rPr>
          <w:szCs w:val="24"/>
        </w:rPr>
      </w:pPr>
      <w:r w:rsidRPr="00A14885">
        <w:rPr>
          <w:szCs w:val="24"/>
        </w:rPr>
        <w:t>10.</w:t>
      </w:r>
      <w:r w:rsidRPr="00A14885">
        <w:rPr>
          <w:szCs w:val="24"/>
        </w:rPr>
        <w:tab/>
      </w:r>
      <w:r w:rsidR="002F02CE" w:rsidRPr="00A14885">
        <w:t xml:space="preserve">σημειώνει ότι, σύμφωνα με το ερωτηματολόγιο, ο αντίκτυπος του παράνομου επιθετικού πολέμου της Ρωσίας κατά της Ουκρανίας έγινε αισθητός από το Ελεγκτικό Συνέδριο μέσω αυξήσεων του κόστους των αγαθών, των υπηρεσιών και της εφοδιαστικής λόγω πληθωρισμού το 2024· χαιρετίζει τα μέτρα του Ελεγκτικού </w:t>
      </w:r>
      <w:r w:rsidR="002F02CE" w:rsidRPr="00A14885">
        <w:lastRenderedPageBreak/>
        <w:t>Συνεδρίου για την αντιμετώπιση των εν λόγω επιπτώσεων με τη διενέργεια λεπτομερέστερων αναλύσεων πριν από τη διάθεση στην αγορά, ώστε να διασφαλιστεί ρεαλιστικός σχεδιασμός και αποτελεσματικές δημόσιες συμβάσεις· σημειώνει περαιτέρω με ικανοποίηση ότι το κόστος του Ελεγκτικού Συνεδρίου για την κατανάλωση ενέργειας (θέση του προϋπολογισμού αριθ. 2024) μειώθηκε σημαντικά, από 1 556 671 EUR το 2023 σε 887 827 EUR το 2024, κυρίως λόγω της μείωσης της σταθερής τιμής της ηλεκτρικής ενέργειας, σύμφωνα με τη διοργανική σύμβαση με τον ενδιαφερόμενο πάροχο· αναγνωρίζει την ανάγκη να βελτιώσουν όλα τα θεσμικά όργανα της Ένωσης τη δημοσιονομική τους διαχείριση, μεταξύ άλλων λαμβάνοντας υπόψη την αστάθεια των τιμών, ιδίως στον τομέα της ενέργειας, κατά τη σύναψη συμβάσεων με παρόχους υπηρεσιών·</w:t>
      </w:r>
    </w:p>
    <w:p w14:paraId="47974D36" w14:textId="79ADAED5" w:rsidR="002F02CE" w:rsidRPr="00A14885" w:rsidRDefault="00A14885" w:rsidP="00A14885">
      <w:pPr>
        <w:pStyle w:val="NormalHanging12a"/>
        <w:ind w:hanging="570"/>
        <w:rPr>
          <w:szCs w:val="24"/>
        </w:rPr>
      </w:pPr>
      <w:r w:rsidRPr="00A14885">
        <w:rPr>
          <w:szCs w:val="24"/>
        </w:rPr>
        <w:t>11.</w:t>
      </w:r>
      <w:r w:rsidRPr="00A14885">
        <w:rPr>
          <w:szCs w:val="24"/>
        </w:rPr>
        <w:tab/>
      </w:r>
      <w:r w:rsidR="002F02CE" w:rsidRPr="00A14885">
        <w:t>σημειώνει ότι αναλήψεις υποχρεώσεων συνολικού ύψους περίπου 9,9 εκατομμυρίων EUR για τον τίτλο 1 του προϋπολογισμού και περίπου 8,4 εκατομμυρίων EUR για τον τίτλο 2 του προϋπολογισμού μεταφέρθηκαν αυτόματα από το 2024 στο 2025 για την κάλυψη δαπανών, μεταξύ άλλων, για αποστολές, κατάρτιση και μετάφραση· σημειώνει ότι ποσό ύψους 602 000 EUR μεταφέρθηκε κατόπιν απόφασης, ενώ το εν λόγω ποσό συνδέεται με μεταφορά πιστώσεων που εγκρίθηκε από τις αρμόδιες για τον προϋπολογισμό αρχές για την αντικατάσταση των ανελκυστήρων Κ1 σε κτήριο του Ελεγκτικού Συνεδρίου·</w:t>
      </w:r>
    </w:p>
    <w:p w14:paraId="1279E477" w14:textId="52DCBF8F" w:rsidR="002F02CE" w:rsidRPr="00A14885" w:rsidRDefault="00A14885" w:rsidP="00A14885">
      <w:pPr>
        <w:pStyle w:val="NormalHanging12a"/>
        <w:ind w:hanging="570"/>
        <w:rPr>
          <w:szCs w:val="24"/>
        </w:rPr>
      </w:pPr>
      <w:r w:rsidRPr="00A14885">
        <w:rPr>
          <w:szCs w:val="24"/>
        </w:rPr>
        <w:t>12.</w:t>
      </w:r>
      <w:r w:rsidRPr="00A14885">
        <w:rPr>
          <w:szCs w:val="24"/>
        </w:rPr>
        <w:tab/>
      </w:r>
      <w:r w:rsidR="002F02CE" w:rsidRPr="00A14885">
        <w:t>σημειώνει ότι οι εγγεγραμμένες στον προϋπολογισμό πιστώσεις (C1) για αποστολές των μελών και του προσωπικού του Ελεγκτικού Συνεδρίου ανήλθαν σε 2 860 000 EUR το 2024 (έναντι 2 722 000 EUR το 2023)· σημειώνει ότι, από τις εν λόγω πιστώσεις, δεσμεύτηκε ποσό 2 469 344 EUR, εκ των οποίων το 2024 καταβλήθηκαν τα 2 184 344 EUR (δηλ. ποσοστό εκτέλεσης 88,46</w:t>
      </w:r>
      <w:r w:rsidR="00B66A18" w:rsidRPr="00A14885">
        <w:t> %</w:t>
      </w:r>
      <w:r w:rsidR="002F02CE" w:rsidRPr="00A14885">
        <w:t>)·</w:t>
      </w:r>
    </w:p>
    <w:p w14:paraId="693E6685" w14:textId="55B31941" w:rsidR="002F02CE" w:rsidRPr="00A14885" w:rsidRDefault="00A14885" w:rsidP="00A14885">
      <w:pPr>
        <w:pStyle w:val="NormalHanging12a"/>
        <w:ind w:hanging="570"/>
        <w:rPr>
          <w:szCs w:val="24"/>
        </w:rPr>
      </w:pPr>
      <w:r w:rsidRPr="00A14885">
        <w:rPr>
          <w:szCs w:val="24"/>
        </w:rPr>
        <w:t>13.</w:t>
      </w:r>
      <w:r w:rsidRPr="00A14885">
        <w:rPr>
          <w:szCs w:val="24"/>
        </w:rPr>
        <w:tab/>
      </w:r>
      <w:r w:rsidR="002F02CE" w:rsidRPr="00A14885">
        <w:t>σημειώνει με ικανοποίηση ότι, σύμφωνα με το ερωτηματολόγιο, όσον αφορά τη θέση του προϋπολογισμού του Ελεγκτικού Συνεδρίου για τις δημοσιεύσεις, οι προϋπολογισθείσες πιστώσεις μειώθηκαν από 810 000 EUR το 2014 σε 300 000 EUR το 2024 λόγω της αύξησης της εσωτερικής παραγωγής εκθέσεων και της εικονικής προώθησης των δημοσιεύσεων· σημειώνει ότι οι εκτιμήσεις του Ελεγκτικού Συνεδρίου ως προς την εν λόγω θέση του προϋπολογισμού για τα επόμενα οικονομικά έτη έχουν μειωθεί περαιτέρω· σημειώνει περαιτέρω την τάση του Ελεγκτικού Συνεδρίου να μειώνει τον προϋπολογισμό για τη διερμηνεία και τις υπηρεσίες εμπειρογνωμόνων (διαβουλεύσεις, μελέτες κ.λπ.) και το σχέδιο παροπλισμού της σταθερής τηλεφωνίας του για την επίτευξη περαιτέρω εξοικονόμησης·</w:t>
      </w:r>
    </w:p>
    <w:p w14:paraId="19EFEC7D" w14:textId="3FA5C63E" w:rsidR="002F02CE" w:rsidRPr="00A14885" w:rsidRDefault="00A14885" w:rsidP="00A14885">
      <w:pPr>
        <w:pStyle w:val="NormalHanging12a"/>
        <w:ind w:hanging="570"/>
        <w:rPr>
          <w:szCs w:val="24"/>
        </w:rPr>
      </w:pPr>
      <w:r w:rsidRPr="00A14885">
        <w:rPr>
          <w:szCs w:val="24"/>
        </w:rPr>
        <w:t>14.</w:t>
      </w:r>
      <w:r w:rsidRPr="00A14885">
        <w:rPr>
          <w:szCs w:val="24"/>
        </w:rPr>
        <w:tab/>
      </w:r>
      <w:r w:rsidR="002F02CE" w:rsidRPr="00A14885">
        <w:t>χαιρετίζει, όπως αντικατοπτρίζεται στην απάντηση του Ελεγκτικού Συνεδρίου στα διάφορα σημεία που έθεσε η αρμόδια για την απαλλαγή αρχή στο πλαίσιο της διαδικασίας απαλλαγής για το 2023 (</w:t>
      </w:r>
      <w:r w:rsidR="001B613C" w:rsidRPr="00A14885">
        <w:t>«</w:t>
      </w:r>
      <w:r w:rsidR="002F02CE" w:rsidRPr="00A14885">
        <w:t>έκθεση παρακολούθησης</w:t>
      </w:r>
      <w:r w:rsidR="001B613C" w:rsidRPr="00A14885">
        <w:t>»</w:t>
      </w:r>
      <w:r w:rsidR="002F02CE" w:rsidRPr="00A14885">
        <w:t>), για τις εν εξελίξει εργασίες του Ελεγκτικού Συνεδρίου για την αναθεώρηση του οδηγού αποστολών του προκειμένου να αντιμετωπιστούν, με προορατικό τρόπο (δηλαδή κατά τη στιγμή της προετοιμασίας της αποστολής), θέματα όπως, μεταξύ άλλων, η οικονομική αποδοτικότητα και οι τρόποι ελαχιστοποίησης των περιβαλλοντικών επιπτώσεων· ζητεί από το Ελεγκτικό Συνέδριο να ενημερώνει την αρμόδια για την απαλλαγή αρχή σχετικά με την πρόοδο που σημειώνεται στο θέμα αυτό·</w:t>
      </w:r>
    </w:p>
    <w:p w14:paraId="245027AA" w14:textId="51E45535" w:rsidR="002F02CE" w:rsidRPr="00A14885" w:rsidRDefault="00A14885" w:rsidP="00A14885">
      <w:pPr>
        <w:pStyle w:val="NormalHanging12a"/>
        <w:ind w:hanging="570"/>
        <w:rPr>
          <w:szCs w:val="24"/>
        </w:rPr>
      </w:pPr>
      <w:r w:rsidRPr="00A14885">
        <w:rPr>
          <w:szCs w:val="24"/>
        </w:rPr>
        <w:t>15.</w:t>
      </w:r>
      <w:r w:rsidRPr="00A14885">
        <w:rPr>
          <w:szCs w:val="24"/>
        </w:rPr>
        <w:tab/>
      </w:r>
      <w:r w:rsidR="002F02CE" w:rsidRPr="00A14885">
        <w:t xml:space="preserve">σημειώνει με ικανοποίηση ότι ο εξωτερικός ελεγκτής δήλωσε ότι οι πόροι που διατέθηκαν χρησιμοποιήθηκαν για τον σκοπό για τον οποίο προορίζονταν και ότι οι διαδικασίες ελέγχου που θέσπισαν οι διατάκτες παρείχαν τις αναγκαίες εγγυήσεις για </w:t>
      </w:r>
      <w:r w:rsidR="002F02CE" w:rsidRPr="00A14885">
        <w:lastRenderedPageBreak/>
        <w:t>να διασφαλιστεί ότι οι δημοσιονομικές πράξεις ήταν σύμφωνες με τους ισχύοντες κανόνες και κανονισμούς·</w:t>
      </w:r>
    </w:p>
    <w:p w14:paraId="065ADBD4" w14:textId="52604282" w:rsidR="002E727C" w:rsidRPr="00A14885" w:rsidRDefault="00A14885" w:rsidP="00A14885">
      <w:pPr>
        <w:pStyle w:val="NormalHanging12a"/>
        <w:ind w:hanging="570"/>
        <w:rPr>
          <w:szCs w:val="24"/>
        </w:rPr>
      </w:pPr>
      <w:r w:rsidRPr="00A14885">
        <w:rPr>
          <w:szCs w:val="24"/>
        </w:rPr>
        <w:t>16.</w:t>
      </w:r>
      <w:r w:rsidRPr="00A14885">
        <w:rPr>
          <w:szCs w:val="24"/>
        </w:rPr>
        <w:tab/>
      </w:r>
      <w:r w:rsidR="002E727C" w:rsidRPr="00A14885">
        <w:rPr>
          <w:szCs w:val="24"/>
        </w:rPr>
        <w:t xml:space="preserve">υπογραμμίζει ότι το Ελεγκτικό Συνέδριο είναι ο εξωτερικός ελεγκτής της Ένωσης και ο ακρογωνιαίος λίθος της ανεξάρτητης δημοσιονομικής λογοδοσίας επί του προϋπολογισμού της Ένωσης· τονίζει ότι, σε ένα πλαίσιο πρωτοφανούς αύξησης των δαπανών της Ένωσης, του όγκου των δανειοληπτικών πράξεων και της πολυπλοκότητας των νέων χρηματοδοτικών μέσων, πρέπει να παρασχεθούν στο Ελεγκτικό Συνέδριο πόροι ανάλογοι προς την κλίμακα και την πολυπλοκότητα της ελεγκτικής εντολής του· υποστηρίζει τη συνεχιζόμενη πειθαρχία του Ελεγκτικού Συνεδρίου όσον αφορά το κόστος· </w:t>
      </w:r>
      <w:r w:rsidR="002E727C" w:rsidRPr="00A14885">
        <w:t>καλεί</w:t>
      </w:r>
      <w:r w:rsidR="002E727C" w:rsidRPr="00A14885">
        <w:rPr>
          <w:szCs w:val="24"/>
        </w:rPr>
        <w:t xml:space="preserve"> τις αρμόδιες για τον προϋπολογισμό αρχές, κατά την έγκριση μελλοντικών προϋπολογισμών, να διασφαλίσουν ότι το Ελεγκτικό Συνέδριο διαθέτει επαρκείς πόρους για τον έλεγχο της ταχέως επεκτεινόμενης οικονομικής αρχιτεκτονικής της Ένωσης·</w:t>
      </w:r>
    </w:p>
    <w:p w14:paraId="320E7DB3" w14:textId="77777777" w:rsidR="002F02CE" w:rsidRPr="00A14885" w:rsidRDefault="002F02CE" w:rsidP="002F02CE">
      <w:pPr>
        <w:pStyle w:val="NormalHanging12a"/>
        <w:rPr>
          <w:b/>
          <w:i/>
          <w:iCs/>
          <w:szCs w:val="24"/>
        </w:rPr>
      </w:pPr>
      <w:r w:rsidRPr="00A14885">
        <w:rPr>
          <w:b/>
          <w:i/>
        </w:rPr>
        <w:t>Εσωτερική διαχείριση, επιδόσεις και εσωτερικός έλεγχος</w:t>
      </w:r>
    </w:p>
    <w:p w14:paraId="70F906CE" w14:textId="1FC48CF4" w:rsidR="002F02CE" w:rsidRPr="00A14885" w:rsidRDefault="00A14885" w:rsidP="00A14885">
      <w:pPr>
        <w:pStyle w:val="NormalHanging12a"/>
        <w:ind w:hanging="570"/>
        <w:rPr>
          <w:szCs w:val="24"/>
        </w:rPr>
      </w:pPr>
      <w:r w:rsidRPr="00A14885">
        <w:rPr>
          <w:szCs w:val="24"/>
        </w:rPr>
        <w:t>17.</w:t>
      </w:r>
      <w:r w:rsidRPr="00A14885">
        <w:rPr>
          <w:szCs w:val="24"/>
        </w:rPr>
        <w:tab/>
      </w:r>
      <w:r w:rsidR="002F02CE" w:rsidRPr="00A14885">
        <w:t>σημειώνει ότι το Ελεγκτικό Συνέδριο δαπάνησε συνολικά 3</w:t>
      </w:r>
      <w:r w:rsidR="0014185B" w:rsidRPr="00A14885">
        <w:t> </w:t>
      </w:r>
      <w:r w:rsidR="002F02CE" w:rsidRPr="00A14885">
        <w:t>176 ημέρες στα κράτη μέλη και εκτός της Ένωσης, έναντι 4</w:t>
      </w:r>
      <w:r w:rsidR="0014185B" w:rsidRPr="00A14885">
        <w:t> </w:t>
      </w:r>
      <w:r w:rsidR="002F02CE" w:rsidRPr="00A14885">
        <w:t>897 ημερών το 2023, και 1</w:t>
      </w:r>
      <w:r w:rsidR="0014185B" w:rsidRPr="00A14885">
        <w:t> </w:t>
      </w:r>
      <w:r w:rsidR="002F02CE" w:rsidRPr="00A14885">
        <w:t>244 ημέρες στα θεσμικά και λοιπά όργανα και οργανισμούς της Ένωσης και σε άλλους διεθνείς οργανισμούς και ιδιωτικές ελεγκτικές εταιρείες, έναντι 1</w:t>
      </w:r>
      <w:r w:rsidR="0014185B" w:rsidRPr="00A14885">
        <w:t> </w:t>
      </w:r>
      <w:r w:rsidR="002F02CE" w:rsidRPr="00A14885">
        <w:t>370 ημερών το 2023·</w:t>
      </w:r>
    </w:p>
    <w:p w14:paraId="1C86F151" w14:textId="1E182808" w:rsidR="002F02CE" w:rsidRPr="00A14885" w:rsidRDefault="00A14885" w:rsidP="00A14885">
      <w:pPr>
        <w:pStyle w:val="NormalHanging12a"/>
        <w:ind w:hanging="570"/>
        <w:rPr>
          <w:szCs w:val="24"/>
        </w:rPr>
      </w:pPr>
      <w:r w:rsidRPr="00A14885">
        <w:rPr>
          <w:szCs w:val="24"/>
        </w:rPr>
        <w:t>18.</w:t>
      </w:r>
      <w:r w:rsidRPr="00A14885">
        <w:rPr>
          <w:szCs w:val="24"/>
        </w:rPr>
        <w:tab/>
      </w:r>
      <w:r w:rsidR="002F02CE" w:rsidRPr="00A14885">
        <w:t>σημειώνει ότι, κατά τη διάρκεια του 2024, το Ελεγκτικό Συνέδριο παρουσίασε συνολικά 40 στοιχεία: 2 ετήσιες εκθέσεις, 3 ειδικές ετήσιες εκθέσεις, 28 ειδικές εκθέσεις, 4 επισκοπήσεις και 3 γνώμες (έναντι 45 στοιχείων το 2023)· χαιρετίζει την εστίαση του Ελεγκτικού Συνεδρίου το 2024, μέσω ειδικών εκθέσεων και επισκοπήσεων, στις πιεστικές προκλήσεις που αντιμετωπίζει η Ένωση σε βασικά θέματα, όπως τα χρηματοδοτικά μέσα στο πλαίσιο της πολιτικής συνοχής, η διαφάνεια της ενωσιακής χρηματοδότησης που χορηγείται σε ΜΚΟ, οι ενωσιακοί φορείς κατά της απάτης, η ασφάλεια του εφοδιασμού με φυσικό αέριο, οι επενδύσεις στην τεχνητή νοημοσύνη (ΤΝ), η προσαρμογή στην κλιματική αλλαγή, η απορρόφηση του Μηχανισμού Ανάκαμψης και Ανθεκτικότητας (ΜΑΑ), η πορεία προς κάρτες μηδενικών εκπομπών, η στήριξη των προσφύγων στην Τουρκία και η βιομηχανική πολιτική της Ένωσης για το υδρογόνο· χαιρετίζει επίσης τις προγραμματισμένες εκθέσεις του Ελεγκτικού Συνεδρίου σχετικά με τον ΜΑΑ σε τομείς όπως η διαφάνεια και η ιχνηλασιμότητα, καθώς και σχετικά με την αρχιτεκτονική και τη στρατηγική της Ένωσης για την καταπολέμηση της απάτης και τη στήριξή της προς την Ουκρανία, τη Μολδαβία και τη Γεωργία· σημειώνει τη βελτίωση όσον αφορά την ικανοποίηση των ενδιαφερόμενων μερών από το έργο του Ελεγκτικού Συνεδρίου, με μια έρευνα που πραγματοποιήθηκε το 2024 να δείχνει ότι το 89</w:t>
      </w:r>
      <w:r w:rsidR="00B66A18" w:rsidRPr="00A14885">
        <w:t> %</w:t>
      </w:r>
      <w:r w:rsidR="002F02CE" w:rsidRPr="00A14885">
        <w:t xml:space="preserve"> όσων απάντησαν (έναντι 85</w:t>
      </w:r>
      <w:r w:rsidR="00B66A18" w:rsidRPr="00A14885">
        <w:t> %</w:t>
      </w:r>
      <w:r w:rsidR="002F02CE" w:rsidRPr="00A14885">
        <w:t xml:space="preserve"> το 2023) θεώρησαν τις εκθέσεις του Ελεγκτικού Συνεδρίου χρήσιμες και ότι το 82</w:t>
      </w:r>
      <w:r w:rsidR="00B66A18" w:rsidRPr="00A14885">
        <w:t> %</w:t>
      </w:r>
      <w:r w:rsidR="002F02CE" w:rsidRPr="00A14885">
        <w:t xml:space="preserve"> (έναντι 78</w:t>
      </w:r>
      <w:r w:rsidR="00B66A18" w:rsidRPr="00A14885">
        <w:t> %</w:t>
      </w:r>
      <w:r w:rsidR="002F02CE" w:rsidRPr="00A14885">
        <w:t>) θεώρησαν ότι το έργο του Ελεγκτικού Συνεδρίου έχει αντίκτυπο·</w:t>
      </w:r>
    </w:p>
    <w:p w14:paraId="7FE47A3A" w14:textId="7834D68F" w:rsidR="002F02CE" w:rsidRPr="00A14885" w:rsidRDefault="00A14885" w:rsidP="00A14885">
      <w:pPr>
        <w:pStyle w:val="NormalHanging12a"/>
        <w:ind w:hanging="570"/>
        <w:rPr>
          <w:bCs/>
          <w:iCs/>
          <w:szCs w:val="24"/>
        </w:rPr>
      </w:pPr>
      <w:r w:rsidRPr="00A14885">
        <w:rPr>
          <w:bCs/>
          <w:iCs/>
          <w:szCs w:val="24"/>
        </w:rPr>
        <w:t>19.</w:t>
      </w:r>
      <w:r w:rsidRPr="00A14885">
        <w:rPr>
          <w:bCs/>
          <w:iCs/>
          <w:szCs w:val="24"/>
        </w:rPr>
        <w:tab/>
      </w:r>
      <w:r w:rsidR="002F02CE" w:rsidRPr="00A14885">
        <w:t xml:space="preserve">καλεί το Ελεγκτικό Συνέδριο να παρέχει λεπτομερέστερες και συστηματικότερες αξιολογήσεις των δευτερογενών επιπτώσεων των ενωσιακά χρηματοδοτούμενων προγραμμάτων στα κράτη μέλη, τόσο σε εκείνα όπου τα ποσοστά απορρόφησης των ενωσιακών κονδυλίων είναι υψηλά όσο και σε εκείνα όπου τα ποσοστά αυτά είναι χαμηλά· τονίζει ότι μια ολοκληρωμένη ανάλυση των οικονομικών, κοινωνικών, διοικητικών και εδαφικών επιπτώσεων των εν λόγω δευτερογενών επιπτώσεων, συμπεριλαμβανομένων των διασυνοριακών και διανεμητικών επιπτώσεων, αναμένεται να ενισχύσει την αξιολόγηση του μακροπρόθεσμου αντικτύπου, της προστιθέμενης </w:t>
      </w:r>
      <w:r w:rsidR="002F02CE" w:rsidRPr="00A14885">
        <w:lastRenderedPageBreak/>
        <w:t>αξίας και της βιωσιμότητας των ενωσιακών δαπανών και να στηρίξει την καλύτερα τεκμηριωμένη χάραξη πολιτικής τόσο σε ενωσιακό όσο και σε εθνικό επίπεδο·</w:t>
      </w:r>
    </w:p>
    <w:p w14:paraId="7B32000C" w14:textId="30E26476" w:rsidR="002F02CE" w:rsidRPr="00A14885" w:rsidRDefault="00A14885" w:rsidP="00A14885">
      <w:pPr>
        <w:pStyle w:val="NormalHanging12a"/>
        <w:ind w:hanging="570"/>
        <w:rPr>
          <w:szCs w:val="24"/>
        </w:rPr>
      </w:pPr>
      <w:r w:rsidRPr="00A14885">
        <w:rPr>
          <w:szCs w:val="24"/>
        </w:rPr>
        <w:t>20.</w:t>
      </w:r>
      <w:r w:rsidRPr="00A14885">
        <w:rPr>
          <w:szCs w:val="24"/>
        </w:rPr>
        <w:tab/>
      </w:r>
      <w:r w:rsidR="002F02CE" w:rsidRPr="00A14885">
        <w:t>σημειώνει ότι το Ελεγκτικό Συνέδριο διαθέτει ένα σύνολο βασικών δεικτών επιδόσεων (ΒΔΕ) για τη μέτρηση της προόδου που σημειώνεται προς την επίτευξη των στρατηγικών στόχων του, σύμφωνα με τη στρατηγική του Ελεγκτικού Συνεδρίου για την περίοδο 2021-2025· σημειώνει τους στρατηγικούς στόχους του Ελεγκτικού Συνεδρίου για το 2024: βελτίωση των ρυθμίσεων λογοδοσίας, διαφάνειας και ελέγχου, στόχευση σε τομείς και θέματα όπου οι έλεγχοι μπορούν να προσθέσουν τη μεγαλύτερη αξία και παροχή ισχυρής διασφάλισης ελέγχου σε ένα απαιτητικό και μεταβαλλόμενο περιβάλλον· καλεί το Ελεγκτικό Συνέδριο να παρουσιάσει τους ΒΔΕ του, τον βαθμό προόδου που έχει επιτευχθεί και τους στόχους με συνοπτικό τρόπο στο μέλλον (μορφή πίνακα)· καλεί το Ελεγκτικό Συνέδριο να αναπτύξει περαιτέρω τους ΒΔΕ με βάση τις επιδόσεις και τα αποτελέσματα των ευρωπαϊκών πολιτικών, προκειμένου να μετρηθεί με σαφήνεια ο αντίκτυπος των πολιτικών που εφαρμόζει η Επιτροπή·</w:t>
      </w:r>
    </w:p>
    <w:p w14:paraId="4838CBAA" w14:textId="5634565F" w:rsidR="002F02CE" w:rsidRPr="00A14885" w:rsidRDefault="00A14885" w:rsidP="00A14885">
      <w:pPr>
        <w:pStyle w:val="NormalHanging12a"/>
        <w:ind w:hanging="570"/>
        <w:rPr>
          <w:bCs/>
          <w:iCs/>
          <w:szCs w:val="24"/>
        </w:rPr>
      </w:pPr>
      <w:r w:rsidRPr="00A14885">
        <w:rPr>
          <w:bCs/>
          <w:iCs/>
          <w:szCs w:val="24"/>
        </w:rPr>
        <w:t>21.</w:t>
      </w:r>
      <w:r w:rsidRPr="00A14885">
        <w:rPr>
          <w:bCs/>
          <w:iCs/>
          <w:szCs w:val="24"/>
        </w:rPr>
        <w:tab/>
      </w:r>
      <w:r w:rsidR="002F02CE" w:rsidRPr="00A14885">
        <w:t>καλεί το Ελεγκτικό Συνέδριο να ενοποιήσει τα πορίσματά του σε συγκριτική ανάλυση επιδόσεων και να αναπτύξει μεθοδολογία για μια «πυξίδα επιδόσεων» των ενωσιακών προγραμμάτων· πιστεύει ότι ένα τέτοιο μέσο, σεβόμενο την ποικιλομορφία των πολιτικών, θα παρέχει στην αρμόδια για την απαλλαγή αρχή, στους φορείς λήψης αποφάσεων και στο ευρύ κοινό σαφή καθοδήγηση σχετικά με το ποια προγράμματα χρησιμοποιούν αποτελεσματικά τους πόρους και ποια είναι ενδεχομένως υποψήφια για τερματισμό ή ριζική αναδιάρθρωση·</w:t>
      </w:r>
    </w:p>
    <w:p w14:paraId="45EA039C" w14:textId="3FE8849D" w:rsidR="002F02CE" w:rsidRPr="00A14885" w:rsidRDefault="00A14885" w:rsidP="00A14885">
      <w:pPr>
        <w:pStyle w:val="NormalHanging12a"/>
        <w:ind w:hanging="570"/>
        <w:rPr>
          <w:szCs w:val="24"/>
        </w:rPr>
      </w:pPr>
      <w:r w:rsidRPr="00A14885">
        <w:rPr>
          <w:szCs w:val="24"/>
        </w:rPr>
        <w:t>22.</w:t>
      </w:r>
      <w:r w:rsidRPr="00A14885">
        <w:rPr>
          <w:szCs w:val="24"/>
        </w:rPr>
        <w:tab/>
      </w:r>
      <w:r w:rsidR="002F02CE" w:rsidRPr="00A14885">
        <w:t xml:space="preserve">εκφράζει εκτίμηση για το γεγονός ότι το Ελεγκτικό Συνέδριο μετρά τον βαθμό υλοποίησης των συστάσεών του με βάση τη διαδικασία </w:t>
      </w:r>
      <w:proofErr w:type="spellStart"/>
      <w:r w:rsidR="002F02CE" w:rsidRPr="00A14885">
        <w:t>μεταπαρακολούθησής</w:t>
      </w:r>
      <w:proofErr w:type="spellEnd"/>
      <w:r w:rsidR="002F02CE" w:rsidRPr="00A14885">
        <w:t xml:space="preserve"> τους από τους ελεγκτές και τις </w:t>
      </w:r>
      <w:proofErr w:type="spellStart"/>
      <w:r w:rsidR="002F02CE" w:rsidRPr="00A14885">
        <w:t>ελέγκτριές</w:t>
      </w:r>
      <w:proofErr w:type="spellEnd"/>
      <w:r w:rsidR="002F02CE" w:rsidRPr="00A14885">
        <w:t xml:space="preserve"> του· σημειώνει ότι, το 2024, το Ελεγκτικό Συνέδριο ανέλυσε τις συστάσεις που απευθύνθηκαν στην Επιτροπή και σε άλλα όργανα στις εκθέσεις που δημοσίευσε το 2020· σημειώνει ότι το 93</w:t>
      </w:r>
      <w:r w:rsidR="00B66A18" w:rsidRPr="00A14885">
        <w:t> %</w:t>
      </w:r>
      <w:r w:rsidR="002F02CE" w:rsidRPr="00A14885">
        <w:t xml:space="preserve"> των 19 συστάσεων που είχε διατυπώσει το Ελεγκτικό Συνέδριο στην ετήσια έκθεσή του για το 2020 και το 88</w:t>
      </w:r>
      <w:r w:rsidR="00B66A18" w:rsidRPr="00A14885">
        <w:t> %</w:t>
      </w:r>
      <w:r w:rsidR="002F02CE" w:rsidRPr="00A14885">
        <w:t xml:space="preserve"> των 186 συστάσεων που περιέχονταν στις ειδικές εκθέσεις που δημοσίευσε το 2020 είχαν υλοποιηθεί είτε πλήρως, είτε μερικώς, είτε ως επί το πλείστον.</w:t>
      </w:r>
    </w:p>
    <w:p w14:paraId="3D99631F" w14:textId="6ACFC5EA" w:rsidR="002F02CE" w:rsidRPr="00A14885" w:rsidRDefault="00A14885" w:rsidP="00A14885">
      <w:pPr>
        <w:pStyle w:val="NormalHanging12a"/>
        <w:ind w:hanging="570"/>
        <w:rPr>
          <w:szCs w:val="24"/>
        </w:rPr>
      </w:pPr>
      <w:r w:rsidRPr="00A14885">
        <w:rPr>
          <w:szCs w:val="24"/>
        </w:rPr>
        <w:t>23.</w:t>
      </w:r>
      <w:r w:rsidRPr="00A14885">
        <w:rPr>
          <w:szCs w:val="24"/>
        </w:rPr>
        <w:tab/>
      </w:r>
      <w:r w:rsidR="002F02CE" w:rsidRPr="00A14885">
        <w:t xml:space="preserve">σημειώνει ότι, σύμφωνα με την έκθεση παρακολούθησης, ότι η Επιτροπή συμφώνησε να παράσχει στο Ελεγκτικό Συνέδριο χειροκίνητη εξαγωγή δεδομένων από το εργαλείο ARACHNE· εκφράζει, ωστόσο, τη λύπη του για το γεγονός ότι η πρόσβαση του Ελεγκτικού Συνεδρίου στο FENIX, το εργαλείο υποβολής εκθέσεων σχετικά με τον ΜΑΑ, παραμένει ανοικτό ζήτημα, με την Επιτροπή να παρέχει στο Ελεγκτικό Συνέδριο μερική πρόσβαση μόνο σε ορισμένες από τις ενότητες του FENIX, οι πληροφορίες δε που περιέχονται σε αυτές δεν επικαιροποιούνται εγκαίρως· χαιρετίζει την αναφερόμενη αύξηση του αριθμού των χρηστών του Ελεγκτικού Συνεδρίου που έχουν πρόσβαση στο FENIX· υποστηρίζει, ωστόσο, το αίτημα του Ελεγκτικού Συνεδρίου προς την Επιτροπή να παράσχει στο Ελεγκτικό Συνέδριο πλήρη πρόσβαση το συντομότερο δυνατόν· υπενθυμίζει ότι η Γενική Διεύθυνση Οικονομικών και Χρηματοδοτικών Υποθέσεων της Επιτροπής προσπάθησε να παράσχει στο Ελεγκτικό Συνέδριο πρόσβαση στους φακέλους FENIX εντός 2 εβδομάδων μετά την έγκριση αίτησης πληρωμής· εκφράζει, ωστόσο, την ανησυχία του για το γεγονός ότι στην πράξη η προθεσμία αυτή δεν τηρείται σε πολλές περιπτώσεις και ότι σε ορισμένες περιπτώσεις σημειώθηκαν καθυστερήσεις έως και 2,5 μηνών, με αποτέλεσμα να επιβραδυνθεί σημαντικά η έκδοση των πορισμάτων του Ελεγκτικού Συνεδρίου ή να υπονομευθεί η αποτελεσματικότητα και η ταχύτητα του ελεγκτικού έργου του Ελεγκτικού Συνεδρίου, </w:t>
      </w:r>
      <w:r w:rsidR="002F02CE" w:rsidRPr="00A14885">
        <w:lastRenderedPageBreak/>
        <w:t>ιδίως σε υψηλού κινδύνου δαπάνες όπως ο ΜΑΑ· υπενθυμίζει, στο πλαίσιο αυτό. στην Επιτροπή την υποχρέωσή της, δυνάμει του άρθρου 263 του δημοσιονομικού κανονισμού, να παρέχει στο Ελεγκτικό Συνέδριο ολοκληρωμένη πρόσβαση σε όλα τα σχετικά συστήματα και βάσεις δεδομένων (ARACHNE, FENIX και ARES, μεταξύ άλλων)· ζητεί, κατά συνέπεια, από την Επιτροπή να διορθώσει αυτήν την κατάσταση χωρίς καθυστέρηση, μεταξύ άλλων συνάπτοντας διοργανική ρύθμιση που θα διασφαλίζει την πλήρη και συστηματική πρόσβαση σε πραγματικό χρόνο του Ελεγκτικού Συνεδρίου σε όλες τις σχετικές βάσεις δεδομένων, συμπεριλαμβανομένων των ARACHNE και FENIX· καλεί το Ελεγκτικό Συνέδριο να ενημερώσει την αρμόδια για την απαλλαγή αρχή σχετικά με τις συγκεκριμένες βελτιώσεις που επιτυγχάνονται·</w:t>
      </w:r>
    </w:p>
    <w:p w14:paraId="407C61DF" w14:textId="77777777" w:rsidR="002F02CE" w:rsidRPr="00A14885" w:rsidRDefault="002F02CE" w:rsidP="002F02CE">
      <w:pPr>
        <w:pStyle w:val="NormalHanging12a"/>
        <w:rPr>
          <w:b/>
          <w:i/>
          <w:iCs/>
          <w:szCs w:val="24"/>
        </w:rPr>
      </w:pPr>
      <w:r w:rsidRPr="00A14885">
        <w:rPr>
          <w:b/>
          <w:i/>
        </w:rPr>
        <w:t>Ανθρώπινοι πόροι, ισότητα και ευημερία του προσωπικού</w:t>
      </w:r>
    </w:p>
    <w:p w14:paraId="7EC37808" w14:textId="3C248DC2" w:rsidR="002F02CE" w:rsidRPr="00A14885" w:rsidRDefault="00A14885" w:rsidP="00A14885">
      <w:pPr>
        <w:pStyle w:val="NormalHanging12a"/>
        <w:ind w:hanging="570"/>
        <w:rPr>
          <w:szCs w:val="24"/>
        </w:rPr>
      </w:pPr>
      <w:bookmarkStart w:id="9" w:name="_Hlk216182035"/>
      <w:r w:rsidRPr="00A14885">
        <w:rPr>
          <w:szCs w:val="24"/>
        </w:rPr>
        <w:t>24.</w:t>
      </w:r>
      <w:r w:rsidRPr="00A14885">
        <w:rPr>
          <w:szCs w:val="24"/>
        </w:rPr>
        <w:tab/>
      </w:r>
      <w:r w:rsidR="002F02CE" w:rsidRPr="00A14885">
        <w:t>σημειώνει ότι, στο τέλος του 2024, το Ελεγκτικό Συνέδριο είχε 961 υπαλλήλους (έναντι 969 το 2023), συμπεριλαμβανομένων έκτακτων υπαλλήλων (192 το 2024, έναντι 204 το 2023), συμβασιούχων υπαλλήλων (84 το 2024, έναντι 86 το 2023) και αποσπασμένων εθνικών εμπειρογνωμόνων (26 το 2024, όπως και το 2023)· υπενθυμίζει τη σημασία της παροχής συμβάσεων αορίστου χρόνου στους υπαλλήλους προκειμένου να διατηρηθούν οι δεξιότητες, και έτσι να διασφαλιστούν η συνέχεια και το σταθερό παραγωγικό εργασιακό περιβάλλον·</w:t>
      </w:r>
    </w:p>
    <w:p w14:paraId="2BE0CACF" w14:textId="193FB58C" w:rsidR="002F02CE" w:rsidRPr="00A14885" w:rsidRDefault="00A14885" w:rsidP="00A14885">
      <w:pPr>
        <w:pStyle w:val="NormalHanging12a"/>
        <w:ind w:hanging="570"/>
        <w:rPr>
          <w:szCs w:val="24"/>
        </w:rPr>
      </w:pPr>
      <w:r w:rsidRPr="00A14885">
        <w:rPr>
          <w:szCs w:val="24"/>
        </w:rPr>
        <w:t>25.</w:t>
      </w:r>
      <w:r w:rsidRPr="00A14885">
        <w:rPr>
          <w:szCs w:val="24"/>
        </w:rPr>
        <w:tab/>
      </w:r>
      <w:r w:rsidR="002F02CE" w:rsidRPr="00A14885">
        <w:t>σημειώνει ότι το 2024 το 54</w:t>
      </w:r>
      <w:r w:rsidR="00B66A18" w:rsidRPr="00A14885">
        <w:t> %</w:t>
      </w:r>
      <w:r w:rsidR="002F02CE" w:rsidRPr="00A14885">
        <w:t xml:space="preserve"> του προσωπικού του Ελεγκτικού Συνεδρίου ήταν γυναίκες (έναντι 53</w:t>
      </w:r>
      <w:r w:rsidR="00B66A18" w:rsidRPr="00A14885">
        <w:t> %</w:t>
      </w:r>
      <w:r w:rsidR="002F02CE" w:rsidRPr="00A14885">
        <w:t xml:space="preserve"> το 2023) και το 4</w:t>
      </w:r>
      <w:r w:rsidR="0091247A" w:rsidRPr="00A14885">
        <w:t>6</w:t>
      </w:r>
      <w:r w:rsidR="00B66A18" w:rsidRPr="00A14885">
        <w:t> %</w:t>
      </w:r>
      <w:r w:rsidR="002F02CE" w:rsidRPr="00A14885">
        <w:t xml:space="preserve"> ήταν άνδρες· εκφράζει τη λύπη του για το γεγονός ότι οι γυναίκες αντιπροσωπεύουν μόνο το 30</w:t>
      </w:r>
      <w:r w:rsidR="00B66A18" w:rsidRPr="00A14885">
        <w:t> %</w:t>
      </w:r>
      <w:r w:rsidR="002F02CE" w:rsidRPr="00A14885">
        <w:t xml:space="preserve"> των ανώτερων διοικητικών στελεχών του Ελεγκτικού Συνεδρίου, ποσοστό ίδιο με το 2023· εκφράζει επίσης τη λύπη του για τη μείωση του ποσοστού των γυναικών σε θέσεις μεσαίων διοικητικών στελεχών από 40</w:t>
      </w:r>
      <w:r w:rsidR="00B66A18" w:rsidRPr="00A14885">
        <w:t> %</w:t>
      </w:r>
      <w:r w:rsidR="002F02CE" w:rsidRPr="00A14885">
        <w:t xml:space="preserve"> σε 37,30</w:t>
      </w:r>
      <w:r w:rsidR="00B66A18" w:rsidRPr="00A14885">
        <w:t> %</w:t>
      </w:r>
      <w:r w:rsidR="002F02CE" w:rsidRPr="00A14885">
        <w:t xml:space="preserve"> το 2023· υπενθυμίζει το γεγονός ότι η ισότητα των φύλων αποτελεί αρχή που βασίζεται στις Συνθήκες και θα πρέπει να τηρείται από όλα τα θεσμικά όργανα, και καλεί το Ελεγκτικό Συνέδριο να συνεχίσει τις προσπάθειές του για προώθηση της ισόρροπης εκπροσώπησης των φύλων στα μεσαία και ανώτερα διοικητικά στελέχη· </w:t>
      </w:r>
      <w:bookmarkEnd w:id="9"/>
    </w:p>
    <w:p w14:paraId="69D1436F" w14:textId="60EA5806" w:rsidR="002F02CE" w:rsidRPr="00A14885" w:rsidRDefault="00A14885" w:rsidP="00A14885">
      <w:pPr>
        <w:pStyle w:val="NormalHanging12a"/>
        <w:ind w:hanging="570"/>
        <w:rPr>
          <w:szCs w:val="24"/>
        </w:rPr>
      </w:pPr>
      <w:r w:rsidRPr="00A14885">
        <w:rPr>
          <w:szCs w:val="24"/>
        </w:rPr>
        <w:t>26.</w:t>
      </w:r>
      <w:r w:rsidRPr="00A14885">
        <w:rPr>
          <w:szCs w:val="24"/>
        </w:rPr>
        <w:tab/>
      </w:r>
      <w:r w:rsidR="002F02CE" w:rsidRPr="00A14885">
        <w:t xml:space="preserve">σημειώνει ότι, σύμφωνα με το ερωτηματολόγιο, το Ελεγκτικό Συνέδριο απασχολούσε 64 ασκούμενους, εκ των οποίων 59 λάμβαναν μηνιαία αποζημίωση το 2024· χαιρετίζει το νέο πρόγραμμα του Ελεγκτικού Συνεδρίου με τίτλο «Επαγγελματική εξέλιξη </w:t>
      </w:r>
      <w:proofErr w:type="spellStart"/>
      <w:r w:rsidR="002F02CE" w:rsidRPr="00A14885">
        <w:t>TrainEca</w:t>
      </w:r>
      <w:proofErr w:type="spellEnd"/>
      <w:r w:rsidR="002F02CE" w:rsidRPr="00A14885">
        <w:t>» (</w:t>
      </w:r>
      <w:proofErr w:type="spellStart"/>
      <w:r w:rsidR="002F02CE" w:rsidRPr="00A14885">
        <w:t>TraineEca</w:t>
      </w:r>
      <w:proofErr w:type="spellEnd"/>
      <w:r w:rsidR="002F02CE" w:rsidRPr="00A14885">
        <w:t xml:space="preserve"> </w:t>
      </w:r>
      <w:proofErr w:type="spellStart"/>
      <w:r w:rsidR="002F02CE" w:rsidRPr="00A14885">
        <w:t>Career</w:t>
      </w:r>
      <w:proofErr w:type="spellEnd"/>
      <w:r w:rsidR="002F02CE" w:rsidRPr="00A14885">
        <w:t xml:space="preserve"> Development), το οποίο έχει ως στόχο να προσφέρει ευκαιρίες απασχόλησης στους πιο άξιους ασκούμενους· σημειώνει, επιπλέον, το σχέδιο του Ελεγκτικού Συνεδρίου να προσφέρει ειδικές θέσεις πρακτικής άσκησης στον τομέα της ΤΝ σε πρόσφατους απόφοιτους πανεπιστημίου και διδακτορικούς φοιτητές στον εν λόγω τομέα· τονίζει εκ νέου ότι η πρακτική άσκηση θα πρέπει να αμείβεται σύμφωνα με το ψήφισμα του Κοινοβουλίου της 15ης Ιουνίου 2023 για ποιοτικές θέσεις πρακτικής άσκησης στην Ένωση (2020/2005(INL)), στο οποίο διατυπώνεται το αίτημα να αμείβονται όλοι οι ασκούμενοι στην Ένωση· επισημαίνει ότι η μη αμειβόμενη πρακτική άσκηση συνιστά μορφή εκμετάλλευσης των νέων εργαζομένων και φραγμό στην ισότητα των ευκαιριών·</w:t>
      </w:r>
    </w:p>
    <w:p w14:paraId="1C14EA2B" w14:textId="27AADCEE" w:rsidR="002F02CE" w:rsidRPr="00A14885" w:rsidRDefault="00A14885" w:rsidP="00A14885">
      <w:pPr>
        <w:pStyle w:val="NormalHanging12a"/>
        <w:ind w:hanging="570"/>
        <w:rPr>
          <w:szCs w:val="24"/>
        </w:rPr>
      </w:pPr>
      <w:r w:rsidRPr="00A14885">
        <w:rPr>
          <w:szCs w:val="24"/>
        </w:rPr>
        <w:t>27.</w:t>
      </w:r>
      <w:r w:rsidRPr="00A14885">
        <w:rPr>
          <w:szCs w:val="24"/>
        </w:rPr>
        <w:tab/>
      </w:r>
      <w:r w:rsidR="002F02CE" w:rsidRPr="00A14885">
        <w:t xml:space="preserve">σημειώνει ότι, σύμφωνα με το ερωτηματολόγιο, η πρόσληψη υπαλλήλων συνέχισε να αποτελεί πρόκληση για το Ελεγκτικό Συνέδριο το 2024, λόγω της έλλειψης ελκυστικότητας του Λουξεμβούργου ως τόπου εργασίας ή της έλλειψης ενδιαφέροντος για θέσεις λογιστικού και άλλου ελέγχου μεταξύ των νέων εργαζομένων· σημειώνει με ικανοποίηση ότι το Ελεγκτικό Συνέδριο αντιμετώπισε το εν λόγω ζήτημα </w:t>
      </w:r>
      <w:r w:rsidR="002F02CE" w:rsidRPr="00A14885">
        <w:lastRenderedPageBreak/>
        <w:t>διοργανώνοντας τακτικές διαδικασίες επιλογής που απευθύνονται στους ασκούμενους του Ελεγκτικού Συνεδρίου και εσωτερικούς διαγωνισμούς για τη διατήρηση των ταλέντων με τα περισσότερα προσόντα, και αυξάνοντας τις δραστηριότητες προβολής· ενθαρρύνει το Ελεγκτικό Συνέδριο να συνεχίσει τις προσπάθειες αυτές, προκειμένου να διασφαλιστεί η συνέχεια της δραστηριότητάς του· αναγνωρίζει, στο πλαίσιο αυτό, ότι απαιτείται ρήτρα διαγωνισμού προκειμένου να διοργανωθούν επίσης διαγωνισμοί EPSO αποκλειστικά για το Λουξεμβούργο· συγχαίρει το Ελεγκτικό Συνέδριο για την προσχώρησή του σε διοργανική συμφωνία βάσει της οποίας το προσωπικό που προσλαμβάνεται από θεσμικά όργανα της Ένωσης με έδρα το Λουξεμβούργο λαμβάνει επίδομα στέγασης από το 2025, προκειμένου να αντισταθμιστεί το υψηλό κόστος ζωής στο Λουξεμβούργο·</w:t>
      </w:r>
    </w:p>
    <w:p w14:paraId="69683C39" w14:textId="7CB7865F" w:rsidR="002F02CE" w:rsidRPr="00A14885" w:rsidRDefault="00A14885" w:rsidP="00A14885">
      <w:pPr>
        <w:pStyle w:val="NormalHanging12a"/>
        <w:ind w:hanging="570"/>
        <w:rPr>
          <w:szCs w:val="24"/>
        </w:rPr>
      </w:pPr>
      <w:r w:rsidRPr="00A14885">
        <w:rPr>
          <w:szCs w:val="24"/>
        </w:rPr>
        <w:t>28.</w:t>
      </w:r>
      <w:r w:rsidRPr="00A14885">
        <w:rPr>
          <w:szCs w:val="24"/>
        </w:rPr>
        <w:tab/>
      </w:r>
      <w:r w:rsidR="002F02CE" w:rsidRPr="00A14885">
        <w:t>γνωρίζει ότι το Ελεγκτικό Συνέδριο δε διαδραματίζει κανέναν ρόλο στη διαδικασία επιλογής των μελών σύμφωνα με το άρθρο 286 παράγραφος 2 ΣΛΕΕ· υπενθυμίζει, ωστόσο, ότι εξακολουθεί να υπάρχει σημαντική έμφυλη ανισορροπία στα μέλη του Ελεγκτικού Συνεδρίου, με μόνο 10 γυναίκες σε σύνολο 27 μελών· εκφράζει τη λύπη του για το γεγονός ότι ορισμένα κράτη μέλη δεν έχουν προτείνει ποτέ γυναίκα υποψήφια στο Ελεγκτικό Συνέδριο· επαναλαμβάνει την έκκλησή του στα κράτη μέλη να λαμβάνουν υπόψη την ανάγκη για ισόρροπη εκπροσώπηση των φύλων όταν προτείνουν υποψηφιότητες, έχοντας ως στόχο μια πιο ισόρροπη και αντιπροσωπευτική σύνθεση του Ελεγκτικού Συνεδρίου, διασφαλίζοντας παράλληλα ότι οι ορισμοί θα εξακολουθήσουν να βασίζονται στα κριτήρια της αξίας, των προσόντων και της ανεξαρτησίας·</w:t>
      </w:r>
    </w:p>
    <w:p w14:paraId="5EDB5748" w14:textId="1168CE1A" w:rsidR="002F02CE" w:rsidRPr="00A14885" w:rsidRDefault="00A14885" w:rsidP="00A14885">
      <w:pPr>
        <w:pStyle w:val="NormalHanging12a"/>
        <w:ind w:hanging="570"/>
        <w:rPr>
          <w:szCs w:val="24"/>
        </w:rPr>
      </w:pPr>
      <w:r w:rsidRPr="00A14885">
        <w:rPr>
          <w:szCs w:val="24"/>
        </w:rPr>
        <w:t>29.</w:t>
      </w:r>
      <w:r w:rsidRPr="00A14885">
        <w:rPr>
          <w:szCs w:val="24"/>
        </w:rPr>
        <w:tab/>
      </w:r>
      <w:r w:rsidR="002F02CE" w:rsidRPr="00A14885">
        <w:t>εξακολουθεί να εκφράζει τη λύπη του για την πρακτική του Συμβουλίου να διορίζει μέλη του Ελεγκτικού Συνεδρίου παρά την απόρριψή τους από το Κοινοβούλιο· επαναλαμβάνει την έκκλησή του για αναθεώρηση της διαδικασίας διορισμού, η οποία θα δώσει στο Κοινοβούλιο δεσμευτικό ρόλο στην αξιολόγηση της καταλληλότητας των υποψηφίων για το Ελεγκτικό Συνέδριο·</w:t>
      </w:r>
    </w:p>
    <w:p w14:paraId="1FB059AC" w14:textId="3302E71B" w:rsidR="002F02CE" w:rsidRPr="00A14885" w:rsidRDefault="00A14885" w:rsidP="00A14885">
      <w:pPr>
        <w:pStyle w:val="NormalHanging12a"/>
        <w:ind w:hanging="570"/>
        <w:rPr>
          <w:szCs w:val="24"/>
        </w:rPr>
      </w:pPr>
      <w:r w:rsidRPr="00A14885">
        <w:rPr>
          <w:szCs w:val="24"/>
        </w:rPr>
        <w:t>30.</w:t>
      </w:r>
      <w:r w:rsidRPr="00A14885">
        <w:rPr>
          <w:szCs w:val="24"/>
        </w:rPr>
        <w:tab/>
      </w:r>
      <w:r w:rsidR="002F02CE" w:rsidRPr="00A14885">
        <w:t>χαιρετίζει το εκτεταμένο καθεστώς τηλεργασίας που προσφέρει το Ελεγκτικό Συνέδριο προκειμένου να μετριαστούν οι προκλήσεις όσον αφορά τις προσλήψεις, το οποίο ανέρχεται σε έως και 10 ημέρες μηνιαίως, εκ των οποίων 5 ημέρες μπορούν να δαπανηθούν για τηλεργασία από περιοχές εκτός του τόπου απασχόλησης, με ανώτατο όριο τις 30 ημέρες ετησίως· σημειώνει ότι, σύμφωνα με το ερωτηματολόγιο, το Ελεγκτικό Συνέδριο αναθεώρησε το 2024 τους κανόνες του για την υβριδική εργασία, ώστε να ληφθεί υπόψη, μεταξύ άλλων, η ανατροφοδότηση που ελήφθη· καλεί το Ελεγκτικό Συνέδριο να διενεργεί τακτικούς ελέγχους για να διασφαλίζει την τήρηση των εν λόγω κανόνων· σημειώνει με ικανοποίηση ότι, σύμφωνα με το ερωτηματολόγιο, το Ελεγκτικό Συνέδριο αναλαμβάνει δράση με διάφορους τρόπους για να διασφαλίσει τη σωματική και ψυχική ευεξία του προσωπικού του·</w:t>
      </w:r>
    </w:p>
    <w:p w14:paraId="4B6CE045" w14:textId="59FBFC17" w:rsidR="002F02CE" w:rsidRPr="00A14885" w:rsidRDefault="00A14885" w:rsidP="00A14885">
      <w:pPr>
        <w:pStyle w:val="NormalHanging12a"/>
        <w:ind w:hanging="570"/>
        <w:rPr>
          <w:szCs w:val="24"/>
        </w:rPr>
      </w:pPr>
      <w:r w:rsidRPr="00A14885">
        <w:rPr>
          <w:szCs w:val="24"/>
        </w:rPr>
        <w:t>31.</w:t>
      </w:r>
      <w:r w:rsidRPr="00A14885">
        <w:rPr>
          <w:szCs w:val="24"/>
        </w:rPr>
        <w:tab/>
      </w:r>
      <w:r w:rsidR="002F02CE" w:rsidRPr="00A14885">
        <w:t>σημειώνει την αύξηση τόσο του ποσοστού κενών θέσεων (από 2,27</w:t>
      </w:r>
      <w:r w:rsidR="00B66A18" w:rsidRPr="00A14885">
        <w:t> %</w:t>
      </w:r>
      <w:r w:rsidR="002F02CE" w:rsidRPr="00A14885">
        <w:t xml:space="preserve"> το 2023 σε 2,49</w:t>
      </w:r>
      <w:r w:rsidR="00B66A18" w:rsidRPr="00A14885">
        <w:t> %</w:t>
      </w:r>
      <w:r w:rsidR="002F02CE" w:rsidRPr="00A14885">
        <w:t xml:space="preserve"> το 2024) όσο και του ποσοστού εναλλαγής προσωπικού (από 6,60</w:t>
      </w:r>
      <w:r w:rsidR="00B66A18" w:rsidRPr="00A14885">
        <w:t> %</w:t>
      </w:r>
      <w:r w:rsidR="002F02CE" w:rsidRPr="00A14885">
        <w:t xml:space="preserve"> το 2023 σε 7,90</w:t>
      </w:r>
      <w:r w:rsidR="00B66A18" w:rsidRPr="00A14885">
        <w:t> %</w:t>
      </w:r>
      <w:r w:rsidR="002F02CE" w:rsidRPr="00A14885">
        <w:t xml:space="preserve"> το 2024), με το ποσοστό εναλλαγής να αντιπροσωπεύει τον αριθμό των υπαλλήλων που αποχωρούν ως ποσοστό του συνόλου του προσωπικού·</w:t>
      </w:r>
    </w:p>
    <w:p w14:paraId="2AE4872B" w14:textId="5422E6C5" w:rsidR="002F02CE" w:rsidRPr="00A14885" w:rsidRDefault="00A14885" w:rsidP="00A14885">
      <w:pPr>
        <w:pStyle w:val="NormalHanging12a"/>
        <w:ind w:hanging="570"/>
        <w:rPr>
          <w:szCs w:val="24"/>
        </w:rPr>
      </w:pPr>
      <w:r w:rsidRPr="00A14885">
        <w:rPr>
          <w:szCs w:val="24"/>
        </w:rPr>
        <w:t>32.</w:t>
      </w:r>
      <w:r w:rsidRPr="00A14885">
        <w:rPr>
          <w:szCs w:val="24"/>
        </w:rPr>
        <w:tab/>
      </w:r>
      <w:r w:rsidR="002F02CE" w:rsidRPr="00A14885">
        <w:t xml:space="preserve">σημειώνει ότι αρκετές εθνικότητες, ιδίως από σκανδιναβικά κράτη μέλη, δεν εκπροσωπούνται επαρκώς στο προσωπικό του Ελεγκτικού Συνεδρίου· σημειώνει ότι υπάρχει κίνδυνος περαιτέρω επιδείνωσης της κατάστασης λόγω της γήρανσης του προσωπικού και της έλλειψης πρόσληψης υποψηφίων από τα εν λόγω κράτη μέλη· </w:t>
      </w:r>
      <w:r w:rsidR="002F02CE" w:rsidRPr="00A14885">
        <w:lastRenderedPageBreak/>
        <w:t>υπενθυμίζει τις επαναλαμβανόμενες προσπάθειες του Ελεγκτικού Συνεδρίου για την αντιμετώπιση της εν λόγω ανισορροπίας με αύξηση της δημοσιότητας των προκηρύξεων διαγωνισμών και κενών θέσεων του Ελεγκτικού Συνεδρίου σε σημαντικά υποεκπροσωπούμενα κράτη μέλη, με συνεργασία με τα μέλη του Ελεγκτικού Συνεδρίου για τη διάδοση των προκηρύξεών του και με την προσέγγιση δυνητικών υποψηφίων μέσω της συμμετοχής σε εκθέσεις σταδιοδρομίας σε ορισμένα κράτη μέλη· σημειώνει, επιπλέον, ότι, σύμφωνα με την έκθεση παρακολούθησης, το Ελεγκτικό Συνέδριο ανέπτυξε επίσης σχέδιο δράσης με 10 δράσεις κατά τα επόμενα 5 έτη, με στόχο την αντιστροφή της τρέχουσας υποεκπροσώπησης ορισμένων κρατών μελών· καλεί το Ελεγκτικό Συνέδριο να τηρεί ενήμερη την αρμόδια για την απαλλαγή αρχή σχετικά με την πρόοδο και το αποτέλεσμα της εφαρμογής του εν λόγω σχεδίου δράσης·</w:t>
      </w:r>
    </w:p>
    <w:p w14:paraId="1C2236C5" w14:textId="743FF18F" w:rsidR="002F02CE" w:rsidRPr="00A14885" w:rsidRDefault="00A14885" w:rsidP="00A14885">
      <w:pPr>
        <w:pStyle w:val="NormalHanging12a"/>
        <w:ind w:hanging="570"/>
        <w:rPr>
          <w:szCs w:val="24"/>
        </w:rPr>
      </w:pPr>
      <w:r w:rsidRPr="00A14885">
        <w:rPr>
          <w:szCs w:val="24"/>
        </w:rPr>
        <w:t>33.</w:t>
      </w:r>
      <w:r w:rsidRPr="00A14885">
        <w:rPr>
          <w:szCs w:val="24"/>
        </w:rPr>
        <w:tab/>
      </w:r>
      <w:r w:rsidR="002F02CE" w:rsidRPr="00A14885">
        <w:t>υπενθυμίζει ότι, στο τέλος του 2023, είχε καλυφθεί το σύνολο των 29 πρόσθετων θέσεων (έκτακτοι υπάλληλοι) που απαιτούνταν για τον έλεγχο του ΜΑΑ ύψους 723</w:t>
      </w:r>
      <w:r w:rsidR="0014185B" w:rsidRPr="00A14885">
        <w:t>,</w:t>
      </w:r>
      <w:r w:rsidR="002F02CE" w:rsidRPr="00A14885">
        <w:t>8</w:t>
      </w:r>
      <w:r w:rsidR="0014185B" w:rsidRPr="00A14885">
        <w:t> </w:t>
      </w:r>
      <w:r w:rsidR="002F02CE" w:rsidRPr="00A14885">
        <w:t>δισεκατομμυρίων EUR· κατανοεί, ωστόσο, ότι η σημαντικότητα, η πολυπλοκότητα, τα μεγάλα ποσά και οι ταχείες εκταμιεύσεις από τον ΜΑΑ εξακολουθούν να θέτουν προκλήσεις και ότι οι τρέχοντες πόροι δεν επαρκούν ώστε να διασφαλιστεί συστηματικά η συμμόρφωση των δαπανών του ΜΑΑ με τους ενωσιακούς και εθνικούς κανόνες και να αντιμετωπιστούν οι αυξημένες δραστηριότητες της Ένωσης· επαινεί, ωστόσο, τις προσπάθειες που έχει καταβάλει το Ελεγκτικό Συνέδριο για την εκτέλεση των καθηκόντων του όσον αφορά τον ΜΑΑ μέχρι στιγμής, παρά την ανεπάρκεια των διαθέσιμων πόρων· υποστηρίζει, στο πλαίσιο αυτό, το αίτημα του Ελεγκτικού Συνεδρίου για μετατροπή σε μόνιμες θέσεις των 29 έκτακτων υπαλλήλων που προσλήφθηκαν για ελέγχους που σχετίζονται με τον ΜΑΑ· υπογραμμίζει τη σημασία να διασφαλιστεί ότι το Ελεγκτικό Συνέδριο θα διαθέτει ανελλιπώς επαρκή επίπεδα στελέχωσης και διαρθρωτικά μέσα για την εκπλήρωση τόσο της εντολής του όσο και των πρόσθετων αρμοδιοτήτων του που απορρέουν από μελλοντικά χρηματοδοτικά μέσα βασιζόμενα στις επιδόσεις, συμπεριλαμβανομένου του πολυετούς δημοσιονομικού πλαισίου·</w:t>
      </w:r>
    </w:p>
    <w:p w14:paraId="679BD53E" w14:textId="6A4500E3" w:rsidR="002F02CE" w:rsidRPr="00A14885" w:rsidRDefault="00A14885" w:rsidP="00A14885">
      <w:pPr>
        <w:pStyle w:val="NormalHanging12a"/>
        <w:ind w:hanging="570"/>
        <w:rPr>
          <w:bCs/>
          <w:iCs/>
          <w:szCs w:val="24"/>
        </w:rPr>
      </w:pPr>
      <w:r w:rsidRPr="00A14885">
        <w:rPr>
          <w:bCs/>
          <w:iCs/>
          <w:szCs w:val="24"/>
        </w:rPr>
        <w:t>34.</w:t>
      </w:r>
      <w:r w:rsidRPr="00A14885">
        <w:rPr>
          <w:bCs/>
          <w:iCs/>
          <w:szCs w:val="24"/>
        </w:rPr>
        <w:tab/>
      </w:r>
      <w:r w:rsidR="002F02CE" w:rsidRPr="00A14885">
        <w:t>σημειώνει με εκτίμηση ότι, και το 2024, το Ελεγκτικό Συνέδριο υπερκάλυψε τον στόχο όσον αφορά την επαγγελματική επιμόρφωση των πέντε ημερών μη γλωσσικής επιμόρφωσης ετησίως για τους ελεγκτές και τις ελέγκτριες, όπως καθορίζουν οι συστάσεις της Διεθνούς Ομοσπονδίας Λογιστών, και των δύο ημερών για τους λοιπούς υπαλλήλους (5,8 και 3,9 αντιστοίχως)·</w:t>
      </w:r>
    </w:p>
    <w:p w14:paraId="605095C5" w14:textId="45F53026" w:rsidR="002F02CE" w:rsidRPr="00A14885" w:rsidRDefault="00A14885" w:rsidP="00A14885">
      <w:pPr>
        <w:pStyle w:val="NormalHanging12a"/>
        <w:ind w:hanging="570"/>
        <w:rPr>
          <w:szCs w:val="24"/>
        </w:rPr>
      </w:pPr>
      <w:r w:rsidRPr="00A14885">
        <w:rPr>
          <w:szCs w:val="24"/>
        </w:rPr>
        <w:t>35.</w:t>
      </w:r>
      <w:r w:rsidRPr="00A14885">
        <w:rPr>
          <w:szCs w:val="24"/>
        </w:rPr>
        <w:tab/>
      </w:r>
      <w:r w:rsidR="002F02CE" w:rsidRPr="00A14885">
        <w:t>σημειώνει ότι, το 2024, η μέση απουσία λόγω ασθένειας ήταν 9,9 ημέρες ανά μέλος του προσωπικού, μέσος όρος σχεδόν ίδιος με αυτόν του 2023· σημειώνει επίσης ότι, το 2024, 3 μέλη του προσωπικού (έναντι 4 το 2023) απουσίασαν λόγω παρατεταμένης ασθένειας, η οποία ορίζεται ως ασθένεια που διαρκεί περισσότερες από 200 ημέρες ανά έτος·</w:t>
      </w:r>
    </w:p>
    <w:p w14:paraId="0E8E9623" w14:textId="319F43B4" w:rsidR="002F02CE" w:rsidRPr="00A14885" w:rsidRDefault="00A14885" w:rsidP="00A14885">
      <w:pPr>
        <w:pStyle w:val="NormalHanging12a"/>
        <w:ind w:hanging="570"/>
        <w:rPr>
          <w:szCs w:val="24"/>
        </w:rPr>
      </w:pPr>
      <w:r w:rsidRPr="00A14885">
        <w:rPr>
          <w:szCs w:val="24"/>
        </w:rPr>
        <w:t>36.</w:t>
      </w:r>
      <w:r w:rsidRPr="00A14885">
        <w:rPr>
          <w:szCs w:val="24"/>
        </w:rPr>
        <w:tab/>
      </w:r>
      <w:r w:rsidR="002F02CE" w:rsidRPr="00A14885">
        <w:t xml:space="preserve">σημειώνει ότι το 2024 αναφέρθηκαν 13 περιπτώσεις επαγγελματικής εξουθένωσης, έναντι 7 περιπτώσεων το 2023· σημειώνει με ανησυχία τη σημαντική αύξηση των αναφερόμενων περιπτώσεων επαγγελματικής εξουθένωσης το 2024· καλεί το Ελεγκτικό Συνέδριο να διενεργήσει διεξοδική ανάλυση των λόγων αυτής της σημαντικής αύξησης, μεταξύ άλλων όσον αφορά την κατανομή του φόρτου εργασίας, τους οργανωτικούς παράγοντες και τους διαρθρωτικούς κινδύνους, και να ενσωματώσει τα τεκμηριωμένα πορίσματα στις πρακτικές σχεδιασμού και διαχείρισης των ανθρώπινων πόρων, με σκοπό την αποτελεσματική πρόληψη της επαγγελματικής εξουθένωσης και τη βελτίωση του εργασιακού περιβάλλοντος· εκφράζει την </w:t>
      </w:r>
      <w:r w:rsidR="002F02CE" w:rsidRPr="00A14885">
        <w:lastRenderedPageBreak/>
        <w:t>ικανοποίησή του για το γεγονός ότι το Ελεγκτικό Συνέδριο έλαβε διάφορα μέτρα για τη μείωση του κινδύνου επαγγελματικής εξουθένωσης με τη θέσπιση ενός πλήρους προγράμματος ευεξίας, την παροχή κατάρτισης σχετικά με την ανθεκτικότητα, τη δημοσίευση και την εφαρμογή κατευθυντήριων γραμμών σχετικά με την επιστροφή στην εργασία μετά από μακροχρόνια αναρρωτική άδεια, τη συνέχιση της παροχής πρώτων βοηθειών ψυχικής υγείας και την παροχή οικονομικής στήριξης στο προσωπικό καλύπτοντας το κόστος 10 συνεδριών με ψυχολόγο της επιλογής του· σημειώνει, ειδικότερα, ότι το Ελεγκτικό Συνέδριο διοργάνωσε 4 υποχρεωτικά σεμινάρια κατάρτισης για διευθυντικά στελέχη το 2024, τα οποία επικεντρώθηκαν στην ευημερία του προσωπικού, τις επιδόσεις, την ισορροπία μεταξύ επαγγελματικής και προσωπικής ζωής και την πρόληψη της επαγγελματικής εξουθένωσης·</w:t>
      </w:r>
    </w:p>
    <w:p w14:paraId="0F2281F4" w14:textId="048D0902" w:rsidR="002F02CE" w:rsidRPr="00A14885" w:rsidRDefault="00A14885" w:rsidP="00A14885">
      <w:pPr>
        <w:pStyle w:val="NormalHanging12a"/>
        <w:ind w:hanging="570"/>
        <w:rPr>
          <w:szCs w:val="24"/>
        </w:rPr>
      </w:pPr>
      <w:r w:rsidRPr="00A14885">
        <w:rPr>
          <w:szCs w:val="24"/>
        </w:rPr>
        <w:t>37.</w:t>
      </w:r>
      <w:r w:rsidRPr="00A14885">
        <w:rPr>
          <w:szCs w:val="24"/>
        </w:rPr>
        <w:tab/>
      </w:r>
      <w:r w:rsidR="002F02CE" w:rsidRPr="00A14885">
        <w:t>επαινεί τις δραστηριότητες ευαισθητοποίησης, τις έρευνες και τα σεμινάρια κατάρτισης του Ελεγκτικού Συνεδρίου που προσφέρθηκαν στο προσωπικό του, στα μέλη του ή και στα δύο το 2024 σχετικά με την πολιτική του Ελεγκτικού Συνεδρίου για την καταπολέμηση της παρενόχλησης και τον σεβασμό στον χώρο εργασίας· σημειώνει με ανησυχία ότι το 2024 πραγματοποιήθηκε μία διοικητική έρευνα σχετικά με καταγγελίες για σεξουαλική και ψυχολογική παρενόχληση την οποία ακολούθησαν πειθαρχικά μέτρα με βάση το συμπέρασμα ότι υπήρξε ανάρμοστη συμπεριφορά από την πλευρά του υπό έρευνα προσώπου·</w:t>
      </w:r>
    </w:p>
    <w:p w14:paraId="39E01AD3" w14:textId="6BE32846" w:rsidR="002F02CE" w:rsidRPr="00A14885" w:rsidRDefault="00A14885" w:rsidP="00A14885">
      <w:pPr>
        <w:pStyle w:val="NormalHanging12a"/>
        <w:ind w:hanging="570"/>
        <w:rPr>
          <w:szCs w:val="24"/>
        </w:rPr>
      </w:pPr>
      <w:r w:rsidRPr="00A14885">
        <w:rPr>
          <w:szCs w:val="24"/>
        </w:rPr>
        <w:t>38.</w:t>
      </w:r>
      <w:r w:rsidRPr="00A14885">
        <w:rPr>
          <w:szCs w:val="24"/>
        </w:rPr>
        <w:tab/>
      </w:r>
      <w:r w:rsidR="002F02CE" w:rsidRPr="00A14885">
        <w:t>σημειώνει ότι, σύμφωνα με το ερωτηματολόγιο, το Ελεγκτικό Συνέδριο έλαβε πολλά μέτρα το 2024, σε ευθυγράμμιση με το σχέδιο δράσης του για τη διαφορετικότητα και τη συμπερίληψη 2021-2025, σε διάφορους τομείς, όπως οι προσλήψεις, η κατάρτιση, η εξέλιξη της σταδιοδρομίας, οι συνθήκες εργασίας και η ευαισθητοποίηση του προσωπικού· σημειώνει ότι το Ελεγκτικό Συνέδριο ενσωματώνει τη διαφορετικότητα και τη συμπερίληψη στις διαδικασίες του για τη διαχείριση των επιδόσεων, την αξιολόγηση, την πιστοποίηση και την προώθηση, καθώς και στα προγράμματα κατάρτισής του, με 13 διευθυντικά στελέχη να έχουν υποβληθεί σε εθελοντική αξιολόγηση διαφορετικότητας και συμπερίληψης το 2024· εκφράζει την ικανοποίησή του για το εξειδικευμένο πρόγραμμα κατάρτισης με τίτλο «Γυναίκες-στελέχη: απόκτηση δεξιοτήτων για την επιτυχία», το οποίο διοργάνωσε το Ελεγκτικό Συνέδριο για να ενθαρρύνει τις γυναίκες να αναλάβουν διευθυντικούς ρόλους· χαιρετίζει επίσης τα νέα προγράμματα θετικής δράσης του Ελεγκτικού Συνεδρίου για ασκούμενους και συμβασιούχους υπαλλήλους που απευθύνονται σε άτομα με αναπηρία, με δύο περιόδους πρακτικής άσκησης ετησίως να προσφέρονται σε άτομα με αναγνωρισμένη αναπηρία· σημειώνει με ικανοποίηση ότι το Ελεγκτικό Συνέδριο διοργάνωσε το 2024 την τέταρτη Εβδομάδα ενημέρωσης του Ελεγκτικού Συνεδρίου σχετικά με τις αναπηρίες, κατά την οποία δρομολογήθηκε νέος χάρτης πορείας για τα άτομα με αναπηρία, τονίζοντας τις προσπάθειες του Ελεγκτικού Συνεδρίου για έναν πιο συμπεριληπτικό χώρο εργασίας· σημειώνει με ικανοποίηση ότι το Ελεγκτικό Συνέδριο δημοσιεύει επίσης ενδιάμεσες επανεξετάσεις του σχεδίου δράσης του για τη διαφορετικότητα και τη συμπερίληψη, προκειμένου να διασφαλιστεί η διαφάνεια και η δέσμευση σε ολόκληρο τον οργανισμό·</w:t>
      </w:r>
    </w:p>
    <w:p w14:paraId="6571D86F" w14:textId="77777777" w:rsidR="002F02CE" w:rsidRPr="00A14885" w:rsidRDefault="002F02CE" w:rsidP="002F02CE">
      <w:pPr>
        <w:pStyle w:val="NormalHanging12a"/>
        <w:rPr>
          <w:b/>
          <w:i/>
          <w:iCs/>
          <w:szCs w:val="24"/>
        </w:rPr>
      </w:pPr>
      <w:r w:rsidRPr="00A14885">
        <w:rPr>
          <w:b/>
          <w:i/>
        </w:rPr>
        <w:t>Δεοντολογικό πλαίσιο και διαφάνεια</w:t>
      </w:r>
    </w:p>
    <w:p w14:paraId="5B88F49D" w14:textId="467AB0F3" w:rsidR="002F02CE" w:rsidRPr="00A14885" w:rsidRDefault="00A14885" w:rsidP="00A14885">
      <w:pPr>
        <w:pStyle w:val="NormalHanging12a"/>
        <w:ind w:hanging="570"/>
        <w:rPr>
          <w:szCs w:val="24"/>
        </w:rPr>
      </w:pPr>
      <w:r w:rsidRPr="00A14885">
        <w:rPr>
          <w:szCs w:val="24"/>
        </w:rPr>
        <w:t>39.</w:t>
      </w:r>
      <w:r w:rsidRPr="00A14885">
        <w:rPr>
          <w:szCs w:val="24"/>
        </w:rPr>
        <w:tab/>
      </w:r>
      <w:r w:rsidR="002F02CE" w:rsidRPr="00A14885">
        <w:t xml:space="preserve">τονίζει τον κρίσιμο ρόλο του Ελεγκτικού Συνεδρίου ως ανεξάρτητου εξωτερικού ελεγκτή και θεματοφύλακα των οικονομικών της Ένωσης, ο οποίος απαιτεί από το Ελεγκτικό Συνέδριο να τηρεί τα υψηλότερα πρότυπα ακεραιότητας, επαγγελματισμού και λογοδοσίας, καθώς και την αρχή της αμοιβαίας καλόπιστης συνεργασίας μεταξύ </w:t>
      </w:r>
      <w:r w:rsidR="002F02CE" w:rsidRPr="00A14885">
        <w:lastRenderedPageBreak/>
        <w:t>των θεσμικών οργάνων της Ένωσης, λειτουργώντας ως πρότυπο θεσμικό όργανο που εμπνέει εμπιστοσύνη και αξιοπιστία· υπενθυμίζει ότι, σύμφωνα με το άρθρο 285 ΣΛΕΕ, τα Μέλη του Ελεγκτικού Συνεδρίου πρέπει να είναι απόλυτα ανεξάρτητα και να τηρούν τις ύψιστες δεοντολογικές αρχές, επιδεικνύοντας ακεραιότητα, αντικειμενικότητα, επαγγελματική συμπεριφορά, αξιοπρέπεια, δέσμευση και αφοσίωση·</w:t>
      </w:r>
    </w:p>
    <w:p w14:paraId="301D0028" w14:textId="4B66EC0E" w:rsidR="002F02CE" w:rsidRPr="00A14885" w:rsidRDefault="00A14885" w:rsidP="00A14885">
      <w:pPr>
        <w:pStyle w:val="NormalHanging12a"/>
        <w:ind w:hanging="570"/>
        <w:rPr>
          <w:szCs w:val="24"/>
        </w:rPr>
      </w:pPr>
      <w:r w:rsidRPr="00A14885">
        <w:rPr>
          <w:szCs w:val="24"/>
        </w:rPr>
        <w:t>40.</w:t>
      </w:r>
      <w:r w:rsidRPr="00A14885">
        <w:rPr>
          <w:szCs w:val="24"/>
        </w:rPr>
        <w:tab/>
      </w:r>
      <w:r w:rsidR="002F02CE" w:rsidRPr="00A14885">
        <w:t>σημειώνει με ανησυχία την άρνηση του Ελεγκτικού Συνεδρίου να άρει την ασυλία του πρώην προέδρου του και την απόφασή του να απορρίψει το αίτημα της Ευρωπαϊκής Εισαγγελίας να επιτραπεί σε ορισμένα μέλη του προσωπικού του Ελεγκτικού Συνεδρίου να καταθέσουν σε εν εξελίξει ποινική έρευνα· σημειώνει, με βάση την έκθεση παρακολούθησης, ότι το Ελεγκτικό Συνέδριο δεν ήρε την εν λόγω ασυλία διότι η Ευρωπαϊκή Εισαγγελία δεν παρέσχε στο Ελεγκτικό Συνέδριο επαρκείς πληροφορίες που να του επιτρέπουν να κατανοήσει για ποιες πράξεις κατηγορούνται τα ενδιαφερόμενα πρόσωπα και σε ποιον βαθμό οι εν λόγω πράξεις θα μπορούσαν να συνιστούν εγκληματική συμπεριφορά, και ότι το Ελεγκτικό Συνέδριο βασίστηκε στη νομολογία ως μέρος του εφαρμοστέου νομικού πλαισίου προς υποστήριξη της θέσης αυτής· σημειώνει ότι, στις 10 Φεβρουαρίου 2025, η Ευρωπαϊκή Εισαγγελία άσκησε προσφυγή (υπόθεση αριθ. T-99/25) ενώπιον του Δικαστηρίου της Ευρωπαϊκής Ένωσης (ΔΕΕ), σύμφωνα με το άρθρο 263 παράγραφος 4 ΣΛΕΕ, κατά της απόφασης του Ελεγκτικού Συνεδρίου να απορρίψει το αίτημα της Ευρωπαϊκής Εισαγγελίας να επιτραπεί σε ορισμένα μέλη του προσωπικού του Ελεγκτικού Συνεδρίου να καταθέσουν σε εν εξελίξει ποινική έρευνα· σημειώνει περαιτέρω ότι η προαναφερθείσα προσφυγή δεν αμφισβήτησε τη μη άρση της ασυλίας των ενδιαφερόμενων προσώπων· τονίζει ότι το καθήκον καλόπιστης συνεργασίας των θεσμικών οργάνων της Ένωσης απαιτεί οι άδειες για την εξέταση υπαλλήλων ως μαρτύρων σε ποινικές έρευνες να μην απορρίπτονται παρά μόνο σε αυστηρά εξαιρετικές περιστάσεις· παροτρύνει το Ελεγκτικό Συνέδριο να αποσαφηνίσει τα κριτήρια που εφαρμόζονται κατά τη λήψη αποφάσεων σχετικά με αιτήματα της Ευρωπαϊκής Εισαγγελίας και να μεριμνήσει ώστε να μην μπορεί να θεωρηθεί ότι οι αποφάσεις αυτές παρεμποδίζουν τις δικαστικές έρευνες· καλεί το Ελεγκτικό Συνέδριο να διατηρήσει υψηλό επίπεδο διαφάνειας και λογοδοσίας στη συνεργασία του με την Ευρωπαϊκή Εισαγγελία και άλλα όργανα της Ένωσης που είναι αρμόδια για την καταπολέμηση της απάτης και των παραπτωμάτων και να μεριμνήσει ώστε να μην γίνεται επίκληση της ασυλίας για την παρεμπόδιση νόμιμων δικαστικών διαδικασιών·</w:t>
      </w:r>
    </w:p>
    <w:p w14:paraId="639BBF31" w14:textId="0D8BE899" w:rsidR="002F02CE" w:rsidRPr="00A14885" w:rsidRDefault="00A14885" w:rsidP="00A14885">
      <w:pPr>
        <w:pStyle w:val="NormalHanging12a"/>
        <w:ind w:hanging="570"/>
        <w:rPr>
          <w:szCs w:val="24"/>
        </w:rPr>
      </w:pPr>
      <w:r w:rsidRPr="00A14885">
        <w:rPr>
          <w:szCs w:val="24"/>
        </w:rPr>
        <w:t>41.</w:t>
      </w:r>
      <w:r w:rsidRPr="00A14885">
        <w:rPr>
          <w:szCs w:val="24"/>
        </w:rPr>
        <w:tab/>
      </w:r>
      <w:r w:rsidR="002F02CE" w:rsidRPr="00A14885">
        <w:t>σημειώνει ότι δεν υπήρξαν περιπτώσεις καταγγελίας δυσλειτουργιών στο Ελεγκτικό Συνέδριο το 2024· σημειώνει επιπλέον ότι, το 2023, το Ελεγκτικό Συνέδριο δρομολόγησε τη διαδικασία επικαιροποίησης των κανόνων του Ελεγκτικού Συνεδρίου σχετικά με τη διεξαγωγή διοικητικών ερευνών και πειθαρχικών διαδικασιών, η οποία ολοκληρώθηκε στις αρχές του 2024·</w:t>
      </w:r>
    </w:p>
    <w:p w14:paraId="6902B1A3" w14:textId="455FF6CD" w:rsidR="002F02CE" w:rsidRPr="00A14885" w:rsidRDefault="00A14885" w:rsidP="00A14885">
      <w:pPr>
        <w:pStyle w:val="NormalHanging12a"/>
        <w:ind w:hanging="570"/>
        <w:rPr>
          <w:szCs w:val="24"/>
        </w:rPr>
      </w:pPr>
      <w:r w:rsidRPr="00A14885">
        <w:rPr>
          <w:szCs w:val="24"/>
        </w:rPr>
        <w:t>42.</w:t>
      </w:r>
      <w:r w:rsidRPr="00A14885">
        <w:rPr>
          <w:szCs w:val="24"/>
        </w:rPr>
        <w:tab/>
      </w:r>
      <w:r w:rsidR="002F02CE" w:rsidRPr="00A14885">
        <w:t xml:space="preserve">σημειώνει με ικανοποίηση ότι το Ελεγκτικό Συνέδριο έχει θέσει σε εφαρμογή ένα ισχυρό δεοντολογικό πλαίσιο το οποίο περιλαμβάνει δεοντολογικές κατευθυντήριες γραμμές που ισχύουν τόσο για τα μέλη όσο και για το προσωπικό του Ελεγκτικού Συνεδρίου, καθώς και κώδικα δεοντολογίας για τα μέλη του Ελεγκτικού Συνεδρίου· σημειώνει ότι το Ελεγκτικό Συνέδριο διαθέτει επίσης επιτροπή δεοντολογίας η οποία συνεδριάζει τακτικά για την επανεξέταση σχετικών δεοντολογικών ζητημάτων, συμπεριλαμβανομένων των εξωτερικών δραστηριοτήτων των μελών, και η οποία αποτελείται από δύο μέλη του Ελεγκτικού Συνεδρίου και ένα εξωτερικό μέλος· σημειώνει, με βάση την ετήσια έκθεση της επιτροπής δεοντολογίας για το 2024, ότι η επιτροπή δεοντολογίας πραγματοποίησε έξι συνεδριάσεις και έλαβε 17 δηλώσεις από εν </w:t>
      </w:r>
      <w:r w:rsidR="002F02CE" w:rsidRPr="00A14885">
        <w:lastRenderedPageBreak/>
        <w:t>ενεργεία μέλη του Ελεγκτικού Συνεδρίου (σχετικά με εξωτερικές δραστηριότητες) και πρώην μέλη του Ελεγκτικού Συνεδρίου (σχετικά με τα σκοπούμενα επαγγέλματα μετά τη λήξη της θητείας τους), εκ των οποίων όλες έλαβαν θετικές γνώμες το 2024·</w:t>
      </w:r>
    </w:p>
    <w:p w14:paraId="27659734" w14:textId="4ABCBB08" w:rsidR="002F02CE" w:rsidRPr="00A14885" w:rsidRDefault="00A14885" w:rsidP="00A14885">
      <w:pPr>
        <w:pStyle w:val="NormalHanging12a"/>
        <w:ind w:hanging="570"/>
        <w:rPr>
          <w:szCs w:val="24"/>
        </w:rPr>
      </w:pPr>
      <w:r w:rsidRPr="00A14885">
        <w:rPr>
          <w:szCs w:val="24"/>
        </w:rPr>
        <w:t>43.</w:t>
      </w:r>
      <w:r w:rsidRPr="00A14885">
        <w:rPr>
          <w:szCs w:val="24"/>
        </w:rPr>
        <w:tab/>
      </w:r>
      <w:r w:rsidR="002F02CE" w:rsidRPr="00A14885">
        <w:t>σημειώνει ότι οι δηλώσεις συμφερόντων των μελών του Ελεγκτικού Συνεδρίου συμπληρώνονται ετησίως και κάθε φορά που υπάρχει σημαντική αλλαγή και δημοσιεύονται στους δικτυακούς τόπους του Ελεγκτικού Συνεδρίου· σημειώνει με ικανοποίηση ότι λεπτομέρειες σχετικά με τις αποστολές των μελών του Ελεγκτικού Συνεδρίου, συμπεριλαμβανομένων των δαπανών, δημοσιεύονται επίσης στο διαδίκτυο· συγχαίρει το Ελεγκτικό Συνέδριο για την ολοκλήρωση των εργασιών της επικαιροποίησης των κανόνων του σχετικά με τη λήψη διοικητικών και πειθαρχικών μέτρων το 2024· σημειώνει ότι, σύμφωνα με το ερωτηματολόγιο, το 2024 δεν εντοπίστηκαν περιπτώσεις σύγκρουσης συμφερόντων·</w:t>
      </w:r>
    </w:p>
    <w:p w14:paraId="7F666953" w14:textId="2FD64909" w:rsidR="002F02CE" w:rsidRPr="00A14885" w:rsidRDefault="00A14885" w:rsidP="00A14885">
      <w:pPr>
        <w:pStyle w:val="NormalHanging12a"/>
        <w:ind w:hanging="570"/>
        <w:rPr>
          <w:szCs w:val="24"/>
        </w:rPr>
      </w:pPr>
      <w:r w:rsidRPr="00A14885">
        <w:rPr>
          <w:szCs w:val="24"/>
        </w:rPr>
        <w:t>44.</w:t>
      </w:r>
      <w:r w:rsidRPr="00A14885">
        <w:rPr>
          <w:szCs w:val="24"/>
        </w:rPr>
        <w:tab/>
      </w:r>
      <w:r w:rsidR="002F02CE" w:rsidRPr="00A14885">
        <w:t>σημειώνει με ικανοποίηση ότι, σύμφωνα με το ερωτηματολόγιο, το Ελεγκτικό Συνέδριο διοργανώνει ετησίως ημερίδα κατάρτισης σε θέματα δεοντολογίας· σημειώνει περαιτέρω ότι το Ελεγκτικό Συνέδριο παρείχε σε όλο το προσωπικό, συμπεριλαμβανομένων των νεοπροσληφθέντων και των διευθυντικών στελεχών, μαθήματα δεοντολογίας, συμπεριλαμβανομένων 3 εργαστηρίων δεοντολογίας το 2024· σημειώνει ότι εκείνο το έτος τα εν λόγω μαθήματα προσέλκυσαν 681 συμμετέχοντες·</w:t>
      </w:r>
    </w:p>
    <w:p w14:paraId="16E38147" w14:textId="0EF6DF04" w:rsidR="002F02CE" w:rsidRPr="00A14885" w:rsidRDefault="00A14885" w:rsidP="00A14885">
      <w:pPr>
        <w:pStyle w:val="NormalHanging12a"/>
        <w:ind w:hanging="570"/>
        <w:rPr>
          <w:szCs w:val="24"/>
        </w:rPr>
      </w:pPr>
      <w:r w:rsidRPr="00A14885">
        <w:rPr>
          <w:szCs w:val="24"/>
        </w:rPr>
        <w:t>45.</w:t>
      </w:r>
      <w:r w:rsidRPr="00A14885">
        <w:rPr>
          <w:szCs w:val="24"/>
        </w:rPr>
        <w:tab/>
      </w:r>
      <w:r w:rsidR="002F02CE" w:rsidRPr="00A14885">
        <w:t>σημειώνει ότι, το 2024, ούτε η Ευρωπαϊκή Υπηρεσία Καταπολέμησης της Απάτης (OLAF) ούτε η Διαμεσολαβήτρια κίνησαν έρευνες στις οποίες εμπλέκεται το Ελεγκτικό Συνέδριο·</w:t>
      </w:r>
    </w:p>
    <w:p w14:paraId="30E33877" w14:textId="77B8FE0B" w:rsidR="002F02CE" w:rsidRPr="00A14885" w:rsidRDefault="00A14885" w:rsidP="00A14885">
      <w:pPr>
        <w:pStyle w:val="NormalHanging12a"/>
        <w:ind w:hanging="570"/>
        <w:rPr>
          <w:szCs w:val="24"/>
        </w:rPr>
      </w:pPr>
      <w:r w:rsidRPr="00A14885">
        <w:rPr>
          <w:szCs w:val="24"/>
        </w:rPr>
        <w:t>46.</w:t>
      </w:r>
      <w:r w:rsidRPr="00A14885">
        <w:rPr>
          <w:szCs w:val="24"/>
        </w:rPr>
        <w:tab/>
      </w:r>
      <w:r w:rsidR="002F02CE" w:rsidRPr="00A14885">
        <w:t>επαναλαμβάνει την κριτική που διατύπωσε σε προηγούμενα ψηφίσματα απαλλαγής σχετικά με την απόφαση του Ελεγκτικού Συνεδρίου του 2022 όσον αφορά τα ταξίδια, τις αποστολές και τη χρήση οδηγών και αυτοκινήτων από τα μέλη του, η οποία αντιβαίνει στη γενική αρχή ότι ο στόλος αυτοκινήτων δεν θα πρέπει, σε καμία περίπτωση, να χρησιμοποιείται εκτός του πλαισίου της αυστηρής εκτέλεσης των καθηκόντων των μελών του Ελεγκτικού Συνεδρίου· επαναλαμβάνει περαιτέρω την έκκλησή του προς όλα τα θεσμικά όργανα της Ένωσης να συμφωνήσουν σε ένα οριζόντιο ενιαίο σύστημα όσον αφορά τη χρήση υπηρεσιακών αυτοκινήτων το οποίο θα μειώσει τη σύγχυση και θα αυξήσει τη διαφάνεια και την αποτελεσματικότητα στη χρήση του δημόσιου χρήματος· χαιρετίζει το γεγονός ότι, το 2024, το Ελεγκτικό Συνέδριο, από κοινού με το ΔΕΕ, κάλεσε την Επιτροπή να συμμετάσχει σε διοργανικό διάλογο με στόχο να συμφωνηθούν κοινοί κανόνες σχετικά με τη χρήση υπηρεσιακών οχημάτων· σημειώνει, στο πλαίσιο αυτό, ότι, σύμφωνα με το ερωτηματολόγιο, δημιουργήθηκε μια ad hoc ομάδα εργασίας η οποία συνεδρίασε πολλές φορές και εξέδωσε διάφορες συστάσεις· ζητεί από το Ελεγκτικό Συνέδριο να ενημερώνει την αρμόδια για την απαλλαγή αρχή σχετικά με την πρόοδο που σημειώνεται στο θέμα αυτό·</w:t>
      </w:r>
    </w:p>
    <w:p w14:paraId="17FA0580" w14:textId="199B592E" w:rsidR="002F02CE" w:rsidRPr="00A14885" w:rsidRDefault="00A14885" w:rsidP="00A14885">
      <w:pPr>
        <w:pStyle w:val="NormalHanging12a"/>
        <w:ind w:hanging="570"/>
        <w:rPr>
          <w:szCs w:val="24"/>
        </w:rPr>
      </w:pPr>
      <w:r w:rsidRPr="00A14885">
        <w:rPr>
          <w:szCs w:val="24"/>
        </w:rPr>
        <w:t>47.</w:t>
      </w:r>
      <w:r w:rsidRPr="00A14885">
        <w:rPr>
          <w:szCs w:val="24"/>
        </w:rPr>
        <w:tab/>
      </w:r>
      <w:r w:rsidR="002F02CE" w:rsidRPr="00A14885">
        <w:t xml:space="preserve">υπενθυμίζει το γεγονός ότι η Υπηρεσία Εσωτερικού Λογιστικού Ελέγχου του Ελεγκτικού Συνεδρίου (IAS) διενήργησε έλεγχο σχετικά με το δεοντολογικό πλαίσιο που ισχύει για το προσωπικό και τα μέλη του Ελεγκτικού Συνεδρίου· σημειώνει ότι, σύμφωνα με την τελική έκθεση (02/2023) που απέστειλε το Ελεγκτικό Συνέδριο στην Πρόεδρο του Κοινοβουλίου στις 9 Ιουλίου 2024 και σύμφωνα με το ερωτηματολόγιο, η IAS εξέδωσε 16 συστάσεις, εκ των οποίων 15 έχουν ήδη ολοκληρωθεί, ενώ μία, σχετικά με τις συγκρούσεις συμφερόντων του προσωπικού, βρίσκεται σε εξέλιξη· καλεί επιτακτικά το Ελεγκτικό Συνέδριο να ολοκληρώσει χωρίς καθυστέρηση την εκκρεμή </w:t>
      </w:r>
      <w:r w:rsidR="002F02CE" w:rsidRPr="00A14885">
        <w:lastRenderedPageBreak/>
        <w:t>σύσταση, και το καλεί να τηρεί δεόντως ενήμερη την αρμόδια για την απαλλαγή αρχή σχετικά με την πρόοδο που σημειώνεται εν προκειμένω·</w:t>
      </w:r>
    </w:p>
    <w:p w14:paraId="6DB1B1ED" w14:textId="64A2CCC0" w:rsidR="002F02CE" w:rsidRPr="00A14885" w:rsidRDefault="00A14885" w:rsidP="00A14885">
      <w:pPr>
        <w:pStyle w:val="NormalHanging12a"/>
        <w:ind w:hanging="570"/>
        <w:rPr>
          <w:szCs w:val="24"/>
        </w:rPr>
      </w:pPr>
      <w:bookmarkStart w:id="10" w:name="_Hlk215774993"/>
      <w:r w:rsidRPr="00A14885">
        <w:rPr>
          <w:szCs w:val="24"/>
        </w:rPr>
        <w:t>48.</w:t>
      </w:r>
      <w:r w:rsidRPr="00A14885">
        <w:rPr>
          <w:szCs w:val="24"/>
        </w:rPr>
        <w:tab/>
      </w:r>
      <w:r w:rsidR="002F02CE" w:rsidRPr="00A14885">
        <w:t>σημειώνει ότι, σύμφωνα με την έκθεση του Ελεγκτικού Συνεδρίου, το 2024 δεν εντοπίστηκαν περιπτώσεις διαφθοράς ή απάτης στις εσωτερικές δραστηριότητες του Ελεγκτικού Συνεδρίου· εκτιμά το γεγονός ότι το Ελεγκτικό Συνέδριο διοργάνωσε προληπτική κατάρτιση σχετικά με τις πολιτικές και τις διαδικασίες για την καταπολέμηση της διαφθοράς, στο πλαίσιο της οποίας πραγματοποιήθηκαν 10 συνεδρίες το 2024, στις οποίες συμμετείχαν συνολικά 257 άτομα· εκφράζει την ικανοποίησή του για το γεγονός ότι, σύμφωνα με την έκθεση παρακολούθησης, το Ελεγκτικό Συνέδριο εξέδωσε το 2024 ενιαίο ενοποιημένο έγγραφο για την αντιμετώπιση ζητημάτων που σχετίζονται με την απάτη στο πλαίσιο των ελεγκτικών δραστηριοτήτων του, το οποίο παρέχει ολοκληρωμένη και λεπτομερή καθοδήγηση στους ελεγκτές του Ελεγκτικού Συνεδρίου, εναρμονίζοντας έτσι τον τρόπο με τον οποίο τα τμήματα ελέγχου του Ελεγκτικού Συνεδρίου αντιμετωπίζουν περιπτώσεις εικαζόμενης απάτης, διαφθοράς ή οποιασδήποτε άλλης παράνομης δραστηριότητας εις βάρος των οικονομικών συμφερόντων της Ένωσης που αποκαλύπτονται κατά τη διάρκεια των εργασιών εξωτερικού ελέγχου, και συμβάλλοντας στη διασφάλιση της συνέπειας· σημειώνει ότι η διαχείριση του κινδύνου απάτης σε σχέση με τις εσωτερικές λειτουργίες του Ελεγκτικού Συνεδρίου πραγματοποιείται μέσω του πλαισίου εσωτερικού ελέγχου του Ελεγκτικού Συνεδρίου που έχει σχεδιαστεί για την πρόληψη, τον εντοπισμό, τη διόρθωση και την παρακολούθηση τυχόν παρατυπιών στις οποίες εμπλέκονται μέλη ή υπάλληλοι του Ελεγκτικού Συνεδρίου και οι οποίες ενδέχεται να επηρεάσουν τα οικονομικά συμφέροντα της Ένωσης· σημειώνει περαιτέρω την άποψη του Ελεγκτικού Συνεδρίου ότι ο σχεδιασμός αυτόνομης στρατηγικής για την καταπολέμηση της απάτης στις εσωτερικές πράξεις θα συνεπαγόταν δυσανάλογο διοικητικό φόρτο, δεδομένων των εκτεταμένων ελέγχων που εφαρμόζονται ήδη, αλλά εξακολουθεί να ζητεί από το Ελεγκτικό Συνέδριο να εγκρίνει στρατηγική για την καταπολέμηση της απάτης που θα καλύπτει όλα τα είδη πράξεων·</w:t>
      </w:r>
    </w:p>
    <w:bookmarkEnd w:id="10"/>
    <w:p w14:paraId="5503B44D" w14:textId="5A6EB857" w:rsidR="002F02CE" w:rsidRPr="00A14885" w:rsidRDefault="00A14885" w:rsidP="00A14885">
      <w:pPr>
        <w:pStyle w:val="NormalHanging12a"/>
        <w:ind w:hanging="570"/>
        <w:rPr>
          <w:szCs w:val="24"/>
        </w:rPr>
      </w:pPr>
      <w:r w:rsidRPr="00A14885">
        <w:rPr>
          <w:szCs w:val="24"/>
        </w:rPr>
        <w:t>49.</w:t>
      </w:r>
      <w:r w:rsidRPr="00A14885">
        <w:rPr>
          <w:szCs w:val="24"/>
        </w:rPr>
        <w:tab/>
      </w:r>
      <w:r w:rsidR="002F02CE" w:rsidRPr="00A14885">
        <w:t>σημειώνει την άποψη του Ελεγκτικού Συνεδρίου, όπως εκφράζεται στην έκθεση παρακολούθησης, ότι ο ρόλος του ως ανεξάρτητου εξωτερικού ελεγκτικού οργάνου το τοποθετεί εκτός του τυπικού πεδίου των οντοτήτων που επιδιώκουν να αλληλεπιδρούν με τα όργανα λήψης αποφάσεων της Ένωσης και να ασκούν πιέσεις σε αυτά· είναι της άποψης ότι το εν λόγω επιχείρημα δεν ισχύει πλήρως, διότι το Ελεγκτικό Συνέδριο εκδίδει ειδικές εκθέσεις στις οποίες εξετάζει κατά πόσον έχουν επιτευχθεί οι στόχοι των πολιτικών και των προγραμμάτων της Ένωσης, γεγονός που προσδίδει στο έργο του Ελεγκτικού Συνεδρίου είτε πολιτική είτε συμβουλευτική διάσταση, ακόμη και αν το Ελεγκτικό Συνέδριο δεν είναι όργανο λήψης αποφάσεων· υπενθυμίζει, επιπλέον, ότι υπάρχουν άλλα μη αρμόδια για τη λήψη αποφάσεων και συμβουλευτικά όργανα της Ένωσης που έχουν προσχωρήσει επίσημα στο Μητρώο Διαφάνειας της Ένωσης· επαναλαμβάνει την έκκλησή του προς το Ελεγκτικό Συνέδριο να προσχωρήσει χωρίς καθυστέρηση στο Μητρώο Διαφάνειας, σύμφωνα με τις πρακτικές άλλων οργάνων της Ένωσης χωρίς αρμοδιότητα λήψης αποφάσεων, προκειμένου να ενισχυθεί η εμπιστοσύνη του κοινού και παράλληλα να διατηρηθεί πλήρως η ανεξαρτησία του ως εξωτερικού ελεγκτή της Ένωσης·</w:t>
      </w:r>
    </w:p>
    <w:p w14:paraId="0A28DAB2" w14:textId="77777777" w:rsidR="002F02CE" w:rsidRPr="00A14885" w:rsidRDefault="002F02CE" w:rsidP="002F02CE">
      <w:pPr>
        <w:pStyle w:val="NormalHanging12a"/>
        <w:rPr>
          <w:b/>
          <w:i/>
          <w:iCs/>
          <w:szCs w:val="24"/>
        </w:rPr>
      </w:pPr>
      <w:r w:rsidRPr="00A14885">
        <w:rPr>
          <w:b/>
          <w:i/>
        </w:rPr>
        <w:t>Ψηφιοποίηση, κυβερνοασφάλεια και προστασία δεδομένων</w:t>
      </w:r>
    </w:p>
    <w:p w14:paraId="5C5AA7A5" w14:textId="67F26DE4" w:rsidR="002F02CE" w:rsidRPr="00A14885" w:rsidRDefault="00A14885" w:rsidP="00A14885">
      <w:pPr>
        <w:pStyle w:val="NormalHanging12a"/>
        <w:ind w:hanging="570"/>
        <w:rPr>
          <w:szCs w:val="24"/>
        </w:rPr>
      </w:pPr>
      <w:r w:rsidRPr="00A14885">
        <w:rPr>
          <w:szCs w:val="24"/>
        </w:rPr>
        <w:t>50.</w:t>
      </w:r>
      <w:r w:rsidRPr="00A14885">
        <w:rPr>
          <w:szCs w:val="24"/>
        </w:rPr>
        <w:tab/>
      </w:r>
      <w:r w:rsidR="002F02CE" w:rsidRPr="00A14885">
        <w:t xml:space="preserve">σημειώνει ότι, σύμφωνα με το ερωτηματολόγιο, ο συνολικός προϋπολογισμός ΤΠ (υλισμικό, λογισμικό, υπηρεσίες ΤΠ και τηλεπικοινωνίες) του Ελεγκτικού Συνεδρίου </w:t>
      </w:r>
      <w:r w:rsidR="002F02CE" w:rsidRPr="00A14885">
        <w:lastRenderedPageBreak/>
        <w:t>μειώθηκε κατά 12,10</w:t>
      </w:r>
      <w:r w:rsidR="00B66A18" w:rsidRPr="00A14885">
        <w:t> %</w:t>
      </w:r>
      <w:r w:rsidR="002F02CE" w:rsidRPr="00A14885">
        <w:t>, από περίπου 10,8 εκατομμύρια EUR το 2023 σε περίπου 9,5</w:t>
      </w:r>
      <w:r w:rsidR="0014185B" w:rsidRPr="00A14885">
        <w:t> </w:t>
      </w:r>
      <w:r w:rsidR="002F02CE" w:rsidRPr="00A14885">
        <w:t>εκατομμύρια EUR το 2024· σημειώνει, μεταξύ των μεγάλων έργων ΤΠ του Ελεγκτικού Συνεδρίου που χρηματοδοτήθηκαν το 2024, την αναβάθμιση του ιστοτόπου και του ενδοδικτύου του, τη μετάβαση σε μια ασφαλέστερη λύση εξ αποστάσεως πρόσβασης και την εφαρμογή ενός νέου συστήματος διαχείρισης της μετάφρασης·</w:t>
      </w:r>
    </w:p>
    <w:p w14:paraId="1CDE3BA3" w14:textId="7E218B85" w:rsidR="002F02CE" w:rsidRPr="00A14885" w:rsidRDefault="00A14885" w:rsidP="00A14885">
      <w:pPr>
        <w:pStyle w:val="NormalHanging12a"/>
        <w:ind w:hanging="570"/>
        <w:rPr>
          <w:szCs w:val="24"/>
        </w:rPr>
      </w:pPr>
      <w:r w:rsidRPr="00A14885">
        <w:rPr>
          <w:szCs w:val="24"/>
        </w:rPr>
        <w:t>51.</w:t>
      </w:r>
      <w:r w:rsidRPr="00A14885">
        <w:rPr>
          <w:szCs w:val="24"/>
        </w:rPr>
        <w:tab/>
      </w:r>
      <w:r w:rsidR="002F02CE" w:rsidRPr="00A14885">
        <w:t xml:space="preserve">υποστηρίζει σθεναρά τις προσπάθειες του Ελεγκτικού Συνεδρίου να αναπτύξει ένα οικοσύστημα γνώσεων σχετικά με τον έλεγχο μέσω της ψηφιοποίησης· σημειώνει, στο πλαίσιο αυτό, ότι, σύμφωνα με το ερωτηματολόγιο, το Ελεγκτικό Συνέδριο υλοποίησε το 2024 διάφορες πρωτοβουλίες για την ενίσχυση των ψηφιακών ικανοτήτων και της επιχειρησιακής αποτελεσματικότητάς του, συμπεριλαμβανομένων της ενοποίησης των συστημάτων πληροφοριών ελέγχου, της αύξησης της διαλειτουργικότητας μεταξύ συστημάτων και εφαρμογών, της καθιέρωσης του βοηθού ανάγνωσης εγγράφων (DORA) για τη στήριξη της διαχείρισης των γνώσεων στις δραστηριότητες ελέγχου, της έναρξης λειτουργίας της υπηρεσίας συλλογής ανακαλύψεων </w:t>
      </w:r>
      <w:proofErr w:type="spellStart"/>
      <w:r w:rsidR="002F02CE" w:rsidRPr="00A14885">
        <w:t>BibliotECA</w:t>
      </w:r>
      <w:proofErr w:type="spellEnd"/>
      <w:r w:rsidR="002F02CE" w:rsidRPr="00A14885">
        <w:t xml:space="preserve"> και της έγκρισης μιας νέας πολιτικής για ψηφιακή αρχειοθέτηση· τονίζει ότι ο συνδυασμός της ψηφιοποίησης με την αύξηση του αριθμού των επιτόπιων επισκέψεων θα πρέπει να οδηγήσει σε πιο αποδοτικά και ακριβή αποτελέσματα ελέγχου· ενθαρρύνει περαιτέρω επενδύσεις σε εργαλεία ελέγχου υποβοηθούμενα από την ΤΝ και στη διαλειτουργικότητα των συστημάτων ώστε να ενισχυθεί η ακρίβεια του ελέγχου, να μειωθεί ο διοικητικός φόρτος και να μεγιστοποιηθεί η οικονομική αποδοτικότητα·</w:t>
      </w:r>
    </w:p>
    <w:p w14:paraId="14A295C3" w14:textId="40AE69E7" w:rsidR="002F02CE" w:rsidRPr="00A14885" w:rsidRDefault="00A14885" w:rsidP="00A14885">
      <w:pPr>
        <w:pStyle w:val="NormalHanging12a"/>
        <w:ind w:hanging="570"/>
        <w:rPr>
          <w:szCs w:val="24"/>
        </w:rPr>
      </w:pPr>
      <w:r w:rsidRPr="00A14885">
        <w:rPr>
          <w:szCs w:val="24"/>
        </w:rPr>
        <w:t>52.</w:t>
      </w:r>
      <w:r w:rsidRPr="00A14885">
        <w:rPr>
          <w:szCs w:val="24"/>
        </w:rPr>
        <w:tab/>
      </w:r>
      <w:r w:rsidR="002F02CE" w:rsidRPr="00A14885">
        <w:t xml:space="preserve">χαιρετίζει τη δημοσίευση της αρχικής στρατηγικής και του χάρτη πορείας ανάπτυξης του Ελεγκτικού Συνεδρίου για την τεχνητή νοημοσύνη για την περίοδο 2024-2025· σημειώνει με ικανοποίηση ότι, σύμφωνα με το ερωτηματολόγιο, το Ελεγκτικό Συνέδριο σημείωσε σταθερή πρόοδο στην εφαρμογή της εν λόγω στρατηγικής, εστιάζοντας, μεταξύ άλλων, στη δοκιμή και την προετοιμασία για την ανάπτυξη εργαλείων όπως το Microsoft </w:t>
      </w:r>
      <w:proofErr w:type="spellStart"/>
      <w:r w:rsidR="002F02CE" w:rsidRPr="00A14885">
        <w:t>Copilot</w:t>
      </w:r>
      <w:proofErr w:type="spellEnd"/>
      <w:r w:rsidR="002F02CE" w:rsidRPr="00A14885">
        <w:t xml:space="preserve"> και το GPT@EC, στην ευαισθητοποίηση του προσωπικού με στοχευμένη κατάρτιση στον τομέα της ΤΝ, καθώς και στη δοκιμή εφαρμογών ΤΝ στο ελεγκτικό έργο και στην ανταλλαγή προκαταρκτικών πορισμάτων· εκφράζει, επιπλέον, την ικανοποίησή του για την ενίσχυση της διακυβέρνησης του Ελεγκτικού Συνεδρίου στον τομέα της ΤΝ, με τη σύσταση της συμβουλευτικής επιτροπής για την ΤΝ από το Ελεγκτικό Συνέδριο και τον διορισμό ανταποκριτή για την ΤΝ το 2024· σημειώνει με ικανοποίηση ότι η συμβουλευτική επιτροπή για την ΤΝ, ρόλος της οποίας είναι να στηρίζει και να συμβουλεύει το Ελεγκτικό Συνέδριο στην εκπλήρωση των υποχρεώσεών του που απορρέουν από το νομικό και δεοντολογικό πλαίσιο που διέπει τη χρήση της ΤΝ, αποτελείται από προσωπικό με συνδυασμό εμπειρογνωσίας για τη διασφάλιση ολοκληρωμένης προσέγγισης και κατανόησης του αντικτύπου της ΤΝ· καλεί το Ελεγκτικό Συνέδριο, στο πλαίσιο της στρατηγικής του για την τεχνητή νοημοσύνη (ΤΝ), να αναπτύξει σαφείς δείκτες για την αξιολόγηση της προστιθέμενης αξίας, των κινδύνων και των περιορισμών των εργαλείων ελέγχου που υποστηρίζονται από την ΤΝ, και να υποβάλλει τακτικά εκθέσεις στο Κοινοβούλιο σχετικά με τον αντίκτυπό τους στην ποιότητα του ελέγχου, τη διαφάνεια και τη λογοδοσία· τονίζει ότι η ΤΝ πρέπει να χρησιμοποιείται σε συμμόρφωση με αυστηρές αρχές δεοντολογικής χρήσης, διαφάνειας, προστασίας των δεδομένων, ανθρώπινης εποπτείας και προστασίας από αλγοριθμική μεροληψία ή κατάχρηση·</w:t>
      </w:r>
    </w:p>
    <w:p w14:paraId="3C58207F" w14:textId="2C39CE5C" w:rsidR="002F02CE" w:rsidRPr="00A14885" w:rsidRDefault="00A14885" w:rsidP="00A14885">
      <w:pPr>
        <w:pStyle w:val="NormalHanging12a"/>
        <w:ind w:hanging="570"/>
        <w:rPr>
          <w:szCs w:val="24"/>
        </w:rPr>
      </w:pPr>
      <w:r w:rsidRPr="00A14885">
        <w:rPr>
          <w:szCs w:val="24"/>
        </w:rPr>
        <w:t>53.</w:t>
      </w:r>
      <w:r w:rsidRPr="00A14885">
        <w:rPr>
          <w:szCs w:val="24"/>
        </w:rPr>
        <w:tab/>
      </w:r>
      <w:r w:rsidR="002F02CE" w:rsidRPr="00A14885">
        <w:t xml:space="preserve">σημειώνει ότι, σύμφωνα με το ερωτηματολόγιο, το Ελεγκτικό Συνέδριο σημείωσε πρόοδο όσον αφορά την εφαρμογή του σχεδίου του για την κυβερνοασφάλεια, επιτυγχάνοντας διάφορα σημαντικά ορόσημα το 2024, συμπεριλαμβανομένης της έγκρισης ενός συστήματος επαλήθευσης ταυτότητας χωρίς κωδικό πρόσβασης μέσω </w:t>
      </w:r>
      <w:r w:rsidR="002F02CE" w:rsidRPr="00A14885">
        <w:lastRenderedPageBreak/>
        <w:t xml:space="preserve">του Windows </w:t>
      </w:r>
      <w:proofErr w:type="spellStart"/>
      <w:r w:rsidR="002F02CE" w:rsidRPr="00A14885">
        <w:t>Hello</w:t>
      </w:r>
      <w:proofErr w:type="spellEnd"/>
      <w:r w:rsidR="002F02CE" w:rsidRPr="00A14885">
        <w:t xml:space="preserve"> for </w:t>
      </w:r>
      <w:proofErr w:type="spellStart"/>
      <w:r w:rsidR="002F02CE" w:rsidRPr="00A14885">
        <w:t>Business</w:t>
      </w:r>
      <w:proofErr w:type="spellEnd"/>
      <w:r w:rsidR="002F02CE" w:rsidRPr="00A14885">
        <w:t xml:space="preserve">, της εφαρμογής αρχών μηδενικής εμπιστοσύνης για την ενίσχυση της ασφάλειας της πρόσβασης για τα συστήματα υπολογιστικού νέφους και EU </w:t>
      </w:r>
      <w:proofErr w:type="spellStart"/>
      <w:r w:rsidR="002F02CE" w:rsidRPr="00A14885">
        <w:t>login</w:t>
      </w:r>
      <w:proofErr w:type="spellEnd"/>
      <w:r w:rsidR="002F02CE" w:rsidRPr="00A14885">
        <w:t>, και της ανάπτυξης ενός εργαλείου διαχείρισης προνομιακής πρόσβασης για την καλύτερη προστασία της διαχείρισης των συστημάτων ΤΠ· σημειώνει περαιτέρω ότι το Ελεγκτικό Συνέδριο ενίσχυσε επίσης την ετοιμότητά του στον τομέα της κυβερνοασφάλειας συμμετέχοντας στην κοινή άσκηση ευαισθητοποίησης και ετοιμότητας για την κυβερνοασφάλεια (JASPER), η οποία συνδιοργανώθηκε από την Υπηρεσία Κυβερνοασφάλειας για τα θεσμικά και λοιπά όργανα και τους οργανισμούς της Ένωσης (CERT-ΕΕ) και τον Οργανισμό της Ευρωπαϊκής Ένωσης για την Κυβερνοασφάλεια (ENISA), και αύξησε την ευαισθητοποίηση του προσωπικού μέσω ασκήσεων προσομοίωσης ηλεκτρονικού «ψαρέματος» για τον μετριασμό των κινδύνων κοινωνικής μηχανικής·</w:t>
      </w:r>
    </w:p>
    <w:p w14:paraId="1BE38CFE" w14:textId="17477AAC" w:rsidR="002F02CE" w:rsidRPr="00A14885" w:rsidRDefault="00A14885" w:rsidP="00A14885">
      <w:pPr>
        <w:pStyle w:val="NormalHanging12a"/>
        <w:ind w:hanging="570"/>
        <w:rPr>
          <w:szCs w:val="24"/>
        </w:rPr>
      </w:pPr>
      <w:r w:rsidRPr="00A14885">
        <w:rPr>
          <w:szCs w:val="24"/>
        </w:rPr>
        <w:t>54.</w:t>
      </w:r>
      <w:r w:rsidRPr="00A14885">
        <w:rPr>
          <w:szCs w:val="24"/>
        </w:rPr>
        <w:tab/>
      </w:r>
      <w:r w:rsidR="002F02CE" w:rsidRPr="00A14885">
        <w:t xml:space="preserve">σημειώνει με ανησυχία ότι το Ελεγκτικό Συνέδριο υπέστη κυβερνοεπίθεση από </w:t>
      </w:r>
      <w:proofErr w:type="spellStart"/>
      <w:r w:rsidR="002F02CE" w:rsidRPr="00A14885">
        <w:t>φιλορωσική</w:t>
      </w:r>
      <w:proofErr w:type="spellEnd"/>
      <w:r w:rsidR="002F02CE" w:rsidRPr="00A14885">
        <w:t xml:space="preserve"> ομάδα, η οποία είχε ως αποτέλεσμα την κατάρρευση του δημόσιου </w:t>
      </w:r>
      <w:proofErr w:type="spellStart"/>
      <w:r w:rsidR="002F02CE" w:rsidRPr="00A14885">
        <w:t>ιστότοπού</w:t>
      </w:r>
      <w:proofErr w:type="spellEnd"/>
      <w:r w:rsidR="002F02CE" w:rsidRPr="00A14885">
        <w:t xml:space="preserve"> του, στο πλαίσιο συντονισμένης δράσης για την αποσταθεροποίηση των ευρωπαϊκών εκλογών του 2024· χαιρετίζει τη δέσμευση του Ελεγκτικού Συνεδρίου να επαναξιολογεί τους κινδύνους κυβερνοασφάλειας τουλάχιστον ανά διετία· ενθαρρύνει τη συνεχή εφαρμογή τακτικής κατάρτισης του προσωπικού σχετικά με τις κυβερνοαπειλές για την ενίσχυση της θεσμικής ανθεκτικότητας· καλεί το Ελεγκτικό Συνέδριο να τηρεί ενήμερη την αρμόδια για την απαλλαγή αρχή σχετικά με το αποτέλεσμα κάθε εκτίμησης κινδύνου για την κυβερνοασφάλεια που ενδέχεται να διενεργήσει το Ελεγκτικό Συνέδριο στο πλαίσιο της εφαρμογής του κανονισμού (ΕΕ,</w:t>
      </w:r>
      <w:r w:rsidR="0014185B" w:rsidRPr="00A14885">
        <w:t> </w:t>
      </w:r>
      <w:r w:rsidR="002F02CE" w:rsidRPr="00A14885">
        <w:t>Ευρατόμ) 2023/2841</w:t>
      </w:r>
      <w:r w:rsidR="002F02CE" w:rsidRPr="00A14885">
        <w:rPr>
          <w:szCs w:val="24"/>
          <w:vertAlign w:val="superscript"/>
        </w:rPr>
        <w:footnoteReference w:id="7"/>
      </w:r>
      <w:r w:rsidR="002F02CE" w:rsidRPr="00A14885">
        <w:t>·</w:t>
      </w:r>
    </w:p>
    <w:p w14:paraId="03A4B27C" w14:textId="7560A283" w:rsidR="002F02CE" w:rsidRPr="00A14885" w:rsidRDefault="00A14885" w:rsidP="00A14885">
      <w:pPr>
        <w:pStyle w:val="NormalHanging12a"/>
        <w:ind w:hanging="570"/>
        <w:rPr>
          <w:szCs w:val="24"/>
        </w:rPr>
      </w:pPr>
      <w:r w:rsidRPr="00A14885">
        <w:rPr>
          <w:szCs w:val="24"/>
        </w:rPr>
        <w:t>55.</w:t>
      </w:r>
      <w:r w:rsidRPr="00A14885">
        <w:rPr>
          <w:szCs w:val="24"/>
        </w:rPr>
        <w:tab/>
      </w:r>
      <w:r w:rsidR="002F02CE" w:rsidRPr="00A14885">
        <w:t xml:space="preserve">χαιρετίζει τις προγραμματισμένες πρωτοβουλίες για το 2025 που αποσκοπούν στην περαιτέρω ενίσχυση του ψηφιακού μετασχηματισμού και της κυβερνοασφάλειας, όπως η ανάπτυξη του Microsoft </w:t>
      </w:r>
      <w:proofErr w:type="spellStart"/>
      <w:r w:rsidR="002F02CE" w:rsidRPr="00A14885">
        <w:t>Copilot</w:t>
      </w:r>
      <w:proofErr w:type="spellEnd"/>
      <w:r w:rsidR="002F02CE" w:rsidRPr="00A14885">
        <w:t>, η εφαρμογή τοπικών μοντέλων παραγωγικής ΤΝ και η εγκατάσταση βιομετρικής επαλήθευσης ταυτότητας σε φορητούς υπολογιστές· σημειώνει επίσης το σχέδιο του Ελεγκτικού Συνεδρίου να αναβαθμίσει την υποδομή ΤΠ του με νέους διακομιστές, να εγκαταστήσει νέες δυνατότητες για τη στήριξη υβριδικών συνεδριάσεων και να ενισχύσει τη συνεργασία του με τη διοργανική επιτροπή για τον ψηφιακό μετασχηματισμό όσον αφορά αναδυόμενες τεχνολογίες, όπως η ΤΝ·</w:t>
      </w:r>
    </w:p>
    <w:p w14:paraId="605FFA17" w14:textId="26DFDE51" w:rsidR="002F02CE" w:rsidRPr="00A14885" w:rsidRDefault="00A14885" w:rsidP="00A14885">
      <w:pPr>
        <w:pStyle w:val="NormalHanging12a"/>
        <w:ind w:hanging="570"/>
        <w:rPr>
          <w:szCs w:val="24"/>
        </w:rPr>
      </w:pPr>
      <w:r w:rsidRPr="00A14885">
        <w:rPr>
          <w:szCs w:val="24"/>
        </w:rPr>
        <w:t>56.</w:t>
      </w:r>
      <w:r w:rsidRPr="00A14885">
        <w:rPr>
          <w:szCs w:val="24"/>
        </w:rPr>
        <w:tab/>
      </w:r>
      <w:r w:rsidR="002F02CE" w:rsidRPr="00A14885">
        <w:t>αναμένει ότι η αναθεωρημένη πολιτική ηλεκτρονικής υπογραφής, την οποία εισήγαγε το Ελεγκτικό Συνέδριο το 2025, θα διευκολύνει περαιτέρω τη χρήση προηγμένων ηλεκτρονικών υπογραφών και θα μειώσει την εξάρτηση από έντυπες διαδικασίες, ιδίως για εξωτερικά συμβατικά έγγραφα· προσβλέπει στη συνέχιση της ψηφιοποίησης των διαδικασιών έγκρισης και υπογραφής· αναγνωρίζει τον θετικό ποιοτικό αντίκτυπο της ψηφιοποίησης στις ροές ελεγκτικών εργασιών, στη συνεργασία και τη διαφάνεια, η οποία συμβάλλει σε πιο ευέλικτα και αξιόπιστα αποτελέσματα ελέγχου·</w:t>
      </w:r>
    </w:p>
    <w:p w14:paraId="5D0A234A" w14:textId="6F18D63D" w:rsidR="002F02CE" w:rsidRPr="00A14885" w:rsidRDefault="00A14885" w:rsidP="00A14885">
      <w:pPr>
        <w:pStyle w:val="NormalHanging12a"/>
        <w:ind w:hanging="570"/>
        <w:rPr>
          <w:szCs w:val="24"/>
        </w:rPr>
      </w:pPr>
      <w:r w:rsidRPr="00A14885">
        <w:rPr>
          <w:szCs w:val="24"/>
        </w:rPr>
        <w:t>57.</w:t>
      </w:r>
      <w:r w:rsidRPr="00A14885">
        <w:rPr>
          <w:szCs w:val="24"/>
        </w:rPr>
        <w:tab/>
      </w:r>
      <w:r w:rsidR="002F02CE" w:rsidRPr="00A14885">
        <w:t xml:space="preserve">χαιρετίζει τις συνεχιζόμενες προσπάθειες του Ελεγκτικού Συνεδρίου να ενισχύσει τις δεξιότητες του προσωπικού μέσω του προγράμματος κατάρτισης σε θέματα δεδομένων </w:t>
      </w:r>
      <w:r w:rsidR="002F02CE" w:rsidRPr="00A14885">
        <w:lastRenderedPageBreak/>
        <w:t>και τεχνολογίας σχετικά με τη χρήση του ελέγχου δεδομένων και τεχνολογίας, το οποίο αναπτύχθηκε σε συνεργασία με την ομάδα DATA του Ελεγκτικού Συνεδρίου· σημειώνει ότι η εν λόγω πρωτοβουλία στηρίζει τον ψηφιακό μετασχηματισμό του θεσμικού οργάνου προωθώντας μια νοοτροπία καινοτομίας και παρέχοντας μια δομημένη μαθησιακή πορεία από τα βασικά έως τα προηγμένα επίπεδα στην επιστήμη των δεδομένων, την ΤΝ και τον έλεγχο ΤΠ· αναγνωρίζει το ευρύ φάσμα μαθημάτων που πραγματοποιήθηκαν το 2024, συμπεριλαμβανομένων ενοτήτων σχετικά με τη μηχανική μάθηση, την κυβερνοασφάλεια, το νομικό πλαίσιο που διέπει τη χρήση της ΤΝ και την απεικόνιση δεδομένων, καθώς και την πρακτική κατάρτιση σε θέματα ΤΠ σχετικά με το Microsoft Office και τα ειδικά εργαλεία ελέγχου, τα οποία ενισχύουν την τεχνική εμπειρογνωσία και την επιχειρησιακή αποτελεσματικότητα των ελεγκτών·</w:t>
      </w:r>
    </w:p>
    <w:p w14:paraId="68F8AD0A" w14:textId="77777777" w:rsidR="002F02CE" w:rsidRPr="00A14885" w:rsidRDefault="002F02CE" w:rsidP="002F02CE">
      <w:pPr>
        <w:pStyle w:val="NormalHanging12a"/>
        <w:rPr>
          <w:b/>
          <w:i/>
          <w:iCs/>
          <w:szCs w:val="24"/>
        </w:rPr>
      </w:pPr>
      <w:r w:rsidRPr="00A14885">
        <w:rPr>
          <w:b/>
          <w:i/>
        </w:rPr>
        <w:t>Κτήρια</w:t>
      </w:r>
    </w:p>
    <w:p w14:paraId="27134CB3" w14:textId="11E73CEC" w:rsidR="002F02CE" w:rsidRPr="00A14885" w:rsidRDefault="00A14885" w:rsidP="00A14885">
      <w:pPr>
        <w:pStyle w:val="NormalHanging12a"/>
        <w:ind w:hanging="570"/>
        <w:rPr>
          <w:szCs w:val="24"/>
        </w:rPr>
      </w:pPr>
      <w:r w:rsidRPr="00A14885">
        <w:rPr>
          <w:szCs w:val="24"/>
        </w:rPr>
        <w:t>58.</w:t>
      </w:r>
      <w:r w:rsidRPr="00A14885">
        <w:rPr>
          <w:szCs w:val="24"/>
        </w:rPr>
        <w:tab/>
      </w:r>
      <w:r w:rsidR="002F02CE" w:rsidRPr="00A14885">
        <w:t>σημειώνει ότι, σύμφωνα με την έκθεση του Ελεγκτικού Συνεδρίου σχετικά με τη δημοσιονομική και χρηματοοικονομική διαχείριση για το 2024, οι ανειλημμένες πιστώσεις του τρέχοντος έτους για τα κτήρια και τις συναφείς δαπάνες του Ελεγκτικού Συνεδρίου ανήλθαν σε περίπου 5,7 εκατομμύρια EUR (ποσό ίδιο με το 2023), με ποσοστό εκτέλεσης 51,30</w:t>
      </w:r>
      <w:r w:rsidR="00B66A18" w:rsidRPr="00A14885">
        <w:t> %</w:t>
      </w:r>
      <w:r w:rsidR="002F02CE" w:rsidRPr="00A14885">
        <w:t xml:space="preserve"> το 2024, έναντι 62,26</w:t>
      </w:r>
      <w:r w:rsidR="00B66A18" w:rsidRPr="00A14885">
        <w:t> %</w:t>
      </w:r>
      <w:r w:rsidR="002F02CE" w:rsidRPr="00A14885">
        <w:t xml:space="preserve"> το 2023·</w:t>
      </w:r>
    </w:p>
    <w:p w14:paraId="2A72305E" w14:textId="09BC2515" w:rsidR="002F02CE" w:rsidRPr="00A14885" w:rsidRDefault="00A14885" w:rsidP="00A14885">
      <w:pPr>
        <w:pStyle w:val="NormalHanging12a"/>
        <w:ind w:hanging="570"/>
        <w:rPr>
          <w:szCs w:val="24"/>
        </w:rPr>
      </w:pPr>
      <w:r w:rsidRPr="00A14885">
        <w:rPr>
          <w:szCs w:val="24"/>
        </w:rPr>
        <w:t>59.</w:t>
      </w:r>
      <w:r w:rsidRPr="00A14885">
        <w:rPr>
          <w:szCs w:val="24"/>
        </w:rPr>
        <w:tab/>
      </w:r>
      <w:r w:rsidR="002F02CE" w:rsidRPr="00A14885">
        <w:t>σημειώνει με ικανοποίηση ότι το Ελεγκτικό Συνέδριο δρομολόγησε νέα μελέτη σχετικά με τη σήμανση των κτηρίων το 2024 ως συνέχεια των αποτελεσμάτων του ελέγχου προσβασιμότητας όλων των κτηρίων του Ελεγκτικού Συνεδρίου που διενεργήθηκε το 2023· σημειώνει περαιτέρω ότι, σύμφωνα με το ερωτηματολόγιο, το Ελεγκτικό Συνέδριο συνέχισε τις προσπάθειες βελτίωσης των κτηρίων του λαμβάνοντας υπόψη τις απαιτήσεις προσβασιμότητας κατά τον εκσυγχρονισμό ή την ανακαίνιση ανελκυστήρων και κοινόχρηστων χώρων το 2024·</w:t>
      </w:r>
    </w:p>
    <w:p w14:paraId="79B6489B" w14:textId="75599BD5" w:rsidR="002F02CE" w:rsidRPr="00A14885" w:rsidRDefault="00A14885" w:rsidP="00A14885">
      <w:pPr>
        <w:pStyle w:val="NormalHanging12a"/>
        <w:ind w:hanging="570"/>
        <w:rPr>
          <w:szCs w:val="24"/>
        </w:rPr>
      </w:pPr>
      <w:r w:rsidRPr="00A14885">
        <w:rPr>
          <w:szCs w:val="24"/>
        </w:rPr>
        <w:t>60.</w:t>
      </w:r>
      <w:r w:rsidRPr="00A14885">
        <w:rPr>
          <w:szCs w:val="24"/>
        </w:rPr>
        <w:tab/>
      </w:r>
      <w:r w:rsidR="002F02CE" w:rsidRPr="00A14885">
        <w:t>σημειώνει τα ακόλουθα μεταξύ των κτηριακών έργων του Ελεγκτικού Συνεδρίου που ξεκίνησαν ή ολοκληρώθηκαν το 2024: τη μετατροπή της πρώην αίθουσας του κέντρου δεδομένων, την πρώτη φάση εκσυγχρονισμού του οπτικοακουστικού συστήματος στην αίθουσα συνεδριάσεων K2, την εγκατάσταση δύο κουζινών και τις εργασίες στην οροφή του κτηρίου K2·</w:t>
      </w:r>
    </w:p>
    <w:p w14:paraId="610C66EE" w14:textId="77777777" w:rsidR="002F02CE" w:rsidRPr="00A14885" w:rsidRDefault="002F02CE" w:rsidP="002F02CE">
      <w:pPr>
        <w:pStyle w:val="NormalHanging12a"/>
        <w:rPr>
          <w:b/>
          <w:i/>
          <w:iCs/>
          <w:szCs w:val="24"/>
        </w:rPr>
      </w:pPr>
      <w:r w:rsidRPr="00A14885">
        <w:rPr>
          <w:b/>
          <w:i/>
        </w:rPr>
        <w:t>Περιβάλλον και βιωσιμότητα</w:t>
      </w:r>
    </w:p>
    <w:p w14:paraId="33D5A5C8" w14:textId="69E445E0" w:rsidR="002F02CE" w:rsidRPr="00A14885" w:rsidRDefault="00A14885" w:rsidP="00A14885">
      <w:pPr>
        <w:pStyle w:val="NormalHanging12a"/>
        <w:ind w:hanging="570"/>
        <w:rPr>
          <w:szCs w:val="24"/>
        </w:rPr>
      </w:pPr>
      <w:r w:rsidRPr="00A14885">
        <w:rPr>
          <w:szCs w:val="24"/>
        </w:rPr>
        <w:t>61.</w:t>
      </w:r>
      <w:r w:rsidRPr="00A14885">
        <w:rPr>
          <w:szCs w:val="24"/>
        </w:rPr>
        <w:tab/>
      </w:r>
      <w:r w:rsidR="002F02CE" w:rsidRPr="00A14885">
        <w:t>χαιρετίζει τις συνεχιζόμενες προσπάθειες του Ελεγκτικού Συνεδρίου να καταστεί βιώσιμο θεσμικό όργανο· σημειώνει ότι το Ελεγκτικό Συνέδριο εξέδωσε το 2024 την τέταρτη έκθεσή του για τη βιωσιμότητα, η οποία μετρά τις οικονομικές, κοινωνικές και περιβαλλοντικές επιπτώσεις των δραστηριοτήτων του· σημειώνει με ικανοποίηση ότι το 91</w:t>
      </w:r>
      <w:r w:rsidR="00B66A18" w:rsidRPr="00A14885">
        <w:t> %</w:t>
      </w:r>
      <w:r w:rsidR="002F02CE" w:rsidRPr="00A14885">
        <w:t xml:space="preserve"> των ειδικών εκθέσεων και επισκοπήσεων του Ελεγκτικού Συνεδρίου που δημοσιεύθηκαν το 2024 κάλυπτε θέματα σχετικά με τους Στόχους Βιώσιμης Ανάπτυξης των Ηνωμένων Εθνών· χαιρετίζει το γεγονός ότι το 2024 το 40</w:t>
      </w:r>
      <w:r w:rsidR="00B66A18" w:rsidRPr="00A14885">
        <w:t> %</w:t>
      </w:r>
      <w:r w:rsidR="002F02CE" w:rsidRPr="00A14885">
        <w:t xml:space="preserve"> των δημόσιων συμβάσεων του Ελεγκτικού Συνεδρίου περιλάμβανε κριτήρια πράσινης και κυκλικής οικονομίας και το 98</w:t>
      </w:r>
      <w:r w:rsidR="00B66A18" w:rsidRPr="00A14885">
        <w:t> %</w:t>
      </w:r>
      <w:r w:rsidR="002F02CE" w:rsidRPr="00A14885">
        <w:t xml:space="preserve"> των αγορών αγαθών και υπηρεσιών του Ελεγκτικού Συνεδρίου προερχόταν από τοπικούς προμηθευτές·</w:t>
      </w:r>
    </w:p>
    <w:p w14:paraId="2645C406" w14:textId="3B55E94F" w:rsidR="002F02CE" w:rsidRPr="00A14885" w:rsidRDefault="00A14885" w:rsidP="00A14885">
      <w:pPr>
        <w:pStyle w:val="NormalHanging12a"/>
        <w:ind w:hanging="570"/>
        <w:rPr>
          <w:szCs w:val="24"/>
        </w:rPr>
      </w:pPr>
      <w:r w:rsidRPr="00A14885">
        <w:rPr>
          <w:szCs w:val="24"/>
        </w:rPr>
        <w:t>62.</w:t>
      </w:r>
      <w:r w:rsidRPr="00A14885">
        <w:rPr>
          <w:szCs w:val="24"/>
        </w:rPr>
        <w:tab/>
      </w:r>
      <w:r w:rsidR="002F02CE" w:rsidRPr="00A14885">
        <w:t xml:space="preserve">σημειώνει ότι το Ελεγκτικό Συνέδριο διαθέτει πιστοποίηση συστήματος οικολογικής διαχείρισης και οικολογικού ελέγχου (EMAS) και εφαρμόζει περιβαλλοντική πολιτική από το 2014, η οποία επικαιροποιήθηκε το 2025· σημειώνει ότι το Ελεγκτικό Συνέδριο μετρά το αποτύπωμα άνθρακα χρησιμοποιώντας την τελευταία έκδοση της μεθόδου </w:t>
      </w:r>
      <w:r w:rsidR="002F02CE" w:rsidRPr="00A14885">
        <w:lastRenderedPageBreak/>
        <w:t>«</w:t>
      </w:r>
      <w:proofErr w:type="spellStart"/>
      <w:r w:rsidR="002F02CE" w:rsidRPr="00A14885">
        <w:t>Bilan</w:t>
      </w:r>
      <w:proofErr w:type="spellEnd"/>
      <w:r w:rsidR="002F02CE" w:rsidRPr="00A14885">
        <w:t xml:space="preserve"> </w:t>
      </w:r>
      <w:proofErr w:type="spellStart"/>
      <w:r w:rsidR="002F02CE" w:rsidRPr="00A14885">
        <w:t>Carbon</w:t>
      </w:r>
      <w:proofErr w:type="spellEnd"/>
      <w:r w:rsidR="002F02CE" w:rsidRPr="00A14885">
        <w:t>», η οποία καλύπτει πεδία σε επιχειρησιακό (δραστηριότητες του Ελεγκτικού Συνεδρίου) και οργανωτικό (τα τρία κτήρια στο Λουξεμβούργο) επίπεδο· σημειώνει ότι οι συνολικές εκπομπές αερίων του θερμοκηπίου του Ελεγκτικού Συνεδρίου το 2024 ανήλθαν σε 9 108 τόνους CO</w:t>
      </w:r>
      <w:r w:rsidR="002F02CE" w:rsidRPr="00A14885">
        <w:rPr>
          <w:vertAlign w:val="subscript"/>
        </w:rPr>
        <w:t>2</w:t>
      </w:r>
      <w:r w:rsidR="002F02CE" w:rsidRPr="00A14885">
        <w:t>, δηλαδή σημειώθηκε μείωση κατά 15</w:t>
      </w:r>
      <w:r w:rsidR="00B66A18" w:rsidRPr="00A14885">
        <w:t> %</w:t>
      </w:r>
      <w:r w:rsidR="002F02CE" w:rsidRPr="00A14885">
        <w:t xml:space="preserve"> σε σύγκριση με τις εκπομπές του 2014, αλλά αύξηση κατά 1,60</w:t>
      </w:r>
      <w:r w:rsidR="00B66A18" w:rsidRPr="00A14885">
        <w:t> %</w:t>
      </w:r>
      <w:r w:rsidR="002F02CE" w:rsidRPr="00A14885">
        <w:t xml:space="preserve"> σε σύγκριση με τις εκπομπές του 2023· σημειώνει ότι οι αγορές αγαθών και υπηρεσιών, και οι επιβατικές μεταφορές συνέβαλαν περισσότερο στις συνολικές εκπομπές του Ελεγκτικού Συνεδρίου το 2024, ήτοι 31</w:t>
      </w:r>
      <w:r w:rsidR="00B66A18" w:rsidRPr="00A14885">
        <w:t> %</w:t>
      </w:r>
      <w:r w:rsidR="002F02CE" w:rsidRPr="00A14885">
        <w:t xml:space="preserve"> και 29</w:t>
      </w:r>
      <w:r w:rsidR="00B66A18" w:rsidRPr="00A14885">
        <w:t> %</w:t>
      </w:r>
      <w:r w:rsidR="002F02CE" w:rsidRPr="00A14885">
        <w:t>, αντίστοιχα·</w:t>
      </w:r>
    </w:p>
    <w:p w14:paraId="5D7DCFE7" w14:textId="3C5C487E" w:rsidR="002F02CE" w:rsidRPr="00A14885" w:rsidRDefault="00A14885" w:rsidP="00A14885">
      <w:pPr>
        <w:pStyle w:val="NormalHanging12a"/>
        <w:ind w:hanging="570"/>
        <w:rPr>
          <w:szCs w:val="24"/>
        </w:rPr>
      </w:pPr>
      <w:r w:rsidRPr="00A14885">
        <w:rPr>
          <w:szCs w:val="24"/>
        </w:rPr>
        <w:t>63.</w:t>
      </w:r>
      <w:r w:rsidRPr="00A14885">
        <w:rPr>
          <w:szCs w:val="24"/>
        </w:rPr>
        <w:tab/>
      </w:r>
      <w:r w:rsidR="002F02CE" w:rsidRPr="00A14885">
        <w:t>σημειώνει με ικανοποίηση την περιβαλλοντική δήλωση του Ελεγκτικού Συνεδρίου που παρουσιάζει αποτελέσματα για το 2024, συμπεριλαμβανομένων των δράσεων που έχουν ήδη αναληφθεί και εκείνων που έχουν προγραμματιστεί για εφαρμογή, οι οποίες αποσκοπούν στη μείωση των περιβαλλοντικών επιπτώσεων των δραστηριοτήτων του Ελεγκτικού Συνεδρίου και στην επίτευξη ή υπέρβαση των ετήσιων στόχων περιβαλλοντικών επιδόσεών του· σημειώνει ότι το Ελεγκτικό Συνέδριο μετρά τις περιβαλλοντικές επιδόσεις του χρησιμοποιώντας ένα σύνολο δεικτών και σημείων αναφοράς αριστείας· σημειώνει ότι το Ελεγκτικό Συνέδριο έχει θέσει ένα σύνολο γενικών και ειδικών στόχων στο πλαίσιο του περιβαλλοντικού προγράμματός του για την περίοδο 2023-2025, οι περισσότεροι από τους οποίους επιτεύχθηκαν το 2024, ιδίως όσον αφορά τη μείωση της κατανάλωσης ενέργειας του Ελεγκτικού Συνεδρίου (ηλεκτρική ενέργεια: -24</w:t>
      </w:r>
      <w:r w:rsidR="00B66A18" w:rsidRPr="00A14885">
        <w:t> %</w:t>
      </w:r>
      <w:r w:rsidR="002F02CE" w:rsidRPr="00A14885">
        <w:t>· θέρμανση: -21,80</w:t>
      </w:r>
      <w:r w:rsidR="00B66A18" w:rsidRPr="00A14885">
        <w:t> %</w:t>
      </w:r>
      <w:r w:rsidR="002F02CE" w:rsidRPr="00A14885">
        <w:t>), ατμοσφαιρικές εκπομπές (-30</w:t>
      </w:r>
      <w:r w:rsidR="00B66A18" w:rsidRPr="00A14885">
        <w:t> %</w:t>
      </w:r>
      <w:r w:rsidR="002F02CE" w:rsidRPr="00A14885">
        <w:t>) και κατανάλωση νερού (-45</w:t>
      </w:r>
      <w:r w:rsidR="00B66A18" w:rsidRPr="00A14885">
        <w:t> %</w:t>
      </w:r>
      <w:r w:rsidR="002F02CE" w:rsidRPr="00A14885">
        <w:t>), και την αύξηση του αριθμού των διαδικασιών σύναψης συμβάσεων που περιλαμβάνουν περιβαλλοντικά κριτήρια (πάνω από 30</w:t>
      </w:r>
      <w:r w:rsidR="00B66A18" w:rsidRPr="00A14885">
        <w:t> %</w:t>
      </w:r>
      <w:r w:rsidR="002F02CE" w:rsidRPr="00A14885">
        <w:t>)· σημειώνει, ωστόσο, την αντιστροφή της τάσης όσον αφορά τον αριθμό των εκτυπωμένων σελίδων (+ 9,1</w:t>
      </w:r>
      <w:r w:rsidR="00B66A18" w:rsidRPr="00A14885">
        <w:t> %</w:t>
      </w:r>
      <w:r w:rsidR="002F02CE" w:rsidRPr="00A14885">
        <w:t>) και τη μείωση της ετήσιας παραγωγής αποβλήτων (+ 27,50</w:t>
      </w:r>
      <w:r w:rsidR="00B66A18" w:rsidRPr="00A14885">
        <w:t> %</w:t>
      </w:r>
      <w:r w:rsidR="002F02CE" w:rsidRPr="00A14885">
        <w:t>)· εκτιμά τις ενέργειες του Ελεγκτικού Συνεδρίου για την αντιστάθμιση του αρνητικού αντικτύπου του στη βιοποικιλότητα· σημειώνει ότι το Ελεγκτικό Συνέδριο φιλοξενεί στις εγκαταστάσεις του διάφορες αποικίες μελισσών που παράγουν μέλι, το οποίο συλλέγεται από εθελοντές του προσωπικού, και συμμετέχει σε πρωτοβουλίες για τη φύτευση δέντρων στο Λουξεμβούργο και σε άλλες δραστηριότητες που σχετίζονται με το περιβάλλον στο πλαίσιο της συμμετοχής του Ελεγκτικού Συνεδρίου στις διοργανικές ημέρες EMAS της Ένωσης το 2024· χαιρετίζει το γεγονός ότι ο αριθμός των υπαλλήλων που χρησιμοποιούν τα κοινόχρηστα ποδήλατα της πόλης αυξήθηκε από 172 το 2023 σε 201 το 2024· χαιρετίζει τη στήριξη του Ελεγκτικού Συνεδρίου στη χρήση βιώσιμων μέσων μετακίνησης για τις διαδρομές μεταξύ κατοικίας και εργασίας, όπως η ποδηλασία, με την κάλυψη του κόστους των συνδρομών στο σύστημα κοινής χρήσης ποδηλάτων της πόλης του Λουξεμβούργου, ή τα δημόσια μέσα μεταφοράς, με μερική επιστροφή των εισιτηρίων απεριορίστων διαδρομών για το διασυνοριακό προσωπικό, με τον αριθμό του προσωπικού που επωφελείται από το εν λόγω είδος συστήματος επιστροφής εξόδων να αυξάνεται από 28 το 2023 σε 30 το 2024·</w:t>
      </w:r>
    </w:p>
    <w:p w14:paraId="3E9DB3D3" w14:textId="7C4D4BA7" w:rsidR="002F02CE" w:rsidRPr="00A14885" w:rsidRDefault="00A14885" w:rsidP="00A14885">
      <w:pPr>
        <w:pStyle w:val="NormalHanging12a"/>
        <w:ind w:hanging="570"/>
        <w:rPr>
          <w:szCs w:val="24"/>
        </w:rPr>
      </w:pPr>
      <w:r w:rsidRPr="00A14885">
        <w:rPr>
          <w:szCs w:val="24"/>
        </w:rPr>
        <w:t>64.</w:t>
      </w:r>
      <w:r w:rsidRPr="00A14885">
        <w:rPr>
          <w:szCs w:val="24"/>
        </w:rPr>
        <w:tab/>
      </w:r>
      <w:r w:rsidR="002F02CE" w:rsidRPr="00A14885">
        <w:t>υπενθυμίζει ότι, το 2023, το Ελεγκτικό Συνέδριο υπέγραψε σύμβαση με τις αρχές του Λουξεμβούργου για τη θέσπιση σχεδίου κινητικότητας· σημειώνει ότι, σύμφωνα με το ερωτηματολόγιο, το σχέδιο κινητικότητας παραδόθηκε καθυστερημένα τον Απρίλιο του 2025 και ότι τα αποτελέσματα της ανάλυσης του σχεδίου θα ληφθούν υπόψη κατά την ανάπτυξη του προγράμματος EMAS για την περίοδο 2026-2028·</w:t>
      </w:r>
    </w:p>
    <w:p w14:paraId="43087680" w14:textId="77777777" w:rsidR="002F02CE" w:rsidRPr="00A14885" w:rsidRDefault="002F02CE" w:rsidP="002F02CE">
      <w:pPr>
        <w:pStyle w:val="NormalHanging12a"/>
        <w:rPr>
          <w:b/>
          <w:i/>
          <w:iCs/>
          <w:szCs w:val="24"/>
        </w:rPr>
      </w:pPr>
      <w:r w:rsidRPr="00A14885">
        <w:rPr>
          <w:b/>
          <w:i/>
        </w:rPr>
        <w:t>Διοργανική συνεργασία</w:t>
      </w:r>
    </w:p>
    <w:p w14:paraId="36B6E5F7" w14:textId="4836E072" w:rsidR="002F02CE" w:rsidRPr="00A14885" w:rsidRDefault="00A14885" w:rsidP="00A14885">
      <w:pPr>
        <w:pStyle w:val="NormalHanging12a"/>
        <w:ind w:hanging="570"/>
        <w:rPr>
          <w:szCs w:val="24"/>
        </w:rPr>
      </w:pPr>
      <w:r w:rsidRPr="00A14885">
        <w:rPr>
          <w:szCs w:val="24"/>
        </w:rPr>
        <w:t>65.</w:t>
      </w:r>
      <w:r w:rsidRPr="00A14885">
        <w:rPr>
          <w:szCs w:val="24"/>
        </w:rPr>
        <w:tab/>
      </w:r>
      <w:r w:rsidR="002F02CE" w:rsidRPr="00A14885">
        <w:t xml:space="preserve">αναγνωρίζει ότι η διοργανική συνεργασία ενισχύει την αποδοτικότητα μέσω της χρήσης κοινών εργαλείων και υπηρεσιών, δημιουργώντας εξοικονομήσεις που επιτρέπουν την </w:t>
      </w:r>
      <w:r w:rsidR="002F02CE" w:rsidRPr="00A14885">
        <w:lastRenderedPageBreak/>
        <w:t>εσωτερική αναδιάταξη του προσωπικού, εξασφαλίζουν καλύτερες τιμές λόγω οικονομιών κλίμακας και παρέχουν πρόσβαση σε εξειδικευμένη εμπειρογνωσία εντός άλλων οργάνων της Ένωσης· παρατηρεί ότι, το 2024, το Ελεγκτικό Συνέδριο συνέχισε ή επέκτεινε τη συνεργασία του μέσω υφιστάμενων και νέων συμφωνιών επιπέδου υπηρεσιών (ΣΕΥ), μεταξύ άλλων όσον αφορά τη διαχείριση των συντάξεων, τον μετασχηματισμό των ανθρώπινων πόρων και την έκδοση των αδειών ελεύθερης διέλευσης της Ένωσης, καθώς και μέσω της συμμετοχής σε διοργανικές επιτροπές και εταιρικές σχέσεις, όπως τα κοινά χρηματοπιστωτικά συστήματα, η κυβερνοασφάλεια και ο ψηφιακός μετασχηματισμός· σημειώνει περαιτέρω ότι η εν λόγω συνεργασία έχει διευκολύνει την ανταλλαγή και την ανάπτυξη λύσεων ΤΠ, με αποτέλεσμα σημαντική εξοικονόμηση δημοσιονομικών πόρων το 2024 σε τομείς όπως η ΤΠ, η διαχείριση αποστολών και οι ανθρώπινοι πόροι, με το Ελεγκτικό Συνέδριο να χρησιμοποιεί εργαλεία που ανέπτυξε η Επιτροπή για τους ανθρώπινους πόρους, την κατάρτιση και την ηλεκτρονική μετάφραση με κόστος περίπου 500 000 EUR και τις λογιστικές υπηρεσίες SAP που φιλοξενούνται από το Ελεγκτικό Συνέδριο με κόστος περίπου 170 000 EUR· χαιρετίζει τη συνεχιζόμενη χρήση από το Ελεγκτικό Συνέδριο των υπηρεσιών κατάρτισης και πιστοποίησης της Ευρωπαϊκής Σχολής Δημόσιας Διοίκησης·</w:t>
      </w:r>
    </w:p>
    <w:p w14:paraId="21A109ED" w14:textId="71258A48" w:rsidR="002F02CE" w:rsidRPr="00A14885" w:rsidRDefault="00A14885" w:rsidP="00A14885">
      <w:pPr>
        <w:pStyle w:val="NormalHanging12a"/>
        <w:ind w:hanging="570"/>
        <w:rPr>
          <w:szCs w:val="24"/>
        </w:rPr>
      </w:pPr>
      <w:r w:rsidRPr="00A14885">
        <w:rPr>
          <w:szCs w:val="24"/>
        </w:rPr>
        <w:t>66.</w:t>
      </w:r>
      <w:r w:rsidRPr="00A14885">
        <w:rPr>
          <w:szCs w:val="24"/>
        </w:rPr>
        <w:tab/>
      </w:r>
      <w:r w:rsidR="002F02CE" w:rsidRPr="00A14885">
        <w:t>υπενθυμίζει για άλλη μια φορά ότι η αποτελεσματική συνεργασία μεταξύ του Ελεγκτικού Συνεδρίου και της Επιτροπής θα παραμείνει περιορισμένη, εκτός εάν η Επιτροπή εγκρίνει τη μεθοδολογία του Ελεγκτικού Συνεδρίου για την αξιολόγηση των ποσοστών σφάλματος, η οποία βασίζεται σε ανεξάρτητη και ολοκληρωμένη αξιολόγηση όλων των παραβιάσεων των κανόνων, σε αντίθεση με την εστίαση της Επιτροπής σε ανακτήσιμα σφάλματα·</w:t>
      </w:r>
    </w:p>
    <w:p w14:paraId="3A0690BB" w14:textId="61F4386D" w:rsidR="002F02CE" w:rsidRPr="00A14885" w:rsidRDefault="00A14885" w:rsidP="00A14885">
      <w:pPr>
        <w:pStyle w:val="NormalHanging12a"/>
        <w:ind w:hanging="570"/>
        <w:rPr>
          <w:szCs w:val="24"/>
        </w:rPr>
      </w:pPr>
      <w:r w:rsidRPr="00A14885">
        <w:rPr>
          <w:szCs w:val="24"/>
        </w:rPr>
        <w:t>67.</w:t>
      </w:r>
      <w:r w:rsidRPr="00A14885">
        <w:rPr>
          <w:szCs w:val="24"/>
        </w:rPr>
        <w:tab/>
      </w:r>
      <w:r w:rsidR="002F02CE" w:rsidRPr="00A14885">
        <w:t>εκφράζει την ικανοποίησή του για το γεγονός ότι το Ελεγκτικό Συνέδριο συνεργάζεται στενά τόσο με την OLAF όσο και με την Ευρωπαϊκή Εισαγγελία, μεταξύ άλλων με τη διοργάνωση εργαστηρίων και εκδηλώσεων ευαισθητοποίησης και με την ανταλλαγή γνώσεων και εμπειριών· χαιρετίζει τη δέσμευση του Ελεγκτικού Συνεδρίου να συνεχίσει να διαβιβάζει τυχόν εκ πρώτης όψεως τεκμηριωμένες υπόνοιες στην OLAF, στην Ευρωπαϊκή Εισαγγελία ή και στις δύο· σημειώνει ότι το Ελεγκτικό Συνέδριο, το 2024, διαβίβασε 19 υποθέσεις εικαζόμενης απάτης στην OLAF και 7 εκ των εν λόγω υποθέσεων στην Ευρωπαϊκή Εισαγγελία·</w:t>
      </w:r>
    </w:p>
    <w:p w14:paraId="28EB224A" w14:textId="0D005CC9" w:rsidR="002F02CE" w:rsidRPr="00A14885" w:rsidRDefault="00A14885" w:rsidP="00A14885">
      <w:pPr>
        <w:pStyle w:val="NormalHanging12a"/>
        <w:ind w:hanging="570"/>
        <w:rPr>
          <w:szCs w:val="24"/>
        </w:rPr>
      </w:pPr>
      <w:r w:rsidRPr="00A14885">
        <w:rPr>
          <w:szCs w:val="24"/>
        </w:rPr>
        <w:t>68.</w:t>
      </w:r>
      <w:r w:rsidRPr="00A14885">
        <w:rPr>
          <w:szCs w:val="24"/>
        </w:rPr>
        <w:tab/>
      </w:r>
      <w:r w:rsidR="002F02CE" w:rsidRPr="00A14885">
        <w:t>είναι πεπεισμένο ότι ένα ενιαίο ολοκληρωμένο σύστημα ΤΠ για την εξόρυξη δεδομένων και τη βαθμολόγηση κινδύνου θα μπορούσε να αποτελέσει πολύτιμη πηγή δεδομένων, γεγονός που θα επέτρεπε στο Ελεγκτικό Συνέδριο, την OLAF και την Ευρωπαϊκή Εισαγγελία να ενισχύσουν την προσπάθειά τους για λογιστικούς και άλλους ελέγχους· τονίζει ότι θα πρέπει να παρέχεται απεριόριστη πρόσβαση στο εν λόγω σύστημα και στα δεδομένα του χωρίς αδικαιολόγητους περιορισμούς και ότι η πρόσβαση θα επιτρέψει αμέσως τη διερεύνηση και τη χρήση περαιτέρω ψηφιακών εργαλείων και αναδυόμενων τεχνολογιών στο πλαίσιο των ελέγχων του Ελεγκτικού Συνεδρίου·</w:t>
      </w:r>
    </w:p>
    <w:p w14:paraId="5F8F27E1" w14:textId="577DB7C8" w:rsidR="002F02CE" w:rsidRPr="00A14885" w:rsidRDefault="00A14885" w:rsidP="00A14885">
      <w:pPr>
        <w:pStyle w:val="NormalHanging12a"/>
        <w:ind w:hanging="570"/>
        <w:rPr>
          <w:bCs/>
          <w:iCs/>
          <w:szCs w:val="24"/>
        </w:rPr>
      </w:pPr>
      <w:r w:rsidRPr="00A14885">
        <w:rPr>
          <w:bCs/>
          <w:iCs/>
          <w:szCs w:val="24"/>
        </w:rPr>
        <w:t>69.</w:t>
      </w:r>
      <w:r w:rsidRPr="00A14885">
        <w:rPr>
          <w:bCs/>
          <w:iCs/>
          <w:szCs w:val="24"/>
        </w:rPr>
        <w:tab/>
      </w:r>
      <w:r w:rsidR="002F02CE" w:rsidRPr="00A14885">
        <w:t xml:space="preserve">υπογραμμίζει τον σημαντικό ρόλο του Ελεγκτικού Συνεδρίου στην αρχιτεκτονική για την καταπολέμηση της απάτης· σημειώνει ότι οι έλεγχοι και οι ειδικές εκθέσεις του Ελεγκτικού Συνεδρίου εντοπίζουν συστηματικά αδυναμίες, παρατυπίες και κινδύνους, ενεργοποιώντας έτσι διορθωτικά μέτρα και μέτρα ανάκτησης από την Επιτροπή, τα κράτη μέλη και άλλους φορείς της αρχιτεκτονικής για την καταπολέμηση της απάτης· σημειώνει ότι, μέσω της εποπτικής αυτής λειτουργίας, το Ελεγκτικό Συνέδριο ενισχύει όχι μόνο τη διαφάνεια και τη λογοδοσία, αλλά και τη συνολική ικανότητα </w:t>
      </w:r>
      <w:r w:rsidR="002F02CE" w:rsidRPr="00A14885">
        <w:lastRenderedPageBreak/>
        <w:t>αποτροπής και εντοπισμού του ενωσιακού συστήματος, εξασφαλίζοντας τη χρηστή διαχείριση των δημόσιων πόρων και την προστασία τους από απάτες και καταχρήσεις·</w:t>
      </w:r>
    </w:p>
    <w:p w14:paraId="11F9C905" w14:textId="79B608D4" w:rsidR="002F02CE" w:rsidRPr="00A14885" w:rsidRDefault="00A14885" w:rsidP="00A14885">
      <w:pPr>
        <w:pStyle w:val="NormalHanging12a"/>
        <w:ind w:hanging="570"/>
        <w:rPr>
          <w:szCs w:val="24"/>
        </w:rPr>
      </w:pPr>
      <w:r w:rsidRPr="00A14885">
        <w:rPr>
          <w:szCs w:val="24"/>
        </w:rPr>
        <w:t>70.</w:t>
      </w:r>
      <w:r w:rsidRPr="00A14885">
        <w:rPr>
          <w:szCs w:val="24"/>
        </w:rPr>
        <w:tab/>
      </w:r>
      <w:r w:rsidR="002F02CE" w:rsidRPr="00A14885">
        <w:t>χαιρετίζει το άνοιγμα του Ελεγκτικού Συνεδρίου στην καθιέρωση ετήσιου διοργανικού διαλόγου μεταξύ του Ελεγκτικού Συνεδρίου, του Κοινοβουλίου, του Συμβουλίου και της Επιτροπής, όπως ζητήθηκε από το Κοινοβούλιο στα ψηφίσματά του σχετικά με την απαλλαγή·</w:t>
      </w:r>
    </w:p>
    <w:p w14:paraId="36A175F8" w14:textId="23AE8877" w:rsidR="002F02CE" w:rsidRPr="00A14885" w:rsidRDefault="00A14885" w:rsidP="00A14885">
      <w:pPr>
        <w:pStyle w:val="NormalHanging12a"/>
        <w:ind w:hanging="570"/>
        <w:rPr>
          <w:szCs w:val="24"/>
        </w:rPr>
      </w:pPr>
      <w:r w:rsidRPr="00A14885">
        <w:rPr>
          <w:szCs w:val="24"/>
        </w:rPr>
        <w:t>71.</w:t>
      </w:r>
      <w:r w:rsidRPr="00A14885">
        <w:rPr>
          <w:szCs w:val="24"/>
        </w:rPr>
        <w:tab/>
      </w:r>
      <w:r w:rsidR="002F02CE" w:rsidRPr="00A14885">
        <w:t>εκφράζει εκ νέου τη λύπη του για το γεγονός ότι, παρά τη βελτιωμένη πρόσβαση σε έγγραφα και πληροφορίες της Ευρωπαϊκής Τράπεζας Επενδύσεων (ΕΤΕπ), το Ελεγκτικό Συνέδριο δεν διαθέτει εντολή ελέγχου των πράξεων που χρηματοδοτούνται με ίδια κεφάλαια της ΕΤΕπ· ζητεί να ανατεθεί η εν λόγω εντολή στο Ελεγκτικό Συνέδριο, δεδομένης της αποστολής της ΕΤΕπ να υλοποιεί τους στόχους της Ένωσης και του αυξανόμενου ρόλου της στο οικονομικό και πολιτικό τοπίο της Ένωσης, ο οποίος υπερβαίνει τη χρήση του προϋπολογισμού της Ένωσης για τη διασφάλιση των δραστηριοτήτων της· υπενθυμίζει ότι το Ελεγκτικό Συνέδριο δήλωσε στην ειδική έκθεση αριθ. 05/2023 με τίτλο «Χρηματοδοτικό τοπίο της ΕΕ – Ανομοιογενές σύνολο που απαιτεί περαιτέρω απλούστευση και υποχρέωση λογοδοσίας» ότι θα πρέπει να θεσπιστεί εντολή δημόσιου ελέγχου για όλα τα είδη χρηματοδότησης των πολιτικών της Ένωσης·</w:t>
      </w:r>
    </w:p>
    <w:p w14:paraId="6B378AED" w14:textId="6DAD1293" w:rsidR="002F02CE" w:rsidRPr="00A14885" w:rsidRDefault="00A14885" w:rsidP="00A14885">
      <w:pPr>
        <w:pStyle w:val="NormalHanging12a"/>
        <w:ind w:hanging="570"/>
        <w:rPr>
          <w:szCs w:val="24"/>
        </w:rPr>
      </w:pPr>
      <w:r w:rsidRPr="00A14885">
        <w:rPr>
          <w:szCs w:val="24"/>
        </w:rPr>
        <w:t>72.</w:t>
      </w:r>
      <w:r w:rsidRPr="00A14885">
        <w:rPr>
          <w:szCs w:val="24"/>
        </w:rPr>
        <w:tab/>
      </w:r>
      <w:r w:rsidR="002F02CE" w:rsidRPr="00A14885">
        <w:t>χαιρετίζει το γεγονός ότι, σύμφωνα με το ερωτηματολόγιο, υπήρξε στενή συνεργασία μεταξύ του Ελεγκτικού Συνεδρίου και του Ευρωπαίου Επόπτη Προστασίας Δεδομένων (ΕΕΠΔ), κυρίως μέσω του υπευθύνου προστασίας δεδομένων του Ελεγκτικού Συνεδρίου· σημειώνει ότι η εν λόγω συνεργασία καλύπτει την ερμηνεία συγκεκριμένων διατάξεων του κανονισμού (ΕΕ) 2018/1725, τις δραστηριότητες ανταλλαγής γνώσεων και άλλες διοργανικές ανταλλαγές και συνεισφορές στον τομέα της ΤΝ· χαιρετίζει τη συμμετοχή του Ελεγκτικού Συνεδρίου στην άσκηση «</w:t>
      </w:r>
      <w:proofErr w:type="spellStart"/>
      <w:r w:rsidR="002F02CE" w:rsidRPr="00A14885">
        <w:t>Personal</w:t>
      </w:r>
      <w:proofErr w:type="spellEnd"/>
      <w:r w:rsidR="002F02CE" w:rsidRPr="00A14885">
        <w:t xml:space="preserve"> </w:t>
      </w:r>
      <w:proofErr w:type="spellStart"/>
      <w:r w:rsidR="002F02CE" w:rsidRPr="00A14885">
        <w:t>data</w:t>
      </w:r>
      <w:proofErr w:type="spellEnd"/>
      <w:r w:rsidR="002F02CE" w:rsidRPr="00A14885">
        <w:t xml:space="preserve"> </w:t>
      </w:r>
      <w:proofErr w:type="spellStart"/>
      <w:r w:rsidR="002F02CE" w:rsidRPr="00A14885">
        <w:t>Breach</w:t>
      </w:r>
      <w:proofErr w:type="spellEnd"/>
      <w:r w:rsidR="002F02CE" w:rsidRPr="00A14885">
        <w:t xml:space="preserve"> </w:t>
      </w:r>
      <w:proofErr w:type="spellStart"/>
      <w:r w:rsidR="002F02CE" w:rsidRPr="00A14885">
        <w:t>awareness</w:t>
      </w:r>
      <w:proofErr w:type="spellEnd"/>
      <w:r w:rsidR="002F02CE" w:rsidRPr="00A14885">
        <w:t xml:space="preserve"> in </w:t>
      </w:r>
      <w:proofErr w:type="spellStart"/>
      <w:r w:rsidR="002F02CE" w:rsidRPr="00A14885">
        <w:t>cybersecurity</w:t>
      </w:r>
      <w:proofErr w:type="spellEnd"/>
      <w:r w:rsidR="002F02CE" w:rsidRPr="00A14885">
        <w:t xml:space="preserve"> </w:t>
      </w:r>
      <w:proofErr w:type="spellStart"/>
      <w:r w:rsidR="002F02CE" w:rsidRPr="00A14885">
        <w:t>incident</w:t>
      </w:r>
      <w:proofErr w:type="spellEnd"/>
      <w:r w:rsidR="002F02CE" w:rsidRPr="00A14885">
        <w:t xml:space="preserve"> </w:t>
      </w:r>
      <w:proofErr w:type="spellStart"/>
      <w:r w:rsidR="002F02CE" w:rsidRPr="00A14885">
        <w:t>handling</w:t>
      </w:r>
      <w:proofErr w:type="spellEnd"/>
      <w:r w:rsidR="002F02CE" w:rsidRPr="00A14885">
        <w:t>» (Ενημέρωση σχετικά με την παραβίαση δεδομένων προσωπικού χαρακτήρα κατά τον χειρισμό περιστατικών κυβερνοασφάλειας), η οποία διοργανώθηκε από τον ΕΕΠΔ και τον ENISA και αποσκοπούσε στην ευαισθητοποίηση του προσωπικού σχετικά με τη διαχείριση παραβιάσεων δεδομένων προσωπικού χαρακτήρα·</w:t>
      </w:r>
    </w:p>
    <w:p w14:paraId="4CD98C26" w14:textId="77777777" w:rsidR="002F02CE" w:rsidRPr="00A14885" w:rsidRDefault="002F02CE" w:rsidP="002F02CE">
      <w:pPr>
        <w:pStyle w:val="NormalHanging12a"/>
        <w:rPr>
          <w:b/>
          <w:i/>
          <w:iCs/>
          <w:szCs w:val="24"/>
        </w:rPr>
      </w:pPr>
      <w:r w:rsidRPr="00A14885">
        <w:rPr>
          <w:b/>
          <w:i/>
        </w:rPr>
        <w:t>Επικοινωνία</w:t>
      </w:r>
    </w:p>
    <w:p w14:paraId="50E276EE" w14:textId="404D39BE" w:rsidR="002F02CE" w:rsidRPr="00A14885" w:rsidRDefault="00A14885" w:rsidP="00A14885">
      <w:pPr>
        <w:pStyle w:val="NormalHanging12a"/>
        <w:ind w:hanging="570"/>
        <w:rPr>
          <w:szCs w:val="24"/>
        </w:rPr>
      </w:pPr>
      <w:r w:rsidRPr="00A14885">
        <w:rPr>
          <w:szCs w:val="24"/>
        </w:rPr>
        <w:t>73.</w:t>
      </w:r>
      <w:r w:rsidRPr="00A14885">
        <w:rPr>
          <w:szCs w:val="24"/>
        </w:rPr>
        <w:tab/>
      </w:r>
      <w:r w:rsidR="002F02CE" w:rsidRPr="00A14885">
        <w:t>λαμβάνει υπό σημείωση το γεγονός ότι, το 2024, ο προϋπολογισμός που διατέθηκε για τις δραστηριότητες επικοινωνίας και προώθησης του Ελεγκτικού Συνεδρίου ανήλθε σε 225 000 EUR (όπως και το 2023), με ποσοστό χρησιμοποίησης 92,32</w:t>
      </w:r>
      <w:r w:rsidR="00B66A18" w:rsidRPr="00A14885">
        <w:t> %</w:t>
      </w:r>
      <w:r w:rsidR="002F02CE" w:rsidRPr="00A14885">
        <w:t xml:space="preserve"> (από 81,13</w:t>
      </w:r>
      <w:r w:rsidR="00B66A18" w:rsidRPr="00A14885">
        <w:t> %</w:t>
      </w:r>
      <w:r w:rsidR="002F02CE" w:rsidRPr="00A14885">
        <w:t xml:space="preserve"> το 2023)· σημειώνει ότι το μεγαλύτερο μέρος του προϋπολογισμού δαπανήθηκε για υπηρεσίες παρακολούθησης των μέσων ενημέρωσης (80 000 EUR) και για δράσεις που αφορούν τον Τύπο (18 133,91 EUR), καθώς και για δαπάνες που αφορούν τις σχέσεις με συμφεροντούχους, οι οποίες περιλάμβαναν κυρίως το κόστος μιας πλατφόρμας πληροφοριών σχετικά με τις πολιτικές (62 100 EUR), των δραστηριοτήτων επικοινωνίας (32 543,37 EUR), των μέσων κοινωνικής δικτύωσης (8 604,66 EUR) και των δημοσιεύσεων (6 346,47 EUR)·</w:t>
      </w:r>
    </w:p>
    <w:p w14:paraId="1AF95C3C" w14:textId="05B65E53" w:rsidR="002F02CE" w:rsidRPr="00A14885" w:rsidRDefault="00A14885" w:rsidP="00A14885">
      <w:pPr>
        <w:pStyle w:val="NormalHanging12a"/>
        <w:ind w:hanging="570"/>
        <w:rPr>
          <w:szCs w:val="24"/>
        </w:rPr>
      </w:pPr>
      <w:r w:rsidRPr="00A14885">
        <w:rPr>
          <w:szCs w:val="24"/>
        </w:rPr>
        <w:t>74.</w:t>
      </w:r>
      <w:r w:rsidRPr="00A14885">
        <w:rPr>
          <w:szCs w:val="24"/>
        </w:rPr>
        <w:tab/>
      </w:r>
      <w:r w:rsidR="002F02CE" w:rsidRPr="00A14885">
        <w:t xml:space="preserve">υποστηρίζει τον αυξανόμενο αντίκτυπο της στρατηγικής του Ελεγκτικού Συνεδρίου για τα μέσα ενημέρωσης, η οποία είχε ως αποτέλεσμα την καταγραφή περισσότερων από 24 000 διαδικτυακών δημοσιογραφικών άρθρων το 2024 σχετικά με τις εκθέσεις ελέγχου του και άλλες δημοσιεύσεις του Ελεγκτικού Συνεδρίου γενικότερα, </w:t>
      </w:r>
      <w:r w:rsidR="002F02CE" w:rsidRPr="00A14885">
        <w:lastRenderedPageBreak/>
        <w:t>επιβεβαιώνοντας έτσι την ανοδική τάση κάλυψης που παρατηρήθηκε τα τελευταία χρόνια (2023: 22 000· 2022</w:t>
      </w:r>
      <w:r w:rsidR="0014185B" w:rsidRPr="00A14885">
        <w:t>:</w:t>
      </w:r>
      <w:r w:rsidR="002F02CE" w:rsidRPr="00A14885">
        <w:t xml:space="preserve"> 20 000· 2021</w:t>
      </w:r>
      <w:r w:rsidR="0014185B" w:rsidRPr="00A14885">
        <w:t>:</w:t>
      </w:r>
      <w:r w:rsidR="002F02CE" w:rsidRPr="00A14885">
        <w:t xml:space="preserve"> 18 000)· σημειώνει με ικανοποίηση ότι, σύμφωνα με την έκθεση του Ελεγκτικού Συνεδρίου, σημειώθηκε αύξηση των επισκεπτών στον ιστότοπο του Ελεγκτικού Συνεδρίου, ο οποίος εγκαινιάστηκε το 2023, με 780 000 επισκέψεις το 2024 (2023: 700 000), 1 295 025 μοναδικές προβολές σελίδων και 56 440 </w:t>
      </w:r>
      <w:proofErr w:type="spellStart"/>
      <w:r w:rsidR="002F02CE" w:rsidRPr="00A14885">
        <w:t>τηλεφορτώσεις</w:t>
      </w:r>
      <w:proofErr w:type="spellEnd"/>
      <w:r w:rsidR="002F02CE" w:rsidRPr="00A14885">
        <w:t xml:space="preserve">· εκφράζει επιδοκιμασία για το γεγονός ότι, έως το τέλος του 2024, οι 4 βασικοί λογαριασμοί του Ελεγκτικού Συνεδρίου σε μέσα κοινωνικής δικτύωσης </w:t>
      </w:r>
      <w:r w:rsidR="0014185B" w:rsidRPr="00A14885">
        <w:t>(</w:t>
      </w:r>
      <w:r w:rsidR="002F02CE" w:rsidRPr="00A14885">
        <w:t xml:space="preserve">Χ, LinkedIn, Facebook και </w:t>
      </w:r>
      <w:proofErr w:type="spellStart"/>
      <w:r w:rsidR="002F02CE" w:rsidRPr="00A14885">
        <w:t>Instagram</w:t>
      </w:r>
      <w:proofErr w:type="spellEnd"/>
      <w:r w:rsidR="0014185B" w:rsidRPr="00A14885">
        <w:t>)</w:t>
      </w:r>
      <w:r w:rsidR="002F02CE" w:rsidRPr="00A14885">
        <w:t xml:space="preserve"> είχαν προσελκύσει πάνω από 61 500 ακόλουθους, αριθμός που σημαίνει αύξηση σε σχέση με τις 55 000 το 2023 και τις 49 500 το 2022· συγχαίρει το Ελεγκτικό Συνέδριο για τη δρομολόγηση του πρώτου μηνιαίου ενημερωτικού δελτίου LinkedIn (</w:t>
      </w:r>
      <w:proofErr w:type="spellStart"/>
      <w:r w:rsidR="002F02CE" w:rsidRPr="00A14885">
        <w:t>Insights</w:t>
      </w:r>
      <w:proofErr w:type="spellEnd"/>
      <w:r w:rsidR="002F02CE" w:rsidRPr="00A14885">
        <w:t xml:space="preserve"> του Ελεγκτικού Συνεδρίου) τον Νοέμβριο του 2024, το οποίο παρέχει τα κύρια σημεία των πρόσφατων εκθέσεων και προεπισκοπήσεις των επικείμενων ελέγχων και το οποίο προσέλκυσε περισσότερους από 8 500 συνδρομητές έως το τέλος του ίδιου έτους·</w:t>
      </w:r>
    </w:p>
    <w:p w14:paraId="6B54201E" w14:textId="16D50891" w:rsidR="002F02CE" w:rsidRPr="00A14885" w:rsidRDefault="00A14885" w:rsidP="00A14885">
      <w:pPr>
        <w:pStyle w:val="NormalHanging12a"/>
        <w:ind w:hanging="570"/>
        <w:rPr>
          <w:szCs w:val="24"/>
        </w:rPr>
      </w:pPr>
      <w:r w:rsidRPr="00A14885">
        <w:rPr>
          <w:szCs w:val="24"/>
        </w:rPr>
        <w:t>75.</w:t>
      </w:r>
      <w:r w:rsidRPr="00A14885">
        <w:rPr>
          <w:szCs w:val="24"/>
        </w:rPr>
        <w:tab/>
      </w:r>
      <w:r w:rsidR="002F02CE" w:rsidRPr="00A14885">
        <w:t>χαιρετίζει το γεγονός ότι το Ελεγκτικό Συνέδριο διαθέτει ψηφιακά προσβάσιμο ιστότοπο (επιπέδου A++), ο οποίος ελέγχεται δύο φορές ετησίως από εξωτερικό σύμβουλο για την αξιολόγηση της συμμόρφωσής του με τα σχετικά πρότυπα προσβασιμότητας και τον εντοπισμό εμποδίων στην προσβασιμότητα για τους χρήστες με αναπηρία· εκτιμά το γεγονός ότι, συνολικά, η εφαρμογή της προσβασιμότητας αξιολογείται ως πολύ καλή και σημειώνει ότι, ως αποτέλεσμα του ελέγχου, προτάθηκαν ορισμένες συστάσεις για τη συνέχιση της βελτίωσης και της διατήρησης της βαθμολογίας προσβασιμότητας του ιστοτόπου·</w:t>
      </w:r>
    </w:p>
    <w:p w14:paraId="15611331" w14:textId="443A978E" w:rsidR="002F02CE" w:rsidRPr="00A14885" w:rsidRDefault="00A14885" w:rsidP="00A14885">
      <w:pPr>
        <w:pStyle w:val="NormalHanging12a"/>
        <w:ind w:hanging="570"/>
        <w:rPr>
          <w:szCs w:val="24"/>
        </w:rPr>
      </w:pPr>
      <w:r w:rsidRPr="00A14885">
        <w:rPr>
          <w:szCs w:val="24"/>
        </w:rPr>
        <w:t>76.</w:t>
      </w:r>
      <w:r w:rsidRPr="00A14885">
        <w:rPr>
          <w:szCs w:val="24"/>
        </w:rPr>
        <w:tab/>
      </w:r>
      <w:r w:rsidR="002F02CE" w:rsidRPr="00A14885">
        <w:t>σημειώνει ότι το 2024 το Ελεγκτικό Συνέδριο δημοσίευσε 44 δελτία Τύπου σε 24 γλώσσες της Ένωσης, καθώς και διάφορα ενημερωτικά σημειώματα, αναγγελίες προς τα μέσα ενημέρωσης και έτοιμες προς χρήση ηχητικές δηλώσεις σε ορισμένες γλώσσες· σημειώνει επιπλέον, ότι το ίδιο έτος το Ελεγκτικό Συνέδριο διοργάνωσε 20 διαδικτυακές ενημερώσεις Τύπου και 14 επιπλέον ενημερώσεις για συγκεκριμένες χώρες σχετικά με την ετήσια έκθεση· επισημαίνει ότι, συνολικά, οι ενημερώσεις του Ελεγκτικού Συνεδρίου προσέλκυσαν 876 δημοσιογράφους, οι περισσότεροι από τους οποίους εκπροσωπούσαν μεγάλα μέσα ενημέρωσης στα κράτη μέλη·</w:t>
      </w:r>
    </w:p>
    <w:p w14:paraId="4829EEAE" w14:textId="5255E4E2" w:rsidR="002F02CE" w:rsidRPr="00A14885" w:rsidRDefault="00A14885" w:rsidP="00A14885">
      <w:pPr>
        <w:pStyle w:val="NormalHanging12a"/>
        <w:ind w:hanging="570"/>
        <w:rPr>
          <w:bCs/>
          <w:iCs/>
        </w:rPr>
      </w:pPr>
      <w:r w:rsidRPr="00A14885">
        <w:rPr>
          <w:bCs/>
          <w:iCs/>
        </w:rPr>
        <w:t>77.</w:t>
      </w:r>
      <w:r w:rsidRPr="00A14885">
        <w:rPr>
          <w:bCs/>
          <w:iCs/>
        </w:rPr>
        <w:tab/>
      </w:r>
      <w:r w:rsidR="002F02CE" w:rsidRPr="00A14885">
        <w:t>εκφράζει ικανοποίηση για την ειδική έκθεση του Ελεγκτικού Συνεδρίου 11/2025: Διαφάνεια στη χρηματοδότηση ΜΚΟ από την Ένωση· σημειώνει με ανησυχία τα προβλήματα που εντοπίζονται σε αυτήν, συμπεριλαμβανομένων των ελλείψεων όσον αφορά τη διαφάνεια, την ταξινόμηση και την εποπτεία· επισημαίνει την ανάγκη το Ελεγκτικό Συνέδριο να συνεχίσει και να ενισχύσει την παρακολούθηση και την υποβολή εκθέσεων σχετικά με τα ζητήματα αυτά, ώστε να διασφαλιστεί η πλήρης συμμόρφωση με τους δημοσιονομικούς κανόνες, τις απαιτήσεις διαφάνειας και τις θεμελιώδεις αξίες της Ένωσης·</w:t>
      </w:r>
    </w:p>
    <w:p w14:paraId="0BB665AD" w14:textId="005B86FA" w:rsidR="002F02CE" w:rsidRPr="00A14885" w:rsidRDefault="00A14885" w:rsidP="00A14885">
      <w:pPr>
        <w:pStyle w:val="NormalHanging12a"/>
        <w:ind w:hanging="570"/>
        <w:rPr>
          <w:bCs/>
          <w:iCs/>
          <w:szCs w:val="24"/>
        </w:rPr>
      </w:pPr>
      <w:r w:rsidRPr="00A14885">
        <w:rPr>
          <w:bCs/>
          <w:iCs/>
          <w:szCs w:val="24"/>
        </w:rPr>
        <w:t>78.</w:t>
      </w:r>
      <w:r w:rsidRPr="00A14885">
        <w:rPr>
          <w:bCs/>
          <w:iCs/>
          <w:szCs w:val="24"/>
        </w:rPr>
        <w:tab/>
      </w:r>
      <w:r w:rsidR="002F02CE" w:rsidRPr="00A14885">
        <w:t xml:space="preserve">ενθαρρύνει, στο πλαίσιο αυτό, το Ελεγκτικό Συνέδριο να εκπονήσει ειδική έκθεση σχετικά με την ενωσιακή χρηματοδότηση που χορηγείται σε ΜΚΟ οι οποίες δραστηριοποιούνται στο πλαίσιο της Γάζας και σε οργανώσεις που συμμετέχουν στη σύνταξη παλαιστινιακών σχολικών εγχειριδίων· υπογραμμίζει το γεγονός ότι ο έλεγχος αυτός είναι κρίσιμος ώστε να διασφαλίζεται ότι τα ενωσιακά κονδύλια δεν εκτρέπονται, άμεσα ή έμμεσα, σε τρομοκρατικές οργανώσεις ή σε συνδεόμενες με αυτές οντότητες, ούτε χρησιμοποιούνται κατά τρόπο που προωθεί το μίσος, τη ριζοσπαστικοποίηση ή την υποκίνηση βίας, και ώστε να διασφαλίζεται η πλήρης συμμόρφωση με τους δημοσιονομικούς κανόνες της Ένωσης, τα πρότυπα διαφάνειας και τις βασικές αξίες </w:t>
      </w:r>
      <w:r w:rsidR="002F02CE" w:rsidRPr="00A14885">
        <w:lastRenderedPageBreak/>
        <w:t>της Ένωσης·</w:t>
      </w:r>
    </w:p>
    <w:p w14:paraId="6F6756DE" w14:textId="1D05BE20" w:rsidR="002F02CE" w:rsidRPr="00A14885" w:rsidRDefault="00A14885" w:rsidP="00A14885">
      <w:pPr>
        <w:pStyle w:val="NormalHanging12a"/>
        <w:ind w:hanging="570"/>
        <w:rPr>
          <w:szCs w:val="24"/>
        </w:rPr>
      </w:pPr>
      <w:r w:rsidRPr="00A14885">
        <w:rPr>
          <w:szCs w:val="24"/>
        </w:rPr>
        <w:t>79.</w:t>
      </w:r>
      <w:r w:rsidRPr="00A14885">
        <w:rPr>
          <w:szCs w:val="24"/>
        </w:rPr>
        <w:tab/>
      </w:r>
      <w:r w:rsidR="002F02CE" w:rsidRPr="00A14885">
        <w:t>χαιρετίζει το γεγονός ότι, προκειμένου να αυξηθεί η συμμετοχή του κοινού, το Ελεγκτικό Συνέδριο παρέχει, από το 2024, στους πολίτες την ευκαιρία να συμβάλουν στο πρόγραμμα εργασίας του, υποβάλλοντας προτάσεις ελέγχου μέσω του ιστοτόπου του·</w:t>
      </w:r>
    </w:p>
    <w:p w14:paraId="6A7C6540" w14:textId="2380BE00" w:rsidR="0044385B" w:rsidRPr="00A14885" w:rsidRDefault="00A14885" w:rsidP="00A14885">
      <w:pPr>
        <w:pStyle w:val="NormalHanging12a"/>
        <w:ind w:hanging="570"/>
      </w:pPr>
      <w:r w:rsidRPr="00A14885">
        <w:t>80.</w:t>
      </w:r>
      <w:r w:rsidRPr="00A14885">
        <w:tab/>
      </w:r>
      <w:r w:rsidR="002F02CE" w:rsidRPr="00A14885">
        <w:t xml:space="preserve">εκφράζει επιδοκιμασία για το γεγονός ότι το Ελεγκτικό Συνέδριο αξιολογεί τον πιθανό αντίκτυπο και τη χρησιμότητα του έργου του με βάση τον τρόπο με τον οποίο αυτά γίνονται αντιληπτά από όσους διαβάζουν τις εκθέσεις του στο Ευρωπαϊκό Κοινοβούλιο, στο Συμβούλιο, στην Επιτροπή, στους οργανισμούς τις ΕΕ, στις μόνιμες αντιπροσωπείες των κρατών μελών, στους διάφορους οργανισμούς και στα ανώτατα ελεγκτικά όργανα των κρατών μελών, σε ΜΚΟ, στην πανεπιστημιακή κοινότητα, στα μέσα ενημέρωσης και αλλού· σημειώνει, στο πλαίσιο αυτό, ότι, από το 2018, το Ελεγκτικό Συνέδριο πραγματοποιεί ανωνυμοποιημένες ηλεκτρονικές έρευνες, με τις οποίες ζητά από τους αναγνώστες να του παράσχουν </w:t>
      </w:r>
      <w:proofErr w:type="spellStart"/>
      <w:r w:rsidR="002F02CE" w:rsidRPr="00A14885">
        <w:t>αναπληροφόρηση</w:t>
      </w:r>
      <w:proofErr w:type="spellEnd"/>
      <w:r w:rsidR="002F02CE" w:rsidRPr="00A14885">
        <w:t xml:space="preserve"> σχετικά με την ποιότητα επιλεγμένων εκθέσεων και να διατυπώσουν γενικές προτάσεις σχετικά με το έργο του· τονίζει ότι, το 2024, το 89</w:t>
      </w:r>
      <w:r w:rsidR="00B66A18" w:rsidRPr="00A14885">
        <w:t> %</w:t>
      </w:r>
      <w:r w:rsidR="002F02CE" w:rsidRPr="00A14885">
        <w:t xml:space="preserve"> των συμμετεχόντων έκρινε τις εκθέσεις του Ελεγκτικού Συνεδρίου χρήσιμες για τις εργασίες του, ενώ το 82</w:t>
      </w:r>
      <w:r w:rsidR="00B66A18" w:rsidRPr="00A14885">
        <w:t> %</w:t>
      </w:r>
      <w:r w:rsidR="002F02CE" w:rsidRPr="00A14885">
        <w:t xml:space="preserve"> θεώρησε τις εκθέσεις αυτές επιδραστικές· σημειώνει με ικανοποίηση ότι, το 2024, το Ελεγκτικό Συνέδριο παρουσίασε τα αποτελέσματα των εργασιών του σε 578 περιπτώσεις ενώπιον διαφόρων ενδιαφερόμενων μερών (π.χ. Κοινοβούλιο, Συμβούλιο και εθνικά κοινοβούλια), έναντι 456 το 2023 και 437 το 2022.</w:t>
      </w:r>
    </w:p>
    <w:p w14:paraId="7345C11E" w14:textId="0835922E" w:rsidR="00E365E1" w:rsidRPr="00A14885" w:rsidRDefault="00E365E1" w:rsidP="00043988"/>
    <w:sectPr w:rsidR="00E365E1" w:rsidRPr="00A14885" w:rsidSect="0044385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D7E55" w14:textId="77777777" w:rsidR="00043988" w:rsidRPr="0044385B" w:rsidRDefault="00043988">
      <w:r w:rsidRPr="0044385B">
        <w:separator/>
      </w:r>
    </w:p>
  </w:endnote>
  <w:endnote w:type="continuationSeparator" w:id="0">
    <w:p w14:paraId="04199EBF" w14:textId="77777777" w:rsidR="00043988" w:rsidRPr="0044385B" w:rsidRDefault="00043988">
      <w:r w:rsidRPr="004438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CA5C" w14:textId="77777777" w:rsidR="002F02CE" w:rsidRPr="0044385B" w:rsidRDefault="002F02CE" w:rsidP="000C5FA1">
    <w:pPr>
      <w:pStyle w:val="EPFooter"/>
    </w:pPr>
    <w:r w:rsidRPr="0044385B">
      <w:t>PE</w:t>
    </w:r>
    <w:r w:rsidRPr="0044385B">
      <w:rPr>
        <w:rStyle w:val="HideTWBExt"/>
      </w:rPr>
      <w:t>&lt;NoPE&gt;</w:t>
    </w:r>
    <w:r w:rsidRPr="0044385B">
      <w:t>778.062</w:t>
    </w:r>
    <w:r w:rsidRPr="0044385B">
      <w:rPr>
        <w:rStyle w:val="HideTWBExt"/>
      </w:rPr>
      <w:t>&lt;/NoPE&gt;&lt;Version&gt;</w:t>
    </w:r>
    <w:r w:rsidRPr="0044385B">
      <w:t>v03-00</w:t>
    </w:r>
    <w:r w:rsidRPr="0044385B">
      <w:rPr>
        <w:rStyle w:val="HideTWBExt"/>
      </w:rPr>
      <w:t>&lt;/Version&gt;</w:t>
    </w:r>
    <w:r w:rsidRPr="0044385B">
      <w:tab/>
    </w:r>
    <w:r w:rsidRPr="0044385B">
      <w:fldChar w:fldCharType="begin"/>
    </w:r>
    <w:r w:rsidRPr="0044385B">
      <w:instrText xml:space="preserve"> PAGE  \* MERGEFORMAT </w:instrText>
    </w:r>
    <w:r w:rsidRPr="0044385B">
      <w:fldChar w:fldCharType="separate"/>
    </w:r>
    <w:r w:rsidRPr="0044385B">
      <w:rPr>
        <w:noProof/>
      </w:rPr>
      <w:t>1</w:t>
    </w:r>
    <w:r w:rsidRPr="0044385B">
      <w:fldChar w:fldCharType="end"/>
    </w:r>
    <w:r w:rsidRPr="0044385B">
      <w:t>/</w:t>
    </w:r>
    <w:fldSimple w:instr=" NUMPAGES  \* MERGEFORMAT ">
      <w:r w:rsidRPr="0044385B">
        <w:rPr>
          <w:noProof/>
        </w:rPr>
        <w:t>1</w:t>
      </w:r>
    </w:fldSimple>
    <w:r w:rsidRPr="0044385B">
      <w:tab/>
    </w:r>
    <w:r w:rsidRPr="0044385B">
      <w:rPr>
        <w:rStyle w:val="HideTWBExt"/>
      </w:rPr>
      <w:t>&lt;PathFdR&gt;</w:t>
    </w:r>
    <w:r w:rsidRPr="0044385B">
      <w:t>RR\1340133EL.docx</w:t>
    </w:r>
    <w:r w:rsidRPr="0044385B">
      <w:rPr>
        <w:rStyle w:val="HideTWBExt"/>
      </w:rPr>
      <w:t>&lt;/PathFdR&gt;</w:t>
    </w:r>
  </w:p>
  <w:p w14:paraId="7D2AF898" w14:textId="77777777" w:rsidR="002F02CE" w:rsidRPr="0044385B" w:rsidRDefault="002F02CE" w:rsidP="000C5FA1">
    <w:pPr>
      <w:pStyle w:val="EPFooter2"/>
    </w:pPr>
    <w:r w:rsidRPr="0044385B">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B9B97" w14:textId="36E40D9C" w:rsidR="002F02CE" w:rsidRPr="00365680" w:rsidRDefault="002F02CE" w:rsidP="002E72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3B2D" w14:textId="77777777" w:rsidR="002F02CE" w:rsidRPr="0044385B" w:rsidRDefault="002F02CE" w:rsidP="000C5FA1">
    <w:pPr>
      <w:pStyle w:val="EPFooter"/>
    </w:pPr>
    <w:r w:rsidRPr="0044385B">
      <w:rPr>
        <w:rStyle w:val="HideTWBExt"/>
      </w:rPr>
      <w:t>&lt;PathFdR&gt;</w:t>
    </w:r>
    <w:r w:rsidRPr="0044385B">
      <w:t>RR\1340133EL.docx</w:t>
    </w:r>
    <w:r w:rsidRPr="0044385B">
      <w:rPr>
        <w:rStyle w:val="HideTWBExt"/>
      </w:rPr>
      <w:t>&lt;/PathFdR&gt;</w:t>
    </w:r>
    <w:r w:rsidRPr="0044385B">
      <w:tab/>
    </w:r>
    <w:r w:rsidRPr="0044385B">
      <w:tab/>
      <w:t>PE</w:t>
    </w:r>
    <w:r w:rsidRPr="0044385B">
      <w:rPr>
        <w:rStyle w:val="HideTWBExt"/>
      </w:rPr>
      <w:t>&lt;NoPE&gt;</w:t>
    </w:r>
    <w:r w:rsidRPr="0044385B">
      <w:t>778.062</w:t>
    </w:r>
    <w:r w:rsidRPr="0044385B">
      <w:rPr>
        <w:rStyle w:val="HideTWBExt"/>
      </w:rPr>
      <w:t>&lt;/NoPE&gt;&lt;Version&gt;</w:t>
    </w:r>
    <w:r w:rsidRPr="0044385B">
      <w:t>v03-00</w:t>
    </w:r>
    <w:r w:rsidRPr="0044385B">
      <w:rPr>
        <w:rStyle w:val="HideTWBExt"/>
      </w:rPr>
      <w:t>&lt;/Version&gt;</w:t>
    </w:r>
  </w:p>
  <w:p w14:paraId="11FBEACB" w14:textId="77777777" w:rsidR="002F02CE" w:rsidRPr="0044385B" w:rsidRDefault="002F02CE" w:rsidP="000C5FA1">
    <w:pPr>
      <w:pStyle w:val="EPFooter2"/>
    </w:pPr>
    <w:r w:rsidRPr="0044385B">
      <w:t>EL</w:t>
    </w:r>
    <w:r w:rsidRPr="0044385B">
      <w:tab/>
    </w:r>
    <w:r w:rsidRPr="0044385B">
      <w:rPr>
        <w:b w:val="0"/>
        <w:i/>
        <w:color w:val="C0C0C0"/>
        <w:sz w:val="22"/>
      </w:rPr>
      <w:t>Ενωμένη στην πολυμορφία</w:t>
    </w:r>
    <w:r w:rsidRPr="0044385B">
      <w:tab/>
      <w:t>EL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C4308" w14:textId="77777777" w:rsidR="00064002" w:rsidRPr="0044385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9681D" w14:textId="77777777" w:rsidR="00064002" w:rsidRPr="0044385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FE97" w14:textId="77777777" w:rsidR="00064002" w:rsidRPr="004438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05C67" w14:textId="77777777" w:rsidR="00043988" w:rsidRPr="0044385B" w:rsidRDefault="00043988">
      <w:r w:rsidRPr="0044385B">
        <w:separator/>
      </w:r>
    </w:p>
  </w:footnote>
  <w:footnote w:type="continuationSeparator" w:id="0">
    <w:p w14:paraId="08E3DA16" w14:textId="77777777" w:rsidR="00043988" w:rsidRPr="0044385B" w:rsidRDefault="00043988">
      <w:r w:rsidRPr="0044385B">
        <w:continuationSeparator/>
      </w:r>
    </w:p>
  </w:footnote>
  <w:footnote w:id="1">
    <w:p w14:paraId="1A32D93B" w14:textId="7D63A713" w:rsidR="002F02CE" w:rsidRPr="002E727C" w:rsidRDefault="002F02CE" w:rsidP="0044385B">
      <w:pPr>
        <w:pStyle w:val="FootnoteText"/>
        <w:ind w:left="567" w:hanging="567"/>
        <w:rPr>
          <w:sz w:val="24"/>
          <w:lang w:val="fi-FI"/>
        </w:rPr>
      </w:pPr>
      <w:r w:rsidRPr="0044385B">
        <w:rPr>
          <w:rStyle w:val="FootnoteReference"/>
          <w:sz w:val="24"/>
          <w:lang w:val="el-GR"/>
        </w:rPr>
        <w:footnoteRef/>
      </w:r>
      <w:r w:rsidR="0044385B" w:rsidRPr="002E727C">
        <w:rPr>
          <w:sz w:val="24"/>
          <w:lang w:val="fi-FI"/>
        </w:rPr>
        <w:t xml:space="preserve"> </w:t>
      </w:r>
      <w:r w:rsidR="0044385B" w:rsidRPr="002E727C">
        <w:rPr>
          <w:sz w:val="24"/>
          <w:lang w:val="fi-FI"/>
        </w:rPr>
        <w:tab/>
      </w:r>
      <w:r w:rsidRPr="0044385B">
        <w:rPr>
          <w:sz w:val="24"/>
          <w:lang w:val="el-GR"/>
        </w:rPr>
        <w:t>ΕΕ</w:t>
      </w:r>
      <w:r w:rsidRPr="002E727C">
        <w:rPr>
          <w:sz w:val="24"/>
          <w:lang w:val="fi-FI"/>
        </w:rPr>
        <w:t xml:space="preserve"> L</w:t>
      </w:r>
      <w:r w:rsidR="0014185B" w:rsidRPr="002E727C">
        <w:rPr>
          <w:sz w:val="24"/>
          <w:lang w:val="fi-FI"/>
        </w:rPr>
        <w:t>,</w:t>
      </w:r>
      <w:r w:rsidRPr="002E727C">
        <w:rPr>
          <w:sz w:val="24"/>
          <w:lang w:val="fi-FI"/>
        </w:rPr>
        <w:t xml:space="preserve"> </w:t>
      </w:r>
      <w:r w:rsidR="0091247A" w:rsidRPr="002E727C">
        <w:rPr>
          <w:sz w:val="24"/>
          <w:lang w:val="fi-FI"/>
        </w:rPr>
        <w:t>2024/</w:t>
      </w:r>
      <w:r w:rsidRPr="002E727C">
        <w:rPr>
          <w:sz w:val="24"/>
          <w:lang w:val="fi-FI"/>
        </w:rPr>
        <w:t xml:space="preserve">207, 22.2.2024, ELI: </w:t>
      </w:r>
      <w:hyperlink r:id="rId1" w:history="1">
        <w:r w:rsidRPr="002E727C">
          <w:rPr>
            <w:rStyle w:val="Hyperlink"/>
            <w:sz w:val="24"/>
            <w:lang w:val="fi-FI"/>
          </w:rPr>
          <w:t>http://data.europa.eu/eli/budget/2024/207/oj</w:t>
        </w:r>
      </w:hyperlink>
      <w:r w:rsidRPr="002E727C">
        <w:rPr>
          <w:sz w:val="24"/>
          <w:lang w:val="fi-FI"/>
        </w:rPr>
        <w:t>.</w:t>
      </w:r>
    </w:p>
  </w:footnote>
  <w:footnote w:id="2">
    <w:p w14:paraId="2BC459C4" w14:textId="7D480A9D" w:rsidR="002F02CE" w:rsidRPr="002E727C" w:rsidRDefault="002F02CE" w:rsidP="0044385B">
      <w:pPr>
        <w:pStyle w:val="FootnoteText"/>
        <w:ind w:left="567" w:hanging="567"/>
        <w:rPr>
          <w:sz w:val="24"/>
          <w:lang w:val="fi-FI"/>
        </w:rPr>
      </w:pPr>
      <w:r w:rsidRPr="0044385B">
        <w:rPr>
          <w:rStyle w:val="FootnoteReference"/>
          <w:sz w:val="24"/>
          <w:lang w:val="el-GR"/>
        </w:rPr>
        <w:footnoteRef/>
      </w:r>
      <w:r w:rsidR="0044385B" w:rsidRPr="002E727C">
        <w:rPr>
          <w:sz w:val="24"/>
          <w:lang w:val="fi-FI"/>
        </w:rPr>
        <w:t xml:space="preserve"> </w:t>
      </w:r>
      <w:r w:rsidR="0044385B" w:rsidRPr="002E727C">
        <w:rPr>
          <w:sz w:val="24"/>
          <w:lang w:val="fi-FI"/>
        </w:rPr>
        <w:tab/>
      </w:r>
      <w:r w:rsidRPr="0044385B">
        <w:rPr>
          <w:sz w:val="24"/>
          <w:lang w:val="el-GR"/>
        </w:rPr>
        <w:t>ΕΕ</w:t>
      </w:r>
      <w:r w:rsidRPr="002E727C">
        <w:rPr>
          <w:sz w:val="24"/>
          <w:lang w:val="fi-FI"/>
        </w:rPr>
        <w:t xml:space="preserve"> C, C/2025/4944, 13.10.2025, ELI: </w:t>
      </w:r>
      <w:hyperlink r:id="rId2" w:history="1">
        <w:r w:rsidRPr="002E727C">
          <w:rPr>
            <w:rStyle w:val="Hyperlink"/>
            <w:sz w:val="24"/>
            <w:lang w:val="fi-FI"/>
          </w:rPr>
          <w:t>http://data.europa.eu/eli/C/2025/4944/oj</w:t>
        </w:r>
      </w:hyperlink>
      <w:r w:rsidRPr="002E727C">
        <w:rPr>
          <w:sz w:val="24"/>
          <w:lang w:val="fi-FI"/>
        </w:rPr>
        <w:t>.</w:t>
      </w:r>
    </w:p>
  </w:footnote>
  <w:footnote w:id="3">
    <w:p w14:paraId="26B489EC" w14:textId="6403D59A" w:rsidR="002F02CE" w:rsidRPr="002E727C" w:rsidRDefault="002F02CE" w:rsidP="0044385B">
      <w:pPr>
        <w:pStyle w:val="FootnoteText"/>
        <w:ind w:left="567" w:hanging="567"/>
        <w:rPr>
          <w:sz w:val="24"/>
          <w:lang w:val="fi-FI"/>
        </w:rPr>
      </w:pPr>
      <w:r w:rsidRPr="0044385B">
        <w:rPr>
          <w:rStyle w:val="FootnoteReference"/>
          <w:sz w:val="24"/>
          <w:lang w:val="el-GR"/>
        </w:rPr>
        <w:footnoteRef/>
      </w:r>
      <w:r w:rsidR="0044385B" w:rsidRPr="002E727C">
        <w:rPr>
          <w:sz w:val="24"/>
          <w:lang w:val="fi-FI"/>
        </w:rPr>
        <w:t xml:space="preserve"> </w:t>
      </w:r>
      <w:r w:rsidR="0044385B" w:rsidRPr="002E727C">
        <w:rPr>
          <w:sz w:val="24"/>
          <w:lang w:val="fi-FI"/>
        </w:rPr>
        <w:tab/>
      </w:r>
      <w:r w:rsidRPr="0044385B">
        <w:rPr>
          <w:sz w:val="24"/>
          <w:lang w:val="el-GR"/>
        </w:rPr>
        <w:t>ΕΕ</w:t>
      </w:r>
      <w:r w:rsidRPr="002E727C">
        <w:rPr>
          <w:sz w:val="24"/>
          <w:lang w:val="fi-FI"/>
        </w:rPr>
        <w:t xml:space="preserve"> C, C/2025/5409, 8.10.2025, ELI: </w:t>
      </w:r>
      <w:hyperlink r:id="rId3" w:history="1">
        <w:r w:rsidRPr="002E727C">
          <w:rPr>
            <w:rStyle w:val="Hyperlink"/>
            <w:sz w:val="24"/>
            <w:lang w:val="fi-FI"/>
          </w:rPr>
          <w:t>http://data.europa.eu/eli/C/2025/5409/oj</w:t>
        </w:r>
      </w:hyperlink>
      <w:r w:rsidRPr="002E727C">
        <w:rPr>
          <w:sz w:val="24"/>
          <w:lang w:val="fi-FI"/>
        </w:rPr>
        <w:t>.</w:t>
      </w:r>
    </w:p>
  </w:footnote>
  <w:footnote w:id="4">
    <w:p w14:paraId="771BF4C7" w14:textId="7BE1E0F9" w:rsidR="002F02CE" w:rsidRPr="00A14885" w:rsidRDefault="002F02CE" w:rsidP="0044385B">
      <w:pPr>
        <w:pStyle w:val="FootnoteText"/>
        <w:ind w:left="567" w:hanging="567"/>
        <w:rPr>
          <w:sz w:val="24"/>
          <w:lang w:val="fi-FI"/>
        </w:rPr>
      </w:pPr>
      <w:r w:rsidRPr="0044385B">
        <w:rPr>
          <w:rStyle w:val="FootnoteReference"/>
          <w:sz w:val="24"/>
          <w:lang w:val="el-GR"/>
        </w:rPr>
        <w:footnoteRef/>
      </w:r>
      <w:r w:rsidR="0044385B" w:rsidRPr="00A14885">
        <w:rPr>
          <w:sz w:val="24"/>
          <w:lang w:val="fi-FI"/>
        </w:rPr>
        <w:t xml:space="preserve"> </w:t>
      </w:r>
      <w:r w:rsidR="0044385B" w:rsidRPr="00A14885">
        <w:rPr>
          <w:sz w:val="24"/>
          <w:lang w:val="fi-FI"/>
        </w:rPr>
        <w:tab/>
      </w:r>
      <w:r w:rsidRPr="0044385B">
        <w:rPr>
          <w:sz w:val="24"/>
          <w:lang w:val="el-GR"/>
        </w:rPr>
        <w:t>ΕΕ</w:t>
      </w:r>
      <w:r w:rsidRPr="00A14885">
        <w:rPr>
          <w:sz w:val="24"/>
          <w:lang w:val="fi-FI"/>
        </w:rPr>
        <w:t xml:space="preserve"> C, C/2025/5407</w:t>
      </w:r>
      <w:r w:rsidR="002E727C" w:rsidRPr="00A14885">
        <w:rPr>
          <w:sz w:val="24"/>
          <w:lang w:val="fi-FI"/>
        </w:rPr>
        <w:t>,</w:t>
      </w:r>
      <w:r w:rsidRPr="00A14885">
        <w:rPr>
          <w:sz w:val="24"/>
          <w:lang w:val="fi-FI"/>
        </w:rPr>
        <w:t xml:space="preserve"> 13.10.2025, ELI: </w:t>
      </w:r>
      <w:hyperlink r:id="rId4" w:history="1">
        <w:r w:rsidRPr="00A14885">
          <w:rPr>
            <w:rStyle w:val="Hyperlink"/>
            <w:sz w:val="24"/>
            <w:lang w:val="fi-FI"/>
          </w:rPr>
          <w:t>http://data.europa.eu/eli/C/2025/5407/oj</w:t>
        </w:r>
      </w:hyperlink>
      <w:r w:rsidRPr="00A14885">
        <w:rPr>
          <w:sz w:val="24"/>
          <w:lang w:val="fi-FI"/>
        </w:rPr>
        <w:t>.</w:t>
      </w:r>
    </w:p>
  </w:footnote>
  <w:footnote w:id="5">
    <w:p w14:paraId="068A7287" w14:textId="256CEBD9" w:rsidR="002F02CE" w:rsidRPr="0044385B" w:rsidRDefault="002F02CE" w:rsidP="0044385B">
      <w:pPr>
        <w:pStyle w:val="FootnoteText"/>
        <w:ind w:left="567" w:hanging="567"/>
        <w:rPr>
          <w:sz w:val="24"/>
          <w:lang w:val="el-GR"/>
        </w:rPr>
      </w:pPr>
      <w:r w:rsidRPr="0044385B">
        <w:rPr>
          <w:rStyle w:val="FootnoteReference"/>
          <w:sz w:val="24"/>
          <w:lang w:val="el-GR"/>
        </w:rPr>
        <w:footnoteRef/>
      </w:r>
      <w:r w:rsidR="0044385B" w:rsidRPr="0044385B">
        <w:rPr>
          <w:sz w:val="24"/>
          <w:lang w:val="el-GR"/>
        </w:rPr>
        <w:t xml:space="preserve"> </w:t>
      </w:r>
      <w:r w:rsidR="0044385B" w:rsidRPr="0044385B">
        <w:rPr>
          <w:sz w:val="24"/>
          <w:lang w:val="el-GR"/>
        </w:rPr>
        <w:tab/>
      </w:r>
      <w:r w:rsidRPr="0044385B">
        <w:rPr>
          <w:sz w:val="24"/>
          <w:lang w:val="el-GR"/>
        </w:rPr>
        <w:t xml:space="preserve">ΕΕ L 193 της 30.7.2018, σ. 1, ELI: </w:t>
      </w:r>
      <w:hyperlink r:id="rId5" w:history="1">
        <w:r w:rsidRPr="0044385B">
          <w:rPr>
            <w:rStyle w:val="Hyperlink"/>
            <w:sz w:val="24"/>
            <w:lang w:val="el-GR"/>
          </w:rPr>
          <w:t>http://data.europa.eu/eli/reg/2018/1046/oj</w:t>
        </w:r>
      </w:hyperlink>
      <w:r w:rsidRPr="0044385B">
        <w:rPr>
          <w:sz w:val="24"/>
          <w:lang w:val="el-GR"/>
        </w:rPr>
        <w:t>.</w:t>
      </w:r>
    </w:p>
  </w:footnote>
  <w:footnote w:id="6">
    <w:p w14:paraId="08585ED1" w14:textId="65A39362" w:rsidR="002F02CE" w:rsidRPr="002E727C" w:rsidRDefault="002F02CE" w:rsidP="0044385B">
      <w:pPr>
        <w:pStyle w:val="FootnoteText"/>
        <w:ind w:left="567" w:hanging="567"/>
        <w:rPr>
          <w:sz w:val="24"/>
          <w:lang w:val="fi-FI"/>
        </w:rPr>
      </w:pPr>
      <w:r w:rsidRPr="0044385B">
        <w:rPr>
          <w:rStyle w:val="FootnoteReference"/>
          <w:sz w:val="24"/>
          <w:lang w:val="el-GR"/>
        </w:rPr>
        <w:footnoteRef/>
      </w:r>
      <w:r w:rsidR="0044385B" w:rsidRPr="002E727C">
        <w:rPr>
          <w:sz w:val="24"/>
          <w:lang w:val="fi-FI"/>
        </w:rPr>
        <w:t xml:space="preserve"> </w:t>
      </w:r>
      <w:r w:rsidR="0044385B" w:rsidRPr="002E727C">
        <w:rPr>
          <w:sz w:val="24"/>
          <w:lang w:val="fi-FI"/>
        </w:rPr>
        <w:tab/>
      </w:r>
      <w:r w:rsidRPr="0044385B">
        <w:rPr>
          <w:sz w:val="24"/>
          <w:lang w:val="el-GR"/>
        </w:rPr>
        <w:t>ΕΕ</w:t>
      </w:r>
      <w:r w:rsidRPr="002E727C">
        <w:rPr>
          <w:sz w:val="24"/>
          <w:lang w:val="fi-FI"/>
        </w:rPr>
        <w:t xml:space="preserve"> L, 2024/2509</w:t>
      </w:r>
      <w:r w:rsidR="0014185B" w:rsidRPr="002E727C">
        <w:rPr>
          <w:sz w:val="24"/>
          <w:lang w:val="fi-FI"/>
        </w:rPr>
        <w:t>,</w:t>
      </w:r>
      <w:r w:rsidRPr="002E727C">
        <w:rPr>
          <w:sz w:val="24"/>
          <w:lang w:val="fi-FI"/>
        </w:rPr>
        <w:t xml:space="preserve"> 26.9.2024, ELI: </w:t>
      </w:r>
      <w:hyperlink r:id="rId6" w:history="1">
        <w:r w:rsidRPr="002E727C">
          <w:rPr>
            <w:rStyle w:val="Hyperlink"/>
            <w:sz w:val="24"/>
            <w:lang w:val="fi-FI"/>
          </w:rPr>
          <w:t>http://data.europa.eu/eli/reg/2024/2509/oj</w:t>
        </w:r>
      </w:hyperlink>
      <w:r w:rsidRPr="002E727C">
        <w:rPr>
          <w:sz w:val="24"/>
          <w:lang w:val="fi-FI"/>
        </w:rPr>
        <w:t>.</w:t>
      </w:r>
    </w:p>
  </w:footnote>
  <w:footnote w:id="7">
    <w:p w14:paraId="413A2D20" w14:textId="4F59FF6D" w:rsidR="002F02CE" w:rsidRPr="0044385B" w:rsidRDefault="002F02CE" w:rsidP="0044385B">
      <w:pPr>
        <w:pStyle w:val="FootnoteText"/>
        <w:ind w:left="567" w:hanging="567"/>
        <w:rPr>
          <w:sz w:val="24"/>
          <w:lang w:val="el-GR"/>
        </w:rPr>
      </w:pPr>
      <w:r w:rsidRPr="0044385B">
        <w:rPr>
          <w:rStyle w:val="FootnoteReference"/>
          <w:sz w:val="24"/>
          <w:lang w:val="el-GR"/>
        </w:rPr>
        <w:footnoteRef/>
      </w:r>
      <w:r w:rsidR="0044385B" w:rsidRPr="0044385B">
        <w:rPr>
          <w:sz w:val="24"/>
          <w:lang w:val="el-GR"/>
        </w:rPr>
        <w:t xml:space="preserve"> </w:t>
      </w:r>
      <w:r w:rsidR="0044385B" w:rsidRPr="0044385B">
        <w:rPr>
          <w:sz w:val="24"/>
          <w:lang w:val="el-GR"/>
        </w:rPr>
        <w:tab/>
      </w:r>
      <w:r w:rsidRPr="0044385B">
        <w:rPr>
          <w:sz w:val="24"/>
          <w:lang w:val="el-GR"/>
        </w:rP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w:t>
      </w:r>
      <w:r w:rsidR="0014185B">
        <w:rPr>
          <w:sz w:val="24"/>
          <w:lang w:val="el-GR"/>
        </w:rPr>
        <w:t>ΕΕ</w:t>
      </w:r>
      <w:r w:rsidRPr="0044385B">
        <w:rPr>
          <w:sz w:val="24"/>
          <w:lang w:val="el-GR"/>
        </w:rPr>
        <w:t xml:space="preserve"> L, 2023/2841, 18.12.2023, ELI: </w:t>
      </w:r>
      <w:hyperlink r:id="rId7" w:tgtFrame="_blank" w:tooltip="Πρόσβαση στο έγγραφο μέσω URI τύπου ELI." w:history="1">
        <w:r w:rsidRPr="0044385B">
          <w:rPr>
            <w:rStyle w:val="Hyperlink"/>
            <w:sz w:val="24"/>
            <w:lang w:val="el-GR"/>
          </w:rPr>
          <w:t>http://data.europa.eu/eli/reg/2023/2841/oj</w:t>
        </w:r>
      </w:hyperlink>
      <w:r w:rsidRPr="0044385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54E4" w14:textId="77777777" w:rsidR="00064002" w:rsidRPr="004438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2BA3" w14:textId="77777777" w:rsidR="00064002" w:rsidRPr="004438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C86A" w14:textId="77777777" w:rsidR="00064002" w:rsidRPr="004438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0C4660A"/>
    <w:multiLevelType w:val="hybridMultilevel"/>
    <w:tmpl w:val="FC40ACA6"/>
    <w:lvl w:ilvl="0" w:tplc="0316A65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3B216F"/>
    <w:multiLevelType w:val="hybridMultilevel"/>
    <w:tmpl w:val="C8A4CF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0293748">
    <w:abstractNumId w:val="9"/>
  </w:num>
  <w:num w:numId="2" w16cid:durableId="2006201977">
    <w:abstractNumId w:val="9"/>
  </w:num>
  <w:num w:numId="3" w16cid:durableId="800421471">
    <w:abstractNumId w:val="7"/>
  </w:num>
  <w:num w:numId="4" w16cid:durableId="1461847672">
    <w:abstractNumId w:val="7"/>
  </w:num>
  <w:num w:numId="5" w16cid:durableId="180896433">
    <w:abstractNumId w:val="6"/>
  </w:num>
  <w:num w:numId="6" w16cid:durableId="300428965">
    <w:abstractNumId w:val="6"/>
  </w:num>
  <w:num w:numId="7" w16cid:durableId="308674836">
    <w:abstractNumId w:val="5"/>
  </w:num>
  <w:num w:numId="8" w16cid:durableId="2047562105">
    <w:abstractNumId w:val="5"/>
  </w:num>
  <w:num w:numId="9" w16cid:durableId="531117497">
    <w:abstractNumId w:val="4"/>
  </w:num>
  <w:num w:numId="10" w16cid:durableId="2062553323">
    <w:abstractNumId w:val="4"/>
  </w:num>
  <w:num w:numId="11" w16cid:durableId="189493728">
    <w:abstractNumId w:val="8"/>
  </w:num>
  <w:num w:numId="12" w16cid:durableId="107160753">
    <w:abstractNumId w:val="8"/>
  </w:num>
  <w:num w:numId="13" w16cid:durableId="1415782525">
    <w:abstractNumId w:val="3"/>
  </w:num>
  <w:num w:numId="14" w16cid:durableId="401221967">
    <w:abstractNumId w:val="3"/>
  </w:num>
  <w:num w:numId="15" w16cid:durableId="1989018051">
    <w:abstractNumId w:val="2"/>
  </w:num>
  <w:num w:numId="16" w16cid:durableId="1106080242">
    <w:abstractNumId w:val="2"/>
  </w:num>
  <w:num w:numId="17" w16cid:durableId="51465611">
    <w:abstractNumId w:val="1"/>
  </w:num>
  <w:num w:numId="18" w16cid:durableId="1981880062">
    <w:abstractNumId w:val="1"/>
  </w:num>
  <w:num w:numId="19" w16cid:durableId="770123499">
    <w:abstractNumId w:val="0"/>
  </w:num>
  <w:num w:numId="20" w16cid:durableId="61951495">
    <w:abstractNumId w:val="0"/>
  </w:num>
  <w:num w:numId="21" w16cid:durableId="1585921277">
    <w:abstractNumId w:val="9"/>
  </w:num>
  <w:num w:numId="22" w16cid:durableId="2063362577">
    <w:abstractNumId w:val="7"/>
  </w:num>
  <w:num w:numId="23" w16cid:durableId="1208450325">
    <w:abstractNumId w:val="6"/>
  </w:num>
  <w:num w:numId="24" w16cid:durableId="148208867">
    <w:abstractNumId w:val="5"/>
  </w:num>
  <w:num w:numId="25" w16cid:durableId="1131097215">
    <w:abstractNumId w:val="4"/>
  </w:num>
  <w:num w:numId="26" w16cid:durableId="853424104">
    <w:abstractNumId w:val="8"/>
  </w:num>
  <w:num w:numId="27" w16cid:durableId="1631665893">
    <w:abstractNumId w:val="3"/>
  </w:num>
  <w:num w:numId="28" w16cid:durableId="35354100">
    <w:abstractNumId w:val="2"/>
  </w:num>
  <w:num w:numId="29" w16cid:durableId="196236600">
    <w:abstractNumId w:val="1"/>
  </w:num>
  <w:num w:numId="30" w16cid:durableId="1331445517">
    <w:abstractNumId w:val="0"/>
  </w:num>
  <w:num w:numId="31" w16cid:durableId="960261257">
    <w:abstractNumId w:val="9"/>
  </w:num>
  <w:num w:numId="32" w16cid:durableId="701906953">
    <w:abstractNumId w:val="7"/>
  </w:num>
  <w:num w:numId="33" w16cid:durableId="1243300402">
    <w:abstractNumId w:val="6"/>
  </w:num>
  <w:num w:numId="34" w16cid:durableId="1307658598">
    <w:abstractNumId w:val="5"/>
  </w:num>
  <w:num w:numId="35" w16cid:durableId="340010241">
    <w:abstractNumId w:val="4"/>
  </w:num>
  <w:num w:numId="36" w16cid:durableId="1906645509">
    <w:abstractNumId w:val="8"/>
  </w:num>
  <w:num w:numId="37" w16cid:durableId="1723406670">
    <w:abstractNumId w:val="3"/>
  </w:num>
  <w:num w:numId="38" w16cid:durableId="222178822">
    <w:abstractNumId w:val="2"/>
  </w:num>
  <w:num w:numId="39" w16cid:durableId="16272043">
    <w:abstractNumId w:val="1"/>
  </w:num>
  <w:num w:numId="40" w16cid:durableId="2060549459">
    <w:abstractNumId w:val="0"/>
  </w:num>
  <w:num w:numId="41" w16cid:durableId="1142700695">
    <w:abstractNumId w:val="10"/>
  </w:num>
  <w:num w:numId="42" w16cid:durableId="613560615">
    <w:abstractNumId w:val="10"/>
  </w:num>
  <w:num w:numId="43" w16cid:durableId="474445893">
    <w:abstractNumId w:val="10"/>
  </w:num>
  <w:num w:numId="44" w16cid:durableId="1462306051">
    <w:abstractNumId w:val="11"/>
  </w:num>
  <w:num w:numId="45" w16cid:durableId="1362971492">
    <w:abstractNumId w:val="13"/>
  </w:num>
  <w:num w:numId="46" w16cid:durableId="20378081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EL"/>
    <w:docVar w:name="dvnumam" w:val="0"/>
    <w:docVar w:name="dvpe" w:val="778.062"/>
    <w:docVar w:name="dvrapporteur" w:val="Εισηγητής: "/>
    <w:docVar w:name="dvtitre" w:val="Απόφαση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V – Ελεγκτικό Συνέδριο(2025/2149(DEC))"/>
  </w:docVars>
  <w:rsids>
    <w:rsidRoot w:val="00043988"/>
    <w:rsid w:val="00002272"/>
    <w:rsid w:val="00043988"/>
    <w:rsid w:val="00064002"/>
    <w:rsid w:val="000677B9"/>
    <w:rsid w:val="000831BA"/>
    <w:rsid w:val="000A42CC"/>
    <w:rsid w:val="000E7DD9"/>
    <w:rsid w:val="0010095E"/>
    <w:rsid w:val="00125B37"/>
    <w:rsid w:val="0014185B"/>
    <w:rsid w:val="00187494"/>
    <w:rsid w:val="001B613C"/>
    <w:rsid w:val="001F32AE"/>
    <w:rsid w:val="002767FF"/>
    <w:rsid w:val="002B18FE"/>
    <w:rsid w:val="002B5493"/>
    <w:rsid w:val="002E727C"/>
    <w:rsid w:val="002F02CE"/>
    <w:rsid w:val="00343214"/>
    <w:rsid w:val="00361C00"/>
    <w:rsid w:val="00365680"/>
    <w:rsid w:val="00395FA1"/>
    <w:rsid w:val="003E15D4"/>
    <w:rsid w:val="00411CCE"/>
    <w:rsid w:val="0041666E"/>
    <w:rsid w:val="00421060"/>
    <w:rsid w:val="0044385B"/>
    <w:rsid w:val="00471C19"/>
    <w:rsid w:val="004867E3"/>
    <w:rsid w:val="00494A28"/>
    <w:rsid w:val="004B326E"/>
    <w:rsid w:val="004C0004"/>
    <w:rsid w:val="004C5D52"/>
    <w:rsid w:val="004F252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47A"/>
    <w:rsid w:val="00930C23"/>
    <w:rsid w:val="0093193B"/>
    <w:rsid w:val="009509D8"/>
    <w:rsid w:val="00950B64"/>
    <w:rsid w:val="00981893"/>
    <w:rsid w:val="00A14885"/>
    <w:rsid w:val="00A1687D"/>
    <w:rsid w:val="00A43E52"/>
    <w:rsid w:val="00A4678D"/>
    <w:rsid w:val="00A778C7"/>
    <w:rsid w:val="00AB441E"/>
    <w:rsid w:val="00AB6293"/>
    <w:rsid w:val="00AE0928"/>
    <w:rsid w:val="00AF3B82"/>
    <w:rsid w:val="00B12E95"/>
    <w:rsid w:val="00B22876"/>
    <w:rsid w:val="00B51A30"/>
    <w:rsid w:val="00B558F0"/>
    <w:rsid w:val="00B66A18"/>
    <w:rsid w:val="00BA5FA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17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638DA"/>
  <w15:chartTrackingRefBased/>
  <w15:docId w15:val="{087C54B2-C2A6-4234-893A-AE9BE4422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F02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02CE"/>
    <w:pPr>
      <w:spacing w:before="480" w:after="240"/>
    </w:pPr>
  </w:style>
  <w:style w:type="paragraph" w:customStyle="1" w:styleId="PageHeading">
    <w:name w:val="PageHeading"/>
    <w:basedOn w:val="Normal"/>
    <w:rsid w:val="002F02CE"/>
    <w:pPr>
      <w:keepNext/>
      <w:spacing w:after="480"/>
      <w:jc w:val="center"/>
    </w:pPr>
    <w:rPr>
      <w:rFonts w:ascii="Arial" w:hAnsi="Arial" w:cs="Arial"/>
      <w:b/>
    </w:rPr>
  </w:style>
  <w:style w:type="paragraph" w:customStyle="1" w:styleId="NormalBold">
    <w:name w:val="NormalBold"/>
    <w:basedOn w:val="Normal"/>
    <w:rsid w:val="002F02CE"/>
    <w:rPr>
      <w:b/>
    </w:rPr>
  </w:style>
  <w:style w:type="paragraph" w:customStyle="1" w:styleId="NormalHanging12a">
    <w:name w:val="NormalHanging12a"/>
    <w:basedOn w:val="Normal"/>
    <w:link w:val="NormalHanging12aChar"/>
    <w:qFormat/>
    <w:rsid w:val="002F02CE"/>
    <w:pPr>
      <w:spacing w:after="240"/>
      <w:ind w:left="567" w:hanging="567"/>
    </w:pPr>
  </w:style>
  <w:style w:type="paragraph" w:styleId="Header">
    <w:name w:val="header"/>
    <w:basedOn w:val="Normal"/>
    <w:link w:val="HeaderChar"/>
    <w:rsid w:val="002F02CE"/>
    <w:pPr>
      <w:tabs>
        <w:tab w:val="center" w:pos="4513"/>
        <w:tab w:val="right" w:pos="9026"/>
      </w:tabs>
    </w:pPr>
  </w:style>
  <w:style w:type="character" w:customStyle="1" w:styleId="HeaderChar">
    <w:name w:val="Header Char"/>
    <w:basedOn w:val="DefaultParagraphFont"/>
    <w:link w:val="Header"/>
    <w:rsid w:val="002F02CE"/>
    <w:rPr>
      <w:sz w:val="24"/>
      <w:lang w:val="el-GR"/>
    </w:rPr>
  </w:style>
  <w:style w:type="paragraph" w:customStyle="1" w:styleId="EPFooter">
    <w:name w:val="EPFooter"/>
    <w:basedOn w:val="Normal"/>
    <w:rsid w:val="002F02CE"/>
    <w:pPr>
      <w:tabs>
        <w:tab w:val="center" w:pos="4535"/>
        <w:tab w:val="right" w:pos="9071"/>
      </w:tabs>
      <w:spacing w:before="240" w:after="240"/>
    </w:pPr>
    <w:rPr>
      <w:color w:val="010000"/>
      <w:sz w:val="22"/>
    </w:rPr>
  </w:style>
  <w:style w:type="character" w:styleId="Hyperlink">
    <w:name w:val="Hyperlink"/>
    <w:basedOn w:val="DefaultParagraphFont"/>
    <w:rsid w:val="002F02CE"/>
    <w:rPr>
      <w:color w:val="0563C1" w:themeColor="hyperlink"/>
      <w:u w:val="single"/>
    </w:rPr>
  </w:style>
  <w:style w:type="character" w:customStyle="1" w:styleId="NormalHanging12aChar">
    <w:name w:val="NormalHanging12a Char"/>
    <w:basedOn w:val="DefaultParagraphFont"/>
    <w:link w:val="NormalHanging12a"/>
    <w:locked/>
    <w:rsid w:val="002F02CE"/>
    <w:rPr>
      <w:sz w:val="24"/>
      <w:lang w:val="el-GR"/>
    </w:rPr>
  </w:style>
  <w:style w:type="paragraph" w:styleId="Revision">
    <w:name w:val="Revision"/>
    <w:hidden/>
    <w:uiPriority w:val="99"/>
    <w:semiHidden/>
    <w:rsid w:val="00B51A30"/>
    <w:rPr>
      <w:sz w:val="24"/>
      <w:lang w:val="el-GR"/>
    </w:rPr>
  </w:style>
  <w:style w:type="paragraph" w:styleId="Footer">
    <w:name w:val="footer"/>
    <w:basedOn w:val="Normal"/>
    <w:link w:val="FooterChar"/>
    <w:rsid w:val="00365680"/>
    <w:pPr>
      <w:tabs>
        <w:tab w:val="center" w:pos="4513"/>
        <w:tab w:val="right" w:pos="9026"/>
      </w:tabs>
    </w:pPr>
  </w:style>
  <w:style w:type="character" w:customStyle="1" w:styleId="FooterChar">
    <w:name w:val="Footer Char"/>
    <w:basedOn w:val="DefaultParagraphFont"/>
    <w:link w:val="Footer"/>
    <w:rsid w:val="0036568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10404</Words>
  <Characters>62357</Characters>
  <Application>Microsoft Office Word</Application>
  <DocSecurity>0</DocSecurity>
  <Lines>2598</Lines>
  <Paragraphs>742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2026-04-29T14:01:00Z</dcterms:created>
  <dcterms:modified xsi:type="dcterms:W3CDTF">2026-04-29T14:01:00Z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A10-0052/2026</vt:lpwstr>
  </property>
  <property fmtid="{D5CDD505-2E9C-101B-9397-08002B2CF9AE}" pid="4" name="&lt;Type&gt;">
    <vt:lpwstr>RR</vt:lpwstr>
  </property>
</Properties>
</file>