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44497" w14:paraId="3D268606" w14:textId="77777777" w:rsidTr="0010095E">
        <w:trPr>
          <w:trHeight w:hRule="exact" w:val="1418"/>
        </w:trPr>
        <w:tc>
          <w:tcPr>
            <w:tcW w:w="6804" w:type="dxa"/>
            <w:shd w:val="clear" w:color="auto" w:fill="auto"/>
            <w:vAlign w:val="center"/>
          </w:tcPr>
          <w:p w14:paraId="4639160E" w14:textId="77777777" w:rsidR="00751A4A" w:rsidRPr="00544497" w:rsidRDefault="00EB60FB" w:rsidP="0010095E">
            <w:pPr>
              <w:pStyle w:val="EPName"/>
            </w:pPr>
            <w:r w:rsidRPr="00544497">
              <w:t>Europski parlament</w:t>
            </w:r>
          </w:p>
          <w:p w14:paraId="170FFD37" w14:textId="77777777" w:rsidR="00751A4A" w:rsidRPr="00544497" w:rsidRDefault="005F1B17" w:rsidP="005F1B17">
            <w:pPr>
              <w:pStyle w:val="EPTerm"/>
              <w:rPr>
                <w:rStyle w:val="HideTWBExt"/>
                <w:noProof w:val="0"/>
                <w:vanish w:val="0"/>
                <w:color w:val="auto"/>
              </w:rPr>
            </w:pPr>
            <w:r w:rsidRPr="00544497">
              <w:t>2024</w:t>
            </w:r>
            <w:r w:rsidR="00817416" w:rsidRPr="00544497">
              <w:t>-202</w:t>
            </w:r>
            <w:r w:rsidRPr="00544497">
              <w:t>9</w:t>
            </w:r>
          </w:p>
        </w:tc>
        <w:tc>
          <w:tcPr>
            <w:tcW w:w="2268" w:type="dxa"/>
            <w:shd w:val="clear" w:color="auto" w:fill="auto"/>
          </w:tcPr>
          <w:p w14:paraId="5B71F08F" w14:textId="77777777" w:rsidR="00751A4A" w:rsidRPr="00544497" w:rsidRDefault="00187494" w:rsidP="0010095E">
            <w:pPr>
              <w:pStyle w:val="EPLogo"/>
            </w:pPr>
            <w:r w:rsidRPr="00544497">
              <w:rPr>
                <w:noProof/>
                <w:lang w:eastAsia="ja-JP"/>
              </w:rPr>
              <w:drawing>
                <wp:inline distT="0" distB="0" distL="0" distR="0" wp14:anchorId="2527A84D" wp14:editId="7D7052C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9F0797D" w14:textId="77777777" w:rsidR="00D058B8" w:rsidRPr="00544497" w:rsidRDefault="00D058B8" w:rsidP="004C5D52">
      <w:pPr>
        <w:pStyle w:val="LineTop"/>
      </w:pPr>
    </w:p>
    <w:p w14:paraId="697153B3" w14:textId="77777777" w:rsidR="00680577" w:rsidRPr="00544497" w:rsidRDefault="00EB60FB" w:rsidP="00680577">
      <w:pPr>
        <w:pStyle w:val="EPBodyTA1"/>
      </w:pPr>
      <w:r w:rsidRPr="00544497">
        <w:t>USVOJENI TEKSTOVI</w:t>
      </w:r>
    </w:p>
    <w:p w14:paraId="3BA4E912" w14:textId="77777777" w:rsidR="00D058B8" w:rsidRPr="00544497" w:rsidRDefault="00D058B8" w:rsidP="00D058B8">
      <w:pPr>
        <w:pStyle w:val="LineBottom"/>
      </w:pPr>
    </w:p>
    <w:p w14:paraId="408E38B9" w14:textId="2DC56E2B" w:rsidR="00EB60FB" w:rsidRPr="00544497" w:rsidRDefault="00EB60FB" w:rsidP="00EB60FB">
      <w:pPr>
        <w:pStyle w:val="ATHeading1"/>
      </w:pPr>
      <w:bookmarkStart w:id="0" w:name="TANumber"/>
      <w:r w:rsidRPr="00544497">
        <w:t>P10_TA(2026)0</w:t>
      </w:r>
      <w:r w:rsidR="00EC1694">
        <w:t>129</w:t>
      </w:r>
      <w:bookmarkEnd w:id="0"/>
    </w:p>
    <w:p w14:paraId="2B22DB3D" w14:textId="77777777" w:rsidR="00EB60FB" w:rsidRPr="00544497" w:rsidRDefault="00EB60FB" w:rsidP="00EB60FB">
      <w:pPr>
        <w:pStyle w:val="ATHeading2"/>
      </w:pPr>
      <w:bookmarkStart w:id="1" w:name="title"/>
      <w:r w:rsidRPr="00544497">
        <w:t>Razrješnica za 2024.: Opći proračun EU-a – Revizorski sud</w:t>
      </w:r>
      <w:bookmarkEnd w:id="1"/>
    </w:p>
    <w:p w14:paraId="73417851" w14:textId="77777777" w:rsidR="00EB60FB" w:rsidRPr="00544497" w:rsidRDefault="00EB60FB" w:rsidP="00EB60FB">
      <w:pPr>
        <w:rPr>
          <w:i/>
          <w:vanish/>
        </w:rPr>
      </w:pPr>
      <w:r w:rsidRPr="00544497">
        <w:rPr>
          <w:i/>
        </w:rPr>
        <w:fldChar w:fldCharType="begin"/>
      </w:r>
      <w:r w:rsidRPr="00544497">
        <w:rPr>
          <w:i/>
        </w:rPr>
        <w:instrText xml:space="preserve"> TC"(</w:instrText>
      </w:r>
      <w:bookmarkStart w:id="2" w:name="DocNumber"/>
      <w:r w:rsidRPr="00544497">
        <w:rPr>
          <w:i/>
        </w:rPr>
        <w:instrText>A10-0052/2026</w:instrText>
      </w:r>
      <w:bookmarkEnd w:id="2"/>
      <w:r w:rsidRPr="00544497">
        <w:rPr>
          <w:i/>
        </w:rPr>
        <w:instrText xml:space="preserve"> - Izvjestitelj: </w:instrText>
      </w:r>
      <w:proofErr w:type="spellStart"/>
      <w:r w:rsidRPr="00544497">
        <w:rPr>
          <w:i/>
        </w:rPr>
        <w:instrText>Pasquale</w:instrText>
      </w:r>
      <w:proofErr w:type="spellEnd"/>
      <w:r w:rsidRPr="00544497">
        <w:rPr>
          <w:i/>
        </w:rPr>
        <w:instrText xml:space="preserve"> </w:instrText>
      </w:r>
      <w:proofErr w:type="spellStart"/>
      <w:r w:rsidRPr="00544497">
        <w:rPr>
          <w:i/>
        </w:rPr>
        <w:instrText>Tridico</w:instrText>
      </w:r>
      <w:proofErr w:type="spellEnd"/>
      <w:r w:rsidRPr="00544497">
        <w:rPr>
          <w:i/>
        </w:rPr>
        <w:instrText xml:space="preserve">)"\l3 \n&gt; \* MERGEFORMAT </w:instrText>
      </w:r>
      <w:r w:rsidRPr="00544497">
        <w:rPr>
          <w:i/>
        </w:rPr>
        <w:fldChar w:fldCharType="end"/>
      </w:r>
    </w:p>
    <w:p w14:paraId="31B1AE5E" w14:textId="77777777" w:rsidR="00EB60FB" w:rsidRPr="00544497" w:rsidRDefault="00EB60FB" w:rsidP="00EB60FB">
      <w:pPr>
        <w:rPr>
          <w:vanish/>
        </w:rPr>
      </w:pPr>
      <w:bookmarkStart w:id="3" w:name="Commission"/>
      <w:r w:rsidRPr="00544497">
        <w:rPr>
          <w:vanish/>
        </w:rPr>
        <w:t>Odbor za proračunski nadzor</w:t>
      </w:r>
      <w:bookmarkEnd w:id="3"/>
    </w:p>
    <w:p w14:paraId="087B1834" w14:textId="77777777" w:rsidR="00EB60FB" w:rsidRPr="00544497" w:rsidRDefault="00EB60FB" w:rsidP="00EB60FB">
      <w:pPr>
        <w:rPr>
          <w:vanish/>
        </w:rPr>
      </w:pPr>
      <w:bookmarkStart w:id="4" w:name="PE"/>
      <w:r w:rsidRPr="00544497">
        <w:rPr>
          <w:vanish/>
        </w:rPr>
        <w:t>PE778.062</w:t>
      </w:r>
      <w:bookmarkEnd w:id="4"/>
    </w:p>
    <w:p w14:paraId="755C4460" w14:textId="48167BB1" w:rsidR="00EB60FB" w:rsidRPr="00544497" w:rsidRDefault="00544497" w:rsidP="00EB60FB">
      <w:pPr>
        <w:pStyle w:val="ATHeading3"/>
      </w:pPr>
      <w:bookmarkStart w:id="5" w:name="Sujet"/>
      <w:r>
        <w:t xml:space="preserve">1. </w:t>
      </w:r>
      <w:r w:rsidR="00EB60FB" w:rsidRPr="00544497">
        <w:t xml:space="preserve">Odluka Europskog parlamenta od </w:t>
      </w:r>
      <w:r>
        <w:t>29</w:t>
      </w:r>
      <w:r w:rsidR="00EB60FB" w:rsidRPr="00544497">
        <w:t xml:space="preserve">. </w:t>
      </w:r>
      <w:r>
        <w:t xml:space="preserve">travnja </w:t>
      </w:r>
      <w:r w:rsidR="00EB60FB" w:rsidRPr="00544497">
        <w:t>2026. o razrješnici za izvršenje općeg proračuna Europske unije za financijsku godinu 2024., dio V. – Revizorski sud</w:t>
      </w:r>
      <w:bookmarkEnd w:id="5"/>
      <w:r w:rsidR="00EB60FB" w:rsidRPr="00544497">
        <w:t xml:space="preserve"> </w:t>
      </w:r>
      <w:bookmarkStart w:id="6" w:name="References"/>
      <w:r w:rsidR="00EB60FB" w:rsidRPr="00544497">
        <w:t>(2025/2149(DEC))</w:t>
      </w:r>
      <w:bookmarkEnd w:id="6"/>
    </w:p>
    <w:p w14:paraId="3CD373AA" w14:textId="77777777" w:rsidR="005D6E83" w:rsidRPr="00544497" w:rsidRDefault="005D6E83" w:rsidP="005D6E83">
      <w:pPr>
        <w:pStyle w:val="EPComma"/>
      </w:pPr>
      <w:bookmarkStart w:id="7" w:name="TextBodyBegin"/>
      <w:bookmarkEnd w:id="7"/>
      <w:r w:rsidRPr="00544497">
        <w:rPr>
          <w:i/>
        </w:rPr>
        <w:t>Europski parlament</w:t>
      </w:r>
      <w:r w:rsidRPr="00544497">
        <w:t>,</w:t>
      </w:r>
    </w:p>
    <w:p w14:paraId="1709191A" w14:textId="77777777" w:rsidR="005D6E83" w:rsidRPr="00544497" w:rsidRDefault="005D6E83" w:rsidP="005D6E83">
      <w:pPr>
        <w:pStyle w:val="NormalHanging12a"/>
      </w:pPr>
      <w:r w:rsidRPr="00544497">
        <w:t>–</w:t>
      </w:r>
      <w:r w:rsidRPr="00544497">
        <w:tab/>
        <w:t>uzimajući u obzir opći proračun Europske unije za financijsku godinu 2024.</w:t>
      </w:r>
      <w:r w:rsidRPr="00544497">
        <w:rPr>
          <w:rStyle w:val="FootnoteReference"/>
        </w:rPr>
        <w:footnoteReference w:id="1"/>
      </w:r>
      <w:r w:rsidRPr="00544497">
        <w:t>,</w:t>
      </w:r>
    </w:p>
    <w:p w14:paraId="5314B3D7" w14:textId="77777777" w:rsidR="005D6E83" w:rsidRPr="00544497" w:rsidRDefault="005D6E83" w:rsidP="005D6E83">
      <w:pPr>
        <w:pStyle w:val="NormalHanging12a"/>
      </w:pPr>
      <w:r w:rsidRPr="00544497">
        <w:t>–</w:t>
      </w:r>
      <w:r w:rsidRPr="00544497">
        <w:tab/>
        <w:t>uzimajući u obzir konsolidiranu godišnju računovodstvenu dokumentaciju Europske unije za financijsku godinu 2024. (COM(2025)0359 – C10</w:t>
      </w:r>
      <w:r w:rsidRPr="00544497">
        <w:noBreakHyphen/>
        <w:t>0149/2025)</w:t>
      </w:r>
      <w:r w:rsidRPr="00544497">
        <w:rPr>
          <w:rStyle w:val="FootnoteReference"/>
        </w:rPr>
        <w:footnoteReference w:id="2"/>
      </w:r>
      <w:r w:rsidRPr="00544497">
        <w:t>,</w:t>
      </w:r>
    </w:p>
    <w:p w14:paraId="5C441E30" w14:textId="77777777" w:rsidR="005D6E83" w:rsidRPr="00544497" w:rsidRDefault="005D6E83" w:rsidP="005D6E83">
      <w:pPr>
        <w:pStyle w:val="NormalHanging12a"/>
      </w:pPr>
      <w:r w:rsidRPr="00544497">
        <w:t>–</w:t>
      </w:r>
      <w:r w:rsidRPr="00544497">
        <w:tab/>
        <w:t>uzimajući u obzir godišnje izvješće Revizorskog suda tijelu koje daje razrješnicu o unutarnjim revizijama provedenima tijekom 2024.,</w:t>
      </w:r>
    </w:p>
    <w:p w14:paraId="3C470489" w14:textId="77777777" w:rsidR="005D6E83" w:rsidRPr="00544497" w:rsidRDefault="005D6E83" w:rsidP="005D6E83">
      <w:pPr>
        <w:pStyle w:val="NormalHanging12a"/>
      </w:pPr>
      <w:r w:rsidRPr="00544497">
        <w:t>–</w:t>
      </w:r>
      <w:r w:rsidRPr="00544497">
        <w:tab/>
        <w:t>uzimajući u obzir godišnje izvješće Revizorskog suda o izvršenju proračuna za financijsku godinu 2024., s odgovorima institucija</w:t>
      </w:r>
      <w:r w:rsidRPr="00544497">
        <w:rPr>
          <w:rStyle w:val="FootnoteReference"/>
        </w:rPr>
        <w:footnoteReference w:id="3"/>
      </w:r>
      <w:r w:rsidRPr="00544497">
        <w:t>,</w:t>
      </w:r>
    </w:p>
    <w:p w14:paraId="0B85C13B" w14:textId="49972ADF" w:rsidR="005D6E83" w:rsidRPr="00544497" w:rsidRDefault="005D6E83" w:rsidP="005D6E83">
      <w:pPr>
        <w:pStyle w:val="NormalHanging12a"/>
      </w:pPr>
      <w:r w:rsidRPr="00544497">
        <w:t>–</w:t>
      </w:r>
      <w:r w:rsidRPr="00544497">
        <w:tab/>
        <w:t>uzimajući u obzir izjavu o jamstvu</w:t>
      </w:r>
      <w:r w:rsidRPr="00544497">
        <w:rPr>
          <w:rStyle w:val="FootnoteReference"/>
        </w:rPr>
        <w:footnoteReference w:id="4"/>
      </w:r>
      <w:r w:rsidRPr="00544497">
        <w:t xml:space="preserve"> u pogledu pouzdanosti računovodstvene dokumentacije te zakonitosti i pravilnosti temeljnih transakcija koju je u skladu s člankom 287. Ugovora o funkcioniranju Europske unije Revizorski sud podnio za financijsku godinu 2024.,</w:t>
      </w:r>
    </w:p>
    <w:p w14:paraId="2552B686" w14:textId="77777777" w:rsidR="005D6E83" w:rsidRPr="00544497" w:rsidRDefault="005D6E83" w:rsidP="005D6E83">
      <w:pPr>
        <w:pStyle w:val="NormalHanging12a"/>
      </w:pPr>
      <w:r w:rsidRPr="00544497">
        <w:t>–</w:t>
      </w:r>
      <w:r w:rsidRPr="00544497">
        <w:tab/>
        <w:t>uzimajući u obzir članak 314. stavak 10. te članke 317., 318. i 319. Ugovora o funkcioniranju Europske unije,</w:t>
      </w:r>
    </w:p>
    <w:p w14:paraId="7130EE18" w14:textId="77777777" w:rsidR="005D6E83" w:rsidRPr="00544497" w:rsidRDefault="005D6E83" w:rsidP="005D6E83">
      <w:pPr>
        <w:pStyle w:val="NormalHanging12a"/>
      </w:pPr>
      <w:r w:rsidRPr="00544497">
        <w:t>–</w:t>
      </w:r>
      <w:r w:rsidRPr="00544497">
        <w:tab/>
        <w:t xml:space="preserve">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w:t>
      </w:r>
      <w:r w:rsidRPr="00544497">
        <w:lastRenderedPageBreak/>
        <w:t>Euratom) br. 966/2012</w:t>
      </w:r>
      <w:r w:rsidRPr="00544497">
        <w:rPr>
          <w:rStyle w:val="FootnoteReference"/>
        </w:rPr>
        <w:footnoteReference w:id="5"/>
      </w:r>
      <w:r w:rsidRPr="00544497">
        <w:t>, a posebno njezine članke 59., 118., 260., 261. i 262.,</w:t>
      </w:r>
    </w:p>
    <w:p w14:paraId="7D2B107E" w14:textId="77777777" w:rsidR="005D6E83" w:rsidRPr="00544497" w:rsidRDefault="005D6E83" w:rsidP="005D6E83">
      <w:pPr>
        <w:pStyle w:val="NormalHanging12a"/>
      </w:pPr>
      <w:r w:rsidRPr="00544497">
        <w:t>–</w:t>
      </w:r>
      <w:r w:rsidRPr="00544497">
        <w:tab/>
        <w:t>uzimajući u obzir Uredbu (EU, Euratom) 2024/2509 Europskog parlamenta i Vijeća od 23. rujna 2024. o financijskim pravilima koja se primjenjuju na opći proračun Unije</w:t>
      </w:r>
      <w:r w:rsidRPr="00544497">
        <w:rPr>
          <w:rStyle w:val="FootnoteReference"/>
        </w:rPr>
        <w:footnoteReference w:id="6"/>
      </w:r>
      <w:r w:rsidRPr="00544497">
        <w:t>, a posebno njezine članke 59., 118., 266., 267. i 268.,</w:t>
      </w:r>
    </w:p>
    <w:p w14:paraId="7824A2B0" w14:textId="77777777" w:rsidR="005D6E83" w:rsidRPr="00544497" w:rsidRDefault="005D6E83" w:rsidP="005D6E83">
      <w:pPr>
        <w:pStyle w:val="NormalHanging12a"/>
      </w:pPr>
      <w:r w:rsidRPr="00544497">
        <w:t>–</w:t>
      </w:r>
      <w:r w:rsidRPr="00544497">
        <w:tab/>
        <w:t>uzimajući u obzir članak 102. Poslovnika i Prilog V. Poslovniku,</w:t>
      </w:r>
    </w:p>
    <w:p w14:paraId="30822FF3" w14:textId="77777777" w:rsidR="005D6E83" w:rsidRPr="00544497" w:rsidRDefault="005D6E83" w:rsidP="005D6E83">
      <w:pPr>
        <w:pStyle w:val="NormalHanging12a"/>
      </w:pPr>
      <w:r w:rsidRPr="00544497">
        <w:t>–</w:t>
      </w:r>
      <w:r w:rsidRPr="00544497">
        <w:tab/>
        <w:t>uzimajući u obzir izvješće Odbora za proračunski nadzor (A10</w:t>
      </w:r>
      <w:r w:rsidRPr="00544497">
        <w:noBreakHyphen/>
        <w:t>0052/2026),</w:t>
      </w:r>
    </w:p>
    <w:p w14:paraId="0D765A6B" w14:textId="77777777" w:rsidR="005D6E83" w:rsidRPr="00544497" w:rsidRDefault="005D6E83" w:rsidP="005D6E83">
      <w:pPr>
        <w:pStyle w:val="NormalHanging12a"/>
      </w:pPr>
      <w:r w:rsidRPr="00544497">
        <w:t>1.</w:t>
      </w:r>
      <w:r w:rsidRPr="00544497">
        <w:tab/>
        <w:t>daje razrješnicu glavnom tajniku Revizorskog suda za izvršenje proračuna Revizorskog suda za financijsku godinu 2024.;</w:t>
      </w:r>
    </w:p>
    <w:p w14:paraId="107765E2" w14:textId="77777777" w:rsidR="005D6E83" w:rsidRPr="00544497" w:rsidRDefault="005D6E83" w:rsidP="005D6E83">
      <w:pPr>
        <w:pStyle w:val="NormalHanging12a"/>
      </w:pPr>
      <w:r w:rsidRPr="00544497">
        <w:t>2.</w:t>
      </w:r>
      <w:r w:rsidRPr="00544497">
        <w:tab/>
        <w:t>iznosi svoje primjedbe u Rezoluciji u nastavku;</w:t>
      </w:r>
    </w:p>
    <w:p w14:paraId="4F8C4C9E" w14:textId="77777777" w:rsidR="005D6E83" w:rsidRPr="00544497" w:rsidRDefault="005D6E83" w:rsidP="005D6E83">
      <w:pPr>
        <w:pStyle w:val="NormalHanging12a"/>
      </w:pPr>
      <w:r w:rsidRPr="00544497">
        <w:t>3.</w:t>
      </w:r>
      <w:r w:rsidRPr="00544497">
        <w:tab/>
        <w:t xml:space="preserve">nalaže svojoj predsjednici da ovu Odluku i Rezoluciju, koja je njezin sastavni dio, proslijedi Vijeću, Komisiji i Revizorskom sudu te da ih da na objavu u </w:t>
      </w:r>
      <w:r w:rsidRPr="00544497">
        <w:rPr>
          <w:i/>
        </w:rPr>
        <w:t>Službenom listu Europske unije</w:t>
      </w:r>
      <w:r w:rsidRPr="00544497">
        <w:t xml:space="preserve"> (serija L).</w:t>
      </w:r>
    </w:p>
    <w:p w14:paraId="5464281B" w14:textId="77777777" w:rsidR="005D6E83" w:rsidRPr="00544497" w:rsidRDefault="005D6E83" w:rsidP="005D6E83"/>
    <w:p w14:paraId="2163846E" w14:textId="77777777" w:rsidR="005D6E83" w:rsidRPr="00544497" w:rsidRDefault="005D6E83" w:rsidP="005D6E83">
      <w:pPr>
        <w:pStyle w:val="PageHeading"/>
        <w:sectPr w:rsidR="005D6E83" w:rsidRPr="00544497" w:rsidSect="00D76903">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D394D7C" w14:textId="4B352C55" w:rsidR="005D6E83" w:rsidRPr="00544497" w:rsidRDefault="005D6E83" w:rsidP="00544497">
      <w:pPr>
        <w:pStyle w:val="PageHeading"/>
        <w:jc w:val="left"/>
        <w:rPr>
          <w:rFonts w:ascii="Times New Roman" w:hAnsi="Times New Roman" w:cs="Times New Roman"/>
        </w:rPr>
      </w:pPr>
      <w:bookmarkStart w:id="8" w:name="_Toc227316875"/>
      <w:r w:rsidRPr="00544497">
        <w:rPr>
          <w:rFonts w:ascii="Times New Roman" w:hAnsi="Times New Roman" w:cs="Times New Roman"/>
        </w:rPr>
        <w:lastRenderedPageBreak/>
        <w:t xml:space="preserve">2. </w:t>
      </w:r>
      <w:r w:rsidR="00544497">
        <w:rPr>
          <w:rFonts w:ascii="Times New Roman" w:hAnsi="Times New Roman" w:cs="Times New Roman"/>
        </w:rPr>
        <w:t>R</w:t>
      </w:r>
      <w:r w:rsidR="00544497" w:rsidRPr="00544497">
        <w:rPr>
          <w:rFonts w:ascii="Times New Roman" w:hAnsi="Times New Roman" w:cs="Times New Roman"/>
        </w:rPr>
        <w:t xml:space="preserve">ezolucija </w:t>
      </w:r>
      <w:r w:rsidR="00544497">
        <w:rPr>
          <w:rFonts w:ascii="Times New Roman" w:hAnsi="Times New Roman" w:cs="Times New Roman"/>
        </w:rPr>
        <w:t>E</w:t>
      </w:r>
      <w:r w:rsidR="00544497" w:rsidRPr="00544497">
        <w:rPr>
          <w:rFonts w:ascii="Times New Roman" w:hAnsi="Times New Roman" w:cs="Times New Roman"/>
        </w:rPr>
        <w:t>uropskog parlamenta</w:t>
      </w:r>
      <w:bookmarkEnd w:id="8"/>
      <w:r w:rsidR="00544497" w:rsidRPr="00544497">
        <w:rPr>
          <w:rFonts w:ascii="Times New Roman" w:hAnsi="Times New Roman" w:cs="Times New Roman"/>
        </w:rPr>
        <w:t xml:space="preserve"> </w:t>
      </w:r>
      <w:r w:rsidR="00544497">
        <w:rPr>
          <w:rFonts w:ascii="Times New Roman" w:hAnsi="Times New Roman" w:cs="Times New Roman"/>
        </w:rPr>
        <w:t xml:space="preserve">od 29. travnja 2026. </w:t>
      </w:r>
      <w:r w:rsidRPr="00544497">
        <w:rPr>
          <w:rFonts w:ascii="Times New Roman" w:hAnsi="Times New Roman" w:cs="Times New Roman"/>
        </w:rPr>
        <w:t>s primjedbama koje su sastavni dio Odluke o razrješnici za izvršenje općeg proračuna Europske unije za financijsku godinu 2024., dio V. – Revizorski sud</w:t>
      </w:r>
      <w:r w:rsidR="00544497" w:rsidRPr="00544497">
        <w:rPr>
          <w:rFonts w:ascii="Times New Roman" w:hAnsi="Times New Roman" w:cs="Times New Roman"/>
        </w:rPr>
        <w:t xml:space="preserve"> </w:t>
      </w:r>
      <w:r w:rsidRPr="00544497">
        <w:rPr>
          <w:rFonts w:ascii="Times New Roman" w:hAnsi="Times New Roman" w:cs="Times New Roman"/>
        </w:rPr>
        <w:t>(2025/2149(DEC))</w:t>
      </w:r>
    </w:p>
    <w:p w14:paraId="5A5E7479" w14:textId="77777777" w:rsidR="005D6E83" w:rsidRPr="00544497" w:rsidRDefault="005D6E83" w:rsidP="005D6E83">
      <w:pPr>
        <w:pStyle w:val="EPComma"/>
      </w:pPr>
      <w:r w:rsidRPr="00544497">
        <w:rPr>
          <w:i/>
        </w:rPr>
        <w:t>Europski parlament</w:t>
      </w:r>
      <w:r w:rsidRPr="00544497">
        <w:t>,</w:t>
      </w:r>
    </w:p>
    <w:p w14:paraId="74A72B68" w14:textId="77777777" w:rsidR="005D6E83" w:rsidRPr="00544497" w:rsidRDefault="005D6E83" w:rsidP="005D6E83">
      <w:pPr>
        <w:pStyle w:val="NormalHanging12a"/>
      </w:pPr>
      <w:r w:rsidRPr="00544497">
        <w:t>–</w:t>
      </w:r>
      <w:r w:rsidRPr="00544497">
        <w:tab/>
        <w:t>uzimajući u obzir svoju Odluku o razrješnici za izvršenje općeg proračuna Europske unije za financijsku godinu 2024., dio V. – Revizorski sud,</w:t>
      </w:r>
    </w:p>
    <w:p w14:paraId="4C3932BC" w14:textId="77777777" w:rsidR="005D6E83" w:rsidRPr="00544497" w:rsidRDefault="005D6E83" w:rsidP="005D6E83">
      <w:pPr>
        <w:pStyle w:val="NormalHanging12a"/>
      </w:pPr>
      <w:r w:rsidRPr="00544497">
        <w:t>–</w:t>
      </w:r>
      <w:r w:rsidRPr="00544497">
        <w:tab/>
        <w:t>uzimajući u obzir članak 102. Poslovnika i Prilog V. Poslovniku,</w:t>
      </w:r>
    </w:p>
    <w:p w14:paraId="495C3D2C" w14:textId="77777777" w:rsidR="005D6E83" w:rsidRPr="00544497" w:rsidRDefault="005D6E83" w:rsidP="005D6E83">
      <w:pPr>
        <w:pStyle w:val="NormalHanging12a"/>
      </w:pPr>
      <w:r w:rsidRPr="00544497">
        <w:t>–</w:t>
      </w:r>
      <w:r w:rsidRPr="00544497">
        <w:tab/>
        <w:t>uzimajući u obzir izvješće Odbora za proračunski nadzor (A10</w:t>
      </w:r>
      <w:r w:rsidRPr="00544497">
        <w:noBreakHyphen/>
        <w:t>0052/2026),</w:t>
      </w:r>
    </w:p>
    <w:p w14:paraId="72A3A9E2" w14:textId="77777777" w:rsidR="005D6E83" w:rsidRPr="00544497" w:rsidRDefault="005D6E83" w:rsidP="005D6E83">
      <w:pPr>
        <w:pStyle w:val="NormalHanging12a"/>
        <w:ind w:left="570"/>
        <w:rPr>
          <w:szCs w:val="24"/>
        </w:rPr>
      </w:pPr>
      <w:r w:rsidRPr="00544497">
        <w:t>A.</w:t>
      </w:r>
      <w:r w:rsidRPr="00544497">
        <w:tab/>
        <w:t>budući da u okviru postupka davanja razrješnice tijelo nadležno za davanje razrješnice želi istaknuti da je posebno važno nastaviti jačati demokratski legitimitet institucija Unije s pomoću veće transparentnosti i odgovornosti te provedbom koncepta izrade proračuna utemeljenog na uspješnosti i dobrom upravljanju ljudskim resursima;</w:t>
      </w:r>
    </w:p>
    <w:p w14:paraId="0BB92855" w14:textId="77777777" w:rsidR="005D6E83" w:rsidRPr="00544497" w:rsidRDefault="005D6E83" w:rsidP="005D6E83">
      <w:pPr>
        <w:pStyle w:val="NormalHanging12a"/>
        <w:rPr>
          <w:szCs w:val="24"/>
        </w:rPr>
      </w:pPr>
      <w:r w:rsidRPr="00544497">
        <w:t>B.</w:t>
      </w:r>
      <w:r w:rsidRPr="00544497">
        <w:tab/>
        <w:t>budući da je Europski revizorski sud („Revizorski sud”) vanjski revizor Unije kojemu je povjereno da kroz neovisan, stručan i učinkovit revizijski rad procijeni ekonomičnost, djelotvornost, učinkovitost, zakonitost i pravilnost djelovanja Unije s ciljem poboljšanja odgovornosti, transparentnosti i financijskog upravljanja, čime se jača povjerenje građana i djelotvorno odgovara na trenutačne i buduće izazove s kojima se Unija suočava;</w:t>
      </w:r>
    </w:p>
    <w:p w14:paraId="594D07A4" w14:textId="77777777" w:rsidR="005D6E83" w:rsidRPr="00544497" w:rsidRDefault="005D6E83" w:rsidP="005D6E83">
      <w:pPr>
        <w:pStyle w:val="NormalHanging12a"/>
        <w:rPr>
          <w:szCs w:val="24"/>
        </w:rPr>
      </w:pPr>
      <w:r w:rsidRPr="00544497">
        <w:t>C.</w:t>
      </w:r>
      <w:r w:rsidRPr="00544497">
        <w:tab/>
        <w:t xml:space="preserve">budući da, ne dovodeći u pitanje članke 287. i 319. Ugovora o funkcioniranju Europske unije (UFEU), od zaključenja financijske godine 1987. neovisni vanjski revizor svake godine obavlja reviziju računovodstvene dokumentacije o prihodima i rashodima Revizorskog suda, i da se od izvješća za financijsku godinu 1992. izvješća vanjskog revizora objavljuju u </w:t>
      </w:r>
      <w:r w:rsidRPr="00544497">
        <w:rPr>
          <w:i/>
          <w:iCs/>
        </w:rPr>
        <w:t>Službenom listu Europske unije</w:t>
      </w:r>
      <w:r w:rsidRPr="00544497">
        <w:t>;</w:t>
      </w:r>
    </w:p>
    <w:p w14:paraId="7B2AF258" w14:textId="77777777" w:rsidR="005D6E83" w:rsidRPr="00544497" w:rsidRDefault="005D6E83" w:rsidP="005D6E83">
      <w:pPr>
        <w:pStyle w:val="NormalHanging12a"/>
        <w:rPr>
          <w:szCs w:val="24"/>
        </w:rPr>
      </w:pPr>
      <w:r w:rsidRPr="00544497">
        <w:t>D.</w:t>
      </w:r>
      <w:r w:rsidRPr="00544497">
        <w:tab/>
        <w:t>budući da Revizorski sud za svoje upravljanje odgovara proračunskim tijelima podnošenjem godišnjeg izvješća svojeg glavnog tajnika o radu, čija je svrha u skladu s člankom 74. stavkom 9. Financijske uredbe pružiti informacije o upravljanju resursima, uključujući sustave, te o učinkovitosti i djelotvornosti sustava unutarnje kontrole Revizorskog suda;</w:t>
      </w:r>
    </w:p>
    <w:p w14:paraId="39A01D05" w14:textId="77777777" w:rsidR="005D6E83" w:rsidRPr="00544497" w:rsidRDefault="005D6E83" w:rsidP="005D6E83">
      <w:pPr>
        <w:pStyle w:val="NormalHanging12a"/>
        <w:rPr>
          <w:szCs w:val="24"/>
        </w:rPr>
      </w:pPr>
      <w:r w:rsidRPr="00544497">
        <w:t>E.</w:t>
      </w:r>
      <w:r w:rsidRPr="00544497">
        <w:tab/>
        <w:t>budući da Revizorski sud transparentnim i neovisnim obavljanjem svojih zadaća doprinosi demokratskom nadzoru, javnoj raspravi i dobrom financijskom upravljanju Unije;</w:t>
      </w:r>
    </w:p>
    <w:p w14:paraId="4E8616D1" w14:textId="77777777" w:rsidR="005D6E83" w:rsidRPr="00544497" w:rsidRDefault="005D6E83" w:rsidP="005D6E83">
      <w:pPr>
        <w:pStyle w:val="NormalHanging12a"/>
        <w:rPr>
          <w:szCs w:val="24"/>
        </w:rPr>
      </w:pPr>
      <w:r w:rsidRPr="00544497">
        <w:t>F.</w:t>
      </w:r>
      <w:r w:rsidRPr="00544497">
        <w:tab/>
        <w:t>budući da je Revizorski sud zauzeo stajalište prema kojem bi za procjenu upravljanja Unijom, njezine odgovornosti i transparentnosti te kvalitete i pouzdanosti dostavljenih informacija i podataka o provedbi politika Unije bilo najbolje da Revizorski sud bude ovlašten za reviziju svih institucija, tijela, ureda i agencija Unije osnovanih Ugovorima ili na temelju njih te svih međuvladinih struktura od ključne važnosti za funkcioniranje Unije; budući da Parlament snažno podupire Revizorski sud i pozdravio bi inicijative kojima bi se ojačala sposobnost Revizorskog suda da ispunjava svoj mandat;</w:t>
      </w:r>
    </w:p>
    <w:p w14:paraId="09262D24" w14:textId="77777777" w:rsidR="005D6E83" w:rsidRPr="00544497" w:rsidRDefault="005D6E83" w:rsidP="005D6E83">
      <w:pPr>
        <w:pStyle w:val="NormalHanging12a"/>
        <w:rPr>
          <w:szCs w:val="24"/>
        </w:rPr>
      </w:pPr>
      <w:r w:rsidRPr="00544497">
        <w:t>1.</w:t>
      </w:r>
      <w:r w:rsidRPr="00544497">
        <w:tab/>
        <w:t xml:space="preserve">napominje da je proračun Revizorskog suda obuhvaćen naslovom 7. VFO-a „Europska javna uprava”, koji je 2024. iznosio 13,3 milijarde EUR (što čini 6,9 % ukupnog </w:t>
      </w:r>
      <w:r w:rsidRPr="00544497">
        <w:lastRenderedPageBreak/>
        <w:t>proračuna Unije); napominje da proračun Revizorskog suda od približno 0,2 milijarde EUR predstavlja približno 1,5 % ukupnih administrativnih rashoda Unije;</w:t>
      </w:r>
    </w:p>
    <w:p w14:paraId="189E700F" w14:textId="77777777" w:rsidR="005D6E83" w:rsidRPr="00544497" w:rsidRDefault="005D6E83" w:rsidP="005D6E83">
      <w:pPr>
        <w:pStyle w:val="NormalHanging12a"/>
        <w:rPr>
          <w:szCs w:val="24"/>
        </w:rPr>
      </w:pPr>
      <w:r w:rsidRPr="00544497">
        <w:t>2.</w:t>
      </w:r>
      <w:r w:rsidRPr="00544497">
        <w:tab/>
        <w:t xml:space="preserve">napominje da je Revizorski sud u svojem godišnjem izvješću za financijsku godinu 2024. („izvješće Revizorskog suda”) ispitao uzorak od 70 transakcija pod naslovom „Administracija”, što je isti broj kao za 2023.; napominje da Revizorski sud nadalje navodi da administrativni rashodi obuhvaćaju rashode za ljudske resurse, uključujući rashode za mirovine, koji su 2024. činili otprilike 69 % ukupnih administrativnih rashoda, te rashode za zgrade, opremu, energiju, komunikacije i informacijsku tehnologiju te da njegov dugogodišnji rad upućuje na to da su ti rashodi općenito </w:t>
      </w:r>
      <w:proofErr w:type="spellStart"/>
      <w:r w:rsidRPr="00544497">
        <w:t>niskorizični</w:t>
      </w:r>
      <w:proofErr w:type="spellEnd"/>
      <w:r w:rsidRPr="00544497">
        <w:t>;</w:t>
      </w:r>
    </w:p>
    <w:p w14:paraId="113DA8D9" w14:textId="77777777" w:rsidR="005D6E83" w:rsidRPr="00544497" w:rsidRDefault="005D6E83" w:rsidP="005D6E83">
      <w:pPr>
        <w:pStyle w:val="NormalHanging12a"/>
        <w:rPr>
          <w:szCs w:val="24"/>
        </w:rPr>
      </w:pPr>
      <w:r w:rsidRPr="00544497">
        <w:t>3.</w:t>
      </w:r>
      <w:r w:rsidRPr="00544497">
        <w:tab/>
        <w:t>napominje da je 16 (23 %) od 70 transakcija sadržavalo pogreške, ali da Revizorski sud, na temelju tri kvantificirane pogreške, procjenjuje da je stopa pogreške ispod praga značajnosti;</w:t>
      </w:r>
    </w:p>
    <w:p w14:paraId="0583458F" w14:textId="77777777" w:rsidR="005D6E83" w:rsidRPr="00544497" w:rsidRDefault="005D6E83" w:rsidP="005D6E83">
      <w:pPr>
        <w:pStyle w:val="NormalHanging12a"/>
        <w:rPr>
          <w:szCs w:val="24"/>
        </w:rPr>
      </w:pPr>
      <w:r w:rsidRPr="00544497">
        <w:t>4.</w:t>
      </w:r>
      <w:r w:rsidRPr="00544497">
        <w:tab/>
        <w:t>napominje da financijske izvještaje Revizorskog suda revidira neovisni vanjski revizor kako bi se osigurala ista načela transparentnosti, odgovornosti i neovisnosti koja Revizorski sud primjenjuje na subjekte svojih revizija;</w:t>
      </w:r>
    </w:p>
    <w:p w14:paraId="18101F52" w14:textId="77777777" w:rsidR="005D6E83" w:rsidRPr="00544497" w:rsidRDefault="005D6E83" w:rsidP="005D6E83">
      <w:pPr>
        <w:pStyle w:val="NormalHanging12a"/>
        <w:rPr>
          <w:szCs w:val="24"/>
        </w:rPr>
      </w:pPr>
      <w:r w:rsidRPr="00544497">
        <w:t>5.</w:t>
      </w:r>
      <w:r w:rsidRPr="00544497">
        <w:tab/>
        <w:t>pozdravlja tematsko izvješće Revizorskog suda 24/2024 te njegove nalaze i preporuke o okviru Unije za zapošljavanje za javnu službu; podsjeća da smatra da je važno temeljitije istražiti administrativne rashode i ponavlja poziv da se u njegov rad uključe sveobuhvatni podaci o svim institucijama kako bi se pružila utemeljena osnova za dosljedan postupak davanja razrješnice; poziva Revizorski sud da tijelo nadležno za davanje razrješnice nastavi obavještavati o svim inicijativama u vezi s tim pitanjem;</w:t>
      </w:r>
    </w:p>
    <w:p w14:paraId="3D8E5240" w14:textId="77777777" w:rsidR="005D6E83" w:rsidRPr="00544497" w:rsidRDefault="005D6E83" w:rsidP="005D6E83">
      <w:pPr>
        <w:pStyle w:val="NormalHanging12a"/>
        <w:rPr>
          <w:bCs/>
          <w:iCs/>
          <w:szCs w:val="24"/>
        </w:rPr>
      </w:pPr>
      <w:r w:rsidRPr="00544497">
        <w:t>6.</w:t>
      </w:r>
      <w:r w:rsidRPr="00544497">
        <w:tab/>
        <w:t>prima na znanje najavu Revizorskog suda od 1. listopada 2025. o uvođenju revidiranog pristupa reviziji za zajednička poduzeća, počevši od financijske godine 2025.; napominje da je ta promjena potaknuta, među ostalim, ograničenjima kapaciteta osoblja i prestankom revizija zajedničkih poduzeća u okviru programa Obzor Europa od strane Službe za unutarnju reviziju Komisije, koja je prethodno revidirala zajednička poduzeća, čime je ograničena dostupnost dodatnog jamstva revizije; nadalje primjećuje da novi pristup predviđa odgovarajuću veličinu uzorka revizije, konsolidaciju revizijskog rada u svim zajedničkim poduzećima i izdavanje dviju odvojenih izjava o jamstvu, potkrijepljenih dodatnim tematskim i posebnim izvješćima; poziva Revizorski sud da osigura da se revidirana metodologija provede pravodobno te da i dalje ispunjava najviše standarde kvalitete, pouzdanosti i jamstva revizije za zaštitu financijskih interesa Unije;</w:t>
      </w:r>
    </w:p>
    <w:p w14:paraId="17F62357" w14:textId="77777777" w:rsidR="005D6E83" w:rsidRPr="00544497" w:rsidRDefault="005D6E83" w:rsidP="005D6E83">
      <w:pPr>
        <w:pStyle w:val="NormalHanging12a"/>
        <w:rPr>
          <w:b/>
          <w:i/>
          <w:iCs/>
          <w:szCs w:val="24"/>
        </w:rPr>
      </w:pPr>
      <w:r w:rsidRPr="00544497">
        <w:rPr>
          <w:b/>
          <w:i/>
        </w:rPr>
        <w:t>Upravljanje proračunom i financijama</w:t>
      </w:r>
    </w:p>
    <w:p w14:paraId="58B67C06" w14:textId="77777777" w:rsidR="005D6E83" w:rsidRPr="00544497" w:rsidRDefault="005D6E83" w:rsidP="005D6E83">
      <w:pPr>
        <w:pStyle w:val="NormalHanging12a"/>
        <w:rPr>
          <w:szCs w:val="24"/>
        </w:rPr>
      </w:pPr>
      <w:r w:rsidRPr="00544497">
        <w:t>7.</w:t>
      </w:r>
      <w:r w:rsidRPr="00544497">
        <w:tab/>
        <w:t>napominje da je ukupni proračun (odobrena sredstva C1) Revizorskog suda za 2024. iznosio 185 655 890 EUR, što je povećanje od 6,05 % u odnosu na 175 059 922 EUR za 2023.; napominje da je to povećanje prije svega posljedica usklađivanja plaća; napominje da se za 2024. 89,50 % odobrenih sredstava (povećanje u usporedbi s 88,50 % u 2023.) odnosilo na članove i osoblje, dok se 10,50 % odnosilo na zgrade, opremu i razne rashode (smanjenje u usporedbi s 11,60 % u 2023.);</w:t>
      </w:r>
    </w:p>
    <w:p w14:paraId="6BC0CD97" w14:textId="77777777" w:rsidR="005D6E83" w:rsidRPr="00544497" w:rsidRDefault="005D6E83" w:rsidP="005D6E83">
      <w:pPr>
        <w:pStyle w:val="NormalHanging12a"/>
        <w:rPr>
          <w:szCs w:val="24"/>
        </w:rPr>
      </w:pPr>
      <w:r w:rsidRPr="00544497">
        <w:t>8.</w:t>
      </w:r>
      <w:r w:rsidRPr="00544497">
        <w:tab/>
        <w:t xml:space="preserve">napominje da su stope izvršenja za obveze i plaćanja za 2024. ostale visoke, gotovo jednake kao u 2023., dok je stopa iskorištenosti za odobrena sredstva iznosila 97,30 %, </w:t>
      </w:r>
      <w:r w:rsidRPr="00544497">
        <w:lastRenderedPageBreak/>
        <w:t>a plaćanja 94,81 % ukupnih obveza u 2024.; prima na znanje povećanje ukinutih odobrenih sredstava na kraju godine s približno 3,4 milijuna EUR 2023. na 4,4 milijuna EUR 2024.; pohvaljuje Revizorski sud zbog toga što je 2024. zadržao prosječno vrijeme za plaćanje računa kraće od 11 dana; potiče Revizorski sud da zadrži strogu troškovnu disciplinu, nastavi davati prednost operativnoj učinkovitosti i dodatno smanji poništenja na kraju godine, čime bi se u kontekstu njegovih odobrenih sredstava povećale učinkovitost i vrijednost dobivena za uloženi novac;</w:t>
      </w:r>
    </w:p>
    <w:p w14:paraId="5E9C0AC5" w14:textId="77777777" w:rsidR="005D6E83" w:rsidRPr="00544497" w:rsidRDefault="005D6E83" w:rsidP="005D6E83">
      <w:pPr>
        <w:pStyle w:val="NormalHanging12a"/>
        <w:rPr>
          <w:szCs w:val="24"/>
        </w:rPr>
      </w:pPr>
      <w:r w:rsidRPr="00544497">
        <w:t>9.</w:t>
      </w:r>
      <w:r w:rsidRPr="00544497">
        <w:tab/>
        <w:t xml:space="preserve">napominje da je Revizorski sud tijekom godine redovito provodio proračunske revizije, što je 2024. dovelo do 29 proračunskih prijenosa u ukupnom iznosu od približno 4,5 milijuna EUR, što je smanjenje od približno 5,7 milijuna EUR u odnosu na 2023.; napominje da su ti prijenosi bili potrebni kako bi se ojačale proračunske linije povezane, među ostalim, s informatičkim projektima (+20,28 %), opremanjem prostora (+560,18 %) te tehničkom opremom i instalacijama (73,53 %); napominje da su, u skladu s odgovorima Revizorskog suda na upitnik koji je podnio Odbor za proračunski nadzor za razrješnicu za proračun za 2024. („upitnik”), preraspodjele bile potrebne i zbog razine inflacije koja je viša od predviđene u proračunu i posljedične </w:t>
      </w:r>
      <w:proofErr w:type="spellStart"/>
      <w:r w:rsidRPr="00544497">
        <w:t>indeksacije</w:t>
      </w:r>
      <w:proofErr w:type="spellEnd"/>
      <w:r w:rsidRPr="00544497">
        <w:t xml:space="preserve"> cijena koja utječe na nove i postojeće ugovore;</w:t>
      </w:r>
    </w:p>
    <w:p w14:paraId="23561D95" w14:textId="77777777" w:rsidR="005D6E83" w:rsidRPr="00544497" w:rsidRDefault="005D6E83" w:rsidP="005D6E83">
      <w:pPr>
        <w:pStyle w:val="NormalHanging12a"/>
        <w:rPr>
          <w:szCs w:val="24"/>
        </w:rPr>
      </w:pPr>
      <w:r w:rsidRPr="00544497">
        <w:t>10.</w:t>
      </w:r>
      <w:r w:rsidRPr="00544497">
        <w:tab/>
        <w:t xml:space="preserve">napominje da je, prema upitniku, Revizorski sud osjetio učinak ruske nezakonite ratne agresije na Ukrajinu zbog povećanja troškova robe, usluga i logistike potaknutog inflacijom tijekom 2024.; pozdravlja mjere Revizorskog suda za suzbijanje takvih učinaka provođenjem detaljnijih analiza prije stavljanja na tržište kako bi se osiguralo realistično planiranje i učinkovita nabava; nadalje sa zadovoljstvom prima na znanje da su se troškovi Revizorskog suda za potrošnju energije (proračunska stavka br. 2024.) znatno smanjili, s 1 556 671 EUR 2023. na 887 827 EUR 2024., uglavnom zbog smanjenja fiksne cijene električne energije, u skladu s </w:t>
      </w:r>
      <w:proofErr w:type="spellStart"/>
      <w:r w:rsidRPr="00544497">
        <w:t>međuinstitucijskim</w:t>
      </w:r>
      <w:proofErr w:type="spellEnd"/>
      <w:r w:rsidRPr="00544497">
        <w:t xml:space="preserve"> ugovorom s predmetnim pružateljem usluga; uviđa potrebu da sve institucije Unije poboljšaju svoje upravljanje proračunom, među ostalim uzimanjem u obzir nestabilnosti cijena, posebno u energetskom sektoru, pri sklapanju ugovora s pružateljima usluga;</w:t>
      </w:r>
    </w:p>
    <w:p w14:paraId="39B993D4" w14:textId="77777777" w:rsidR="005D6E83" w:rsidRPr="00544497" w:rsidRDefault="005D6E83" w:rsidP="005D6E83">
      <w:pPr>
        <w:pStyle w:val="NormalHanging12a"/>
        <w:rPr>
          <w:szCs w:val="24"/>
        </w:rPr>
      </w:pPr>
      <w:r w:rsidRPr="00544497">
        <w:t>11.</w:t>
      </w:r>
      <w:r w:rsidRPr="00544497">
        <w:tab/>
        <w:t>napominje da su obveze u ukupnom iznosu od približno 9,9 milijuna EUR za proračunsku glavu 1. i približno 8,4 milijuna EUR za proračunsku glavu 2. automatski prenesene iz 2024. u 2025. kako bi se pokrili troškovi, među ostalim, službenih putovanja, osposobljavanja i prevođenja; napominje da je iznos od 602 000 EUR prenesen odlukom, dok je taj iznos povezan s proračunskim prijenosom koji su odobrila proračunska tijela radi zamjene dizala K1 Revizorskog suda;</w:t>
      </w:r>
    </w:p>
    <w:p w14:paraId="1F68F66C" w14:textId="77777777" w:rsidR="005D6E83" w:rsidRPr="00544497" w:rsidRDefault="005D6E83" w:rsidP="005D6E83">
      <w:pPr>
        <w:pStyle w:val="NormalHanging12a"/>
        <w:rPr>
          <w:szCs w:val="24"/>
        </w:rPr>
      </w:pPr>
      <w:r w:rsidRPr="00544497">
        <w:t>12.</w:t>
      </w:r>
      <w:r w:rsidRPr="00544497">
        <w:tab/>
        <w:t>napominje da su proračunska odobrena sredstva (C1) za službena putovanja članova i osoblja Revizorskog suda 2024. iznosila 2 860 000 EUR (povećanje u usporedbi s 2 722 000 EUR u 2023.); napominje da je od tih odobrenih sredstava preuzeta obveza u iznosu od 2 469 344 EUR, od čega je 2 184 344 EUR isplaćeno 2024. (tj. stopa izvršenja od 88,46 %);</w:t>
      </w:r>
    </w:p>
    <w:p w14:paraId="18C24EE0" w14:textId="77777777" w:rsidR="005D6E83" w:rsidRPr="00544497" w:rsidRDefault="005D6E83" w:rsidP="005D6E83">
      <w:pPr>
        <w:pStyle w:val="NormalHanging12a"/>
        <w:rPr>
          <w:szCs w:val="24"/>
        </w:rPr>
      </w:pPr>
      <w:r w:rsidRPr="00544497">
        <w:t>13.</w:t>
      </w:r>
      <w:r w:rsidRPr="00544497">
        <w:tab/>
        <w:t xml:space="preserve">sa zadovoljstvom napominje da su se, prema upitniku, kad je riječ o proračunskoj stavci Revizorskog suda za publikacije, proračunska odobrena sredstva smanjila s 810 000 EUR u 2014. na 300 000 EUR u 2024. zbog povećanja interne izrade izvješća i virtualnog promicanja publikacija; napominje da su se procjene Revizorskog suda za tu proračunsku stavku dodatno smanjile u narednim proračunskim godinama; nadalje prima na znanje tendenciju Revizorskog suda da smanji proračun za usmeno prevođenje i usluge stručnjaka (savjetovanja, studije itd.) te plan za stavljanje izvan pogona svoje </w:t>
      </w:r>
      <w:r w:rsidRPr="00544497">
        <w:lastRenderedPageBreak/>
        <w:t>fiksne telefonije kako bi se ostvarile dodatne uštede;</w:t>
      </w:r>
    </w:p>
    <w:p w14:paraId="71589F58" w14:textId="77777777" w:rsidR="005D6E83" w:rsidRPr="00544497" w:rsidRDefault="005D6E83" w:rsidP="005D6E83">
      <w:pPr>
        <w:pStyle w:val="NormalHanging12a"/>
        <w:rPr>
          <w:szCs w:val="24"/>
        </w:rPr>
      </w:pPr>
      <w:r w:rsidRPr="00544497">
        <w:t>14.</w:t>
      </w:r>
      <w:r w:rsidRPr="00544497">
        <w:tab/>
        <w:t xml:space="preserve">pozdravlja, kao što je vidljivo iz odgovora Revizorskog suda na različita pitanja koja je tijelo nadležno za davanje razrješnice istaknulo u kontekstu postupka davanja razrješnice za 2023. (dalje u tekstu „izvješće o daljnjim mjerama”), tekući rad Revizorskog suda na reviziji njegova vodiča za misije kako bi se na </w:t>
      </w:r>
      <w:proofErr w:type="spellStart"/>
      <w:r w:rsidRPr="00544497">
        <w:t>proaktivan</w:t>
      </w:r>
      <w:proofErr w:type="spellEnd"/>
      <w:r w:rsidRPr="00544497">
        <w:t xml:space="preserve"> način (tj. u trenutku pripreme misije) riješila, među ostalim, pitanja kao što su troškovna učinkovitost i načini smanjenja utjecaja na okoliš; poziva Revizorski sud da tijelo nadležno za davanje razrješnice nastavi obavještavati o napretku postignutom u tom pogledu;</w:t>
      </w:r>
    </w:p>
    <w:p w14:paraId="6FE5E71B" w14:textId="77777777" w:rsidR="005D6E83" w:rsidRDefault="005D6E83" w:rsidP="005D6E83">
      <w:pPr>
        <w:pStyle w:val="NormalHanging12a"/>
      </w:pPr>
      <w:r w:rsidRPr="00544497">
        <w:t>15.</w:t>
      </w:r>
      <w:r w:rsidRPr="00544497">
        <w:tab/>
        <w:t>sa zadovoljstvom primjećuje da je vanjski revizor izjavio da su dodijeljena sredstva iskorištena u skladu s njihovom namjenom i da su postupci kontrole koje su uspostavili dužnosnici za ovjeravanje pružili potrebna jamstva kako bi se osiguralo da su financijske operacije u skladu s primjenjivim pravilima i propisima;</w:t>
      </w:r>
    </w:p>
    <w:p w14:paraId="686BB527" w14:textId="67DC4051" w:rsidR="008C4FB1" w:rsidRPr="008C4FB1" w:rsidRDefault="008C4FB1" w:rsidP="005D6E83">
      <w:pPr>
        <w:pStyle w:val="NormalHanging12a"/>
        <w:rPr>
          <w:bCs/>
          <w:iCs/>
          <w:szCs w:val="24"/>
        </w:rPr>
      </w:pPr>
      <w:r w:rsidRPr="007971F7">
        <w:rPr>
          <w:bCs/>
          <w:iCs/>
          <w:szCs w:val="24"/>
          <w:lang w:eastAsia="en-US"/>
        </w:rPr>
        <w:t>1</w:t>
      </w:r>
      <w:r>
        <w:rPr>
          <w:bCs/>
          <w:iCs/>
          <w:szCs w:val="24"/>
          <w:lang w:eastAsia="en-US"/>
        </w:rPr>
        <w:t>6</w:t>
      </w:r>
      <w:r w:rsidRPr="007971F7">
        <w:rPr>
          <w:bCs/>
          <w:iCs/>
          <w:szCs w:val="24"/>
          <w:lang w:eastAsia="en-US"/>
        </w:rPr>
        <w:t>.</w:t>
      </w:r>
      <w:r w:rsidRPr="008C4FB1">
        <w:rPr>
          <w:bCs/>
          <w:iCs/>
          <w:szCs w:val="24"/>
          <w:lang w:eastAsia="en-US"/>
        </w:rPr>
        <w:tab/>
      </w:r>
      <w:r w:rsidRPr="007971F7">
        <w:rPr>
          <w:bCs/>
          <w:iCs/>
          <w:szCs w:val="24"/>
          <w:lang w:eastAsia="en-US"/>
        </w:rPr>
        <w:t xml:space="preserve">ističe da je </w:t>
      </w:r>
      <w:r w:rsidR="007971F7">
        <w:rPr>
          <w:bCs/>
          <w:iCs/>
          <w:szCs w:val="24"/>
          <w:lang w:eastAsia="en-US"/>
        </w:rPr>
        <w:t>R</w:t>
      </w:r>
      <w:r w:rsidRPr="007971F7">
        <w:rPr>
          <w:bCs/>
          <w:iCs/>
          <w:szCs w:val="24"/>
          <w:lang w:eastAsia="en-US"/>
        </w:rPr>
        <w:t>evizorski sud vanjski revizor Unije i temelj neovisne financijske odgovornosti nad proračunom Unije; naglašava da se, u kontekstu dosad nezabilježenog rasta rashoda Unije, obujma operacija zaduživanja i složenosti novih financijskih instrumenata, Revizorskom sudu moraju osigurati sredstva koja su razmjerna opsegu i složenosti njegova revizijskog mandata; podržava kontinuiranu troškovnu disciplinu Revizorskog suda; poziva proračunska tijela da pri donošenju budućih proračuna osiguraju da Revizorski sud ima odgovarajuća sredstva za nadzor nad brzorastućom financijskom strukturom Unije;</w:t>
      </w:r>
    </w:p>
    <w:p w14:paraId="61DFE5A0" w14:textId="77777777" w:rsidR="005D6E83" w:rsidRPr="00544497" w:rsidRDefault="005D6E83" w:rsidP="005D6E83">
      <w:pPr>
        <w:pStyle w:val="NormalHanging12a"/>
        <w:rPr>
          <w:b/>
          <w:i/>
          <w:iCs/>
          <w:szCs w:val="24"/>
        </w:rPr>
      </w:pPr>
      <w:r w:rsidRPr="00544497">
        <w:rPr>
          <w:b/>
          <w:i/>
        </w:rPr>
        <w:t>Unutarnje upravljanje, uspješnost i unutarnja kontrola</w:t>
      </w:r>
    </w:p>
    <w:p w14:paraId="65791DD7" w14:textId="5B90A086" w:rsidR="005D6E83" w:rsidRPr="00544497" w:rsidRDefault="00B61D95" w:rsidP="005D6E83">
      <w:pPr>
        <w:pStyle w:val="NormalHanging12a"/>
        <w:rPr>
          <w:szCs w:val="24"/>
        </w:rPr>
      </w:pPr>
      <w:r>
        <w:t>17</w:t>
      </w:r>
      <w:r w:rsidR="005D6E83" w:rsidRPr="00544497">
        <w:t>.</w:t>
      </w:r>
      <w:r w:rsidR="005D6E83" w:rsidRPr="00544497">
        <w:tab/>
        <w:t>napominje da je Revizorski sud proveo ukupno 3176 dana u državama članicama i izvan Unije, u usporedbi s 4897 dana u 2023., i 1244 dana u institucijama, agencijama i tijelima Unije te drugim međunarodnim organizacijama i privatnim revizorskim društvima, u usporedbi s 1370 dana u 2023.;</w:t>
      </w:r>
    </w:p>
    <w:p w14:paraId="727A9E77" w14:textId="566B2C57" w:rsidR="005D6E83" w:rsidRPr="00544497" w:rsidRDefault="00B61D95" w:rsidP="005D6E83">
      <w:pPr>
        <w:pStyle w:val="NormalHanging12a"/>
        <w:rPr>
          <w:szCs w:val="24"/>
        </w:rPr>
      </w:pPr>
      <w:r>
        <w:t>18</w:t>
      </w:r>
      <w:r w:rsidR="005D6E83" w:rsidRPr="00544497">
        <w:t>.</w:t>
      </w:r>
      <w:r w:rsidR="005D6E83" w:rsidRPr="00544497">
        <w:tab/>
        <w:t xml:space="preserve">napominje da je Revizorski sud tijekom 2024. predstavio dva godišnja izvješća, tri posebna godišnja izvješća, 28 tematskih izvješća, četiri pregleda i tri mišljenja, ukupno 40 stavki (smanjenje u usporedbi s 45 stavki u 2023.); pozdravlja činjenicu da se Revizorski sud u tematskim izvješćima i preispitivanjima 2024. usredotočio na goruće izazove s kojima se Unija suočava u ključnim temama kao što su financijski instrumenti u kohezijskoj politici, transparentnost financiranja Unije kada je riječ o nevladinim organizacijama i tijelima Unije koja se bore protiv prijevara, ali i sigurnost opskrbe plinom, ulaganja u umjetnu inteligenciju, prilagodba klimatskim promjenama, apsorpcija sredstava iz Mehanizma za oporavak i otpornost, put prema karticama s nultim emisijama, potpora izbjeglicama u Turskoj i industrijska politika Unije o vodiku; nadalje pozdravlja planirana izvješća Revizorskog suda o Mehanizmu za oporavak i otpornost u područjima kao što su transparentnost i </w:t>
      </w:r>
      <w:proofErr w:type="spellStart"/>
      <w:r w:rsidR="005D6E83" w:rsidRPr="00544497">
        <w:t>sljedivost</w:t>
      </w:r>
      <w:proofErr w:type="spellEnd"/>
      <w:r w:rsidR="005D6E83" w:rsidRPr="00544497">
        <w:t xml:space="preserve"> te o strukturi i strategiji Unije u borbi protiv prijevara i potpori Unije za Ukrajinu, </w:t>
      </w:r>
      <w:proofErr w:type="spellStart"/>
      <w:r w:rsidR="005D6E83" w:rsidRPr="00544497">
        <w:t>Moldovu</w:t>
      </w:r>
      <w:proofErr w:type="spellEnd"/>
      <w:r w:rsidR="005D6E83" w:rsidRPr="00544497">
        <w:t xml:space="preserve"> i Gruziju; prima na znanje poboljšanje u pogledu zadovoljstva dionika radom Revizorskog suda, pri čemu je anketa provedena 2024. pokazala da 89 % ispitanika (povećanje u usporedbi s 85 % u 2023.) smatra izvješća Revizorskog suda korisnima i da 82 % (povećanje u usporedbi sa 78 %) smatra da rad Revizorskog suda ima učinak;</w:t>
      </w:r>
    </w:p>
    <w:p w14:paraId="651E2181" w14:textId="6890EDFA" w:rsidR="005D6E83" w:rsidRPr="00544497" w:rsidRDefault="00B61D95" w:rsidP="005D6E83">
      <w:pPr>
        <w:pStyle w:val="NormalHanging12a"/>
        <w:rPr>
          <w:bCs/>
          <w:iCs/>
          <w:szCs w:val="24"/>
        </w:rPr>
      </w:pPr>
      <w:r>
        <w:t>19</w:t>
      </w:r>
      <w:r w:rsidR="005D6E83" w:rsidRPr="00544497">
        <w:t>.</w:t>
      </w:r>
      <w:r w:rsidR="005D6E83" w:rsidRPr="00544497">
        <w:tab/>
        <w:t xml:space="preserve">poziva Revizorski sud da osigura detaljnije i sustavnije procjene učinaka prelijevanja </w:t>
      </w:r>
      <w:r w:rsidR="005D6E83" w:rsidRPr="00544497">
        <w:lastRenderedPageBreak/>
        <w:t>programa koje financira Unija na države članice, i one s visokim i one s niskim stopama apsorpcije sredstava Unije; naglašava da bi sveobuhvatna analiza gospodarskih, socijalnih, administrativnih i teritorijalnih utjecaja takvih učinaka prelijevanja, uključujući prekogranične i distribucijske učinke, ojačala evaluaciju dugoročnog utjecaja, dodane vrijednosti i održivosti potrošnje Unije te da bi poduprla informiranije oblikovanje politika na razini Unije i na nacionalnoj razini;</w:t>
      </w:r>
    </w:p>
    <w:p w14:paraId="4FF84FD1" w14:textId="1B069100" w:rsidR="005D6E83" w:rsidRPr="00544497" w:rsidRDefault="00B61D95" w:rsidP="005D6E83">
      <w:pPr>
        <w:pStyle w:val="NormalHanging12a"/>
        <w:rPr>
          <w:szCs w:val="24"/>
        </w:rPr>
      </w:pPr>
      <w:r>
        <w:t>20</w:t>
      </w:r>
      <w:r w:rsidR="005D6E83" w:rsidRPr="00544497">
        <w:t>.</w:t>
      </w:r>
      <w:r w:rsidR="005D6E83" w:rsidRPr="00544497">
        <w:tab/>
        <w:t>napominje da Revizorski sud ima niz ključnih pokazatelja uspješnosti za mjerenje napretka u postizanju svojih strateških ciljeva, u skladu sa strategijom Revizorskog suda za razdoblje 2021. – 2025.; prima na znanje strateške ciljeve Revizorskog suda za 2024.: poboljšanje mehanizama odgovornosti, transparentnosti i revizije, usmjeravanje na područja i teme u kojima se revizijama može ostvariti najveća dodana vrijednost te pružanje snažnog revizijskog jamstva u zahtjevnom i promjenjivom okruženju; poziva Revizorski sud da u budućnosti predstavi svoje ključne pokazatelje uspješnosti, stupanj postignutog napretka i ciljeve na sažet način (u formatu tablice); poziva Revizorski sud da dodatno razvije ključne pokazatelje uspješnosti na temelju uspješnosti i rezultata europskih politika kako bi se jasno mjerio učinak politika koje provodi Komisija;</w:t>
      </w:r>
    </w:p>
    <w:p w14:paraId="041AEBBB" w14:textId="65F5662B" w:rsidR="005D6E83" w:rsidRPr="00544497" w:rsidRDefault="00B61D95" w:rsidP="005D6E83">
      <w:pPr>
        <w:pStyle w:val="NormalHanging12a"/>
        <w:rPr>
          <w:bCs/>
          <w:iCs/>
          <w:szCs w:val="24"/>
        </w:rPr>
      </w:pPr>
      <w:r>
        <w:t>21</w:t>
      </w:r>
      <w:r w:rsidR="005D6E83" w:rsidRPr="00544497">
        <w:t>.</w:t>
      </w:r>
      <w:r w:rsidR="005D6E83" w:rsidRPr="00544497">
        <w:tab/>
        <w:t>poziva Revizorski sud da konsolidira svoje nalaze u komparativnoj analizi uspješnosti i da razvije metodologiju za „kompas uspješnosti” programâ Unije; smatra da bi takav instrument, uz poštovanje raznolikosti politika, tijelu nadležnom za davanje razrješnice, donositeljima odluka i široj javnosti osigurao jasne smjernice o tome koji se programi učinkovito koriste resursima i koji bi mogli biti kandidati za obustavu ili temeljito restrukturiranje;</w:t>
      </w:r>
    </w:p>
    <w:p w14:paraId="17D22081" w14:textId="125D702B" w:rsidR="005D6E83" w:rsidRPr="00544497" w:rsidRDefault="00B61D95" w:rsidP="005D6E83">
      <w:pPr>
        <w:pStyle w:val="NormalHanging12a"/>
        <w:rPr>
          <w:szCs w:val="24"/>
        </w:rPr>
      </w:pPr>
      <w:r>
        <w:t>22</w:t>
      </w:r>
      <w:r w:rsidR="005D6E83" w:rsidRPr="00544497">
        <w:t>.</w:t>
      </w:r>
      <w:r w:rsidR="005D6E83" w:rsidRPr="00544497">
        <w:tab/>
        <w:t>cijeni činjenicu da Revizorski sud provedbu svojih preporuka procjenjuje na temelju daljnjeg praćenja koje obavljaju revizori Revizorskog suda; napominje da je Revizorski sud 2024. analizirao preporuke upućene Komisiji i drugim institucijama koje su bile iznesene u izvješćima za 2020.; napominje da je 93 % preporuka od njih 19 iz godišnjeg izvješća Revizorskog suda za 2020. i 88 % od 186 preporuka iz tematskih izvješća Revizorskog suda za 2020. provedeno u potpunosti, djelomično ili u većoj mjeri;</w:t>
      </w:r>
    </w:p>
    <w:p w14:paraId="7335B7D9" w14:textId="25A4CE5B" w:rsidR="005D6E83" w:rsidRPr="00544497" w:rsidRDefault="00B61D95" w:rsidP="005D6E83">
      <w:pPr>
        <w:pStyle w:val="NormalHanging12a"/>
        <w:rPr>
          <w:szCs w:val="24"/>
        </w:rPr>
      </w:pPr>
      <w:r>
        <w:t>23</w:t>
      </w:r>
      <w:r w:rsidR="005D6E83" w:rsidRPr="00544497">
        <w:t>.</w:t>
      </w:r>
      <w:r w:rsidR="005D6E83" w:rsidRPr="00544497">
        <w:tab/>
        <w:t xml:space="preserve">napominje, na temelju izvješća o daljnjim mjerama, da je Komisija pristala dostaviti Sudu ručno izdvajanje podataka iz alata ARACHNE; međutim, žali zbog činjenice da je pristup Revizorskog suda FENIX-u, alatu za izvješćivanje o Mehanizmu za oporavak i otpornost, i dalje otvoreno pitanje, pri čemu je Komisija Revizorskom sudu odobrila djelomičan pristup samo nekim modulima FENIX-a, a podaci koje oni sadrže nisu ažurirani na vrijeme; pozdravlja prijavljeno povećanje broja korisnika Revizorskog suda koji imaju pristup FENIX-u; međutim, podržava zahtjev Revizorskog suda da mu Komisija što prije odobri puni pristup; podsjeća da Glavna uprava Komisije za gospodarske i financijske poslove nastoji Revizorskom sudu odobriti pristup spisima u FENIX-u u roku od 2 tjedna od odobrenja zahtjeva za plaćanje; međutim, izražava zabrinutost zbog toga što se u praksi u mnogim slučajevima ne poštuje taj rok i što je u nekim slučajevima dolazilo do kašnjenja dugoga do 2 i pol mjeseca, čime se znatno usporava donošenje zaključaka Revizorskog suda ili potkopava učinkovitost i pravodobnost revizijskih aktivnosti Revizorskog suda, posebno u vezi s visokorizičnim rashodima kao što je Mehanizam za oporavak i otpornost;; u tom kontekstu podsjeća Komisiju na njezinu obvezu iz članka 263. Financijske uredbe da Revizorskom sudu omogući sveobuhvatan pristup svim relevantnim sustavima i bazama podataka (među ostalima ARACHNE, FENIX i ARES); stoga od Komisije traži da bez odgode ispravi tu situaciju, među ostalim tako da sklopi </w:t>
      </w:r>
      <w:proofErr w:type="spellStart"/>
      <w:r w:rsidR="005D6E83" w:rsidRPr="00544497">
        <w:t>međuinstitucijski</w:t>
      </w:r>
      <w:proofErr w:type="spellEnd"/>
      <w:r w:rsidR="005D6E83" w:rsidRPr="00544497">
        <w:t xml:space="preserve"> sporazum kojim će se </w:t>
      </w:r>
      <w:r w:rsidR="005D6E83" w:rsidRPr="00544497">
        <w:lastRenderedPageBreak/>
        <w:t>Revizorskom sudu osigurati pun i sustavan pristup u stvarnom vremenu svim relevantnim bazama podataka, uključujući ARACHNE i FENIX; poziva Revizorski sud da tijelo nadležno za davanje razrješnice izvijesti o postignutim konkretnim poboljšanjima;</w:t>
      </w:r>
    </w:p>
    <w:p w14:paraId="6EDAE881" w14:textId="77777777" w:rsidR="005D6E83" w:rsidRPr="00544497" w:rsidRDefault="005D6E83" w:rsidP="005D6E83">
      <w:pPr>
        <w:pStyle w:val="NormalHanging12a"/>
        <w:rPr>
          <w:b/>
          <w:i/>
          <w:iCs/>
          <w:szCs w:val="24"/>
        </w:rPr>
      </w:pPr>
      <w:r w:rsidRPr="00544497">
        <w:rPr>
          <w:b/>
          <w:i/>
        </w:rPr>
        <w:t>Ljudski resursi, jednakost i dobrobit osoblja</w:t>
      </w:r>
    </w:p>
    <w:p w14:paraId="5F1693A0" w14:textId="3E8D3D65" w:rsidR="005D6E83" w:rsidRPr="00544497" w:rsidRDefault="00B61D95" w:rsidP="005D6E83">
      <w:pPr>
        <w:pStyle w:val="NormalHanging12a"/>
        <w:rPr>
          <w:szCs w:val="24"/>
        </w:rPr>
      </w:pPr>
      <w:bookmarkStart w:id="9" w:name="_Hlk216182035"/>
      <w:r>
        <w:t>24</w:t>
      </w:r>
      <w:r w:rsidR="005D6E83" w:rsidRPr="00544497">
        <w:t>.</w:t>
      </w:r>
      <w:r w:rsidR="005D6E83" w:rsidRPr="00544497">
        <w:tab/>
        <w:t>napominje da je Revizorski sud na kraju 2024. imao 961 člana osoblja (smanjenje u usporedbi s 969 u 2023.), uključujući privremeno osoblje (192 u 2024., smanjenje u usporedbi s 204 u 2023.), ugovorno osoblje (84 u 2024., smanjenje u usporedbi s 86 u 2023.) i upućene nacionalne stručnjake (26 u 2024., jednako kao i 2023.); podsjeća na važnost sklapanja ugovora na neodređeno vrijeme sa zaposlenicima kako bi se zadržale vještine, osigurao kontinuitet te produktivno i stabilno radno okruženje;</w:t>
      </w:r>
    </w:p>
    <w:p w14:paraId="002A3739" w14:textId="4B791858" w:rsidR="005D6E83" w:rsidRPr="00544497" w:rsidRDefault="00B61D95" w:rsidP="005D6E83">
      <w:pPr>
        <w:pStyle w:val="NormalHanging12a"/>
        <w:rPr>
          <w:szCs w:val="24"/>
        </w:rPr>
      </w:pPr>
      <w:r>
        <w:t>25</w:t>
      </w:r>
      <w:r w:rsidR="005D6E83" w:rsidRPr="00544497">
        <w:t>.</w:t>
      </w:r>
      <w:r w:rsidR="005D6E83" w:rsidRPr="00544497">
        <w:tab/>
        <w:t>napominje da su 2024. 54 % osoblja Revizorskog suda činile žene (porast u usporedbi s 53 % u 2023.), a 4</w:t>
      </w:r>
      <w:r w:rsidR="008675B0">
        <w:t>6</w:t>
      </w:r>
      <w:r w:rsidR="005D6E83" w:rsidRPr="00544497">
        <w:t xml:space="preserve"> % muškarci; žali zbog činjenice da žene čine samo 30 % višeg rukovodstva Revizorskog suda, jednako kao i 2023.; nadalje žali zbog smanjenja udjela žena na srednjim rukovodećim položajima s 40 % na 37,30 % 2023.; podsjeća na činjenicu da je rodna ravnopravnost načelo koje se temelji na Ugovorima i koje bi sve institucije trebale poštovati te poziva Revizorski sud da nastavi ulagati napore u promicanje rodne ravnoteže za srednje i više rukovodstvo; </w:t>
      </w:r>
      <w:bookmarkEnd w:id="9"/>
    </w:p>
    <w:p w14:paraId="6E952DDE" w14:textId="654F2E77" w:rsidR="005D6E83" w:rsidRPr="00544497" w:rsidRDefault="00B61D95" w:rsidP="005D6E83">
      <w:pPr>
        <w:pStyle w:val="NormalHanging12a"/>
        <w:rPr>
          <w:szCs w:val="24"/>
        </w:rPr>
      </w:pPr>
      <w:r>
        <w:t>26</w:t>
      </w:r>
      <w:r w:rsidR="005D6E83" w:rsidRPr="00544497">
        <w:t>.</w:t>
      </w:r>
      <w:r w:rsidR="005D6E83" w:rsidRPr="00544497">
        <w:tab/>
        <w:t xml:space="preserve">napominje da je, prema upitniku, Revizorski sud zapošljavao 64 pripravnika, od kojih je 59 primalo mjesečnu naknadu tijekom 2024.; pozdravlja novi program Revizorskog suda pod nazivom Razvoj karijere u okviru inicijative </w:t>
      </w:r>
      <w:proofErr w:type="spellStart"/>
      <w:r w:rsidR="005D6E83" w:rsidRPr="00544497">
        <w:t>TraineEca</w:t>
      </w:r>
      <w:proofErr w:type="spellEnd"/>
      <w:r w:rsidR="005D6E83" w:rsidRPr="00544497">
        <w:t>, čiji je cilj ponuditi mogućnosti zapošljavanja pripravnicima koji su to najviše zaslužili; osim toga, prima na znanje plan Revizorskog suda da ponudi posebna pripravništva u području umjetne inteligencije za osobe koje su nedavno diplomirale i doktorande u tom području; ponovno ističe da bi pripravništva trebala biti plaćena, u skladu s Rezolucijom Parlamenta od 15. lipnja 2023. o kvalitetnim pripravništvima u Uniji (2020/2005(INL)), u kojoj se poziva na to da sva pripravništva u Uniji budu plaćena; ističe da je neplaćeno pripravništvo oblik iskorištavanja mladih radnika i prepreka ostvarivanju jednakih mogućnosti;</w:t>
      </w:r>
    </w:p>
    <w:p w14:paraId="6C0D8546" w14:textId="29B66572" w:rsidR="005D6E83" w:rsidRPr="00544497" w:rsidRDefault="00B61D95" w:rsidP="005D6E83">
      <w:pPr>
        <w:pStyle w:val="NormalHanging12a"/>
        <w:rPr>
          <w:szCs w:val="24"/>
        </w:rPr>
      </w:pPr>
      <w:r>
        <w:t>27</w:t>
      </w:r>
      <w:r w:rsidR="005D6E83" w:rsidRPr="00544497">
        <w:t>.</w:t>
      </w:r>
      <w:r w:rsidR="005D6E83" w:rsidRPr="00544497">
        <w:tab/>
        <w:t xml:space="preserve">napominje da je, prema upitniku, zapošljavanje dužnosnika i dalje bilo izazov za Revizorski sud tijekom 2024. zbog nedovoljne privlačnosti Luksemburga kao mjesta rada ili nedostatka interesa za poslove revizije i kontrole među mladim radnicima; sa zadovoljstvom primjećuje da je Revizorski sud riješio to pitanje organiziranjem redovitih postupaka odabira usmjerenih na pripravnike Revizorskog suda, organiziranjem internih natječaja kako bi se zadržali najzaslužniji talenti i povećanjem aktivnosti informiranja; potiče Revizorski sud da nastavi s ulaganjem tih napora kako bi se očuvao kontinuitet njegovih aktivnosti; u tom kontekstu potvrđuje da je potrebna klauzula o natječaju kako bi se natječaji EPSO-a organizirali isključivo za Luksemburg; pohvaljuje Revizorski sud zbog toga što se pridružio </w:t>
      </w:r>
      <w:proofErr w:type="spellStart"/>
      <w:r w:rsidR="005D6E83" w:rsidRPr="00544497">
        <w:t>međuinstitucijskom</w:t>
      </w:r>
      <w:proofErr w:type="spellEnd"/>
      <w:r w:rsidR="005D6E83" w:rsidRPr="00544497">
        <w:t xml:space="preserve"> sporazumu prema kojem osoblje koje zapošljavaju institucije Unije sa sjedištem u Luxembourgu prima naknadu za stanovanje od 2025. kako bi se nadoknadili visoki troškovi života u Luxembourgu;</w:t>
      </w:r>
    </w:p>
    <w:p w14:paraId="5DBEBEBF" w14:textId="555E9490" w:rsidR="005D6E83" w:rsidRPr="00544497" w:rsidRDefault="00B61D95" w:rsidP="005D6E83">
      <w:pPr>
        <w:pStyle w:val="NormalHanging12a"/>
        <w:rPr>
          <w:szCs w:val="24"/>
        </w:rPr>
      </w:pPr>
      <w:r>
        <w:t>28</w:t>
      </w:r>
      <w:r w:rsidR="005D6E83" w:rsidRPr="00544497">
        <w:t>.</w:t>
      </w:r>
      <w:r w:rsidR="005D6E83" w:rsidRPr="00544497">
        <w:tab/>
        <w:t xml:space="preserve">svjestan je da Revizorski sud nema ulogu u postupku odabira članova u skladu s člankom 286. stavkom 2. UFEU-a; podsjeća, međutim, da i dalje postoji znatna rodna neravnoteža među članovima Revizorskog suda, sa samo 10 žena među 27 članova; </w:t>
      </w:r>
      <w:r w:rsidR="005D6E83" w:rsidRPr="00544497">
        <w:lastRenderedPageBreak/>
        <w:t>izražava žaljenje zbog činjenice da više država članica nikad nije imenovalo ženu za članicu Revizorskog suda; ponavlja svoj poziv državama članicama da pri predlaganju kandidata u obzir uzmu potrebu za rodnom ravnotežom, nastojeći ostvariti uravnoteženiji i reprezentativniji sastav Revizorskog suda, te da se pritom pobrinu za to da se imenovanja i dalje temelje na kriterijima zasluga, kvalifikacija i neovisnosti;</w:t>
      </w:r>
    </w:p>
    <w:p w14:paraId="79A88A03" w14:textId="28764376" w:rsidR="005D6E83" w:rsidRPr="00544497" w:rsidRDefault="00B61D95" w:rsidP="005D6E83">
      <w:pPr>
        <w:pStyle w:val="NormalHanging12a"/>
        <w:rPr>
          <w:szCs w:val="24"/>
        </w:rPr>
      </w:pPr>
      <w:r>
        <w:t>29</w:t>
      </w:r>
      <w:r w:rsidR="005D6E83" w:rsidRPr="00544497">
        <w:t>.</w:t>
      </w:r>
      <w:r w:rsidR="005D6E83" w:rsidRPr="00544497">
        <w:tab/>
        <w:t>i dalje izražava žaljenje zbog prakse Vijeća da imenuje članove Revizorskog suda unatoč tome što ih je Parlament odbacio; ponavlja svoj poziv na reviziju postupka imenovanja, čime bi Parlament dobio obvezujuću ulogu u procjeni prikladnosti kandidata za Revizorski sud;</w:t>
      </w:r>
    </w:p>
    <w:p w14:paraId="51C3931E" w14:textId="5C06D5F7" w:rsidR="005D6E83" w:rsidRPr="00544497" w:rsidRDefault="00B61D95" w:rsidP="005D6E83">
      <w:pPr>
        <w:pStyle w:val="NormalHanging12a"/>
        <w:rPr>
          <w:szCs w:val="24"/>
        </w:rPr>
      </w:pPr>
      <w:r>
        <w:t>30</w:t>
      </w:r>
      <w:r w:rsidR="005D6E83" w:rsidRPr="00544497">
        <w:t>.</w:t>
      </w:r>
      <w:r w:rsidR="005D6E83" w:rsidRPr="00544497">
        <w:tab/>
        <w:t>cijeni opsežan režim rada na daljinu koji Revizorski sud nudi kako bi ublažio izazove u pogledu zapošljavanja, u trajanju do 10 dana mjesečno, od čega se 5 dana može provesti na daljinu izvan mjesta rada, uz gornju granicu od 30 dana godišnje; napominje da je, prema upitniku, Revizorski sud 2024. revidirao svoja hibridna pravila rada kako bi, među ostalim, uzeo u obzir primljene povratne informacije; poziva Revizorski sud da provodi redovite provjere kako bi se osiguralo poštovanje tih pravila; sa zadovoljstvom primjećuje da, prema upitniku, Revizorski sud poduzima mjere na različite načine kako bi osigurao fizičku i mentalnu dobrobit svojeg osoblja;</w:t>
      </w:r>
    </w:p>
    <w:p w14:paraId="56EFD3D1" w14:textId="0D4B453E" w:rsidR="005D6E83" w:rsidRPr="00544497" w:rsidRDefault="00B61D95" w:rsidP="005D6E83">
      <w:pPr>
        <w:pStyle w:val="NormalHanging12a"/>
        <w:rPr>
          <w:szCs w:val="24"/>
        </w:rPr>
      </w:pPr>
      <w:r>
        <w:t>31</w:t>
      </w:r>
      <w:r w:rsidR="005D6E83" w:rsidRPr="00544497">
        <w:t>.</w:t>
      </w:r>
      <w:r w:rsidR="005D6E83" w:rsidRPr="00544497">
        <w:tab/>
        <w:t>napominje povećanje stope slobodnih radnih mjesta i stope fluktuacije, sa 6,60 % u 2023. na 7,90 % u 2024. kad je riječ o fluktuaciji i s 2,27 % na 2,49 % kad je riječ o slobodnim radnim mjestima, pri čemu stopa fluktuacije predstavlja udio ukupnog osoblja koje odlazi;</w:t>
      </w:r>
    </w:p>
    <w:p w14:paraId="499DE4AC" w14:textId="1BAC0D34" w:rsidR="005D6E83" w:rsidRPr="00544497" w:rsidRDefault="00B61D95" w:rsidP="005D6E83">
      <w:pPr>
        <w:pStyle w:val="NormalHanging12a"/>
        <w:rPr>
          <w:szCs w:val="24"/>
        </w:rPr>
      </w:pPr>
      <w:r>
        <w:t>32</w:t>
      </w:r>
      <w:r w:rsidR="005D6E83" w:rsidRPr="00544497">
        <w:t>.</w:t>
      </w:r>
      <w:r w:rsidR="005D6E83" w:rsidRPr="00544497">
        <w:tab/>
        <w:t>napominje da je nekoliko nacija, posebno nordijskih država članica, nedovoljno zastupljeno među osobljem Revizorskog suda; napominje da postoji rizik od daljnjeg smanjenja zbog starenja osoblja i nedostatka zapošljavanja kandidata iz tih država članica; podsjeća na opetovane napore Revizorskog suda da riješi tu neravnotežu povećanjem publiciteta natječaja i oglasa za slobodna radna mjesta Revizorskog suda u znatno nedovoljno zastupljenim državama članicama, suradnjom s članovima Revizorskog suda kako bi proširio svoje oglase i dopiranjem do potencijalnih kandidata sudjelovanjem na sajmovima karijera u određenim državama članicama; osim toga, napominje da je, prema izvješću o daljnjim mjerama, Revizorski sud također razvio akcijski plan s deset mjera tijekom sljedećih pet godina kako bi se preokrenula trenutačna nedovoljna zastupljenost određenih država članica; poziva Revizorski sud da obavješćuje tijelo nadležno za davanje razrješnice o napretku i ishodu provedbe tog akcijskog plana;</w:t>
      </w:r>
    </w:p>
    <w:p w14:paraId="495A7BF7" w14:textId="328347C7" w:rsidR="005D6E83" w:rsidRPr="00544497" w:rsidRDefault="00B61D95" w:rsidP="005D6E83">
      <w:pPr>
        <w:pStyle w:val="NormalHanging12a"/>
        <w:rPr>
          <w:szCs w:val="24"/>
        </w:rPr>
      </w:pPr>
      <w:r>
        <w:t>33</w:t>
      </w:r>
      <w:r w:rsidR="005D6E83" w:rsidRPr="00544497">
        <w:t>.</w:t>
      </w:r>
      <w:r w:rsidR="005D6E83" w:rsidRPr="00544497">
        <w:tab/>
        <w:t xml:space="preserve">podsjeća da je krajem 2023. popunjeno svih 29 dodatnih radnih mjesta (privremeno osoblje) potrebnih za reviziju iznosa od 723,8 milijardi EUR u okviru Mehanizma za oporavak i otpornost; međutim, shvaća da značajnost, složenost i veliki iznosi Mehanizma za oporavak i otpornost te brze isplate iz njega i dalje predstavljaju izazove te da trenutačna sredstva nisu dovoljna za sustavno osiguravanje usklađenosti rashoda Mehanizma za oporavak i otpornost s pravilima Unije i nacionalnim pravilima te za odgovor na povećane aktivnosti Unije; ipak pohvaljuje napore koje je Revizorski sud dosad uložio u obavljanje svojih dužnosti u vezi s Mehanizmom za oporavak i otpornost unatoč tome što dostupna sredstva nisu odgovarajuća; u tom kontekstu podržava zahtjev Revizorskog suda da se radna mjesta 29 privremenih djelatnika zaposlenih za revizije povezane s Mehanizmom za oporavak i otpornost pretvore u stalna radna mjesta; ističe da je važno osigurati da Revizorski sud trajno raspolaže odgovarajućim brojem osoblja i </w:t>
      </w:r>
      <w:r w:rsidR="005D6E83" w:rsidRPr="00544497">
        <w:lastRenderedPageBreak/>
        <w:t>da je strukturno opremljen kako bi ispunjavao svoj mandat i dodatne odgovornosti koje proizlaze iz budućih financijskih instrumenata koji se temelje na uspješnosti, uključujući višegodišnji financijski okvir;</w:t>
      </w:r>
    </w:p>
    <w:p w14:paraId="2F5298A2" w14:textId="7165667F" w:rsidR="005D6E83" w:rsidRPr="00544497" w:rsidRDefault="00B61D95" w:rsidP="005D6E83">
      <w:pPr>
        <w:pStyle w:val="NormalHanging12a"/>
        <w:rPr>
          <w:bCs/>
          <w:iCs/>
          <w:szCs w:val="24"/>
        </w:rPr>
      </w:pPr>
      <w:r>
        <w:t>34</w:t>
      </w:r>
      <w:r w:rsidR="005D6E83" w:rsidRPr="00544497">
        <w:t>.</w:t>
      </w:r>
      <w:r w:rsidR="005D6E83" w:rsidRPr="00544497">
        <w:tab/>
        <w:t xml:space="preserve">sa zadovoljstvom prima na znanje da je Revizorski sud 2024. premašio ciljnu vrijednost za broj dana stručnog osposobljavanja, odnosno pet dana nejezičnog osposobljavanja godišnje za revizore, u skladu s preporukama Međunarodne federacije računovođa, tj. dva dana za </w:t>
      </w:r>
      <w:proofErr w:type="spellStart"/>
      <w:r w:rsidR="005D6E83" w:rsidRPr="00544497">
        <w:t>nerevizorsko</w:t>
      </w:r>
      <w:proofErr w:type="spellEnd"/>
      <w:r w:rsidR="005D6E83" w:rsidRPr="00544497">
        <w:t xml:space="preserve"> osoblje (točnije 5,8 dana odnosno 3,9 dana);</w:t>
      </w:r>
    </w:p>
    <w:p w14:paraId="0EB659E5" w14:textId="5A1A01BC" w:rsidR="005D6E83" w:rsidRPr="00544497" w:rsidRDefault="00B61D95" w:rsidP="005D6E83">
      <w:pPr>
        <w:pStyle w:val="NormalHanging12a"/>
        <w:rPr>
          <w:szCs w:val="24"/>
        </w:rPr>
      </w:pPr>
      <w:r>
        <w:t>35</w:t>
      </w:r>
      <w:r w:rsidR="005D6E83" w:rsidRPr="00544497">
        <w:t>.</w:t>
      </w:r>
      <w:r w:rsidR="005D6E83" w:rsidRPr="00544497">
        <w:tab/>
        <w:t>napominje da je 2024. prosječno razdoblje odsutnosti zbog bolesti trajalo 9,9 dana po zaposleniku, gotovo jednako kao 2023.; nadalje napominje da su 2024. tri člana osoblja (četiri u 2023.) bila odsutna zbog dugotrajne bolesti koja se definira kao bolest koja traje više od 200 dana godišnje;</w:t>
      </w:r>
    </w:p>
    <w:p w14:paraId="04A34DE8" w14:textId="32C15CD8" w:rsidR="005D6E83" w:rsidRPr="00544497" w:rsidRDefault="00B61D95" w:rsidP="005D6E83">
      <w:pPr>
        <w:pStyle w:val="NormalHanging12a"/>
        <w:rPr>
          <w:szCs w:val="24"/>
        </w:rPr>
      </w:pPr>
      <w:r>
        <w:t>36</w:t>
      </w:r>
      <w:r w:rsidR="005D6E83" w:rsidRPr="00544497">
        <w:t>.</w:t>
      </w:r>
      <w:r w:rsidR="005D6E83" w:rsidRPr="00544497">
        <w:tab/>
        <w:t>napominje da je 2024. prijavljeno 13 slučajeva sindroma izgaranja na poslu, što je povećanje u odnosu na sedam slučajeva 2023.; sa zabrinutošću prima na znanje veliko povećanje prijavljenih slučajeva sindroma izgaranja na poslu 2024.; poziva Revizorski sud da provede temeljitu analizu razloga tog znatnog povećanja, među ostalim u pogledu raspodjele radnog opterećenja, organizacijskih pokretača i strukturnih rizika, te da zaključke utemeljene na dokazima uvrsti u svoje prakse planiranja i upravljanja ljudskim resursima kako bi se učinkovito spriječio sindrom izgaranja na poslu i poboljšalo radno okruženje; pozdravlja činjenicu da je Revizorski sud poduzeo više koraka kako bi smanjio rizik od sindroma izgaranja na poslu: uveo je program cjelovite dobrobiti, organizirao je radionice usmjerene na otpornost, objavio je i proveo smjernice za povratak na posao nakon dugotrajnog bolovanja, nastavio je pružati prvu pomoć u području mentalnog zdravlja te je pružao financijsku potporu osoblju pokrivanjem troškova deset seansi sa psihologom po vlastitom izboru; posebno napominje da je Revizorski sud 2024. organizirao četiri obvezna tečaja za rukovoditelje, s naglaskom na dobrobiti osoblja, uspješnosti, ravnoteži između poslovnog i privatnog života te sprečavanju sindroma izgaranja na poslu;</w:t>
      </w:r>
    </w:p>
    <w:p w14:paraId="07F07B1A" w14:textId="3F139240" w:rsidR="005D6E83" w:rsidRPr="00544497" w:rsidRDefault="00B61D95" w:rsidP="005D6E83">
      <w:pPr>
        <w:pStyle w:val="NormalHanging12a"/>
        <w:rPr>
          <w:szCs w:val="24"/>
        </w:rPr>
      </w:pPr>
      <w:r>
        <w:t>37</w:t>
      </w:r>
      <w:r w:rsidR="005D6E83" w:rsidRPr="00544497">
        <w:t>.</w:t>
      </w:r>
      <w:r w:rsidR="005D6E83" w:rsidRPr="00544497">
        <w:tab/>
        <w:t>pohvaljuje aktivnosti, ankete i tečajeve osposobljavanja Revizorskog suda za podizanje razine osviještenosti o politici Revizorskog suda protiv uznemiravanja i na radnom mjestu s poštovanjem, koji su 2024. ponuđeni njegovu osoblju, članovima i/ili oboma; sa zabrinutošću napominje da je 2024. provedena jedna administrativna istraga o navodima o seksualnom i psihološkom uznemiravanju, nakon koje su poduzete disciplinske mjere na temelju zaključka da je došlo do neprimjerenog ponašanja osobe pod istragom;</w:t>
      </w:r>
    </w:p>
    <w:p w14:paraId="2FAF424E" w14:textId="6CDE7B89" w:rsidR="005D6E83" w:rsidRPr="00544497" w:rsidRDefault="00B61D95" w:rsidP="005D6E83">
      <w:pPr>
        <w:pStyle w:val="NormalHanging12a"/>
        <w:rPr>
          <w:szCs w:val="24"/>
        </w:rPr>
      </w:pPr>
      <w:r>
        <w:t>38</w:t>
      </w:r>
      <w:r w:rsidR="005D6E83" w:rsidRPr="00544497">
        <w:t>.</w:t>
      </w:r>
      <w:r w:rsidR="005D6E83" w:rsidRPr="00544497">
        <w:tab/>
        <w:t xml:space="preserve">napominje da je, prema upitniku, Revizorski sud 2024. poduzeo brojne mjere, u skladu sa svojim Akcijskim planom za raznolikost i uključivanje za razdoblje 2021. – 2025., u različitim područjima kao što su zapošljavanje, osposobljavanje, razvoj karijere, radni uvjeti i osviještenost osoblja; napominje da Revizorski sud integrira razvoj i inovacije u svoje postupke upravljanja uspješnošću, evaluacije, certifikacije i promicanja, kao i u svoje programe osposobljavanja, pri čemu je 13 rukovoditelja 2024. provelo dobrovoljnu procjenu razvoja i inovacija; pozdravlja specijalizirani tečaj osposobljavanja pod nazivom „Porast broja žena na rukovodećim položajima: stjecanje vještina za uspjeh”, koju je Revizorski sud organizirao kako bi potaknuo žene na zauzimanje pozicija u rukovodstvu; nadalje pozdravlja nove programe pozitivnog djelovanja Revizorskog suda za pripravnike i ugovorno osoblje usmjerene na osobe s invaliditetom, pri čemu se osobama s priznatim invaliditetom nude dva pripravništva </w:t>
      </w:r>
      <w:r w:rsidR="005D6E83" w:rsidRPr="00544497">
        <w:lastRenderedPageBreak/>
        <w:t xml:space="preserve">godišnje; sa zadovoljstvom prima na znanje da je Revizorski sud 2024. organizirao četvrti tjedan osviještenosti o invaliditetu na Revizorskom sudu, na kojem je pokrenut novi plan za osobe s invaliditetom, ističući napore Revizorskog suda za </w:t>
      </w:r>
      <w:proofErr w:type="spellStart"/>
      <w:r w:rsidR="005D6E83" w:rsidRPr="00544497">
        <w:t>uključivije</w:t>
      </w:r>
      <w:proofErr w:type="spellEnd"/>
      <w:r w:rsidR="005D6E83" w:rsidRPr="00544497">
        <w:t xml:space="preserve"> radno mjesto; sa zadovoljstvom primjećuje da Revizorski sud također objavljuje srednjoročne revizije svojeg akcijskog plana za razvoj i inovacije kako bi se osigurala transparentnost i angažiranost u cijeloj organizaciji;</w:t>
      </w:r>
    </w:p>
    <w:p w14:paraId="718F641A" w14:textId="77777777" w:rsidR="005D6E83" w:rsidRPr="00544497" w:rsidRDefault="005D6E83" w:rsidP="005D6E83">
      <w:pPr>
        <w:pStyle w:val="NormalHanging12a"/>
        <w:rPr>
          <w:b/>
          <w:i/>
          <w:iCs/>
          <w:szCs w:val="24"/>
        </w:rPr>
      </w:pPr>
      <w:r w:rsidRPr="00544497">
        <w:rPr>
          <w:b/>
          <w:i/>
        </w:rPr>
        <w:t>Etički okvir i transparentnost</w:t>
      </w:r>
    </w:p>
    <w:p w14:paraId="25003B5F" w14:textId="2E363241" w:rsidR="005D6E83" w:rsidRPr="00544497" w:rsidRDefault="00B61D95" w:rsidP="005D6E83">
      <w:pPr>
        <w:pStyle w:val="NormalHanging12a"/>
        <w:rPr>
          <w:szCs w:val="24"/>
        </w:rPr>
      </w:pPr>
      <w:r>
        <w:t>39</w:t>
      </w:r>
      <w:r w:rsidR="005D6E83" w:rsidRPr="00544497">
        <w:t>.</w:t>
      </w:r>
      <w:r w:rsidR="005D6E83" w:rsidRPr="00544497">
        <w:tab/>
        <w:t>ističe ključnu ulogu Revizorskog suda kao neovisnog vanjskog revizora Unije i čuvara njezinih financija, zbog čega Revizorski sud mora poštovati najviše standarde integriteta, profesionalnosti i odgovornosti te načelo uzajamne lojalne suradnje među institucijama Unije te služiti kao ogledna institucija za poticanje povjerenja i vjerodostojnosti; podsjeća da, u skladu s člankom 285. UFEU-a, članovi Revizorskog suda moraju biti potpuno neovisni i pridržavati se najviših etičkih načela te demonstrirati integritet, objektivnost, profesionalno ponašanje, dostojanstvo, predanost i odanost;</w:t>
      </w:r>
    </w:p>
    <w:p w14:paraId="14F28428" w14:textId="7032A846" w:rsidR="005D6E83" w:rsidRPr="00544497" w:rsidRDefault="00B61D95" w:rsidP="005D6E83">
      <w:pPr>
        <w:pStyle w:val="NormalHanging12a"/>
        <w:rPr>
          <w:szCs w:val="24"/>
        </w:rPr>
      </w:pPr>
      <w:r>
        <w:t>40</w:t>
      </w:r>
      <w:r w:rsidR="005D6E83" w:rsidRPr="00544497">
        <w:t>.</w:t>
      </w:r>
      <w:r w:rsidR="005D6E83" w:rsidRPr="00544497">
        <w:tab/>
        <w:t>sa zabrinutošću primjećuje odbijanje Revizorskog suda da ukine imunitet svojem bivšem predsjedniku i odluku Revizorskog suda da odbije zahtjev Ureda europskog javnog tužitelja (EPPO) da se određenom broju članova osoblja Revizorskog suda omogući svjedočenje u kaznenoj istrazi koja je u tijeku; prima na znanje, na temelju izvješća o daljnjim mjerama, da Revizorski sud nije ukinuo navedeni imunitet jer EPPO Revizorskom sudu nije pružio „dostatne informacije na temelju kojih bi mogao razumjeti za koje su radnje optužene dotične osobe i u kojoj bi mjeri takve radnje mogle predstavljati kriminalno postupanje”, i da se Revizorski sud oslanja na sudsku praksu kao dio primjenjivog pravnog okvira u prilog tom stajalištu; napominje da je EPPO 10. veljače 2025. podnio žalbu (broj predmeta T-99/25) Sudu Europske unije u skladu s člankom 263. stavkom 4. UFEU-a protiv odluke Revizorskog suda da odbije zahtjev EPPO-a da se određenom broju članova osoblja Revizorskog suda omogući svjedočenje u kaznenoj istrazi koja je u tijeku; nadalje napominje da se navedenom žalbom nije osporilo to što dotičnim osobama nije ukinut imunitet; naglašava da se u skladu s dužnosti lojalne suradnje institucija Unije zahtijeva da se odobrenja za saslušanje osoblja u svojstvu svjedoka u kaznenim istragama uskraćuju samo u strogo iznimnim okolnostima; apelira na Revizorski sud da pojasni kriterije koji se primjenjuju pri odlučivanju o zahtjevima EPPO-a te da zajamči da se takve odluke ne mogu smatrati ometanjem sudskih istraga; poziva Revizorski sud da zadrži visoku razinu transparentnosti i odgovornosti u suradnji s EPPO-om i drugim tijelima Unije odgovornima za borbu protiv prijevara i povreda dužnosti te da osigura da se imunitet ne koristi kako bi se ometali legitimni sudski postupci;</w:t>
      </w:r>
    </w:p>
    <w:p w14:paraId="36C4A170" w14:textId="626E7C44" w:rsidR="005D6E83" w:rsidRPr="00544497" w:rsidRDefault="00B61D95" w:rsidP="005D6E83">
      <w:pPr>
        <w:pStyle w:val="NormalHanging12a"/>
        <w:rPr>
          <w:szCs w:val="24"/>
        </w:rPr>
      </w:pPr>
      <w:r>
        <w:t>41</w:t>
      </w:r>
      <w:r w:rsidR="005D6E83" w:rsidRPr="00544497">
        <w:t>.</w:t>
      </w:r>
      <w:r w:rsidR="005D6E83" w:rsidRPr="00544497">
        <w:tab/>
        <w:t>konstatira da 2024. na Revizorskom sudu nije bio zabilježen nijedan slučaj u vezi sa zviždačima; nadalje napominje da je Revizorski sud 2023. pokrenuo postupak ažuriranja pravila Revizorskog suda o provođenju administrativnih istraga i disciplinskih postupaka, koji je dovršen početkom 2024.;</w:t>
      </w:r>
    </w:p>
    <w:p w14:paraId="3072144A" w14:textId="43A219D7" w:rsidR="005D6E83" w:rsidRPr="00544497" w:rsidRDefault="00B61D95" w:rsidP="005D6E83">
      <w:pPr>
        <w:pStyle w:val="NormalHanging12a"/>
        <w:rPr>
          <w:szCs w:val="24"/>
        </w:rPr>
      </w:pPr>
      <w:r>
        <w:t>42</w:t>
      </w:r>
      <w:r w:rsidR="005D6E83" w:rsidRPr="00544497">
        <w:t>.</w:t>
      </w:r>
      <w:r w:rsidR="005D6E83" w:rsidRPr="00544497">
        <w:tab/>
        <w:t xml:space="preserve">sa zadovoljstvom primjećuje da je Revizorski sud uspostavio čvrst etički okvir koji uključuje etičke smjernice primjenjive i na članove i na osoblje Revizorskog suda te kodeks ponašanja za članove Revizorskog suda; napominje da Revizorski sud također ima Odbor za etička pitanja koji se redovito sastaje kako bi preispitao relevantna etička pitanja, uključujući vanjske aktivnosti članova, a koji čine dva člana Revizorskog suda i </w:t>
      </w:r>
      <w:r w:rsidR="005D6E83" w:rsidRPr="00544497">
        <w:lastRenderedPageBreak/>
        <w:t>jedan vanjski član; prima na znanje iz godišnjeg izvješća Odbora za etička pitanja za 2024. da je Odbor za etička pitanja održao šest sastanaka i primio 17 izjava sadašnjih članova Revizorskog suda (o vanjskim aktivnostima) i bivših članova Revizorskog suda (o planiranim zanimanjima nakon prestanka obnašanja dužnosti), pri čemu je za sve njih 2024. izdano pozitivno mišljenje;</w:t>
      </w:r>
    </w:p>
    <w:p w14:paraId="2381231E" w14:textId="3CC61E7A" w:rsidR="005D6E83" w:rsidRPr="00544497" w:rsidRDefault="00B61D95" w:rsidP="005D6E83">
      <w:pPr>
        <w:pStyle w:val="NormalHanging12a"/>
        <w:rPr>
          <w:szCs w:val="24"/>
        </w:rPr>
      </w:pPr>
      <w:r>
        <w:t>43</w:t>
      </w:r>
      <w:r w:rsidR="005D6E83" w:rsidRPr="00544497">
        <w:t>.</w:t>
      </w:r>
      <w:r w:rsidR="005D6E83" w:rsidRPr="00544497">
        <w:tab/>
        <w:t>napominje da se izjave o financijskim interesima članova Revizorskog suda popunjavaju svake godine i svaki put kada dođe do znatne promjene te se objavljuju na internetskim stranicama Revizorskog suda; sa zadovoljstvom primjećuje da se pojedinosti o službenim putovanjima članova Revizorskog suda, uključujući troškove, također objavljuju na internetu; pohvaljuje Revizorski sud zbog dovršetka rada na ažuriranju svojih pravila o provedbi administrativnih i stegovnih mjera 2024.; napominje da, prema upitniku, 2024. nije otkriven nijedan slučaj sukoba interesa;</w:t>
      </w:r>
    </w:p>
    <w:p w14:paraId="2C2CED46" w14:textId="178C1234" w:rsidR="005D6E83" w:rsidRPr="00544497" w:rsidRDefault="00B61D95" w:rsidP="005D6E83">
      <w:pPr>
        <w:pStyle w:val="NormalHanging12a"/>
        <w:rPr>
          <w:szCs w:val="24"/>
        </w:rPr>
      </w:pPr>
      <w:r>
        <w:t>44</w:t>
      </w:r>
      <w:r w:rsidR="005D6E83" w:rsidRPr="00544497">
        <w:t>.</w:t>
      </w:r>
      <w:r w:rsidR="005D6E83" w:rsidRPr="00544497">
        <w:tab/>
        <w:t>sa zadovoljstvom primjećuje da, prema upitniku, Revizorski sud svake godine organizira cjelodnevno osposobljavanje o etici; nadalje napominje da je Revizorski sud svem svojem osoblju, uključujući nove zaposlenike i rukovoditelje, omogućio tečajeve povezane s etikom, uključujući tri radionice o etici 2024.; napominje da su takvi tečajevi te godine privukli 681 sudionika;</w:t>
      </w:r>
    </w:p>
    <w:p w14:paraId="529752D2" w14:textId="73A30D3C" w:rsidR="005D6E83" w:rsidRPr="00544497" w:rsidRDefault="00B61D95" w:rsidP="005D6E83">
      <w:pPr>
        <w:pStyle w:val="NormalHanging12a"/>
        <w:rPr>
          <w:szCs w:val="24"/>
        </w:rPr>
      </w:pPr>
      <w:r>
        <w:t>45</w:t>
      </w:r>
      <w:r w:rsidR="005D6E83" w:rsidRPr="00544497">
        <w:t>.</w:t>
      </w:r>
      <w:r w:rsidR="005D6E83" w:rsidRPr="00544497">
        <w:tab/>
        <w:t xml:space="preserve">napominje da 2024. ni Europski ured za borbu protiv prijevara (OLAF) ni </w:t>
      </w:r>
      <w:proofErr w:type="spellStart"/>
      <w:r w:rsidR="005D6E83" w:rsidRPr="00544497">
        <w:t>Ombudsman</w:t>
      </w:r>
      <w:proofErr w:type="spellEnd"/>
      <w:r w:rsidR="005D6E83" w:rsidRPr="00544497">
        <w:t xml:space="preserve"> nisu pokrenuli istrage koje uključuju Revizorski sud;</w:t>
      </w:r>
    </w:p>
    <w:p w14:paraId="12512B91" w14:textId="513FA76A" w:rsidR="005D6E83" w:rsidRPr="00544497" w:rsidRDefault="00B61D95" w:rsidP="005D6E83">
      <w:pPr>
        <w:pStyle w:val="NormalHanging12a"/>
        <w:rPr>
          <w:szCs w:val="24"/>
        </w:rPr>
      </w:pPr>
      <w:r>
        <w:t>46</w:t>
      </w:r>
      <w:r w:rsidR="005D6E83" w:rsidRPr="00544497">
        <w:t>.</w:t>
      </w:r>
      <w:r w:rsidR="005D6E83" w:rsidRPr="00544497">
        <w:tab/>
        <w:t xml:space="preserve">ponavlja svoju kritiku, izraženu u prethodnim rezolucijama o razrješnici, odluke Revizorskog suda iz 2022. o putovanjima, službenim putovanjima i korištenju vozača i automobila njegovih članova, koja je u suprotnosti s općim načelom da se vozni park ni u kojem slučaju ne bi trebao upotrebljavati izvan strogog obavljanja dužnosti članova Revizorskog suda; nadalje ponavlja svoj poziv svim institucijama Unije da se dogovore o jedinstvenom sustavu u pogledu upotrebe službenih automobila koji će se primjenjivati horizontalno, čime bi se smanjila zbunjenost i povećala transparentnost i učinkovitost u upotrebi javnog novca; pozdravlja činjenicu da je Revizorski sud 2024. zajedno sa Sudom Europske unije pozvao Komisiju da sudjeluje u </w:t>
      </w:r>
      <w:proofErr w:type="spellStart"/>
      <w:r w:rsidR="005D6E83" w:rsidRPr="00544497">
        <w:t>međuinstitucijskom</w:t>
      </w:r>
      <w:proofErr w:type="spellEnd"/>
      <w:r w:rsidR="005D6E83" w:rsidRPr="00544497">
        <w:t xml:space="preserve"> dijalogu radi postizanja dogovora o zajedničkim pravilima o upotrebi službenih automobila; u tom kontekstu napominje da je, prema upitniku, osnovana </w:t>
      </w:r>
      <w:r w:rsidR="005D6E83" w:rsidRPr="00544497">
        <w:rPr>
          <w:i/>
        </w:rPr>
        <w:t xml:space="preserve">ad </w:t>
      </w:r>
      <w:proofErr w:type="spellStart"/>
      <w:r w:rsidR="005D6E83" w:rsidRPr="00544497">
        <w:rPr>
          <w:i/>
        </w:rPr>
        <w:t>hoc</w:t>
      </w:r>
      <w:proofErr w:type="spellEnd"/>
      <w:r w:rsidR="005D6E83" w:rsidRPr="00544497">
        <w:t xml:space="preserve"> radna skupina, da se sastala više puta i izdala nekoliko preporuka; poziva Revizorski sud da tijelo nadležno za davanje razrješnice nastavi obavještavati o napretku postignutom u tom pogledu;</w:t>
      </w:r>
    </w:p>
    <w:p w14:paraId="4F011505" w14:textId="120667A6" w:rsidR="005D6E83" w:rsidRPr="00544497" w:rsidRDefault="00B61D95" w:rsidP="005D6E83">
      <w:pPr>
        <w:pStyle w:val="NormalHanging12a"/>
        <w:rPr>
          <w:szCs w:val="24"/>
        </w:rPr>
      </w:pPr>
      <w:r>
        <w:t>47</w:t>
      </w:r>
      <w:r w:rsidR="005D6E83" w:rsidRPr="00544497">
        <w:t>.</w:t>
      </w:r>
      <w:r w:rsidR="005D6E83" w:rsidRPr="00544497">
        <w:tab/>
        <w:t>podsjeća na činjenicu da je Služba za unutarnju reviziju Revizorskog suda provela reviziju etičkog okvira koji se primjenjuje na osoblje i članove Revizorskog suda; napominje da je, prema završnom izvješću (02/2023) koje je Revizorski sud 9. srpnja 2024. poslao predsjednici Parlamenta i prema upitniku, Služba za unutarnju reviziju izdala 16 preporuka, od kojih je 15 već dovršeno, a jedna se odnosi na sukobe interesa osoblja i još je u tijeku; potiče Revizorski sud da bez odgode dovrši neprovedenu preporuku i poziva ga da propisno obavješćuje tijelo nadležno za davanje razrješnice o napretku postignutom u tom pogledu;</w:t>
      </w:r>
    </w:p>
    <w:p w14:paraId="77903542" w14:textId="1AC3127D" w:rsidR="005D6E83" w:rsidRPr="00544497" w:rsidRDefault="00B61D95" w:rsidP="005D6E83">
      <w:pPr>
        <w:pStyle w:val="NormalHanging12a"/>
        <w:rPr>
          <w:szCs w:val="24"/>
        </w:rPr>
      </w:pPr>
      <w:bookmarkStart w:id="10" w:name="_Hlk215774993"/>
      <w:r>
        <w:t>48</w:t>
      </w:r>
      <w:r w:rsidR="005D6E83" w:rsidRPr="00544497">
        <w:t>.</w:t>
      </w:r>
      <w:r w:rsidR="005D6E83" w:rsidRPr="00544497">
        <w:tab/>
        <w:t xml:space="preserve">napominje da, prema izvješću Revizorskog suda, 2024. nije utvrđen nijedan slučaj korupcije ili prijevare u unutarnjem poslovanju Revizorskog suda; cijeni što je Revizorski sud organizirao preventivno osposobljavanje o politikama i postupcima za borbu protiv korupcije, od čega je 2024. održano 10 sastanaka na kojima je sudjelovalo </w:t>
      </w:r>
      <w:r w:rsidR="005D6E83" w:rsidRPr="00544497">
        <w:lastRenderedPageBreak/>
        <w:t>ukupno 257 osoba; cijeni činjenicu da je, prema izvješću o daljnjim mjerama, Revizorski sud 2024. objavio jedinstveni konsolidirani dokument o rješavanju pitanja povezanih s prijevarama u kontekstu svojih revizijskih aktivnosti, u kojem se pružaju sveobuhvatne i detaljne smjernice za revizore Revizorskog suda, čime je uskladio način na koji revizijska vijeća Revizorskog suda rješavaju slučajeve sumnje na prijevaru, korupciju ili bilo koju drugu nezakonitu aktivnost koja utječe na financijske interese Unije otkrivene tijekom vanjske revizije te doprinio osiguravanju dosljednosti; napominje da se rizikom od prijevara u vezi s unutarnjim operacijama Revizorskog suda upravlja putem okvira unutarnje kontrole Revizorskog suda osmišljenog za sprečavanje, otkrivanje, ispravljanje i daljnje postupanje u vezi sa svim nepravilnostima koje uključuju članove ili osoblje Revizorskog suda i koje bi mogle utjecati na financijske interese Unije; nadalje prima na znanje stajalište Revizorskog suda da bi osmišljanje samostalne strategije za borbu protiv prijevara za unutarnje operacije „s obzirom na već uspostavljene opsežne kontrole podrazumijevalo nerazmjerno administrativno opterećenje”, ali i dalje traži od Revizorskog suda da donese strategiju za borbu protiv prijevara kojom bi se obuhvatile sve vrste operacija;</w:t>
      </w:r>
    </w:p>
    <w:bookmarkEnd w:id="10"/>
    <w:p w14:paraId="72581A03" w14:textId="681F9223" w:rsidR="005D6E83" w:rsidRPr="00544497" w:rsidRDefault="00B61D95" w:rsidP="005D6E83">
      <w:pPr>
        <w:pStyle w:val="NormalHanging12a"/>
        <w:rPr>
          <w:szCs w:val="24"/>
        </w:rPr>
      </w:pPr>
      <w:r>
        <w:t>49</w:t>
      </w:r>
      <w:r w:rsidR="005D6E83" w:rsidRPr="00544497">
        <w:t>.</w:t>
      </w:r>
      <w:r w:rsidR="005D6E83" w:rsidRPr="00544497">
        <w:tab/>
        <w:t>prima na znanje stajalište Revizorskog suda, kako je navedeno u izvješću o daljnjim mjerama, da ga njegova uloga neovisne vanjske revizijske institucije stavlja izvan uobičajenog opsega subjekata koji žele komunicirati s tijelima Unije nadležnima za donošenje odluka i lobirati u njima; smatra da taj argument nije u potpunosti primjenjiv jer Revizorski sud objavljuje tematska izvješća u kojima ispituje jesu li ostvareni ciljevi politika i programa Unije, što radu Revizorskog suda daje političku ili savjetodavnu dimenziju, čak i ako Revizorski sud nije tijelo koje donosi odluke; osim toga, podsjeća da postoje druga tijela Unije koja ne donose odluke i savjetodavna tijela Unije koja su se službeno pridružila registru transparentnosti Unije; ponavlja svoj poziv Revizorskom sudu da se bez odgode pridruži registru transparentnosti, u skladu s praksama drugih tijela Unije koja ne donose odluke, kako bi se ojačalo povjerenje javnosti i istodobno u potpunosti očuvala njegova neovisnost kao vanjskog revizora Unije;</w:t>
      </w:r>
    </w:p>
    <w:p w14:paraId="38EADACE" w14:textId="77777777" w:rsidR="005D6E83" w:rsidRPr="00544497" w:rsidRDefault="005D6E83" w:rsidP="005D6E83">
      <w:pPr>
        <w:pStyle w:val="NormalHanging12a"/>
        <w:rPr>
          <w:b/>
          <w:i/>
          <w:iCs/>
          <w:szCs w:val="24"/>
        </w:rPr>
      </w:pPr>
      <w:r w:rsidRPr="00544497">
        <w:rPr>
          <w:b/>
          <w:i/>
        </w:rPr>
        <w:t>Digitalizacija, kibernetička sigurnost i zaštita podataka</w:t>
      </w:r>
    </w:p>
    <w:p w14:paraId="24D8D21A" w14:textId="1E36465F" w:rsidR="005D6E83" w:rsidRPr="00544497" w:rsidRDefault="00B61D95" w:rsidP="005D6E83">
      <w:pPr>
        <w:pStyle w:val="NormalHanging12a"/>
        <w:rPr>
          <w:szCs w:val="24"/>
        </w:rPr>
      </w:pPr>
      <w:r>
        <w:t>50</w:t>
      </w:r>
      <w:r w:rsidR="005D6E83" w:rsidRPr="00544497">
        <w:t>.</w:t>
      </w:r>
      <w:r w:rsidR="005D6E83" w:rsidRPr="00544497">
        <w:tab/>
        <w:t>napominje da se, prema upitniku, ukupni proračun Revizorskog suda za informacijsku tehnologiju (hardver, softver, IT usluge i telekomunikacije) smanjio za 12,10 %, s približno 10,8 milijuna 2023. na približno 9,5 milijuna EUR 2024.; primjećuje, među velikim informatičkim projektima Revizorskog suda koji su financirani 2024., nadogradnju njegovih internetskih stranica i intraneta, migraciju na sigurnije rješenje za pristup na daljinu i provedbu novog sustava za upravljanje prijevodima;</w:t>
      </w:r>
    </w:p>
    <w:p w14:paraId="2D00EAF1" w14:textId="23367571" w:rsidR="005D6E83" w:rsidRPr="00544497" w:rsidRDefault="00B61D95" w:rsidP="005D6E83">
      <w:pPr>
        <w:pStyle w:val="NormalHanging12a"/>
        <w:rPr>
          <w:szCs w:val="24"/>
        </w:rPr>
      </w:pPr>
      <w:r>
        <w:t>51</w:t>
      </w:r>
      <w:r w:rsidR="005D6E83" w:rsidRPr="00544497">
        <w:t>.</w:t>
      </w:r>
      <w:r w:rsidR="005D6E83" w:rsidRPr="00544497">
        <w:tab/>
        <w:t xml:space="preserve">snažno podupire napore Revizorskog suda da digitalizacijom razvije ekosustav znanja o reviziji; u tom kontekstu napominje da je, prema upitniku, Revizorski sud 2024. proveo nekoliko inicijativa za poboljšanje svojih digitalnih kapaciteta i operativne učinkovitosti, uključujući integraciju informacijskih sustava revizije, povećanje interoperabilnosti među sustavima i aplikacijama, uvođenje pomoćnika za čitanje dokumenata (DORA) za potporu upravljanju znanjem u revizijskim aktivnostima, pokretanje službe za prikupljanje informacija </w:t>
      </w:r>
      <w:proofErr w:type="spellStart"/>
      <w:r w:rsidR="005D6E83" w:rsidRPr="00544497">
        <w:t>BibliotECA</w:t>
      </w:r>
      <w:proofErr w:type="spellEnd"/>
      <w:r w:rsidR="005D6E83" w:rsidRPr="00544497">
        <w:t xml:space="preserve"> i donošenje nove politike digitalnog arhiviranja; ističe da bi povezivanje digitalizacije s povećanim brojem provjera na licu mjesta trebalo dovesti do učinkovitijih i točnijih rezultata revizije; potiče daljnja ulaganja u revizijske alate potpomognute umjetnom inteligencijom i interoperabilnost sustavâ kako bi se povećala preciznost revizije, smanjilo administrativno opterećenje i maksimalno povećala vrijednost za uloženi novac;</w:t>
      </w:r>
    </w:p>
    <w:p w14:paraId="1741DB92" w14:textId="7B443C1A" w:rsidR="005D6E83" w:rsidRPr="00544497" w:rsidRDefault="00B61D95" w:rsidP="005D6E83">
      <w:pPr>
        <w:pStyle w:val="NormalHanging12a"/>
        <w:rPr>
          <w:szCs w:val="24"/>
        </w:rPr>
      </w:pPr>
      <w:r>
        <w:lastRenderedPageBreak/>
        <w:t>52</w:t>
      </w:r>
      <w:r w:rsidR="005D6E83" w:rsidRPr="00544497">
        <w:t>.</w:t>
      </w:r>
      <w:r w:rsidR="005D6E83" w:rsidRPr="00544497">
        <w:tab/>
        <w:t xml:space="preserve">cijeni objavu početne strategije Revizorskog suda za umjetnu inteligenciju i plana uvođenja za razdoblje 2024. – 2025.; sa zadovoljstvom napominje da je, prema upitniku, Revizorski sud ostvario stalan napredak u provedbi te strategije, usredotočujući se, među ostalim, na testiranje i pripremu za uvođenje alata kao što su Microsoft </w:t>
      </w:r>
      <w:proofErr w:type="spellStart"/>
      <w:r w:rsidR="005D6E83" w:rsidRPr="00544497">
        <w:t>Copilot</w:t>
      </w:r>
      <w:proofErr w:type="spellEnd"/>
      <w:r w:rsidR="005D6E83" w:rsidRPr="00544497">
        <w:t xml:space="preserve"> i GPT@EC, podizanje razine osviještenosti osoblja ciljanim osposobljavanjem u području umjetne inteligencije, kao i testiranje aplikacija umjetne inteligencije u revizijskom radu i razmjenu preliminarnih nalaza; nadalje pozdravlja jačanje upravljanja Revizorskog suda umjetnom inteligencijom, pri čemu je Revizorski sud 2024. osnovao Savjetodavni odbor za umjetnu inteligenciju i imenovao korespondenta za umjetnu inteligenciju; sa zadovoljstvom primjećuje da se Savjetodavni odbor za umjetnu inteligenciju, čija je uloga podupirati i savjetovati Revizorski sud u ispunjavanju njegovih obveza koje proizlaze iz pravnog i etičkog okvira kojim se uređuje upotreba umjetne inteligencije, sastoji od osoblja s kombinacijom stručnih znanja kako bi se osigurao sveobuhvatan pristup i razumijevanje učinka umjetne inteligencije; poziva Revizorski sud da u okviru svoje strategije za umjetnu inteligenciju razvije jasne pokazatelje za procjenu dodane vrijednosti, rizika i ograničenja revizijskih alata koji se temelje na umjetnoj inteligenciji te da redovito izvješćuje Parlament o njihovu utjecaju na kvalitetu revizije, transparentnost i odgovornost; naglašava da se umjetna inteligencija mora upotrebljavati uz pridržavanje strogih načela etičke upotrebe, transparentnosti, zaštite podataka, ljudskog nadzora i zaštite od algoritamske pristranosti ili zloupotrebe;</w:t>
      </w:r>
    </w:p>
    <w:p w14:paraId="54913679" w14:textId="03C2994D" w:rsidR="005D6E83" w:rsidRPr="00544497" w:rsidRDefault="00B61D95" w:rsidP="005D6E83">
      <w:pPr>
        <w:pStyle w:val="NormalHanging12a"/>
        <w:rPr>
          <w:szCs w:val="24"/>
        </w:rPr>
      </w:pPr>
      <w:r>
        <w:t>53</w:t>
      </w:r>
      <w:r w:rsidR="005D6E83" w:rsidRPr="00544497">
        <w:t>.</w:t>
      </w:r>
      <w:r w:rsidR="005D6E83" w:rsidRPr="00544497">
        <w:tab/>
        <w:t xml:space="preserve">napominje da je, prema upitniku, Revizorski sud ostvario napredak u provedbi svojeg plana za kibernetičku sigurnost te je 2024. ostvario nekoliko važnih ključnih etapa, uključujući uvođenje sustava autentifikacije bez lozinke putem sustava Windows </w:t>
      </w:r>
      <w:proofErr w:type="spellStart"/>
      <w:r w:rsidR="005D6E83" w:rsidRPr="00544497">
        <w:t>Hello</w:t>
      </w:r>
      <w:proofErr w:type="spellEnd"/>
      <w:r w:rsidR="005D6E83" w:rsidRPr="00544497">
        <w:t xml:space="preserve"> for Business, primjenu načela nultog povjerenja za jačanje sigurnosti pristupa za sustave u oblaku i sustave koji se temelje na sustavu EU Login te uvođenje alata za upravljanje povlaštenim pristupom kako bi se bolje zaštitila administracija IT sustava; nadalje napominje da je Revizorski sud također poboljšao svoju pripravnost u području kibernetičke sigurnosti sudjelovanjem u zajedničkoj vježbi za podizanje razine osviještenosti i pripravnosti u području kibernetičke sigurnosti (JASPER), koju zajednički organiziraju Služba za kibernetičku sigurnost institucija, tijela, ureda i agencija Unije (CERT-EU) i Agencija Europske unije za kibernetičku sigurnost (ENISA), te je podigao razinu osviještenosti osoblja s pomoću simulacijskih vježbi </w:t>
      </w:r>
      <w:proofErr w:type="spellStart"/>
      <w:r w:rsidR="005D6E83" w:rsidRPr="00544497">
        <w:rPr>
          <w:i/>
          <w:iCs/>
        </w:rPr>
        <w:t>phishinga</w:t>
      </w:r>
      <w:proofErr w:type="spellEnd"/>
      <w:r w:rsidR="005D6E83" w:rsidRPr="00544497">
        <w:t xml:space="preserve"> kako bi se ublažili rizici socijalnog inženjeringa;</w:t>
      </w:r>
    </w:p>
    <w:p w14:paraId="61E38FE7" w14:textId="5B7FC928" w:rsidR="005D6E83" w:rsidRPr="00544497" w:rsidRDefault="00B61D95" w:rsidP="005D6E83">
      <w:pPr>
        <w:pStyle w:val="NormalHanging12a"/>
        <w:rPr>
          <w:szCs w:val="24"/>
        </w:rPr>
      </w:pPr>
      <w:r>
        <w:t>54</w:t>
      </w:r>
      <w:r w:rsidR="005D6E83" w:rsidRPr="00544497">
        <w:t>.</w:t>
      </w:r>
      <w:r w:rsidR="005D6E83" w:rsidRPr="00544497">
        <w:tab/>
        <w:t>sa zabrinutošću napominje da je Revizorski sud doživio kibernetički napad, za koji je odgovornost preuzela proruska skupina, u okviru kojeg su srušene njegove javne internetske stranice u okviru koordiniranog djelovanja za destabilizaciju europskih izbora 2024.; pozdravlja predanost Revizorskog suda ponovnoj procjeni rizika za kibernetičku sigurnost najmanje svake dvije godine; potiče kontinuiranu provedbu redovitog osposobljavanja osoblja o kibernetičkim prijetnjama kako bi se povećala otpornost institucija; poziva Revizorski sud da obavješćuje tijelo nadležno za davanje razrješnice o ishodu svake procjene kibernetičko-sigurnosnih rizika koju bi Revizorski sud mogao provesti u kontekstu provedbe Uredbe (EU, Euratom) 2023/2841</w:t>
      </w:r>
      <w:r w:rsidR="005D6E83" w:rsidRPr="00544497">
        <w:rPr>
          <w:szCs w:val="24"/>
          <w:vertAlign w:val="superscript"/>
        </w:rPr>
        <w:footnoteReference w:id="7"/>
      </w:r>
      <w:r w:rsidR="005D6E83" w:rsidRPr="00544497">
        <w:t>;</w:t>
      </w:r>
    </w:p>
    <w:p w14:paraId="721489D9" w14:textId="7FEBE777" w:rsidR="005D6E83" w:rsidRPr="00544497" w:rsidRDefault="00B61D95" w:rsidP="005D6E83">
      <w:pPr>
        <w:pStyle w:val="NormalHanging12a"/>
        <w:rPr>
          <w:szCs w:val="24"/>
        </w:rPr>
      </w:pPr>
      <w:r>
        <w:lastRenderedPageBreak/>
        <w:t>55</w:t>
      </w:r>
      <w:r w:rsidR="005D6E83" w:rsidRPr="00544497">
        <w:t>.</w:t>
      </w:r>
      <w:r w:rsidR="005D6E83" w:rsidRPr="00544497">
        <w:tab/>
        <w:t xml:space="preserve">pozdravlja planirane inicijative za 2025. čiji je cilj daljnje jačanje digitalne transformacije i kibernetičke sigurnosti, kao što su uvođenje Microsoft </w:t>
      </w:r>
      <w:proofErr w:type="spellStart"/>
      <w:r w:rsidR="005D6E83" w:rsidRPr="00544497">
        <w:t>Copilota</w:t>
      </w:r>
      <w:proofErr w:type="spellEnd"/>
      <w:r w:rsidR="005D6E83" w:rsidRPr="00544497">
        <w:t xml:space="preserve">, provedba lokalnih modela generativne umjetne inteligencije i ugradnja biometrijske autentifikacije na prijenosna računala; također prima na znanje plan Revizorskog suda da nadogradi svoju informatičku infrastrukturu novim poslužiteljima, uvede nove kapacitete za potporu hibridnim sastancima i ojača suradnju s </w:t>
      </w:r>
      <w:proofErr w:type="spellStart"/>
      <w:r w:rsidR="005D6E83" w:rsidRPr="00544497">
        <w:t>Međuinstitucijskim</w:t>
      </w:r>
      <w:proofErr w:type="spellEnd"/>
      <w:r w:rsidR="005D6E83" w:rsidRPr="00544497">
        <w:t xml:space="preserve"> odborom za digitalnu transformaciju u području novih tehnologija kao što je umjetna inteligencija;</w:t>
      </w:r>
    </w:p>
    <w:p w14:paraId="18F9507B" w14:textId="181BB3C6" w:rsidR="005D6E83" w:rsidRPr="00544497" w:rsidRDefault="00B61D95" w:rsidP="005D6E83">
      <w:pPr>
        <w:pStyle w:val="NormalHanging12a"/>
        <w:rPr>
          <w:szCs w:val="24"/>
        </w:rPr>
      </w:pPr>
      <w:r>
        <w:t>56</w:t>
      </w:r>
      <w:r w:rsidR="005D6E83" w:rsidRPr="00544497">
        <w:t>.</w:t>
      </w:r>
      <w:r w:rsidR="005D6E83" w:rsidRPr="00544497">
        <w:tab/>
        <w:t>očekuje da će revidirana politika elektroničkog potpisa, koju je Revizorski sud uveo 2025., dodatno olakšati upotrebu naprednih elektroničkih potpisa i smanjiti oslanjanje na postupke u papirnatom obliku, posebno za vanjsku ugovornu dokumentaciju; sa zanimanjem iščekuje nastavak digitalizacije postupaka odobravanja i potpisivanja; uviđa pozitivan kvalitativni učinak digitalizacije na tijekove rada revizije, suradnju i transparentnost, čime se doprinosi bržim i pouzdanijim rezultatima revizije;</w:t>
      </w:r>
    </w:p>
    <w:p w14:paraId="2F9141E5" w14:textId="79CC6A00" w:rsidR="005D6E83" w:rsidRPr="00544497" w:rsidRDefault="00B61D95" w:rsidP="005D6E83">
      <w:pPr>
        <w:pStyle w:val="NormalHanging12a"/>
        <w:rPr>
          <w:szCs w:val="24"/>
        </w:rPr>
      </w:pPr>
      <w:r>
        <w:t>57</w:t>
      </w:r>
      <w:r w:rsidR="005D6E83" w:rsidRPr="00544497">
        <w:t>.</w:t>
      </w:r>
      <w:r w:rsidR="005D6E83" w:rsidRPr="00544497">
        <w:tab/>
        <w:t xml:space="preserve">pozdravlja stalne napore koje Revizorski sud ulaže u jačanje vještina osoblja u okviru svojeg programa osposobljavanja u području podataka i tehnologije o upotrebi revizije podataka i tehnologije, razvijenog u suradnji s timom Revizorskog suda za DATA-u; napominje da se tom inicijativom podupire digitalna transformacija institucije poticanjem kulture inovacija i pružanjem strukturiranog puta učenja od osnovne do napredne razine u podatkovnoj znanosti, umjetnoj inteligenciji i reviziji IT-a; uviđa širok raspon tečajeva održanih 2024., uključujući module o strojnom učenju, </w:t>
      </w:r>
      <w:proofErr w:type="spellStart"/>
      <w:r w:rsidR="005D6E83" w:rsidRPr="00544497">
        <w:t>kibersigurnosti</w:t>
      </w:r>
      <w:proofErr w:type="spellEnd"/>
      <w:r w:rsidR="005D6E83" w:rsidRPr="00544497">
        <w:t>, pravnom okviru kojim se uređuje upotreba umjetne inteligencije i vizualizaciji podataka, kao i praktično informatičko osposobljavanje o programu Microsoft Office i alatima specifičnima za reviziju, kojima se poboljšava tehničko stručno znanje i operativna učinkovitost revizora;</w:t>
      </w:r>
    </w:p>
    <w:p w14:paraId="7299C568" w14:textId="77777777" w:rsidR="005D6E83" w:rsidRPr="00544497" w:rsidRDefault="005D6E83" w:rsidP="005D6E83">
      <w:pPr>
        <w:pStyle w:val="NormalHanging12a"/>
        <w:rPr>
          <w:b/>
          <w:i/>
          <w:iCs/>
          <w:szCs w:val="24"/>
        </w:rPr>
      </w:pPr>
      <w:r w:rsidRPr="00544497">
        <w:rPr>
          <w:b/>
          <w:i/>
        </w:rPr>
        <w:t>Zgrade</w:t>
      </w:r>
    </w:p>
    <w:p w14:paraId="1037111C" w14:textId="320B6F3F" w:rsidR="005D6E83" w:rsidRPr="00544497" w:rsidRDefault="00B61D95" w:rsidP="005D6E83">
      <w:pPr>
        <w:pStyle w:val="NormalHanging12a"/>
        <w:rPr>
          <w:szCs w:val="24"/>
        </w:rPr>
      </w:pPr>
      <w:r>
        <w:t>58</w:t>
      </w:r>
      <w:r w:rsidR="005D6E83" w:rsidRPr="00544497">
        <w:t>.</w:t>
      </w:r>
      <w:r w:rsidR="005D6E83" w:rsidRPr="00544497">
        <w:tab/>
        <w:t>napominje da su, prema izvješću Revizorskog suda o proračunskom i financijskom upravljanju za 2024., za tekuću godinu odobrena sredstva za preuzimanje obveza za zgrade Revizorskog suda i povezane troškove iznosila približno 5,7 milijuna EUR (jednako kao 2023.), uz stopu izvršenja od 51,30 % u 2024., što je smanjenje u odnosu na 62,26 % u 2023.;</w:t>
      </w:r>
    </w:p>
    <w:p w14:paraId="2B98090F" w14:textId="7BB7976E" w:rsidR="005D6E83" w:rsidRPr="00544497" w:rsidRDefault="00B61D95" w:rsidP="005D6E83">
      <w:pPr>
        <w:pStyle w:val="NormalHanging12a"/>
        <w:rPr>
          <w:szCs w:val="24"/>
        </w:rPr>
      </w:pPr>
      <w:r>
        <w:t>59</w:t>
      </w:r>
      <w:r w:rsidR="005D6E83" w:rsidRPr="00544497">
        <w:t>.</w:t>
      </w:r>
      <w:r w:rsidR="005D6E83" w:rsidRPr="00544497">
        <w:tab/>
        <w:t>sa zadovoljstvom napominje da je Revizorski sud 2024. pokrenuo novu studiju o oznakama zgrada kao daljnju mjeru u odnosu na rezultate revizije pristupačnosti svih zgrada Revizorskog suda koja je provedena 2023.; nadalje napominje da je, prema upitniku, Revizorski sud nastavio ulagati napore u poboljšanje svojih zgrada uzimajući u obzir zahtjeve za pristupačnost pri modernizaciji ili obnovi dizala i zajedničkih prostora 2024.;</w:t>
      </w:r>
    </w:p>
    <w:p w14:paraId="02A04C89" w14:textId="4D39451B" w:rsidR="005D6E83" w:rsidRPr="00544497" w:rsidRDefault="00B61D95" w:rsidP="005D6E83">
      <w:pPr>
        <w:pStyle w:val="NormalHanging12a"/>
        <w:rPr>
          <w:szCs w:val="24"/>
        </w:rPr>
      </w:pPr>
      <w:r>
        <w:t>60</w:t>
      </w:r>
      <w:r w:rsidR="005D6E83" w:rsidRPr="00544497">
        <w:t>.</w:t>
      </w:r>
      <w:r w:rsidR="005D6E83" w:rsidRPr="00544497">
        <w:tab/>
        <w:t>primjećuje sljedeće među projektima Revizorskog suda povezanima sa zgradama koji su započeli ili dovršeni 2024.: prenamjena bivše prostorije podatkovnog centra, prva faza modernizacije audiovizualnog sustava u konferencijskoj dvorani K2, instalacija dviju čajnih kuhinja i radovi na krovu zgrade K2;</w:t>
      </w:r>
    </w:p>
    <w:p w14:paraId="5AA4CD34" w14:textId="77777777" w:rsidR="005D6E83" w:rsidRPr="00544497" w:rsidRDefault="005D6E83" w:rsidP="005D6E83">
      <w:pPr>
        <w:pStyle w:val="NormalHanging12a"/>
        <w:rPr>
          <w:b/>
          <w:i/>
          <w:iCs/>
          <w:szCs w:val="24"/>
        </w:rPr>
      </w:pPr>
      <w:r w:rsidRPr="00544497">
        <w:rPr>
          <w:b/>
          <w:i/>
        </w:rPr>
        <w:t>Okoliš i održivost</w:t>
      </w:r>
    </w:p>
    <w:p w14:paraId="7F612EE3" w14:textId="291CF740" w:rsidR="005D6E83" w:rsidRPr="00544497" w:rsidRDefault="00B61D95" w:rsidP="005D6E83">
      <w:pPr>
        <w:pStyle w:val="NormalHanging12a"/>
        <w:rPr>
          <w:szCs w:val="24"/>
        </w:rPr>
      </w:pPr>
      <w:r>
        <w:t>61</w:t>
      </w:r>
      <w:r w:rsidR="005D6E83" w:rsidRPr="00544497">
        <w:t>.</w:t>
      </w:r>
      <w:r w:rsidR="005D6E83" w:rsidRPr="00544497">
        <w:tab/>
        <w:t xml:space="preserve">sa zadovoljstvom pozdravlja stalne napore Revizorskog suda da bude održiva </w:t>
      </w:r>
      <w:r w:rsidR="005D6E83" w:rsidRPr="00544497">
        <w:lastRenderedPageBreak/>
        <w:t>institucija; napominje da je Revizorski sud 2024. objavio svoje četvrto izvješće o održivosti u kojem se mjere gospodarski, socijalni i okolišni učinci poslovanja Revizorskog suda; sa zadovoljstvom primjećuje da je 91 % tematskih izvješća i pregleda Revizorskog suda objavljenih 2024. obuhvaćalo teme relevantne za ciljeve održivog razvoja Ujedinjenih naroda; pozdravlja činjenicu da je 40 % ugovora Revizorskog suda o javnoj nabavi uključivalo kriterije zelenog i kružnog gospodarstva te da je 98 % robe i usluga Revizorskog suda 2024. kupljeno od lokalnih dobavljača;</w:t>
      </w:r>
    </w:p>
    <w:p w14:paraId="4E50B9FE" w14:textId="57460EF1" w:rsidR="005D6E83" w:rsidRPr="00544497" w:rsidRDefault="00B61D95" w:rsidP="005D6E83">
      <w:pPr>
        <w:pStyle w:val="NormalHanging12a"/>
        <w:rPr>
          <w:szCs w:val="24"/>
        </w:rPr>
      </w:pPr>
      <w:r>
        <w:t>62</w:t>
      </w:r>
      <w:r w:rsidR="005D6E83" w:rsidRPr="00544497">
        <w:t>.</w:t>
      </w:r>
      <w:r w:rsidR="005D6E83" w:rsidRPr="00544497">
        <w:tab/>
        <w:t>napominje da je Revizorski sud certificiran u okviru sustava upravljanja okolišem i neovisnog ocjenjivanja (EMAS) i da od 2014. ima politiku zaštite okoliša, koja je ažurirana 2025.; napominje da Revizorski sud mjeri svoj ugljični otisak najnovijom verzijom metode „</w:t>
      </w:r>
      <w:proofErr w:type="spellStart"/>
      <w:r w:rsidR="005D6E83" w:rsidRPr="00544497">
        <w:t>Bilan</w:t>
      </w:r>
      <w:proofErr w:type="spellEnd"/>
      <w:r w:rsidR="005D6E83" w:rsidRPr="00544497">
        <w:t xml:space="preserve"> </w:t>
      </w:r>
      <w:proofErr w:type="spellStart"/>
      <w:r w:rsidR="005D6E83" w:rsidRPr="00544497">
        <w:t>Carbon</w:t>
      </w:r>
      <w:proofErr w:type="spellEnd"/>
      <w:r w:rsidR="005D6E83" w:rsidRPr="00544497">
        <w:t>”, koja obuhvaća područja primjene na operativnoj (aktivnosti Revizorskog suda) i organizacijskoj razini (tri zgrade u Luxembourgu); napominje da su ukupne emisije stakleničkih plinova Revizorskog suda 2024. iznosile 9108 tona CO</w:t>
      </w:r>
      <w:r w:rsidR="005D6E83" w:rsidRPr="00544497">
        <w:rPr>
          <w:vertAlign w:val="subscript"/>
        </w:rPr>
        <w:t>2</w:t>
      </w:r>
      <w:r w:rsidR="005D6E83" w:rsidRPr="00544497">
        <w:t>, što je smanjenje od 15 % u odnosu na emisije iz 2014., ali povećanje od 1,60 % u odnosu na emisije iz 2023.; napominje da su kupnja robe i usluga te prijevoz putnika najviše doprinijeli ukupnim emisijama Revizorskog suda 2024., tj. 31 % odnosno 29 %;</w:t>
      </w:r>
    </w:p>
    <w:p w14:paraId="09FC251C" w14:textId="35B81256" w:rsidR="005D6E83" w:rsidRPr="00544497" w:rsidRDefault="00B61D95" w:rsidP="005D6E83">
      <w:pPr>
        <w:pStyle w:val="NormalHanging12a"/>
        <w:rPr>
          <w:szCs w:val="24"/>
        </w:rPr>
      </w:pPr>
      <w:r>
        <w:t>63</w:t>
      </w:r>
      <w:r w:rsidR="005D6E83" w:rsidRPr="00544497">
        <w:t>.</w:t>
      </w:r>
      <w:r w:rsidR="005D6E83" w:rsidRPr="00544497">
        <w:tab/>
        <w:t xml:space="preserve">sa zadovoljstvom prima na znanje izjavu Revizorskog suda o okolišu u kojoj su predstavljeni rezultati za 2024., uključujući već poduzete mjere i mjere planirane za provedbu, kojima se nastoji smanjiti utjecaj aktivnosti Revizorskog suda na okoliš te postići ili premašiti njegove godišnje ciljeve okolišne učinkovitosti; napominje da Revizorski sud mjeri svoju okolišnu učinkovitost s pomoću skupa pokazatelja i mjerila izvrsnosti; napominje da Revizorski sud u okviru svojeg programa zaštite okoliša za razdoblje 2023. – 2025. ima skup općih i posebnih ciljeva, od kojih je većina ostvarena 2024., posebno u pogledu smanjenja potrošnje energije Revizorskog suda (električna energija: -24 %; grijanje: -21,80 %), emisije u zrak (-30 %) i potrošnja vode (-45 %) te povećanje broja postupaka javne nabave koji uključuju ekološke kriterije (više od 30 %); primjećuje, međutim, promjenu trenda u pogledu broja tiskanih stranica (+9,1 %) i smanjenja godišnjeg stvaranja otpada (+27,50 %); cijeni mjere Revizorskog suda kao protutežu njegovu negativnom učinku na biološku raznolikost; napominje da je Revizorski sud u svojim prostorijama domaćin nekoliko kolonija pčela koje proizvode med koji prikuplja osoblje volontera i sudjeluje u inicijativama za sadnju stabala u Luksemburgu te je sudjelovao u drugim aktivnostima povezanima s okolišem u okviru sudjelovanja Revizorskog suda na </w:t>
      </w:r>
      <w:proofErr w:type="spellStart"/>
      <w:r w:rsidR="005D6E83" w:rsidRPr="00544497">
        <w:t>međuinstitucijskim</w:t>
      </w:r>
      <w:proofErr w:type="spellEnd"/>
      <w:r w:rsidR="005D6E83" w:rsidRPr="00544497">
        <w:t xml:space="preserve"> danima EMAS-a Unije 2024.; pozdravlja činjenicu da se broj članova osoblja koji koriste gradske bicikle za javno iznajmljivanje povećao sa 172 u 2023. na 201 u 2024.; pozdravlja potporu Revizorskog suda za korištenje mobilnosti za putovanje na posao, kao što je vožnja biciklom, pokrivanjem troškova pretplate na luksemburški program javnog iznajmljivanja bicikala ili javnog prijevoza djelomičnom nadoknadom sezonskih karata za prekogranično osoblje, pri čemu se broj osoblja koje koristi tu vrstu programa povrata troškova povećao s 28 u 2023. na 30 u 2024.;</w:t>
      </w:r>
    </w:p>
    <w:p w14:paraId="292862DD" w14:textId="71A43E76" w:rsidR="005D6E83" w:rsidRPr="00544497" w:rsidRDefault="00B61D95" w:rsidP="005D6E83">
      <w:pPr>
        <w:pStyle w:val="NormalHanging12a"/>
        <w:rPr>
          <w:szCs w:val="24"/>
        </w:rPr>
      </w:pPr>
      <w:r>
        <w:t>64</w:t>
      </w:r>
      <w:r w:rsidR="005D6E83" w:rsidRPr="00544497">
        <w:t>.</w:t>
      </w:r>
      <w:r w:rsidR="005D6E83" w:rsidRPr="00544497">
        <w:tab/>
        <w:t>podsjeća da je Revizorski sud 2023. potpisao konvenciju s luksemburškim vlastima o uspostavi plana mobilnosti; napominje da je prema upitniku plan mobilnosti dostavljen sa zakašnjenjem u travnju 2025. i da će se rezultati analize plana uzeti u obzir pri razvoju programa EMAS za razdoblje 2026. – 2028.;</w:t>
      </w:r>
    </w:p>
    <w:p w14:paraId="0D657AE6" w14:textId="77777777" w:rsidR="005D6E83" w:rsidRPr="00544497" w:rsidRDefault="005D6E83" w:rsidP="005D6E83">
      <w:pPr>
        <w:pStyle w:val="NormalHanging12a"/>
        <w:rPr>
          <w:b/>
          <w:i/>
          <w:iCs/>
          <w:szCs w:val="24"/>
        </w:rPr>
      </w:pPr>
      <w:proofErr w:type="spellStart"/>
      <w:r w:rsidRPr="00544497">
        <w:rPr>
          <w:b/>
          <w:i/>
        </w:rPr>
        <w:t>Međuinstitucijska</w:t>
      </w:r>
      <w:proofErr w:type="spellEnd"/>
      <w:r w:rsidRPr="00544497">
        <w:rPr>
          <w:b/>
          <w:i/>
        </w:rPr>
        <w:t xml:space="preserve"> suradnja</w:t>
      </w:r>
    </w:p>
    <w:p w14:paraId="09288F64" w14:textId="44FD312C" w:rsidR="005D6E83" w:rsidRPr="00544497" w:rsidRDefault="00B61D95" w:rsidP="005D6E83">
      <w:pPr>
        <w:pStyle w:val="NormalHanging12a"/>
        <w:rPr>
          <w:szCs w:val="24"/>
        </w:rPr>
      </w:pPr>
      <w:r>
        <w:lastRenderedPageBreak/>
        <w:t>65</w:t>
      </w:r>
      <w:r w:rsidR="005D6E83" w:rsidRPr="00544497">
        <w:t>.</w:t>
      </w:r>
      <w:r w:rsidR="005D6E83" w:rsidRPr="00544497">
        <w:tab/>
        <w:t xml:space="preserve">potvrđuje da se </w:t>
      </w:r>
      <w:proofErr w:type="spellStart"/>
      <w:r w:rsidR="005D6E83" w:rsidRPr="00544497">
        <w:t>međuinstitucijskom</w:t>
      </w:r>
      <w:proofErr w:type="spellEnd"/>
      <w:r w:rsidR="005D6E83" w:rsidRPr="00544497">
        <w:t xml:space="preserve"> suradnjom povećava učinkovitost upotrebom zajedničkih alata i usluga, čime se ostvaruju uštede koje omogućuju unutarnju preraspodjelu osoblja, osiguravaju bolje cijene zbog ekonomije razmjera i omogućuje pristup specijaliziranom stručnom znanju u okviru drugih tijela Unije; primjećuje da je Revizorski sud 2024. nastavio ili proširio svoju suradnju postojećim i novim sporazumima o razini usluga, među ostalim u području upravljanja mirovinama, transformacije ljudskih resursa i izdavanja propusnica Unije, te sudjelovanjem u </w:t>
      </w:r>
      <w:proofErr w:type="spellStart"/>
      <w:r w:rsidR="005D6E83" w:rsidRPr="00544497">
        <w:t>međuinstitucijskim</w:t>
      </w:r>
      <w:proofErr w:type="spellEnd"/>
      <w:r w:rsidR="005D6E83" w:rsidRPr="00544497">
        <w:t xml:space="preserve"> odborima i partnerstvima kao što su zajednički financijski sustavi te kibernetička sigurnost i digitalna transformacija; nadalje napominje da je ta suradnja olakšala razmjenu i razvoj informatičkih rješenja, što je 2024. dovelo do znatnih proračunskih ušteda u područjima, uključujući IT, upravljanje misijama i ljudske resurse, pri čemu se Revizorski sud koristio alatima za ljudske resurse, osposobljavanje i e-prevođenje koje je razvila Komisija uz trošak od približno 500 000 EUR, a računovodstvenim uslugama SAP-a u organizaciji Vijeća uz trošak od približno 170 000 EUR; pozdravlja činjenicu da se Sud Europske škole za javnu upravu kontinuirano koristi uslugama osposobljavanja i certificiranja;</w:t>
      </w:r>
    </w:p>
    <w:p w14:paraId="7411ADE4" w14:textId="40544C03" w:rsidR="005D6E83" w:rsidRPr="00544497" w:rsidRDefault="00B61D95" w:rsidP="005D6E83">
      <w:pPr>
        <w:pStyle w:val="NormalHanging12a"/>
        <w:rPr>
          <w:szCs w:val="24"/>
        </w:rPr>
      </w:pPr>
      <w:r>
        <w:t>66</w:t>
      </w:r>
      <w:r w:rsidR="005D6E83" w:rsidRPr="00544497">
        <w:t>.</w:t>
      </w:r>
      <w:r w:rsidR="005D6E83" w:rsidRPr="00544497">
        <w:tab/>
        <w:t>ponovno podsjeća da će učinkovita suradnja između Revizorskog suda i Komisije ostati ograničena ako Komisija ne usvoji metodologiju Revizorskog suda za procjenu stopa pogreške, koja se temelji na neovisnoj i sveobuhvatnoj procjeni svih povreda pravila, za razliku od usredotočenosti Komisije na pogreške koje se mogu povratiti;</w:t>
      </w:r>
    </w:p>
    <w:p w14:paraId="6548F75E" w14:textId="7CF4DF8F" w:rsidR="005D6E83" w:rsidRPr="00544497" w:rsidRDefault="00B61D95" w:rsidP="005D6E83">
      <w:pPr>
        <w:pStyle w:val="NormalHanging12a"/>
        <w:rPr>
          <w:szCs w:val="24"/>
        </w:rPr>
      </w:pPr>
      <w:r>
        <w:t>67</w:t>
      </w:r>
      <w:r w:rsidR="005D6E83" w:rsidRPr="00544497">
        <w:t>.</w:t>
      </w:r>
      <w:r w:rsidR="005D6E83" w:rsidRPr="00544497">
        <w:tab/>
        <w:t xml:space="preserve">pozdravlja činjenicu da Revizorski sud blisko surađuje i s OLAF-om i s EPPO-om, među ostalim organiziranjem radionica i događanja za podizanje razine osviještenosti te razmjenom znanja i iskustava; pozdravlja predanost Revizorskog suda da sve sumnje </w:t>
      </w:r>
      <w:r w:rsidR="005D6E83" w:rsidRPr="00544497">
        <w:rPr>
          <w:i/>
        </w:rPr>
        <w:t xml:space="preserve">prima </w:t>
      </w:r>
      <w:proofErr w:type="spellStart"/>
      <w:r w:rsidR="005D6E83" w:rsidRPr="00544497">
        <w:rPr>
          <w:i/>
        </w:rPr>
        <w:t>facie</w:t>
      </w:r>
      <w:proofErr w:type="spellEnd"/>
      <w:r w:rsidR="005D6E83" w:rsidRPr="00544497">
        <w:t xml:space="preserve"> utemeljene na dokazima nastavi prosljeđivati OLAF-u, EPPO-u ili obama tijelima; napominje da je Revizorski sud 2024. OLAF-u proslijedio 19 slučajeva sumnje na prijevaru i sedam od tih slučajeva EPPO-u;</w:t>
      </w:r>
    </w:p>
    <w:p w14:paraId="3B46AE96" w14:textId="5931744C" w:rsidR="005D6E83" w:rsidRPr="00544497" w:rsidRDefault="00B61D95" w:rsidP="005D6E83">
      <w:pPr>
        <w:pStyle w:val="NormalHanging12a"/>
        <w:rPr>
          <w:szCs w:val="24"/>
        </w:rPr>
      </w:pPr>
      <w:r>
        <w:t>68</w:t>
      </w:r>
      <w:r w:rsidR="005D6E83" w:rsidRPr="00544497">
        <w:t>.</w:t>
      </w:r>
      <w:r w:rsidR="005D6E83" w:rsidRPr="00544497">
        <w:tab/>
        <w:t>uvjeren je da bi jedinstveni integrirani informatički sustav za rudarenje podataka i procjenu rizika mogao biti vrijedan izvor podataka, što bi bio doprinos naporima koje Revizorski sud, OLAF i EPPO ulažu u reviziju i kontrolu; naglašava da bi neograničen pristup tom sustavu i njegovim podacima trebalo omogućiti bez neopravdanih ograničenja te da bi takav pristup odmah omogućio istraživanje i upotrebu dodatnih digitalnih alata i tehnologija u nastajanju u okviru revizija Revizorskog suda;</w:t>
      </w:r>
    </w:p>
    <w:p w14:paraId="21A47760" w14:textId="5947717B" w:rsidR="005D6E83" w:rsidRPr="00544497" w:rsidRDefault="00B61D95" w:rsidP="005D6E83">
      <w:pPr>
        <w:pStyle w:val="NormalHanging12a"/>
        <w:rPr>
          <w:bCs/>
          <w:iCs/>
          <w:szCs w:val="24"/>
        </w:rPr>
      </w:pPr>
      <w:r>
        <w:t>69</w:t>
      </w:r>
      <w:r w:rsidR="005D6E83" w:rsidRPr="00544497">
        <w:t>.</w:t>
      </w:r>
      <w:r w:rsidR="005D6E83" w:rsidRPr="00544497">
        <w:tab/>
        <w:t>ističe važnu ulogu Revizorskog suda u strukturi Unije za borbu protiv prijevara; napominje da se u revizijama i tematskim izvješćima Revizorskog suda sustavno utvrđuju nedostaci, nepravilnosti i rizici, čime se pokreće primjena korektivnih mjera i postupaka povrata koje provode Komisija, države članice i drugi sudionici u strukturi za borbu protiv prijevara; napominje da tom funkcijom nadzora Revizorski sud ne samo da povećava transparentnost i odgovornost već jača i ukupni kapacitet sustava EU-a za odvraćanje i otkrivanje, čime se osigurava dobro upravljanje javnim sredstvima i njihova zaštita od prijevara i zloupotrebe;</w:t>
      </w:r>
    </w:p>
    <w:p w14:paraId="3D847145" w14:textId="24D96EC7" w:rsidR="005D6E83" w:rsidRPr="00544497" w:rsidRDefault="00B61D95" w:rsidP="005D6E83">
      <w:pPr>
        <w:pStyle w:val="NormalHanging12a"/>
        <w:rPr>
          <w:szCs w:val="24"/>
        </w:rPr>
      </w:pPr>
      <w:r>
        <w:t>70</w:t>
      </w:r>
      <w:r w:rsidR="005D6E83" w:rsidRPr="00544497">
        <w:t>.</w:t>
      </w:r>
      <w:r w:rsidR="005D6E83" w:rsidRPr="00544497">
        <w:tab/>
        <w:t xml:space="preserve">pozdravlja otvorenost Revizorskog suda za uspostavu godišnjeg </w:t>
      </w:r>
      <w:proofErr w:type="spellStart"/>
      <w:r w:rsidR="005D6E83" w:rsidRPr="00544497">
        <w:t>međuinstitucijskog</w:t>
      </w:r>
      <w:proofErr w:type="spellEnd"/>
      <w:r w:rsidR="005D6E83" w:rsidRPr="00544497">
        <w:t xml:space="preserve"> dijaloga između Revizorskog suda, Parlamenta, Vijeća i Komisije, kao što je Parlament zatražio u svojim rezolucijama o razrješnici;</w:t>
      </w:r>
    </w:p>
    <w:p w14:paraId="1CFA4447" w14:textId="447B7BC5" w:rsidR="005D6E83" w:rsidRPr="00544497" w:rsidRDefault="00B61D95" w:rsidP="005D6E83">
      <w:pPr>
        <w:pStyle w:val="NormalHanging12a"/>
        <w:rPr>
          <w:szCs w:val="24"/>
        </w:rPr>
      </w:pPr>
      <w:r>
        <w:t>71</w:t>
      </w:r>
      <w:r w:rsidR="005D6E83" w:rsidRPr="00544497">
        <w:t>.</w:t>
      </w:r>
      <w:r w:rsidR="005D6E83" w:rsidRPr="00544497">
        <w:tab/>
        <w:t xml:space="preserve">ponovno izražava žaljenje zbog toga što, unatoč poboljšanom pristupu dokumentima i informacijama Europske investicijske banke (EIB), Revizorski sud nema mandat za </w:t>
      </w:r>
      <w:r w:rsidR="005D6E83" w:rsidRPr="00544497">
        <w:lastRenderedPageBreak/>
        <w:t>reviziju operacija koje se financiraju vlastitim sredstvima EIB-a; poziva na to da se taj mandat dodijeli Revizorskom sudu, s obzirom na misiju EIB-a da ostvaruje ciljeve Unije te njegovu sve veću ulogu u gospodarskom i političkom okruženju Unije, koja nadilazi iskorištavanje proračuna Unije kako bi se zajamčilo njezino djelovanje; podsjeća da je Revizorski sud u tematskom izvješću br. 5/2023 naslovljenom „Financijska struktura EU-a – Niz pojedinačnih sastavnica koje zahtijevaju dodatno pojednostavnjenje i više odgovornosti” izjavio da bi trebalo uspostaviti mandat za javnu reviziju za sve vrste financiranja politika Unije;</w:t>
      </w:r>
    </w:p>
    <w:p w14:paraId="481A13F6" w14:textId="5048063D" w:rsidR="005D6E83" w:rsidRPr="00544497" w:rsidRDefault="00B61D95" w:rsidP="005D6E83">
      <w:pPr>
        <w:pStyle w:val="NormalHanging12a"/>
        <w:rPr>
          <w:szCs w:val="24"/>
        </w:rPr>
      </w:pPr>
      <w:r>
        <w:t>72</w:t>
      </w:r>
      <w:r w:rsidR="005D6E83" w:rsidRPr="00544497">
        <w:t>.</w:t>
      </w:r>
      <w:r w:rsidR="005D6E83" w:rsidRPr="00544497">
        <w:tab/>
        <w:t xml:space="preserve">pozdravlja činjenicu da, prema upitniku, postoji bliska suradnja između Revizorskog suda i Europskog nadzornika za zaštitu podataka, prije svega preko službenika Revizorskog suda za zaštitu podataka; napominje da takva suradnja obuhvaća tumačenje posebnih odredbi Uredbe (EU) 2018/1725, aktivnosti razmjene znanja i druge </w:t>
      </w:r>
      <w:proofErr w:type="spellStart"/>
      <w:r w:rsidR="005D6E83" w:rsidRPr="00544497">
        <w:t>međuinstitucijske</w:t>
      </w:r>
      <w:proofErr w:type="spellEnd"/>
      <w:r w:rsidR="005D6E83" w:rsidRPr="00544497">
        <w:t xml:space="preserve"> razmjene i doprinose u području umjetne inteligencije; cijeni sudjelovanje Revizorskog suda u vježbi „Osviještenost o povredama osobnih podataka u rješavanju </w:t>
      </w:r>
      <w:proofErr w:type="spellStart"/>
      <w:r w:rsidR="005D6E83" w:rsidRPr="00544497">
        <w:t>kibernetičkosigurnosnih</w:t>
      </w:r>
      <w:proofErr w:type="spellEnd"/>
      <w:r w:rsidR="005D6E83" w:rsidRPr="00544497">
        <w:t xml:space="preserve"> incidenata”, koju su organizirali Europski nadzornik za zaštitu podataka i ENISA, a čiji je cilj bio podići razinu osviještenosti osoblja o upravljanju povredama osobnih podataka;</w:t>
      </w:r>
    </w:p>
    <w:p w14:paraId="2B7C98BD" w14:textId="77777777" w:rsidR="005D6E83" w:rsidRPr="00544497" w:rsidRDefault="005D6E83" w:rsidP="005D6E83">
      <w:pPr>
        <w:pStyle w:val="NormalHanging12a"/>
        <w:rPr>
          <w:b/>
          <w:i/>
          <w:iCs/>
          <w:szCs w:val="24"/>
        </w:rPr>
      </w:pPr>
      <w:r w:rsidRPr="00544497">
        <w:rPr>
          <w:b/>
          <w:i/>
        </w:rPr>
        <w:t>Komunikacije</w:t>
      </w:r>
    </w:p>
    <w:p w14:paraId="65FC525D" w14:textId="76242B8C" w:rsidR="005D6E83" w:rsidRPr="00544497" w:rsidRDefault="00B61D95" w:rsidP="005D6E83">
      <w:pPr>
        <w:pStyle w:val="NormalHanging12a"/>
        <w:rPr>
          <w:szCs w:val="24"/>
        </w:rPr>
      </w:pPr>
      <w:r>
        <w:t>73</w:t>
      </w:r>
      <w:r w:rsidR="005D6E83" w:rsidRPr="00544497">
        <w:t>.</w:t>
      </w:r>
      <w:r w:rsidR="005D6E83" w:rsidRPr="00544497">
        <w:tab/>
        <w:t>prima na znanje činjenicu da je 2024. proračun dodijeljen za komunikacijske i promotivne aktivnosti Revizorskog suda iznosio 225 000 EUR (jednako kao 2023.), uz stopu iskorištenosti od 92,32 % (povećanje u usporedbi s 81,13 % u 2023.); konstatira da je većina proračuna potrošena na usluge praćenja medija (80 000 EUR) i na aktivnosti za medije (18 133,91 EUR), nakon čega slijede rashodi za odnose s dionicima, koji su uglavnom obuhvaćali troškove platforme za razmjenu informacija o politikama (62 100 EUR), komunikacijske aktivnosti (32 543,37 EUR), društvene medije (8604,66 EUR) i publikacije (6346,47 EUR);</w:t>
      </w:r>
    </w:p>
    <w:p w14:paraId="1BF0B379" w14:textId="64A78E72" w:rsidR="005D6E83" w:rsidRPr="00544497" w:rsidRDefault="00B61D95" w:rsidP="005D6E83">
      <w:pPr>
        <w:pStyle w:val="NormalHanging12a"/>
        <w:rPr>
          <w:szCs w:val="24"/>
        </w:rPr>
      </w:pPr>
      <w:r>
        <w:t>74</w:t>
      </w:r>
      <w:r w:rsidR="005D6E83" w:rsidRPr="00544497">
        <w:t>.</w:t>
      </w:r>
      <w:r w:rsidR="005D6E83" w:rsidRPr="00544497">
        <w:tab/>
        <w:t xml:space="preserve">podržava rastuću medijsku strategiju Revizorskog suda, koja je 2024. dovela do rekordne objave više od 24 000 novinskih članaka na internetu, koji obuhvaćaju revizijska izvješća Revizorskog suda, druge publikacije ili Revizorski sud općenito, čime se potvrđuje uzlazni trend pokrivenosti zabilježen posljednjih godina (2023.: 22 000; 2022.: 20 000; 2021.: 18 000); sa zadovoljstvom napominje da je, prema izvješću Revizorskog suda, došlo do povećanja broja posjetitelja internetskih stranica Revizorskog suda, pokrenutih 2023., sa 780 000 posjeta 2024. (2023.: 700 000), 1 295 025 jedinstvenih pregleda stranica i 56 440 preuzimanja; pozdravlja činjenicu da su do kraja 2024. četiri glavna računa Revizorskog suda na društvenim mrežama (X, LinkedIn, Facebook, Instagram) privukla više od 61 500 pratitelja, što je povećanje u usporedbi s 55 000 u 2023. i 49 500 u 2022.; pohvaljuje Revizorski sud zbog pokretanja prvog mjesečnog biltena na mreži LinkedIn (ECA </w:t>
      </w:r>
      <w:proofErr w:type="spellStart"/>
      <w:r w:rsidR="005D6E83" w:rsidRPr="00544497">
        <w:t>Insights</w:t>
      </w:r>
      <w:proofErr w:type="spellEnd"/>
      <w:r w:rsidR="005D6E83" w:rsidRPr="00544497">
        <w:t>) u studenome 2024., u kojem se navode najvažnije točke nedavnih izvješća i pregledi predstojećih revizija i koji je do kraja te godine privukao više od 8 500 pretplatnika;</w:t>
      </w:r>
    </w:p>
    <w:p w14:paraId="7C21DBD4" w14:textId="0B109D89" w:rsidR="005D6E83" w:rsidRPr="00544497" w:rsidRDefault="00B61D95" w:rsidP="005D6E83">
      <w:pPr>
        <w:pStyle w:val="NormalHanging12a"/>
        <w:rPr>
          <w:szCs w:val="24"/>
        </w:rPr>
      </w:pPr>
      <w:r>
        <w:t>75</w:t>
      </w:r>
      <w:r w:rsidR="005D6E83" w:rsidRPr="00544497">
        <w:t>.</w:t>
      </w:r>
      <w:r w:rsidR="005D6E83" w:rsidRPr="00544497">
        <w:tab/>
        <w:t xml:space="preserve">pozdravlja činjenicu da Revizorski sud ima digitalno dostupnu internetsku stranicu (razina A++), koju dvaput godišnje revidira vanjski konzultant kako bi procijenio usklađenost internetske stranice s relevantnim standardima pristupačnosti i utvrdio prepreke pristupačnosti za korisnike s invaliditetom; cijeni činjenicu da je provedba pristupačnosti općenito ocijenjena vrlo dobrom i napominje da su kao rezultat revizije predložene neke preporuke za daljnje poboljšanje i održavanje ocjene pristupačnosti </w:t>
      </w:r>
      <w:r w:rsidR="005D6E83" w:rsidRPr="00544497">
        <w:lastRenderedPageBreak/>
        <w:t>internetskih stranica;</w:t>
      </w:r>
    </w:p>
    <w:p w14:paraId="39FB6108" w14:textId="17783663" w:rsidR="005D6E83" w:rsidRPr="00544497" w:rsidRDefault="00B61D95" w:rsidP="005D6E83">
      <w:pPr>
        <w:pStyle w:val="NormalHanging12a"/>
        <w:rPr>
          <w:szCs w:val="24"/>
        </w:rPr>
      </w:pPr>
      <w:r>
        <w:t>76</w:t>
      </w:r>
      <w:r w:rsidR="005D6E83" w:rsidRPr="00544497">
        <w:t>.</w:t>
      </w:r>
      <w:r w:rsidR="005D6E83" w:rsidRPr="00544497">
        <w:tab/>
        <w:t xml:space="preserve">napominje da je Revizorski sud 2024. objavio 44 priopćenja za medije na 24 jezika Unije te razne informativne bilješke, obavijesti za medije i </w:t>
      </w:r>
      <w:proofErr w:type="spellStart"/>
      <w:r w:rsidR="005D6E83" w:rsidRPr="00544497">
        <w:t>audioizjave</w:t>
      </w:r>
      <w:proofErr w:type="spellEnd"/>
      <w:r w:rsidR="005D6E83" w:rsidRPr="00544497">
        <w:t xml:space="preserve"> spremne za upotrebu na određenim jezicima; nadalje napominje da je Revizorski sud održao 20 virtualnih tiskovnih konferencija i 14 dodatnih tiskovnih konferencija usmjerenih na pojedine zemlje u vezi s godišnjim izvješćem u toj godini; ističe da su te konferencije sveukupno privukle 876 novinara, od kojih je većina predstavljala vodeće nacionalne medijske kuće u državama članicama;</w:t>
      </w:r>
    </w:p>
    <w:p w14:paraId="7BC6440C" w14:textId="79CB2E7B" w:rsidR="005D6E83" w:rsidRPr="00544497" w:rsidRDefault="00B61D95" w:rsidP="005D6E83">
      <w:pPr>
        <w:pStyle w:val="NormalHanging12a"/>
        <w:rPr>
          <w:bCs/>
          <w:iCs/>
        </w:rPr>
      </w:pPr>
      <w:r>
        <w:t>77</w:t>
      </w:r>
      <w:r w:rsidR="005D6E83" w:rsidRPr="00544497">
        <w:t>.</w:t>
      </w:r>
      <w:r w:rsidR="005D6E83" w:rsidRPr="00544497">
        <w:tab/>
        <w:t>pozdravlja tematsko izvješće Revizorskog suda br. 11/2025 naslovljeno „Transparentnost financiranja sredstvima EU-a dodijeljenim nevladinim organizacijama”; sa zabrinutošću primjećuje probleme koji su u njemu utvrđeni, uključujući nedostatke u pogledu transparentnosti, klasifikacije i nadzora; ističe potrebu da Revizorski sud nastavi i ojača svoje praćenje tih pitanja i izvješćivanje o njima kako bi se osigurala puna usklađenost s financijskim pravilima, zahtjevima u pogledu transparentnosti i temeljnim vrijednostima Unije;</w:t>
      </w:r>
    </w:p>
    <w:p w14:paraId="002D7FE4" w14:textId="02C31F92" w:rsidR="005D6E83" w:rsidRPr="00544497" w:rsidRDefault="00B61D95" w:rsidP="005D6E83">
      <w:pPr>
        <w:pStyle w:val="NormalHanging12a"/>
        <w:rPr>
          <w:bCs/>
          <w:iCs/>
          <w:szCs w:val="24"/>
        </w:rPr>
      </w:pPr>
      <w:r>
        <w:t>78</w:t>
      </w:r>
      <w:r w:rsidR="005D6E83" w:rsidRPr="00544497">
        <w:t>.</w:t>
      </w:r>
      <w:r w:rsidR="005D6E83" w:rsidRPr="00544497">
        <w:tab/>
        <w:t>u tom kontekstu potiče Revizorski sud da pripremi tematsko izvješće o financijskim sredstvima Unije dodijeljenima nevladinim organizacijama aktivnima u kontekstu Gaze kao i organizacijama uključenima u sastavljanje palestinskih školskih udžbenika; ističe da je takav nadzor ključan kako bi se osiguralo da se sredstva Unije ne preusmjeravaju, izravno ili neizravno, terorističkim organizacijama ili njihovim podružnicama te da se ne koriste na način kojim se promiče mržnja, radikalizacija ili poticanje na nasilje, ali i kako bi se osigurala puna usklađenost s financijskim pravilima Unije, standardima transparentnosti i temeljnim vrijednostima Unije;</w:t>
      </w:r>
    </w:p>
    <w:p w14:paraId="6C90074C" w14:textId="129ED352" w:rsidR="005D6E83" w:rsidRPr="00544497" w:rsidRDefault="00B61D95" w:rsidP="005D6E83">
      <w:pPr>
        <w:pStyle w:val="NormalHanging12a"/>
        <w:rPr>
          <w:szCs w:val="24"/>
        </w:rPr>
      </w:pPr>
      <w:r>
        <w:t>79</w:t>
      </w:r>
      <w:r w:rsidR="005D6E83" w:rsidRPr="00544497">
        <w:t>.</w:t>
      </w:r>
      <w:r w:rsidR="005D6E83" w:rsidRPr="00544497">
        <w:tab/>
        <w:t>pozdravlja činjenicu da je Revizorski sud, kako bi povećao angažman javnosti, od 2024. građanima pružio priliku da doprinesu njegovu programu rada iznošenjem prijedloga revizije na internetskim stranicama Revizorskog suda;</w:t>
      </w:r>
    </w:p>
    <w:p w14:paraId="4BAF314C" w14:textId="721DBBDE" w:rsidR="00E365E1" w:rsidRPr="00544497" w:rsidRDefault="00B61D95" w:rsidP="00544497">
      <w:pPr>
        <w:ind w:left="567" w:hanging="567"/>
      </w:pPr>
      <w:r>
        <w:t>80</w:t>
      </w:r>
      <w:r w:rsidR="005D6E83" w:rsidRPr="00544497">
        <w:t>.</w:t>
      </w:r>
      <w:r w:rsidR="005D6E83" w:rsidRPr="00544497">
        <w:tab/>
        <w:t xml:space="preserve">cijeni činjenicu da Revizorski sud procjenjuje vjerojatan učinak i korisnost svojih aktivnosti prema predodžbi koju o njima ima čitateljstvo njegovih izvješća iz Parlamenta, Vijeća i Komisije, agencija Unije, stalnih predstavništava država članica, agencija država članica i vrhovnih revizijskih institucija, nevladinih organizacija, akademske zajednice, medija i drugih strana; u tom kontekstu napominje da Revizorski sud od 2018. provodi </w:t>
      </w:r>
      <w:proofErr w:type="spellStart"/>
      <w:r w:rsidR="005D6E83" w:rsidRPr="00544497">
        <w:t>anonimizirane</w:t>
      </w:r>
      <w:proofErr w:type="spellEnd"/>
      <w:r w:rsidR="005D6E83" w:rsidRPr="00544497">
        <w:t xml:space="preserve"> elektroničke ankete kako bi od čitatelja svojih izvješća zatražio kvalitativne povratne informacije o odabranim izvješćima i općenite prijedloge za rad Revizorskog suda; naglašava da je 2024. 89 % ispitanika smatralo da su izvješća Revizorskog suda korisna za njihov rad, a 82 % da su ta izvješća imala određeni učinak; sa zadovoljstvom prima na znanje da je Revizorski sud 2024. raznim dionicima (npr. Parlamentu, Vijeću i nacionalnim parlamentima) predstavio rezultate svojeg rada 578 puta, što je povećanje u odnosu na 456 puta 2023. i 437 puta 2022.</w:t>
      </w:r>
    </w:p>
    <w:sectPr w:rsidR="00E365E1" w:rsidRPr="00544497" w:rsidSect="00D76903">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F38F9F" w14:textId="77777777" w:rsidR="00EB60FB" w:rsidRPr="00D76903" w:rsidRDefault="00EB60FB">
      <w:r w:rsidRPr="00D76903">
        <w:separator/>
      </w:r>
    </w:p>
  </w:endnote>
  <w:endnote w:type="continuationSeparator" w:id="0">
    <w:p w14:paraId="21197CE4" w14:textId="77777777" w:rsidR="00EB60FB" w:rsidRPr="00D76903" w:rsidRDefault="00EB60FB">
      <w:r w:rsidRPr="00D7690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084E7" w14:textId="77777777" w:rsidR="005D6E83" w:rsidRPr="00D76903" w:rsidRDefault="005D6E83" w:rsidP="00F5566C">
    <w:pPr>
      <w:pStyle w:val="EPFooter"/>
    </w:pPr>
    <w:r w:rsidRPr="00D76903">
      <w:t>PE</w:t>
    </w:r>
    <w:r w:rsidRPr="00D76903">
      <w:rPr>
        <w:rStyle w:val="HideTWBExt"/>
      </w:rPr>
      <w:t>&lt;</w:t>
    </w:r>
    <w:proofErr w:type="spellStart"/>
    <w:r w:rsidRPr="00D76903">
      <w:rPr>
        <w:rStyle w:val="HideTWBExt"/>
      </w:rPr>
      <w:t>NoPE</w:t>
    </w:r>
    <w:proofErr w:type="spellEnd"/>
    <w:r w:rsidRPr="00D76903">
      <w:rPr>
        <w:rStyle w:val="HideTWBExt"/>
      </w:rPr>
      <w:t>&gt;</w:t>
    </w:r>
    <w:r w:rsidRPr="00D76903">
      <w:t>778.062</w:t>
    </w:r>
    <w:r w:rsidRPr="00D76903">
      <w:rPr>
        <w:rStyle w:val="HideTWBExt"/>
      </w:rPr>
      <w:t>&lt;/</w:t>
    </w:r>
    <w:proofErr w:type="spellStart"/>
    <w:r w:rsidRPr="00D76903">
      <w:rPr>
        <w:rStyle w:val="HideTWBExt"/>
      </w:rPr>
      <w:t>NoPE</w:t>
    </w:r>
    <w:proofErr w:type="spellEnd"/>
    <w:r w:rsidRPr="00D76903">
      <w:rPr>
        <w:rStyle w:val="HideTWBExt"/>
      </w:rPr>
      <w:t>&gt;&lt;Version&gt;</w:t>
    </w:r>
    <w:r w:rsidRPr="00D76903">
      <w:t>v03-00</w:t>
    </w:r>
    <w:r w:rsidRPr="00D76903">
      <w:rPr>
        <w:rStyle w:val="HideTWBExt"/>
      </w:rPr>
      <w:t>&lt;/</w:t>
    </w:r>
    <w:proofErr w:type="spellStart"/>
    <w:r w:rsidRPr="00D76903">
      <w:rPr>
        <w:rStyle w:val="HideTWBExt"/>
      </w:rPr>
      <w:t>Version</w:t>
    </w:r>
    <w:proofErr w:type="spellEnd"/>
    <w:r w:rsidRPr="00D76903">
      <w:rPr>
        <w:rStyle w:val="HideTWBExt"/>
      </w:rPr>
      <w:t>&gt;</w:t>
    </w:r>
    <w:r w:rsidRPr="00D76903">
      <w:tab/>
    </w:r>
    <w:r w:rsidRPr="00D76903">
      <w:fldChar w:fldCharType="begin"/>
    </w:r>
    <w:r w:rsidRPr="00D76903">
      <w:instrText xml:space="preserve"> PAGE  \* MERGEFORMAT </w:instrText>
    </w:r>
    <w:r w:rsidRPr="00D76903">
      <w:fldChar w:fldCharType="separate"/>
    </w:r>
    <w:r w:rsidRPr="00D76903">
      <w:rPr>
        <w:noProof/>
      </w:rPr>
      <w:t>2</w:t>
    </w:r>
    <w:r w:rsidRPr="00D76903">
      <w:fldChar w:fldCharType="end"/>
    </w:r>
    <w:r w:rsidRPr="00D76903">
      <w:t>/</w:t>
    </w:r>
    <w:fldSimple w:instr=" NUMPAGES  \* MERGEFORMAT ">
      <w:r w:rsidRPr="00D76903">
        <w:rPr>
          <w:noProof/>
        </w:rPr>
        <w:t>20</w:t>
      </w:r>
    </w:fldSimple>
    <w:r w:rsidRPr="00D76903">
      <w:tab/>
    </w:r>
    <w:r w:rsidRPr="00D76903">
      <w:rPr>
        <w:rStyle w:val="HideTWBExt"/>
      </w:rPr>
      <w:t>&lt;PathFdR&gt;</w:t>
    </w:r>
    <w:r w:rsidRPr="00D76903">
      <w:t>RR\1340133HR.docx</w:t>
    </w:r>
    <w:r w:rsidRPr="00D76903">
      <w:rPr>
        <w:rStyle w:val="HideTWBExt"/>
      </w:rPr>
      <w:t>&lt;/</w:t>
    </w:r>
    <w:proofErr w:type="spellStart"/>
    <w:r w:rsidRPr="00D76903">
      <w:rPr>
        <w:rStyle w:val="HideTWBExt"/>
      </w:rPr>
      <w:t>PathFdR</w:t>
    </w:r>
    <w:proofErr w:type="spellEnd"/>
    <w:r w:rsidRPr="00D76903">
      <w:rPr>
        <w:rStyle w:val="HideTWBExt"/>
      </w:rPr>
      <w:t>&gt;</w:t>
    </w:r>
  </w:p>
  <w:p w14:paraId="14677341" w14:textId="77777777" w:rsidR="005D6E83" w:rsidRPr="00D76903" w:rsidRDefault="005D6E83" w:rsidP="00F5566C">
    <w:pPr>
      <w:pStyle w:val="EPFooter2"/>
    </w:pPr>
    <w:r w:rsidRPr="00D76903">
      <w:t>HR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C6EB5" w14:textId="77777777" w:rsidR="005D6E83" w:rsidRPr="00D76903" w:rsidRDefault="005D6E83" w:rsidP="00F5566C">
    <w:pPr>
      <w:pStyle w:val="EPFooter"/>
    </w:pPr>
    <w:r w:rsidRPr="00D76903">
      <w:rPr>
        <w:rStyle w:val="HideTWBExt"/>
      </w:rPr>
      <w:t>&lt;PathFdR&gt;</w:t>
    </w:r>
    <w:r w:rsidRPr="00D76903">
      <w:t>RR\1340133HR.docx</w:t>
    </w:r>
    <w:r w:rsidRPr="00D76903">
      <w:rPr>
        <w:rStyle w:val="HideTWBExt"/>
      </w:rPr>
      <w:t>&lt;/</w:t>
    </w:r>
    <w:proofErr w:type="spellStart"/>
    <w:r w:rsidRPr="00D76903">
      <w:rPr>
        <w:rStyle w:val="HideTWBExt"/>
      </w:rPr>
      <w:t>PathFdR</w:t>
    </w:r>
    <w:proofErr w:type="spellEnd"/>
    <w:r w:rsidRPr="00D76903">
      <w:rPr>
        <w:rStyle w:val="HideTWBExt"/>
      </w:rPr>
      <w:t>&gt;</w:t>
    </w:r>
    <w:r w:rsidRPr="00D76903">
      <w:tab/>
    </w:r>
    <w:r w:rsidRPr="00D76903">
      <w:tab/>
      <w:t>PE</w:t>
    </w:r>
    <w:r w:rsidRPr="00D76903">
      <w:rPr>
        <w:rStyle w:val="HideTWBExt"/>
      </w:rPr>
      <w:t>&lt;</w:t>
    </w:r>
    <w:proofErr w:type="spellStart"/>
    <w:r w:rsidRPr="00D76903">
      <w:rPr>
        <w:rStyle w:val="HideTWBExt"/>
      </w:rPr>
      <w:t>NoPE</w:t>
    </w:r>
    <w:proofErr w:type="spellEnd"/>
    <w:r w:rsidRPr="00D76903">
      <w:rPr>
        <w:rStyle w:val="HideTWBExt"/>
      </w:rPr>
      <w:t>&gt;</w:t>
    </w:r>
    <w:r w:rsidRPr="00D76903">
      <w:t>778.062</w:t>
    </w:r>
    <w:r w:rsidRPr="00D76903">
      <w:rPr>
        <w:rStyle w:val="HideTWBExt"/>
      </w:rPr>
      <w:t>&lt;/</w:t>
    </w:r>
    <w:proofErr w:type="spellStart"/>
    <w:r w:rsidRPr="00D76903">
      <w:rPr>
        <w:rStyle w:val="HideTWBExt"/>
      </w:rPr>
      <w:t>NoPE</w:t>
    </w:r>
    <w:proofErr w:type="spellEnd"/>
    <w:r w:rsidRPr="00D76903">
      <w:rPr>
        <w:rStyle w:val="HideTWBExt"/>
      </w:rPr>
      <w:t>&gt;&lt;Version&gt;</w:t>
    </w:r>
    <w:r w:rsidRPr="00D76903">
      <w:t>v03-00</w:t>
    </w:r>
    <w:r w:rsidRPr="00D76903">
      <w:rPr>
        <w:rStyle w:val="HideTWBExt"/>
      </w:rPr>
      <w:t>&lt;/</w:t>
    </w:r>
    <w:proofErr w:type="spellStart"/>
    <w:r w:rsidRPr="00D76903">
      <w:rPr>
        <w:rStyle w:val="HideTWBExt"/>
      </w:rPr>
      <w:t>Version</w:t>
    </w:r>
    <w:proofErr w:type="spellEnd"/>
    <w:r w:rsidRPr="00D76903">
      <w:rPr>
        <w:rStyle w:val="HideTWBExt"/>
      </w:rPr>
      <w:t>&gt;</w:t>
    </w:r>
  </w:p>
  <w:p w14:paraId="7EBFDD15" w14:textId="77777777" w:rsidR="005D6E83" w:rsidRPr="00D76903" w:rsidRDefault="005D6E83" w:rsidP="00F5566C">
    <w:pPr>
      <w:pStyle w:val="EPFooter2"/>
    </w:pPr>
    <w:r w:rsidRPr="00D76903">
      <w:t>HR</w:t>
    </w:r>
    <w:r w:rsidRPr="00D76903">
      <w:tab/>
    </w:r>
    <w:r w:rsidRPr="00D76903">
      <w:rPr>
        <w:b w:val="0"/>
        <w:i/>
        <w:color w:val="C0C0C0"/>
        <w:sz w:val="22"/>
      </w:rPr>
      <w:t>Ujedinjena u raznolikosti</w:t>
    </w:r>
    <w:r w:rsidRPr="00D76903">
      <w:tab/>
      <w:t>HR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E1AF7" w14:textId="77777777" w:rsidR="00064002" w:rsidRPr="00D76903"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B81B4" w14:textId="77777777" w:rsidR="00064002" w:rsidRPr="00D76903"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BF145" w14:textId="77777777" w:rsidR="00064002" w:rsidRPr="00D7690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039BB4" w14:textId="77777777" w:rsidR="00EB60FB" w:rsidRPr="00D76903" w:rsidRDefault="00EB60FB">
      <w:r w:rsidRPr="00D76903">
        <w:separator/>
      </w:r>
    </w:p>
  </w:footnote>
  <w:footnote w:type="continuationSeparator" w:id="0">
    <w:p w14:paraId="00A4066B" w14:textId="77777777" w:rsidR="00EB60FB" w:rsidRPr="00D76903" w:rsidRDefault="00EB60FB">
      <w:r w:rsidRPr="00D76903">
        <w:continuationSeparator/>
      </w:r>
    </w:p>
  </w:footnote>
  <w:footnote w:id="1">
    <w:p w14:paraId="590F4EC1" w14:textId="11E2BE11" w:rsidR="005D6E83" w:rsidRPr="00D76903" w:rsidRDefault="005D6E83" w:rsidP="00D76903">
      <w:pPr>
        <w:pStyle w:val="FootnoteText"/>
        <w:ind w:left="567" w:hanging="567"/>
        <w:rPr>
          <w:sz w:val="24"/>
          <w:lang w:val="hr-HR"/>
        </w:rPr>
      </w:pPr>
      <w:r w:rsidRPr="00D76903">
        <w:rPr>
          <w:rStyle w:val="FootnoteReference"/>
          <w:sz w:val="24"/>
          <w:lang w:val="hr-HR"/>
        </w:rPr>
        <w:footnoteRef/>
      </w:r>
      <w:r w:rsidR="00D76903" w:rsidRPr="00D76903">
        <w:rPr>
          <w:sz w:val="24"/>
          <w:lang w:val="hr-HR"/>
        </w:rPr>
        <w:t xml:space="preserve"> </w:t>
      </w:r>
      <w:r w:rsidR="00D76903" w:rsidRPr="00D76903">
        <w:rPr>
          <w:sz w:val="24"/>
          <w:lang w:val="hr-HR"/>
        </w:rPr>
        <w:tab/>
      </w:r>
      <w:r w:rsidRPr="00D76903">
        <w:rPr>
          <w:sz w:val="24"/>
          <w:lang w:val="hr-HR"/>
        </w:rPr>
        <w:t>SL L</w:t>
      </w:r>
      <w:r w:rsidR="008675B0">
        <w:rPr>
          <w:sz w:val="24"/>
          <w:lang w:val="hr-HR"/>
        </w:rPr>
        <w:t>,</w:t>
      </w:r>
      <w:r w:rsidRPr="00D76903">
        <w:rPr>
          <w:sz w:val="24"/>
          <w:lang w:val="hr-HR"/>
        </w:rPr>
        <w:t xml:space="preserve"> </w:t>
      </w:r>
      <w:r w:rsidR="008675B0">
        <w:rPr>
          <w:sz w:val="24"/>
          <w:lang w:val="hr-HR"/>
        </w:rPr>
        <w:t>2024/</w:t>
      </w:r>
      <w:r w:rsidRPr="00D76903">
        <w:rPr>
          <w:sz w:val="24"/>
          <w:lang w:val="hr-HR"/>
        </w:rPr>
        <w:t>207, 22.2.2024</w:t>
      </w:r>
      <w:r w:rsidR="00544497">
        <w:rPr>
          <w:sz w:val="24"/>
          <w:lang w:val="hr-HR"/>
        </w:rPr>
        <w:t>.</w:t>
      </w:r>
      <w:r w:rsidRPr="00D76903">
        <w:rPr>
          <w:sz w:val="24"/>
          <w:lang w:val="hr-HR"/>
        </w:rPr>
        <w:t xml:space="preserve">, ELI: </w:t>
      </w:r>
      <w:hyperlink r:id="rId1" w:history="1">
        <w:r w:rsidRPr="00D76903">
          <w:rPr>
            <w:rStyle w:val="Hyperlink"/>
            <w:sz w:val="24"/>
            <w:lang w:val="hr-HR"/>
          </w:rPr>
          <w:t>https://eur-lex.europa.eu/eli/budget/2024/207/oj</w:t>
        </w:r>
      </w:hyperlink>
      <w:r w:rsidRPr="00D76903">
        <w:rPr>
          <w:sz w:val="24"/>
          <w:lang w:val="hr-HR"/>
        </w:rPr>
        <w:t>.</w:t>
      </w:r>
    </w:p>
  </w:footnote>
  <w:footnote w:id="2">
    <w:p w14:paraId="3B4D2997" w14:textId="45E3CC4A" w:rsidR="005D6E83" w:rsidRPr="00D76903" w:rsidRDefault="005D6E83" w:rsidP="00D76903">
      <w:pPr>
        <w:pStyle w:val="FootnoteText"/>
        <w:ind w:left="567" w:hanging="567"/>
        <w:rPr>
          <w:sz w:val="24"/>
          <w:lang w:val="hr-HR"/>
        </w:rPr>
      </w:pPr>
      <w:r w:rsidRPr="00D76903">
        <w:rPr>
          <w:rStyle w:val="FootnoteReference"/>
          <w:sz w:val="24"/>
          <w:lang w:val="hr-HR"/>
        </w:rPr>
        <w:footnoteRef/>
      </w:r>
      <w:r w:rsidR="00D76903" w:rsidRPr="00D76903">
        <w:rPr>
          <w:sz w:val="24"/>
          <w:lang w:val="hr-HR"/>
        </w:rPr>
        <w:t xml:space="preserve"> </w:t>
      </w:r>
      <w:r w:rsidR="00D76903" w:rsidRPr="00D76903">
        <w:rPr>
          <w:sz w:val="24"/>
          <w:lang w:val="hr-HR"/>
        </w:rPr>
        <w:tab/>
      </w:r>
      <w:r w:rsidRPr="00D76903">
        <w:rPr>
          <w:sz w:val="24"/>
          <w:lang w:val="hr-HR"/>
        </w:rPr>
        <w:t xml:space="preserve">SL C, C/2025/4944, 13.10.2025., ELI: </w:t>
      </w:r>
      <w:hyperlink r:id="rId2" w:history="1">
        <w:r w:rsidRPr="00D76903">
          <w:rPr>
            <w:rStyle w:val="Hyperlink"/>
            <w:sz w:val="24"/>
            <w:lang w:val="hr-HR"/>
          </w:rPr>
          <w:t>https://eur-lex.europa.eu/eli/C/2025/4944/oj</w:t>
        </w:r>
      </w:hyperlink>
      <w:r w:rsidRPr="00D76903">
        <w:rPr>
          <w:sz w:val="24"/>
          <w:lang w:val="hr-HR"/>
        </w:rPr>
        <w:t>.</w:t>
      </w:r>
    </w:p>
  </w:footnote>
  <w:footnote w:id="3">
    <w:p w14:paraId="1A4159C7" w14:textId="25C45134" w:rsidR="005D6E83" w:rsidRPr="00D76903" w:rsidRDefault="005D6E83" w:rsidP="00D76903">
      <w:pPr>
        <w:pStyle w:val="FootnoteText"/>
        <w:ind w:left="567" w:hanging="567"/>
        <w:rPr>
          <w:sz w:val="24"/>
          <w:lang w:val="hr-HR"/>
        </w:rPr>
      </w:pPr>
      <w:r w:rsidRPr="00D76903">
        <w:rPr>
          <w:rStyle w:val="FootnoteReference"/>
          <w:sz w:val="24"/>
          <w:lang w:val="hr-HR"/>
        </w:rPr>
        <w:footnoteRef/>
      </w:r>
      <w:r w:rsidR="00D76903" w:rsidRPr="00D76903">
        <w:rPr>
          <w:sz w:val="24"/>
          <w:lang w:val="hr-HR"/>
        </w:rPr>
        <w:t xml:space="preserve"> </w:t>
      </w:r>
      <w:r w:rsidR="00D76903" w:rsidRPr="00D76903">
        <w:rPr>
          <w:sz w:val="24"/>
          <w:lang w:val="hr-HR"/>
        </w:rPr>
        <w:tab/>
      </w:r>
      <w:r w:rsidRPr="00D76903">
        <w:rPr>
          <w:sz w:val="24"/>
          <w:lang w:val="hr-HR"/>
        </w:rPr>
        <w:t xml:space="preserve">SL C, C/2025/5409, 8.10.2025., ELI: </w:t>
      </w:r>
      <w:hyperlink r:id="rId3" w:history="1">
        <w:r w:rsidRPr="00D76903">
          <w:rPr>
            <w:rStyle w:val="Hyperlink"/>
            <w:sz w:val="24"/>
            <w:lang w:val="hr-HR"/>
          </w:rPr>
          <w:t>https://eur-lex.europa.eu/eli/C/2025/5409/oj</w:t>
        </w:r>
      </w:hyperlink>
      <w:r w:rsidRPr="00D76903">
        <w:rPr>
          <w:sz w:val="24"/>
          <w:lang w:val="hr-HR"/>
        </w:rPr>
        <w:t>.</w:t>
      </w:r>
    </w:p>
  </w:footnote>
  <w:footnote w:id="4">
    <w:p w14:paraId="581DEB8D" w14:textId="70522D06" w:rsidR="005D6E83" w:rsidRPr="00D76903" w:rsidRDefault="005D6E83" w:rsidP="00D76903">
      <w:pPr>
        <w:pStyle w:val="FootnoteText"/>
        <w:ind w:left="567" w:hanging="567"/>
        <w:rPr>
          <w:sz w:val="24"/>
          <w:lang w:val="hr-HR"/>
        </w:rPr>
      </w:pPr>
      <w:r w:rsidRPr="00D76903">
        <w:rPr>
          <w:rStyle w:val="FootnoteReference"/>
          <w:sz w:val="24"/>
          <w:lang w:val="hr-HR"/>
        </w:rPr>
        <w:footnoteRef/>
      </w:r>
      <w:r w:rsidR="00D76903" w:rsidRPr="00D76903">
        <w:rPr>
          <w:sz w:val="24"/>
          <w:lang w:val="hr-HR"/>
        </w:rPr>
        <w:t xml:space="preserve"> </w:t>
      </w:r>
      <w:r w:rsidR="00D76903" w:rsidRPr="00D76903">
        <w:rPr>
          <w:sz w:val="24"/>
          <w:lang w:val="hr-HR"/>
        </w:rPr>
        <w:tab/>
      </w:r>
      <w:r w:rsidRPr="00D76903">
        <w:rPr>
          <w:sz w:val="24"/>
          <w:lang w:val="hr-HR"/>
        </w:rPr>
        <w:t xml:space="preserve">SL C, C/2025/5407, 13.10.2025., ELI: </w:t>
      </w:r>
      <w:hyperlink r:id="rId4" w:history="1">
        <w:r w:rsidRPr="00D76903">
          <w:rPr>
            <w:rStyle w:val="Hyperlink"/>
            <w:sz w:val="24"/>
            <w:lang w:val="hr-HR"/>
          </w:rPr>
          <w:t>https://eur-lex.europa.eu/eli/C/2025/5407/oj</w:t>
        </w:r>
      </w:hyperlink>
      <w:r w:rsidRPr="00D76903">
        <w:rPr>
          <w:sz w:val="24"/>
          <w:lang w:val="hr-HR"/>
        </w:rPr>
        <w:t>.</w:t>
      </w:r>
    </w:p>
  </w:footnote>
  <w:footnote w:id="5">
    <w:p w14:paraId="0EE26C46" w14:textId="6A8EA83B" w:rsidR="005D6E83" w:rsidRPr="00D76903" w:rsidRDefault="005D6E83" w:rsidP="00D76903">
      <w:pPr>
        <w:pStyle w:val="FootnoteText"/>
        <w:ind w:left="567" w:hanging="567"/>
        <w:rPr>
          <w:sz w:val="24"/>
          <w:lang w:val="hr-HR"/>
        </w:rPr>
      </w:pPr>
      <w:r w:rsidRPr="00D76903">
        <w:rPr>
          <w:rStyle w:val="FootnoteReference"/>
          <w:sz w:val="24"/>
          <w:lang w:val="hr-HR"/>
        </w:rPr>
        <w:footnoteRef/>
      </w:r>
      <w:r w:rsidR="00D76903" w:rsidRPr="00D76903">
        <w:rPr>
          <w:sz w:val="24"/>
          <w:lang w:val="hr-HR"/>
        </w:rPr>
        <w:t xml:space="preserve"> </w:t>
      </w:r>
      <w:r w:rsidR="00D76903" w:rsidRPr="00D76903">
        <w:rPr>
          <w:sz w:val="24"/>
          <w:lang w:val="hr-HR"/>
        </w:rPr>
        <w:tab/>
      </w:r>
      <w:r w:rsidRPr="00D76903">
        <w:rPr>
          <w:sz w:val="24"/>
          <w:lang w:val="hr-HR"/>
        </w:rPr>
        <w:t xml:space="preserve">SL L 193, 30.7.2018., str. 1., ELI: </w:t>
      </w:r>
      <w:hyperlink r:id="rId5" w:history="1">
        <w:r w:rsidRPr="00D76903">
          <w:rPr>
            <w:rStyle w:val="Hyperlink"/>
            <w:sz w:val="24"/>
            <w:lang w:val="hr-HR"/>
          </w:rPr>
          <w:t>https://eur-lex.europa.eu/eli/reg/2018/1046/oj</w:t>
        </w:r>
      </w:hyperlink>
      <w:r w:rsidRPr="00D76903">
        <w:rPr>
          <w:sz w:val="24"/>
          <w:lang w:val="hr-HR"/>
        </w:rPr>
        <w:t>.</w:t>
      </w:r>
    </w:p>
  </w:footnote>
  <w:footnote w:id="6">
    <w:p w14:paraId="1F606A0F" w14:textId="779DE61E" w:rsidR="005D6E83" w:rsidRPr="00D76903" w:rsidRDefault="005D6E83" w:rsidP="00D76903">
      <w:pPr>
        <w:pStyle w:val="FootnoteText"/>
        <w:ind w:left="567" w:hanging="567"/>
        <w:rPr>
          <w:sz w:val="24"/>
          <w:lang w:val="hr-HR"/>
        </w:rPr>
      </w:pPr>
      <w:r w:rsidRPr="00D76903">
        <w:rPr>
          <w:rStyle w:val="FootnoteReference"/>
          <w:sz w:val="24"/>
          <w:lang w:val="hr-HR"/>
        </w:rPr>
        <w:footnoteRef/>
      </w:r>
      <w:r w:rsidR="00D76903" w:rsidRPr="00D76903">
        <w:rPr>
          <w:sz w:val="24"/>
          <w:lang w:val="hr-HR"/>
        </w:rPr>
        <w:t xml:space="preserve"> </w:t>
      </w:r>
      <w:r w:rsidR="00D76903" w:rsidRPr="00D76903">
        <w:rPr>
          <w:sz w:val="24"/>
          <w:lang w:val="hr-HR"/>
        </w:rPr>
        <w:tab/>
      </w:r>
      <w:r w:rsidRPr="00D76903">
        <w:rPr>
          <w:sz w:val="24"/>
          <w:lang w:val="hr-HR"/>
        </w:rPr>
        <w:t xml:space="preserve">SL L, 2024/2509, 26.9.2024., ELI: </w:t>
      </w:r>
      <w:hyperlink r:id="rId6" w:history="1">
        <w:r w:rsidRPr="00D76903">
          <w:rPr>
            <w:rStyle w:val="Hyperlink"/>
            <w:sz w:val="24"/>
            <w:lang w:val="hr-HR"/>
          </w:rPr>
          <w:t>https://eur-lex.europa.eu/eli/reg/2024/2509/oj</w:t>
        </w:r>
      </w:hyperlink>
      <w:r w:rsidRPr="00D76903">
        <w:rPr>
          <w:sz w:val="24"/>
          <w:lang w:val="hr-HR"/>
        </w:rPr>
        <w:t>.</w:t>
      </w:r>
    </w:p>
  </w:footnote>
  <w:footnote w:id="7">
    <w:p w14:paraId="50D196DE" w14:textId="6C6B2EAC" w:rsidR="005D6E83" w:rsidRPr="00D76903" w:rsidRDefault="005D6E83" w:rsidP="00D76903">
      <w:pPr>
        <w:pStyle w:val="FootnoteText"/>
        <w:ind w:left="567" w:hanging="567"/>
        <w:rPr>
          <w:sz w:val="24"/>
          <w:lang w:val="hr-HR"/>
        </w:rPr>
      </w:pPr>
      <w:r w:rsidRPr="00D76903">
        <w:rPr>
          <w:rStyle w:val="FootnoteReference"/>
          <w:sz w:val="24"/>
          <w:lang w:val="hr-HR"/>
        </w:rPr>
        <w:footnoteRef/>
      </w:r>
      <w:r w:rsidR="00D76903" w:rsidRPr="00D76903">
        <w:rPr>
          <w:sz w:val="24"/>
          <w:lang w:val="hr-HR"/>
        </w:rPr>
        <w:t xml:space="preserve"> </w:t>
      </w:r>
      <w:r w:rsidR="00D76903" w:rsidRPr="00D76903">
        <w:rPr>
          <w:sz w:val="24"/>
          <w:lang w:val="hr-HR"/>
        </w:rPr>
        <w:tab/>
      </w:r>
      <w:r w:rsidRPr="00D76903">
        <w:rPr>
          <w:sz w:val="24"/>
          <w:lang w:val="hr-HR"/>
        </w:rPr>
        <w:t>Uredba (EU, Euratom) 2023/2841 Europskog parlamenta i Vijeća od 13. prosinca 2023. o utvrđivanju mjera za visoku zajedničku razinu kibernetičke sigurnosti u institucijama, tijelima, uredima i agencijama Unije (SL L, 2023/2841, 18.12.2023., ELI: </w:t>
      </w:r>
      <w:hyperlink r:id="rId7" w:tgtFrame="_blank" w:tooltip="ELI URI za pristup dokumentu." w:history="1">
        <w:r w:rsidRPr="00D76903">
          <w:rPr>
            <w:rStyle w:val="Hyperlink"/>
            <w:sz w:val="24"/>
            <w:lang w:val="hr-HR"/>
          </w:rPr>
          <w:t>http://data.europa.eu/eli/reg/2023/2841/oj</w:t>
        </w:r>
      </w:hyperlink>
      <w:r w:rsidRPr="00D76903">
        <w:rPr>
          <w:sz w:val="24"/>
          <w:lang w:val="hr-H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CE262" w14:textId="77777777" w:rsidR="00064002" w:rsidRPr="00D7690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233D7" w14:textId="77777777" w:rsidR="00064002" w:rsidRPr="00D7690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D8FBD" w14:textId="77777777" w:rsidR="00064002" w:rsidRPr="00D7690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3837757">
    <w:abstractNumId w:val="9"/>
  </w:num>
  <w:num w:numId="2" w16cid:durableId="291863089">
    <w:abstractNumId w:val="9"/>
  </w:num>
  <w:num w:numId="3" w16cid:durableId="1921208615">
    <w:abstractNumId w:val="7"/>
  </w:num>
  <w:num w:numId="4" w16cid:durableId="2023049763">
    <w:abstractNumId w:val="7"/>
  </w:num>
  <w:num w:numId="5" w16cid:durableId="1032800539">
    <w:abstractNumId w:val="6"/>
  </w:num>
  <w:num w:numId="6" w16cid:durableId="1874997936">
    <w:abstractNumId w:val="6"/>
  </w:num>
  <w:num w:numId="7" w16cid:durableId="618495038">
    <w:abstractNumId w:val="5"/>
  </w:num>
  <w:num w:numId="8" w16cid:durableId="217327370">
    <w:abstractNumId w:val="5"/>
  </w:num>
  <w:num w:numId="9" w16cid:durableId="1574506006">
    <w:abstractNumId w:val="4"/>
  </w:num>
  <w:num w:numId="10" w16cid:durableId="1782531607">
    <w:abstractNumId w:val="4"/>
  </w:num>
  <w:num w:numId="11" w16cid:durableId="447504986">
    <w:abstractNumId w:val="8"/>
  </w:num>
  <w:num w:numId="12" w16cid:durableId="187573064">
    <w:abstractNumId w:val="8"/>
  </w:num>
  <w:num w:numId="13" w16cid:durableId="439448486">
    <w:abstractNumId w:val="3"/>
  </w:num>
  <w:num w:numId="14" w16cid:durableId="1560940786">
    <w:abstractNumId w:val="3"/>
  </w:num>
  <w:num w:numId="15" w16cid:durableId="1167745121">
    <w:abstractNumId w:val="2"/>
  </w:num>
  <w:num w:numId="16" w16cid:durableId="2080445365">
    <w:abstractNumId w:val="2"/>
  </w:num>
  <w:num w:numId="17" w16cid:durableId="249584964">
    <w:abstractNumId w:val="1"/>
  </w:num>
  <w:num w:numId="18" w16cid:durableId="1805615059">
    <w:abstractNumId w:val="1"/>
  </w:num>
  <w:num w:numId="19" w16cid:durableId="1383940536">
    <w:abstractNumId w:val="0"/>
  </w:num>
  <w:num w:numId="20" w16cid:durableId="1466266528">
    <w:abstractNumId w:val="0"/>
  </w:num>
  <w:num w:numId="21" w16cid:durableId="180291020">
    <w:abstractNumId w:val="9"/>
  </w:num>
  <w:num w:numId="22" w16cid:durableId="1391029374">
    <w:abstractNumId w:val="7"/>
  </w:num>
  <w:num w:numId="23" w16cid:durableId="200360701">
    <w:abstractNumId w:val="6"/>
  </w:num>
  <w:num w:numId="24" w16cid:durableId="612437778">
    <w:abstractNumId w:val="5"/>
  </w:num>
  <w:num w:numId="25" w16cid:durableId="1523013193">
    <w:abstractNumId w:val="4"/>
  </w:num>
  <w:num w:numId="26" w16cid:durableId="84612709">
    <w:abstractNumId w:val="8"/>
  </w:num>
  <w:num w:numId="27" w16cid:durableId="2136748154">
    <w:abstractNumId w:val="3"/>
  </w:num>
  <w:num w:numId="28" w16cid:durableId="308443445">
    <w:abstractNumId w:val="2"/>
  </w:num>
  <w:num w:numId="29" w16cid:durableId="1032530784">
    <w:abstractNumId w:val="1"/>
  </w:num>
  <w:num w:numId="30" w16cid:durableId="958027873">
    <w:abstractNumId w:val="0"/>
  </w:num>
  <w:num w:numId="31" w16cid:durableId="703943281">
    <w:abstractNumId w:val="9"/>
  </w:num>
  <w:num w:numId="32" w16cid:durableId="1153566120">
    <w:abstractNumId w:val="7"/>
  </w:num>
  <w:num w:numId="33" w16cid:durableId="1542673406">
    <w:abstractNumId w:val="6"/>
  </w:num>
  <w:num w:numId="34" w16cid:durableId="258484740">
    <w:abstractNumId w:val="5"/>
  </w:num>
  <w:num w:numId="35" w16cid:durableId="209073279">
    <w:abstractNumId w:val="4"/>
  </w:num>
  <w:num w:numId="36" w16cid:durableId="234585834">
    <w:abstractNumId w:val="8"/>
  </w:num>
  <w:num w:numId="37" w16cid:durableId="1292325078">
    <w:abstractNumId w:val="3"/>
  </w:num>
  <w:num w:numId="38" w16cid:durableId="200367969">
    <w:abstractNumId w:val="2"/>
  </w:num>
  <w:num w:numId="39" w16cid:durableId="1699235443">
    <w:abstractNumId w:val="1"/>
  </w:num>
  <w:num w:numId="40" w16cid:durableId="500195168">
    <w:abstractNumId w:val="0"/>
  </w:num>
  <w:num w:numId="41" w16cid:durableId="973681007">
    <w:abstractNumId w:val="10"/>
  </w:num>
  <w:num w:numId="42" w16cid:durableId="1166482535">
    <w:abstractNumId w:val="10"/>
  </w:num>
  <w:num w:numId="43" w16cid:durableId="290743618">
    <w:abstractNumId w:val="10"/>
  </w:num>
  <w:num w:numId="44" w16cid:durableId="78061097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2/2026"/>
    <w:docVar w:name="dvlangue" w:val="HR"/>
    <w:docVar w:name="dvnumam" w:val="0"/>
    <w:docVar w:name="dvpe" w:val="778.062"/>
    <w:docVar w:name="dvrapporteur" w:val="Izvjestitelj: "/>
    <w:docVar w:name="dvtitre" w:val="Odluka Europskog parlamenta od .... 2026. o razrješnici za izvršenje općeg proračuna Europske unije za financijsku godinu 2024., dio V. – Revizorski sud(2025/2149(DEC))"/>
  </w:docVars>
  <w:rsids>
    <w:rsidRoot w:val="00EB60FB"/>
    <w:rsid w:val="00002272"/>
    <w:rsid w:val="00064002"/>
    <w:rsid w:val="000677B9"/>
    <w:rsid w:val="000831BA"/>
    <w:rsid w:val="000A42CC"/>
    <w:rsid w:val="000C3AC1"/>
    <w:rsid w:val="000E7DD9"/>
    <w:rsid w:val="0010095E"/>
    <w:rsid w:val="00125B37"/>
    <w:rsid w:val="00187494"/>
    <w:rsid w:val="001F32AE"/>
    <w:rsid w:val="002767FF"/>
    <w:rsid w:val="002B18FE"/>
    <w:rsid w:val="002B5493"/>
    <w:rsid w:val="00343214"/>
    <w:rsid w:val="00361C00"/>
    <w:rsid w:val="00395FA1"/>
    <w:rsid w:val="003B4AA2"/>
    <w:rsid w:val="003E15D4"/>
    <w:rsid w:val="00411CCE"/>
    <w:rsid w:val="0041666E"/>
    <w:rsid w:val="00421060"/>
    <w:rsid w:val="00471C19"/>
    <w:rsid w:val="004867E3"/>
    <w:rsid w:val="00494A28"/>
    <w:rsid w:val="004C0004"/>
    <w:rsid w:val="004C5D52"/>
    <w:rsid w:val="0050519A"/>
    <w:rsid w:val="005072A1"/>
    <w:rsid w:val="00514517"/>
    <w:rsid w:val="00543196"/>
    <w:rsid w:val="00544497"/>
    <w:rsid w:val="00545827"/>
    <w:rsid w:val="00560270"/>
    <w:rsid w:val="005C2568"/>
    <w:rsid w:val="005D6E83"/>
    <w:rsid w:val="005F1B17"/>
    <w:rsid w:val="006037C0"/>
    <w:rsid w:val="006631B6"/>
    <w:rsid w:val="00680577"/>
    <w:rsid w:val="006F74FA"/>
    <w:rsid w:val="00731ADD"/>
    <w:rsid w:val="00734777"/>
    <w:rsid w:val="00747932"/>
    <w:rsid w:val="00751A4A"/>
    <w:rsid w:val="00756632"/>
    <w:rsid w:val="00762C74"/>
    <w:rsid w:val="00786EC0"/>
    <w:rsid w:val="007971F7"/>
    <w:rsid w:val="007D1690"/>
    <w:rsid w:val="007E22AD"/>
    <w:rsid w:val="00817416"/>
    <w:rsid w:val="00842779"/>
    <w:rsid w:val="00865F67"/>
    <w:rsid w:val="008675B0"/>
    <w:rsid w:val="00881A7B"/>
    <w:rsid w:val="008840E5"/>
    <w:rsid w:val="00887B3E"/>
    <w:rsid w:val="008C2AC6"/>
    <w:rsid w:val="008C4FB1"/>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61D95"/>
    <w:rsid w:val="00BD48FE"/>
    <w:rsid w:val="00BD7BD8"/>
    <w:rsid w:val="00BE6ADC"/>
    <w:rsid w:val="00C05BFE"/>
    <w:rsid w:val="00C23CD4"/>
    <w:rsid w:val="00C61C0C"/>
    <w:rsid w:val="00C941CB"/>
    <w:rsid w:val="00CC2357"/>
    <w:rsid w:val="00CF071A"/>
    <w:rsid w:val="00D058B8"/>
    <w:rsid w:val="00D56C11"/>
    <w:rsid w:val="00D76903"/>
    <w:rsid w:val="00D834A0"/>
    <w:rsid w:val="00D872DF"/>
    <w:rsid w:val="00D91E21"/>
    <w:rsid w:val="00DA7FCD"/>
    <w:rsid w:val="00E365E1"/>
    <w:rsid w:val="00E820A4"/>
    <w:rsid w:val="00EB006A"/>
    <w:rsid w:val="00EB4772"/>
    <w:rsid w:val="00EB60FB"/>
    <w:rsid w:val="00EC1694"/>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F84AE8"/>
  <w15:chartTrackingRefBased/>
  <w15:docId w15:val="{4E4D9922-F377-40F7-89A7-DDB6D2222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D6E83"/>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D6E83"/>
    <w:pPr>
      <w:spacing w:before="480" w:after="240"/>
    </w:pPr>
  </w:style>
  <w:style w:type="paragraph" w:customStyle="1" w:styleId="PageHeading">
    <w:name w:val="PageHeading"/>
    <w:basedOn w:val="Normal"/>
    <w:rsid w:val="005D6E83"/>
    <w:pPr>
      <w:keepNext/>
      <w:spacing w:after="480"/>
      <w:jc w:val="center"/>
    </w:pPr>
    <w:rPr>
      <w:rFonts w:ascii="Arial" w:hAnsi="Arial" w:cs="Arial"/>
      <w:b/>
    </w:rPr>
  </w:style>
  <w:style w:type="paragraph" w:customStyle="1" w:styleId="NormalBold">
    <w:name w:val="NormalBold"/>
    <w:basedOn w:val="Normal"/>
    <w:rsid w:val="005D6E83"/>
    <w:rPr>
      <w:b/>
    </w:rPr>
  </w:style>
  <w:style w:type="paragraph" w:customStyle="1" w:styleId="NormalHanging12a">
    <w:name w:val="NormalHanging12a"/>
    <w:basedOn w:val="Normal"/>
    <w:link w:val="NormalHanging12aChar"/>
    <w:qFormat/>
    <w:rsid w:val="005D6E83"/>
    <w:pPr>
      <w:spacing w:after="240"/>
      <w:ind w:left="567" w:hanging="567"/>
    </w:pPr>
  </w:style>
  <w:style w:type="paragraph" w:styleId="Header">
    <w:name w:val="header"/>
    <w:basedOn w:val="Normal"/>
    <w:link w:val="HeaderChar"/>
    <w:rsid w:val="005D6E83"/>
    <w:pPr>
      <w:tabs>
        <w:tab w:val="center" w:pos="4513"/>
        <w:tab w:val="right" w:pos="9026"/>
      </w:tabs>
    </w:pPr>
  </w:style>
  <w:style w:type="character" w:customStyle="1" w:styleId="HeaderChar">
    <w:name w:val="Header Char"/>
    <w:basedOn w:val="DefaultParagraphFont"/>
    <w:link w:val="Header"/>
    <w:rsid w:val="005D6E83"/>
    <w:rPr>
      <w:sz w:val="24"/>
      <w:lang w:val="hr-HR"/>
    </w:rPr>
  </w:style>
  <w:style w:type="paragraph" w:customStyle="1" w:styleId="EPFooter">
    <w:name w:val="EPFooter"/>
    <w:basedOn w:val="Normal"/>
    <w:rsid w:val="005D6E83"/>
    <w:pPr>
      <w:tabs>
        <w:tab w:val="center" w:pos="4535"/>
        <w:tab w:val="right" w:pos="9071"/>
      </w:tabs>
      <w:spacing w:before="240" w:after="240"/>
    </w:pPr>
    <w:rPr>
      <w:color w:val="010000"/>
      <w:sz w:val="22"/>
    </w:rPr>
  </w:style>
  <w:style w:type="character" w:styleId="Hyperlink">
    <w:name w:val="Hyperlink"/>
    <w:basedOn w:val="DefaultParagraphFont"/>
    <w:rsid w:val="005D6E83"/>
    <w:rPr>
      <w:color w:val="0563C1" w:themeColor="hyperlink"/>
      <w:u w:val="single"/>
    </w:rPr>
  </w:style>
  <w:style w:type="character" w:customStyle="1" w:styleId="NormalHanging12aChar">
    <w:name w:val="NormalHanging12a Char"/>
    <w:basedOn w:val="DefaultParagraphFont"/>
    <w:link w:val="NormalHanging12a"/>
    <w:locked/>
    <w:rsid w:val="005D6E83"/>
    <w:rPr>
      <w:sz w:val="24"/>
      <w:lang w:val="hr-HR"/>
    </w:rPr>
  </w:style>
  <w:style w:type="paragraph" w:styleId="Footer">
    <w:name w:val="footer"/>
    <w:basedOn w:val="Normal"/>
    <w:link w:val="FooterChar"/>
    <w:rsid w:val="00544497"/>
    <w:pPr>
      <w:tabs>
        <w:tab w:val="center" w:pos="4513"/>
        <w:tab w:val="right" w:pos="9026"/>
      </w:tabs>
    </w:pPr>
  </w:style>
  <w:style w:type="character" w:customStyle="1" w:styleId="FooterChar">
    <w:name w:val="Footer Char"/>
    <w:basedOn w:val="DefaultParagraphFont"/>
    <w:link w:val="Footer"/>
    <w:rsid w:val="00544497"/>
    <w:rPr>
      <w:sz w:val="24"/>
      <w:lang w:val="hr-HR"/>
    </w:rPr>
  </w:style>
  <w:style w:type="paragraph" w:styleId="Revision">
    <w:name w:val="Revision"/>
    <w:hidden/>
    <w:uiPriority w:val="99"/>
    <w:semiHidden/>
    <w:rsid w:val="008675B0"/>
    <w:rPr>
      <w:sz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eli/C/2025/5409/oj" TargetMode="External"/><Relationship Id="rId7" Type="http://schemas.openxmlformats.org/officeDocument/2006/relationships/hyperlink" Target="http://data.europa.eu/eli/reg/2023/2841/oj" TargetMode="External"/><Relationship Id="rId2" Type="http://schemas.openxmlformats.org/officeDocument/2006/relationships/hyperlink" Target="https://eur-lex.europa.eu/eli/C/2025/4944/oj" TargetMode="External"/><Relationship Id="rId1" Type="http://schemas.openxmlformats.org/officeDocument/2006/relationships/hyperlink" Target="https://eur-lex.europa.eu/eli/budget/2024/207/oj" TargetMode="External"/><Relationship Id="rId6" Type="http://schemas.openxmlformats.org/officeDocument/2006/relationships/hyperlink" Target="https://eur-lex.europa.eu/eli/reg/2024/2509/oj" TargetMode="External"/><Relationship Id="rId5" Type="http://schemas.openxmlformats.org/officeDocument/2006/relationships/hyperlink" Target="https://eur-lex.europa.eu/eli/reg/2018/1046/oj" TargetMode="External"/><Relationship Id="rId4" Type="http://schemas.openxmlformats.org/officeDocument/2006/relationships/hyperlink" Target="https://eur-lex.europa.eu/eli/C/2025/54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19</Pages>
  <Words>8759</Words>
  <Characters>53414</Characters>
  <Application>Microsoft Office Word</Application>
  <DocSecurity>0</DocSecurity>
  <Lines>445</Lines>
  <Paragraphs>124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62049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JELIC PRIMORAC Ivana</cp:lastModifiedBy>
  <cp:revision>6</cp:revision>
  <cp:lastPrinted>2004-11-19T15:42:00Z</cp:lastPrinted>
  <dcterms:created xsi:type="dcterms:W3CDTF">2026-04-28T14:49:00Z</dcterms:created>
  <dcterms:modified xsi:type="dcterms:W3CDTF">2026-04-29T14:20:00Z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A10-0052/2026</vt:lpwstr>
  </property>
  <property fmtid="{D5CDD505-2E9C-101B-9397-08002B2CF9AE}" pid="4" name="&lt;Type&gt;">
    <vt:lpwstr>RR</vt:lpwstr>
  </property>
</Properties>
</file>