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A4592" w14:paraId="3AFBE891" w14:textId="77777777" w:rsidTr="0010095E">
        <w:trPr>
          <w:trHeight w:hRule="exact" w:val="1418"/>
        </w:trPr>
        <w:tc>
          <w:tcPr>
            <w:tcW w:w="6804" w:type="dxa"/>
            <w:shd w:val="clear" w:color="auto" w:fill="auto"/>
            <w:vAlign w:val="center"/>
          </w:tcPr>
          <w:p w14:paraId="4AA80850" w14:textId="77777777" w:rsidR="00751A4A" w:rsidRPr="005A4592" w:rsidRDefault="00025454" w:rsidP="0010095E">
            <w:pPr>
              <w:pStyle w:val="EPName"/>
            </w:pPr>
            <w:r w:rsidRPr="005A4592">
              <w:t>Europos Parlamentas</w:t>
            </w:r>
          </w:p>
          <w:p w14:paraId="2B53D130" w14:textId="77777777" w:rsidR="00751A4A" w:rsidRPr="005A4592" w:rsidRDefault="005F1B17" w:rsidP="005F1B17">
            <w:pPr>
              <w:pStyle w:val="EPTerm"/>
              <w:rPr>
                <w:rStyle w:val="HideTWBExt"/>
                <w:noProof w:val="0"/>
                <w:vanish w:val="0"/>
                <w:color w:val="auto"/>
              </w:rPr>
            </w:pPr>
            <w:r w:rsidRPr="005A4592">
              <w:t>2024</w:t>
            </w:r>
            <w:r w:rsidR="00817416" w:rsidRPr="005A4592">
              <w:t>-202</w:t>
            </w:r>
            <w:r w:rsidRPr="005A4592">
              <w:t>9</w:t>
            </w:r>
          </w:p>
        </w:tc>
        <w:tc>
          <w:tcPr>
            <w:tcW w:w="2268" w:type="dxa"/>
            <w:shd w:val="clear" w:color="auto" w:fill="auto"/>
          </w:tcPr>
          <w:p w14:paraId="498CD609" w14:textId="77777777" w:rsidR="00751A4A" w:rsidRPr="005A4592" w:rsidRDefault="00187494" w:rsidP="0010095E">
            <w:pPr>
              <w:pStyle w:val="EPLogo"/>
            </w:pPr>
            <w:r w:rsidRPr="005A4592">
              <w:rPr>
                <w:noProof/>
                <w:lang w:eastAsia="ja-JP"/>
              </w:rPr>
              <w:drawing>
                <wp:inline distT="0" distB="0" distL="0" distR="0" wp14:anchorId="23ED2257" wp14:editId="5B4B1C7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D15DF96" w14:textId="77777777" w:rsidR="00D058B8" w:rsidRPr="005A4592" w:rsidRDefault="00D058B8" w:rsidP="004C5D52">
      <w:pPr>
        <w:pStyle w:val="LineTop"/>
      </w:pPr>
    </w:p>
    <w:p w14:paraId="7B2F6052" w14:textId="77777777" w:rsidR="00680577" w:rsidRPr="005A4592" w:rsidRDefault="00025454" w:rsidP="00680577">
      <w:pPr>
        <w:pStyle w:val="EPBodyTA1"/>
      </w:pPr>
      <w:r w:rsidRPr="005A4592">
        <w:t>PRIIMTI TEKSTAI</w:t>
      </w:r>
    </w:p>
    <w:p w14:paraId="638F1A1B" w14:textId="77777777" w:rsidR="00D058B8" w:rsidRPr="005A4592" w:rsidRDefault="00D058B8" w:rsidP="00D058B8">
      <w:pPr>
        <w:pStyle w:val="LineBottom"/>
      </w:pPr>
    </w:p>
    <w:p w14:paraId="03E96271" w14:textId="64857E7F" w:rsidR="00025454" w:rsidRPr="005A4592" w:rsidRDefault="00025454" w:rsidP="00025454">
      <w:pPr>
        <w:pStyle w:val="ATHeading1"/>
      </w:pPr>
      <w:bookmarkStart w:id="0" w:name="TANumber"/>
      <w:r w:rsidRPr="005A4592">
        <w:t>P10_TA(2026)0</w:t>
      </w:r>
      <w:r w:rsidR="005465B8">
        <w:t>129</w:t>
      </w:r>
      <w:bookmarkEnd w:id="0"/>
    </w:p>
    <w:p w14:paraId="2B723A5B" w14:textId="77777777" w:rsidR="00025454" w:rsidRPr="005A4592" w:rsidRDefault="00025454" w:rsidP="00025454">
      <w:pPr>
        <w:pStyle w:val="ATHeading2"/>
      </w:pPr>
      <w:bookmarkStart w:id="1" w:name="title"/>
      <w:r w:rsidRPr="005A4592">
        <w:t>2024 m. biudžeto įvykdymo patvirtinimas: ES bendrasis biudžetas – Audito Rūmai</w:t>
      </w:r>
      <w:bookmarkEnd w:id="1"/>
    </w:p>
    <w:p w14:paraId="58357C77" w14:textId="77777777" w:rsidR="00025454" w:rsidRPr="005A4592" w:rsidRDefault="00025454" w:rsidP="00025454">
      <w:pPr>
        <w:rPr>
          <w:i/>
          <w:vanish/>
        </w:rPr>
      </w:pPr>
      <w:r w:rsidRPr="005A4592">
        <w:rPr>
          <w:i/>
        </w:rPr>
        <w:fldChar w:fldCharType="begin"/>
      </w:r>
      <w:r w:rsidRPr="005A4592">
        <w:rPr>
          <w:i/>
        </w:rPr>
        <w:instrText xml:space="preserve"> TC"(</w:instrText>
      </w:r>
      <w:bookmarkStart w:id="2" w:name="DocNumber"/>
      <w:r w:rsidRPr="005A4592">
        <w:rPr>
          <w:i/>
        </w:rPr>
        <w:instrText>A10-0052/2026</w:instrText>
      </w:r>
      <w:bookmarkEnd w:id="2"/>
      <w:r w:rsidRPr="005A4592">
        <w:rPr>
          <w:i/>
        </w:rPr>
        <w:instrText xml:space="preserve"> - Pranešėjas: Pasquale Tridico)"\l3 \n&gt; \* MERGEFORMAT </w:instrText>
      </w:r>
      <w:r w:rsidRPr="005A4592">
        <w:rPr>
          <w:i/>
        </w:rPr>
        <w:fldChar w:fldCharType="end"/>
      </w:r>
    </w:p>
    <w:p w14:paraId="16F4BF0B" w14:textId="77777777" w:rsidR="00025454" w:rsidRPr="005A4592" w:rsidRDefault="00025454" w:rsidP="00025454">
      <w:pPr>
        <w:rPr>
          <w:vanish/>
        </w:rPr>
      </w:pPr>
      <w:bookmarkStart w:id="3" w:name="Commission"/>
      <w:r w:rsidRPr="005A4592">
        <w:rPr>
          <w:vanish/>
        </w:rPr>
        <w:t>Biudžeto kontrolės komitetas</w:t>
      </w:r>
      <w:bookmarkEnd w:id="3"/>
    </w:p>
    <w:p w14:paraId="4651CC5B" w14:textId="77777777" w:rsidR="00025454" w:rsidRPr="005A4592" w:rsidRDefault="00025454" w:rsidP="00025454">
      <w:pPr>
        <w:rPr>
          <w:vanish/>
        </w:rPr>
      </w:pPr>
      <w:bookmarkStart w:id="4" w:name="PE"/>
      <w:r w:rsidRPr="005A4592">
        <w:rPr>
          <w:vanish/>
        </w:rPr>
        <w:t>PE778.062</w:t>
      </w:r>
      <w:bookmarkEnd w:id="4"/>
    </w:p>
    <w:p w14:paraId="31BD8DB3" w14:textId="4ED29735" w:rsidR="00025454" w:rsidRPr="005A4592" w:rsidRDefault="007E734F" w:rsidP="007E734F">
      <w:pPr>
        <w:pStyle w:val="ATHeading3"/>
      </w:pPr>
      <w:bookmarkStart w:id="5" w:name="Sujet"/>
      <w:r>
        <w:t xml:space="preserve">1. </w:t>
      </w:r>
      <w:r w:rsidR="00025454" w:rsidRPr="005A4592">
        <w:t xml:space="preserve">2026 m. </w:t>
      </w:r>
      <w:r w:rsidRPr="005A4592">
        <w:t>balandžio</w:t>
      </w:r>
      <w:r w:rsidR="00025454" w:rsidRPr="005A4592">
        <w:t xml:space="preserve"> 29 d. Europos Parlamento </w:t>
      </w:r>
      <w:r w:rsidR="001B384F">
        <w:t>sprendimas</w:t>
      </w:r>
      <w:r w:rsidR="001B384F" w:rsidRPr="005A4592">
        <w:t xml:space="preserve"> </w:t>
      </w:r>
      <w:r w:rsidR="00025454" w:rsidRPr="005A4592">
        <w:t>dėl 2024 finansinių metų Europos Sąjungos bendrojo biudžeto įvykdymo patvirtinimo, V skirsnis – Audito Rūmai</w:t>
      </w:r>
      <w:bookmarkEnd w:id="5"/>
      <w:r w:rsidR="00025454" w:rsidRPr="005A4592">
        <w:t xml:space="preserve"> </w:t>
      </w:r>
      <w:bookmarkStart w:id="6" w:name="References"/>
      <w:r w:rsidR="00025454" w:rsidRPr="005A4592">
        <w:t>(2025/2149(DEC))</w:t>
      </w:r>
      <w:bookmarkEnd w:id="6"/>
    </w:p>
    <w:p w14:paraId="26CC1827" w14:textId="77777777" w:rsidR="009E39F9" w:rsidRPr="005A4592" w:rsidRDefault="009E39F9" w:rsidP="009E39F9">
      <w:pPr>
        <w:pStyle w:val="EPComma"/>
      </w:pPr>
      <w:bookmarkStart w:id="7" w:name="TextBodyBegin"/>
      <w:bookmarkEnd w:id="7"/>
      <w:r w:rsidRPr="005A4592">
        <w:rPr>
          <w:i/>
        </w:rPr>
        <w:t>Europos Parlamentas</w:t>
      </w:r>
      <w:r w:rsidRPr="005A4592">
        <w:t>,</w:t>
      </w:r>
    </w:p>
    <w:p w14:paraId="7EC744B0" w14:textId="77777777" w:rsidR="009E39F9" w:rsidRPr="005A4592" w:rsidRDefault="009E39F9" w:rsidP="009E39F9">
      <w:pPr>
        <w:pStyle w:val="NormalHanging12a"/>
      </w:pPr>
      <w:r w:rsidRPr="005A4592">
        <w:t>–</w:t>
      </w:r>
      <w:r w:rsidRPr="005A4592">
        <w:tab/>
        <w:t>atsižvelgdamas į Europos Sąjungos 2024 finansinių metų bendrąjį biudžetą</w:t>
      </w:r>
      <w:r w:rsidRPr="005A4592">
        <w:rPr>
          <w:rStyle w:val="FootnoteReference"/>
        </w:rPr>
        <w:footnoteReference w:id="1"/>
      </w:r>
      <w:r w:rsidRPr="005A4592">
        <w:t>,</w:t>
      </w:r>
    </w:p>
    <w:p w14:paraId="3DA320CE" w14:textId="77777777" w:rsidR="009E39F9" w:rsidRPr="005A4592" w:rsidRDefault="009E39F9" w:rsidP="009E39F9">
      <w:pPr>
        <w:pStyle w:val="NormalHanging12a"/>
      </w:pPr>
      <w:r w:rsidRPr="005A4592">
        <w:t>–</w:t>
      </w:r>
      <w:r w:rsidRPr="005A4592">
        <w:tab/>
        <w:t>atsižvelgdamas į 2024 finansinių metų Europos Sąjungos konsoliduotąsias metines ataskaitas (COM(2025)0359 – C10</w:t>
      </w:r>
      <w:r w:rsidRPr="005A4592">
        <w:noBreakHyphen/>
        <w:t>0149/2025)</w:t>
      </w:r>
      <w:r w:rsidRPr="005A4592">
        <w:rPr>
          <w:rStyle w:val="FootnoteReference"/>
        </w:rPr>
        <w:footnoteReference w:id="2"/>
      </w:r>
      <w:r w:rsidRPr="005A4592">
        <w:t>,</w:t>
      </w:r>
    </w:p>
    <w:p w14:paraId="362E44E5" w14:textId="77777777" w:rsidR="009E39F9" w:rsidRPr="005A4592" w:rsidRDefault="009E39F9" w:rsidP="009E39F9">
      <w:pPr>
        <w:pStyle w:val="NormalHanging12a"/>
      </w:pPr>
      <w:r w:rsidRPr="005A4592">
        <w:t>–</w:t>
      </w:r>
      <w:r w:rsidRPr="005A4592">
        <w:tab/>
        <w:t>atsižvelgdamas į Audito Rūmų metinę 2024 m. atlikto vidaus audito ataskaitą biudžeto įvykdymą tvirtinančiai institucijai,</w:t>
      </w:r>
    </w:p>
    <w:p w14:paraId="2815D8AA" w14:textId="77777777" w:rsidR="009E39F9" w:rsidRPr="005A4592" w:rsidRDefault="009E39F9" w:rsidP="009E39F9">
      <w:pPr>
        <w:pStyle w:val="NormalHanging12a"/>
      </w:pPr>
      <w:r w:rsidRPr="005A4592">
        <w:t>–</w:t>
      </w:r>
      <w:r w:rsidRPr="005A4592">
        <w:tab/>
        <w:t>atsižvelgdamas į Audito Rūmų 2024 finansinių metų metinę biudžeto vykdymo ataskaitą kartu su institucijų atsakymais</w:t>
      </w:r>
      <w:r w:rsidRPr="005A4592">
        <w:rPr>
          <w:rStyle w:val="FootnoteReference"/>
        </w:rPr>
        <w:footnoteReference w:id="3"/>
      </w:r>
      <w:r w:rsidRPr="005A4592">
        <w:t>,</w:t>
      </w:r>
    </w:p>
    <w:p w14:paraId="6925B292" w14:textId="77777777" w:rsidR="009E39F9" w:rsidRPr="005A4592" w:rsidRDefault="009E39F9" w:rsidP="009E39F9">
      <w:pPr>
        <w:pStyle w:val="NormalHanging12a"/>
      </w:pPr>
      <w:r w:rsidRPr="005A4592">
        <w:t>–</w:t>
      </w:r>
      <w:r w:rsidRPr="005A4592">
        <w:tab/>
        <w:t>atsižvelgdamas į Audito Rūmų pagal Sutarties dėl Europos Sąjungos veikimo 287 straipsnį pateiktą 2024 finansinių metų sąskaitų patikimumo ir pagal jas atliktų operacijų teisėtumo ir tvarkingumo patikinimo pareiškimą</w:t>
      </w:r>
      <w:r w:rsidRPr="005A4592">
        <w:rPr>
          <w:rStyle w:val="FootnoteReference"/>
        </w:rPr>
        <w:footnoteReference w:id="4"/>
      </w:r>
      <w:r w:rsidRPr="005A4592">
        <w:t>,</w:t>
      </w:r>
    </w:p>
    <w:p w14:paraId="66406972" w14:textId="77777777" w:rsidR="009E39F9" w:rsidRPr="005A4592" w:rsidRDefault="009E39F9" w:rsidP="009E39F9">
      <w:pPr>
        <w:pStyle w:val="NormalHanging12a"/>
      </w:pPr>
      <w:r w:rsidRPr="005A4592">
        <w:t>–</w:t>
      </w:r>
      <w:r w:rsidRPr="005A4592">
        <w:tab/>
        <w:t>atsižvelgdamas į Sutarties dėl Europos Sąjungos veikimo 314 straipsnio 10 dalį ir 317, 318 ir 319 straipsnius,</w:t>
      </w:r>
    </w:p>
    <w:p w14:paraId="501A3585" w14:textId="77777777" w:rsidR="009E39F9" w:rsidRPr="005A4592" w:rsidRDefault="009E39F9" w:rsidP="009E39F9">
      <w:pPr>
        <w:pStyle w:val="NormalHanging12a"/>
      </w:pPr>
      <w:r w:rsidRPr="005A4592">
        <w:t>–</w:t>
      </w:r>
      <w:r w:rsidRPr="005A4592">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5A4592">
        <w:rPr>
          <w:rStyle w:val="FootnoteReference"/>
        </w:rPr>
        <w:footnoteReference w:id="5"/>
      </w:r>
      <w:r w:rsidRPr="005A4592">
        <w:t>, ypač į jo 59, 118, 260, 261 ir 262 straipsnius,</w:t>
      </w:r>
    </w:p>
    <w:p w14:paraId="188419DE" w14:textId="7502D9F1" w:rsidR="009E39F9" w:rsidRPr="005A4592" w:rsidRDefault="009E39F9" w:rsidP="009E39F9">
      <w:pPr>
        <w:pStyle w:val="NormalHanging12a"/>
      </w:pPr>
      <w:r w:rsidRPr="005A4592">
        <w:lastRenderedPageBreak/>
        <w:t>–</w:t>
      </w:r>
      <w:r w:rsidRPr="005A4592">
        <w:tab/>
        <w:t>atsižvelgdamas į 2024 m. rugsėjo 23 d. Europos Parlamento ir Tarybos reglamentą (ES, Euratomas) 2024/2509 dėl Sąjungos bendrajam biudžetui taikomų finansinių taisyklių</w:t>
      </w:r>
      <w:r w:rsidRPr="005A4592">
        <w:rPr>
          <w:rStyle w:val="FootnoteReference"/>
        </w:rPr>
        <w:footnoteReference w:id="6"/>
      </w:r>
      <w:r w:rsidRPr="005A4592">
        <w:t>, ypač į jo 59, 118, 266, 267 ir 268 straipsnius,</w:t>
      </w:r>
    </w:p>
    <w:p w14:paraId="1EE1185E" w14:textId="77777777" w:rsidR="009E39F9" w:rsidRPr="005A4592" w:rsidRDefault="009E39F9" w:rsidP="009E39F9">
      <w:pPr>
        <w:pStyle w:val="NormalHanging12a"/>
      </w:pPr>
      <w:r w:rsidRPr="005A4592">
        <w:t>–</w:t>
      </w:r>
      <w:r w:rsidRPr="005A4592">
        <w:tab/>
        <w:t>atsižvelgdamas į Darbo tvarkos taisyklių 102 straipsnį ir V priedą,</w:t>
      </w:r>
    </w:p>
    <w:p w14:paraId="3C7082E6" w14:textId="77777777" w:rsidR="009E39F9" w:rsidRPr="005A4592" w:rsidRDefault="009E39F9" w:rsidP="009E39F9">
      <w:pPr>
        <w:pStyle w:val="NormalHanging12a"/>
      </w:pPr>
      <w:r w:rsidRPr="005A4592">
        <w:t>–</w:t>
      </w:r>
      <w:r w:rsidRPr="005A4592">
        <w:tab/>
        <w:t>atsižvelgdamas į Biudžeto kontrolės komiteto pranešimą (A10-0052/2026),</w:t>
      </w:r>
    </w:p>
    <w:p w14:paraId="435A8699" w14:textId="77777777" w:rsidR="009E39F9" w:rsidRPr="005A4592" w:rsidRDefault="009E39F9" w:rsidP="009E39F9">
      <w:pPr>
        <w:pStyle w:val="NormalHanging12a"/>
      </w:pPr>
      <w:r w:rsidRPr="005A4592">
        <w:t>1.</w:t>
      </w:r>
      <w:r w:rsidRPr="005A4592">
        <w:tab/>
        <w:t>patvirtina Audito Rūmų generaliniam sekretoriui, kad Audito Rūmų 2024 finansinių metų biudžetas įvykdytas;</w:t>
      </w:r>
    </w:p>
    <w:p w14:paraId="02EA7BA5" w14:textId="77777777" w:rsidR="009E39F9" w:rsidRPr="005A4592" w:rsidRDefault="009E39F9" w:rsidP="009E39F9">
      <w:pPr>
        <w:pStyle w:val="NormalHanging12a"/>
      </w:pPr>
      <w:r w:rsidRPr="005A4592">
        <w:t>2.</w:t>
      </w:r>
      <w:r w:rsidRPr="005A4592">
        <w:tab/>
        <w:t>išdėsto savo pastabas toliau pateikiamoje rezoliucijoje;</w:t>
      </w:r>
    </w:p>
    <w:p w14:paraId="7896172B" w14:textId="77777777" w:rsidR="009E39F9" w:rsidRPr="005A4592" w:rsidRDefault="009E39F9" w:rsidP="009E39F9">
      <w:pPr>
        <w:pStyle w:val="NormalHanging12a"/>
      </w:pPr>
      <w:r w:rsidRPr="005A4592">
        <w:t>3.</w:t>
      </w:r>
      <w:r w:rsidRPr="005A4592">
        <w:tab/>
        <w:t xml:space="preserve">paveda Pirmininkei perduoti šį sprendimą ir rezoliuciją, kuri yra neatskiriama jo dalis, Tarybai, Komisijai ir Audito Rūmams ir pasirūpinti, kad jie būtų paskelbti </w:t>
      </w:r>
      <w:r w:rsidRPr="005A4592">
        <w:rPr>
          <w:i/>
        </w:rPr>
        <w:t>Europos Sąjungos oficialiajame leidinyje</w:t>
      </w:r>
      <w:r w:rsidRPr="005A4592">
        <w:t xml:space="preserve"> (L serijoje).</w:t>
      </w:r>
    </w:p>
    <w:p w14:paraId="3103CF99" w14:textId="77777777" w:rsidR="009E39F9" w:rsidRPr="005A4592" w:rsidRDefault="009E39F9" w:rsidP="009E39F9"/>
    <w:p w14:paraId="7A3FFE9D" w14:textId="77777777" w:rsidR="009E39F9" w:rsidRPr="005A4592" w:rsidRDefault="009E39F9" w:rsidP="009E39F9">
      <w:pPr>
        <w:pStyle w:val="PageHeading"/>
        <w:sectPr w:rsidR="009E39F9" w:rsidRPr="005A4592" w:rsidSect="005A4592">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4CCCACE" w14:textId="066C386F" w:rsidR="009E39F9" w:rsidRDefault="009E39F9" w:rsidP="007312B1">
      <w:pPr>
        <w:pStyle w:val="ATHeading3"/>
      </w:pPr>
      <w:bookmarkStart w:id="8" w:name="_Toc227248269"/>
      <w:r w:rsidRPr="005A4592">
        <w:t xml:space="preserve">2. </w:t>
      </w:r>
      <w:r w:rsidR="007E734F" w:rsidRPr="005A4592">
        <w:t xml:space="preserve">2026 m. balandžio 29 d. Europos Parlamento </w:t>
      </w:r>
      <w:r w:rsidR="001B384F">
        <w:t>rezoliucija</w:t>
      </w:r>
      <w:r w:rsidR="007E734F">
        <w:t xml:space="preserve"> </w:t>
      </w:r>
      <w:bookmarkEnd w:id="8"/>
      <w:r w:rsidRPr="005A4592">
        <w:t>su pastabomis, sudarančiomis neatskiriamą sprendimo dėl Europos Sąjungos 2024 finansinių metų bendrojo biudžeto įvykdymo patvirtinimo, V skirsnis – Audito Rūmai, dalį</w:t>
      </w:r>
      <w:r w:rsidR="007E734F">
        <w:t xml:space="preserve"> </w:t>
      </w:r>
      <w:r w:rsidRPr="005A4592">
        <w:t>(2025/2149(DEC))</w:t>
      </w:r>
    </w:p>
    <w:p w14:paraId="1F8D2551" w14:textId="77777777" w:rsidR="009E39F9" w:rsidRPr="005A4592" w:rsidRDefault="009E39F9" w:rsidP="009E39F9">
      <w:pPr>
        <w:pStyle w:val="EPComma"/>
      </w:pPr>
      <w:r w:rsidRPr="005A4592">
        <w:rPr>
          <w:i/>
        </w:rPr>
        <w:t>Europos Parlamentas</w:t>
      </w:r>
      <w:r w:rsidRPr="005A4592">
        <w:t>,</w:t>
      </w:r>
    </w:p>
    <w:p w14:paraId="04DD5E29" w14:textId="77777777" w:rsidR="009E39F9" w:rsidRPr="005A4592" w:rsidRDefault="009E39F9" w:rsidP="009E39F9">
      <w:pPr>
        <w:pStyle w:val="NormalHanging12a"/>
      </w:pPr>
      <w:r w:rsidRPr="005A4592">
        <w:t>–</w:t>
      </w:r>
      <w:r w:rsidRPr="005A4592">
        <w:tab/>
        <w:t>atsižvelgdamas į savo sprendimą dėl Europos Sąjungos 2024 finansinių metų bendrojo biudžeto įvykdymo patvirtinimo, V skirsnis – Audito Rūmai,</w:t>
      </w:r>
    </w:p>
    <w:p w14:paraId="3B71F42E" w14:textId="77777777" w:rsidR="009E39F9" w:rsidRPr="005A4592" w:rsidRDefault="009E39F9" w:rsidP="009E39F9">
      <w:pPr>
        <w:pStyle w:val="NormalHanging12a"/>
      </w:pPr>
      <w:r w:rsidRPr="005A4592">
        <w:t>–</w:t>
      </w:r>
      <w:r w:rsidRPr="005A4592">
        <w:tab/>
        <w:t>atsižvelgdamas į Darbo tvarkos taisyklių 102 straipsnį ir V priedą,</w:t>
      </w:r>
    </w:p>
    <w:p w14:paraId="1DB165C6" w14:textId="77777777" w:rsidR="009E39F9" w:rsidRPr="005A4592" w:rsidRDefault="009E39F9" w:rsidP="009E39F9">
      <w:pPr>
        <w:pStyle w:val="NormalHanging12a"/>
      </w:pPr>
      <w:r w:rsidRPr="005A4592">
        <w:t>–</w:t>
      </w:r>
      <w:r w:rsidRPr="005A4592">
        <w:tab/>
        <w:t>atsižvelgdamas į Biudžeto kontrolės komiteto pranešimą (A10-0052/2026),</w:t>
      </w:r>
    </w:p>
    <w:p w14:paraId="399A2756" w14:textId="77777777" w:rsidR="009E39F9" w:rsidRPr="005A4592" w:rsidRDefault="009E39F9" w:rsidP="009E39F9">
      <w:pPr>
        <w:pStyle w:val="NormalHanging12a"/>
        <w:ind w:left="570"/>
        <w:rPr>
          <w:szCs w:val="24"/>
        </w:rPr>
      </w:pPr>
      <w:r w:rsidRPr="005A4592">
        <w:t>A.</w:t>
      </w:r>
      <w:r w:rsidRPr="005A4592">
        <w:tab/>
        <w:t>kadangi per biudžeto įvykdymo patvirtinimo procedūrą biudžeto įvykdymą tvirtinanti institucija nori pabrėžti, kad ypač svarbu toliau stiprinti Sąjungos institucijų demokratinį teisėtumą didinant skaidrumą ir atskaitomybę, įgyvendinant rezultatais grindžiamo biudžeto sudarymo koncepciją ir užtikrinant gerą žmogiškųjų išteklių valdymą;</w:t>
      </w:r>
    </w:p>
    <w:p w14:paraId="69E3CFE1" w14:textId="77777777" w:rsidR="009E39F9" w:rsidRPr="005A4592" w:rsidRDefault="009E39F9" w:rsidP="009E39F9">
      <w:pPr>
        <w:pStyle w:val="NormalHanging12a"/>
        <w:rPr>
          <w:szCs w:val="24"/>
        </w:rPr>
      </w:pPr>
      <w:r w:rsidRPr="005A4592">
        <w:t>B.</w:t>
      </w:r>
      <w:r w:rsidRPr="005A4592">
        <w:tab/>
        <w:t>kadangi Europos Audito Rūmai (toliau – Audito Rūmai) yra Sąjungos išorės auditorius, kuriam patikėta atliekant nepriklausomą, profesionalų ir veiksmingą auditą įvertinti Sąjungos veiksmų ekonomiškumą, veiksmingumą, efektyvumą, teisėtumą ir tvarkingumą, kad būtų gerinama atskaitomybė, skaidrumas ir finansų valdymas ir taip didinamas piliečių pasitikėjimas, taip pat veiksmingai reaguojama į dabartinius ir būsimus iššūkius, su kuriais susiduriama Sąjungoje;</w:t>
      </w:r>
    </w:p>
    <w:p w14:paraId="63AAC912" w14:textId="77777777" w:rsidR="009E39F9" w:rsidRPr="005A4592" w:rsidRDefault="009E39F9" w:rsidP="009E39F9">
      <w:pPr>
        <w:pStyle w:val="NormalHanging12a"/>
        <w:rPr>
          <w:szCs w:val="24"/>
        </w:rPr>
      </w:pPr>
      <w:r w:rsidRPr="005A4592">
        <w:t>C.</w:t>
      </w:r>
      <w:r w:rsidRPr="005A4592">
        <w:tab/>
        <w:t xml:space="preserve">kadangi, nepažeidžiant Sutarties dėl Europos Sąjungos veikimo (SESV) 287 ir 319 straipsnių, nuo 1987 finansinių metų pabaigos Audito Rūmų pajamų ir išlaidų ataskaitų auditą kasmet atlieka nepriklausomas išorės auditorius, o nuo tada, kai parengta 1992 finansinių metų ataskaita, išorės auditoriaus ataskaitos skelbiamos </w:t>
      </w:r>
      <w:r w:rsidRPr="005A4592">
        <w:rPr>
          <w:i/>
          <w:iCs/>
        </w:rPr>
        <w:t>Europos Sąjungos oficialiajame leidinyje</w:t>
      </w:r>
      <w:r w:rsidRPr="005A4592">
        <w:t>;</w:t>
      </w:r>
    </w:p>
    <w:p w14:paraId="29F0ABAE" w14:textId="77777777" w:rsidR="009E39F9" w:rsidRPr="005A4592" w:rsidRDefault="009E39F9" w:rsidP="009E39F9">
      <w:pPr>
        <w:pStyle w:val="NormalHanging12a"/>
        <w:rPr>
          <w:szCs w:val="24"/>
        </w:rPr>
      </w:pPr>
      <w:r w:rsidRPr="005A4592">
        <w:t>D.</w:t>
      </w:r>
      <w:r w:rsidRPr="005A4592">
        <w:tab/>
        <w:t>kadangi vadovybės atskaitomybė biudžeto valdymo institucijoms išdėstoma Audito Rūmų generalinio sekretoriaus metinėje veiklos ataskaitoje, kurios tikslas pagal Finansinio reglamento 74 straipsnio 9 dalį – pateikti informaciją apie išteklių valdymą, įskaitant sistemas, ir apie Audito Rūmų vidaus kontrolės sistemų efektyvumą ir veiksmingumą;</w:t>
      </w:r>
    </w:p>
    <w:p w14:paraId="10F6FA85" w14:textId="77777777" w:rsidR="009E39F9" w:rsidRPr="005A4592" w:rsidRDefault="009E39F9" w:rsidP="009E39F9">
      <w:pPr>
        <w:pStyle w:val="NormalHanging12a"/>
        <w:rPr>
          <w:szCs w:val="24"/>
        </w:rPr>
      </w:pPr>
      <w:r w:rsidRPr="005A4592">
        <w:t>E.</w:t>
      </w:r>
      <w:r w:rsidRPr="005A4592">
        <w:tab/>
        <w:t>kadangi Audito Rūmai, savo užduotis atlikdami skaidriai ir nepriklausomai, prisideda prie demokratinės priežiūros, viešų diskusijų ir patikimo Sąjungos finansų valdymo;</w:t>
      </w:r>
    </w:p>
    <w:p w14:paraId="6DF57EA7" w14:textId="77777777" w:rsidR="009E39F9" w:rsidRPr="005A4592" w:rsidRDefault="009E39F9" w:rsidP="009E39F9">
      <w:pPr>
        <w:pStyle w:val="NormalHanging12a"/>
        <w:rPr>
          <w:szCs w:val="24"/>
        </w:rPr>
      </w:pPr>
      <w:r w:rsidRPr="005A4592">
        <w:t>F.</w:t>
      </w:r>
      <w:r w:rsidRPr="005A4592">
        <w:tab/>
        <w:t>kadangi Audito Rūmai laikosi pozicijos, kad, siekiant įvertinti Sąjungos valdymą, atskaitomybę ir skaidrumą, informacijos ir duomenų apie Sąjungos politikos įgyvendinimą kokybę ir patikimumą, geriausias sprendimas būtų pavesti Audito Rūmams vykdyti visų Sąjungos institucijų, įstaigų, organų ir agentūrų, įsteigtų pagal Sutartis, ir visų tarptautinių programų, kurios yra labai svarbios Sąjungos veikimui, auditą; kadangi Parlamentas tvirtai remia Audito Rūmus ir palankiai vertintų iniciatyvas, kurios sustiprintų Audito Rūmų gebėjimą vykdyti savo įgaliojimus;</w:t>
      </w:r>
    </w:p>
    <w:p w14:paraId="7E08D1AA" w14:textId="77777777" w:rsidR="009E39F9" w:rsidRPr="005A4592" w:rsidRDefault="009E39F9" w:rsidP="009E39F9">
      <w:pPr>
        <w:pStyle w:val="NormalHanging12a"/>
        <w:rPr>
          <w:szCs w:val="24"/>
        </w:rPr>
      </w:pPr>
      <w:r w:rsidRPr="005A4592">
        <w:t>1.</w:t>
      </w:r>
      <w:r w:rsidRPr="005A4592">
        <w:tab/>
        <w:t>pažymi, kad Audito Rūmų biudžetas priklauso DFP 7 išlaidų kategorijai „Europos viešasis administravimas“, jos suma 2024 m. siekė 13,3 mlrd. EUR (t. y. 6,9 proc. viso Sąjungos biudžeto); pažymi, kad maždaug 0,2 mlrd. EUR siekiantis Audito Rūmų biudžetas sudaro apie 1,5 proc. visų administracinių Sąjungos išlaidų;</w:t>
      </w:r>
    </w:p>
    <w:p w14:paraId="3360507C" w14:textId="77777777" w:rsidR="009E39F9" w:rsidRPr="005A4592" w:rsidRDefault="009E39F9" w:rsidP="009E39F9">
      <w:pPr>
        <w:pStyle w:val="NormalHanging12a"/>
        <w:rPr>
          <w:szCs w:val="24"/>
        </w:rPr>
      </w:pPr>
      <w:r w:rsidRPr="005A4592">
        <w:t>2.</w:t>
      </w:r>
      <w:r w:rsidRPr="005A4592">
        <w:tab/>
        <w:t>pažymi, kad Audito Rūmai savo 2024 finansinių metų metinėje ataskaitoje (toliau – Audito Rūmų ataskaita) išnagrinėjo 70 operacijų, priskirtų kategorijai „Administravimas“, imtį, t. y. tiek pat, kiek ir 2023 m. pažymi, kad Audito Rūmai taip pat nurodo, kad administracines išlaidas sudaro išlaidos žmogiškiesiems ištekliams, įskaitant išlaidas pensijoms, kurios 2024 m. sudarė apie 69 proc. visų administracinių išlaidų, taip pat išlaidos pastatams, įrangai, energijai, komunikacijai ir informacinėms technologijoms (IT), ir kad jų daugelio metų darbo patirtis rodo, jog apskritai šios išlaidos yra nedidelės rizikos išlaidos;</w:t>
      </w:r>
    </w:p>
    <w:p w14:paraId="10FC63EA" w14:textId="77777777" w:rsidR="009E39F9" w:rsidRPr="005A4592" w:rsidRDefault="009E39F9" w:rsidP="009E39F9">
      <w:pPr>
        <w:pStyle w:val="NormalHanging12a"/>
        <w:rPr>
          <w:szCs w:val="24"/>
        </w:rPr>
      </w:pPr>
      <w:r w:rsidRPr="005A4592">
        <w:t>3.</w:t>
      </w:r>
      <w:r w:rsidRPr="005A4592">
        <w:tab/>
        <w:t>pažymi, kad 16 (23 proc.) iš 70 operacijų buvo klaidų, tačiau Audito Rūmai, remdamiesi trimis kiekybiškai įvertintomis klaidomis, apskaičiavo, kad klaidų lygis nesiekia reikšmingumo ribos;</w:t>
      </w:r>
    </w:p>
    <w:p w14:paraId="3D91CAB2" w14:textId="77777777" w:rsidR="009E39F9" w:rsidRPr="005A4592" w:rsidRDefault="009E39F9" w:rsidP="009E39F9">
      <w:pPr>
        <w:pStyle w:val="NormalHanging12a"/>
        <w:rPr>
          <w:szCs w:val="24"/>
        </w:rPr>
      </w:pPr>
      <w:r w:rsidRPr="005A4592">
        <w:t>4.</w:t>
      </w:r>
      <w:r w:rsidRPr="005A4592">
        <w:tab/>
        <w:t>pažymi, kad Audito Rūmų finansinių ataskaitų auditą atlieka nepriklausomas išorės auditorius, siekiant, kad Audito Rūmams būtų taikomi tokie patys skaidrumo, atskaitomybės ir nepriklausomumo principai, kokius Audito Rūmai taiko savo audituojamiems subjektams;</w:t>
      </w:r>
    </w:p>
    <w:p w14:paraId="1D19DB78" w14:textId="77777777" w:rsidR="009E39F9" w:rsidRPr="005A4592" w:rsidRDefault="009E39F9" w:rsidP="009E39F9">
      <w:pPr>
        <w:pStyle w:val="NormalHanging12a"/>
        <w:rPr>
          <w:szCs w:val="24"/>
        </w:rPr>
      </w:pPr>
      <w:r w:rsidRPr="005A4592">
        <w:t>5.</w:t>
      </w:r>
      <w:r w:rsidRPr="005A4592">
        <w:tab/>
        <w:t>palankiai vertina Audito Rūmų specialiąją ataskaitą Nr. 24/2024 ir joje pateiktas išvadas bei rekomendacijas dėl Sąjungos viešosios tarnybos užimtumo sistemos; primena, kad mano, jog svarbu atlikti išsamesnį administracinių išlaidų tyrimą, ir pakartoja savo raginimą į darbą įtraukti išsamius duomenis apie visas institucijas, kad būtų sukurtas nuoseklus pagrindas nuosekliai biudžeto įvykdymo patvirtinimo procedūrai; prašo Audito Rūmų informuoti biudžeto įvykdymą tvirtinančią instituciją apie bet kokias iniciatyvas šiuo klausimu;</w:t>
      </w:r>
    </w:p>
    <w:p w14:paraId="0405450B" w14:textId="77777777" w:rsidR="009E39F9" w:rsidRPr="005A4592" w:rsidRDefault="009E39F9" w:rsidP="009E39F9">
      <w:pPr>
        <w:pStyle w:val="NormalHanging12a"/>
        <w:rPr>
          <w:bCs/>
          <w:iCs/>
          <w:szCs w:val="24"/>
        </w:rPr>
      </w:pPr>
      <w:r w:rsidRPr="005A4592">
        <w:t>6.</w:t>
      </w:r>
      <w:r w:rsidRPr="005A4592">
        <w:tab/>
        <w:t>kadangi 2025 m. spalio 1 d. Audito Rūmai paskelbė, kad nuo 2025 finansinių metų bus pradėtas taikyti peržiūrėtas bendrųjų įmonių audito metodas; pažymi, kad šį pokytį, be kita ko, paskatino personalo pajėgumų apribojimai ir tai, kad Komisijos vidaus audito tarnyba, anksčiau atlikusi bendrųjų įmonių auditą, nutraukia bendrųjų įmonių pagal programą „Europos horizontas“ vykdomą auditą, dėl to sumažėja papildomo audito patikinimo galimybės; taip pat pažymi, kad pagal naująjį metodą numatomas tinkamas audito imties dydis, visų bendrųjų įmonių audito darbo konsolidavimas ir dviejų atskirų patikinimo pareiškimų, pagrįstų papildomomis teminėmis ir specialiosiomis ataskaitomis, pateikimas; ragina Audito Rūmus užtikrinti, kad peržiūrėta metodika būtų įgyvendinta laiku ir kad ji taip pat atitiktų aukščiausius audito kokybės, patikimumo ir patikinimo standartus, siekiant apsaugoti Sąjungos finansinius interesus;</w:t>
      </w:r>
    </w:p>
    <w:p w14:paraId="59365E2F" w14:textId="77777777" w:rsidR="009E39F9" w:rsidRPr="005A4592" w:rsidRDefault="009E39F9" w:rsidP="009E39F9">
      <w:pPr>
        <w:pStyle w:val="NormalHanging12a"/>
        <w:rPr>
          <w:b/>
          <w:i/>
          <w:iCs/>
          <w:szCs w:val="24"/>
        </w:rPr>
      </w:pPr>
      <w:r w:rsidRPr="005A4592">
        <w:rPr>
          <w:b/>
          <w:i/>
        </w:rPr>
        <w:t>Biudžeto ir finansų valdymas</w:t>
      </w:r>
    </w:p>
    <w:p w14:paraId="15C80AD7" w14:textId="77777777" w:rsidR="009E39F9" w:rsidRPr="005A4592" w:rsidRDefault="009E39F9" w:rsidP="009E39F9">
      <w:pPr>
        <w:pStyle w:val="NormalHanging12a"/>
        <w:rPr>
          <w:szCs w:val="24"/>
        </w:rPr>
      </w:pPr>
      <w:r w:rsidRPr="005A4592">
        <w:t>7.</w:t>
      </w:r>
      <w:r w:rsidRPr="005A4592">
        <w:tab/>
        <w:t>pažymi, kad bendras Audito Rūmų 2024 m. biudžetas (C1 asignavimai) sudarė 185 655 890 EUR, t. y. jis buvo 6,05 proc. didesnis, palyginti su 175 059 922 EUR biudžetu 2023 m.; pažymi, kad padidėjimas buvo susijęs pirmiausia su atlyginimų koregavimu; pažymi, kad 2024 m. 89,50 proc. asignavimų (didesnė dalis, palyginti su 88,50 proc. 2023 m.) buvo skirta jo nariams ir personalui, o 10,50 proc. – pastatams, įrangai ir įvairioms išlaidoms (mažesnė dalis, palyginti su 11,60 proc. 2023 m.);</w:t>
      </w:r>
    </w:p>
    <w:p w14:paraId="3654A4CF" w14:textId="77777777" w:rsidR="009E39F9" w:rsidRPr="005A4592" w:rsidRDefault="009E39F9" w:rsidP="009E39F9">
      <w:pPr>
        <w:pStyle w:val="NormalHanging12a"/>
        <w:rPr>
          <w:szCs w:val="24"/>
        </w:rPr>
      </w:pPr>
      <w:r w:rsidRPr="005A4592">
        <w:t>8.</w:t>
      </w:r>
      <w:r w:rsidRPr="005A4592">
        <w:tab/>
        <w:t>pažymi, kad 2024 m. įsipareigojimų ir mokėjimų vykdymo lygis išliko aukštas, beveik toks pat kaip 2023 m., asignavimų panaudojimo lygis siekė 97,30 proc., o mokėjimai sudarė 94,81 proc. visų 2024 m. įsipareigojimų; pažymi, kad metų pabaigoje panaikintų asignavimų suma padidėjo nuo maždaug 3,4 mln. EUR 2023 m. iki 4,4 mln. EUR 2024 m.; giria Audito Rūmus už tai, kad 2024 m. vidutinis sąskaitų apmokėjimo terminas ir toliau išliko trumpesnis nei 11 dienų; ragina Audito Rūmus toliau laikytis griežtos išlaidų drausmės, teikti pirmenybę veiklos efektyvumui ir mažinti metų pabaigoje atšaukiamų asignavimų skaičių, taip didinant savo asignavimų veiksmingumą ir ekonominę naudą;</w:t>
      </w:r>
    </w:p>
    <w:p w14:paraId="684376B5" w14:textId="77777777" w:rsidR="009E39F9" w:rsidRPr="005A4592" w:rsidRDefault="009E39F9" w:rsidP="009E39F9">
      <w:pPr>
        <w:pStyle w:val="NormalHanging12a"/>
        <w:rPr>
          <w:szCs w:val="24"/>
        </w:rPr>
      </w:pPr>
      <w:r w:rsidRPr="005A4592">
        <w:t>9.</w:t>
      </w:r>
      <w:r w:rsidRPr="005A4592">
        <w:tab/>
        <w:t xml:space="preserve">pažymi, kad Audito Rūmai per metus reguliariai atliko biudžeto peržiūras, todėl 2024 m. buvo atlikti 29 biudžeto perkėlimai, kurių bendra suma sudarė maždaug 4,5 mln. EUR, taigi sumažėjo, palyginti su maždaug 5,7 mln. EUR suma 2023 m.; pažymi, kad šie perkėlimai buvo reikalingi siekiant sustiprinti biudžeto eilutes, susijusias, </w:t>
      </w:r>
      <w:r w:rsidRPr="005A4592">
        <w:rPr>
          <w:i/>
        </w:rPr>
        <w:t>inter alia</w:t>
      </w:r>
      <w:r w:rsidRPr="005A4592">
        <w:t>, su IT projektais (+20,28 proc.), patalpų įrengimu (+560,18 proc.) ir technine įranga ir įrenginiais (73,53 proc.); pažymi, kad, remiantis Audito Rūmų atsakymais į Biudžeto kontrolės komiteto pateiktą klausimyną dėl 2024 m. biudžeto įvykdymo patvirtinimo (toliau – klausimynas), perskirstymai taip pat buvo būtini dėl didesnės, nei numatyta biudžete, infliacijos ir dėl to vykdytos kainų indeksacijos, turėjusios įtakos naujoms ir esamoms sutartims;</w:t>
      </w:r>
    </w:p>
    <w:p w14:paraId="7F2DF1F7" w14:textId="77777777" w:rsidR="009E39F9" w:rsidRPr="005A4592" w:rsidRDefault="009E39F9" w:rsidP="009E39F9">
      <w:pPr>
        <w:pStyle w:val="NormalHanging12a"/>
        <w:rPr>
          <w:szCs w:val="24"/>
        </w:rPr>
      </w:pPr>
      <w:r w:rsidRPr="005A4592">
        <w:t>10.</w:t>
      </w:r>
      <w:r w:rsidRPr="005A4592">
        <w:tab/>
        <w:t>pažymi, kad, kaip nurodyta klausimyne, neteisėto Rusijos agresijos karo prieš Ukrainą poveikį Audito Rūmai pajuto dėl infliacijos sukelto prekių, paslaugų ir logistikos sąnaudų didėjimo 2024 m.; palankiai vertina Audito Rūmų priemones, skirtas tokiems padariniams išvengti, atliekant išsamesnes preliminarios padėties rinkoje analizes, siekiant užtikrinti realistišką planavimą ir veiksmingus viešuosius pirkimus; su pasitenkinimu pažymi, kad smarkiai sumažėjo Audito Rūmų energijos vartojimo išlaidos (biudžeto eilutė Nr. 2024) – nuo 1 556 671 EUR 2023 m. iki 887 827 EUR 2024 m., taip nutiko daugiausia dėl to, kad buvo sumažinta fiksuota elektros kaina, kaip numatyta tarpinstitucinėje sutartyje su atitinkamu tiekėju; atkreipia dėmesį į tai, kad visos Sąjungos institucijos turi gerinti savo biudžeto valdymą, be kita ko, atsižvelgti į kainų svyravimus, ypač energetikos sektoriuje, kai sudaro sutartis su paslaugų teikėjais;</w:t>
      </w:r>
    </w:p>
    <w:p w14:paraId="20A8865F" w14:textId="77777777" w:rsidR="009E39F9" w:rsidRPr="005A4592" w:rsidRDefault="009E39F9" w:rsidP="009E39F9">
      <w:pPr>
        <w:pStyle w:val="NormalHanging12a"/>
        <w:rPr>
          <w:szCs w:val="24"/>
        </w:rPr>
      </w:pPr>
      <w:r w:rsidRPr="005A4592">
        <w:t>11.</w:t>
      </w:r>
      <w:r w:rsidRPr="005A4592">
        <w:tab/>
        <w:t xml:space="preserve">pažymi, kad įsipareigojimai, kurių bendra suma maždaug 9,9 mln. EUR pagal 1 biudžeto antraštinę dalį ir maždaug 8,4 mln. EUR pagal 2 biudžeto antraštinę dalį, buvo automatiškai perkelti iš 2024 m. į 2025 m., siekiant padengti, </w:t>
      </w:r>
      <w:r w:rsidRPr="005A4592">
        <w:rPr>
          <w:i/>
          <w:iCs/>
        </w:rPr>
        <w:t>inter alia</w:t>
      </w:r>
      <w:r w:rsidRPr="005A4592">
        <w:t>, komandiruočių, mokymo ir vertimo raštu išlaidas; pažymi, kad remiantis sprendimu buvo perkelta 602 000 EUR suma, ir ši suma yra susijusi su biudžeto valdymo institucijos patvirtintu biudžeto perkėlimu, skirtu Audito Rūmų K1 liftų pakeitimui;</w:t>
      </w:r>
    </w:p>
    <w:p w14:paraId="7C37A4E1" w14:textId="77777777" w:rsidR="009E39F9" w:rsidRPr="005A4592" w:rsidRDefault="009E39F9" w:rsidP="009E39F9">
      <w:pPr>
        <w:pStyle w:val="NormalHanging12a"/>
        <w:rPr>
          <w:szCs w:val="24"/>
        </w:rPr>
      </w:pPr>
      <w:r w:rsidRPr="005A4592">
        <w:t>12.</w:t>
      </w:r>
      <w:r w:rsidRPr="005A4592">
        <w:tab/>
        <w:t>pažymi, kad 2024 m. biudžete numatyti asignavimai (C1) Audito Rūmų narių ir darbuotojų komandiruotėms sudarė 2 860 000 EUR (palyginti su 2 722 000 EUR 2023 m.); pažymi, kad iš šių asignavimų 2 469 344 EUR suma buvo įsipareigota ir 2 184 344 EUR iš tos sumos buvo išmokėta (t. y. 88,46 proc. įgyvendinimo lygis) 2024 m.;</w:t>
      </w:r>
    </w:p>
    <w:p w14:paraId="7DBD38AE" w14:textId="77777777" w:rsidR="009E39F9" w:rsidRPr="005A4592" w:rsidRDefault="009E39F9" w:rsidP="009E39F9">
      <w:pPr>
        <w:pStyle w:val="NormalHanging12a"/>
        <w:rPr>
          <w:szCs w:val="24"/>
        </w:rPr>
      </w:pPr>
      <w:r w:rsidRPr="005A4592">
        <w:t>13.</w:t>
      </w:r>
      <w:r w:rsidRPr="005A4592">
        <w:tab/>
        <w:t>su pasitenkinimu pažymi, kad, kaip nurodyta klausimyne, Audito Rūmų biudžeto eilutėje, skirtoje leidiniams, numatytos asignavimų sumos sumažėjo nuo 810 000 EUR 2014 m. iki 300 000 EUR 2024 m. dėl to, kad padaugėjo institucijoje rengiamų ataskaitų ir leidinių reklama vykdoma virtualioje erdvėje; pažymi, kad Audito Rūmų šiai biudžeto eilutei skirtos sąmatos tolesniais biudžetiniais metais dar labiau sumažėjo; atkreipia dėmesį į Audito Rūmų tendenciją mažinti vertimo žodžiu ir ekspertų paslaugų (konsultacijos, tyrimai ir kt.) biudžetą ir planą atsisakyti fiksuotojo telefono ryšio paslaugų, siekiant dar labiau sutaupyti;</w:t>
      </w:r>
    </w:p>
    <w:p w14:paraId="5F346F9C" w14:textId="77777777" w:rsidR="009E39F9" w:rsidRPr="005A4592" w:rsidRDefault="009E39F9" w:rsidP="009E39F9">
      <w:pPr>
        <w:pStyle w:val="NormalHanging12a"/>
        <w:rPr>
          <w:szCs w:val="24"/>
        </w:rPr>
      </w:pPr>
      <w:r w:rsidRPr="005A4592">
        <w:t>14.</w:t>
      </w:r>
      <w:r w:rsidRPr="005A4592">
        <w:tab/>
        <w:t>palankiai vertina Audito Rūmų darbą, vykdomą siekiant peržiūrėti savo misijų gaires, kad būtų galima aktyviai (t. y. rengiantis misijoms) atsižvelgti į tokius klausimus kaip, be kita ko, sąnaudų efektyvumas ir būdai, kaip sumažinti poveikį aplinkai, kaip nurodyta Audito Rūmų atsakyme į įvairius klausimus, kuriuos iškėlė biudžeto įvykdymą tvirtinanti institucija per 2023 m. biudžeto įvykdymo procedūrą (toliau – ataskaita dėl tolesnių veiksmų); ragina Audito Rūmus informuoti biudžeto įvykdymą tvirtinančią instituciją apie šioje srityje pasiektą pažangą;</w:t>
      </w:r>
    </w:p>
    <w:p w14:paraId="79AA8C02" w14:textId="77777777" w:rsidR="009E39F9" w:rsidRDefault="009E39F9" w:rsidP="009E39F9">
      <w:pPr>
        <w:pStyle w:val="NormalHanging12a"/>
      </w:pPr>
      <w:r w:rsidRPr="005A4592">
        <w:t>15.</w:t>
      </w:r>
      <w:r w:rsidRPr="005A4592">
        <w:tab/>
        <w:t>džiaugdamasis pažymi, kad išorės auditorius pareiškė, jog skirti ištekliai buvo panaudoti pagal numatytą paskirtį ir kad leidimus suteikiančių pareigūnų įdiegtos kontrolės procedūros suteikė būtinas garantijas užtikrinant, kad finansinės operacijos atitiktų taikomas taisykles ir reglamentus;</w:t>
      </w:r>
    </w:p>
    <w:p w14:paraId="57860500" w14:textId="2CD42951" w:rsidR="00C22D9D" w:rsidRPr="005A4592" w:rsidRDefault="00E910AE" w:rsidP="009E39F9">
      <w:pPr>
        <w:pStyle w:val="NormalHanging12a"/>
        <w:rPr>
          <w:szCs w:val="24"/>
        </w:rPr>
      </w:pPr>
      <w:r>
        <w:rPr>
          <w:szCs w:val="24"/>
        </w:rPr>
        <w:t>16</w:t>
      </w:r>
      <w:r w:rsidR="00C22D9D" w:rsidRPr="00C22D9D">
        <w:rPr>
          <w:szCs w:val="24"/>
        </w:rPr>
        <w:t>.</w:t>
      </w:r>
      <w:r w:rsidR="00C22D9D" w:rsidRPr="00C22D9D">
        <w:rPr>
          <w:szCs w:val="24"/>
        </w:rPr>
        <w:tab/>
        <w:t>pabrėžia, kad Audito Rūmai yra Sąjungos išorės auditorius ir nepriklausomos finansinės atskaitomybės už Sąjungos biudžetą kertinis akmuo; pabrėžia, kad, atsižvelgiant į precedento neturintį Sąjungos išlaidų augimą, skolinimosi operacijų apimtį ir naujų finansinių priemonių sudėtingumą, Audito Rūmams turi būti suteikti ištekliai, atitinkantys audito įgaliojimų mastą ir sudėtingumą; remia nuolatinę Audito Rūmų išlaidų drausmę; ragina biudžeto valdymo institucijas tvirtinant būsimus biudžetus užtikrinti, kad Audito Rūmai turėtų pakankamai išteklių sparčiai besiplečiančiai Sąjungos finansinei struktūrai tikrinti;</w:t>
      </w:r>
    </w:p>
    <w:p w14:paraId="1ECA2EDA" w14:textId="77777777" w:rsidR="009E39F9" w:rsidRPr="005A4592" w:rsidRDefault="009E39F9" w:rsidP="009E39F9">
      <w:pPr>
        <w:pStyle w:val="NormalHanging12a"/>
        <w:rPr>
          <w:b/>
          <w:i/>
          <w:iCs/>
          <w:szCs w:val="24"/>
        </w:rPr>
      </w:pPr>
      <w:r w:rsidRPr="005A4592">
        <w:rPr>
          <w:b/>
          <w:i/>
        </w:rPr>
        <w:t>Vidaus valdymas, veikla ir vidaus kontrolė</w:t>
      </w:r>
    </w:p>
    <w:p w14:paraId="4D741A11" w14:textId="6241DB85" w:rsidR="009E39F9" w:rsidRPr="005A4592" w:rsidRDefault="0066045C" w:rsidP="009E39F9">
      <w:pPr>
        <w:pStyle w:val="NormalHanging12a"/>
        <w:rPr>
          <w:szCs w:val="24"/>
        </w:rPr>
      </w:pPr>
      <w:r>
        <w:t>17</w:t>
      </w:r>
      <w:r w:rsidR="009E39F9" w:rsidRPr="005A4592">
        <w:t>.</w:t>
      </w:r>
      <w:r w:rsidR="009E39F9" w:rsidRPr="005A4592">
        <w:tab/>
        <w:t>pažymi, kad Audito Rūmai iš viso 3 176 dienas vykdė veiklą valstybėse narėse ir už Sąjungos ribų, palyginti su 4 897 dienomis 2023 m., ir 1 244 dienas Sąjungos institucijose, agentūrose ir įstaigose, taip pat kitose tarptautinėse organizacijose ir privačiose audito įmonėse, palyginti su 1 370 dienomis 2023 m.</w:t>
      </w:r>
    </w:p>
    <w:p w14:paraId="7A18D2D7" w14:textId="138F6804" w:rsidR="009E39F9" w:rsidRPr="005A4592" w:rsidRDefault="0066045C" w:rsidP="009E39F9">
      <w:pPr>
        <w:pStyle w:val="NormalHanging12a"/>
        <w:rPr>
          <w:szCs w:val="24"/>
        </w:rPr>
      </w:pPr>
      <w:r>
        <w:t>18</w:t>
      </w:r>
      <w:r w:rsidR="009E39F9" w:rsidRPr="005A4592">
        <w:t>.</w:t>
      </w:r>
      <w:r w:rsidR="009E39F9" w:rsidRPr="005A4592">
        <w:tab/>
        <w:t>pažymi, kad 2024 m. Audito Rūmai pateikė 2 metines ataskaitas, 3 specialias metines ataskaitas, 28 specialias ataskaitas, 4 peržiūras ir 3 nuomones, iš viso 40 dokumentų (mažiau nei 2023 m. – 45 dokumentai); palankiai vertina tai, kad 2024 m. Audito Rūmai specialiosiose ataskaitose ir apžvalgose daugiausia dėmesio skyrė neatidėliotiniems iššūkiams, su kuriais Sąjunga susiduria tokiose svarbiose srityse kaip sanglaudos politikos finansinės priemonės, NVO skiriamo Sąjungos finansavimo skaidrumas, Sąjungos įstaigos, kovojančios su sukčiavimu, dujų tiekimo saugumas, investicijos į dirbtinį intelektą (DI), prisitaikymas prie klimato kaitos, Ekonomikos gaivinimo ir atsparumo didinimo priemonės (EGADP) lėšų įsisavinimas, perėjimas prie nulinės emisijos transporto priemonių kortelių, parama pabėgėliams Turkijoje ir Sąjungos vandenilio pramonės politika; taip pat palankiai vertina tai, kad Audito Rūmai planuoja pateikti ataskaitas dėl EGADP tokiose srityse kaip skaidrumas ir atsekamumas, Sąjungos struktūros ir strategijos kovojant su sukčiavimu ir Sąjungos paramos Ukrainai, Moldovai ir Sakartvelui; pažymi, kad suinteresuotųjų subjektų pasitenkinimas Audito Rūmų darbu pagerėjo – 2024 m. atlikta apklausa parodė, kad 89 proc. respondentų (85 proc. 2023 m.) laikė Audito Rūmų ataskaitas naudingomis, o 82 proc. (anksčiau – 78 proc.) manė, kad Audito Rūmų darbas turi poveikį;</w:t>
      </w:r>
    </w:p>
    <w:p w14:paraId="255D8C0D" w14:textId="7F962E1A" w:rsidR="009E39F9" w:rsidRPr="005A4592" w:rsidRDefault="0066045C" w:rsidP="009E39F9">
      <w:pPr>
        <w:pStyle w:val="NormalHanging12a"/>
        <w:rPr>
          <w:bCs/>
          <w:iCs/>
          <w:szCs w:val="24"/>
        </w:rPr>
      </w:pPr>
      <w:r>
        <w:t>19</w:t>
      </w:r>
      <w:r w:rsidR="009E39F9" w:rsidRPr="005A4592">
        <w:t>.</w:t>
      </w:r>
      <w:r w:rsidR="009E39F9" w:rsidRPr="005A4592">
        <w:tab/>
        <w:t>ragina Audito Rūmus pateikti išsamesnius ir sistemingesnius Sąjungos finansuojamų programų šalutinio poveikio valstybėms narėms, įskaitant tas, kurių Sąjungos lėšų įsisavinimo lygis yra aukštas, ir tas, kurių lėšų įsisavinimo lygis yra žemas, vertinimus; pabrėžia, kad išsami tokio šalutinio poveikio ir su tuo susijusios įtakos ekonominėje, socialinėje, administracinėje ir teritorinėje plotmėse, įskaitant tarpvalstybinį ir paskirstomąjį aspektus, analizė sustiprintų Sąjungos išlaidų ilgalaikio poveikio, pridėtinės vertės ir tvarumo vertinimą ir padėtų formuoti geriau informacija pagrįstą politiką tiek Sąjungos, tiek nacionaliniu lygmenimis;</w:t>
      </w:r>
    </w:p>
    <w:p w14:paraId="10D291A3" w14:textId="3F7394AE" w:rsidR="009E39F9" w:rsidRPr="005A4592" w:rsidRDefault="0066045C" w:rsidP="009E39F9">
      <w:pPr>
        <w:pStyle w:val="NormalHanging12a"/>
        <w:rPr>
          <w:szCs w:val="24"/>
        </w:rPr>
      </w:pPr>
      <w:r>
        <w:t>20</w:t>
      </w:r>
      <w:r w:rsidR="009E39F9" w:rsidRPr="005A4592">
        <w:t>.</w:t>
      </w:r>
      <w:r w:rsidR="009E39F9" w:rsidRPr="005A4592">
        <w:tab/>
        <w:t>pažymi, kad Audito Rūmai turi parengę pagrindinių veiklos rezultatų rodiklių (PVRR) rinkinį pažangai, padarytai siekiant strateginių tikslų vadovaujantis Audito Rūmų 2021–2025 m. strategija, vertinti; pažymi, kad Audito Rūmų 2024 m. strateginiai tikslai yra šie: atskaitomybės, skaidrumo ir audito tvarkos gerinimas, dėmesio sutelkimas į sritis ir temas, kuriose auditas gali duoti didžiausią naudą, ir tvirto audito patikinimo teikimas sudėtingomis ir kintančiomis aplinkybėmis; ragina Audito Rūmus ateityje pateikti savo PVRR, pasiektą pažangą ir tikslus apibendrinta forma (lentelės formatu); ragina Audito Rūmus toliau plėtoti PVRR, remiantis Europos politikos veiksmingumu ir rezultatais, kad būtų galima aiškiai įvertinti Komisijos vykdomos politikos poveikį;</w:t>
      </w:r>
    </w:p>
    <w:p w14:paraId="7929D58E" w14:textId="501BAD27" w:rsidR="009E39F9" w:rsidRPr="005A4592" w:rsidRDefault="0066045C" w:rsidP="009E39F9">
      <w:pPr>
        <w:pStyle w:val="NormalHanging12a"/>
        <w:rPr>
          <w:bCs/>
          <w:iCs/>
          <w:szCs w:val="24"/>
        </w:rPr>
      </w:pPr>
      <w:r>
        <w:t>21</w:t>
      </w:r>
      <w:r w:rsidR="009E39F9" w:rsidRPr="005A4592">
        <w:t>.</w:t>
      </w:r>
      <w:r w:rsidR="009E39F9" w:rsidRPr="005A4592">
        <w:tab/>
        <w:t>ragina Audito Rūmus konsoliduoti savo išvadas parengiant lyginamąją veiklos rezultatų analizę ir sukurti Sąjungos programų veiklos rezultatų kelrodžio metodiką; mano, kad tokia priemonė, atsižvelgiant į politikos įvairovę, biudžeto įvykdymą tvirtinančiai institucijai, sprendimus priimantiems asmenims ir plačiajai visuomenei suteiktų aiškią informaciją apie tai, pagal kurias programas veiksmingai naudojami ištekliai ir kurias programas reikėtų nutraukti arba iš esmės restruktūrizuoti;</w:t>
      </w:r>
    </w:p>
    <w:p w14:paraId="54F2A364" w14:textId="50CE981E" w:rsidR="009E39F9" w:rsidRPr="005A4592" w:rsidRDefault="0066045C" w:rsidP="009E39F9">
      <w:pPr>
        <w:pStyle w:val="NormalHanging12a"/>
        <w:rPr>
          <w:szCs w:val="24"/>
        </w:rPr>
      </w:pPr>
      <w:r>
        <w:t>22</w:t>
      </w:r>
      <w:r w:rsidR="009E39F9" w:rsidRPr="005A4592">
        <w:t>.</w:t>
      </w:r>
      <w:r w:rsidR="009E39F9" w:rsidRPr="005A4592">
        <w:tab/>
        <w:t>palankiai vertina tai, kad Audito Rūmai vertina savo rekomendacijų įgyvendinimą remdamiesi jų auditorių vykdomu tolesniu stebėjimu; pažymi, kad 2024 m. Audito Rūmai analizavo savo 2020 m. ataskaitose Komisijai ir kitoms institucijoms skirtas rekomendacijas; pažymi, kad 93 proc. iš 2020 m. Audito Rūmų metinėje ataskaitoje pateiktų 19 rekomendacijų ir 88 proc. iš 2020 m. Audito Rūmų specialiosiose ataskaitose pateiktų 186 rekomendacijų buvo įgyvendintos arba visiškai, arba kai kuriais atžvilgiais ar dauguma atžvilgių;</w:t>
      </w:r>
    </w:p>
    <w:p w14:paraId="7B732870" w14:textId="20AEA6C5" w:rsidR="009E39F9" w:rsidRPr="005A4592" w:rsidRDefault="0066045C" w:rsidP="009E39F9">
      <w:pPr>
        <w:pStyle w:val="NormalHanging12a"/>
        <w:rPr>
          <w:szCs w:val="24"/>
        </w:rPr>
      </w:pPr>
      <w:r>
        <w:t>23</w:t>
      </w:r>
      <w:r w:rsidR="009E39F9" w:rsidRPr="005A4592">
        <w:t>.</w:t>
      </w:r>
      <w:r w:rsidR="009E39F9" w:rsidRPr="005A4592">
        <w:tab/>
        <w:t>remdamasis ataskaita dėl tolesnių veiksmų pažymi, kad Komisija sutiko pateikti Audito Rūmams rankiniu būdu iš duomenų bazės ARACHNE gautus duomenis; vis dėlto apgailestauja dėl to, kad dar iki galo neišspręstas klausimas dėl Audito Rūmų prieigos prie FENIX – EGADP ataskaitų teikimo priemonės, nes Komisija Audito Rūmams suteikė dalinę prieigą tik prie kai kurių FENIX modulių, o juose pateikta informacija nėra laiku atnaujinama; palankiai vertina pranešimus apie Audito Rūmų naudotojų, turinčių prieigą prie FENIX sistemos, skaičiaus padidėjimą; vis dėlto pritaria Audito Rūmų prašymui, kad Komisija kuo greičiau suteiktų Audito Rūmams visapusišką prieigą; primena, kad Komisijos Ekonomikos ir finansų reikalų generalinis direktoratas dėjo pastangas, kad suteiktų Audito Rūmams galimybę susipažinti su FENIX dokumentais per dvi savaites nuo mokėjimo prašymo patvirtinimo; vis dėlto yra sunerimęs dėl to, kad praktiškai šio termino daugeliu atvejų nesilaikoma ir kad kai kuriais atvejais buvo vėluojama net 2,5 mėnesio, ir tai gerokai sulėtino Audito Rūmų nustatytų faktų pateikimą arba pakenkė Audito Rūmų audito darbo veiksmingumui ir savalaikiškumui, visų pirma didelės rizikos išlaidų, pvz., EGADP, atžvilgiu; ryšium su tuo primena Komisijai jos pareigą pagal Finansinio reglamento 263 straipsnį suteikti Audito Rūmams visapusišką prieigą prie visų atitinkamų sistemų ir duomenų bazių (be kita ko, ARACHNE, FENIX ir ARES); todėl ragina Komisiją nedelsiant ištaisyti šią padėtį, be kita ko, sudarant tarpinstitucinį susitarimą, kuriuo Audito Rūmams būtų užtikrinta visapusiška, sisteminga ir tikralaikė prieiga prie visų atitinkamų duomenų bazių, įskaitant ARACHNE ir FENIX; ragina Audito Rūmus informuoti biudžeto įvykdymą tvirtinančią instituciją apie konkrečius pasiektus patobulinimus;</w:t>
      </w:r>
    </w:p>
    <w:p w14:paraId="0BE34D39" w14:textId="77777777" w:rsidR="009E39F9" w:rsidRPr="005A4592" w:rsidRDefault="009E39F9" w:rsidP="009E39F9">
      <w:pPr>
        <w:pStyle w:val="NormalHanging12a"/>
        <w:rPr>
          <w:b/>
          <w:i/>
          <w:iCs/>
          <w:szCs w:val="24"/>
        </w:rPr>
      </w:pPr>
      <w:r w:rsidRPr="005A4592">
        <w:rPr>
          <w:b/>
          <w:i/>
        </w:rPr>
        <w:t>Žmogiškieji ištekliai, lygybė ir darbuotojų gerovė</w:t>
      </w:r>
    </w:p>
    <w:p w14:paraId="2A1632FD" w14:textId="67408E4F" w:rsidR="009E39F9" w:rsidRPr="005A4592" w:rsidRDefault="0066045C" w:rsidP="009E39F9">
      <w:pPr>
        <w:pStyle w:val="NormalHanging12a"/>
        <w:rPr>
          <w:szCs w:val="24"/>
        </w:rPr>
      </w:pPr>
      <w:bookmarkStart w:id="9" w:name="_Hlk216182035"/>
      <w:r>
        <w:t>24</w:t>
      </w:r>
      <w:r w:rsidR="009E39F9" w:rsidRPr="005A4592">
        <w:t>.</w:t>
      </w:r>
      <w:r w:rsidR="009E39F9" w:rsidRPr="005A4592">
        <w:tab/>
        <w:t>pažymi, kad 2024 m. pabaigoje Audito Rūmuose dirbo 961 darbuotojas (mažiau nei 2023 m. – 969), įskaitant laikinus darbuotojus (2024 m. – 192, t. y. mažiau nei 2023 m. – 204), sutartininkus (2024 m. – 84, t. y. mažiau nei 2023 m. – 86) ir komandiruotus nacionalinius ekspertus (2024 m. – 26, kaip ir 2023 m.); primena, kad svarbu darbuotojams siūlyti nuolatines darbo sutartis, siekiant išlaikyti įgūdžius ir užtikrinti tęstinumą bei produktyvią darbo aplinką;</w:t>
      </w:r>
    </w:p>
    <w:p w14:paraId="30AEDEFD" w14:textId="32A05620" w:rsidR="009E39F9" w:rsidRPr="005A4592" w:rsidRDefault="0066045C" w:rsidP="009E39F9">
      <w:pPr>
        <w:pStyle w:val="NormalHanging12a"/>
        <w:rPr>
          <w:szCs w:val="24"/>
        </w:rPr>
      </w:pPr>
      <w:r>
        <w:t>25</w:t>
      </w:r>
      <w:r w:rsidR="009E39F9" w:rsidRPr="005A4592">
        <w:t>.</w:t>
      </w:r>
      <w:r w:rsidR="009E39F9" w:rsidRPr="005A4592">
        <w:tab/>
        <w:t>pažymi, kad 2024 m. 54 proc. Audito Rūmų darbuotojų buvo moterys (daugiau nei 53 proc. 2023 m.), o 4</w:t>
      </w:r>
      <w:r w:rsidR="00B25A14">
        <w:t>6</w:t>
      </w:r>
      <w:r w:rsidR="009E39F9" w:rsidRPr="005A4592">
        <w:t xml:space="preserve"> proc. – vyrai; apgailestauja, kad moterys sudaro tik 30 proc. Audito Rūmų vyresniosios vadovybės, tai toks pat skaičius kaip ir 2023 m.; taip pat apgailestauja, kad 2023 m. moterų, einančių viduriniojo lygio vadovų pareigas, dalis sumažėjo nuo 40 proc. iki 37,30 proc.; primena, kad lyčių lygybė yra Sutartyje įtvirtintas principas, kurio turėtų laikytis visos institucijos, ir ragina Audito Rūmus toliau dėti pastangas, kad būtų skatinama lyčių pusiausvyra viduriniosios ir aukštesniosios grandies vadovų pareigose; </w:t>
      </w:r>
      <w:bookmarkEnd w:id="9"/>
    </w:p>
    <w:p w14:paraId="3FAD69E6" w14:textId="41480D3A" w:rsidR="009E39F9" w:rsidRPr="005A4592" w:rsidRDefault="0066045C" w:rsidP="009E39F9">
      <w:pPr>
        <w:pStyle w:val="NormalHanging12a"/>
        <w:rPr>
          <w:szCs w:val="24"/>
        </w:rPr>
      </w:pPr>
      <w:r>
        <w:t>26</w:t>
      </w:r>
      <w:r w:rsidR="009E39F9" w:rsidRPr="005A4592">
        <w:t>.</w:t>
      </w:r>
      <w:r w:rsidR="009E39F9" w:rsidRPr="005A4592">
        <w:tab/>
        <w:t>pažymi, kad, kaip nurodyta klausimyne, 2024 m. Audito Rūmai įdarbino 64 stažuotojus, iš jų 59 gavo mėnesinę išmoką; palankiai vertina naują Audito Rūmų programą „TraineEca Career Development“, kurios tikslas – suteikti darbo galimybes labiausiai nusipelniusiems stažuotojams; be to, pažymi Audito Rūmų planą pasiūlyti specialias stažuotes dirbtinio intelekto srityje neseniai universitetą baigusiems šios srities absolventams ir doktorantams; dar kartą pabrėžia, kad stažuotė turėtų būti atlyginama, vadovaujantis 2023 m. birželio 15 d. Europos Parlamento rezoliucija dėl kokybiškų stažuočių Sąjungoje (2020/2005</w:t>
      </w:r>
      <w:r w:rsidR="009821EE">
        <w:t>(</w:t>
      </w:r>
      <w:r w:rsidR="009E39F9" w:rsidRPr="005A4592">
        <w:t>INL</w:t>
      </w:r>
      <w:r w:rsidR="009821EE">
        <w:t>)</w:t>
      </w:r>
      <w:r w:rsidR="009E39F9" w:rsidRPr="005A4592">
        <w:t>), kurioje raginama užtikrinti, kad visos stažuotės Europoje būtų apmokamos; pabrėžia, kad neapmokamos stažuotės yra jaunų darbuotojų išnaudojimo forma ir kliūtis lygioms galimybėms;</w:t>
      </w:r>
    </w:p>
    <w:p w14:paraId="7AC47C29" w14:textId="20585A0E" w:rsidR="009E39F9" w:rsidRPr="005A4592" w:rsidRDefault="0066045C" w:rsidP="009E39F9">
      <w:pPr>
        <w:pStyle w:val="NormalHanging12a"/>
        <w:rPr>
          <w:szCs w:val="24"/>
        </w:rPr>
      </w:pPr>
      <w:r>
        <w:t>27</w:t>
      </w:r>
      <w:r w:rsidR="009E39F9" w:rsidRPr="005A4592">
        <w:t>.</w:t>
      </w:r>
      <w:r w:rsidR="009E39F9" w:rsidRPr="005A4592">
        <w:tab/>
        <w:t>pažymi, kad, kaip nurodyta klausimyne, 2024 m. Audito Rūmams vis dar buvo sunku įdarbinti pareigūnus dėl Liuksemburgo kaip darbo vietos patrauklumo stokos arba dėl to, kad jauni darbuotojai nesidomi audito ir kontrolės darbu; su pasitenkinimu pažymi, kad Audito Rūmai šią problemą sprendė rengdami reguliarias atrankos procedūras, skirtas Audito Rūmų stažuotojams, organizuodami vidinius konkursus, kad galėtų išlaikyti labiausiai nusipelniusius talentus, ir plėsdami informavimo veiklą; ragina Audito Rūmus toliau dėti pastangas, kad būtų užtikrintas Audito Rūmų veiklos tęstinumas; šiuo atžvilgiu pripažįsta, kad reikalinga konkurencijos sąlyga, taip pat reikia organizuoti EPSO konkursus, skirtus išimtinai Liuksemburgui; giria Audito Rūmus už tai, kad prisijungė prie tarpinstitucinio susitarimo, pagal kurį Liuksemburge įsikūrusių Sąjungos institucijų įdarbinti darbuotojai nuo 2025 m. gauna būsto pašalpą, siekiant kompensuoti dideles pragyvenimo išlaidas Liuksemburge;</w:t>
      </w:r>
    </w:p>
    <w:p w14:paraId="5EDC2867" w14:textId="78838215" w:rsidR="009E39F9" w:rsidRPr="005A4592" w:rsidRDefault="0066045C" w:rsidP="009E39F9">
      <w:pPr>
        <w:pStyle w:val="NormalHanging12a"/>
        <w:rPr>
          <w:szCs w:val="24"/>
        </w:rPr>
      </w:pPr>
      <w:r>
        <w:t>28</w:t>
      </w:r>
      <w:r w:rsidR="009E39F9" w:rsidRPr="005A4592">
        <w:t>.</w:t>
      </w:r>
      <w:r w:rsidR="009E39F9" w:rsidRPr="005A4592">
        <w:tab/>
        <w:t>žino, kad Audito Rūmai nedalyvauja narių skyrimo procese pagal SESV 286 straipsnio 2 dalį; vis dėlto primena, kad tarp Audito Rūmų narių vis dar esama didelės lyčių nelygybės – tik 10 iš 27 narių yra moterys; apgailestauja dėl to, kad keletas valstybių narių niekada nėra paskyrusios moters į Audito Rūmų narius; pakartoja savo raginimą valstybėms narėms siūlant kandidatus atsižvelgti į lyčių pusiausvyros poreikį, siekiant labiau subalansuotos ir reprezentatyvesnės Audito Rūmų sudėties, kartu užtikrinant, kad kandidatūros ir toliau būtų grindžiamos nuopelnais, kvalifikacija ir nepriklausomumo kriterijais;</w:t>
      </w:r>
    </w:p>
    <w:p w14:paraId="3F06ECD5" w14:textId="682245E7" w:rsidR="009E39F9" w:rsidRPr="005A4592" w:rsidRDefault="0066045C" w:rsidP="009E39F9">
      <w:pPr>
        <w:pStyle w:val="NormalHanging12a"/>
        <w:rPr>
          <w:szCs w:val="24"/>
        </w:rPr>
      </w:pPr>
      <w:r>
        <w:t>29</w:t>
      </w:r>
      <w:r w:rsidR="009E39F9" w:rsidRPr="005A4592">
        <w:t>.</w:t>
      </w:r>
      <w:r w:rsidR="009E39F9" w:rsidRPr="005A4592">
        <w:tab/>
        <w:t>dar kartą reiškia apgailestavimą dėl Tarybos praktikos skirti Audito Rūmų narius, nepaisant to, kad Parlamentas kandidatams nepritarė; pakartoja savo raginimą peržiūrėti skyrimo procedūrą, kad Parlamentui būtų suteiktas privalomas vaidmuo vertinant kandidatų į Audito Rūmų narius tinkamumą;</w:t>
      </w:r>
    </w:p>
    <w:p w14:paraId="07B8730F" w14:textId="05E0ACE0" w:rsidR="009E39F9" w:rsidRPr="005A4592" w:rsidRDefault="0066045C" w:rsidP="009E39F9">
      <w:pPr>
        <w:pStyle w:val="NormalHanging12a"/>
        <w:rPr>
          <w:szCs w:val="24"/>
        </w:rPr>
      </w:pPr>
      <w:r>
        <w:t>30</w:t>
      </w:r>
      <w:r w:rsidR="009E39F9" w:rsidRPr="005A4592">
        <w:t>.</w:t>
      </w:r>
      <w:r w:rsidR="009E39F9" w:rsidRPr="005A4592">
        <w:tab/>
        <w:t>vertina Audito Rūmų siūlomą išsamią nuotolinio darbo tvarką, skirtą įdarbinimo sunkumams sumažinti, pagal kurią galima dirbti nuotoliniu būdu iki 10 dienų per mėnesį, iš jų 5 dienas – ne darbo vietos šalyje, ir iš viso ne daugiau kaip 30 dienų per metus; pažymi, kad, kaip nurodyta klausimyne, Audito Rūmai 2024 m. peržiūrėjo savo mišraus darbo taisykles, siekdami, be kita ko, atsižvelgti į gautus atsiliepimus; ragina Audito Rūmus reguliariai tikrinti, ar šių taisyklių yra laikomasi; su pasitenkinimu pažymi, kad, kaip nurodyta klausimyne, Audito Rūmai imasi įvairių priemonių, siekdami užtikrinti savo darbuotojų fizinę ir psichinę gerovę;</w:t>
      </w:r>
    </w:p>
    <w:p w14:paraId="4A22CB75" w14:textId="1754CDD1" w:rsidR="009E39F9" w:rsidRPr="005A4592" w:rsidRDefault="0066045C" w:rsidP="009E39F9">
      <w:pPr>
        <w:pStyle w:val="NormalHanging12a"/>
        <w:rPr>
          <w:szCs w:val="24"/>
        </w:rPr>
      </w:pPr>
      <w:r>
        <w:t>31</w:t>
      </w:r>
      <w:r w:rsidR="009E39F9" w:rsidRPr="005A4592">
        <w:t>.</w:t>
      </w:r>
      <w:r w:rsidR="009E39F9" w:rsidRPr="005A4592">
        <w:tab/>
        <w:t>pažymi padidėjusį laisvų darbo vietų skaičių ir darbuotojų kaitą, darbuotojų kaita 2023 m. buvo 6,60 proc., o 2024 m. – 7,90 proc., o laisvų darbo vietų skaičius padidėjo nuo 2,27 proc. iki 2,49 proc.; darbuotojų kaita atspindi iš darbo išėjusių darbuotojų skaičių, palyginti su visais darbuotojais;</w:t>
      </w:r>
    </w:p>
    <w:p w14:paraId="33E42C82" w14:textId="2B68867F" w:rsidR="009E39F9" w:rsidRPr="005A4592" w:rsidRDefault="0066045C" w:rsidP="009E39F9">
      <w:pPr>
        <w:pStyle w:val="NormalHanging12a"/>
        <w:rPr>
          <w:szCs w:val="24"/>
        </w:rPr>
      </w:pPr>
      <w:r>
        <w:t>32</w:t>
      </w:r>
      <w:r w:rsidR="009E39F9" w:rsidRPr="005A4592">
        <w:t>.</w:t>
      </w:r>
      <w:r w:rsidR="009E39F9" w:rsidRPr="005A4592">
        <w:tab/>
        <w:t>pažymi, kad kai kurių šalių, visų pirma šiaurinių valstybių narių, piliečiai yra nepakankamai atstovaujami kalbant apie Audito Rūmų darbuotojų sudėtį; pažymi, kad esama pavojaus, jog padėtis dar labiau pablogės dėl darbuotojų senėjimo ir kandidatų iš tų valstybių narių įdarbinimo trūkumo; primena, kad Audito Rūmai nuolat stengiasi ištaisyti šį disbalansą, didindami Audito Rūmų konkursų ir laisvų darbo vietų skelbimų viešumą valstybėse narėse, kurių atstovų esama žymiai mažiau, nei reikėtų, bendradarbiaudami su Audito Rūmų nariais, kad būtų platinami skelbimai, ir kreipdamiesi į potencialius kandidatus, dalyvaujant karjeros mugėse tam tikrose valstybėse narėse; be to, pažymi, kad, remiantis ataskaita dėl tolesnių veiksmų, Audito Rūmai taip pat parengė veiksmų planą, kuriame numatyta 10 veiksmų per ateinančius 5 metus, siekiant pakeisti dabartinę padėtį – nepakankamą tam tikrų valstybių narių atstovavimą; ragina Audito Rūmus informuoti biudžeto įvykdymą tvirtinančią instituciją apie šio veiksmų plano įgyvendinimo pažangą ir rezultatus;</w:t>
      </w:r>
    </w:p>
    <w:p w14:paraId="538C4B5F" w14:textId="63FC791F" w:rsidR="009E39F9" w:rsidRPr="005A4592" w:rsidRDefault="0066045C" w:rsidP="009E39F9">
      <w:pPr>
        <w:pStyle w:val="NormalHanging12a"/>
        <w:rPr>
          <w:szCs w:val="24"/>
        </w:rPr>
      </w:pPr>
      <w:r>
        <w:t>33</w:t>
      </w:r>
      <w:r w:rsidR="009E39F9" w:rsidRPr="005A4592">
        <w:t>.</w:t>
      </w:r>
      <w:r w:rsidR="009E39F9" w:rsidRPr="005A4592">
        <w:tab/>
        <w:t>primena, kad 2023 m. pabaigoje buvo užpildyti visi papildomi 29 etatai (laikinieji darbuotojai), kurių reikėjo EGADP auditui, apimančiam 723,8 mlrd. EUR sumą, atlikti; tačiau supranta, kad EGADP lėšų reikšmingumas, sudėtingumas, didelės sumos ir greitas išmokėjimas tebekelia sunkumų ir kad dabartinių išteklių nepakanka, kad būtų galima sistemingai užtikrinti, jog EGADP išlaidos atitiktų Sąjungos ir nacionalines taisykles, ir reaguoti į padidėjusią Sąjungos veiklą; visgi palankiai vertina Audito Rūmų pastangas toliau vykdyti savo pareigas, susijusias su EGADP, nepaisant to, kad turimi ištekliai nėra visiškai pakankami; todėl pritaria Audito Rūmų prašymui 29 laikinų darbuotojų, įdarbintų EGADP auditams atlikti, etatus pakeisti į nuolatinius etatus; pabrėžia, jog svarbu užtikrinti, kad Audito Rūmuose nuolat būtų tinkamas darbuotojų skaičius, ir kad jie būtų struktūriškai pasirengę vykdyti savo įgaliojimus ir papildomas pareigas, susijusias su būsimomis veiklos rezultatais grindžiamomis finansavimo priemonėmis, įskaitant daugiametę finansinę programą;</w:t>
      </w:r>
    </w:p>
    <w:p w14:paraId="483454AD" w14:textId="67BF82EF" w:rsidR="009E39F9" w:rsidRPr="005A4592" w:rsidRDefault="0066045C" w:rsidP="009E39F9">
      <w:pPr>
        <w:pStyle w:val="NormalHanging12a"/>
        <w:rPr>
          <w:bCs/>
          <w:iCs/>
          <w:szCs w:val="24"/>
        </w:rPr>
      </w:pPr>
      <w:r>
        <w:t>34</w:t>
      </w:r>
      <w:r w:rsidR="009E39F9" w:rsidRPr="005A4592">
        <w:t>.</w:t>
      </w:r>
      <w:r w:rsidR="009E39F9" w:rsidRPr="005A4592">
        <w:tab/>
        <w:t>su pasitenkinimu pažymi, kad 2024 m. Audito Rūmai ir vėl viršijo profesinio mokymo tikslą, t. y. tikslą, kad auditoriai ne kalbų mokymuisi turi skirti 5 dienas per metus, kaip nustatyta Tarptautinės buhalterių federacijos rekomendacijose, o ne auditoriai – 2 dienas (atitinkamai 5,8 ir 3,9);</w:t>
      </w:r>
    </w:p>
    <w:p w14:paraId="1AA15089" w14:textId="390F0183" w:rsidR="009E39F9" w:rsidRPr="005A4592" w:rsidRDefault="0066045C" w:rsidP="009E39F9">
      <w:pPr>
        <w:pStyle w:val="NormalHanging12a"/>
        <w:rPr>
          <w:szCs w:val="24"/>
        </w:rPr>
      </w:pPr>
      <w:r>
        <w:t>35</w:t>
      </w:r>
      <w:r w:rsidR="009E39F9" w:rsidRPr="005A4592">
        <w:t>.</w:t>
      </w:r>
      <w:r w:rsidR="009E39F9" w:rsidRPr="005A4592">
        <w:tab/>
        <w:t>pažymi, kad 2024 m. vidutinis nebuvimo dėl ligos lygis buvo 9,9 dienų vienam darbuotojui, beveik tiek pat kaip ir 2023 m.; taip pat pažymi, kad 2024 m. 3 darbuotojai (palyginti su 4 darbuotojais 2023 m.) nebuvo darbe dėl užsitęsusios ligos, kuri apibrėžiama kaip trunkanti daugiau kaip 200 dienų per metus;</w:t>
      </w:r>
    </w:p>
    <w:p w14:paraId="399B4986" w14:textId="0FB9CDA4" w:rsidR="009E39F9" w:rsidRPr="005A4592" w:rsidRDefault="0066045C" w:rsidP="009E39F9">
      <w:pPr>
        <w:pStyle w:val="NormalHanging12a"/>
        <w:rPr>
          <w:szCs w:val="24"/>
        </w:rPr>
      </w:pPr>
      <w:r>
        <w:t>36</w:t>
      </w:r>
      <w:r w:rsidR="009E39F9" w:rsidRPr="005A4592">
        <w:t>.</w:t>
      </w:r>
      <w:r w:rsidR="009E39F9" w:rsidRPr="005A4592">
        <w:tab/>
        <w:t>pažymi, kad 2024 m. buvo pranešta apie 13 profesinio perdegimo atvejų, palyginti su 7 atvejais 2023 m.; susirūpinęs pažymi, kad 2024 m. labai padaugėjo perdegimo atvejų, apie kuriuos pranešta; ragina Audito Rūmus atlikti išsamią šio didelio padidėjimo priežasčių analizę, įskaitant darbo krūvio pasiskirstymą, organizacinius veiksnius ir struktūrinę riziką, ir integruoti įrodymais pagrįstas išvadas į savo žmogiškųjų išteklių planavimo ir valdymo praktiką, siekiant veiksmingai užkirsti kelią perdegimui ir pagerinti darbo aplinką; teigiamai vertina tai, kad Audito Rūmai ėmėsi kelių veiksmų, kad sumažintų profesinio perdegimo riziką, įdiegdami visapusišką gerovės programą, siūlydami atsparumo didinimo mokymus, skelbdami ir įgyvendindami gaires dėl grįžimo į darbą po ilgalaikių laikinojo nedarbingumo atostogų, toliau siūlydami pirmąją pagalbą psichikos sveikatos srityje ir teikdami finansinę paramą darbuotojams – padengdami 10 sesijų su jų pasirinktu psichologu išlaidas; atkreipia ypatingą dėmesį į, kad 2024 m. Audito Rūmai surengė 4 privalomus mokymus vadovams ir juose daugiausia dėmesio buvo skirta darbuotojų gerovei, darbo rezultatams, darbo ir asmeninio gyvenimo pusiausvyrai bei perdegimo prevencijai;</w:t>
      </w:r>
    </w:p>
    <w:p w14:paraId="15606489" w14:textId="6612D841" w:rsidR="009E39F9" w:rsidRPr="005A4592" w:rsidRDefault="0066045C" w:rsidP="009E39F9">
      <w:pPr>
        <w:pStyle w:val="NormalHanging12a"/>
        <w:rPr>
          <w:szCs w:val="24"/>
        </w:rPr>
      </w:pPr>
      <w:r>
        <w:t>37</w:t>
      </w:r>
      <w:r w:rsidR="009E39F9" w:rsidRPr="005A4592">
        <w:t>.</w:t>
      </w:r>
      <w:r w:rsidR="009E39F9" w:rsidRPr="005A4592">
        <w:tab/>
        <w:t>giria Audito Rūmų informavimo veiklą, tyrimus ir mokymus, kurie 2024 m. buvo organizuoti Audito Rūmų darbuotojams, nariams arba abiem grupėms, apie Audito Rūmų politiką dėl priekabiavimo prevencijos ir pagarbaus elgesio darbo vietoje; su susirūpinimu pažymi, kad 2024 m. buvo atliktas vienas administracinis tyrimas dėl įtarimų dėl seksualinio ir psichologinio priekabiavimo, po kurio buvo imtasi drausminių priemonių, remiantis išvada, kad asmens, dėl kurio atliekamas tyrimas, elgesys buvo netinkamas;</w:t>
      </w:r>
    </w:p>
    <w:p w14:paraId="2DFDA0DB" w14:textId="7BFF20FB" w:rsidR="009E39F9" w:rsidRPr="005A4592" w:rsidRDefault="0066045C" w:rsidP="009E39F9">
      <w:pPr>
        <w:pStyle w:val="NormalHanging12a"/>
        <w:rPr>
          <w:szCs w:val="24"/>
        </w:rPr>
      </w:pPr>
      <w:r>
        <w:t>38</w:t>
      </w:r>
      <w:r w:rsidR="009E39F9" w:rsidRPr="005A4592">
        <w:t>.</w:t>
      </w:r>
      <w:r w:rsidR="009E39F9" w:rsidRPr="005A4592">
        <w:tab/>
        <w:t>pažymi, kad, kaip nurodyta klausimyne, 2024 m. Audito Rūmai, laikydamiesi savo 2021–2025 m. įvairovės ir įtraukties veiksmų plano, ėmėsi daugelio veiksmų įvairiose srityse, pavyzdžiui, įdarbinimo, mokymo, karjeros plėtros, darbo sąlygų ir darbuotojų informuotumo; pažymi, kad Audito Rūmai integravo įvairovę ir įtrauktį į savo veiklos valdymo, vertinimo, sertifikavimo ir paaukštinimo procesus, taip pat į mokymo programas, o 2024 m. 13 vadovų savanoriškai dalyvavo įvairovės ir įtraukties vertinime; palankiai vertina specializuotą mokymo kursą „Moterų vadovų kilimas. Įgūdžiai sėkmei“, kurį Audito Rūmai organizavo siekdami paskatinti moteris siekti vadovaujančių pareigų; taip pat palankiai vertina Audito Rūmų naujas pozityvių veiksmų programas stažuotojams ir sutartininkams, skirtas žmonėms su negalia, pagal kurias žmonėms su pripažinta negalia per metus siūlomos dvi stažuotės; su pasitenkinimu pažymi, kad 2024 m. Audito Rūmai surengė ketvirtąją informavimo apie negalią savaitę, kurios metu buvo pristatytas naujas negalios veiksmų planas, kuriame pabrėžiamos Audito Rūmų pastangos kurti labiau įtraukią darbo aplinką; su pasitenkinimu pažymi, kad Audito Rūmai taip pat skelbia savo įvairovės ir įtraukties veiksmų plano laikotarpio vidurio peržiūras, siekiant užtikrinti skaidrumą ir visos organizacijos dalyvavimą;</w:t>
      </w:r>
    </w:p>
    <w:p w14:paraId="7610B72A" w14:textId="77777777" w:rsidR="009E39F9" w:rsidRPr="005A4592" w:rsidRDefault="009E39F9" w:rsidP="009E39F9">
      <w:pPr>
        <w:pStyle w:val="NormalHanging12a"/>
        <w:rPr>
          <w:b/>
          <w:i/>
          <w:iCs/>
          <w:szCs w:val="24"/>
        </w:rPr>
      </w:pPr>
      <w:r w:rsidRPr="005A4592">
        <w:rPr>
          <w:b/>
          <w:i/>
        </w:rPr>
        <w:t>Etikos sistema ir skaidrumas</w:t>
      </w:r>
    </w:p>
    <w:p w14:paraId="7A4FBCA4" w14:textId="05A1488E" w:rsidR="009E39F9" w:rsidRPr="005A4592" w:rsidRDefault="0066045C" w:rsidP="009E39F9">
      <w:pPr>
        <w:pStyle w:val="NormalHanging12a"/>
        <w:rPr>
          <w:szCs w:val="24"/>
        </w:rPr>
      </w:pPr>
      <w:r>
        <w:t>39</w:t>
      </w:r>
      <w:r w:rsidR="009E39F9" w:rsidRPr="005A4592">
        <w:t>.</w:t>
      </w:r>
      <w:r w:rsidR="009E39F9" w:rsidRPr="005A4592">
        <w:tab/>
        <w:t>pabrėžia Audito Rūmų, kaip Sąjungos nepriklausomo išorės auditoriaus ir jos finansų sergėtojo, svarbų vaidmenį, ir todėl Audito Rūmai privalo laikytis aukščiausių sąžiningumo, profesionalumo ir atskaitingumo standartų, taip pat sąžiningo bendradarbiavimo tarp Sąjungos institucijų principo, ir būti pavyzdine institucija, kuri kelia pasitikėjimą ir yra patikima; primena, kad pagal SESV 285 straipsnį Audito Rūmų nariai turi būti visiškai nepriklausomi ir laikytis aukščiausių etikos, taip pat sąžiningumo, objektyvumo, profesinio elgesio, orumo, atsidavimo ir lojalumo principų;</w:t>
      </w:r>
    </w:p>
    <w:p w14:paraId="6004DF7B" w14:textId="17691D5F" w:rsidR="009E39F9" w:rsidRPr="005A4592" w:rsidRDefault="0066045C" w:rsidP="009E39F9">
      <w:pPr>
        <w:pStyle w:val="NormalHanging12a"/>
        <w:rPr>
          <w:szCs w:val="24"/>
        </w:rPr>
      </w:pPr>
      <w:r>
        <w:t>40</w:t>
      </w:r>
      <w:r w:rsidR="009E39F9" w:rsidRPr="005A4592">
        <w:t>.</w:t>
      </w:r>
      <w:r w:rsidR="009E39F9" w:rsidRPr="005A4592">
        <w:tab/>
        <w:t>susirūpinęs pažymi, kad Audito Rūmai atsisakė panaikinti buvusio pirmininko imunitetą ir nusprendė atmesti Europos prokuratūros prašymą leisti keliems Audito Rūmų darbuotojams duoti parodymus vykdomame nusikalstamos veikos tyrime; remdamasis ataskaita dėl tolesnių veiksmų, pažymi, kad Audito Rūmai nepanaikino minėto imuniteto, nes Europos prokuratūra esą nepateikusi Audito Rūmams pakankamai informacijos, kad jie galėtų suprasti, kokiais veiksmais kaltinami atitinkami asmenys ir kokiu mastu tokie veiksmai gali būti laikomi nusikalstama veika, ir kad Audito Rūmai remiasi jurisprudencija kaip taikytinos teisinės sistemos dalimi, pagrįsdami šią poziciją; pažymi, kad 2025 m. vasario 10 d. Europos prokuratūra pagal SESV 263 straipsnio 4 dalį Europos Sąjungos Teisingumo Teismui (ESTT) pateikė apeliacinį skundą (bylos numeris T-99/25) dėl Audito Rūmų sprendimo atmesti Europos prokuratūros prašymą leisti keliems Audito Rūmų darbuotojams duoti parodymus vykdomame nusikalstamos veikos tyrime; be to, pažymi, kad minėtuoju skundu nebuvo ginčijamas atitinkamų asmenų imuniteto nepanaikinimas; pabrėžia, kad Sąjungos institucijų lojalaus bendradarbiavimo pareiga reikalauja, kad leidimai apklausti darbuotojus kaip liudytojus nusikalstamos veikos tyrimuose būtų neišduodami tik griežtai išimtinėmis aplinkybėmis; primygtinai ragina Audito Rūmus paaiškinti kriterijus, taikomus priimant sprendimus dėl Europos prokuratūros prašymų, ir užtikrinti, kad tokie sprendimai negalėtų būti laikomi trukdančiais teisminiams tyrimams; primygtinai ragina Audito Rūmus, bendradarbiaujant su Europos prokuratūra ir kitomis Sąjungos įstaigomis, atsakingomis už kovą su sukčiavimu ir nusižengimais, išlaikyti aukštą skaidrumo ir atskaitomybės lygį, ir užtikrinti, kad imunitetu nebūtų naudojamasi siekiant trukdyti teisėtiems teismo procesams;</w:t>
      </w:r>
    </w:p>
    <w:p w14:paraId="35FE4DEC" w14:textId="36987850" w:rsidR="009E39F9" w:rsidRPr="005A4592" w:rsidRDefault="0066045C" w:rsidP="009E39F9">
      <w:pPr>
        <w:pStyle w:val="NormalHanging12a"/>
        <w:rPr>
          <w:szCs w:val="24"/>
        </w:rPr>
      </w:pPr>
      <w:r>
        <w:t>41</w:t>
      </w:r>
      <w:r w:rsidR="009E39F9" w:rsidRPr="005A4592">
        <w:t>.</w:t>
      </w:r>
      <w:r w:rsidR="009E39F9" w:rsidRPr="005A4592">
        <w:tab/>
        <w:t>pažymi, kad 2024 m. Audito Rūmuose nebuvo informavimo apie pažeidimą atvejų; be to, pažymi, kad 2023 m. Audito Rūmai pradėjo Audito Rūmų taisyklių dėl administracinių tyrimų ir drausminių procedūrų vykdymo atnaujinimo procesą ir jis buvo baigtas 2024 m. pradžioje;</w:t>
      </w:r>
    </w:p>
    <w:p w14:paraId="78002136" w14:textId="124C74C0" w:rsidR="009E39F9" w:rsidRPr="005A4592" w:rsidRDefault="0066045C" w:rsidP="009E39F9">
      <w:pPr>
        <w:pStyle w:val="NormalHanging12a"/>
        <w:rPr>
          <w:szCs w:val="24"/>
        </w:rPr>
      </w:pPr>
      <w:r>
        <w:t>42</w:t>
      </w:r>
      <w:r w:rsidR="009E39F9" w:rsidRPr="005A4592">
        <w:t>.</w:t>
      </w:r>
      <w:r w:rsidR="009E39F9" w:rsidRPr="005A4592">
        <w:tab/>
        <w:t>su pasitenkinimu pažymi, kad Audito Rūmai yra įdiegę tvirtą etikos sistemą, apimančią etikos gaires, taikomas tiek Audito Rūmų nariams, tiek darbuotojams, ir Audito Rūmų narių elgesio kodeksą; pažymi, kad Audito Rūmai taip pat turi Etikos komitetą, kuris reguliariai renkasi svarstyti atitinkamų etikos klausimų, įskaitant narių išorinę veiklą, ir kurį sudaro du Audito Rūmų nariai ir vienas išorės narys; atkreipia dėmesį į Etikos komiteto 2024 m. metinę ataskaitą, kurioje nurodoma, kad Etikos komitetas surengė šešis posėdžius ir gavo 17 deklaracijų iš dabartinių Audito Rūmų narių (dėl išorinės veiklos) ir buvusių Audito Rūmų narių (dėl jų numatomos veiklos pasibaigus kadencijai), ir 2024 m. visoms joms buvo pateikta teigiama nuomonė;</w:t>
      </w:r>
    </w:p>
    <w:p w14:paraId="38070396" w14:textId="1A279B81" w:rsidR="009E39F9" w:rsidRPr="005A4592" w:rsidRDefault="0066045C" w:rsidP="009E39F9">
      <w:pPr>
        <w:pStyle w:val="NormalHanging12a"/>
        <w:rPr>
          <w:szCs w:val="24"/>
        </w:rPr>
      </w:pPr>
      <w:r>
        <w:t>43</w:t>
      </w:r>
      <w:r w:rsidR="009E39F9" w:rsidRPr="005A4592">
        <w:t>.</w:t>
      </w:r>
      <w:r w:rsidR="009E39F9" w:rsidRPr="005A4592">
        <w:tab/>
        <w:t>pažymi, kad Audito Rūmų narių interesų deklaracijos pildomos kasmet ir kiekvieną kartą, kai įvyksta reikšmingi pokyčiai, ir yra skelbiamos Audito Rūmų interneto svetainėse; su pasitenkinimu pažymi, kad informacija apie Audito Rūmų narių misijas, įskaitant išlaidas, taip pat skelbiama internete; giria Audito Rūmus už tai, kad 2024 m. baigė atnaujinti savo administracinių ir drausminių priemonių taikymo taisykles; pažymi, kad, kaip nurodyta klausimyne, 2024 m. nebuvo nustatyta jokių interesų konflikto atvejų;</w:t>
      </w:r>
    </w:p>
    <w:p w14:paraId="00216BC9" w14:textId="7C856EB7" w:rsidR="009E39F9" w:rsidRPr="005A4592" w:rsidRDefault="0066045C" w:rsidP="009E39F9">
      <w:pPr>
        <w:pStyle w:val="NormalHanging12a"/>
        <w:rPr>
          <w:szCs w:val="24"/>
        </w:rPr>
      </w:pPr>
      <w:r>
        <w:t>44</w:t>
      </w:r>
      <w:r w:rsidR="009E39F9" w:rsidRPr="005A4592">
        <w:t>.</w:t>
      </w:r>
      <w:r w:rsidR="009E39F9" w:rsidRPr="005A4592">
        <w:tab/>
        <w:t>su pasitenkinimu pažymi, kad, kaip nurodyta klausimyne, Audito Rūmai kasmet organizuoja etikos dienos mokymo renginį; be to, pažymi, kad Audito Rūmai visiems darbuotojams, įskaitant naujokus ir vadovus, surengė su etika susijusius kursus, įskaitant 3 etikos seminarus 2024 m.; pažymi, kad tais metais tokiuose kursuose dalyvavo 681 dalyvis;</w:t>
      </w:r>
    </w:p>
    <w:p w14:paraId="1D30ACC7" w14:textId="25F54DEE" w:rsidR="009E39F9" w:rsidRPr="005A4592" w:rsidRDefault="0066045C" w:rsidP="009E39F9">
      <w:pPr>
        <w:pStyle w:val="NormalHanging12a"/>
        <w:rPr>
          <w:szCs w:val="24"/>
        </w:rPr>
      </w:pPr>
      <w:r>
        <w:t>45</w:t>
      </w:r>
      <w:r w:rsidR="009E39F9" w:rsidRPr="005A4592">
        <w:t>.</w:t>
      </w:r>
      <w:r w:rsidR="009E39F9" w:rsidRPr="005A4592">
        <w:tab/>
        <w:t>pažymi, kad 2024 m. nei Europos kovos su sukčiavimu tarnyba (OLAF), nei ombudsmenas nepradėjo jokių tyrimų, susijusių su Audito Rūmais;</w:t>
      </w:r>
    </w:p>
    <w:p w14:paraId="6F610EF4" w14:textId="4EBB6938" w:rsidR="009E39F9" w:rsidRPr="005A4592" w:rsidRDefault="0066045C" w:rsidP="009E39F9">
      <w:pPr>
        <w:pStyle w:val="NormalHanging12a"/>
        <w:rPr>
          <w:szCs w:val="24"/>
        </w:rPr>
      </w:pPr>
      <w:r>
        <w:t>46</w:t>
      </w:r>
      <w:r w:rsidR="009E39F9" w:rsidRPr="005A4592">
        <w:t>.</w:t>
      </w:r>
      <w:r w:rsidR="009E39F9" w:rsidRPr="005A4592">
        <w:tab/>
        <w:t xml:space="preserve">pakartoja ankstesnėse sprendimų dėl biudžeto įvykdymo užtikrinimo rezoliucijose išreikštą kritiką dėl 2022 m. Audito Rūmų sprendimo dėl jų narių kelionių, komandiruočių ir vairuotojų bei automobilių naudojimo, kuris prieštarauja bendram principui, kad automobilių parku turėtų būti naudojamasi išskirtinai tik vykdant Audito Rūmų narių pareigas ir nesinaudojama kitais atvejais jokiomis aplinkybėmis; dar kartą ragina visas Sąjungos institucijas susitarti dėl vieningos tarnybinių automobilių naudojimo sistemos, kuri būtų taikoma horizontaliai, taip sumažinant painiavą ir didinant viešųjų lėšų naudojimo skaidrumą ir veiksmingumą; palankiai vertina tai, kad 2024 m. Audito Rūmai kartu su ESTT pakvietė Komisiją dalyvauti tarpinstituciniame dialoge, siekiant susitarti dėl bendrų tarnybinių automobilių naudojimo taisyklių; šiuo atžvilgiu pažymi, kad, kaip nurodyta klausimyne, buvo sukurta </w:t>
      </w:r>
      <w:r w:rsidR="009E39F9" w:rsidRPr="005A4592">
        <w:rPr>
          <w:i/>
        </w:rPr>
        <w:t>ad hoc</w:t>
      </w:r>
      <w:r w:rsidR="009E39F9" w:rsidRPr="005A4592">
        <w:t xml:space="preserve"> darbo grupė, kuri susitiko keletą kartų ir pateikė keletą rekomendacijų; ragina Audito Rūmus pranešti biudžeto įvykdymą tvirtinančiai institucijai apie šioje srityje daromą pažangą;</w:t>
      </w:r>
    </w:p>
    <w:p w14:paraId="7987ABDC" w14:textId="06C0674F" w:rsidR="009E39F9" w:rsidRPr="005A4592" w:rsidRDefault="0066045C" w:rsidP="009E39F9">
      <w:pPr>
        <w:pStyle w:val="NormalHanging12a"/>
        <w:rPr>
          <w:szCs w:val="24"/>
        </w:rPr>
      </w:pPr>
      <w:r>
        <w:t>47</w:t>
      </w:r>
      <w:r w:rsidR="009E39F9" w:rsidRPr="005A4592">
        <w:t>.</w:t>
      </w:r>
      <w:r w:rsidR="009E39F9" w:rsidRPr="005A4592">
        <w:tab/>
        <w:t>primena, kad Audito Rūmų vidaus audito tarnyba (IAS) atliko Audito Rūmų darbuotojams ir nariams taikomos etikos sistemos auditą; pažymi, kad remiantis galutinės ataskaitos (02/2023), kurią Audito Rūmai 2024 m. liepos 9 d. nusiuntė Parlamento pirmininkei, duomenimis ir klausimynu, IAS pateikė 16 rekomendacijų, iš kurių 15 jau įgyvendintos, o viena, susijusi su darbuotojų interesų konfliktais, yra įgyvendinama; primygtinai ragina Audito Rūmus nedelsiant užbaigti įgyvendinti likusią rekomendaciją ir ragina juos tinkamai informuoti biudžeto įvykdymą tvirtinančią instituciją apie šioje srityje padarytą pažangą;</w:t>
      </w:r>
    </w:p>
    <w:p w14:paraId="64D915A0" w14:textId="1E47ECA3" w:rsidR="009E39F9" w:rsidRPr="005A4592" w:rsidRDefault="0066045C" w:rsidP="009E39F9">
      <w:pPr>
        <w:pStyle w:val="NormalHanging12a"/>
        <w:rPr>
          <w:szCs w:val="24"/>
        </w:rPr>
      </w:pPr>
      <w:bookmarkStart w:id="10" w:name="_Hlk215774993"/>
      <w:r>
        <w:t>48</w:t>
      </w:r>
      <w:r w:rsidR="009E39F9" w:rsidRPr="005A4592">
        <w:t>.</w:t>
      </w:r>
      <w:r w:rsidR="009E39F9" w:rsidRPr="005A4592">
        <w:tab/>
        <w:t>pažymi, kad, remiantis Audito Rūmų ataskaita, 2024 m. nebuvo nustatyta jokių korupcijos ar sukčiavimo atvejų Audito Rūmų vidaus veikloje; vertina Audito Rūmus už prevencinių mokymų apie kovos su korupcija politiką ir procedūras organizavimą – 2024 m. buvo surengta 10 mokymų, kuriuose iš viso dalyvavo 257 asmenys; palankiai vertina tai, kad, remiantis ataskaita dėl tolesnių veiksmų, 2024 m. Audito Rūmai paskelbė bendrą konsoliduotą dokumentą dėl su sukčiavimu susijusių klausimų sprendimo vykdant savo audito veiklą, kuriame pateikiamos išsamios ir detalios gairės Audito Rūmų auditoriams, nes taip suderinama Audito Rūmų audito kolegijų nagrinėjamų įtariamo sukčiavimo, korupcijos ar bet kokios kitos neteisėtos veiklos, kenkiančios Sąjungos finansiniams interesams, atvejų, nustatytų atliekant išorės audito darbą, tvarka ir prisidedama prie nuoseklumo užtikrinimo; pažymi, kad su Audito Rūmų vidaus veikla susijusi sukčiavimo rizika valdoma pagal Audito Rūmų vidaus kontrolės sistemą, taikomą siekiant užkirsti kelią, nustatyti, ištaisyti ir imtis tolesnių veiksmų dėl bet kokių pažeidimų, susijusių su Audito Rūmų nariais ar darbuotojais ir galinčių turėti įtakos Sąjungos finansiniams interesams; taip pat atkreipia dėmesį į Audito Rūmų nuomonę, kad atskiros vidaus veiklos sukčiavimo prevencijos strategijos kūrimas sukeltų neproporcingą administracinę naštą, atsižvelgiant į jau taikomą išsamią kontrolę, visgi toliau prašo Audito Rūmų priimti visų rūšių veiklai taikomą sukčiavimo prevencijos strategiją;</w:t>
      </w:r>
    </w:p>
    <w:bookmarkEnd w:id="10"/>
    <w:p w14:paraId="771F7AF5" w14:textId="59584C9D" w:rsidR="009E39F9" w:rsidRPr="005A4592" w:rsidRDefault="0066045C" w:rsidP="009E39F9">
      <w:pPr>
        <w:pStyle w:val="NormalHanging12a"/>
        <w:rPr>
          <w:szCs w:val="24"/>
        </w:rPr>
      </w:pPr>
      <w:r>
        <w:t>49</w:t>
      </w:r>
      <w:r w:rsidR="009E39F9" w:rsidRPr="005A4592">
        <w:t>.</w:t>
      </w:r>
      <w:r w:rsidR="009E39F9" w:rsidRPr="005A4592">
        <w:tab/>
        <w:t>atkreipia dėmesį į Audito Rūmų nuomonę, pateiktą ataskaitoje dėl tolesnių veiksmų, kad jų, kaip nepriklausomos išorės audito institucijos, vaidmuo juos išskiria iš tipinių subjektų, siekiančių bendradarbiauti su Sąjungos sprendimus priimančiomis institucijomis ir vykdyti lobistinę veiklą; mano, kad šis argumentas nėra visiškai taikytinas, nes Audito Rūmai rengia specialias ataskaitas, kuriose nagrinėja, ar buvo pasiekti Sąjungos politikos ir programų tikslai, o tai Audito Rūmų darbui suteikia politinį arba patariamąjį pobūdį, net jei Audito Rūmai nėra sprendimus priimanti institucija; be to, primena, kad yra kitų Sąjungos sprendimus nepriimančių ir patariamųjų institucijų, kurios oficialiai prisijungė prie Sąjungos skaidrumo registro; pakartoja savo raginimą Audito Rūmams nedelsiant prisijungti prie Skaidrumo registro, laikantis kitų sprendimus priimančių Sąjungos institucijų praktikos, kad būtų sustiprintas visuomenės pasitikėjimas, kartu visapusiškai išsaugant Audito Rūmų, kaip Sąjungos išorės auditoriaus, nepriklausomumą;</w:t>
      </w:r>
    </w:p>
    <w:p w14:paraId="0DBCEF0F" w14:textId="77777777" w:rsidR="009E39F9" w:rsidRPr="005A4592" w:rsidRDefault="009E39F9" w:rsidP="009E39F9">
      <w:pPr>
        <w:pStyle w:val="NormalHanging12a"/>
        <w:rPr>
          <w:b/>
          <w:i/>
          <w:iCs/>
          <w:szCs w:val="24"/>
        </w:rPr>
      </w:pPr>
      <w:r w:rsidRPr="005A4592">
        <w:rPr>
          <w:b/>
          <w:i/>
        </w:rPr>
        <w:t>Skaitmeninimas, kibernetinis saugumas ir duomenų apsauga</w:t>
      </w:r>
    </w:p>
    <w:p w14:paraId="242BD536" w14:textId="2B80045E" w:rsidR="009E39F9" w:rsidRPr="005A4592" w:rsidRDefault="0066045C" w:rsidP="009E39F9">
      <w:pPr>
        <w:pStyle w:val="NormalHanging12a"/>
        <w:rPr>
          <w:szCs w:val="24"/>
        </w:rPr>
      </w:pPr>
      <w:r>
        <w:t>50</w:t>
      </w:r>
      <w:r w:rsidR="009E39F9" w:rsidRPr="005A4592">
        <w:t>.</w:t>
      </w:r>
      <w:r w:rsidR="009E39F9" w:rsidRPr="005A4592">
        <w:tab/>
        <w:t>pažymi, kad, kaip nurodyta klausimyne, Audito Rūmų bendras IT (techninės įrangos, programinės įrangos, IT paslaugų ir telekomunikacijos) biudžetas sumažėjo 12,10 proc. – nuo maždaug 10,8 mln. EUR 2023 m. iki maždaug 9,5 mln. EUR 2024 m. pažymi, kad tarp pagrindinių Audito Rūmų IT projektų, finansuojamų 2024 m., yra jų interneto svetainės ir intraneto atnaujinimas, perėjimas prie saugesnio nuotolinio prieigos sprendimo ir naujos vertimų raštu valdymo sistemos įdiegimas;</w:t>
      </w:r>
    </w:p>
    <w:p w14:paraId="409F4C63" w14:textId="6934621D" w:rsidR="009E39F9" w:rsidRPr="005A4592" w:rsidRDefault="0066045C" w:rsidP="009E39F9">
      <w:pPr>
        <w:pStyle w:val="NormalHanging12a"/>
        <w:rPr>
          <w:szCs w:val="24"/>
        </w:rPr>
      </w:pPr>
      <w:r>
        <w:t>51</w:t>
      </w:r>
      <w:r w:rsidR="009E39F9" w:rsidRPr="005A4592">
        <w:t>.</w:t>
      </w:r>
      <w:r w:rsidR="009E39F9" w:rsidRPr="005A4592">
        <w:tab/>
        <w:t>tvirtai remia Audito Rūmų pastangas kurti audito žinių ekosistemą pasitelkiant skaitmeninimą; šiuo atžvilgiu pažymi, kad, kaip nurodyta klausimyne, 2024 m. Audito Rūmai įgyvendino keletą iniciatyvų, skirtų jų skaitmeniniams gebėjimams ir veiklos veiksmingumui stiprinti, įskaitant audito informacinių sistemų integravimą, sistemų ir taikomųjų programų sąveikos didinimą, dokumentų skaitymo pagalbinės priemonės (DORA) įdiegimą žinių valdymui audito veikloje remti, paslaugos „BibliotECA Discovery Collections“ įdiegimą ir naujos skaitmeninio archyvavimo politikos priėmimą; pabrėžia, kad skaitmeninimo ir dažnesnių vizitų vietoje derinys turėtų užtikrinti efektyvesnius ir tikslesnius audito rezultatus; ragina toliau investuoti į DI grindžiamas audito priemones ir sistemų sąveikumą, kad būtų padidintas audito tikslumas, sumažinta administracinė našta ir kuo labiau padidinta ekonominė nauda;</w:t>
      </w:r>
    </w:p>
    <w:p w14:paraId="3A424EA7" w14:textId="19A4D5D1" w:rsidR="009E39F9" w:rsidRPr="005A4592" w:rsidRDefault="0066045C" w:rsidP="009E39F9">
      <w:pPr>
        <w:pStyle w:val="NormalHanging12a"/>
        <w:rPr>
          <w:szCs w:val="24"/>
        </w:rPr>
      </w:pPr>
      <w:r>
        <w:t>52</w:t>
      </w:r>
      <w:r w:rsidR="009E39F9" w:rsidRPr="005A4592">
        <w:t>.</w:t>
      </w:r>
      <w:r w:rsidR="009E39F9" w:rsidRPr="005A4592">
        <w:tab/>
        <w:t xml:space="preserve">palankia vertina tai, kad paskelbta Audito Rūmų pradinė dirbtinio intelekto strategija ir 2024–2025 m. diegimo veiksmų gairės; su pasitenkinimu pažymi, kad, kaip nurodyta klausimyne, Audito Rūmai darė nuolatinę pažangą įgyvendindami šią strategiją ir telkė dėmesį į, </w:t>
      </w:r>
      <w:r w:rsidR="009E39F9" w:rsidRPr="005A4592">
        <w:rPr>
          <w:i/>
          <w:iCs/>
        </w:rPr>
        <w:t>inter alia</w:t>
      </w:r>
      <w:r w:rsidR="009E39F9" w:rsidRPr="005A4592">
        <w:t>, tokių priemonių kaip „Microsoft Copilot“ ir „GPT@EC“ testavimą ir pasirengimą jų diegimui, didino darbuotojų informuotumą organizuodami tikslingus mokymus DI srityje, taip pat testavo DI prietaikas audito darbe ir dalijosi preliminariais rezultatais; be to, palankiai vertina Audito Rūmų DI valdymo stiprinimą ir tai, kad Audito Rūmai įsteigė DI patariamąjį komitetą ir 2024 m. paskyrė DI korespondentą; su pasitenkinimu pažymi, kad DI patariamasis komitetas, kurio vaidmuo yra remti Audito Rūmus ir jiems teikti patarimus vykdant pareigas pagal DI naudojimą reglamentuojančią teisinę ir etinę sistemą, yra sudarytas iš darbuotojų, turinčių įvairių sričių žinių, siekiant taip užtikrinti visapusišką požiūrį ir DI poveikio supratimą; ragina Audito Rūmus, įgyvendinant savo DI strategiją, parengti aiškius rodiklius, pagal kuriuos būtų vertinama DI grindžiamų audito priemonių pridėtinė vertė, rizika ir apribojimai, ir reguliariai pranešti Parlamentui apie jų poveikį audito kokybei, skaidrumui ir atskaitomybei; pabrėžia, kad DI turi būti naudojamas užtikrinant griežtus etiško naudojimo, skaidrumo, duomenų apsaugos, žmogaus vykdomos priežiūros ir apsaugos nuo algoritminio šališkumo ar netinkamo naudojimo principus;</w:t>
      </w:r>
    </w:p>
    <w:p w14:paraId="1CD02A99" w14:textId="63AB8040" w:rsidR="009E39F9" w:rsidRPr="005A4592" w:rsidRDefault="0066045C" w:rsidP="009E39F9">
      <w:pPr>
        <w:pStyle w:val="NormalHanging12a"/>
        <w:rPr>
          <w:szCs w:val="24"/>
        </w:rPr>
      </w:pPr>
      <w:r>
        <w:t>53</w:t>
      </w:r>
      <w:r w:rsidR="009E39F9" w:rsidRPr="005A4592">
        <w:t>.</w:t>
      </w:r>
      <w:r w:rsidR="009E39F9" w:rsidRPr="005A4592">
        <w:tab/>
        <w:t>pažymi, kad, kaip nurodyta klausimyne, Audito Rūmai padarė pažangą įgyvendindami savo kibernetinio saugumo planą ir 2024 m. pasiekė keletą svarbių tikslų, be kita ko, įdiegė slaptažodžių nereikalaujančią autentifikavimo sistemą pasinaudodami „Windows Hello for Business“ – nulinio pasitikėjimo principu pagrįstą prietaiką, siekiant sustiprinti prieigos prie debesijos ir „EU Login“ pagrindu veikiančių sistemų saugumą, taip pat įdiegta privilegijuotos prieigos valdymo priemonė, siekiant geriau apsaugoti IT sistemų administravimą; be to, pažymi, kad Audito Rūmai taip pat sustiprino savo kibernetinio saugumo parengtį, dalyvaudami bendrose informuotumo ir kibernetinio saugumo parengties pratybose (JASPER), kurias bendrai organizavo Sąjungos institucijų, įstaigų, organų ir agentūrų kibernetinio saugumo tarnyba (CERT-EU) ir Europos Sąjungos kibernetinio saugumo agentūra (ENISA), ir didino darbuotojų informuotumą, rengdami duomenų viliojimo imitavimo pratybas, kad būtų galima sumažinti su socialine inžinerija susijusią riziką;</w:t>
      </w:r>
    </w:p>
    <w:p w14:paraId="78FEDF75" w14:textId="45640279" w:rsidR="009E39F9" w:rsidRPr="005A4592" w:rsidRDefault="0066045C" w:rsidP="009E39F9">
      <w:pPr>
        <w:pStyle w:val="NormalHanging12a"/>
        <w:rPr>
          <w:szCs w:val="24"/>
        </w:rPr>
      </w:pPr>
      <w:r>
        <w:t>54</w:t>
      </w:r>
      <w:r w:rsidR="009E39F9" w:rsidRPr="005A4592">
        <w:t>.</w:t>
      </w:r>
      <w:r w:rsidR="009E39F9" w:rsidRPr="005A4592">
        <w:tab/>
        <w:t>su susirūpinimu pažymi, kad Audito Rūmai patyrė kibernetinį išpuolį, už kurį atsakomybę prisiėmė prorusiška grupė ir dėl kurio sutrikdyta interneto svetainės veikla, išpuolis vykdytas kaip koordinuotų veiksmų, siekiant destabilizuoti 2024 m. Europos Parlamento rinkimus, dalis; palankiai vertina Audito Rūmų įsipareigojimą bent kas dvejus metus iš naujo vertinti kibernetinio saugumo riziką; ragina toliau reguliariai rengti darbuotojų mokymus apie kibernetines grėsmes, siekiant stiprinti institucijos atsparumą; ragina Audito Rūmus informuoti biudžeto įvykdymą tvirtinančią instituciją apie bet kokio kibernetinio saugumo rizikos vertinimo, kurį Audito Rūmai gali atlikti įgyvendindami Reglamentą (ES, Euratomas) 2023/2841</w:t>
      </w:r>
      <w:r w:rsidR="009E39F9" w:rsidRPr="005A4592">
        <w:rPr>
          <w:szCs w:val="24"/>
          <w:vertAlign w:val="superscript"/>
        </w:rPr>
        <w:footnoteReference w:id="7"/>
      </w:r>
      <w:r w:rsidR="009E39F9" w:rsidRPr="005A4592">
        <w:t>, rezultatus;</w:t>
      </w:r>
    </w:p>
    <w:p w14:paraId="64CF8E54" w14:textId="28BFB307" w:rsidR="009E39F9" w:rsidRPr="005A4592" w:rsidRDefault="0066045C" w:rsidP="009E39F9">
      <w:pPr>
        <w:pStyle w:val="NormalHanging12a"/>
        <w:rPr>
          <w:szCs w:val="24"/>
        </w:rPr>
      </w:pPr>
      <w:r>
        <w:t>55</w:t>
      </w:r>
      <w:r w:rsidR="009E39F9" w:rsidRPr="005A4592">
        <w:t>.</w:t>
      </w:r>
      <w:r w:rsidR="009E39F9" w:rsidRPr="005A4592">
        <w:tab/>
        <w:t>palankiai vertina 2025 m. numatytas iniciatyvas, kuriomis siekiama toliau stiprinti skaitmeninę transformaciją ir kibernetinį saugumą, pavyzdžiui, diegti „Microsoft Copilot“, taikyti vietinius generatyvinius DI modelius ir įdiegti biometrinį autentifikavimą nešiojamuosiuose kompiuteriuose; taip pat atkreipia dėmesį į Audito Rūmų planą atnaujinti savo IT infrastruktūrą naujais serveriais, įdiegti naujas funkcijas hibridiniams posėdžiams remti ir stiprinti bendradarbiavimą su Tarpinstitucinio skaitmeninės transformacijos komitetu besiformuojančios technologijų, pavyzdžiui, DI, srityje;</w:t>
      </w:r>
    </w:p>
    <w:p w14:paraId="09940C0E" w14:textId="5D43C991" w:rsidR="009E39F9" w:rsidRPr="005A4592" w:rsidRDefault="0066045C" w:rsidP="009E39F9">
      <w:pPr>
        <w:pStyle w:val="NormalHanging12a"/>
        <w:rPr>
          <w:szCs w:val="24"/>
        </w:rPr>
      </w:pPr>
      <w:r>
        <w:t>56</w:t>
      </w:r>
      <w:r w:rsidR="009E39F9" w:rsidRPr="005A4592">
        <w:t>.</w:t>
      </w:r>
      <w:r w:rsidR="009E39F9" w:rsidRPr="005A4592">
        <w:tab/>
        <w:t>tikisi, kad 2025 m. Audito Rūmų įvesta patikslinta elektroninio parašo politika dar labiau palengvins pažangių elektroninių parašų naudojimą ir sumažins priklausomybę nuo popierinių procedūrų, ypač išorės sutarčių dokumentacijos atveju; tikisi, kad toliau bus skaitmeninami patvirtinimo ir pasirašymo procesai; pripažįsta teigiamą skaitmeninimo poveikį audito darbo eigai, bendradarbiavimui ir skaidrumui, nes tai padeda užtikinti lankstesnius ir patikimesnius audito rezultatus;</w:t>
      </w:r>
    </w:p>
    <w:p w14:paraId="0F9F18E8" w14:textId="0C989818" w:rsidR="009E39F9" w:rsidRPr="005A4592" w:rsidRDefault="0066045C" w:rsidP="009E39F9">
      <w:pPr>
        <w:pStyle w:val="NormalHanging12a"/>
        <w:rPr>
          <w:szCs w:val="24"/>
        </w:rPr>
      </w:pPr>
      <w:r>
        <w:t>57</w:t>
      </w:r>
      <w:r w:rsidR="009E39F9" w:rsidRPr="005A4592">
        <w:t>.</w:t>
      </w:r>
      <w:r w:rsidR="009E39F9" w:rsidRPr="005A4592">
        <w:tab/>
        <w:t>palankiai vertina Audito Rūmų nuolatines pastangas gerinti darbuotojų įgūdžius įgyvendinant kartu su Audito Rūmų DATA komanda parengtą duomenų ir technologijų mokymo programą, skirtą duomenų ir technologijų audito naudojimui; pažymi, kad šia iniciatyva remiama institucijos skaitmeninė transformacija, skatinama inovacijų kultūra ir užtikrinamas struktūrizuotas mokymosi kelias nuo pradinio iki pažengusio lygių duomenų mokslo, DI ir IT audito srityse; atkreipia dėmesį tai, kad 2024 m. buvo surengta daug įvairių kursų, įskaitant mašininiam mokymuisi, kibernetiniam saugumui, DI naudojimą reglamentuojančiai teisinei sistemai ir duomenų vizualizavimui skirtus modulius, taip pat praktiniai IT mokymai sistemos „Microsoft Office“ ir specifinių audito priemonių klausimais, siekiant padidinti auditorių technines žinias ir veiklos veiksmingumą;</w:t>
      </w:r>
    </w:p>
    <w:p w14:paraId="658B2903" w14:textId="77777777" w:rsidR="009E39F9" w:rsidRPr="005A4592" w:rsidRDefault="009E39F9" w:rsidP="009E39F9">
      <w:pPr>
        <w:pStyle w:val="NormalHanging12a"/>
        <w:rPr>
          <w:b/>
          <w:i/>
          <w:iCs/>
          <w:szCs w:val="24"/>
        </w:rPr>
      </w:pPr>
      <w:r w:rsidRPr="005A4592">
        <w:rPr>
          <w:b/>
          <w:i/>
        </w:rPr>
        <w:t>Pastatai</w:t>
      </w:r>
    </w:p>
    <w:p w14:paraId="26B142CA" w14:textId="550F9115" w:rsidR="009E39F9" w:rsidRPr="005A4592" w:rsidRDefault="0066045C" w:rsidP="009E39F9">
      <w:pPr>
        <w:pStyle w:val="NormalHanging12a"/>
        <w:rPr>
          <w:szCs w:val="24"/>
        </w:rPr>
      </w:pPr>
      <w:r>
        <w:t>58</w:t>
      </w:r>
      <w:r w:rsidR="009E39F9" w:rsidRPr="005A4592">
        <w:t>.</w:t>
      </w:r>
      <w:r w:rsidR="009E39F9" w:rsidRPr="005A4592">
        <w:tab/>
        <w:t>pažymi, kad pagal Audito Rūmų ataskaitą dėl 2024 m. biudžeto ir finansų valdymo šiais metais Audito Rūmų pastatams ir susijusioms išlaidoms skirti asignavimai sudarė maždaug 5,7 mln. EUR (tiek pat, kiek ir 2023 m.), o jų panaudojimo lygis 2024 m. buvo 51,30 proc., t. y. sumažėjo palyginti su 62,26 proc. 2023 m.;</w:t>
      </w:r>
    </w:p>
    <w:p w14:paraId="795C0C08" w14:textId="513DAD97" w:rsidR="009E39F9" w:rsidRPr="005A4592" w:rsidRDefault="0066045C" w:rsidP="009E39F9">
      <w:pPr>
        <w:pStyle w:val="NormalHanging12a"/>
        <w:rPr>
          <w:szCs w:val="24"/>
        </w:rPr>
      </w:pPr>
      <w:r>
        <w:t>59</w:t>
      </w:r>
      <w:r w:rsidR="009E39F9" w:rsidRPr="005A4592">
        <w:t>.</w:t>
      </w:r>
      <w:r w:rsidR="009E39F9" w:rsidRPr="005A4592">
        <w:tab/>
        <w:t>su pasitenkinimu pažymi, kad Audito Rūmai 2024 m. pradėjo naują pastatų ženklinimo tyrimą, kuris yra susijęs su 2023 m. atlikto visų Audito Rūmų pastatų prieinamumo audito rezultatais; be to, pažymi, kad, kaip nurodyta klausimyne, 2024 m. Audito Rūmai toliau dėjo pastangas gerinti savo pastatus, atsižvelgdami į prieinamumo reikalavimus, modernizuojant ar atnaujinant liftus ir bendro naudojimo patalpas;</w:t>
      </w:r>
    </w:p>
    <w:p w14:paraId="5B468824" w14:textId="46396753" w:rsidR="009E39F9" w:rsidRPr="005A4592" w:rsidRDefault="0066045C" w:rsidP="009E39F9">
      <w:pPr>
        <w:pStyle w:val="NormalHanging12a"/>
        <w:rPr>
          <w:szCs w:val="24"/>
        </w:rPr>
      </w:pPr>
      <w:r>
        <w:t>60</w:t>
      </w:r>
      <w:r w:rsidR="009E39F9" w:rsidRPr="005A4592">
        <w:t>.</w:t>
      </w:r>
      <w:r w:rsidR="009E39F9" w:rsidRPr="005A4592">
        <w:tab/>
        <w:t>atkreipia dėmesį, kad 2024 m. pradėti arba užbaigti šie Audito Rūmų su pastatai susiję projektai: buvusio duomenų centro patalpų pertvarkymas, K2 konferencijų salės garso ir vaizdo sistemos modernizavimo pirmasis etapas, dviejų virtuvėlių įrengimas ir K2 pastato stogo remonto darbai;</w:t>
      </w:r>
    </w:p>
    <w:p w14:paraId="3BE1A305" w14:textId="77777777" w:rsidR="009E39F9" w:rsidRPr="005A4592" w:rsidRDefault="009E39F9" w:rsidP="009E39F9">
      <w:pPr>
        <w:pStyle w:val="NormalHanging12a"/>
        <w:rPr>
          <w:b/>
          <w:i/>
          <w:iCs/>
          <w:szCs w:val="24"/>
        </w:rPr>
      </w:pPr>
      <w:r w:rsidRPr="005A4592">
        <w:rPr>
          <w:b/>
          <w:i/>
        </w:rPr>
        <w:t>Aplinka ir tvarumas</w:t>
      </w:r>
    </w:p>
    <w:p w14:paraId="5A37DDC4" w14:textId="233DC374" w:rsidR="009E39F9" w:rsidRPr="005A4592" w:rsidRDefault="0066045C" w:rsidP="009E39F9">
      <w:pPr>
        <w:pStyle w:val="NormalHanging12a"/>
        <w:rPr>
          <w:szCs w:val="24"/>
        </w:rPr>
      </w:pPr>
      <w:r>
        <w:t>61</w:t>
      </w:r>
      <w:r w:rsidR="009E39F9" w:rsidRPr="005A4592">
        <w:t>.</w:t>
      </w:r>
      <w:r w:rsidR="009E39F9" w:rsidRPr="005A4592">
        <w:tab/>
        <w:t>palankiai vertina nuolatines Audito Rūmų pastangas tapti tvaria institucija; pažymi, kad 2024 m. Audito Rūmai paskelbė ketvirtąją tvarumo ataskaitą, kurioje vertinamas ekonominis, socialinis ir aplinkosauginis Audito Rūmų veiklos poveikis; su pasitenkinimu pažymi, kad 91 proc. 2024 m. paskelbtų Audito Rūmų specialiųjų ataskaitų ir apžvalgų apėmė su Jungtinių Tautų darnaus vystymosi tikslais susijusias temas; palankiai vertina tai, kad į 40 proc. Audito Rūmų viešųjų pirkimų sutarčių buvo įtraukti ekologiškos ir žiedinės ekonomikos kriterijai, o 98 proc. Audito Rūmų prekių ir paslaugų pirkimų 2024 m. sudarė pirkimai iš vietos tiekėjų;</w:t>
      </w:r>
    </w:p>
    <w:p w14:paraId="2C439813" w14:textId="13800CFD" w:rsidR="009E39F9" w:rsidRPr="005A4592" w:rsidRDefault="0066045C" w:rsidP="009E39F9">
      <w:pPr>
        <w:pStyle w:val="NormalHanging12a"/>
        <w:rPr>
          <w:szCs w:val="24"/>
        </w:rPr>
      </w:pPr>
      <w:r>
        <w:t>62</w:t>
      </w:r>
      <w:r w:rsidR="009E39F9" w:rsidRPr="005A4592">
        <w:t>.</w:t>
      </w:r>
      <w:r w:rsidR="009E39F9" w:rsidRPr="005A4592">
        <w:tab/>
        <w:t>pažymi, kad Audito Rūmai yra sertifikuoti pagal Bendrijos aplinkosaugos vadybos ir audito sistemą (EMAS) ir nuo 2014 m. taiko aplinkos politiką, ir ji buvo atnaujinta 2025 m.; pažymi, kad Audito Rūmai matuoja savo anglies dioksido pėdsaką naudodami naujausios versijos „Bilan Carbon“ metodą, kuris apima veiklos (Audito Rūmų veikla) ir organizacinį (trys pastatai Liuksemburge) lygmenis; pažymi, kad 2024 m. Audito Rūmų bendras išmetamas šiltnamio efektą sukeliančių dujų kiekis buvo 9 108 tonos CO</w:t>
      </w:r>
      <w:r w:rsidR="009E39F9" w:rsidRPr="005A4592">
        <w:rPr>
          <w:vertAlign w:val="subscript"/>
        </w:rPr>
        <w:t>2</w:t>
      </w:r>
      <w:r w:rsidR="009E39F9" w:rsidRPr="005A4592">
        <w:t>, t. y. 15 proc. mažesnis nei 2014 m., bet 1,60 proc. didesnis nei 2023 m.; pažymi, kad 2024 m. didžiausią įtaką Audito Rūmų bendram išmetamų teršalų kiekiui turėjo prekių ir paslaugų pirkimas bei keleivių vežimas, atitinkamai 31 proc. ir 29 proc.;</w:t>
      </w:r>
    </w:p>
    <w:p w14:paraId="382DCBA6" w14:textId="327F0334" w:rsidR="009E39F9" w:rsidRPr="005A4592" w:rsidRDefault="0066045C" w:rsidP="009E39F9">
      <w:pPr>
        <w:pStyle w:val="NormalHanging12a"/>
        <w:rPr>
          <w:szCs w:val="24"/>
        </w:rPr>
      </w:pPr>
      <w:r>
        <w:t>63</w:t>
      </w:r>
      <w:r w:rsidR="009E39F9" w:rsidRPr="005A4592">
        <w:t>.</w:t>
      </w:r>
      <w:r w:rsidR="009E39F9" w:rsidRPr="005A4592">
        <w:tab/>
        <w:t>su pasitenkinimu atkreipia dėmesį į Audito Rūmų aplinkosaugos ataskaitą, kurioje pateikiami 2024 m. rezultatai, įskaitant jau įgyvendintas ir planuojamas įgyvendinti priemones, kuriomis siekiama sumažinti Audito Rūmų veiklos poveikį aplinkai ir pasiekti arba viršyti metinius aplinkosaugos veiklos tikslus; pažymi, kad Audito Rūmai vertina savo aplinkosaugos veiklos rezultatus naudodami rodiklių ir pažangos kriterijų rinkinį; pažymi, kad Audito Rūmai savo 2023–2025 m. aplinkosaugos programoje yra nustatę bendrųjų ir konkrečių tikslų rinkinį ir kad dauguma tikslų dauguma buvo pasiekti 2024 m., visų pirma susiję su Audito Rūmų energijos vartojimo (elektros energija: -24 proc., šildymas: -21,80 proc.), į orą išmetamų teršalų kiekio (-30 proc.) ir vandens vartojimo (-45 proc.) mažinimu ir viešųjų pirkimų procedūrų, kuriose taikomi aplinkos kriterijai, skaičiaus didinimu (daugiau kaip 30 proc.); vis dėlto pažymi tendencijos susilpnėjimą atspausdintų puslapių skaičiaus (+9,1 proc.) ir metinio atliekų susidarymo sumažėjimo (+27,50 proc.) atžvilgiu; palankiai vertina Audito Rūmų veiksmus, kuriais siekiama kompensuoti neigiamą poveikį biologinei įvairovei; pažymi, kad Audito Rūmų teritorijoje gyvena kelios bičių šeimos, gaminančios medų, ir medų renka savanoriai darbuotojai, ir kad Audito Rūmai dalyvauja Liuksemburge vykstančiose medžių sodinimo inciatyvose ir vykdė kitą su ekologija susijusią veiklą Audito Rūmams dalyvaujant 2024 m. Sąjungos tarpinstitucinėse EMAS dienose; palankiai vertina tai, kad darbuotojų, naudojančių miesto bendro naudojimo dviračius, skaičius padidėjo nuo 172 2023 m. iki 201 2024 m.; palankiai vertina Audito Rūmų paramą mobilumui keliaujant į darbą ir atgal, pavyzdžiui, dviračiu, padengiant Liuksemburgo miesto dviračių dalijimosi sistemos abonementų išlaidas, arba viešuoju transportu, iš dalies kompensuojant tarpvalstybinių darbuotojų sezoninius bilietus, ir darbuotojų, besinaudojančių tokia kompensavimo schema, skaičius padidėjo nuo 28 2023 m. iki 30 2024 m.;</w:t>
      </w:r>
    </w:p>
    <w:p w14:paraId="4FEA625D" w14:textId="4DAAABB2" w:rsidR="009E39F9" w:rsidRPr="005A4592" w:rsidRDefault="0066045C" w:rsidP="009E39F9">
      <w:pPr>
        <w:pStyle w:val="NormalHanging12a"/>
        <w:rPr>
          <w:szCs w:val="24"/>
        </w:rPr>
      </w:pPr>
      <w:r>
        <w:t>64</w:t>
      </w:r>
      <w:r w:rsidR="009E39F9" w:rsidRPr="005A4592">
        <w:t>.</w:t>
      </w:r>
      <w:r w:rsidR="009E39F9" w:rsidRPr="005A4592">
        <w:tab/>
        <w:t>primena, kad 2023 m. Audito Rūmai pasirašė konvenciją su Liuksemburgo valdžios institucijomis dėl judumo plano parengimo; pažymi, kad, remiantis klausimyne pateiktais duomenimis, mobilumo planas buvo pateiktas pavėluotai, 2025 m. balandžio mėn., ir kad į plano analizės rezultatus bus atsižvelgta rengiant EMAS programą 2026–2028 m.;</w:t>
      </w:r>
    </w:p>
    <w:p w14:paraId="6DCC796D" w14:textId="77777777" w:rsidR="009E39F9" w:rsidRPr="005A4592" w:rsidRDefault="009E39F9" w:rsidP="009E39F9">
      <w:pPr>
        <w:pStyle w:val="NormalHanging12a"/>
        <w:rPr>
          <w:b/>
          <w:i/>
          <w:iCs/>
          <w:szCs w:val="24"/>
        </w:rPr>
      </w:pPr>
      <w:r w:rsidRPr="005A4592">
        <w:rPr>
          <w:b/>
          <w:i/>
        </w:rPr>
        <w:t>Tarpinstitucinis bendradarbiavimas</w:t>
      </w:r>
    </w:p>
    <w:p w14:paraId="585B3D29" w14:textId="2789A248" w:rsidR="009E39F9" w:rsidRPr="005A4592" w:rsidRDefault="0066045C" w:rsidP="009E39F9">
      <w:pPr>
        <w:pStyle w:val="NormalHanging12a"/>
        <w:rPr>
          <w:szCs w:val="24"/>
        </w:rPr>
      </w:pPr>
      <w:r>
        <w:t>65</w:t>
      </w:r>
      <w:r w:rsidR="009E39F9" w:rsidRPr="005A4592">
        <w:t>.</w:t>
      </w:r>
      <w:r w:rsidR="009E39F9" w:rsidRPr="005A4592">
        <w:tab/>
        <w:t xml:space="preserve">pripažįsta, kad tarpinstitucinis bendradarbiavimas didina veiksmingumą, nes naudojamos bendros priemonės ir paslaugos, taip sutaupoma lėšų ir atsiranda galimybė viduje perskirstyti personalą, užtikrinamos geresnės kainos dėl masto ekonomijos ir galima pasinaudoti kitų Sąjungos institucijų specializuotomis žiniomis; pažymi, kad 2024 m. Audito Rūmai tęsė arba išplėtė bendradarbiavimą pagal esamus ir naujus susitarimus dėl paslaugų lygio, apimant pensijų valdymą, žmogiškųjų išteklių pertvarkymą ir Sąjungos </w:t>
      </w:r>
      <w:r w:rsidR="009E39F9" w:rsidRPr="005A4592">
        <w:rPr>
          <w:i/>
          <w:iCs/>
        </w:rPr>
        <w:t>laissez-passer</w:t>
      </w:r>
      <w:r w:rsidR="009E39F9" w:rsidRPr="005A4592">
        <w:t xml:space="preserve"> išdavimą, ir, be kita ko, dalyvavo tarpinstitucinių komitetų darbe ir įgyvendinant partnerystes, pavyzdžiui, susijusias su bendromis finansinėmis sistemomis, kibernetiniu saugumu ir skaitmeninu transformacija; taip pat pažymi, kad šis bendradarbiavimas palengvino IT sprendimų mainus ir plėtojimą, todėl 2024 m. buvo sutaupyta daug biudžeto lėšų IT, misijų valdymo ir žmogiškųjų išteklių srityse, nes Audito Rūmai pasinaudojo Komisijos sukurtomis žmogiškųjų išteklių, mokymo ir e. vertimo priemonėmis, kurių kaina apie 500 000 EUR, ir Tarybos teikiamomis SAP apskaitos paslaugos, kurių kaina apie 170 000 EUR; palankiai vertina tai, kad Audito Rūmai toliau naudojasi Europos viešojo administravimo mokyklos mokymo ir sertifikavimo paslaugomis;</w:t>
      </w:r>
    </w:p>
    <w:p w14:paraId="3F4643C2" w14:textId="66237D18" w:rsidR="009E39F9" w:rsidRPr="005A4592" w:rsidRDefault="0066045C" w:rsidP="009E39F9">
      <w:pPr>
        <w:pStyle w:val="NormalHanging12a"/>
        <w:rPr>
          <w:szCs w:val="24"/>
        </w:rPr>
      </w:pPr>
      <w:r>
        <w:t>66</w:t>
      </w:r>
      <w:r w:rsidR="009E39F9" w:rsidRPr="005A4592">
        <w:t>.</w:t>
      </w:r>
      <w:r w:rsidR="009E39F9" w:rsidRPr="005A4592">
        <w:tab/>
        <w:t>dar kartą primena, kad Audito Rūmų ir Komisijos bendradarbiavimas bus tik iš dalies veiksmingas, nebent Komisija patvirtins Audito Rūmų klaidų lygių vertinimo metodiką, grindžiamą nepriklausomu ir išsamiu visų taisyklių pažeidimų įvertinimu, o Komisija tuo tarpu daugiausia dėmesio skiria klaidoms, dėl kurių lėšas galima susigrąžinti;</w:t>
      </w:r>
    </w:p>
    <w:p w14:paraId="05A2389B" w14:textId="7A82F2DB" w:rsidR="009E39F9" w:rsidRPr="005A4592" w:rsidRDefault="0066045C" w:rsidP="009E39F9">
      <w:pPr>
        <w:pStyle w:val="NormalHanging12a"/>
        <w:rPr>
          <w:szCs w:val="24"/>
        </w:rPr>
      </w:pPr>
      <w:r>
        <w:t>67</w:t>
      </w:r>
      <w:r w:rsidR="009E39F9" w:rsidRPr="005A4592">
        <w:t>.</w:t>
      </w:r>
      <w:r w:rsidR="009E39F9" w:rsidRPr="005A4592">
        <w:tab/>
        <w:t xml:space="preserve">palankiai vertina tai, kad Audito Rūmai glaudžiai bendradarbiauja su OLAF ir Europos prokuratūra, be kita ko, organizuodami praktinius seminarus ir informuotumo didinimo renginius, keisdamiesi žiniomis ir patirtimi; palankiai vertina Audito Rūmų įsipareigojimą toliau perduoti bet kokius </w:t>
      </w:r>
      <w:r w:rsidR="009E39F9" w:rsidRPr="005A4592">
        <w:rPr>
          <w:i/>
        </w:rPr>
        <w:t>prima facie</w:t>
      </w:r>
      <w:r w:rsidR="009E39F9" w:rsidRPr="005A4592">
        <w:t xml:space="preserve"> įrodymais pagrįstus įtarimus OLAF, Europos prokuratūros arba abiem institucijoms; pažymi, kad 2024 m. Audito Rūmai OLAF perdavė informaciją dėl 19 įtariamo sukčiavimo atvejų, o Europos prokuratūrai – informaciją dėl 7 tokių atvejų;</w:t>
      </w:r>
    </w:p>
    <w:p w14:paraId="3B623E98" w14:textId="0CABC667" w:rsidR="009E39F9" w:rsidRPr="005A4592" w:rsidRDefault="0066045C" w:rsidP="009E39F9">
      <w:pPr>
        <w:pStyle w:val="NormalHanging12a"/>
        <w:rPr>
          <w:szCs w:val="24"/>
        </w:rPr>
      </w:pPr>
      <w:r>
        <w:t>68</w:t>
      </w:r>
      <w:r w:rsidR="009E39F9" w:rsidRPr="005A4592">
        <w:t>.</w:t>
      </w:r>
      <w:r w:rsidR="009E39F9" w:rsidRPr="005A4592">
        <w:tab/>
        <w:t>yra įsitikinęs, kad bendra integruota duomenų gavybos ir rizikos vertinimo IT sistema galėtų būti vertingas duomenų šaltinis, kuris sudarytų sąlygas Audito Rūmams, OLAF ir Europos prokuratūrai sustiprinti savo audito ir kontrolės veiksmus; pabrėžia, kad neribota prieiga prie šios sistemos ir jos duomenų turėtų būti suteikta be jokių nepagrįstų apribojimų ir kad tokia prieiga iš karto sudarytų galimybę atliekant Audito Rūmų auditus tirti ir naudoti kitas skaitmenines priemones ir besiformuojančias technologijas;</w:t>
      </w:r>
    </w:p>
    <w:p w14:paraId="43080E1B" w14:textId="34E72739" w:rsidR="009E39F9" w:rsidRPr="005A4592" w:rsidRDefault="0066045C" w:rsidP="009E39F9">
      <w:pPr>
        <w:pStyle w:val="NormalHanging12a"/>
        <w:rPr>
          <w:bCs/>
          <w:iCs/>
          <w:szCs w:val="24"/>
        </w:rPr>
      </w:pPr>
      <w:r>
        <w:t>69</w:t>
      </w:r>
      <w:r w:rsidR="009E39F9" w:rsidRPr="005A4592">
        <w:t>.</w:t>
      </w:r>
      <w:r w:rsidR="009E39F9" w:rsidRPr="005A4592">
        <w:tab/>
        <w:t>pabrėžia svarbų Audito Rūmų vaidmenį Sąjungos kovos su sukčiavimu struktūroje; pažymi, kad Audito Rūmų audituose ir specialiosiose ataskaitose sistemingai nustatomi trūkumai, pažeidimai ir rizika, todėl Komisija, valstybės narės ir kiti kovos su sukčiavimu struktūros subjektai imasi taisomųjų ir susigrąžinimo veiksmų; pažymi, kad vykdydami šią priežiūros funkciją Audito Rūmai ne tik didina skaidrumą ir atskaitomybę, bet ir stiprina bendrus ES sistemos atgrasymo ir aptikimo pajėgumus, užtikrindami patikimą viešųjų lėšų valdymą ir apsaugą nuo sukčiavimo ir netinkamo naudojimo;</w:t>
      </w:r>
    </w:p>
    <w:p w14:paraId="27120730" w14:textId="22D88C54" w:rsidR="009E39F9" w:rsidRPr="005A4592" w:rsidRDefault="0066045C" w:rsidP="009E39F9">
      <w:pPr>
        <w:pStyle w:val="NormalHanging12a"/>
        <w:rPr>
          <w:szCs w:val="24"/>
        </w:rPr>
      </w:pPr>
      <w:r>
        <w:t>70</w:t>
      </w:r>
      <w:r w:rsidR="009E39F9" w:rsidRPr="005A4592">
        <w:t>.</w:t>
      </w:r>
      <w:r w:rsidR="009E39F9" w:rsidRPr="005A4592">
        <w:tab/>
        <w:t>palankiai vertina Audito Rūmų atvirumą kasmetiniam tarpinstituciniam dialogui tarp Audito Rūmų, Parlamento, Tarybos ir Komisijos, kaip to prašė Parlamentas savo rezoliucijose dėl biudžeto įvykdymo patvirtinimo;</w:t>
      </w:r>
    </w:p>
    <w:p w14:paraId="79AA8D0F" w14:textId="688C2517" w:rsidR="009E39F9" w:rsidRPr="005A4592" w:rsidRDefault="0066045C" w:rsidP="009E39F9">
      <w:pPr>
        <w:pStyle w:val="NormalHanging12a"/>
        <w:rPr>
          <w:szCs w:val="24"/>
        </w:rPr>
      </w:pPr>
      <w:r>
        <w:t>71</w:t>
      </w:r>
      <w:r w:rsidR="009E39F9" w:rsidRPr="005A4592">
        <w:t>.</w:t>
      </w:r>
      <w:r w:rsidR="009E39F9" w:rsidRPr="005A4592">
        <w:tab/>
        <w:t>dar kartą apgailestauja dėl to, kad, nepaisant geresnių galimybių susipažinti su Europos investicijų banko (EIB) dokumentais ir informacija, Audito Rūmams trūksta įgaliojimų atlikti operacijų, finansuojamų EIB nuosavomis lėšomis, auditą; ragina suteikti Audito Rūmams šiuos įgaliojimus, atsižvelgiant į EIB misiją siekti Sąjungos tikslų ir didėjantį jo vaidmenį Sąjungos ekonominėje ir politinėje erdvėje, kuris apima ne tik Sąjungos biudžeto naudojimą jo operacijoms garantuoti; primena, kad Audito Rūmai specialiojoje ataskaitoje Nr. 05/2023 „ES finansų aplinka. Nevienalytė struktūra, kurią reikia toliau paprastinti ir didinti jos atskaitomybę“ nurodė, kad turėtų būti nustatyti visų rūšių Sąjungos politikos finansavimo viešojo audito įgaliojimai;</w:t>
      </w:r>
    </w:p>
    <w:p w14:paraId="1EF26360" w14:textId="6377D47F" w:rsidR="009E39F9" w:rsidRPr="005A4592" w:rsidRDefault="0066045C" w:rsidP="009E39F9">
      <w:pPr>
        <w:pStyle w:val="NormalHanging12a"/>
        <w:rPr>
          <w:szCs w:val="24"/>
        </w:rPr>
      </w:pPr>
      <w:r>
        <w:t>72</w:t>
      </w:r>
      <w:r w:rsidR="009E39F9" w:rsidRPr="005A4592">
        <w:t>.</w:t>
      </w:r>
      <w:r w:rsidR="009E39F9" w:rsidRPr="005A4592">
        <w:tab/>
        <w:t>palankiai vertina, remdamasis klausimyne pateikta informacija, glaudų Audito Rūmų ir Europos duomenų apsaugos priežiūros pareigūno (EDAPP) bendradarbiavimą, visų pirma padedant Audito Rūmų duomenų apsaugos pareigūnui; pažymi, kad toks bendradarbiavimas apima Reglamento (ES) 2018/1725 konkrečių nuostatų aiškinimą, žinių dalijimosi veiklą ir kitus tarpinstitucinius mainus, taip pat veiklą DI srityje; vertina Audito Rūmų dalyvavimą EDAPP ir ENISA surengtoje pratybose „Informuotumas apie asmens duomenų saugumo pažeidimus valdant kibernetinio saugumo incidentus“, kurių tikslas – didinti darbuotojų informuotumą apie asmens duomenų saugumo pažeidimų valdymą;</w:t>
      </w:r>
    </w:p>
    <w:p w14:paraId="53DB1524" w14:textId="77777777" w:rsidR="009E39F9" w:rsidRPr="005A4592" w:rsidRDefault="009E39F9" w:rsidP="009E39F9">
      <w:pPr>
        <w:pStyle w:val="NormalHanging12a"/>
        <w:rPr>
          <w:b/>
          <w:i/>
          <w:iCs/>
          <w:szCs w:val="24"/>
        </w:rPr>
      </w:pPr>
      <w:r w:rsidRPr="005A4592">
        <w:rPr>
          <w:b/>
          <w:i/>
        </w:rPr>
        <w:t>Komunikacija</w:t>
      </w:r>
    </w:p>
    <w:p w14:paraId="16C6F9EC" w14:textId="071FF09F" w:rsidR="009E39F9" w:rsidRPr="005A4592" w:rsidRDefault="0066045C" w:rsidP="009E39F9">
      <w:pPr>
        <w:pStyle w:val="NormalHanging12a"/>
        <w:rPr>
          <w:szCs w:val="24"/>
        </w:rPr>
      </w:pPr>
      <w:r>
        <w:t>73</w:t>
      </w:r>
      <w:r w:rsidR="009E39F9" w:rsidRPr="005A4592">
        <w:t>.</w:t>
      </w:r>
      <w:r w:rsidR="009E39F9" w:rsidRPr="005A4592">
        <w:tab/>
        <w:t>pažymi, kad 2024 m. Audito Rūmų komunikacijos ir reklamos veiklai skirtas biudžetas sudarė 225 000 EUR (tiek pat, kiek ir 2023 m.), o jo panaudojimo lygis buvo 92,32 proc. (išaugo, palyginti su 81,13 proc. 2023 m.); pažymi, kad didžioji biudžeto dalis buvo panaudota žiniasklaidos stebėsenos paslaugoms (80 000 EUR) ir spaudos veiksmams (18 133,91 EUR), po to eina santykių su suinteresuotaisiais subjektais išlaidos, kurias daugiausia sudarė politikos žvalgybos platformos (62 100 EUR), komunikacijos veiklos (32 543,37 EUR), socialinės žiniasklaidos (8 604,66 EUR) ir publikacijų (6 346,47 EUR) išlaidos;</w:t>
      </w:r>
    </w:p>
    <w:p w14:paraId="6A6E7F2A" w14:textId="6F5EA720" w:rsidR="009E39F9" w:rsidRPr="005A4592" w:rsidRDefault="0066045C" w:rsidP="009E39F9">
      <w:pPr>
        <w:pStyle w:val="NormalHanging12a"/>
        <w:rPr>
          <w:szCs w:val="24"/>
        </w:rPr>
      </w:pPr>
      <w:r>
        <w:t>74</w:t>
      </w:r>
      <w:r w:rsidR="009E39F9" w:rsidRPr="005A4592">
        <w:t>.</w:t>
      </w:r>
      <w:r w:rsidR="009E39F9" w:rsidRPr="005A4592">
        <w:tab/>
        <w:t>remia plečiamą Audito Rūmų žiniasklaidos strategiją, kurią įgyvendinant 2024 m. internete paskelbtas rekordinis spaudos straipsnių apie jų audito ataskaitas ir kitus leidinius ar Audito Rūmus apskritai skaičius – daugiau nei 24 000 , ir tai patvirtina pastaraisiais metais pastebėtą tendenciją, kad žiniasklaidos susidomėjimas didėja (2023 m. – 22 000; 2022 m. – 20 000; 2021 m. – 18 000); su pasitenkinimu pažymi, kad, remiantis Audito Rūmų ataskaita, 2023 m. atidarytoje Audito Rūmų interneto svetainėje 2024 m. buvo užregistruota 780 000 apsilankymų (2023 m. – 700 000), 1 295 025 unikalių puslapių peržiūrų ir 56 440 atsisiuntimų; teigiamai vertina tai, kad iki 2024 m. pabaigos keturios Audito Rūmų pagrindinės socialinių tinklų paskyros („X“, „LinkedIn“, „Facebook“ ir „Instagram“) buvo pritraukusios daugiau nei 61 500 sekėjų, t. y. daugiau nei 2023 m. (55 000) ir 2022 m. (49 500); giria Audito Rūmus už tai, kad 2024 m. lapkričio mėn. jie pradėjo leisti pirmąjį mėnesinį naujienlaiškį „Audito Rūmų įžvalgos“ socialiniame tinkle „LinkedIn“, jame pateikiami naujausių ataskaitų svarbiausi aspektai ir būsimų auditų apžvalgos ir jo iki tų metų pabaigos abonentų skaičius viršijo 8 500;</w:t>
      </w:r>
    </w:p>
    <w:p w14:paraId="2C116372" w14:textId="1D3E6CA4" w:rsidR="009E39F9" w:rsidRPr="005A4592" w:rsidRDefault="0066045C" w:rsidP="009E39F9">
      <w:pPr>
        <w:pStyle w:val="NormalHanging12a"/>
        <w:rPr>
          <w:szCs w:val="24"/>
        </w:rPr>
      </w:pPr>
      <w:r>
        <w:t>75</w:t>
      </w:r>
      <w:r w:rsidR="009E39F9" w:rsidRPr="005A4592">
        <w:t>.</w:t>
      </w:r>
      <w:r w:rsidR="009E39F9" w:rsidRPr="005A4592">
        <w:tab/>
        <w:t>palankiai vertina tai, kad Audito Rūmai turi skaitmeniniu būdu prieinamą interneto svetainę (A++ lygis), ją du kartus per metus tikrina išorės konsultantas, siekdamas įvertinti, ar svetainė atitinka atitinkamus prieinamumo standartus, ir nustatyti kliūtis, trukdančias naudotojams su negalia ja naudotis; vertina tai, kad apskritai prieinamumo užtikrinimas įvertintas kaip labai geras, ir pažymi, kad po audito buvo pateikta keletas rekomendacijų, kaip toliau gerinti ir išlaikyti svetainės prieinamumo įvertinimą;</w:t>
      </w:r>
    </w:p>
    <w:p w14:paraId="3220E98D" w14:textId="7EDA8659" w:rsidR="009E39F9" w:rsidRPr="005A4592" w:rsidRDefault="0066045C" w:rsidP="009E39F9">
      <w:pPr>
        <w:pStyle w:val="NormalHanging12a"/>
        <w:rPr>
          <w:szCs w:val="24"/>
        </w:rPr>
      </w:pPr>
      <w:r>
        <w:t>76</w:t>
      </w:r>
      <w:r w:rsidR="009E39F9" w:rsidRPr="005A4592">
        <w:t>.</w:t>
      </w:r>
      <w:r w:rsidR="009E39F9" w:rsidRPr="005A4592">
        <w:tab/>
        <w:t>pažymi, kad Audito Rūmai 2024 m. paskelbė 44 pranešimus spaudai 24 Sąjungos kalbomis, taip pat įvairių informacinių pranešimų, kvietimų žiniasklaidai ir parengtų naudoti garso pranešimų tam tikromis kalbomis; taip pat pažymi, kad Audito Rūmai surengė 20 virtualiųjų spaudos konferencijų ir 14 papildomų metinei ataskaitai skirtų spaudos konferencijų, susijusių su konkrečiomis šalimis; pabrėžia, kad iš viso Audito Rūmų spaudos konferencijos pritraukė 876 žurnalistus, kurių dauguma atstovauja pagrindinėms nacionalinėms žiniasklaidos priemonėms ES valstybėse narėse;</w:t>
      </w:r>
    </w:p>
    <w:p w14:paraId="33AC9799" w14:textId="2060FC12" w:rsidR="009E39F9" w:rsidRPr="005A4592" w:rsidRDefault="0066045C" w:rsidP="009E39F9">
      <w:pPr>
        <w:pStyle w:val="NormalHanging12a"/>
        <w:rPr>
          <w:bCs/>
          <w:iCs/>
        </w:rPr>
      </w:pPr>
      <w:r>
        <w:t>77</w:t>
      </w:r>
      <w:r w:rsidR="009E39F9" w:rsidRPr="005A4592">
        <w:t>.</w:t>
      </w:r>
      <w:r w:rsidR="009E39F9" w:rsidRPr="005A4592">
        <w:tab/>
        <w:t>palankiai vertina Audito Rūmų specialiąją ataskaitą Nr. 11/2025 „NVO skiriamo ES finansavimo skaidrumas“; susirūpinęs atkreipia dėmesį į joje nustatytas problemas, įskaitant skaidrumo, klasifikavimo ir priežiūros trūkumus; pabrėžia, kad Audito Rūmai turi tęsti ir stiprinti stebėseną ir ataskaitų teikimą šiais klausimais, kad būtų užtikrintas visapusiškas finansinių taisyklių, skaidrumo reikalavimų ir Sąjungos pagrindinių vertybių laikymasis;</w:t>
      </w:r>
    </w:p>
    <w:p w14:paraId="7F408618" w14:textId="43B2FC35" w:rsidR="009E39F9" w:rsidRPr="005A4592" w:rsidRDefault="0066045C" w:rsidP="009E39F9">
      <w:pPr>
        <w:pStyle w:val="NormalHanging12a"/>
        <w:rPr>
          <w:bCs/>
          <w:iCs/>
          <w:szCs w:val="24"/>
        </w:rPr>
      </w:pPr>
      <w:r>
        <w:t>78</w:t>
      </w:r>
      <w:r w:rsidR="009E39F9" w:rsidRPr="005A4592">
        <w:t>.</w:t>
      </w:r>
      <w:r w:rsidR="009E39F9" w:rsidRPr="005A4592">
        <w:tab/>
        <w:t>atsižvelgdamas į tai, ragina Audito Rūmus parengti specialiąją ataskaitą dėl Sąjungos finansavimo, teikiamo Gazoje veikiančioms NVO ir organizacijoms, dalyvaujančioms rengiant Palestinos mokyklinius vadovėlius; pabrėžia, kad toks tikrinimas yra labai svarbus siekiant užtikrinti, kad Sąjungos lėšos nebūtų tiesiogiai ar netiesiogiai nukreiptos teroristinėms organizacijoms ar su jomis susijusiems subjektams ir nebūtų naudojamos taip, kad būtų skatinama neapykanta, radikalėjimas ar smurto kurstymas, ir užtikrinti, kad būtų visapusiškai laikomasi Sąjungos finansinių taisyklių, skaidrumo standartų ir pagrindinių Sąjungos vertybių;</w:t>
      </w:r>
    </w:p>
    <w:p w14:paraId="69654BCA" w14:textId="44824389" w:rsidR="009E39F9" w:rsidRPr="005A4592" w:rsidRDefault="0066045C" w:rsidP="009E39F9">
      <w:pPr>
        <w:pStyle w:val="NormalHanging12a"/>
        <w:rPr>
          <w:szCs w:val="24"/>
        </w:rPr>
      </w:pPr>
      <w:r>
        <w:t>79</w:t>
      </w:r>
      <w:r w:rsidR="009E39F9" w:rsidRPr="005A4592">
        <w:t>.</w:t>
      </w:r>
      <w:r w:rsidR="009E39F9" w:rsidRPr="005A4592">
        <w:tab/>
        <w:t>teigiamai vertina tai, kad siekdami didinti visuomenės įsitraukimą, nuo 2024 m. Audito Rūmai suteikia piliečiams galimybę prisidėti prie jų darbo programos, teikiant audito pasiūlymus per Audito Rūmų interneto svetainę;</w:t>
      </w:r>
    </w:p>
    <w:p w14:paraId="0CB636B7" w14:textId="5F95B141" w:rsidR="00E365E1" w:rsidRPr="005A4592" w:rsidRDefault="0066045C" w:rsidP="00AC7CD4">
      <w:pPr>
        <w:pStyle w:val="NormalHanging12a"/>
      </w:pPr>
      <w:r>
        <w:t>80</w:t>
      </w:r>
      <w:r w:rsidR="009E39F9" w:rsidRPr="005A4592">
        <w:t>.</w:t>
      </w:r>
      <w:r w:rsidR="009E39F9" w:rsidRPr="005A4592">
        <w:tab/>
        <w:t>džiaugiasi tuo, kad Audito Rūmai tikėtiną savo darbo poveikį ir naudingumą vertina pagal tai, kaip jį suvokia jų ataskaitų skaitytojai Parlamente, Taryboje, Komisijoje, Sąjungos agentūrose, valstybių narių nuolatinėse atstovybėse, valstybių narių agentūrose ir aukščiausiojoje audito institucijose, nevyriausybinėse organizacijose, akademinėse bendruomenėse, žiniasklaidoje ir kt.; atsižvelgdamas į tai pažymi, kad nuo 2018 m. Audito Rūmai atlieka anonimines elektronines apklausas, kuriose prašo skaitytojų pateikti kokybinių atsiliepimų apie atrinktas ataskaitas ir bendrų pasiūlymų dėl jų darbo; pabrėžia, kad 2024 m. 89 proc. respondentų manė, kad Audito Rūmų ataskaitos naudingos jų darbui, o 82 proc. manė, kad jos turėjo poveikį; su pasitenkinimu pažymi, kad 2024 m. Audito Rūmai 578 kartus pristatė savo darbo rezultatus įvairiems suinteresuotiesiems subjektams (pvz., Parlamentui, Tarybai, nacionaliniams parlamentams), t. y. pristatymų padaugėjo, palyginti su 456 kartais 2023 m. ir 437 kartais 2022 m.</w:t>
      </w:r>
    </w:p>
    <w:sectPr w:rsidR="00E365E1" w:rsidRPr="005A4592" w:rsidSect="005A4592">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F4B49E" w14:textId="77777777" w:rsidR="00025454" w:rsidRPr="005A4592" w:rsidRDefault="00025454">
      <w:r w:rsidRPr="005A4592">
        <w:separator/>
      </w:r>
    </w:p>
  </w:endnote>
  <w:endnote w:type="continuationSeparator" w:id="0">
    <w:p w14:paraId="6791E50E" w14:textId="77777777" w:rsidR="00025454" w:rsidRPr="005A4592" w:rsidRDefault="00025454">
      <w:r w:rsidRPr="005A459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2F03A" w14:textId="77777777" w:rsidR="009E39F9" w:rsidRPr="005A4592" w:rsidRDefault="009E39F9" w:rsidP="0025762B">
    <w:pPr>
      <w:pStyle w:val="EPFooter"/>
    </w:pPr>
    <w:r w:rsidRPr="005A4592">
      <w:t>PE</w:t>
    </w:r>
    <w:r w:rsidRPr="005A4592">
      <w:rPr>
        <w:rStyle w:val="HideTWBExt"/>
      </w:rPr>
      <w:t>&lt;NoPE&gt;</w:t>
    </w:r>
    <w:r w:rsidRPr="005A4592">
      <w:t>778.062</w:t>
    </w:r>
    <w:r w:rsidRPr="005A4592">
      <w:rPr>
        <w:rStyle w:val="HideTWBExt"/>
      </w:rPr>
      <w:t>&lt;/NoPE&gt;&lt;Version&gt;</w:t>
    </w:r>
    <w:r w:rsidRPr="005A4592">
      <w:t>v03-00</w:t>
    </w:r>
    <w:r w:rsidRPr="005A4592">
      <w:rPr>
        <w:rStyle w:val="HideTWBExt"/>
      </w:rPr>
      <w:t>&lt;/Version&gt;</w:t>
    </w:r>
    <w:r w:rsidRPr="005A4592">
      <w:tab/>
    </w:r>
    <w:r w:rsidRPr="005A4592">
      <w:fldChar w:fldCharType="begin"/>
    </w:r>
    <w:r w:rsidRPr="005A4592">
      <w:instrText xml:space="preserve"> PAGE  \* MERGEFORMAT </w:instrText>
    </w:r>
    <w:r w:rsidRPr="005A4592">
      <w:fldChar w:fldCharType="separate"/>
    </w:r>
    <w:r w:rsidRPr="005A4592">
      <w:rPr>
        <w:noProof/>
      </w:rPr>
      <w:t>2</w:t>
    </w:r>
    <w:r w:rsidRPr="005A4592">
      <w:fldChar w:fldCharType="end"/>
    </w:r>
    <w:r w:rsidRPr="005A4592">
      <w:t>/</w:t>
    </w:r>
    <w:fldSimple w:instr=" NUMPAGES  \* MERGEFORMAT ">
      <w:r w:rsidRPr="005A4592">
        <w:rPr>
          <w:noProof/>
        </w:rPr>
        <w:t>27</w:t>
      </w:r>
    </w:fldSimple>
    <w:r w:rsidRPr="005A4592">
      <w:tab/>
    </w:r>
    <w:r w:rsidRPr="005A4592">
      <w:rPr>
        <w:rStyle w:val="HideTWBExt"/>
      </w:rPr>
      <w:t>&lt;PathFdR&gt;</w:t>
    </w:r>
    <w:r w:rsidRPr="005A4592">
      <w:t>RR\1340133LT.docx</w:t>
    </w:r>
    <w:r w:rsidRPr="005A4592">
      <w:rPr>
        <w:rStyle w:val="HideTWBExt"/>
      </w:rPr>
      <w:t>&lt;/PathFdR&gt;</w:t>
    </w:r>
  </w:p>
  <w:p w14:paraId="06B6C627" w14:textId="77777777" w:rsidR="009E39F9" w:rsidRPr="005A4592" w:rsidRDefault="009E39F9" w:rsidP="0025762B">
    <w:pPr>
      <w:pStyle w:val="EPFooter2"/>
    </w:pPr>
    <w:r w:rsidRPr="005A4592">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ABBFD" w14:textId="77777777" w:rsidR="009E39F9" w:rsidRPr="005A4592" w:rsidRDefault="009E39F9" w:rsidP="0025762B">
    <w:pPr>
      <w:pStyle w:val="EPFooter"/>
    </w:pPr>
    <w:r w:rsidRPr="005A4592">
      <w:rPr>
        <w:rStyle w:val="HideTWBExt"/>
      </w:rPr>
      <w:t>&lt;PathFdR&gt;</w:t>
    </w:r>
    <w:r w:rsidRPr="005A4592">
      <w:t>RR\1340133LT.docx</w:t>
    </w:r>
    <w:r w:rsidRPr="005A4592">
      <w:rPr>
        <w:rStyle w:val="HideTWBExt"/>
      </w:rPr>
      <w:t>&lt;/PathFdR&gt;</w:t>
    </w:r>
    <w:r w:rsidRPr="005A4592">
      <w:tab/>
    </w:r>
    <w:r w:rsidRPr="005A4592">
      <w:tab/>
      <w:t>PE</w:t>
    </w:r>
    <w:r w:rsidRPr="005A4592">
      <w:rPr>
        <w:rStyle w:val="HideTWBExt"/>
      </w:rPr>
      <w:t>&lt;NoPE&gt;</w:t>
    </w:r>
    <w:r w:rsidRPr="005A4592">
      <w:t>778.062</w:t>
    </w:r>
    <w:r w:rsidRPr="005A4592">
      <w:rPr>
        <w:rStyle w:val="HideTWBExt"/>
      </w:rPr>
      <w:t>&lt;/NoPE&gt;&lt;Version&gt;</w:t>
    </w:r>
    <w:r w:rsidRPr="005A4592">
      <w:t>v03-00</w:t>
    </w:r>
    <w:r w:rsidRPr="005A4592">
      <w:rPr>
        <w:rStyle w:val="HideTWBExt"/>
      </w:rPr>
      <w:t>&lt;/Version&gt;</w:t>
    </w:r>
  </w:p>
  <w:p w14:paraId="4D1A8EA2" w14:textId="77777777" w:rsidR="009E39F9" w:rsidRPr="005A4592" w:rsidRDefault="009E39F9" w:rsidP="0025762B">
    <w:pPr>
      <w:pStyle w:val="EPFooter2"/>
    </w:pPr>
    <w:r w:rsidRPr="005A4592">
      <w:t>LT</w:t>
    </w:r>
    <w:r w:rsidRPr="005A4592">
      <w:tab/>
    </w:r>
    <w:r w:rsidRPr="005A4592">
      <w:rPr>
        <w:b w:val="0"/>
        <w:i/>
        <w:color w:val="C0C0C0"/>
        <w:sz w:val="22"/>
      </w:rPr>
      <w:t>Suvienijusi įvairovę</w:t>
    </w:r>
    <w:r w:rsidRPr="005A4592">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CFA1D" w14:textId="77777777" w:rsidR="00064002" w:rsidRPr="005A4592"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3D72A" w14:textId="77777777" w:rsidR="00064002" w:rsidRPr="005A4592"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6F975" w14:textId="77777777" w:rsidR="00064002" w:rsidRPr="005A459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4CF57E" w14:textId="77777777" w:rsidR="00025454" w:rsidRPr="005A4592" w:rsidRDefault="00025454">
      <w:r w:rsidRPr="005A4592">
        <w:separator/>
      </w:r>
    </w:p>
  </w:footnote>
  <w:footnote w:type="continuationSeparator" w:id="0">
    <w:p w14:paraId="214B0C48" w14:textId="77777777" w:rsidR="00025454" w:rsidRPr="005A4592" w:rsidRDefault="00025454">
      <w:r w:rsidRPr="005A4592">
        <w:continuationSeparator/>
      </w:r>
    </w:p>
  </w:footnote>
  <w:footnote w:id="1">
    <w:p w14:paraId="0DE89819" w14:textId="7C5C1BC5" w:rsidR="009E39F9" w:rsidRPr="005A4592" w:rsidRDefault="009E39F9" w:rsidP="005A4592">
      <w:pPr>
        <w:pStyle w:val="FootnoteText"/>
        <w:ind w:left="567" w:hanging="567"/>
        <w:rPr>
          <w:sz w:val="24"/>
          <w:lang w:val="lt-LT"/>
        </w:rPr>
      </w:pPr>
      <w:r w:rsidRPr="005A4592">
        <w:rPr>
          <w:rStyle w:val="FootnoteReference"/>
          <w:sz w:val="24"/>
          <w:lang w:val="lt-LT"/>
        </w:rPr>
        <w:footnoteRef/>
      </w:r>
      <w:r w:rsidR="005A4592" w:rsidRPr="005A4592">
        <w:rPr>
          <w:sz w:val="24"/>
          <w:lang w:val="lt-LT"/>
        </w:rPr>
        <w:t xml:space="preserve"> </w:t>
      </w:r>
      <w:r w:rsidR="005A4592" w:rsidRPr="005A4592">
        <w:rPr>
          <w:sz w:val="24"/>
          <w:lang w:val="lt-LT"/>
        </w:rPr>
        <w:tab/>
      </w:r>
      <w:r w:rsidRPr="005A4592">
        <w:rPr>
          <w:sz w:val="24"/>
          <w:lang w:val="lt-LT"/>
        </w:rPr>
        <w:t>OL L</w:t>
      </w:r>
      <w:r w:rsidR="001B384F">
        <w:rPr>
          <w:sz w:val="24"/>
          <w:lang w:val="lt-LT"/>
        </w:rPr>
        <w:t>,</w:t>
      </w:r>
      <w:r w:rsidRPr="005A4592">
        <w:rPr>
          <w:sz w:val="24"/>
          <w:lang w:val="lt-LT"/>
        </w:rPr>
        <w:t> </w:t>
      </w:r>
      <w:r w:rsidR="002D2D34">
        <w:rPr>
          <w:sz w:val="24"/>
          <w:lang w:val="lt-LT"/>
        </w:rPr>
        <w:t>2</w:t>
      </w:r>
      <w:r w:rsidR="00012D54">
        <w:rPr>
          <w:sz w:val="24"/>
          <w:lang w:val="lt-LT"/>
        </w:rPr>
        <w:t>024/</w:t>
      </w:r>
      <w:r w:rsidRPr="005A4592">
        <w:rPr>
          <w:sz w:val="24"/>
          <w:lang w:val="lt-LT"/>
        </w:rPr>
        <w:t xml:space="preserve">207, 2024 2 22, ELI: </w:t>
      </w:r>
      <w:hyperlink r:id="rId1" w:history="1">
        <w:r w:rsidRPr="005A4592">
          <w:rPr>
            <w:rStyle w:val="Hyperlink"/>
            <w:sz w:val="24"/>
            <w:lang w:val="lt-LT"/>
          </w:rPr>
          <w:t>http://data.europa.eu/eli/budget/2024/207/oj</w:t>
        </w:r>
      </w:hyperlink>
      <w:r w:rsidRPr="005A4592">
        <w:rPr>
          <w:sz w:val="24"/>
          <w:lang w:val="lt-LT"/>
        </w:rPr>
        <w:t>.</w:t>
      </w:r>
    </w:p>
  </w:footnote>
  <w:footnote w:id="2">
    <w:p w14:paraId="2F1FBE31" w14:textId="017D25A6" w:rsidR="009E39F9" w:rsidRPr="005A4592" w:rsidRDefault="009E39F9" w:rsidP="005A4592">
      <w:pPr>
        <w:pStyle w:val="FootnoteText"/>
        <w:ind w:left="567" w:hanging="567"/>
        <w:rPr>
          <w:sz w:val="24"/>
          <w:lang w:val="lt-LT"/>
        </w:rPr>
      </w:pPr>
      <w:r w:rsidRPr="005A4592">
        <w:rPr>
          <w:rStyle w:val="FootnoteReference"/>
          <w:sz w:val="24"/>
          <w:lang w:val="lt-LT"/>
        </w:rPr>
        <w:footnoteRef/>
      </w:r>
      <w:r w:rsidR="005A4592" w:rsidRPr="005A4592">
        <w:rPr>
          <w:sz w:val="24"/>
          <w:lang w:val="lt-LT"/>
        </w:rPr>
        <w:t xml:space="preserve"> </w:t>
      </w:r>
      <w:r w:rsidR="005A4592" w:rsidRPr="005A4592">
        <w:rPr>
          <w:sz w:val="24"/>
          <w:lang w:val="lt-LT"/>
        </w:rPr>
        <w:tab/>
      </w:r>
      <w:r w:rsidRPr="005A4592">
        <w:rPr>
          <w:sz w:val="24"/>
          <w:lang w:val="lt-LT"/>
        </w:rPr>
        <w:t xml:space="preserve">OL C, C/2025/4944, 2025 10 13, ELI: </w:t>
      </w:r>
      <w:hyperlink r:id="rId2" w:history="1">
        <w:r w:rsidRPr="005A4592">
          <w:rPr>
            <w:rStyle w:val="Hyperlink"/>
            <w:sz w:val="24"/>
            <w:lang w:val="lt-LT"/>
          </w:rPr>
          <w:t>http://data.europa.eu/eli/C/2025/4944/oj</w:t>
        </w:r>
      </w:hyperlink>
      <w:r w:rsidRPr="005A4592">
        <w:rPr>
          <w:sz w:val="24"/>
          <w:lang w:val="lt-LT"/>
        </w:rPr>
        <w:t>.</w:t>
      </w:r>
    </w:p>
  </w:footnote>
  <w:footnote w:id="3">
    <w:p w14:paraId="6FD01FBC" w14:textId="3861055F" w:rsidR="009E39F9" w:rsidRPr="005A4592" w:rsidRDefault="009E39F9" w:rsidP="005A4592">
      <w:pPr>
        <w:pStyle w:val="FootnoteText"/>
        <w:ind w:left="567" w:hanging="567"/>
        <w:rPr>
          <w:sz w:val="24"/>
          <w:lang w:val="lt-LT"/>
        </w:rPr>
      </w:pPr>
      <w:r w:rsidRPr="005A4592">
        <w:rPr>
          <w:rStyle w:val="FootnoteReference"/>
          <w:sz w:val="24"/>
          <w:lang w:val="lt-LT"/>
        </w:rPr>
        <w:footnoteRef/>
      </w:r>
      <w:r w:rsidR="005A4592" w:rsidRPr="005A4592">
        <w:rPr>
          <w:sz w:val="24"/>
          <w:lang w:val="lt-LT"/>
        </w:rPr>
        <w:t xml:space="preserve"> </w:t>
      </w:r>
      <w:r w:rsidR="005A4592" w:rsidRPr="005A4592">
        <w:rPr>
          <w:sz w:val="24"/>
          <w:lang w:val="lt-LT"/>
        </w:rPr>
        <w:tab/>
      </w:r>
      <w:r w:rsidRPr="005A4592">
        <w:rPr>
          <w:sz w:val="24"/>
          <w:lang w:val="lt-LT"/>
        </w:rPr>
        <w:t xml:space="preserve">OL C, C/2025/5409, 2025 10 8, ELI: </w:t>
      </w:r>
      <w:hyperlink r:id="rId3" w:history="1">
        <w:r w:rsidRPr="005A4592">
          <w:rPr>
            <w:rStyle w:val="Hyperlink"/>
            <w:sz w:val="24"/>
            <w:lang w:val="lt-LT"/>
          </w:rPr>
          <w:t>http://data.europa.eu/eli/C/2025/5409/oj</w:t>
        </w:r>
      </w:hyperlink>
      <w:r w:rsidRPr="005A4592">
        <w:rPr>
          <w:sz w:val="24"/>
          <w:lang w:val="lt-LT"/>
        </w:rPr>
        <w:t>.</w:t>
      </w:r>
    </w:p>
  </w:footnote>
  <w:footnote w:id="4">
    <w:p w14:paraId="1E5E6982" w14:textId="1683D6DB" w:rsidR="009E39F9" w:rsidRPr="005A4592" w:rsidRDefault="009E39F9" w:rsidP="005A4592">
      <w:pPr>
        <w:pStyle w:val="FootnoteText"/>
        <w:ind w:left="567" w:hanging="567"/>
        <w:rPr>
          <w:sz w:val="24"/>
          <w:lang w:val="lt-LT"/>
        </w:rPr>
      </w:pPr>
      <w:r w:rsidRPr="005A4592">
        <w:rPr>
          <w:rStyle w:val="FootnoteReference"/>
          <w:sz w:val="24"/>
          <w:lang w:val="lt-LT"/>
        </w:rPr>
        <w:footnoteRef/>
      </w:r>
      <w:r w:rsidR="005A4592" w:rsidRPr="005A4592">
        <w:rPr>
          <w:sz w:val="24"/>
          <w:lang w:val="lt-LT"/>
        </w:rPr>
        <w:t xml:space="preserve"> </w:t>
      </w:r>
      <w:r w:rsidR="005A4592" w:rsidRPr="005A4592">
        <w:rPr>
          <w:sz w:val="24"/>
          <w:lang w:val="lt-LT"/>
        </w:rPr>
        <w:tab/>
      </w:r>
      <w:r w:rsidRPr="005A4592">
        <w:rPr>
          <w:sz w:val="24"/>
          <w:lang w:val="lt-LT"/>
        </w:rPr>
        <w:t xml:space="preserve">OL C, C/2025/5407, 2025 10 13, ELI: </w:t>
      </w:r>
      <w:hyperlink r:id="rId4" w:history="1">
        <w:r w:rsidRPr="005A4592">
          <w:rPr>
            <w:rStyle w:val="Hyperlink"/>
            <w:sz w:val="24"/>
            <w:lang w:val="lt-LT"/>
          </w:rPr>
          <w:t>http://data.europa.eu/eli/C/2025/5407/oj</w:t>
        </w:r>
      </w:hyperlink>
      <w:r w:rsidRPr="005A4592">
        <w:rPr>
          <w:sz w:val="24"/>
          <w:lang w:val="lt-LT"/>
        </w:rPr>
        <w:t>.</w:t>
      </w:r>
    </w:p>
  </w:footnote>
  <w:footnote w:id="5">
    <w:p w14:paraId="27025D98" w14:textId="6B9F61DE" w:rsidR="009E39F9" w:rsidRPr="005A4592" w:rsidRDefault="009E39F9" w:rsidP="005A4592">
      <w:pPr>
        <w:pStyle w:val="FootnoteText"/>
        <w:ind w:left="567" w:hanging="567"/>
        <w:rPr>
          <w:sz w:val="24"/>
          <w:lang w:val="lt-LT"/>
        </w:rPr>
      </w:pPr>
      <w:r w:rsidRPr="005A4592">
        <w:rPr>
          <w:rStyle w:val="FootnoteReference"/>
          <w:sz w:val="24"/>
          <w:lang w:val="lt-LT"/>
        </w:rPr>
        <w:footnoteRef/>
      </w:r>
      <w:r w:rsidR="005A4592" w:rsidRPr="005A4592">
        <w:rPr>
          <w:sz w:val="24"/>
          <w:lang w:val="lt-LT"/>
        </w:rPr>
        <w:t xml:space="preserve"> </w:t>
      </w:r>
      <w:r w:rsidR="005A4592" w:rsidRPr="005A4592">
        <w:rPr>
          <w:sz w:val="24"/>
          <w:lang w:val="lt-LT"/>
        </w:rPr>
        <w:tab/>
      </w:r>
      <w:r w:rsidRPr="005A4592">
        <w:rPr>
          <w:sz w:val="24"/>
          <w:lang w:val="lt-LT"/>
        </w:rPr>
        <w:t xml:space="preserve">OL L 193, 2018 7 30, p. 1, ELI: </w:t>
      </w:r>
      <w:hyperlink r:id="rId5" w:history="1">
        <w:r w:rsidRPr="005A4592">
          <w:rPr>
            <w:rStyle w:val="Hyperlink"/>
            <w:sz w:val="24"/>
            <w:lang w:val="lt-LT"/>
          </w:rPr>
          <w:t>http://data.europa.eu/eli/reg/2018/1046/oj</w:t>
        </w:r>
      </w:hyperlink>
      <w:r w:rsidRPr="005A4592">
        <w:rPr>
          <w:sz w:val="24"/>
          <w:lang w:val="lt-LT"/>
        </w:rPr>
        <w:t>.</w:t>
      </w:r>
    </w:p>
  </w:footnote>
  <w:footnote w:id="6">
    <w:p w14:paraId="20CD60FE" w14:textId="5F144523" w:rsidR="009E39F9" w:rsidRPr="005A4592" w:rsidRDefault="009E39F9" w:rsidP="005A4592">
      <w:pPr>
        <w:pStyle w:val="FootnoteText"/>
        <w:ind w:left="567" w:hanging="567"/>
        <w:rPr>
          <w:sz w:val="24"/>
          <w:lang w:val="lt-LT"/>
        </w:rPr>
      </w:pPr>
      <w:r w:rsidRPr="005A4592">
        <w:rPr>
          <w:rStyle w:val="FootnoteReference"/>
          <w:sz w:val="24"/>
          <w:lang w:val="lt-LT"/>
        </w:rPr>
        <w:footnoteRef/>
      </w:r>
      <w:r w:rsidR="005A4592" w:rsidRPr="005A4592">
        <w:rPr>
          <w:sz w:val="24"/>
          <w:lang w:val="lt-LT"/>
        </w:rPr>
        <w:t xml:space="preserve"> </w:t>
      </w:r>
      <w:r w:rsidR="005A4592" w:rsidRPr="005A4592">
        <w:rPr>
          <w:sz w:val="24"/>
          <w:lang w:val="lt-LT"/>
        </w:rPr>
        <w:tab/>
      </w:r>
      <w:r w:rsidRPr="005A4592">
        <w:rPr>
          <w:sz w:val="24"/>
          <w:lang w:val="lt-LT"/>
        </w:rPr>
        <w:t xml:space="preserve">OL L, 2024/2509, 2024 9 26, ELI: </w:t>
      </w:r>
      <w:hyperlink r:id="rId6" w:history="1">
        <w:r w:rsidRPr="005A4592">
          <w:rPr>
            <w:rStyle w:val="Hyperlink"/>
            <w:sz w:val="24"/>
            <w:lang w:val="lt-LT"/>
          </w:rPr>
          <w:t>http://data.europa.eu/eli/reg/2024/2509/oj</w:t>
        </w:r>
      </w:hyperlink>
      <w:r w:rsidRPr="005A4592">
        <w:rPr>
          <w:sz w:val="24"/>
          <w:lang w:val="lt-LT"/>
        </w:rPr>
        <w:t>.</w:t>
      </w:r>
    </w:p>
  </w:footnote>
  <w:footnote w:id="7">
    <w:p w14:paraId="020EC2C6" w14:textId="604A5AA2" w:rsidR="009E39F9" w:rsidRPr="005A4592" w:rsidRDefault="009E39F9" w:rsidP="005A4592">
      <w:pPr>
        <w:pStyle w:val="FootnoteText"/>
        <w:ind w:left="567" w:hanging="567"/>
        <w:rPr>
          <w:sz w:val="24"/>
          <w:lang w:val="lt-LT"/>
        </w:rPr>
      </w:pPr>
      <w:r w:rsidRPr="005A4592">
        <w:rPr>
          <w:rStyle w:val="FootnoteReference"/>
          <w:sz w:val="24"/>
          <w:lang w:val="lt-LT"/>
        </w:rPr>
        <w:footnoteRef/>
      </w:r>
      <w:r w:rsidR="005A4592" w:rsidRPr="005A4592">
        <w:rPr>
          <w:sz w:val="24"/>
          <w:lang w:val="lt-LT"/>
        </w:rPr>
        <w:t xml:space="preserve"> </w:t>
      </w:r>
      <w:r w:rsidR="005A4592" w:rsidRPr="005A4592">
        <w:rPr>
          <w:sz w:val="24"/>
          <w:lang w:val="lt-LT"/>
        </w:rPr>
        <w:tab/>
      </w:r>
      <w:r w:rsidRPr="005A4592">
        <w:rPr>
          <w:sz w:val="24"/>
          <w:lang w:val="lt-LT"/>
        </w:rPr>
        <w:t>2023 m. gruodžio 13 d. Europos Parlamento ir Tarybos reglamentas (ES, Euratomas) 2023/2841, kuriuo nustatomos priemonės aukštam bendram kibernetinio saugumo lygiui Sąjungos institucijose, įstaigose, organuose ir agentūrose užtikrinti (OL L, 2023/2841, 2023 12 18, ELI: </w:t>
      </w:r>
      <w:hyperlink r:id="rId7" w:tgtFrame="_blank" w:tooltip="Prieiga prie šio dokumento suteikiama per ELI sistemoje jam suteiktą URI." w:history="1">
        <w:r w:rsidRPr="005A4592">
          <w:rPr>
            <w:rStyle w:val="Hyperlink"/>
            <w:sz w:val="24"/>
            <w:lang w:val="lt-LT"/>
          </w:rPr>
          <w:t>http://data.europa.eu/eli/reg/2023/2841/oj</w:t>
        </w:r>
      </w:hyperlink>
      <w:r w:rsidRPr="005A4592">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7D0B6" w14:textId="77777777" w:rsidR="00064002" w:rsidRPr="005A459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7133C" w14:textId="77777777" w:rsidR="00064002" w:rsidRPr="005A459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CEA91" w14:textId="77777777" w:rsidR="00064002" w:rsidRPr="005A459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51322676">
    <w:abstractNumId w:val="9"/>
  </w:num>
  <w:num w:numId="2" w16cid:durableId="1628856731">
    <w:abstractNumId w:val="9"/>
  </w:num>
  <w:num w:numId="3" w16cid:durableId="558323786">
    <w:abstractNumId w:val="7"/>
  </w:num>
  <w:num w:numId="4" w16cid:durableId="880097797">
    <w:abstractNumId w:val="7"/>
  </w:num>
  <w:num w:numId="5" w16cid:durableId="1918519590">
    <w:abstractNumId w:val="6"/>
  </w:num>
  <w:num w:numId="6" w16cid:durableId="2050952293">
    <w:abstractNumId w:val="6"/>
  </w:num>
  <w:num w:numId="7" w16cid:durableId="50809258">
    <w:abstractNumId w:val="5"/>
  </w:num>
  <w:num w:numId="8" w16cid:durableId="1145463465">
    <w:abstractNumId w:val="5"/>
  </w:num>
  <w:num w:numId="9" w16cid:durableId="120922596">
    <w:abstractNumId w:val="4"/>
  </w:num>
  <w:num w:numId="10" w16cid:durableId="1916549698">
    <w:abstractNumId w:val="4"/>
  </w:num>
  <w:num w:numId="11" w16cid:durableId="1007948195">
    <w:abstractNumId w:val="8"/>
  </w:num>
  <w:num w:numId="12" w16cid:durableId="1971012123">
    <w:abstractNumId w:val="8"/>
  </w:num>
  <w:num w:numId="13" w16cid:durableId="234556252">
    <w:abstractNumId w:val="3"/>
  </w:num>
  <w:num w:numId="14" w16cid:durableId="1026829893">
    <w:abstractNumId w:val="3"/>
  </w:num>
  <w:num w:numId="15" w16cid:durableId="1787239630">
    <w:abstractNumId w:val="2"/>
  </w:num>
  <w:num w:numId="16" w16cid:durableId="1694304685">
    <w:abstractNumId w:val="2"/>
  </w:num>
  <w:num w:numId="17" w16cid:durableId="721640903">
    <w:abstractNumId w:val="1"/>
  </w:num>
  <w:num w:numId="18" w16cid:durableId="855971694">
    <w:abstractNumId w:val="1"/>
  </w:num>
  <w:num w:numId="19" w16cid:durableId="1846552224">
    <w:abstractNumId w:val="0"/>
  </w:num>
  <w:num w:numId="20" w16cid:durableId="1102722688">
    <w:abstractNumId w:val="0"/>
  </w:num>
  <w:num w:numId="21" w16cid:durableId="140080858">
    <w:abstractNumId w:val="9"/>
  </w:num>
  <w:num w:numId="22" w16cid:durableId="903295427">
    <w:abstractNumId w:val="7"/>
  </w:num>
  <w:num w:numId="23" w16cid:durableId="712657568">
    <w:abstractNumId w:val="6"/>
  </w:num>
  <w:num w:numId="24" w16cid:durableId="1283997634">
    <w:abstractNumId w:val="5"/>
  </w:num>
  <w:num w:numId="25" w16cid:durableId="1337339451">
    <w:abstractNumId w:val="4"/>
  </w:num>
  <w:num w:numId="26" w16cid:durableId="1286304458">
    <w:abstractNumId w:val="8"/>
  </w:num>
  <w:num w:numId="27" w16cid:durableId="90705842">
    <w:abstractNumId w:val="3"/>
  </w:num>
  <w:num w:numId="28" w16cid:durableId="2013601295">
    <w:abstractNumId w:val="2"/>
  </w:num>
  <w:num w:numId="29" w16cid:durableId="667758625">
    <w:abstractNumId w:val="1"/>
  </w:num>
  <w:num w:numId="30" w16cid:durableId="1199666715">
    <w:abstractNumId w:val="0"/>
  </w:num>
  <w:num w:numId="31" w16cid:durableId="1566331320">
    <w:abstractNumId w:val="9"/>
  </w:num>
  <w:num w:numId="32" w16cid:durableId="1558856171">
    <w:abstractNumId w:val="7"/>
  </w:num>
  <w:num w:numId="33" w16cid:durableId="1352336493">
    <w:abstractNumId w:val="6"/>
  </w:num>
  <w:num w:numId="34" w16cid:durableId="339429604">
    <w:abstractNumId w:val="5"/>
  </w:num>
  <w:num w:numId="35" w16cid:durableId="804466445">
    <w:abstractNumId w:val="4"/>
  </w:num>
  <w:num w:numId="36" w16cid:durableId="1047879323">
    <w:abstractNumId w:val="8"/>
  </w:num>
  <w:num w:numId="37" w16cid:durableId="617301144">
    <w:abstractNumId w:val="3"/>
  </w:num>
  <w:num w:numId="38" w16cid:durableId="1987204323">
    <w:abstractNumId w:val="2"/>
  </w:num>
  <w:num w:numId="39" w16cid:durableId="493879780">
    <w:abstractNumId w:val="1"/>
  </w:num>
  <w:num w:numId="40" w16cid:durableId="902565713">
    <w:abstractNumId w:val="0"/>
  </w:num>
  <w:num w:numId="41" w16cid:durableId="1983660155">
    <w:abstractNumId w:val="10"/>
  </w:num>
  <w:num w:numId="42" w16cid:durableId="1055079623">
    <w:abstractNumId w:val="10"/>
  </w:num>
  <w:num w:numId="43" w16cid:durableId="2107647578">
    <w:abstractNumId w:val="10"/>
  </w:num>
  <w:num w:numId="44" w16cid:durableId="13763447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2/2026"/>
    <w:docVar w:name="dvlangue" w:val="LT"/>
    <w:docVar w:name="dvnumam" w:val="0"/>
    <w:docVar w:name="dvpe" w:val="778.062"/>
    <w:docVar w:name="dvrapporteur" w:val="Pranešėjas: "/>
    <w:docVar w:name="dvtitre" w:val="2026 m. balandzio 29 d. Europos Parlamento rezoliucija dėl 2024 finansinių metų Europos Sąjungos bendrojo biudžeto įvykdymo patvirtinimo, V skirsnis – Audito Rūmai(2025/2149(DEC))"/>
  </w:docVars>
  <w:rsids>
    <w:rsidRoot w:val="00025454"/>
    <w:rsid w:val="00002272"/>
    <w:rsid w:val="00012D54"/>
    <w:rsid w:val="00025454"/>
    <w:rsid w:val="00064002"/>
    <w:rsid w:val="000677B9"/>
    <w:rsid w:val="000831BA"/>
    <w:rsid w:val="000A42CC"/>
    <w:rsid w:val="000E7DD9"/>
    <w:rsid w:val="0010095E"/>
    <w:rsid w:val="00125B37"/>
    <w:rsid w:val="00187494"/>
    <w:rsid w:val="001B384F"/>
    <w:rsid w:val="001F32AE"/>
    <w:rsid w:val="002767FF"/>
    <w:rsid w:val="002B18FE"/>
    <w:rsid w:val="002B5493"/>
    <w:rsid w:val="002D2D34"/>
    <w:rsid w:val="002D3085"/>
    <w:rsid w:val="003409C2"/>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465B8"/>
    <w:rsid w:val="00560270"/>
    <w:rsid w:val="005A4592"/>
    <w:rsid w:val="005C2568"/>
    <w:rsid w:val="005F1B17"/>
    <w:rsid w:val="006037C0"/>
    <w:rsid w:val="0066045C"/>
    <w:rsid w:val="006631B6"/>
    <w:rsid w:val="00680577"/>
    <w:rsid w:val="006A4FFB"/>
    <w:rsid w:val="006F74FA"/>
    <w:rsid w:val="007312B1"/>
    <w:rsid w:val="00731ADD"/>
    <w:rsid w:val="00734777"/>
    <w:rsid w:val="00747932"/>
    <w:rsid w:val="00751A4A"/>
    <w:rsid w:val="00756632"/>
    <w:rsid w:val="00762C74"/>
    <w:rsid w:val="00786EC0"/>
    <w:rsid w:val="007934FB"/>
    <w:rsid w:val="007D1690"/>
    <w:rsid w:val="007E22AD"/>
    <w:rsid w:val="007E734F"/>
    <w:rsid w:val="00817416"/>
    <w:rsid w:val="00842779"/>
    <w:rsid w:val="00865F67"/>
    <w:rsid w:val="00881A7B"/>
    <w:rsid w:val="008840E5"/>
    <w:rsid w:val="00887B3E"/>
    <w:rsid w:val="008C2AC6"/>
    <w:rsid w:val="00930C23"/>
    <w:rsid w:val="0093193B"/>
    <w:rsid w:val="009509D8"/>
    <w:rsid w:val="00950B64"/>
    <w:rsid w:val="00981893"/>
    <w:rsid w:val="009821EE"/>
    <w:rsid w:val="009E39F9"/>
    <w:rsid w:val="00A1687D"/>
    <w:rsid w:val="00A43E52"/>
    <w:rsid w:val="00A4678D"/>
    <w:rsid w:val="00A778C7"/>
    <w:rsid w:val="00AB441E"/>
    <w:rsid w:val="00AB6293"/>
    <w:rsid w:val="00AC7CD4"/>
    <w:rsid w:val="00AE0928"/>
    <w:rsid w:val="00AF3B82"/>
    <w:rsid w:val="00B12E95"/>
    <w:rsid w:val="00B22876"/>
    <w:rsid w:val="00B25A14"/>
    <w:rsid w:val="00B558F0"/>
    <w:rsid w:val="00BD48FE"/>
    <w:rsid w:val="00BD7BD8"/>
    <w:rsid w:val="00BE6ADC"/>
    <w:rsid w:val="00C05BFE"/>
    <w:rsid w:val="00C22D9D"/>
    <w:rsid w:val="00C23CD4"/>
    <w:rsid w:val="00C61C0C"/>
    <w:rsid w:val="00C941CB"/>
    <w:rsid w:val="00CC2357"/>
    <w:rsid w:val="00CF071A"/>
    <w:rsid w:val="00D058B8"/>
    <w:rsid w:val="00D56C11"/>
    <w:rsid w:val="00D834A0"/>
    <w:rsid w:val="00D872DF"/>
    <w:rsid w:val="00D91E21"/>
    <w:rsid w:val="00DA7FCD"/>
    <w:rsid w:val="00DC087A"/>
    <w:rsid w:val="00E02AA7"/>
    <w:rsid w:val="00E365E1"/>
    <w:rsid w:val="00E820A4"/>
    <w:rsid w:val="00E910AE"/>
    <w:rsid w:val="00EB006A"/>
    <w:rsid w:val="00EB4772"/>
    <w:rsid w:val="00EC75B9"/>
    <w:rsid w:val="00ED169E"/>
    <w:rsid w:val="00ED4235"/>
    <w:rsid w:val="00F04346"/>
    <w:rsid w:val="00F075DC"/>
    <w:rsid w:val="00F149E9"/>
    <w:rsid w:val="00F5134D"/>
    <w:rsid w:val="00F73F47"/>
    <w:rsid w:val="00F74202"/>
    <w:rsid w:val="00F74827"/>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084ABB"/>
  <w15:chartTrackingRefBased/>
  <w15:docId w15:val="{A863B7FB-2203-49BD-9982-64AAB6ED4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E39F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E39F9"/>
    <w:pPr>
      <w:spacing w:before="480" w:after="240"/>
    </w:pPr>
  </w:style>
  <w:style w:type="paragraph" w:customStyle="1" w:styleId="PageHeading">
    <w:name w:val="PageHeading"/>
    <w:basedOn w:val="Normal"/>
    <w:rsid w:val="009E39F9"/>
    <w:pPr>
      <w:keepNext/>
      <w:spacing w:after="480"/>
      <w:jc w:val="center"/>
    </w:pPr>
    <w:rPr>
      <w:rFonts w:ascii="Arial" w:hAnsi="Arial" w:cs="Arial"/>
      <w:b/>
    </w:rPr>
  </w:style>
  <w:style w:type="paragraph" w:customStyle="1" w:styleId="NormalBold">
    <w:name w:val="NormalBold"/>
    <w:basedOn w:val="Normal"/>
    <w:rsid w:val="009E39F9"/>
    <w:rPr>
      <w:b/>
    </w:rPr>
  </w:style>
  <w:style w:type="paragraph" w:customStyle="1" w:styleId="NormalHanging12a">
    <w:name w:val="NormalHanging12a"/>
    <w:basedOn w:val="Normal"/>
    <w:link w:val="NormalHanging12aChar"/>
    <w:qFormat/>
    <w:rsid w:val="009E39F9"/>
    <w:pPr>
      <w:spacing w:after="240"/>
      <w:ind w:left="567" w:hanging="567"/>
    </w:pPr>
  </w:style>
  <w:style w:type="paragraph" w:styleId="Header">
    <w:name w:val="header"/>
    <w:basedOn w:val="Normal"/>
    <w:link w:val="HeaderChar"/>
    <w:rsid w:val="009E39F9"/>
    <w:pPr>
      <w:tabs>
        <w:tab w:val="center" w:pos="4513"/>
        <w:tab w:val="right" w:pos="9026"/>
      </w:tabs>
    </w:pPr>
  </w:style>
  <w:style w:type="character" w:customStyle="1" w:styleId="HeaderChar">
    <w:name w:val="Header Char"/>
    <w:basedOn w:val="DefaultParagraphFont"/>
    <w:link w:val="Header"/>
    <w:rsid w:val="009E39F9"/>
    <w:rPr>
      <w:sz w:val="24"/>
      <w:lang w:val="lt-LT"/>
    </w:rPr>
  </w:style>
  <w:style w:type="paragraph" w:customStyle="1" w:styleId="EPFooter">
    <w:name w:val="EPFooter"/>
    <w:basedOn w:val="Normal"/>
    <w:rsid w:val="009E39F9"/>
    <w:pPr>
      <w:tabs>
        <w:tab w:val="center" w:pos="4535"/>
        <w:tab w:val="right" w:pos="9071"/>
      </w:tabs>
      <w:spacing w:before="240" w:after="240"/>
    </w:pPr>
    <w:rPr>
      <w:color w:val="010000"/>
      <w:sz w:val="22"/>
    </w:rPr>
  </w:style>
  <w:style w:type="character" w:styleId="Hyperlink">
    <w:name w:val="Hyperlink"/>
    <w:basedOn w:val="DefaultParagraphFont"/>
    <w:rsid w:val="009E39F9"/>
    <w:rPr>
      <w:color w:val="0563C1" w:themeColor="hyperlink"/>
      <w:u w:val="single"/>
    </w:rPr>
  </w:style>
  <w:style w:type="character" w:customStyle="1" w:styleId="NormalHanging12aChar">
    <w:name w:val="NormalHanging12a Char"/>
    <w:basedOn w:val="DefaultParagraphFont"/>
    <w:link w:val="NormalHanging12a"/>
    <w:locked/>
    <w:rsid w:val="009E39F9"/>
    <w:rPr>
      <w:sz w:val="24"/>
      <w:lang w:val="lt-LT"/>
    </w:rPr>
  </w:style>
  <w:style w:type="paragraph" w:styleId="Revision">
    <w:name w:val="Revision"/>
    <w:hidden/>
    <w:uiPriority w:val="99"/>
    <w:semiHidden/>
    <w:rsid w:val="007E734F"/>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409/oj" TargetMode="External"/><Relationship Id="rId7" Type="http://schemas.openxmlformats.org/officeDocument/2006/relationships/hyperlink" Target="http://data.europa.eu/eli/reg/2023/2841/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7990</Words>
  <Characters>52914</Characters>
  <Application>Microsoft Office Word</Application>
  <DocSecurity>0</DocSecurity>
  <Lines>440</Lines>
  <Paragraphs>121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Silvija Skeivyte</dc:creator>
  <cp:keywords/>
  <cp:lastModifiedBy>SKEIVYTE Silvija</cp:lastModifiedBy>
  <cp:revision>2</cp:revision>
  <cp:lastPrinted>2004-11-19T15:42:00Z</cp:lastPrinted>
  <dcterms:created xsi:type="dcterms:W3CDTF">2026-05-07T09:38:00Z</dcterms:created>
  <dcterms:modified xsi:type="dcterms:W3CDTF">2026-05-07T09:38:00Z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P10_TA(2026)0129_</vt:lpwstr>
  </property>
  <property fmtid="{D5CDD505-2E9C-101B-9397-08002B2CF9AE}" pid="4" name="&lt;Type&gt;">
    <vt:lpwstr>RR</vt:lpwstr>
  </property>
</Properties>
</file>