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1CE1" w14:paraId="43B409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A332FA" w14:textId="77777777" w:rsidR="00751A4A" w:rsidRPr="00B71CE1" w:rsidRDefault="00B14A1E" w:rsidP="0010095E">
            <w:pPr>
              <w:pStyle w:val="EPName"/>
            </w:pPr>
            <w:r w:rsidRPr="00B71CE1">
              <w:t>Parlament Europejski</w:t>
            </w:r>
          </w:p>
          <w:p w14:paraId="56E7927C" w14:textId="77777777" w:rsidR="00751A4A" w:rsidRPr="00B71C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1CE1">
              <w:t>2024</w:t>
            </w:r>
            <w:r w:rsidR="00817416" w:rsidRPr="00B71CE1">
              <w:t>-202</w:t>
            </w:r>
            <w:r w:rsidRPr="00B71CE1">
              <w:t>9</w:t>
            </w:r>
          </w:p>
        </w:tc>
        <w:tc>
          <w:tcPr>
            <w:tcW w:w="2268" w:type="dxa"/>
            <w:shd w:val="clear" w:color="auto" w:fill="auto"/>
          </w:tcPr>
          <w:p w14:paraId="0CEB8E05" w14:textId="77777777" w:rsidR="00751A4A" w:rsidRPr="00B71CE1" w:rsidRDefault="00187494" w:rsidP="0010095E">
            <w:pPr>
              <w:pStyle w:val="EPLogo"/>
            </w:pPr>
            <w:r w:rsidRPr="00B71CE1">
              <w:rPr>
                <w:noProof/>
                <w:lang w:eastAsia="ja-JP"/>
              </w:rPr>
              <w:drawing>
                <wp:inline distT="0" distB="0" distL="0" distR="0" wp14:anchorId="2E6FB36E" wp14:editId="0E4343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3B345" w14:textId="77777777" w:rsidR="00D058B8" w:rsidRPr="00B71CE1" w:rsidRDefault="00D058B8" w:rsidP="004C5D52">
      <w:pPr>
        <w:pStyle w:val="LineTop"/>
      </w:pPr>
    </w:p>
    <w:p w14:paraId="76614936" w14:textId="77777777" w:rsidR="00680577" w:rsidRPr="00B71CE1" w:rsidRDefault="00B14A1E" w:rsidP="00680577">
      <w:pPr>
        <w:pStyle w:val="EPBodyTA1"/>
      </w:pPr>
      <w:r w:rsidRPr="00B71CE1">
        <w:t>TEKSTY PRZYJĘTE</w:t>
      </w:r>
    </w:p>
    <w:p w14:paraId="0D42933B" w14:textId="77777777" w:rsidR="00D058B8" w:rsidRPr="00B71CE1" w:rsidRDefault="00D058B8" w:rsidP="00D058B8">
      <w:pPr>
        <w:pStyle w:val="LineBottom"/>
      </w:pPr>
    </w:p>
    <w:p w14:paraId="4E170697" w14:textId="2A7B3466" w:rsidR="00B14A1E" w:rsidRPr="00B71CE1" w:rsidRDefault="00B14A1E" w:rsidP="00B14A1E">
      <w:pPr>
        <w:pStyle w:val="ATHeading1"/>
      </w:pPr>
      <w:bookmarkStart w:id="0" w:name="TANumber"/>
      <w:r w:rsidRPr="00B71CE1">
        <w:t>P10_TA(2026)0</w:t>
      </w:r>
      <w:bookmarkEnd w:id="0"/>
      <w:r w:rsidR="00D24641">
        <w:t>129</w:t>
      </w:r>
    </w:p>
    <w:p w14:paraId="6464A59F" w14:textId="77777777" w:rsidR="00B14A1E" w:rsidRPr="00B71CE1" w:rsidRDefault="00B14A1E" w:rsidP="00B14A1E">
      <w:pPr>
        <w:pStyle w:val="ATHeading2"/>
      </w:pPr>
      <w:bookmarkStart w:id="1" w:name="title"/>
      <w:r w:rsidRPr="00B71CE1">
        <w:t>Absolutorium za rok 2024: budżet ogólny UE – Trybunał Obrachunkowy</w:t>
      </w:r>
      <w:bookmarkEnd w:id="1"/>
    </w:p>
    <w:p w14:paraId="0432ABA4" w14:textId="77777777" w:rsidR="00B14A1E" w:rsidRPr="00B71CE1" w:rsidRDefault="00B14A1E" w:rsidP="00B14A1E">
      <w:pPr>
        <w:rPr>
          <w:i/>
          <w:vanish/>
        </w:rPr>
      </w:pPr>
      <w:r w:rsidRPr="00B71CE1">
        <w:rPr>
          <w:i/>
        </w:rPr>
        <w:fldChar w:fldCharType="begin"/>
      </w:r>
      <w:r w:rsidRPr="00B71CE1">
        <w:rPr>
          <w:i/>
        </w:rPr>
        <w:instrText xml:space="preserve"> TC"(</w:instrText>
      </w:r>
      <w:bookmarkStart w:id="2" w:name="DocNumber"/>
      <w:r w:rsidRPr="00B71CE1">
        <w:rPr>
          <w:i/>
        </w:rPr>
        <w:instrText>A10-0052/2026</w:instrText>
      </w:r>
      <w:bookmarkEnd w:id="2"/>
      <w:r w:rsidRPr="00B71CE1">
        <w:rPr>
          <w:i/>
        </w:rPr>
        <w:instrText xml:space="preserve"> - Sprawozdawca: </w:instrText>
      </w:r>
      <w:proofErr w:type="spellStart"/>
      <w:r w:rsidRPr="00B71CE1">
        <w:rPr>
          <w:i/>
        </w:rPr>
        <w:instrText>Pasquale</w:instrText>
      </w:r>
      <w:proofErr w:type="spellEnd"/>
      <w:r w:rsidRPr="00B71CE1">
        <w:rPr>
          <w:i/>
        </w:rPr>
        <w:instrText xml:space="preserve"> </w:instrText>
      </w:r>
      <w:proofErr w:type="spellStart"/>
      <w:r w:rsidRPr="00B71CE1">
        <w:rPr>
          <w:i/>
        </w:rPr>
        <w:instrText>Tridico</w:instrText>
      </w:r>
      <w:proofErr w:type="spellEnd"/>
      <w:r w:rsidRPr="00B71CE1">
        <w:rPr>
          <w:i/>
        </w:rPr>
        <w:instrText xml:space="preserve">)"\l3 \n&gt; \* MERGEFORMAT </w:instrText>
      </w:r>
      <w:r w:rsidRPr="00B71CE1">
        <w:rPr>
          <w:i/>
        </w:rPr>
        <w:fldChar w:fldCharType="end"/>
      </w:r>
    </w:p>
    <w:p w14:paraId="26EF751E" w14:textId="77777777" w:rsidR="00B14A1E" w:rsidRPr="00B71CE1" w:rsidRDefault="00B14A1E" w:rsidP="00B14A1E">
      <w:pPr>
        <w:rPr>
          <w:vanish/>
        </w:rPr>
      </w:pPr>
      <w:bookmarkStart w:id="3" w:name="Commission"/>
      <w:r w:rsidRPr="00B71CE1">
        <w:rPr>
          <w:vanish/>
        </w:rPr>
        <w:t>Komisja Kontroli Budżetowej</w:t>
      </w:r>
      <w:bookmarkEnd w:id="3"/>
    </w:p>
    <w:p w14:paraId="4B6CBEC3" w14:textId="77777777" w:rsidR="00B14A1E" w:rsidRPr="00B71CE1" w:rsidRDefault="00B14A1E" w:rsidP="00B14A1E">
      <w:pPr>
        <w:rPr>
          <w:vanish/>
        </w:rPr>
      </w:pPr>
      <w:bookmarkStart w:id="4" w:name="PE"/>
      <w:r w:rsidRPr="00B71CE1">
        <w:rPr>
          <w:vanish/>
        </w:rPr>
        <w:t>PE778.062</w:t>
      </w:r>
      <w:bookmarkEnd w:id="4"/>
    </w:p>
    <w:p w14:paraId="25DF27E4" w14:textId="5B203E83" w:rsidR="00B14A1E" w:rsidRPr="00B71CE1" w:rsidRDefault="00D276F8" w:rsidP="00B14A1E">
      <w:pPr>
        <w:pStyle w:val="ATHeading3"/>
      </w:pPr>
      <w:bookmarkStart w:id="5" w:name="Sujet"/>
      <w:r>
        <w:t xml:space="preserve">1. </w:t>
      </w:r>
      <w:r w:rsidR="00B14A1E" w:rsidRPr="00B71CE1">
        <w:t xml:space="preserve">Decyzja Parlamentu Europejskiego z dnia </w:t>
      </w:r>
      <w:r w:rsidR="00C9421B">
        <w:t>29 kwietnia</w:t>
      </w:r>
      <w:r w:rsidR="00B14A1E" w:rsidRPr="00B71CE1">
        <w:t xml:space="preserve"> 2026 r. w sprawie absolutorium z wykonania budżetu ogólnego Unii Europejskiej za rok budżetowy 2024, sekcja V – Trybunał Obrachunkowy</w:t>
      </w:r>
      <w:bookmarkEnd w:id="5"/>
      <w:r w:rsidR="00B14A1E" w:rsidRPr="00B71CE1">
        <w:t xml:space="preserve"> </w:t>
      </w:r>
      <w:bookmarkStart w:id="6" w:name="References"/>
      <w:r w:rsidR="00B14A1E" w:rsidRPr="00B71CE1">
        <w:t>(2025/2149(DEC))</w:t>
      </w:r>
      <w:bookmarkEnd w:id="6"/>
    </w:p>
    <w:p w14:paraId="0A094AEA" w14:textId="77777777" w:rsidR="00CB39BB" w:rsidRPr="00B71CE1" w:rsidRDefault="00CB39BB" w:rsidP="00CB39BB">
      <w:pPr>
        <w:pStyle w:val="EPComma"/>
      </w:pPr>
      <w:bookmarkStart w:id="7" w:name="TextBodyBegin"/>
      <w:bookmarkEnd w:id="7"/>
      <w:r w:rsidRPr="00B71CE1">
        <w:rPr>
          <w:i/>
        </w:rPr>
        <w:t>Parlament Europejski</w:t>
      </w:r>
      <w:r w:rsidRPr="00B71CE1">
        <w:t>,</w:t>
      </w:r>
    </w:p>
    <w:p w14:paraId="218BB074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budżet ogólny Unii Europejskiej na rok budżetowy 2024</w:t>
      </w:r>
      <w:r w:rsidRPr="00B71CE1">
        <w:rPr>
          <w:rStyle w:val="FootnoteReference"/>
        </w:rPr>
        <w:footnoteReference w:id="1"/>
      </w:r>
      <w:r w:rsidRPr="00B71CE1">
        <w:t>,</w:t>
      </w:r>
    </w:p>
    <w:p w14:paraId="06FD0386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skonsolidowane roczne sprawozdanie finansowe Unii Europejskiej za rok budżetowy 2024 (COM(2025)0359 – C10</w:t>
      </w:r>
      <w:r w:rsidRPr="00B71CE1">
        <w:noBreakHyphen/>
        <w:t>0149/2025)</w:t>
      </w:r>
      <w:r w:rsidRPr="00B71CE1">
        <w:rPr>
          <w:rStyle w:val="FootnoteReference"/>
        </w:rPr>
        <w:footnoteReference w:id="2"/>
      </w:r>
      <w:r w:rsidRPr="00B71CE1">
        <w:t>,</w:t>
      </w:r>
    </w:p>
    <w:p w14:paraId="337CD3B1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sprawozdanie roczne Trybunału Obrachunkowego dla organu udzielającego absolutorium w sprawie audytów wewnętrznych przeprowadzonych w 2024 r.,</w:t>
      </w:r>
    </w:p>
    <w:p w14:paraId="56D206FD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sprawozdanie roczne Trybunału Obrachunkowego dotyczące wykonania budżetu za rok budżetowy 2024 wraz z odpowiedziami instytucji</w:t>
      </w:r>
      <w:r w:rsidRPr="00B71CE1">
        <w:rPr>
          <w:rStyle w:val="FootnoteReference"/>
        </w:rPr>
        <w:footnoteReference w:id="3"/>
      </w:r>
      <w:r w:rsidRPr="00B71CE1">
        <w:t>,</w:t>
      </w:r>
    </w:p>
    <w:p w14:paraId="52630202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poświadczenie wiarygodności</w:t>
      </w:r>
      <w:r w:rsidRPr="00B71CE1">
        <w:rPr>
          <w:rStyle w:val="FootnoteReference"/>
        </w:rPr>
        <w:footnoteReference w:id="4"/>
      </w:r>
      <w:r w:rsidRPr="00B71CE1">
        <w:t xml:space="preserve"> rachunków, jak również legalności i prawidłowości operacji leżących u ich podstaw przedłożone przez Trybunał Obrachunkowy za rok budżetowy 2024 zgodnie z art. 287 Traktatu o funkcjonowaniu Unii Europejskiej,</w:t>
      </w:r>
    </w:p>
    <w:p w14:paraId="3B50E85C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art. 314 ust. 10 oraz art. 317, 318 i 319 Traktatu o funkcjonowaniu Unii Europejskiej,</w:t>
      </w:r>
    </w:p>
    <w:p w14:paraId="29EEDEE6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 xml:space="preserve">uwzględniając rozporządzenie Parlamentu Europejskiego i Rady (UE, </w:t>
      </w:r>
      <w:proofErr w:type="spellStart"/>
      <w:r w:rsidRPr="00B71CE1">
        <w:t>Euratom</w:t>
      </w:r>
      <w:proofErr w:type="spellEnd"/>
      <w:r w:rsidRPr="00B71CE1">
        <w:t xml:space="preserve">) 2018/1046 z dnia 18 lipca 2018 r. w sprawie zasad finansowych mających zastosowanie do budżetu ogólnego Unii, zmieniające rozporządzenia (UE) nr 1296/2013, (UE) nr 1301/2013, (UE) nr 1303/2013, (UE) nr 1304/2013, (UE) nr 1309/2013, (UE) </w:t>
      </w:r>
      <w:r w:rsidRPr="00B71CE1">
        <w:lastRenderedPageBreak/>
        <w:t>nr 1316/</w:t>
      </w:r>
      <w:proofErr w:type="gramStart"/>
      <w:r w:rsidRPr="00B71CE1">
        <w:t>2013,</w:t>
      </w:r>
      <w:proofErr w:type="gramEnd"/>
      <w:r w:rsidRPr="00B71CE1">
        <w:t xml:space="preserve"> (UE) nr 223/2014 i (UE) nr 283/2014 oraz decyzję nr 541/2014/UE, a także uchylające rozporządzenie (UE, </w:t>
      </w:r>
      <w:proofErr w:type="spellStart"/>
      <w:r w:rsidRPr="00B71CE1">
        <w:t>Euratom</w:t>
      </w:r>
      <w:proofErr w:type="spellEnd"/>
      <w:r w:rsidRPr="00B71CE1">
        <w:t>) nr 966/2012</w:t>
      </w:r>
      <w:r w:rsidRPr="00B71CE1">
        <w:rPr>
          <w:rStyle w:val="FootnoteReference"/>
        </w:rPr>
        <w:footnoteReference w:id="5"/>
      </w:r>
      <w:r w:rsidRPr="00B71CE1">
        <w:t>, w szczególności jego art. 59, 118, 260, 261 i 262,</w:t>
      </w:r>
    </w:p>
    <w:p w14:paraId="4BE9F05A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 xml:space="preserve">uwzględniając rozporządzenie Parlamentu Europejskiego i Rady (UE, </w:t>
      </w:r>
      <w:proofErr w:type="spellStart"/>
      <w:r w:rsidRPr="00B71CE1">
        <w:t>Euratom</w:t>
      </w:r>
      <w:proofErr w:type="spellEnd"/>
      <w:r w:rsidRPr="00B71CE1">
        <w:t>) 2024/2509 z dnia 23 września 2024 r. w sprawie zasad finansowych mających zastosowanie do budżetu ogólnego Unii</w:t>
      </w:r>
      <w:r w:rsidRPr="00B71CE1">
        <w:rPr>
          <w:rStyle w:val="FootnoteReference"/>
        </w:rPr>
        <w:footnoteReference w:id="6"/>
      </w:r>
      <w:r w:rsidRPr="00B71CE1">
        <w:t>, w szczególności jego art. 59, 118, 266, 267 i 268,</w:t>
      </w:r>
    </w:p>
    <w:p w14:paraId="68B67B85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art. 102 Regulaminu i załącznik V do Regulaminu,</w:t>
      </w:r>
    </w:p>
    <w:p w14:paraId="3BAD7A74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sprawozdanie Komisji Kontroli Budżetowej (A10-0052/2026),</w:t>
      </w:r>
    </w:p>
    <w:p w14:paraId="093F8584" w14:textId="77777777" w:rsidR="00CB39BB" w:rsidRPr="00B71CE1" w:rsidRDefault="00CB39BB" w:rsidP="00CB39BB">
      <w:pPr>
        <w:pStyle w:val="NormalHanging12a"/>
      </w:pPr>
      <w:r w:rsidRPr="00B71CE1">
        <w:t>1.</w:t>
      </w:r>
      <w:r w:rsidRPr="00B71CE1">
        <w:tab/>
        <w:t>udziela sekretarzowi generalnemu Trybunału Obrachunkowego absolutorium z wykonania budżetu Trybunału Obrachunkowego za rok budżetowy 2024;</w:t>
      </w:r>
    </w:p>
    <w:p w14:paraId="64F1D678" w14:textId="77777777" w:rsidR="00CB39BB" w:rsidRPr="00B71CE1" w:rsidRDefault="00CB39BB" w:rsidP="00CB39BB">
      <w:pPr>
        <w:pStyle w:val="NormalHanging12a"/>
      </w:pPr>
      <w:r w:rsidRPr="00B71CE1">
        <w:t>2.</w:t>
      </w:r>
      <w:r w:rsidRPr="00B71CE1">
        <w:tab/>
        <w:t>przedstawia swoje uwagi w poniższej rezolucji;</w:t>
      </w:r>
    </w:p>
    <w:p w14:paraId="2CBD984E" w14:textId="77777777" w:rsidR="00CB39BB" w:rsidRPr="00B71CE1" w:rsidRDefault="00CB39BB" w:rsidP="00CB39BB">
      <w:pPr>
        <w:pStyle w:val="NormalHanging12a"/>
      </w:pPr>
      <w:r w:rsidRPr="00B71CE1">
        <w:t>3.</w:t>
      </w:r>
      <w:r w:rsidRPr="00B71CE1">
        <w:tab/>
        <w:t xml:space="preserve">zobowiązuje swoją przewodniczącą do przekazania niniejszej decyzji wraz z rezolucją, która stanowi jej integralną część, Radzie, Komisji i Trybunałowi Obrachunkowemu oraz do zarządzenia jej publikacji w </w:t>
      </w:r>
      <w:r w:rsidRPr="00B71CE1">
        <w:rPr>
          <w:i/>
        </w:rPr>
        <w:t>Dzienniku Urzędowym Unii Europejskiej</w:t>
      </w:r>
      <w:r w:rsidRPr="00B71CE1">
        <w:t xml:space="preserve"> (seria L).</w:t>
      </w:r>
    </w:p>
    <w:p w14:paraId="0088B298" w14:textId="77777777" w:rsidR="00CB39BB" w:rsidRPr="00B71CE1" w:rsidRDefault="00CB39BB" w:rsidP="00CB39BB"/>
    <w:p w14:paraId="173824EC" w14:textId="77777777" w:rsidR="00CB39BB" w:rsidRPr="00B71CE1" w:rsidRDefault="00CB39BB" w:rsidP="00CB39BB">
      <w:pPr>
        <w:pStyle w:val="PageHeading"/>
        <w:sectPr w:rsidR="00CB39BB" w:rsidRPr="00B71CE1" w:rsidSect="00B71C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2D5A25" w14:textId="0572BDB3" w:rsidR="00D276F8" w:rsidRDefault="00D276F8" w:rsidP="00D276F8">
      <w:pPr>
        <w:pStyle w:val="ATHeading3"/>
      </w:pPr>
      <w:r>
        <w:lastRenderedPageBreak/>
        <w:t>2. Rezolucja Parlamentu Europejskiego z dnia 29 kwietnia 2026 r. zawierając</w:t>
      </w:r>
      <w:r w:rsidR="00DD5EFC">
        <w:t>a</w:t>
      </w:r>
      <w:r>
        <w:t xml:space="preserve"> uwagi stanowiące integralną część decyzji w sprawie absolutorium z wykonania budżetu ogólnego Unii Europejskiej za rok budżetowy 2024, sekcja V – Trybunał Obrachunkowy (2025/2149(DEC))</w:t>
      </w:r>
    </w:p>
    <w:p w14:paraId="7E477667" w14:textId="77777777" w:rsidR="00CB39BB" w:rsidRPr="00B71CE1" w:rsidRDefault="00CB39BB" w:rsidP="00CB39BB">
      <w:pPr>
        <w:pStyle w:val="EPComma"/>
      </w:pPr>
      <w:r w:rsidRPr="00B71CE1">
        <w:rPr>
          <w:i/>
        </w:rPr>
        <w:t>Parlament Europejski</w:t>
      </w:r>
      <w:r w:rsidRPr="00B71CE1">
        <w:t>,</w:t>
      </w:r>
    </w:p>
    <w:p w14:paraId="169650B2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swoją decyzję w sprawie absolutorium z wykonania budżetu ogólnego Unii Europejskiej za rok budżetowy 2024, sekcja V – Trybunał Obrachunkowy,</w:t>
      </w:r>
    </w:p>
    <w:p w14:paraId="1FA27922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art. 102 Regulaminu i załącznik V do Regulaminu,</w:t>
      </w:r>
    </w:p>
    <w:p w14:paraId="370DD73B" w14:textId="77777777" w:rsidR="00CB39BB" w:rsidRPr="00B71CE1" w:rsidRDefault="00CB39BB" w:rsidP="00CB39BB">
      <w:pPr>
        <w:pStyle w:val="NormalHanging12a"/>
      </w:pPr>
      <w:r w:rsidRPr="00B71CE1">
        <w:t>–</w:t>
      </w:r>
      <w:r w:rsidRPr="00B71CE1">
        <w:tab/>
        <w:t>uwzględniając sprawozdanie Komisji Kontroli Budżetowej (A10-0052/2026),</w:t>
      </w:r>
    </w:p>
    <w:p w14:paraId="2906D005" w14:textId="77777777" w:rsidR="00CB39BB" w:rsidRPr="00B71CE1" w:rsidRDefault="00CB39BB" w:rsidP="00CB39BB">
      <w:pPr>
        <w:pStyle w:val="NormalHanging12a"/>
        <w:ind w:left="570"/>
        <w:rPr>
          <w:szCs w:val="24"/>
        </w:rPr>
      </w:pPr>
      <w:r w:rsidRPr="00B71CE1">
        <w:t>A.</w:t>
      </w:r>
      <w:r w:rsidRPr="00B71CE1">
        <w:tab/>
        <w:t>mając na uwadze, że w ramach procedury udzielania absolutorium organ udzielający absolutorium pragnie podkreślić szczególne znaczenie dalszego wzmacniania legitymacji demokratycznej instytucji Unii dzięki zwiększaniu przejrzystości i rozliczalności oraz wdrażaniu koncepcji budżetowania celowego i właściwego zarządzania zasobami ludzkimi;</w:t>
      </w:r>
    </w:p>
    <w:p w14:paraId="056724A4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B.</w:t>
      </w:r>
      <w:r w:rsidRPr="00B71CE1">
        <w:tab/>
        <w:t>mając na uwadze, że Trybunał Obrachunkowy („Trybunał”) jest zewnętrznym kontrolerem Unii, któremu powierzono ocenę – w drodze niezależnego, profesjonalnego i skutecznego audytu – gospodarności, skuteczności, wydajności, legalności i prawidłowości działań Unii w celu poprawy rozliczalności, przejrzystości i zarządzania finansami, co powinno przyczynić się do zwiększenia zaufania obywateli oraz skutecznego reagowania na obecne i przyszłe wyzwania stojące przed Unią;</w:t>
      </w:r>
    </w:p>
    <w:p w14:paraId="60F54C5E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C.</w:t>
      </w:r>
      <w:r w:rsidRPr="00B71CE1">
        <w:tab/>
        <w:t>mając na uwadze, że z zastrzeżeniem art. 287 i 319 Traktatu o funkcjonowaniu Unii Europejskiej (TFUE) od zamknięcia roku budżetowego 1987 rachunki dochodów i wydatków Trybunału są corocznie kontrolowane przez niezależnego audytora zewnętrznego, a od sprawozdania za rok budżetowy 1992 sprawozdania audytora zewnętrznego są publikowane w </w:t>
      </w:r>
      <w:r w:rsidRPr="00B71CE1">
        <w:rPr>
          <w:i/>
        </w:rPr>
        <w:t>Dzienniku Urzędowym Unii Europejskiej</w:t>
      </w:r>
      <w:r w:rsidRPr="00B71CE1">
        <w:t>;</w:t>
      </w:r>
    </w:p>
    <w:p w14:paraId="3D7F931B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D.</w:t>
      </w:r>
      <w:r w:rsidRPr="00B71CE1">
        <w:tab/>
        <w:t>mając na uwadze, że roczne sprawozdanie z działalności sekretarza generalnego Trybunału, którego celem, zgodnie z art. 74 ust. 9 rozporządzenia finansowego, jest dostarczenie informacji na temat zarządzania zasobami, w tym systemami, oraz na temat wydajności i skuteczności systemów kontroli wewnętrznej Trybunału, zapewnia rozliczalność kierownictwa wobec władz budżetowych;</w:t>
      </w:r>
    </w:p>
    <w:p w14:paraId="623B4E4B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E.</w:t>
      </w:r>
      <w:r w:rsidRPr="00B71CE1">
        <w:tab/>
        <w:t>mając na uwadze, że funkcjonując w przejrzysty i niezależny sposób, Trybunał przyczynia się do demokratycznego nadzoru, debaty publicznej i należytego zarządzania finansami Unii;</w:t>
      </w:r>
    </w:p>
    <w:p w14:paraId="18378B22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F.</w:t>
      </w:r>
      <w:r w:rsidRPr="00B71CE1">
        <w:tab/>
        <w:t>mając na uwadze, że Trybunał zajął stanowisko, zgodnie z którym do oceny zarządzania Unią, jego rozliczalności i przejrzystości oraz jakości i wiarygodności przekazywanych informacji i danych dotyczących wdrażania polityk Unii najlepszym rozwiązaniem byłoby powierzenie Trybunałowi mandatu do kontrolowania wszystkich instytucji, organów, urzędów i agencji Unii utworzonych na mocy traktatów oraz wszystkich struktur międzyrządowych o kluczowym znaczeniu dla funkcjonowania Unii; mając na uwadze, że Parlament zdecydowanie popiera Trybunał i z zadowoleniem przyjąłby inicjatywy, które wzmocniłyby zdolność Trybunału do wypełniania jego mandatu;</w:t>
      </w:r>
    </w:p>
    <w:p w14:paraId="25E162CE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lastRenderedPageBreak/>
        <w:t>1.</w:t>
      </w:r>
      <w:r w:rsidRPr="00B71CE1">
        <w:tab/>
        <w:t>zauważa, że budżet Trybunału jest objęty działem 7 WRF „Europejska administracja publiczna”, którego budżet w 2024 r. sięgnął 13,3 mld EUR (co stanowi 6,9 % łącznych wydatków z budżetu Unii); zwraca uwagę, że budżet Trybunału o wartości blisko 0,2 mld EUR stanowi około 1,5 % całkowitych wydatków administracyjnych Unii;</w:t>
      </w:r>
    </w:p>
    <w:p w14:paraId="52984F4D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2.</w:t>
      </w:r>
      <w:r w:rsidRPr="00B71CE1">
        <w:tab/>
        <w:t>zwraca uwagę, że Trybunał w swoim sprawozdaniu rocznym za rok budżetowy 2024 („sprawozdanie Trybunału”) zbadał próbę 70 transakcji w dziale „Administracja”, czyli tyle samo co w 2023 r.; zwraca uwagę, że Trybunał stwierdził, iż wydatki administracyjne obejmują wydatki na zasoby kadrowe (w tym na emerytury i renty), które w 2024 r. stanowiły około 69 % wszystkich wydatków administracyjnych, oraz wydatki na budynki, wyposażenie, energię, telekomunikację i informatykę (IT), a z kontroli prowadzonych od wielu lat przez Trybunał wynika, iż zasadniczo są to wydatki obarczone niskim ryzykiem;</w:t>
      </w:r>
    </w:p>
    <w:p w14:paraId="38272E57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3.</w:t>
      </w:r>
      <w:r w:rsidRPr="00B71CE1">
        <w:tab/>
        <w:t>zauważa, że na 70 zbadanych transakcji błędy wystąpiły w 16 (23 %), lecz na podstawie trzech skwantyfikowanych błędów Trybunał szacuje, iż poziom błędu znajduje się poniżej progu istotności;</w:t>
      </w:r>
    </w:p>
    <w:p w14:paraId="522992A0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4.</w:t>
      </w:r>
      <w:r w:rsidRPr="00B71CE1">
        <w:tab/>
        <w:t>zwraca uwagę, że kontrolę rocznych sprawozdań finansowych Trybunału przeprowadza niezależny audytor zewnętrzny w celu zapewnienia takich samych zasad przejrzystości, rozliczalności i niezależności, jakie Trybunał stosuje do kontrolowanych przez siebie jednostek;</w:t>
      </w:r>
    </w:p>
    <w:p w14:paraId="1FEAE7DB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5.</w:t>
      </w:r>
      <w:r w:rsidRPr="00B71CE1">
        <w:tab/>
        <w:t>z zadowoleniem przyjmuje sprawozdanie specjalne Trybunału nr 24/2024 oraz zawarte w nim ustalenia i zalecenia dotyczące ram zatrudnienia w służbie cywilnej Unii; przypomina, że uważa za istotne przeprowadzenie bardziej szczegółowego dochodzenia w sprawie wydatków administracyjnych, i ponawia swój apel, by Trybunał uwzględnił w swojej pracy kompleksowe dane dotyczące wszystkich instytucji, tak aby zapewnić podstawę dla spójnej procedury udzielania absolutorium; zwraca się do Trybunału o informowanie organu udzielającego absolutorium na bieżąco o wszelkich inicjatywach w tej sprawie;</w:t>
      </w:r>
    </w:p>
    <w:p w14:paraId="11CD8D56" w14:textId="77777777" w:rsidR="00CB39BB" w:rsidRPr="00B71CE1" w:rsidRDefault="00CB39BB" w:rsidP="00CB39BB">
      <w:pPr>
        <w:pStyle w:val="NormalHanging12a"/>
        <w:rPr>
          <w:bCs/>
          <w:iCs/>
          <w:szCs w:val="24"/>
        </w:rPr>
      </w:pPr>
      <w:r w:rsidRPr="00B71CE1">
        <w:t>6.</w:t>
      </w:r>
      <w:r w:rsidRPr="00B71CE1">
        <w:tab/>
        <w:t>zwraca uwagę na ogłoszenie Trybunału z 1 października 2025 r. dotyczące wprowadzenia, począwszy od roku budżetowego 2025, zmienionego podejścia do audytu wspólnych przedsięwzięć; zauważa, że zmiana ta została spowodowana między innymi ograniczeniami kadrowymi oraz zaprzestaniem prowadzenia audytów wspólnych przedsięwzięć w ramach programu „Horyzont Europa” przez Służbę Audytu Wewnętrznego Komisji, która wcześniej przeprowadzała taki audyt, co ograniczyło dostępność uzupełniającego poświadczenia audytowego; zauważa ponadto, że nowe podejście przewiduje odpowiednią wielkość próby audytowej, konsolidację prac audytowych we wszystkich wspólnych przedsięwzięciach oraz wydawanie dwóch odrębnych poświadczeń wiarygodności, wspieranych dodatkowymi sprawozdaniami tematycznymi i specjalnymi; wzywa Trybunał do dopilnowania, aby zmieniona metodyka została wdrożona w odpowiednim terminie i aby nadal spełniała najwyższe standardy jakości audytu, wiarygodności i pewności na potrzeby ochrony interesów finansowych Unii;</w:t>
      </w:r>
    </w:p>
    <w:p w14:paraId="15B3C861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Zarządzanie budżetem i finansami</w:t>
      </w:r>
    </w:p>
    <w:p w14:paraId="2D1AE431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7.</w:t>
      </w:r>
      <w:r w:rsidRPr="00B71CE1">
        <w:tab/>
        <w:t xml:space="preserve">zauważa, że całkowity budżet Trybunału (środki C1) na 2024 r. wyniósł 185 655 890 EUR, co stanowi wzrost o 6,05 % w porównaniu z 175 059 922 EUR w 2023 r.; zwraca </w:t>
      </w:r>
      <w:r w:rsidRPr="00B71CE1">
        <w:lastRenderedPageBreak/>
        <w:t>uwagę, że wzrost ten wynikał przede wszystkim z dostosowań wynagrodzeń; zauważa, że w 2024 r. 89,50 % środków (wzrost z 88,50 % w 2023 r.) przeznaczono na członków i personel, natomiast 10,50 % przeznaczono na budynki, wyposażenie oraz wydatki różne (spadek z 11,60 % w 2023 r.);</w:t>
      </w:r>
    </w:p>
    <w:p w14:paraId="7BB0F30E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8.</w:t>
      </w:r>
      <w:r w:rsidRPr="00B71CE1">
        <w:tab/>
        <w:t>zauważa, że wskaźniki wykonania środków na zobowiązania i środków na płatności w 2024 r. pozostały wysokie, niemal na tym samym poziomie co w 2023 r., podczas gdy wskaźnik wykorzystania środków wyniósł 97,30 %, a płatności stanowiły 94,81 % całkowitych zobowiązań w 2024 r.; odnotowuje wzrost kwoty anulowanych środków na koniec roku z około 3,4 mln EUR w 2023 r. do 4,4 mln EUR w 2024 r.; wyraża uznanie dla Trybunału za utrzymanie w 2024 r. średniego czasu płatności faktur poniżej 11 dni; zachęca Trybunał do utrzymania ścisłej dyscypliny wydatków, dalszego priorytetowego traktowania efektywności operacyjnej i większego ograniczenia umorzeń na koniec roku, a tym samym poprawy efektywności i optymalnego wykorzystania jego środków;</w:t>
      </w:r>
    </w:p>
    <w:p w14:paraId="4E695652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9.</w:t>
      </w:r>
      <w:r w:rsidRPr="00B71CE1">
        <w:tab/>
        <w:t>zauważa, że Trybunał regularnie przeprowadzał w ciągu roku przeglądy budżetu, które w 2024 r. skutkowały 29 przesunięciami budżetowymi na łączną kwotę około 4,5 mln EUR, w porównaniu z około 5,7 mln EUR w 2023 r.; zwraca uwagę, że przesunięcia te były konieczne w celu wzmocnienia linii budżetowych związanych między innymi z projektami IT (+20,28 %), zagospodarowaniem pomieszczeń służbowych (+560,18 %) oraz wyposażeniem i instalacjami technicznymi (73,53 %); zauważa, że zgodnie z odpowiedziami Trybunału na pytania zawarte w kwestionariuszu przedstawionym przez Komisję Kontroli Budżetowej w ramach procedury udzielenia absolutorium z wykonania budżetu za 2024 r. („kwestionariusz”) przegrupowania środków były również konieczne ze względu na wyższy niż zakładano poziom inflacji i wynikającą z tego indeksację cen, która miała wpływ na nowe i istniejące umowy;</w:t>
      </w:r>
    </w:p>
    <w:p w14:paraId="3A2179E8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10.</w:t>
      </w:r>
      <w:r w:rsidRPr="00B71CE1">
        <w:tab/>
        <w:t>zauważa, że zgodnie z kwestionariuszem skutki nielegalnej rosyjskiej wojny napastniczej przeciwko Ukrainie były odczuwalne w Trybunale w postaci wzrostu – napędzanego inflacją – kosztów towarów, usług i logistyki w 2024 r.; z zadowoleniem przyjmuje środki wprowadzone przez Trybunał w celu przeciwdziałania tym skutkom przez prowadzenie bardziej szczegółowych wstępnych analiz rynkowych, aby zapewnić realistyczne planowanie i skuteczne zamówienia; ponadto z zadowoleniem odnotowuje, że koszty Trybunału związane ze zużyciem energii (pozycja budżetowa nr 2024) znacząco spadły – z 1 556 671 EUR w 2023 r. do 887 827 EUR w 2024 r.– głównie z powodu obniżenia stałej ceny energii elektrycznej, zgodnie z umową międzyinstytucjonalną z dostawcą; uznaje potrzebę usprawnienia zarządzania budżetem przez wszystkie instytucje Unii, w tym przez uwzględnianie wahania cen, zwłaszcza w sektorze energetycznym, przy zawieraniu umów z dostawcami usług;</w:t>
      </w:r>
    </w:p>
    <w:p w14:paraId="314E8542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11.</w:t>
      </w:r>
      <w:r w:rsidRPr="00B71CE1">
        <w:tab/>
        <w:t>zauważa, że zobowiązania na łączną kwotę około 9,9 mln EUR w ramach tytułu 1 budżetu oraz około 8,4 mln EUR w ramach tytułu 2 budżetu zostały automatycznie przeniesione z 2024 r. na 2025 r. w celu pokrycia kosztów związanych między innymi z podróżami służbowymi, szkoleniami i tłumaczeniami pisemnymi; zauważa, że kwotę 602 000 EUR przeniesiono w drodze decyzji, przy czym kwota ta jest związana z przesunięciem budżetowym zatwierdzonym przez władzę budżetową na wymianę wind w budynku K1 Trybunału;</w:t>
      </w:r>
    </w:p>
    <w:p w14:paraId="2C5B15DC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12.</w:t>
      </w:r>
      <w:r w:rsidRPr="00B71CE1">
        <w:tab/>
        <w:t xml:space="preserve">zwraca uwagę, że zaplanowane środki budżetowe (C1) na podróże służbowe członków i personelu Trybunału wyniosły 2 860 000 EUR w 2024 r. (wzrost z 2 722 000 EUR w 2023 r.); zauważa, że z tych środków zaciągnięto zobowiązania na kwotę </w:t>
      </w:r>
      <w:r w:rsidRPr="00B71CE1">
        <w:lastRenderedPageBreak/>
        <w:t>2 469 344 EUR, z czego 2 184 344 EUR wypłacono (tj. wskaźnik wykonania 88,46 %) w 2024 r.;</w:t>
      </w:r>
    </w:p>
    <w:p w14:paraId="3D626D71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13.</w:t>
      </w:r>
      <w:r w:rsidRPr="00B71CE1">
        <w:tab/>
        <w:t>z zadowoleniem zauważa, że – zgodnie z kwestionariuszem – jeśli chodzi o pozycję budżetową Trybunału dotyczącą publikacji, zaplanowane środki budżetowe spadły z 810 000 EUR w 2014 r. do 300 000 EUR w 2024 r. w związku ze zwiększeniem wewnętrznej produkcji sprawozdań oraz wirtualnej promocji publikacji; zwraca uwagę, że szacunki Trybunału dotyczące tej pozycji budżetowej uległy dalszemu obniżeniu w kolejnych latach budżetowych; zauważa ponadto tendencję Trybunału do zmniejszania budżetu na tłumaczenie ustne oraz na usługi ekspertów (konsultacje, badania itp.), a także plan wycofania stacjonarnej telefonii w celu wygenerowania dalszych oszczędności;</w:t>
      </w:r>
    </w:p>
    <w:p w14:paraId="040D5DB3" w14:textId="77777777" w:rsidR="00CB39BB" w:rsidRPr="00B71CE1" w:rsidRDefault="00CB39BB" w:rsidP="00CB39BB">
      <w:pPr>
        <w:pStyle w:val="NormalHanging12a"/>
        <w:rPr>
          <w:szCs w:val="24"/>
        </w:rPr>
      </w:pPr>
      <w:r w:rsidRPr="00B71CE1">
        <w:t>14.</w:t>
      </w:r>
      <w:r w:rsidRPr="00B71CE1">
        <w:tab/>
        <w:t>z zadowoleniem przyjmuje, zgodnie z odpowiedzią Trybunału na różne kwestie poruszone przez organ udzielający absolutorium w kontekście procedury udzielenia absolutorium za 2023 r. („sprawozdanie uzupełniające”), trwające prace Trybunału nad zmianą wytycznych dotyczących podróży służbowych, aby w sposób proaktywny (tj. na etapie przygotowania podróży) uwzględniać między innymi oszczędności kosztowe oraz sposoby minimalizowania wpływu na środowisko; zachęca Trybunał do dalszego informowania organu udzielającego absolutorium o postępach w tym zakresie;</w:t>
      </w:r>
    </w:p>
    <w:p w14:paraId="0FD040BF" w14:textId="77777777" w:rsidR="00CB39BB" w:rsidRDefault="00CB39BB" w:rsidP="00CB39BB">
      <w:pPr>
        <w:pStyle w:val="NormalHanging12a"/>
      </w:pPr>
      <w:r w:rsidRPr="00B71CE1">
        <w:t>15.</w:t>
      </w:r>
      <w:r w:rsidRPr="00B71CE1">
        <w:tab/>
        <w:t>z zadowoleniem odnotowuje, że audytor zewnętrzny oświadczył, że przydzielone środki zostały wykorzystane zgodnie z ich przeznaczeniem oraz że procedury kontroli wprowadzone przez urzędników zatwierdzających zapewniały niezbędne gwarancje zgodności operacji finansowych z obowiązującymi zasadami i przepisami;</w:t>
      </w:r>
    </w:p>
    <w:p w14:paraId="7F754315" w14:textId="00296A5A" w:rsidR="00847D30" w:rsidRPr="00B71CE1" w:rsidRDefault="00847D30" w:rsidP="00CB39BB">
      <w:pPr>
        <w:pStyle w:val="NormalHanging12a"/>
        <w:rPr>
          <w:szCs w:val="24"/>
        </w:rPr>
      </w:pPr>
      <w:r>
        <w:rPr>
          <w:szCs w:val="24"/>
        </w:rPr>
        <w:t>16</w:t>
      </w:r>
      <w:r w:rsidRPr="00847D30">
        <w:rPr>
          <w:szCs w:val="24"/>
        </w:rPr>
        <w:t>.</w:t>
      </w:r>
      <w:r w:rsidRPr="00847D30">
        <w:rPr>
          <w:szCs w:val="24"/>
        </w:rPr>
        <w:tab/>
        <w:t>podkreśla, że Europejski Trybunał Obrachunkowy jest zewnętrznym kontrolerem Unii i fundamentem niezależnej odpowiedzialności finansowej za budżet Unii; podkreśla, że w kontekście bezprecedensowego wzrostu wydatków Unii, skali operacji zaciągania pożyczek i poziomu komplikacji nowych instrumentów finansowych Trybunał musi dysponować zasobami współmiernymi do skali i złożoności jego mandatu kontrolnego; popiera dyscyplinujące podejście Trybunału do wydatków; zwraca się do władz budżetowych, aby zatwierdzając budżet w przyszłości, zadbały o zagwarantowanie Trybunałowi odpowiednich zasobów do kontrolowania szybko rozwijającej się architektury finansowej Unii;</w:t>
      </w:r>
    </w:p>
    <w:p w14:paraId="43509303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Zarządzanie wewnętrzne, wyniki i kontrola wewnętrzna</w:t>
      </w:r>
    </w:p>
    <w:p w14:paraId="0524B9B4" w14:textId="2FA5E25C" w:rsidR="00CB39BB" w:rsidRPr="00B71CE1" w:rsidRDefault="00847D30" w:rsidP="00CB39BB">
      <w:pPr>
        <w:pStyle w:val="NormalHanging12a"/>
        <w:rPr>
          <w:szCs w:val="24"/>
        </w:rPr>
      </w:pPr>
      <w:r>
        <w:t>17</w:t>
      </w:r>
      <w:r w:rsidR="00CB39BB" w:rsidRPr="00B71CE1">
        <w:t>.</w:t>
      </w:r>
      <w:r w:rsidR="00CB39BB" w:rsidRPr="00B71CE1">
        <w:tab/>
        <w:t>zauważa, że Trybunał spędził łącznie 3 176 dni w państwach członkowskich oraz poza Unią, w porównaniu z 4 897 dniami w 2023 r., oraz 1 244 dni w instytucjach, agencjach i organach Unii, a także w innych organizacjach międzynarodowych i prywatnych firmach audytorskich, w porównaniu z 1 370 dniami w 2023 r.;</w:t>
      </w:r>
    </w:p>
    <w:p w14:paraId="6CF4D92C" w14:textId="09E9BEFD" w:rsidR="00CB39BB" w:rsidRPr="00B71CE1" w:rsidRDefault="00847D30" w:rsidP="00CB39BB">
      <w:pPr>
        <w:pStyle w:val="NormalHanging12a"/>
        <w:rPr>
          <w:szCs w:val="24"/>
        </w:rPr>
      </w:pPr>
      <w:r>
        <w:t>18</w:t>
      </w:r>
      <w:r w:rsidR="00CB39BB" w:rsidRPr="00B71CE1">
        <w:t>.</w:t>
      </w:r>
      <w:r w:rsidR="00CB39BB" w:rsidRPr="00B71CE1">
        <w:tab/>
        <w:t xml:space="preserve">zauważa, że w 2024 r. Trybunał przedstawił 2 sprawozdania roczne, 3 specjalne sprawozdania roczne, 28 sprawozdań specjalnych, 4 przeglądy oraz 3 opinie, tj. łącznie 40 dokumentów (w porównaniu z 45 dokumentami w 2023 r.); z zadowoleniem przyjmuje, że w 2024 r. Trybunał skoncentrował się w swoich sprawozdaniach specjalnych i przeglądach na pilnych wyzwaniach stojących przed Unią w kluczowych obszarach, takich jak instrumenty finansowe w polityce spójności, przejrzystość unijnego finansowania przyznawanego organizacjom pozarządowym, organy Unii przeciwdziałające nadużyciom finansowym, bezpieczeństwo dostaw gazu, inwestycje w </w:t>
      </w:r>
      <w:r w:rsidR="00CB39BB" w:rsidRPr="00B71CE1">
        <w:lastRenderedPageBreak/>
        <w:t>sztuczną inteligencję (AI), przystosowanie do zmiany klimatu, absorpcja środków z Instrumentu na rzecz Odbudowy i Zwiększania Odporności („RRF”), działania na rzecz osiągnięcia zerowej emisji w transporcie drogowym, wsparcie dla uchodźców w Turcji oraz unijna polityka przemysłowa w zakresie wodoru; z zadowoleniem przyjmuje również planowane przez Trybunał sprawozdania dotyczące RRF w obszarach takich jak przejrzystość i identyfikowalność, a także dotyczące unijnej architektury i strategii w walce z nadużyciami finansowymi oraz wsparcia Unii dla Ukrainy, Mołdawii i Gruzji; odnotowuje poprawę w zakresie zadowolenia zainteresowanych stron z pracy Trybunału, przy czym przeprowadzone w 2024 r. badanie wykazało, że 89 % respondentów (wzrost z 85 % w 2023 r.) uznało sprawozdania Trybunału za przydatne, a 82 % (wzrost z 78 %) uznało, że praca Trybunału ma znaczenie;</w:t>
      </w:r>
    </w:p>
    <w:p w14:paraId="083C6253" w14:textId="6750A209" w:rsidR="00CB39BB" w:rsidRPr="00B71CE1" w:rsidRDefault="00847D30" w:rsidP="00CB39BB">
      <w:pPr>
        <w:pStyle w:val="NormalHanging12a"/>
        <w:rPr>
          <w:bCs/>
          <w:iCs/>
          <w:szCs w:val="24"/>
        </w:rPr>
      </w:pPr>
      <w:r>
        <w:t>19</w:t>
      </w:r>
      <w:r w:rsidR="00CB39BB" w:rsidRPr="00B71CE1">
        <w:t>.</w:t>
      </w:r>
      <w:r w:rsidR="00CB39BB" w:rsidRPr="00B71CE1">
        <w:tab/>
        <w:t>wzywa Trybunał do przedstawiania bardziej szczegółowych i systematycznych ocen efektów mnożnikowych programów finansowanych przez Unię dla państw członkowskich, zarówno tych o wysokich, jak i tych o niskich wskaźnikach absorpcji funduszy unijnych; podkreśla, że kompleksowa analiza gospodarczych, społecznych, administracyjnych i terytorialnych skutków takich efektów mnożnikowych, w tym skutków transgranicznych i dystrybucyjnych, wzmocniłaby ocenę długoterminowych skutków, wartości dodanej i zrównoważonego charakteru wydatków Unii oraz wspierałaby bardziej świadome kształtowanie polityki zarówno na szczeblu unijnym, jak i krajowym;</w:t>
      </w:r>
    </w:p>
    <w:p w14:paraId="0F94CF04" w14:textId="1B6520F8" w:rsidR="00CB39BB" w:rsidRPr="00B71CE1" w:rsidRDefault="00847D30" w:rsidP="00CB39BB">
      <w:pPr>
        <w:pStyle w:val="NormalHanging12a"/>
        <w:rPr>
          <w:szCs w:val="24"/>
        </w:rPr>
      </w:pPr>
      <w:r>
        <w:t>20</w:t>
      </w:r>
      <w:r w:rsidR="00CB39BB" w:rsidRPr="00B71CE1">
        <w:t>.</w:t>
      </w:r>
      <w:r w:rsidR="00CB39BB" w:rsidRPr="00B71CE1">
        <w:tab/>
        <w:t>zauważa, że Trybunał dysponuje zestawem kluczowych wskaźników efektywności służących do pomiaru postępów w realizacji jego celów strategicznych, zgodnie ze strategią Trybunału na lata 2021–2025; zwraca uwagę na cele strategiczne Trybunału na 2024 r., obejmujące poprawę rozliczalności, przejrzystości i mechanizmów kontroli, ukierunkowanie działań na obszary i tematy, w których kontrole mogą przynosić największą wartość dodaną, oraz zapewnienie solidnej wiarygodności kontroli w wymagającym i zmieniającym się otoczeniu; zachęca Trybunał do przedstawiania w przyszłości w sposób zbiorczy (w formie tabeli) swoich kluczowych wskaźników efektywności, stopnia osiągniętego postępu oraz wyznaczonych celów; wzywa Trybunał do dalszego rozwijania kluczowych wskaźników efektywności w oparciu o wyniki i rezultaty polityki europejskiej w celu jasnego pomiaru wpływu polityki prowadzonej przez Komisję;</w:t>
      </w:r>
    </w:p>
    <w:p w14:paraId="5AD67D28" w14:textId="11AE7A93" w:rsidR="00CB39BB" w:rsidRPr="00B71CE1" w:rsidRDefault="00847D30" w:rsidP="00CB39BB">
      <w:pPr>
        <w:pStyle w:val="NormalHanging12a"/>
        <w:rPr>
          <w:bCs/>
          <w:iCs/>
          <w:szCs w:val="24"/>
        </w:rPr>
      </w:pPr>
      <w:r>
        <w:t>21</w:t>
      </w:r>
      <w:r w:rsidR="00CB39BB" w:rsidRPr="00B71CE1">
        <w:t>.</w:t>
      </w:r>
      <w:r w:rsidR="00CB39BB" w:rsidRPr="00B71CE1">
        <w:tab/>
        <w:t>zwraca się do Trybunału o skonsolidowanie swoich ustaleń w formie analizy porównawczej wyników oraz o opracowanie metodyki „kompasu wyników” w odniesieniu do programów unijnych; uważa, że taki instrument, przy poszanowaniu różnorodności strategii politycznych, zapewniłby organowi udzielającemu absolutorium, decydentom i ogółowi społeczeństwa jasne wytyczne dotyczące tego, które programy skutecznie wykorzystują zasoby, a które nadają się do zakończenia lub zasadniczej restrukturyzacji;</w:t>
      </w:r>
    </w:p>
    <w:p w14:paraId="718C43EA" w14:textId="6DA120E2" w:rsidR="00CB39BB" w:rsidRPr="00B71CE1" w:rsidRDefault="00847D30" w:rsidP="00CB39BB">
      <w:pPr>
        <w:pStyle w:val="NormalHanging12a"/>
        <w:rPr>
          <w:szCs w:val="24"/>
        </w:rPr>
      </w:pPr>
      <w:r>
        <w:t>22</w:t>
      </w:r>
      <w:r w:rsidR="00CB39BB" w:rsidRPr="00B71CE1">
        <w:t>.</w:t>
      </w:r>
      <w:r w:rsidR="00CB39BB" w:rsidRPr="00B71CE1">
        <w:tab/>
        <w:t>docenia to, że Trybunał mierzy stopień realizacji swoich zaleceń w oparciu o monitorowanie ich realizacji prowadzone przez jego kontrolerów; zauważa, że w 2024 r. Trybunał przeanalizował zalecenia skierowane do Komisji i innych instytucji w sprawozdaniach opublikowanych w 2020 r.; zwraca uwagę, że 93 % spośród 19 zaleceń zawartych w rocznym sprawozdaniu Trybunału za 2020 r. oraz 88 % spośród 186 zaleceń zawartych w sprawozdaniach specjalnych Trybunału dotyczących 2020 r. zostało wdrożonych w pełni, w przeważającej mierze bądź częściowo;</w:t>
      </w:r>
    </w:p>
    <w:p w14:paraId="2D1666CA" w14:textId="597762E1" w:rsidR="00CB39BB" w:rsidRPr="00B71CE1" w:rsidRDefault="00847D30" w:rsidP="00CB39BB">
      <w:pPr>
        <w:pStyle w:val="NormalHanging12a"/>
        <w:rPr>
          <w:szCs w:val="24"/>
        </w:rPr>
      </w:pPr>
      <w:r>
        <w:lastRenderedPageBreak/>
        <w:t>23</w:t>
      </w:r>
      <w:r w:rsidR="00CB39BB" w:rsidRPr="00B71CE1">
        <w:t>.</w:t>
      </w:r>
      <w:r w:rsidR="00CB39BB" w:rsidRPr="00B71CE1">
        <w:tab/>
        <w:t>zauważa, że zgodnie ze sprawozdaniem uzupełniającym Komisja zgodziła się przekazywać Trybunałowi ręcznie pozyskiwane dane z narzędzia ARACHNE; ubolewa jednak nad tym, że dostęp Trybunału do FENIX, narzędzia sprawozdawczego dotyczącego RRF, pozostaje kwestią nierozstrzygniętą, przy czym Komisja przyznała Trybunałowi częściowy dostęp jedynie do niektórych modułów FENIX, a informacje w nim zawarte nie są terminowo uaktualniane; z zadowoleniem odnotowuje zgłaszany wzrost liczby użytkowników Trybunału posiadających dostęp do FENIX; popiera jednak wniosek Trybunału skierowany do Komisji o przyznanie Trybunałowi pełnego dostępu w możliwie najkrótszym terminie; przypomina, że Dyrekcja Generalna Komisji ds. Gospodarczych i Finansowych starała się udzielić Trybunałowi dostępu do akt FENIX w terminie dwóch tygodni od zatwierdzenia wniosku o płatność; jest jednak zaniepokojony faktem, że w praktyce termin ten w wielu przypadkach nie jest dotrzymywany oraz że w niektórych przypadkach wystąpiły opóźnienia wynoszące nawet dwa i pół miesiąca, co znacznie spowalnia przekazywanie ustaleń Trybunału lub osłabia skuteczność i terminowość jego prac kontrolnych, w szczególności w odniesieniu do wydatków wysokiego ryzyka, takich jak RFF; przypomina w związku z tym Komisji, że zgodnie z art. 263 rozporządzenia finansowego ma obowiązek zapewnić Trybunałowi kompleksowy dostęp do wszystkich odpowiednich systemów i baz danych (w tym między innymi ARACHNE, FENIX i ARES); wzywa zatem Komisję do niezwłocznego zaradzenia tej sytuacji, między innymi poprzez zawarcie wiążącego porozumienia międzyinstytucjonalnego zapewniającego Trybunałowi pełny i systematyczny dostęp w czasie rzeczywistym do wszystkich odpowiednich baz danych, w tym ARACHNE i FENIX; zwraca się do Trybunału o poinformowanie organu udzielającego absolutorium o osiągniętych konkretnych usprawnieniach;</w:t>
      </w:r>
    </w:p>
    <w:p w14:paraId="4F7213BF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Zasoby ludzkie, równość i dobrostan pracowników</w:t>
      </w:r>
    </w:p>
    <w:p w14:paraId="666C6159" w14:textId="5419376A" w:rsidR="00CB39BB" w:rsidRPr="00B71CE1" w:rsidRDefault="00847D30" w:rsidP="00CB39BB">
      <w:pPr>
        <w:pStyle w:val="NormalHanging12a"/>
        <w:rPr>
          <w:szCs w:val="24"/>
        </w:rPr>
      </w:pPr>
      <w:bookmarkStart w:id="8" w:name="_Hlk216182035"/>
      <w:r>
        <w:t>24</w:t>
      </w:r>
      <w:r w:rsidR="00CB39BB" w:rsidRPr="00B71CE1">
        <w:t>.</w:t>
      </w:r>
      <w:r w:rsidR="00CB39BB" w:rsidRPr="00B71CE1">
        <w:tab/>
        <w:t>zwraca uwagę, że na koniec 2024 r. Trybunał zatrudniał 961 pracowników (spadek z 969 w 2023 r.), w tym pracowników zatrudnionych na czas określony (192 w 2024 r., spadek z 204 w 2023 r.), pracowników kontraktowych (84 w 2024 r., spadek z 86 w 2023 r.) oraz oddelegowanych ekspertów krajowych (26 w 2024 r., tyle samo co w 2023 r.); przypomina o znaczeniu oferowania pracownikom umów na czas nieokreślony w celu utrzymania kompetencji, zapewnienia ciągłości oraz produktywnego i stabilnego środowiska pracy;</w:t>
      </w:r>
    </w:p>
    <w:p w14:paraId="66DF80CD" w14:textId="666FCA01" w:rsidR="00CB39BB" w:rsidRPr="00B71CE1" w:rsidRDefault="00847D30" w:rsidP="00CB39BB">
      <w:pPr>
        <w:pStyle w:val="NormalHanging12a"/>
        <w:rPr>
          <w:szCs w:val="24"/>
        </w:rPr>
      </w:pPr>
      <w:r>
        <w:t>25</w:t>
      </w:r>
      <w:r w:rsidR="00CB39BB" w:rsidRPr="00B71CE1">
        <w:t>.</w:t>
      </w:r>
      <w:r w:rsidR="00CB39BB" w:rsidRPr="00B71CE1">
        <w:tab/>
        <w:t>zauważa, że w 2024 r. 54 % personelu Trybunału stanowiły kobiety (wzrost z 53 % w 2023 r.), a 4</w:t>
      </w:r>
      <w:r w:rsidR="006D7CBE">
        <w:t>6</w:t>
      </w:r>
      <w:r w:rsidR="00CB39BB" w:rsidRPr="00B71CE1">
        <w:t xml:space="preserve"> % mężczyźni; ubolewa nad faktem, że kobiety stanowią jedynie 30 % kadry kierowniczej wyższego szczebla w Trybunale, tyle samo co w 2023 r.; ubolewa ponadto nad spadkiem odsetka kobiet na stanowiskach kierowniczych średniego szczebla z 40 % do 37,30 % w 2023 r.; przypomina, że równość płci jest zasadą wynikającą z traktatów, którą powinny respektować wszystkie instytucje, oraz zachęca Trybunał do kontynuowania wysiłków na rzecz promowania równowagi płci na stanowiskach kierowniczych średniego i wyższego szczebla; </w:t>
      </w:r>
      <w:bookmarkEnd w:id="8"/>
    </w:p>
    <w:p w14:paraId="275D20C6" w14:textId="2A6DE090" w:rsidR="00CB39BB" w:rsidRPr="00B71CE1" w:rsidRDefault="00847D30" w:rsidP="00CB39BB">
      <w:pPr>
        <w:pStyle w:val="NormalHanging12a"/>
        <w:rPr>
          <w:szCs w:val="24"/>
        </w:rPr>
      </w:pPr>
      <w:r>
        <w:t>26</w:t>
      </w:r>
      <w:r w:rsidR="00CB39BB" w:rsidRPr="00B71CE1">
        <w:t>.</w:t>
      </w:r>
      <w:r w:rsidR="00CB39BB" w:rsidRPr="00B71CE1">
        <w:tab/>
        <w:t>zauważa, że zgodnie z kwestionariuszem w 2024 r. Trybunał zatrudniał 64 stażystów, z których 59 otrzymywało miesięczne stypendium; z zadowoleniem przyjmuje nowy program Trybunału zatytułowany „</w:t>
      </w:r>
      <w:proofErr w:type="spellStart"/>
      <w:r w:rsidR="00CB39BB" w:rsidRPr="00B71CE1">
        <w:t>TraineEca</w:t>
      </w:r>
      <w:proofErr w:type="spellEnd"/>
      <w:r w:rsidR="00CB39BB" w:rsidRPr="00B71CE1">
        <w:t xml:space="preserve"> </w:t>
      </w:r>
      <w:proofErr w:type="spellStart"/>
      <w:r w:rsidR="00CB39BB" w:rsidRPr="00B71CE1">
        <w:t>Career</w:t>
      </w:r>
      <w:proofErr w:type="spellEnd"/>
      <w:r w:rsidR="00CB39BB" w:rsidRPr="00B71CE1">
        <w:t xml:space="preserve"> Development”, którego celem jest oferowanie możliwości zatrudnienia najbardziej zasłużonym stażystom; zwraca ponadto uwagę na plan Trybunału dotyczący oferowania specjalnych staży w obszarze sztucznej inteligencji dla świeżo upieczonych absolwentów uczelni i doktorantów w tej dziedzinie; ponownie podkreśla, że staże powinny być płatne zgodnie z rezolucją </w:t>
      </w:r>
      <w:r w:rsidR="00CB39BB" w:rsidRPr="00B71CE1">
        <w:lastRenderedPageBreak/>
        <w:t>Parlamentu z dnia 15 czerwca 2023 r. w sprawie wysokiej jakości staży w Unii (2020/2005(INL)); Parlament zaapelował w niej o wynagradzanie wszystkich stażystów w Unii; podkreśla, że bezpłatne staże stanowią formę wyzysku młodych pracowników i barierę dla równych szans;</w:t>
      </w:r>
    </w:p>
    <w:p w14:paraId="3ABF1FC6" w14:textId="544CAF0E" w:rsidR="00CB39BB" w:rsidRPr="00B71CE1" w:rsidRDefault="00847D30" w:rsidP="00CB39BB">
      <w:pPr>
        <w:pStyle w:val="NormalHanging12a"/>
        <w:rPr>
          <w:szCs w:val="24"/>
        </w:rPr>
      </w:pPr>
      <w:r>
        <w:t>27</w:t>
      </w:r>
      <w:r w:rsidR="00CB39BB" w:rsidRPr="00B71CE1">
        <w:t>.</w:t>
      </w:r>
      <w:r w:rsidR="00CB39BB" w:rsidRPr="00B71CE1">
        <w:tab/>
        <w:t>zwraca uwagę, że zgodnie z kwestionariuszem w 2024 r. rekrutacja urzędników nadal stanowiła wyzwanie dla Trybunału ze względu na ograniczoną atrakcyjność Luksemburga jako miejsca pracy lub brak zainteresowania stanowiskami w obszarze audytu i kontroli wśród młodych pracowników; z zadowoleniem zauważa, że Trybunał zajął się tą kwestią przez organizowanie regularnych procedur naboru ukierunkowanych na stażystów Trybunału, organizowanie konkursów wewnętrznych w celu zatrzymania najbardziej wyróżniających się talentów oraz intensyfikację działań informacyjnych; zachęca Trybunał do kontynuowania tych starań, aby zabezpieczyć ciągłość jego działalności; uznaje w tym kontekście, że potrzebna jest klauzula konkursowa, aby umożliwić również organizowanie konkursów EPSO wyłącznie dla Luksemburga; wyraża uznanie dla Trybunału za przystąpienie do porozumienia międzyinstytucjonalnego, na mocy którego pracownicy rekrutowani przez instytucje Unii z siedzibą w Luksemburgu od 2025 r. otrzymują dodatek mieszkaniowy w celu zrekompensowania wysokich kosztów utrzymania w Luksemburgu;</w:t>
      </w:r>
    </w:p>
    <w:p w14:paraId="5132D295" w14:textId="1CE49583" w:rsidR="00CB39BB" w:rsidRPr="00B71CE1" w:rsidRDefault="00847D30" w:rsidP="00CB39BB">
      <w:pPr>
        <w:pStyle w:val="NormalHanging12a"/>
        <w:rPr>
          <w:szCs w:val="24"/>
        </w:rPr>
      </w:pPr>
      <w:r>
        <w:t>28</w:t>
      </w:r>
      <w:r w:rsidR="00CB39BB" w:rsidRPr="00B71CE1">
        <w:t>.</w:t>
      </w:r>
      <w:r w:rsidR="00CB39BB" w:rsidRPr="00B71CE1">
        <w:tab/>
        <w:t>jest świadomy, że Trybunał nie odgrywa żadnej roli w procesie wyboru członków na podstawie art. 286 ust. 2 TFUE; przypomina jednak, że wśród członków Trybunału nadal występuje znaczna nierównowaga płci, ponieważ spośród 27 członków jedynie 10 stanowią kobiety; ubolewa, że niektóre z państw członkowskich nigdy nie mianowały do Trybunału kobiety; ponownie wzywa państwa członkowskie do brania pod uwagę potrzeby równowagi płci przy zgłaszaniu kandydatów, dążąc do bardziej zrównoważonego i reprezentatywnego składu Trybunału, przy jednoczesnym zapewnieniu, że nominacje będą nadal opierały się na kryteriach osiągnięć, kwalifikacji i niezależności;</w:t>
      </w:r>
    </w:p>
    <w:p w14:paraId="25C58E4C" w14:textId="08488BE0" w:rsidR="00CB39BB" w:rsidRPr="00B71CE1" w:rsidRDefault="00847D30" w:rsidP="00CB39BB">
      <w:pPr>
        <w:pStyle w:val="NormalHanging12a"/>
        <w:rPr>
          <w:szCs w:val="24"/>
        </w:rPr>
      </w:pPr>
      <w:r>
        <w:t>29</w:t>
      </w:r>
      <w:r w:rsidR="00CB39BB" w:rsidRPr="00B71CE1">
        <w:t>.</w:t>
      </w:r>
      <w:r w:rsidR="00CB39BB" w:rsidRPr="00B71CE1">
        <w:tab/>
        <w:t>nadal wyraża ubolewanie z powodu praktyki Rady polegającej na mianowaniu członków Trybunału mimo ich odrzucenia przez Parlament; ponawia apel o zmianę procedury nominacyjnej i przyznanie Parlamentowi wiążącej roli w ocenie kwalifikacji kandydatów do Trybunału;</w:t>
      </w:r>
    </w:p>
    <w:p w14:paraId="26F0D03A" w14:textId="622AB636" w:rsidR="00CB39BB" w:rsidRPr="00B71CE1" w:rsidRDefault="00847D30" w:rsidP="00CB39BB">
      <w:pPr>
        <w:pStyle w:val="NormalHanging12a"/>
        <w:rPr>
          <w:szCs w:val="24"/>
        </w:rPr>
      </w:pPr>
      <w:r>
        <w:t>30</w:t>
      </w:r>
      <w:r w:rsidR="00CB39BB" w:rsidRPr="00B71CE1">
        <w:t>.</w:t>
      </w:r>
      <w:r w:rsidR="00CB39BB" w:rsidRPr="00B71CE1">
        <w:tab/>
        <w:t>docenia rozbudowany system telepracy oferowany przez Trybunał w celu ograniczania trudności rekrutacyjnych – do 10 dni w miesiącu, z czego 5 dni można przepracować zdalnie spoza miejsca zatrudnienia, przy limicie 30 dni rocznie; zauważa, że zgodnie z kwestionariuszem Trybunał w 2024 r. zmienił zasady pracy hybrydowej, uwzględniając między innymi otrzymane informacje zwrotne; zachęca Trybunał do przeprowadzania regularnych kontroli, aby zapewnić przestrzeganie tych zasad; z zadowoleniem odnotowuje, że zgodnie z kwestionariuszem Trybunał podejmuje różnorodne działania w celu zapewnienia dobrostanu fizycznego i psychicznego pracowników;</w:t>
      </w:r>
    </w:p>
    <w:p w14:paraId="7F711A02" w14:textId="1B9D2B68" w:rsidR="00CB39BB" w:rsidRPr="00B71CE1" w:rsidRDefault="00847D30" w:rsidP="00CB39BB">
      <w:pPr>
        <w:pStyle w:val="NormalHanging12a"/>
        <w:rPr>
          <w:szCs w:val="24"/>
        </w:rPr>
      </w:pPr>
      <w:r>
        <w:t>31</w:t>
      </w:r>
      <w:r w:rsidR="00CB39BB" w:rsidRPr="00B71CE1">
        <w:t>.</w:t>
      </w:r>
      <w:r w:rsidR="00CB39BB" w:rsidRPr="00B71CE1">
        <w:tab/>
        <w:t>zauważa wzrost zarówno wskaźnika wakatów, jak i wskaźnika rotacji; ten drugi wskaźnik wzrósł z 6,60 % w 2023 r. do 7,90 % w 2024 r., a wskaźnik wakatów – z 2,27 % do 2,49 %, przy czym wskaźnik rotacji oznacza liczbę pracowników odchodzących w stosunku do ogółu pracowników;</w:t>
      </w:r>
    </w:p>
    <w:p w14:paraId="30FFAFDF" w14:textId="7796FCEF" w:rsidR="00CB39BB" w:rsidRPr="00B71CE1" w:rsidRDefault="00847D30" w:rsidP="00CB39BB">
      <w:pPr>
        <w:pStyle w:val="NormalHanging12a"/>
        <w:rPr>
          <w:szCs w:val="24"/>
        </w:rPr>
      </w:pPr>
      <w:r>
        <w:t>32</w:t>
      </w:r>
      <w:r w:rsidR="00CB39BB" w:rsidRPr="00B71CE1">
        <w:t>.</w:t>
      </w:r>
      <w:r w:rsidR="00CB39BB" w:rsidRPr="00B71CE1">
        <w:tab/>
        <w:t xml:space="preserve">zauważa, że wśród personelu Trybunału niedostatecznie reprezentowanych jest kilka narodowości, w szczególności z nordyckich państw członkowskich; zwraca uwagę, że </w:t>
      </w:r>
      <w:r w:rsidR="00CB39BB" w:rsidRPr="00B71CE1">
        <w:lastRenderedPageBreak/>
        <w:t>istnieje ryzyko dalszego pogorszenia tej sytuacji ze względu na starzenie się personelu i brak rekrutacji kandydatów z tych państw członkowskich; przypomina o powtarzających się wysiłkach Trybunału na rzecz zaradzenia tej nierównowadze przez zwiększanie rozgłosu wokół konkursów Trybunału oraz ogłoszeń o wolnych stanowiskach w państwach członkowskich o znacząco niedostatecznej reprezentacji, współpracę z członkami Trybunału w zakresie rozpowszechniania ogłoszeń oraz docieranie do potencjalnych kandydatów poprzez udział w targach pracy w niektórych państwach członkowskich; zauważa ponadto, że zgodnie ze sprawozdaniem uzupełniającym Trybunał opracował również plan działania obejmujący 10 działań na najbliższe 5 lat, mający na celu zaradzenie obecnemu niedostatecznemu poziomowi reprezentacji niektórych państw członkowskich; zachęca Trybunał do dalszego informowania organu udzielającego absolutorium o postępach we wdrażaniu tego planu działania oraz o rezultatach jego realizacji;</w:t>
      </w:r>
    </w:p>
    <w:p w14:paraId="5C0ABC47" w14:textId="767259F4" w:rsidR="00CB39BB" w:rsidRPr="00B71CE1" w:rsidRDefault="00847D30" w:rsidP="00CB39BB">
      <w:pPr>
        <w:pStyle w:val="NormalHanging12a"/>
        <w:rPr>
          <w:szCs w:val="24"/>
        </w:rPr>
      </w:pPr>
      <w:r>
        <w:t>33</w:t>
      </w:r>
      <w:r w:rsidR="00CB39BB" w:rsidRPr="00B71CE1">
        <w:t>.</w:t>
      </w:r>
      <w:r w:rsidR="00CB39BB" w:rsidRPr="00B71CE1">
        <w:tab/>
        <w:t>przypomina, że na koniec 2023 r. obsadzono wszystkie 29 dodatkowych stanowisk (pracownicy zatrudnieni na czas określony) wymaganych do przeprowadzenia audytu kwoty 723,8 mld EUR z RRF; rozumie jednak, że istotność, złożoność i wysokie kwoty RRF oraz szybkie uruchamianie środków z tego instrumentu nadal stanowią wyzwanie oraz że obecne zasoby nie są wystarczające, aby w sposób systematyczny zapewniać zgodność wydatków w ramach RRF z przepisami unijnymi i krajowymi oraz aby sprostać zwiększonej aktywności Unii; wyraża jednak uznanie dla działań podejmowanych dotychczas przez Trybunał w celu realizacji jego obowiązków związanych z RRF pomimo niewystarczających zasobów; popiera w tym kontekście wniosek Trybunału o przekształcenie 29 stanowisk pracowników zatrudnionych na czas określony na potrzeby audytów związanych z RRF w stanowiska stałe; podkreśla, że należy dopilnować, aby Trybunał dysponował odpowiednio licznym personelem oraz odpowiednią infrastrukturą, tak by mógł pełnić zarówno powierzony mu mandat, jak i dodatkowe obowiązki wynikające z przyszłych instrumentów finansowania opartych na wynikach, w tym wieloletnich ram finansowych;</w:t>
      </w:r>
    </w:p>
    <w:p w14:paraId="22E5C776" w14:textId="1BF1CCAB" w:rsidR="00CB39BB" w:rsidRPr="00B71CE1" w:rsidRDefault="00847D30" w:rsidP="00CB39BB">
      <w:pPr>
        <w:pStyle w:val="NormalHanging12a"/>
        <w:rPr>
          <w:bCs/>
          <w:iCs/>
          <w:szCs w:val="24"/>
        </w:rPr>
      </w:pPr>
      <w:r>
        <w:t>34</w:t>
      </w:r>
      <w:r w:rsidR="00CB39BB" w:rsidRPr="00B71CE1">
        <w:t>.</w:t>
      </w:r>
      <w:r w:rsidR="00CB39BB" w:rsidRPr="00B71CE1">
        <w:tab/>
        <w:t xml:space="preserve">odnotowuje z uznaniem, że w 2024 r. Trybunał przekroczył założoną wartość docelową w zakresie szkoleń zawodowych wynoszącą pięć dni szkoleń pozajęzykowych rocznie w przypadku kontrolerów, zgodnie z zaleceniami Międzynarodowej Federacji </w:t>
      </w:r>
      <w:proofErr w:type="gramStart"/>
      <w:r w:rsidR="00CB39BB" w:rsidRPr="00B71CE1">
        <w:t>Księgowych,</w:t>
      </w:r>
      <w:proofErr w:type="gramEnd"/>
      <w:r w:rsidR="00CB39BB" w:rsidRPr="00B71CE1">
        <w:t xml:space="preserve"> oraz dwa dni w przypadku pozostałych pracowników (odpowiednio 5,8 i 3,9);</w:t>
      </w:r>
    </w:p>
    <w:p w14:paraId="6421C146" w14:textId="26458CAC" w:rsidR="00CB39BB" w:rsidRPr="00B71CE1" w:rsidRDefault="00847D30" w:rsidP="00CB39BB">
      <w:pPr>
        <w:pStyle w:val="NormalHanging12a"/>
        <w:rPr>
          <w:szCs w:val="24"/>
        </w:rPr>
      </w:pPr>
      <w:r>
        <w:t>35</w:t>
      </w:r>
      <w:r w:rsidR="00CB39BB" w:rsidRPr="00B71CE1">
        <w:t>.</w:t>
      </w:r>
      <w:r w:rsidR="00CB39BB" w:rsidRPr="00B71CE1">
        <w:tab/>
        <w:t>zauważa, że w 2024 r. średnia nieobecność z powodu choroby wynosiła 9,9 dni na pracownika, czyli niemal tyle samo co w 2023 r.; zauważa ponadto, że w 2024 r. trzech pracowników (w porównaniu z czterema w 2023 r.) było nieobecnych z powodu długotrwałej choroby, którą określono jako trwającą ponad 200 dni w roku;</w:t>
      </w:r>
    </w:p>
    <w:p w14:paraId="7E00783D" w14:textId="55326013" w:rsidR="00CB39BB" w:rsidRPr="00B71CE1" w:rsidRDefault="00847D30" w:rsidP="00CB39BB">
      <w:pPr>
        <w:pStyle w:val="NormalHanging12a"/>
        <w:rPr>
          <w:szCs w:val="24"/>
        </w:rPr>
      </w:pPr>
      <w:r>
        <w:t>36</w:t>
      </w:r>
      <w:r w:rsidR="00CB39BB" w:rsidRPr="00B71CE1">
        <w:t>.</w:t>
      </w:r>
      <w:r w:rsidR="00CB39BB" w:rsidRPr="00B71CE1">
        <w:tab/>
        <w:t xml:space="preserve">zauważa, że w 2024 r. zgłoszono 13 przypadków wypalenia zawodowego, w porównaniu z 7 przypadkami w 2023 r.; z zaniepokojeniem odnotowuje znaczny wzrost zgłoszonych przypadków wypalenia zawodowego w 2024 r.; wzywa Trybunał do przeprowadzenia dogłębnej analizy przyczyn tego znacznego wzrostu, w tym pod kątem rozkładu obciążenia pracą, czynników organizacyjnych i ryzyka strukturalnego, oraz do włączenia ustaleń opartych na dowodach do praktyk planowania zasobów ludzkich i zarządzania nimi w celu skutecznego zapobiegania wypaleniu zawodowemu i poprawy środowiska pracy; z zadowoleniem przyjmuje fakt, że Trybunał podjął szereg kroków w celu zmniejszenia ryzyka wypalenia zawodowego, wprowadzając pełny program dotyczący dobrostanu, oferując szkolenia poświęcone odporności, publikując i </w:t>
      </w:r>
      <w:r w:rsidR="00CB39BB" w:rsidRPr="00B71CE1">
        <w:lastRenderedPageBreak/>
        <w:t>wdrażając wytyczne dotyczące powrotu do pracy po długotrwałym zwolnieniu chorobowym, wciąż oferując pierwszą pomoc w zakresie zdrowia psychicznego oraz zapewniając pracownikom wsparcie finansowe poprzez pokrycie kosztów 10 sesji z udziałem wybranego przez nich psychologa; zauważa w szczególności, że w 2024 r. Trybunał zorganizował 4 obowiązkowe szkolenia dla kierowników, skoncentrowane na dobrostanie pracowników, wynikach, równowadze między życiem zawodowym a prywatnym oraz zapobieganiu wypaleniu zawodowemu;</w:t>
      </w:r>
    </w:p>
    <w:p w14:paraId="7311A5E2" w14:textId="089C9E95" w:rsidR="00CB39BB" w:rsidRPr="00B71CE1" w:rsidRDefault="00847D30" w:rsidP="00CB39BB">
      <w:pPr>
        <w:pStyle w:val="NormalHanging12a"/>
        <w:rPr>
          <w:szCs w:val="24"/>
        </w:rPr>
      </w:pPr>
      <w:r>
        <w:t>37</w:t>
      </w:r>
      <w:r w:rsidR="00CB39BB" w:rsidRPr="00B71CE1">
        <w:t>.</w:t>
      </w:r>
      <w:r w:rsidR="00CB39BB" w:rsidRPr="00B71CE1">
        <w:tab/>
        <w:t>wyraża uznanie dla działań uświadamiających, ankiet i szkoleń, jakie Trybunał proponował swoim pracownikom, członkom lub obu tym grupom w 2024 r. na temat swojej polityki dotyczącej przeciwdziałania molestowaniu i poszanowania w miejscu pracy; z niepokojem zauważa, że w 2024 r. przeprowadzono jedno dochodzenie administracyjne w związku z zarzutami molestowania seksualnego i psychicznego; zakończyło się ono podjęciem działań dyscyplinarnych po stwierdzeniu niewłaściwego zachowania osoby objętej dochodzeniem;</w:t>
      </w:r>
    </w:p>
    <w:p w14:paraId="0715B455" w14:textId="7B7C8042" w:rsidR="00CB39BB" w:rsidRPr="00B71CE1" w:rsidRDefault="00847D30" w:rsidP="00CB39BB">
      <w:pPr>
        <w:pStyle w:val="NormalHanging12a"/>
        <w:rPr>
          <w:szCs w:val="24"/>
        </w:rPr>
      </w:pPr>
      <w:r>
        <w:t>38</w:t>
      </w:r>
      <w:r w:rsidR="00CB39BB" w:rsidRPr="00B71CE1">
        <w:t>.</w:t>
      </w:r>
      <w:r w:rsidR="00CB39BB" w:rsidRPr="00B71CE1">
        <w:tab/>
        <w:t>zwraca uwagę, że zgodnie z kwestionariuszem Trybunał podjął w 2024 r. wiele działań – zgodnie z planem działania dotyczącym różnorodności i włączenia społecznego na lata 2021–2025 – w różnych obszarach, takich jak rekrutacja, szkolenia, rozwój kariery, warunki pracy oraz podnoszenie świadomości wśród pracowników; zauważa, że Trybunał uwzględnia różnorodność i włączenie społeczne w procesach zarządzania wynikami, oceny, certyfikacji i awansów, jak również w programach szkoleniowych, przy czym w 2024 r. 13 kierowników dobrowolnie wzięło udział w ocenie w zakresie różnorodności i włączenia społecznego; z zadowoleniem przyjmuje specjalistyczne szkolenie zatytułowane „</w:t>
      </w:r>
      <w:proofErr w:type="spellStart"/>
      <w:r w:rsidR="00CB39BB" w:rsidRPr="00B71CE1">
        <w:t>Women</w:t>
      </w:r>
      <w:proofErr w:type="spellEnd"/>
      <w:r w:rsidR="00CB39BB" w:rsidRPr="00B71CE1">
        <w:t xml:space="preserve"> </w:t>
      </w:r>
      <w:proofErr w:type="spellStart"/>
      <w:r w:rsidR="00CB39BB" w:rsidRPr="00B71CE1">
        <w:t>managers</w:t>
      </w:r>
      <w:proofErr w:type="spellEnd"/>
      <w:r w:rsidR="00CB39BB" w:rsidRPr="00B71CE1">
        <w:t xml:space="preserve"> </w:t>
      </w:r>
      <w:proofErr w:type="spellStart"/>
      <w:r w:rsidR="00CB39BB" w:rsidRPr="00B71CE1">
        <w:t>rise</w:t>
      </w:r>
      <w:proofErr w:type="spellEnd"/>
      <w:r w:rsidR="00CB39BB" w:rsidRPr="00B71CE1">
        <w:t xml:space="preserve"> </w:t>
      </w:r>
      <w:proofErr w:type="spellStart"/>
      <w:r w:rsidR="00CB39BB" w:rsidRPr="00B71CE1">
        <w:t>up</w:t>
      </w:r>
      <w:proofErr w:type="spellEnd"/>
      <w:r w:rsidR="00CB39BB" w:rsidRPr="00B71CE1">
        <w:t xml:space="preserve">: </w:t>
      </w:r>
      <w:proofErr w:type="spellStart"/>
      <w:r w:rsidR="00CB39BB" w:rsidRPr="00B71CE1">
        <w:t>skilling</w:t>
      </w:r>
      <w:proofErr w:type="spellEnd"/>
      <w:r w:rsidR="00CB39BB" w:rsidRPr="00B71CE1">
        <w:t xml:space="preserve"> for </w:t>
      </w:r>
      <w:proofErr w:type="spellStart"/>
      <w:r w:rsidR="00CB39BB" w:rsidRPr="00B71CE1">
        <w:t>success</w:t>
      </w:r>
      <w:proofErr w:type="spellEnd"/>
      <w:r w:rsidR="00CB39BB" w:rsidRPr="00B71CE1">
        <w:t>” [Menedżerki do boju: umiejętności niezbędne do osiągnięcia sukcesu], zorganizowane przez Trybunał w celu zachęcania kobiet do podejmowania ról kierowniczych; z zadowoleniem przyjmuje ponadto nowe programy działań pozytywnych Trybunału skierowane do stażystów i pracowników kontraktowych, ukierunkowane na osoby z niepełnosprawnościami, przy czym dwa staże rocznie proponuje się osobom z uznaną niepełnosprawnością; z zadowoleniem odnotowuje, że w 2024 r. Trybunał zorganizował czwarty tydzień świadomości na temat niepełnosprawności, podczas którego zaprezentowano nowy plan działania w zakresie niepełnosprawności, podkreślający wysiłki Trybunału na rzecz miejsca pracy bardziej sprzyjającego włączeniu; z zadowoleniem odnotowuje również, że Trybunał publikuje śródokresowe przeglądy swojego planu działania dotyczącego różnorodności i włączenia społecznego w celu zapewnienia przejrzystości i zaangażowania w całej organizacji;</w:t>
      </w:r>
    </w:p>
    <w:p w14:paraId="66B3E3A3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Ramy etyczne i przejrzystość</w:t>
      </w:r>
    </w:p>
    <w:p w14:paraId="1E30DE5A" w14:textId="725164C7" w:rsidR="00CB39BB" w:rsidRPr="00B71CE1" w:rsidRDefault="00847D30" w:rsidP="00CB39BB">
      <w:pPr>
        <w:pStyle w:val="NormalHanging12a"/>
        <w:rPr>
          <w:szCs w:val="24"/>
        </w:rPr>
      </w:pPr>
      <w:r>
        <w:t>39</w:t>
      </w:r>
      <w:r w:rsidR="00CB39BB" w:rsidRPr="00B71CE1">
        <w:t>.</w:t>
      </w:r>
      <w:r w:rsidR="00CB39BB" w:rsidRPr="00B71CE1">
        <w:tab/>
        <w:t>podkreśla kluczową rolę Trybunału jako niezależnego zewnętrznego audytora Unii i strażnika jej finansów, co wymaga od Trybunału przestrzegania najwyższych standardów uczciwości, profesjonalizmu i rozliczalności, a także zasady wzajemnej szczerej współpracy między instytucjami Unii, przy jednoczesnym pełnieniu roli instytucji wzorcowej i wiarygodnej oraz wzbudzającej zaufanie; przypomina, że zgodnie z art. 285 TFUE członkowie Trybunału muszą działać w sposób w pełni niezależny i przestrzegać najściślejszych zasad etyki, wykazując się uczciwością, obiektywizmem, profesjonalnym postępowaniem, godnością, zaangażowaniem i lojalnością;</w:t>
      </w:r>
    </w:p>
    <w:p w14:paraId="53CED904" w14:textId="3794096D" w:rsidR="00CB39BB" w:rsidRPr="00B71CE1" w:rsidRDefault="00847D30" w:rsidP="00CB39BB">
      <w:pPr>
        <w:pStyle w:val="NormalHanging12a"/>
        <w:rPr>
          <w:szCs w:val="24"/>
        </w:rPr>
      </w:pPr>
      <w:r>
        <w:t>40</w:t>
      </w:r>
      <w:r w:rsidR="00CB39BB" w:rsidRPr="00B71CE1">
        <w:t>.</w:t>
      </w:r>
      <w:r w:rsidR="00CB39BB" w:rsidRPr="00B71CE1">
        <w:tab/>
        <w:t xml:space="preserve">odnotowuje z zaniepokojeniem odmowę Trybunału dotyczącą uchylenia immunitetu </w:t>
      </w:r>
      <w:r w:rsidR="00CB39BB" w:rsidRPr="00B71CE1">
        <w:lastRenderedPageBreak/>
        <w:t>jego byłego prezesa oraz decyzję Trybunału o odrzuceniu wniosku Prokuratury Europejskiej (EPPO) o zezwolenie na przesłuchanie kilku pracowników Trybunału w ramach toczącego się postępowania karnego; odnotowuje, na podstawie sprawozdania uzupełniającego, że Trybunał nie uchylił tego immunitetu, ponieważ EPPO nie przekazała Trybunałowi wystarczających informacji umożliwiających zrozumienie, o jakie działania osoby zainteresowane są oskarżane oraz w jakim zakresie działania te mogłyby stanowić czyn zabroniony, oraz że Trybunał powołuje się na orzecznictwo jako część obowiązujących ram prawnych na poparcie tego stanowiska; zauważa, że 10 lutego 2025 r. EPPO wniosła skargę (sprawa T-99/25) do Trybunału Sprawiedliwości Unii Europejskiej (TSUE) na podstawie art. 263 ust. 4 TFUE przeciwko decyzji Trybunału o odrzuceniu wniosku EPPO o zezwolenie na przesłuchanie kilku pracowników Trybunału w ramach toczącego się postępowania karnego; zwraca ponadto uwagę, że wspomniane odwołanie nie podważało decyzji o nieuchyleniu immunitetu osób, których dotyczy sprawa; podkreśla, że obowiązek lojalnej współpracy instytucji Unii wymaga, aby zgody na przesłuchanie pracowników w charakterze świadków w dochodzeniach karnych odmawiano wyłącznie w ściśle wyjątkowych okolicznościach; domaga się, by Trybunał wyjaśnił kryteria stosowane przy podejmowaniu decyzji w sprawie wniosków EPPO oraz zadbał o to, aby takie decyzje nie były postrzegane jako utrudniające dochodzenia sądowe; wzywa Trybunał do utrzymania wysokiego poziomu przejrzystości i rozliczalności we współpracy z EPPO oraz z innymi organami Unii odpowiedzialnymi za zwalczanie nadużyć finansowych i nieprawidłowości oraz do dopilnowania, aby nie powoływano się na immunitet w celu utrudniania zgodnych z prawem postępowań sądowych;</w:t>
      </w:r>
    </w:p>
    <w:p w14:paraId="416862BE" w14:textId="453A5A10" w:rsidR="00CB39BB" w:rsidRPr="00B71CE1" w:rsidRDefault="00847D30" w:rsidP="00CB39BB">
      <w:pPr>
        <w:pStyle w:val="NormalHanging12a"/>
        <w:rPr>
          <w:szCs w:val="24"/>
        </w:rPr>
      </w:pPr>
      <w:r>
        <w:t>41</w:t>
      </w:r>
      <w:r w:rsidR="00CB39BB" w:rsidRPr="00B71CE1">
        <w:t>.</w:t>
      </w:r>
      <w:r w:rsidR="00CB39BB" w:rsidRPr="00B71CE1">
        <w:tab/>
        <w:t>odnotowuje, że w 2024 r. nie zgłoszono żadnych przypadków sygnalizowania nieprawidłowości w Trybunale; zauważa ponadto, że w 2023 r. Trybunał rozpoczął proces aktualizacji swoich przepisów dotyczących prowadzenia dochodzeń administracyjnych i postępowań dyscyplinarnych, który to proces zakończono na początku 2024 r.;</w:t>
      </w:r>
    </w:p>
    <w:p w14:paraId="5CA0E944" w14:textId="6A9DEBE1" w:rsidR="00CB39BB" w:rsidRPr="00B71CE1" w:rsidRDefault="00847D30" w:rsidP="00CB39BB">
      <w:pPr>
        <w:pStyle w:val="NormalHanging12a"/>
        <w:rPr>
          <w:szCs w:val="24"/>
        </w:rPr>
      </w:pPr>
      <w:r>
        <w:t>42</w:t>
      </w:r>
      <w:r w:rsidR="00CB39BB" w:rsidRPr="00B71CE1">
        <w:t>.</w:t>
      </w:r>
      <w:r w:rsidR="00CB39BB" w:rsidRPr="00B71CE1">
        <w:tab/>
        <w:t>z zadowoleniem zauważa, że Trybunał posiada solidne ramy etyczne obejmujące wytyczne etyczne mające zastosowanie zarówno do członków Trybunału, jak i do jego pracowników, a także kodeks postępowania dla członków Trybunału; zwraca uwagę, że Trybunał posiada również komisję etyczną, która spotyka się regularnie w celu rozpatrywania istotnych kwestii etycznych, w tym zewnętrznej działalności członków, i w skład której wchodzi dwóch członków Trybunału oraz jeden członek zewnętrzny; zauważa na podstawie rocznego sprawozdania komisji etycznej za 2024 r., że komisja etyczna odbyła sześć posiedzeń i otrzymała 17 oświadczeń od obecnych członków Trybunału (dotyczących działalności zewnętrznej) oraz byłych członków Trybunału (dotyczących planowanych zajęć po zakończeniu sprawowania urzędu), przy czym w 2024 r. wszystkie te oświadczenia zostały zaopiniowane pozytywnie;</w:t>
      </w:r>
    </w:p>
    <w:p w14:paraId="2421B22B" w14:textId="476F0F4C" w:rsidR="00CB39BB" w:rsidRPr="00B71CE1" w:rsidRDefault="00847D30" w:rsidP="00CB39BB">
      <w:pPr>
        <w:pStyle w:val="NormalHanging12a"/>
        <w:rPr>
          <w:szCs w:val="24"/>
        </w:rPr>
      </w:pPr>
      <w:r>
        <w:t>43</w:t>
      </w:r>
      <w:r w:rsidR="00CB39BB" w:rsidRPr="00B71CE1">
        <w:t>.</w:t>
      </w:r>
      <w:r w:rsidR="00CB39BB" w:rsidRPr="00B71CE1">
        <w:tab/>
        <w:t xml:space="preserve">zauważa, że oświadczenia o interesach członków Trybunału są wypełniane corocznie oraz każdorazowo w przypadku istotnej zmiany, a następnie publikowane na stronach internetowych Trybunału; z zadowoleniem zauważa, że w </w:t>
      </w:r>
      <w:proofErr w:type="spellStart"/>
      <w:r w:rsidR="00CB39BB" w:rsidRPr="00B71CE1">
        <w:t>internecie</w:t>
      </w:r>
      <w:proofErr w:type="spellEnd"/>
      <w:r w:rsidR="00CB39BB" w:rsidRPr="00B71CE1">
        <w:t xml:space="preserve"> publikowane są również informacje dotyczące podróży służbowych członków Trybunału, w tym ich koszty; wyraża uznanie dla Trybunału za sfinalizowanie w 2024 r. prac nad aktualizacją zasad dotyczących prowadzenia postępowań administracyjnych i dyscyplinarnych; zauważa, że zgodnie z kwestionariuszem w 2024 r. nie wykryto żadnych przypadków konfliktu interesów;</w:t>
      </w:r>
    </w:p>
    <w:p w14:paraId="3BBCD4A4" w14:textId="0AAABA6B" w:rsidR="00CB39BB" w:rsidRPr="00B71CE1" w:rsidRDefault="00847D30" w:rsidP="00CB39BB">
      <w:pPr>
        <w:pStyle w:val="NormalHanging12a"/>
        <w:rPr>
          <w:szCs w:val="24"/>
        </w:rPr>
      </w:pPr>
      <w:r>
        <w:lastRenderedPageBreak/>
        <w:t>44</w:t>
      </w:r>
      <w:r w:rsidR="00CB39BB" w:rsidRPr="00B71CE1">
        <w:t>.</w:t>
      </w:r>
      <w:r w:rsidR="00CB39BB" w:rsidRPr="00B71CE1">
        <w:tab/>
        <w:t>z zadowoleniem zauważa, że zgodnie z kwestionariuszem Trybunał co roku organizuje szkolenie w postaci „dnia etyki”; zauważa ponadto, że w 2024 r. Trybunał zapewnił wszystkim pracownikom – w tym nowo zatrudnionym i kadrze kierowniczej – szkolenia z zakresu etyki, w tym trzy warsztaty na temat etyki; zwraca uwagę, że szkolenia te przyciągnęły w omawianym roku 681 uczestników;</w:t>
      </w:r>
    </w:p>
    <w:p w14:paraId="56367A2F" w14:textId="52BE4C3F" w:rsidR="00CB39BB" w:rsidRPr="00B71CE1" w:rsidRDefault="00847D30" w:rsidP="00CB39BB">
      <w:pPr>
        <w:pStyle w:val="NormalHanging12a"/>
        <w:rPr>
          <w:szCs w:val="24"/>
        </w:rPr>
      </w:pPr>
      <w:r>
        <w:t>45</w:t>
      </w:r>
      <w:r w:rsidR="00CB39BB" w:rsidRPr="00B71CE1">
        <w:t>.</w:t>
      </w:r>
      <w:r w:rsidR="00CB39BB" w:rsidRPr="00B71CE1">
        <w:tab/>
        <w:t>zauważa, że w 2024 r. ani Europejski Urząd ds. Zwalczania Nadużyć Finansowych (OLAF), ani Europejski Rzecznik Praw Obywatelskich nie wszczęli żadnych dochodzeń dotyczących Trybunału;</w:t>
      </w:r>
    </w:p>
    <w:p w14:paraId="02FA386A" w14:textId="47A51987" w:rsidR="00CB39BB" w:rsidRPr="00B71CE1" w:rsidRDefault="00847D30" w:rsidP="00CB39BB">
      <w:pPr>
        <w:pStyle w:val="NormalHanging12a"/>
        <w:rPr>
          <w:szCs w:val="24"/>
        </w:rPr>
      </w:pPr>
      <w:r>
        <w:t>4</w:t>
      </w:r>
      <w:r w:rsidR="0059635C">
        <w:t>6</w:t>
      </w:r>
      <w:r w:rsidR="00CB39BB" w:rsidRPr="00B71CE1">
        <w:t>.</w:t>
      </w:r>
      <w:r w:rsidR="00CB39BB" w:rsidRPr="00B71CE1">
        <w:tab/>
        <w:t>ponawia wyrażoną w poprzednich rezolucjach w sprawie udzielenia absolutorium krytykę decyzji Trybunału z 2022 r. dotyczącej podróży służbowych i misji jego członków oraz korzystania przez nich z kierowców i samochodów; jest ona sprzeczna z ogólną zasadą, zgodnie z którą flota samochodowa nie powinna – w żadnych okolicznościach – być wykorzystywana poza ścisłym wykonywaniem obowiązków członków Trybunału; ponawia ponadto apel do wszystkich instytucji Unii o uzgodnienie jednolitego systemu dotyczącego korzystania z samochodów służbowych, który miałby zastosowanie horyzontalne, co zmniejszyłoby niejasności oraz zwiększyłoby przejrzystość i efektywność wykorzystania środków publicznych; z zadowoleniem przyjmuje fakt, że w 2024 r. Trybunał, wspólnie z TSUE, zwrócił się do Komisji o udział w dialogu międzyinstytucjonalnym w celu uzgodnienia wspólnych zasad dotyczących korzystania z samochodów służbowych; zauważa w tym kontekście, że zgodnie z kwestionariuszem utworzono grupę roboczą ad hoc, która odbyła kilka posiedzeń i przedstawiła szereg zaleceń; zachęca Trybunał do dalszego informowania organu udzielającego absolutorium o postępach w tej sprawie;</w:t>
      </w:r>
    </w:p>
    <w:p w14:paraId="5452FE18" w14:textId="6ECB30D0" w:rsidR="00CB39BB" w:rsidRPr="00B71CE1" w:rsidRDefault="00847D30" w:rsidP="00CB39BB">
      <w:pPr>
        <w:pStyle w:val="NormalHanging12a"/>
        <w:rPr>
          <w:szCs w:val="24"/>
        </w:rPr>
      </w:pPr>
      <w:r>
        <w:t>47</w:t>
      </w:r>
      <w:r w:rsidR="00CB39BB" w:rsidRPr="00B71CE1">
        <w:t>.</w:t>
      </w:r>
      <w:r w:rsidR="00CB39BB" w:rsidRPr="00B71CE1">
        <w:tab/>
        <w:t>przypomina, że Służba Audytu Wewnętrznego Trybunału (IAS) przeprowadziła audyt ram etycznych mających zastosowanie do pracowników i członków Trybunału; zauważa, że zgodnie ze sprawozdaniem końcowym (02/2023) przesłanym przez Trybunał przewodniczącej Parlamentu 9 lipca 2024 r. oraz zgodnie z kwestionariuszem IAS wydała 16 zaleceń, z których 15 zostało już zrealizowanych, natomiast jedno – dotyczące konfliktu interesów wśród pracowników – pozostaje w trakcie realizacji; wzywa Trybunał do niezwłocznego wypełnienia niezrealizowanego zalecenia i zwraca się do niego o należyte informowanie organu udzielającego absolutorium o postępach poczynionych w tym zakresie;</w:t>
      </w:r>
    </w:p>
    <w:p w14:paraId="0EEAB26B" w14:textId="041C85AA" w:rsidR="00CB39BB" w:rsidRPr="00B71CE1" w:rsidRDefault="00847D30" w:rsidP="00CB39BB">
      <w:pPr>
        <w:pStyle w:val="NormalHanging12a"/>
        <w:rPr>
          <w:szCs w:val="24"/>
        </w:rPr>
      </w:pPr>
      <w:bookmarkStart w:id="9" w:name="_Hlk215774993"/>
      <w:r>
        <w:t>48</w:t>
      </w:r>
      <w:r w:rsidR="00CB39BB" w:rsidRPr="00B71CE1">
        <w:t>.</w:t>
      </w:r>
      <w:r w:rsidR="00CB39BB" w:rsidRPr="00B71CE1">
        <w:tab/>
        <w:t xml:space="preserve">zwraca uwagę, że zgodnie ze sprawozdaniem Trybunału w 2024 r. nie stwierdzono żadnych przypadków korupcji ani nadużyć finansowych w jego operacjach wewnętrznych; wyraża uznanie dla Trybunału za organizowanie szkoleń prewencyjnych dotyczących polityk i procedur antykorupcyjnych – w 2024 r. odbyło się 10 takich sesji, w których łącznie uczestniczyło 257 osób; docenia fakt, że zgodnie ze sprawozdaniem uzupełniającym Trybunał wydał w 2024 r. jeden skonsolidowany dokument dotyczący kwestii związanych z nadużyciami finansowymi w kontekście prowadzonych przez niego działań kontrolnych, który to dokument zawiera kompleksowe i szczegółowe wytyczne dla kontrolerów Trybunału, co pozwoliło na ujednolicenie sposobu, w jaki izby kontroli Trybunału odnoszą się do przypadków podejrzeń o nadużycia finansowe, korupcję lub wszelką inną nielegalną działalność naruszającą interesy finansowe Unii, ujawnionych podczas zewnętrznych prac kontrolnych, oraz przyczyniło się do zapewnienia spójności; zauważa, że ryzyko nadużyć finansowych związanych z wewnętrznymi operacjami Trybunału jest zarządzane za pomocą wewnętrznych ram kontroli Trybunału, których celem jest zapobieganie wszelkim nieprawidłowościom z </w:t>
      </w:r>
      <w:r w:rsidR="00CB39BB" w:rsidRPr="00B71CE1">
        <w:lastRenderedPageBreak/>
        <w:t>udziałem członków lub pracowników Trybunału, które mogłyby mieć wpływ na interesy finansowe Unii, a także wykrywanie takich nieprawidłowości, korygowanie ich i podejmowanie działań następczych; zwraca ponadto uwagę na stanowisko Trybunału, zgodnie z którym opracowanie odrębnej strategii w zakresie zwalczania nadużyć finansowych dla operacji wewnętrznych „wiązałoby się z nieproporcjonalnym obciążeniem administracyjnym, biorąc pod uwagę już funkcjonujące rozbudowane kontrole”, niemniej nadal wzywa Trybunał do przyjęcia strategii w zakresie zwalczania nadużyć finansowych obejmującej wszystkie rodzaje operacji;</w:t>
      </w:r>
    </w:p>
    <w:bookmarkEnd w:id="9"/>
    <w:p w14:paraId="5CCB793A" w14:textId="191810D3" w:rsidR="00CB39BB" w:rsidRPr="00B71CE1" w:rsidRDefault="00847D30" w:rsidP="00CB39BB">
      <w:pPr>
        <w:pStyle w:val="NormalHanging12a"/>
        <w:rPr>
          <w:szCs w:val="24"/>
        </w:rPr>
      </w:pPr>
      <w:r>
        <w:t>49</w:t>
      </w:r>
      <w:r w:rsidR="00CB39BB" w:rsidRPr="00B71CE1">
        <w:t>.</w:t>
      </w:r>
      <w:r w:rsidR="00CB39BB" w:rsidRPr="00B71CE1">
        <w:tab/>
        <w:t>przyjmuje do wiadomości opinię Trybunału wyrażoną w sprawozdaniu uzupełniającym, zgodnie z którą jego rola jako niezależnej instytucji kontroli zewnętrznej sprawia, że nie podlega on typowym zasadom obowiązującym podmioty dążące do nawiązania współpracy z organami decyzyjnymi Unii i wywierania na nie wpływu; jest zdania, że argument ten nie ma w pełni zastosowania, ponieważ Trybunał publikuje sprawozdania specjalne, w których bada, czy cele polityk i programów Unii zostały osiągnięte, co nadaje jego pracom wymiar polityczny lub doradczy, nawet jeżeli Trybunał nie jest organem decyzyjnym; przypomina ponadto, że istnieją inne niedecyzyjne oraz doradcze organy Unii, które formalnie przystąpiły do unijnego rejestru służącego przejrzystości; ponawia apel do Trybunału o niezwłoczne przystąpienie do rejestru służącego przejrzystości, zgodnie z praktykami innych organów Unii niepodejmujących decyzji, w celu wzmocnienia zaufania publicznego przy jednoczesnym pełnym zachowaniu jego niezależności jako zewnętrznego kontrolera Unii;</w:t>
      </w:r>
    </w:p>
    <w:p w14:paraId="04F6956B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 xml:space="preserve">Cyfryzacja, </w:t>
      </w:r>
      <w:proofErr w:type="spellStart"/>
      <w:r w:rsidRPr="00B71CE1">
        <w:rPr>
          <w:b/>
          <w:i/>
        </w:rPr>
        <w:t>cyberbezpieczeństwo</w:t>
      </w:r>
      <w:proofErr w:type="spellEnd"/>
      <w:r w:rsidRPr="00B71CE1">
        <w:rPr>
          <w:b/>
          <w:i/>
        </w:rPr>
        <w:t xml:space="preserve"> i ochrona danych</w:t>
      </w:r>
    </w:p>
    <w:p w14:paraId="02CEDA34" w14:textId="4B4A2C2B" w:rsidR="00CB39BB" w:rsidRPr="00B71CE1" w:rsidRDefault="00847D30" w:rsidP="00CB39BB">
      <w:pPr>
        <w:pStyle w:val="NormalHanging12a"/>
        <w:rPr>
          <w:szCs w:val="24"/>
        </w:rPr>
      </w:pPr>
      <w:r>
        <w:t>50</w:t>
      </w:r>
      <w:r w:rsidR="00CB39BB" w:rsidRPr="00B71CE1">
        <w:t>.</w:t>
      </w:r>
      <w:r w:rsidR="00CB39BB" w:rsidRPr="00B71CE1">
        <w:tab/>
        <w:t>zauważa, że zgodnie z kwestionariuszem całkowity budżet Trybunału przeznaczony na technologie informacyjne (sprzęt, oprogramowanie, usługi IT i telekomunikacja) zmniejszył się o 12,10 % – z około 10,8 mln EUR w 2023 r. do około 9,5 mln EUR w 2024 r.; odnotowuje, że do głównych projektów informatycznych Trybunału finansowanych w 2024 r. należały: modernizacja strony internetowej i intranetu, migracja do bezpieczniejszego rozwiązania zdalnego dostępu oraz wdrożenie nowego systemu zarządzania tłumaczeniami;</w:t>
      </w:r>
    </w:p>
    <w:p w14:paraId="5495B66F" w14:textId="778D4C54" w:rsidR="00CB39BB" w:rsidRPr="00B71CE1" w:rsidRDefault="00847D30" w:rsidP="00CB39BB">
      <w:pPr>
        <w:pStyle w:val="NormalHanging12a"/>
        <w:rPr>
          <w:szCs w:val="24"/>
        </w:rPr>
      </w:pPr>
      <w:r>
        <w:t>51</w:t>
      </w:r>
      <w:r w:rsidR="00CB39BB" w:rsidRPr="00B71CE1">
        <w:t>.</w:t>
      </w:r>
      <w:r w:rsidR="00CB39BB" w:rsidRPr="00B71CE1">
        <w:tab/>
        <w:t xml:space="preserve">zdecydowanie popiera wysiłki Trybunału na rzecz rozwijania ekosystemu wiedzy na temat kontroli przez cyfryzację; zauważa w tym kontekście, że zgodnie z kwestionariuszem w 2024 r. Trybunał wdrożył szereg inicjatyw mających na celu wzmocnienie jego zdolności cyfrowych i efektywności operacyjnej; obejmują one integrację informatycznych systemów kontroli, zwiększenie interoperacyjności między systemami i aplikacjami, wprowadzenie asystenta czytania dokumentów (DORA) w celu wsparcia zarządzania wiedzą w działaniach kontrolnych, uruchomienie usługi </w:t>
      </w:r>
      <w:proofErr w:type="spellStart"/>
      <w:r w:rsidR="00CB39BB" w:rsidRPr="00B71CE1">
        <w:t>BibliotECA</w:t>
      </w:r>
      <w:proofErr w:type="spellEnd"/>
      <w:r w:rsidR="00CB39BB" w:rsidRPr="00B71CE1">
        <w:t xml:space="preserve"> Discovery </w:t>
      </w:r>
      <w:proofErr w:type="spellStart"/>
      <w:r w:rsidR="00CB39BB" w:rsidRPr="00B71CE1">
        <w:t>Collections</w:t>
      </w:r>
      <w:proofErr w:type="spellEnd"/>
      <w:r w:rsidR="00CB39BB" w:rsidRPr="00B71CE1">
        <w:t xml:space="preserve"> Service oraz przyjęcie nowej polityki cyfrowego archiwizowania; podkreśla, że połączenie cyfryzacji ze zwiększoną liczbą wizyt na miejscu powinno prowadzić do bardziej efektywnych i dokładnych wyników kontroli; zachęca do dalszych inwestycji w narzędzia audytu wspomagane sztuczną inteligencją i w interoperacyjność systemów w celu zwiększenia dokładności audytu, zmniejszenia obciążeń administracyjnych i zapewnienia jak największej rentowności;</w:t>
      </w:r>
    </w:p>
    <w:p w14:paraId="0E84AD5A" w14:textId="02B62323" w:rsidR="00CB39BB" w:rsidRPr="00B71CE1" w:rsidRDefault="00847D30" w:rsidP="00CB39BB">
      <w:pPr>
        <w:pStyle w:val="NormalHanging12a"/>
        <w:rPr>
          <w:szCs w:val="24"/>
        </w:rPr>
      </w:pPr>
      <w:r>
        <w:t>52</w:t>
      </w:r>
      <w:r w:rsidR="00CB39BB" w:rsidRPr="00B71CE1">
        <w:t>.</w:t>
      </w:r>
      <w:r w:rsidR="00CB39BB" w:rsidRPr="00B71CE1">
        <w:tab/>
        <w:t xml:space="preserve">docenia publikację wstępnej strategii Trybunału w zakresie sztucznej inteligencji oraz planu jej wdrażania na lata 2024–2025; z zadowoleniem odnotowuje, że zgodnie z kwestionariuszem Trybunał poczynił stabilne postępy we wdrażaniu tej strategii, koncentrując się między innymi na testowaniu i przygotowaniu do wdrożenia narzędzi </w:t>
      </w:r>
      <w:r w:rsidR="00CB39BB" w:rsidRPr="00B71CE1">
        <w:lastRenderedPageBreak/>
        <w:t xml:space="preserve">takich jak Microsoft </w:t>
      </w:r>
      <w:proofErr w:type="spellStart"/>
      <w:r w:rsidR="00CB39BB" w:rsidRPr="00B71CE1">
        <w:t>Copilot</w:t>
      </w:r>
      <w:proofErr w:type="spellEnd"/>
      <w:r w:rsidR="00CB39BB" w:rsidRPr="00B71CE1">
        <w:t xml:space="preserve"> oraz GPT@EC, podnoszeniu świadomości pracowników przez ukierunkowane szkolenia z zakresu sztucznej inteligencji, a także testowaniu zastosowań sztucznej inteligencji w pracach kontrolnych i dzieleniu się wstępnymi ustaleniami; ponadto z zadowoleniem przyjmuje wzmocnienie zarządzania sztuczną inteligencją w Trybunale przez utworzenie komitetu doradczego ds. sztucznej inteligencji oraz wyznaczenie w 2024 r. korespondenta ds. sztucznej inteligencji; z zadowoleniem zauważa, że komitet doradczy ds. sztucznej inteligencji, którego zadaniem jest wspieranie Trybunału i doradzanie mu w wypełnianiu obowiązków wynikających z ram prawnych i etycznych regulujących korzystanie ze sztucznej inteligencji, składa się z pracowników posiadających zróżnicowane kompetencje, aby zapewnić kompleksowe podejście i zrozumienie wpływu sztucznej inteligencji; wzywa Trybunał, aby w ramach swojej strategii w zakresie sztucznej inteligencji opracował jasne wskaźniki służące do oceny wartości dodanej, zagrożeń i ograniczeń związanych z narzędziami audytu wspieranymi przez sztuczną inteligencję oraz aby regularnie składał Parlamentowi sprawozdania na temat ich wpływu na jakość kontroli, przejrzystość i rozliczalność; podkreśla, że sztuczna inteligencja musi być wykorzystywana zgodnie z rygorystycznymi zasadami etycznego korzystania, przejrzystości, ochrony danych, nadzoru ludzkiego oraz ochrony przed stronniczością algorytmów lub ich nadużywaniem;</w:t>
      </w:r>
    </w:p>
    <w:p w14:paraId="12FB04D4" w14:textId="206EA97E" w:rsidR="00CB39BB" w:rsidRPr="00B71CE1" w:rsidRDefault="00847D30" w:rsidP="00CB39BB">
      <w:pPr>
        <w:pStyle w:val="NormalHanging12a"/>
        <w:rPr>
          <w:szCs w:val="24"/>
        </w:rPr>
      </w:pPr>
      <w:r>
        <w:t>53</w:t>
      </w:r>
      <w:r w:rsidR="00CB39BB" w:rsidRPr="00B71CE1">
        <w:t>.</w:t>
      </w:r>
      <w:r w:rsidR="00CB39BB" w:rsidRPr="00B71CE1">
        <w:tab/>
        <w:t xml:space="preserve">zwraca uwagę, że zgodnie z kwestionariuszem w 2024 r. Trybunał poczynił postępy we wdrażaniu planu dotyczącego </w:t>
      </w:r>
      <w:proofErr w:type="spellStart"/>
      <w:r w:rsidR="00CB39BB" w:rsidRPr="00B71CE1">
        <w:t>cyberbezpieczeństwa</w:t>
      </w:r>
      <w:proofErr w:type="spellEnd"/>
      <w:r w:rsidR="00CB39BB" w:rsidRPr="00B71CE1">
        <w:t xml:space="preserve"> i osiągnął kilka ważnych kamieni milowych, w tym przyjął system uwierzytelniania </w:t>
      </w:r>
      <w:proofErr w:type="spellStart"/>
      <w:r w:rsidR="00CB39BB" w:rsidRPr="00B71CE1">
        <w:t>bezhasłowego</w:t>
      </w:r>
      <w:proofErr w:type="spellEnd"/>
      <w:r w:rsidR="00CB39BB" w:rsidRPr="00B71CE1">
        <w:t xml:space="preserve"> za pośrednictwem Windows Hello for Business, zastosował zasadę zerowego zaufania w celu wzmocnienia bezpieczeństwa dostępu do systemów chmurowych i systemów opartych na EU Login oraz wdrożył narzędzia do zarządzania dostępem uprzywilejowanym w celu lepszej ochrony administracji systemów informatycznych; zauważa ponadto, że Trybunał zwiększył swoją gotowość do reagowania w obszarze </w:t>
      </w:r>
      <w:proofErr w:type="spellStart"/>
      <w:r w:rsidR="00CB39BB" w:rsidRPr="00B71CE1">
        <w:t>cyberbezpieczeństwa</w:t>
      </w:r>
      <w:proofErr w:type="spellEnd"/>
      <w:r w:rsidR="00CB39BB" w:rsidRPr="00B71CE1">
        <w:t xml:space="preserve"> przez udział we wspólnych ćwiczeniach z zakresu świadomości i gotowości w dziedzinie </w:t>
      </w:r>
      <w:proofErr w:type="spellStart"/>
      <w:r w:rsidR="00CB39BB" w:rsidRPr="00B71CE1">
        <w:t>cyberbezpieczeństwa</w:t>
      </w:r>
      <w:proofErr w:type="spellEnd"/>
      <w:r w:rsidR="00CB39BB" w:rsidRPr="00B71CE1">
        <w:t xml:space="preserve"> (JASPER), współorganizowanych przez zespół reagowania na incydenty komputerowe w instytucjach, organach i agencjach UE (CERT-EU) oraz Agencję Unii Europejskiej ds. </w:t>
      </w:r>
      <w:proofErr w:type="spellStart"/>
      <w:r w:rsidR="00CB39BB" w:rsidRPr="00B71CE1">
        <w:t>Cyberbezpieczeństwa</w:t>
      </w:r>
      <w:proofErr w:type="spellEnd"/>
      <w:r w:rsidR="00CB39BB" w:rsidRPr="00B71CE1">
        <w:t xml:space="preserve"> (ENISA), a także podnosił świadomość pracowników przez ćwiczenia symulacyjne dotyczące </w:t>
      </w:r>
      <w:proofErr w:type="spellStart"/>
      <w:r w:rsidR="00CB39BB" w:rsidRPr="00B71CE1">
        <w:t>phishingu</w:t>
      </w:r>
      <w:proofErr w:type="spellEnd"/>
      <w:r w:rsidR="00CB39BB" w:rsidRPr="00B71CE1">
        <w:t xml:space="preserve"> w celu ograniczania ryzyka związanego z inżynierią społeczną;</w:t>
      </w:r>
    </w:p>
    <w:p w14:paraId="42F4F628" w14:textId="50690DF5" w:rsidR="00CB39BB" w:rsidRPr="00B71CE1" w:rsidRDefault="00847D30" w:rsidP="00CB39BB">
      <w:pPr>
        <w:pStyle w:val="NormalHanging12a"/>
        <w:rPr>
          <w:szCs w:val="24"/>
        </w:rPr>
      </w:pPr>
      <w:r>
        <w:t>54</w:t>
      </w:r>
      <w:r w:rsidR="00CB39BB" w:rsidRPr="00B71CE1">
        <w:t>.</w:t>
      </w:r>
      <w:r w:rsidR="00CB39BB" w:rsidRPr="00B71CE1">
        <w:tab/>
        <w:t xml:space="preserve">zauważa z niepokojem, że Trybunał doświadczył cyberataku, do którego przyznała się prorosyjska grupa i w wyniku którego wyłączono publiczną stronę internetową Trybunału w ramach skoordynowanej akcji mającej na celu destabilizację wyborów europejskich w 2024 r.; z zadowoleniem przyjmuje zobowiązanie Trybunału do przeprowadzania oceny ryzyka w cyberprzestrzeni co najmniej raz na dwa lata; zachęca do dalszego wdrażania regularnych szkoleń dla pracowników w zakresie </w:t>
      </w:r>
      <w:proofErr w:type="spellStart"/>
      <w:r w:rsidR="00CB39BB" w:rsidRPr="00B71CE1">
        <w:t>cyberzagrożeń</w:t>
      </w:r>
      <w:proofErr w:type="spellEnd"/>
      <w:r w:rsidR="00CB39BB" w:rsidRPr="00B71CE1">
        <w:t xml:space="preserve"> w celu wzmocnienia odporności instytucjonalnej; zachęca Trybunał do informowania organu udzielającego absolutorium o wynikach wszelkich ocen ryzyka w cyberprzestrzeni, które Trybunał może przeprowadzić w kontekście wdrażania rozporządzenia (UE, </w:t>
      </w:r>
      <w:proofErr w:type="spellStart"/>
      <w:r w:rsidR="00CB39BB" w:rsidRPr="00B71CE1">
        <w:t>Euratom</w:t>
      </w:r>
      <w:proofErr w:type="spellEnd"/>
      <w:r w:rsidR="00CB39BB" w:rsidRPr="00B71CE1">
        <w:t>) 2023/2841</w:t>
      </w:r>
      <w:r w:rsidR="00CB39BB" w:rsidRPr="00B71CE1">
        <w:rPr>
          <w:szCs w:val="24"/>
          <w:vertAlign w:val="superscript"/>
        </w:rPr>
        <w:footnoteReference w:id="7"/>
      </w:r>
      <w:r w:rsidR="00CB39BB" w:rsidRPr="00B71CE1">
        <w:t>;</w:t>
      </w:r>
    </w:p>
    <w:p w14:paraId="4A943EC3" w14:textId="260DAE52" w:rsidR="00CB39BB" w:rsidRPr="00B71CE1" w:rsidRDefault="00847D30" w:rsidP="00CB39BB">
      <w:pPr>
        <w:pStyle w:val="NormalHanging12a"/>
        <w:rPr>
          <w:szCs w:val="24"/>
        </w:rPr>
      </w:pPr>
      <w:r>
        <w:lastRenderedPageBreak/>
        <w:t>55</w:t>
      </w:r>
      <w:r w:rsidR="00CB39BB" w:rsidRPr="00B71CE1">
        <w:t>.</w:t>
      </w:r>
      <w:r w:rsidR="00CB39BB" w:rsidRPr="00B71CE1">
        <w:tab/>
        <w:t xml:space="preserve">z zadowoleniem przyjmuje planowane inicjatywy na 2025 r., których celem jest dalsze wzmocnienie transformacji cyfrowej i </w:t>
      </w:r>
      <w:proofErr w:type="spellStart"/>
      <w:r w:rsidR="00CB39BB" w:rsidRPr="00B71CE1">
        <w:t>cyberbezpieczeństwa</w:t>
      </w:r>
      <w:proofErr w:type="spellEnd"/>
      <w:r w:rsidR="00CB39BB" w:rsidRPr="00B71CE1">
        <w:t xml:space="preserve">, takie jak wdrożenie Microsoft </w:t>
      </w:r>
      <w:proofErr w:type="spellStart"/>
      <w:r w:rsidR="00CB39BB" w:rsidRPr="00B71CE1">
        <w:t>Copilot</w:t>
      </w:r>
      <w:proofErr w:type="spellEnd"/>
      <w:r w:rsidR="00CB39BB" w:rsidRPr="00B71CE1">
        <w:t>, wdrożenie lokalnych modeli generatywnej sztucznej inteligencji oraz instalacja uwierzytelniania biometrycznego na laptopach; przyjmuje również do wiadomości plan Trybunału dotyczący modernizacji infrastruktury IT przez instalację nowych serwerów, wdrożenie nowych funkcji wspierających spotkania hybrydowe oraz wzmocnienie współpracy z Międzyinstytucjonalnym Komitetem ds. Transformacji Cyfrowej w zakresie powstających technologii, takich jak sztuczna inteligencja;</w:t>
      </w:r>
    </w:p>
    <w:p w14:paraId="34389DB3" w14:textId="75E545FE" w:rsidR="00CB39BB" w:rsidRPr="00B71CE1" w:rsidRDefault="00847D30" w:rsidP="00CB39BB">
      <w:pPr>
        <w:pStyle w:val="NormalHanging12a"/>
        <w:rPr>
          <w:szCs w:val="24"/>
        </w:rPr>
      </w:pPr>
      <w:r>
        <w:t>56</w:t>
      </w:r>
      <w:r w:rsidR="00CB39BB" w:rsidRPr="00B71CE1">
        <w:t>.</w:t>
      </w:r>
      <w:r w:rsidR="00CB39BB" w:rsidRPr="00B71CE1">
        <w:tab/>
        <w:t>oczekuje, że zmieniona polityka podpisu elektronicznego, wprowadzona przez Trybunał w 2025 r., dodatkowo ułatwi korzystanie z zaawansowanych podpisów elektronicznych oraz ograniczy zależność od procedur papierowych, w szczególności w odniesieniu do zewnętrznej dokumentacji umownej; oczekuje dalszej cyfryzacji procesów zatwierdzania i podpisywania dokumentów; uznaje pozytywny jakościowy wpływ cyfryzacji na przebieg prac kontrolnych, współpracę i przejrzystość, przyczyniający się do bardziej elastycznych i wiarygodnych wyników kontroli;</w:t>
      </w:r>
    </w:p>
    <w:p w14:paraId="7B06B437" w14:textId="77BB290A" w:rsidR="00CB39BB" w:rsidRPr="00B71CE1" w:rsidRDefault="00847D30" w:rsidP="00CB39BB">
      <w:pPr>
        <w:pStyle w:val="NormalHanging12a"/>
        <w:rPr>
          <w:szCs w:val="24"/>
        </w:rPr>
      </w:pPr>
      <w:r>
        <w:t>57</w:t>
      </w:r>
      <w:r w:rsidR="00CB39BB" w:rsidRPr="00B71CE1">
        <w:t>.</w:t>
      </w:r>
      <w:r w:rsidR="00CB39BB" w:rsidRPr="00B71CE1">
        <w:tab/>
        <w:t xml:space="preserve">z zadowoleniem przyjmuje kontynuowane przez Trybunał działania na rzecz wzmacniania kompetencji pracowników przez program szkoleń w zakresie danych i technologii dotyczący wykorzystania danych i technologii w działalności kontrolnej, opracowany we współpracy z zespołem DATA Trybunału; zwraca uwagę, że inicjatywa ta wspiera transformację cyfrową instytucji przez promowanie kultury innowacji i zapewnianie ustrukturyzowanej ścieżki uczenia się – od poziomu podstawowego do zaawansowanego – w zakresie nauki o danych, sztucznej inteligencji oraz kontroli systemów informatycznych; dostrzega szeroki zakres szkoleń zrealizowanych w 2024 r., obejmujących między innymi moduły dotyczące uczenia maszynowego, </w:t>
      </w:r>
      <w:proofErr w:type="spellStart"/>
      <w:r w:rsidR="00CB39BB" w:rsidRPr="00B71CE1">
        <w:t>cyberbezpieczeństwa</w:t>
      </w:r>
      <w:proofErr w:type="spellEnd"/>
      <w:r w:rsidR="00CB39BB" w:rsidRPr="00B71CE1">
        <w:t>, ram prawnych regulujących korzystanie ze sztucznej inteligencji oraz wizualizacji danych, a także praktyczne szkolenia IT z zakresu pakietu Microsoft Office i narzędzi wykorzystywanych w kontroli, które wzmacniają wiedzę techniczną kontrolerów i efektywność operacyjną;</w:t>
      </w:r>
    </w:p>
    <w:p w14:paraId="4B3C9A2A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Budynki</w:t>
      </w:r>
    </w:p>
    <w:p w14:paraId="6EF32495" w14:textId="622269EE" w:rsidR="00CB39BB" w:rsidRPr="00B71CE1" w:rsidRDefault="00847D30" w:rsidP="00CB39BB">
      <w:pPr>
        <w:pStyle w:val="NormalHanging12a"/>
        <w:rPr>
          <w:szCs w:val="24"/>
        </w:rPr>
      </w:pPr>
      <w:r>
        <w:t>58</w:t>
      </w:r>
      <w:r w:rsidR="00CB39BB" w:rsidRPr="00B71CE1">
        <w:t>.</w:t>
      </w:r>
      <w:r w:rsidR="00CB39BB" w:rsidRPr="00B71CE1">
        <w:tab/>
        <w:t>zwraca uwagę, że zgodnie ze sprawozdaniem Trybunału dotyczącym zarządzania budżetem i finansami za 2024 r. środki na zobowiązania na omawiany rok przeznaczone na budynki Trybunału i związane z nimi koszty wyniosły około 5,7 mln EUR (tyle samo co w 2023 r.), przy wskaźniku wykonania wynoszącym 51,30 % w 2024 r., w porównaniu z 62,26 % w 2023 r.;</w:t>
      </w:r>
    </w:p>
    <w:p w14:paraId="00CF547B" w14:textId="5D46AEB1" w:rsidR="00CB39BB" w:rsidRPr="00B71CE1" w:rsidRDefault="00847D30" w:rsidP="00CB39BB">
      <w:pPr>
        <w:pStyle w:val="NormalHanging12a"/>
        <w:rPr>
          <w:szCs w:val="24"/>
        </w:rPr>
      </w:pPr>
      <w:r>
        <w:t>59</w:t>
      </w:r>
      <w:r w:rsidR="00CB39BB" w:rsidRPr="00B71CE1">
        <w:t>.</w:t>
      </w:r>
      <w:r w:rsidR="00CB39BB" w:rsidRPr="00B71CE1">
        <w:tab/>
        <w:t>z uznaniem zauważa, że w 2024 r. Trybunał zainicjował nowe badanie dotyczące oznakowania budynków w następstwie wyników kontroli dostępności wszystkich budynków Trybunału przeprowadzonej w 2023 r.; zauważa ponadto, że zgodnie z kwestionariuszem Trybunał kontynuował działania na rzecz poprawy stanu swoich budynków przez uwzględnienie wymogów dotyczących dostępności podczas modernizacji lub remontów wind oraz części wspólnych w 2024 r.;</w:t>
      </w:r>
    </w:p>
    <w:p w14:paraId="2CE898F9" w14:textId="7BA8B754" w:rsidR="00CB39BB" w:rsidRPr="00B71CE1" w:rsidRDefault="00847D30" w:rsidP="00CB39BB">
      <w:pPr>
        <w:pStyle w:val="NormalHanging12a"/>
        <w:rPr>
          <w:szCs w:val="24"/>
        </w:rPr>
      </w:pPr>
      <w:r>
        <w:t>60</w:t>
      </w:r>
      <w:r w:rsidR="00CB39BB" w:rsidRPr="00B71CE1">
        <w:t>.</w:t>
      </w:r>
      <w:r w:rsidR="00CB39BB" w:rsidRPr="00B71CE1">
        <w:tab/>
        <w:t>zauważa, że wśród projektów związanych z budynkami Trybunału rozpoczętych lub sfinalizowanych w 2024 r. znalazły się: adaptacja dawnego pomieszczenia centrum danych, pierwszy etap modernizacji systemu audiowizualnego w sali konferencyjnej K2, instalacja dwóch aneksów kuchennych oraz prace na dachu budynku K2;</w:t>
      </w:r>
    </w:p>
    <w:p w14:paraId="72415B53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lastRenderedPageBreak/>
        <w:t>Środowisko i zrównoważony rozwój</w:t>
      </w:r>
    </w:p>
    <w:p w14:paraId="505986CF" w14:textId="128E1B76" w:rsidR="00CB39BB" w:rsidRPr="00B71CE1" w:rsidRDefault="00847D30" w:rsidP="00CB39BB">
      <w:pPr>
        <w:pStyle w:val="NormalHanging12a"/>
        <w:rPr>
          <w:szCs w:val="24"/>
        </w:rPr>
      </w:pPr>
      <w:r>
        <w:t>61</w:t>
      </w:r>
      <w:r w:rsidR="00CB39BB" w:rsidRPr="00B71CE1">
        <w:t>.</w:t>
      </w:r>
      <w:r w:rsidR="00CB39BB" w:rsidRPr="00B71CE1">
        <w:tab/>
        <w:t>z uznaniem przyjmuje trwające działania Trybunału na rzecz funkcjonowania jako instytucja zrównoważona; zauważa, że w 2024 r. Trybunał opublikował czwarte sprawozdanie na temat zrównoważonego rozwoju, w którym oceniono wpływ działalności Trybunału na gospodarkę, społeczeństwo i środowisko; z zadowoleniem zauważa, że 91 % sprawozdań specjalnych i przeglądów opublikowanych przez Trybunał w 2024 r. dotyczyło tematów istotnych z punktu widzenia celów zrównoważonego rozwoju Organizacji Narodów Zjednoczonych; z zadowoleniem przyjmuje fakt, że w 2024 r. 40 % zamówień publicznych Trybunału uwzględniało kryteria zielonej gospodarki i gospodarki o obiegu zamkniętym, a 98 % towarów i usług zakupionych przez Trybunał pochodziło od lokalnych dostawców;</w:t>
      </w:r>
    </w:p>
    <w:p w14:paraId="15959AFA" w14:textId="70C040C7" w:rsidR="00CB39BB" w:rsidRPr="00B71CE1" w:rsidRDefault="00847D30" w:rsidP="00CB39BB">
      <w:pPr>
        <w:pStyle w:val="NormalHanging12a"/>
        <w:rPr>
          <w:szCs w:val="24"/>
        </w:rPr>
      </w:pPr>
      <w:r>
        <w:t>62</w:t>
      </w:r>
      <w:r w:rsidR="00CB39BB" w:rsidRPr="00B71CE1">
        <w:t>.</w:t>
      </w:r>
      <w:r w:rsidR="00CB39BB" w:rsidRPr="00B71CE1">
        <w:tab/>
        <w:t xml:space="preserve">zauważa, że Trybunał posiada certyfikat w ramach systemu </w:t>
      </w:r>
      <w:proofErr w:type="spellStart"/>
      <w:r w:rsidR="00CB39BB" w:rsidRPr="00B71CE1">
        <w:t>ekozarządzania</w:t>
      </w:r>
      <w:proofErr w:type="spellEnd"/>
      <w:r w:rsidR="00CB39BB" w:rsidRPr="00B71CE1">
        <w:t xml:space="preserve"> i audytu (EMAS) i od 2014 r. prowadzi politykę ochrony środowiska, zaktualizowaną w 2025 r.; zwraca uwagę, że Trybunał mierzy swój ślad węglowy przy użyciu najnowszej wersji metody „</w:t>
      </w:r>
      <w:proofErr w:type="spellStart"/>
      <w:r w:rsidR="00CB39BB" w:rsidRPr="00B71CE1">
        <w:t>Bilan</w:t>
      </w:r>
      <w:proofErr w:type="spellEnd"/>
      <w:r w:rsidR="00CB39BB" w:rsidRPr="00B71CE1">
        <w:t xml:space="preserve"> Carbon”, obejmującej zakresy zarówno na poziomie operacyjnym (działalność Trybunału), jak i organizacyjnym (trzy budynki w Luksemburgu); odnotowuje, że całkowita emisja gazów cieplarnianych Trybunału w 2024 r. wyniosła 9 108 ton CO</w:t>
      </w:r>
      <w:r w:rsidR="00CB39BB" w:rsidRPr="00B71CE1">
        <w:rPr>
          <w:vertAlign w:val="subscript"/>
        </w:rPr>
        <w:t>2</w:t>
      </w:r>
      <w:r w:rsidR="00CB39BB" w:rsidRPr="00B71CE1">
        <w:t>, co oznacza spadek o 15 % w porównaniu z emisjami z 2014 r., lecz wzrost o 1,60 % w porównaniu z 2023 r.; zauważa, że największy udział w całkowitej emisji Trybunału w 2024 r. miały zakupy towarów i usług oraz przewóz osób – odpowiednio 31 % i 29 %;</w:t>
      </w:r>
    </w:p>
    <w:p w14:paraId="27673240" w14:textId="1A81F401" w:rsidR="00CB39BB" w:rsidRPr="00B71CE1" w:rsidRDefault="00847D30" w:rsidP="00CB39BB">
      <w:pPr>
        <w:pStyle w:val="NormalHanging12a"/>
        <w:rPr>
          <w:szCs w:val="24"/>
        </w:rPr>
      </w:pPr>
      <w:r>
        <w:t>63</w:t>
      </w:r>
      <w:r w:rsidR="00CB39BB" w:rsidRPr="00B71CE1">
        <w:t>.</w:t>
      </w:r>
      <w:r w:rsidR="00CB39BB" w:rsidRPr="00B71CE1">
        <w:tab/>
        <w:t>z zadowoleniem odnotowuje oświadczenie środowiskowe Trybunału przedstawiające wyniki za 2024 r., w tym działania już podjęte oraz planowane do wdrożenia, mające na celu ograniczenie wpływu działalności Trybunału na środowisko oraz osiągnięcie lub przekroczenie rocznych celów w zakresie efektywności środowiskowej; zauważa, że Trybunał mierzy efektywność środowiskową za pomocą zestawu wskaźników oraz kryteriów doskonałości; zwraca uwagę, że w ramach programu środowiskowego na lata 2023–2025 Trybunał posiada zestaw celów ogólnych i szczegółowych, z których większość została osiągnięta w 2024 r., w szczególności w odniesieniu do ograniczenia zużycia energii (energia elektryczna: -24 %; ogrzewanie: -21,80 %), emisji do powietrza (-30 %) oraz zużycia wody (-45 %), a także zwiększenia liczby procedur udzielania zamówień uwzględniających kryteria środowiskowe (powyżej 30 %); zauważa jednak odwrócenie tendencji w odniesieniu do liczby wydrukowanych stron (+9,1 %) oraz ograniczenia rocznej ilości wytwarzanych odpadów (+27,50 %); docenia działania Trybunału służące kompensowaniu jego negatywnego wpływu na różnorodność biologiczną; zauważa, że na terenie swoich obiektów Trybunał utrzymuje kilka uli, w których pszczoły produkują miód zbierany przez pracowników-wolontariuszy, oraz że Trybunał uczestniczy w inicjatywach sadzenia drzew w Luksemburgu i w innych działaniach proekologicznych w ramach udziału Trybunału w unijnych międzyinstytucjonalnych dniach EMAS w 2024 r.; z zadowoleniem przyjmuje wzrost liczby pracowników korzystających z miejskiego systemu rowerów współdzielonych z 172 w 2023 r. do 201 w 2024 r.; z zadowoleniem przyjmuje wsparcie Trybunału dla dojazdów do pracy z wykorzystaniem zrównoważonej mobilności, takiej jak jazda rowerem, przez pokrywanie kosztów abonamentów w systemie rowerów miejskich w Luksemburgu, lub transport publiczny, przez częściowy zwrot kosztów biletów okresowych dla pracowników transgranicznych, przy czym liczba pracowników korzystających z tego rodzaju systemu zwrotów wzrosła z 28 w 2023 r. do 30 w 2024 r.;</w:t>
      </w:r>
    </w:p>
    <w:p w14:paraId="3CFF9B64" w14:textId="067A7873" w:rsidR="00CB39BB" w:rsidRPr="00B71CE1" w:rsidRDefault="00847D30" w:rsidP="00CB39BB">
      <w:pPr>
        <w:pStyle w:val="NormalHanging12a"/>
        <w:rPr>
          <w:szCs w:val="24"/>
        </w:rPr>
      </w:pPr>
      <w:r>
        <w:lastRenderedPageBreak/>
        <w:t>64</w:t>
      </w:r>
      <w:r w:rsidR="00CB39BB" w:rsidRPr="00B71CE1">
        <w:t>.</w:t>
      </w:r>
      <w:r w:rsidR="00CB39BB" w:rsidRPr="00B71CE1">
        <w:tab/>
        <w:t>przypomina, że w 2023 r. Trybunał podpisał porozumienie z władzami Luksemburga w sprawie ustanowienia planu mobilności; zauważa, że zgodnie z kwestionariuszem plan mobilności został dostarczony z opóźnieniem w kwietniu 2025 r. oraz że wyniki analizy tego planu zostaną uwzględnione przy opracowywaniu programu EMAS na lata 2026–2028;</w:t>
      </w:r>
    </w:p>
    <w:p w14:paraId="34F91283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Współpraca międzyinstytucjonalna</w:t>
      </w:r>
    </w:p>
    <w:p w14:paraId="5247F47F" w14:textId="236B7C17" w:rsidR="00CB39BB" w:rsidRPr="00B71CE1" w:rsidRDefault="00847D30" w:rsidP="00CB39BB">
      <w:pPr>
        <w:pStyle w:val="NormalHanging12a"/>
        <w:rPr>
          <w:szCs w:val="24"/>
        </w:rPr>
      </w:pPr>
      <w:r>
        <w:t>65</w:t>
      </w:r>
      <w:r w:rsidR="00CB39BB" w:rsidRPr="00B71CE1">
        <w:t>.</w:t>
      </w:r>
      <w:r w:rsidR="00CB39BB" w:rsidRPr="00B71CE1">
        <w:tab/>
        <w:t xml:space="preserve">uznaje, że współpraca międzyinstytucjonalna zwiększa efektywność przez korzystanie ze wspólnych narzędzi i usług, co generuje oszczędności umożliwiające wewnętrzne przesunięcia kadrowe, zapewnia korzystniejsze ceny dzięki korzyściom skali oraz daje dostęp do wyspecjalizowanej wiedzy eksperckiej w innych organach Unii; zauważa, że w 2024 r. Trybunał kontynuował lub rozszerzył współpracę w ramach istniejących i nowych umów o gwarantowanym poziomie usług, w tym dotyczących zarządzania emeryturami, transformacji zasobów ludzkich oraz wydawania unijnego </w:t>
      </w:r>
      <w:proofErr w:type="spellStart"/>
      <w:r w:rsidR="00CB39BB" w:rsidRPr="00B71CE1">
        <w:t>laissez-passer</w:t>
      </w:r>
      <w:proofErr w:type="spellEnd"/>
      <w:r w:rsidR="00CB39BB" w:rsidRPr="00B71CE1">
        <w:t xml:space="preserve">, a także poprzez udział w komitetach i partnerstwach międzyinstytucjonalnych, jak te dotyczące dzielonych systemów finansowych oraz </w:t>
      </w:r>
      <w:proofErr w:type="spellStart"/>
      <w:r w:rsidR="00CB39BB" w:rsidRPr="00B71CE1">
        <w:t>cyberbezpieczeństwa</w:t>
      </w:r>
      <w:proofErr w:type="spellEnd"/>
      <w:r w:rsidR="00CB39BB" w:rsidRPr="00B71CE1">
        <w:t xml:space="preserve"> i transformacji cyfrowej; zwraca ponadto uwagę, że współpraca ta ułatwiła wymianę i rozwój rozwiązań informatycznych, co doprowadziło do znacznych oszczędności budżetowych w 2024 r. w obszarach takich jak technologie informatyczne, zarządzanie podróżami służbowymi i zasoby ludzkie, przy czym Trybunał korzystał z opracowanych przez Komisję narzędzi do zarządzania zasobami ludzkimi, szkoleń i tłumaczeń elektronicznych, których koszt wyniósł około 500 000 EUR, oraz z usług księgowych SAP udostępnianych przez Radę, których koszt wyniósł około 170 000 EUR; z zadowoleniem przyjmuje dalsze korzystanie przez Trybunał z usług szkoleniowych i certyfikacyjnych Europejskiej Szkoły Administracji;</w:t>
      </w:r>
    </w:p>
    <w:p w14:paraId="2D7B7BDD" w14:textId="6D844D8D" w:rsidR="00CB39BB" w:rsidRPr="00B71CE1" w:rsidRDefault="00847D30" w:rsidP="00CB39BB">
      <w:pPr>
        <w:pStyle w:val="NormalHanging12a"/>
        <w:rPr>
          <w:szCs w:val="24"/>
        </w:rPr>
      </w:pPr>
      <w:r>
        <w:t>66</w:t>
      </w:r>
      <w:r w:rsidR="00CB39BB" w:rsidRPr="00B71CE1">
        <w:t>.</w:t>
      </w:r>
      <w:r w:rsidR="00CB39BB" w:rsidRPr="00B71CE1">
        <w:tab/>
        <w:t>ponownie przypomina, że skuteczna współpraca między Trybunałem a Komisją pozostanie ograniczona, chyba że Komisja przyjmie metodykę Trybunału dotyczącą oceny poziomów błędu, która opiera się na niezależnej i kompleksowej ocenie wszystkich naruszeń przepisów, w przeciwieństwie do metody Komisji, która koncentruje się na błędach podlegających odzyskaniu;</w:t>
      </w:r>
    </w:p>
    <w:p w14:paraId="754B8AF3" w14:textId="07A01A34" w:rsidR="00CB39BB" w:rsidRPr="00B71CE1" w:rsidRDefault="00847D30" w:rsidP="00CB39BB">
      <w:pPr>
        <w:pStyle w:val="NormalHanging12a"/>
        <w:rPr>
          <w:szCs w:val="24"/>
        </w:rPr>
      </w:pPr>
      <w:r>
        <w:t>67</w:t>
      </w:r>
      <w:r w:rsidR="00CB39BB" w:rsidRPr="00B71CE1">
        <w:t>.</w:t>
      </w:r>
      <w:r w:rsidR="00CB39BB" w:rsidRPr="00B71CE1">
        <w:tab/>
        <w:t>z zadowoleniem przyjmuje fakt, że Trybunał ściśle współpracuje zarówno z OLAF-em, jak i EPPO, w tym przez organizację warsztatów i wydarzeń zwiększających świadomość oraz wymianę wiedzy i doświadczeń; z zadowoleniem przyjmuje zobowiązanie Trybunału do dalszego przekazywania wszelkich podejrzeń opartych na dowodach prima facie do OLAF-u, EPPO lub obu tych organów; zauważa, że w 2024 r. Trybunał przekazał 19 spraw dotyczących podejrzeń nadużyć finansowych do OLAF-u, a 7 z nich do EPPO;</w:t>
      </w:r>
    </w:p>
    <w:p w14:paraId="6E1E78EC" w14:textId="2419F9A9" w:rsidR="00CB39BB" w:rsidRPr="00B71CE1" w:rsidRDefault="00847D30" w:rsidP="00CB39BB">
      <w:pPr>
        <w:pStyle w:val="NormalHanging12a"/>
        <w:rPr>
          <w:szCs w:val="24"/>
        </w:rPr>
      </w:pPr>
      <w:r>
        <w:t>68</w:t>
      </w:r>
      <w:r w:rsidR="00CB39BB" w:rsidRPr="00B71CE1">
        <w:t>.</w:t>
      </w:r>
      <w:r w:rsidR="00CB39BB" w:rsidRPr="00B71CE1">
        <w:tab/>
        <w:t>jest przekonany, że jednolity zintegrowany system informatyczny do eksploracji danych i punktowej oceny ryzyka mógłby być cennym źródłem danych, co umożliwiłoby Trybunałowi, OLAF-owi i EPPO zwiększenie wysiłków w zakresie audytu i kontroli; podkreśla, że należy zapewnić nieograniczony dostęp do tego systemu oraz jego danych, bez żadnych nieuzasadnionych ograniczeń, oraz że taki dostęp pozwoliłby niezwłocznie na badanie i wykorzystywanie kolejnych narzędzi cyfrowych i powstających technologii w kontrolach Trybunału;</w:t>
      </w:r>
    </w:p>
    <w:p w14:paraId="2211DE43" w14:textId="138B87C9" w:rsidR="00CB39BB" w:rsidRPr="00B71CE1" w:rsidRDefault="00847D30" w:rsidP="00CB39BB">
      <w:pPr>
        <w:pStyle w:val="NormalHanging12a"/>
        <w:rPr>
          <w:bCs/>
          <w:iCs/>
          <w:szCs w:val="24"/>
        </w:rPr>
      </w:pPr>
      <w:r>
        <w:t>69</w:t>
      </w:r>
      <w:r w:rsidR="00CB39BB" w:rsidRPr="00B71CE1">
        <w:t>.</w:t>
      </w:r>
      <w:r w:rsidR="00CB39BB" w:rsidRPr="00B71CE1">
        <w:tab/>
        <w:t xml:space="preserve">podkreśla ważną rolę Trybunału w unijnej strukturze zwalczania nadużyć finansowych (AFA); zauważa, że w swoich audytach i sprawozdaniach specjalnych Trybunał </w:t>
      </w:r>
      <w:r w:rsidR="00CB39BB" w:rsidRPr="00B71CE1">
        <w:lastRenderedPageBreak/>
        <w:t>systematycznie identyfikuje uchybienia, nieprawidłowości i ryzyko, uruchamiając tym samym działania naprawcze i windykacyjne ze strony Komisji, państw członkowskich i innych podmiotów uczestniczących w tej strukturze; odnotowuje, że dzięki tej funkcji nadzorczej Trybunał nie tylko zwiększa przejrzystość i rozliczalność, ale również ogólną zdolność systemu UE do odstraszania i wykrywania, zapewniając należyte zarządzanie środkami publicznymi i ich ochronę przed nadużyciami finansowymi i niewłaściwym wykorzystaniem;</w:t>
      </w:r>
    </w:p>
    <w:p w14:paraId="228872CE" w14:textId="6AE4F71E" w:rsidR="00CB39BB" w:rsidRPr="00B71CE1" w:rsidRDefault="00847D30" w:rsidP="00CB39BB">
      <w:pPr>
        <w:pStyle w:val="NormalHanging12a"/>
        <w:rPr>
          <w:szCs w:val="24"/>
        </w:rPr>
      </w:pPr>
      <w:r>
        <w:t>70</w:t>
      </w:r>
      <w:r w:rsidR="00CB39BB" w:rsidRPr="00B71CE1">
        <w:t>.</w:t>
      </w:r>
      <w:r w:rsidR="00CB39BB" w:rsidRPr="00B71CE1">
        <w:tab/>
        <w:t>z zadowoleniem przyjmuje otwartość Trybunału na ustanowienie corocznego dialogu międzyinstytucjonalnego między Trybunałem, Parlamentem, Radą i Komisją, o co wnioskował Parlament w swoich rezolucjach w sprawie udzielenia absolutorium;</w:t>
      </w:r>
    </w:p>
    <w:p w14:paraId="67A900BB" w14:textId="6CE93694" w:rsidR="00CB39BB" w:rsidRPr="00B71CE1" w:rsidRDefault="00847D30" w:rsidP="00CB39BB">
      <w:pPr>
        <w:pStyle w:val="NormalHanging12a"/>
        <w:rPr>
          <w:szCs w:val="24"/>
        </w:rPr>
      </w:pPr>
      <w:r>
        <w:t>71</w:t>
      </w:r>
      <w:r w:rsidR="00CB39BB" w:rsidRPr="00B71CE1">
        <w:t>.</w:t>
      </w:r>
      <w:r w:rsidR="00CB39BB" w:rsidRPr="00B71CE1">
        <w:tab/>
        <w:t>ponownie ubolewa, że pomimo lepszego dostępu do dokumentów i informacji Europejskiego Banku Inwestycyjnego (EBI) Trybunał nie posiada uprawnień do kontrolowania operacji finansowanych ze środków własnych EBI; apeluje o przyznanie takich uprawnień Trybunałowi, biorąc pod uwagę misję EBI polegającą na realizacji celów Unii oraz jego rosnącą rolę w krajobrazie gospodarczym i politycznym Unii – rolę, która wykracza poza wykorzystanie budżetu Unii do gwarantowania jego operacji; przypomina, że Trybunał w sprawozdaniu specjalnym 05/2023 pt. „Krajobraz finansowy UE – Mozaika instrumentów wymagająca dalszego uproszczenia i poprawy rozliczalności” stwierdził, iż należy ustanowić uprawnienia do przeprowadzania kontroli publicznej w odniesieniu do wszystkich rodzajów finansowania polityki Unii;</w:t>
      </w:r>
    </w:p>
    <w:p w14:paraId="598DF31A" w14:textId="49DFAF32" w:rsidR="00CB39BB" w:rsidRPr="00B71CE1" w:rsidRDefault="00847D30" w:rsidP="00CB39BB">
      <w:pPr>
        <w:pStyle w:val="NormalHanging12a"/>
        <w:rPr>
          <w:szCs w:val="24"/>
        </w:rPr>
      </w:pPr>
      <w:r>
        <w:t>72</w:t>
      </w:r>
      <w:r w:rsidR="00CB39BB" w:rsidRPr="00B71CE1">
        <w:t>.</w:t>
      </w:r>
      <w:r w:rsidR="00CB39BB" w:rsidRPr="00B71CE1">
        <w:tab/>
        <w:t xml:space="preserve">z zadowoleniem przyjmuje fakt, że zgodnie z kwestionariuszem istniała ścisła współpraca między Trybunałem a Europejskim Inspektorem Ochrony Danych (EIOD), prowadzona głównie za pośrednictwem inspektora ochrony danych w Trybunale; zauważa, że współpraca ta obejmuje interpretację konkretnych przepisów rozporządzenia (UE) 2018/1725, działania służące wymianie wiedzy oraz inne formy międzyinstytucjonalnej wymiany informacji i wnoszenia wkładu w dziedzinie sztucznej inteligencji; wyraża uznanie dla udziału Trybunału w ćwiczeniu „Personal data </w:t>
      </w:r>
      <w:proofErr w:type="spellStart"/>
      <w:r w:rsidR="00CB39BB" w:rsidRPr="00B71CE1">
        <w:t>Breach</w:t>
      </w:r>
      <w:proofErr w:type="spellEnd"/>
      <w:r w:rsidR="00CB39BB" w:rsidRPr="00B71CE1">
        <w:t xml:space="preserve"> </w:t>
      </w:r>
      <w:proofErr w:type="spellStart"/>
      <w:r w:rsidR="00CB39BB" w:rsidRPr="00B71CE1">
        <w:t>awareness</w:t>
      </w:r>
      <w:proofErr w:type="spellEnd"/>
      <w:r w:rsidR="00CB39BB" w:rsidRPr="00B71CE1">
        <w:t xml:space="preserve"> in </w:t>
      </w:r>
      <w:proofErr w:type="spellStart"/>
      <w:r w:rsidR="00CB39BB" w:rsidRPr="00B71CE1">
        <w:t>cybersecurity</w:t>
      </w:r>
      <w:proofErr w:type="spellEnd"/>
      <w:r w:rsidR="00CB39BB" w:rsidRPr="00B71CE1">
        <w:t xml:space="preserve"> </w:t>
      </w:r>
      <w:proofErr w:type="spellStart"/>
      <w:r w:rsidR="00CB39BB" w:rsidRPr="00B71CE1">
        <w:t>incident</w:t>
      </w:r>
      <w:proofErr w:type="spellEnd"/>
      <w:r w:rsidR="00CB39BB" w:rsidRPr="00B71CE1">
        <w:t xml:space="preserve"> </w:t>
      </w:r>
      <w:proofErr w:type="spellStart"/>
      <w:r w:rsidR="00CB39BB" w:rsidRPr="00B71CE1">
        <w:t>handling</w:t>
      </w:r>
      <w:proofErr w:type="spellEnd"/>
      <w:r w:rsidR="00CB39BB" w:rsidRPr="00B71CE1">
        <w:t xml:space="preserve">” [Świadomość naruszeń danych osobowych w postępowaniu w przypadku </w:t>
      </w:r>
      <w:proofErr w:type="spellStart"/>
      <w:r w:rsidR="00CB39BB" w:rsidRPr="00B71CE1">
        <w:t>cyberincydentów</w:t>
      </w:r>
      <w:proofErr w:type="spellEnd"/>
      <w:r w:rsidR="00CB39BB" w:rsidRPr="00B71CE1">
        <w:t>], zorganizowanym przez EIOD i ENISA, którego celem było podnoszenie świadomości pracowników w zakresie zarządzania naruszeniami ochrony danych osobowych;</w:t>
      </w:r>
    </w:p>
    <w:p w14:paraId="35B41F3D" w14:textId="77777777" w:rsidR="00CB39BB" w:rsidRPr="00B71CE1" w:rsidRDefault="00CB39BB" w:rsidP="00CB39BB">
      <w:pPr>
        <w:pStyle w:val="NormalHanging12a"/>
        <w:rPr>
          <w:b/>
          <w:i/>
          <w:iCs/>
          <w:szCs w:val="24"/>
        </w:rPr>
      </w:pPr>
      <w:r w:rsidRPr="00B71CE1">
        <w:rPr>
          <w:b/>
          <w:i/>
        </w:rPr>
        <w:t>Komunikacja</w:t>
      </w:r>
    </w:p>
    <w:p w14:paraId="5A1F2520" w14:textId="2550EC81" w:rsidR="00CB39BB" w:rsidRPr="00B71CE1" w:rsidRDefault="00847D30" w:rsidP="00CB39BB">
      <w:pPr>
        <w:pStyle w:val="NormalHanging12a"/>
        <w:rPr>
          <w:szCs w:val="24"/>
        </w:rPr>
      </w:pPr>
      <w:r>
        <w:t>73</w:t>
      </w:r>
      <w:r w:rsidR="00CB39BB" w:rsidRPr="00B71CE1">
        <w:t>.</w:t>
      </w:r>
      <w:r w:rsidR="00CB39BB" w:rsidRPr="00B71CE1">
        <w:tab/>
        <w:t>przyjmuje do wiadomości fakt, że w 2024 r. budżet przeznaczony na działania komunikacyjne i promocyjne Trybunału wyniósł 225 000 EUR (tyle samo co w 2023 r.), przy wskaźniku wykorzystania na poziomie 92,32 % (wzrost z 81,13 % w 2023 r.); zauważa, że większość budżetu została wydana na usługi monitorowania mediów (80 000 EUR) i na działania prasowe (18 133,91 EUR), a następnie na stosunki z zainteresowanymi stronami, co obejmowało głównie koszt platformy wywiadu politycznego (62 100 EUR), działania komunikacyjne (32 543,37 EUR), media społecznościowe (8 604,66 EUR) i publikacje (6 346,47 EUR);</w:t>
      </w:r>
    </w:p>
    <w:p w14:paraId="77E01EC7" w14:textId="2C8DD473" w:rsidR="00CB39BB" w:rsidRPr="00B71CE1" w:rsidRDefault="00847D30" w:rsidP="00CB39BB">
      <w:pPr>
        <w:pStyle w:val="NormalHanging12a"/>
        <w:rPr>
          <w:szCs w:val="24"/>
        </w:rPr>
      </w:pPr>
      <w:r>
        <w:t>74</w:t>
      </w:r>
      <w:r w:rsidR="00CB39BB" w:rsidRPr="00B71CE1">
        <w:t>.</w:t>
      </w:r>
      <w:r w:rsidR="00CB39BB" w:rsidRPr="00B71CE1">
        <w:tab/>
        <w:t xml:space="preserve">popiera rozwijającą się strategię medialną Trybunału, która w 2024 r. doprowadziła do rekordowej liczby ponad 24 000 artykułów prasowych opublikowanych w </w:t>
      </w:r>
      <w:proofErr w:type="spellStart"/>
      <w:r w:rsidR="00CB39BB" w:rsidRPr="00B71CE1">
        <w:t>internecie</w:t>
      </w:r>
      <w:proofErr w:type="spellEnd"/>
      <w:r w:rsidR="00CB39BB" w:rsidRPr="00B71CE1">
        <w:t xml:space="preserve">, dotyczących sprawozdań z kontroli Trybunału, innych publikacji lub ogólnie działalności Trybunału, co potwierdza utrzymujący się w ostatnich latach wzrost zasięgu medialnego (2023: 22 000; 2022: 20 000; 2021: 18 000); z uznaniem zauważa, </w:t>
      </w:r>
      <w:r w:rsidR="00CB39BB" w:rsidRPr="00B71CE1">
        <w:lastRenderedPageBreak/>
        <w:t xml:space="preserve">że zgodnie ze sprawozdaniem Trybunału wzrosła liczba odwiedzin strony internetowej Trybunału, uruchomionej w 2023 r., do 780 000 wizyt w 2024 r. (2023: 700 000), przy 1 295 025 unikalnych odsłonach stron i 56 440 pobraniach; z zadowoleniem przyjmuje fakt, że do końca 2024 r. cztery główne konta Trybunału w mediach społecznościowych (X, LinkedIn, Facebook, Instagram) zgromadziły ponad 61 500 obserwujących, w porównaniu z 55 000 w 2023 r. i 49 500 w 2022 r.; wyraża uznanie dla Trybunału za uruchomienie w listopadzie 2024 r. pierwszego comiesięcznego biuletynu na LinkedIn (ECA </w:t>
      </w:r>
      <w:proofErr w:type="spellStart"/>
      <w:r w:rsidR="00CB39BB" w:rsidRPr="00B71CE1">
        <w:t>Insights</w:t>
      </w:r>
      <w:proofErr w:type="spellEnd"/>
      <w:r w:rsidR="00CB39BB" w:rsidRPr="00B71CE1">
        <w:t>), który przedstawia najważniejsze informacje o najnowszych sprawozdaniach oraz zapowiedzi nadchodzących kontroli i który do końca 2024 r. zgromadził ponad 8 500 subskrybentów;</w:t>
      </w:r>
    </w:p>
    <w:p w14:paraId="6C09B68B" w14:textId="581C1379" w:rsidR="00CB39BB" w:rsidRPr="00B71CE1" w:rsidRDefault="00847D30" w:rsidP="00CB39BB">
      <w:pPr>
        <w:pStyle w:val="NormalHanging12a"/>
        <w:rPr>
          <w:szCs w:val="24"/>
        </w:rPr>
      </w:pPr>
      <w:r>
        <w:t>75</w:t>
      </w:r>
      <w:r w:rsidR="00CB39BB" w:rsidRPr="00B71CE1">
        <w:t>.</w:t>
      </w:r>
      <w:r w:rsidR="00CB39BB" w:rsidRPr="00B71CE1">
        <w:tab/>
        <w:t>z zadowoleniem przyjmuje fakt, że Trybunał posiada stronę internetową dostępną cyfrowo (poziom A++), która jest dwa razy w roku poddawana audytowi przez zewnętrznego konsultanta w celu oceny zgodności strony z odpowiednimi standardami dostępności oraz identyfikacji barier w dostępie dla użytkowników z niepełnosprawnościami; docenia fakt, że ogólnie wdrożenie dostępności oceniono jako bardzo dobre, oraz zauważa, że w wyniku audytu przedstawiono pewne zalecenia mające na celu dalsze podnoszenie i utrzymywanie wskaźnika dostępności strony internetowej;</w:t>
      </w:r>
    </w:p>
    <w:p w14:paraId="4BACF53F" w14:textId="4823DEAD" w:rsidR="00CB39BB" w:rsidRPr="00B71CE1" w:rsidRDefault="00847D30" w:rsidP="00CB39BB">
      <w:pPr>
        <w:pStyle w:val="NormalHanging12a"/>
        <w:rPr>
          <w:szCs w:val="24"/>
        </w:rPr>
      </w:pPr>
      <w:r>
        <w:t>76</w:t>
      </w:r>
      <w:r w:rsidR="00CB39BB" w:rsidRPr="00B71CE1">
        <w:t>.</w:t>
      </w:r>
      <w:r w:rsidR="00CB39BB" w:rsidRPr="00B71CE1">
        <w:tab/>
        <w:t>zwraca uwagę, że w 2024 r. Trybunał opublikował 44 komunikaty prasowe w 24 językach Unii, jak również różne noty informacyjne, informacje dla mediów i gotowe do wykorzystania informacje dźwiękowe w niektórych językach; odnotowuje ponadto, że w 2024 r. Trybunał zorganizował również 20 zdalnych spotkań informacyjnych dla mediów oraz 14 dodatkowych spotkań dla poszczególnych krajów dotyczących sprawozdania rocznego; podkreśla, że ogółem spotkania te przyciągnęły uwagę łącznie 876 dziennikarzy, w większości reprezentujących największe media krajowe z państw członkowskich;</w:t>
      </w:r>
    </w:p>
    <w:p w14:paraId="45494A61" w14:textId="232264E5" w:rsidR="00CB39BB" w:rsidRPr="00B71CE1" w:rsidRDefault="00847D30" w:rsidP="00CB39BB">
      <w:pPr>
        <w:pStyle w:val="NormalHanging12a"/>
        <w:rPr>
          <w:bCs/>
          <w:iCs/>
        </w:rPr>
      </w:pPr>
      <w:r>
        <w:t>77</w:t>
      </w:r>
      <w:r w:rsidR="00CB39BB" w:rsidRPr="00B71CE1">
        <w:t>.</w:t>
      </w:r>
      <w:r w:rsidR="00CB39BB" w:rsidRPr="00B71CE1">
        <w:tab/>
        <w:t>z zadowoleniem przyjmuje sprawozdanie specjalne Trybunału nr 11/2025 pt. „Przejrzystość finansowania unijnego przyznanego organizacjom pozarządowym”; z zaniepokojeniem odnotowuje wskazane w nim problemy, w tym braki w przejrzystości, klasyfikacji i nadzorze; podkreśla, że Trybunał powinien kontynuować i wzmacniać monitorowanie i sprawozdawczość w tych kwestiach, aby zapewnić pełną zgodność z przepisami finansowymi, wymogami przejrzystości i podstawowymi wartościami Unii;</w:t>
      </w:r>
    </w:p>
    <w:p w14:paraId="27B73292" w14:textId="79857B0E" w:rsidR="00CB39BB" w:rsidRPr="00B71CE1" w:rsidRDefault="00847D30" w:rsidP="00CB39BB">
      <w:pPr>
        <w:pStyle w:val="NormalHanging12a"/>
        <w:rPr>
          <w:bCs/>
          <w:iCs/>
          <w:szCs w:val="24"/>
        </w:rPr>
      </w:pPr>
      <w:r>
        <w:t>78</w:t>
      </w:r>
      <w:r w:rsidR="00CB39BB" w:rsidRPr="00B71CE1">
        <w:t>.</w:t>
      </w:r>
      <w:r w:rsidR="00CB39BB" w:rsidRPr="00B71CE1">
        <w:tab/>
        <w:t>zachęca zatem Trybunał do przygotowania sprawozdania specjalnego w sprawie finansowania przez Unię organizacji pozarządowych prowadzących działalność w Strefie Gazy oraz organizacji zaangażowanych w opracowywanie palestyńskich podręczników szkolnych; podkreśla, że taka kontrola ma kluczowe znaczenie dla dopilnowania, aby fundusze Unii nie były kierowane, bezpośrednio lub pośrednio, do organizacji terrorystycznych lub ich podmiotów powiązanych ani wykorzystywane w sposób promujący nienawiść, radykalizację lub podżeganie do przemocy, a także dla zapewnienia pełnej zgodności z przepisami finansowymi Unii, standardami przejrzystości i podstawowymi wartościami Unii;</w:t>
      </w:r>
    </w:p>
    <w:p w14:paraId="3A1BE1E2" w14:textId="10CECE70" w:rsidR="00CB39BB" w:rsidRPr="00B71CE1" w:rsidRDefault="00847D30" w:rsidP="00CB39BB">
      <w:pPr>
        <w:pStyle w:val="NormalHanging12a"/>
        <w:rPr>
          <w:szCs w:val="24"/>
        </w:rPr>
      </w:pPr>
      <w:r>
        <w:t>79</w:t>
      </w:r>
      <w:r w:rsidR="00CB39BB" w:rsidRPr="00B71CE1">
        <w:t>.</w:t>
      </w:r>
      <w:r w:rsidR="00CB39BB" w:rsidRPr="00B71CE1">
        <w:tab/>
        <w:t>z zadowoleniem przyjmuje fakt, że w celu zwiększenia zaangażowania społecznego Trybunał od 2024 r. umożliwia obywatelom wnoszenie wkładu w jego program prac przez zgłaszanie propozycji tematów kontrolnych za pośrednictwem strony internetowej Trybunału;</w:t>
      </w:r>
    </w:p>
    <w:p w14:paraId="5AB56295" w14:textId="68D24606" w:rsidR="00B71CE1" w:rsidRPr="00B71CE1" w:rsidRDefault="00847D30" w:rsidP="00B71CE1">
      <w:pPr>
        <w:pStyle w:val="NormalHanging12a"/>
      </w:pPr>
      <w:r>
        <w:lastRenderedPageBreak/>
        <w:t>80</w:t>
      </w:r>
      <w:r w:rsidR="00CB39BB" w:rsidRPr="00B71CE1">
        <w:t>.</w:t>
      </w:r>
      <w:r w:rsidR="00CB39BB" w:rsidRPr="00B71CE1">
        <w:tab/>
        <w:t>docenia fakt, że Trybunał ocenia, w jaki sposób jego prace są postrzegane – z punktu widzenia możliwego oddziaływania i użyteczności – przez czytelników jego sprawozdań w Parlamencie, Radzie i Komisji, agencjach Unii, stałych przedstawicielstwach państw członkowskich, agencjach i najwyższych organach kontroli państw członkowskich, organizacjach pozarządowych, środowiskach akademickich, mediach i innych zainteresowanych podmiotach; zauważa w tym kontekście, że od 2018 r. Trybunał przeprowadza anonimowe ankiety elektroniczne, aby dać czytelnikom swoich sprawozdań możliwość podzielenia się jakościową opinią na temat wybranych sprawozdań i przedstawienia ogólnych sugestii co do jego prac; podkreśla, że w 2024 r. 89 % respondentów uznało sprawozdania Trybunału za przydatne w ich pracy, a 82 % stwierdziło, że mają one istotne oddziaływanie; z zadowoleniem zauważa, że w 2024 r. Trybunał przedstawiał wyniki swoich prac 578 razy różnym zainteresowanym stronom (np. Parlamentowi, Radzie, parlamentom narodowym), w porównaniu z 456 razami w 2023 r. i 437 razami w 2022 r.</w:t>
      </w:r>
    </w:p>
    <w:p w14:paraId="7BBE4028" w14:textId="3F377A47" w:rsidR="00E365E1" w:rsidRPr="00B71CE1" w:rsidRDefault="00E365E1" w:rsidP="00B14A1E"/>
    <w:sectPr w:rsidR="00E365E1" w:rsidRPr="00B71CE1" w:rsidSect="00B71CE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0B4E8" w14:textId="77777777" w:rsidR="00B14A1E" w:rsidRPr="00B71CE1" w:rsidRDefault="00B14A1E">
      <w:r w:rsidRPr="00B71CE1">
        <w:separator/>
      </w:r>
    </w:p>
  </w:endnote>
  <w:endnote w:type="continuationSeparator" w:id="0">
    <w:p w14:paraId="106C7870" w14:textId="77777777" w:rsidR="00B14A1E" w:rsidRPr="00B71CE1" w:rsidRDefault="00B14A1E">
      <w:r w:rsidRPr="00B71C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33E9" w14:textId="77777777" w:rsidR="00CB39BB" w:rsidRPr="00B71CE1" w:rsidRDefault="00CB39BB" w:rsidP="00DC06D4">
    <w:pPr>
      <w:pStyle w:val="EPFooter"/>
    </w:pPr>
    <w:r w:rsidRPr="00B71CE1">
      <w:t>PE</w:t>
    </w:r>
    <w:r w:rsidRPr="00B71CE1">
      <w:rPr>
        <w:rStyle w:val="HideTWBExt"/>
      </w:rPr>
      <w:t>&lt;</w:t>
    </w:r>
    <w:proofErr w:type="spellStart"/>
    <w:r w:rsidRPr="00B71CE1">
      <w:rPr>
        <w:rStyle w:val="HideTWBExt"/>
      </w:rPr>
      <w:t>NoPE</w:t>
    </w:r>
    <w:proofErr w:type="spellEnd"/>
    <w:r w:rsidRPr="00B71CE1">
      <w:rPr>
        <w:rStyle w:val="HideTWBExt"/>
      </w:rPr>
      <w:t>&gt;</w:t>
    </w:r>
    <w:r w:rsidRPr="00B71CE1">
      <w:t>778.062</w:t>
    </w:r>
    <w:r w:rsidRPr="00B71CE1">
      <w:rPr>
        <w:rStyle w:val="HideTWBExt"/>
      </w:rPr>
      <w:t>&lt;/</w:t>
    </w:r>
    <w:proofErr w:type="spellStart"/>
    <w:r w:rsidRPr="00B71CE1">
      <w:rPr>
        <w:rStyle w:val="HideTWBExt"/>
      </w:rPr>
      <w:t>NoPE</w:t>
    </w:r>
    <w:proofErr w:type="spellEnd"/>
    <w:r w:rsidRPr="00B71CE1">
      <w:rPr>
        <w:rStyle w:val="HideTWBExt"/>
      </w:rPr>
      <w:t>&gt;&lt;Version&gt;</w:t>
    </w:r>
    <w:r w:rsidRPr="00B71CE1">
      <w:t>v03-00</w:t>
    </w:r>
    <w:r w:rsidRPr="00B71CE1">
      <w:rPr>
        <w:rStyle w:val="HideTWBExt"/>
      </w:rPr>
      <w:t>&lt;/Version&gt;</w:t>
    </w:r>
    <w:r w:rsidRPr="00B71CE1">
      <w:tab/>
    </w:r>
    <w:r w:rsidRPr="00B71CE1">
      <w:fldChar w:fldCharType="begin"/>
    </w:r>
    <w:r w:rsidRPr="00B71CE1">
      <w:instrText xml:space="preserve"> PAGE  \* MERGEFORMAT </w:instrText>
    </w:r>
    <w:r w:rsidRPr="00B71CE1">
      <w:fldChar w:fldCharType="separate"/>
    </w:r>
    <w:r w:rsidRPr="00B71CE1">
      <w:rPr>
        <w:noProof/>
      </w:rPr>
      <w:t>2</w:t>
    </w:r>
    <w:r w:rsidRPr="00B71CE1">
      <w:fldChar w:fldCharType="end"/>
    </w:r>
    <w:r w:rsidRPr="00B71CE1">
      <w:t>/</w:t>
    </w:r>
    <w:fldSimple w:instr=" NUMPAGES  \* MERGEFORMAT ">
      <w:r w:rsidRPr="00B71CE1">
        <w:rPr>
          <w:noProof/>
        </w:rPr>
        <w:t>29</w:t>
      </w:r>
    </w:fldSimple>
    <w:r w:rsidRPr="00B71CE1">
      <w:tab/>
    </w:r>
    <w:r w:rsidRPr="00B71CE1">
      <w:rPr>
        <w:rStyle w:val="HideTWBExt"/>
      </w:rPr>
      <w:t>&lt;PathFdR&gt;</w:t>
    </w:r>
    <w:r w:rsidRPr="00B71CE1">
      <w:t>RR\1340133PL.docx</w:t>
    </w:r>
    <w:r w:rsidRPr="00B71CE1">
      <w:rPr>
        <w:rStyle w:val="HideTWBExt"/>
      </w:rPr>
      <w:t>&lt;/</w:t>
    </w:r>
    <w:proofErr w:type="spellStart"/>
    <w:r w:rsidRPr="00B71CE1">
      <w:rPr>
        <w:rStyle w:val="HideTWBExt"/>
      </w:rPr>
      <w:t>PathFdR</w:t>
    </w:r>
    <w:proofErr w:type="spellEnd"/>
    <w:r w:rsidRPr="00B71CE1">
      <w:rPr>
        <w:rStyle w:val="HideTWBExt"/>
      </w:rPr>
      <w:t>&gt;</w:t>
    </w:r>
  </w:p>
  <w:p w14:paraId="3F8318D5" w14:textId="77777777" w:rsidR="00CB39BB" w:rsidRPr="00B71CE1" w:rsidRDefault="00CB39BB" w:rsidP="00DC06D4">
    <w:pPr>
      <w:pStyle w:val="EPFooter2"/>
    </w:pPr>
    <w:r w:rsidRPr="00B71CE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CBF3" w14:textId="0D603F8B" w:rsidR="00CB39BB" w:rsidRPr="00B71CE1" w:rsidRDefault="00CB39BB" w:rsidP="00DC06D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6C73" w14:textId="77777777" w:rsidR="00CB39BB" w:rsidRPr="00B71CE1" w:rsidRDefault="00CB39BB" w:rsidP="00DC06D4">
    <w:pPr>
      <w:pStyle w:val="EPFooter"/>
    </w:pPr>
    <w:r w:rsidRPr="00B71CE1">
      <w:rPr>
        <w:rStyle w:val="HideTWBExt"/>
      </w:rPr>
      <w:t>&lt;PathFdR&gt;</w:t>
    </w:r>
    <w:r w:rsidRPr="00B71CE1">
      <w:t>RR\1340133PL.docx</w:t>
    </w:r>
    <w:r w:rsidRPr="00B71CE1">
      <w:rPr>
        <w:rStyle w:val="HideTWBExt"/>
      </w:rPr>
      <w:t>&lt;/</w:t>
    </w:r>
    <w:proofErr w:type="spellStart"/>
    <w:r w:rsidRPr="00B71CE1">
      <w:rPr>
        <w:rStyle w:val="HideTWBExt"/>
      </w:rPr>
      <w:t>PathFdR</w:t>
    </w:r>
    <w:proofErr w:type="spellEnd"/>
    <w:r w:rsidRPr="00B71CE1">
      <w:rPr>
        <w:rStyle w:val="HideTWBExt"/>
      </w:rPr>
      <w:t>&gt;</w:t>
    </w:r>
    <w:r w:rsidRPr="00B71CE1">
      <w:tab/>
    </w:r>
    <w:r w:rsidRPr="00B71CE1">
      <w:tab/>
      <w:t>PE</w:t>
    </w:r>
    <w:r w:rsidRPr="00B71CE1">
      <w:rPr>
        <w:rStyle w:val="HideTWBExt"/>
      </w:rPr>
      <w:t>&lt;</w:t>
    </w:r>
    <w:proofErr w:type="spellStart"/>
    <w:r w:rsidRPr="00B71CE1">
      <w:rPr>
        <w:rStyle w:val="HideTWBExt"/>
      </w:rPr>
      <w:t>NoPE</w:t>
    </w:r>
    <w:proofErr w:type="spellEnd"/>
    <w:r w:rsidRPr="00B71CE1">
      <w:rPr>
        <w:rStyle w:val="HideTWBExt"/>
      </w:rPr>
      <w:t>&gt;</w:t>
    </w:r>
    <w:r w:rsidRPr="00B71CE1">
      <w:t>778.062</w:t>
    </w:r>
    <w:r w:rsidRPr="00B71CE1">
      <w:rPr>
        <w:rStyle w:val="HideTWBExt"/>
      </w:rPr>
      <w:t>&lt;/</w:t>
    </w:r>
    <w:proofErr w:type="spellStart"/>
    <w:r w:rsidRPr="00B71CE1">
      <w:rPr>
        <w:rStyle w:val="HideTWBExt"/>
      </w:rPr>
      <w:t>NoPE</w:t>
    </w:r>
    <w:proofErr w:type="spellEnd"/>
    <w:r w:rsidRPr="00B71CE1">
      <w:rPr>
        <w:rStyle w:val="HideTWBExt"/>
      </w:rPr>
      <w:t>&gt;&lt;Version&gt;</w:t>
    </w:r>
    <w:r w:rsidRPr="00B71CE1">
      <w:t>v03-00</w:t>
    </w:r>
    <w:r w:rsidRPr="00B71CE1">
      <w:rPr>
        <w:rStyle w:val="HideTWBExt"/>
      </w:rPr>
      <w:t>&lt;/Version&gt;</w:t>
    </w:r>
  </w:p>
  <w:p w14:paraId="17675E48" w14:textId="77777777" w:rsidR="00CB39BB" w:rsidRPr="00B71CE1" w:rsidRDefault="00CB39BB" w:rsidP="00DC06D4">
    <w:pPr>
      <w:pStyle w:val="EPFooter2"/>
    </w:pPr>
    <w:r w:rsidRPr="00B71CE1">
      <w:t>PL</w:t>
    </w:r>
    <w:r w:rsidRPr="00B71CE1">
      <w:tab/>
    </w:r>
    <w:r w:rsidRPr="00B71CE1">
      <w:rPr>
        <w:b w:val="0"/>
        <w:i/>
        <w:color w:val="C0C0C0"/>
        <w:sz w:val="22"/>
      </w:rPr>
      <w:t>Zjednoczona w różnorodności</w:t>
    </w:r>
    <w:r w:rsidRPr="00B71CE1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BD68" w14:textId="77777777" w:rsidR="00064002" w:rsidRPr="00B71CE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320E" w14:textId="77777777" w:rsidR="00064002" w:rsidRPr="00B71CE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7C56" w14:textId="77777777" w:rsidR="00064002" w:rsidRPr="00B71C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053E" w14:textId="77777777" w:rsidR="00B14A1E" w:rsidRPr="00B71CE1" w:rsidRDefault="00B14A1E">
      <w:r w:rsidRPr="00B71CE1">
        <w:separator/>
      </w:r>
    </w:p>
  </w:footnote>
  <w:footnote w:type="continuationSeparator" w:id="0">
    <w:p w14:paraId="7891672F" w14:textId="77777777" w:rsidR="00B14A1E" w:rsidRPr="00B71CE1" w:rsidRDefault="00B14A1E">
      <w:r w:rsidRPr="00B71CE1">
        <w:continuationSeparator/>
      </w:r>
    </w:p>
  </w:footnote>
  <w:footnote w:id="1">
    <w:p w14:paraId="65AF0AA1" w14:textId="562BF08F" w:rsidR="00CB39BB" w:rsidRPr="00DD5EFC" w:rsidRDefault="00CB39BB" w:rsidP="00B71CE1">
      <w:pPr>
        <w:pStyle w:val="FootnoteText"/>
        <w:ind w:left="567" w:hanging="567"/>
        <w:rPr>
          <w:sz w:val="24"/>
          <w:lang w:val="fi-FI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DD5EFC">
        <w:rPr>
          <w:sz w:val="24"/>
          <w:lang w:val="fi-FI"/>
        </w:rPr>
        <w:t xml:space="preserve"> </w:t>
      </w:r>
      <w:r w:rsidR="00B71CE1" w:rsidRPr="00DD5EFC">
        <w:rPr>
          <w:sz w:val="24"/>
          <w:lang w:val="fi-FI"/>
        </w:rPr>
        <w:tab/>
      </w:r>
      <w:proofErr w:type="spellStart"/>
      <w:r w:rsidRPr="00DD5EFC">
        <w:rPr>
          <w:sz w:val="24"/>
          <w:lang w:val="fi-FI"/>
        </w:rPr>
        <w:t>Dz.U</w:t>
      </w:r>
      <w:proofErr w:type="spellEnd"/>
      <w:r w:rsidRPr="00DD5EFC">
        <w:rPr>
          <w:sz w:val="24"/>
          <w:lang w:val="fi-FI"/>
        </w:rPr>
        <w:t xml:space="preserve">. L, 2024/207, 22.2.2024, ELI: </w:t>
      </w:r>
      <w:r>
        <w:fldChar w:fldCharType="begin"/>
      </w:r>
      <w:r w:rsidRPr="0059635C">
        <w:rPr>
          <w:lang w:val="fi-FI"/>
        </w:rPr>
        <w:instrText>HYPERLINK "http://data.europa.eu/eli/budget/2024/207/oj"</w:instrText>
      </w:r>
      <w:r>
        <w:fldChar w:fldCharType="separate"/>
      </w:r>
      <w:r w:rsidRPr="00DD5EFC">
        <w:rPr>
          <w:rStyle w:val="Hyperlink"/>
          <w:sz w:val="24"/>
          <w:lang w:val="fi-FI"/>
        </w:rPr>
        <w:t>http://data.europa.eu/eli/budget/2024/207/oj</w:t>
      </w:r>
      <w:r>
        <w:fldChar w:fldCharType="end"/>
      </w:r>
      <w:r w:rsidRPr="00DD5EFC">
        <w:rPr>
          <w:sz w:val="24"/>
          <w:lang w:val="fi-FI"/>
        </w:rPr>
        <w:t>.</w:t>
      </w:r>
    </w:p>
  </w:footnote>
  <w:footnote w:id="2">
    <w:p w14:paraId="0737A120" w14:textId="50298FBD" w:rsidR="00CB39BB" w:rsidRPr="00DD5EFC" w:rsidRDefault="00CB39BB" w:rsidP="00B71CE1">
      <w:pPr>
        <w:pStyle w:val="FootnoteText"/>
        <w:ind w:left="567" w:hanging="567"/>
        <w:rPr>
          <w:sz w:val="24"/>
          <w:lang w:val="fi-FI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DD5EFC">
        <w:rPr>
          <w:sz w:val="24"/>
          <w:lang w:val="fi-FI"/>
        </w:rPr>
        <w:t xml:space="preserve"> </w:t>
      </w:r>
      <w:r w:rsidR="00B71CE1" w:rsidRPr="00DD5EFC">
        <w:rPr>
          <w:sz w:val="24"/>
          <w:lang w:val="fi-FI"/>
        </w:rPr>
        <w:tab/>
      </w:r>
      <w:proofErr w:type="spellStart"/>
      <w:r w:rsidRPr="00DD5EFC">
        <w:rPr>
          <w:sz w:val="24"/>
          <w:lang w:val="fi-FI"/>
        </w:rPr>
        <w:t>Dz.U</w:t>
      </w:r>
      <w:proofErr w:type="spellEnd"/>
      <w:r w:rsidRPr="00DD5EFC">
        <w:rPr>
          <w:sz w:val="24"/>
          <w:lang w:val="fi-FI"/>
        </w:rPr>
        <w:t xml:space="preserve">. C, C/2025/4944, 13.10.2025, ELI: </w:t>
      </w:r>
      <w:r>
        <w:fldChar w:fldCharType="begin"/>
      </w:r>
      <w:r w:rsidRPr="0059635C">
        <w:rPr>
          <w:lang w:val="fi-FI"/>
        </w:rPr>
        <w:instrText>HYPERLINK "http://data.europa.eu/eli/C/2025/4944/oj"</w:instrText>
      </w:r>
      <w:r>
        <w:fldChar w:fldCharType="separate"/>
      </w:r>
      <w:r w:rsidRPr="00DD5EFC">
        <w:rPr>
          <w:rStyle w:val="Hyperlink"/>
          <w:sz w:val="24"/>
          <w:lang w:val="fi-FI"/>
        </w:rPr>
        <w:t>http://data.europa.eu/eli/C/2025/4944/oj</w:t>
      </w:r>
      <w:r>
        <w:fldChar w:fldCharType="end"/>
      </w:r>
      <w:r w:rsidRPr="00DD5EFC">
        <w:rPr>
          <w:sz w:val="24"/>
          <w:lang w:val="fi-FI"/>
        </w:rPr>
        <w:t>.</w:t>
      </w:r>
    </w:p>
  </w:footnote>
  <w:footnote w:id="3">
    <w:p w14:paraId="7C2D0BE8" w14:textId="456BF115" w:rsidR="00CB39BB" w:rsidRPr="00DD5EFC" w:rsidRDefault="00CB39BB" w:rsidP="00B71CE1">
      <w:pPr>
        <w:pStyle w:val="FootnoteText"/>
        <w:ind w:left="567" w:hanging="567"/>
        <w:rPr>
          <w:sz w:val="24"/>
          <w:lang w:val="fi-FI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DD5EFC">
        <w:rPr>
          <w:sz w:val="24"/>
          <w:lang w:val="fi-FI"/>
        </w:rPr>
        <w:t xml:space="preserve"> </w:t>
      </w:r>
      <w:r w:rsidR="00B71CE1" w:rsidRPr="00DD5EFC">
        <w:rPr>
          <w:sz w:val="24"/>
          <w:lang w:val="fi-FI"/>
        </w:rPr>
        <w:tab/>
      </w:r>
      <w:proofErr w:type="spellStart"/>
      <w:r w:rsidRPr="00DD5EFC">
        <w:rPr>
          <w:sz w:val="24"/>
          <w:lang w:val="fi-FI"/>
        </w:rPr>
        <w:t>Dz.U</w:t>
      </w:r>
      <w:proofErr w:type="spellEnd"/>
      <w:r w:rsidRPr="00DD5EFC">
        <w:rPr>
          <w:sz w:val="24"/>
          <w:lang w:val="fi-FI"/>
        </w:rPr>
        <w:t xml:space="preserve">. C, C/2025/5409, 8.10.2025, ELI: </w:t>
      </w:r>
      <w:r>
        <w:fldChar w:fldCharType="begin"/>
      </w:r>
      <w:r w:rsidRPr="0059635C">
        <w:rPr>
          <w:lang w:val="fi-FI"/>
        </w:rPr>
        <w:instrText>HYPERLINK "http://data.europa.eu/eli/C/2025/5409/oj"</w:instrText>
      </w:r>
      <w:r>
        <w:fldChar w:fldCharType="separate"/>
      </w:r>
      <w:r w:rsidRPr="00DD5EFC">
        <w:rPr>
          <w:rStyle w:val="Hyperlink"/>
          <w:sz w:val="24"/>
          <w:lang w:val="fi-FI"/>
        </w:rPr>
        <w:t>http://data.europa.eu/eli/C/2025/5409/oj</w:t>
      </w:r>
      <w:r>
        <w:fldChar w:fldCharType="end"/>
      </w:r>
      <w:r w:rsidRPr="00DD5EFC">
        <w:rPr>
          <w:sz w:val="24"/>
          <w:lang w:val="fi-FI"/>
        </w:rPr>
        <w:t>.</w:t>
      </w:r>
    </w:p>
  </w:footnote>
  <w:footnote w:id="4">
    <w:p w14:paraId="672EC7D4" w14:textId="6B5B558D" w:rsidR="00CB39BB" w:rsidRPr="00DD5EFC" w:rsidRDefault="00CB39BB" w:rsidP="00B71CE1">
      <w:pPr>
        <w:pStyle w:val="FootnoteText"/>
        <w:ind w:left="567" w:hanging="567"/>
        <w:rPr>
          <w:sz w:val="24"/>
          <w:lang w:val="fi-FI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DD5EFC">
        <w:rPr>
          <w:sz w:val="24"/>
          <w:lang w:val="fi-FI"/>
        </w:rPr>
        <w:t xml:space="preserve"> </w:t>
      </w:r>
      <w:r w:rsidR="00B71CE1" w:rsidRPr="00DD5EFC">
        <w:rPr>
          <w:sz w:val="24"/>
          <w:lang w:val="fi-FI"/>
        </w:rPr>
        <w:tab/>
      </w:r>
      <w:proofErr w:type="spellStart"/>
      <w:r w:rsidRPr="00DD5EFC">
        <w:rPr>
          <w:sz w:val="24"/>
          <w:lang w:val="fi-FI"/>
        </w:rPr>
        <w:t>Dz.U</w:t>
      </w:r>
      <w:proofErr w:type="spellEnd"/>
      <w:r w:rsidRPr="00DD5EFC">
        <w:rPr>
          <w:sz w:val="24"/>
          <w:lang w:val="fi-FI"/>
        </w:rPr>
        <w:t xml:space="preserve">. C, C/2025/5407, 13.10.2025, ELI: </w:t>
      </w:r>
      <w:r>
        <w:fldChar w:fldCharType="begin"/>
      </w:r>
      <w:r w:rsidRPr="0059635C">
        <w:rPr>
          <w:lang w:val="fi-FI"/>
        </w:rPr>
        <w:instrText>HYPERLINK "http://data.europa.eu/eli/C/2025/5407/oj"</w:instrText>
      </w:r>
      <w:r>
        <w:fldChar w:fldCharType="separate"/>
      </w:r>
      <w:r w:rsidRPr="00DD5EFC">
        <w:rPr>
          <w:rStyle w:val="Hyperlink"/>
          <w:sz w:val="24"/>
          <w:lang w:val="fi-FI"/>
        </w:rPr>
        <w:t>http://data.europa.eu/eli/C/2025/5407/oj</w:t>
      </w:r>
      <w:r>
        <w:fldChar w:fldCharType="end"/>
      </w:r>
      <w:r w:rsidRPr="00DD5EFC">
        <w:rPr>
          <w:sz w:val="24"/>
          <w:lang w:val="fi-FI"/>
        </w:rPr>
        <w:t>.</w:t>
      </w:r>
    </w:p>
  </w:footnote>
  <w:footnote w:id="5">
    <w:p w14:paraId="08B4F64C" w14:textId="060CA07C" w:rsidR="00CB39BB" w:rsidRPr="00B71CE1" w:rsidRDefault="00CB39BB" w:rsidP="00B71CE1">
      <w:pPr>
        <w:pStyle w:val="FootnoteText"/>
        <w:ind w:left="567" w:hanging="567"/>
        <w:rPr>
          <w:sz w:val="24"/>
          <w:lang w:val="pl-PL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B71CE1">
        <w:rPr>
          <w:sz w:val="24"/>
          <w:lang w:val="pl-PL"/>
        </w:rPr>
        <w:t xml:space="preserve"> </w:t>
      </w:r>
      <w:r w:rsidR="00B71CE1" w:rsidRPr="00B71CE1">
        <w:rPr>
          <w:sz w:val="24"/>
          <w:lang w:val="pl-PL"/>
        </w:rPr>
        <w:tab/>
      </w:r>
      <w:r w:rsidRPr="00B71CE1">
        <w:rPr>
          <w:sz w:val="24"/>
          <w:lang w:val="pl-PL"/>
        </w:rPr>
        <w:t xml:space="preserve">Dz.U. L 193 z 30.7.2018, s. 1, ELI: </w:t>
      </w:r>
      <w:r>
        <w:fldChar w:fldCharType="begin"/>
      </w:r>
      <w:r w:rsidRPr="0059635C">
        <w:rPr>
          <w:lang w:val="pl-PL"/>
        </w:rPr>
        <w:instrText>HYPERLINK "http://data.europa.eu/eli/reg/2018/1046/oj"</w:instrText>
      </w:r>
      <w:r>
        <w:fldChar w:fldCharType="separate"/>
      </w:r>
      <w:r w:rsidRPr="00B71CE1">
        <w:rPr>
          <w:rStyle w:val="Hyperlink"/>
          <w:sz w:val="24"/>
          <w:lang w:val="pl-PL"/>
        </w:rPr>
        <w:t>http://data.europa.eu/eli/reg/2018/1046/oj</w:t>
      </w:r>
      <w:r>
        <w:fldChar w:fldCharType="end"/>
      </w:r>
      <w:r w:rsidRPr="00B71CE1">
        <w:rPr>
          <w:sz w:val="24"/>
          <w:lang w:val="pl-PL"/>
        </w:rPr>
        <w:t>.</w:t>
      </w:r>
    </w:p>
  </w:footnote>
  <w:footnote w:id="6">
    <w:p w14:paraId="215972C4" w14:textId="689CCF8E" w:rsidR="00CB39BB" w:rsidRPr="00DD5EFC" w:rsidRDefault="00CB39BB" w:rsidP="00B71CE1">
      <w:pPr>
        <w:pStyle w:val="FootnoteText"/>
        <w:ind w:left="567" w:hanging="567"/>
        <w:rPr>
          <w:sz w:val="24"/>
          <w:lang w:val="fi-FI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DD5EFC">
        <w:rPr>
          <w:sz w:val="24"/>
          <w:lang w:val="fi-FI"/>
        </w:rPr>
        <w:t xml:space="preserve"> </w:t>
      </w:r>
      <w:r w:rsidR="00B71CE1" w:rsidRPr="00DD5EFC">
        <w:rPr>
          <w:sz w:val="24"/>
          <w:lang w:val="fi-FI"/>
        </w:rPr>
        <w:tab/>
      </w:r>
      <w:proofErr w:type="spellStart"/>
      <w:r w:rsidRPr="00DD5EFC">
        <w:rPr>
          <w:sz w:val="24"/>
          <w:lang w:val="fi-FI"/>
        </w:rPr>
        <w:t>Dz.U</w:t>
      </w:r>
      <w:proofErr w:type="spellEnd"/>
      <w:r w:rsidRPr="00DD5EFC">
        <w:rPr>
          <w:sz w:val="24"/>
          <w:lang w:val="fi-FI"/>
        </w:rPr>
        <w:t xml:space="preserve">. L, 2024/2509, 26.9.2024, ELI: </w:t>
      </w:r>
      <w:r>
        <w:fldChar w:fldCharType="begin"/>
      </w:r>
      <w:r w:rsidRPr="0059635C">
        <w:rPr>
          <w:lang w:val="fi-FI"/>
        </w:rPr>
        <w:instrText>HYPERLINK "http://data.europa.eu/eli/reg/2024/2509/oj"</w:instrText>
      </w:r>
      <w:r>
        <w:fldChar w:fldCharType="separate"/>
      </w:r>
      <w:r w:rsidRPr="00DD5EFC">
        <w:rPr>
          <w:rStyle w:val="Hyperlink"/>
          <w:sz w:val="24"/>
          <w:lang w:val="fi-FI"/>
        </w:rPr>
        <w:t>http://data.europa.eu/eli/reg/2024/2509/oj</w:t>
      </w:r>
      <w:r>
        <w:fldChar w:fldCharType="end"/>
      </w:r>
      <w:r w:rsidRPr="00DD5EFC">
        <w:rPr>
          <w:sz w:val="24"/>
          <w:lang w:val="fi-FI"/>
        </w:rPr>
        <w:t>.</w:t>
      </w:r>
    </w:p>
  </w:footnote>
  <w:footnote w:id="7">
    <w:p w14:paraId="7F9482AB" w14:textId="4C0C83C3" w:rsidR="00CB39BB" w:rsidRPr="00B71CE1" w:rsidRDefault="00CB39BB" w:rsidP="00B71CE1">
      <w:pPr>
        <w:pStyle w:val="FootnoteText"/>
        <w:ind w:left="567" w:hanging="567"/>
        <w:rPr>
          <w:sz w:val="24"/>
          <w:lang w:val="pl-PL"/>
        </w:rPr>
      </w:pPr>
      <w:r w:rsidRPr="00B71CE1">
        <w:rPr>
          <w:rStyle w:val="FootnoteReference"/>
          <w:sz w:val="24"/>
          <w:lang w:val="pl-PL"/>
        </w:rPr>
        <w:footnoteRef/>
      </w:r>
      <w:r w:rsidR="00B71CE1" w:rsidRPr="00B71CE1">
        <w:rPr>
          <w:sz w:val="24"/>
          <w:lang w:val="pl-PL"/>
        </w:rPr>
        <w:t xml:space="preserve"> </w:t>
      </w:r>
      <w:r w:rsidR="00B71CE1" w:rsidRPr="00B71CE1">
        <w:rPr>
          <w:sz w:val="24"/>
          <w:lang w:val="pl-PL"/>
        </w:rPr>
        <w:tab/>
      </w:r>
      <w:r w:rsidRPr="00B71CE1">
        <w:rPr>
          <w:sz w:val="24"/>
          <w:lang w:val="pl-PL"/>
        </w:rPr>
        <w:t xml:space="preserve">Rozporządzenie Parlamentu Europejskiego i Rady (UE, </w:t>
      </w:r>
      <w:proofErr w:type="spellStart"/>
      <w:r w:rsidRPr="00B71CE1">
        <w:rPr>
          <w:sz w:val="24"/>
          <w:lang w:val="pl-PL"/>
        </w:rPr>
        <w:t>Euratom</w:t>
      </w:r>
      <w:proofErr w:type="spellEnd"/>
      <w:r w:rsidRPr="00B71CE1">
        <w:rPr>
          <w:sz w:val="24"/>
          <w:lang w:val="pl-PL"/>
        </w:rPr>
        <w:t xml:space="preserve">) 2023/2841 z dnia 13 grudnia 2023 r. w sprawie ustanowienia środków na rzecz wysokiego wspólnego poziomu </w:t>
      </w:r>
      <w:proofErr w:type="spellStart"/>
      <w:r w:rsidRPr="00B71CE1">
        <w:rPr>
          <w:sz w:val="24"/>
          <w:lang w:val="pl-PL"/>
        </w:rPr>
        <w:t>cyberbezpieczeństwa</w:t>
      </w:r>
      <w:proofErr w:type="spellEnd"/>
      <w:r w:rsidRPr="00B71CE1">
        <w:rPr>
          <w:sz w:val="24"/>
          <w:lang w:val="pl-PL"/>
        </w:rPr>
        <w:t xml:space="preserve"> w instytucjach, organach i jednostkach organizacyjnych Unii (Dz.U. L, 2023/2841, 18.12.2023, ELI: </w:t>
      </w:r>
      <w:r>
        <w:fldChar w:fldCharType="begin"/>
      </w:r>
      <w:r w:rsidRPr="0059635C">
        <w:rPr>
          <w:lang w:val="pl-PL"/>
        </w:rPr>
        <w:instrText>HYPERLINK "http://data.europa.eu/eli/reg/2023/2841/oj" \t "_blank" \o "Dostęp do dokumentu poprzez identyfikator URI w systemie ELI."</w:instrText>
      </w:r>
      <w:r>
        <w:fldChar w:fldCharType="separate"/>
      </w:r>
      <w:r w:rsidRPr="00B71CE1">
        <w:rPr>
          <w:rStyle w:val="Hyperlink"/>
          <w:sz w:val="24"/>
          <w:lang w:val="pl-PL"/>
        </w:rPr>
        <w:t>http://data.europa.eu/eli/reg/2023/2841/oj</w:t>
      </w:r>
      <w:r>
        <w:fldChar w:fldCharType="end"/>
      </w:r>
      <w:r w:rsidRPr="00B71CE1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E688" w14:textId="77777777" w:rsidR="00CB39BB" w:rsidRPr="00B71CE1" w:rsidRDefault="00CB3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46B09" w14:textId="77777777" w:rsidR="00CB39BB" w:rsidRPr="00B71CE1" w:rsidRDefault="00CB39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3A20" w14:textId="77777777" w:rsidR="00CB39BB" w:rsidRPr="00B71CE1" w:rsidRDefault="00CB39B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55272" w14:textId="77777777" w:rsidR="00064002" w:rsidRPr="00B71CE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8722" w14:textId="77777777" w:rsidR="00064002" w:rsidRPr="00B71CE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7C98" w14:textId="77777777" w:rsidR="00064002" w:rsidRPr="00B71C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6482692">
    <w:abstractNumId w:val="9"/>
  </w:num>
  <w:num w:numId="2" w16cid:durableId="1107578522">
    <w:abstractNumId w:val="9"/>
  </w:num>
  <w:num w:numId="3" w16cid:durableId="1960378983">
    <w:abstractNumId w:val="7"/>
  </w:num>
  <w:num w:numId="4" w16cid:durableId="1584876498">
    <w:abstractNumId w:val="7"/>
  </w:num>
  <w:num w:numId="5" w16cid:durableId="783384547">
    <w:abstractNumId w:val="6"/>
  </w:num>
  <w:num w:numId="6" w16cid:durableId="2062243994">
    <w:abstractNumId w:val="6"/>
  </w:num>
  <w:num w:numId="7" w16cid:durableId="33384593">
    <w:abstractNumId w:val="5"/>
  </w:num>
  <w:num w:numId="8" w16cid:durableId="1642727800">
    <w:abstractNumId w:val="5"/>
  </w:num>
  <w:num w:numId="9" w16cid:durableId="469901280">
    <w:abstractNumId w:val="4"/>
  </w:num>
  <w:num w:numId="10" w16cid:durableId="2009365164">
    <w:abstractNumId w:val="4"/>
  </w:num>
  <w:num w:numId="11" w16cid:durableId="24408201">
    <w:abstractNumId w:val="8"/>
  </w:num>
  <w:num w:numId="12" w16cid:durableId="185827074">
    <w:abstractNumId w:val="8"/>
  </w:num>
  <w:num w:numId="13" w16cid:durableId="258566496">
    <w:abstractNumId w:val="3"/>
  </w:num>
  <w:num w:numId="14" w16cid:durableId="1433236719">
    <w:abstractNumId w:val="3"/>
  </w:num>
  <w:num w:numId="15" w16cid:durableId="1093667804">
    <w:abstractNumId w:val="2"/>
  </w:num>
  <w:num w:numId="16" w16cid:durableId="2024817648">
    <w:abstractNumId w:val="2"/>
  </w:num>
  <w:num w:numId="17" w16cid:durableId="468595328">
    <w:abstractNumId w:val="1"/>
  </w:num>
  <w:num w:numId="18" w16cid:durableId="2112893969">
    <w:abstractNumId w:val="1"/>
  </w:num>
  <w:num w:numId="19" w16cid:durableId="1981183325">
    <w:abstractNumId w:val="0"/>
  </w:num>
  <w:num w:numId="20" w16cid:durableId="1641881122">
    <w:abstractNumId w:val="0"/>
  </w:num>
  <w:num w:numId="21" w16cid:durableId="2051146222">
    <w:abstractNumId w:val="9"/>
  </w:num>
  <w:num w:numId="22" w16cid:durableId="1762679302">
    <w:abstractNumId w:val="7"/>
  </w:num>
  <w:num w:numId="23" w16cid:durableId="2078744783">
    <w:abstractNumId w:val="6"/>
  </w:num>
  <w:num w:numId="24" w16cid:durableId="52626519">
    <w:abstractNumId w:val="5"/>
  </w:num>
  <w:num w:numId="25" w16cid:durableId="93744292">
    <w:abstractNumId w:val="4"/>
  </w:num>
  <w:num w:numId="26" w16cid:durableId="701781584">
    <w:abstractNumId w:val="8"/>
  </w:num>
  <w:num w:numId="27" w16cid:durableId="916524702">
    <w:abstractNumId w:val="3"/>
  </w:num>
  <w:num w:numId="28" w16cid:durableId="1976907990">
    <w:abstractNumId w:val="2"/>
  </w:num>
  <w:num w:numId="29" w16cid:durableId="1637493265">
    <w:abstractNumId w:val="1"/>
  </w:num>
  <w:num w:numId="30" w16cid:durableId="480658088">
    <w:abstractNumId w:val="0"/>
  </w:num>
  <w:num w:numId="31" w16cid:durableId="991254476">
    <w:abstractNumId w:val="9"/>
  </w:num>
  <w:num w:numId="32" w16cid:durableId="2052534609">
    <w:abstractNumId w:val="7"/>
  </w:num>
  <w:num w:numId="33" w16cid:durableId="52238900">
    <w:abstractNumId w:val="6"/>
  </w:num>
  <w:num w:numId="34" w16cid:durableId="281305218">
    <w:abstractNumId w:val="5"/>
  </w:num>
  <w:num w:numId="35" w16cid:durableId="1334146107">
    <w:abstractNumId w:val="4"/>
  </w:num>
  <w:num w:numId="36" w16cid:durableId="719670578">
    <w:abstractNumId w:val="8"/>
  </w:num>
  <w:num w:numId="37" w16cid:durableId="411201141">
    <w:abstractNumId w:val="3"/>
  </w:num>
  <w:num w:numId="38" w16cid:durableId="165171173">
    <w:abstractNumId w:val="2"/>
  </w:num>
  <w:num w:numId="39" w16cid:durableId="1623339305">
    <w:abstractNumId w:val="1"/>
  </w:num>
  <w:num w:numId="40" w16cid:durableId="1581866844">
    <w:abstractNumId w:val="0"/>
  </w:num>
  <w:num w:numId="41" w16cid:durableId="1695886558">
    <w:abstractNumId w:val="10"/>
  </w:num>
  <w:num w:numId="42" w16cid:durableId="910240785">
    <w:abstractNumId w:val="10"/>
  </w:num>
  <w:num w:numId="43" w16cid:durableId="1013259831">
    <w:abstractNumId w:val="10"/>
  </w:num>
  <w:num w:numId="44" w16cid:durableId="3913188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2/2026"/>
    <w:docVar w:name="dvlangue" w:val="PL"/>
    <w:docVar w:name="dvnumam" w:val="0"/>
    <w:docVar w:name="dvpe" w:val="778.062"/>
    <w:docVar w:name="dvrapporteur" w:val="Sprawozdawca: "/>
    <w:docVar w:name="dvtitre" w:val="Decyzja Parlamentu Europejskiego z dnia  2026 r. w sprawie absolutorium z wykonania budżetu ogólnego Unii Europejskiej za rok budżetowy 2024, sekcja V – Trybunał Obrachunkowy(2025/2149(DEC))"/>
  </w:docVars>
  <w:rsids>
    <w:rsidRoot w:val="00B14A1E"/>
    <w:rsid w:val="00002272"/>
    <w:rsid w:val="00064002"/>
    <w:rsid w:val="000677B9"/>
    <w:rsid w:val="000831BA"/>
    <w:rsid w:val="000A42CC"/>
    <w:rsid w:val="000C57F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272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35C"/>
    <w:rsid w:val="005C2568"/>
    <w:rsid w:val="005F1B17"/>
    <w:rsid w:val="006037C0"/>
    <w:rsid w:val="006631B6"/>
    <w:rsid w:val="00680577"/>
    <w:rsid w:val="006D7CB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D3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CEC"/>
    <w:rsid w:val="00AB441E"/>
    <w:rsid w:val="00AB6293"/>
    <w:rsid w:val="00AE0928"/>
    <w:rsid w:val="00AF3B82"/>
    <w:rsid w:val="00B12E95"/>
    <w:rsid w:val="00B14A1E"/>
    <w:rsid w:val="00B22876"/>
    <w:rsid w:val="00B558F0"/>
    <w:rsid w:val="00B71CE1"/>
    <w:rsid w:val="00B7760D"/>
    <w:rsid w:val="00BD48FE"/>
    <w:rsid w:val="00BD7BD8"/>
    <w:rsid w:val="00BE6ADC"/>
    <w:rsid w:val="00C05BFE"/>
    <w:rsid w:val="00C23CD4"/>
    <w:rsid w:val="00C61C0C"/>
    <w:rsid w:val="00C941CB"/>
    <w:rsid w:val="00C9421B"/>
    <w:rsid w:val="00CB39BB"/>
    <w:rsid w:val="00CC2357"/>
    <w:rsid w:val="00CF071A"/>
    <w:rsid w:val="00D058B8"/>
    <w:rsid w:val="00D24641"/>
    <w:rsid w:val="00D276F8"/>
    <w:rsid w:val="00D334C4"/>
    <w:rsid w:val="00D56C11"/>
    <w:rsid w:val="00D834A0"/>
    <w:rsid w:val="00D872DF"/>
    <w:rsid w:val="00D91E21"/>
    <w:rsid w:val="00DA7FCD"/>
    <w:rsid w:val="00DD5E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64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EB543"/>
  <w15:chartTrackingRefBased/>
  <w15:docId w15:val="{54ECB960-3FA9-43B8-B80C-0EBDD65F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B39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B39BB"/>
    <w:pPr>
      <w:spacing w:before="480" w:after="240"/>
    </w:pPr>
  </w:style>
  <w:style w:type="paragraph" w:customStyle="1" w:styleId="PageHeading">
    <w:name w:val="PageHeading"/>
    <w:basedOn w:val="Normal"/>
    <w:rsid w:val="00CB39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B39B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CB39B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B39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B39BB"/>
    <w:rPr>
      <w:sz w:val="24"/>
      <w:lang w:val="pl-PL"/>
    </w:rPr>
  </w:style>
  <w:style w:type="paragraph" w:customStyle="1" w:styleId="EPFooter">
    <w:name w:val="EPFooter"/>
    <w:basedOn w:val="Normal"/>
    <w:rsid w:val="00CB39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CB39B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B39BB"/>
    <w:rPr>
      <w:sz w:val="24"/>
      <w:lang w:val="pl-PL"/>
    </w:rPr>
  </w:style>
  <w:style w:type="paragraph" w:styleId="Revision">
    <w:name w:val="Revision"/>
    <w:hidden/>
    <w:uiPriority w:val="99"/>
    <w:semiHidden/>
    <w:rsid w:val="00847D3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8540</Words>
  <Characters>56762</Characters>
  <Application>Microsoft Office Word</Application>
  <DocSecurity>0</DocSecurity>
  <Lines>473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2026-05-12T08:37:00Z</dcterms:created>
  <dcterms:modified xsi:type="dcterms:W3CDTF">2026-05-12T08:37:00Z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P10_TA(2026)0129_</vt:lpwstr>
  </property>
  <property fmtid="{D5CDD505-2E9C-101B-9397-08002B2CF9AE}" pid="4" name="&lt;Type&gt;">
    <vt:lpwstr>RR</vt:lpwstr>
  </property>
</Properties>
</file>