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6ACA" w14:paraId="6AB7C284" w14:textId="77777777" w:rsidTr="0010095E">
        <w:trPr>
          <w:trHeight w:hRule="exact" w:val="1418"/>
        </w:trPr>
        <w:tc>
          <w:tcPr>
            <w:tcW w:w="6804" w:type="dxa"/>
            <w:shd w:val="clear" w:color="auto" w:fill="auto"/>
            <w:vAlign w:val="center"/>
          </w:tcPr>
          <w:p w14:paraId="052247CD" w14:textId="03A4E82A" w:rsidR="00751A4A" w:rsidRPr="00DB6ACA" w:rsidRDefault="007C476B" w:rsidP="0010095E">
            <w:pPr>
              <w:pStyle w:val="EPName"/>
            </w:pPr>
            <w:r w:rsidRPr="00DB6ACA">
              <w:t>Европейски</w:t>
            </w:r>
            <w:r w:rsidR="00F95974" w:rsidRPr="00DB6ACA">
              <w:t xml:space="preserve"> парламент</w:t>
            </w:r>
          </w:p>
          <w:p w14:paraId="0F294364" w14:textId="39279B4D" w:rsidR="00751A4A" w:rsidRPr="00DB6ACA" w:rsidRDefault="005F1B17" w:rsidP="005F1B17">
            <w:pPr>
              <w:pStyle w:val="EPTerm"/>
              <w:rPr>
                <w:rStyle w:val="HideTWBExt"/>
                <w:noProof w:val="0"/>
                <w:vanish w:val="0"/>
                <w:color w:val="auto"/>
              </w:rPr>
            </w:pPr>
            <w:r w:rsidRPr="00DB6ACA">
              <w:t>2024</w:t>
            </w:r>
            <w:r w:rsidR="007C476B">
              <w:t> – </w:t>
            </w:r>
            <w:r w:rsidR="00817416" w:rsidRPr="00DB6ACA">
              <w:t>202</w:t>
            </w:r>
            <w:r w:rsidRPr="00DB6ACA">
              <w:t>9</w:t>
            </w:r>
          </w:p>
        </w:tc>
        <w:tc>
          <w:tcPr>
            <w:tcW w:w="2268" w:type="dxa"/>
            <w:shd w:val="clear" w:color="auto" w:fill="auto"/>
          </w:tcPr>
          <w:p w14:paraId="3D0B047B" w14:textId="77777777" w:rsidR="00751A4A" w:rsidRPr="00DB6ACA" w:rsidRDefault="00187494" w:rsidP="0010095E">
            <w:pPr>
              <w:pStyle w:val="EPLogo"/>
            </w:pPr>
            <w:r w:rsidRPr="00DB6ACA">
              <w:rPr>
                <w:noProof/>
                <w:lang w:eastAsia="ja-JP"/>
              </w:rPr>
              <w:drawing>
                <wp:inline distT="0" distB="0" distL="0" distR="0" wp14:anchorId="0755DDF8" wp14:editId="043116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AE2802" w14:textId="77777777" w:rsidR="00D058B8" w:rsidRPr="00DB6ACA" w:rsidRDefault="00D058B8" w:rsidP="004C5D52">
      <w:pPr>
        <w:pStyle w:val="LineTop"/>
      </w:pPr>
    </w:p>
    <w:p w14:paraId="02419758" w14:textId="77777777" w:rsidR="00680577" w:rsidRPr="00DB6ACA" w:rsidRDefault="00F95974" w:rsidP="00680577">
      <w:pPr>
        <w:pStyle w:val="EPBodyTA1"/>
      </w:pPr>
      <w:r w:rsidRPr="00DB6ACA">
        <w:t>ПРИЕТИ ТЕКСТОВЕ</w:t>
      </w:r>
    </w:p>
    <w:p w14:paraId="2957AA71" w14:textId="77777777" w:rsidR="00D058B8" w:rsidRPr="00DB6ACA" w:rsidRDefault="00D058B8" w:rsidP="00D058B8">
      <w:pPr>
        <w:pStyle w:val="LineBottom"/>
      </w:pPr>
    </w:p>
    <w:p w14:paraId="23326F9F" w14:textId="6ECA9C78" w:rsidR="00F95974" w:rsidRPr="00DB6ACA" w:rsidRDefault="00F95974" w:rsidP="00F95974">
      <w:pPr>
        <w:pStyle w:val="ATHeading1"/>
      </w:pPr>
      <w:bookmarkStart w:id="0" w:name="TANumber"/>
      <w:r w:rsidRPr="00DB6ACA">
        <w:t>P10_TA(2026)0</w:t>
      </w:r>
      <w:r w:rsidR="00BF4995">
        <w:rPr>
          <w:lang w:val="en-GB"/>
        </w:rPr>
        <w:t>13</w:t>
      </w:r>
      <w:r w:rsidRPr="00DB6ACA">
        <w:t>0</w:t>
      </w:r>
      <w:bookmarkEnd w:id="0"/>
    </w:p>
    <w:p w14:paraId="60F0E493" w14:textId="77777777" w:rsidR="00F95974" w:rsidRPr="00DB6ACA" w:rsidRDefault="00F95974" w:rsidP="00F95974">
      <w:pPr>
        <w:pStyle w:val="ATHeading2"/>
      </w:pPr>
      <w:bookmarkStart w:id="1" w:name="title"/>
      <w:r w:rsidRPr="00DB6ACA">
        <w:t>Освобождаване от отговорност във връзка с изпълнението на бюджета за 2024 г.: Общ бюджет на ЕС - Европейска служба за външна дейност</w:t>
      </w:r>
      <w:bookmarkEnd w:id="1"/>
    </w:p>
    <w:p w14:paraId="147DD5FD" w14:textId="77777777" w:rsidR="00F95974" w:rsidRPr="00DB6ACA" w:rsidRDefault="00F95974" w:rsidP="00F95974">
      <w:pPr>
        <w:rPr>
          <w:i/>
          <w:vanish/>
        </w:rPr>
      </w:pPr>
      <w:r w:rsidRPr="00DB6ACA">
        <w:rPr>
          <w:i/>
        </w:rPr>
        <w:fldChar w:fldCharType="begin"/>
      </w:r>
      <w:r w:rsidRPr="00DB6ACA">
        <w:rPr>
          <w:i/>
        </w:rPr>
        <w:instrText xml:space="preserve"> TC"(</w:instrText>
      </w:r>
      <w:bookmarkStart w:id="2" w:name="DocNumber"/>
      <w:r w:rsidRPr="00DB6ACA">
        <w:rPr>
          <w:i/>
        </w:rPr>
        <w:instrText>A10-0053/2026</w:instrText>
      </w:r>
      <w:bookmarkEnd w:id="2"/>
      <w:r w:rsidRPr="00DB6ACA">
        <w:rPr>
          <w:i/>
        </w:rPr>
        <w:instrText xml:space="preserve"> - Докладчик: Паскуале </w:instrText>
      </w:r>
      <w:proofErr w:type="spellStart"/>
      <w:r w:rsidRPr="00DB6ACA">
        <w:rPr>
          <w:i/>
        </w:rPr>
        <w:instrText>Тридико</w:instrText>
      </w:r>
      <w:proofErr w:type="spellEnd"/>
      <w:r w:rsidRPr="00DB6ACA">
        <w:rPr>
          <w:i/>
        </w:rPr>
        <w:instrText xml:space="preserve">)"\l3 \n&gt; \* MERGEFORMAT </w:instrText>
      </w:r>
      <w:r w:rsidRPr="00DB6ACA">
        <w:rPr>
          <w:i/>
        </w:rPr>
        <w:fldChar w:fldCharType="end"/>
      </w:r>
    </w:p>
    <w:p w14:paraId="3A8704AE" w14:textId="77777777" w:rsidR="00F95974" w:rsidRPr="00DB6ACA" w:rsidRDefault="00F95974" w:rsidP="00F95974">
      <w:pPr>
        <w:rPr>
          <w:vanish/>
        </w:rPr>
      </w:pPr>
      <w:bookmarkStart w:id="3" w:name="Commission"/>
      <w:r w:rsidRPr="00DB6ACA">
        <w:rPr>
          <w:vanish/>
        </w:rPr>
        <w:t>Комисия по бюджетен контрол</w:t>
      </w:r>
      <w:bookmarkEnd w:id="3"/>
    </w:p>
    <w:p w14:paraId="68CB62C5" w14:textId="77777777" w:rsidR="00F95974" w:rsidRPr="00DB6ACA" w:rsidRDefault="00F95974" w:rsidP="00F95974">
      <w:pPr>
        <w:rPr>
          <w:vanish/>
        </w:rPr>
      </w:pPr>
      <w:bookmarkStart w:id="4" w:name="PE"/>
      <w:r w:rsidRPr="00DB6ACA">
        <w:rPr>
          <w:vanish/>
        </w:rPr>
        <w:t>PE778.061</w:t>
      </w:r>
      <w:bookmarkEnd w:id="4"/>
    </w:p>
    <w:p w14:paraId="5630DC91" w14:textId="5A3A6480" w:rsidR="00F95974" w:rsidRPr="00DB6ACA" w:rsidRDefault="00F95974" w:rsidP="007C476B">
      <w:pPr>
        <w:pStyle w:val="ATHeading3"/>
      </w:pPr>
      <w:bookmarkStart w:id="5" w:name="Sujet"/>
      <w:r w:rsidRPr="00DB6ACA">
        <w:t xml:space="preserve">1. Решение на Европейския парламент от </w:t>
      </w:r>
      <w:r w:rsidR="00247C3C">
        <w:t>2</w:t>
      </w:r>
      <w:r w:rsidR="005941CE">
        <w:t>9</w:t>
      </w:r>
      <w:r w:rsidR="00247C3C">
        <w:t xml:space="preserve"> април</w:t>
      </w:r>
      <w:r w:rsidRPr="00DB6ACA">
        <w:t xml:space="preserve"> 2026 г. относно освобождаването от отговорност във връзка с изпълнението на общия бюджет на Европейския съюз за финансовата 2024 година, раздел X ‒ Европейска служба за външна дейност</w:t>
      </w:r>
      <w:bookmarkEnd w:id="5"/>
      <w:r w:rsidRPr="00DB6ACA">
        <w:t xml:space="preserve"> </w:t>
      </w:r>
      <w:bookmarkStart w:id="6" w:name="References"/>
      <w:r w:rsidRPr="00DB6ACA">
        <w:t>(2025/2150(DEC))</w:t>
      </w:r>
      <w:bookmarkEnd w:id="6"/>
    </w:p>
    <w:p w14:paraId="4E61CE8E" w14:textId="77777777" w:rsidR="00E7007D" w:rsidRPr="00DB6ACA" w:rsidRDefault="00E7007D" w:rsidP="00E7007D">
      <w:pPr>
        <w:pStyle w:val="EPComma"/>
      </w:pPr>
      <w:bookmarkStart w:id="7" w:name="TextBodyBegin"/>
      <w:bookmarkEnd w:id="7"/>
      <w:r w:rsidRPr="00DB6ACA">
        <w:rPr>
          <w:i/>
        </w:rPr>
        <w:t>Европейският парламент</w:t>
      </w:r>
      <w:r w:rsidRPr="00DB6ACA">
        <w:t>,</w:t>
      </w:r>
    </w:p>
    <w:p w14:paraId="193DFF12" w14:textId="77777777" w:rsidR="00E7007D" w:rsidRPr="00DB6ACA" w:rsidRDefault="00E7007D" w:rsidP="00E7007D">
      <w:pPr>
        <w:pStyle w:val="NormalHanging12a"/>
      </w:pPr>
      <w:r w:rsidRPr="00DB6ACA">
        <w:t>–</w:t>
      </w:r>
      <w:r w:rsidRPr="00DB6ACA">
        <w:tab/>
        <w:t>като взе предвид общия бюджет на Европейския съюз за финансовата 2024 година</w:t>
      </w:r>
      <w:r w:rsidRPr="00DB6ACA">
        <w:rPr>
          <w:rStyle w:val="FootnoteReference"/>
        </w:rPr>
        <w:footnoteReference w:id="1"/>
      </w:r>
      <w:r w:rsidRPr="00DB6ACA">
        <w:t>,</w:t>
      </w:r>
    </w:p>
    <w:p w14:paraId="7A6F1513" w14:textId="77777777" w:rsidR="00E7007D" w:rsidRPr="00DB6ACA" w:rsidRDefault="00E7007D" w:rsidP="00E7007D">
      <w:pPr>
        <w:pStyle w:val="NormalHanging12a"/>
      </w:pPr>
      <w:r w:rsidRPr="00DB6ACA">
        <w:t>–</w:t>
      </w:r>
      <w:r w:rsidRPr="00DB6ACA">
        <w:tab/>
        <w:t>като взе предвид консолидираните годишни отчети на Европейския съюз за финансовата 2024 година (COM(2025)0359 – C10</w:t>
      </w:r>
      <w:r w:rsidRPr="00DB6ACA">
        <w:noBreakHyphen/>
        <w:t>0150/2025)</w:t>
      </w:r>
      <w:r w:rsidRPr="00DB6ACA">
        <w:rPr>
          <w:rStyle w:val="FootnoteReference"/>
        </w:rPr>
        <w:footnoteReference w:id="2"/>
      </w:r>
      <w:r w:rsidRPr="00DB6ACA">
        <w:t>,</w:t>
      </w:r>
    </w:p>
    <w:p w14:paraId="12887B4E" w14:textId="77777777" w:rsidR="00E7007D" w:rsidRPr="00DB6ACA" w:rsidRDefault="00E7007D" w:rsidP="00E7007D">
      <w:pPr>
        <w:pStyle w:val="NormalHanging12a"/>
      </w:pPr>
      <w:r w:rsidRPr="00DB6ACA">
        <w:t>–</w:t>
      </w:r>
      <w:r w:rsidRPr="00DB6ACA">
        <w:tab/>
        <w:t>като взе предвид годишния доклад на Европейската служба за външна дейност пред органа по освобождаване от отговорност относно вътрешните одити, осъществени през 2024 г.,</w:t>
      </w:r>
    </w:p>
    <w:p w14:paraId="18EF2D7D" w14:textId="77777777" w:rsidR="00E7007D" w:rsidRPr="00DB6ACA" w:rsidRDefault="00E7007D" w:rsidP="00E7007D">
      <w:pPr>
        <w:pStyle w:val="NormalHanging12a"/>
      </w:pPr>
      <w:r w:rsidRPr="00DB6ACA">
        <w:t>–</w:t>
      </w:r>
      <w:r w:rsidRPr="00DB6ACA">
        <w:tab/>
        <w:t>като взе предвид годишния доклад на Сметната палата относно изпълнението на бюджета за финансовата 2024 година, придружен от отговорите на институциите</w:t>
      </w:r>
      <w:r w:rsidRPr="00DB6ACA">
        <w:rPr>
          <w:rStyle w:val="FootnoteReference"/>
        </w:rPr>
        <w:footnoteReference w:id="3"/>
      </w:r>
      <w:r w:rsidRPr="00DB6ACA">
        <w:t>,</w:t>
      </w:r>
    </w:p>
    <w:p w14:paraId="2AB0D932" w14:textId="77777777" w:rsidR="00E7007D" w:rsidRPr="00DB6ACA" w:rsidRDefault="00E7007D" w:rsidP="00E7007D">
      <w:pPr>
        <w:pStyle w:val="NormalHanging12a"/>
      </w:pPr>
      <w:r w:rsidRPr="00DB6ACA">
        <w:t>–</w:t>
      </w:r>
      <w:r w:rsidRPr="00DB6ACA">
        <w:tab/>
        <w:t>като взе предвид декларацията за достоверност</w:t>
      </w:r>
      <w:r w:rsidRPr="00DB6ACA">
        <w:rPr>
          <w:rStyle w:val="FootnoteReference"/>
        </w:rPr>
        <w:footnoteReference w:id="4"/>
      </w:r>
      <w:r w:rsidRPr="00DB6ACA">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5D892343" w14:textId="77777777" w:rsidR="00E7007D" w:rsidRPr="00DB6ACA" w:rsidRDefault="00E7007D" w:rsidP="00E7007D">
      <w:pPr>
        <w:pStyle w:val="NormalHanging12a"/>
      </w:pPr>
      <w:r w:rsidRPr="00DB6ACA">
        <w:t>–</w:t>
      </w:r>
      <w:r w:rsidRPr="00DB6ACA">
        <w:tab/>
        <w:t>като взе предвид член 314, параграф 10 и членове 317, 318 и 319 от Договора за функционирането на Европейския съюз,</w:t>
      </w:r>
    </w:p>
    <w:p w14:paraId="711AA1D8" w14:textId="77777777" w:rsidR="00E7007D" w:rsidRPr="00DB6ACA" w:rsidRDefault="00E7007D" w:rsidP="00E7007D">
      <w:pPr>
        <w:pStyle w:val="NormalHanging12a"/>
      </w:pPr>
      <w:r w:rsidRPr="00DB6ACA">
        <w:t>–</w:t>
      </w:r>
      <w:r w:rsidRPr="00DB6ACA">
        <w:tab/>
        <w:t xml:space="preserve">като взе предвид Регламент (ЕС, Евратом) 2018/1046 на Европейския парламент и на Съвета от 18 юли 2018 г. за финансовите правила, приложими за общия </w:t>
      </w:r>
      <w:r w:rsidRPr="00DB6ACA">
        <w:lastRenderedPageBreak/>
        <w:t>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B6ACA">
        <w:rPr>
          <w:rStyle w:val="FootnoteReference"/>
        </w:rPr>
        <w:footnoteReference w:id="5"/>
      </w:r>
      <w:r w:rsidRPr="00DB6ACA">
        <w:t>, и по-специално членове 59, 118 и 260 — 263 от него,</w:t>
      </w:r>
    </w:p>
    <w:p w14:paraId="25BFD9E0" w14:textId="77777777" w:rsidR="00E7007D" w:rsidRPr="00DB6ACA" w:rsidRDefault="00E7007D" w:rsidP="00E7007D">
      <w:pPr>
        <w:pStyle w:val="NormalHanging12a"/>
      </w:pPr>
      <w:r w:rsidRPr="00DB6ACA">
        <w:t>–</w:t>
      </w:r>
      <w:r w:rsidRPr="00DB6ACA">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B6ACA">
        <w:rPr>
          <w:rStyle w:val="FootnoteReference"/>
        </w:rPr>
        <w:footnoteReference w:id="6"/>
      </w:r>
      <w:r w:rsidRPr="00DB6ACA">
        <w:t>, и по-специално членове 59, 118 и 266 — 269 от него,</w:t>
      </w:r>
    </w:p>
    <w:p w14:paraId="4C162A56" w14:textId="77777777" w:rsidR="00E7007D" w:rsidRPr="00DB6ACA" w:rsidRDefault="00E7007D" w:rsidP="00E7007D">
      <w:pPr>
        <w:pStyle w:val="NormalHanging12a"/>
      </w:pPr>
      <w:r w:rsidRPr="00DB6ACA">
        <w:t>–</w:t>
      </w:r>
      <w:r w:rsidRPr="00DB6ACA">
        <w:tab/>
        <w:t>като взе предвид Решение 2010/427/ЕС на Съвета от 26 юли 2010 г. за определяне на организацията и функционирането на Европейската служба за външна дейност</w:t>
      </w:r>
      <w:r w:rsidRPr="00DB6ACA">
        <w:rPr>
          <w:rStyle w:val="FootnoteReference"/>
        </w:rPr>
        <w:footnoteReference w:id="7"/>
      </w:r>
      <w:r w:rsidRPr="00DB6ACA">
        <w:t>, и по-специално член 8 от него,</w:t>
      </w:r>
    </w:p>
    <w:p w14:paraId="0962F56B" w14:textId="77777777" w:rsidR="00E7007D" w:rsidRPr="00DB6ACA" w:rsidRDefault="00E7007D" w:rsidP="00E7007D">
      <w:pPr>
        <w:pStyle w:val="NormalHanging12a"/>
      </w:pPr>
      <w:r w:rsidRPr="00DB6ACA">
        <w:t>–</w:t>
      </w:r>
      <w:r w:rsidRPr="00DB6ACA">
        <w:tab/>
        <w:t>като взе предвид член 102 и приложение V към своя Правилник за дейността,</w:t>
      </w:r>
    </w:p>
    <w:p w14:paraId="346DCAFC" w14:textId="77777777" w:rsidR="00E7007D" w:rsidRPr="00DB6ACA" w:rsidRDefault="00E7007D" w:rsidP="00E7007D">
      <w:pPr>
        <w:pStyle w:val="NormalHanging12a"/>
        <w:rPr>
          <w:szCs w:val="24"/>
        </w:rPr>
      </w:pPr>
      <w:r w:rsidRPr="00DB6ACA">
        <w:t>–</w:t>
      </w:r>
      <w:r w:rsidRPr="00DB6ACA">
        <w:tab/>
        <w:t>като взе предвид становището на комисията по външни работи,</w:t>
      </w:r>
    </w:p>
    <w:p w14:paraId="7310F977" w14:textId="77777777" w:rsidR="00E7007D" w:rsidRPr="00DB6ACA" w:rsidRDefault="00E7007D" w:rsidP="00E7007D">
      <w:pPr>
        <w:pStyle w:val="NormalHanging12a"/>
      </w:pPr>
      <w:r w:rsidRPr="00DB6ACA">
        <w:t>–</w:t>
      </w:r>
      <w:r w:rsidRPr="00DB6ACA">
        <w:tab/>
        <w:t>като взе предвид доклада на комисията по бюджетен контрол (A10-0053/2026),</w:t>
      </w:r>
    </w:p>
    <w:p w14:paraId="6D3F34DA" w14:textId="77777777" w:rsidR="00E7007D" w:rsidRPr="00DB6ACA" w:rsidRDefault="00E7007D" w:rsidP="00E7007D">
      <w:pPr>
        <w:pStyle w:val="NormalHanging12a"/>
      </w:pPr>
      <w:r w:rsidRPr="00DB6ACA">
        <w:t>1.</w:t>
      </w:r>
      <w:r w:rsidRPr="00DB6ACA">
        <w:tab/>
        <w:t>освобождава от отговорност върховния представител на Съюза по въпросите на външните работи и политиката на сигурност във връзка с изпълнението на бюджета на Европейската служба за външна дейност за финансовата 2024 година;</w:t>
      </w:r>
    </w:p>
    <w:p w14:paraId="2CDB7B51" w14:textId="77777777" w:rsidR="00E7007D" w:rsidRPr="00DB6ACA" w:rsidRDefault="00E7007D" w:rsidP="00E7007D">
      <w:pPr>
        <w:pStyle w:val="NormalHanging12a"/>
      </w:pPr>
      <w:r w:rsidRPr="00DB6ACA">
        <w:t>2.</w:t>
      </w:r>
      <w:r w:rsidRPr="00DB6ACA">
        <w:tab/>
        <w:t>представя своите забележки в резолюцията по-долу;</w:t>
      </w:r>
    </w:p>
    <w:p w14:paraId="7B16B075" w14:textId="77777777" w:rsidR="00E7007D" w:rsidRPr="00DB6ACA" w:rsidRDefault="00E7007D" w:rsidP="00E7007D">
      <w:pPr>
        <w:pStyle w:val="NormalHanging12a"/>
      </w:pPr>
      <w:r w:rsidRPr="00DB6ACA">
        <w:t>3.</w:t>
      </w:r>
      <w:r w:rsidRPr="00DB6ACA">
        <w:tab/>
        <w:t xml:space="preserve">възлага на своя председател да предаде настоящото решение, както и резолюцията, която е неразделна част от него, на Европейската служба за външна дейност, на Съвета, на Комисията и на Сметната палата, както и на Европейския омбудсман и на Европейския надзорен орган по защита на данните, и да осигури публикуването им в </w:t>
      </w:r>
      <w:r w:rsidRPr="00DB6ACA">
        <w:rPr>
          <w:i/>
        </w:rPr>
        <w:t>Официален вестник на Европейския съюз</w:t>
      </w:r>
      <w:r w:rsidRPr="00DB6ACA">
        <w:t xml:space="preserve"> (серия L).</w:t>
      </w:r>
    </w:p>
    <w:p w14:paraId="307C7722" w14:textId="77777777" w:rsidR="00E7007D" w:rsidRPr="00DB6ACA" w:rsidRDefault="00E7007D" w:rsidP="00E7007D">
      <w:pPr>
        <w:pStyle w:val="PageHeading"/>
        <w:jc w:val="left"/>
        <w:sectPr w:rsidR="00E7007D" w:rsidRPr="00DB6ACA" w:rsidSect="00DB6AC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5AF3E0" w14:textId="348DEEA4" w:rsidR="00B12EB1" w:rsidRDefault="00B12EB1" w:rsidP="00B12EB1">
      <w:pPr>
        <w:pStyle w:val="ATHeading3"/>
      </w:pPr>
      <w:r>
        <w:lastRenderedPageBreak/>
        <w:t>2. Резолюция на Европейския парламент от 2</w:t>
      </w:r>
      <w:r w:rsidR="005941CE">
        <w:t>9</w:t>
      </w:r>
      <w:r>
        <w:t xml:space="preserve"> април 2026 г.</w:t>
      </w:r>
      <w:r w:rsidR="0089721E">
        <w:rPr>
          <w:lang w:val="en-GB"/>
        </w:rPr>
        <w:t>,</w:t>
      </w:r>
      <w:r>
        <w:t xml:space="preserve"> съдържащ</w:t>
      </w:r>
      <w:r w:rsidR="0089721E">
        <w:t>а</w:t>
      </w:r>
      <w:r>
        <w:t xml:space="preserve"> забележки</w:t>
      </w:r>
      <w:r w:rsidR="00EB428B">
        <w:t>те</w:t>
      </w:r>
      <w:r>
        <w:t>, които са неразделна част от решението за освобождаване от отговорност във връзка с изпълнението на общия бюджет на Европейския съюз за финансовата 2024 година, раздел X – Европейска служба за външна дейност (2025/2150(DEC))</w:t>
      </w:r>
    </w:p>
    <w:p w14:paraId="2F0AA320" w14:textId="77777777" w:rsidR="00E7007D" w:rsidRPr="00DB6ACA" w:rsidRDefault="00E7007D" w:rsidP="00E7007D">
      <w:pPr>
        <w:pStyle w:val="EPComma"/>
      </w:pPr>
      <w:r w:rsidRPr="00DB6ACA">
        <w:rPr>
          <w:i/>
        </w:rPr>
        <w:t>Европейският парламент</w:t>
      </w:r>
      <w:r w:rsidRPr="00DB6ACA">
        <w:t>,</w:t>
      </w:r>
    </w:p>
    <w:p w14:paraId="4620D246" w14:textId="77777777" w:rsidR="00E7007D" w:rsidRPr="00DB6ACA" w:rsidRDefault="00E7007D" w:rsidP="00E7007D">
      <w:pPr>
        <w:pStyle w:val="NormalHanging12a"/>
      </w:pPr>
      <w:r w:rsidRPr="00DB6ACA">
        <w:t>–</w:t>
      </w:r>
      <w:r w:rsidRPr="00DB6ACA">
        <w:tab/>
        <w:t>като взе предвид своето решение относно освобождаването от отговорност във връзка с изпълнението на общия бюджет на Европейския съюз за финансовата 2024 година, раздел X ‒ Европейска служба за външна дейност,</w:t>
      </w:r>
    </w:p>
    <w:p w14:paraId="742FA47D" w14:textId="77777777" w:rsidR="00E7007D" w:rsidRPr="00DB6ACA" w:rsidRDefault="00E7007D" w:rsidP="00E7007D">
      <w:pPr>
        <w:pStyle w:val="NormalHanging12a"/>
      </w:pPr>
      <w:r w:rsidRPr="00DB6ACA">
        <w:t>–</w:t>
      </w:r>
      <w:r w:rsidRPr="00DB6ACA">
        <w:tab/>
        <w:t>като взе предвид член 102 и приложение V към своя Правилник за дейността,</w:t>
      </w:r>
    </w:p>
    <w:p w14:paraId="62C6402D" w14:textId="77777777" w:rsidR="00E7007D" w:rsidRPr="00DB6ACA" w:rsidRDefault="00E7007D" w:rsidP="00E7007D">
      <w:pPr>
        <w:pStyle w:val="NormalHanging12a"/>
        <w:rPr>
          <w:szCs w:val="24"/>
        </w:rPr>
      </w:pPr>
      <w:r w:rsidRPr="00DB6ACA">
        <w:t>–</w:t>
      </w:r>
      <w:r w:rsidRPr="00DB6ACA">
        <w:tab/>
        <w:t>като взе предвид становището на комисията по външни работи,</w:t>
      </w:r>
    </w:p>
    <w:p w14:paraId="6A98E66C" w14:textId="77777777" w:rsidR="00E7007D" w:rsidRPr="00DB6ACA" w:rsidRDefault="00E7007D" w:rsidP="00E7007D">
      <w:pPr>
        <w:pStyle w:val="NormalHanging12a"/>
      </w:pPr>
      <w:r w:rsidRPr="00DB6ACA">
        <w:t>–</w:t>
      </w:r>
      <w:r w:rsidRPr="00DB6ACA">
        <w:tab/>
        <w:t>като взе предвид доклада на комисията по бюджетен контрол (A10-0053/2026),</w:t>
      </w:r>
    </w:p>
    <w:p w14:paraId="06CCA28B" w14:textId="77777777" w:rsidR="00E7007D" w:rsidRPr="00DB6ACA" w:rsidRDefault="00E7007D" w:rsidP="00E7007D">
      <w:pPr>
        <w:pStyle w:val="NormalHanging12a"/>
      </w:pPr>
      <w:r w:rsidRPr="00DB6ACA">
        <w:t>А.</w:t>
      </w:r>
      <w:r w:rsidRPr="00DB6ACA">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както и добро управление на човешките ресурси;</w:t>
      </w:r>
    </w:p>
    <w:p w14:paraId="738451C9" w14:textId="77777777" w:rsidR="00E7007D" w:rsidRPr="00DB6ACA" w:rsidRDefault="00E7007D" w:rsidP="00E7007D">
      <w:pPr>
        <w:pStyle w:val="NormalHanging12a"/>
      </w:pPr>
      <w:r w:rsidRPr="00DB6ACA">
        <w:t>Б.</w:t>
      </w:r>
      <w:r w:rsidRPr="00DB6ACA">
        <w:tab/>
        <w:t>като има предвид, че Европейската служба за външна дейност (ЕСВД) отговаря за управлението на административните разходи на своето седалище в Брюксел и за мрежата от 145 делегации и служби на Съюза;</w:t>
      </w:r>
    </w:p>
    <w:p w14:paraId="36427B10" w14:textId="77777777" w:rsidR="00E7007D" w:rsidRPr="00DB6ACA" w:rsidRDefault="00E7007D" w:rsidP="00E7007D">
      <w:pPr>
        <w:pStyle w:val="NormalHanging12a"/>
      </w:pPr>
      <w:r w:rsidRPr="00DB6ACA">
        <w:t>В.</w:t>
      </w:r>
      <w:r w:rsidRPr="00DB6ACA">
        <w:tab/>
        <w:t>като има предвид, че отговорността на ЕСВД беше разширена, така че да обхваща административното управление на служителите на Комисията в делегациите на Съюза посредством поредица от споразумения за нивото на обслужване;</w:t>
      </w:r>
    </w:p>
    <w:p w14:paraId="2F77F625" w14:textId="77777777" w:rsidR="00E7007D" w:rsidRPr="00DB6ACA" w:rsidRDefault="00E7007D" w:rsidP="00E7007D">
      <w:pPr>
        <w:pStyle w:val="NormalHanging12a"/>
      </w:pPr>
      <w:r w:rsidRPr="00DB6ACA">
        <w:t>Г.</w:t>
      </w:r>
      <w:r w:rsidRPr="00DB6ACA">
        <w:tab/>
        <w:t>като има предвид, че правомощията, предоставени от Правилника за длъжностните лица на органа по назначаването, се упражняват от заместник-председателя на Комисията/върховен представител на Съюза по въпросите на външните работи и политиката на сигурност („заместник-председателя/върховен представител“) по отношение на служителите на ЕСВД;</w:t>
      </w:r>
    </w:p>
    <w:p w14:paraId="282AC169" w14:textId="77777777" w:rsidR="00E7007D" w:rsidRPr="00DB6ACA" w:rsidRDefault="00E7007D" w:rsidP="00E7007D">
      <w:pPr>
        <w:pStyle w:val="NormalHanging12a"/>
      </w:pPr>
      <w:r w:rsidRPr="00DB6ACA">
        <w:t>Д.</w:t>
      </w:r>
      <w:r w:rsidRPr="00DB6ACA">
        <w:tab/>
        <w:t>като има предвид, че изпълнението на бюджета се урежда с Финансовия регламент и с вътрешния правилник за изпълнението на бюджета на ЕСВД („вътрешния правилник“);</w:t>
      </w:r>
    </w:p>
    <w:p w14:paraId="0B4A9611" w14:textId="77777777" w:rsidR="00E7007D" w:rsidRPr="00DB6ACA" w:rsidRDefault="00E7007D" w:rsidP="00E7007D">
      <w:pPr>
        <w:pStyle w:val="NormalHanging12a"/>
      </w:pPr>
      <w:r w:rsidRPr="00DB6ACA">
        <w:t>Е.</w:t>
      </w:r>
      <w:r w:rsidRPr="00DB6ACA">
        <w:tab/>
        <w:t>като има предвид, че съгласно вътрешния правилник генералният секретар на ЕСВД изпълнява функциите на оправомощен разпоредител с бюджетни кредити за ЕСВД, а генералният директор, отговарящ за управлението на ресурсите, изпълнява функциите на основен вторично оправомощен разпоредител с бюджетни кредити;</w:t>
      </w:r>
    </w:p>
    <w:p w14:paraId="476BB123" w14:textId="77777777" w:rsidR="00E7007D" w:rsidRPr="00DB6ACA" w:rsidRDefault="00E7007D" w:rsidP="00E7007D">
      <w:pPr>
        <w:pStyle w:val="NormalHanging12a"/>
      </w:pPr>
      <w:r w:rsidRPr="00DB6ACA">
        <w:t>Ж.</w:t>
      </w:r>
      <w:r w:rsidRPr="00DB6ACA">
        <w:tab/>
        <w:t>като има предвид, че ролята на делегациите на Съюза е да представляват Съюза и неговите граждани по света, като изграждат мрежи и партньорства, както и да популяризират ценностите на Съюза;</w:t>
      </w:r>
    </w:p>
    <w:p w14:paraId="097776F1" w14:textId="77777777" w:rsidR="00E7007D" w:rsidRPr="00DB6ACA" w:rsidRDefault="00E7007D" w:rsidP="00E7007D">
      <w:pPr>
        <w:pStyle w:val="NormalHanging12a"/>
      </w:pPr>
      <w:r w:rsidRPr="00DB6ACA">
        <w:lastRenderedPageBreak/>
        <w:t>З.</w:t>
      </w:r>
      <w:r w:rsidRPr="00DB6ACA">
        <w:tab/>
        <w:t>като има предвид, че спецификата на ЕСВД се състои в нейното естество и произход, тъй като тя беше създадена чрез обединяването на служители от бившите отдели за външни отношения на Съвета и на Комисията, към които се присъединиха дипломати от държавите членки;</w:t>
      </w:r>
    </w:p>
    <w:p w14:paraId="471AAC41" w14:textId="77777777" w:rsidR="00E7007D" w:rsidRPr="00DB6ACA" w:rsidRDefault="00E7007D" w:rsidP="00E7007D">
      <w:pPr>
        <w:pStyle w:val="NormalHanging12a"/>
        <w:rPr>
          <w:bCs/>
          <w:iCs/>
        </w:rPr>
      </w:pPr>
      <w:r w:rsidRPr="00DB6ACA">
        <w:t>И.</w:t>
      </w:r>
      <w:r w:rsidRPr="00DB6ACA">
        <w:tab/>
        <w:t>като има предвид, че ефективността, в т.ч. от икономическа гледна точка, на външната дейност на Съюза зависи от тясното съгласуване с дипломатическите служби и мрежи на държавите членки, по-специално в трети държави, където както ЕСВД, така и държавите членки поддържат постоянно присъствие, с цел да се избегне дублирането на структури и разходи;</w:t>
      </w:r>
    </w:p>
    <w:p w14:paraId="654F15FF" w14:textId="77777777" w:rsidR="00E7007D" w:rsidRPr="00DB6ACA" w:rsidRDefault="00E7007D" w:rsidP="00E7007D">
      <w:pPr>
        <w:pStyle w:val="NormalHanging12a"/>
      </w:pPr>
      <w:r w:rsidRPr="00DB6ACA">
        <w:t>1.</w:t>
      </w:r>
      <w:r w:rsidRPr="00DB6ACA">
        <w:tab/>
        <w:t>отбелязва, че бюджетът на ЕСВД попада в обхвата на функция 7 от МФР „Европейска публична администрация“, която през 2024 г. възлиза на 13,3 милиарда евро (представляващи 6,9% от общия бюджет на Съюза); отбелязва, че бюджетът, управляван от ЕСВД, в размер на приблизително 1,239 милиарда евро представлява приблизително 9,54% от общите административни разходи на Съюза през 2024 г.;</w:t>
      </w:r>
    </w:p>
    <w:p w14:paraId="260BD66B" w14:textId="77777777" w:rsidR="00E7007D" w:rsidRPr="00DB6ACA" w:rsidRDefault="00E7007D" w:rsidP="00E7007D">
      <w:pPr>
        <w:pStyle w:val="NormalHanging12a"/>
      </w:pPr>
      <w:r w:rsidRPr="00DB6ACA">
        <w:t>2.</w:t>
      </w:r>
      <w:r w:rsidRPr="00DB6ACA">
        <w:tab/>
        <w:t>отбелязва, че в своя годишен доклад за финансовата 2024 година („доклада на Палатата“) Сметната палата („Палатата“) посочва, че е проверила извадка от 70 операции в обхвата на функция „Администрация“, което е сходен брой спрямо проверените през 2023 г. операции; отбелязва освен това, че административните разходи включват разходи за човешки ресурси, в т.ч. разходи за пенсии, които през 2024 г. представляват около 69% от общия размер на административните разходи, и разходи за сгради, оборудване, енергия, комуникации и информационни технологии, и че дългогодишната работа на Палатата показва, че разходите в тази област като цяло се характеризират с ниско ниво на риск;</w:t>
      </w:r>
    </w:p>
    <w:p w14:paraId="2F2D873C" w14:textId="77777777" w:rsidR="00E7007D" w:rsidRPr="00DB6ACA" w:rsidRDefault="00E7007D" w:rsidP="00E7007D">
      <w:pPr>
        <w:pStyle w:val="NormalHanging12a"/>
      </w:pPr>
      <w:r w:rsidRPr="00DB6ACA">
        <w:t>3.</w:t>
      </w:r>
      <w:r w:rsidRPr="00DB6ACA">
        <w:tab/>
        <w:t xml:space="preserve">отбелязва, че 16 (23%) от 70-те операции съдържат грешки, но че въз основа на трите </w:t>
      </w:r>
      <w:proofErr w:type="spellStart"/>
      <w:r w:rsidRPr="00DB6ACA">
        <w:t>остойностени</w:t>
      </w:r>
      <w:proofErr w:type="spellEnd"/>
      <w:r w:rsidRPr="00DB6ACA">
        <w:t xml:space="preserve"> грешки Палатата заключава, че изчисленият процент грешки, е под прага на същественост;</w:t>
      </w:r>
    </w:p>
    <w:p w14:paraId="00A9E3C4" w14:textId="77777777" w:rsidR="00E7007D" w:rsidRPr="00DB6ACA" w:rsidRDefault="00E7007D" w:rsidP="00E7007D">
      <w:pPr>
        <w:pStyle w:val="NormalHanging12a"/>
      </w:pPr>
      <w:r w:rsidRPr="00DB6ACA">
        <w:t>4.</w:t>
      </w:r>
      <w:r w:rsidRPr="00DB6ACA">
        <w:tab/>
        <w:t>отбелязва въз основа на доклада на Палатата, че Палатата е проверила 15 плащания, извършени от ЕСВД, сред които е установила две количествено измерими грешки; отбелязва, че една от грешките засяга значително изменение на договор, за което не е проведена валидна процедура за обществена поръчка и не са приложени последващи мерки за публичност, а другата грешка се отнася за плащане, свързано с използването на неправилен обменен курс при вписването на плащане за наем; приветства мерките, предприети от ЕСВД за решаването на тези проблеми;</w:t>
      </w:r>
    </w:p>
    <w:p w14:paraId="109376F3" w14:textId="77777777" w:rsidR="00E7007D" w:rsidRPr="00DB6ACA" w:rsidRDefault="00E7007D" w:rsidP="00E7007D">
      <w:pPr>
        <w:pStyle w:val="NormalHanging12a"/>
        <w:rPr>
          <w:b/>
          <w:bCs/>
          <w:i/>
          <w:iCs/>
        </w:rPr>
      </w:pPr>
      <w:r w:rsidRPr="00DB6ACA">
        <w:rPr>
          <w:b/>
          <w:i/>
        </w:rPr>
        <w:t>Бюджетно и финансово управление</w:t>
      </w:r>
    </w:p>
    <w:p w14:paraId="04470A38" w14:textId="77777777" w:rsidR="00E7007D" w:rsidRPr="00DB6ACA" w:rsidRDefault="00E7007D" w:rsidP="00E7007D">
      <w:pPr>
        <w:pStyle w:val="NormalHanging12a"/>
      </w:pPr>
      <w:r w:rsidRPr="00DB6ACA">
        <w:t>5.</w:t>
      </w:r>
      <w:r w:rsidRPr="00DB6ACA">
        <w:tab/>
        <w:t xml:space="preserve">отбелязва, че окончателният бюджет на ЕСВД за 2024 г. възлиза на 880 165 703 EUR, което представлява увеличение със 7,09% спрямо 2023 г.; отбелязва също така предоставените от Комисията на ЕСВД 359,1 милиона евро (включително целеви приходи и пренесени суми) за покриване на административните разходи на служителите на Комисията, работещи в делегациите на Съюза; отбелязва освен това получените от ЕСВД допълнителни фиксирани вноски за покриване на общите разходи на служителите от Европейския фонд за развитие в делегациите на Съюза и съвместно ползваните обекти, както и други суми, получени по силата на споразумения за съвместно </w:t>
      </w:r>
      <w:r w:rsidRPr="00DB6ACA">
        <w:lastRenderedPageBreak/>
        <w:t>ползване и други споразумения; отбелязва, че следователно общият бюджет, управляван от ЕСВД през 2024 г., възлиза на 1 239,3 милиона евро (бюджетни кредити за поети задължения), което представлява увеличение с 4,43% спрямо предходната година;</w:t>
      </w:r>
    </w:p>
    <w:p w14:paraId="345FBF54" w14:textId="77777777" w:rsidR="00E7007D" w:rsidRPr="00DB6ACA" w:rsidRDefault="00E7007D" w:rsidP="00E7007D">
      <w:pPr>
        <w:pStyle w:val="NormalHanging12a"/>
      </w:pPr>
      <w:r w:rsidRPr="00DB6ACA">
        <w:t>6.</w:t>
      </w:r>
      <w:r w:rsidRPr="00DB6ACA">
        <w:tab/>
        <w:t>отбелязва, че през 2024 г. степента на изпълнение на бюджетните кредити за поети задължения за текущата година (след трансферите) е 100%, а степента на изпълнение на плащанията е 88,4%, спрямо 91,9% през 2023 г.; отбелязва, че средният срок за извършване на плащанията е 13,43 дни, но 10,69% от общия брой на плащанията, изпълнени през 2024 г. (което съответства на общо 57 357 324 EUR), са забавени плащания, вследствие на което през 2024 г. са начислени лихви за забава в размер на 37 862,61 EUR; призовава ЕСВД да продължи усилията си за увеличаване на броя на електронните плащания и цифровизацията на работните процеси, по-специално по отношение на електронните фактури в делегациите на Съюза;</w:t>
      </w:r>
    </w:p>
    <w:p w14:paraId="583BC574" w14:textId="77777777" w:rsidR="00E7007D" w:rsidRPr="00DB6ACA" w:rsidRDefault="00E7007D" w:rsidP="00E7007D">
      <w:pPr>
        <w:pStyle w:val="NormalHanging12a"/>
      </w:pPr>
      <w:r w:rsidRPr="00DB6ACA">
        <w:t>7.</w:t>
      </w:r>
      <w:r w:rsidRPr="00DB6ACA">
        <w:tab/>
        <w:t>отбелязва, че ЕСВД информира бюджетния орган за два бюджетни трансфера по член 29, параграф 1 от Финансовия регламент и извърши десет самостоятелни трансфера по член 29, параграф 4, на обща стойност 53,6 милиона евро; отбелязва, че основната цел на трансферите е да се увеличат средствата по бюджетен ред 3 0 0 3 „Сгради и свързани с тях разходи“ в делегациите на Съюза с 33,78 милиона евро, по бюджетен ред 2 0 0 2 „Работа по оборудване и по сигурност“ — с 1,7 милиона евро, и по бюджетен ред 1 2 0 5 „Командировани национални военни експерти“ — с 1,37 милиона евро; отбелязва, че в резултат на трансферите окончателният бюджет за седалището на ЕСВД възлиза на 349,2 милиона евро, а окончателният бюджет за делегациите на Съюза — на 530,9 милиона евро;</w:t>
      </w:r>
    </w:p>
    <w:p w14:paraId="0812E3B9" w14:textId="77777777" w:rsidR="00E7007D" w:rsidRPr="00DB6ACA" w:rsidRDefault="00E7007D" w:rsidP="00E7007D">
      <w:pPr>
        <w:pStyle w:val="NormalHanging12a"/>
      </w:pPr>
      <w:r w:rsidRPr="00DB6ACA">
        <w:t>8.</w:t>
      </w:r>
      <w:r w:rsidRPr="00DB6ACA">
        <w:tab/>
        <w:t>отбелязва, че ЕСВД беше изправена пред няколко предизвикателства по отношение на изпълнението на бюджета си през 2024 г. поради силното въздействие на незаконната руска агресивна война срещу Украйна, инфлационния натиск, неблагоприятните валутни обменни курсове и тавана от 2% за разходите, които не са свързани със заплати, което доведе до дефицит от 33 милиона евро за делегациите на Съюза и съответно значително ограничи техния оперативен капацитет; отбелязва със задоволство, че ЕСВД преодоля тези предизвикателства чрез комбинация от стратегически икономии и преразпределяне на средства/бюджетни трансфери; отбелязва, че съкращенията засегнаха основно бюджетните кредити за командировки и представителство, инфраструктура и сигурност; изразява загриженост, че бюджетните ограничения могат да окажат влияние върху задължението на ЕСВД да полага грижи за своите служители, по-специално по отношение на поддържането на инфраструктурата и стандартите за сигурност в делегациите; приветства пакета от корективни мерки, но отново призовава за бюджет, съответстващ на нуждите и целите на ЕСВД; приканва ЕСВД да определи годишни цели за намаляване на просрочените плащания и разходите за лихви за забава, както и да стандартизира работните процеси от край до край за електронно фактуриране и електронни обществени поръчки във всички делегации; признава необходимостта всички институции на Съюза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w:t>
      </w:r>
    </w:p>
    <w:p w14:paraId="57B6F3A4" w14:textId="77777777" w:rsidR="00E7007D" w:rsidRPr="00DB6ACA" w:rsidRDefault="00E7007D" w:rsidP="00E7007D">
      <w:pPr>
        <w:spacing w:after="240"/>
        <w:ind w:left="567" w:hanging="567"/>
      </w:pPr>
      <w:r w:rsidRPr="00DB6ACA">
        <w:t>9.</w:t>
      </w:r>
      <w:r w:rsidRPr="00DB6ACA">
        <w:tab/>
      </w:r>
      <w:bookmarkStart w:id="8" w:name="_Hlk221454822"/>
      <w:r w:rsidRPr="00DB6ACA">
        <w:t xml:space="preserve">отбелязва въз основа на изслушването на заместник-председателя/върховен </w:t>
      </w:r>
      <w:r w:rsidRPr="00DB6ACA">
        <w:lastRenderedPageBreak/>
        <w:t xml:space="preserve">представител на заседанието на комисията по бюджетен контрол на Парламента, проведено на 17 ноември 2025 г. („изслушването“), че ЕСВД е била изправена пред значителни бюджетни ограничения през последните няколко години, като същевременно на институцията е възлаган все по-широк мандат и тя е имала по-големи разходи и потребности във връзка с мрежата от 145 делегации; изразява съжаление, че недостигът на финансиране на ЕСВД не е структурно преодолян; подкрепя становището на ЕСВД, че съществува несъответствие между задачите и ресурсите, което е значително предизвикателство за способността на ЕСВД да постига изцяло своите цели и ефективно да подкрепя дневния ред на Съюза в областта на външната политика и политиката на сигурност, </w:t>
      </w:r>
      <w:bookmarkEnd w:id="8"/>
      <w:r w:rsidRPr="00DB6ACA">
        <w:t>като</w:t>
      </w:r>
      <w:r w:rsidRPr="00DB6ACA">
        <w:rPr>
          <w:u w:val="single"/>
        </w:rPr>
        <w:t xml:space="preserve"> </w:t>
      </w:r>
      <w:r w:rsidRPr="00DB6ACA">
        <w:t>по този начин подкопава резултатите от външната политика на Съюза в момент на бързи геополитически промени, както и доверието в Съюза като фактор от световно значение; призовава ЕСВД да даде приоритет на дейности, които носят ясна добавена стойност за Съюза и неговите граждани, и същевременно да избягва действия и проекти, които рискуват да подкопаят ефективността и благосъстоянието на служителите; приканва ЕСВД да се справи с недостига на служители в делегациите на ЕС, особено за позициите в държави, изправени пред сложни предизвикателства в областта на сигурността или геополитически предизвикателства, и да повиши прозрачността и отчетността в процедурите за набиране на служители;</w:t>
      </w:r>
    </w:p>
    <w:p w14:paraId="20ADC6B4" w14:textId="77777777" w:rsidR="00E7007D" w:rsidRPr="00DB6ACA" w:rsidRDefault="00E7007D" w:rsidP="00E7007D">
      <w:pPr>
        <w:pStyle w:val="NormalHanging12a"/>
        <w:rPr>
          <w:bCs/>
          <w:iCs/>
        </w:rPr>
      </w:pPr>
      <w:r w:rsidRPr="00DB6ACA">
        <w:t>10.</w:t>
      </w:r>
      <w:r w:rsidRPr="00DB6ACA">
        <w:tab/>
        <w:t>призовава Палатата да проведе цялостен одит на резултатите от дейността на ЕСВД, за да оцени ефективността на нейните дейности в сравнение с дипломатическите служби на държавите от Организацията за икономическо сътрудничество и развитие (ОИСР); изисква при този одит да се установят областите, в които ЕСВД предоставя уникална, незаменима добавена стойност, и областите, в които нейните дейности се припокриват с тези на държавите членки; едновременно с това призовава ЕСВД да извърши анализ на разходите и ползите от своята глобална мрежа и да даде приоритет на ресурсите за делегациите в държави, които явно допринасят за непосредствените интереси на Съюза, като икономически просперитет, енергийна сигурност, защита на границите и предотвратяване на незаконните миграционни потоци; настоява за установяването на ясни и измерими показатели за ефективност, които да доказват „икономическата ефективност“ в полза на гражданите на Съюза, и изисква ЕСВД да преустанови всички дейности или мисии, които в резултат на тези оценки бъдат определени като неефективни или излишни;</w:t>
      </w:r>
    </w:p>
    <w:p w14:paraId="45AC9EFD" w14:textId="77777777" w:rsidR="00E7007D" w:rsidRPr="00DB6ACA" w:rsidRDefault="00E7007D" w:rsidP="00E7007D">
      <w:pPr>
        <w:pStyle w:val="NormalHanging12a"/>
      </w:pPr>
      <w:r w:rsidRPr="00DB6ACA">
        <w:t>11.</w:t>
      </w:r>
      <w:r w:rsidRPr="00DB6ACA">
        <w:tab/>
        <w:t>отбелязва освен това, че през 2024 г. са отложени инвестиции в недвижими имоти и ИТ проекти и броят на стажантите е намален; отбелязва становището на ЕСВД, че тези ограничения биха могли в крайна сметка да окажат въздействие върху глобалното присъствие на Съюза; предупреждава, че продължаващото отлагане на инвестиции и съкращенията на служители рискуват да подкопаят задължението на ЕСВД за полагане на дължима грижа, по-специално по отношение на безопасността на служителите, психичното здраве и сигурността при назначения във високорискови държави; приканва ЕСВД да представи инвестиционен план за критична инфраструктура за ИТ, киберсигурност и дължима грижа, включително анализ на разходите и ползите и очаквано оперативно въздействие, за да се избегнат повтарящи се отлагания, които подкопават ефективността и безопасността на служителите;</w:t>
      </w:r>
    </w:p>
    <w:p w14:paraId="0A5C2136" w14:textId="77777777" w:rsidR="00E7007D" w:rsidRPr="00DB6ACA" w:rsidRDefault="00E7007D" w:rsidP="00E7007D">
      <w:pPr>
        <w:pStyle w:val="NormalHanging12a"/>
        <w:rPr>
          <w:b/>
          <w:i/>
        </w:rPr>
      </w:pPr>
      <w:r w:rsidRPr="00DB6ACA">
        <w:t>12.</w:t>
      </w:r>
      <w:r w:rsidRPr="00DB6ACA">
        <w:tab/>
        <w:t xml:space="preserve">отбелязва, че финансовият таван на Европейския механизъм за подкрепа на мира, управляван под ръководството на заместник-председателя/върховен </w:t>
      </w:r>
      <w:r w:rsidRPr="00DB6ACA">
        <w:lastRenderedPageBreak/>
        <w:t>представител, е увеличен от 12 милиарда евро през 2023 г. на 17 милиарда евро през 2024 г., като допълнителните 5 милиарда евро са предназначени за военна подкрепа за Украйна; подчертава, че значителното засилване на Европейския механизъм за подкрепа на мира изисква повишена прозрачност и по-строг парламентарен контрол; призовава за редовно и структурирано докладване пред органа по освобождаване от отговорност относно управлението на риска, механизмите за мониторинг и зачитането на ценностите на Съюза и международното хуманитарно право; призовава ЕСВД да си сътрудничи с генералната дирекция „Разширяване и източно съседство“ на Комисията, за да се осигури ефективен надзор и мониторинг на проектите, финансирани от Европейския механизъм за подкрепа на мира; признава, че Европейският механизъм за подкрепа на мира е необходим инструмент за поддържане на мира в епоха на геополитическа конкуренция, насочен към изграждането на стабилност и на единно европейско сътрудничество в областта на отбраната;</w:t>
      </w:r>
    </w:p>
    <w:p w14:paraId="0B72CB2B" w14:textId="77777777" w:rsidR="00E7007D" w:rsidRPr="00DB6ACA" w:rsidRDefault="00E7007D" w:rsidP="00E7007D">
      <w:pPr>
        <w:pStyle w:val="NormalHanging12a"/>
        <w:rPr>
          <w:b/>
          <w:i/>
        </w:rPr>
      </w:pPr>
      <w:r w:rsidRPr="00DB6ACA">
        <w:t>13.</w:t>
      </w:r>
      <w:r w:rsidRPr="00DB6ACA">
        <w:tab/>
        <w:t>отбелязва въз основа на отговорите на ЕСВД на въпросника на комисията по бюджетен контрол с оглед на процедурата по освобождаване от отговорност във връзка с изпълнението на бюджета за 2024 г. („въпросника“), че през 2024 г. ЕСВД е започнала в своето седалище и делегациите на Съюза общо 71 процедури за възлагане на обществени поръчки за договори с висока стойност, т.е. над прага от 143 000 EUR за доставки и услуги, определен в Директива 2014/24/ЕС на Европейския парламент и на Съвета</w:t>
      </w:r>
      <w:r w:rsidRPr="00DB6ACA">
        <w:rPr>
          <w:rStyle w:val="FootnoteReference"/>
        </w:rPr>
        <w:footnoteReference w:id="8"/>
      </w:r>
      <w:r w:rsidRPr="00DB6ACA">
        <w:t>; отбелязва, че 63 от тези процедури са завършени успешно, като са сключени 63 договора, а осем са били неуспешни; отбелязва, че с влизането в сила на 29 септември 2024 г. на новия финансов регламент управлението на процедурите за възлагане на обществени поръчки за делегациите на Съюза в трети държави беше опростено чрез въвеждането на отделен набор от тавани за договорите с много ниска, ниска и средна стойност, като по този начин беше преодолян дългогодишен проблем, свързан с ограничения капацитет на местните оператори да спазят сложните изисквания съгласно правилата на Съюза за възлагане на обществени поръчки; очаква това опростяване да отговори по-добре на потребностите както на приемащите държави, така и на делегациите на Съюза, по отношение на процедурите за възлагане на обществени поръчки, без да бъде засегнато неблагоприятно спазването на най-високите стандарти за прозрачност, конкуренция и механизмите за защита от измами; приканва ЕСВД да направи оценка и да докладва относно въздействието на тези промени върху процента грешки и рисковете за почтеността;</w:t>
      </w:r>
      <w:r w:rsidRPr="00DB6ACA">
        <w:rPr>
          <w:b/>
          <w:i/>
        </w:rPr>
        <w:t xml:space="preserve"> </w:t>
      </w:r>
    </w:p>
    <w:p w14:paraId="4DE8ED16" w14:textId="77777777" w:rsidR="00E7007D" w:rsidRPr="00DB6ACA" w:rsidRDefault="00E7007D" w:rsidP="00E7007D">
      <w:pPr>
        <w:pStyle w:val="NormalHanging12a"/>
      </w:pPr>
      <w:r w:rsidRPr="00DB6ACA">
        <w:t>14.</w:t>
      </w:r>
      <w:r w:rsidRPr="00DB6ACA">
        <w:tab/>
        <w:t>отбелязва създаването през 2024 г. на специална работна група за усъвършенстване на процедурите за възлагане на обществени поръчки на ЕСВД както в седалището, така и в делегациите; известно му е, че отделът за вътрешен одит е провел консултации през 2024 г. с цел да предостави независим преглед на процеса на възлагане на обществени поръчки, резултатите от които в момента се обсъждат с компетентните служби; призовава ЕСВД да оповести публично заключенията от този преглед, както и списъка с мерките, приети в отговор на установените предизвикателства;</w:t>
      </w:r>
    </w:p>
    <w:p w14:paraId="7BDC553B" w14:textId="77777777" w:rsidR="00E7007D" w:rsidRPr="00DB6ACA" w:rsidRDefault="00E7007D" w:rsidP="00E7007D">
      <w:pPr>
        <w:pStyle w:val="NormalHanging12a"/>
      </w:pPr>
      <w:r w:rsidRPr="00DB6ACA">
        <w:lastRenderedPageBreak/>
        <w:t>15.</w:t>
      </w:r>
      <w:r w:rsidRPr="00DB6ACA">
        <w:tab/>
        <w:t>отбелязва, че в края на 2024 г. броят на обектите, ползвани съвместно с държавите членки и други партньори на Съюза в делегациите на Съюза, е 137, което е с един по-малко, отколкото през 2023 г.; отбелязва, че от общия брой споразумения за съвместно ползване на обекти през 2023 г. 45 са сключени с държави членки и държави партньори, а 92 — с други партньори на Съюза, като съвместното ползване на обекти съставлява 9% от общата площ на офисите в делегациите на Съюза и обхваща повече от половината делегации на Съюза (80), което може да се разглежда като пример за успешно оптимизиране на управлението на сградния фонд от страна на ЕСВД, както и като показател за повишения интерес на партньорите към споделянето на помещения в трети държави и значението на съвместното ползване на обекти в областта на дипломацията;</w:t>
      </w:r>
    </w:p>
    <w:p w14:paraId="4EBEBC62" w14:textId="77777777" w:rsidR="00E7007D" w:rsidRPr="00DB6ACA" w:rsidRDefault="00E7007D" w:rsidP="00E7007D">
      <w:pPr>
        <w:pStyle w:val="NormalHanging12a"/>
      </w:pPr>
      <w:r w:rsidRPr="00DB6ACA">
        <w:t>16.</w:t>
      </w:r>
      <w:r w:rsidRPr="00DB6ACA">
        <w:tab/>
        <w:t>отбелязва въз основа на въпросника, че бюджетът за командировки възлиза на 21 582 843 EUR през 2024 г., което представлява увеличение с приблизително 2,33% спрямо 21 091 935 EUR (актуализирана стойност) през 2023 г.; отбелязва, че ЕСВД няма отделен бюджетен ред за командировки и пътувания на заместник-председателя/върховен представител и че разходите на заместник-председателя/върховен представител за командировки и път се поделят между ЕСВД и Комисията, в зависимост от целта на командировката; отбелязва обаче въз основа на доклада на ЕСВД за последващите действия във връзка със забележките на Парламента в резолюцията за освобождаване от отговорност за 2023 г. („доклада за последващите действия“), че системата за вътрешно управление на ЕСВД отделя командировките на заместник-председателя/върховен представител и пътуванията на колегите, които я придружават, чрез обособена за целта сума в основния бюджетен ред за командировки; отбелязва освен това въз основа на въпросника, че през 2024 г. нито предходният заместник-председател/върховен представител, нито новоназначеният заместник-председател/върховен представител са предприели командировки, финансирани от ЕСВД; разбира от доклада за последващите действия, че конкуриращите се ангажименти на заместник-председателя/върховен представител и извънредно натовареният график, често диктувани от геополитическата ситуация, правят понякога невъзможно пътуването ѝ с редовни полети или други транспортни средства, за да изпълни професионалните си задължения; подчертава при все това, че ръководителите на европейските институции следва да служат като добър пример за обществеността и гражданите, особено когато използват средства на Съюза за изпълнение на задълженията си; подчертава, че вариантите за полети следва да се избират въз основа на добро финансово управление, при условие че има такива алтернативи и че те са в съответствие с дневния ред и мястото на провеждане на заседанията; подчертава, че прозрачността и доброто финансово управление при използването на публичните средства на Съюза трябва да продължат да бъдат основен принцип за всички институции на Съюза;</w:t>
      </w:r>
    </w:p>
    <w:p w14:paraId="064DD080" w14:textId="77777777" w:rsidR="00E7007D" w:rsidRPr="00DB6ACA" w:rsidRDefault="00E7007D" w:rsidP="00E7007D">
      <w:pPr>
        <w:pStyle w:val="NormalHanging12a"/>
      </w:pPr>
      <w:r w:rsidRPr="00DB6ACA">
        <w:rPr>
          <w:b/>
          <w:i/>
        </w:rPr>
        <w:t>Вътрешно управление, резултати от дейността и вътрешен контрол</w:t>
      </w:r>
    </w:p>
    <w:p w14:paraId="72446A41" w14:textId="77777777" w:rsidR="00E7007D" w:rsidRPr="00DB6ACA" w:rsidRDefault="00E7007D" w:rsidP="00E7007D">
      <w:pPr>
        <w:pStyle w:val="NormalHanging12a"/>
      </w:pPr>
      <w:r w:rsidRPr="00DB6ACA">
        <w:t>17.</w:t>
      </w:r>
      <w:r w:rsidRPr="00DB6ACA">
        <w:tab/>
        <w:t xml:space="preserve">отбелязва, че през 2024 г. ЕСВД продължи да бъде изправяна пред все по-големи политически и финансови предизвикателства, както и пред предизвикателства във връзка с правата на човека и принципите на правовата държава, в една все по-нестабилна геополитическа среда, белязана от засилени хибридни заплахи за демократичните системи; отбелязва, че незаконната агресивна война на Русия срещу Украйна и геополитическите последици от нея продължиха да бъдат основен въпрос през 2024 г.; подчертава във връзка с това значението и </w:t>
      </w:r>
      <w:r w:rsidRPr="00DB6ACA">
        <w:lastRenderedPageBreak/>
        <w:t>необходимостта ЕСВД да играе централна и засилена първостепенна роля в изграждането на стратегическата автономност, устойчивост и сигурност на Съюза, която следва да бъде защитена също чрез систематична и енергична борба срещу чуждестранното манипулиране на информация и вмешателство (FIMI) и кампаниите за дезинформация; отбелязва, че през 2024 г. ЕСВД публикува втория си доклад относно заплахите от FIMI, в който подробно се описват 750 инцидента и се разкрива операцията „</w:t>
      </w:r>
      <w:proofErr w:type="spellStart"/>
      <w:r w:rsidRPr="00DB6ACA">
        <w:t>False</w:t>
      </w:r>
      <w:proofErr w:type="spellEnd"/>
      <w:r w:rsidRPr="00DB6ACA">
        <w:t xml:space="preserve"> </w:t>
      </w:r>
      <w:proofErr w:type="spellStart"/>
      <w:r w:rsidRPr="00DB6ACA">
        <w:t>Façade</w:t>
      </w:r>
      <w:proofErr w:type="spellEnd"/>
      <w:r w:rsidRPr="00DB6ACA">
        <w:t xml:space="preserve">“ (схема за изпиране на информация от прокремълски субекти), като по този начин се допринася за публичното вменяване на отговорност и стратегическата осведоменост за враждебна намеса, спонсорирана от държавата, и използва системата за бързо предупреждение като централен механизъм за координация във връзка с FIMI с оглед на защитата на почтеността на европейските избори; отбелязва публикуването на набор от инструменти за откриване на основано на самоличността FIMI, организирането на годишната конференция на високо равнище относно FIMI, разработването на наръчника на общата политика за сигурност и отбрана (ОПСО) относно FIMI, за да се укрепи способността на мисиите по линия на ОПСО да откриват и реагират на атаки, използващи FIMI, и приноса за укрепването на устойчивостта на медиите в рамките на проявата </w:t>
      </w:r>
      <w:proofErr w:type="spellStart"/>
      <w:r w:rsidRPr="00DB6ACA">
        <w:t>Connecting</w:t>
      </w:r>
      <w:proofErr w:type="spellEnd"/>
      <w:r w:rsidRPr="00DB6ACA">
        <w:t xml:space="preserve"> Media </w:t>
      </w:r>
      <w:proofErr w:type="spellStart"/>
      <w:r w:rsidRPr="00DB6ACA">
        <w:t>Communities</w:t>
      </w:r>
      <w:proofErr w:type="spellEnd"/>
      <w:r w:rsidRPr="00DB6ACA">
        <w:t xml:space="preserve"> (Свързване на медийните общности) в Косово, на която присъстваха 130 журналисти и проверители на факти; горещо приветства ЕСВД за нейната кампания </w:t>
      </w:r>
      <w:proofErr w:type="spellStart"/>
      <w:r w:rsidRPr="00DB6ACA">
        <w:t>EUvsDisinfo</w:t>
      </w:r>
      <w:proofErr w:type="spellEnd"/>
      <w:r w:rsidRPr="00DB6ACA">
        <w:t>, чрез която бяха анализирани и разкрити усилията на Русия за FIMI през 2024 г.; отбелязва със загриженост, че бяха регистрирани над 18 000 случая на прокремълска дезинформация, което потвърждава мащаба, устойчивостта и стратегическия характер на заплахата, породена по-специално от Русия, наред с други враждебни участници; отбелязва, че някои делегации на Съюза имат служител за стратегическа комуникация, натоварен с анализа и справянето с FIMI, но способностите за събиране на разузнавателни данни продължават да бъдат отговорност на държавите членки; поради това подчертава необходимостта от задълбочена координация, структуриран обмен на информация и по-тясно сътрудничество с държавите членки и надеждни партньори; приветства ЕСВД за въвеждането в експлоатация на Центъра за споделяне и анализ на информация относно FIMI с цел задълбочаване на сътрудничеството и споделена ситуационна осведоменост; признава, че тези усилия, подкрепени от увеличен бюджет за капацитета за стратегическа комуникация в размер на 6,12 милиона евро през 2024 г., осигуриха по-стабилен, координиран и обширен отговор в целия Съюз на заплахите от FIMI; насърчава непрекъснатото развитие и разширяване на мрежата от „защитници срещу FIMI“ чрез инициативи за изграждане на капацитет; подчертава, че устойчивото и предвидимо финансиране е от съществено значение за осигуряване на непрекъснатост и ефективност в борбата срещу хибридните заплахи и FIMI; поради това счита, че следва да бъдат положени усилия за ефективна борба срещу насочените срещу ЕС дезинформационни кампании и послания, използвани стратегически от авторитарни и нелиберални режими, които се стремят да подкопаят външната дейност на Съюза в трети държави;</w:t>
      </w:r>
    </w:p>
    <w:p w14:paraId="45AD42D0" w14:textId="77777777" w:rsidR="00E7007D" w:rsidRPr="00DB6ACA" w:rsidRDefault="00E7007D" w:rsidP="00E7007D">
      <w:pPr>
        <w:pStyle w:val="NormalHanging12a"/>
      </w:pPr>
      <w:r w:rsidRPr="00DB6ACA">
        <w:t>18.</w:t>
      </w:r>
      <w:r w:rsidRPr="00DB6ACA">
        <w:tab/>
        <w:t>подчертава необходимостта от модернизиране на мрежата на делегациите на Съюза, по-специално чрез укрепване на Центъра на Европейския съюз за анализ на информация (INTCEN) и Центъра на ЕСВД за реакция при кризи; подчертава, че повишаването на аналитичния капацитет и на готовността за действия при кризи изисква подходящи човешки ресурси, актуална сигурност на информационните технологии и достатъчно административни ресурси;</w:t>
      </w:r>
    </w:p>
    <w:p w14:paraId="22E90180" w14:textId="77777777" w:rsidR="00E7007D" w:rsidRPr="00DB6ACA" w:rsidRDefault="00E7007D" w:rsidP="00E7007D">
      <w:pPr>
        <w:pStyle w:val="NormalHanging12a"/>
      </w:pPr>
      <w:r w:rsidRPr="00DB6ACA">
        <w:t>19.</w:t>
      </w:r>
      <w:r w:rsidRPr="00DB6ACA">
        <w:tab/>
        <w:t xml:space="preserve">припомня призивите на Стратегическия компас и на Парламента за укрепване на </w:t>
      </w:r>
      <w:r w:rsidRPr="00DB6ACA">
        <w:lastRenderedPageBreak/>
        <w:t>способностите на Съюза в областта на разузнаването и ситуационната осведоменост; подчертава, че нарастващите нужди на Съюза в областта на анализа и управлението на кризи налагат увеличаване на ресурсите, разпределяни за INTCEN и на Центъра на ЕСВД за реакция при кризи, за да се гарантира, че те разполагат с подходящо оборудване за изпълнението на своите мандати в една все по-сложна и взискателна геополитическа среда; подчертава централната роля на INTCEN за предоставянето на интегрирани аналитични оценки от всички източници в подкрепа на процеса на вземане на решения в областта на общата външна политика и политика на сигурност (ОВППС) и ОПСО и подчертава потенциала на мрежата от делегации на Съюза, без да се засягат правомощията на държавите членки, като основен фактор за ситуационната осведоменост чрез интегрирането на съответната информация, която вече е налична по места; счита, че установяването на по-ясно и по-видимо разпределени бюджетни средства за INTCEN може да улесни по-голямата прозрачност, демократичния контрол и отчетността в рамките на процедурата по освобождаване от отговорност;</w:t>
      </w:r>
    </w:p>
    <w:p w14:paraId="5FEB6078" w14:textId="77777777" w:rsidR="00E7007D" w:rsidRPr="00DB6ACA" w:rsidRDefault="00E7007D" w:rsidP="00E7007D">
      <w:pPr>
        <w:pStyle w:val="NormalHanging12a"/>
        <w:rPr>
          <w:bCs/>
          <w:iCs/>
        </w:rPr>
      </w:pPr>
      <w:r w:rsidRPr="00DB6ACA">
        <w:t>20.</w:t>
      </w:r>
      <w:r w:rsidRPr="00DB6ACA">
        <w:tab/>
        <w:t>приветства създаването на европейския щит за демокрацията и създаването на Центъра за демократична устойчивост като важни стъпки за укрепване на капацитета на Съюза за противодействие на FIMI; приветства намерението за разширяване на предложения европейски щит за демокрацията, така че да обхване присъединяващите се държави, като по този начин се укрепи техният капацитет за реагиране на заплахите от FIMI и кампаниите за дезинформация; призовава Комисията и ЕСВД да задълбочат сътрудничеството с уязвимите държави, обхванати от процеса на разширяване, в областта на информационната устойчивост, киберсигурността и хибридните заплахи; призовава ЕСВД и делегациите на Съюза в трети държави да засилят допълнително съответния си капацитет за борба и противодействие на дезинформацията и пропагандата срещу ОВППС на Съюза, включително чрез инвестиции в комуникационни кампании за борба с чуждестранното влияние;</w:t>
      </w:r>
    </w:p>
    <w:p w14:paraId="63E0B4AE" w14:textId="77777777" w:rsidR="00E7007D" w:rsidRPr="00DB6ACA" w:rsidRDefault="00E7007D" w:rsidP="00E7007D">
      <w:pPr>
        <w:pStyle w:val="NormalHanging12a"/>
      </w:pPr>
      <w:r w:rsidRPr="00DB6ACA">
        <w:t>21.</w:t>
      </w:r>
      <w:r w:rsidRPr="00DB6ACA">
        <w:tab/>
        <w:t>подчертава, че е необходимо на отдела за стратегическа комуникация и прогнозиране на ЕСВД да се осигурят подходящи ресурси с цел противодействие на дезинформацията, използвана от авторитарните режими, и по-специално от Кремъл; припомня, че в Молдова и Украйна свързани с Русия лица използват религията, включително православната църква под ръководството на Московската патриаршия, за да подкопават демократичната устойчивост; подчертава, че е важно да се укрепва основаната на религиозната вяра дипломация на Съюза в неговата външна дейност, и призовава за създаването на специален бюджетен ред за ЕСВД за подкрепа на диалога, насърчаване на междурелигиозната толерантност и противодействие на геополитическата злоупотреба с религията;</w:t>
      </w:r>
    </w:p>
    <w:p w14:paraId="3E80764A" w14:textId="77777777" w:rsidR="00E7007D" w:rsidRPr="00DB6ACA" w:rsidRDefault="00E7007D" w:rsidP="00E7007D">
      <w:pPr>
        <w:pStyle w:val="NormalHanging12a"/>
        <w:rPr>
          <w:bCs/>
          <w:iCs/>
        </w:rPr>
      </w:pPr>
      <w:r w:rsidRPr="00DB6ACA">
        <w:t xml:space="preserve">22. </w:t>
      </w:r>
      <w:r w:rsidRPr="00DB6ACA">
        <w:tab/>
        <w:t>припомня на Комисията призива на Парламента да се осигури подходящо оборудване за служителите на ЕСВД, за да могат да участват в диалога относно религиозната свобода, и това да бъде утвърдено като важен приоритет в нейната външна дейност</w:t>
      </w:r>
      <w:r w:rsidRPr="00DB6ACA">
        <w:rPr>
          <w:rStyle w:val="FootnoteReference"/>
        </w:rPr>
        <w:footnoteReference w:id="9"/>
      </w:r>
      <w:r w:rsidRPr="00DB6ACA">
        <w:t>; призовава ЕСВД да отговори решително на този призив и да увеличи ресурсите си до необходимото равнище;</w:t>
      </w:r>
    </w:p>
    <w:p w14:paraId="6146D11E" w14:textId="77777777" w:rsidR="00E7007D" w:rsidRPr="00DB6ACA" w:rsidRDefault="00E7007D" w:rsidP="00E7007D">
      <w:pPr>
        <w:pStyle w:val="NormalHanging12a"/>
        <w:rPr>
          <w:bCs/>
          <w:iCs/>
        </w:rPr>
      </w:pPr>
      <w:r w:rsidRPr="00DB6ACA">
        <w:t>23.</w:t>
      </w:r>
      <w:r w:rsidRPr="00DB6ACA">
        <w:tab/>
        <w:t xml:space="preserve">призовава върховния представител/заместник-председател да подсили мисиите и операциите на Съюза в рамките на ОПСО с подходящ персонал, ресурси и гъвкави мандати, за да се отговори ефективно на предизвикателствата в областта </w:t>
      </w:r>
      <w:r w:rsidRPr="00DB6ACA">
        <w:lastRenderedPageBreak/>
        <w:t>на сигурността;</w:t>
      </w:r>
    </w:p>
    <w:p w14:paraId="74D15CBD" w14:textId="77777777" w:rsidR="00E7007D" w:rsidRPr="00DB6ACA" w:rsidRDefault="00E7007D" w:rsidP="00E7007D">
      <w:pPr>
        <w:pStyle w:val="NormalHanging12a"/>
        <w:rPr>
          <w:bCs/>
          <w:iCs/>
        </w:rPr>
      </w:pPr>
      <w:r w:rsidRPr="00DB6ACA">
        <w:t>24.</w:t>
      </w:r>
      <w:r w:rsidRPr="00DB6ACA">
        <w:tab/>
        <w:t>подчертава, че е важно да се поддържа Мисията за наблюдение на ЕС в Грузия с цел да се следи положението в окупираните територии и да се осигуряват ранно предупреждение и докладване;</w:t>
      </w:r>
    </w:p>
    <w:p w14:paraId="1EDFADA2" w14:textId="6D0AD645" w:rsidR="00E7007D" w:rsidRPr="00DB6ACA" w:rsidRDefault="00E7007D" w:rsidP="00E7007D">
      <w:pPr>
        <w:pStyle w:val="NormalHanging12a"/>
        <w:rPr>
          <w:bCs/>
          <w:iCs/>
        </w:rPr>
      </w:pPr>
      <w:r w:rsidRPr="00DB6ACA">
        <w:t>25.</w:t>
      </w:r>
      <w:r w:rsidRPr="00DB6ACA">
        <w:tab/>
        <w:t xml:space="preserve">призовава ЕСВД да </w:t>
      </w:r>
      <w:r w:rsidR="006760C3" w:rsidRPr="006760C3">
        <w:t xml:space="preserve">ограничи политическите контакти с органите на „Грузинска мечта“ до строго необходимите въпроси, като същевременно поддържа и укрепва </w:t>
      </w:r>
      <w:r w:rsidRPr="00DB6ACA">
        <w:t xml:space="preserve">ангажимента си към </w:t>
      </w:r>
      <w:r w:rsidR="006760C3" w:rsidRPr="006760C3">
        <w:t xml:space="preserve">грузинското гражданско общество, независимите медии и академичните институции; подчертава, че е важно да продължат да се популяризират европейските норми, </w:t>
      </w:r>
      <w:r w:rsidRPr="00DB6ACA">
        <w:t xml:space="preserve">демократичните </w:t>
      </w:r>
      <w:r w:rsidR="006760C3" w:rsidRPr="006760C3">
        <w:t>ценности и европейският път сред грузинското население и политическите сили, които вярно следват демократичните принципи</w:t>
      </w:r>
      <w:r w:rsidRPr="00DB6ACA">
        <w:t>;</w:t>
      </w:r>
    </w:p>
    <w:p w14:paraId="0614D3C8" w14:textId="77777777" w:rsidR="00E7007D" w:rsidRPr="00DB6ACA" w:rsidRDefault="00E7007D" w:rsidP="00E7007D">
      <w:pPr>
        <w:pStyle w:val="NormalHanging12a"/>
      </w:pPr>
      <w:r w:rsidRPr="00DB6ACA">
        <w:t>26.</w:t>
      </w:r>
      <w:r w:rsidRPr="00DB6ACA">
        <w:tab/>
        <w:t>подчертава, че през 2024 г. Съюзът, със силната подкрепа на ЕСВД, продължи своята всеобхватна политическа, военна, финансова, дипломатическа, хуманитарна и икономическа подкрепа за Украйна в отговор на агресивната война на Русия; подчертава, че ключов етап беше подписването на съвместните ангажименти в областта на сигурността между ЕС и Украйна през юни 2024 г., като присъединяването към Съюза беше определено като най-голямата гаранция за сигурност за укрепване на устойчивостта, възпирането и дългосрочната стабилност на Украйна; отбелязва, че ЕСВД работи в тясно сътрудничество с държавите членки, Г-7, НАТО и международните партньори за запазване на единството, прилагане на ограничителни мерки срещу Русия, предотвратяване на заобикалянето на санкциите и подкрепа на инициативите за отговорност, като същевременно провежда обширни глобални действия за диалог в подкрепа на справедлив и траен мир в съответствие с Устава на ООН и международното право, включително последващи действия във връзка със срещата на високо равнище за мир в Швейцария, подкрепа за украинската формула за мир, участие в международната Кримска платформа, подкрепа за създаването на Специален трибунал за престъплението агресия и присъединяването на Съюза през юни 2024 г. към Международната коалиция за връщане на украинските деца;</w:t>
      </w:r>
    </w:p>
    <w:p w14:paraId="76889CAB" w14:textId="53779BC0" w:rsidR="006760C3" w:rsidRDefault="00E7007D" w:rsidP="00E7007D">
      <w:pPr>
        <w:spacing w:after="240"/>
        <w:ind w:left="567" w:hanging="567"/>
        <w:rPr>
          <w:lang w:val="en-GB"/>
        </w:rPr>
      </w:pPr>
      <w:r w:rsidRPr="00DB6ACA">
        <w:t>27.</w:t>
      </w:r>
      <w:r w:rsidRPr="00DB6ACA">
        <w:tab/>
      </w:r>
      <w:r w:rsidR="006760C3" w:rsidRPr="006760C3">
        <w:t>отново потвърждава, че непрекъснатата политическа, военна, финансова и хуманитарна подкрепа от Съюза за Украйна продължава да бъде стратегически приоритет и морално задължение в контекста на незаконната агресивна война на Русия; подчертава обаче, че безпрецедентният мащаб на помощта от Съюза за Украйна трябва да бъде придружен от също толкова безпрецедентни проверки, проследимост и гаранции за борба с измамите, за да се запази дългосрочната политическа и обществена подкрепа от страна на данъкоплатците в Съюза; призовава ЕСВД, в тясно сътрудничество с OLAF, Европейската прокуратура и Сметната палата, да гарантира пълен достъп в реално време до информация относно усвояването на всички средства на Съюза, предоставени в подкрепа на Украйна, и да докладва ежегодно на органа по освобождаване от отговорност относно установените нередности, събирането на вземания и корективните мерки;</w:t>
      </w:r>
    </w:p>
    <w:p w14:paraId="680D4E69" w14:textId="53CB1245" w:rsidR="00E7007D" w:rsidRPr="00DB6ACA" w:rsidRDefault="006760C3" w:rsidP="00E7007D">
      <w:pPr>
        <w:spacing w:after="240"/>
        <w:ind w:left="567" w:hanging="567"/>
      </w:pPr>
      <w:r>
        <w:rPr>
          <w:lang w:val="en-GB"/>
        </w:rPr>
        <w:t>28.</w:t>
      </w:r>
      <w:r>
        <w:rPr>
          <w:lang w:val="en-GB"/>
        </w:rPr>
        <w:tab/>
      </w:r>
      <w:r w:rsidR="00E7007D" w:rsidRPr="00DB6ACA">
        <w:t xml:space="preserve">припомня, че по-нататъшното увеличаване на подкрепата на Съюза за правата на човека, демокрацията и развитието в трети държави чрез финансовата рамка на Инструмента за съседство, сътрудничество за развитие и международно сътрудничество — Глобална Европа е от решаващо значение; подчертава, че поддържането на специално финансиране за правата на човека и демокрацията, както и основан на правата на човека подход и интегрирането на правата на </w:t>
      </w:r>
      <w:r w:rsidR="00E7007D" w:rsidRPr="00DB6ACA">
        <w:lastRenderedPageBreak/>
        <w:t>човека в подкрепата на Съюза за трети държави и в партньорствата му с трети държави, могат да послужат за укрепване на позицията на Съюза в световен мащаб и за подкрепа на ценностите на Съюза; подчертава, че ресурсите за цифровата дипломация на Съюза следва да бъдат допълнително увеличени предвид настоящия контекст на бърз технологичен напредък и геополитическа конкуренция, по-специално за да се противодейства на цифровия авторитаризъм, външната намеса и злоупотребата с нововъзникващите технологии; приканва ЕСВД да извършва систематични оценки на риска, свързани с ограниченията на гражданското пространство в държавите партньори и в трети държави, за да гарантира, че финансирането от Съюза достига до съответните заинтересовани лица; настоява екологичният преход да бъдат подкрепени с подходящи финансови и човешки ресурси в ЕСВД и делегациите на Съюза и те да бъдат последователно интегрирани в политическите диалози, партньорствата и външните разходи, включително в трети държави, като същевременно се осигурява съгласуваност с конкурентоспособността, енергийната сигурност и икономическата устойчивост на държавите партньори;</w:t>
      </w:r>
    </w:p>
    <w:p w14:paraId="6185F92B" w14:textId="3088CEFD" w:rsidR="00E7007D" w:rsidRPr="00DB6ACA" w:rsidRDefault="005B612B" w:rsidP="00E7007D">
      <w:pPr>
        <w:pStyle w:val="NormalHanging12a"/>
      </w:pPr>
      <w:r>
        <w:t>29</w:t>
      </w:r>
      <w:r w:rsidR="00E7007D" w:rsidRPr="00DB6ACA">
        <w:t>.</w:t>
      </w:r>
      <w:r w:rsidR="00E7007D" w:rsidRPr="00DB6ACA">
        <w:tab/>
        <w:t>подчертава необходимостта ЕСВД да укрепи своя административен и аналитичен капацитет в области с нарастващо стратегическо значение, включително Арктика; призовава за подсилено обучение на персонала, подобрена координация между службите и подходящи ресурси в подкрепа на оценката на риска, ситуационната осведоменост и взаимодействието със съответните партньори; подчертава, че подобно изграждане на капацитет трябва да бъде изцяло съобразено с доброто финансово управление и съществуващите бюджетни ограничения;</w:t>
      </w:r>
    </w:p>
    <w:p w14:paraId="6BB4DD74" w14:textId="0B79854C" w:rsidR="00E7007D" w:rsidRPr="00DB6ACA" w:rsidRDefault="005B612B" w:rsidP="00E7007D">
      <w:pPr>
        <w:spacing w:after="240"/>
        <w:ind w:left="567" w:hanging="567"/>
      </w:pPr>
      <w:r>
        <w:t>30</w:t>
      </w:r>
      <w:r w:rsidR="00E7007D" w:rsidRPr="00DB6ACA">
        <w:t>.</w:t>
      </w:r>
      <w:r w:rsidR="00E7007D" w:rsidRPr="00DB6ACA">
        <w:tab/>
        <w:t xml:space="preserve">отбелязва със задоволство въз основа на доклада за последващите действия централната роля и действията на ЕСВД за насърчаване на мира и стабилността в Близкия изток, включително чрез призивите за безпрепятствен достъп и устойчиво предоставяне на хуманитарната помощ в голям мащаб, в съответствие с международните хуманитарни принципи; подчертава, че хуманитарната помощ трябва да се предоставя по безопасен, ефективен и деполитизиран начин и не трябва терористични или въоръжени групировки да я отклоняват или да злоупотребяват с нея; отбелязва, че от началото на кризата в Газа Съюзът мобилизира всички налични хуманитарни инструменти, за да облекчи страданията на палестинците в Газа и Западния бряг, като от октомври 2023 г. предостави хуманитарна помощ в размер на 450 милиона евро, включително първоначален пакет от помощи в размер на 120 милиона евро за 2025 г., като в конкретния случай на подкрепата на Съюза в Палестина според Комисията разгърнатите на място механизми са стабилни и работят ефективно, както беше потвърдено по време на финансовия преглед на помощта от Съюза за Палестина, проведен през ноември 2023 г.; отбелязва освен това, че през април 2025 г. Комисията прие всеобхватна многогодишна програма за Палестина на стойност до 1,6 милиарда евро за периода 2025 — 2027 г. в подкрепа на икономическото възстановяване, устойчивостта и управлението в Западния бряг, Източен Ерусалим и Газа, като до 620 милиона евро от тези средства са предназначени за пряка финансова подкрепа за Палестинската власт; отбелязва, че през май 2024 г. Комисията обяви пакет за финансова помощ в размер на 1 милиард евро, за да помогне на Ливан да посрещне вътрешните и регионалните предизвикателства; приветства в този контекст становището на заместник-председателя/върховен представител, изразено по време на изслушването, в което беше посочено, че основен принцип на правото е всеки, който причинява вреди, да плаща за тях; отбелязва, че всяка всеобхватна оценка на вредите е преждевременна, докато </w:t>
      </w:r>
      <w:r w:rsidR="00E7007D" w:rsidRPr="00DB6ACA">
        <w:lastRenderedPageBreak/>
        <w:t>достъпът до Газа продължава да бъде невъзможен; подчертава въпреки това, че е важно да бъдат установени стабилни механизми за наблюдение и отговорност, включително надеждна, независима и проверима информация, за да се осигури възможност за оценка на щетите и потребностите, веднага щом достъпът бъде разрешен; приканва ЕСВД да продължи да използва всички налични инструменти, включително хуманитарни, дипломатически и финансови средства, и по целесъобразност — ограничителни мерки, за да поддържа основания на правила международен ред и да насърчава траен мир и сигурност в региона;</w:t>
      </w:r>
    </w:p>
    <w:p w14:paraId="14A0AE7E" w14:textId="4FFB6FBA" w:rsidR="00E7007D" w:rsidRPr="00DB6ACA" w:rsidRDefault="005B612B" w:rsidP="00E7007D">
      <w:pPr>
        <w:ind w:left="567" w:hanging="567"/>
      </w:pPr>
      <w:r>
        <w:t>31</w:t>
      </w:r>
      <w:r w:rsidR="00E7007D" w:rsidRPr="00DB6ACA">
        <w:t>.</w:t>
      </w:r>
      <w:r w:rsidR="00E7007D" w:rsidRPr="00DB6ACA">
        <w:tab/>
        <w:t>припомня своята позиция относно бюджета на Съюза за 2026 г. и значението на подкрепата за политически, икономически и социални реформи в региона на южното съседство, включително посрещането на нарастващите хуманитарни нужди, като същевременно се гарантира, че не се предоставят средства на Съюза на публични институции, физически лица или сдружения, свързани с каквито и да било терористични движения, които са в пряко противоречие на основните ценности на Съюза, включително ислямистки, антисемитски или насочени срещу християните или мюсюлманите движения; припомня, че ЕСВД отговаря за предоставянето на политически насоки и стратегически надзор върху външните действия на Съюза, докато Комисията запазва пълната отговорност за управлението, сключването на договори и изплащането на бюджетни средства на Съюза, предоставени на партньорите по изпълнението и международните организации; припомня твърденията, че 19 от 13 000 служители на Агенцията на ООН за подпомагане и строителство за палестинските бежанци в Близкия изток (UNRWA) в Газа са замесени в ужасяващите терористични нападения на Хамас срещу Израел на 7 октомври 2023 г.;</w:t>
      </w:r>
      <w:r w:rsidR="00E7007D" w:rsidRPr="00DB6ACA">
        <w:rPr>
          <w:color w:val="1C1C1C"/>
        </w:rPr>
        <w:t xml:space="preserve"> </w:t>
      </w:r>
      <w:r w:rsidR="00E7007D" w:rsidRPr="00DB6ACA">
        <w:t>потвърждава реакцията на Организацията на обединените нации на тези твърдения, включително разследванията на Службата на ООН за вътрешен надзор (OIOS), вследствие на което бяха прекратени трудовите правоотношения с деветима служители в интерес на Агенцията, както и препоръките, издадени чрез доклада „Колона“; отбелязва, че Комисията работи с UNRWA за подобряване на процесите на неутралност и системите за контрол в Агенцията, в съответствие с констатациите от разследванията на OIOS, и за наблюдение на прилагането на плана за действие, представен от UNRWA; приветства оценката на Комисията, че UNRWA поддържа ангажимента си за изпълнение на договорените препоръки, както и за изпълнението на всички договорени със Съюза условия за продължаване на финансирането през 2024 г.</w:t>
      </w:r>
      <w:bookmarkStart w:id="9" w:name="_Hlk216258516"/>
      <w:r w:rsidR="00E7007D" w:rsidRPr="00DB6ACA">
        <w:t>; насърчава в това отношение непрекъснатия ангажимент и внимателното наблюдение от страна на Комисията, за да се гарантира, че</w:t>
      </w:r>
      <w:bookmarkEnd w:id="9"/>
      <w:r w:rsidR="00E7007D" w:rsidRPr="00DB6ACA">
        <w:t xml:space="preserve"> финансирането е придружено от солидни гаранции за неутралност, прозрачност и отчетност; отбелязва, че Съюзът не финансира палестинските учебници и че те не са отговорност и на UNRWA, която все пак прави преглед на всички изготвени учебници, за да се отстрани евентуално проблемно съдържание;</w:t>
      </w:r>
      <w:bookmarkStart w:id="10" w:name="_Hlk216447567"/>
      <w:r w:rsidR="00E7007D" w:rsidRPr="00DB6ACA">
        <w:t xml:space="preserve"> припомня необходимостта Палестинската власт да премахне всички образователни материали и съдържание, които не отговарят на стандартите на ЮНЕСКО, и особено насърчаващите антисемитизъм и подбуждащите към насилие, на които палестинските деца не следва да бъдат излагани;</w:t>
      </w:r>
      <w:bookmarkEnd w:id="10"/>
      <w:r w:rsidR="00E7007D" w:rsidRPr="00DB6ACA">
        <w:t xml:space="preserve"> припомня, че не трябва да се предоставят средства на Съюза, пряко или непряко, за горепосочените образователни материали; подчертава, че финансовата подкрепа от Съюза за Палестинската власт в областта на образованието следва да се предоставя единствено ако учебното съдържание е съобразено със стандартите на ЮНЕСКО в съответствие с констатациите в доклада на Института „Георг Екерт“, финансиран от Съюза, който разкри сложна картина по отношение на учебниците;</w:t>
      </w:r>
    </w:p>
    <w:p w14:paraId="7352DB48" w14:textId="7BFA1878" w:rsidR="00E7007D" w:rsidRPr="00DB6ACA" w:rsidRDefault="005B612B" w:rsidP="00E7007D">
      <w:pPr>
        <w:spacing w:after="240"/>
        <w:ind w:left="567" w:hanging="567"/>
      </w:pPr>
      <w:r>
        <w:lastRenderedPageBreak/>
        <w:t>32</w:t>
      </w:r>
      <w:r w:rsidR="00E7007D" w:rsidRPr="00DB6ACA">
        <w:t>.</w:t>
      </w:r>
      <w:r w:rsidR="00E7007D" w:rsidRPr="00DB6ACA">
        <w:tab/>
        <w:t xml:space="preserve">изразява дълбока загриженост във връзка с доклада за предполагаеми вътрешни документи на Хамас от периода 2018 — 2022 г., първоначално открити от израелските отбранителни сили в ивицата Газа и по-късно разсекретени и разпространени чрез NGO </w:t>
      </w:r>
      <w:proofErr w:type="spellStart"/>
      <w:r w:rsidR="00E7007D" w:rsidRPr="00DB6ACA">
        <w:t>Monitor</w:t>
      </w:r>
      <w:proofErr w:type="spellEnd"/>
      <w:r w:rsidR="00E7007D" w:rsidRPr="00DB6ACA">
        <w:t xml:space="preserve">, с твърдения за опити за проникване и наблюдение чрез т.нар. „гаранти“ на международни НПО, в т.ч. в рамките на финансирани от Съюза хуманитарни проекти в ивицата Газа; припомня, че до голяма степен в отговор на исканията на Парламента механизмите за проверка бяха допълнително укрепени от 2023 г. насам, включително чрез специфични одити, анализи на риска и допълнителен външен мониторинг; подчертава, че всяко твърдение за злоупотреба със средства на данъкоплатците от Съюза трябва да бъде внимателно проверено, и настоятелно призовава Комисията да разследва всички твърдения за всякакъв вид неправомерно проникване и влияние във финансирани от Съюза хуманитарни проекти, както и да спре или да изиска връщане на предоставеното от Съюза финансиране, когато бъде потвърдено наличието на нарушения; подчертава, че всяко твърдение за злоупотреба със средства на Съюза, непряко отклонени в полза на терористични организации, подкопава почтеността на помощта от Съюза; предупреждава, че при въоръжени конфликти дезинформацията и информационната война, провеждани със стратегически цели, са често срещана практика; </w:t>
      </w:r>
    </w:p>
    <w:p w14:paraId="4CB34C3F" w14:textId="4489B4FF" w:rsidR="00E7007D" w:rsidRPr="00DB6ACA" w:rsidRDefault="005B612B" w:rsidP="00E7007D">
      <w:pPr>
        <w:spacing w:after="240"/>
        <w:ind w:left="567" w:hanging="567"/>
      </w:pPr>
      <w:r>
        <w:t>33</w:t>
      </w:r>
      <w:r w:rsidR="00E7007D" w:rsidRPr="00DB6ACA">
        <w:t>.</w:t>
      </w:r>
      <w:r w:rsidR="00E7007D" w:rsidRPr="00DB6ACA">
        <w:tab/>
        <w:t>припомня, че милиони хора по света са обект на дискриминация, преследване или насилие поради своята религия или своите убеждения; насърчава Комисията и ЕСВД, в рамките на съответните им правомощия, да продължат да осигуряват балансирано политическо внимание, координация и прозрачност при справянето с всички форми на религиозна омраза и нетолерантност, включително омразата срещу християните, мюсюлманите и евреите, и да докладват редовно на Парламента относно съответните предприети мерки и мобилизирани ресурси в това отношение;</w:t>
      </w:r>
    </w:p>
    <w:p w14:paraId="1580E6BB" w14:textId="71F168C9" w:rsidR="00E7007D" w:rsidRPr="00DB6ACA" w:rsidRDefault="005B612B" w:rsidP="00E7007D">
      <w:pPr>
        <w:pStyle w:val="NormalHanging12a"/>
      </w:pPr>
      <w:r>
        <w:t>34</w:t>
      </w:r>
      <w:r w:rsidR="00E7007D" w:rsidRPr="00DB6ACA">
        <w:t>.</w:t>
      </w:r>
      <w:r w:rsidR="00E7007D" w:rsidRPr="00DB6ACA">
        <w:tab/>
        <w:t>отбелязва въз основа на доклада за последващите действия продължаващите усилия на ЕСВД в подкрепа на диалога относно политическото, икономическото и социалното положение, принципите на правовата държава и борбата с корупцията, както и за укрепване на демокрацията и правата на човека в различни държави; приветства факта, че ЕСВД и делегациите на Съюза продължават да работят с представители на националните администрации и институции, организации на гражданското общество, заинтересовани лица, специализирани в демократичното управление, правата на човека, медиите, социалните партньори и международни и регионални организации; отбелязва, че подкрепата за защитниците на правата на човека и жените, включително защитниците, които са граждани на съответната държава, е сред най-важните приоритети на ЕСВД в съответствие с Плана за действие на Съюза относно правата на човека и демокрацията за периода 2020 — 2027 г. и се осъществява чрез редица дейности, като политически диалози, политически доклади, публична дипломация, многостранни форуми и годишни доклади относно прилагането на правата на човека; призовава ЕСВД и делегациите на Съюза да укрепят допълнително своята работа във връзка с предоставянето на помощ, както и на логистична и технологична подкрепа, на защитниците на правата на човека, както и във връзка със взаимодействието си с тях, в съответствие с Насоките на ЕС относно защитниците на правата на човека, с особен акцент върху жените;</w:t>
      </w:r>
    </w:p>
    <w:p w14:paraId="0D203F3F" w14:textId="554DD22B" w:rsidR="00E7007D" w:rsidRPr="00DB6ACA" w:rsidRDefault="005B612B" w:rsidP="00E7007D">
      <w:pPr>
        <w:pStyle w:val="NormalHanging12a"/>
      </w:pPr>
      <w:r>
        <w:t>35</w:t>
      </w:r>
      <w:r w:rsidR="00E7007D" w:rsidRPr="00DB6ACA">
        <w:t>.</w:t>
      </w:r>
      <w:r w:rsidR="00E7007D" w:rsidRPr="00DB6ACA">
        <w:tab/>
        <w:t xml:space="preserve">отбелязва въз основа на въпросника, че Службата за корпоративно управление, създадена през 2023 г., играе важна роля за подобряване на управлението на </w:t>
      </w:r>
      <w:r w:rsidR="00E7007D" w:rsidRPr="00DB6ACA">
        <w:lastRenderedPageBreak/>
        <w:t>ЕСВД, като подпомага изготвянето на годишните планове за управление и годишните отчети за дейността на ЕСВД, укрепва процесите на управление на риска, разглежда системни корпоративни въпроси в делегациите на Съюза и прилага концепцията за „една делегация“, чиято цел е да се намали разпокъсаността на управлението и докладването и да се документират повтарящите се проблеми и най-добрите практики както в седалището, така и в делегациите на Съюза; призовава ЕСВД да се заеме незабавно с отстраняването на слабостите във вътрешния контрол и документооборота, посочени от Палатата, с цел подобряване на целостта на управлението на информацията и осигуряване на последователно докладване във всички делегации на Съюза;</w:t>
      </w:r>
    </w:p>
    <w:p w14:paraId="292706EA" w14:textId="25848BDF" w:rsidR="00E7007D" w:rsidRPr="00DB6ACA" w:rsidRDefault="005B612B" w:rsidP="00E7007D">
      <w:pPr>
        <w:pStyle w:val="NormalHanging12a"/>
      </w:pPr>
      <w:r>
        <w:t>36</w:t>
      </w:r>
      <w:r w:rsidR="00E7007D" w:rsidRPr="00DB6ACA">
        <w:t>.</w:t>
      </w:r>
      <w:r w:rsidR="00E7007D" w:rsidRPr="00DB6ACA">
        <w:tab/>
        <w:t>отбелязва със задоволство въз основа на доклада за последващите действия и въпросника усилията, положени от ЕСВД по отношение на феминистката дипломация, въпреки че държавите членки играят основна роля за определянето на насоките за външната дейност на Съюза; приветства по-специално действията, предприети за ускоряване на изпълнението на ангажиментите на Съюза съгласно Плана за действие относно равенството между половете (GAP) III; отбелязва, че посланикът на Съюза по въпросите на равенството между половете и многообразието полага усилия за интегриране на измерението на пола в диалозите за правата на човека и в ключови многостранни изявления и резолюции; отбелязва освен това, че съобразеното с равенството между половете лидерство продължава да бъде основен елемент в институционализирането на интегрирането на принципа на равенство между половете; приветства във връзка с това назначаването през ноември 2024 г. на точки за контакт по въпросите на равенството между половете; отбелязва, че срокът на действие на GAP III изтича през 2027 г., и настоятелно призовава ЕСВД да разработи за тази цел по-амбициозен четвърти план за действие относно равенството между половете (GAP IV), който да гарантира по-силна връзка между правата и овластяването на жените, от една страна, и външната политика и политиката на сигурност на Съюза, от друга страна, и който да е готов за изпълнение считано от 2028 г.;</w:t>
      </w:r>
    </w:p>
    <w:p w14:paraId="59410D3B" w14:textId="68F6B217" w:rsidR="00E7007D" w:rsidRPr="00DB6ACA" w:rsidRDefault="005B612B" w:rsidP="00E7007D">
      <w:pPr>
        <w:pStyle w:val="NormalHanging12a"/>
      </w:pPr>
      <w:r>
        <w:t>37</w:t>
      </w:r>
      <w:r w:rsidR="00E7007D" w:rsidRPr="00DB6ACA">
        <w:t>.</w:t>
      </w:r>
      <w:r w:rsidR="00E7007D" w:rsidRPr="00DB6ACA">
        <w:tab/>
        <w:t>подчертава, че Съюзът трябва да увеличи финансирането с цел да се подсили специалният бюджетен ред в рамките на действията по линия на външната политика на Съюза, конкретно предназначен за равенството между половете и Програмата за жените, мира и сигурността, за да се осигури последователно финансиране за инициативи, които насърчават съобразено с равенството между половете лидерство, защитават правата на жените и се борят срещу сексуалното и основаното на пола насилие в условия на конфликт и след конфликт; подчертава, че това финансиране е от съществено значение за подкрепата за местните организации на гражданското общество, предоставянето на насочена към оцелелите подкрепа и интегрирането на свързаните с пола аспекти в дипломатическите и свързаните със сигурността усилия на Съюза;</w:t>
      </w:r>
    </w:p>
    <w:p w14:paraId="2FA5828D" w14:textId="5B1B1284" w:rsidR="00E7007D" w:rsidRPr="00DB6ACA" w:rsidRDefault="005B612B" w:rsidP="00E7007D">
      <w:pPr>
        <w:pStyle w:val="NormalHanging12a"/>
      </w:pPr>
      <w:r>
        <w:t>38</w:t>
      </w:r>
      <w:r w:rsidR="00E7007D" w:rsidRPr="00DB6ACA">
        <w:t>.</w:t>
      </w:r>
      <w:r w:rsidR="00E7007D" w:rsidRPr="00DB6ACA">
        <w:tab/>
        <w:t xml:space="preserve">счита мисията за наблюдение на избори за практичен и ефективен инструмент на външната политика, който продължава да заема централно място в политиките и стратегиите на Съюза в подкрепа на демокрацията; отбелязва въз основа на доклада за последващите действия, че ЕСВД не планира да разширява работата по наблюдение по отношение на държавите кандидатки и съседните държави, тъй като мисиите за наблюдение обхващат подобаващо тези държави и са ръководени от Бюрото за демократични институции и права на човека към Организацията за сигурност и сътрудничество в Европа (ОССЕ), което използва методика, подобна на тази на Съюза, и често привлича експерти от същия резерв от специалисти; </w:t>
      </w:r>
      <w:r w:rsidR="00E7007D" w:rsidRPr="00DB6ACA">
        <w:lastRenderedPageBreak/>
        <w:t>въпреки това отново призовава Съюза да осигури подходящи ресурси, включително експертни познания в областта на почтеността на онлайн информацията и рисковете от вмешателство в методиките за наблюдение на избори, за мисиите на Съюза за наблюдение на избори;</w:t>
      </w:r>
    </w:p>
    <w:p w14:paraId="7B8E2732" w14:textId="38A23CF4" w:rsidR="00E7007D" w:rsidRPr="00DB6ACA" w:rsidRDefault="005B612B" w:rsidP="00E7007D">
      <w:pPr>
        <w:pStyle w:val="NormalHanging12a"/>
      </w:pPr>
      <w:r>
        <w:t>39</w:t>
      </w:r>
      <w:r w:rsidR="00E7007D" w:rsidRPr="00DB6ACA">
        <w:t>.</w:t>
      </w:r>
      <w:r w:rsidR="00E7007D" w:rsidRPr="00DB6ACA">
        <w:tab/>
        <w:t>отбелязва със задоволство въз основа на доклада за последващите действия усилията на Съюза през 2024 г. за защита на децата в засегнатите от конфликти региони чрез неговите делегации; приветства актуализирането през 2024 г. на Насоките на Съюза относно децата и въоръжените конфликти, които осигуряват рамка за укрепване на защитата и предотвратяване на тежки нарушения срещу деца по време на война;</w:t>
      </w:r>
    </w:p>
    <w:p w14:paraId="1782B06A" w14:textId="43091ECD" w:rsidR="00E7007D" w:rsidRPr="00DB6ACA" w:rsidRDefault="005B612B" w:rsidP="00E7007D">
      <w:pPr>
        <w:pStyle w:val="NormalHanging12a"/>
      </w:pPr>
      <w:r>
        <w:t>40</w:t>
      </w:r>
      <w:r w:rsidR="00E7007D" w:rsidRPr="00DB6ACA">
        <w:t>.</w:t>
      </w:r>
      <w:r w:rsidR="00E7007D" w:rsidRPr="00DB6ACA">
        <w:tab/>
        <w:t>припомня, че през 2021 г. Парламентът предложи пилотния проект „Към създаването на Европейска дипломатическа академия“ с цел формиране на критична маса от европейски дипломати, обучени по въпросите на външните отношения и сигурността на Съюза, и на европейска дипломатическа култура, насочена към засилване на ролята на Съюза като ефективен участник във външната политика; отбелязва, че във първата фаза на този пилотен проект, който обхвана академичната 2022 — 2023 година, участваха 42 млади дипломати, докато във втората фаза, която обхвана академичната 2023 — 2024 година, имаше 50 участници; отбелязва, че втората фаза включваше два идентични 4-месечни курса, последвани от едномесечен стаж в седалището на ЕСВД в Брюксел; отбелязва, че курсовете и програмите за обучение бяха осъществени от академичен консорциум с участието на Колежа на Европа в Белгия (Брюж) и в Полша (</w:t>
      </w:r>
      <w:proofErr w:type="spellStart"/>
      <w:r w:rsidR="00E7007D" w:rsidRPr="00DB6ACA">
        <w:t>Натолин</w:t>
      </w:r>
      <w:proofErr w:type="spellEnd"/>
      <w:r w:rsidR="00E7007D" w:rsidRPr="00DB6ACA">
        <w:t>); отбелязва въз основа на въпросника, че в съответствие с Договор за услуги EEAS/2022/OP/0168-2023 Колежът на Европа е изготвил окончателен доклад, съдържащ оценка на втората фаза на пилотния проект; призовава ЕСВД да предостави този доклад на органа по освобождаване от отговорност; отбелязва въз основа на доклада на ЕСВД относно годишните отчети за 2022, 2023 и 2024 г. по отношение на изпълнението на бюджета за пилотните фази на проекта за Дипломатическа академия на ЕС, че ЕСВД е платила 831 000 EUR през 2022 г., 120 000 EUR през 2023 г. и 862 000 EUR през 2024 г.; изисква от ЕСВД да предостави на Парламента, в контекста на процедурата по освобождаване от отговорност във връзка с изпълнението на бюджета, копия от цялата документация относно проведените процедури за възлагане на обществена поръчка, сключените договори и извършените плащания във връзка с първата и втората фаза от пилотния проект за Дипломатическа академия на ЕС;</w:t>
      </w:r>
    </w:p>
    <w:p w14:paraId="0BB680BE" w14:textId="4FEF8739" w:rsidR="00E7007D" w:rsidRPr="00DB6ACA" w:rsidRDefault="005B612B" w:rsidP="00E7007D">
      <w:pPr>
        <w:pStyle w:val="NormalHanging12a"/>
      </w:pPr>
      <w:r>
        <w:t>41</w:t>
      </w:r>
      <w:r w:rsidR="00E7007D" w:rsidRPr="00DB6ACA">
        <w:t>.</w:t>
      </w:r>
      <w:r w:rsidR="00E7007D" w:rsidRPr="00DB6ACA">
        <w:tab/>
        <w:t>отбелязва освен това, че на 21 май 2024 г., въз основа на опита и структурата, разработени по време на пилотните фази, Съветът прие решение за създаване на пълноправна Дипломатическа академия на ЕС с обучение, обхващащо четири академични години, считано от 2024 — 2025 г., като провеждането на курсовете и дейностите за обучение бъдат възложени на Колежа на Европа, а Дипломатическата академия на ЕС функционира под отговорността на заместник-председателя/върховен представител, който ще получава насоки от управителен комитет, съставен от по един представител, определен от всяка държава членка, както и от представител на Парламента, на Съвета и на Комисията; отбелязва въз основа на това решение, че планираната сума от 1,72 милиона евро обхваща периода от 1 юли 2024 г. до 30 юни 2025 г., докато управлението на разходите във връзка с Дипломатическата академия на ЕС ще се контролира от Комисията чрез Службата за инструментите в областта на външната политика;</w:t>
      </w:r>
    </w:p>
    <w:p w14:paraId="7375AF45" w14:textId="33236D00" w:rsidR="00E7007D" w:rsidRPr="00DB6ACA" w:rsidRDefault="005B612B" w:rsidP="00E7007D">
      <w:pPr>
        <w:pStyle w:val="NormalHanging12a"/>
      </w:pPr>
      <w:r>
        <w:lastRenderedPageBreak/>
        <w:t>42</w:t>
      </w:r>
      <w:r w:rsidR="00E7007D" w:rsidRPr="00DB6ACA">
        <w:t>.</w:t>
      </w:r>
      <w:r w:rsidR="00E7007D" w:rsidRPr="00DB6ACA">
        <w:tab/>
        <w:t>отбелязва, че след създаването на Службата за корпоративно управление през 2023 г. ЕСВД актуализира своята рамка за вътрешен контрол през 2024 г., за да отрази ролята на главния служител по въпросите на управлението и да въведе механизъм за мониторинг на вътрешния контрол; отбелязва въз основа на въпросника, че рамката за вътрешен контрол на ЕСВД е приведена в съответствие с тази на Комисията; отбелязва, че в допълнение към стандартната годишна оценка на системата за вътрешен контрол на ЕСВД през 2024 г. тя е извършила проучване сред 167 респонденти/служители, всеки от които с отговорности на вторично оправомощен разпоредител с бюджетни кредити, като резултатите от това проучване се обсъждат на висше управленско равнище в комитета на ЕСВД за вътрешен контрол; отбелязва, че в проучването са набелязани 183 области, които се нуждаят от внимание, особено по отношение на предизвикателствата, пред които се изправят делегациите на Съюза, например осведомеността относно вътрешния контрол и управлението на риска, набирането и задържането на квалифицирани служители и ИТ услуги; приветства факта, че ЕСВД разработи план за действие с оглед на съществуващите опасения и за проактивно справяне с потенциалните рискове; приканва ЕСВД да информира редовно органа по освобождаване от отговорност относно тези въпроси;</w:t>
      </w:r>
    </w:p>
    <w:p w14:paraId="04D1D764" w14:textId="711963ED" w:rsidR="00E7007D" w:rsidRPr="00DB6ACA" w:rsidRDefault="005B612B" w:rsidP="00E7007D">
      <w:pPr>
        <w:pStyle w:val="NormalHanging12a"/>
      </w:pPr>
      <w:r>
        <w:t>43</w:t>
      </w:r>
      <w:r w:rsidR="00E7007D" w:rsidRPr="00DB6ACA">
        <w:t>.</w:t>
      </w:r>
      <w:r w:rsidR="00E7007D" w:rsidRPr="00DB6ACA">
        <w:tab/>
        <w:t>насърчава ЕСВД да засили вътрешния контрол и системите на документооборота, като обърне внимание на слабостите, установени от Палатата, и по-специално слабостите, свързани с управлението на информацията и докладването от делегациите на Съюза;</w:t>
      </w:r>
    </w:p>
    <w:p w14:paraId="0140CB68" w14:textId="761B6D83" w:rsidR="00E7007D" w:rsidRPr="00DB6ACA" w:rsidRDefault="005B612B" w:rsidP="00E7007D">
      <w:pPr>
        <w:pStyle w:val="NormalHanging12a"/>
      </w:pPr>
      <w:r>
        <w:t>44</w:t>
      </w:r>
      <w:r w:rsidR="00E7007D" w:rsidRPr="00DB6ACA">
        <w:t>.</w:t>
      </w:r>
      <w:r w:rsidR="00E7007D" w:rsidRPr="00DB6ACA">
        <w:tab/>
        <w:t>отбелязва, че ЕСВД използва два режима на предварителна проверка по отношение на финансовите операции (поети задължения, плащания и нареждания за събиране на вземания); отбелязва, че единият вид предварителна проверка е децентрализирана, т.е. извършва се независимо от отговорния вторично оправомощен разпоредител с бюджетни кредити и е за плащания, свързани с фактури, чийто размер (считано от 2024 г.) е под 15 000; отбелязва, че за всички други финансови операции предварителната проверка се осигурява вътрешно от оперативните отдели или от делегациите на Съюза; отбелязва, че при процедурите за възлагане на обществена поръчка също съществуват два режима на предварителна проверка: единият режим е за договори със стойност, която е равна или по-висока от праговете по Директива 2014/24/ЕС, и се прилага независимо от вторично оправомощения разпоредител с бюджетни кредити на отдела, отговарящ за документацията на обществената поръчка, а другият режим се прилага вътрешно от отговорния отдел и е за договори с (много) ниска и средна стойност;</w:t>
      </w:r>
    </w:p>
    <w:p w14:paraId="2DC81179" w14:textId="15452285" w:rsidR="00E7007D" w:rsidRPr="00DB6ACA" w:rsidRDefault="005B612B" w:rsidP="00E7007D">
      <w:pPr>
        <w:pStyle w:val="NormalHanging12a"/>
      </w:pPr>
      <w:r>
        <w:t>45</w:t>
      </w:r>
      <w:r w:rsidR="00E7007D" w:rsidRPr="00DB6ACA">
        <w:t>.</w:t>
      </w:r>
      <w:r w:rsidR="00E7007D" w:rsidRPr="00DB6ACA">
        <w:tab/>
        <w:t xml:space="preserve">отбелязва, че по отношение на финансовите грешки установеният процент грешки съответства на грешките, открити при последващите проверки (след извършване на плащането/събиране на вземането), което води до остатъчна грешка, която също така отразява грешки, за които се предполага, че засягат </w:t>
      </w:r>
      <w:proofErr w:type="spellStart"/>
      <w:r w:rsidR="00E7007D" w:rsidRPr="00DB6ACA">
        <w:t>непроконтролираните</w:t>
      </w:r>
      <w:proofErr w:type="spellEnd"/>
      <w:r w:rsidR="00E7007D" w:rsidRPr="00DB6ACA">
        <w:t xml:space="preserve"> разходи и приходи; отбелязва, че през 2024 г. процентът остатъчни финансови грешки за разходите на ЕСВД е 0,03%, а за приходите — 0,05%; отбелязва по отношение на грешките при възлагане на обществени поръчки, че ЕСВД актуализира своята методика за последващ контрол през 2024 г., като по този начин я приведе в съответствие с подхода на Комисията по отношение на изчисляването на грешките при възлагането на обществени поръчки, който отхвърля понятието „остатъчна грешка“, тъй като финансовото отражение на грешките при възлагането на обществени поръчки не може да бъде количествено определено по същия начин, по който се определят финансовите </w:t>
      </w:r>
      <w:r w:rsidR="00E7007D" w:rsidRPr="00DB6ACA">
        <w:lastRenderedPageBreak/>
        <w:t>грешки; отбелязва, че въз основа на тази нова методика стойността на грешките, открити при възлагането на обществени поръчки, е 49 774 108 EUR през 2024 г. (което представлява увеличение спрямо 23 392 948 EUR през 2023 г.) или 4,32% от одитираната популация през 2024 г. (което представлява увеличение спрямо 2,07% през 2023 г.);</w:t>
      </w:r>
    </w:p>
    <w:p w14:paraId="6F532DBD" w14:textId="1849F966" w:rsidR="00E7007D" w:rsidRPr="00DB6ACA" w:rsidRDefault="005B612B" w:rsidP="00E7007D">
      <w:pPr>
        <w:pStyle w:val="NormalHanging12a"/>
      </w:pPr>
      <w:r>
        <w:t>46</w:t>
      </w:r>
      <w:r w:rsidR="00E7007D" w:rsidRPr="00DB6ACA">
        <w:t>.</w:t>
      </w:r>
      <w:r w:rsidR="00E7007D" w:rsidRPr="00DB6ACA">
        <w:tab/>
        <w:t>отбелязва със задоволство, че през 2024 г. ЕСВД постигна осезаем напредък по отношение на приключването на неизпълнените препоръки, отправени от различни органи, като отдела за вътрешен одит на ЕСВД, Службата за вътрешен одит на Комисията и Палатата; потвърждава ролята на Комитета за контрол на одитите на ЕСВД за гарантиране на независимостта на отдела за вътрешен одит на ЕСВД и за наблюдението на качеството на работата по вътрешния одит и постигнатия напредък по отношение на последващите действия във връзка с препоръките от вътрешния и външния одит;</w:t>
      </w:r>
    </w:p>
    <w:p w14:paraId="650EAEBF" w14:textId="68F1708E" w:rsidR="00E7007D" w:rsidRPr="00DB6ACA" w:rsidRDefault="005B612B" w:rsidP="00E7007D">
      <w:pPr>
        <w:pStyle w:val="NormalHanging12a"/>
      </w:pPr>
      <w:r>
        <w:t>47</w:t>
      </w:r>
      <w:r w:rsidR="00E7007D" w:rsidRPr="00DB6ACA">
        <w:t>.</w:t>
      </w:r>
      <w:r w:rsidR="00E7007D" w:rsidRPr="00DB6ACA">
        <w:tab/>
        <w:t>отбелязва по отношение на одитите, извършени от отдела за вътрешен одит на ЕСВД, че броят на неизпълнените препоръки е намален от четири критични и 49 много важни препоръки на три критични и 32 много важни препоръки и че са преразгледани три плана за действие, един от които е приет като задоволителен; отбелязва, че останалите критични препоръки са свързани с одита на управлението на сградата на делегацията на ЕС във Вашингтон, който беше забавен по съображения от правен характер, а 13 от останалите 32 много важни препоръки са свързани с одита на информационните потоци между ЕСВД, ГД „Човешки ресурси и сигурност“ и Службата за управление и плащане по индивидуални права; отбелязва освен това, че отделът за вътрешен одит на ЕСВД е предприел консултативен преглед на процедурите за възлагане на обществени поръчки в седалището, започнал е стратегическа оценка на риска, извършил е сравнителен анализ с други институции на Съюза, актуализирал е своя устав за мисията, като по този начин е приключил изпълнението на многогодишната си одитна програма за периода 2022 — 2024 г., и е предприел необходимите стъпки за изготвяне на новата си стратегическа одитна програма с начало на изпълнение през 2025 г.;</w:t>
      </w:r>
    </w:p>
    <w:p w14:paraId="7F52BA03" w14:textId="1177E1C3" w:rsidR="00E7007D" w:rsidRPr="00DB6ACA" w:rsidRDefault="005B612B" w:rsidP="00E7007D">
      <w:pPr>
        <w:pStyle w:val="NormalHanging12a"/>
      </w:pPr>
      <w:r>
        <w:t>48</w:t>
      </w:r>
      <w:r w:rsidR="00E7007D" w:rsidRPr="00DB6ACA">
        <w:t>.</w:t>
      </w:r>
      <w:r w:rsidR="00E7007D" w:rsidRPr="00DB6ACA">
        <w:tab/>
        <w:t>отбелязва, че Службата за вътрешен одит е приключила два одита на разпределението на човешките ресурси и на стратегията на ЕСВД за борба с измамите, като плановете за действие са в процес на изпълнение, и е започнала нов одит на последващите проверки в края на 2024 г., оперативната работа по който е продължила и през 2025 г.; приканва ЕСВД да информира органа по освобождаване от отговорност за напредъка, постигнат по отношение на изпълнението на препоръките на Службата за вътрешен одит, които все още не са изпълнени, като последващо действие във връзка с одита на процеса на възлагане на обществени поръчки и мониторинга на договорите в ЕСВД, започнат през 2022 г.;</w:t>
      </w:r>
    </w:p>
    <w:p w14:paraId="23B7031F" w14:textId="3F1CB814" w:rsidR="00E7007D" w:rsidRPr="00DB6ACA" w:rsidRDefault="005B612B" w:rsidP="00E7007D">
      <w:pPr>
        <w:pStyle w:val="NormalHanging12a"/>
      </w:pPr>
      <w:r>
        <w:t>49</w:t>
      </w:r>
      <w:r w:rsidR="00E7007D" w:rsidRPr="00DB6ACA">
        <w:t>.</w:t>
      </w:r>
      <w:r w:rsidR="00E7007D" w:rsidRPr="00DB6ACA">
        <w:tab/>
        <w:t xml:space="preserve">отбелязва въз основа на годишния отчет за дейността на ЕСВД за 2024 г. („отчета на ЕСВД за 2024 г.“), че операциите на всяка делегация на Съюза се оценяват периодично (на всеки 4 — 5 години) чрез мисии за проверка и стратегически корпоративен контрол; отбелязва, че през 2024 г. са извършени проверки в 26 делегации на Съюза, вследствие на което са формулирани 1 000 препоръки и съвети към проверените делегации на Съюза и служби в седалището, включително шест критични препоръки и приблизително 100 много важни препоръки; отбелязва със загриженост въз основа на въпросника, че към две </w:t>
      </w:r>
      <w:r w:rsidR="00E7007D" w:rsidRPr="00DB6ACA">
        <w:lastRenderedPageBreak/>
        <w:t>делегации на Съюза са оправени критични препоръки относно вътрешното управление; приветства факта, че ЕСВД е предприела строги последващи действия и в двата случая и въпреки че една проверка все още не е приключена поради своята сложност, ЕСВД активно подкрепя делегацията в усилията за решаване на нерешените въпроси и прилагане на необходимите корективни мерки;</w:t>
      </w:r>
    </w:p>
    <w:p w14:paraId="3EFF83D2" w14:textId="4BCEA09F" w:rsidR="00E7007D" w:rsidRPr="00DB6ACA" w:rsidRDefault="005B612B" w:rsidP="00E7007D">
      <w:pPr>
        <w:pStyle w:val="NormalHanging12a"/>
      </w:pPr>
      <w:r>
        <w:t>50</w:t>
      </w:r>
      <w:r w:rsidR="00E7007D" w:rsidRPr="00DB6ACA">
        <w:t>.</w:t>
      </w:r>
      <w:r w:rsidR="00E7007D" w:rsidRPr="00DB6ACA">
        <w:tab/>
        <w:t>отбелязва, че ЕСВД като цяло е на път да спази крайния срок на Палатата за изпълнение на препоръките от Специален доклад 02/2024 на Палатата, озаглавен „Координационна роля на Европейската служба за външна дейност“ до края на 2025 г.; потвърждава, че всички новоназначени ръководители на делегации са получили писма за определяне на ресора през 2024 и 2025 г. и че подобрените механизми за обратна връзка и процесът, свързан с годишния план за управление, са подобрили координацията между седалището и делегациите на Съюза; приветства текущото изпълнение на стратегията на ЕСВД за управление на информацията, включително пълното разгръщане на платформата за сътрудничество HIVE, използвана от над 16 500 служители; отбелязва продължаващата работа с Комисията, Съвета и държавите членки за повишаване на оперативната съвместимост и постигане на напредък в обсъжданията относно стандартизирана класификация за сигурност; отбелязва освен това приключването на оценката на работното натоварване на делегациите на Съюза през септември 2024 г., която послужи за основа на последващото политическо споразумение относно модернизирането на мрежата от делегации на Съюза през май 2025 г.; отбелязва статута на ЕСВД на „асоциирана служба“ в рамките на одитите, извършени от Палатата, като се има предвид, че четири одита (специални доклади 17/2024, 18/2024, 06/2024 и 04/2025) са приключени през 2024 г., а два одита (специални доклади 17/2025 и 20/2025) са започнати през 2024 г. и приключени през 2025 г.; отбелязва в този контекст със задоволство доброто сътрудничество на ЕСВД с генералните дирекции на Комисията, засегнати от тези одити;</w:t>
      </w:r>
    </w:p>
    <w:p w14:paraId="6B70D4AC" w14:textId="77777777" w:rsidR="00E7007D" w:rsidRPr="00DB6ACA" w:rsidRDefault="00E7007D" w:rsidP="00E7007D">
      <w:pPr>
        <w:pStyle w:val="NormalHanging12a"/>
        <w:rPr>
          <w:b/>
          <w:bCs/>
          <w:i/>
          <w:iCs/>
        </w:rPr>
      </w:pPr>
      <w:r w:rsidRPr="00DB6ACA">
        <w:rPr>
          <w:b/>
          <w:i/>
        </w:rPr>
        <w:t>Човешки ресурси, равенство и благосъстояние на служителите</w:t>
      </w:r>
    </w:p>
    <w:p w14:paraId="629BABF7" w14:textId="50F4C6EE" w:rsidR="00E7007D" w:rsidRPr="00DB6ACA" w:rsidRDefault="005B612B" w:rsidP="00E7007D">
      <w:pPr>
        <w:pStyle w:val="NormalHanging12a"/>
      </w:pPr>
      <w:r>
        <w:t>51</w:t>
      </w:r>
      <w:r w:rsidR="00E7007D" w:rsidRPr="00DB6ACA">
        <w:t>.</w:t>
      </w:r>
      <w:r w:rsidR="00E7007D" w:rsidRPr="00DB6ACA">
        <w:tab/>
        <w:t>отбелязва, че с изключение на местните служители през 2024 г. в ЕСВД са работили общо 2 902 служители, включително 1 268 длъжностни лица, 442 срочно наети служители, 619 договорно наети служители и 573 командировани национални експерти, спрямо 2 812 служители, включително 1 245 длъжностни лица, 450 срочно наети служители, 603 договорно наети служители и 514 командировани национални експерти през 2023 г.; припомня, че е важно да се осигурят безсрочни трудови договори с цел да се поддържат уменията, приемствеността и продуктивната работна среда;</w:t>
      </w:r>
    </w:p>
    <w:p w14:paraId="092108B6" w14:textId="59808A20" w:rsidR="00E7007D" w:rsidRPr="00DB6ACA" w:rsidRDefault="005B612B" w:rsidP="00E7007D">
      <w:pPr>
        <w:pStyle w:val="NormalHanging12a"/>
      </w:pPr>
      <w:r>
        <w:t>52</w:t>
      </w:r>
      <w:r w:rsidR="00E7007D" w:rsidRPr="00DB6ACA">
        <w:t>.</w:t>
      </w:r>
      <w:r w:rsidR="00E7007D" w:rsidRPr="00DB6ACA">
        <w:tab/>
        <w:t xml:space="preserve">отбелязва въз основа на отчета на ЕСВД за 2024 г., че в края на 2024 г. от общо 5 355 души, работещи в ЕСВД, 47% са работили в седалището на ЕСВД, а 53% — в делегациите на Съюза, като 1 622 са били местни служители в делегациите на Съюза; отбелязва, че по време на изслушването членовете на ЕП изразиха загриженост относно твърденията за уволнения на местни служители в някои делегации на Съюза, без да е надлежно спазено местното трудово право; отбелязва, че след изслушването членовете на комисията по бюджетен контрол внесоха допълнителни въпроси с искане за писмен отговор; отбелязва въз основа на отговорите на ЕСВД на тези въпроси („втория въпросник“), че на 14 май 2025 г. проектната група за външна дейност на членовете на Комисията одобри проект за модернизиране на мрежата от делегации на Съюза; отбелязва, че </w:t>
      </w:r>
      <w:r w:rsidR="00E7007D" w:rsidRPr="00DB6ACA">
        <w:lastRenderedPageBreak/>
        <w:t>изпълнението на този проект води, наред с другото, до централизиране на функциите, свързани с финансирането, договорите и одита, за шестте делегации на Съюза в Западните Балкани в седалището на ГД „Разширяване и източно съседство“, както и до намаляване на броя на служителите със задължения в областта на финансите и договорите в тези делегации на Съюза, въз основа на оценки, извършени след консултации с правни съветници; отбелязва, че във връзка с пакета обезщетения при приключване на трудовото правоотношение ЕСВД твърди, че са спазени всички права съгласно местното законодателство и вътрешните правила на Съюза, като за финансовите пакети за икономическите съкращения са избрани най-благоприятните разпоредби между предвидените в местното законодателство и от Съюза, въпреки опасенията, изразени от местните служители в съответните делегации на Съюза; отбелязва освен това, че ЕСВД, в сътрудничество с Комисията, работи в тясно партньорство с местна адвокатска кантора, която предоставя насоки относно всички местни правни изисквания, като по този начин осигурява протичането на процедурата на уволнения в пълно съответствие с приложимото местно трудово законодателство; призовава ЕСВД да се консултира пълноценно с представителя на местните служители при разработването на плана за уволнение на местни служители; отбелязва със загриженост въз основа на отговорите на въпросника, че ако делегация на Съюза бъде преместена в друга държава, например в случай на евакуация (като преместването на подразделението от Судан в Египет), местните служители, наети в държавата на произход, биват уволнени и остават в страната, без да е обезпечена сигурността им; призовава ЕСВД да намери жизнеспособни решения за сигурността и безопасността на местните служители, които лоялно са работили в делегациите на Съюза;</w:t>
      </w:r>
    </w:p>
    <w:p w14:paraId="5357E9C2" w14:textId="333FDC85" w:rsidR="00E7007D" w:rsidRPr="00DB6ACA" w:rsidRDefault="005B612B" w:rsidP="00E7007D">
      <w:pPr>
        <w:pStyle w:val="NormalHanging12a"/>
        <w:rPr>
          <w:bCs/>
          <w:iCs/>
        </w:rPr>
      </w:pPr>
      <w:r>
        <w:t>53</w:t>
      </w:r>
      <w:r w:rsidR="00E7007D" w:rsidRPr="00DB6ACA">
        <w:t>.</w:t>
      </w:r>
      <w:r w:rsidR="00E7007D" w:rsidRPr="00DB6ACA">
        <w:tab/>
        <w:t>изразява сериозна загриженост във връзка със сведенията за неудовлетворителен социален диалог и включването на защитени представители на персонала сред местните агенти, засегнати от уволнения, в някои делегации на Съюза; припомня във връзка с това, че спазването на местното трудово законодателство, задълженията за социален диалог и защитата на представителите на служителите са съществени елементи на доброто управление и на доверието в Съюза като работодател;</w:t>
      </w:r>
    </w:p>
    <w:p w14:paraId="6EAFA7CB" w14:textId="33FBAD90" w:rsidR="00E7007D" w:rsidRPr="00DB6ACA" w:rsidRDefault="005B612B" w:rsidP="00E7007D">
      <w:pPr>
        <w:pStyle w:val="NormalHanging12a"/>
        <w:rPr>
          <w:bCs/>
          <w:iCs/>
        </w:rPr>
      </w:pPr>
      <w:r>
        <w:t>54</w:t>
      </w:r>
      <w:r w:rsidR="00E7007D" w:rsidRPr="00DB6ACA">
        <w:t>.</w:t>
      </w:r>
      <w:r w:rsidR="00E7007D" w:rsidRPr="00DB6ACA">
        <w:tab/>
        <w:t xml:space="preserve">подчертава, че всяко преструктуриране, преместване или уволнение, засягащо местните служители, трябва да бъде предшествано от съдържателни консултации с представителите на служителите и да бъде съпътствано от конкретни мерки за защита на правата, сигурността и достойнството на местните агенти, особено в ситуации на криза или евакуация; призовава ЕСВД да направи оценка и да докладва на органа по освобождаване от отговорност относно икономическата ефективност на съкращенията на служители в сравнение с алтернативни организационни решения, като включи дългосрочните финансови, оперативни и </w:t>
      </w:r>
      <w:proofErr w:type="spellStart"/>
      <w:r w:rsidR="00E7007D" w:rsidRPr="00DB6ACA">
        <w:t>репутационни</w:t>
      </w:r>
      <w:proofErr w:type="spellEnd"/>
      <w:r w:rsidR="00E7007D" w:rsidRPr="00DB6ACA">
        <w:t xml:space="preserve"> последици от уволненията, засягащи местните служители;</w:t>
      </w:r>
    </w:p>
    <w:p w14:paraId="63C4FB4C" w14:textId="593E3F95" w:rsidR="00E7007D" w:rsidRPr="00DB6ACA" w:rsidRDefault="005B612B" w:rsidP="00E7007D">
      <w:pPr>
        <w:pStyle w:val="NormalHanging12a"/>
      </w:pPr>
      <w:r>
        <w:t>55</w:t>
      </w:r>
      <w:r w:rsidR="00E7007D" w:rsidRPr="00DB6ACA">
        <w:t>.</w:t>
      </w:r>
      <w:r w:rsidR="00E7007D" w:rsidRPr="00DB6ACA">
        <w:tab/>
        <w:t>призовава ЕСВД да повиши допълнително сигурността на делегациите на Съюза, включително киберсигурността, физическата сигурност и способностите за евакуация при кризи, и систематично да докладва за напредъка и все още неотстранените уязвимости;</w:t>
      </w:r>
    </w:p>
    <w:p w14:paraId="16E989D3" w14:textId="441A21E7" w:rsidR="00E7007D" w:rsidRPr="00DB6ACA" w:rsidRDefault="005B612B" w:rsidP="00E7007D">
      <w:pPr>
        <w:pStyle w:val="NormalHanging12a"/>
      </w:pPr>
      <w:r>
        <w:t>56</w:t>
      </w:r>
      <w:r w:rsidR="00E7007D" w:rsidRPr="00DB6ACA">
        <w:t>.</w:t>
      </w:r>
      <w:r w:rsidR="00E7007D" w:rsidRPr="00DB6ACA">
        <w:tab/>
        <w:t xml:space="preserve">отбелязва, че през 2024 г. 46,60% от всички служители на ЕСВД са жени (спрямо 46,80% през 2023 г.); отбелязва по отношение на представителството на жените и длъжностите, заемани от тях в ЕСВД през 2024 г., че 40% са администратори, </w:t>
      </w:r>
      <w:r w:rsidR="00E7007D" w:rsidRPr="00DB6ACA">
        <w:lastRenderedPageBreak/>
        <w:t>63,78% — асистенти, 73,25% — асистенти-секретари, 56,70% — договорно наети служители и 26,87% — командировани национални експерти; отбелязва със задоволство въз основа на отчета на ЕСВД за 2024 г. усилията на ЕСВД за постигане на по-голямо представителство на жените на ръководни длъжности; отбелязва в този контекст възходяща тенденция по отношение на висшите ръководни длъжности с 37,30% жени през 2024 г. (спрямо 31% през 2023 г.), но лек спад по отношение на средните ръководни длъжности с 38,70% жени през 2024 г. (спрямо 40,40% през 2023 г.); приветства увеличението от 35,50% през 2023 г. на 36,10% през 2024 г. по отношение на представителството на жените на длъжността „ръководител на делегация“; приветства постепенното увеличаване на броя на жените на ръководни длъжности в ЕСВД, като отбелязва, че жените продължават да бъдат недостатъчно представени на равнище AD и прекомерно представени на равнище AST, както и че все още не е постигнат напълно баланс между половете на средни и висши ръководни длъжности, както в централата, така и в делегациите на Съюза; подчертава, че макар да трябва да се гарантират равни възможности за служителите в рамките на органите на институциите, трябва да се запазят високите постижения и професионализмът в ЕСВД;</w:t>
      </w:r>
    </w:p>
    <w:p w14:paraId="185916C2" w14:textId="39936E8A" w:rsidR="00E7007D" w:rsidRPr="00DB6ACA" w:rsidRDefault="005B612B" w:rsidP="00E7007D">
      <w:pPr>
        <w:pStyle w:val="NormalHanging12a"/>
      </w:pPr>
      <w:r>
        <w:t>57</w:t>
      </w:r>
      <w:r w:rsidR="00E7007D" w:rsidRPr="00DB6ACA">
        <w:t>.</w:t>
      </w:r>
      <w:r w:rsidR="00E7007D" w:rsidRPr="00DB6ACA">
        <w:tab/>
        <w:t>отбелязва въз основа на доклада за последващите действия усилията на ЕСВД за мобилизиране на допълнителни заявления от по-слабо представения пол; приветства в този контекст организирането през 2024 г. на четири обучения за съобразено с равенството между половете лидерство, в които са участвали 80% от висшите ръководители на ЕСВД, и пълна четиримесечна програма от 29 часа за ръководни кадри за 13 ръководители, включително четирима от делегациите на Съюза; отбелязва освен това, че ЕСВД е установила своята нова мрежа от точки за контакт по въпросите на равенството между половете и е създала работна група по Конвенцията от Истанбул, която е представила през 2024 г. междинен доклад с план за действие; отбелязва работата на посланика на Съюза по въпросите на равенството между половете и многообразието за интегриране на измерението на пола в диалозите за правата на човека и в ключови многостранни изявления и резолюции; приканва ЕСВД да продължи да предоставя актуална информация относно последните развития във връзка с Плана за действие относно равенството между половете за периода 2021 — 2025 г. и действията, предприети за по-нататъшно насърчаване на участието на жените във всички дипломатически и политически диалози;</w:t>
      </w:r>
    </w:p>
    <w:p w14:paraId="2CCABF4F" w14:textId="680472E1" w:rsidR="00E7007D" w:rsidRPr="00DB6ACA" w:rsidRDefault="005B612B" w:rsidP="00E7007D">
      <w:pPr>
        <w:pStyle w:val="NormalHanging12a"/>
        <w:rPr>
          <w:bCs/>
          <w:iCs/>
        </w:rPr>
      </w:pPr>
      <w:r>
        <w:t>58</w:t>
      </w:r>
      <w:r w:rsidR="00E7007D" w:rsidRPr="00DB6ACA">
        <w:t>.</w:t>
      </w:r>
      <w:r w:rsidR="00E7007D" w:rsidRPr="00DB6ACA">
        <w:tab/>
        <w:t xml:space="preserve">отбелязва усилията, положени от ЕСВД за постигане на разнообразна и представителна работна сила; изразява все пак съжаление за трайната липса на географски баланс и регионално многообразие в ЕСВД, включително на ръководни длъжности и на ключови функции в централата; отбелязва, че в края на 2024 г. три държави членки (една държава членка през 2025 г.) продължиха да нямат посланик на Съюза, докато посланиците от пет държави членки заемаха 56% от всички длъжности на посланици на Съюза, което представлява увеличение спрямо 54% през 2023 г.; подчертава, че дипломатическата служба на Съюза трябва да отразява многообразието на Съюза, за да укрепи легитимността, местните знания и ефективността; призовава ЕСВД, в сътрудничество с Европейската служба за подбор на персонал (EPSO) и службите на Комисията, отговарящи за политиката на подбор, да засили целенасочените информационни дейности в по-слабо представените държави членки (включително информационни прояви и прояви за набиране на персонал за „целеви държави“), да разшири възможностите чрез стажове, програми за млади специалисти и структурирани командировки и да подобри справедливостта при вътрешния </w:t>
      </w:r>
      <w:r w:rsidR="00E7007D" w:rsidRPr="00DB6ACA">
        <w:lastRenderedPageBreak/>
        <w:t>подбор чрез разнообразни комисии за подбор, прозрачни критерии и наставничество/спонсорство за по-слабо представените групи; припомня, че набирането на служители трябва да продължи да се основава на заслуги и да бъде в съответствие с правото на Съюза;</w:t>
      </w:r>
    </w:p>
    <w:p w14:paraId="791A0154" w14:textId="0DB81E46" w:rsidR="00E7007D" w:rsidRPr="00DB6ACA" w:rsidRDefault="005B612B" w:rsidP="00E7007D">
      <w:pPr>
        <w:pStyle w:val="NormalHanging12a"/>
      </w:pPr>
      <w:r>
        <w:t>59</w:t>
      </w:r>
      <w:r w:rsidR="00E7007D" w:rsidRPr="00DB6ACA">
        <w:t>.</w:t>
      </w:r>
      <w:r w:rsidR="00E7007D" w:rsidRPr="00DB6ACA">
        <w:tab/>
        <w:t>отбелязва, че в края на 2024 г. процентът на заетите длъжности в щатното разписание на ЕСВД е 95,3% (спрямо 96,7% през 2023 г.); отбелязва освен това, че текучеството сред служителите на ЕСВД достигна 12,07% през 2024 г. (10,15% през 2023 г.); отбелязва, че това увеличение отразява специфичната структура на ЕСВД като дипломатическа служба, която се характеризира с редовна ротация на служителите от дипломатическия корпус на държавите членки и други институции на Съюза, както и с прилагането на стабилна политика по отношение на човешките ресурси;</w:t>
      </w:r>
    </w:p>
    <w:p w14:paraId="75B1E63A" w14:textId="6B6E128F" w:rsidR="00E7007D" w:rsidRPr="00DB6ACA" w:rsidRDefault="005B612B" w:rsidP="00E7007D">
      <w:pPr>
        <w:pStyle w:val="NormalHanging12a"/>
      </w:pPr>
      <w:r>
        <w:t>60</w:t>
      </w:r>
      <w:r w:rsidR="00E7007D" w:rsidRPr="00DB6ACA">
        <w:t>.</w:t>
      </w:r>
      <w:r w:rsidR="00E7007D" w:rsidRPr="00DB6ACA">
        <w:tab/>
        <w:t>отбелязва, че продължава работата по актуализиране на решението от 2014 г. относно командированите национални експерти, като преразгледаният текст трябва да бъде публикуван през 2025 г.; отбелязва, че ЕСВД продължи стажантските си програми, като през 2024 г. прие 62 стажанти по програмата „Синя книга“ в седалището и 566 стажанти в 106 делегации на Съюза; отбелязва, че 531 стажанти от последната категория са получавали заплата от ЕСВД или от други институции, докато за 35 студенти, за които не са изплащани стипендии, стажът е бил задължителен като част от тяхната учебна програма; отбелязва освен това, че ЕСВД продължи и със седмия кръг на програмата за младши експерти в делегациите за периода 2023 — 2025 г., като в делегациите на Съюза са работили 67 младши експерти;</w:t>
      </w:r>
    </w:p>
    <w:p w14:paraId="44DA42DF" w14:textId="78CADB73" w:rsidR="00E7007D" w:rsidRPr="00DB6ACA" w:rsidRDefault="005B612B" w:rsidP="00E7007D">
      <w:pPr>
        <w:pStyle w:val="NormalHanging12a"/>
      </w:pPr>
      <w:r>
        <w:t>61</w:t>
      </w:r>
      <w:r w:rsidR="00E7007D" w:rsidRPr="00DB6ACA">
        <w:t>.</w:t>
      </w:r>
      <w:r w:rsidR="00E7007D" w:rsidRPr="00DB6ACA">
        <w:tab/>
        <w:t>отбелязва, че през 2024 г. ЕСВД продължи да укрепва безопасната, зачитаща достойнството и етична работна среда; приветства разширената достъпност на задължителното електронно обучение относно уважението и достойнството на работното място, признаването на тормоза и борбата с него, като 1 900 служители са завършили курса на обучение през 2024 г.; приветства факта, че през 2024 г. 57% от ръководителите са преминали подобно задължително обучение; приветства ЕСВД за това, че през 2024 г. предложи обучение относно устойчивостта и управлението на травми за служителите в кризисните зони и за регионалните служители по сигурността; приветства освен това приемането на решение за разширяване на обхвата на защитата срещу психически и сексуален тормоз, така че да бъдат включени и местните служители в делегациите на Съюза, които вече имат достъп до официалните процедури на ЕСВД в случай на твърдения за тормоз;</w:t>
      </w:r>
    </w:p>
    <w:p w14:paraId="04442BF9" w14:textId="1951D360" w:rsidR="00E7007D" w:rsidRPr="00DB6ACA" w:rsidRDefault="005B612B" w:rsidP="00E7007D">
      <w:pPr>
        <w:pStyle w:val="NormalHanging12a"/>
      </w:pPr>
      <w:r>
        <w:t>62</w:t>
      </w:r>
      <w:r w:rsidR="00E7007D" w:rsidRPr="00DB6ACA">
        <w:t>.</w:t>
      </w:r>
      <w:r w:rsidR="00E7007D" w:rsidRPr="00DB6ACA">
        <w:tab/>
        <w:t xml:space="preserve">отбелязва със задоволство действията, предприети от ЕСВД през 2024 г. в рамките на нейната програма за многообразие и приобщаване за периода 2023 — 2025 г., и по-специално целенасочените действия за групите лица, засегнати от въпроси, свързани с пола, етническата принадлежност, уврежданията, възрастта и ЛГБТИК+; отбелязва в този контекст, че ЕСВД включи темите за многообразието и приобщаването в обученията, предостави информация на служителите, които са ЛГБТИК+, относно правното и културното положение в държавите, в които са командировани, и увеличи усилията си за набиране на служители, зачитайки принципа на многообразието; приветства освен това ЕСВД за актуализирането на нейната пътна карта за действия във връзка с уврежданията, провеждането на проучване по въпросите на уврежданията, изготвянето на информационни документи относно достъпността за делегациите на Съюза, извършването на </w:t>
      </w:r>
      <w:r w:rsidR="00E7007D" w:rsidRPr="00DB6ACA">
        <w:lastRenderedPageBreak/>
        <w:t>оценка на достъпността на нейния уебсайт и предоставянето на финансова помощ за немедицински разходи на 26 служители с деца с увреждания; призовава ЕСВД да продължи да обучава редовно служителите на ръководни и неръководни длъжности по въпросите, свързани с многообразието, равнопоставеността, приобщаването и принадлежността;</w:t>
      </w:r>
    </w:p>
    <w:p w14:paraId="4657A375" w14:textId="7326C271" w:rsidR="00E7007D" w:rsidRPr="00DB6ACA" w:rsidRDefault="005B612B" w:rsidP="00E7007D">
      <w:pPr>
        <w:pStyle w:val="NormalHanging12a"/>
      </w:pPr>
      <w:r>
        <w:t>63</w:t>
      </w:r>
      <w:r w:rsidR="00E7007D" w:rsidRPr="00DB6ACA">
        <w:t>.</w:t>
      </w:r>
      <w:r w:rsidR="00E7007D" w:rsidRPr="00DB6ACA">
        <w:tab/>
        <w:t xml:space="preserve">отбелязва въз основа на въпросника, че през 2024 г. ЕСВД е получила 16 искания за помощ във връзка с твърдения за психически тормоз, включително няколко, отнасящи се до един и същ служител, което е довело до започването на четири административни разследвания, и че един случай, засягащ служител на Комисията, е бил отнесен до компетентния орган на Комисията; отбелязва, че също така са започнати четири официални процедури за местни служители в делегация на Съюза, но не са открити </w:t>
      </w:r>
      <w:proofErr w:type="spellStart"/>
      <w:r w:rsidR="00E7007D" w:rsidRPr="00DB6ACA">
        <w:rPr>
          <w:i/>
          <w:iCs/>
        </w:rPr>
        <w:t>prima</w:t>
      </w:r>
      <w:proofErr w:type="spellEnd"/>
      <w:r w:rsidR="00E7007D" w:rsidRPr="00DB6ACA">
        <w:rPr>
          <w:i/>
          <w:iCs/>
        </w:rPr>
        <w:t xml:space="preserve"> </w:t>
      </w:r>
      <w:proofErr w:type="spellStart"/>
      <w:r w:rsidR="00E7007D" w:rsidRPr="00DB6ACA">
        <w:rPr>
          <w:i/>
          <w:iCs/>
        </w:rPr>
        <w:t>facie</w:t>
      </w:r>
      <w:proofErr w:type="spellEnd"/>
      <w:r w:rsidR="00E7007D" w:rsidRPr="00DB6ACA">
        <w:t xml:space="preserve"> доказателства, които да оправдаят започването на административно разследване; отбелязва, че през годината са приключени шест случая и че по целесъобразност са приложени дисциплинарни или корективни мерки, включително дисциплинарни санкции в два случая и недисциплинарно предупреждение в друг случай;</w:t>
      </w:r>
    </w:p>
    <w:p w14:paraId="2B269B98" w14:textId="30FE6E93" w:rsidR="00E7007D" w:rsidRPr="00DB6ACA" w:rsidRDefault="005B612B" w:rsidP="00E7007D">
      <w:pPr>
        <w:pStyle w:val="NormalHanging12a"/>
      </w:pPr>
      <w:r>
        <w:t>64</w:t>
      </w:r>
      <w:r w:rsidR="00E7007D" w:rsidRPr="00DB6ACA">
        <w:t>.</w:t>
      </w:r>
      <w:r w:rsidR="00E7007D" w:rsidRPr="00DB6ACA">
        <w:tab/>
        <w:t>отбелязва въз основа на въпросника, че съгласно определението, прилагано от Медицинската служба на Комисията, към категорията „дългосрочен отпуск по болест“ се отнасят отсъствия, надвишаващи 20 последователни дни; отбелязва, че през 2023 г. 323 служители са били в дългосрочен отпуск по болест със средна продължителност от 83 дни, докато през 2024 г. този брой се е увеличил на 338 служители, с намалена средна продължителност от 77 дни; отбелязва освен това, че макар точният брой на случаите на професионално изчерпване да не е известен, през 2024 г. значителна част от отпуските по болест са били свързани с проблеми с психичното здраве, като депресия и професионално изчерпване; приветства инициативата на Комисията за разработване на стратегия за психичното здраве, за да се осигури структурирана и устойчива рамка за справяне с предизвикателствата, свързани с психичното здраве на работното място, включително предотвратяването на професионално изчерпване и завръщането на работа; насърчава ЕСВД да създаде също така официален механизъм за оценка на работното натоварване;</w:t>
      </w:r>
    </w:p>
    <w:p w14:paraId="032BD2C4" w14:textId="2BE4CB41" w:rsidR="00E7007D" w:rsidRPr="00DB6ACA" w:rsidRDefault="005B612B" w:rsidP="00E7007D">
      <w:pPr>
        <w:pStyle w:val="NormalHanging12a"/>
      </w:pPr>
      <w:r>
        <w:t>65</w:t>
      </w:r>
      <w:r w:rsidR="00E7007D" w:rsidRPr="00DB6ACA">
        <w:t>.</w:t>
      </w:r>
      <w:r w:rsidR="00E7007D" w:rsidRPr="00DB6ACA">
        <w:tab/>
        <w:t>отбелязва със задоволство въз основа на отчета на ЕСВД за 2024 г., че пътната карта за действия във връзка с уврежданията е актуализирана през 2024 г. и че през 2025 г. е прието ново решение за разширяване на обхвата на разпоредбите на ЕСВД, например относно разумните улеснения за колегите с увреждания, така че те да включат и местните служители в делегациите на Съюза;</w:t>
      </w:r>
    </w:p>
    <w:p w14:paraId="434153B0" w14:textId="77777777" w:rsidR="00E7007D" w:rsidRPr="00DB6ACA" w:rsidRDefault="00E7007D" w:rsidP="00E7007D">
      <w:pPr>
        <w:pStyle w:val="NormalHanging12a"/>
        <w:rPr>
          <w:b/>
          <w:bCs/>
          <w:i/>
          <w:iCs/>
        </w:rPr>
      </w:pPr>
      <w:r w:rsidRPr="00DB6ACA">
        <w:rPr>
          <w:b/>
          <w:i/>
        </w:rPr>
        <w:t>Етична рамка и прозрачност</w:t>
      </w:r>
    </w:p>
    <w:p w14:paraId="3C346068" w14:textId="3AFB5F47" w:rsidR="00E7007D" w:rsidRPr="00DB6ACA" w:rsidRDefault="005B612B" w:rsidP="00E7007D">
      <w:pPr>
        <w:spacing w:after="240"/>
        <w:ind w:left="567" w:hanging="567"/>
        <w:rPr>
          <w:bCs/>
          <w:iCs/>
        </w:rPr>
      </w:pPr>
      <w:r>
        <w:t>66</w:t>
      </w:r>
      <w:r w:rsidR="00E7007D" w:rsidRPr="00DB6ACA">
        <w:t>.</w:t>
      </w:r>
      <w:r w:rsidR="00E7007D" w:rsidRPr="00DB6ACA">
        <w:tab/>
        <w:t xml:space="preserve">отбелязва със загриженост разследването на Европейската прокуратура, започнато през 2025 г. във връзка с потенциална измама при възлагането на обществена поръчка, корупция, конфликт на интереси и нарушение на професионалната тайна, със сериозни съмнения за нарушения на правилата в областта на конкуренцията във връзка с възлагането през периода 2021 — 2022 г. от ЕСВД на Колежа на Европа на обществена поръчка за деветмесечна програма за обучение, свързана с изпълнението на пилотен проект за създаването на Дипломатическата академия на ЕС; подчертава, че създаването на Дипломатическата академия на ЕС е стратегическа стъпка към укрепване на дипломатическия капацитет на Съюза и развитие на истинска европейска </w:t>
      </w:r>
      <w:r w:rsidR="00E7007D" w:rsidRPr="00DB6ACA">
        <w:lastRenderedPageBreak/>
        <w:t xml:space="preserve">дипломатическа култура; отбелязва, че разследването е съсредоточено върху това дали Колежът на Европа и/или неговите представители са били информирани предварително за критериите за подбор в рамките на процедурата за възлагане на обществена поръчка и са имали достатъчно основания да считат, че ще им бъде възложено изпълнението на проекта преди официалното публикуване от ЕСВД на обявлението за обществена поръчка; отбелязва освен това, че след претърсването на помещенията на ЕСВД и Колежа на Европа белгийската полиция задържа и впоследствие освободи </w:t>
      </w:r>
      <w:r w:rsidR="006760C3">
        <w:t>няколко</w:t>
      </w:r>
      <w:r w:rsidR="006760C3" w:rsidRPr="00DB6ACA">
        <w:t xml:space="preserve"> </w:t>
      </w:r>
      <w:r w:rsidR="00E7007D" w:rsidRPr="00DB6ACA">
        <w:t xml:space="preserve">заподозрени през декември 2025 г., а именно бивш заместник-председател/върховен представител, </w:t>
      </w:r>
      <w:r w:rsidR="006760C3" w:rsidRPr="006760C3">
        <w:t xml:space="preserve">по онова време </w:t>
      </w:r>
      <w:r w:rsidR="00E7007D" w:rsidRPr="00DB6ACA">
        <w:t xml:space="preserve">ректор на Колежа на Европа и директор на Дипломатическата академия на ЕС, както и </w:t>
      </w:r>
      <w:r w:rsidR="006760C3" w:rsidRPr="006760C3">
        <w:t xml:space="preserve">тогавашния </w:t>
      </w:r>
      <w:r w:rsidR="00E7007D" w:rsidRPr="00DB6ACA">
        <w:t>генерален директор на генералната дирекция „Близък изток, Северна Африка, Персийски залив“ на Комисията и бивш генерален секретар на ЕСВД; отбелязва със загриженост, че ректорът на Колежа на Европа и директорът на Дипломатическата академия на ЕС са подали оставка в контекста на текущото разследване, свързано с нередности при възлагането на обществени поръчки и Дипломатическата академия на ЕС; отбелязва, че подобна ситуация, при която процедура за възлагане на обществена поръчка може да е била манипулирана в полза на висше учебно заведение, рискува да подкопае доверието в институциите на Съюза, тъй като твърденията за нередности в обществените поръчки могат да породят съмнения относно прозрачността, справедливостта и равното третиране на кандидатите; разбира все пак, че фактите, свързани с разследванията на Европейската прокуратура, са обект на строги правила за поверителност и не могат да бъдат разкривани в контекста на процедурата по освобождаване от отговорност, и подчертава, че не следва да се правят заключения, преди да приключи съдебният процес; приветства ангажимента на ЕСВД да предостави съответните документи, след като приключи съдебното разследване; изисква всяко съмнение за измама да бъде надлежно разследвано, при пълно сътрудничество от страна на ЕСВД; изисква от ЕСВД, без да се засягат текущите дейности по разследване, да извлече системни поуки от този случай, за да осигури сериозни гаранции, че подобни случаи няма да се повтарят в бъдеще; изисква органът по освобождаване от отговорност да бъде редовно информиран за съответното последващо развитие; отбелязва, че съгласно споразумението за безвъзмездна помощ, с което Дипломатическата академия на ЕС се възлага на Колежа на Европа, Колежът е длъжен да представи доклад за проверка на разходите заедно с окончателния си доклад, изготвен от външен одитор, и да го представи в кратък срок за 2024 г., като осигури пълна прозрачност по отношение на сумата от 1,8 милиона евро, изразходвани през периода 2022 — 2024 г; отбелязва също, че в края на декември 2025 г. ЕСВД започна процеса на преглед на Решение (ОВППС) 2024/1472</w:t>
      </w:r>
      <w:r w:rsidR="00E7007D" w:rsidRPr="00DB6ACA">
        <w:rPr>
          <w:rStyle w:val="FootnoteReference"/>
          <w:bCs/>
          <w:iCs/>
        </w:rPr>
        <w:footnoteReference w:id="10"/>
      </w:r>
      <w:r w:rsidR="00E7007D" w:rsidRPr="00DB6ACA">
        <w:t xml:space="preserve"> на Съвета за създаване на Дипломатическата академия на ЕС, като постави началото на независима външна оценка на Дипломатическата академия на ЕС и на резултатите от дейността на Колежа на Европа при изпълнението на дейностите по образование и обучение на Дипломатическата академия на ЕС; призовава ЕСВД да сподели с органа по освобождаване от отговорност както доклада за проверка на разходите, така и външната оценка, за да се гарантират отчетност и прозрачност; призовава ЕСВД да предостави на Парламента подробна информация относно изпълнението на препоръките на Службата за вътрешен одит, свързани с възлагането на </w:t>
      </w:r>
      <w:r w:rsidR="00E7007D" w:rsidRPr="00DB6ACA">
        <w:lastRenderedPageBreak/>
        <w:t>обществени поръчки; изисква ЕЕСД да публикува заключенията и препоръките на работната група, създадена през 2024 г. с цел укрепване на процедурите за възлагане на обществени поръчки, за да се осигури възможност за обществен контрол върху тяхното изпълнение и за да се създадат условия другите институции на Съюза да се възползват от опита, натрупан от ЕСВД при усъвършенстването на процедурите за възлагане на обществени поръчки; отбелязва освен това решението на управителния комитет на Дипломатическата академия на ЕС, взето на заседанието му на 18 декември 2025 г., да изиска от Колежа на Европа да осигури прозрачен и конкурентен процес на набиране на кандидати, въз основа на публикуването на обявление за свободна длъжност, за назначаването на нов директор на Дипломатическата академия на ЕС; приветства факта, че управителният комитет е поискал длъжността директор на Дипломатическата академия на ЕС да бъде отделна от тази на ректор на Колежа на Европа; Подчертава необходимостта от внимателен и ефективен парламентарен контрол, за да се осигури почтеността на обществените поръчки, спазването на етичните стандарти и защитата на финансовите интереси и репутацията на Съюза; отново заявява, че прозрачността и доброто финансово управление при използването на публични средства на Съюза трябва да останат основен принцип за всички институции и органи на Съюза, включително ЕСВД, и че този принцип е крайъгълен камък за запазване на доверието на гражданите във външната дейност на Съюза; счита, че разследването на Европейската прокуратура не следва да се използва за подкопаване на ролята на Дипломатическата академия на ЕС, чиято добавена стойност трябва да бъде напълно призната, особено предвид постоянно положителните отзиви на участниците и държавите членки;</w:t>
      </w:r>
    </w:p>
    <w:p w14:paraId="40633B9D" w14:textId="5882F05F" w:rsidR="00E7007D" w:rsidRPr="00DB6ACA" w:rsidRDefault="005B612B" w:rsidP="00E7007D">
      <w:pPr>
        <w:pStyle w:val="NormalHanging12a"/>
      </w:pPr>
      <w:r>
        <w:t>67</w:t>
      </w:r>
      <w:r w:rsidR="00E7007D" w:rsidRPr="00DB6ACA">
        <w:t>.</w:t>
      </w:r>
      <w:r w:rsidR="00E7007D" w:rsidRPr="00DB6ACA">
        <w:tab/>
        <w:t>отбелязва въз основа на докладваното от ЕСВД, че първата пълна година от изпълнението на стратегията за борба с измамите от 2023 г. е довела до по-стабилна и съгласувана структура за борба с измамите, укрепваща цялостната почтеност и прозрачност на институцията; отбелязва, че тази стратегия е била приведена в действие чрез подсилено обучение за повишаване на осведомеността относно измамите и мерки за предотвратяване, които са по-добре съгласувани със специфичните отговорности на различните групи служители в седалището и делегациите, разпространение на вътрешни насоки и укрепване на сигурните канали за докладване; отбелязва, че служителите на ЕСВД имат достъп до пътека за обучение относно борбата с измамите, разработена от Европейската служба за борба с измамите (OLAF) като част от изпълнението на действието, предвидено в стратегията на Комисията за борба с измамите, за разработване с ЕСВД на съвместен план за обучение по етика и борба с измамите; приветства факта, че продължават действията за утвърждаване на 16-те принципа на професионално поведение в рамките на задължителни курсове по етика и почтеност и политика за борба с тормоза;</w:t>
      </w:r>
    </w:p>
    <w:p w14:paraId="39F2DAF7" w14:textId="324C5497" w:rsidR="00E7007D" w:rsidRPr="00DB6ACA" w:rsidRDefault="005B612B" w:rsidP="00E7007D">
      <w:pPr>
        <w:pStyle w:val="NormalHanging12a"/>
      </w:pPr>
      <w:r>
        <w:t>68</w:t>
      </w:r>
      <w:r w:rsidR="00E7007D" w:rsidRPr="00DB6ACA">
        <w:t>.</w:t>
      </w:r>
      <w:r w:rsidR="00E7007D" w:rsidRPr="00DB6ACA">
        <w:tab/>
        <w:t xml:space="preserve">отбелязва въз основа на въпросника, че през 2024 г. ЕСВД е регистрирала два случая на подаване на сигнал за нередности; отбелязва, че и двата случая са разгледани от OLAF и приключени без препоръки било след разследване, било на етапа на подбор; отбелязва със задоволство въз основа на отчета на ЕСВД за 2024 г., че ЕСВД е започнала работа по разработването на своя собствена политика за лицата, сигнализиращи за нередности; изисква Парламентът да бъде информиран за напредъка по този въпрос; настоява рамката на ЕСВД за лицата, сигнализиращи за нередности, да включва поверително докладване, защита срещу ответни действия с цел отмъщение за всички категории служители, включително </w:t>
      </w:r>
      <w:r w:rsidR="00E7007D" w:rsidRPr="00DB6ACA">
        <w:lastRenderedPageBreak/>
        <w:t xml:space="preserve">местни агенти, и ежегодно </w:t>
      </w:r>
      <w:proofErr w:type="spellStart"/>
      <w:r w:rsidR="00E7007D" w:rsidRPr="00DB6ACA">
        <w:t>анонимизирано</w:t>
      </w:r>
      <w:proofErr w:type="spellEnd"/>
      <w:r w:rsidR="00E7007D" w:rsidRPr="00DB6ACA">
        <w:t xml:space="preserve"> докладване на случаите и резултатите;</w:t>
      </w:r>
    </w:p>
    <w:p w14:paraId="34C702E8" w14:textId="3555E3CC" w:rsidR="00E7007D" w:rsidRPr="00DB6ACA" w:rsidRDefault="005B612B" w:rsidP="00E7007D">
      <w:pPr>
        <w:pStyle w:val="NormalHanging12a"/>
      </w:pPr>
      <w:r>
        <w:t>69</w:t>
      </w:r>
      <w:r w:rsidR="00E7007D" w:rsidRPr="00DB6ACA">
        <w:t>.</w:t>
      </w:r>
      <w:r w:rsidR="00E7007D" w:rsidRPr="00DB6ACA">
        <w:tab/>
        <w:t xml:space="preserve">отбелязва въз основа на въпросника, че през 2024 г. ЕСВД е регистрирала три декларации за конфликти на интереси; отбелязва, че в два случая, свързани с процедури за възлагане на обществена поръчка, е бил установен и смекчен потенциален риск от конфликт на интереси чрез освобождаване на съответните служители от някои задължения, свързани с възлагането на обществената поръчка; отбелязва освен това, че в третия случай, свързан с възстановяването на разходи, не е установен конфликт на интереси, тъй като служителят не е имал </w:t>
      </w:r>
      <w:proofErr w:type="spellStart"/>
      <w:r w:rsidR="00E7007D" w:rsidRPr="00DB6ACA">
        <w:t>дискреционни</w:t>
      </w:r>
      <w:proofErr w:type="spellEnd"/>
      <w:r w:rsidR="00E7007D" w:rsidRPr="00DB6ACA">
        <w:t xml:space="preserve"> правомощия при изчисляването на размера на сумата за възстановяване; отбелязва, че ЕСВД е получила 16 уведомления относно дейности след приключване на трудовите правоотношения, включително пет, свързани с преминаване към частния сектор, и е забранила два случая на кадрова въртележка между държавния и частния сектор, като същевременно не е налагала периоди на прекъсване по отношение на бивши служители;</w:t>
      </w:r>
    </w:p>
    <w:p w14:paraId="51C75B91" w14:textId="3B10D2C4" w:rsidR="00E7007D" w:rsidRPr="00DB6ACA" w:rsidRDefault="005B612B" w:rsidP="00E7007D">
      <w:pPr>
        <w:pStyle w:val="NormalHanging12a"/>
      </w:pPr>
      <w:r>
        <w:t>70</w:t>
      </w:r>
      <w:r w:rsidR="00E7007D" w:rsidRPr="00DB6ACA">
        <w:t>.</w:t>
      </w:r>
      <w:r w:rsidR="00E7007D" w:rsidRPr="00DB6ACA">
        <w:tab/>
        <w:t>отбелязва, че през 2024 г. до OLAF са отнесени 11 предполагаеми случая, от които седем са отхвърлени на етапа на подбор, а един е приключен без препоръки; отбелязва освен това, че по три случая — на потенциално неправомерно поведение или нередности в контекста на въпроси, свързани с процедурите за възлагане на обществена поръчка, изпълнението на договори и човешките ресурси — разследването е продължило; отбелязва освен това, че от 13-те разследвания на OLAF, започнати през 2023 г. във връзка с ЕСВД, десет случая все още не са приключени, като един е свързан с резерва, изразена от делегацията на Съюза в Сиера Леоне по отношение на съмнение за измама, свързана с бюджета за административни разходи на тази делегация на Съюза; приканва ЕСВД да продължи да подържа пълноценно ангажимента си за тясно сътрудничество с OLAF по текущи случаи и във връзка с последващите действия по всички неизпълнени препоръки на OLAF;</w:t>
      </w:r>
    </w:p>
    <w:p w14:paraId="6810A8FC" w14:textId="0F7271E3" w:rsidR="00E7007D" w:rsidRPr="00DB6ACA" w:rsidRDefault="005B612B" w:rsidP="00E7007D">
      <w:pPr>
        <w:pStyle w:val="NormalHanging12a"/>
      </w:pPr>
      <w:r>
        <w:t>71</w:t>
      </w:r>
      <w:r w:rsidR="00E7007D" w:rsidRPr="00DB6ACA">
        <w:t>.</w:t>
      </w:r>
      <w:r w:rsidR="00E7007D" w:rsidRPr="00DB6ACA">
        <w:tab/>
        <w:t>отбелязва, че през 2024 г. ЕСВД работи по 19 разследвания на Европейския омбудсман, десет от които засягат административни въпроси (включително забавени отговори), пет — достъпа до документи, а четири — въпроси, свързани с човешките ресурси, в допълнение към няколко неофициални искания за информация, свързани главно с командировки, операции и достъп до документи; отбелязва със задоволство, че Европейският омбудсман не установи случаи на лошо администриране при нито една от проверките, започнати и приключени през 2024 г.;</w:t>
      </w:r>
    </w:p>
    <w:p w14:paraId="622FA72F" w14:textId="3487CC49" w:rsidR="00E7007D" w:rsidRPr="00DB6ACA" w:rsidRDefault="005B612B" w:rsidP="00E7007D">
      <w:pPr>
        <w:pStyle w:val="NormalHanging12a"/>
        <w:rPr>
          <w:bCs/>
          <w:iCs/>
        </w:rPr>
      </w:pPr>
      <w:r>
        <w:t>72</w:t>
      </w:r>
      <w:r w:rsidR="00E7007D" w:rsidRPr="00DB6ACA">
        <w:t>.</w:t>
      </w:r>
      <w:r w:rsidR="00E7007D" w:rsidRPr="00DB6ACA">
        <w:tab/>
        <w:t xml:space="preserve">изразява съжаление поради факта, че ЕСВД не извърши подходящ преглед на изпълнението на споразуменията за сътрудничество с трети държави, включително оценка на спазването на техните условия и клаузите за правата на човека; подчертава, че този пропуск е особено очевиден в случая със Споразумението за политически диалог и сътрудничество с Куба, което десет години след подписването не постигна резултати в ни една област — от зачитането на правата на човека, включително задържането на над хиляда политически затворници до края на 2025 г., до вредното въздействие на Хавана върху европейската сигурност, включително тясното политическо и военно сътрудничество с режимите в Москва и Минск — както е видно по-специално от факта, че кубинците вече са най-голямата група наемници, подкрепящи руските сили в тяхната агресия срещу Украйна, и от участието им в актове на саботаж на територията на ЕС, както беше установено неотдавна в Литва; отбелязва, че </w:t>
      </w:r>
      <w:r w:rsidR="00E7007D" w:rsidRPr="00DB6ACA">
        <w:lastRenderedPageBreak/>
        <w:t>въпреки явните нарушения на редица разпоредби на споразумението, нито клаузата за спиране на действието, нито тази за прекратяване бяха активирани, докато финансови средства от Съюза продължават да стигат до Куба, където комунистическият режим контролира цялата икономика, злоупотребява с тези средства и черпи политическа легитимност от продължаващото сътрудничество в рамките на споразумението за политически диалог и сътрудничество; счита, че подобни режими не трябва да продължават да се ползват от привилегировано сътрудничество с Европейския съюз и че парите на данъкоплатците в Съюза не трябва да служат на подобни режими; поради това призовава за активиране на член 86 от Споразумението и за неговото прекратяване; призовава Палатата спешно да разгледа цялата подкрепа от Съюза, предоставена на Куба от 2016 г. насам;</w:t>
      </w:r>
    </w:p>
    <w:p w14:paraId="592D9588" w14:textId="58B4D68C" w:rsidR="00E7007D" w:rsidRPr="00DB6ACA" w:rsidRDefault="005B612B" w:rsidP="00E7007D">
      <w:pPr>
        <w:pStyle w:val="NormalHanging12a"/>
      </w:pPr>
      <w:r>
        <w:t>73</w:t>
      </w:r>
      <w:r w:rsidR="00E7007D" w:rsidRPr="00DB6ACA">
        <w:t>.</w:t>
      </w:r>
      <w:r w:rsidR="00E7007D" w:rsidRPr="00DB6ACA">
        <w:tab/>
        <w:t>отбелязва, че в качеството си на заместник-председател на Комисията, заместник-председателят/върховен представител е обвързана от правилата на регистъра за прозрачност; подчертава, че въпреки че ЕСВД не е институция по смисъла на член 13 от Договора за Европейския съюз и няма пряка роля в правото на Съюза, тя все пак играе важна роля в правото на Съюза във връзка с вземането на решения относно налагането на санкции и договарянето на международни търговски споразумения със значително регулаторно въздействие; призовава ЕСВД да приеме вътрешни мерки за прозрачност, съобразени със стандартите на регистъра за прозрачност, включително проактивно публикуване на срещи на високо равнище на съответното висше ръководство, когато това не компрометира дипломацията на ЕСВД, свързана с чувствителна информация от гледна точка на сигурността; отбелязва със задоволство въз основа на доклада за последващите действия, че заместник-председателят/върховен представител е започнала по-широка дискусия относно разглеждането на въпроса във външното измерение, като се очаква изготвянето на препоръки до края на 2025 г.; призовава ЕСВД да информира редовно Парламента за напредъка, постигнат по този въпрос;</w:t>
      </w:r>
    </w:p>
    <w:p w14:paraId="3E115367" w14:textId="77777777" w:rsidR="00E7007D" w:rsidRPr="00DB6ACA" w:rsidRDefault="00E7007D" w:rsidP="00E7007D">
      <w:pPr>
        <w:pStyle w:val="NormalHanging12a"/>
        <w:rPr>
          <w:b/>
          <w:bCs/>
          <w:i/>
          <w:iCs/>
        </w:rPr>
      </w:pPr>
      <w:r w:rsidRPr="00DB6ACA">
        <w:rPr>
          <w:b/>
          <w:i/>
        </w:rPr>
        <w:t>Цифровизация, киберсигурност и защита на данните</w:t>
      </w:r>
    </w:p>
    <w:p w14:paraId="39B95A61" w14:textId="77777777" w:rsidR="00E7007D" w:rsidRPr="00DB6ACA" w:rsidRDefault="00E7007D" w:rsidP="00E7007D">
      <w:pPr>
        <w:pStyle w:val="NormalHanging12a"/>
      </w:pPr>
      <w:r w:rsidRPr="00DB6ACA">
        <w:t>74.</w:t>
      </w:r>
      <w:r w:rsidRPr="00DB6ACA">
        <w:tab/>
        <w:t>отбелязва въз основа на въпросника намалението с 6,1% на разходите, свързани с информационните технологии, включително проекти, оборудване и киберсигурност, от 26,04 милиона евро през 2023 г. на 24,45 милиона евро през 2024 г.; отбелязва увеличението на разходите за информационни технологии за седалището с 37,2% през 2024 г., главно поради големите инвестиции в подкрепа на миграцията на приложенията на ЕСВД, докато разходите в делегациите на Съюза са намалели значително след значителните инвестиции, направени през 2023 г., за обновяване на хардуера и за свързаност в делегациите на Съюза;</w:t>
      </w:r>
    </w:p>
    <w:p w14:paraId="16CD0B6A" w14:textId="77777777" w:rsidR="00E7007D" w:rsidRPr="00DB6ACA" w:rsidRDefault="00E7007D" w:rsidP="00E7007D">
      <w:pPr>
        <w:pStyle w:val="NormalHanging12a"/>
      </w:pPr>
      <w:r w:rsidRPr="00DB6ACA">
        <w:t>75.</w:t>
      </w:r>
      <w:r w:rsidRPr="00DB6ACA">
        <w:tab/>
        <w:t xml:space="preserve">припомня, че ЕСВД започна да хоства и управлява собствената си среда с изкуствен интелект през 2023 г., което осигури възможност за проверки на концепцията, като брифинги, протоколи от заседания и виртуален асистент; приветства приемането на стратегията на ЕСВД за изкуствения интелект през 2024 г., с която се насърчава ориентиран към човека подход към изкуствения интелект в съответствие с Регламент (ЕС) 2024/1689 на Европейския парламент и </w:t>
      </w:r>
      <w:r w:rsidRPr="00DB6ACA">
        <w:lastRenderedPageBreak/>
        <w:t>на Съвета</w:t>
      </w:r>
      <w:r w:rsidRPr="00DB6ACA">
        <w:rPr>
          <w:rStyle w:val="FootnoteReference"/>
        </w:rPr>
        <w:footnoteReference w:id="11"/>
      </w:r>
      <w:r w:rsidRPr="00DB6ACA">
        <w:t>, като се гарантират етични и надеждни системи, както и насоките относно използването на генеративен изкуствен интелект на трети страни; приветства факта, че ЕСВД разшири платформата за сътрудничество на основата на документи (HIVE), така че да се ползва и от външни потребители, например от държавите членки, и системата за управление (HR HUB) за местните служители в делегациите на Съюза;</w:t>
      </w:r>
    </w:p>
    <w:p w14:paraId="533BA29F" w14:textId="77777777" w:rsidR="00E7007D" w:rsidRPr="00DB6ACA" w:rsidRDefault="00E7007D" w:rsidP="00E7007D">
      <w:pPr>
        <w:pStyle w:val="NormalHanging12a"/>
        <w:rPr>
          <w:bCs/>
          <w:iCs/>
        </w:rPr>
      </w:pPr>
      <w:r w:rsidRPr="00DB6ACA">
        <w:t>76.</w:t>
      </w:r>
      <w:r w:rsidRPr="00DB6ACA">
        <w:tab/>
        <w:t>подчертава, че използването на инструменти с изкуствен интелект във външната дейност трябва да бъде съпътствано от строги гаранции за защита на данните, основните права, прозрачността и човешкия надзор, включително в делегациите на Съюза и сътрудничеството с партньори от трети държави; призовава за редовно докладване пред Парламента относно изпълнението на стратегията на ЕСВД за изкуствения интелект;</w:t>
      </w:r>
    </w:p>
    <w:p w14:paraId="31DA81AF" w14:textId="77777777" w:rsidR="00E7007D" w:rsidRPr="00DB6ACA" w:rsidRDefault="00E7007D" w:rsidP="00E7007D">
      <w:pPr>
        <w:pStyle w:val="NormalHanging12a"/>
      </w:pPr>
      <w:r w:rsidRPr="00DB6ACA">
        <w:t>77.</w:t>
      </w:r>
      <w:r w:rsidRPr="00DB6ACA">
        <w:tab/>
        <w:t xml:space="preserve">приветства ЕСВД за нейните действия за повишаване на подготвеността в областта на киберсигурността чрез редовни брифинги по въпросите на сигурността, обхващащи широк кръг от служители и свързани лица, наред с обучения, организирани по искане на различни групи потребители, включително регионални служители по сигурността и координатори по сигурността на делегациите на Съюза, както и учения относно </w:t>
      </w:r>
      <w:proofErr w:type="spellStart"/>
      <w:r w:rsidRPr="00DB6ACA">
        <w:t>фишинга</w:t>
      </w:r>
      <w:proofErr w:type="spellEnd"/>
      <w:r w:rsidRPr="00DB6ACA">
        <w:t>; призовава ЕСВД да осигурява редовно задължително обучение в областта на киберсигурността за всички служители на ЕСВД; отбелязва със задоволство въз основа на въпросника инструментите, като центъра за операции по сигурността на ЕСВД, с които разполага ЕСВД за наблюдение на киберзаплахите и установяване на уязвимостите по отношение на сигурността в реално време;</w:t>
      </w:r>
    </w:p>
    <w:p w14:paraId="26ADDAD6" w14:textId="77777777" w:rsidR="00E7007D" w:rsidRPr="00DB6ACA" w:rsidRDefault="00E7007D" w:rsidP="00E7007D">
      <w:pPr>
        <w:pStyle w:val="NormalHanging12a"/>
      </w:pPr>
      <w:r w:rsidRPr="00DB6ACA">
        <w:t>78.</w:t>
      </w:r>
      <w:r w:rsidRPr="00DB6ACA">
        <w:tab/>
        <w:t xml:space="preserve">приветства ЕСВД за цифровите инструменти и системи, които използва в борбата срещу FIMI, като центъра за споделяне и анализ на информация относно FIMI или системата за бързо предупреждение; отбелязва освен това въз основа на въпросника въвеждането на курс за електронно обучение относно борбата с дезинформацията, който е достъпен за всички институции на Съюза, и завършването на наръчник на ОПСО относно дезинформацията, предназначен да подпомага служителите на място във военните и гражданските мисии на Съюза; приветства текущото развитие на инициативата за повишаване на осведомеността </w:t>
      </w:r>
      <w:proofErr w:type="spellStart"/>
      <w:r w:rsidRPr="00DB6ACA">
        <w:t>EUvsDisinfo</w:t>
      </w:r>
      <w:proofErr w:type="spellEnd"/>
      <w:r w:rsidRPr="00DB6ACA">
        <w:t xml:space="preserve"> и подчертава значението на по-нататъшното сътрудничество с държавите членки с цел по-ефективно справяне с хибридните заплахи на място;</w:t>
      </w:r>
    </w:p>
    <w:p w14:paraId="76B1096C" w14:textId="77777777" w:rsidR="00E7007D" w:rsidRPr="00DB6ACA" w:rsidRDefault="00E7007D" w:rsidP="00E7007D">
      <w:pPr>
        <w:pStyle w:val="NormalHanging12a"/>
      </w:pPr>
      <w:r w:rsidRPr="00DB6ACA">
        <w:t>79.</w:t>
      </w:r>
      <w:r w:rsidRPr="00DB6ACA">
        <w:tab/>
        <w:t xml:space="preserve">отбелязва въз основа на въпросника и отчета на ЕСВД за 2024 г., че ЕСВД е засякла приблизително 27 000 случая, за 348 от които е било необходимо допълнително разследване; отбелязва, че 57 от последните са били потвърдени като кибератаки, а пет са оказали значително въздействие върху операциите на ЕСВД; отбелязва със задоволство, че ЕСВД е установила тактиката, техниките и процедурите на нападателите и е използвала този анализ, за да подсили мерките си за противодействие; изисква разяснения относно степента, в която тези </w:t>
      </w:r>
      <w:r w:rsidRPr="00DB6ACA">
        <w:lastRenderedPageBreak/>
        <w:t>нападения са засегнали дейностите на ЕСВД;</w:t>
      </w:r>
    </w:p>
    <w:p w14:paraId="00C37198" w14:textId="77777777" w:rsidR="00E7007D" w:rsidRPr="00DB6ACA" w:rsidRDefault="00E7007D" w:rsidP="00E7007D">
      <w:pPr>
        <w:pStyle w:val="NormalHanging12a"/>
        <w:rPr>
          <w:b/>
          <w:bCs/>
          <w:i/>
          <w:iCs/>
        </w:rPr>
      </w:pPr>
      <w:r w:rsidRPr="00DB6ACA">
        <w:rPr>
          <w:b/>
          <w:i/>
        </w:rPr>
        <w:t>Сгради и сигурност</w:t>
      </w:r>
    </w:p>
    <w:p w14:paraId="64E98359" w14:textId="77777777" w:rsidR="00E7007D" w:rsidRPr="00DB6ACA" w:rsidRDefault="00E7007D" w:rsidP="00E7007D">
      <w:pPr>
        <w:pStyle w:val="NormalHanging12a"/>
      </w:pPr>
      <w:r w:rsidRPr="00DB6ACA">
        <w:t>80.</w:t>
      </w:r>
      <w:r w:rsidRPr="00DB6ACA">
        <w:tab/>
        <w:t>отбелязва, че през 2024 г. ЕСВД разполагаше с глобална мрежа от 328 сгради на делегациите на Съюза, използвани като офиси и резиденции за ръководителите на делегации, както и с три офис сгради на седалището в Брюксел; отбелязва, че до края на 2024 г. ЕСВД заемаше три сгради в Брюксел с обща площ 87 506 m² и използваше 175 офис сгради за делегациите на Съюза в трети държави с обща площ 287 000 m²; отбелязва освен това, че Съюзът е собственик на 23% от тези имоти, ползвани от делегациите на Съюза, а останалите 77% са взети под наем; отбелязва със загриженост въз основа на въпросника недостига на ресурси, който ограничава изпълнението на политиката на ЕСВД в областта на сградния фонд, като се има предвид, че ЕСВД ще се нуждае от повече експерти в областта на инфраструктурата, за да увеличи капацитета си за провеждане на проекти, свързани с недвижимите имоти;</w:t>
      </w:r>
    </w:p>
    <w:p w14:paraId="6D60D0D6" w14:textId="77777777" w:rsidR="00E7007D" w:rsidRPr="00DB6ACA" w:rsidRDefault="00E7007D" w:rsidP="00E7007D">
      <w:pPr>
        <w:pStyle w:val="NormalHanging12a"/>
      </w:pPr>
      <w:r w:rsidRPr="00DB6ACA">
        <w:t>81.</w:t>
      </w:r>
      <w:r w:rsidRPr="00DB6ACA">
        <w:tab/>
        <w:t>отбелязва със задоволство, че ЕСВД потвърди отново ангажимента си да запази мрежата от 145 делегации на Съюза и да укрепва принципа „една делегация“; отбелязва, че текущата модернизация има за цел да повиши ефективността и да приведе мрежата в съответствие с приоритетите на Съюза, като същевременно се преодолеят бюджетните ограничения; подчертава, че докато финансовите условия не се подобрят, ще продължат прилагането на строги мерки за икономии, обсъжданията с Комисията относно поделянето на разходите и целенасоченото укрепване на най-важните делегации на Съюза; призовава ЕСВ да въведе периодична оценка на работното натоварване и методика за определяне на потребностите от човешки ресурси за делегациите, съобразно равнището на риск и разширяването на мандата, за да се предотврати професионално изчерпване и да се подобри задържането на служители; изразява загриженост относно плана за въвеждане на нови разграничения между делегациите по отношение на категориите и ресурсите; изразява съжаление, че намаляването на размера на някои делегации на Съюза и съкращаването на служители, в преход от първоначалния им акцент върху помощта за развитие и икономическото сътрудничество към някои стратегически интереси, рискува да подкопае оперативните дейности и присъствието на Съюза в трети държави и да затрудни способността на ЕСВД да изпълнява мандата си и да защитава ценностите на Съюза, с особено въздействие върху отношенията на Съюза с южното полукълбо и южното съседство; призовава ЕСВД да запази централната си роля и стратегическия си приоритет в Средиземноморския регион въз основа на всеобхватна оценка на геополитическите предизвикателства пред Съюза, като същевременно продължи да поддържа взаимодействието си с източните съседни държави;</w:t>
      </w:r>
    </w:p>
    <w:p w14:paraId="36388F70" w14:textId="77777777" w:rsidR="00E7007D" w:rsidRPr="00DB6ACA" w:rsidRDefault="00E7007D" w:rsidP="00E7007D">
      <w:pPr>
        <w:pStyle w:val="NormalHanging12a"/>
      </w:pPr>
      <w:r w:rsidRPr="00DB6ACA">
        <w:t>82.</w:t>
      </w:r>
      <w:r w:rsidRPr="00DB6ACA">
        <w:tab/>
        <w:t>отново посочва, че бюджетните ограничения може да доведат до затваряне на прекалено голям брой посолства на Съюза и до отлагане на изграждането на съоръжения за сигурност в редица делегации на Съюза, което ще възпрепятства способността на ЕСВД да изпълнява мандата си, да защитава ценностите на Съюза и да осигури подобаващо изпълнение на задължението за полагане на дължима грижа за всички служители в делегациите на Съюза; настоятелно призовава държавите членки да предоставят достатъчно финансиране за ЕСВД, а Комисията да гарантира, че Съюзът ще запази своята мрежа от делегации непроменена, като сигнал за неговата ангажираност в световен план;</w:t>
      </w:r>
    </w:p>
    <w:p w14:paraId="32E39288" w14:textId="77777777" w:rsidR="00E7007D" w:rsidRPr="00DB6ACA" w:rsidRDefault="00E7007D" w:rsidP="00E7007D">
      <w:pPr>
        <w:pStyle w:val="NormalHanging12a"/>
        <w:rPr>
          <w:bCs/>
          <w:iCs/>
        </w:rPr>
      </w:pPr>
      <w:r w:rsidRPr="00DB6ACA">
        <w:lastRenderedPageBreak/>
        <w:t>83.</w:t>
      </w:r>
      <w:r w:rsidRPr="00DB6ACA">
        <w:tab/>
        <w:t>призовава ЕСВД да укрепи практическите механизми за координация с дипломатическите мисии на държавите членки в трети държави, включително чрез споделени услуги, съвместни логистични договорености и засилено споделяне на информация, с цел да се постигне възможно най-голяма ефективност и да се осигури оптимално използване на ресурсите на Съюза и на националните ресурси;</w:t>
      </w:r>
    </w:p>
    <w:p w14:paraId="5F7932E3" w14:textId="77777777" w:rsidR="00E7007D" w:rsidRPr="00DB6ACA" w:rsidRDefault="00E7007D" w:rsidP="00E7007D">
      <w:pPr>
        <w:pStyle w:val="NormalHanging12a"/>
      </w:pPr>
      <w:r w:rsidRPr="00DB6ACA">
        <w:t>84.</w:t>
      </w:r>
      <w:r w:rsidRPr="00DB6ACA">
        <w:tab/>
        <w:t>отбелязва въз основа на въпросника, че през 2024 г. ЕСВД е продължила да прилага своята политика за сътрудничество в областта на споделяното офис пространство и за новите начини на работа, включително чрез създаването на обща за целия Съюз „марка“ за нейното седалище и делегациите; подчертава, че подходът заменя индивидуалните офиси с многофункционални зони, за да се повиши ефективността на използване на пространството, да се подкрепи работата в екип и да се намали въздействието върху околната среда; отбелязва освен това, че тези проекти се обсъждат с представители на служителите чрез комитета по персонала на ЕСВД и че е започнато специално проучване сред служителите относно сградата „</w:t>
      </w:r>
      <w:proofErr w:type="spellStart"/>
      <w:r w:rsidRPr="00DB6ACA">
        <w:t>Белмон</w:t>
      </w:r>
      <w:proofErr w:type="spellEnd"/>
      <w:r w:rsidRPr="00DB6ACA">
        <w:t>“;</w:t>
      </w:r>
    </w:p>
    <w:p w14:paraId="47A2133E" w14:textId="77777777" w:rsidR="00E7007D" w:rsidRPr="00DB6ACA" w:rsidRDefault="00E7007D" w:rsidP="00E7007D">
      <w:pPr>
        <w:pStyle w:val="NormalHanging12a"/>
      </w:pPr>
      <w:r w:rsidRPr="00DB6ACA">
        <w:t>85.</w:t>
      </w:r>
      <w:r w:rsidRPr="00DB6ACA">
        <w:tab/>
        <w:t>отбелязва въз основа на отчета на ЕСВД за 2024 г., че ЕСВД успешно е постигнала своите основни приоритети в областта на недвижимите имоти за 2024 г., включително като е завършила обновяването на сградата „NEO“, преместила е отделите за управление на кризи и разузнаване в по-сигурен и енергийно ефективен обект и е отбелязала добър напредък по отношение на ремонта на сградата „Шуман“;</w:t>
      </w:r>
    </w:p>
    <w:p w14:paraId="2FC91721" w14:textId="77777777" w:rsidR="00E7007D" w:rsidRPr="00DB6ACA" w:rsidRDefault="00E7007D" w:rsidP="00E7007D">
      <w:pPr>
        <w:pStyle w:val="NormalHanging12a"/>
      </w:pPr>
      <w:r w:rsidRPr="00DB6ACA">
        <w:t>86.</w:t>
      </w:r>
      <w:r w:rsidRPr="00DB6ACA">
        <w:tab/>
        <w:t>отбелязва въз основа на въпросника, че поради спада в нивото на сигурност в света ЕСВД е трябвало да укрепи структурите за сигурност през 2024 г.; приветства увеличението с 10 милиона евро на бюджета за 2025 г. за укрепване на инфраструктурата за сигурност в делегациите на Съюза; отбелязва целта на ЕСВД за намаляване с приблизително 15% на броя на делегациите на Съюза, които не спазват стандартите за сигурност, чрез нови инсталации и подмяна на остарелите системи;</w:t>
      </w:r>
    </w:p>
    <w:p w14:paraId="50890C27" w14:textId="77777777" w:rsidR="00E7007D" w:rsidRPr="00DB6ACA" w:rsidRDefault="00E7007D" w:rsidP="00E7007D">
      <w:pPr>
        <w:pStyle w:val="NormalHanging12a"/>
      </w:pPr>
      <w:r w:rsidRPr="00DB6ACA">
        <w:t>87.</w:t>
      </w:r>
      <w:r w:rsidRPr="00DB6ACA">
        <w:tab/>
        <w:t>отбелязва въз основа на отчета на ЕСВД за 2024 г., че до края на 2024 г. договореностите за съвместно ползване на обекти са се увеличили на 137 (45 с държави членки и държави партньори и 92 с други партньори на Съюза); отбелязва, че съвместното ползване на обекти се разрасна бързо, като се увеличи повече от два пъти през последните шест години и повече от шест пъти от 2011 г. насам; подчертава, че съвместното ползване на обекти понастоящем обхваща 8% от офис пространството на делегациите на Съюза и включва 80 делегации на Съюза, като принципите на устойчивост се прилагат последователно там, където работната среда се споделя;</w:t>
      </w:r>
    </w:p>
    <w:p w14:paraId="34A412BA" w14:textId="77777777" w:rsidR="00E7007D" w:rsidRPr="00DB6ACA" w:rsidRDefault="00E7007D" w:rsidP="00E7007D">
      <w:pPr>
        <w:pStyle w:val="NormalHanging12a"/>
      </w:pPr>
      <w:r w:rsidRPr="00DB6ACA">
        <w:t>88.</w:t>
      </w:r>
      <w:r w:rsidRPr="00DB6ACA">
        <w:tab/>
        <w:t>приветства факта, че ЕСВД поставя акцент върху осигуряването на достъпността на своите сгради за хора с увреждания и намалена подвижност; отбелязва въз основа на въпросника, че през 2024 г. са провеждани редовни срещи с отдела за недвижими имоти на ЕСВД, отдела за сигурност и други служби на Комисията с цел, наред с другото, обмен на най-добри практики относно достъпността и евакуацията на сградите;</w:t>
      </w:r>
    </w:p>
    <w:p w14:paraId="156F4C41" w14:textId="77777777" w:rsidR="00E7007D" w:rsidRPr="00DB6ACA" w:rsidRDefault="00E7007D" w:rsidP="00E7007D">
      <w:pPr>
        <w:pStyle w:val="NormalHanging12a"/>
        <w:rPr>
          <w:b/>
          <w:bCs/>
          <w:i/>
          <w:iCs/>
        </w:rPr>
      </w:pPr>
      <w:r w:rsidRPr="00DB6ACA">
        <w:rPr>
          <w:b/>
          <w:i/>
        </w:rPr>
        <w:t>Околна среда и устойчивост</w:t>
      </w:r>
    </w:p>
    <w:p w14:paraId="69CD158E" w14:textId="77777777" w:rsidR="00E7007D" w:rsidRPr="00DB6ACA" w:rsidRDefault="00E7007D" w:rsidP="00E7007D">
      <w:pPr>
        <w:pStyle w:val="NormalHanging12a"/>
      </w:pPr>
      <w:r w:rsidRPr="00DB6ACA">
        <w:lastRenderedPageBreak/>
        <w:t>89.</w:t>
      </w:r>
      <w:r w:rsidRPr="00DB6ACA">
        <w:tab/>
        <w:t>подчертава инициативите на ЕСВД за енергийна ефективност и енергия от възобновяеми източници през 2024 г., включително замяна със светодиодно осветление и ремонти, съобразени с новите начини на работа, в сградата „Шуман“, изолация на водопроводните и отоплителните тръби, оптимизиране на системите за отопление, вентилация и климатизация и въвеждане на стандартизирани зададени стойности на температурата; отбелязва постепенното инсталиране на централни станции за сортиране на отпадъци в сградата „Шуман“ и завършеното внедряване в сградите „</w:t>
      </w:r>
      <w:proofErr w:type="spellStart"/>
      <w:r w:rsidRPr="00DB6ACA">
        <w:t>Белмон</w:t>
      </w:r>
      <w:proofErr w:type="spellEnd"/>
      <w:r w:rsidRPr="00DB6ACA">
        <w:t>“ и „NEO“, наред с текущите мерки за икономия на енергия; потвърждава осигуряването на 100% електроенергия от възобновяеми източници (1,569 милиона евро) и добива на 22,286 </w:t>
      </w:r>
      <w:proofErr w:type="spellStart"/>
      <w:r w:rsidRPr="00DB6ACA">
        <w:t>kWh</w:t>
      </w:r>
      <w:proofErr w:type="spellEnd"/>
      <w:r w:rsidRPr="00DB6ACA">
        <w:t xml:space="preserve"> слънчева енергия на място, като планът за </w:t>
      </w:r>
      <w:proofErr w:type="spellStart"/>
      <w:r w:rsidRPr="00DB6ACA">
        <w:t>декарбонизация</w:t>
      </w:r>
      <w:proofErr w:type="spellEnd"/>
      <w:r w:rsidRPr="00DB6ACA">
        <w:t xml:space="preserve"> на сградата „Шуман“ до 2050 г. съчетава краткосрочни мерки за управление и изолация с дългосрочни подобрения, например фотоволтаични инсталации и замяна на отоплението на газ с термопомпи;</w:t>
      </w:r>
    </w:p>
    <w:p w14:paraId="7BC0CE69" w14:textId="77777777" w:rsidR="00E7007D" w:rsidRPr="00DB6ACA" w:rsidRDefault="00E7007D" w:rsidP="00E7007D">
      <w:pPr>
        <w:pStyle w:val="NormalHanging12a"/>
      </w:pPr>
      <w:r w:rsidRPr="00DB6ACA">
        <w:t>90.</w:t>
      </w:r>
      <w:r w:rsidRPr="00DB6ACA">
        <w:tab/>
        <w:t>отбелязва първата всеобхватна оценка на ЕСВД на нейния въглероден отпечатък за 2024 г. в контекста на регистрацията по схемата за управление по околната среда и одитиране (EMAS); отбелязва, че оценката обхваща сградите на седалището и централно управляваните дейности от обхват 3 и показва нулеви основани на пазара емисии от обхват 2 поради 100% закупуване на електроенергия от възобновяеми източници, намаляване на въглеродния интензитет от 4,6 </w:t>
      </w:r>
      <w:proofErr w:type="spellStart"/>
      <w:r w:rsidRPr="00DB6ACA">
        <w:t>tCO₂e</w:t>
      </w:r>
      <w:proofErr w:type="spellEnd"/>
      <w:r w:rsidRPr="00DB6ACA">
        <w:t>/ПРВ през 2019 г. на 3,4 </w:t>
      </w:r>
      <w:proofErr w:type="spellStart"/>
      <w:r w:rsidRPr="00DB6ACA">
        <w:t>tCO₂e</w:t>
      </w:r>
      <w:proofErr w:type="spellEnd"/>
      <w:r w:rsidRPr="00DB6ACA">
        <w:t>/ПРВ през 2024 г. (- 28%), като отпечатъкът включва приблизително 20% емисии от обхват 1 и 80% емисии от обхват 3;</w:t>
      </w:r>
    </w:p>
    <w:p w14:paraId="2EBB8C94" w14:textId="77777777" w:rsidR="00E7007D" w:rsidRPr="00DB6ACA" w:rsidRDefault="00E7007D" w:rsidP="00E7007D">
      <w:pPr>
        <w:pStyle w:val="NormalHanging12a"/>
      </w:pPr>
      <w:r w:rsidRPr="00DB6ACA">
        <w:t>91.</w:t>
      </w:r>
      <w:r w:rsidRPr="00DB6ACA">
        <w:tab/>
        <w:t>приветства подсиления ангажимент на ЕСВД за устойчива мобилност, включително приемането на новата политика относно пътуването до и от седалището в края на 2024 г., съгласно която считано от януари 2025 г. делът на възстановяваните разходи за обществен транспорт се увеличава на 90%; признава прилагането на мерки за намаляване на въздействието върху околната среда, като през 2024 г. 64% от пропътуваните със самолет разстояния са в икономична класа (над целта на EMAS от 60% до 2030 г.), даван е приоритет на железопътния транспорт за кратки пътувания, планирано е намаляване на пътуванията на служителите до и от работното място с автомобил от 17% през 2024 г. на 13% през 2027 г. и са насърчавани инициативи за колоездене и ходене пеша чрез подобрени съоръжения и кампании за повишаване на осведомеността;</w:t>
      </w:r>
    </w:p>
    <w:p w14:paraId="6C0CDC1C" w14:textId="77777777" w:rsidR="00E7007D" w:rsidRPr="00DB6ACA" w:rsidRDefault="00E7007D" w:rsidP="00E7007D">
      <w:pPr>
        <w:pStyle w:val="NormalHanging12a"/>
      </w:pPr>
      <w:r w:rsidRPr="00DB6ACA">
        <w:t>92.</w:t>
      </w:r>
      <w:r w:rsidRPr="00DB6ACA">
        <w:tab/>
        <w:t>оценява факта, че съображенията за устойчивост са включени в обществените поръчки чрез клаузи за екологосъобразни обществени поръчки в образците за процедурите; отбелязва, че през 2024 г. 38% от договорите на седалището с висока стойност и 87% от образците за възлагане на обществени поръчки включват клаузи за екологосъобразни обществени поръчки; отбелязва със задоволство, че делегациите на Съюза са прилагали екологични критерии при възлагането на обществени поръчки за превозни средства, информационно оборудване и услуги по почистването и че за 2025 г. са планирани допълнителни усилия, включително специален информационен център за екологосъобразни обществени поръчки за делегациите на Съюза на платформата HIVE; отбелязва, че през 2024 г. са проведени 16 процедури за обществени поръчки с висока стойност, като те са приключени с показатели за екологични резултати, и са сключени шест договора с отношение към екологосъобразните обществени поръчки;</w:t>
      </w:r>
    </w:p>
    <w:p w14:paraId="44650FEA" w14:textId="77777777" w:rsidR="00E7007D" w:rsidRPr="00DB6ACA" w:rsidRDefault="00E7007D" w:rsidP="00E7007D">
      <w:pPr>
        <w:pStyle w:val="NormalHanging12a"/>
        <w:rPr>
          <w:b/>
          <w:bCs/>
          <w:i/>
          <w:iCs/>
        </w:rPr>
      </w:pPr>
      <w:r w:rsidRPr="00DB6ACA">
        <w:rPr>
          <w:b/>
          <w:i/>
        </w:rPr>
        <w:lastRenderedPageBreak/>
        <w:t>Междуинституционално сътрудничество</w:t>
      </w:r>
    </w:p>
    <w:p w14:paraId="742053A7" w14:textId="77777777" w:rsidR="00E7007D" w:rsidRPr="00DB6ACA" w:rsidRDefault="00E7007D" w:rsidP="00E7007D">
      <w:pPr>
        <w:pStyle w:val="NormalHanging12a"/>
      </w:pPr>
      <w:r w:rsidRPr="00DB6ACA">
        <w:t>93.</w:t>
      </w:r>
      <w:r w:rsidRPr="00DB6ACA">
        <w:tab/>
        <w:t>отбелязва въз основа на въпросника, че ЕСВД е продължила тясното си сътрудничество с OLAF и съответните генерални дирекции на Комисията във връзка с изпълнението на стратегията на Комисията за борба с измамите, по-специално чрез разработването на съвместни програми за обучения и общ план за обучение в областта на борбата с измамите, както и чрез целенасочени действия за справяне със специфични рискове от измами в делегациите на Съюза; отбелязва със задоволство, че ЕСВД е укрепила оперативната си рамка чрез подписването на работно споразумение с Европейската прокуратура през юни 2024 г.;</w:t>
      </w:r>
    </w:p>
    <w:p w14:paraId="17363118" w14:textId="77777777" w:rsidR="00E7007D" w:rsidRPr="00DB6ACA" w:rsidRDefault="00E7007D" w:rsidP="00E7007D">
      <w:pPr>
        <w:pStyle w:val="NormalHanging12a"/>
      </w:pPr>
      <w:r w:rsidRPr="00DB6ACA">
        <w:t>94.</w:t>
      </w:r>
      <w:r w:rsidRPr="00DB6ACA">
        <w:tab/>
        <w:t>припомня, че през 2023 г. Парламентът, Съветът и ЕСВД проведоха технически дискусии относно замяната на Междуинституционалното споразумение от 2002 г. между Парламента и Съвета в областта на общата външна политика и политиката на сигурност; отбелязва със загриженост въз основа на доклада за последващите действия, че през 2024 г. не е настъпило развитие по този въпрос поради изборите за Европейски парламент и процеса на номиниране на новата Комисия;</w:t>
      </w:r>
    </w:p>
    <w:p w14:paraId="15063046" w14:textId="77777777" w:rsidR="00E7007D" w:rsidRPr="00DB6ACA" w:rsidRDefault="00E7007D" w:rsidP="00E7007D">
      <w:pPr>
        <w:pStyle w:val="NormalHanging12a"/>
        <w:rPr>
          <w:bCs/>
          <w:iCs/>
        </w:rPr>
      </w:pPr>
      <w:r w:rsidRPr="00DB6ACA">
        <w:t>95.</w:t>
      </w:r>
      <w:r w:rsidRPr="00DB6ACA">
        <w:tab/>
        <w:t>припомня, че в съответствие с Договорите външната дейност на Съюза и ЕСВД имат за цел да подкрепят, координират и допълват дипломатическите действия на държавите членки; подчертава значението на тясното сътрудничество за избягване на неефективност;</w:t>
      </w:r>
    </w:p>
    <w:p w14:paraId="2976BD01" w14:textId="77777777" w:rsidR="00E7007D" w:rsidRPr="00DB6ACA" w:rsidRDefault="00E7007D" w:rsidP="00E7007D">
      <w:pPr>
        <w:pStyle w:val="NormalHanging12a"/>
      </w:pPr>
      <w:r w:rsidRPr="00DB6ACA">
        <w:t>96.</w:t>
      </w:r>
      <w:r w:rsidRPr="00DB6ACA">
        <w:tab/>
        <w:t>приветства факта, че комуникационните дейности на ЕСВД са координирани и хармонизирани с други институции чрез мрежата на директорите по комуникация на ЕС, междуинституционалните платформи с Парламента и Комисията и подгрупата на генералната дирекция „Външни отношения“ по въпросите на опазването на културното наследство и международните културни отношения;</w:t>
      </w:r>
    </w:p>
    <w:p w14:paraId="4B3DA575" w14:textId="77777777" w:rsidR="00E7007D" w:rsidRPr="00DB6ACA" w:rsidRDefault="00E7007D" w:rsidP="00E7007D">
      <w:pPr>
        <w:pStyle w:val="NormalHanging12a"/>
        <w:rPr>
          <w:b/>
          <w:bCs/>
          <w:i/>
          <w:iCs/>
        </w:rPr>
      </w:pPr>
      <w:r w:rsidRPr="00DB6ACA">
        <w:rPr>
          <w:b/>
          <w:i/>
        </w:rPr>
        <w:t>Комуникация</w:t>
      </w:r>
    </w:p>
    <w:p w14:paraId="17014808" w14:textId="77777777" w:rsidR="00E7007D" w:rsidRPr="00DB6ACA" w:rsidRDefault="00E7007D" w:rsidP="00E7007D">
      <w:pPr>
        <w:pStyle w:val="NormalHanging12a"/>
      </w:pPr>
      <w:r w:rsidRPr="00DB6ACA">
        <w:t>97.</w:t>
      </w:r>
      <w:r w:rsidRPr="00DB6ACA">
        <w:tab/>
        <w:t>отбелязва въз основа на въпросника, че ЕСВД е разпределила 1 745 000 EUR — допълнени с кредити C5 в размер на 107 968,67 EUR — за публична информация и обществени мероприятия, като степента на изпълнение през 2024 г. е 99,70%; подчертава, че това финансиране е подпомогнало възлагането на обществени поръчки за цифрови услуги, комуникационни и графични продукти и организирането на обществени мероприятия като Деня на Европа; отбелязва освен това, че бюджетът е финансирал също така създаването и разпространението на онлайн съдържание, управлението на корпоративни профили в социалните медии и помощ за делегациите на Съюза за укрепване на цифровото им присъствие;</w:t>
      </w:r>
    </w:p>
    <w:p w14:paraId="27351C2C" w14:textId="77777777" w:rsidR="00E7007D" w:rsidRPr="00DB6ACA" w:rsidRDefault="00E7007D" w:rsidP="00E7007D">
      <w:pPr>
        <w:pStyle w:val="NormalHanging12a"/>
      </w:pPr>
      <w:r w:rsidRPr="00DB6ACA">
        <w:t>98.</w:t>
      </w:r>
      <w:r w:rsidRPr="00DB6ACA">
        <w:tab/>
        <w:t xml:space="preserve">отбелязва въз основа на въпросника и отчета на ЕСВД за 2024 г., че ЕСВД значително е разширила своята стратегическа комуникация, информационната си дейност сред обществеността и културната си дипломация, като е съчетала цифрови кампании в световен мащаб, големи обществени мероприятия и засилени дейности в областта на международните културни отношения; отбелязва, че цифровите кампании достигнаха до широка аудитория и популяризираха основните приоритети на Съюза, включително правата на човека, действията в областта на климата и подкрепата за Украйна, докато иновативните формати спомогнаха за привличане на по-младите демографски групи; отбелязва, че </w:t>
      </w:r>
      <w:r w:rsidRPr="00DB6ACA">
        <w:lastRenderedPageBreak/>
        <w:t>обществени прояви като Денят на отворените врати на Деня на Европа и програмата за посетители на ЕСВД допринесоха за по-доброто разбиране на политиките на Съюза; подчертава, че ЕСВД постигна напредък по културни инициативи, включително диалога за сътрудничество с Африка в областта на музейното дело, семинари относно културното многообразие и конференция за културното наследство, организирана съвместно с ротационното председателство на Съвета, като същевременно подготвяше водещи проекти, като участието на Съюза в ЕКСПО 2025 — Осака;</w:t>
      </w:r>
    </w:p>
    <w:p w14:paraId="3B867F7A" w14:textId="77777777" w:rsidR="00E7007D" w:rsidRPr="00DB6ACA" w:rsidRDefault="00E7007D" w:rsidP="00E7007D">
      <w:pPr>
        <w:pStyle w:val="NormalHanging12a"/>
        <w:rPr>
          <w:bCs/>
          <w:iCs/>
        </w:rPr>
      </w:pPr>
      <w:r w:rsidRPr="00DB6ACA">
        <w:t>99.</w:t>
      </w:r>
      <w:r w:rsidRPr="00DB6ACA">
        <w:tab/>
        <w:t>насърчава продължаването на процеса на засилена комуникация с граждани на трети държави относно политиката на Съюза, както и увеличаването на усилията за координация с цел повишаване на видимостта на финансираните от Съюза проекти, особено в държавите кандидатки, за да се противодейства на опитите на недобросъвестни участници да подкопаят усилията на Съюза; отново призовава освен това Комисията да гарантира видимостта на подкрепата и инвестициите на Съюза в трети държави и информираността на обществото за тях, с ясни обозначения и знамето на Съюза;</w:t>
      </w:r>
    </w:p>
    <w:p w14:paraId="31D54DB4" w14:textId="77777777" w:rsidR="00E7007D" w:rsidRPr="00DB6ACA" w:rsidRDefault="00E7007D" w:rsidP="00E7007D">
      <w:pPr>
        <w:pStyle w:val="NormalHanging12a"/>
      </w:pPr>
      <w:r w:rsidRPr="00DB6ACA">
        <w:t>100.</w:t>
      </w:r>
      <w:r w:rsidRPr="00DB6ACA">
        <w:tab/>
        <w:t xml:space="preserve">отбелязва въз основа на въпросника и отчета на ЕСВД за 2024 г., че през 2024 г. ЕСВД е подсилила стратегическия си ангажимент по отношение на данните на Съюза и цифровия суверенитет, като е осигурила прилагането на стриктни практики в социалните медии, съобразени с Общия регламент относно защитата на данните (ОРЗД), засилила е контрола на сигурността и достъпа и е намалила случаите на зависимост от един външен доставчик; подчертава, че диверсификацията на платформите, включително добавянето на </w:t>
      </w:r>
      <w:proofErr w:type="spellStart"/>
      <w:r w:rsidRPr="00DB6ACA">
        <w:t>Bluesky</w:t>
      </w:r>
      <w:proofErr w:type="spellEnd"/>
      <w:r w:rsidRPr="00DB6ACA">
        <w:t xml:space="preserve"> и </w:t>
      </w:r>
      <w:proofErr w:type="spellStart"/>
      <w:r w:rsidRPr="00DB6ACA">
        <w:t>Threads</w:t>
      </w:r>
      <w:proofErr w:type="spellEnd"/>
      <w:r w:rsidRPr="00DB6ACA">
        <w:t>, наред с използването на хоствани от Съюза инструменти за управление, систематичното обучение на служителите и редовните оценки на риска и дезинформацията, спомагат за повишаване на устойчивостта и за защита на комуникационния суверенитет на Съюза;</w:t>
      </w:r>
    </w:p>
    <w:p w14:paraId="5F12B8D2" w14:textId="77777777" w:rsidR="00E7007D" w:rsidRPr="00DB6ACA" w:rsidRDefault="00E7007D" w:rsidP="00E7007D">
      <w:pPr>
        <w:pStyle w:val="NormalHanging12a"/>
        <w:rPr>
          <w:bCs/>
          <w:iCs/>
          <w:color w:val="000000" w:themeColor="text1"/>
        </w:rPr>
      </w:pPr>
      <w:r w:rsidRPr="00DB6ACA">
        <w:rPr>
          <w:color w:val="000000" w:themeColor="text1"/>
        </w:rPr>
        <w:t>101.</w:t>
      </w:r>
      <w:r w:rsidRPr="00DB6ACA">
        <w:rPr>
          <w:color w:val="000000" w:themeColor="text1"/>
        </w:rPr>
        <w:tab/>
        <w:t xml:space="preserve">отбелязва, че чрез своята кампания </w:t>
      </w:r>
      <w:proofErr w:type="spellStart"/>
      <w:r w:rsidRPr="00DB6ACA">
        <w:rPr>
          <w:color w:val="000000" w:themeColor="text1"/>
        </w:rPr>
        <w:t>EUvsDisinfo</w:t>
      </w:r>
      <w:proofErr w:type="spellEnd"/>
      <w:r w:rsidRPr="00DB6ACA">
        <w:rPr>
          <w:color w:val="000000" w:themeColor="text1"/>
        </w:rPr>
        <w:t xml:space="preserve"> ЕСВД достигна до над 38 милиона потребители и документира повече от 18 000 случая, което показва мащаба и систематичния характер на прокремълската дезинформация през 2024 г.</w:t>
      </w:r>
    </w:p>
    <w:sectPr w:rsidR="00E7007D" w:rsidRPr="00DB6ACA" w:rsidSect="007C476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60BE9" w14:textId="77777777" w:rsidR="00F95974" w:rsidRPr="00DB6ACA" w:rsidRDefault="00F95974">
      <w:r w:rsidRPr="00DB6ACA">
        <w:separator/>
      </w:r>
    </w:p>
  </w:endnote>
  <w:endnote w:type="continuationSeparator" w:id="0">
    <w:p w14:paraId="0BB58EB9" w14:textId="77777777" w:rsidR="00F95974" w:rsidRPr="00DB6ACA" w:rsidRDefault="00F95974">
      <w:r w:rsidRPr="00DB6A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220D8" w14:textId="77777777" w:rsidR="00E7007D" w:rsidRPr="00DB6ACA" w:rsidRDefault="00E7007D" w:rsidP="008D4B13">
    <w:pPr>
      <w:pStyle w:val="EPFooter"/>
    </w:pPr>
    <w:r w:rsidRPr="00DB6ACA">
      <w:t>PE</w:t>
    </w:r>
    <w:r w:rsidRPr="00DB6ACA">
      <w:rPr>
        <w:rStyle w:val="HideTWBExt"/>
      </w:rPr>
      <w:t>&lt;</w:t>
    </w:r>
    <w:proofErr w:type="spellStart"/>
    <w:r w:rsidRPr="00DB6ACA">
      <w:rPr>
        <w:rStyle w:val="HideTWBExt"/>
      </w:rPr>
      <w:t>NoPE</w:t>
    </w:r>
    <w:proofErr w:type="spellEnd"/>
    <w:r w:rsidRPr="00DB6ACA">
      <w:rPr>
        <w:rStyle w:val="HideTWBExt"/>
      </w:rPr>
      <w:t>&gt;</w:t>
    </w:r>
    <w:r w:rsidRPr="00DB6ACA">
      <w:t>778.061</w:t>
    </w:r>
    <w:r w:rsidRPr="00DB6ACA">
      <w:rPr>
        <w:rStyle w:val="HideTWBExt"/>
      </w:rPr>
      <w:t>&lt;/</w:t>
    </w:r>
    <w:proofErr w:type="spellStart"/>
    <w:r w:rsidRPr="00DB6ACA">
      <w:rPr>
        <w:rStyle w:val="HideTWBExt"/>
      </w:rPr>
      <w:t>NoPE</w:t>
    </w:r>
    <w:proofErr w:type="spellEnd"/>
    <w:r w:rsidRPr="00DB6ACA">
      <w:rPr>
        <w:rStyle w:val="HideTWBExt"/>
      </w:rPr>
      <w:t>&gt;&lt;Version&gt;</w:t>
    </w:r>
    <w:r w:rsidRPr="00DB6ACA">
      <w:t>v03-00</w:t>
    </w:r>
    <w:r w:rsidRPr="00DB6ACA">
      <w:rPr>
        <w:rStyle w:val="HideTWBExt"/>
      </w:rPr>
      <w:t>&lt;/</w:t>
    </w:r>
    <w:proofErr w:type="spellStart"/>
    <w:r w:rsidRPr="00DB6ACA">
      <w:rPr>
        <w:rStyle w:val="HideTWBExt"/>
      </w:rPr>
      <w:t>Version</w:t>
    </w:r>
    <w:proofErr w:type="spellEnd"/>
    <w:r w:rsidRPr="00DB6ACA">
      <w:rPr>
        <w:rStyle w:val="HideTWBExt"/>
      </w:rPr>
      <w:t>&gt;</w:t>
    </w:r>
    <w:r w:rsidRPr="00DB6ACA">
      <w:tab/>
    </w:r>
    <w:r w:rsidRPr="00DB6ACA">
      <w:fldChar w:fldCharType="begin"/>
    </w:r>
    <w:r w:rsidRPr="00DB6ACA">
      <w:instrText xml:space="preserve"> PAGE  \* MERGEFORMAT </w:instrText>
    </w:r>
    <w:r w:rsidRPr="00DB6ACA">
      <w:fldChar w:fldCharType="separate"/>
    </w:r>
    <w:r w:rsidRPr="00DB6ACA">
      <w:rPr>
        <w:noProof/>
      </w:rPr>
      <w:t>44</w:t>
    </w:r>
    <w:r w:rsidRPr="00DB6ACA">
      <w:fldChar w:fldCharType="end"/>
    </w:r>
    <w:r w:rsidRPr="00DB6ACA">
      <w:t>/</w:t>
    </w:r>
    <w:fldSimple w:instr=" NUMPAGES  \* MERGEFORMAT ">
      <w:r w:rsidRPr="00DB6ACA">
        <w:rPr>
          <w:noProof/>
        </w:rPr>
        <w:t>44</w:t>
      </w:r>
    </w:fldSimple>
    <w:r w:rsidRPr="00DB6ACA">
      <w:tab/>
    </w:r>
    <w:r w:rsidRPr="00DB6ACA">
      <w:rPr>
        <w:rStyle w:val="HideTWBExt"/>
      </w:rPr>
      <w:t>&lt;PathFdR&gt;</w:t>
    </w:r>
    <w:r w:rsidRPr="00DB6ACA">
      <w:t>RR\1340307BG.docx</w:t>
    </w:r>
    <w:r w:rsidRPr="00DB6ACA">
      <w:rPr>
        <w:rStyle w:val="HideTWBExt"/>
      </w:rPr>
      <w:t>&lt;/</w:t>
    </w:r>
    <w:proofErr w:type="spellStart"/>
    <w:r w:rsidRPr="00DB6ACA">
      <w:rPr>
        <w:rStyle w:val="HideTWBExt"/>
      </w:rPr>
      <w:t>PathFdR</w:t>
    </w:r>
    <w:proofErr w:type="spellEnd"/>
    <w:r w:rsidRPr="00DB6ACA">
      <w:rPr>
        <w:rStyle w:val="HideTWBExt"/>
      </w:rPr>
      <w:t>&gt;</w:t>
    </w:r>
  </w:p>
  <w:p w14:paraId="4372DAC8" w14:textId="77777777" w:rsidR="00E7007D" w:rsidRPr="00DB6ACA" w:rsidRDefault="00E7007D" w:rsidP="008D4B13">
    <w:pPr>
      <w:pStyle w:val="EPFooter2"/>
    </w:pPr>
    <w:r w:rsidRPr="00DB6ACA">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9759" w14:textId="77777777" w:rsidR="00E7007D" w:rsidRPr="00DB6ACA" w:rsidRDefault="00E7007D" w:rsidP="008D4B13">
    <w:pPr>
      <w:pStyle w:val="EPFooter"/>
    </w:pPr>
    <w:r w:rsidRPr="00DB6ACA">
      <w:rPr>
        <w:rStyle w:val="HideTWBExt"/>
      </w:rPr>
      <w:t>&lt;PathFdR&gt;</w:t>
    </w:r>
    <w:r w:rsidRPr="00DB6ACA">
      <w:t>RR\1340307BG.docx</w:t>
    </w:r>
    <w:r w:rsidRPr="00DB6ACA">
      <w:rPr>
        <w:rStyle w:val="HideTWBExt"/>
      </w:rPr>
      <w:t>&lt;/</w:t>
    </w:r>
    <w:proofErr w:type="spellStart"/>
    <w:r w:rsidRPr="00DB6ACA">
      <w:rPr>
        <w:rStyle w:val="HideTWBExt"/>
      </w:rPr>
      <w:t>PathFdR</w:t>
    </w:r>
    <w:proofErr w:type="spellEnd"/>
    <w:r w:rsidRPr="00DB6ACA">
      <w:rPr>
        <w:rStyle w:val="HideTWBExt"/>
      </w:rPr>
      <w:t>&gt;</w:t>
    </w:r>
    <w:r w:rsidRPr="00DB6ACA">
      <w:tab/>
    </w:r>
    <w:r w:rsidRPr="00DB6ACA">
      <w:tab/>
      <w:t>PE</w:t>
    </w:r>
    <w:r w:rsidRPr="00DB6ACA">
      <w:rPr>
        <w:rStyle w:val="HideTWBExt"/>
      </w:rPr>
      <w:t>&lt;</w:t>
    </w:r>
    <w:proofErr w:type="spellStart"/>
    <w:r w:rsidRPr="00DB6ACA">
      <w:rPr>
        <w:rStyle w:val="HideTWBExt"/>
      </w:rPr>
      <w:t>NoPE</w:t>
    </w:r>
    <w:proofErr w:type="spellEnd"/>
    <w:r w:rsidRPr="00DB6ACA">
      <w:rPr>
        <w:rStyle w:val="HideTWBExt"/>
      </w:rPr>
      <w:t>&gt;</w:t>
    </w:r>
    <w:r w:rsidRPr="00DB6ACA">
      <w:t>778.061</w:t>
    </w:r>
    <w:r w:rsidRPr="00DB6ACA">
      <w:rPr>
        <w:rStyle w:val="HideTWBExt"/>
      </w:rPr>
      <w:t>&lt;/</w:t>
    </w:r>
    <w:proofErr w:type="spellStart"/>
    <w:r w:rsidRPr="00DB6ACA">
      <w:rPr>
        <w:rStyle w:val="HideTWBExt"/>
      </w:rPr>
      <w:t>NoPE</w:t>
    </w:r>
    <w:proofErr w:type="spellEnd"/>
    <w:r w:rsidRPr="00DB6ACA">
      <w:rPr>
        <w:rStyle w:val="HideTWBExt"/>
      </w:rPr>
      <w:t>&gt;&lt;Version&gt;</w:t>
    </w:r>
    <w:r w:rsidRPr="00DB6ACA">
      <w:t>v03-00</w:t>
    </w:r>
    <w:r w:rsidRPr="00DB6ACA">
      <w:rPr>
        <w:rStyle w:val="HideTWBExt"/>
      </w:rPr>
      <w:t>&lt;/</w:t>
    </w:r>
    <w:proofErr w:type="spellStart"/>
    <w:r w:rsidRPr="00DB6ACA">
      <w:rPr>
        <w:rStyle w:val="HideTWBExt"/>
      </w:rPr>
      <w:t>Version</w:t>
    </w:r>
    <w:proofErr w:type="spellEnd"/>
    <w:r w:rsidRPr="00DB6ACA">
      <w:rPr>
        <w:rStyle w:val="HideTWBExt"/>
      </w:rPr>
      <w:t>&gt;</w:t>
    </w:r>
  </w:p>
  <w:p w14:paraId="28381570" w14:textId="77777777" w:rsidR="00E7007D" w:rsidRPr="00DB6ACA" w:rsidRDefault="00E7007D" w:rsidP="008D4B13">
    <w:pPr>
      <w:pStyle w:val="EPFooter2"/>
    </w:pPr>
    <w:r w:rsidRPr="00DB6ACA">
      <w:t>BG</w:t>
    </w:r>
    <w:r w:rsidRPr="00DB6ACA">
      <w:tab/>
    </w:r>
    <w:r w:rsidRPr="00DB6ACA">
      <w:rPr>
        <w:b w:val="0"/>
        <w:i/>
        <w:color w:val="C0C0C0"/>
        <w:sz w:val="22"/>
      </w:rPr>
      <w:t>Единство в многообразието</w:t>
    </w:r>
    <w:r w:rsidRPr="00DB6ACA">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11ABE" w14:textId="77777777" w:rsidR="00064002" w:rsidRPr="00DB6AC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0EAF1" w14:textId="77777777" w:rsidR="00064002" w:rsidRPr="00DB6AC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D2479" w14:textId="77777777" w:rsidR="00064002" w:rsidRPr="00DB6A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A5894" w14:textId="77777777" w:rsidR="00F95974" w:rsidRPr="00DB6ACA" w:rsidRDefault="00F95974">
      <w:r w:rsidRPr="00DB6ACA">
        <w:separator/>
      </w:r>
    </w:p>
  </w:footnote>
  <w:footnote w:type="continuationSeparator" w:id="0">
    <w:p w14:paraId="27A80709" w14:textId="77777777" w:rsidR="00F95974" w:rsidRPr="00DB6ACA" w:rsidRDefault="00F95974">
      <w:r w:rsidRPr="00DB6ACA">
        <w:continuationSeparator/>
      </w:r>
    </w:p>
  </w:footnote>
  <w:footnote w:id="1">
    <w:p w14:paraId="3EE5146E" w14:textId="6882F30E" w:rsidR="00E7007D" w:rsidRPr="00DB6ACA" w:rsidRDefault="00E7007D" w:rsidP="00DB6ACA">
      <w:pPr>
        <w:pStyle w:val="FootnoteText"/>
        <w:ind w:left="567" w:hanging="567"/>
        <w:rPr>
          <w:sz w:val="24"/>
          <w:lang w:val="bg-BG"/>
        </w:rPr>
      </w:pPr>
      <w:r w:rsidRPr="00DB6ACA">
        <w:rPr>
          <w:rStyle w:val="FootnoteReference"/>
          <w:sz w:val="24"/>
          <w:lang w:val="bg-BG"/>
        </w:rPr>
        <w:footnoteRef/>
      </w:r>
      <w:r w:rsidR="00DB6ACA" w:rsidRPr="00DB6ACA">
        <w:rPr>
          <w:sz w:val="24"/>
          <w:lang w:val="bg-BG"/>
        </w:rPr>
        <w:t xml:space="preserve"> </w:t>
      </w:r>
      <w:r w:rsidR="00DB6ACA" w:rsidRPr="00DB6ACA">
        <w:rPr>
          <w:sz w:val="24"/>
          <w:lang w:val="bg-BG"/>
        </w:rPr>
        <w:tab/>
      </w:r>
      <w:r w:rsidRPr="00DB6ACA">
        <w:rPr>
          <w:sz w:val="24"/>
          <w:lang w:val="bg-BG"/>
        </w:rPr>
        <w:t>OВ L</w:t>
      </w:r>
      <w:r w:rsidR="00CA66F1">
        <w:rPr>
          <w:sz w:val="24"/>
          <w:lang w:val="bg-BG"/>
        </w:rPr>
        <w:t>,</w:t>
      </w:r>
      <w:r w:rsidRPr="00DB6ACA">
        <w:rPr>
          <w:sz w:val="24"/>
          <w:lang w:val="bg-BG"/>
        </w:rPr>
        <w:t> </w:t>
      </w:r>
      <w:r w:rsidR="00CA66F1">
        <w:rPr>
          <w:sz w:val="24"/>
          <w:lang w:val="bg-BG"/>
        </w:rPr>
        <w:t>2024/</w:t>
      </w:r>
      <w:r w:rsidRPr="00DB6ACA">
        <w:rPr>
          <w:sz w:val="24"/>
          <w:lang w:val="bg-BG"/>
        </w:rPr>
        <w:t xml:space="preserve">207, 22.2.2024 г., ELI: </w:t>
      </w:r>
      <w:hyperlink r:id="rId1" w:history="1">
        <w:r w:rsidRPr="00DB6ACA">
          <w:rPr>
            <w:rStyle w:val="Hyperlink"/>
            <w:sz w:val="24"/>
            <w:lang w:val="bg-BG"/>
          </w:rPr>
          <w:t>http://data.europa.eu/eli/budget/2024/207/oj</w:t>
        </w:r>
      </w:hyperlink>
      <w:r w:rsidRPr="00DB6ACA">
        <w:rPr>
          <w:rStyle w:val="Hyperlink"/>
          <w:sz w:val="24"/>
          <w:lang w:val="bg-BG"/>
        </w:rPr>
        <w:t>.</w:t>
      </w:r>
    </w:p>
  </w:footnote>
  <w:footnote w:id="2">
    <w:p w14:paraId="754D9B39" w14:textId="49B6E9CF" w:rsidR="00E7007D" w:rsidRPr="00DB6ACA" w:rsidRDefault="00E7007D" w:rsidP="00DB6ACA">
      <w:pPr>
        <w:pStyle w:val="FootnoteText"/>
        <w:ind w:left="567" w:hanging="567"/>
        <w:rPr>
          <w:sz w:val="24"/>
          <w:lang w:val="bg-BG"/>
        </w:rPr>
      </w:pPr>
      <w:r w:rsidRPr="00DB6ACA">
        <w:rPr>
          <w:rStyle w:val="FootnoteReference"/>
          <w:sz w:val="24"/>
          <w:lang w:val="bg-BG"/>
        </w:rPr>
        <w:footnoteRef/>
      </w:r>
      <w:r w:rsidR="00DB6ACA" w:rsidRPr="00DB6ACA">
        <w:rPr>
          <w:sz w:val="24"/>
          <w:lang w:val="bg-BG"/>
        </w:rPr>
        <w:t xml:space="preserve"> </w:t>
      </w:r>
      <w:r w:rsidR="00DB6ACA" w:rsidRPr="00DB6ACA">
        <w:rPr>
          <w:sz w:val="24"/>
          <w:lang w:val="bg-BG"/>
        </w:rPr>
        <w:tab/>
      </w:r>
      <w:r w:rsidRPr="00DB6ACA">
        <w:rPr>
          <w:sz w:val="24"/>
          <w:lang w:val="bg-BG"/>
        </w:rPr>
        <w:t>ОВ C, C/2025/4944, 13.10.2025 г., ELI: </w:t>
      </w:r>
      <w:hyperlink r:id="rId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B6ACA">
          <w:rPr>
            <w:rStyle w:val="Hyperlink"/>
            <w:sz w:val="24"/>
            <w:lang w:val="bg-BG"/>
          </w:rPr>
          <w:t>http://data.europa.eu/eli/C/2025/4944/oj</w:t>
        </w:r>
      </w:hyperlink>
      <w:r w:rsidRPr="00DB6ACA">
        <w:rPr>
          <w:sz w:val="24"/>
          <w:lang w:val="bg-BG"/>
        </w:rPr>
        <w:t>.</w:t>
      </w:r>
    </w:p>
  </w:footnote>
  <w:footnote w:id="3">
    <w:p w14:paraId="3D48C827" w14:textId="3E304B83" w:rsidR="00E7007D" w:rsidRPr="00DB6ACA" w:rsidRDefault="00E7007D" w:rsidP="00DB6ACA">
      <w:pPr>
        <w:pStyle w:val="FootnoteText"/>
        <w:ind w:left="567" w:hanging="567"/>
        <w:rPr>
          <w:sz w:val="24"/>
          <w:lang w:val="bg-BG"/>
        </w:rPr>
      </w:pPr>
      <w:r w:rsidRPr="00DB6ACA">
        <w:rPr>
          <w:rStyle w:val="FootnoteReference"/>
          <w:sz w:val="24"/>
          <w:lang w:val="bg-BG"/>
        </w:rPr>
        <w:footnoteRef/>
      </w:r>
      <w:r w:rsidR="00DB6ACA" w:rsidRPr="00DB6ACA">
        <w:rPr>
          <w:sz w:val="24"/>
          <w:lang w:val="bg-BG"/>
        </w:rPr>
        <w:t xml:space="preserve"> </w:t>
      </w:r>
      <w:r w:rsidR="00DB6ACA" w:rsidRPr="00DB6ACA">
        <w:rPr>
          <w:sz w:val="24"/>
          <w:lang w:val="bg-BG"/>
        </w:rPr>
        <w:tab/>
      </w:r>
      <w:r w:rsidRPr="00DB6ACA">
        <w:rPr>
          <w:sz w:val="24"/>
          <w:lang w:val="bg-BG"/>
        </w:rPr>
        <w:t xml:space="preserve">ОВ C, C/2025/5409, 8.10.2025 г., ELI: </w:t>
      </w:r>
      <w:hyperlink r:id="rId3" w:history="1">
        <w:r w:rsidRPr="00DB6ACA">
          <w:rPr>
            <w:rStyle w:val="Hyperlink"/>
            <w:sz w:val="24"/>
            <w:lang w:val="bg-BG"/>
          </w:rPr>
          <w:t>http://data.europa.eu/eli/C/2025/5409/oj</w:t>
        </w:r>
      </w:hyperlink>
      <w:r w:rsidRPr="00DB6ACA">
        <w:rPr>
          <w:rStyle w:val="Hyperlink"/>
          <w:sz w:val="24"/>
          <w:lang w:val="bg-BG"/>
        </w:rPr>
        <w:t>.</w:t>
      </w:r>
    </w:p>
  </w:footnote>
  <w:footnote w:id="4">
    <w:p w14:paraId="2C33501E" w14:textId="394A9610" w:rsidR="00E7007D" w:rsidRPr="00DB6ACA" w:rsidRDefault="00E7007D" w:rsidP="00DB6ACA">
      <w:pPr>
        <w:pStyle w:val="FootnoteText"/>
        <w:ind w:left="567" w:hanging="567"/>
        <w:rPr>
          <w:sz w:val="24"/>
          <w:lang w:val="bg-BG"/>
        </w:rPr>
      </w:pPr>
      <w:r w:rsidRPr="00DB6ACA">
        <w:rPr>
          <w:rStyle w:val="FootnoteReference"/>
          <w:sz w:val="24"/>
          <w:lang w:val="bg-BG"/>
        </w:rPr>
        <w:footnoteRef/>
      </w:r>
      <w:r w:rsidR="00DB6ACA" w:rsidRPr="00DB6ACA">
        <w:rPr>
          <w:sz w:val="24"/>
          <w:lang w:val="bg-BG"/>
        </w:rPr>
        <w:t xml:space="preserve"> </w:t>
      </w:r>
      <w:r w:rsidR="00DB6ACA" w:rsidRPr="00DB6ACA">
        <w:rPr>
          <w:sz w:val="24"/>
          <w:lang w:val="bg-BG"/>
        </w:rPr>
        <w:tab/>
      </w:r>
      <w:r w:rsidRPr="00DB6ACA">
        <w:rPr>
          <w:sz w:val="24"/>
          <w:lang w:val="bg-BG"/>
        </w:rPr>
        <w:t xml:space="preserve">ОВ C, C/2025/5407, 13.10.2025 г., ELI: </w:t>
      </w:r>
      <w:hyperlink r:id="rId4" w:history="1">
        <w:r w:rsidRPr="00DB6ACA">
          <w:rPr>
            <w:rStyle w:val="Hyperlink"/>
            <w:sz w:val="24"/>
            <w:lang w:val="bg-BG"/>
          </w:rPr>
          <w:t>http://data.europa.eu/eli/C/2025/5407/oj</w:t>
        </w:r>
      </w:hyperlink>
      <w:r w:rsidRPr="00DB6ACA">
        <w:rPr>
          <w:rStyle w:val="Hyperlink"/>
          <w:sz w:val="24"/>
          <w:lang w:val="bg-BG"/>
        </w:rPr>
        <w:t>.</w:t>
      </w:r>
    </w:p>
  </w:footnote>
  <w:footnote w:id="5">
    <w:p w14:paraId="47956178" w14:textId="2990FEC1" w:rsidR="00E7007D" w:rsidRPr="00DB6ACA" w:rsidRDefault="00E7007D" w:rsidP="00DB6ACA">
      <w:pPr>
        <w:pStyle w:val="FootnoteText"/>
        <w:ind w:left="567" w:hanging="567"/>
        <w:rPr>
          <w:sz w:val="24"/>
          <w:lang w:val="bg-BG"/>
        </w:rPr>
      </w:pPr>
      <w:r w:rsidRPr="00DB6ACA">
        <w:rPr>
          <w:rStyle w:val="FootnoteReference"/>
          <w:sz w:val="24"/>
          <w:lang w:val="bg-BG"/>
        </w:rPr>
        <w:footnoteRef/>
      </w:r>
      <w:r w:rsidR="00DB6ACA" w:rsidRPr="00DB6ACA">
        <w:rPr>
          <w:sz w:val="24"/>
          <w:lang w:val="bg-BG"/>
        </w:rPr>
        <w:t xml:space="preserve"> </w:t>
      </w:r>
      <w:r w:rsidR="00DB6ACA" w:rsidRPr="00DB6ACA">
        <w:rPr>
          <w:sz w:val="24"/>
          <w:lang w:val="bg-BG"/>
        </w:rPr>
        <w:tab/>
      </w:r>
      <w:r w:rsidRPr="00DB6ACA">
        <w:rPr>
          <w:sz w:val="24"/>
          <w:lang w:val="bg-BG"/>
        </w:rPr>
        <w:t xml:space="preserve">OВ L 193, 30.7.2018 г., стр. 1, ELI: </w:t>
      </w:r>
      <w:hyperlink r:id="rId5" w:history="1">
        <w:r w:rsidRPr="00DB6ACA">
          <w:rPr>
            <w:rStyle w:val="Hyperlink"/>
            <w:sz w:val="24"/>
            <w:lang w:val="bg-BG"/>
          </w:rPr>
          <w:t>http://data.europa.eu/eli/reg/2018/1046/oj</w:t>
        </w:r>
      </w:hyperlink>
      <w:r w:rsidRPr="00DB6ACA">
        <w:rPr>
          <w:sz w:val="24"/>
          <w:lang w:val="bg-BG"/>
        </w:rPr>
        <w:t>.</w:t>
      </w:r>
    </w:p>
  </w:footnote>
  <w:footnote w:id="6">
    <w:p w14:paraId="48C918E0" w14:textId="5C136BA8" w:rsidR="00E7007D" w:rsidRPr="00DB6ACA" w:rsidRDefault="00E7007D" w:rsidP="00DB6ACA">
      <w:pPr>
        <w:pStyle w:val="FootnoteText"/>
        <w:ind w:left="567" w:hanging="567"/>
        <w:rPr>
          <w:sz w:val="24"/>
          <w:lang w:val="bg-BG"/>
        </w:rPr>
      </w:pPr>
      <w:r w:rsidRPr="00DB6ACA">
        <w:rPr>
          <w:rStyle w:val="FootnoteReference"/>
          <w:sz w:val="24"/>
          <w:lang w:val="bg-BG"/>
        </w:rPr>
        <w:footnoteRef/>
      </w:r>
      <w:r w:rsidR="00DB6ACA" w:rsidRPr="00DB6ACA">
        <w:rPr>
          <w:sz w:val="24"/>
          <w:lang w:val="bg-BG"/>
        </w:rPr>
        <w:t xml:space="preserve"> </w:t>
      </w:r>
      <w:r w:rsidR="00DB6ACA" w:rsidRPr="00DB6ACA">
        <w:rPr>
          <w:sz w:val="24"/>
          <w:lang w:val="bg-BG"/>
        </w:rPr>
        <w:tab/>
      </w:r>
      <w:r w:rsidRPr="00DB6ACA">
        <w:rPr>
          <w:sz w:val="24"/>
          <w:lang w:val="bg-BG"/>
        </w:rPr>
        <w:t xml:space="preserve">OВ L, 2024/2509, 26.9.2024 г., ELI: </w:t>
      </w:r>
      <w:hyperlink r:id="rId6" w:history="1">
        <w:r w:rsidRPr="00DB6ACA">
          <w:rPr>
            <w:rStyle w:val="Hyperlink"/>
            <w:sz w:val="24"/>
            <w:lang w:val="bg-BG"/>
          </w:rPr>
          <w:t>http://data.europa.eu/eli/reg/2024/2509/oj</w:t>
        </w:r>
      </w:hyperlink>
      <w:r w:rsidRPr="00DB6ACA">
        <w:rPr>
          <w:sz w:val="24"/>
          <w:lang w:val="bg-BG"/>
        </w:rPr>
        <w:t>.</w:t>
      </w:r>
    </w:p>
  </w:footnote>
  <w:footnote w:id="7">
    <w:p w14:paraId="65CC32DF" w14:textId="16790726" w:rsidR="00E7007D" w:rsidRPr="00DB6ACA" w:rsidRDefault="00E7007D" w:rsidP="00DB6ACA">
      <w:pPr>
        <w:pStyle w:val="FootnoteText"/>
        <w:ind w:left="567" w:hanging="567"/>
        <w:rPr>
          <w:sz w:val="24"/>
          <w:lang w:val="bg-BG"/>
        </w:rPr>
      </w:pPr>
      <w:r w:rsidRPr="00DB6ACA">
        <w:rPr>
          <w:rStyle w:val="FootnoteReference"/>
          <w:sz w:val="24"/>
          <w:lang w:val="bg-BG"/>
        </w:rPr>
        <w:footnoteRef/>
      </w:r>
      <w:r w:rsidR="00DB6ACA" w:rsidRPr="00DB6ACA">
        <w:rPr>
          <w:sz w:val="24"/>
          <w:lang w:val="bg-BG"/>
        </w:rPr>
        <w:t xml:space="preserve"> </w:t>
      </w:r>
      <w:r w:rsidR="00DB6ACA" w:rsidRPr="00DB6ACA">
        <w:rPr>
          <w:sz w:val="24"/>
          <w:lang w:val="bg-BG"/>
        </w:rPr>
        <w:tab/>
      </w:r>
      <w:r w:rsidRPr="00DB6ACA">
        <w:rPr>
          <w:sz w:val="24"/>
          <w:lang w:val="bg-BG"/>
        </w:rPr>
        <w:t xml:space="preserve">OВ L 201, 3.8.2010 г., стр. 30, ELI: </w:t>
      </w:r>
      <w:hyperlink r:id="rId7" w:history="1">
        <w:r w:rsidRPr="00DB6ACA">
          <w:rPr>
            <w:rStyle w:val="Hyperlink"/>
            <w:sz w:val="24"/>
            <w:lang w:val="bg-BG"/>
          </w:rPr>
          <w:t>http://data.europa.eu/eli/dec/2010/427/oj</w:t>
        </w:r>
      </w:hyperlink>
      <w:r w:rsidRPr="00DB6ACA">
        <w:rPr>
          <w:sz w:val="24"/>
          <w:lang w:val="bg-BG"/>
        </w:rPr>
        <w:t>.</w:t>
      </w:r>
    </w:p>
  </w:footnote>
  <w:footnote w:id="8">
    <w:p w14:paraId="65C88B9F" w14:textId="63D34D61" w:rsidR="00E7007D" w:rsidRPr="00DB6ACA" w:rsidRDefault="00E7007D" w:rsidP="00DB6ACA">
      <w:pPr>
        <w:pStyle w:val="FootnoteText"/>
        <w:ind w:left="567" w:hanging="567"/>
        <w:rPr>
          <w:sz w:val="24"/>
          <w:vertAlign w:val="superscript"/>
          <w:lang w:val="bg-BG"/>
        </w:rPr>
      </w:pPr>
      <w:r w:rsidRPr="00DB6ACA">
        <w:rPr>
          <w:rStyle w:val="FootnoteReference"/>
          <w:sz w:val="24"/>
          <w:lang w:val="bg-BG"/>
        </w:rPr>
        <w:footnoteRef/>
      </w:r>
      <w:r w:rsidR="00DB6ACA" w:rsidRPr="00DB6ACA">
        <w:rPr>
          <w:sz w:val="24"/>
          <w:lang w:val="bg-BG"/>
        </w:rPr>
        <w:t xml:space="preserve"> </w:t>
      </w:r>
      <w:r w:rsidR="00DB6ACA" w:rsidRPr="00DB6ACA">
        <w:rPr>
          <w:sz w:val="24"/>
          <w:lang w:val="bg-BG"/>
        </w:rPr>
        <w:tab/>
      </w:r>
      <w:r w:rsidRPr="00DB6ACA">
        <w:rPr>
          <w:sz w:val="24"/>
          <w:lang w:val="bg-BG"/>
        </w:rPr>
        <w:t xml:space="preserve">Директива 2014/24/ЕС на Европейския парламент и на Съвета от 26 февруари 2014 г. за обществените поръчки и за отмяна на Директива 2004/18/ЕО (ОВ L 94, 28.3.2014 г., стр. 65, ELI: </w:t>
      </w:r>
      <w:hyperlink r:id="rId8" w:history="1">
        <w:r w:rsidRPr="00DB6ACA">
          <w:rPr>
            <w:rStyle w:val="Hyperlink"/>
            <w:sz w:val="24"/>
            <w:lang w:val="bg-BG"/>
          </w:rPr>
          <w:t>http://data.europa.eu/eli/dir/2014/24/oj</w:t>
        </w:r>
      </w:hyperlink>
      <w:r w:rsidRPr="00DB6ACA">
        <w:rPr>
          <w:sz w:val="24"/>
          <w:lang w:val="bg-BG"/>
        </w:rPr>
        <w:t>).</w:t>
      </w:r>
    </w:p>
    <w:p w14:paraId="59A14134" w14:textId="3C4C66B8" w:rsidR="00E7007D" w:rsidRPr="00DB6ACA" w:rsidRDefault="00DB6ACA" w:rsidP="00DB6ACA">
      <w:pPr>
        <w:pStyle w:val="FootnoteText"/>
        <w:ind w:left="567" w:hanging="567"/>
        <w:rPr>
          <w:sz w:val="24"/>
          <w:lang w:val="bg-BG"/>
        </w:rPr>
      </w:pPr>
      <w:r w:rsidRPr="00DB6ACA">
        <w:rPr>
          <w:sz w:val="24"/>
          <w:lang w:val="bg-BG"/>
        </w:rPr>
        <w:t xml:space="preserve"> </w:t>
      </w:r>
      <w:r w:rsidRPr="00DB6ACA">
        <w:rPr>
          <w:sz w:val="24"/>
          <w:lang w:val="bg-BG"/>
        </w:rPr>
        <w:tab/>
      </w:r>
    </w:p>
  </w:footnote>
  <w:footnote w:id="9">
    <w:p w14:paraId="71D803B8" w14:textId="3AD813AB" w:rsidR="00E7007D" w:rsidRPr="00DB6ACA" w:rsidRDefault="00E7007D" w:rsidP="00DB6ACA">
      <w:pPr>
        <w:pStyle w:val="FootnoteText"/>
        <w:ind w:left="567" w:hanging="567"/>
        <w:rPr>
          <w:sz w:val="24"/>
          <w:lang w:val="bg-BG"/>
        </w:rPr>
      </w:pPr>
      <w:r w:rsidRPr="00DB6ACA">
        <w:rPr>
          <w:rStyle w:val="FootnoteReference"/>
          <w:sz w:val="24"/>
          <w:lang w:val="bg-BG"/>
        </w:rPr>
        <w:footnoteRef/>
      </w:r>
      <w:r w:rsidR="00DB6ACA" w:rsidRPr="00DB6ACA">
        <w:rPr>
          <w:sz w:val="24"/>
          <w:lang w:val="bg-BG"/>
        </w:rPr>
        <w:t xml:space="preserve"> </w:t>
      </w:r>
      <w:r w:rsidR="00DB6ACA" w:rsidRPr="00DB6ACA">
        <w:rPr>
          <w:sz w:val="24"/>
          <w:lang w:val="bg-BG"/>
        </w:rPr>
        <w:tab/>
      </w:r>
      <w:r w:rsidRPr="00DB6ACA">
        <w:rPr>
          <w:sz w:val="24"/>
          <w:lang w:val="bg-BG"/>
        </w:rPr>
        <w:t>Резолюция P10_TA(2025)0086, параграф 83.</w:t>
      </w:r>
    </w:p>
  </w:footnote>
  <w:footnote w:id="10">
    <w:p w14:paraId="0713925F" w14:textId="15FD003D" w:rsidR="00E7007D" w:rsidRPr="00DB6ACA" w:rsidRDefault="00E7007D" w:rsidP="00DB6ACA">
      <w:pPr>
        <w:pStyle w:val="FootnoteText"/>
        <w:ind w:left="567" w:hanging="567"/>
        <w:rPr>
          <w:sz w:val="24"/>
          <w:lang w:val="bg-BG"/>
        </w:rPr>
      </w:pPr>
      <w:r w:rsidRPr="00DB6ACA">
        <w:rPr>
          <w:rStyle w:val="FootnoteReference"/>
          <w:sz w:val="24"/>
          <w:lang w:val="bg-BG"/>
        </w:rPr>
        <w:footnoteRef/>
      </w:r>
      <w:r w:rsidR="00DB6ACA" w:rsidRPr="00DB6ACA">
        <w:rPr>
          <w:sz w:val="24"/>
          <w:lang w:val="bg-BG"/>
        </w:rPr>
        <w:t xml:space="preserve"> </w:t>
      </w:r>
      <w:r w:rsidR="00DB6ACA" w:rsidRPr="00DB6ACA">
        <w:rPr>
          <w:sz w:val="24"/>
          <w:lang w:val="bg-BG"/>
        </w:rPr>
        <w:tab/>
      </w:r>
      <w:r w:rsidRPr="00DB6ACA">
        <w:rPr>
          <w:sz w:val="24"/>
          <w:lang w:val="bg-BG"/>
        </w:rPr>
        <w:t>Решение (ОВППС) 2024/1472 на Съвета от 21 май 2024 г. относно дипломатическа академия на Европейския съюз</w:t>
      </w:r>
      <w:r w:rsidRPr="00DB6ACA">
        <w:rPr>
          <w:color w:val="333333"/>
          <w:sz w:val="24"/>
          <w:shd w:val="clear" w:color="auto" w:fill="FFFFFF"/>
          <w:lang w:val="bg-BG"/>
        </w:rPr>
        <w:t xml:space="preserve"> (</w:t>
      </w:r>
      <w:r w:rsidRPr="00DB6ACA">
        <w:rPr>
          <w:sz w:val="24"/>
          <w:lang w:val="bg-BG"/>
        </w:rPr>
        <w:t>ОВ L, 2024/1472, 22.5.2024 г., ELI: </w:t>
      </w:r>
      <w:hyperlink r:id="rId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B6ACA">
          <w:rPr>
            <w:rStyle w:val="Hyperlink"/>
            <w:sz w:val="24"/>
            <w:lang w:val="bg-BG"/>
          </w:rPr>
          <w:t>http://data.europa.eu/eli/dec/2024/1472/oj</w:t>
        </w:r>
      </w:hyperlink>
      <w:r w:rsidRPr="00DB6ACA">
        <w:rPr>
          <w:sz w:val="24"/>
          <w:lang w:val="bg-BG"/>
        </w:rPr>
        <w:t>).</w:t>
      </w:r>
    </w:p>
  </w:footnote>
  <w:footnote w:id="11">
    <w:p w14:paraId="14E308FA" w14:textId="3D4FD221" w:rsidR="00E7007D" w:rsidRPr="00DB6ACA" w:rsidRDefault="00E7007D" w:rsidP="00DB6ACA">
      <w:pPr>
        <w:pStyle w:val="FootnoteText"/>
        <w:ind w:left="567" w:hanging="567"/>
        <w:rPr>
          <w:sz w:val="24"/>
          <w:lang w:val="bg-BG"/>
        </w:rPr>
      </w:pPr>
      <w:r w:rsidRPr="00DB6ACA">
        <w:rPr>
          <w:rStyle w:val="FootnoteReference"/>
          <w:sz w:val="24"/>
          <w:lang w:val="bg-BG"/>
        </w:rPr>
        <w:footnoteRef/>
      </w:r>
      <w:r w:rsidR="00DB6ACA" w:rsidRPr="00DB6ACA">
        <w:rPr>
          <w:sz w:val="24"/>
          <w:lang w:val="bg-BG"/>
        </w:rPr>
        <w:t xml:space="preserve"> </w:t>
      </w:r>
      <w:r w:rsidR="00DB6ACA" w:rsidRPr="00DB6ACA">
        <w:rPr>
          <w:sz w:val="24"/>
          <w:lang w:val="bg-BG"/>
        </w:rPr>
        <w:tab/>
      </w:r>
      <w:r w:rsidRPr="00DB6ACA">
        <w:rPr>
          <w:sz w:val="24"/>
          <w:lang w:val="bg-BG"/>
        </w:rPr>
        <w:t xml:space="preserve">Регламент (ЕС) 2024/1689 на Европейския парламент и на Съвета от 13 юни 2024 г.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 г., ELI: </w:t>
      </w:r>
      <w:hyperlink r:id="rId10" w:history="1">
        <w:r w:rsidRPr="00DB6ACA">
          <w:rPr>
            <w:rStyle w:val="Hyperlink"/>
            <w:sz w:val="24"/>
            <w:lang w:val="bg-BG"/>
          </w:rPr>
          <w:t>http://data.europa.eu/eli/reg/2024/1689/oj</w:t>
        </w:r>
      </w:hyperlink>
      <w:r w:rsidRPr="00DB6ACA">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560B9" w14:textId="77777777" w:rsidR="00064002" w:rsidRPr="00DB6A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6F81E" w14:textId="77777777" w:rsidR="00064002" w:rsidRPr="00DB6A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2D0F7" w14:textId="77777777" w:rsidR="00064002" w:rsidRPr="00DB6A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5689926">
    <w:abstractNumId w:val="9"/>
  </w:num>
  <w:num w:numId="2" w16cid:durableId="1799295680">
    <w:abstractNumId w:val="9"/>
  </w:num>
  <w:num w:numId="3" w16cid:durableId="140268394">
    <w:abstractNumId w:val="7"/>
  </w:num>
  <w:num w:numId="4" w16cid:durableId="688063822">
    <w:abstractNumId w:val="7"/>
  </w:num>
  <w:num w:numId="5" w16cid:durableId="1686591725">
    <w:abstractNumId w:val="6"/>
  </w:num>
  <w:num w:numId="6" w16cid:durableId="250819863">
    <w:abstractNumId w:val="6"/>
  </w:num>
  <w:num w:numId="7" w16cid:durableId="1782726928">
    <w:abstractNumId w:val="5"/>
  </w:num>
  <w:num w:numId="8" w16cid:durableId="1163476358">
    <w:abstractNumId w:val="5"/>
  </w:num>
  <w:num w:numId="9" w16cid:durableId="782309939">
    <w:abstractNumId w:val="4"/>
  </w:num>
  <w:num w:numId="10" w16cid:durableId="376974147">
    <w:abstractNumId w:val="4"/>
  </w:num>
  <w:num w:numId="11" w16cid:durableId="622658588">
    <w:abstractNumId w:val="8"/>
  </w:num>
  <w:num w:numId="12" w16cid:durableId="379130367">
    <w:abstractNumId w:val="8"/>
  </w:num>
  <w:num w:numId="13" w16cid:durableId="768895369">
    <w:abstractNumId w:val="3"/>
  </w:num>
  <w:num w:numId="14" w16cid:durableId="287129040">
    <w:abstractNumId w:val="3"/>
  </w:num>
  <w:num w:numId="15" w16cid:durableId="1817380509">
    <w:abstractNumId w:val="2"/>
  </w:num>
  <w:num w:numId="16" w16cid:durableId="1090542849">
    <w:abstractNumId w:val="2"/>
  </w:num>
  <w:num w:numId="17" w16cid:durableId="1866671175">
    <w:abstractNumId w:val="1"/>
  </w:num>
  <w:num w:numId="18" w16cid:durableId="393889567">
    <w:abstractNumId w:val="1"/>
  </w:num>
  <w:num w:numId="19" w16cid:durableId="2085687892">
    <w:abstractNumId w:val="0"/>
  </w:num>
  <w:num w:numId="20" w16cid:durableId="2005429580">
    <w:abstractNumId w:val="0"/>
  </w:num>
  <w:num w:numId="21" w16cid:durableId="947543765">
    <w:abstractNumId w:val="9"/>
  </w:num>
  <w:num w:numId="22" w16cid:durableId="532232759">
    <w:abstractNumId w:val="7"/>
  </w:num>
  <w:num w:numId="23" w16cid:durableId="592010185">
    <w:abstractNumId w:val="6"/>
  </w:num>
  <w:num w:numId="24" w16cid:durableId="867717906">
    <w:abstractNumId w:val="5"/>
  </w:num>
  <w:num w:numId="25" w16cid:durableId="247886449">
    <w:abstractNumId w:val="4"/>
  </w:num>
  <w:num w:numId="26" w16cid:durableId="912738549">
    <w:abstractNumId w:val="8"/>
  </w:num>
  <w:num w:numId="27" w16cid:durableId="510489734">
    <w:abstractNumId w:val="3"/>
  </w:num>
  <w:num w:numId="28" w16cid:durableId="623120931">
    <w:abstractNumId w:val="2"/>
  </w:num>
  <w:num w:numId="29" w16cid:durableId="249823941">
    <w:abstractNumId w:val="1"/>
  </w:num>
  <w:num w:numId="30" w16cid:durableId="692534783">
    <w:abstractNumId w:val="0"/>
  </w:num>
  <w:num w:numId="31" w16cid:durableId="1012806064">
    <w:abstractNumId w:val="9"/>
  </w:num>
  <w:num w:numId="32" w16cid:durableId="1496798381">
    <w:abstractNumId w:val="7"/>
  </w:num>
  <w:num w:numId="33" w16cid:durableId="1941600192">
    <w:abstractNumId w:val="6"/>
  </w:num>
  <w:num w:numId="34" w16cid:durableId="81147820">
    <w:abstractNumId w:val="5"/>
  </w:num>
  <w:num w:numId="35" w16cid:durableId="39985448">
    <w:abstractNumId w:val="4"/>
  </w:num>
  <w:num w:numId="36" w16cid:durableId="1169364025">
    <w:abstractNumId w:val="8"/>
  </w:num>
  <w:num w:numId="37" w16cid:durableId="1511334620">
    <w:abstractNumId w:val="3"/>
  </w:num>
  <w:num w:numId="38" w16cid:durableId="945384698">
    <w:abstractNumId w:val="2"/>
  </w:num>
  <w:num w:numId="39" w16cid:durableId="406072223">
    <w:abstractNumId w:val="1"/>
  </w:num>
  <w:num w:numId="40" w16cid:durableId="2021616276">
    <w:abstractNumId w:val="0"/>
  </w:num>
  <w:num w:numId="41" w16cid:durableId="1986814998">
    <w:abstractNumId w:val="10"/>
  </w:num>
  <w:num w:numId="42" w16cid:durableId="1117675862">
    <w:abstractNumId w:val="10"/>
  </w:num>
  <w:num w:numId="43" w16cid:durableId="989091934">
    <w:abstractNumId w:val="10"/>
  </w:num>
  <w:num w:numId="44" w16cid:durableId="123412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BG"/>
    <w:docVar w:name="dvnumam" w:val="0"/>
    <w:docVar w:name="dvpe" w:val="778.061"/>
    <w:docVar w:name="dvrapporteur" w:val="Докладчик: "/>
    <w:docVar w:name="dvtitre" w:val="1. Решение на Европейския парламент от ... 2026 г. относно освобождаването от отговорност във връзка с изпълнението на общия бюджет на Европейския съюз за финансовата 2024 година, раздел X ‒ Европейска служба за външна дейност(2025/2150(DEC))"/>
  </w:docVars>
  <w:rsids>
    <w:rsidRoot w:val="00F95974"/>
    <w:rsid w:val="00002272"/>
    <w:rsid w:val="00064002"/>
    <w:rsid w:val="000677B9"/>
    <w:rsid w:val="000831BA"/>
    <w:rsid w:val="000A42CC"/>
    <w:rsid w:val="000E7DD9"/>
    <w:rsid w:val="0010095E"/>
    <w:rsid w:val="00125B37"/>
    <w:rsid w:val="00187494"/>
    <w:rsid w:val="001F32AE"/>
    <w:rsid w:val="00247C3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1CE"/>
    <w:rsid w:val="005B612B"/>
    <w:rsid w:val="005C2568"/>
    <w:rsid w:val="005F1B17"/>
    <w:rsid w:val="006037C0"/>
    <w:rsid w:val="006631B6"/>
    <w:rsid w:val="00663462"/>
    <w:rsid w:val="006760C3"/>
    <w:rsid w:val="00680577"/>
    <w:rsid w:val="006F74FA"/>
    <w:rsid w:val="00731ADD"/>
    <w:rsid w:val="00734777"/>
    <w:rsid w:val="00747932"/>
    <w:rsid w:val="00751A4A"/>
    <w:rsid w:val="00756632"/>
    <w:rsid w:val="00762C74"/>
    <w:rsid w:val="00786EC0"/>
    <w:rsid w:val="007C476B"/>
    <w:rsid w:val="007D1690"/>
    <w:rsid w:val="007E22AD"/>
    <w:rsid w:val="00817416"/>
    <w:rsid w:val="008252F2"/>
    <w:rsid w:val="00842779"/>
    <w:rsid w:val="00865F67"/>
    <w:rsid w:val="00881A7B"/>
    <w:rsid w:val="008840E5"/>
    <w:rsid w:val="00887B3E"/>
    <w:rsid w:val="0089721E"/>
    <w:rsid w:val="008C2AC6"/>
    <w:rsid w:val="00930C23"/>
    <w:rsid w:val="0093193B"/>
    <w:rsid w:val="009509D8"/>
    <w:rsid w:val="00950B64"/>
    <w:rsid w:val="00981893"/>
    <w:rsid w:val="00A1687D"/>
    <w:rsid w:val="00A43E52"/>
    <w:rsid w:val="00A4678D"/>
    <w:rsid w:val="00A47EC8"/>
    <w:rsid w:val="00A778C7"/>
    <w:rsid w:val="00AB441E"/>
    <w:rsid w:val="00AB6293"/>
    <w:rsid w:val="00AE0928"/>
    <w:rsid w:val="00AF3B82"/>
    <w:rsid w:val="00B12E95"/>
    <w:rsid w:val="00B12EB1"/>
    <w:rsid w:val="00B22876"/>
    <w:rsid w:val="00B558F0"/>
    <w:rsid w:val="00B73939"/>
    <w:rsid w:val="00BD48FE"/>
    <w:rsid w:val="00BD7BD8"/>
    <w:rsid w:val="00BE6ADC"/>
    <w:rsid w:val="00BF4995"/>
    <w:rsid w:val="00C05BFE"/>
    <w:rsid w:val="00C163F0"/>
    <w:rsid w:val="00C23CD4"/>
    <w:rsid w:val="00C61C0C"/>
    <w:rsid w:val="00C941CB"/>
    <w:rsid w:val="00CA66F1"/>
    <w:rsid w:val="00CA6AB8"/>
    <w:rsid w:val="00CC2357"/>
    <w:rsid w:val="00CF071A"/>
    <w:rsid w:val="00D058B8"/>
    <w:rsid w:val="00D56C11"/>
    <w:rsid w:val="00D834A0"/>
    <w:rsid w:val="00D872DF"/>
    <w:rsid w:val="00D91E21"/>
    <w:rsid w:val="00DA7FCD"/>
    <w:rsid w:val="00DB6ACA"/>
    <w:rsid w:val="00E365E1"/>
    <w:rsid w:val="00E7007D"/>
    <w:rsid w:val="00E820A4"/>
    <w:rsid w:val="00EB006A"/>
    <w:rsid w:val="00EB428B"/>
    <w:rsid w:val="00EB4772"/>
    <w:rsid w:val="00ED169E"/>
    <w:rsid w:val="00ED4235"/>
    <w:rsid w:val="00F04346"/>
    <w:rsid w:val="00F075DC"/>
    <w:rsid w:val="00F149E9"/>
    <w:rsid w:val="00F5134D"/>
    <w:rsid w:val="00F74202"/>
    <w:rsid w:val="00F87713"/>
    <w:rsid w:val="00F9597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8A4BB"/>
  <w15:chartTrackingRefBased/>
  <w15:docId w15:val="{37D5A547-AF7D-45F8-BEFF-84756D9B5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7007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007D"/>
    <w:pPr>
      <w:spacing w:before="480" w:after="240"/>
    </w:pPr>
  </w:style>
  <w:style w:type="paragraph" w:customStyle="1" w:styleId="PageHeading">
    <w:name w:val="PageHeading"/>
    <w:basedOn w:val="Normal"/>
    <w:rsid w:val="00E7007D"/>
    <w:pPr>
      <w:keepNext/>
      <w:spacing w:after="480"/>
      <w:jc w:val="center"/>
    </w:pPr>
    <w:rPr>
      <w:rFonts w:ascii="Arial" w:hAnsi="Arial" w:cs="Arial"/>
      <w:b/>
    </w:rPr>
  </w:style>
  <w:style w:type="paragraph" w:customStyle="1" w:styleId="NormalBold">
    <w:name w:val="NormalBold"/>
    <w:basedOn w:val="Normal"/>
    <w:rsid w:val="00E7007D"/>
    <w:rPr>
      <w:b/>
    </w:rPr>
  </w:style>
  <w:style w:type="paragraph" w:customStyle="1" w:styleId="NormalHanging12a">
    <w:name w:val="NormalHanging12a"/>
    <w:basedOn w:val="Normal"/>
    <w:link w:val="NormalHanging12aChar"/>
    <w:qFormat/>
    <w:rsid w:val="00E7007D"/>
    <w:pPr>
      <w:spacing w:after="240"/>
      <w:ind w:left="567" w:hanging="567"/>
    </w:pPr>
  </w:style>
  <w:style w:type="paragraph" w:styleId="Header">
    <w:name w:val="header"/>
    <w:basedOn w:val="Normal"/>
    <w:link w:val="HeaderChar"/>
    <w:rsid w:val="00E7007D"/>
    <w:pPr>
      <w:tabs>
        <w:tab w:val="center" w:pos="4513"/>
        <w:tab w:val="right" w:pos="9026"/>
      </w:tabs>
    </w:pPr>
  </w:style>
  <w:style w:type="character" w:customStyle="1" w:styleId="HeaderChar">
    <w:name w:val="Header Char"/>
    <w:basedOn w:val="DefaultParagraphFont"/>
    <w:link w:val="Header"/>
    <w:rsid w:val="00E7007D"/>
    <w:rPr>
      <w:sz w:val="24"/>
      <w:lang w:val="bg-BG"/>
    </w:rPr>
  </w:style>
  <w:style w:type="paragraph" w:customStyle="1" w:styleId="EPFooter">
    <w:name w:val="EPFooter"/>
    <w:basedOn w:val="Normal"/>
    <w:rsid w:val="00E7007D"/>
    <w:pPr>
      <w:tabs>
        <w:tab w:val="center" w:pos="4535"/>
        <w:tab w:val="right" w:pos="9071"/>
      </w:tabs>
      <w:spacing w:before="240" w:after="240"/>
    </w:pPr>
    <w:rPr>
      <w:color w:val="010000"/>
      <w:sz w:val="22"/>
    </w:rPr>
  </w:style>
  <w:style w:type="character" w:styleId="Hyperlink">
    <w:name w:val="Hyperlink"/>
    <w:basedOn w:val="DefaultParagraphFont"/>
    <w:rsid w:val="00E7007D"/>
    <w:rPr>
      <w:color w:val="0563C1" w:themeColor="hyperlink"/>
      <w:u w:val="single"/>
    </w:rPr>
  </w:style>
  <w:style w:type="character" w:customStyle="1" w:styleId="NormalHanging12aChar">
    <w:name w:val="NormalHanging12a Char"/>
    <w:basedOn w:val="DefaultParagraphFont"/>
    <w:link w:val="NormalHanging12a"/>
    <w:locked/>
    <w:rsid w:val="00E7007D"/>
    <w:rPr>
      <w:sz w:val="24"/>
      <w:lang w:val="bg-BG"/>
    </w:rPr>
  </w:style>
  <w:style w:type="paragraph" w:customStyle="1" w:styleId="Normal12a">
    <w:name w:val="Normal12a"/>
    <w:basedOn w:val="Normal"/>
    <w:rsid w:val="00E7007D"/>
    <w:pPr>
      <w:spacing w:after="240"/>
    </w:pPr>
  </w:style>
  <w:style w:type="paragraph" w:customStyle="1" w:styleId="PageHeadingNotTOC">
    <w:name w:val="PageHeadingNotTOC"/>
    <w:basedOn w:val="Normal"/>
    <w:rsid w:val="00E7007D"/>
    <w:pPr>
      <w:keepNext/>
      <w:spacing w:after="480"/>
      <w:jc w:val="center"/>
    </w:pPr>
    <w:rPr>
      <w:rFonts w:ascii="Arial" w:hAnsi="Arial" w:cs="Arial"/>
      <w:b/>
    </w:rPr>
  </w:style>
  <w:style w:type="paragraph" w:customStyle="1" w:styleId="Normal24a">
    <w:name w:val="Normal24a"/>
    <w:basedOn w:val="Normal"/>
    <w:link w:val="Normal24aChar"/>
    <w:rsid w:val="00E7007D"/>
    <w:pPr>
      <w:spacing w:after="480"/>
    </w:pPr>
  </w:style>
  <w:style w:type="character" w:customStyle="1" w:styleId="Normal24aChar">
    <w:name w:val="Normal24a Char"/>
    <w:basedOn w:val="DefaultParagraphFont"/>
    <w:link w:val="Normal24a"/>
    <w:rsid w:val="00E7007D"/>
    <w:rPr>
      <w:sz w:val="24"/>
      <w:lang w:val="bg-BG"/>
    </w:rPr>
  </w:style>
  <w:style w:type="paragraph" w:styleId="Revision">
    <w:name w:val="Revision"/>
    <w:hidden/>
    <w:uiPriority w:val="99"/>
    <w:semiHidden/>
    <w:rsid w:val="00EB428B"/>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24/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dec/2024/14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15495</Words>
  <Characters>90848</Characters>
  <Application>Microsoft Office Word</Application>
  <DocSecurity>0</DocSecurity>
  <Lines>757</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2026-04-29T14:32:00Z</dcterms:created>
  <dcterms:modified xsi:type="dcterms:W3CDTF">2026-04-29T14:32:00Z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A10-0053/2026</vt:lpwstr>
  </property>
  <property fmtid="{D5CDD505-2E9C-101B-9397-08002B2CF9AE}" pid="4" name="&lt;Type&gt;">
    <vt:lpwstr>RR</vt:lpwstr>
  </property>
</Properties>
</file>