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55ED" w14:paraId="5ABAFC3D" w14:textId="77777777" w:rsidTr="0010095E">
        <w:trPr>
          <w:trHeight w:hRule="exact" w:val="1418"/>
        </w:trPr>
        <w:tc>
          <w:tcPr>
            <w:tcW w:w="6804" w:type="dxa"/>
            <w:shd w:val="clear" w:color="auto" w:fill="auto"/>
            <w:vAlign w:val="center"/>
          </w:tcPr>
          <w:p w14:paraId="254334CB" w14:textId="77777777" w:rsidR="00751A4A" w:rsidRPr="003C55ED" w:rsidRDefault="007804B4" w:rsidP="0010095E">
            <w:pPr>
              <w:pStyle w:val="EPName"/>
            </w:pPr>
            <w:r w:rsidRPr="003C55ED">
              <w:t>Evropský parlament</w:t>
            </w:r>
          </w:p>
          <w:p w14:paraId="1E4D058C" w14:textId="77777777" w:rsidR="00751A4A" w:rsidRPr="003C55ED" w:rsidRDefault="005F1B17" w:rsidP="005F1B17">
            <w:pPr>
              <w:pStyle w:val="EPTerm"/>
              <w:rPr>
                <w:rStyle w:val="HideTWBExt"/>
                <w:noProof w:val="0"/>
                <w:vanish w:val="0"/>
                <w:color w:val="auto"/>
              </w:rPr>
            </w:pPr>
            <w:r w:rsidRPr="003C55ED">
              <w:t>2024</w:t>
            </w:r>
            <w:r w:rsidR="00817416" w:rsidRPr="003C55ED">
              <w:t>-202</w:t>
            </w:r>
            <w:r w:rsidRPr="003C55ED">
              <w:t>9</w:t>
            </w:r>
          </w:p>
        </w:tc>
        <w:tc>
          <w:tcPr>
            <w:tcW w:w="2268" w:type="dxa"/>
            <w:shd w:val="clear" w:color="auto" w:fill="auto"/>
          </w:tcPr>
          <w:p w14:paraId="0BDA8F60" w14:textId="77777777" w:rsidR="00751A4A" w:rsidRPr="003C55ED" w:rsidRDefault="00187494" w:rsidP="0010095E">
            <w:pPr>
              <w:pStyle w:val="EPLogo"/>
            </w:pPr>
            <w:r w:rsidRPr="003C55ED">
              <w:rPr>
                <w:noProof/>
                <w:lang w:eastAsia="ja-JP"/>
              </w:rPr>
              <w:drawing>
                <wp:inline distT="0" distB="0" distL="0" distR="0" wp14:anchorId="7E4BF1EF" wp14:editId="428D59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6B8A00" w14:textId="77777777" w:rsidR="00D058B8" w:rsidRPr="003C55ED" w:rsidRDefault="00D058B8" w:rsidP="004C5D52">
      <w:pPr>
        <w:pStyle w:val="LineTop"/>
      </w:pPr>
    </w:p>
    <w:p w14:paraId="0299F3AD" w14:textId="77777777" w:rsidR="00680577" w:rsidRPr="003C55ED" w:rsidRDefault="007804B4" w:rsidP="00680577">
      <w:pPr>
        <w:pStyle w:val="EPBodyTA1"/>
      </w:pPr>
      <w:r w:rsidRPr="003C55ED">
        <w:t>PŘIJATÉ TEXTY</w:t>
      </w:r>
    </w:p>
    <w:p w14:paraId="6725E6DF" w14:textId="77777777" w:rsidR="00D058B8" w:rsidRPr="003C55ED" w:rsidRDefault="00D058B8" w:rsidP="00D058B8">
      <w:pPr>
        <w:pStyle w:val="LineBottom"/>
      </w:pPr>
    </w:p>
    <w:p w14:paraId="3416ED9B" w14:textId="4077704C" w:rsidR="007804B4" w:rsidRPr="003C55ED" w:rsidRDefault="007804B4" w:rsidP="007804B4">
      <w:pPr>
        <w:pStyle w:val="ATHeading1"/>
      </w:pPr>
      <w:bookmarkStart w:id="0" w:name="TANumber"/>
      <w:r w:rsidRPr="003C55ED">
        <w:t>P10_</w:t>
      </w:r>
      <w:proofErr w:type="gramStart"/>
      <w:r w:rsidRPr="003C55ED">
        <w:t>TA(</w:t>
      </w:r>
      <w:proofErr w:type="gramEnd"/>
      <w:r w:rsidRPr="003C55ED">
        <w:t>2026)0</w:t>
      </w:r>
      <w:r w:rsidR="00A73AF9">
        <w:t>130</w:t>
      </w:r>
      <w:bookmarkEnd w:id="0"/>
    </w:p>
    <w:p w14:paraId="6EA60FB3" w14:textId="77777777" w:rsidR="007804B4" w:rsidRPr="003C55ED" w:rsidRDefault="007804B4" w:rsidP="007804B4">
      <w:pPr>
        <w:pStyle w:val="ATHeading2"/>
      </w:pPr>
      <w:bookmarkStart w:id="1" w:name="title"/>
      <w:r w:rsidRPr="003C55ED">
        <w:t>Udělení absolutoria za rok 2024: souhrnný rozpočet EU – Evropská služba pro vnější činnost</w:t>
      </w:r>
      <w:bookmarkEnd w:id="1"/>
    </w:p>
    <w:p w14:paraId="73B52F4C" w14:textId="77777777" w:rsidR="007804B4" w:rsidRPr="003C55ED" w:rsidRDefault="007804B4" w:rsidP="007804B4">
      <w:pPr>
        <w:rPr>
          <w:i/>
          <w:vanish/>
        </w:rPr>
      </w:pPr>
      <w:r w:rsidRPr="003C55ED">
        <w:rPr>
          <w:i/>
        </w:rPr>
        <w:fldChar w:fldCharType="begin"/>
      </w:r>
      <w:r w:rsidRPr="003C55ED">
        <w:rPr>
          <w:i/>
        </w:rPr>
        <w:instrText xml:space="preserve"> TC"(</w:instrText>
      </w:r>
      <w:bookmarkStart w:id="2" w:name="DocNumber"/>
      <w:r w:rsidRPr="003C55ED">
        <w:rPr>
          <w:i/>
        </w:rPr>
        <w:instrText>A10-0053/2026</w:instrText>
      </w:r>
      <w:bookmarkEnd w:id="2"/>
      <w:r w:rsidRPr="003C55ED">
        <w:rPr>
          <w:i/>
        </w:rPr>
        <w:instrText xml:space="preserve"> - Zpravodaj: </w:instrText>
      </w:r>
      <w:proofErr w:type="spellStart"/>
      <w:r w:rsidRPr="003C55ED">
        <w:rPr>
          <w:i/>
        </w:rPr>
        <w:instrText>Pasquale</w:instrText>
      </w:r>
      <w:proofErr w:type="spellEnd"/>
      <w:r w:rsidRPr="003C55ED">
        <w:rPr>
          <w:i/>
        </w:rPr>
        <w:instrText xml:space="preserve"> </w:instrText>
      </w:r>
      <w:proofErr w:type="spellStart"/>
      <w:r w:rsidRPr="003C55ED">
        <w:rPr>
          <w:i/>
        </w:rPr>
        <w:instrText>Tridico</w:instrText>
      </w:r>
      <w:proofErr w:type="spellEnd"/>
      <w:r w:rsidRPr="003C55ED">
        <w:rPr>
          <w:i/>
        </w:rPr>
        <w:instrText xml:space="preserve">)"\l3 \n&gt; \* MERGEFORMAT </w:instrText>
      </w:r>
      <w:r w:rsidRPr="003C55ED">
        <w:rPr>
          <w:i/>
        </w:rPr>
        <w:fldChar w:fldCharType="end"/>
      </w:r>
    </w:p>
    <w:p w14:paraId="08E47EC2" w14:textId="77777777" w:rsidR="007804B4" w:rsidRPr="003C55ED" w:rsidRDefault="007804B4" w:rsidP="007804B4">
      <w:pPr>
        <w:rPr>
          <w:vanish/>
        </w:rPr>
      </w:pPr>
      <w:bookmarkStart w:id="3" w:name="Commission"/>
      <w:r w:rsidRPr="003C55ED">
        <w:rPr>
          <w:vanish/>
        </w:rPr>
        <w:t>Výbor pro rozpočtovou kontrolu</w:t>
      </w:r>
      <w:bookmarkEnd w:id="3"/>
    </w:p>
    <w:p w14:paraId="40DF8D9A" w14:textId="77777777" w:rsidR="007804B4" w:rsidRPr="003C55ED" w:rsidRDefault="007804B4" w:rsidP="007804B4">
      <w:pPr>
        <w:rPr>
          <w:vanish/>
        </w:rPr>
      </w:pPr>
      <w:bookmarkStart w:id="4" w:name="PE"/>
      <w:r w:rsidRPr="003C55ED">
        <w:rPr>
          <w:vanish/>
        </w:rPr>
        <w:t>PE778.061</w:t>
      </w:r>
      <w:bookmarkEnd w:id="4"/>
    </w:p>
    <w:p w14:paraId="5B481E77" w14:textId="71060DCE" w:rsidR="007804B4" w:rsidRPr="003C55ED" w:rsidRDefault="007E26A7" w:rsidP="007804B4">
      <w:pPr>
        <w:pStyle w:val="ATHeading3"/>
      </w:pPr>
      <w:bookmarkStart w:id="5" w:name="Sujet"/>
      <w:r>
        <w:t xml:space="preserve">1. </w:t>
      </w:r>
      <w:r w:rsidR="007804B4" w:rsidRPr="003C55ED">
        <w:t>Rozhodnutí Evropského parlamentu ze dne</w:t>
      </w:r>
      <w:r>
        <w:t xml:space="preserve"> </w:t>
      </w:r>
      <w:r w:rsidR="009B5DB9">
        <w:t>29</w:t>
      </w:r>
      <w:r>
        <w:t>. dubna</w:t>
      </w:r>
      <w:r w:rsidR="007804B4" w:rsidRPr="003C55ED">
        <w:t xml:space="preserve"> 2026 o udělení absolutoria za plnění souhrnného rozpočtu Evropské unie na rozpočtový rok 2024, oddíl X – Evropská služba pro vnější činnost</w:t>
      </w:r>
      <w:bookmarkEnd w:id="5"/>
      <w:r w:rsidR="007804B4" w:rsidRPr="003C55ED">
        <w:t xml:space="preserve"> </w:t>
      </w:r>
      <w:bookmarkStart w:id="6" w:name="References"/>
      <w:r w:rsidR="007804B4" w:rsidRPr="003C55ED">
        <w:t>(2025/2150(DEC))</w:t>
      </w:r>
      <w:bookmarkEnd w:id="6"/>
    </w:p>
    <w:p w14:paraId="4C8EDAAD" w14:textId="77777777" w:rsidR="00C1148C" w:rsidRPr="003C55ED" w:rsidRDefault="00C1148C" w:rsidP="00C1148C">
      <w:pPr>
        <w:pStyle w:val="EPComma"/>
      </w:pPr>
      <w:bookmarkStart w:id="7" w:name="TextBodyBegin"/>
      <w:bookmarkEnd w:id="7"/>
      <w:r w:rsidRPr="003C55ED">
        <w:rPr>
          <w:i/>
        </w:rPr>
        <w:t>Evropský parlament</w:t>
      </w:r>
      <w:r w:rsidRPr="003C55ED">
        <w:t>,</w:t>
      </w:r>
    </w:p>
    <w:p w14:paraId="1F6805F4" w14:textId="77777777" w:rsidR="00C1148C" w:rsidRPr="003C55ED" w:rsidRDefault="00C1148C" w:rsidP="00C1148C">
      <w:pPr>
        <w:pStyle w:val="NormalHanging12a"/>
      </w:pPr>
      <w:r w:rsidRPr="003C55ED">
        <w:t>–</w:t>
      </w:r>
      <w:r w:rsidRPr="003C55ED">
        <w:tab/>
        <w:t>s ohledem na souhrnný rozpočet Evropské unie na rozpočtový rok 2024</w:t>
      </w:r>
      <w:r w:rsidRPr="003C55ED">
        <w:rPr>
          <w:rStyle w:val="FootnoteReference"/>
        </w:rPr>
        <w:footnoteReference w:id="1"/>
      </w:r>
      <w:r w:rsidRPr="003C55ED">
        <w:t>,</w:t>
      </w:r>
    </w:p>
    <w:p w14:paraId="74B929B8" w14:textId="77777777" w:rsidR="00C1148C" w:rsidRPr="003C55ED" w:rsidRDefault="00C1148C" w:rsidP="00C1148C">
      <w:pPr>
        <w:pStyle w:val="NormalHanging12a"/>
      </w:pPr>
      <w:r w:rsidRPr="003C55ED">
        <w:t>–</w:t>
      </w:r>
      <w:r w:rsidRPr="003C55ED">
        <w:tab/>
        <w:t>s ohledem na konsolidovanou účetní závěrku Evropské unie za rozpočtový rok 2024 (</w:t>
      </w:r>
      <w:proofErr w:type="gramStart"/>
      <w:r w:rsidRPr="003C55ED">
        <w:t>COM(</w:t>
      </w:r>
      <w:proofErr w:type="gramEnd"/>
      <w:r w:rsidRPr="003C55ED">
        <w:t>2025)0359 – C10</w:t>
      </w:r>
      <w:r w:rsidRPr="003C55ED">
        <w:noBreakHyphen/>
        <w:t>0150/2025)</w:t>
      </w:r>
      <w:r w:rsidRPr="003C55ED">
        <w:rPr>
          <w:rStyle w:val="FootnoteReference"/>
        </w:rPr>
        <w:footnoteReference w:id="2"/>
      </w:r>
      <w:r w:rsidRPr="003C55ED">
        <w:t>,</w:t>
      </w:r>
    </w:p>
    <w:p w14:paraId="7E826E01" w14:textId="77777777" w:rsidR="00C1148C" w:rsidRPr="003C55ED" w:rsidRDefault="00C1148C" w:rsidP="00C1148C">
      <w:pPr>
        <w:pStyle w:val="NormalHanging12a"/>
      </w:pPr>
      <w:r w:rsidRPr="003C55ED">
        <w:t>–</w:t>
      </w:r>
      <w:r w:rsidRPr="003C55ED">
        <w:tab/>
        <w:t>s ohledem na výroční zprávu Evropské služby pro vnější činnost předkládanou orgánu udělujícímu absolutorium o interních auditech provedených v roce 2024,</w:t>
      </w:r>
    </w:p>
    <w:p w14:paraId="6CC3076F" w14:textId="77777777" w:rsidR="00C1148C" w:rsidRPr="003C55ED" w:rsidRDefault="00C1148C" w:rsidP="00C1148C">
      <w:pPr>
        <w:pStyle w:val="NormalHanging12a"/>
      </w:pPr>
      <w:r w:rsidRPr="003C55ED">
        <w:t>–</w:t>
      </w:r>
      <w:r w:rsidRPr="003C55ED">
        <w:tab/>
        <w:t>s ohledem na výroční zprávu Účetního dvora o plnění rozpočtu na rozpočtový rok 2024 spolu s odpověďmi orgánů</w:t>
      </w:r>
      <w:r w:rsidRPr="003C55ED">
        <w:rPr>
          <w:rStyle w:val="FootnoteReference"/>
        </w:rPr>
        <w:footnoteReference w:id="3"/>
      </w:r>
      <w:r w:rsidRPr="003C55ED">
        <w:t>,</w:t>
      </w:r>
    </w:p>
    <w:p w14:paraId="11011CE5" w14:textId="77777777" w:rsidR="00C1148C" w:rsidRPr="003C55ED" w:rsidRDefault="00C1148C" w:rsidP="00C1148C">
      <w:pPr>
        <w:pStyle w:val="NormalHanging12a"/>
      </w:pPr>
      <w:r w:rsidRPr="003C55ED">
        <w:t>–</w:t>
      </w:r>
      <w:r w:rsidRPr="003C55ED">
        <w:tab/>
        <w:t>s ohledem na prohlášení o věrohodnosti</w:t>
      </w:r>
      <w:r w:rsidRPr="003C55ED">
        <w:rPr>
          <w:rStyle w:val="FootnoteReference"/>
        </w:rPr>
        <w:footnoteReference w:id="4"/>
      </w:r>
      <w:r w:rsidRPr="003C55ED">
        <w:t xml:space="preserve"> účetnictví a o legalitě a správnosti uskutečněných operací, které předložil Účetní dvůr za rozpočtový rok 2024 podle článku 287 Smlouvy o fungování Evropské unie,</w:t>
      </w:r>
    </w:p>
    <w:p w14:paraId="72BE427F" w14:textId="77777777" w:rsidR="00C1148C" w:rsidRPr="003C55ED" w:rsidRDefault="00C1148C" w:rsidP="00C1148C">
      <w:pPr>
        <w:pStyle w:val="NormalHanging12a"/>
      </w:pPr>
      <w:r w:rsidRPr="003C55ED">
        <w:t>–</w:t>
      </w:r>
      <w:r w:rsidRPr="003C55ED">
        <w:tab/>
        <w:t>s ohledem na čl. 314 odst. 10 a články 317, 318 a 319 Smlouvy o fungování Evropské unie,</w:t>
      </w:r>
    </w:p>
    <w:p w14:paraId="080A0304" w14:textId="77777777" w:rsidR="00C1148C" w:rsidRPr="003C55ED" w:rsidRDefault="00C1148C" w:rsidP="00C1148C">
      <w:pPr>
        <w:pStyle w:val="NormalHanging12a"/>
      </w:pPr>
      <w:r w:rsidRPr="003C55ED">
        <w:t>–</w:t>
      </w:r>
      <w:r w:rsidRPr="003C55ED">
        <w:tab/>
        <w:t xml:space="preserve">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a (EU) č. 283/2014 a rozhodnutí č. 541/2014/EU a zrušuje nařízení (EU, Euratom) </w:t>
      </w:r>
      <w:r w:rsidRPr="003C55ED">
        <w:lastRenderedPageBreak/>
        <w:t>č. 966/2012</w:t>
      </w:r>
      <w:r w:rsidRPr="003C55ED">
        <w:rPr>
          <w:rStyle w:val="FootnoteReference"/>
        </w:rPr>
        <w:footnoteReference w:id="5"/>
      </w:r>
      <w:r w:rsidRPr="003C55ED">
        <w:t>, a zejména na články 59, 118 a 260 až 263 tohoto nařízení,</w:t>
      </w:r>
    </w:p>
    <w:p w14:paraId="0322741E" w14:textId="77777777" w:rsidR="00C1148C" w:rsidRPr="003C55ED" w:rsidRDefault="00C1148C" w:rsidP="00C1148C">
      <w:pPr>
        <w:pStyle w:val="NormalHanging12a"/>
      </w:pPr>
      <w:r w:rsidRPr="003C55ED">
        <w:t>–</w:t>
      </w:r>
      <w:r w:rsidRPr="003C55ED">
        <w:tab/>
        <w:t>s ohledem na nařízení Evropského parlamentu a Rady (EU, Euratom) 2024/2509 ze dne 23. září 2024, kterým se stanoví finanční pravidla pro souhrnný rozpočet Unie</w:t>
      </w:r>
      <w:r w:rsidRPr="003C55ED">
        <w:rPr>
          <w:rStyle w:val="FootnoteReference"/>
        </w:rPr>
        <w:footnoteReference w:id="6"/>
      </w:r>
      <w:r w:rsidRPr="003C55ED">
        <w:t>, a zejména na články 59, 118 a 266 až 269 tohoto nařízení,</w:t>
      </w:r>
    </w:p>
    <w:p w14:paraId="5BCD5732" w14:textId="77777777" w:rsidR="00C1148C" w:rsidRPr="003C55ED" w:rsidRDefault="00C1148C" w:rsidP="00C1148C">
      <w:pPr>
        <w:pStyle w:val="NormalHanging12a"/>
      </w:pPr>
      <w:r w:rsidRPr="003C55ED">
        <w:t>–</w:t>
      </w:r>
      <w:r w:rsidRPr="003C55ED">
        <w:tab/>
        <w:t>s ohledem na rozhodnutí Rady 2010/427/EU ze dne 26. července 2010 o organizaci a fungování Evropské služby pro vnější činnost</w:t>
      </w:r>
      <w:r w:rsidRPr="003C55ED">
        <w:rPr>
          <w:rStyle w:val="FootnoteReference"/>
        </w:rPr>
        <w:footnoteReference w:id="7"/>
      </w:r>
      <w:r w:rsidRPr="003C55ED">
        <w:t>, a zejména na článek 8 tohoto rozhodnutí,</w:t>
      </w:r>
    </w:p>
    <w:p w14:paraId="6F971120" w14:textId="77777777" w:rsidR="00C1148C" w:rsidRPr="003C55ED" w:rsidRDefault="00C1148C" w:rsidP="00C1148C">
      <w:pPr>
        <w:pStyle w:val="NormalHanging12a"/>
      </w:pPr>
      <w:r w:rsidRPr="003C55ED">
        <w:t>–</w:t>
      </w:r>
      <w:r w:rsidRPr="003C55ED">
        <w:tab/>
        <w:t>s ohledem na článek 102 a přílohu V jednacího řádu,</w:t>
      </w:r>
    </w:p>
    <w:p w14:paraId="1178E20D" w14:textId="77777777" w:rsidR="00C1148C" w:rsidRPr="003C55ED" w:rsidRDefault="00C1148C" w:rsidP="00C1148C">
      <w:pPr>
        <w:pStyle w:val="NormalHanging12a"/>
        <w:rPr>
          <w:szCs w:val="24"/>
        </w:rPr>
      </w:pPr>
      <w:r w:rsidRPr="003C55ED">
        <w:t>–</w:t>
      </w:r>
      <w:r w:rsidRPr="003C55ED">
        <w:tab/>
        <w:t>s ohledem na stanovisko Výboru pro zahraniční věci,</w:t>
      </w:r>
    </w:p>
    <w:p w14:paraId="6584D613" w14:textId="77777777" w:rsidR="00C1148C" w:rsidRPr="003C55ED" w:rsidRDefault="00C1148C" w:rsidP="00C1148C">
      <w:pPr>
        <w:pStyle w:val="NormalHanging12a"/>
      </w:pPr>
      <w:r w:rsidRPr="003C55ED">
        <w:t>–</w:t>
      </w:r>
      <w:r w:rsidRPr="003C55ED">
        <w:tab/>
        <w:t>s ohledem na zprávu Výboru pro rozpočtovou kontrolu (A10</w:t>
      </w:r>
      <w:r w:rsidRPr="003C55ED">
        <w:noBreakHyphen/>
        <w:t>0053/2026),</w:t>
      </w:r>
    </w:p>
    <w:p w14:paraId="34159070" w14:textId="77777777" w:rsidR="00C1148C" w:rsidRPr="003C55ED" w:rsidRDefault="00C1148C" w:rsidP="00C1148C">
      <w:pPr>
        <w:pStyle w:val="NormalHanging12a"/>
      </w:pPr>
      <w:r w:rsidRPr="003C55ED">
        <w:t>1.</w:t>
      </w:r>
      <w:r w:rsidRPr="003C55ED">
        <w:tab/>
        <w:t>uděluje absolutorium vysoké představitelce Unie pro zahraniční věci a bezpečnostní politiku za plnění rozpočtu Evropské služby pro vnější činnost na rozpočtový rok 2024;</w:t>
      </w:r>
    </w:p>
    <w:p w14:paraId="3A52E3FE" w14:textId="77777777" w:rsidR="00C1148C" w:rsidRPr="003C55ED" w:rsidRDefault="00C1148C" w:rsidP="00C1148C">
      <w:pPr>
        <w:pStyle w:val="NormalHanging12a"/>
      </w:pPr>
      <w:r w:rsidRPr="003C55ED">
        <w:t>2.</w:t>
      </w:r>
      <w:r w:rsidRPr="003C55ED">
        <w:tab/>
        <w:t>předkládá své připomínky v níže uvedeném usnesení;</w:t>
      </w:r>
    </w:p>
    <w:p w14:paraId="19014FCF" w14:textId="77777777" w:rsidR="00C1148C" w:rsidRPr="003C55ED" w:rsidRDefault="00C1148C" w:rsidP="00C1148C">
      <w:pPr>
        <w:pStyle w:val="NormalHanging12a"/>
      </w:pPr>
      <w:r w:rsidRPr="003C55ED">
        <w:t>3.</w:t>
      </w:r>
      <w:r w:rsidRPr="003C55ED">
        <w:tab/>
        <w:t>pověřuje svou předsedkyni, aby předala toto rozhodnutí a usnesení, které je jeho nedílnou součástí, Evropské službě pro vnější činnost, Radě, Komisi, Účetnímu dvoru, evropské veřejné ochránkyni práv a evropskému inspektorovi ochrany údajů a aby zajistila jejich zveřejnění v </w:t>
      </w:r>
      <w:r w:rsidRPr="003C55ED">
        <w:rPr>
          <w:i/>
        </w:rPr>
        <w:t>Úředním věstníku Evropské unie</w:t>
      </w:r>
      <w:r w:rsidRPr="003C55ED">
        <w:t xml:space="preserve"> (řada L).</w:t>
      </w:r>
    </w:p>
    <w:p w14:paraId="625F6514" w14:textId="77777777" w:rsidR="00C1148C" w:rsidRPr="003C55ED" w:rsidRDefault="00C1148C" w:rsidP="00C1148C"/>
    <w:p w14:paraId="00B5A8E8" w14:textId="77777777" w:rsidR="00C1148C" w:rsidRPr="003C55ED" w:rsidRDefault="00C1148C" w:rsidP="00C1148C">
      <w:pPr>
        <w:pStyle w:val="PageHeading"/>
        <w:sectPr w:rsidR="00C1148C" w:rsidRPr="003C55ED" w:rsidSect="003C55E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ECF6070" w14:textId="272627BF" w:rsidR="00CA3164" w:rsidRDefault="00CA3164" w:rsidP="00CA3164">
      <w:pPr>
        <w:pStyle w:val="ATHeading3"/>
      </w:pPr>
      <w:r>
        <w:lastRenderedPageBreak/>
        <w:t>2. Usnesení Evropského parlamentu ze dne 29. dubna 2026 obsahující připomínky, které jsou nedílnou součástí rozhodnutí o plnění souhrnného rozpočtu Evropské unie na rozpočtový rok 2024, oddíl X – Evropská služba pro vnější činnost (2025/2150(DEC))</w:t>
      </w:r>
    </w:p>
    <w:p w14:paraId="3DEC7C9D" w14:textId="77777777" w:rsidR="00C1148C" w:rsidRPr="003C55ED" w:rsidRDefault="00C1148C" w:rsidP="00C1148C">
      <w:pPr>
        <w:pStyle w:val="EPComma"/>
      </w:pPr>
      <w:r w:rsidRPr="003C55ED">
        <w:rPr>
          <w:i/>
        </w:rPr>
        <w:t>Evropský parlament</w:t>
      </w:r>
      <w:r w:rsidRPr="003C55ED">
        <w:t>,</w:t>
      </w:r>
    </w:p>
    <w:p w14:paraId="347557D2" w14:textId="77777777" w:rsidR="00C1148C" w:rsidRPr="003C55ED" w:rsidRDefault="00C1148C" w:rsidP="00C1148C">
      <w:pPr>
        <w:pStyle w:val="NormalHanging12a"/>
      </w:pPr>
      <w:r w:rsidRPr="003C55ED">
        <w:t>–</w:t>
      </w:r>
      <w:r w:rsidRPr="003C55ED">
        <w:tab/>
        <w:t>s ohledem na své rozhodnutí o udělení absolutoria za plnění souhrnného rozpočtu Evropské unie na rozpočtový rok 2024, oddíl X – Evropská služba pro vnější činnost,</w:t>
      </w:r>
    </w:p>
    <w:p w14:paraId="14B6E364" w14:textId="77777777" w:rsidR="00C1148C" w:rsidRPr="003C55ED" w:rsidRDefault="00C1148C" w:rsidP="00C1148C">
      <w:pPr>
        <w:pStyle w:val="NormalHanging12a"/>
      </w:pPr>
      <w:r w:rsidRPr="003C55ED">
        <w:t>–</w:t>
      </w:r>
      <w:r w:rsidRPr="003C55ED">
        <w:tab/>
        <w:t>s ohledem na článek 102 a přílohu V jednacího řádu,</w:t>
      </w:r>
    </w:p>
    <w:p w14:paraId="473E2D79" w14:textId="77777777" w:rsidR="00C1148C" w:rsidRPr="003C55ED" w:rsidRDefault="00C1148C" w:rsidP="00C1148C">
      <w:pPr>
        <w:pStyle w:val="NormalHanging12a"/>
        <w:rPr>
          <w:szCs w:val="24"/>
        </w:rPr>
      </w:pPr>
      <w:r w:rsidRPr="003C55ED">
        <w:t>–</w:t>
      </w:r>
      <w:r w:rsidRPr="003C55ED">
        <w:tab/>
        <w:t>s ohledem na stanovisko Výboru pro zahraniční věci,</w:t>
      </w:r>
    </w:p>
    <w:p w14:paraId="37635300" w14:textId="77777777" w:rsidR="00C1148C" w:rsidRPr="003C55ED" w:rsidRDefault="00C1148C" w:rsidP="00C1148C">
      <w:pPr>
        <w:pStyle w:val="NormalHanging12a"/>
      </w:pPr>
      <w:r w:rsidRPr="003C55ED">
        <w:t>–</w:t>
      </w:r>
      <w:r w:rsidRPr="003C55ED">
        <w:tab/>
        <w:t>s ohledem na zprávu Výboru pro rozpočtovou kontrolu (A10-0053/2026),</w:t>
      </w:r>
    </w:p>
    <w:p w14:paraId="7873EAE2" w14:textId="77777777" w:rsidR="00C1148C" w:rsidRPr="003C55ED" w:rsidRDefault="00C1148C" w:rsidP="00C1148C">
      <w:pPr>
        <w:pStyle w:val="NormalHanging12a"/>
      </w:pPr>
      <w:r w:rsidRPr="003C55ED">
        <w:t>A.</w:t>
      </w:r>
      <w:r w:rsidRPr="003C55ED">
        <w:tab/>
        <w:t>vzhledem k tomu, že v souvislosti s postupem udělování absolutoria chce orgán příslušný k udělení absolutoria zdůraznit, že je mimořádně důležité posilovat dále demokratickou legitimitu orgánů a institucí Unie zvyšováním transparentnosti a odpovědnosti, zavedením koncepce sestavování rozpočtu podle výkonnosti a řádného řízení lidských zdrojů;</w:t>
      </w:r>
    </w:p>
    <w:p w14:paraId="1206CFAC" w14:textId="77777777" w:rsidR="00C1148C" w:rsidRPr="003C55ED" w:rsidRDefault="00C1148C" w:rsidP="00C1148C">
      <w:pPr>
        <w:pStyle w:val="NormalHanging12a"/>
      </w:pPr>
      <w:r w:rsidRPr="003C55ED">
        <w:t>B.</w:t>
      </w:r>
      <w:r w:rsidRPr="003C55ED">
        <w:tab/>
        <w:t>vzhledem k tomu, že Evropská služba pro vnější činnost (dále jen „ESVČ“) odpovídá za řízení správních výdajů svého ústředí v Bruselu a za síť 145 delegací a kanceláří Unie;</w:t>
      </w:r>
    </w:p>
    <w:p w14:paraId="2A59BECB" w14:textId="77777777" w:rsidR="00C1148C" w:rsidRPr="003C55ED" w:rsidRDefault="00C1148C" w:rsidP="00C1148C">
      <w:pPr>
        <w:pStyle w:val="NormalHanging12a"/>
      </w:pPr>
      <w:r w:rsidRPr="003C55ED">
        <w:t>C.</w:t>
      </w:r>
      <w:r w:rsidRPr="003C55ED">
        <w:tab/>
        <w:t>vzhledem k tomu, že úkoly ESVČ se na základě série dohod o poskytování služeb (</w:t>
      </w:r>
      <w:proofErr w:type="spellStart"/>
      <w:r w:rsidRPr="003C55ED">
        <w:t>service</w:t>
      </w:r>
      <w:proofErr w:type="spellEnd"/>
      <w:r w:rsidRPr="003C55ED">
        <w:t xml:space="preserve"> level </w:t>
      </w:r>
      <w:proofErr w:type="spellStart"/>
      <w:r w:rsidRPr="003C55ED">
        <w:t>agreements</w:t>
      </w:r>
      <w:proofErr w:type="spellEnd"/>
      <w:r w:rsidRPr="003C55ED">
        <w:t>) rozšířily a zahrnují nyní i administrativní řízení zaměstnanců Komise v delegacích Unie;</w:t>
      </w:r>
    </w:p>
    <w:p w14:paraId="4FF94C42" w14:textId="77777777" w:rsidR="00C1148C" w:rsidRPr="003C55ED" w:rsidRDefault="00C1148C" w:rsidP="00C1148C">
      <w:pPr>
        <w:pStyle w:val="NormalHanging12a"/>
      </w:pPr>
      <w:r w:rsidRPr="003C55ED">
        <w:t>D.</w:t>
      </w:r>
      <w:r w:rsidRPr="003C55ED">
        <w:tab/>
        <w:t>vzhledem k tomu, že pravomoci přiznané orgánu oprávněnému ke jmenování služebním řádem vykonává ve vztahu k zaměstnancům ESVČ místopředsedkyně Komise, vysoká představitelka Unie pro zahraniční věci a bezpečnostní politiku (dále jen „místopředsedkyně Komise, vysoká představitelka“);</w:t>
      </w:r>
    </w:p>
    <w:p w14:paraId="29EF6A00" w14:textId="77777777" w:rsidR="00C1148C" w:rsidRPr="003C55ED" w:rsidRDefault="00C1148C" w:rsidP="00C1148C">
      <w:pPr>
        <w:pStyle w:val="NormalHanging12a"/>
      </w:pPr>
      <w:r w:rsidRPr="003C55ED">
        <w:t>E.</w:t>
      </w:r>
      <w:r w:rsidRPr="003C55ED">
        <w:tab/>
        <w:t>vzhledem k tomu, že plnění rozpočtu se řídí finančním nařízením a vnitřními předpisy ESVČ pro plnění rozpočtu (dále jen „vnitřní předpisy“);</w:t>
      </w:r>
    </w:p>
    <w:p w14:paraId="60C25CA9" w14:textId="7ED001E5" w:rsidR="00C1148C" w:rsidRPr="003C55ED" w:rsidRDefault="00C1148C" w:rsidP="00C1148C">
      <w:pPr>
        <w:pStyle w:val="NormalHanging12a"/>
      </w:pPr>
      <w:r w:rsidRPr="003C55ED">
        <w:t>F</w:t>
      </w:r>
      <w:r w:rsidR="00335E22">
        <w:t>.</w:t>
      </w:r>
      <w:r w:rsidRPr="003C55ED">
        <w:tab/>
        <w:t>vzhledem k tomu, že podle vnitřních předpisů jedná generální tajemník ESVČ za ESVČ jako pověřená schvalující osoba a generální ředitel pro řízení zdrojů plní úlohu hlavní dále pověřené schvalující osoby;</w:t>
      </w:r>
    </w:p>
    <w:p w14:paraId="1B69B75B" w14:textId="77777777" w:rsidR="00C1148C" w:rsidRPr="003C55ED" w:rsidRDefault="00C1148C" w:rsidP="00C1148C">
      <w:pPr>
        <w:pStyle w:val="NormalHanging12a"/>
      </w:pPr>
      <w:r w:rsidRPr="003C55ED">
        <w:t>G.</w:t>
      </w:r>
      <w:r w:rsidRPr="003C55ED">
        <w:tab/>
        <w:t>vzhledem k tomu, že úlohou delegací Unie je zastupovat Unii a její občany po celém světě prostřednictvím budování sítí a partnerství a prosazovat hodnoty Unie;</w:t>
      </w:r>
    </w:p>
    <w:p w14:paraId="41ABF07B" w14:textId="77777777" w:rsidR="00C1148C" w:rsidRPr="003C55ED" w:rsidRDefault="00C1148C" w:rsidP="00C1148C">
      <w:pPr>
        <w:pStyle w:val="NormalHanging12a"/>
      </w:pPr>
      <w:r w:rsidRPr="003C55ED">
        <w:t>H.</w:t>
      </w:r>
      <w:r w:rsidRPr="003C55ED">
        <w:tab/>
        <w:t>vzhledem k tomu, že zvláštností ESVČ je i nadále její povaha a původ, neboť při jejím zřízení byli převedeni dohromady do jedné instituce zaměstnanci někdejších útvarů Rady a Komise pro vnější vztahy a byli do ní začleněni diplomaté z členských států;</w:t>
      </w:r>
    </w:p>
    <w:p w14:paraId="7C357107" w14:textId="77777777" w:rsidR="00C1148C" w:rsidRPr="003C55ED" w:rsidRDefault="00C1148C" w:rsidP="00C1148C">
      <w:pPr>
        <w:pStyle w:val="NormalHanging12a"/>
        <w:rPr>
          <w:bCs/>
          <w:iCs/>
        </w:rPr>
      </w:pPr>
      <w:r w:rsidRPr="003C55ED">
        <w:t>I.</w:t>
      </w:r>
      <w:r w:rsidRPr="003C55ED">
        <w:tab/>
        <w:t>vzhledem k tomu, že účinnost a nákladová efektivnost vnější činnosti Unie závisí na úzké koordinaci s diplomatickými institucemi a sítěmi členských států, zejména ve třetích zemích, kde ESVČ i členské státy udržují stálou přítomnost, aby se zabránilo zdvojování struktur a výdajů;</w:t>
      </w:r>
    </w:p>
    <w:p w14:paraId="293E0B49" w14:textId="77777777" w:rsidR="00C1148C" w:rsidRPr="003C55ED" w:rsidRDefault="00C1148C" w:rsidP="00C1148C">
      <w:pPr>
        <w:pStyle w:val="NormalHanging12a"/>
      </w:pPr>
      <w:r w:rsidRPr="003C55ED">
        <w:lastRenderedPageBreak/>
        <w:t>1.</w:t>
      </w:r>
      <w:r w:rsidRPr="003C55ED">
        <w:tab/>
        <w:t>konstatuje, že rozpočet ESVČ spadá do okruhu 7 VFR „Evropská veřejná správa“, který v roce 2024 činil 13,3 miliardy EUR (což představuje 6,9 % celkového rozpočtu Unie); konstatuje, že rozpočet ve výši přibližně 1,239 miliardy EUR spravovaný ESVČ představuje přibližně 9,54 % celkových správních výdajů Unie v roce 2024;</w:t>
      </w:r>
    </w:p>
    <w:p w14:paraId="4C43BF2B" w14:textId="77777777" w:rsidR="00C1148C" w:rsidRPr="003C55ED" w:rsidRDefault="00C1148C" w:rsidP="00C1148C">
      <w:pPr>
        <w:pStyle w:val="NormalHanging12a"/>
      </w:pPr>
      <w:r w:rsidRPr="003C55ED">
        <w:t>2.</w:t>
      </w:r>
      <w:r w:rsidRPr="003C55ED">
        <w:tab/>
        <w:t>konstatuje, že Evropský účetní dvůr (dále jen „Účetní dvůr“) ve výroční zprávě za rozpočtový rok 2024 (dále jen „zpráva Účetního dvora“) zkoumal vzorek 70 transakcí v okruhu Správa, což je podobný počet, jaký byl předmětem šetření v roce 2023; dále uvádí, že správní výdaje zahrnují výdaje na lidské zdroje včetně výdajů na důchody, které v roce 2024 představovaly přibližně 69 % celkových správních výdajů, a výdaje na budovy, vybavení, energie a komunikační a informační technologie, a že z dlouholeté práce Účetního dvora vyplývá, že tyto výdaje celkově vykazují nízké riziko;</w:t>
      </w:r>
    </w:p>
    <w:p w14:paraId="5E09B1AE" w14:textId="77777777" w:rsidR="00C1148C" w:rsidRPr="003C55ED" w:rsidRDefault="00C1148C" w:rsidP="00C1148C">
      <w:pPr>
        <w:pStyle w:val="NormalHanging12a"/>
      </w:pPr>
      <w:r w:rsidRPr="003C55ED">
        <w:t>3.</w:t>
      </w:r>
      <w:r w:rsidRPr="003C55ED">
        <w:tab/>
        <w:t>konstatuje, že 16 (23 %) ze 70 transakcí obsahovalo chyby, ale že Účetní dvůr na základě tří chyb, které byly vyčísleny, odhaduje, že výše chyb nedosahuje prahu významnosti;</w:t>
      </w:r>
    </w:p>
    <w:p w14:paraId="34F250FB" w14:textId="77777777" w:rsidR="00C1148C" w:rsidRPr="003C55ED" w:rsidRDefault="00C1148C" w:rsidP="00C1148C">
      <w:pPr>
        <w:pStyle w:val="NormalHanging12a"/>
      </w:pPr>
      <w:r w:rsidRPr="003C55ED">
        <w:t>4.</w:t>
      </w:r>
      <w:r w:rsidRPr="003C55ED">
        <w:tab/>
        <w:t>na základě zprávy Účetního dvora konstatuje, že Účetní dvůr prověřil 15 plateb provedených ESVČ, mezi nimiž zjistil dvě vyčíslitelné chyby; jedna chyba se přitom týkala jedné podstatné změny smlouvy bez platného zadávacího řízení a bez opatření týkajících se následného uveřejňování informací a druhá chyba se týkala jedné platby související s použitím nesprávného směnného kurzu při evidenci platby nájemného; vítá opatření, která ESVČ přijala k řešení těchto problémů;</w:t>
      </w:r>
    </w:p>
    <w:p w14:paraId="4F196ED2" w14:textId="77777777" w:rsidR="00C1148C" w:rsidRPr="003C55ED" w:rsidRDefault="00C1148C" w:rsidP="00C1148C">
      <w:pPr>
        <w:pStyle w:val="NormalHanging12a"/>
        <w:rPr>
          <w:b/>
          <w:bCs/>
          <w:i/>
          <w:iCs/>
        </w:rPr>
      </w:pPr>
      <w:r w:rsidRPr="003C55ED">
        <w:rPr>
          <w:b/>
          <w:i/>
        </w:rPr>
        <w:t>Rozpočtové a finanční řízení</w:t>
      </w:r>
    </w:p>
    <w:p w14:paraId="1DBD4CA0" w14:textId="77777777" w:rsidR="00C1148C" w:rsidRPr="003C55ED" w:rsidRDefault="00C1148C" w:rsidP="00C1148C">
      <w:pPr>
        <w:pStyle w:val="NormalHanging12a"/>
      </w:pPr>
      <w:r w:rsidRPr="003C55ED">
        <w:t>5.</w:t>
      </w:r>
      <w:r w:rsidRPr="003C55ED">
        <w:tab/>
        <w:t>konstatuje, že konečný rozpočet ESVČ na rozpočtový rok 2024 činil 880 165 703 EUR, což oproti roku 2023 představuje nárůst o 7,09 %; konstatuje, že ESVČ měla k dispozici také částku 359,1 milionu EUR (včetně účelově vázaných příjmů a přenesených částek), kterou poskytla Komise na krytí správních nákladů souvisejících s jejími zaměstnanci pracujícími v delegacích Unie; dále konstatuje, že ESVČ obdržela další příspěvky v pevné výši na pokrytí společných nákladů na zaměstnance Evropského rozvojového fondu v delegacích Unie a v rámci společného umístění, jakož i další částky na základě dohody o společném umístění a dalších dohod; konstatuje, že celkové rozpočtové prostředky, které ESVČ v roce 2024 spravovala, tudíž činily 1 239,3 milionu EUR (prostředky na závazky), což oproti předchozímu roku představuje nárůst o 4,43 %;</w:t>
      </w:r>
    </w:p>
    <w:p w14:paraId="023163E8" w14:textId="77777777" w:rsidR="00C1148C" w:rsidRPr="003C55ED" w:rsidRDefault="00C1148C" w:rsidP="00C1148C">
      <w:pPr>
        <w:pStyle w:val="NormalHanging12a"/>
      </w:pPr>
      <w:r w:rsidRPr="003C55ED">
        <w:t>6.</w:t>
      </w:r>
      <w:r w:rsidRPr="003C55ED">
        <w:tab/>
        <w:t>konstatuje, že v roce 2024 činila míra plnění rozpočtu za běžný rok u prostředků na závazky 100 %, zatímco u prostředků na platby činila 88,4 % ve srovnání s 91,9 % v roce 2023; konstatuje, že průměrná doba splatnosti činila 13,43 dne, avšak 10,69 % z celkového počtu plateb uskutečněných v roce 2024 (což odpovídá celkové částce 57 357 324 EUR) představovaly opožděné platby, v důsledku čehož bylo v roce 2024 za platby úroků z prodlení vyplaceno 37 862,61 EUR; vyzývá ESVČ, aby pokračovala ve svém úsilí o zvýšení počtu elektronických plateb a digitalizaci pracovních toků, zejména pokud jde o elektronické faktury při delegacích Unie;</w:t>
      </w:r>
    </w:p>
    <w:p w14:paraId="3BD25D39" w14:textId="77777777" w:rsidR="00C1148C" w:rsidRPr="003C55ED" w:rsidRDefault="00C1148C" w:rsidP="00C1148C">
      <w:pPr>
        <w:pStyle w:val="NormalHanging12a"/>
      </w:pPr>
      <w:r w:rsidRPr="003C55ED">
        <w:t>7.</w:t>
      </w:r>
      <w:r w:rsidRPr="003C55ED">
        <w:tab/>
        <w:t xml:space="preserve">konstatuje, že ESVČ informovala rozpočtový orgán o dvou rozpočtových převodech v souladu s čl. 29 odst. 1 finančního nařízení a provedla 10 samostatných převodů podle čl. 29 odst. 4, a to v celkové hodnotě 53,6 milionu EUR; konstatuje, že hlavním účelem převodů bylo navýšit rozpočtovou položku 3 0 0 3 „Budovy a související náklady </w:t>
      </w:r>
      <w:r w:rsidRPr="003C55ED">
        <w:lastRenderedPageBreak/>
        <w:t>delegací Unie“ o 33,78 milionu EUR, rozpočtovou položku 2 0 0 2 „Práce spojené s úpravou a zabezpečením prostor“ o 1,7 milionu EUR a rozpočtovou položku 1 2 0 5 „Vyslaní vojenští národní odborníci“ o 1,37 milionu EUR; konstatuje, že po provedení převodů činil konečný rozpočet ústředí ESVČ 349,2 milionu EUR a konečný rozpočet pro delegace Unie 530,9 milionu EUR;</w:t>
      </w:r>
    </w:p>
    <w:p w14:paraId="104F386B" w14:textId="77777777" w:rsidR="00C1148C" w:rsidRPr="003C55ED" w:rsidRDefault="00C1148C" w:rsidP="00C1148C">
      <w:pPr>
        <w:pStyle w:val="NormalHanging12a"/>
      </w:pPr>
      <w:r w:rsidRPr="003C55ED">
        <w:t>8.</w:t>
      </w:r>
      <w:r w:rsidRPr="003C55ED">
        <w:tab/>
        <w:t>konstatuje, že ESVČ čelila několika výzvám, pokud jde o plnění rozpočtu v roce 2024, a to v důsledku silného dopadu protiprávní útočné války Ruska proti Ukrajině, inflačních tlaků, nepříznivých směnných kurzů a dvouprocentního limitu na výdaje nesouvisející s platy, což vedlo k deficitu ve výši 33 milionů EUR pro delegace Unie a výrazně to omezilo jejich operační kapacitu; s uspokojením konstatuje, že ESVČ tyto problémy řešila kombinací strategických úspor a přerozdělováním/převody rozpočtových prostředků; konstatuje, že snížení se týkalo především rozpočtů na služební cesty a reprezentaci, infrastrukturu a bezpečnost; je znepokojen tím, že rozpočtová omezení mohou mít dopad na povinnost ESVČ pečovat o své zaměstnance, zejména pokud jde o údržbu infrastruktury a bezpečnostní standardy v delegacích; vítá balíček nápravných opatření, opakuje však svou výzvu, aby byl rozpočet v souladu s potřebami a cíli ESVČ; vyzývá ESVČ, aby stanovila roční cíle pro omezení opožděných plateb a nákladů na úroky z prodlení a aby standardizovala komplexní postupy elektronické fakturace a elektronického zadávání veřejných zakázek napříč delegacemi; uznává, že je třeba, aby všechny orgány Unie zlepšily své rozpočtové řízení tím, že při uzavírání smluv s poskytovateli služeb zohlední také kolísání cen, zejména v odvětví energetiky;</w:t>
      </w:r>
    </w:p>
    <w:p w14:paraId="4A3409C8" w14:textId="77777777" w:rsidR="00C1148C" w:rsidRPr="003C55ED" w:rsidRDefault="00C1148C" w:rsidP="00C1148C">
      <w:pPr>
        <w:spacing w:after="240"/>
        <w:ind w:left="567" w:hanging="567"/>
      </w:pPr>
      <w:r w:rsidRPr="003C55ED">
        <w:t>9.</w:t>
      </w:r>
      <w:r w:rsidRPr="003C55ED">
        <w:tab/>
      </w:r>
      <w:bookmarkStart w:id="8" w:name="_Hlk221454822"/>
      <w:r w:rsidRPr="003C55ED">
        <w:t xml:space="preserve">na základě slyšení místopředsedkyně Komise, vysoké představitelky na schůzi parlamentního Výboru pro rozpočtovou kontrolu (CONT) dne 17. listopadu 2025 (dále jen „slyšení“) konstatuje, že ESVČ se v posledních několika letech potýká se značnými rozpočtovými omezeními, přičemž této instituci je zároveň svěřován stále širší mandát, čímž rostou i její náklady a potřeby v souvislosti se sítí 145 delegací; vyjadřuje politování nad tím, že nedostatečné financování ESVČ není strukturálně řešeno; podporuje názor ESVČ, že existuje nepoměr mezi úkoly a zdroji, který představuje značnou výzvu z hlediska schopnosti ESVČ plnit v plné míře své cíle a účinně podporovat program zahraniční a bezpečnostní politiky Unie a který </w:t>
      </w:r>
      <w:bookmarkEnd w:id="8"/>
      <w:r w:rsidRPr="003C55ED">
        <w:t>tudíž oslabuje výkon zahraniční politiky Unie v době rychlých geopolitických změn i důvěryhodnost Unie jako globálního aktéra; vyzývá ESVČ, aby upřednostňovala opatření, která přinášejí jasnou přidanou hodnotu pro Unii a její občany, a zároveň se vyhýbala činnostem a projektům, které by mohly ohrozit účinnost a dobré pracovní podmínky zaměstnanců; vyzývá ESVČ, aby napravila nedostatek zaměstnanců v delegacích Unie, zejména na místech, která čelí složitým bezpečnostním nebo geopolitickým výzvám, a aby posílila transparentnost a odpovědnost v náborových řízeních;</w:t>
      </w:r>
    </w:p>
    <w:p w14:paraId="49681E3D" w14:textId="77777777" w:rsidR="00C1148C" w:rsidRPr="003C55ED" w:rsidRDefault="00C1148C" w:rsidP="00C1148C">
      <w:pPr>
        <w:pStyle w:val="NormalHanging12a"/>
        <w:rPr>
          <w:bCs/>
          <w:iCs/>
        </w:rPr>
      </w:pPr>
      <w:r w:rsidRPr="003C55ED">
        <w:t>10.</w:t>
      </w:r>
      <w:r w:rsidRPr="003C55ED">
        <w:tab/>
        <w:t xml:space="preserve">vyzývá Účetní dvůr, aby provedl komplexní audit výkonnosti ESVČ s cílem vyhodnotit účinnost jejích činností ve srovnání s diplomatickými službami zemí OECD; žádá, aby tento audit identifikoval oblasti, v nichž ESVČ poskytuje jedinečnou a nenahraditelnou přidanou hodnotu, a oblasti, v nichž se její činnosti překrývají s činnostmi členských států; současně vyzývá ESVČ, aby provedla analýzu nákladů a přínosů své globální sítě a aby upřednostňovala přidělování zdrojů delegacím v zemích, které jasně přispívají k bezprostředním zájmům Unie, jako je hospodářská prosperita, energetická bezpečnost, ochrana hranic a předcházení nelegálním migračním tokům; trvá na tom, aby byly stanoveny jasné a měřitelné ukazatele výkonnosti s cílem prokázat „efektivnost vynaložených prostředků“ pro občany Unie, a požaduje, aby ESVČ ukončila veškeré </w:t>
      </w:r>
      <w:r w:rsidRPr="003C55ED">
        <w:lastRenderedPageBreak/>
        <w:t>činnosti nebo mise, které jsou na základě těchto posouzení vyhodnoceny jako neúčinné nebo nadbytečné;</w:t>
      </w:r>
    </w:p>
    <w:p w14:paraId="3A5CE92B" w14:textId="77777777" w:rsidR="00C1148C" w:rsidRPr="003C55ED" w:rsidRDefault="00C1148C" w:rsidP="00C1148C">
      <w:pPr>
        <w:pStyle w:val="NormalHanging12a"/>
      </w:pPr>
      <w:r w:rsidRPr="003C55ED">
        <w:t>11.</w:t>
      </w:r>
      <w:r w:rsidRPr="003C55ED">
        <w:tab/>
        <w:t>dále konstatuje, že v roce 2024 byly odloženy investice do nemovitostí a projektů v oblasti informačních technologií a byl snížen počet stážistů; bere na vědomí názor ESVČ, že tato omezení by v konečném důsledku mohla mít dopad na globální působení Unie; varuje, že pokračující odkládání investic a snižování počtu zaměstnanců může ohrozit povinnost ESVČ jednat s náležitou péčí, zejména pokud jde o bezpečnost, duševní zdraví a ochranu zaměstnanců ve vysoce rizikových lokalitách; vyzývá ESVČ, aby předložila plán investic do kritické infrastruktury IT, kybernetické bezpečnosti a služeb péče, včetně analýzy nákladů a přínosů a očekávaného operačního dopadu, aby se zabránilo opakovaným odkladům, které ohrožují efektivitu a bezpečnost zaměstnanců;</w:t>
      </w:r>
    </w:p>
    <w:p w14:paraId="1969FCC0" w14:textId="77777777" w:rsidR="00C1148C" w:rsidRPr="003C55ED" w:rsidRDefault="00C1148C" w:rsidP="00C1148C">
      <w:pPr>
        <w:pStyle w:val="NormalHanging12a"/>
        <w:rPr>
          <w:b/>
          <w:i/>
        </w:rPr>
      </w:pPr>
      <w:r w:rsidRPr="003C55ED">
        <w:t>12.</w:t>
      </w:r>
      <w:r w:rsidRPr="003C55ED">
        <w:tab/>
        <w:t>konstatuje, že finanční strop Evropského mírového nástroje spravovaného v rámci úřadu místopředsedkyně Komise, vysoké představitelky se zvýšil z 12 miliard EUR v roce 2023 na 17 miliard EUR v roce 2024, přičemž těchto dodatečných 5 miliard EUR je určeno na vojenskou podporu Ukrajiny; zdůrazňuje, že výrazné navýšení prostředků Evropského mírového nástroje vyžaduje větší transparentnost a parlamentní dohled; vyzývá k pravidelnému a strukturovanému podávání zpráv orgánu příslušnému k udělení absolutoria o řízení rizik, opatřeních pro monitorování a dodržování hodnot Unie a mezinárodního humanitárního práva; vyzývá ESVČ, aby spolupracovala s Generálním ředitelstvím Komise pro rozšíření a východní sousedství (GŘ pro rozšíření a východní sousedství) na zajištění účinného dohledu a monitorování projektů financovaných z Evropského mírového nástroje; uznává, že Evropský mírový nástroj je v době geopolitického soupeření nezbytným nástrojem pro udržení míru, jehož cílem je budovat stabilitu a jednotnou evropskou obrannou spolupráci;</w:t>
      </w:r>
    </w:p>
    <w:p w14:paraId="12121B55" w14:textId="77777777" w:rsidR="00C1148C" w:rsidRPr="003C55ED" w:rsidRDefault="00C1148C" w:rsidP="00C1148C">
      <w:pPr>
        <w:pStyle w:val="NormalHanging12a"/>
        <w:rPr>
          <w:b/>
          <w:i/>
        </w:rPr>
      </w:pPr>
      <w:r w:rsidRPr="003C55ED">
        <w:t>13.</w:t>
      </w:r>
      <w:r w:rsidRPr="003C55ED">
        <w:tab/>
        <w:t>na základě odpovědí ESVČ na dotazník Výboru pro rozpočtovou kontrolu (CONT) k udělení absolutoria za rok 2024 (dále jen „dotazník“) konstatuje, že ESVČ ve svém ústředí i v delegacích Unie zahájila v roce 2024 celkem 71 zadávacích řízení na zakázky vysoké hodnoty, tj. zakázky přesahující prahovou hodnotu 143 000 EUR na dodávky a služby stanovenou směrnicí Evropského parlamentu a Rady 2014/24/EU</w:t>
      </w:r>
      <w:r w:rsidRPr="003C55ED">
        <w:rPr>
          <w:rStyle w:val="FootnoteReference"/>
        </w:rPr>
        <w:footnoteReference w:id="8"/>
      </w:r>
      <w:r w:rsidRPr="003C55ED">
        <w:t>; konstatuje, že 63 z těchto řízení bylo úspěšných a bylo podepsáno 63 smluv, přičemž 8 řízení bylo neúspěšných; konstatuje, že po vstupu nového finančního nařízení v platnost dne 29. září 2024 bylo řízení zadávání veřejných zakázek pro delegace Unie ve třetích zemích zjednodušeno zavedením samostatného souboru stropů pro zakázky velmi nízké, nízké a střední hodnoty, čímž se řeší dlouhodobý problém související s omezenou schopností místních hospodářských subjektů plnit složité požadavky pravidel Unie pro zadávání veřejných zakázek; očekává, že tato zjednodušení budou lépe odpovídat potřebám hostitelských zemí i delegací Unie, pokud jde o zadávací řízení, aniž by bylo dotčeno dodržování nejvyšších standardů v oblasti transparentnosti, hospodářské soutěže a ochrany proti podvodům; vyzývá ESVČ, aby posoudila dopad těchto změn na míru chyb a rizika pro integritu a podala o něm zprávu;</w:t>
      </w:r>
      <w:r w:rsidRPr="003C55ED">
        <w:rPr>
          <w:b/>
          <w:i/>
        </w:rPr>
        <w:t xml:space="preserve"> </w:t>
      </w:r>
    </w:p>
    <w:p w14:paraId="5BAF4D97" w14:textId="77777777" w:rsidR="00C1148C" w:rsidRPr="003C55ED" w:rsidRDefault="00C1148C" w:rsidP="00C1148C">
      <w:pPr>
        <w:pStyle w:val="NormalHanging12a"/>
      </w:pPr>
      <w:r w:rsidRPr="003C55ED">
        <w:t>14.</w:t>
      </w:r>
      <w:r w:rsidRPr="003C55ED">
        <w:tab/>
        <w:t xml:space="preserve">bere na vědomí skutečnost, že v roce 2024 byla zřízena zvláštní pracovní skupina s cílem zlepšit zadávací řízení ESVČ jak v ústředí, tak v delegacích; je si vědom toho, </w:t>
      </w:r>
      <w:r w:rsidRPr="003C55ED">
        <w:lastRenderedPageBreak/>
        <w:t>že oddělení interního auditu provádělo v roce 2024 poradenskou činnost s cílem zajistit nezávislý přezkum procesu zadávání veřejných zakázek a výsledky jsou v současné době projednávány s příslušnými útvary; vyzývá ESVČ, aby zveřejnila závěry tohoto přezkumu, jakož i seznam opatření přijatých v reakci na zjištěné výzvy;</w:t>
      </w:r>
    </w:p>
    <w:p w14:paraId="6F407F28" w14:textId="77777777" w:rsidR="00C1148C" w:rsidRPr="003C55ED" w:rsidRDefault="00C1148C" w:rsidP="00C1148C">
      <w:pPr>
        <w:pStyle w:val="NormalHanging12a"/>
      </w:pPr>
      <w:r w:rsidRPr="003C55ED">
        <w:t>15.</w:t>
      </w:r>
      <w:r w:rsidRPr="003C55ED">
        <w:tab/>
        <w:t>konstatuje, že počet společných umístění s členskými státy a ostatními partnery v Unii v delegacích Unie na konci roku 2024 činil 137, tedy o jedno méně než v roce 2023; konstatuje, že z celkového počtu společných umístění v roce 2023 bylo 45 uzavřeno s členskými státy a partnerskými zeměmi, 92 s ostatními partnery Unie, přičemž režim společného umístění se na celkových plochách kanceláří v delegacích Unie podílel 9 % a týkal se více než poloviny delegací Unie (80), což lze považovat za příklad úspěšné optimalizace správy budov ESVČ, ale také za ukazatel zvýšeného zájmu partnerů o sdílení prostor ve třetích zemích a významu společného umístění v diplomatických záležitostech;</w:t>
      </w:r>
    </w:p>
    <w:p w14:paraId="185B118D" w14:textId="77777777" w:rsidR="00C1148C" w:rsidRPr="003C55ED" w:rsidRDefault="00C1148C" w:rsidP="00C1148C">
      <w:pPr>
        <w:pStyle w:val="NormalHanging12a"/>
      </w:pPr>
      <w:r w:rsidRPr="003C55ED">
        <w:t>16.</w:t>
      </w:r>
      <w:r w:rsidRPr="003C55ED">
        <w:tab/>
        <w:t>na základě dotazníku konstatuje, že rozpočet na služební cesty v roce 2024 činil 21 582 843 EUR, což představuje nárůst přibližně o 2,33 % ve srovnání s 21 091 935 EUR (aktualizovaný údaj) v roce 2023; konstatuje, že ESVČ nemá samostatnou rozpočtovou položku pro služební cesty a cestovní náklady místopředsedkyně Komise, vysoké představitelky, a že náklady na služební cesty a cestovní náklady místopředsedkyně Komise, vysoké představitelky se dělí mezi ESVČ a Komisi v závislosti na účelu služební cesty; na základě monitorovací zprávy, kterou ESVČ přijala v návaznosti na připomínky Parlamentu obsažené v usnesení o udělení absolutoria za rok 2023 (dále jen „monitorovací zpráva“) však konstatuje, že systém vnitřního řízení ESVČ odděluje služební cesty místopředsedkyně Komise, vysoké představitelky a cesty kolegů, kteří ji doprovázejí, v rámci zvláštního přídělu v hlavní rozpočtové položce pro služební cesty; na základě dotazníku dále konstatuje, že v roce 2024 odstupující místopředseda Komise, vysoký představitel ani nově jmenovaná místopředsedkyně Komise, vysoká představitelka nepodnikli žádnou služební cestu financovanou ESVČ; z monitorovací zprávy vyrozumívá, že konkurenční závazky místopředsedkyně Komise, vysoké představitelky a její velmi naplněný program, často určovaný geopolitickou situací, jí někdy brání při plnění pracovních povinností cestovat pravidelnými leteckými linkami nebo jinými dopravními prostředky; zdůrazňuje však, že vedoucí představitelé orgánů Unie by měli být dobrým příkladem pro veřejnost a občany, zejména pokud při plnění svých povinností využívají zdroje Unie; zdůrazňuje, že volba leteckého spojení by se v případě, že se nabízí více možností, které lze skloubit s harmonogramem a místem konání schůzí, měla řídit zásadou řádného finančního řízení; zdůrazňuje, že transparentnost a řádné finanční řízení při využívání veřejných prostředků Unie musí zůstat základní zásadou pro všechny orgány Unie;</w:t>
      </w:r>
    </w:p>
    <w:p w14:paraId="78BD16FA" w14:textId="77777777" w:rsidR="00C1148C" w:rsidRPr="003C55ED" w:rsidRDefault="00C1148C" w:rsidP="00C1148C">
      <w:pPr>
        <w:pStyle w:val="NormalHanging12a"/>
      </w:pPr>
      <w:r w:rsidRPr="003C55ED">
        <w:rPr>
          <w:b/>
          <w:i/>
        </w:rPr>
        <w:t>Vnitřní řízení, výkonnost a interní kontrola</w:t>
      </w:r>
    </w:p>
    <w:p w14:paraId="09275CF9" w14:textId="77777777" w:rsidR="00C1148C" w:rsidRPr="003C55ED" w:rsidRDefault="00C1148C" w:rsidP="00C1148C">
      <w:pPr>
        <w:pStyle w:val="NormalHanging12a"/>
      </w:pPr>
      <w:r w:rsidRPr="003C55ED">
        <w:t>17.</w:t>
      </w:r>
      <w:r w:rsidRPr="003C55ED">
        <w:tab/>
        <w:t xml:space="preserve">konstatuje, že ESVČ v roce 2024 nadále čelila rostoucím politickým a finančním problémům, jakož i problémům v oblasti lidských práv a právního státu ve stále nestabilnějším geopolitickém prostředí, které se vyznačuje intenzivnějšími hybridními hrozbami pro demokratické systémy; konstatuje, že protiprávní útočná válka Ruska proti Ukrajině a její geopolitické důsledky zůstaly klíčovým tématem i v roce 2024; v této souvislosti zdůrazňuje, že je důležité a potřebné, aby ESVČ hrála ústřední a posílenou klíčovou úlohu při budování strategické autonomie, odolnosti a bezpečnosti Unie, která by měla být zajišťována také prostřednictvím systematického a důsledného boje proti zahraniční manipulaci s informacemi a vměšování a proti dezinformačním </w:t>
      </w:r>
      <w:r w:rsidRPr="003C55ED">
        <w:lastRenderedPageBreak/>
        <w:t>kampaním; konstatuje, že v roce 2024 ESVČ zveřejnila svou druhou zprávu o hrozbách spojených se zahraniční manipulací s informacemi a vměšováním, v níž podrobně popsala 750 incidentů a odhalila operaci nazvanou „</w:t>
      </w:r>
      <w:proofErr w:type="spellStart"/>
      <w:r w:rsidRPr="003C55ED">
        <w:t>False</w:t>
      </w:r>
      <w:proofErr w:type="spellEnd"/>
      <w:r w:rsidRPr="003C55ED">
        <w:t xml:space="preserve"> </w:t>
      </w:r>
      <w:proofErr w:type="spellStart"/>
      <w:r w:rsidRPr="003C55ED">
        <w:t>Façade</w:t>
      </w:r>
      <w:proofErr w:type="spellEnd"/>
      <w:r w:rsidRPr="003C55ED">
        <w:t xml:space="preserve">“ (systém na praní informací ze strany prokremelských subjektů), čímž přispěla k její veřejné </w:t>
      </w:r>
      <w:proofErr w:type="spellStart"/>
      <w:r w:rsidRPr="003C55ED">
        <w:t>atribuci</w:t>
      </w:r>
      <w:proofErr w:type="spellEnd"/>
      <w:r w:rsidRPr="003C55ED">
        <w:t xml:space="preserve"> a ke strategickému povědomí o nepřátelském vměšování ze strany určitých států, a využila systém včasného varování jako ústřední koordinační mechanismus pro případy zahraniční manipulace s informacemi a vměšování v rámci ochrany integrity voleb do Evropského parlamentu; bere na vědomí vydání souboru nástrojů pro odhalování zahraniční manipulace s informacemi a vměšování založených na identitě, uspořádání výroční konference na vysoké úrovni na téma zahraniční manipulace s informacemi a vměšování, vypracování příručky v oblasti společné bezpečnostní a obranné politiky (SBOP) zaměřené na zahraniční manipulaci s informacemi a vměšování, která má zlepšit schopnost misí SBOP odhalovat útoky založené na zahraničních manipulacích s informacemi a vměšování a reagovat na ně, a příspěvek k posílení odolnosti sdělovacích prostředků na akci „</w:t>
      </w:r>
      <w:proofErr w:type="spellStart"/>
      <w:r w:rsidRPr="003C55ED">
        <w:t>Connecting</w:t>
      </w:r>
      <w:proofErr w:type="spellEnd"/>
      <w:r w:rsidRPr="003C55ED">
        <w:t xml:space="preserve"> Media </w:t>
      </w:r>
      <w:proofErr w:type="spellStart"/>
      <w:r w:rsidRPr="003C55ED">
        <w:t>Communities</w:t>
      </w:r>
      <w:proofErr w:type="spellEnd"/>
      <w:r w:rsidRPr="003C55ED">
        <w:t xml:space="preserve">“ v Kosovu, které se zúčastnilo 130 novinářů a ověřovatelů faktů; velmi oceňuje ESVČ za kampaň </w:t>
      </w:r>
      <w:proofErr w:type="spellStart"/>
      <w:r w:rsidRPr="003C55ED">
        <w:t>EUvsDisinfo</w:t>
      </w:r>
      <w:proofErr w:type="spellEnd"/>
      <w:r w:rsidRPr="003C55ED">
        <w:t>, která analyzuje a odhaluje ruské snahy o zahraniční manipulaci s informacemi a vměšování v roce 2024; se znepokojením konstatuje, že počet případů prokremelských dezinformací přesáhl 18 000 záznamů, což potvrzuje rozsah, vytrvalost a strategickou povahu hrozby, kterou představuje zejména Rusko, ale i další nepřátelští aktéři; konstatuje, že některé delegace Unie mají sice úředníka pro strategickou komunikaci, jehož úkolem je analyzovat a řešit případy zahraniční manipulace s informacemi a vměšování, ale shromažďování zpravodajských informací zůstává odpovědností členských států; zdůrazňuje proto, že je třeba posílit koordinaci, strukturované sdílení informací a užší spolupráci s členskými státy a důvěryhodnými partnery; oceňuje, že ESVČ zahájila provoz Střediska pro sdílení a analýzu informací o zahraniční manipulaci s informacemi a vměšování, které má posílit spolupráci a sdílenou znalost situace; uznává, že toto úsilí, podpořené posíleným rozpočtem na kapacity v oblasti strategické komunikace ve výši 6,12 milionu EUR v roce 2024, zajistilo důraznější, koordinovanější a komplexnější reakci celé Unie na hrozby zahraniční manipulace s informacemi a vměšování; podporuje další rozvoj a rozšiřování sítě „obránců před zahraniční manipulací s informacemi a vměšováním“ prostřednictvím iniciativ na budování kapacit; zdůrazňuje, že pro zajištění kontinuity a efektivity boje proti hybridním hrozbám a zahraniční manipulaci s informacemi a vměšování je naprosto zásadní trvalé a předvídatelné financování; domnívá se proto, že je třeba vyvinout úsilí s cílem účinně bojovat proti dezinformačním kampaním a narativům namířeným proti EU, které strategicky šíří autoritářské a neliberální režimy, jež se snaží podkopávat vnější činnost Unie ve třetích zemích;</w:t>
      </w:r>
    </w:p>
    <w:p w14:paraId="46268284" w14:textId="77777777" w:rsidR="00C1148C" w:rsidRPr="003C55ED" w:rsidRDefault="00C1148C" w:rsidP="00C1148C">
      <w:pPr>
        <w:pStyle w:val="NormalHanging12a"/>
      </w:pPr>
      <w:r w:rsidRPr="003C55ED">
        <w:t>18.</w:t>
      </w:r>
      <w:r w:rsidRPr="003C55ED">
        <w:tab/>
        <w:t>zdůrazňuje, že je třeba modernizovat síť delegací Unie, zejména posílením Zpravodajského a informačního centra EU (EU INTCEN) a Střediska ESVČ pro reakci na krize; zdůrazňuje, že posílení analytické kapacity a připravenosti na krize vyžaduje odpovídající personální obsazení, moderní bezpečnost IT a dostatečné administrativní zdroje;</w:t>
      </w:r>
    </w:p>
    <w:p w14:paraId="4E69D56C" w14:textId="77777777" w:rsidR="00C1148C" w:rsidRPr="003C55ED" w:rsidRDefault="00C1148C" w:rsidP="00C1148C">
      <w:pPr>
        <w:pStyle w:val="NormalHanging12a"/>
      </w:pPr>
      <w:r w:rsidRPr="003C55ED">
        <w:t>19.</w:t>
      </w:r>
      <w:r w:rsidRPr="003C55ED">
        <w:tab/>
        <w:t xml:space="preserve">připomíná výzvy Strategického kompasu a Parlamentu k posílení schopností Unie v oblasti zpravodajství a znalosti situace; zdůrazňuje, že rostoucí potřeby Unie v oblasti analýzy a řešení krizí vyžadují navýšení zdrojů přidělených centru EU INTCEN a Středisku ESVČ pro reakci na krize, aby bylo zajištěno, že budou odpovídajícím způsobem vybaveny k plnění svých mandátů ve stále složitějším a náročnějším geopolitickém prostředí; zdůrazňuje ústřední úlohu centra EU INTCEN při poskytování </w:t>
      </w:r>
      <w:r w:rsidRPr="003C55ED">
        <w:lastRenderedPageBreak/>
        <w:t>integrovaných analytických hodnocení ze všech zdrojů na podporu rozhodování v oblasti společné zahraniční a bezpečností politiky (SZBP) a SBOP a upozorňuje na potenciál sítě delegací Unie, aniž by byly dotčeny pravomoci členských států, působit jako klíčový přispěvatel ke znalosti situace prostřednictvím začlenění příslušných informací, které jsou již na místě k dispozici; domnívá se, že jasnější a viditelnější přidělování rozpočtových prostředků pro EU INTCEN by mohlo umožnit větší transparentnost, demokratickou kontrolu a odpovědnost v rámci postupu udělování absolutoria;</w:t>
      </w:r>
    </w:p>
    <w:p w14:paraId="4D2D7769" w14:textId="77777777" w:rsidR="00C1148C" w:rsidRPr="003C55ED" w:rsidRDefault="00C1148C" w:rsidP="00C1148C">
      <w:pPr>
        <w:pStyle w:val="NormalHanging12a"/>
        <w:rPr>
          <w:bCs/>
          <w:iCs/>
        </w:rPr>
      </w:pPr>
      <w:r w:rsidRPr="003C55ED">
        <w:t>20.</w:t>
      </w:r>
      <w:r w:rsidRPr="003C55ED">
        <w:tab/>
        <w:t>vítá zřízení Evropského štítu pro demokracii a vytvoření Evropského střediska pro odolnost demokracie jako důležité kroky k posílení schopnosti Unie bojovat proti zahraniční manipulaci s informacemi a vměšování; vítá záměr rozšířit navrhovaný Evropský štít pro demokracii na přistupující země, a posílit tak jejich schopnost reagovat na hrozby, jako jsou zahraniční manipulace s informacemi a vměšování a dezinformační kampaně; vyzývá Komisi a ESVČ, aby prohloubily spolupráci se zranitelnými zeměmi zapojenými do procesu rozšíření, a to v oblasti informační odolnosti, kybernetické bezpečnosti a hybridních hrozeb; vyzývá ESVČ a delegace Unie ve třetích zemích, aby dále posílily své příslušné kapacity pro boj proti dezinformacím a propagandě namířeným proti SZBP Unie, mimo jiné investováním do komunikačních kampaní zaměřených na boj proti zahraničnímu vlivu;</w:t>
      </w:r>
    </w:p>
    <w:p w14:paraId="644AD58D" w14:textId="77777777" w:rsidR="00C1148C" w:rsidRPr="003C55ED" w:rsidRDefault="00C1148C" w:rsidP="00C1148C">
      <w:pPr>
        <w:pStyle w:val="NormalHanging12a"/>
      </w:pPr>
      <w:r w:rsidRPr="003C55ED">
        <w:t>21.</w:t>
      </w:r>
      <w:r w:rsidRPr="003C55ED">
        <w:tab/>
        <w:t>zdůrazňuje, že oddělení strategické komunikace a výhledu Evropské služby pro vnější činnost (ESVČ) je třeba poskytnout odpovídající zdroje, aby mohlo bojovat proti dezinformacím používaným autoritářskými režimy, jako je zejména Kreml; připomíná, že v Moldavsku a na Ukrajině aktéři napojení na Rusko využívají náboženství, včetně pravoslavné církve pod moskevským patriarchátem, k podrývání demokratické odolnosti; zdůrazňuje, že je důležité posílit diplomacii založenou na víře v rámci vnější činnosti Unie, a vyzývá k vytvoření zvláštní rozpočtové položky ESVČ na podporu dialogu, prosazování mezináboženské tolerance a boj proti geopolitickému zneužívání náboženství;</w:t>
      </w:r>
    </w:p>
    <w:p w14:paraId="25EF7D55" w14:textId="77777777" w:rsidR="00C1148C" w:rsidRPr="003C55ED" w:rsidRDefault="00C1148C" w:rsidP="00C1148C">
      <w:pPr>
        <w:pStyle w:val="NormalHanging12a"/>
        <w:rPr>
          <w:bCs/>
          <w:iCs/>
        </w:rPr>
      </w:pPr>
      <w:r w:rsidRPr="003C55ED">
        <w:t xml:space="preserve">22. </w:t>
      </w:r>
      <w:r w:rsidRPr="003C55ED">
        <w:tab/>
        <w:t>připomíná Komisi výzvu Parlamentu, aby byli zaměstnanci ESVČ odpovídajícím způsobem připraveni zapojit se do dialogu o náboženské svobodě a aby tuto problematiku zahrnula mezi důležité priority své vnější činnosti</w:t>
      </w:r>
      <w:r w:rsidRPr="003C55ED">
        <w:rPr>
          <w:rStyle w:val="FootnoteReference"/>
        </w:rPr>
        <w:footnoteReference w:id="9"/>
      </w:r>
      <w:r w:rsidRPr="003C55ED">
        <w:t>; vyzývá ESVČ, aby na tuto výzvu reagovala rozhodně a své zdroje zvýšila na požadovanou úroveň;</w:t>
      </w:r>
    </w:p>
    <w:p w14:paraId="6FA7EA10" w14:textId="77777777" w:rsidR="00C1148C" w:rsidRPr="003C55ED" w:rsidRDefault="00C1148C" w:rsidP="00C1148C">
      <w:pPr>
        <w:pStyle w:val="NormalHanging12a"/>
        <w:rPr>
          <w:bCs/>
          <w:iCs/>
        </w:rPr>
      </w:pPr>
      <w:r w:rsidRPr="003C55ED">
        <w:t>23.</w:t>
      </w:r>
      <w:r w:rsidRPr="003C55ED">
        <w:tab/>
        <w:t>vyzývá vysokou představitelku, místopředsedkyni Komise, aby posílila mise a operace SBOP Unie prostřednictvím odpovídajícího personálu, zdrojů a flexibilních mandátů, aby mohly účinně reagovat na bezpečnostní výzvy;</w:t>
      </w:r>
    </w:p>
    <w:p w14:paraId="17CB4CE5" w14:textId="77777777" w:rsidR="00C1148C" w:rsidRPr="003C55ED" w:rsidRDefault="00C1148C" w:rsidP="00C1148C">
      <w:pPr>
        <w:pStyle w:val="NormalHanging12a"/>
        <w:rPr>
          <w:bCs/>
          <w:iCs/>
        </w:rPr>
      </w:pPr>
      <w:r w:rsidRPr="003C55ED">
        <w:t>24.</w:t>
      </w:r>
      <w:r w:rsidRPr="003C55ED">
        <w:tab/>
        <w:t>zdůrazňuje, že je důležité zachovat pozorovatelskou misi Evropské unie v Gruzii, aby sledovala situaci na okupovaných územích a zajistila včasné varování a podávání zpráv;</w:t>
      </w:r>
    </w:p>
    <w:p w14:paraId="6D51A203" w14:textId="45C11F11" w:rsidR="00C1148C" w:rsidRPr="003C55ED" w:rsidRDefault="00C1148C" w:rsidP="00C1148C">
      <w:pPr>
        <w:pStyle w:val="NormalHanging12a"/>
        <w:rPr>
          <w:bCs/>
          <w:iCs/>
        </w:rPr>
      </w:pPr>
      <w:r w:rsidRPr="003C55ED">
        <w:t>25.</w:t>
      </w:r>
      <w:r w:rsidRPr="003C55ED">
        <w:tab/>
      </w:r>
      <w:r w:rsidR="00A73AF9" w:rsidRPr="00A73AF9">
        <w:t xml:space="preserve">vyzývá ESVČ, aby omezila politické kontakty s orgány strany Gruzínský sen na nezbytně nutné záležitosti a zároveň zachovala a posílila spolupráci s gruzínskou občanskou společností, nezávislými sdělovacími prostředky a akademickými institucemi; zdůrazňuje, že je důležité i nadále prosazovat evropské normy, demokratické hodnoty a evropskou cestu mezi gruzínským obyvatelstvem a politickými </w:t>
      </w:r>
      <w:r w:rsidR="00A73AF9" w:rsidRPr="00A73AF9">
        <w:lastRenderedPageBreak/>
        <w:t>silami odhodlanými dodržovat demokratické zásady;</w:t>
      </w:r>
    </w:p>
    <w:p w14:paraId="6FC14F76" w14:textId="77777777" w:rsidR="00C1148C" w:rsidRDefault="00C1148C" w:rsidP="00C1148C">
      <w:pPr>
        <w:pStyle w:val="NormalHanging12a"/>
      </w:pPr>
      <w:r w:rsidRPr="003C55ED">
        <w:t>26.</w:t>
      </w:r>
      <w:r w:rsidRPr="003C55ED">
        <w:tab/>
        <w:t>zdůrazňuje, že v roce 2024 Unie za silné podpory ESVČ pokračovala v komplexní politické, vojenské, finanční, diplomatické, humanitární a hospodářské podpoře Ukrajiny v reakci na útočnou válku ze strany Ruska; zdůrazňuje, že jedním z klíčových milníků bylo podepsání společných bezpečnostních závazků mezi EU a Ukrajinou v červnu 2024, přičemž za nejvyšší bezpečnostní záruku pro posílení odolnosti, odstrašujícího efektu a dlouhodobé stability Ukrajiny je považován vstup do Unie; konstatuje, že ESVČ úzce spolupracovala s členskými státy, skupinou G7, NATO a mezinárodními partnery s cílem zachovat jednotu, prosazovat omezující opatření vůči Rusku, zabránit obcházení sankcí a podporovat iniciativy v oblasti vyvozování odpovědnosti, přičemž v rozsáhlé míře využívala kontaktů na celosvětové úrovni na podporu spravedlivého a trvalého míru v souladu s Chartou OSN a mezinárodním právem, včetně opatření přijatých v návaznosti na mírový summit ve Švýcarsku, podpory ukrajinského mírového programu, účasti v Mezinárodní krymské platformě, podpory zřízení zvláštního tribunálu pro zločin agrese a přistoupení Unie k Mezinárodní koalici pro návrat ukrajinských dětí v červnu 2024;</w:t>
      </w:r>
    </w:p>
    <w:p w14:paraId="067CB9A8" w14:textId="0E04E7AC" w:rsidR="00A73AF9" w:rsidRPr="003C55ED" w:rsidRDefault="00F4415A" w:rsidP="00C1148C">
      <w:pPr>
        <w:pStyle w:val="NormalHanging12a"/>
      </w:pPr>
      <w:r>
        <w:t>27</w:t>
      </w:r>
      <w:r w:rsidR="00A73AF9" w:rsidRPr="00A73AF9">
        <w:t>.</w:t>
      </w:r>
      <w:r w:rsidR="00A73AF9" w:rsidRPr="00A73AF9">
        <w:tab/>
        <w:t>znovu potvrzuje, že pokračující politická, vojenská, finanční a humanitární podpora Unie Ukrajině zůstává strategickou prioritou a morální povinností tváří v tvář nezákonné útočné válce Ruska; zdůrazňuje však, že bezprecedentní rozsah pomoci Unie Ukrajině musí být doprovázen stejně bezprecedentními kontrolami, sledovatelností a zárukami proti podvodům, aby byla zachována dlouhodobá politická a veřejná podpora daňových poplatníků Unie; vyzývá ESVČ, aby v úzké spolupráci s úřadem OLAF, úřadem EPPO a Účetním dvorem zajistila plný přístup v reálném čase k informacím o využívání všech finančních prostředků Unie vyplacených na podporu Ukrajiny a aby orgán příslušný k udělení absolutoria každoročně informovala o zjištěných nesrovnalostech, zpětně získaných částkách a nápravných opatřeních;</w:t>
      </w:r>
    </w:p>
    <w:p w14:paraId="6612642A" w14:textId="04FFE6F8" w:rsidR="00C1148C" w:rsidRPr="003C55ED" w:rsidRDefault="00C1148C" w:rsidP="00C1148C">
      <w:pPr>
        <w:spacing w:after="240"/>
        <w:ind w:left="567" w:hanging="567"/>
      </w:pPr>
      <w:r w:rsidRPr="003C55ED">
        <w:t>2</w:t>
      </w:r>
      <w:r w:rsidR="00F4415A">
        <w:t>8</w:t>
      </w:r>
      <w:r w:rsidRPr="003C55ED">
        <w:t>.</w:t>
      </w:r>
      <w:r w:rsidRPr="003C55ED">
        <w:tab/>
        <w:t>připomíná, že je mimořádně důležité, abychom intenzivněji podporovali lidská práva, demokracii a rozvoj ve třetích zemích prostřednictvím finančního rámce Nástroje pro sousedství a rozvojovou a mezinárodní spolupráci – Globální Evropa; zdůrazňuje, že zachování zvláštního financování lidských práv a demokracie, jakož i přístup založený na lidských právech a zohledňování lidských práv v naší podpoře a partnerstvích se třetími zeměmi může posílit postavení Unie na celosvětové úrovni a podpořit její hodnoty; zdůrazňuje, že vzhledem k současné situaci, která se vyznačuje rychlým technologickým pokrokem a geopolitickým soupeřením, by měly být dále navýšeny zdroje určené na digitální diplomacii Unie, zejména s cílem bojovat proti digitálnímu autoritářství, zahraničnímu vměšování a zneužívání vznikajících technologií; vyzývá ESVČ, aby systematicky prováděla posouzení rizik, pokud jde o omezení občanského prostoru v partnerských a třetích zemích, s cílem zajistit, aby se finanční prostředky Unie dostaly k příslušným zúčastněným stranám; trvá na tom, že ekologická transformace by měl</w:t>
      </w:r>
      <w:r w:rsidR="00A73AF9">
        <w:t>a</w:t>
      </w:r>
      <w:r w:rsidRPr="003C55ED">
        <w:t xml:space="preserve"> být </w:t>
      </w:r>
      <w:r w:rsidR="00A73AF9" w:rsidRPr="003C55ED">
        <w:t>podpořen</w:t>
      </w:r>
      <w:r w:rsidR="00A73AF9">
        <w:t>a</w:t>
      </w:r>
      <w:r w:rsidR="00A73AF9" w:rsidRPr="003C55ED">
        <w:t xml:space="preserve"> </w:t>
      </w:r>
      <w:r w:rsidRPr="003C55ED">
        <w:t>odpovídajícími finančními a lidskými zdroji v ESVČ a v delegacích Unie a </w:t>
      </w:r>
      <w:r w:rsidR="00A73AF9" w:rsidRPr="003C55ED">
        <w:t>měl</w:t>
      </w:r>
      <w:r w:rsidR="00A73AF9">
        <w:t>a</w:t>
      </w:r>
      <w:r w:rsidR="00A73AF9" w:rsidRPr="003C55ED">
        <w:t xml:space="preserve"> </w:t>
      </w:r>
      <w:r w:rsidRPr="003C55ED">
        <w:t xml:space="preserve">by být důsledně </w:t>
      </w:r>
      <w:r w:rsidR="00A73AF9" w:rsidRPr="003C55ED">
        <w:t>začleňován</w:t>
      </w:r>
      <w:r w:rsidR="00A73AF9">
        <w:t>a</w:t>
      </w:r>
      <w:r w:rsidR="00A73AF9" w:rsidRPr="003C55ED">
        <w:t xml:space="preserve"> </w:t>
      </w:r>
      <w:r w:rsidRPr="003C55ED">
        <w:t>do politických dialogů, partnerství a vnějších výdajů, a to i ve třetích zemích, a zároveň by měla být zajištěna soudržnost s konkurenceschopností, energetickou bezpečností a hospodářskou odolností partnerských zemí;</w:t>
      </w:r>
    </w:p>
    <w:p w14:paraId="6A999AAA" w14:textId="684C5DB5" w:rsidR="00C1148C" w:rsidRPr="003C55ED" w:rsidRDefault="00C1148C" w:rsidP="00C1148C">
      <w:pPr>
        <w:pStyle w:val="NormalHanging12a"/>
      </w:pPr>
      <w:r w:rsidRPr="003C55ED">
        <w:t>2</w:t>
      </w:r>
      <w:r w:rsidR="00F4415A">
        <w:t>9</w:t>
      </w:r>
      <w:r w:rsidRPr="003C55ED">
        <w:t>.</w:t>
      </w:r>
      <w:r w:rsidRPr="003C55ED">
        <w:tab/>
        <w:t xml:space="preserve">zdůrazňuje, že je třeba, aby ESVČ posílila svou správní a analytickou kapacitu v oblastech rostoucího strategického významu, včetně Arktidy; vyzývá k posílení odborné přípravy zaměstnanců, lepší koordinaci mezi útvary a dostupnosti </w:t>
      </w:r>
      <w:r w:rsidRPr="003C55ED">
        <w:lastRenderedPageBreak/>
        <w:t>odpovídajících zdrojů na podporu posuzování rizik, znalosti situace a spolupráce s příslušnými partnery; zdůrazňuje, že toto budování kapacit musí být plně v souladu s řádným finančním řízením a se stávajícími rozpočtovými omezeními;</w:t>
      </w:r>
    </w:p>
    <w:p w14:paraId="21CF4BD1" w14:textId="54B3C9A3" w:rsidR="00C1148C" w:rsidRPr="003C55ED" w:rsidRDefault="00F4415A" w:rsidP="00C1148C">
      <w:pPr>
        <w:spacing w:after="240"/>
        <w:ind w:left="567" w:hanging="567"/>
      </w:pPr>
      <w:r>
        <w:t>30</w:t>
      </w:r>
      <w:r w:rsidR="00C1148C" w:rsidRPr="003C55ED">
        <w:t>.</w:t>
      </w:r>
      <w:r w:rsidR="00C1148C" w:rsidRPr="003C55ED">
        <w:tab/>
        <w:t>na základě monitorovací zprávy s uspokojením bere na vědomí ústřední úlohu a činnost ESVČ při prosazování míru a stability na Blízkém východě, včetně výzvy k neomezenému přístupu a trvalé distribuci humanitární pomoci v potřebném rozsahu v souladu s mezinárodními humanitárními zásadami; zdůrazňuje, že humanitární pomoc musí být poskytována bezpečným, účinným a odpolitizovaným způsobem a nesmí být odkláněna nebo zneužívána teroristickými nebo ozbrojenými skupinami; konstatuje, že od začátku krize v Gaze využila Unie všechny dostupné humanitární nástroje ke zmírnění utrpení Palestinců v Gaze a na Západním břehu Jordánu, přičemž od října 2023 poskytla humanitární pomoc ve výši 450 milionů EUR, včetně počátečního balíčku pomoci ve výši 120 milionů EUR na rok 2025, a že v konkrétním případě podpory Palestině ze strany Unie jsou zavedené mechanismy podle Komise „spolehlivé a účinně fungují“, což bylo znovu potvrzeno během finančního přezkumu pomoci Unie určené Palestině, který se uskutečnil v listopadu 2023; dále konstatuje, že v dubnu 2025 přijala Komise komplexní víceletý program pro Palestinu v hodnotě až 1,6 miliardy EUR na období 2025–2027 na podporu hospodářského oživení, odolnosti a správy na Západním břehu Jordánu, ve východním Jeruzalémě a v Gaze, přičemž až 620 milionů EUR z tohoto financování je určeno na přímou finanční podporu Palestinské správy; konstatuje, že v květnu 2024 Komise oznámila balíček finanční pomoci ve výši 1 miliardy EUR na pomoc Libanonu při řešení domácích a regionálních problémů; v této souvislosti vítá názor místopředsedkyně Komise, vysoké představitelky, který vyjádřila během slyšení a podle něhož jednou ze základních zásad práva je, že škodu, by měl uhradit ten, kdo ji způsobil; konstatuje, že jakékoli komplexní posouzení škod je i nadále předčasné, dokud nebude umožněn přístup do Gazy; zdůrazňuje však význam zavedení spolehlivých mechanismů monitorování a odpovědnosti, včetně spolehlivých, nezávislých a ověřitelných informací, aby bylo možné posoudit škody a potřeby, jakmile bude umožněn přístup; vyzývá ESVČ, aby i nadále využívala všechny dostupné nástroje, včetně případných humanitárních, diplomatických a finančních nástrojů a případně omezujících opatření, k prosazování mezinárodního řádu založeného na pravidlech a k podpoře trvalého míru a bezpečnosti v regionu;</w:t>
      </w:r>
    </w:p>
    <w:p w14:paraId="289C6586" w14:textId="104B46BD" w:rsidR="00C1148C" w:rsidRPr="003C55ED" w:rsidRDefault="00C1148C" w:rsidP="00C1148C">
      <w:pPr>
        <w:ind w:left="567" w:hanging="567"/>
      </w:pPr>
      <w:r w:rsidRPr="003C55ED">
        <w:t>3</w:t>
      </w:r>
      <w:r w:rsidR="00F4415A">
        <w:t>1</w:t>
      </w:r>
      <w:r w:rsidRPr="003C55ED">
        <w:t>.</w:t>
      </w:r>
      <w:r w:rsidRPr="003C55ED">
        <w:tab/>
        <w:t xml:space="preserve">připomíná svůj postoj k rozpočtu Unie na rok 2026 a význam podpory politických, hospodářských a sociálních reforem v regionu jižního sousedství, včetně řešení rostoucích humanitárních potřeb, a zároveň zajištění toho, aby žádné finanční prostředky Unie nebyly přidělovány veřejným institucím, jednotlivcům nebo sdružením, kteří jsou spojeni s jakýmkoli druhem teroristického hnutí a kteří jednají v přímém rozporu se základními hodnotami Unie, včetně islamistických, antisemitských, protikřesťanských a protiislámských hnutí; připomíná, že ESVČ je odpovědná za poskytování politického vedení a strategického dohledu v oblasti vnější činnosti Unie, zatímco Komise si ponechává plnou odpovědnost za řízení, uzavírání smluv a vyplácení ve vztahu k rozpočtovým zdrojům Unie poskytovaným prováděcím partnerům a mezinárodním organizacím; připomíná, že údajně 19 z 13 000 zaměstnanců UNRWA v pásmu Gazy bylo zapojeno do zavrženíhodných teroristických útoků organizace </w:t>
      </w:r>
      <w:proofErr w:type="spellStart"/>
      <w:r w:rsidRPr="003C55ED">
        <w:t>Hamás</w:t>
      </w:r>
      <w:proofErr w:type="spellEnd"/>
      <w:r w:rsidRPr="003C55ED">
        <w:t xml:space="preserve"> na Izrael dne 7. října 2023;</w:t>
      </w:r>
      <w:r w:rsidRPr="003C55ED">
        <w:rPr>
          <w:color w:val="1C1C1C"/>
        </w:rPr>
        <w:t xml:space="preserve"> </w:t>
      </w:r>
      <w:r w:rsidRPr="003C55ED">
        <w:t xml:space="preserve">bere na vědomí reakci OSN na tato obvinění, včetně vyšetřování, která zahájil Úřad OSN pro vnitřní dohled (OIOS) a po nichž bylo v zájmu agentury oficiálně propuštěno 9 zaměstnanců, jakož i doporučení vydaná v rámci zprávy C. </w:t>
      </w:r>
      <w:proofErr w:type="spellStart"/>
      <w:r w:rsidRPr="003C55ED">
        <w:t>Colonnové</w:t>
      </w:r>
      <w:proofErr w:type="spellEnd"/>
      <w:r w:rsidRPr="003C55ED">
        <w:t xml:space="preserve">; konstatuje, že Komise spolupracuje s agenturou UNRWA na posílení procesů neutrality a kontrolních systémů v agentuře v souladu se zjištěními </w:t>
      </w:r>
      <w:r w:rsidRPr="003C55ED">
        <w:lastRenderedPageBreak/>
        <w:t>vyšetřování, která vedl Úřad OSN pro vnitřní dohled (OIOS), i na sledování uplatňování akčního plánu, který předložila agentura UNRWA; bere na vědomí hodnocení Komise, že agentura UNRWA je i nadále odhodlána provádět dojednaná doporučení a že splnila všechny podmínky dohodnuté s Unií za účelem dalšího financování v roce 2024</w:t>
      </w:r>
      <w:bookmarkStart w:id="9" w:name="_Hlk216258516"/>
      <w:r w:rsidRPr="003C55ED">
        <w:t>; vybízí v této souvislosti Komisi, aby se i nadále angažovala a situaci bedlivě sledovala s cílem zajistit, aby</w:t>
      </w:r>
      <w:bookmarkEnd w:id="9"/>
      <w:r w:rsidRPr="003C55ED">
        <w:t xml:space="preserve"> financování bylo spojeno se spolehlivými zárukami neutrality, transparentnosti a odpovědnosti; konstatuje, že Unie nefinancuje palestinské učebnice a že za ně není odpovědná ani agentura UNRWA, která nicméně všechny vydané učebnice přezkoumává s cílem řešit jakýkoli problematický obsah;</w:t>
      </w:r>
      <w:bookmarkStart w:id="10" w:name="_Hlk216447567"/>
      <w:r w:rsidRPr="003C55ED">
        <w:t xml:space="preserve"> připomíná, že je nezbytné, aby Palestinská správa odstranila všechny vzdělávací materiály a obsah, které nesplňují normy UNESCO, zejména ty, které podporují antisemitismus a podněcují násilí, jimž by palestinské děti neměly být vystaveny;</w:t>
      </w:r>
      <w:bookmarkEnd w:id="10"/>
      <w:r w:rsidRPr="003C55ED">
        <w:t xml:space="preserve"> připomíná, že na výše uvedené vzdělávací materiály by neměly být přímo ani nepřímo přidělovány žádné finanční prostředky Unie; zdůrazňuje, že finanční podpora Unie Palestinské správě v oblasti vzdělávání by měla být poskytována pod podmínkou, že obsah učebnic bude v odpovídat normám UNESCO v souladu se zjištěními obsaženými ve zprávě Institutu Georga Eckerta, která odhalila komplexní situaci v souvislosti s učebnicemi;</w:t>
      </w:r>
    </w:p>
    <w:p w14:paraId="12EF7BEE" w14:textId="77777777" w:rsidR="00C1148C" w:rsidRPr="003C55ED" w:rsidRDefault="00C1148C" w:rsidP="00C1148C">
      <w:pPr>
        <w:ind w:left="567" w:hanging="567"/>
      </w:pPr>
    </w:p>
    <w:p w14:paraId="0872206C" w14:textId="32E56FF1" w:rsidR="00C1148C" w:rsidRPr="003C55ED" w:rsidRDefault="00C1148C" w:rsidP="00C1148C">
      <w:pPr>
        <w:spacing w:after="240"/>
        <w:ind w:left="567" w:hanging="567"/>
      </w:pPr>
      <w:r w:rsidRPr="003C55ED">
        <w:t>3</w:t>
      </w:r>
      <w:r w:rsidR="00F4415A">
        <w:t>2</w:t>
      </w:r>
      <w:r w:rsidRPr="003C55ED">
        <w:t>.</w:t>
      </w:r>
      <w:r w:rsidRPr="003C55ED">
        <w:tab/>
        <w:t xml:space="preserve">vyjadřuje hluboké znepokojení nad zprávou o interních podezřelých dokumentech </w:t>
      </w:r>
      <w:proofErr w:type="spellStart"/>
      <w:r w:rsidRPr="003C55ED">
        <w:t>Hamásu</w:t>
      </w:r>
      <w:proofErr w:type="spellEnd"/>
      <w:r w:rsidRPr="003C55ED">
        <w:t xml:space="preserve"> z let 2018 až 2022, které izraelské obranné síly původně nalezly v Pásmu Gazy a které byly později odtajněny a šířeny prostřednictvím nevládní organizace Monitor a které údajně svědčí o pokusech </w:t>
      </w:r>
      <w:proofErr w:type="spellStart"/>
      <w:r w:rsidRPr="003C55ED">
        <w:t>Hamásu</w:t>
      </w:r>
      <w:proofErr w:type="spellEnd"/>
      <w:r w:rsidRPr="003C55ED">
        <w:t xml:space="preserve"> o infiltraci a monitorování prostřednictvím tzv. „ručitelů“ mezinárodních nevládních organizací, a to i v rámci humanitárních projektů financovaných Unií v Pásmu Gazy; připomíná, že do značné míry v reakci na požadavky Parlamentu byly od roku 2023 dále posilovány ověřovací mechanismy, včetně zvláštních auditů, analýz rizik a dodatečného externího monitorování; zdůrazňuje, že veškerá tvrzení o možném zneužití finančních prostředků daňových poplatníků Unie by měla být pečlivě ověřena, a naléhavě vyzývá Komisi, aby prošetřila veškerá obvinění z jakéhokoli druhu nepatřičné infiltrace a ovlivňování v rámci humanitárních projektů financovaných Unií a aby pozastavila nebo získala zpět finanční prostředky Unie, pokud se porušení předpisů potvrdí; zdůrazňuje, že veškerá tvrzení o zneužití finančních prostředků Unie, které byly nepřímo přesměrovány teroristickým organizacím, podkopává integritu pomoci Unie; varuje, že v ozbrojených konfliktech jsou dezinformace a informační válka vedená pro strategické účely běžnými postupy;</w:t>
      </w:r>
    </w:p>
    <w:p w14:paraId="1D52833D" w14:textId="27043BA1" w:rsidR="00C1148C" w:rsidRPr="003C55ED" w:rsidRDefault="00C1148C" w:rsidP="00C1148C">
      <w:pPr>
        <w:spacing w:after="240"/>
        <w:ind w:left="567" w:hanging="567"/>
      </w:pPr>
      <w:r w:rsidRPr="003C55ED">
        <w:t>3</w:t>
      </w:r>
      <w:r w:rsidR="00F4415A">
        <w:t>3</w:t>
      </w:r>
      <w:r w:rsidRPr="003C55ED">
        <w:t>.</w:t>
      </w:r>
      <w:r w:rsidRPr="003C55ED">
        <w:tab/>
        <w:t>připomíná, že miliony lidí na celém světě čelí diskriminaci, pronásledování nebo násilí z důvodu svého náboženského vyznání nebo přesvědčení; vyzývá Komisi a ESVČ, aby v rámci svých příslušných pravomocí zajišťovaly i nadále vyváženou politickou pozornost, koordinaci a odpovědnost při řešení všech forem náboženské nenávisti a netolerance, včetně nenávisti vůči křesťanství a islámu a antisemitismu, a aby pravidelně informovaly Parlament o přijatých relevantních opatřeních a zdrojích uvolněných za tímto účelem;</w:t>
      </w:r>
    </w:p>
    <w:p w14:paraId="018170E3" w14:textId="6870697A" w:rsidR="00C1148C" w:rsidRPr="003C55ED" w:rsidRDefault="00C1148C" w:rsidP="00C1148C">
      <w:pPr>
        <w:pStyle w:val="NormalHanging12a"/>
      </w:pPr>
      <w:r w:rsidRPr="003C55ED">
        <w:t>3</w:t>
      </w:r>
      <w:r w:rsidR="00F4415A">
        <w:t>4</w:t>
      </w:r>
      <w:r w:rsidRPr="003C55ED">
        <w:t>.</w:t>
      </w:r>
      <w:r w:rsidRPr="003C55ED">
        <w:tab/>
        <w:t xml:space="preserve">na základě monitorovací zprávy bere na vědomí pokračující úsilí ESVČ o podporu dialogu o politické, ekonomické a sociální situaci, právním státě a boji proti korupci a o posílení demokracie a lidských práv v různých zemích; vítá skutečnost, že ESVČ a delegace Unie pokračují ve spolupráci se zástupci vnitrostátních správních orgánů a institucí, organizací občanské společnosti, zúčastněných stran se zaměřením na demokratickou správu věcí veřejných, lidská práva, sdělovací prostředky, sociální partnery a mezinárodní a regionální organizace; konstatuje, že podpora obránců lidských práv a práv žen, včetně obránců a obránkyň z řad původního obyvatelstva, </w:t>
      </w:r>
      <w:r w:rsidRPr="003C55ED">
        <w:lastRenderedPageBreak/>
        <w:t>patří mezi klíčové priority ESVČ v souladu s akčním plánem Unie pro lidská práva a demokracii na období 2020–2027 a je rozvíjena prostřednictvím řady činností, jako jsou politický dialog, politické zpravodajství, veřejná diplomacie, mnohostranná fóra či výroční zprávy o dodržování lidských práv; vyzývá ESVČ a delegace Unie, aby dále zintenzivnily svou práci při poskytování pomoci a logistické a technologické podpory obráncům lidských práv a při spolupráci s nimi v souladu s obecnými zásadami EU týkajícími se ochránců lidských práv, se zvláštním zaměřením na ženy;</w:t>
      </w:r>
    </w:p>
    <w:p w14:paraId="5DD47101" w14:textId="3B8B4CEE" w:rsidR="00C1148C" w:rsidRPr="003C55ED" w:rsidRDefault="00C1148C" w:rsidP="00C1148C">
      <w:pPr>
        <w:pStyle w:val="NormalHanging12a"/>
      </w:pPr>
      <w:r w:rsidRPr="003C55ED">
        <w:t>3</w:t>
      </w:r>
      <w:r w:rsidR="00F4415A">
        <w:t>5</w:t>
      </w:r>
      <w:r w:rsidRPr="003C55ED">
        <w:t>.</w:t>
      </w:r>
      <w:r w:rsidRPr="003C55ED">
        <w:tab/>
        <w:t>na základě dotazníku konstatuje, že útvar pro správu a řízení, zřízený v roce 2023, plní důležitou úlohu při zlepšování správy a řízení ESVČ tím, že poskytuje podporu při přípravě ročních plánů řízení ESVČ a výročních zpráv o činnosti, při posilování procesů řízení rizik, při řešení systémových problémů služby v delegacích Unie a při provádění koncepce „jedné delegace“, jejímž cílem je snížit roztříštěnost v oblasti řízení a podávání zpráv a dokumentovat opakující se problémy a osvědčené postupy v ústředí i v delegacích Unie; vyzývá ESVČ, aby urychleně řešila nedostatky ve vnitřních kontrolách a správě dokumentů, na které upozornil Účetní dvůr, s cílem zlepšit integritu správy informací a zajistit jednotné podávání zpráv napříč delegacemi Unie;</w:t>
      </w:r>
    </w:p>
    <w:p w14:paraId="3A002A93" w14:textId="6A13179B" w:rsidR="00C1148C" w:rsidRPr="003C55ED" w:rsidRDefault="00C1148C" w:rsidP="00C1148C">
      <w:pPr>
        <w:pStyle w:val="NormalHanging12a"/>
      </w:pPr>
      <w:r w:rsidRPr="003C55ED">
        <w:t>3</w:t>
      </w:r>
      <w:r w:rsidR="00F4415A">
        <w:t>6</w:t>
      </w:r>
      <w:r w:rsidRPr="003C55ED">
        <w:t>.</w:t>
      </w:r>
      <w:r w:rsidRPr="003C55ED">
        <w:tab/>
        <w:t>na základě monitorovací zprávy a dotazníku s uspokojením konstatuje, že ESVČ vyvíjí úsilí o feministickou diplomacii, přestože hlavní úlohu při stanovování hlavních směrů vnější činnosti Unie mají členské státy; vítá zejména opatření přijatá za účelem rychlejšího plnění závazků Unie v rámci akčního plánu EU pro rovnost žen a mužů (GAP) III; konstatuje, že velvyslankyně Unie pro gender a rozmanitost se zapojila do úsilí o začlenění genderového hlediska do dialogů o lidských právech a do klíčových mnohostranných prohlášení a rezolucí; dále konstatuje, že klíčovým prvkem institucionalizace začleňování hlediska rovnosti žen a mužů je i nadále vedení zohledňující genderové hledisko; v této souvislosti vítá jmenování kontaktních míst pro rovnost žen a mužů v listopadu 2024; konstatuje, že akční plán GAP III skončí v roce 2027, a naléhavě vyzývá ESVČ, aby za tímto účelem vypracovala ambicióznější akční plán GAP IV, který zajistí silnější vazbu mezi právy žen a posílením jejich postavení na jedné straně a zahraniční a bezpečnostní politikou Unie na straně druhé a bude připraven k provádění od roku 2028;</w:t>
      </w:r>
    </w:p>
    <w:p w14:paraId="336E2E55" w14:textId="797D8AA5" w:rsidR="00C1148C" w:rsidRPr="003C55ED" w:rsidRDefault="00C1148C" w:rsidP="00C1148C">
      <w:pPr>
        <w:pStyle w:val="NormalHanging12a"/>
      </w:pPr>
      <w:r w:rsidRPr="003C55ED">
        <w:t>3</w:t>
      </w:r>
      <w:r w:rsidR="00F4415A">
        <w:t>7</w:t>
      </w:r>
      <w:r w:rsidRPr="003C55ED">
        <w:t>.</w:t>
      </w:r>
      <w:r w:rsidRPr="003C55ED">
        <w:tab/>
        <w:t>zdůrazňuje, že Unie musí navýšit financování s cílem posílit zvláštní rozpočtovou položku v rámci zahraniční politiky Unie, která je konkrétně zaměřena na podporu genderové rovnosti a agendy žen, míru a bezpečnosti, aby se zajistilo konzistentní financování iniciativ, které podporují vedení zohledňující genderovou rovnost, chrání práva žen a bojují proti sexuálnímu a genderově podmíněnému násilí v konfliktním a </w:t>
      </w:r>
      <w:proofErr w:type="spellStart"/>
      <w:r w:rsidRPr="003C55ED">
        <w:t>postkonfliktním</w:t>
      </w:r>
      <w:proofErr w:type="spellEnd"/>
      <w:r w:rsidRPr="003C55ED">
        <w:t xml:space="preserve"> prostředí; zdůrazňuje, že toto financování má zásadní význam pro podporu místních organizací občanské společnosti, poskytování podpory zaměřené na oběti a začleňování hlediska genderové rovnosti do diplomatických a bezpečnostních aktivit Unie;</w:t>
      </w:r>
    </w:p>
    <w:p w14:paraId="24F4400F" w14:textId="603CC703" w:rsidR="00C1148C" w:rsidRPr="003C55ED" w:rsidRDefault="00C1148C" w:rsidP="00C1148C">
      <w:pPr>
        <w:pStyle w:val="NormalHanging12a"/>
      </w:pPr>
      <w:r w:rsidRPr="003C55ED">
        <w:t>3</w:t>
      </w:r>
      <w:r w:rsidR="00F4415A">
        <w:t>8</w:t>
      </w:r>
      <w:r w:rsidRPr="003C55ED">
        <w:t>.</w:t>
      </w:r>
      <w:r w:rsidRPr="003C55ED">
        <w:tab/>
        <w:t xml:space="preserve">považuje volební pozorovatelskou misi za praktický a účinný nástroj zahraniční politiky, který je i nadále ústředním prvkem politik a strategií Unie na podporu demokracie; na základě monitorovací zprávy konstatuje, že ESVČ nemá v úmyslu rozšířit pozorovatelskou činnost na kandidátské a sousední země, protože tyto země dostatečně pokrývají pozorovatelské mise pod vedením Úřadu OBSE pro demokratické instituce a lidská práva, který používá podobnou metodiku jako Unie a často využívá odborníky ze stejného okruhu specialistů; opakuje však svou výzvu Unii, aby pro své volební pozorovatelské mise zajistila odpovídající zdroje, včetně odborných znalostí </w:t>
      </w:r>
      <w:r w:rsidRPr="003C55ED">
        <w:lastRenderedPageBreak/>
        <w:t>v rámci metodik pozorování voleb, pokud jde o integritu informací na internetu a rizicích vměšování;</w:t>
      </w:r>
    </w:p>
    <w:p w14:paraId="494A365F" w14:textId="16ABADA9" w:rsidR="00C1148C" w:rsidRPr="003C55ED" w:rsidRDefault="00C1148C" w:rsidP="00C1148C">
      <w:pPr>
        <w:pStyle w:val="NormalHanging12a"/>
      </w:pPr>
      <w:r w:rsidRPr="003C55ED">
        <w:t>3</w:t>
      </w:r>
      <w:r w:rsidR="00F4415A">
        <w:t>9</w:t>
      </w:r>
      <w:r w:rsidRPr="003C55ED">
        <w:t>.</w:t>
      </w:r>
      <w:r w:rsidRPr="003C55ED">
        <w:tab/>
        <w:t>na základě monitorovací zprávy s uspokojením bere na vědomí úsilí o ochranu dětí v regionech postižených konflikty, které Unie vyvíjela v roce 2024 prostřednictvím svých delegací; vítá aktualizaci pokynů Unie pro děti a ozbrojené konflikty v roce 2024, které poskytují rámec pro posílení ochrany a předcházení závažnému porušování práv dětí v době války;</w:t>
      </w:r>
    </w:p>
    <w:p w14:paraId="3F14B9D2" w14:textId="5331F1A1" w:rsidR="00C1148C" w:rsidRPr="003C55ED" w:rsidRDefault="00F4415A" w:rsidP="00C1148C">
      <w:pPr>
        <w:pStyle w:val="NormalHanging12a"/>
      </w:pPr>
      <w:r>
        <w:t>40</w:t>
      </w:r>
      <w:r w:rsidR="00C1148C" w:rsidRPr="003C55ED">
        <w:t>.</w:t>
      </w:r>
      <w:r w:rsidR="00C1148C" w:rsidRPr="003C55ED">
        <w:tab/>
        <w:t xml:space="preserve">připomíná, že v roce 2021 navrhl Evropský parlament pilotní projekt nazvaný „Směrem ke zřízení Diplomatické akademie Evropské unie (EUDA)“ s cílem připravit potřebné množství evropských diplomatů vyškolených v oblasti zahraničních vztahů a bezpečnosti Unie a vytvořit evropskou diplomatickou kulturu, jejímž cílem je posílit úlohu Unie jako účinného aktéra zahraniční politiky; konstatuje, že první fáze tohoto pilotního projektu, která proběhla v akademickém roce 2022–2023, se zúčastnilo 42 mladých diplomatů, zatímco druhá fáze, která proběhla v akademickém roce 2023–2024, se zúčastnilo 50 mladých diplomatů; konstatuje, že druhá fáze proběhla ve dvou stejných čtyřměsíčních kurzech, po nichž následovala jednoměsíční školení v ústředí ESVČ v Bruselu; konstatuje, že kurzy a vzdělávací programy byly realizovány akademickým konsorciem vytvořeným </w:t>
      </w:r>
      <w:proofErr w:type="spellStart"/>
      <w:r w:rsidR="00C1148C" w:rsidRPr="003C55ED">
        <w:t>College</w:t>
      </w:r>
      <w:proofErr w:type="spellEnd"/>
      <w:r w:rsidR="00C1148C" w:rsidRPr="003C55ED">
        <w:t xml:space="preserve"> </w:t>
      </w:r>
      <w:proofErr w:type="spellStart"/>
      <w:r w:rsidR="00C1148C" w:rsidRPr="003C55ED">
        <w:t>of</w:t>
      </w:r>
      <w:proofErr w:type="spellEnd"/>
      <w:r w:rsidR="00C1148C" w:rsidRPr="003C55ED">
        <w:t xml:space="preserve"> </w:t>
      </w:r>
      <w:proofErr w:type="spellStart"/>
      <w:r w:rsidR="00C1148C" w:rsidRPr="003C55ED">
        <w:t>Europe</w:t>
      </w:r>
      <w:proofErr w:type="spellEnd"/>
      <w:r w:rsidR="00C1148C" w:rsidRPr="003C55ED">
        <w:t xml:space="preserve"> v belgických Bruggách a v polském </w:t>
      </w:r>
      <w:proofErr w:type="spellStart"/>
      <w:r w:rsidR="00C1148C" w:rsidRPr="003C55ED">
        <w:t>Natolinu</w:t>
      </w:r>
      <w:proofErr w:type="spellEnd"/>
      <w:r w:rsidR="00C1148C" w:rsidRPr="003C55ED">
        <w:t xml:space="preserve">; na základě dotazníku konstatuje, že v souladu se smlouvou o poskytování služeb EEAS/2022/OP/0168-2023 vypracovala </w:t>
      </w:r>
      <w:proofErr w:type="spellStart"/>
      <w:r w:rsidR="00C1148C" w:rsidRPr="003C55ED">
        <w:t>College</w:t>
      </w:r>
      <w:proofErr w:type="spellEnd"/>
      <w:r w:rsidR="00C1148C" w:rsidRPr="003C55ED">
        <w:t xml:space="preserve"> </w:t>
      </w:r>
      <w:proofErr w:type="spellStart"/>
      <w:r w:rsidR="00C1148C" w:rsidRPr="003C55ED">
        <w:t>of</w:t>
      </w:r>
      <w:proofErr w:type="spellEnd"/>
      <w:r w:rsidR="00C1148C" w:rsidRPr="003C55ED">
        <w:t xml:space="preserve"> </w:t>
      </w:r>
      <w:proofErr w:type="spellStart"/>
      <w:r w:rsidR="00C1148C" w:rsidRPr="003C55ED">
        <w:t>Europe</w:t>
      </w:r>
      <w:proofErr w:type="spellEnd"/>
      <w:r w:rsidR="00C1148C" w:rsidRPr="003C55ED">
        <w:t xml:space="preserve"> závěrečnou zprávu obsahující hodnocení druhé fáze pilotního projektu; vyzývá ESVČ, aby orgánu příslušnému pro udělení absolutoria tuto zprávu poskytla; na základě zprávy ESVČ o roční účetní závěrce za roky 2022, 2023 a 2024, pokud jde o plnění rozpočtu pilotních fází Diplomatické akademie EU, konstatuje, že ESVČ vyplatila v roce 2022 částku 831 000 EUR, v roce 2023 částku 120 000 EUR a v roce 2024 částku 862 000 EUR; žádá ESVČ, aby v rámci postupu udělování absolutoria poskytla Parlamentu kopie veškeré dokumentace týkající se provedených zadávacích řízení, podepsaných smluv a provedených plateb v souvislosti s první a druhou fází pilotního projektu Diplomatické akademie EU;</w:t>
      </w:r>
    </w:p>
    <w:p w14:paraId="192988EE" w14:textId="3E0F8109" w:rsidR="00C1148C" w:rsidRPr="003C55ED" w:rsidRDefault="00C1148C" w:rsidP="00C1148C">
      <w:pPr>
        <w:pStyle w:val="NormalHanging12a"/>
      </w:pPr>
      <w:r w:rsidRPr="003C55ED">
        <w:t>4</w:t>
      </w:r>
      <w:r w:rsidR="00F4415A">
        <w:t>1</w:t>
      </w:r>
      <w:r w:rsidRPr="003C55ED">
        <w:t>.</w:t>
      </w:r>
      <w:r w:rsidRPr="003C55ED">
        <w:tab/>
        <w:t xml:space="preserve">dále konstatuje, že dne 21. května 2024 přijala Rada na základě zkušeností a struktury vypracovaných v pilotních fázích rozhodnutí o zřízení plnohodnotné Diplomatické akademie EU, a to na čtyři akademické roky, počínaje rokem 2024–2025, přičemž zajišťováním kurzů a vzdělávacích činností byla pověřena </w:t>
      </w:r>
      <w:proofErr w:type="spellStart"/>
      <w:r w:rsidRPr="003C55ED">
        <w:t>College</w:t>
      </w:r>
      <w:proofErr w:type="spellEnd"/>
      <w:r w:rsidRPr="003C55ED">
        <w:t xml:space="preserve"> </w:t>
      </w:r>
      <w:proofErr w:type="spellStart"/>
      <w:r w:rsidRPr="003C55ED">
        <w:t>of</w:t>
      </w:r>
      <w:proofErr w:type="spellEnd"/>
      <w:r w:rsidRPr="003C55ED">
        <w:t xml:space="preserve"> </w:t>
      </w:r>
      <w:proofErr w:type="spellStart"/>
      <w:r w:rsidRPr="003C55ED">
        <w:t>Europe</w:t>
      </w:r>
      <w:proofErr w:type="spellEnd"/>
      <w:r w:rsidRPr="003C55ED">
        <w:t>, zatímco za činnost Diplomatické akademie EU bude odpovídat místopředsedkyně Komise, vysoká představitelka, která bude přijímat pokyny od řídícího výboru složeného ze zástupců jmenovaných každým členským státem a ze zástupců Parlamentu, Rady a Komise; z tohoto rozhodnutí vyplývá, že plánovaná částka 1,72 milionu EUR pokrývá období od 1. července 2024 do 30. června 2025, přičemž na řízení výdajů v souvislosti s Diplomatickou akademií EU dohlíží Komise prostřednictvím Služby nástrojů zahraniční politiky;</w:t>
      </w:r>
    </w:p>
    <w:p w14:paraId="6976CB8E" w14:textId="73D5FE0C" w:rsidR="00C1148C" w:rsidRPr="003C55ED" w:rsidRDefault="00C1148C" w:rsidP="00C1148C">
      <w:pPr>
        <w:pStyle w:val="NormalHanging12a"/>
      </w:pPr>
      <w:r w:rsidRPr="003C55ED">
        <w:t>4</w:t>
      </w:r>
      <w:r w:rsidR="00F4415A">
        <w:t>2</w:t>
      </w:r>
      <w:r w:rsidRPr="003C55ED">
        <w:t>.</w:t>
      </w:r>
      <w:r w:rsidRPr="003C55ED">
        <w:tab/>
        <w:t xml:space="preserve">bere na vědomí, že v návaznosti na zřízení útvaru pro správu a řízení v roce 2023 upravila ESVČ v roce 2024 svůj rámec vnitřní kontroly tak, aby zohledňoval úlohu ředitele pro správu a řízení, a zavedla mechanismus monitorování vnitřních kontrol; na základě dotazníku konstatuje, že rámec vnitřní kontroly ESVČ je v souladu s rámcem vnitřní kontroly Komise; konstatuje, že kromě standardního každoročního hodnocení svého systému vnitřní kontroly provedla ESVČ v roce 2024 průzkum mezi 167 dotázanými/zaměstnanci, kteří měli odpovědnost dále pověřené schvalující osoby, </w:t>
      </w:r>
      <w:r w:rsidRPr="003C55ED">
        <w:lastRenderedPageBreak/>
        <w:t>a výsledky tohoto průzkumu jsou projednávány na úrovni vyššího vedení ve výboru pro vnitřní kontrolu ESVČ; konstatuje, že tento průzkum poukázal na 183 oblastí, kterým je třeba věnovat pozornost, zejména pokud jde o výzvy, s nimiž se potýkají delegace Unie, jako je informovanost o vnitřních kontrolních mechanismech a řízení rizik, nábor a udržení kvalifikovaných pracovníků či služby informačních technologií; vítá skutečnost, že ESVČ vypracovala akční plán, který má odstranit stávající obavy a proaktivně řešit potenciální rizika; žádá ESVČ, aby orgán příslušný k udělení absolutoria v této věci průběžně informovala;</w:t>
      </w:r>
    </w:p>
    <w:p w14:paraId="0D6BF02A" w14:textId="73801302" w:rsidR="00C1148C" w:rsidRPr="003C55ED" w:rsidRDefault="00C1148C" w:rsidP="00C1148C">
      <w:pPr>
        <w:pStyle w:val="NormalHanging12a"/>
      </w:pPr>
      <w:r w:rsidRPr="003C55ED">
        <w:t>4</w:t>
      </w:r>
      <w:r w:rsidR="00F4415A">
        <w:t>3</w:t>
      </w:r>
      <w:r w:rsidRPr="003C55ED">
        <w:t>.</w:t>
      </w:r>
      <w:r w:rsidRPr="003C55ED">
        <w:tab/>
        <w:t>vybízí ESVČ, aby posílila vnitřní kontroly a systémy správy dokumentů a řešila nedostatky zjištěné Účetním dvorem, zejména ty, které se týkají správy informací a podávání zpráv ze strany delegací Unie;</w:t>
      </w:r>
    </w:p>
    <w:p w14:paraId="00E92C1E" w14:textId="13662F49" w:rsidR="00C1148C" w:rsidRPr="003C55ED" w:rsidRDefault="00C1148C" w:rsidP="00C1148C">
      <w:pPr>
        <w:pStyle w:val="NormalHanging12a"/>
      </w:pPr>
      <w:r w:rsidRPr="003C55ED">
        <w:t>4</w:t>
      </w:r>
      <w:r w:rsidR="00F4415A">
        <w:t>4</w:t>
      </w:r>
      <w:r w:rsidRPr="003C55ED">
        <w:t>.</w:t>
      </w:r>
      <w:r w:rsidRPr="003C55ED">
        <w:tab/>
        <w:t>konstatuje, že ESVČ používá dva režimy předběžného ověřování, pokud jde o finanční transakce (závazky, platby a inkasní příkazy); konstatuje, že jeden typ předběžného ověřování je decentralizovaný, tj. prováděný nezávisle na příslušné dále pověřené schvalující osobě, pro platby spojené s fakturami, jejichž částka je (od roku 2024) nižší než 15 000 EUR; konstatuje, že u všech ostatních finančních transakcí zajišťují předběžné ověření interně provozní útvary nebo delegace Unie; konstatuje, že dva způsoby předběžného ověřování existují také pro zadávací řízení: jeden režim pro zakázky, jejichž hodnota se rovná prahové hodnotě stanovené ve směrnici 2014/24/EU nebo je vyšší, prováděný nezávisle na dále pověřené schvalující osobě z oddělení odpovědného za zadávací dokumentaci, a druhý režim zajišťovaný interně odpovědným oddělením pro zakázky (velmi) nízké a střední hodnoty;</w:t>
      </w:r>
    </w:p>
    <w:p w14:paraId="0C4E1880" w14:textId="5230CB3A" w:rsidR="00C1148C" w:rsidRPr="003C55ED" w:rsidRDefault="00C1148C" w:rsidP="00C1148C">
      <w:pPr>
        <w:pStyle w:val="NormalHanging12a"/>
      </w:pPr>
      <w:r w:rsidRPr="003C55ED">
        <w:t>4</w:t>
      </w:r>
      <w:r w:rsidR="00F4415A">
        <w:t>5</w:t>
      </w:r>
      <w:r w:rsidRPr="003C55ED">
        <w:t>.</w:t>
      </w:r>
      <w:r w:rsidRPr="003C55ED">
        <w:tab/>
        <w:t>konstatuje, že u finančních chyb odpovídá zjištěná míra chyb chybám zjištěným v rámci následných kontrol (po provedení platby / inkasa pohledávek), které se promítají do zbytkové chyby, jež rovněž odráží chyby, u nichž se předpokládá, že ovlivňují výdaje a příjmy, které nebyly podrobeny kontrole; konstatuje, že v roce 2024 činila míra zbytkových finančních chyb u výdajů ESVČ 0,03 % a u příjmů 0,05 %; v souvislosti s chybami při zadávání veřejných zakázek konstatuje, že ESVČ v roce 2024 aktualizovala svou metodiku následných kontrol, čímž ji sladila s přístupem Komise, pokud jde o výpočet chyb při zadávání veřejných zakázek, který upouští od pojmu zbytkové chyby, jelikož finanční dopad chyb při zadávání veřejných zakázek nelze vyčíslit stejným způsobem jako finanční chyby; konstatuje, že na základě této nové metodiky byla hodnota zjištěných chyb při zadávání veřejných zakázek v roce 2024 stanovena na 49 774 108 EUR (ve srovnání s 23 392 948 EUR v roce 2023), tj. 4,32 % kontrolovaného souboru v roce 2024 (ve srovnání s 2,07 % v roce 2023);</w:t>
      </w:r>
    </w:p>
    <w:p w14:paraId="2B0E9050" w14:textId="34F14364" w:rsidR="00C1148C" w:rsidRPr="003C55ED" w:rsidRDefault="00C1148C" w:rsidP="00C1148C">
      <w:pPr>
        <w:pStyle w:val="NormalHanging12a"/>
      </w:pPr>
      <w:r w:rsidRPr="003C55ED">
        <w:t>4</w:t>
      </w:r>
      <w:r w:rsidR="00F4415A">
        <w:t>6</w:t>
      </w:r>
      <w:r w:rsidRPr="003C55ED">
        <w:t>.</w:t>
      </w:r>
      <w:r w:rsidRPr="003C55ED">
        <w:tab/>
        <w:t>s uznáním konstatuje, že ESVČ dosáhla v roce 2024 znatelného pokroku při provádění nezrealizovaných doporučení různých subjektů, jako je oddělení interního auditu ESVČ, Útvar interního auditu Komise a Účetní dvůr; oceňuje úlohu výboru ESVČ pro pokrok v oblasti auditu při zajišťování nezávislosti oddělení interního auditu a sledování kvality práce interního auditu a pokroku dosaženého v souvislosti s opatřeními přijatými v návaznosti na doporučení interního a externího auditu;</w:t>
      </w:r>
    </w:p>
    <w:p w14:paraId="68C319AD" w14:textId="26B32C92" w:rsidR="00C1148C" w:rsidRPr="003C55ED" w:rsidRDefault="00C1148C" w:rsidP="00C1148C">
      <w:pPr>
        <w:pStyle w:val="NormalHanging12a"/>
      </w:pPr>
      <w:r w:rsidRPr="003C55ED">
        <w:t>4</w:t>
      </w:r>
      <w:r w:rsidR="00F4415A">
        <w:t>7</w:t>
      </w:r>
      <w:r w:rsidRPr="003C55ED">
        <w:t>.</w:t>
      </w:r>
      <w:r w:rsidRPr="003C55ED">
        <w:tab/>
        <w:t xml:space="preserve">s ohledem na audity provedené oddělením interního auditu konstatuje, že počet neuzavřených doporučení se snížil ze čtyř kritických a 49 velmi důležitých doporučení na tři kritická a 32 velmi důležitých a byly přezkoumány tři akční plány, z nichž jeden byl přijat jako uspokojivý; konstatuje, že zbývající kritická doporučení souvisejí s auditem nazvaným „Správa budovy delegace EU ve Washingtonu“, který byl odložen </w:t>
      </w:r>
      <w:r w:rsidRPr="003C55ED">
        <w:lastRenderedPageBreak/>
        <w:t>kvůli právním záležitostem, a 13 z 32 zbývajících velmi důležitých doporučení souvisí s auditem nazvaným „Informační toky mezi ESVČ, GŘ pro lidské zdroje a Úřadem pro správu a vyplácení individuálních nároků“; dále konstatuje, že oddělení interního auditu zahájilo poradní přezkum postupů zadávání veřejných zakázek v ústředí, zahájilo strategické hodnocení rizik, provedlo referenční srovnávání s ostatními orgány Unie, aktualizovalo svou listinu úkolů, práv a povinností, čímž dokončilo víceletý plán auditu na období 2022–2024, a podniklo nezbytné kroky k přípravě nového strategického plánu auditu počínaje rokem 2025;</w:t>
      </w:r>
    </w:p>
    <w:p w14:paraId="1FBCE46B" w14:textId="42C19D54" w:rsidR="00C1148C" w:rsidRPr="003C55ED" w:rsidRDefault="00C1148C" w:rsidP="00C1148C">
      <w:pPr>
        <w:pStyle w:val="NormalHanging12a"/>
      </w:pPr>
      <w:r w:rsidRPr="003C55ED">
        <w:t>4</w:t>
      </w:r>
      <w:r w:rsidR="00F4415A">
        <w:t>8</w:t>
      </w:r>
      <w:r w:rsidRPr="003C55ED">
        <w:t>.</w:t>
      </w:r>
      <w:r w:rsidRPr="003C55ED">
        <w:tab/>
        <w:t>konstatuje, že Útvar interního auditu dokončil dva audity týkající se přidělování lidských zdrojů a strategie ESVČ pro boj proti podvodům – jejichž akční plány jsou ve fázi provádění – a na konci roku 2024 zahájil nový audit týkající se následných kontrol, jehož operativní činnosti pokračovaly i v roce 2025; vyzývá ESVČ, aby informovala orgán příslušný k udělení absolutoria o pokroku dosaženém v souvislosti s prováděním doporučení Útvaru interního auditu přijatých v návaznosti na „Audit procesu zadávání veřejných zakázek a sledování smluv v ESVČ“, jenž byl zahájen v roce 2022, která dosud nebyla realizována;</w:t>
      </w:r>
    </w:p>
    <w:p w14:paraId="2C93A182" w14:textId="18BD7383" w:rsidR="00C1148C" w:rsidRPr="003C55ED" w:rsidRDefault="00C1148C" w:rsidP="00C1148C">
      <w:pPr>
        <w:pStyle w:val="NormalHanging12a"/>
      </w:pPr>
      <w:r w:rsidRPr="003C55ED">
        <w:t>4</w:t>
      </w:r>
      <w:r w:rsidR="00F4415A">
        <w:t>9</w:t>
      </w:r>
      <w:r w:rsidRPr="003C55ED">
        <w:t>.</w:t>
      </w:r>
      <w:r w:rsidRPr="003C55ED">
        <w:tab/>
        <w:t>na základě výroční zprávy o činnosti ESVČ za rok 2024 (dále jen „zpráva ESVČ za rok 2024“) konstatuje, že činnost každé delegace Unie je pravidelně hodnocena (každých 4–5 let) prostřednictvím kontrolních misí a strategického hodnocení organizace; konstatuje, že v roce 2024 bylo zkontrolováno 26 delegací Unie, což vedlo k vypracování 1 000 doporučení a rad pro delegace Unie a útvary ústředí, které byly předmětem kontroly, včetně šesti kritických doporučení a přibližně 100 velmi důležitých doporučení; na základě dotazníku se znepokojením konstatuje, že dvěma delegacím Unie byla určena kritická doporučení týkající se vnitřního řízení; vítá skutečnost, že ESVČ v obou případech v návaznosti na tato doporučení přijala přísná opatření, a přestože jedna kontrola zůstává kvůli své složitosti otevřená, ESVČ delegaci aktivně podporuje při řešení zbývajících problémů a provádění požadovaných nápravných opatření;</w:t>
      </w:r>
    </w:p>
    <w:p w14:paraId="36A7BA64" w14:textId="370533D2" w:rsidR="00C1148C" w:rsidRPr="003C55ED" w:rsidRDefault="00F4415A" w:rsidP="00C1148C">
      <w:pPr>
        <w:pStyle w:val="NormalHanging12a"/>
      </w:pPr>
      <w:r>
        <w:t>50</w:t>
      </w:r>
      <w:r w:rsidR="00C1148C" w:rsidRPr="003C55ED">
        <w:t>.</w:t>
      </w:r>
      <w:r w:rsidR="00C1148C" w:rsidRPr="003C55ED">
        <w:tab/>
        <w:t>konstatuje, že prozatím se zdá, že ESVČ dodrží lhůtu, kterou stanovil Účetní dvůr pro provedení doporučení obsažených ve zvláštní zprávě Účetního dvora 02/2024 o koordinační úloze Evropské služby pro vnější činnost na konec roku 2025; bere na vědomí, že všichni nově jmenovaní vedoucí delegací obdrželi pověřovací dopisy v letech 2024 a 2025 a že zlepšené mechanismy zpětné vazby a proces ročního plánu řízení posílily koordinaci mezi ústředím a delegacemi Unie; vítá pokračující provádění strategie správy informací ESVČ, včetně úplného zavedení platformy pro spolupráci HIVE, kterou využívá více než 16 500 zaměstnanců; bere na vědomí pokračující spolupráci s Komisí, Radou a členskými státy za účelem zvýšení interoperability a dosažení pokroku v diskusích o standardizovaném stupni utajení; dále bere na vědomí dokončení posouzení pracovní zátěže delegací Unie v září 2024, které bylo podkladem pro následnou politickou dohodu o modernizaci sítě delegací Unie v květnu 2025; bere na vědomí status ESVČ jako „přidruženého útvaru“ v auditech prováděných Účetním dvorem, přičemž čtyři audity (zvláštní zprávy 17/2024, 18/2024, 06/2024 a 04/2025) byly dokončeny v roce 2024 a dva audity (zvláštní zpráva 17/2025, 20/2025) byly zahájeny v roce 2024 a dokončeny v roce 2025; v této souvislosti bere s uspokojením na vědomí dobrou spolupráci ESVČ s generálními ředitelstvími Komise, kterých se příslušné audity týkají;</w:t>
      </w:r>
    </w:p>
    <w:p w14:paraId="167353C6" w14:textId="77777777" w:rsidR="00C1148C" w:rsidRPr="003C55ED" w:rsidRDefault="00C1148C" w:rsidP="00C1148C">
      <w:pPr>
        <w:pStyle w:val="NormalHanging12a"/>
        <w:rPr>
          <w:b/>
          <w:bCs/>
          <w:i/>
          <w:iCs/>
        </w:rPr>
      </w:pPr>
      <w:r w:rsidRPr="003C55ED">
        <w:rPr>
          <w:b/>
          <w:i/>
        </w:rPr>
        <w:t>Lidské zdroje, rovnost a dobré pracovní podmínky zaměstnanců</w:t>
      </w:r>
    </w:p>
    <w:p w14:paraId="61619DDB" w14:textId="5DA1C0DA" w:rsidR="00C1148C" w:rsidRPr="003C55ED" w:rsidRDefault="00C1148C" w:rsidP="00C1148C">
      <w:pPr>
        <w:pStyle w:val="NormalHanging12a"/>
      </w:pPr>
      <w:r w:rsidRPr="003C55ED">
        <w:lastRenderedPageBreak/>
        <w:t>5</w:t>
      </w:r>
      <w:r w:rsidR="00F4415A">
        <w:t>1</w:t>
      </w:r>
      <w:r w:rsidRPr="003C55ED">
        <w:t>.</w:t>
      </w:r>
      <w:r w:rsidRPr="003C55ED">
        <w:tab/>
        <w:t>konstatuje, že ESVČ v roce 2024 zaměstnávala, bez zahrnutí místních zaměstnanců, celkem 2 902 zaměstnanců, z toho 1 268 úředníků, 442 dočasných zaměstnanců, 619 smluvních zaměstnanců a 573 vyslaných národních odborníků, zatímco v roce 2023 to bylo 2 812 zaměstnanců, z toho 1 245 úředníků, 450 dočasných zaměstnanců, 603 smluvních zaměstnanců a 514 vyslaných národních odborníků; připomíná, že je důležité poskytovat smlouvy na dobu neurčitou, aby byly zachovány dovednosti, kontinuita a produktivní pracovní prostředí;</w:t>
      </w:r>
    </w:p>
    <w:p w14:paraId="78F1CCF9" w14:textId="21704290" w:rsidR="00C1148C" w:rsidRPr="003C55ED" w:rsidRDefault="00C1148C" w:rsidP="00C1148C">
      <w:pPr>
        <w:pStyle w:val="NormalHanging12a"/>
      </w:pPr>
      <w:r w:rsidRPr="003C55ED">
        <w:t>5</w:t>
      </w:r>
      <w:r w:rsidR="00F4415A">
        <w:t>2</w:t>
      </w:r>
      <w:r w:rsidRPr="003C55ED">
        <w:t>.</w:t>
      </w:r>
      <w:r w:rsidRPr="003C55ED">
        <w:tab/>
        <w:t xml:space="preserve">na základě zprávy ESVČ za rok 2024 konstatuje, že z celkového počtu 5 355 osob pracujících v ESVČ jich na konci roku 2024 pracovalo 47 % v ústředí ESVČ a 53 % v delegacích Unie, přičemž 1 622 osob působilo jako místní zaměstnanci v delegacích Unie; bere na vědomí, že během slyšení poslanci vyjádřili obavy ohledně údajného propouštění místních zaměstnanců v některých delegacích Unie bez řádného dodržování místního pracovního práva; konstatuje, že po tomto slyšení předložili členové výboru CONT dodatečné písemné dotazy; na základě odpovědí ESVČ na tyto otázky (dále jen „druhý dotazník“) konstatuje, že projektová skupina komisařů pro vnější činnost schválila dne 14. května 2025 projekt modernizace sítě delegací Unie; konstatuje, že provádění tohoto projektu zahrnuje mimo jiné centralizaci finančních funkcí, funkcí zadávání veřejných zakázek a auditních funkcí pro šest </w:t>
      </w:r>
      <w:proofErr w:type="spellStart"/>
      <w:r w:rsidRPr="003C55ED">
        <w:t>západobalkánských</w:t>
      </w:r>
      <w:proofErr w:type="spellEnd"/>
      <w:r w:rsidRPr="003C55ED">
        <w:t xml:space="preserve"> delegací Unie v ústředí GŘ pro rozšíření a východní sousedství a snížení počtu zaměstnanců v těchto delegacích Unie v oblasti financí a zadávání veřejných zakázek, a to na základě posouzení provedeného po konzultaci s právními poradci; konstatuje, že v souvislosti s balíčkem odstupného ESVČ tvrdí, že byla dodržena všechna práva vyplývající z místního práva a vnitřních předpisů Unie, přičemž finanční balíčky pro zaměstnance propouštěné z ekonomických důvodů jsou z balíčků stanovených místním právem a balíčků Unie nejpříznivější, a to navzdory obavám, které vyjádřili místní zaměstnanci v příslušných delegacích Unie; dále konstatuje, že ESVČ ve spolupráci s Komisí úzce spolupracuje s místní právní kanceláří, která poskytuje poradenství ohledně veškerých místních právních požadavků, a zajišťuje tak, aby provádění postupů propouštění proběhlo v plném souladu s platnými místními pracovněprávními předpisy; vyzývá ESVČ, aby při vypracovávání plánu propouštění místních zaměstnanců plně konzultovala zástupce místních zaměstnanců; na základě odpovědí z dotazníku se znepokojením konstatuje, že pokud je delegace Unie přemístěna do jiné země, např. v případě evakuace (např. přesun súdánské pobočky do Egypta), jsou místní zaměstnanci zaměstnaní v původní zemi propuštěni a zůstávají bez zajištění; vyzývá ESVČ, aby našla schůdná řešení pro ochranu místních zaměstnanců, kteří oddaně pracovali v delegacích Unie;</w:t>
      </w:r>
    </w:p>
    <w:p w14:paraId="6F51544E" w14:textId="6AB66035" w:rsidR="00C1148C" w:rsidRPr="003C55ED" w:rsidRDefault="00C1148C" w:rsidP="00C1148C">
      <w:pPr>
        <w:pStyle w:val="NormalHanging12a"/>
        <w:rPr>
          <w:bCs/>
          <w:iCs/>
        </w:rPr>
      </w:pPr>
      <w:r w:rsidRPr="003C55ED">
        <w:t>5</w:t>
      </w:r>
      <w:r w:rsidR="00F4415A">
        <w:t>3</w:t>
      </w:r>
      <w:r w:rsidRPr="003C55ED">
        <w:t>.</w:t>
      </w:r>
      <w:r w:rsidRPr="003C55ED">
        <w:tab/>
        <w:t>vyjadřuje vážné znepokojení nad zprávami o nedostatečném sociálním dialogu a o tom, že mezi místní zaměstnance postižené propouštěním v některých delegacích Unie byly zahrnuti i chránění zástupci zaměstnanců; připomíná, že dodržování místního pracovního práva, povinnosti v oblasti sociálního dialogu a ochrana zástupců zaměstnanců jsou základními prvky řádné správy a důvěryhodnosti Unie jako zaměstnavatele;</w:t>
      </w:r>
    </w:p>
    <w:p w14:paraId="1E1C2B40" w14:textId="7195BF8C" w:rsidR="00C1148C" w:rsidRPr="003C55ED" w:rsidRDefault="00C1148C" w:rsidP="00C1148C">
      <w:pPr>
        <w:pStyle w:val="NormalHanging12a"/>
        <w:rPr>
          <w:bCs/>
          <w:iCs/>
        </w:rPr>
      </w:pPr>
      <w:r w:rsidRPr="003C55ED">
        <w:t>5</w:t>
      </w:r>
      <w:r w:rsidR="00F4415A">
        <w:t>4</w:t>
      </w:r>
      <w:r w:rsidRPr="003C55ED">
        <w:t>.</w:t>
      </w:r>
      <w:r w:rsidRPr="003C55ED">
        <w:tab/>
        <w:t xml:space="preserve">zdůrazňuje, že jakékoli restrukturalizaci, přemísťování nebo propouštění místních zaměstnanců musí předcházet smysluplné konzultace se zástupci zaměstnanců a musí je doprovázet konkrétní opatření na ochranu práv, bezpečnosti a důstojnosti místních zaměstnanců, zejména v krizových situacích nebo v souvislosti s evakuací; vyzývá ESVČ, aby posoudila nákladovou efektivnost snižování počtu zaměstnanců ve srovnání s alternativními organizačními řešeními, a to včetně dlouhodobých finančních, </w:t>
      </w:r>
      <w:r w:rsidRPr="003C55ED">
        <w:lastRenderedPageBreak/>
        <w:t>provozních a reputačních dopadů propouštění místních zaměstnanců, a podala o tom zprávu orgánu příslušnému k udělení absolutoria;</w:t>
      </w:r>
    </w:p>
    <w:p w14:paraId="39B3F3EB" w14:textId="18E24616" w:rsidR="00C1148C" w:rsidRPr="003C55ED" w:rsidRDefault="00C1148C" w:rsidP="00C1148C">
      <w:pPr>
        <w:pStyle w:val="NormalHanging12a"/>
      </w:pPr>
      <w:r w:rsidRPr="003C55ED">
        <w:t>5</w:t>
      </w:r>
      <w:r w:rsidR="00F4415A">
        <w:t>5</w:t>
      </w:r>
      <w:r w:rsidRPr="003C55ED">
        <w:t>.</w:t>
      </w:r>
      <w:r w:rsidRPr="003C55ED">
        <w:tab/>
        <w:t>vyzývá ESVČ, aby dále zlepšovala bezpečnost delegací Unie, včetně schopností v oblasti kybernetické bezpečnosti, fyzické bezpečnosti a evakuace v případě krizových situací, a aby systematicky podávala zprávy o pokroku a zbývajících zranitelných místech;</w:t>
      </w:r>
    </w:p>
    <w:p w14:paraId="47A144A7" w14:textId="3BA786F2" w:rsidR="00C1148C" w:rsidRPr="003C55ED" w:rsidRDefault="00C1148C" w:rsidP="00C1148C">
      <w:pPr>
        <w:pStyle w:val="NormalHanging12a"/>
      </w:pPr>
      <w:r w:rsidRPr="003C55ED">
        <w:t>5</w:t>
      </w:r>
      <w:r w:rsidR="00F4415A">
        <w:t>6</w:t>
      </w:r>
      <w:r w:rsidRPr="003C55ED">
        <w:t>.</w:t>
      </w:r>
      <w:r w:rsidRPr="003C55ED">
        <w:tab/>
        <w:t>konstatuje, že v roce 2024 tvořily ženy 46,6 % všech zaměstnanců ESVČ (ve srovnání s 46,8 % v roce 2023); pokud jde o zastoupení žen a pozice, které v ESVČ v roce 2024 zastávaly, konstatuje, že 40 % z nich byly administrátorky, 63,78 % asistentky, 73,25 % asistentky-sekretářky, 56,70 % smluvní zaměstnankyně a 26,87 % vyslané národní odbornice; na základě zprávy ESVČ za rok 2024 bere s uspokojením na vědomí její snahy o dosažení většího zastoupení žen ve vedoucích pozicích; v této souvislosti bere na vědomí vzestupnou tendenci, pokud jde o pozice v rámci vrcholného vedení, kde v roce 2024 bylo 37,30 % žen (ve srovnání s 31 % v roce 2023), ale mírný pokles, pokud jde o pozice na středních úrovních vedení, na nichž v roce 2024 působilo 38,70 % žen (ve srovnání s 40,40 % v roce 2023); vítá zvýšení zastoupení žen na pozicích vedoucích delegací z 35,50 % v roce 2023 na 36,10 % v roce 2024; vítá postupné zvyšování počtu žen na vedoucích pozicích v ESVČ, přičemž konstatuje, že ženy jsou i nadále nedostatečně zastoupeny na úrovni AD a nadměrně zastoupeny na úrovni AST a že dosud nebylo plně dosaženo vyváženého zastoupení žen a mužů na středních a vyšších vedoucích pozicích, a to ani v ústředí, ani v delegacích Unie; zdůrazňuje, že i když musí být v orgánech a institucích zajištěn rovný přístup na vedoucí pozice, musí být v ESVČ zachována excelence a profesionalita;</w:t>
      </w:r>
    </w:p>
    <w:p w14:paraId="10D3A30C" w14:textId="24F0BA4C" w:rsidR="00C1148C" w:rsidRPr="003C55ED" w:rsidRDefault="00C1148C" w:rsidP="00C1148C">
      <w:pPr>
        <w:pStyle w:val="NormalHanging12a"/>
      </w:pPr>
      <w:r w:rsidRPr="003C55ED">
        <w:t>5</w:t>
      </w:r>
      <w:r w:rsidR="00F4415A">
        <w:t>7</w:t>
      </w:r>
      <w:r w:rsidRPr="003C55ED">
        <w:t>.</w:t>
      </w:r>
      <w:r w:rsidRPr="003C55ED">
        <w:tab/>
        <w:t>na základě monitorovací zprávy bere na vědomí úsilí ESVČ o mobilizaci dalších žádostí od nedostatečně zastoupeného pohlaví; v této souvislosti vítá, že v roce 2024 byla uspořádána čtyři školení pro vedoucí pracovníky zaměřená na vedení zohledňující genderové hledisko, jichž se zúčastnilo 80 % vrcholného vedení ESVČ, a program školení na stejné téma v délce 29 hodin v průběhu čtyř měsíců pro 13 vedoucích pracovníků, včetně 4 z delegací Unie; dále konstatuje, že ESVČ zřídila novou síť kontaktních míst pro genderové otázky a vytvořila pracovní skupinu pro Istanbulskou úmluvu, která v roce 2024 předložila zprávu v polovině období s akčním plánem; bere na vědomí činnost velvyslankyně Unie pro gender a rozmanitost usilující o začlenění genderového hlediska do dialogů o lidských právech a do klíčových mnohostranných prohlášení a usnesení; vyzývá ESVČ, aby nadále poskytovala aktuální informace o nejnovějším vývoji GAP na období 2021–2025 a o opatřeních přijatých na další podporu účasti žen ve všech diplomatických a politických dialozích;</w:t>
      </w:r>
    </w:p>
    <w:p w14:paraId="2222B7D0" w14:textId="4227BAEB" w:rsidR="00C1148C" w:rsidRPr="003C55ED" w:rsidRDefault="00C1148C" w:rsidP="00C1148C">
      <w:pPr>
        <w:pStyle w:val="NormalHanging12a"/>
        <w:rPr>
          <w:bCs/>
          <w:iCs/>
        </w:rPr>
      </w:pPr>
      <w:r w:rsidRPr="003C55ED">
        <w:t>5</w:t>
      </w:r>
      <w:r w:rsidR="00F4415A">
        <w:t>8</w:t>
      </w:r>
      <w:r w:rsidRPr="003C55ED">
        <w:t>.</w:t>
      </w:r>
      <w:r w:rsidRPr="003C55ED">
        <w:tab/>
        <w:t xml:space="preserve">bere na vědomí snahy ESVČ o získání rozmanité a reprezentativní pracovní síly; vyjadřuje však politování nad tím, že v ESVČ stále není zajištěna zeměpisná vyváženost a regionální rozmanitost, a to ani na vedoucích pozicích a v klíčových funkcích ústředí; konstatuje, že na konci roku 2024 neměly tři členské státy (v roce 2025 jeden členský stát) stále žádného velvyslance Unie, zatímco velvyslanci pěti členských států obsadili 56 % všech velvyslaneckých postů Unie, což je nárůst ve srovnání s 54 % v roce 2023; zdůrazňuje, že diplomatická služba Unie musí odrážet rozmanitost Unie, aby se posílila její legitimita, místní znalosti a efektivita; vyzývá ESVČ, aby se ve spolupráci s Evropským úřadem pro výběr personálu (EPSO) a útvary Komise odpovědnými za politiku výběru více zaměřila na nedostatečně zastoupené členské státy (včetně informačních a náborových akcí zacílených na danou zemi), rozšířila okruh pracovníků </w:t>
      </w:r>
      <w:r w:rsidRPr="003C55ED">
        <w:lastRenderedPageBreak/>
        <w:t>prostřednictvím stáží, programů pro mladé odborníky a strukturovaných vyslání a zlepšila spravedlivost interního výběru prostřednictvím různých výběrových komisí, transparentních kritérií a mentorství/sponzorství pro nedostatečně zastoupené skupiny; připomíná, že nábor pracovníků musí být založen na předpokladech a výsledcích každého uchazeče a musí být v souladu s právem Unie;</w:t>
      </w:r>
    </w:p>
    <w:p w14:paraId="28F25FBC" w14:textId="093AA3E3" w:rsidR="00C1148C" w:rsidRPr="003C55ED" w:rsidRDefault="00C1148C" w:rsidP="00C1148C">
      <w:pPr>
        <w:pStyle w:val="NormalHanging12a"/>
      </w:pPr>
      <w:r w:rsidRPr="003C55ED">
        <w:t>5</w:t>
      </w:r>
      <w:r w:rsidR="00F4415A">
        <w:t>9</w:t>
      </w:r>
      <w:r w:rsidRPr="003C55ED">
        <w:t>.</w:t>
      </w:r>
      <w:r w:rsidRPr="003C55ED">
        <w:tab/>
        <w:t>konstatuje, že na konci roku 2024 dosahovala obsazenost pracovních míst podle plánu pracovních míst ESVČ 95,3 % (oproti 96,7 % v roce 2023); dále konstatuje, že fluktuace zaměstnanců ESVČ v roce 2024 dosáhla 12,07 % (10,15 % v roce 2023); poznamenává, že toto zvýšení odráží specifickou strukturu ESVČ jako diplomatické služby, která se vyznačuje pravidelným střídáním zaměstnanců z diplomatických sborů členských států a jiných orgánů Unie, i uplatňování stabilní personální politiky;</w:t>
      </w:r>
    </w:p>
    <w:p w14:paraId="754F7979" w14:textId="29ADFF20" w:rsidR="00C1148C" w:rsidRPr="003C55ED" w:rsidRDefault="00F4415A" w:rsidP="00C1148C">
      <w:pPr>
        <w:pStyle w:val="NormalHanging12a"/>
      </w:pPr>
      <w:r>
        <w:t>60</w:t>
      </w:r>
      <w:r w:rsidR="00C1148C" w:rsidRPr="003C55ED">
        <w:t>.</w:t>
      </w:r>
      <w:r w:rsidR="00C1148C" w:rsidRPr="003C55ED">
        <w:tab/>
        <w:t xml:space="preserve">bere na vědomí probíhají činnost za účelem aktualizace rozhodnutí z roku 2014 o vyslaných národních odbornících, přičemž revidované znění má být zveřejněno v roce 2025; konstatuje, že ESVČ pokračovala v programech stáží a v roce 2024 přijala 62 stážistů v rámci programu Blue </w:t>
      </w:r>
      <w:proofErr w:type="spellStart"/>
      <w:r w:rsidR="00C1148C" w:rsidRPr="003C55ED">
        <w:t>Book</w:t>
      </w:r>
      <w:proofErr w:type="spellEnd"/>
      <w:r w:rsidR="00C1148C" w:rsidRPr="003C55ED">
        <w:t xml:space="preserve"> v ústředí a 566 stážistů u 106 delegací Unie; konstatuje, že 531 stážistů u delegací Unie bylo placeno buď ESVČ, nebo jinými orgány, zatímco pro 35 studentů, kterým nebyly vypláceny granty na stáž, byla stáž povinnou součástí jejich akademického programu; dále konstatuje, že ESVČ rovněž pokračovala v sedmém kole programu Junior </w:t>
      </w:r>
      <w:proofErr w:type="spellStart"/>
      <w:r w:rsidR="00C1148C" w:rsidRPr="003C55ED">
        <w:t>Professionals</w:t>
      </w:r>
      <w:proofErr w:type="spellEnd"/>
      <w:r w:rsidR="00C1148C" w:rsidRPr="003C55ED">
        <w:t xml:space="preserve"> in </w:t>
      </w:r>
      <w:proofErr w:type="spellStart"/>
      <w:r w:rsidR="00C1148C" w:rsidRPr="003C55ED">
        <w:t>Delegations</w:t>
      </w:r>
      <w:proofErr w:type="spellEnd"/>
      <w:r w:rsidR="00C1148C" w:rsidRPr="003C55ED">
        <w:t xml:space="preserve"> (JPD) na období 2023–2025, v jehož rámci bylo do delegací Unie umístěno 67 účastníků programu JPD;</w:t>
      </w:r>
    </w:p>
    <w:p w14:paraId="04F4106B" w14:textId="1321494B" w:rsidR="00C1148C" w:rsidRPr="003C55ED" w:rsidRDefault="00C1148C" w:rsidP="00C1148C">
      <w:pPr>
        <w:pStyle w:val="NormalHanging12a"/>
      </w:pPr>
      <w:r w:rsidRPr="003C55ED">
        <w:t>6</w:t>
      </w:r>
      <w:r w:rsidR="00F4415A">
        <w:t>1</w:t>
      </w:r>
      <w:r w:rsidRPr="003C55ED">
        <w:t>.</w:t>
      </w:r>
      <w:r w:rsidRPr="003C55ED">
        <w:tab/>
        <w:t>konstatuje, že ESVČ v roce 2024 nadále posilovala bezpečné, respektující a etické pracovní prostředí; vítá rozšířenou dostupnost povinného e-learningu o respektu a důstojnosti na pracovišti, rozpoznávání obtěžování a jeho řešení, přičemž v roce 2024 toto školení absolvovalo 1 900 zaměstnanců; vítá skutečnost, že v roce 2024 se podobného povinného školení zúčastnilo 57 % vedoucích pracovníků; chválí ESVČ za to, že v roce 2024 nabídla školení v oblasti odolnosti a zvládání traumat pro pracovníky v krizových zónách a pro regionální bezpečnostní pracovníky; dále vítá přijetí rozhodnutí, kterým se rozšiřuje ochrana proti psychickému a sexuálnímu obtěžování na místní zaměstnance v delegacích Unie, kteří mají nyní v případě obvinění z obtěžování přístup k formálním postupům ESVČ;</w:t>
      </w:r>
    </w:p>
    <w:p w14:paraId="22269D48" w14:textId="7F056D7A" w:rsidR="00C1148C" w:rsidRPr="003C55ED" w:rsidRDefault="00C1148C" w:rsidP="00C1148C">
      <w:pPr>
        <w:pStyle w:val="NormalHanging12a"/>
      </w:pPr>
      <w:r w:rsidRPr="003C55ED">
        <w:t>6</w:t>
      </w:r>
      <w:r w:rsidR="00F4415A">
        <w:t>2</w:t>
      </w:r>
      <w:r w:rsidRPr="003C55ED">
        <w:t>.</w:t>
      </w:r>
      <w:r w:rsidRPr="003C55ED">
        <w:tab/>
        <w:t>s uspokojením bere na vědomí opatření, která ESVČ přijala v roce 2024 v rámci svého programu rozmanitosti a začleňování na období 2023–2025, zejména cílená opatření týkající se genderu, etnické příslušnosti, zdravotního postižení, věku a skupin LGBTIQ+; v této souvislosti konstatuje, že ESVČ zapracovala témata týkající se rozmanitosti a začleňování do školení, poskytovala LGBTIQ+ zaměstnancům informace o právní a kulturní situaci v zemích vyslání a zvýšila své úsilí o nábor pracovníků zohledňující hlediska rozmanitosti; dále chválí ESVČ za to, že aktualizovala svůj akční plán pro opatření v oblasti zdravotního postižení, provedla průzkum týkající se problematiky zdravotního postižení, vypracovala informační přehledy o přístupnosti pro delegace Unie, provedla posouzení přístupnosti svých internetových stránek a poskytla finanční pomoc na nezdravotní náklady 26 zaměstnancům, kteří mají děti se zdravotním postižením; vyzývá ESVČ, aby pracovníkům na vedoucích i ostatních pozicích nadále poskytovala pravidelná školení v otázkách rozmanitosti, rovnosti, začleňování a sounáležitosti;</w:t>
      </w:r>
    </w:p>
    <w:p w14:paraId="3E6CA6C7" w14:textId="0E45DA1C" w:rsidR="00C1148C" w:rsidRPr="003C55ED" w:rsidRDefault="00C1148C" w:rsidP="00C1148C">
      <w:pPr>
        <w:pStyle w:val="NormalHanging12a"/>
      </w:pPr>
      <w:r w:rsidRPr="003C55ED">
        <w:t>6</w:t>
      </w:r>
      <w:r w:rsidR="00F4415A">
        <w:t>3</w:t>
      </w:r>
      <w:r w:rsidRPr="003C55ED">
        <w:t>.</w:t>
      </w:r>
      <w:r w:rsidRPr="003C55ED">
        <w:tab/>
        <w:t xml:space="preserve">na základě dotazníku konstatuje, že v roce 2024 obdržela ESVČ 16 žádostí o pomoc </w:t>
      </w:r>
      <w:r w:rsidRPr="003C55ED">
        <w:lastRenderedPageBreak/>
        <w:t>v souvislosti s údajným psychickým obtěžováním, včetně několika žádostí týkajících se téhož zaměstnance, což vedlo k zahájení čtyř správních šetření, a že jeden případ údajného obtěžování, který se týkal jednoho zaměstnance Komise, byl postoupen příslušnému orgánu Komise; konstatuje, že v případě místních zaměstnanců v delegaci Unie byla rovněž zahájena čtyři formální řízení, nebyly však nalezeny žádné zjevné důkazy, které by odůvodňovaly zahájení správního vyšetřování; konstatuje, že v průběhu roku bylo uzavřeno šest případů a že v příslušných případech byla uplatněna disciplinární nebo nápravná opatření, včetně disciplinárních sankcí ve dvou případech a nedisciplinárního varování v dalším případě;</w:t>
      </w:r>
    </w:p>
    <w:p w14:paraId="6946EF0A" w14:textId="28CD1028" w:rsidR="00C1148C" w:rsidRPr="003C55ED" w:rsidRDefault="00C1148C" w:rsidP="00C1148C">
      <w:pPr>
        <w:pStyle w:val="NormalHanging12a"/>
      </w:pPr>
      <w:r w:rsidRPr="003C55ED">
        <w:t>6</w:t>
      </w:r>
      <w:r w:rsidR="00F4415A">
        <w:t>4</w:t>
      </w:r>
      <w:r w:rsidRPr="003C55ED">
        <w:t>.</w:t>
      </w:r>
      <w:r w:rsidRPr="003C55ED">
        <w:tab/>
        <w:t>na základě dotazníku konstatuje, že podle definice používané lékařskou službou Komise se dlouhodobou pracovní neschopností rozumí nepřítomnost delší než 20 po sobě následujících dnů; uvádí, že v roce 2023 bylo 323 zaměstnanců na dlouhodobé pracovní neschopnosti s průměrnou délkou 83 dnů, zatímco v roce 2024 se tento počet zvýšil na 338 zaměstnanců, přičemž průměrná délka pracovní neschopnosti se snížila na 77 dnů; dále uvádí, že ačkoli přesný počet případů vyhoření není znám, značná část nemocenské dovolené byla v roce 2024 spojena s duševními problémy, jako jsou deprese a vyhoření; vítá iniciativu Komise vypracovat strategii duševního zdraví s cílem vytvořit strukturovaný a udržitelný rámec pro řešení problémů duševního zdraví na pracovišti, včetně prevence vyhoření a opětovného začlenění do práce; vybízí ESVČ, aby rovněž zavedla formální mechanismus hodnocení pracovní zátěže;</w:t>
      </w:r>
    </w:p>
    <w:p w14:paraId="614D4F29" w14:textId="5DF199E8" w:rsidR="00C1148C" w:rsidRPr="003C55ED" w:rsidRDefault="00C1148C" w:rsidP="00C1148C">
      <w:pPr>
        <w:pStyle w:val="NormalHanging12a"/>
      </w:pPr>
      <w:r w:rsidRPr="003C55ED">
        <w:t>6</w:t>
      </w:r>
      <w:r w:rsidR="00F4415A">
        <w:t>5</w:t>
      </w:r>
      <w:r w:rsidRPr="003C55ED">
        <w:t>.</w:t>
      </w:r>
      <w:r w:rsidRPr="003C55ED">
        <w:tab/>
        <w:t>na základě zprávy o ESVČ za rok 2024 s uznáním konstatuje, že v roce 2024 byl aktualizován akční plán pro opatření v oblasti zdravotního postižení a v roce 2025 bylo přijato nové rozhodnutí o rozšíření ustanovení ESVČ, jako jsou přiměřená opatření pro kolegy se zdravotním postižením, na místní zaměstnance v delegacích Unie;</w:t>
      </w:r>
    </w:p>
    <w:p w14:paraId="6DE2D3C0" w14:textId="77777777" w:rsidR="00C1148C" w:rsidRPr="003C55ED" w:rsidRDefault="00C1148C" w:rsidP="00C1148C">
      <w:pPr>
        <w:pStyle w:val="NormalHanging12a"/>
        <w:rPr>
          <w:b/>
          <w:bCs/>
          <w:i/>
          <w:iCs/>
        </w:rPr>
      </w:pPr>
      <w:r w:rsidRPr="003C55ED">
        <w:rPr>
          <w:b/>
          <w:i/>
        </w:rPr>
        <w:t>Etický rámec a transparentnost</w:t>
      </w:r>
    </w:p>
    <w:p w14:paraId="31E25042" w14:textId="15139131" w:rsidR="00C1148C" w:rsidRPr="003C55ED" w:rsidRDefault="00C1148C" w:rsidP="00C1148C">
      <w:pPr>
        <w:spacing w:after="240"/>
        <w:ind w:left="567" w:hanging="567"/>
        <w:rPr>
          <w:bCs/>
          <w:iCs/>
        </w:rPr>
      </w:pPr>
      <w:r w:rsidRPr="003C55ED">
        <w:t>6</w:t>
      </w:r>
      <w:r w:rsidR="00F4415A">
        <w:t>6</w:t>
      </w:r>
      <w:r w:rsidRPr="003C55ED">
        <w:t>.</w:t>
      </w:r>
      <w:r w:rsidRPr="003C55ED">
        <w:tab/>
        <w:t xml:space="preserve">se znepokojením bere na vědomí vyšetřování Úřadu evropského veřejného žalobce (EPPO), které bylo zahájeno v roce 2025 v souvislosti s případem možného podvodu při zadávání veřejných zakázek, korupce, střetu zájmů a porušení služebního tajemství a které zahrnuje závažné podezření z porušení pravidel hospodářské soutěže v souvislosti se zadávacím řízením na devítiměsíční vzdělávací program v rámci realizace pilotního projektu na vytvoření Diplomatické akademie EU v období 2021–2022, které ESVČ zadala </w:t>
      </w:r>
      <w:proofErr w:type="spellStart"/>
      <w:r w:rsidRPr="003C55ED">
        <w:t>College</w:t>
      </w:r>
      <w:proofErr w:type="spellEnd"/>
      <w:r w:rsidRPr="003C55ED">
        <w:t xml:space="preserve"> </w:t>
      </w:r>
      <w:proofErr w:type="spellStart"/>
      <w:r w:rsidRPr="003C55ED">
        <w:t>of</w:t>
      </w:r>
      <w:proofErr w:type="spellEnd"/>
      <w:r w:rsidRPr="003C55ED">
        <w:t xml:space="preserve"> </w:t>
      </w:r>
      <w:proofErr w:type="spellStart"/>
      <w:r w:rsidRPr="003C55ED">
        <w:t>Europe</w:t>
      </w:r>
      <w:proofErr w:type="spellEnd"/>
      <w:r w:rsidRPr="003C55ED">
        <w:t xml:space="preserve">; zdůrazňuje, že vytvoření Diplomatické akademie EU představuje strategický krok k posílení diplomatické kapacity Unie a k rozvoji skutečně evropské diplomatické kultury; konstatuje, že šetření se zaměřuje na to, zda byla </w:t>
      </w:r>
      <w:proofErr w:type="spellStart"/>
      <w:r w:rsidRPr="003C55ED">
        <w:t>College</w:t>
      </w:r>
      <w:proofErr w:type="spellEnd"/>
      <w:r w:rsidRPr="003C55ED">
        <w:t xml:space="preserve"> </w:t>
      </w:r>
      <w:proofErr w:type="spellStart"/>
      <w:r w:rsidRPr="003C55ED">
        <w:t>of</w:t>
      </w:r>
      <w:proofErr w:type="spellEnd"/>
      <w:r w:rsidRPr="003C55ED">
        <w:t xml:space="preserve"> </w:t>
      </w:r>
      <w:proofErr w:type="spellStart"/>
      <w:r w:rsidRPr="003C55ED">
        <w:t>Europe</w:t>
      </w:r>
      <w:proofErr w:type="spellEnd"/>
      <w:r w:rsidRPr="003C55ED">
        <w:t xml:space="preserve"> nebo její zástupci předem informováni o kritériích výběru v rámci zadávacího řízení a zda měli dostatečný důvod k přesvědčení, že jim bude přidělena realizace projektu, a to ještě před oficiálním zveřejněním oznámení o tomto řízení ze strany ESVČ; dále konstatuje, že po policejních zásazích v ESVČ a v </w:t>
      </w:r>
      <w:proofErr w:type="spellStart"/>
      <w:r w:rsidRPr="003C55ED">
        <w:t>College</w:t>
      </w:r>
      <w:proofErr w:type="spellEnd"/>
      <w:r w:rsidRPr="003C55ED">
        <w:t xml:space="preserve"> </w:t>
      </w:r>
      <w:proofErr w:type="spellStart"/>
      <w:r w:rsidRPr="003C55ED">
        <w:t>of</w:t>
      </w:r>
      <w:proofErr w:type="spellEnd"/>
      <w:r w:rsidRPr="003C55ED">
        <w:t xml:space="preserve"> </w:t>
      </w:r>
      <w:proofErr w:type="spellStart"/>
      <w:r w:rsidRPr="003C55ED">
        <w:t>Europe</w:t>
      </w:r>
      <w:proofErr w:type="spellEnd"/>
      <w:r w:rsidRPr="003C55ED">
        <w:t xml:space="preserve"> belgická policie v prosinci 2025 zadržela a následně propustila </w:t>
      </w:r>
      <w:r w:rsidR="0038582E">
        <w:t>několik</w:t>
      </w:r>
      <w:r w:rsidR="0038582E" w:rsidRPr="003C55ED">
        <w:t xml:space="preserve"> podezřel</w:t>
      </w:r>
      <w:r w:rsidR="0038582E">
        <w:t>ých</w:t>
      </w:r>
      <w:r w:rsidR="0038582E" w:rsidRPr="003C55ED">
        <w:t xml:space="preserve"> </w:t>
      </w:r>
      <w:r w:rsidRPr="003C55ED">
        <w:t xml:space="preserve">osob, tj. bývalou místopředsedkyni Komise, vysokou představitelku, </w:t>
      </w:r>
      <w:r w:rsidR="00A73AF9" w:rsidRPr="005C3D97">
        <w:rPr>
          <w:bCs/>
          <w:iCs/>
        </w:rPr>
        <w:t>jež v té době byla rektorkou</w:t>
      </w:r>
      <w:r w:rsidR="00A73AF9">
        <w:t xml:space="preserve"> </w:t>
      </w:r>
      <w:proofErr w:type="spellStart"/>
      <w:r w:rsidRPr="003C55ED">
        <w:t>College</w:t>
      </w:r>
      <w:proofErr w:type="spellEnd"/>
      <w:r w:rsidRPr="003C55ED">
        <w:t xml:space="preserve"> </w:t>
      </w:r>
      <w:proofErr w:type="spellStart"/>
      <w:r w:rsidRPr="003C55ED">
        <w:t>of</w:t>
      </w:r>
      <w:proofErr w:type="spellEnd"/>
      <w:r w:rsidRPr="003C55ED">
        <w:t xml:space="preserve"> </w:t>
      </w:r>
      <w:proofErr w:type="spellStart"/>
      <w:r w:rsidRPr="003C55ED">
        <w:t>Europe</w:t>
      </w:r>
      <w:proofErr w:type="spellEnd"/>
      <w:r w:rsidRPr="003C55ED">
        <w:t xml:space="preserve"> a  </w:t>
      </w:r>
      <w:r w:rsidR="00A73AF9">
        <w:t xml:space="preserve">ředitelkou </w:t>
      </w:r>
      <w:r w:rsidRPr="003C55ED">
        <w:t xml:space="preserve">Diplomatické akademie EU, dále </w:t>
      </w:r>
      <w:r w:rsidR="00A73AF9">
        <w:t xml:space="preserve">tehdejšího </w:t>
      </w:r>
      <w:r w:rsidRPr="003C55ED">
        <w:t xml:space="preserve">generálního ředitele generálního ředitelství Komise pro Blízký východ, severní Afriku a Perský záliv a konečně bývalého generálního tajemníka ESVČ; se znepokojením bere na vědomí, že rektorka </w:t>
      </w:r>
      <w:proofErr w:type="spellStart"/>
      <w:r w:rsidRPr="003C55ED">
        <w:t>College</w:t>
      </w:r>
      <w:proofErr w:type="spellEnd"/>
      <w:r w:rsidRPr="003C55ED">
        <w:t xml:space="preserve"> </w:t>
      </w:r>
      <w:proofErr w:type="spellStart"/>
      <w:r w:rsidRPr="003C55ED">
        <w:t>of</w:t>
      </w:r>
      <w:proofErr w:type="spellEnd"/>
      <w:r w:rsidRPr="003C55ED">
        <w:t xml:space="preserve"> </w:t>
      </w:r>
      <w:proofErr w:type="spellStart"/>
      <w:r w:rsidRPr="003C55ED">
        <w:t>Europe</w:t>
      </w:r>
      <w:proofErr w:type="spellEnd"/>
      <w:r w:rsidRPr="003C55ED">
        <w:t xml:space="preserve"> a ředitelka Diplomatické akademie EU odstoupila kvůli probíhajícímu vyšetřování nesrovnalostí v souvislosti se zadáváním veřejných zakázek a Diplomatickou akademií EU; konstatuje, že takováto situace, kdy mohlo být zadávací </w:t>
      </w:r>
      <w:r w:rsidRPr="003C55ED">
        <w:lastRenderedPageBreak/>
        <w:t xml:space="preserve">řízení zmanipulováno ve prospěch vysokoškolské instituce, by mohla ohrozit důvěru v orgány Unie, neboť obvinění z nesrovnalostí při zadávání veřejných zakázek mohou zpochybnit transparentnost, spravedlivost a rovné zacházení s uchazeči; nicméně chápe, že skutečnosti související s vyšetřováním úřadu EPPO podléhají přísným pravidlům důvěrnosti a v souvislosti s postupem udělování absolutoria je nelze zveřejnit, a zdůrazňuje, že by neměly být vyvozovány žádné závěry, dokud nebude soudní řízení uzavřeno; vítá skutečnost, že se ESVČ zavázala příslušné dokumenty zpřístupnit, jakmile bude soudní vyšetřování uzavřeno; požaduje, aby byla veškerá podezření z podvodu řádně vyšetřena, a to za plné spolupráce ESVČ; žádá ESVČ, aby z tohoto případu vyvodila systémové ponaučení, aniž by tím bylo dotčeno probíhající vyšetřování, aby byly poskytnuty seriózní záruky, že se takové případy nebudou v budoucnu opakovat; žádá, aby byl orgán příslušný k udělení absolutoria odpovídajícím způsobem informován o dalším vývoji; konstatuje, že podle grantové dohody, kterou je provozování Diplomatické akademie EU svěřeno </w:t>
      </w:r>
      <w:proofErr w:type="spellStart"/>
      <w:r w:rsidRPr="003C55ED">
        <w:t>College</w:t>
      </w:r>
      <w:proofErr w:type="spellEnd"/>
      <w:r w:rsidRPr="003C55ED">
        <w:t xml:space="preserve"> </w:t>
      </w:r>
      <w:proofErr w:type="spellStart"/>
      <w:r w:rsidRPr="003C55ED">
        <w:t>of</w:t>
      </w:r>
      <w:proofErr w:type="spellEnd"/>
      <w:r w:rsidRPr="003C55ED">
        <w:t xml:space="preserve"> </w:t>
      </w:r>
      <w:proofErr w:type="spellStart"/>
      <w:r w:rsidRPr="003C55ED">
        <w:t>Europe</w:t>
      </w:r>
      <w:proofErr w:type="spellEnd"/>
      <w:r w:rsidRPr="003C55ED">
        <w:t xml:space="preserve">, má </w:t>
      </w:r>
      <w:proofErr w:type="spellStart"/>
      <w:r w:rsidRPr="003C55ED">
        <w:t>College</w:t>
      </w:r>
      <w:proofErr w:type="spellEnd"/>
      <w:r w:rsidRPr="003C55ED">
        <w:t xml:space="preserve"> </w:t>
      </w:r>
      <w:proofErr w:type="spellStart"/>
      <w:r w:rsidRPr="003C55ED">
        <w:t>of</w:t>
      </w:r>
      <w:proofErr w:type="spellEnd"/>
      <w:r w:rsidRPr="003C55ED">
        <w:t xml:space="preserve"> </w:t>
      </w:r>
      <w:proofErr w:type="spellStart"/>
      <w:r w:rsidRPr="003C55ED">
        <w:t>Europe</w:t>
      </w:r>
      <w:proofErr w:type="spellEnd"/>
      <w:r w:rsidRPr="003C55ED">
        <w:t xml:space="preserve"> povinnost předložit spolu se svou závěrečnou zprávou i zprávu o ověření výdajů vypracovanou externím auditorem, která má být předložena za rok 2024 v brzké době a má zajistit úplnou transparentnost ohledně částky 1,8 milionu EUR vynaložené v letech 2022–2024; také bere na vědomí, že na konci prosince 2025 zahájila ESVČ přezkum rozhodnutí Rady (SZBP) 2024/1472</w:t>
      </w:r>
      <w:r w:rsidRPr="003C55ED">
        <w:rPr>
          <w:rStyle w:val="FootnoteReference"/>
          <w:bCs/>
          <w:iCs/>
        </w:rPr>
        <w:footnoteReference w:id="10"/>
      </w:r>
      <w:r w:rsidRPr="003C55ED">
        <w:t xml:space="preserve"> o diplomatické akademii Evropské unie spuštěním nezávislého externího hodnocení Diplomatické akademie EU a výkonu </w:t>
      </w:r>
      <w:proofErr w:type="spellStart"/>
      <w:r w:rsidRPr="003C55ED">
        <w:t>College</w:t>
      </w:r>
      <w:proofErr w:type="spellEnd"/>
      <w:r w:rsidRPr="003C55ED">
        <w:t xml:space="preserve"> </w:t>
      </w:r>
      <w:proofErr w:type="spellStart"/>
      <w:r w:rsidRPr="003C55ED">
        <w:t>of</w:t>
      </w:r>
      <w:proofErr w:type="spellEnd"/>
      <w:r w:rsidRPr="003C55ED">
        <w:t xml:space="preserve"> </w:t>
      </w:r>
      <w:proofErr w:type="spellStart"/>
      <w:r w:rsidRPr="003C55ED">
        <w:t>Europe</w:t>
      </w:r>
      <w:proofErr w:type="spellEnd"/>
      <w:r w:rsidRPr="003C55ED">
        <w:t xml:space="preserve"> při provádění činností Diplomatické akademie EU v oblasti vzdělávání a odborné přípravy; vyzývá ESVČ, aby s orgánem příslušným k udělení absolutoria sdílela zprávu o ověření výdajů i externí hodnocení, aby byla zajištěna odpovědnost a transparentnost; vyzývá ESVČ, aby Parlamentu poskytla podrobné informace o provádění doporučení útvaru interního auditu týkajících se zadávání veřejných zakázek; žádá ESVČ, aby zveřejnila zjištění a doporučení pracovní skupiny zřízené v roce 2024 s cílem zlepšit postupy zadávání veřejných zakázek, a tím umožnila veřejnou kontrolu jejich provádění a aby se ostatní orgány Unie mohly poučit ze zkušeností ESVČ při zlepšování postupů zadávání veřejných zakázek; dále bere na vědomí rozhodnutí řídícího výboru Diplomatické akademie EU přijaté na jeho schůzi dne 18. prosince 2025 požádat </w:t>
      </w:r>
      <w:proofErr w:type="spellStart"/>
      <w:r w:rsidRPr="003C55ED">
        <w:t>College</w:t>
      </w:r>
      <w:proofErr w:type="spellEnd"/>
      <w:r w:rsidRPr="003C55ED">
        <w:t xml:space="preserve"> </w:t>
      </w:r>
      <w:proofErr w:type="spellStart"/>
      <w:r w:rsidRPr="003C55ED">
        <w:t>of</w:t>
      </w:r>
      <w:proofErr w:type="spellEnd"/>
      <w:r w:rsidRPr="003C55ED">
        <w:t xml:space="preserve"> </w:t>
      </w:r>
      <w:proofErr w:type="spellStart"/>
      <w:r w:rsidRPr="003C55ED">
        <w:t>Europe</w:t>
      </w:r>
      <w:proofErr w:type="spellEnd"/>
      <w:r w:rsidRPr="003C55ED">
        <w:t xml:space="preserve">, aby zajistila transparentní a kompetitivní výběrové řízení na základě zveřejnění inzerátu na jmenování na nového ředitele Diplomatické akademie EU; vítá skutečnost, že řídící výbor dále požadoval, aby byla funkce ředitele Diplomatické akademie EU oddělena od funkce rektora </w:t>
      </w:r>
      <w:proofErr w:type="spellStart"/>
      <w:r w:rsidRPr="003C55ED">
        <w:t>College</w:t>
      </w:r>
      <w:proofErr w:type="spellEnd"/>
      <w:r w:rsidRPr="003C55ED">
        <w:t xml:space="preserve"> </w:t>
      </w:r>
      <w:proofErr w:type="spellStart"/>
      <w:r w:rsidRPr="003C55ED">
        <w:t>of</w:t>
      </w:r>
      <w:proofErr w:type="spellEnd"/>
      <w:r w:rsidRPr="003C55ED">
        <w:t xml:space="preserve"> </w:t>
      </w:r>
      <w:proofErr w:type="spellStart"/>
      <w:r w:rsidRPr="003C55ED">
        <w:t>Europe</w:t>
      </w:r>
      <w:proofErr w:type="spellEnd"/>
      <w:r w:rsidRPr="003C55ED">
        <w:t>; zdůrazňuje, že k zajištění integrity při zadávání veřejných zakázek, etických standardů a ochrany finančních zájmů a pověsti Unie je zapotřebí ostražitý a účinný parlamentní dohled; opakuje, že základní zásadou pro všechny orgány a instituce Unie, včetně ESVČ, musí být i nadále transparentnost a řádné finanční řízení při vynakládání veřejných prostředků Unie, a že tato zásada je základním předpokladem pro zachování důvěry občanů ve vnější činnost Unie; domnívá se, že vyšetřování úřadu EPPO by nemělo být využíváno k oslabení role Diplomatické akademie EU, jejíž přidaná hodnota musí být plně uznána, zejména s ohledem na trvale pozitivní zpětnou vazbu od účastníků a členských států;</w:t>
      </w:r>
    </w:p>
    <w:p w14:paraId="522DAFD8" w14:textId="2AB5CB76" w:rsidR="00C1148C" w:rsidRPr="003C55ED" w:rsidRDefault="00C1148C" w:rsidP="00C1148C">
      <w:pPr>
        <w:pStyle w:val="NormalHanging12a"/>
      </w:pPr>
      <w:r w:rsidRPr="003C55ED">
        <w:t>6</w:t>
      </w:r>
      <w:r w:rsidR="00F4415A">
        <w:t>7</w:t>
      </w:r>
      <w:r w:rsidRPr="003C55ED">
        <w:t>.</w:t>
      </w:r>
      <w:r w:rsidRPr="003C55ED">
        <w:tab/>
        <w:t xml:space="preserve">bere na vědomí zprávu ESVČ, podle níž první celý rok provádění strategie boje proti podvodům z roku 2023 vedl k vytvoření důkladnější a soudržnější struktury boje proti podvodům, což posílilo celkovou integritu a transparentnost instituce; konstatuje, že </w:t>
      </w:r>
      <w:r w:rsidRPr="003C55ED">
        <w:lastRenderedPageBreak/>
        <w:t>tato strategie byla realizována prostřednictvím školení zaměřených na zvyšování povědomí o podvodech a preventivních opatření, která jsou lépe sladěna s konkrétními povinnostmi jednotlivých skupin zaměstnanců v ústředí a u delegací, šířením interních pokynů a posílením bezpečných kanálů pro podávání zpráv; bere na vědomí, že zaměstnanci ESVČ mají přístup ke vzdělávacímu kurzu zaměřenému na boj proti podvodům, který vypracoval Evropský úřad pro boj proti podvodům (OLAF) v rámci provádění opatření strategie Komise pro boj proti podvodům týkajícího se vypracování společného plánu školení v oblasti etiky a boje proti podvodům s ESVČ; vítá pokračující šíření 16 „zásad profesionálního chování“ během povinných kurzů na téma Etika a bezúhonnost a Politika v oblasti boje proti obtěžování;</w:t>
      </w:r>
    </w:p>
    <w:p w14:paraId="3DBFD054" w14:textId="1B4B2C5C" w:rsidR="00C1148C" w:rsidRPr="003C55ED" w:rsidRDefault="00C1148C" w:rsidP="00C1148C">
      <w:pPr>
        <w:pStyle w:val="NormalHanging12a"/>
      </w:pPr>
      <w:r w:rsidRPr="003C55ED">
        <w:t>6</w:t>
      </w:r>
      <w:r w:rsidR="00F4415A">
        <w:t>8</w:t>
      </w:r>
      <w:r w:rsidRPr="003C55ED">
        <w:t>.</w:t>
      </w:r>
      <w:r w:rsidRPr="003C55ED">
        <w:tab/>
        <w:t xml:space="preserve">na základě dotazníku konstatuje, že ESVČ eviduje za rok 2024 dva případy </w:t>
      </w:r>
      <w:proofErr w:type="spellStart"/>
      <w:r w:rsidRPr="003C55ED">
        <w:t>whistleblowingu</w:t>
      </w:r>
      <w:proofErr w:type="spellEnd"/>
      <w:r w:rsidRPr="003C55ED">
        <w:t xml:space="preserve">; konstatuje, že OLAF oba případy prošetřil a uzavřel bez doporučení, ať už po vyšetřování, nebo ve fázi výběru; na základě zprávy ESVČ za rok 2024 s uspokojením konstatuje, že ESVČ zahájila přípravu vlastní politiky ochrany oznamovatelů; žádá, aby byl Parlament informován o pokroku dosaženém v této záležitosti; trvá na tom, aby rámec ESVČ pro </w:t>
      </w:r>
      <w:proofErr w:type="spellStart"/>
      <w:r w:rsidRPr="003C55ED">
        <w:t>whistleblowing</w:t>
      </w:r>
      <w:proofErr w:type="spellEnd"/>
      <w:r w:rsidRPr="003C55ED">
        <w:t xml:space="preserve"> zahrnoval důvěrné oznamování, ochranu před odvetnými opatřeními pro všechny kategorie zaměstnanců, včetně místních zaměstnanců, a každoroční anonymizované oznamování případů a výsledků;</w:t>
      </w:r>
    </w:p>
    <w:p w14:paraId="02A7FEB6" w14:textId="2DF18BA2" w:rsidR="00C1148C" w:rsidRPr="003C55ED" w:rsidRDefault="00C1148C" w:rsidP="00C1148C">
      <w:pPr>
        <w:pStyle w:val="NormalHanging12a"/>
      </w:pPr>
      <w:r w:rsidRPr="003C55ED">
        <w:t>6</w:t>
      </w:r>
      <w:r w:rsidR="009324C0">
        <w:t>9</w:t>
      </w:r>
      <w:r w:rsidRPr="003C55ED">
        <w:t>.</w:t>
      </w:r>
      <w:r w:rsidRPr="003C55ED">
        <w:tab/>
        <w:t>na základě dotazníku konstatuje, že ESVČ eviduje za rok 2024 tři prohlášení o střetu zájmů; konstatuje, že ve dvou případech týkajících se zadávání veřejných zakázek bylo zjištěno potenciální riziko střetu zájmů, které bylo zmírněno tím, že dotyční zaměstnanci byli zproštěni některých povinností souvisejících se zadáváním veřejných zakázek; dále konstatuje, že ve třetím případě týkajícím se náhrady výdajů nebyl zjištěn žádný střet zájmů, neboť zaměstnanec neměl při výpočtu náhrady žádnou diskreční pravomoc; konstatuje, že ESVČ obdržela 16 oznámení o činnostech po skončení pracovního poměru, z nichž pět se týkalo přechodu do soukromého sektoru, a zakázala dva případy z důvodu efektu „otáčivých dveří“, přičemž bývalým zaměstnancům neuložila žádné přechodné období po skončení funkce;</w:t>
      </w:r>
    </w:p>
    <w:p w14:paraId="01E33794" w14:textId="268680E6" w:rsidR="00C1148C" w:rsidRPr="003C55ED" w:rsidRDefault="009324C0" w:rsidP="00C1148C">
      <w:pPr>
        <w:pStyle w:val="NormalHanging12a"/>
      </w:pPr>
      <w:r>
        <w:t>70</w:t>
      </w:r>
      <w:r w:rsidR="00C1148C" w:rsidRPr="003C55ED">
        <w:t>.</w:t>
      </w:r>
      <w:r w:rsidR="00C1148C" w:rsidRPr="003C55ED">
        <w:tab/>
        <w:t>konstatuje, že v roce 2024 bylo úřadu OLAF postoupeno 11 podezřelých případů, z nichž 7 bylo zamítnuto ve fázi výběru a jeden byl uzavřen bez doporučení; dále bere na vědomí, že 3 případy – týkající se možného pochybení nebo nesrovnalostí v souvislosti s postupy zadávání veřejných zakázek, realizací zakázek a personálními záležitostmi – zůstávají v šetření; dále konstatuje, že ze třinácti vyšetřování úřadu OLAF zahájených v roce 2023 v souvislosti s ESVČ stále probíhá deset případů, z nichž jeden souvisí s výhradou delegace Unie v Sieře Leone ohledně podezření z podvodu souvisejícího se správním rozpočtem této delegace Unie; vyzývá ESVČ, aby i nadále pokračovala v plné a úzké spolupráci s úřadem OLAF na probíhajících případech a přijímala opatření v návaznosti na všechna dosud neprovedená doporučení úřadu OLAF;</w:t>
      </w:r>
    </w:p>
    <w:p w14:paraId="04D7E9BC" w14:textId="110BB021" w:rsidR="00C1148C" w:rsidRPr="003C55ED" w:rsidRDefault="00C1148C" w:rsidP="00C1148C">
      <w:pPr>
        <w:pStyle w:val="NormalHanging12a"/>
      </w:pPr>
      <w:r w:rsidRPr="003C55ED">
        <w:t>7</w:t>
      </w:r>
      <w:r w:rsidR="009324C0">
        <w:t>1</w:t>
      </w:r>
      <w:r w:rsidRPr="003C55ED">
        <w:t>.</w:t>
      </w:r>
      <w:r w:rsidRPr="003C55ED">
        <w:tab/>
        <w:t>konstatuje, že v roce 2024 ESVČ řešila 19 dotazů předložených evropskou veřejnou ochránkyní práv, z nichž 10 se týkalo administrativních záležitostí (včetně opožděných odpovědí), 5 se týkalo přístupu k dokumentům a 4 personálních otázek, kromě toho bylo podáno několik neformálních žádostí o informace souvisejících zejména s misemi, operacemi a přístupem k dokumentům; s uspokojením konstatuje, že evropská veřejná ochránkyně práv nezjistila v žádném z šetření zahájených a ukončených v roce 2024 žádný případ nesprávného úředního postupu;</w:t>
      </w:r>
    </w:p>
    <w:p w14:paraId="6A2E87EA" w14:textId="08709ACA" w:rsidR="00C1148C" w:rsidRPr="003C55ED" w:rsidRDefault="00C1148C" w:rsidP="00C1148C">
      <w:pPr>
        <w:pStyle w:val="NormalHanging12a"/>
        <w:rPr>
          <w:bCs/>
          <w:iCs/>
        </w:rPr>
      </w:pPr>
      <w:r w:rsidRPr="003C55ED">
        <w:lastRenderedPageBreak/>
        <w:t>7</w:t>
      </w:r>
      <w:r w:rsidR="009324C0">
        <w:t>2</w:t>
      </w:r>
      <w:r w:rsidRPr="003C55ED">
        <w:t>.</w:t>
      </w:r>
      <w:r w:rsidRPr="003C55ED">
        <w:tab/>
        <w:t>vyjadřuje politování nad tím, že ESVČ neprovedla řádný přezkum provádění dohod o spolupráci se třetími zeměmi, včetně posouzení dodržování jejich podmínek a lidskoprávních doložek; zdůrazňuje, že neprovedení přezkumu je patrné zejména v případě dohody o politickém dialogu a spolupráci s Kubou, která deset let po podpisu selhává ve všech oblastech, od dodržování lidských práv, včetně toho, že na konci roku bylo uvězněno více než tisíc politických vězňů, až po negativní vliv Havany na evropskou bezpečnost, včetně úzké politické a vojenské spolupráce s režimy v Moskvě a Minsku, což se projevilo zejména skutečností, že Kubánci se stali největší skupinou žoldnéřů podporujících ruské síly v jejich agresi proti Ukrajině, a jejich zapojením do sabotáží na území EU, jak se nedávno ukázalo v Litvě; konstatuje, že navzdory očividnému porušování řady ustanovení této dohody nebyla aktivována ani doložka o pozastavení, ani doložka o ukončení, zatímco na Kubu stále proudí finanční zdroje Unie, ačkoli zde celé hospodářství kontroluje komunistický režim, tyto finanční prostředky zneužívá a od probíhající spolupráce v rámci dohody o politickém dialogu a spolupráci odvozuje svou politickou legitimitu; domnívá se, že takové režimy nesmí nadále požívat výhod z privilegované spolupráce s Evropskou unií a že peníze daňových poplatníků Unie nesmí těmto režimům sloužit; vyzývá proto k aktivaci článku 86 dohody a k jejímu ukončení; vyzývá Účetní dvůr, aby urychleně přezkoumal veškerou podporu Unie poskytnutou Kubě od roku 2016;</w:t>
      </w:r>
    </w:p>
    <w:p w14:paraId="1620FE2E" w14:textId="62EEDEB8" w:rsidR="00C1148C" w:rsidRPr="003C55ED" w:rsidRDefault="00C1148C" w:rsidP="00C1148C">
      <w:pPr>
        <w:pStyle w:val="NormalHanging12a"/>
      </w:pPr>
      <w:r w:rsidRPr="003C55ED">
        <w:t>7</w:t>
      </w:r>
      <w:r w:rsidR="009324C0">
        <w:t>3</w:t>
      </w:r>
      <w:r w:rsidRPr="003C55ED">
        <w:t>.</w:t>
      </w:r>
      <w:r w:rsidRPr="003C55ED">
        <w:tab/>
        <w:t>konstatuje, že místopředsedkyně Komise, vysoká představitelka je jako místopředsedkyně Komise vázána pravidly rejstříku transparentnosti; zdůrazňuje, že ESVČ sice není orgánem ve smyslu článku 13 Smlouvy o Evropské unii a nehraje přímou roli v právu Unie, má však důležitou úlohu v právu Unie, pokud jde o rozhodování týkající se sankcí a sjednávání mezinárodních obchodních dohod, které mají značný regulační dopad; vyzývá ESVČ, aby přijala vnitřní opatření v oblasti transparentnosti, která budou v souladu se standardy rejstříku transparentnosti, včetně proaktivního zveřejňování schůzek na vysoké úrovni nejvyššího vedení, pokud to neohrozí diplomacii ESVČ, která je citlivá z hlediska bezpečnosti; na základě monitorovací zprávy s uspokojením konstatuje, že místopředsedkyně Komise, vysoká představitelka zahájila širší diskusi o řešení této záležitosti na úrovni vnějšího rozměru, přičemž doporučení se očekávají do konce roku 2025; vyzývá ESVČ, aby Parlament průběžně informovala o pokroku dosaženém v této záležitosti;</w:t>
      </w:r>
    </w:p>
    <w:p w14:paraId="1A51A508" w14:textId="77777777" w:rsidR="00C1148C" w:rsidRPr="003C55ED" w:rsidRDefault="00C1148C" w:rsidP="00C1148C">
      <w:pPr>
        <w:pStyle w:val="NormalHanging12a"/>
        <w:rPr>
          <w:b/>
          <w:bCs/>
          <w:i/>
          <w:iCs/>
        </w:rPr>
      </w:pPr>
      <w:r w:rsidRPr="003C55ED">
        <w:rPr>
          <w:b/>
          <w:i/>
        </w:rPr>
        <w:t>Digitalizace, kybernetická bezpečnost a ochrana údajů</w:t>
      </w:r>
    </w:p>
    <w:p w14:paraId="4934D80E" w14:textId="77777777" w:rsidR="00C1148C" w:rsidRPr="003C55ED" w:rsidRDefault="00C1148C" w:rsidP="00C1148C">
      <w:pPr>
        <w:pStyle w:val="NormalHanging12a"/>
      </w:pPr>
      <w:r w:rsidRPr="003C55ED">
        <w:t>74.</w:t>
      </w:r>
      <w:r w:rsidRPr="003C55ED">
        <w:tab/>
        <w:t>na základě dotazníku konstatuje, že výdaje související s IT, včetně projektů, vybavení a kybernetické bezpečnosti, se snížily o 6,1 % z 26,04 milionu EUR v roce 2023 na 24,45 milionu EUR v roce 2024; konstatuje, že výdaje na IT v ústředí vzrostly v roce 2024 o 37,2 %, zejména v důsledku velkých investic na podporu migrace aplikací ESVČ, zatímco výdaje v delegacích Unie se výrazně snížily v důsledku značných investic do obnovy hardwaru a konektivity v delegacích Unie uskutečněných v roce 2023;</w:t>
      </w:r>
    </w:p>
    <w:p w14:paraId="0B517B1D" w14:textId="77777777" w:rsidR="00C1148C" w:rsidRPr="003C55ED" w:rsidRDefault="00C1148C" w:rsidP="00C1148C">
      <w:pPr>
        <w:pStyle w:val="NormalHanging12a"/>
      </w:pPr>
      <w:r w:rsidRPr="003C55ED">
        <w:t>75.</w:t>
      </w:r>
      <w:r w:rsidRPr="003C55ED">
        <w:tab/>
        <w:t xml:space="preserve">připomíná, že ESVČ začala v roce 2023 poskytovat hosting a správu vlastního prostředí umělé inteligence, které umožnilo spustit ověření koncepce, jako jsou informační brífinky, zápisy z jednání a asistent umělé inteligence; vítá přijetí strategie ESVČ pro umělou inteligenci v roce 2024, která podporuje přístup k umělé inteligenci zaměřený </w:t>
      </w:r>
      <w:r w:rsidRPr="003C55ED">
        <w:lastRenderedPageBreak/>
        <w:t>na člověka v souladu s nařízením Evropského parlamentu a Rady (EU) 2024/1689</w:t>
      </w:r>
      <w:r w:rsidRPr="003C55ED">
        <w:rPr>
          <w:rStyle w:val="FootnoteReference"/>
        </w:rPr>
        <w:footnoteReference w:id="11"/>
      </w:r>
      <w:r w:rsidRPr="003C55ED">
        <w:t xml:space="preserve"> a zajišťuje etické a důvěryhodné systémy a pokyny pro používání generativní umělé inteligence třetích stran; vítá skutečnost, že ESVČ rozšířila platformu zaměřenou na spolupráci a dokumenty (HIVE) pro externí uživatele, např. z členských států, a systém řízení (HR HUB) pro místní pracovníky v delegacích Unie;</w:t>
      </w:r>
    </w:p>
    <w:p w14:paraId="4FECBBD6" w14:textId="77777777" w:rsidR="00C1148C" w:rsidRPr="003C55ED" w:rsidRDefault="00C1148C" w:rsidP="00C1148C">
      <w:pPr>
        <w:pStyle w:val="NormalHanging12a"/>
        <w:rPr>
          <w:bCs/>
          <w:iCs/>
        </w:rPr>
      </w:pPr>
      <w:r w:rsidRPr="003C55ED">
        <w:t>76.</w:t>
      </w:r>
      <w:r w:rsidRPr="003C55ED">
        <w:tab/>
        <w:t>zdůrazňuje, že zavádění nástrojů umělé inteligence v rámci vnější činnosti musí být doplněno robustními zárukami ochrany údajů, základních práv, transparentnosti a lidského dohledu, a to i v delegacích Unie a ve spolupráci s partnery ze třetích zemí; žádá ESVČ, aby o provádění strategie pro umělou inteligenci pravidelně podávala zprávy Parlamentu;</w:t>
      </w:r>
    </w:p>
    <w:p w14:paraId="47EED257" w14:textId="77777777" w:rsidR="00C1148C" w:rsidRPr="003C55ED" w:rsidRDefault="00C1148C" w:rsidP="00C1148C">
      <w:pPr>
        <w:pStyle w:val="NormalHanging12a"/>
      </w:pPr>
      <w:r w:rsidRPr="003C55ED">
        <w:t>77.</w:t>
      </w:r>
      <w:r w:rsidRPr="003C55ED">
        <w:tab/>
        <w:t xml:space="preserve">chválí ESVČ za opatření, jimiž zvyšuje připravenost v oblasti kybernetické bezpečnosti, a to prostřednictvím pravidelných bezpečnostních brífinků pro širokou škálu zaměstnanců a přidružených subjektů, jakož i školení pořádaných na žádost různých skupin uživatelů, včetně regionálních bezpečnostních úředníků a bezpečnostních koordinátorů delegací Unie, jakož i cvičení zaměřených na </w:t>
      </w:r>
      <w:proofErr w:type="spellStart"/>
      <w:r w:rsidRPr="003C55ED">
        <w:t>phishing</w:t>
      </w:r>
      <w:proofErr w:type="spellEnd"/>
      <w:r w:rsidRPr="003C55ED">
        <w:t>; vyzývá ESVČ, aby všem svým zaměstnancům zajistila pravidelná povinná školení v oblasti kybernetické bezpečnosti; na základě dotazníku s uspokojením konstatuje, že ESVČ je vybavena nástroji, jako je bezpečnostní operační středisko ESVČ, které jí umožňuje sledovat kybernetické hrozby a identifikovat bezpečnostní zranitelná místa v reálném čase;</w:t>
      </w:r>
    </w:p>
    <w:p w14:paraId="30082607" w14:textId="77777777" w:rsidR="00C1148C" w:rsidRPr="003C55ED" w:rsidRDefault="00C1148C" w:rsidP="00C1148C">
      <w:pPr>
        <w:pStyle w:val="NormalHanging12a"/>
      </w:pPr>
      <w:r w:rsidRPr="003C55ED">
        <w:t>78.</w:t>
      </w:r>
      <w:r w:rsidRPr="003C55ED">
        <w:tab/>
        <w:t xml:space="preserve">chválí ESVČ za digitální nástroje a systémy, které využívá v boji proti zahraniční manipulaci s informacemi a vměšování, jako je Středisko pro sdílení a analýzu informací o zahraniční manipulaci s informacemi a vměšování nebo systém včasného varování; na základě dotazníku bere dále na vědomí zahájení e-learningového kurzu o boji proti dezinformacím, který je přístupný všem orgánům Unie, a dokončení příručky SBOP o dezinformacích určené jako podpora pro terénní pracovníky ve vojenských a civilních misích Unie; oceňuje probíhající vývoj iniciativy </w:t>
      </w:r>
      <w:proofErr w:type="spellStart"/>
      <w:r w:rsidRPr="003C55ED">
        <w:t>EUvsDisinfo</w:t>
      </w:r>
      <w:proofErr w:type="spellEnd"/>
      <w:r w:rsidRPr="003C55ED">
        <w:t xml:space="preserve"> zaměřené na zvyšování povědomí a zdůrazňuje, že je důležité pokračovat ve spolupráci s členskými státy s cílem účinněji řešit hybridní hrozby na místě;</w:t>
      </w:r>
    </w:p>
    <w:p w14:paraId="43A7ACE4" w14:textId="77777777" w:rsidR="00C1148C" w:rsidRPr="003C55ED" w:rsidRDefault="00C1148C" w:rsidP="00C1148C">
      <w:pPr>
        <w:pStyle w:val="NormalHanging12a"/>
      </w:pPr>
      <w:r w:rsidRPr="003C55ED">
        <w:t>79.</w:t>
      </w:r>
      <w:r w:rsidRPr="003C55ED">
        <w:tab/>
        <w:t>na základě dotazníku a zprávy ESVČ za rok 2024 konstatuje, že ESVČ zaznamenala přibližně 27 000 varování, z nichž 348 vyžadovalo další šetření; konstatuje, že 57 z nich bylo potvrzeno jako kybernetické útoky a 5 z nich mělo významný dopad na operace ESVČ; s uspokojením konstatuje, že ESVČ identifikovala taktiky, techniky a postupy útočníků a využila tuto analýzu k posílení svých protiopatření; žádá o vysvětlení, do jaké míry tyto útoky ovlivnily činnost orgánu;</w:t>
      </w:r>
    </w:p>
    <w:p w14:paraId="12A07236" w14:textId="77777777" w:rsidR="00C1148C" w:rsidRPr="003C55ED" w:rsidRDefault="00C1148C" w:rsidP="00C1148C">
      <w:pPr>
        <w:pStyle w:val="NormalHanging12a"/>
        <w:rPr>
          <w:b/>
          <w:bCs/>
          <w:i/>
          <w:iCs/>
        </w:rPr>
      </w:pPr>
      <w:r w:rsidRPr="003C55ED">
        <w:rPr>
          <w:b/>
          <w:i/>
        </w:rPr>
        <w:t>Budovy a bezpečnost</w:t>
      </w:r>
    </w:p>
    <w:p w14:paraId="304A2AC1" w14:textId="77777777" w:rsidR="00C1148C" w:rsidRPr="003C55ED" w:rsidRDefault="00C1148C" w:rsidP="00C1148C">
      <w:pPr>
        <w:pStyle w:val="NormalHanging12a"/>
      </w:pPr>
      <w:r w:rsidRPr="003C55ED">
        <w:t>80.</w:t>
      </w:r>
      <w:r w:rsidRPr="003C55ED">
        <w:tab/>
        <w:t xml:space="preserve">konstatuje, že v roce 2024 měla ESVČ po celém světě síť 328 budov delegací Unie, které sloužily jako kanceláře a rezidence vedoucích delegací, a tři kancelářské budovy v ústředí v Bruselu; konstatuje, že na konci roku 2024 obývala ESVČ tři budovy </w:t>
      </w:r>
      <w:r w:rsidRPr="003C55ED">
        <w:lastRenderedPageBreak/>
        <w:t>v Bruselu o celkové ploše 87 506 m² a využívala 175 kancelářských budov pro delegace Unie ve třetích zemích o celkové rozloze 287 000 m²; dále konstatuje, že Unie vlastnila 23 % těchto prostor pro delegace Unie, zatímco zbývajících 77 % si pronajímala; na základě dotazníku bere se znepokojením na vědomí nedostatek zdrojů, který omezuje provádění politiky ESVČ v oblasti budov, přičemž ESVČ by potřebovala více odborníků na infrastrukturu, aby mohla zvýšit svou kapacitu pro realizaci projektů v oblasti nemovitostí;</w:t>
      </w:r>
    </w:p>
    <w:p w14:paraId="2856FD3D" w14:textId="77777777" w:rsidR="00C1148C" w:rsidRPr="003C55ED" w:rsidRDefault="00C1148C" w:rsidP="00C1148C">
      <w:pPr>
        <w:pStyle w:val="NormalHanging12a"/>
      </w:pPr>
      <w:r w:rsidRPr="003C55ED">
        <w:t>81.</w:t>
      </w:r>
      <w:r w:rsidRPr="003C55ED">
        <w:tab/>
        <w:t>oceňuje, že ESVČ znovu potvrdila svůj závazek zachovat síť 145 delegací Unie a posílit zásadu jedné delegace; konstatuje, že probíhající modernizace usiluje o zvýšení efektivity a sladění sítě s prioritami Unie a zároveň řeší rozpočtová omezení; zdůrazňuje, že dokud se finanční podmínky nezlepší, budou pokračovat přísná úsporná opatření, diskuse s Komisí o sdílení nákladů i cílené posilování klíčových delegací Unie; vyzývá ESVČ, aby zavedla pravidelné hodnocení pracovní zátěže a metodiku naplňování personálních potřeb delegací v souvislosti s mírou rizika a rozšířením mandátu, aby nedocházelo k vyhoření a odchodu zaměstnanců; vyjadřuje určité obavy ohledně plánu zavést nové rozlišování kategorií a zdrojů delegací; vyjadřuje politování nad tím, že zmenšení některých delegací Unie a snížení počtu jejich zaměstnanců v důsledku odklonu od původního zaměření na rozvojovou pomoc a hospodářskou spolupráci k některým strategickým zájmům může ohrozit operační činnosti a přítomnost Unie ve třetích zemích a oslabit schopnost ESVČ plnit svůj mandát a bránit hodnoty Unie, což se týká zejména vztahů Unie se zeměmi globálního Jihu a jižního sousedství; vyzývá ESVČ, aby si zachovala svou stěžejní funkci a strategickou prioritu ve středomořském regionu na základě komplexního posouzení geopolitických výzev Unie a pokračovala v udržování vztahů se zeměmi východního sousedství;</w:t>
      </w:r>
    </w:p>
    <w:p w14:paraId="2C3DDFCF" w14:textId="77777777" w:rsidR="00C1148C" w:rsidRPr="003C55ED" w:rsidRDefault="00C1148C" w:rsidP="00C1148C">
      <w:pPr>
        <w:pStyle w:val="NormalHanging12a"/>
      </w:pPr>
      <w:r w:rsidRPr="003C55ED">
        <w:t>82.</w:t>
      </w:r>
      <w:r w:rsidRPr="003C55ED">
        <w:tab/>
        <w:t>znovu opakuje, že rozpočtová omezení by mohla vést k nadměrnému uzavírání velvyslanectví Unie a k odkládání instalace bezpečnostních zařízení v řadě delegací Unie, což by mohlo oslabit schopnost ESVČ plnit svůj mandát, hájit hodnoty Unie a náležitě plnit povinnost řádné péče vůči všem zaměstnancům delegací Unie; naléhavě vyzývá členské státy, aby ESVČ a Komisi poskytly dostatečné finanční prostředky na to, aby Unie mohla zachovat svou síť delegací nedotčenou jako známku své globální angažovanosti;</w:t>
      </w:r>
    </w:p>
    <w:p w14:paraId="5CBFC916" w14:textId="77777777" w:rsidR="00C1148C" w:rsidRPr="003C55ED" w:rsidRDefault="00C1148C" w:rsidP="00C1148C">
      <w:pPr>
        <w:pStyle w:val="NormalHanging12a"/>
        <w:rPr>
          <w:bCs/>
          <w:iCs/>
        </w:rPr>
      </w:pPr>
      <w:r w:rsidRPr="003C55ED">
        <w:t>83.</w:t>
      </w:r>
      <w:r w:rsidRPr="003C55ED">
        <w:tab/>
        <w:t>vyzývá ESVČ, aby posílila mechanismy praktické koordinace s diplomatickými misemi členských států ve třetích zemích, mimo jiné prostřednictvím sdílených služeb, společných logistických opatření a širšího sdílení informací, s cílem maximalizovat efektivitu a zajistit optimální využívání zdrojů Unie a členských států;</w:t>
      </w:r>
    </w:p>
    <w:p w14:paraId="4492365F" w14:textId="77777777" w:rsidR="00C1148C" w:rsidRPr="003C55ED" w:rsidRDefault="00C1148C" w:rsidP="00C1148C">
      <w:pPr>
        <w:pStyle w:val="NormalHanging12a"/>
      </w:pPr>
      <w:r w:rsidRPr="003C55ED">
        <w:t>84.</w:t>
      </w:r>
      <w:r w:rsidRPr="003C55ED">
        <w:tab/>
        <w:t xml:space="preserve">na základě dotazníku konstatuje, že ESVČ v roce 2024 pokračovala v provádění své politiky v oblasti společně využívaných prostor a nových způsobů práce, včetně budování vizuální identity pro své ústředí a delegace v rámci celé Unie; zdůrazňuje, že tento přístup nahrazuje jednotlivé kanceláře víceúčelovými prostory s cílem zlepšit efektivitu využití prostor, podpořit týmovou práci a snížit dopad na životní prostředí; dále konstatuje, že tyto projekty jsou projednávány se zástupci zaměstnanců prostřednictvím Výboru zaměstnanců ESVČ a že byl zahájen specializovaný průzkum mezi zaměstnanci týkající se budovy </w:t>
      </w:r>
      <w:proofErr w:type="spellStart"/>
      <w:r w:rsidRPr="003C55ED">
        <w:t>Belmont</w:t>
      </w:r>
      <w:proofErr w:type="spellEnd"/>
      <w:r w:rsidRPr="003C55ED">
        <w:t>;</w:t>
      </w:r>
    </w:p>
    <w:p w14:paraId="383CAB23" w14:textId="77777777" w:rsidR="00C1148C" w:rsidRPr="003C55ED" w:rsidRDefault="00C1148C" w:rsidP="00C1148C">
      <w:pPr>
        <w:pStyle w:val="NormalHanging12a"/>
      </w:pPr>
      <w:r w:rsidRPr="003C55ED">
        <w:t>85.</w:t>
      </w:r>
      <w:r w:rsidRPr="003C55ED">
        <w:tab/>
        <w:t xml:space="preserve">na základě zprávy ESVČ za rok 2024 konstatuje, že ESVČ úspěšně dosáhla svých klíčových priorit v oblasti nemovitostí pro rok 2024, včetně dokončení rekonstrukce budovy NEO, přemístění oddělení krizového řízení a zpravodajských služeb do </w:t>
      </w:r>
      <w:r w:rsidRPr="003C55ED">
        <w:lastRenderedPageBreak/>
        <w:t xml:space="preserve">bezpečnějšího a energeticky účinnějšího objektu a značného pokroku při rekonstrukci budovy </w:t>
      </w:r>
      <w:proofErr w:type="spellStart"/>
      <w:r w:rsidRPr="003C55ED">
        <w:t>Schuman</w:t>
      </w:r>
      <w:proofErr w:type="spellEnd"/>
      <w:r w:rsidRPr="003C55ED">
        <w:t>;</w:t>
      </w:r>
    </w:p>
    <w:p w14:paraId="0A7E2247" w14:textId="77777777" w:rsidR="00C1148C" w:rsidRPr="003C55ED" w:rsidRDefault="00C1148C" w:rsidP="00C1148C">
      <w:pPr>
        <w:pStyle w:val="NormalHanging12a"/>
      </w:pPr>
      <w:r w:rsidRPr="003C55ED">
        <w:t>86.</w:t>
      </w:r>
      <w:r w:rsidRPr="003C55ED">
        <w:tab/>
        <w:t>na základě dotazníku konstatuje, že vzhledem k poklesu úrovně bezpečnosti ve světě musela ESVČ v roce 2024 posílit bezpečnostní struktury; vítá navýšení rozpočtu na rok 2025 o 10 milionů EUR na posílení bezpečnostní infrastruktury v delegacích Unie; konstatuje, že cílem ESVČ je snížit počet delegací Unie, které nesplňují bezpečnostní normy, přibližně o 15 %, a to prostřednictvím nových zařízení a nahrazením zastaralých systémů;</w:t>
      </w:r>
    </w:p>
    <w:p w14:paraId="23F5B8FD" w14:textId="77777777" w:rsidR="00C1148C" w:rsidRPr="003C55ED" w:rsidRDefault="00C1148C" w:rsidP="00C1148C">
      <w:pPr>
        <w:pStyle w:val="NormalHanging12a"/>
      </w:pPr>
      <w:r w:rsidRPr="003C55ED">
        <w:t>87.</w:t>
      </w:r>
      <w:r w:rsidRPr="003C55ED">
        <w:tab/>
        <w:t>na základě zprávy ESVČ za rok 2024 konstatuje, že do konce roku 2024 se počet dohod o společném umístění zvýšil na 137 (45 s členskými státy a partnerskými zeměmi a 92 s dalšími partnery Unie); konstatuje, že společné umístění zaznamenalo prudký nárůst, za posledních šest let se více než zdvojnásobilo a od roku 2011 vzrostlo více než šestinásobně; zdůrazňuje, že společné umístění nyní zahrnuje 8 % kancelářských prostor delegací Unie a týká se 80 delegací Unie, přičemž ve všech sdílených pracovních prostředích se důsledně uplatňují zásady udržitelnosti;</w:t>
      </w:r>
    </w:p>
    <w:p w14:paraId="24C6886B" w14:textId="77777777" w:rsidR="00C1148C" w:rsidRPr="003C55ED" w:rsidRDefault="00C1148C" w:rsidP="00C1148C">
      <w:pPr>
        <w:pStyle w:val="NormalHanging12a"/>
      </w:pPr>
      <w:r w:rsidRPr="003C55ED">
        <w:t>88.</w:t>
      </w:r>
      <w:r w:rsidRPr="003C55ED">
        <w:tab/>
        <w:t>oceňuje skutečnost, že se ESVČ zaměřuje na zajištění toho, aby její budovy byly přístupné osobám se zdravotním postižením a s omezenou pohyblivostí; na základě dotazníku konstatuje, že v roce 2024 se konaly pravidelné schůzky s oddělením ESVČ pro nemovitosti, oddělením pro bezpečnost a dalšími útvary Komise, na nichž docházelo k výměně osvědčených postupů mimo jiné v oblasti přístupnosti a evakuace budov;</w:t>
      </w:r>
    </w:p>
    <w:p w14:paraId="6F6C47C9" w14:textId="77777777" w:rsidR="00C1148C" w:rsidRPr="003C55ED" w:rsidRDefault="00C1148C" w:rsidP="00C1148C">
      <w:pPr>
        <w:pStyle w:val="NormalHanging12a"/>
        <w:rPr>
          <w:b/>
          <w:bCs/>
          <w:i/>
          <w:iCs/>
        </w:rPr>
      </w:pPr>
      <w:r w:rsidRPr="003C55ED">
        <w:rPr>
          <w:b/>
          <w:i/>
        </w:rPr>
        <w:t>Životní prostředí a udržitelnost</w:t>
      </w:r>
    </w:p>
    <w:p w14:paraId="280ADED6" w14:textId="77777777" w:rsidR="00C1148C" w:rsidRPr="003C55ED" w:rsidRDefault="00C1148C" w:rsidP="00C1148C">
      <w:pPr>
        <w:pStyle w:val="NormalHanging12a"/>
      </w:pPr>
      <w:r w:rsidRPr="003C55ED">
        <w:t>89.</w:t>
      </w:r>
      <w:r w:rsidRPr="003C55ED">
        <w:tab/>
        <w:t xml:space="preserve">poukazuje na iniciativy ESVČ v oblasti energetické účinnosti a obnovitelných zdrojů energie v roce 2024, včetně výměny LED osvětlení a renovace podle zásad „nových způsobů práce“ v budově </w:t>
      </w:r>
      <w:proofErr w:type="spellStart"/>
      <w:r w:rsidRPr="003C55ED">
        <w:t>Schuman</w:t>
      </w:r>
      <w:proofErr w:type="spellEnd"/>
      <w:r w:rsidRPr="003C55ED">
        <w:t xml:space="preserve">, izolace vodovodního a topného potrubí, optimalizace systémů vytápění, větrání a klimatizace a standardizovaných teplotních nastavení; bere na vědomí postupnou instalaci centrálních stanic na třídění odpadu v budově </w:t>
      </w:r>
      <w:proofErr w:type="spellStart"/>
      <w:r w:rsidRPr="003C55ED">
        <w:t>Schuman</w:t>
      </w:r>
      <w:proofErr w:type="spellEnd"/>
      <w:r w:rsidRPr="003C55ED">
        <w:t xml:space="preserve"> a jejich plné zavedení v budovách </w:t>
      </w:r>
      <w:proofErr w:type="spellStart"/>
      <w:r w:rsidRPr="003C55ED">
        <w:t>Belmont</w:t>
      </w:r>
      <w:proofErr w:type="spellEnd"/>
      <w:r w:rsidRPr="003C55ED">
        <w:t xml:space="preserve"> a NEO spolu s průběžnými opatřeními na úsporu energie; bere na vědomí nákup 100 % elektřiny z obnovitelných zdrojů (1,569 milionu EUR) a výrobu 22 286 kWh solární energie na místě, přičemž způsob dekarbonizace budovy </w:t>
      </w:r>
      <w:proofErr w:type="spellStart"/>
      <w:r w:rsidRPr="003C55ED">
        <w:t>Schuman</w:t>
      </w:r>
      <w:proofErr w:type="spellEnd"/>
      <w:r w:rsidRPr="003C55ED">
        <w:t xml:space="preserve"> do roku 2050 kombinuje krátkodobá opatření v oblasti řízení a izolace s dlouhodobými modernizacemi, jako jsou fotovoltaické instalace a nahrazení plynového vytápění tepelnými čerpadly;</w:t>
      </w:r>
    </w:p>
    <w:p w14:paraId="4413721D" w14:textId="77777777" w:rsidR="00C1148C" w:rsidRPr="003C55ED" w:rsidRDefault="00C1148C" w:rsidP="00C1148C">
      <w:pPr>
        <w:pStyle w:val="NormalHanging12a"/>
      </w:pPr>
      <w:r w:rsidRPr="003C55ED">
        <w:t>90.</w:t>
      </w:r>
      <w:r w:rsidRPr="003C55ED">
        <w:tab/>
        <w:t xml:space="preserve">bere na vědomí první komplexní posouzení uhlíkové stopy ESVČ v roce 2024 v souvislosti s registrací v systému pro environmentální řízení podniků a audit (EMAS); bere na vědomí, že toto posouzení se týkalo budov ústředí a centrálně řízených činností týkajících se emisí rámce 3 a ukázalo nulové tržní emise rámce 2 díky 100 % nákupu elektřiny z obnovitelných zdrojů, snížení uhlíkové náročnosti ze 4,6 </w:t>
      </w:r>
      <w:proofErr w:type="spellStart"/>
      <w:r w:rsidRPr="003C55ED">
        <w:t>tCO₂e</w:t>
      </w:r>
      <w:proofErr w:type="spellEnd"/>
      <w:r w:rsidRPr="003C55ED">
        <w:t xml:space="preserve">/FTE v roce 2019 na 3,4 </w:t>
      </w:r>
      <w:proofErr w:type="spellStart"/>
      <w:r w:rsidRPr="003C55ED">
        <w:t>tCO₂e</w:t>
      </w:r>
      <w:proofErr w:type="spellEnd"/>
      <w:r w:rsidRPr="003C55ED">
        <w:t>/FTE v roce 2024 (−28 %), přičemž emisní stopa zahrnuje přibližně 20 % emisí rámce 1 a 80 % emisí rámce 3;</w:t>
      </w:r>
    </w:p>
    <w:p w14:paraId="390D891E" w14:textId="77777777" w:rsidR="00C1148C" w:rsidRPr="003C55ED" w:rsidRDefault="00C1148C" w:rsidP="00C1148C">
      <w:pPr>
        <w:pStyle w:val="NormalHanging12a"/>
      </w:pPr>
      <w:r w:rsidRPr="003C55ED">
        <w:t>91.</w:t>
      </w:r>
      <w:r w:rsidRPr="003C55ED">
        <w:tab/>
        <w:t xml:space="preserve">vítá posílení závazku ESVČ v oblasti udržitelné mobility, včetně přijetí nové politiky pro dojíždění do ústředí na konci roku 2024, která od ledna 2025 zvyšuje náhradu nákladů na veřejnou dopravu na 90 %; bere na vědomí provádění opatření ke snížení dopadu na životní prostředí, která v roce 2024 dosáhnou 64 % vzdáleností při cestách </w:t>
      </w:r>
      <w:r w:rsidRPr="003C55ED">
        <w:lastRenderedPageBreak/>
        <w:t>letadlem v ekonomické třídě (čímž se překoná cíl systému EMAS, který stanoví 60 % do roku 2030), upřednostnění železniční dopravy pro krátké cesty, předpokládané snížení počtu zaměstnanců dojíždějících do práce autem ze 17 % v roce 2024 na 13 % v roce 2027 a podporu iniciativ v oblasti cyklistiky a chůze prostřednictvím lepší vybavenosti a osvětových kampaní;</w:t>
      </w:r>
    </w:p>
    <w:p w14:paraId="575221C8" w14:textId="77777777" w:rsidR="00C1148C" w:rsidRPr="003C55ED" w:rsidRDefault="00C1148C" w:rsidP="00C1148C">
      <w:pPr>
        <w:pStyle w:val="NormalHanging12a"/>
      </w:pPr>
      <w:r w:rsidRPr="003C55ED">
        <w:t>92.</w:t>
      </w:r>
      <w:r w:rsidRPr="003C55ED">
        <w:tab/>
        <w:t>oceňuje, že hlediska udržitelnosti jsou do zadávání veřejných zakázek začleněna prostřednictvím doložek o zelených veřejných zakázkách v šablonách nabídek; konstatuje, že v roce 2024 obsahovalo 38 % zakázek s vysokou hodnotou zadávaných ústředím a 87 % šablon pro zadávání veřejných zakázek doložky o zelených zakázkách; s uspokojením konstatuje, že delegace Unie uplatňovaly zelená kritéria při zadávání veřejných zakázek na vozidla, IT vybavení a úklidové služby a že na rok 2025 je plánováno další úsilí, včetně specializovaného informačního centra pro zelené veřejné zakázky pro delegace Unie na platformě HIVE; konstatuje, že v roce 2024 bylo uzavřeno 16 veřejných zakázek vysoké hodnoty s ukazateli vlivu na životní prostředí a bylo podepsáno 6 smluv s významem pro zelené veřejné zakázky;</w:t>
      </w:r>
    </w:p>
    <w:p w14:paraId="04E6E65A" w14:textId="77777777" w:rsidR="00C1148C" w:rsidRPr="003C55ED" w:rsidRDefault="00C1148C" w:rsidP="00C1148C">
      <w:pPr>
        <w:pStyle w:val="NormalHanging12a"/>
        <w:rPr>
          <w:b/>
          <w:bCs/>
          <w:i/>
          <w:iCs/>
        </w:rPr>
      </w:pPr>
      <w:r w:rsidRPr="003C55ED">
        <w:rPr>
          <w:b/>
          <w:i/>
        </w:rPr>
        <w:t>Interinstitucionální spolupráce</w:t>
      </w:r>
    </w:p>
    <w:p w14:paraId="291FC55E" w14:textId="77777777" w:rsidR="00C1148C" w:rsidRPr="003C55ED" w:rsidRDefault="00C1148C" w:rsidP="00C1148C">
      <w:pPr>
        <w:pStyle w:val="NormalHanging12a"/>
      </w:pPr>
      <w:r w:rsidRPr="003C55ED">
        <w:t>93.</w:t>
      </w:r>
      <w:r w:rsidRPr="003C55ED">
        <w:tab/>
        <w:t>na základě dotazníku konstatuje, že ESVČ pokračovala v úzké spolupráci s úřadem OLAF a příslušnými generálními ředitelstvími Komise při provádění strategie Komise pro boj proti podvodům, zejména prostřednictvím rozvoje společných školení a společného systému odborné přípravy v oblasti boje proti podvodům, jakož i prostřednictvím cílených opatření zaměřených na konkrétní rizika podvodů v delegacích Unie; s uspokojením konstatuje, že ESVČ posílila svůj operační rámec podpisem pracovních ujednání s úřadem EPPO v červnu 2024;</w:t>
      </w:r>
    </w:p>
    <w:p w14:paraId="42E3633E" w14:textId="77777777" w:rsidR="00C1148C" w:rsidRPr="003C55ED" w:rsidRDefault="00C1148C" w:rsidP="00C1148C">
      <w:pPr>
        <w:pStyle w:val="NormalHanging12a"/>
      </w:pPr>
      <w:r w:rsidRPr="003C55ED">
        <w:t>94.</w:t>
      </w:r>
      <w:r w:rsidRPr="003C55ED">
        <w:tab/>
        <w:t>připomíná, že Parlament, Rada a ESVČ v roce 2023 vedly odborné diskuse o nahrazení institucionální dohody mezi Parlamentem a Radou v oblasti společné zahraniční a bezpečnostní politiky z roku 2002; na základě monitorovací zprávy se znepokojením konstatuje, že v roce 2024 nedošlo v této záležitosti k žádnému vývoji z důvodu konání voleb do Evropského parlamentu a procesu jmenování nové Komise;</w:t>
      </w:r>
    </w:p>
    <w:p w14:paraId="28630EED" w14:textId="77777777" w:rsidR="00C1148C" w:rsidRPr="003C55ED" w:rsidRDefault="00C1148C" w:rsidP="00C1148C">
      <w:pPr>
        <w:pStyle w:val="NormalHanging12a"/>
        <w:rPr>
          <w:bCs/>
          <w:iCs/>
        </w:rPr>
      </w:pPr>
      <w:r w:rsidRPr="003C55ED">
        <w:t>95.</w:t>
      </w:r>
      <w:r w:rsidRPr="003C55ED">
        <w:tab/>
        <w:t>připomíná, že v souladu se Smlouvami mají vnější činnost Unie a ESVČ podporovat, koordinovat a doplňovat diplomatickou činnost členských států; zdůrazňuje význam úzké spolupráce, která zabrání neefektivitě;</w:t>
      </w:r>
    </w:p>
    <w:p w14:paraId="7B4065EC" w14:textId="77777777" w:rsidR="00C1148C" w:rsidRPr="003C55ED" w:rsidRDefault="00C1148C" w:rsidP="00C1148C">
      <w:pPr>
        <w:pStyle w:val="NormalHanging12a"/>
      </w:pPr>
      <w:r w:rsidRPr="003C55ED">
        <w:t>96.</w:t>
      </w:r>
      <w:r w:rsidRPr="003C55ED">
        <w:tab/>
        <w:t>vítá skutečnost, že komunikační činnosti ESVČ jsou koordinovány a harmonizovány s ostatními orgány prostřednictvím sítě ředitelů pro komunikaci EU, interinstitucionálních platforem s Parlamentem a Komisí a podskupiny RELEX pro ochranu kulturního dědictví a mezinárodní kulturní vztahy;</w:t>
      </w:r>
    </w:p>
    <w:p w14:paraId="7093080A" w14:textId="77777777" w:rsidR="00C1148C" w:rsidRPr="003C55ED" w:rsidRDefault="00C1148C" w:rsidP="00C1148C">
      <w:pPr>
        <w:pStyle w:val="NormalHanging12a"/>
        <w:rPr>
          <w:b/>
          <w:bCs/>
          <w:i/>
          <w:iCs/>
        </w:rPr>
      </w:pPr>
      <w:r w:rsidRPr="003C55ED">
        <w:rPr>
          <w:b/>
          <w:i/>
        </w:rPr>
        <w:t>Komunikační činnost</w:t>
      </w:r>
    </w:p>
    <w:p w14:paraId="53A86AD5" w14:textId="77777777" w:rsidR="00C1148C" w:rsidRPr="003C55ED" w:rsidRDefault="00C1148C" w:rsidP="00C1148C">
      <w:pPr>
        <w:pStyle w:val="NormalHanging12a"/>
      </w:pPr>
      <w:r w:rsidRPr="003C55ED">
        <w:t>97.</w:t>
      </w:r>
      <w:r w:rsidRPr="003C55ED">
        <w:tab/>
        <w:t>na základě dotazníku konstatuje, že ESVČ v roce 2024 vyčlenila 1 745 000 EUR – doplněných o 107 968,67 EUR v rámci úvěrů C5 – na informování veřejnosti a pořádání akcí s mírou plnění 99,70 %; zdůrazňuje, že tyto finanční prostředky podpořily zadávání zakázek na digitální služby, komunikační a grafické produkty a pořádání veřejných akcí, jako je Den Evropy; dále konstatuje, že z rozpočtu byla rovněž financována tvorba a šíření online obsahu, správa firemních účtů na sociálních sítích a pomoc delegacím Unie při posilování jejich digitální přítomnosti;</w:t>
      </w:r>
    </w:p>
    <w:p w14:paraId="7F174950" w14:textId="77777777" w:rsidR="00C1148C" w:rsidRPr="003C55ED" w:rsidRDefault="00C1148C" w:rsidP="00C1148C">
      <w:pPr>
        <w:pStyle w:val="NormalHanging12a"/>
      </w:pPr>
      <w:r w:rsidRPr="003C55ED">
        <w:lastRenderedPageBreak/>
        <w:t>98.</w:t>
      </w:r>
      <w:r w:rsidRPr="003C55ED">
        <w:tab/>
        <w:t xml:space="preserve">na základě dotazníku a zprávy ESVČ za rok 2024 konstatuje, že ESVČ výrazně rozšířila svou strategickou komunikaci, práci s veřejností a kulturní diplomacii, přičemž kombinuje celosvětové digitální kampaně, významné veřejné akce a posílené aktivity v oblasti mezinárodních kulturních vztahů; konstatuje, že pomocí digitálních kampaní bylo osloveno široké publikum a propagovány hlavní priority Unie, včetně lidských práv, opatření v oblasti klimatu a podpory Ukrajiny, zatímco inovativní formáty pomohly zapojit mladší demografické skupiny; konstatuje, že veřejné akce, jako je Den otevřených dveří u příležitosti Dne Evropy a program pro návštěvníky ESVČ, přispěly k lepšímu pochopení politik Unie; zdůrazňuje, že ESVČ pokročila v kulturních iniciativách, včetně dialogu o muzejní spolupráci s Afrikou, seminářů věnovaných kulturní rozmanitosti a konference o kulturním dědictví pořádané s rotujícím předsednictvím Rady, a zároveň připravila stěžejní projekty, jako je účast Unie na výstavě Expo </w:t>
      </w:r>
      <w:proofErr w:type="spellStart"/>
      <w:r w:rsidRPr="003C55ED">
        <w:t>Osaka</w:t>
      </w:r>
      <w:proofErr w:type="spellEnd"/>
      <w:r w:rsidRPr="003C55ED">
        <w:t>;</w:t>
      </w:r>
    </w:p>
    <w:p w14:paraId="3B647D65" w14:textId="77777777" w:rsidR="00C1148C" w:rsidRPr="003C55ED" w:rsidRDefault="00C1148C" w:rsidP="00C1148C">
      <w:pPr>
        <w:pStyle w:val="NormalHanging12a"/>
        <w:rPr>
          <w:bCs/>
          <w:iCs/>
        </w:rPr>
      </w:pPr>
      <w:r w:rsidRPr="003C55ED">
        <w:t>99.</w:t>
      </w:r>
      <w:r w:rsidRPr="003C55ED">
        <w:tab/>
        <w:t>vybízí k pokračování procesu zvýšené komunikace se státními příslušníky třetích zemí o politice Unie, jakož i ke zvýšenému koordinačnímu úsilí o zviditelnění projektů financovaných Unií, zejména v kandidátských zemích, s cílem čelit pokusům subjektů jednajících ve zlé vůli o oslabení úsilí Unie; dále opakuje svou výzvu Komisi, aby zajistila plnou viditelnost podpory a investic Unie ve třetích zemích a informovanost veřejnosti o této podpoře a investicích za pomoci jejich zřetelného označování a vlajky Unie;</w:t>
      </w:r>
    </w:p>
    <w:p w14:paraId="192B64EF" w14:textId="77777777" w:rsidR="00C1148C" w:rsidRPr="003C55ED" w:rsidRDefault="00C1148C" w:rsidP="00C1148C">
      <w:pPr>
        <w:pStyle w:val="NormalHanging12a"/>
      </w:pPr>
      <w:r w:rsidRPr="003C55ED">
        <w:t>100.</w:t>
      </w:r>
      <w:r w:rsidRPr="003C55ED">
        <w:tab/>
        <w:t>na základě dotazníku a zprávy ESVČ za rok 2024 konstatuje, že ESVČ v roce 2024 posílila svůj strategický závazek k ochraně údajů a digitální svrchovanosti Unie tím, že zajistila dodržování přísných postupů v oblasti sociálních médií v souladu s GDPR, posílila kontrolu zabezpečení a přístupu a snížila závislost na jednotlivých externích poskytovatelích; zdůrazňuje, že diverzifikací platforem – včetně rozšíření o </w:t>
      </w:r>
      <w:proofErr w:type="spellStart"/>
      <w:r w:rsidRPr="003C55ED">
        <w:t>Bluesky</w:t>
      </w:r>
      <w:proofErr w:type="spellEnd"/>
      <w:r w:rsidRPr="003C55ED">
        <w:t xml:space="preserve"> a </w:t>
      </w:r>
      <w:proofErr w:type="spellStart"/>
      <w:r w:rsidRPr="003C55ED">
        <w:t>Threads</w:t>
      </w:r>
      <w:proofErr w:type="spellEnd"/>
      <w:r w:rsidRPr="003C55ED">
        <w:t xml:space="preserve"> – spolu s používáním nástrojů pro správu, jejichž hosting zajišťuje Unie, systematickým školením zaměstnanců a pravidelným posuzováním rizik a dezinformací pomáhá zvyšovat odolnost a chránit komunikační suverenitu Unie;</w:t>
      </w:r>
    </w:p>
    <w:p w14:paraId="30CBE51D" w14:textId="48BEF1B1" w:rsidR="003C55ED" w:rsidRPr="003C55ED" w:rsidRDefault="00C1148C" w:rsidP="003C55ED">
      <w:pPr>
        <w:pStyle w:val="NormalHanging12a"/>
      </w:pPr>
      <w:r w:rsidRPr="003C55ED">
        <w:rPr>
          <w:color w:val="000000" w:themeColor="text1"/>
        </w:rPr>
        <w:t>101.</w:t>
      </w:r>
      <w:r w:rsidRPr="003C55ED">
        <w:rPr>
          <w:color w:val="000000" w:themeColor="text1"/>
        </w:rPr>
        <w:tab/>
        <w:t xml:space="preserve">konstatuje, že ESVČ prostřednictvím své kampaně </w:t>
      </w:r>
      <w:proofErr w:type="spellStart"/>
      <w:r w:rsidRPr="003C55ED">
        <w:rPr>
          <w:color w:val="000000" w:themeColor="text1"/>
        </w:rPr>
        <w:t>EUvsDisinfo</w:t>
      </w:r>
      <w:proofErr w:type="spellEnd"/>
      <w:r w:rsidRPr="003C55ED">
        <w:rPr>
          <w:color w:val="000000" w:themeColor="text1"/>
        </w:rPr>
        <w:t xml:space="preserve"> oslovila více než 38 milionů uživatelů a zdokumentovala více než 18 000 případů, což svědčí o rozsahu a systémovosti prokremelských dezinformací v roce 2024.</w:t>
      </w:r>
    </w:p>
    <w:p w14:paraId="72773F2A" w14:textId="40739A04" w:rsidR="00E365E1" w:rsidRPr="003C55ED" w:rsidRDefault="00E365E1" w:rsidP="007804B4"/>
    <w:sectPr w:rsidR="00E365E1" w:rsidRPr="003C55ED" w:rsidSect="003C55E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6212F" w14:textId="77777777" w:rsidR="007804B4" w:rsidRPr="003C55ED" w:rsidRDefault="007804B4">
      <w:r w:rsidRPr="003C55ED">
        <w:separator/>
      </w:r>
    </w:p>
  </w:endnote>
  <w:endnote w:type="continuationSeparator" w:id="0">
    <w:p w14:paraId="10753713" w14:textId="77777777" w:rsidR="007804B4" w:rsidRPr="003C55ED" w:rsidRDefault="007804B4">
      <w:r w:rsidRPr="003C55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D44F" w14:textId="77777777" w:rsidR="00C1148C" w:rsidRPr="003C55ED" w:rsidRDefault="00C1148C" w:rsidP="0021372C">
    <w:pPr>
      <w:pStyle w:val="EPFooter"/>
    </w:pPr>
    <w:r w:rsidRPr="003C55ED">
      <w:t>PE</w:t>
    </w:r>
    <w:r w:rsidRPr="003C55ED">
      <w:rPr>
        <w:rStyle w:val="HideTWBExt"/>
      </w:rPr>
      <w:t>&lt;</w:t>
    </w:r>
    <w:proofErr w:type="spellStart"/>
    <w:r w:rsidRPr="003C55ED">
      <w:rPr>
        <w:rStyle w:val="HideTWBExt"/>
      </w:rPr>
      <w:t>NoPE</w:t>
    </w:r>
    <w:proofErr w:type="spellEnd"/>
    <w:r w:rsidRPr="003C55ED">
      <w:rPr>
        <w:rStyle w:val="HideTWBExt"/>
      </w:rPr>
      <w:t>&gt;</w:t>
    </w:r>
    <w:r w:rsidRPr="003C55ED">
      <w:t>778.061</w:t>
    </w:r>
    <w:r w:rsidRPr="003C55ED">
      <w:rPr>
        <w:rStyle w:val="HideTWBExt"/>
      </w:rPr>
      <w:t>&lt;/</w:t>
    </w:r>
    <w:proofErr w:type="spellStart"/>
    <w:r w:rsidRPr="003C55ED">
      <w:rPr>
        <w:rStyle w:val="HideTWBExt"/>
      </w:rPr>
      <w:t>NoPE</w:t>
    </w:r>
    <w:proofErr w:type="spellEnd"/>
    <w:r w:rsidRPr="003C55ED">
      <w:rPr>
        <w:rStyle w:val="HideTWBExt"/>
      </w:rPr>
      <w:t>&gt;&lt;Version&gt;</w:t>
    </w:r>
    <w:r w:rsidRPr="003C55ED">
      <w:t>v02-00</w:t>
    </w:r>
    <w:r w:rsidRPr="003C55ED">
      <w:rPr>
        <w:rStyle w:val="HideTWBExt"/>
      </w:rPr>
      <w:t>&lt;/</w:t>
    </w:r>
    <w:proofErr w:type="spellStart"/>
    <w:r w:rsidRPr="003C55ED">
      <w:rPr>
        <w:rStyle w:val="HideTWBExt"/>
      </w:rPr>
      <w:t>Version</w:t>
    </w:r>
    <w:proofErr w:type="spellEnd"/>
    <w:r w:rsidRPr="003C55ED">
      <w:rPr>
        <w:rStyle w:val="HideTWBExt"/>
      </w:rPr>
      <w:t>&gt;</w:t>
    </w:r>
    <w:r w:rsidRPr="003C55ED">
      <w:tab/>
    </w:r>
    <w:r w:rsidRPr="003C55ED">
      <w:fldChar w:fldCharType="begin"/>
    </w:r>
    <w:r w:rsidRPr="003C55ED">
      <w:instrText xml:space="preserve"> PAGE  \* MERGEFORMAT </w:instrText>
    </w:r>
    <w:r w:rsidRPr="003C55ED">
      <w:fldChar w:fldCharType="separate"/>
    </w:r>
    <w:r w:rsidRPr="003C55ED">
      <w:rPr>
        <w:noProof/>
      </w:rPr>
      <w:t>2</w:t>
    </w:r>
    <w:r w:rsidRPr="003C55ED">
      <w:fldChar w:fldCharType="end"/>
    </w:r>
    <w:r w:rsidRPr="003C55ED">
      <w:t>/</w:t>
    </w:r>
    <w:fldSimple w:instr=" NUMPAGES  \* MERGEFORMAT ">
      <w:r w:rsidRPr="003C55ED">
        <w:rPr>
          <w:noProof/>
        </w:rPr>
        <w:t>38</w:t>
      </w:r>
    </w:fldSimple>
    <w:r w:rsidRPr="003C55ED">
      <w:tab/>
    </w:r>
    <w:r w:rsidRPr="003C55ED">
      <w:rPr>
        <w:rStyle w:val="HideTWBExt"/>
      </w:rPr>
      <w:t>&lt;PathFdR&gt;</w:t>
    </w:r>
    <w:r w:rsidRPr="003C55ED">
      <w:t>RR\1340307CS.docx</w:t>
    </w:r>
    <w:r w:rsidRPr="003C55ED">
      <w:rPr>
        <w:rStyle w:val="HideTWBExt"/>
      </w:rPr>
      <w:t>&lt;/</w:t>
    </w:r>
    <w:proofErr w:type="spellStart"/>
    <w:r w:rsidRPr="003C55ED">
      <w:rPr>
        <w:rStyle w:val="HideTWBExt"/>
      </w:rPr>
      <w:t>PathFdR</w:t>
    </w:r>
    <w:proofErr w:type="spellEnd"/>
    <w:r w:rsidRPr="003C55ED">
      <w:rPr>
        <w:rStyle w:val="HideTWBExt"/>
      </w:rPr>
      <w:t>&gt;</w:t>
    </w:r>
  </w:p>
  <w:p w14:paraId="0AD4BF2E" w14:textId="77777777" w:rsidR="00C1148C" w:rsidRPr="003C55ED" w:rsidRDefault="00C1148C" w:rsidP="0021372C">
    <w:pPr>
      <w:pStyle w:val="EPFooter2"/>
    </w:pPr>
    <w:r w:rsidRPr="003C55ED">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42BDD" w14:textId="77777777" w:rsidR="00C1148C" w:rsidRPr="003C55ED" w:rsidRDefault="00C1148C" w:rsidP="0021372C">
    <w:pPr>
      <w:pStyle w:val="EPFooter"/>
    </w:pPr>
    <w:r w:rsidRPr="003C55ED">
      <w:rPr>
        <w:rStyle w:val="HideTWBExt"/>
      </w:rPr>
      <w:t>&lt;PathFdR&gt;</w:t>
    </w:r>
    <w:r w:rsidRPr="003C55ED">
      <w:t>RR\1340307CS.docx</w:t>
    </w:r>
    <w:r w:rsidRPr="003C55ED">
      <w:rPr>
        <w:rStyle w:val="HideTWBExt"/>
      </w:rPr>
      <w:t>&lt;/</w:t>
    </w:r>
    <w:proofErr w:type="spellStart"/>
    <w:r w:rsidRPr="003C55ED">
      <w:rPr>
        <w:rStyle w:val="HideTWBExt"/>
      </w:rPr>
      <w:t>PathFdR</w:t>
    </w:r>
    <w:proofErr w:type="spellEnd"/>
    <w:r w:rsidRPr="003C55ED">
      <w:rPr>
        <w:rStyle w:val="HideTWBExt"/>
      </w:rPr>
      <w:t>&gt;</w:t>
    </w:r>
    <w:r w:rsidRPr="003C55ED">
      <w:tab/>
    </w:r>
    <w:r w:rsidRPr="003C55ED">
      <w:tab/>
      <w:t>PE</w:t>
    </w:r>
    <w:r w:rsidRPr="003C55ED">
      <w:rPr>
        <w:rStyle w:val="HideTWBExt"/>
      </w:rPr>
      <w:t>&lt;</w:t>
    </w:r>
    <w:proofErr w:type="spellStart"/>
    <w:r w:rsidRPr="003C55ED">
      <w:rPr>
        <w:rStyle w:val="HideTWBExt"/>
      </w:rPr>
      <w:t>NoPE</w:t>
    </w:r>
    <w:proofErr w:type="spellEnd"/>
    <w:r w:rsidRPr="003C55ED">
      <w:rPr>
        <w:rStyle w:val="HideTWBExt"/>
      </w:rPr>
      <w:t>&gt;</w:t>
    </w:r>
    <w:r w:rsidRPr="003C55ED">
      <w:t>778.061</w:t>
    </w:r>
    <w:r w:rsidRPr="003C55ED">
      <w:rPr>
        <w:rStyle w:val="HideTWBExt"/>
      </w:rPr>
      <w:t>&lt;/</w:t>
    </w:r>
    <w:proofErr w:type="spellStart"/>
    <w:r w:rsidRPr="003C55ED">
      <w:rPr>
        <w:rStyle w:val="HideTWBExt"/>
      </w:rPr>
      <w:t>NoPE</w:t>
    </w:r>
    <w:proofErr w:type="spellEnd"/>
    <w:r w:rsidRPr="003C55ED">
      <w:rPr>
        <w:rStyle w:val="HideTWBExt"/>
      </w:rPr>
      <w:t>&gt;&lt;Version&gt;</w:t>
    </w:r>
    <w:r w:rsidRPr="003C55ED">
      <w:t>v02-00</w:t>
    </w:r>
    <w:r w:rsidRPr="003C55ED">
      <w:rPr>
        <w:rStyle w:val="HideTWBExt"/>
      </w:rPr>
      <w:t>&lt;/</w:t>
    </w:r>
    <w:proofErr w:type="spellStart"/>
    <w:r w:rsidRPr="003C55ED">
      <w:rPr>
        <w:rStyle w:val="HideTWBExt"/>
      </w:rPr>
      <w:t>Version</w:t>
    </w:r>
    <w:proofErr w:type="spellEnd"/>
    <w:r w:rsidRPr="003C55ED">
      <w:rPr>
        <w:rStyle w:val="HideTWBExt"/>
      </w:rPr>
      <w:t>&gt;</w:t>
    </w:r>
  </w:p>
  <w:p w14:paraId="42F3BA31" w14:textId="77777777" w:rsidR="00C1148C" w:rsidRPr="003C55ED" w:rsidRDefault="00C1148C" w:rsidP="0021372C">
    <w:pPr>
      <w:pStyle w:val="EPFooter2"/>
    </w:pPr>
    <w:r w:rsidRPr="003C55ED">
      <w:t>CS</w:t>
    </w:r>
    <w:r w:rsidRPr="003C55ED">
      <w:tab/>
    </w:r>
    <w:r w:rsidRPr="003C55ED">
      <w:rPr>
        <w:b w:val="0"/>
        <w:i/>
        <w:color w:val="C0C0C0"/>
        <w:sz w:val="22"/>
      </w:rPr>
      <w:t>Jednotná v rozmanitosti</w:t>
    </w:r>
    <w:r w:rsidRPr="003C55ED">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BA5F0" w14:textId="77777777" w:rsidR="00064002" w:rsidRPr="003C55E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050EB" w14:textId="77777777" w:rsidR="00064002" w:rsidRPr="003C55E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7CE5B" w14:textId="77777777" w:rsidR="00064002" w:rsidRPr="003C55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3415E" w14:textId="77777777" w:rsidR="007804B4" w:rsidRPr="003C55ED" w:rsidRDefault="007804B4">
      <w:r w:rsidRPr="003C55ED">
        <w:separator/>
      </w:r>
    </w:p>
  </w:footnote>
  <w:footnote w:type="continuationSeparator" w:id="0">
    <w:p w14:paraId="531016F3" w14:textId="77777777" w:rsidR="007804B4" w:rsidRPr="003C55ED" w:rsidRDefault="007804B4">
      <w:r w:rsidRPr="003C55ED">
        <w:continuationSeparator/>
      </w:r>
    </w:p>
  </w:footnote>
  <w:footnote w:id="1">
    <w:p w14:paraId="300DF5A3" w14:textId="045F0CDD" w:rsidR="00C1148C" w:rsidRPr="0038582E" w:rsidRDefault="00C1148C" w:rsidP="003C55ED">
      <w:pPr>
        <w:pStyle w:val="FootnoteText"/>
        <w:ind w:left="567" w:hanging="567"/>
        <w:rPr>
          <w:sz w:val="24"/>
          <w:szCs w:val="24"/>
          <w:lang w:val="cs-CZ"/>
        </w:rPr>
      </w:pPr>
      <w:r w:rsidRPr="003C55ED">
        <w:rPr>
          <w:rStyle w:val="FootnoteReference"/>
          <w:sz w:val="24"/>
          <w:lang w:val="cs-CZ"/>
        </w:rPr>
        <w:footnoteRef/>
      </w:r>
      <w:r w:rsidR="003C55ED" w:rsidRPr="003C55ED">
        <w:rPr>
          <w:sz w:val="24"/>
          <w:lang w:val="cs-CZ"/>
        </w:rPr>
        <w:t xml:space="preserve"> </w:t>
      </w:r>
      <w:r w:rsidR="003C55ED" w:rsidRPr="003C55ED">
        <w:rPr>
          <w:sz w:val="24"/>
          <w:lang w:val="cs-CZ"/>
        </w:rPr>
        <w:tab/>
      </w:r>
      <w:proofErr w:type="spellStart"/>
      <w:r w:rsidRPr="0038582E">
        <w:rPr>
          <w:sz w:val="24"/>
          <w:szCs w:val="24"/>
          <w:lang w:val="cs-CZ"/>
        </w:rPr>
        <w:t>Úř</w:t>
      </w:r>
      <w:proofErr w:type="spellEnd"/>
      <w:r w:rsidRPr="0038582E">
        <w:rPr>
          <w:sz w:val="24"/>
          <w:szCs w:val="24"/>
          <w:lang w:val="cs-CZ"/>
        </w:rPr>
        <w:t xml:space="preserve">. </w:t>
      </w:r>
      <w:proofErr w:type="spellStart"/>
      <w:r w:rsidRPr="0038582E">
        <w:rPr>
          <w:sz w:val="24"/>
          <w:szCs w:val="24"/>
          <w:lang w:val="cs-CZ"/>
        </w:rPr>
        <w:t>věst</w:t>
      </w:r>
      <w:proofErr w:type="spellEnd"/>
      <w:r w:rsidRPr="0038582E">
        <w:rPr>
          <w:sz w:val="24"/>
          <w:szCs w:val="24"/>
          <w:lang w:val="cs-CZ"/>
        </w:rPr>
        <w:t>. L</w:t>
      </w:r>
      <w:r w:rsidR="006E5DEB" w:rsidRPr="0038582E">
        <w:rPr>
          <w:sz w:val="24"/>
          <w:szCs w:val="24"/>
          <w:lang w:val="cs-CZ"/>
        </w:rPr>
        <w:t>, 2024/</w:t>
      </w:r>
      <w:r w:rsidRPr="0038582E">
        <w:rPr>
          <w:sz w:val="24"/>
          <w:szCs w:val="24"/>
          <w:lang w:val="cs-CZ"/>
        </w:rPr>
        <w:t xml:space="preserve">207, 22.2.2024, ELI: </w:t>
      </w:r>
      <w:r>
        <w:fldChar w:fldCharType="begin"/>
      </w:r>
      <w:r w:rsidRPr="00335E22">
        <w:rPr>
          <w:lang w:val="fi-FI"/>
        </w:rPr>
        <w:instrText>HYPERLINK "http://data.europa.eu/eli/budget/2024/207/oj"</w:instrText>
      </w:r>
      <w:r>
        <w:fldChar w:fldCharType="separate"/>
      </w:r>
      <w:r w:rsidRPr="0038582E">
        <w:rPr>
          <w:rStyle w:val="Hyperlink"/>
          <w:sz w:val="24"/>
          <w:szCs w:val="24"/>
          <w:lang w:val="cs-CZ"/>
        </w:rPr>
        <w:t>http://data.europa.eu/eli/budget/2024/207/oj</w:t>
      </w:r>
      <w:r>
        <w:fldChar w:fldCharType="end"/>
      </w:r>
      <w:r w:rsidRPr="0038582E">
        <w:rPr>
          <w:rStyle w:val="Hyperlink"/>
          <w:sz w:val="24"/>
          <w:szCs w:val="24"/>
          <w:lang w:val="cs-CZ"/>
        </w:rPr>
        <w:t>.</w:t>
      </w:r>
    </w:p>
  </w:footnote>
  <w:footnote w:id="2">
    <w:p w14:paraId="22952FC7" w14:textId="3D989855" w:rsidR="00C1148C" w:rsidRPr="003C55ED" w:rsidRDefault="00C1148C" w:rsidP="003C55ED">
      <w:pPr>
        <w:pStyle w:val="FootnoteText"/>
        <w:ind w:left="567" w:hanging="567"/>
        <w:rPr>
          <w:sz w:val="24"/>
          <w:lang w:val="cs-CZ"/>
        </w:rPr>
      </w:pPr>
      <w:r w:rsidRPr="003C55ED">
        <w:rPr>
          <w:rStyle w:val="FootnoteReference"/>
          <w:sz w:val="24"/>
          <w:lang w:val="cs-CZ"/>
        </w:rPr>
        <w:footnoteRef/>
      </w:r>
      <w:r w:rsidR="003C55ED" w:rsidRPr="003C55ED">
        <w:rPr>
          <w:sz w:val="24"/>
          <w:lang w:val="cs-CZ"/>
        </w:rPr>
        <w:t xml:space="preserve"> </w:t>
      </w:r>
      <w:r w:rsidR="003C55ED" w:rsidRPr="003C55ED">
        <w:rPr>
          <w:sz w:val="24"/>
          <w:lang w:val="cs-CZ"/>
        </w:rPr>
        <w:tab/>
      </w:r>
      <w:proofErr w:type="spellStart"/>
      <w:r w:rsidRPr="003C55ED">
        <w:rPr>
          <w:sz w:val="24"/>
          <w:lang w:val="cs-CZ"/>
        </w:rPr>
        <w:t>Úř</w:t>
      </w:r>
      <w:proofErr w:type="spellEnd"/>
      <w:r w:rsidRPr="003C55ED">
        <w:rPr>
          <w:sz w:val="24"/>
          <w:lang w:val="cs-CZ"/>
        </w:rPr>
        <w:t xml:space="preserve">. </w:t>
      </w:r>
      <w:proofErr w:type="spellStart"/>
      <w:r w:rsidRPr="003C55ED">
        <w:rPr>
          <w:sz w:val="24"/>
          <w:lang w:val="cs-CZ"/>
        </w:rPr>
        <w:t>věst</w:t>
      </w:r>
      <w:proofErr w:type="spellEnd"/>
      <w:r w:rsidRPr="003C55ED">
        <w:rPr>
          <w:sz w:val="24"/>
          <w:lang w:val="cs-CZ"/>
        </w:rPr>
        <w:t>. C, C/2025/4944, 13.10.2025, ELI: </w:t>
      </w:r>
      <w:r>
        <w:fldChar w:fldCharType="begin"/>
      </w:r>
      <w:r w:rsidRPr="00335E22">
        <w:rPr>
          <w:lang w:val="cs-CZ"/>
        </w:rPr>
        <w:instrText>HYPERLINK "http://data.europa.eu/eli/C/2025/4944/oj" \t "_blank" \o "Umožňuje přístup k tomuto dokumentu prostřednictvím identifikátoru ELI URI."</w:instrText>
      </w:r>
      <w:r>
        <w:fldChar w:fldCharType="separate"/>
      </w:r>
      <w:r w:rsidRPr="003C55ED">
        <w:rPr>
          <w:rStyle w:val="Hyperlink"/>
          <w:sz w:val="24"/>
          <w:lang w:val="cs-CZ"/>
        </w:rPr>
        <w:t>http://data.europa.eu/eli/C/2025/4944/oj</w:t>
      </w:r>
      <w:r>
        <w:fldChar w:fldCharType="end"/>
      </w:r>
      <w:r w:rsidRPr="003C55ED">
        <w:rPr>
          <w:sz w:val="24"/>
          <w:lang w:val="cs-CZ"/>
        </w:rPr>
        <w:t>.</w:t>
      </w:r>
    </w:p>
  </w:footnote>
  <w:footnote w:id="3">
    <w:p w14:paraId="5056BCA9" w14:textId="2EBC03A0" w:rsidR="00C1148C" w:rsidRPr="003C55ED" w:rsidRDefault="00C1148C" w:rsidP="003C55ED">
      <w:pPr>
        <w:pStyle w:val="FootnoteText"/>
        <w:ind w:left="567" w:hanging="567"/>
        <w:rPr>
          <w:sz w:val="24"/>
          <w:lang w:val="cs-CZ"/>
        </w:rPr>
      </w:pPr>
      <w:r w:rsidRPr="003C55ED">
        <w:rPr>
          <w:rStyle w:val="FootnoteReference"/>
          <w:sz w:val="24"/>
          <w:lang w:val="cs-CZ"/>
        </w:rPr>
        <w:footnoteRef/>
      </w:r>
      <w:r w:rsidR="003C55ED" w:rsidRPr="003C55ED">
        <w:rPr>
          <w:sz w:val="24"/>
          <w:lang w:val="cs-CZ"/>
        </w:rPr>
        <w:t xml:space="preserve"> </w:t>
      </w:r>
      <w:r w:rsidR="003C55ED" w:rsidRPr="003C55ED">
        <w:rPr>
          <w:sz w:val="24"/>
          <w:lang w:val="cs-CZ"/>
        </w:rPr>
        <w:tab/>
      </w:r>
      <w:proofErr w:type="spellStart"/>
      <w:r w:rsidRPr="003C55ED">
        <w:rPr>
          <w:sz w:val="24"/>
          <w:lang w:val="cs-CZ"/>
        </w:rPr>
        <w:t>Úř</w:t>
      </w:r>
      <w:proofErr w:type="spellEnd"/>
      <w:r w:rsidRPr="003C55ED">
        <w:rPr>
          <w:sz w:val="24"/>
          <w:lang w:val="cs-CZ"/>
        </w:rPr>
        <w:t xml:space="preserve">. </w:t>
      </w:r>
      <w:proofErr w:type="spellStart"/>
      <w:r w:rsidRPr="003C55ED">
        <w:rPr>
          <w:sz w:val="24"/>
          <w:lang w:val="cs-CZ"/>
        </w:rPr>
        <w:t>věst</w:t>
      </w:r>
      <w:proofErr w:type="spellEnd"/>
      <w:r w:rsidRPr="003C55ED">
        <w:rPr>
          <w:sz w:val="24"/>
          <w:lang w:val="cs-CZ"/>
        </w:rPr>
        <w:t xml:space="preserve">. C, C/2025/5409, 8.10.2025, ELI: </w:t>
      </w:r>
      <w:r>
        <w:fldChar w:fldCharType="begin"/>
      </w:r>
      <w:r w:rsidRPr="00335E22">
        <w:rPr>
          <w:lang w:val="fi-FI"/>
        </w:rPr>
        <w:instrText>HYPERLINK "http://data.europa.eu/eli/C/2025/5409/oj"</w:instrText>
      </w:r>
      <w:r>
        <w:fldChar w:fldCharType="separate"/>
      </w:r>
      <w:r w:rsidRPr="003C55ED">
        <w:rPr>
          <w:rStyle w:val="Hyperlink"/>
          <w:sz w:val="24"/>
          <w:lang w:val="cs-CZ"/>
        </w:rPr>
        <w:t>http://data.europa.eu/eli/C/2025/5409/oj</w:t>
      </w:r>
      <w:r>
        <w:fldChar w:fldCharType="end"/>
      </w:r>
      <w:r w:rsidRPr="003C55ED">
        <w:rPr>
          <w:rStyle w:val="Hyperlink"/>
          <w:sz w:val="24"/>
          <w:lang w:val="cs-CZ"/>
        </w:rPr>
        <w:t>.</w:t>
      </w:r>
    </w:p>
  </w:footnote>
  <w:footnote w:id="4">
    <w:p w14:paraId="2A90714B" w14:textId="2B947916" w:rsidR="00C1148C" w:rsidRPr="003C55ED" w:rsidRDefault="00C1148C" w:rsidP="003C55ED">
      <w:pPr>
        <w:pStyle w:val="FootnoteText"/>
        <w:ind w:left="567" w:hanging="567"/>
        <w:rPr>
          <w:sz w:val="24"/>
          <w:lang w:val="cs-CZ"/>
        </w:rPr>
      </w:pPr>
      <w:r w:rsidRPr="003C55ED">
        <w:rPr>
          <w:rStyle w:val="FootnoteReference"/>
          <w:sz w:val="24"/>
          <w:lang w:val="cs-CZ"/>
        </w:rPr>
        <w:footnoteRef/>
      </w:r>
      <w:r w:rsidR="003C55ED" w:rsidRPr="003C55ED">
        <w:rPr>
          <w:sz w:val="24"/>
          <w:lang w:val="cs-CZ"/>
        </w:rPr>
        <w:t xml:space="preserve"> </w:t>
      </w:r>
      <w:r w:rsidR="003C55ED" w:rsidRPr="003C55ED">
        <w:rPr>
          <w:sz w:val="24"/>
          <w:lang w:val="cs-CZ"/>
        </w:rPr>
        <w:tab/>
      </w:r>
      <w:proofErr w:type="spellStart"/>
      <w:r w:rsidRPr="003C55ED">
        <w:rPr>
          <w:sz w:val="24"/>
          <w:lang w:val="cs-CZ"/>
        </w:rPr>
        <w:t>Úř</w:t>
      </w:r>
      <w:proofErr w:type="spellEnd"/>
      <w:r w:rsidRPr="003C55ED">
        <w:rPr>
          <w:sz w:val="24"/>
          <w:lang w:val="cs-CZ"/>
        </w:rPr>
        <w:t xml:space="preserve">. </w:t>
      </w:r>
      <w:proofErr w:type="spellStart"/>
      <w:r w:rsidRPr="003C55ED">
        <w:rPr>
          <w:sz w:val="24"/>
          <w:lang w:val="cs-CZ"/>
        </w:rPr>
        <w:t>věst</w:t>
      </w:r>
      <w:proofErr w:type="spellEnd"/>
      <w:r w:rsidRPr="003C55ED">
        <w:rPr>
          <w:sz w:val="24"/>
          <w:lang w:val="cs-CZ"/>
        </w:rPr>
        <w:t xml:space="preserve">. C, C/2025/5407, 13.10.2025, ELI: </w:t>
      </w:r>
      <w:r>
        <w:fldChar w:fldCharType="begin"/>
      </w:r>
      <w:r w:rsidRPr="00335E22">
        <w:rPr>
          <w:lang w:val="fi-FI"/>
        </w:rPr>
        <w:instrText>HYPERLINK "http://data.europa.eu/eli/C/2025/5407/oj"</w:instrText>
      </w:r>
      <w:r>
        <w:fldChar w:fldCharType="separate"/>
      </w:r>
      <w:r w:rsidRPr="003C55ED">
        <w:rPr>
          <w:rStyle w:val="Hyperlink"/>
          <w:sz w:val="24"/>
          <w:lang w:val="cs-CZ"/>
        </w:rPr>
        <w:t>http://data.europa.eu/eli/C/2025/5407/oj</w:t>
      </w:r>
      <w:r>
        <w:fldChar w:fldCharType="end"/>
      </w:r>
      <w:r w:rsidRPr="003C55ED">
        <w:rPr>
          <w:rStyle w:val="Hyperlink"/>
          <w:sz w:val="24"/>
          <w:lang w:val="cs-CZ"/>
        </w:rPr>
        <w:t>.</w:t>
      </w:r>
    </w:p>
  </w:footnote>
  <w:footnote w:id="5">
    <w:p w14:paraId="0257122E" w14:textId="6DE997A8" w:rsidR="00C1148C" w:rsidRPr="003C55ED" w:rsidRDefault="00C1148C" w:rsidP="003C55ED">
      <w:pPr>
        <w:pStyle w:val="FootnoteText"/>
        <w:ind w:left="567" w:hanging="567"/>
        <w:rPr>
          <w:sz w:val="24"/>
          <w:lang w:val="cs-CZ"/>
        </w:rPr>
      </w:pPr>
      <w:r w:rsidRPr="003C55ED">
        <w:rPr>
          <w:rStyle w:val="FootnoteReference"/>
          <w:sz w:val="24"/>
          <w:lang w:val="cs-CZ"/>
        </w:rPr>
        <w:footnoteRef/>
      </w:r>
      <w:r w:rsidR="003C55ED" w:rsidRPr="003C55ED">
        <w:rPr>
          <w:sz w:val="24"/>
          <w:lang w:val="cs-CZ"/>
        </w:rPr>
        <w:t xml:space="preserve"> </w:t>
      </w:r>
      <w:r w:rsidR="003C55ED" w:rsidRPr="003C55ED">
        <w:rPr>
          <w:sz w:val="24"/>
          <w:lang w:val="cs-CZ"/>
        </w:rPr>
        <w:tab/>
      </w:r>
      <w:proofErr w:type="spellStart"/>
      <w:r w:rsidRPr="003C55ED">
        <w:rPr>
          <w:sz w:val="24"/>
          <w:lang w:val="cs-CZ"/>
        </w:rPr>
        <w:t>Úř</w:t>
      </w:r>
      <w:proofErr w:type="spellEnd"/>
      <w:r w:rsidRPr="003C55ED">
        <w:rPr>
          <w:sz w:val="24"/>
          <w:lang w:val="cs-CZ"/>
        </w:rPr>
        <w:t xml:space="preserve">. </w:t>
      </w:r>
      <w:proofErr w:type="spellStart"/>
      <w:r w:rsidRPr="003C55ED">
        <w:rPr>
          <w:sz w:val="24"/>
          <w:lang w:val="cs-CZ"/>
        </w:rPr>
        <w:t>věst</w:t>
      </w:r>
      <w:proofErr w:type="spellEnd"/>
      <w:r w:rsidRPr="003C55ED">
        <w:rPr>
          <w:sz w:val="24"/>
          <w:lang w:val="cs-CZ"/>
        </w:rPr>
        <w:t xml:space="preserve">. L 193, 30.7.2018, s. 1, ELI: </w:t>
      </w:r>
      <w:r>
        <w:fldChar w:fldCharType="begin"/>
      </w:r>
      <w:r w:rsidRPr="00335E22">
        <w:rPr>
          <w:lang w:val="fi-FI"/>
        </w:rPr>
        <w:instrText>HYPERLINK "http://data.europa.eu/eli/reg/2018/1046/oj"</w:instrText>
      </w:r>
      <w:r>
        <w:fldChar w:fldCharType="separate"/>
      </w:r>
      <w:r w:rsidRPr="003C55ED">
        <w:rPr>
          <w:rStyle w:val="Hyperlink"/>
          <w:sz w:val="24"/>
          <w:lang w:val="cs-CZ"/>
        </w:rPr>
        <w:t>http://data.europa.eu/eli/reg/2018/1046/oj</w:t>
      </w:r>
      <w:r>
        <w:fldChar w:fldCharType="end"/>
      </w:r>
      <w:r w:rsidRPr="003C55ED">
        <w:rPr>
          <w:sz w:val="24"/>
          <w:lang w:val="cs-CZ"/>
        </w:rPr>
        <w:t>.</w:t>
      </w:r>
    </w:p>
  </w:footnote>
  <w:footnote w:id="6">
    <w:p w14:paraId="61613092" w14:textId="0AE6CA2C" w:rsidR="00C1148C" w:rsidRPr="003C55ED" w:rsidRDefault="00C1148C" w:rsidP="003C55ED">
      <w:pPr>
        <w:pStyle w:val="FootnoteText"/>
        <w:ind w:left="567" w:hanging="567"/>
        <w:rPr>
          <w:sz w:val="24"/>
          <w:lang w:val="cs-CZ"/>
        </w:rPr>
      </w:pPr>
      <w:r w:rsidRPr="003C55ED">
        <w:rPr>
          <w:rStyle w:val="FootnoteReference"/>
          <w:sz w:val="24"/>
          <w:lang w:val="cs-CZ"/>
        </w:rPr>
        <w:footnoteRef/>
      </w:r>
      <w:r w:rsidR="003C55ED" w:rsidRPr="003C55ED">
        <w:rPr>
          <w:sz w:val="24"/>
          <w:lang w:val="cs-CZ"/>
        </w:rPr>
        <w:t xml:space="preserve"> </w:t>
      </w:r>
      <w:r w:rsidR="003C55ED" w:rsidRPr="003C55ED">
        <w:rPr>
          <w:sz w:val="24"/>
          <w:lang w:val="cs-CZ"/>
        </w:rPr>
        <w:tab/>
      </w:r>
      <w:proofErr w:type="spellStart"/>
      <w:r w:rsidRPr="003C55ED">
        <w:rPr>
          <w:sz w:val="24"/>
          <w:lang w:val="cs-CZ"/>
        </w:rPr>
        <w:t>Úř</w:t>
      </w:r>
      <w:proofErr w:type="spellEnd"/>
      <w:r w:rsidRPr="003C55ED">
        <w:rPr>
          <w:sz w:val="24"/>
          <w:lang w:val="cs-CZ"/>
        </w:rPr>
        <w:t xml:space="preserve">. </w:t>
      </w:r>
      <w:proofErr w:type="spellStart"/>
      <w:r w:rsidRPr="003C55ED">
        <w:rPr>
          <w:sz w:val="24"/>
          <w:lang w:val="cs-CZ"/>
        </w:rPr>
        <w:t>věst</w:t>
      </w:r>
      <w:proofErr w:type="spellEnd"/>
      <w:r w:rsidRPr="003C55ED">
        <w:rPr>
          <w:sz w:val="24"/>
          <w:lang w:val="cs-CZ"/>
        </w:rPr>
        <w:t xml:space="preserve">. L, 2024/2509, 26.9.2024, ELI: </w:t>
      </w:r>
      <w:r>
        <w:fldChar w:fldCharType="begin"/>
      </w:r>
      <w:r w:rsidRPr="00335E22">
        <w:rPr>
          <w:lang w:val="fi-FI"/>
        </w:rPr>
        <w:instrText>HYPERLINK "http://data.europa.eu/eli/reg/2024/2509/oj"</w:instrText>
      </w:r>
      <w:r>
        <w:fldChar w:fldCharType="separate"/>
      </w:r>
      <w:r w:rsidRPr="003C55ED">
        <w:rPr>
          <w:rStyle w:val="Hyperlink"/>
          <w:sz w:val="24"/>
          <w:lang w:val="cs-CZ"/>
        </w:rPr>
        <w:t>http://data.europa.eu/eli/reg/2024/2509/oj</w:t>
      </w:r>
      <w:r>
        <w:fldChar w:fldCharType="end"/>
      </w:r>
      <w:r w:rsidRPr="003C55ED">
        <w:rPr>
          <w:sz w:val="24"/>
          <w:lang w:val="cs-CZ"/>
        </w:rPr>
        <w:t>.</w:t>
      </w:r>
    </w:p>
  </w:footnote>
  <w:footnote w:id="7">
    <w:p w14:paraId="68914447" w14:textId="74859176" w:rsidR="00C1148C" w:rsidRPr="003C55ED" w:rsidRDefault="00C1148C" w:rsidP="003C55ED">
      <w:pPr>
        <w:pStyle w:val="FootnoteText"/>
        <w:ind w:left="567" w:hanging="567"/>
        <w:rPr>
          <w:sz w:val="24"/>
          <w:lang w:val="cs-CZ"/>
        </w:rPr>
      </w:pPr>
      <w:r w:rsidRPr="003C55ED">
        <w:rPr>
          <w:rStyle w:val="FootnoteReference"/>
          <w:sz w:val="24"/>
          <w:lang w:val="cs-CZ"/>
        </w:rPr>
        <w:footnoteRef/>
      </w:r>
      <w:r w:rsidR="003C55ED" w:rsidRPr="003C55ED">
        <w:rPr>
          <w:sz w:val="24"/>
          <w:lang w:val="cs-CZ"/>
        </w:rPr>
        <w:t xml:space="preserve"> </w:t>
      </w:r>
      <w:r w:rsidR="003C55ED" w:rsidRPr="003C55ED">
        <w:rPr>
          <w:sz w:val="24"/>
          <w:lang w:val="cs-CZ"/>
        </w:rPr>
        <w:tab/>
      </w:r>
      <w:proofErr w:type="spellStart"/>
      <w:r w:rsidRPr="003C55ED">
        <w:rPr>
          <w:sz w:val="24"/>
          <w:lang w:val="cs-CZ"/>
        </w:rPr>
        <w:t>Úř</w:t>
      </w:r>
      <w:proofErr w:type="spellEnd"/>
      <w:r w:rsidRPr="003C55ED">
        <w:rPr>
          <w:sz w:val="24"/>
          <w:lang w:val="cs-CZ"/>
        </w:rPr>
        <w:t xml:space="preserve">. </w:t>
      </w:r>
      <w:proofErr w:type="spellStart"/>
      <w:r w:rsidRPr="003C55ED">
        <w:rPr>
          <w:sz w:val="24"/>
          <w:lang w:val="cs-CZ"/>
        </w:rPr>
        <w:t>věst</w:t>
      </w:r>
      <w:proofErr w:type="spellEnd"/>
      <w:r w:rsidRPr="003C55ED">
        <w:rPr>
          <w:sz w:val="24"/>
          <w:lang w:val="cs-CZ"/>
        </w:rPr>
        <w:t xml:space="preserve">. L 201, 3.8.2010, s. 30, ELI: </w:t>
      </w:r>
      <w:r>
        <w:fldChar w:fldCharType="begin"/>
      </w:r>
      <w:r w:rsidRPr="00335E22">
        <w:rPr>
          <w:lang w:val="fi-FI"/>
        </w:rPr>
        <w:instrText>HYPERLINK "http://data.europa.eu/eli/dec/2010/427/oj"</w:instrText>
      </w:r>
      <w:r>
        <w:fldChar w:fldCharType="separate"/>
      </w:r>
      <w:r w:rsidRPr="003C55ED">
        <w:rPr>
          <w:rStyle w:val="Hyperlink"/>
          <w:sz w:val="24"/>
          <w:lang w:val="cs-CZ"/>
        </w:rPr>
        <w:t>http://data.europa.eu/eli/dec/2010/427/oj</w:t>
      </w:r>
      <w:r>
        <w:fldChar w:fldCharType="end"/>
      </w:r>
      <w:r w:rsidRPr="003C55ED">
        <w:rPr>
          <w:sz w:val="24"/>
          <w:lang w:val="cs-CZ"/>
        </w:rPr>
        <w:t>.</w:t>
      </w:r>
    </w:p>
  </w:footnote>
  <w:footnote w:id="8">
    <w:p w14:paraId="0A0705C5" w14:textId="463EBB30" w:rsidR="00C1148C" w:rsidRPr="007E26A7" w:rsidRDefault="00C1148C" w:rsidP="007E26A7">
      <w:pPr>
        <w:pStyle w:val="FootnoteText"/>
        <w:ind w:left="567" w:hanging="567"/>
        <w:rPr>
          <w:sz w:val="24"/>
          <w:vertAlign w:val="superscript"/>
          <w:lang w:val="cs-CZ"/>
        </w:rPr>
      </w:pPr>
      <w:r w:rsidRPr="003C55ED">
        <w:rPr>
          <w:rStyle w:val="FootnoteReference"/>
          <w:sz w:val="24"/>
          <w:lang w:val="cs-CZ"/>
        </w:rPr>
        <w:footnoteRef/>
      </w:r>
      <w:r w:rsidR="003C55ED" w:rsidRPr="003C55ED">
        <w:rPr>
          <w:sz w:val="24"/>
          <w:lang w:val="cs-CZ"/>
        </w:rPr>
        <w:t xml:space="preserve"> </w:t>
      </w:r>
      <w:r w:rsidR="003C55ED" w:rsidRPr="003C55ED">
        <w:rPr>
          <w:sz w:val="24"/>
          <w:lang w:val="cs-CZ"/>
        </w:rPr>
        <w:tab/>
      </w:r>
      <w:r w:rsidRPr="003C55ED">
        <w:rPr>
          <w:sz w:val="24"/>
          <w:lang w:val="cs-CZ"/>
        </w:rPr>
        <w:t>Směrnice Evropského parlamentu a Rady 2014/24/EU ze dne 26. února 2014 o zadávání veřejných zakázek a o zrušení směrnice 2004/18/ES (</w:t>
      </w:r>
      <w:proofErr w:type="spellStart"/>
      <w:r w:rsidRPr="003C55ED">
        <w:rPr>
          <w:sz w:val="24"/>
          <w:lang w:val="cs-CZ"/>
        </w:rPr>
        <w:t>Úř</w:t>
      </w:r>
      <w:proofErr w:type="spellEnd"/>
      <w:r w:rsidRPr="003C55ED">
        <w:rPr>
          <w:sz w:val="24"/>
          <w:lang w:val="cs-CZ"/>
        </w:rPr>
        <w:t xml:space="preserve">. </w:t>
      </w:r>
      <w:proofErr w:type="spellStart"/>
      <w:r w:rsidRPr="003C55ED">
        <w:rPr>
          <w:sz w:val="24"/>
          <w:lang w:val="cs-CZ"/>
        </w:rPr>
        <w:t>věst</w:t>
      </w:r>
      <w:proofErr w:type="spellEnd"/>
      <w:r w:rsidRPr="003C55ED">
        <w:rPr>
          <w:sz w:val="24"/>
          <w:lang w:val="cs-CZ"/>
        </w:rPr>
        <w:t xml:space="preserve">. L 94, 28.3.2014, s. 65, ELI: </w:t>
      </w:r>
      <w:r>
        <w:fldChar w:fldCharType="begin"/>
      </w:r>
      <w:r w:rsidRPr="00335E22">
        <w:rPr>
          <w:lang w:val="fi-FI"/>
        </w:rPr>
        <w:instrText>HYPERLINK "http://data.europa.eu/eli/dir/2014/24/oj"</w:instrText>
      </w:r>
      <w:r>
        <w:fldChar w:fldCharType="separate"/>
      </w:r>
      <w:r w:rsidRPr="003C55ED">
        <w:rPr>
          <w:rStyle w:val="Hyperlink"/>
          <w:sz w:val="24"/>
          <w:lang w:val="cs-CZ"/>
        </w:rPr>
        <w:t>http://data.europa.eu/eli/dir/2014/24/oj</w:t>
      </w:r>
      <w:r>
        <w:fldChar w:fldCharType="end"/>
      </w:r>
      <w:r w:rsidRPr="003C55ED">
        <w:rPr>
          <w:sz w:val="24"/>
          <w:lang w:val="cs-CZ"/>
        </w:rPr>
        <w:t>).</w:t>
      </w:r>
    </w:p>
  </w:footnote>
  <w:footnote w:id="9">
    <w:p w14:paraId="073A37BB" w14:textId="3F98D227" w:rsidR="00C1148C" w:rsidRPr="007E26A7" w:rsidRDefault="00C1148C" w:rsidP="007E26A7">
      <w:pPr>
        <w:pStyle w:val="FootnoteText"/>
        <w:ind w:left="567" w:hanging="567"/>
        <w:rPr>
          <w:sz w:val="24"/>
          <w:vertAlign w:val="superscript"/>
          <w:lang w:val="cs-CZ"/>
        </w:rPr>
      </w:pPr>
      <w:r w:rsidRPr="003C55ED">
        <w:rPr>
          <w:rStyle w:val="FootnoteReference"/>
          <w:sz w:val="24"/>
          <w:lang w:val="cs-CZ"/>
        </w:rPr>
        <w:footnoteRef/>
      </w:r>
      <w:r w:rsidR="003C55ED" w:rsidRPr="003C55ED">
        <w:rPr>
          <w:sz w:val="24"/>
          <w:lang w:val="cs-CZ"/>
        </w:rPr>
        <w:t xml:space="preserve"> </w:t>
      </w:r>
      <w:r w:rsidR="003C55ED" w:rsidRPr="003C55ED">
        <w:rPr>
          <w:sz w:val="24"/>
          <w:lang w:val="cs-CZ"/>
        </w:rPr>
        <w:tab/>
      </w:r>
      <w:r w:rsidRPr="00B82B96">
        <w:rPr>
          <w:sz w:val="24"/>
          <w:lang w:val="cs-CZ"/>
        </w:rPr>
        <w:t>usnesení</w:t>
      </w:r>
      <w:r w:rsidRPr="003C55ED">
        <w:rPr>
          <w:sz w:val="24"/>
          <w:lang w:val="cs-CZ"/>
        </w:rPr>
        <w:t xml:space="preserve"> P10_</w:t>
      </w:r>
      <w:proofErr w:type="gramStart"/>
      <w:r w:rsidRPr="003C55ED">
        <w:rPr>
          <w:sz w:val="24"/>
          <w:lang w:val="cs-CZ"/>
        </w:rPr>
        <w:t>TA(</w:t>
      </w:r>
      <w:proofErr w:type="gramEnd"/>
      <w:r w:rsidRPr="003C55ED">
        <w:rPr>
          <w:sz w:val="24"/>
          <w:lang w:val="cs-CZ"/>
        </w:rPr>
        <w:t>2025)0086, bod 83.</w:t>
      </w:r>
    </w:p>
  </w:footnote>
  <w:footnote w:id="10">
    <w:p w14:paraId="5F78C2DE" w14:textId="087A5359" w:rsidR="00C1148C" w:rsidRPr="003C55ED" w:rsidRDefault="00C1148C" w:rsidP="003C55ED">
      <w:pPr>
        <w:pStyle w:val="FootnoteText"/>
        <w:ind w:left="567" w:hanging="567"/>
        <w:rPr>
          <w:sz w:val="24"/>
          <w:lang w:val="cs-CZ"/>
        </w:rPr>
      </w:pPr>
      <w:r w:rsidRPr="003C55ED">
        <w:rPr>
          <w:rStyle w:val="FootnoteReference"/>
          <w:sz w:val="24"/>
          <w:lang w:val="cs-CZ"/>
        </w:rPr>
        <w:footnoteRef/>
      </w:r>
      <w:r w:rsidR="003C55ED" w:rsidRPr="003C55ED">
        <w:rPr>
          <w:sz w:val="24"/>
          <w:lang w:val="cs-CZ"/>
        </w:rPr>
        <w:t xml:space="preserve"> </w:t>
      </w:r>
      <w:r w:rsidR="003C55ED" w:rsidRPr="003C55ED">
        <w:rPr>
          <w:sz w:val="24"/>
          <w:lang w:val="cs-CZ"/>
        </w:rPr>
        <w:tab/>
      </w:r>
      <w:r w:rsidRPr="003C55ED">
        <w:rPr>
          <w:sz w:val="24"/>
          <w:lang w:val="cs-CZ"/>
        </w:rPr>
        <w:t>Rozhodnutí Rady (SZBP) 2024/1472 ze dne 21. května 2024 o diplomatické akademii Evropské unie</w:t>
      </w:r>
      <w:r w:rsidRPr="003C55ED">
        <w:rPr>
          <w:color w:val="333333"/>
          <w:sz w:val="24"/>
          <w:shd w:val="clear" w:color="auto" w:fill="FFFFFF"/>
          <w:lang w:val="cs-CZ"/>
        </w:rPr>
        <w:t xml:space="preserve"> (</w:t>
      </w:r>
      <w:proofErr w:type="spellStart"/>
      <w:r w:rsidRPr="003C55ED">
        <w:rPr>
          <w:sz w:val="24"/>
          <w:lang w:val="cs-CZ"/>
        </w:rPr>
        <w:t>Úř</w:t>
      </w:r>
      <w:proofErr w:type="spellEnd"/>
      <w:r w:rsidRPr="003C55ED">
        <w:rPr>
          <w:sz w:val="24"/>
          <w:lang w:val="cs-CZ"/>
        </w:rPr>
        <w:t xml:space="preserve">. </w:t>
      </w:r>
      <w:proofErr w:type="spellStart"/>
      <w:r w:rsidRPr="003C55ED">
        <w:rPr>
          <w:sz w:val="24"/>
          <w:lang w:val="cs-CZ"/>
        </w:rPr>
        <w:t>věst</w:t>
      </w:r>
      <w:proofErr w:type="spellEnd"/>
      <w:r w:rsidRPr="003C55ED">
        <w:rPr>
          <w:sz w:val="24"/>
          <w:lang w:val="cs-CZ"/>
        </w:rPr>
        <w:t>. L, 2024/1472, 22.5.2024, ELI: </w:t>
      </w:r>
      <w:r>
        <w:fldChar w:fldCharType="begin"/>
      </w:r>
      <w:r w:rsidRPr="00335E22">
        <w:rPr>
          <w:lang w:val="cs-CZ"/>
        </w:rPr>
        <w:instrText>HYPERLINK "http://data.europa.eu/eli/dec/2024/1472/oj" \t "_blank" \o "Umožňuje přístup k dokumentu prostřednictvím identifikátoru ELI URI."</w:instrText>
      </w:r>
      <w:r>
        <w:fldChar w:fldCharType="separate"/>
      </w:r>
      <w:r w:rsidRPr="003C55ED">
        <w:rPr>
          <w:rStyle w:val="Hyperlink"/>
          <w:sz w:val="24"/>
          <w:lang w:val="cs-CZ"/>
        </w:rPr>
        <w:t>http://data.europa.eu/</w:t>
      </w:r>
      <w:proofErr w:type="spellStart"/>
      <w:r w:rsidRPr="003C55ED">
        <w:rPr>
          <w:rStyle w:val="Hyperlink"/>
          <w:sz w:val="24"/>
          <w:lang w:val="cs-CZ"/>
        </w:rPr>
        <w:t>eli</w:t>
      </w:r>
      <w:proofErr w:type="spellEnd"/>
      <w:r w:rsidRPr="003C55ED">
        <w:rPr>
          <w:rStyle w:val="Hyperlink"/>
          <w:sz w:val="24"/>
          <w:lang w:val="cs-CZ"/>
        </w:rPr>
        <w:t>/dec/2024/1472/oj</w:t>
      </w:r>
      <w:r>
        <w:fldChar w:fldCharType="end"/>
      </w:r>
      <w:r w:rsidRPr="003C55ED">
        <w:rPr>
          <w:sz w:val="24"/>
          <w:lang w:val="cs-CZ"/>
        </w:rPr>
        <w:t>).</w:t>
      </w:r>
    </w:p>
  </w:footnote>
  <w:footnote w:id="11">
    <w:p w14:paraId="36D8B8DB" w14:textId="32C843B6" w:rsidR="00C1148C" w:rsidRPr="003C55ED" w:rsidRDefault="00C1148C" w:rsidP="003C55ED">
      <w:pPr>
        <w:pStyle w:val="FootnoteText"/>
        <w:ind w:left="567" w:hanging="567"/>
        <w:rPr>
          <w:sz w:val="24"/>
          <w:lang w:val="cs-CZ"/>
        </w:rPr>
      </w:pPr>
      <w:r w:rsidRPr="003C55ED">
        <w:rPr>
          <w:rStyle w:val="FootnoteReference"/>
          <w:sz w:val="24"/>
          <w:lang w:val="cs-CZ"/>
        </w:rPr>
        <w:footnoteRef/>
      </w:r>
      <w:r w:rsidR="003C55ED" w:rsidRPr="003C55ED">
        <w:rPr>
          <w:sz w:val="24"/>
          <w:lang w:val="cs-CZ"/>
        </w:rPr>
        <w:t xml:space="preserve"> </w:t>
      </w:r>
      <w:r w:rsidR="003C55ED" w:rsidRPr="003C55ED">
        <w:rPr>
          <w:sz w:val="24"/>
          <w:lang w:val="cs-CZ"/>
        </w:rPr>
        <w:tab/>
      </w:r>
      <w:r w:rsidRPr="003C55ED">
        <w:rPr>
          <w:sz w:val="24"/>
          <w:lang w:val="cs-CZ"/>
        </w:rPr>
        <w:t>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w:t>
      </w:r>
      <w:proofErr w:type="spellStart"/>
      <w:r w:rsidRPr="003C55ED">
        <w:rPr>
          <w:sz w:val="24"/>
          <w:lang w:val="cs-CZ"/>
        </w:rPr>
        <w:t>Úř</w:t>
      </w:r>
      <w:proofErr w:type="spellEnd"/>
      <w:r w:rsidRPr="003C55ED">
        <w:rPr>
          <w:sz w:val="24"/>
          <w:lang w:val="cs-CZ"/>
        </w:rPr>
        <w:t xml:space="preserve">. </w:t>
      </w:r>
      <w:proofErr w:type="spellStart"/>
      <w:r w:rsidRPr="003C55ED">
        <w:rPr>
          <w:sz w:val="24"/>
          <w:lang w:val="cs-CZ"/>
        </w:rPr>
        <w:t>věst</w:t>
      </w:r>
      <w:proofErr w:type="spellEnd"/>
      <w:r w:rsidRPr="003C55ED">
        <w:rPr>
          <w:sz w:val="24"/>
          <w:lang w:val="cs-CZ"/>
        </w:rPr>
        <w:t xml:space="preserve">. L, 2024/1689, 12.7.2024, ELI: </w:t>
      </w:r>
      <w:hyperlink r:id="rId1" w:history="1">
        <w:r w:rsidRPr="003C55ED">
          <w:rPr>
            <w:rStyle w:val="Hyperlink"/>
            <w:sz w:val="24"/>
            <w:lang w:val="cs-CZ"/>
          </w:rPr>
          <w:t>http://data.europa.eu/eli/reg/2024/1689/oj</w:t>
        </w:r>
      </w:hyperlink>
      <w:r w:rsidRPr="003C55ED">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7D4D7" w14:textId="77777777" w:rsidR="00064002" w:rsidRPr="003C55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BC300" w14:textId="77777777" w:rsidR="00064002" w:rsidRPr="003C55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A702" w14:textId="77777777" w:rsidR="00064002" w:rsidRPr="003C55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num w:numId="1" w16cid:durableId="513420749">
    <w:abstractNumId w:val="9"/>
  </w:num>
  <w:num w:numId="2" w16cid:durableId="1861779253">
    <w:abstractNumId w:val="9"/>
  </w:num>
  <w:num w:numId="3" w16cid:durableId="793064516">
    <w:abstractNumId w:val="7"/>
  </w:num>
  <w:num w:numId="4" w16cid:durableId="628170563">
    <w:abstractNumId w:val="7"/>
  </w:num>
  <w:num w:numId="5" w16cid:durableId="730612371">
    <w:abstractNumId w:val="6"/>
  </w:num>
  <w:num w:numId="6" w16cid:durableId="975137107">
    <w:abstractNumId w:val="6"/>
  </w:num>
  <w:num w:numId="7" w16cid:durableId="981152092">
    <w:abstractNumId w:val="5"/>
  </w:num>
  <w:num w:numId="8" w16cid:durableId="918293149">
    <w:abstractNumId w:val="5"/>
  </w:num>
  <w:num w:numId="9" w16cid:durableId="554200766">
    <w:abstractNumId w:val="4"/>
  </w:num>
  <w:num w:numId="10" w16cid:durableId="1732772700">
    <w:abstractNumId w:val="4"/>
  </w:num>
  <w:num w:numId="11" w16cid:durableId="247229303">
    <w:abstractNumId w:val="8"/>
  </w:num>
  <w:num w:numId="12" w16cid:durableId="1335960637">
    <w:abstractNumId w:val="8"/>
  </w:num>
  <w:num w:numId="13" w16cid:durableId="1790660329">
    <w:abstractNumId w:val="3"/>
  </w:num>
  <w:num w:numId="14" w16cid:durableId="789327433">
    <w:abstractNumId w:val="3"/>
  </w:num>
  <w:num w:numId="15" w16cid:durableId="2099596409">
    <w:abstractNumId w:val="2"/>
  </w:num>
  <w:num w:numId="16" w16cid:durableId="920062523">
    <w:abstractNumId w:val="2"/>
  </w:num>
  <w:num w:numId="17" w16cid:durableId="1164971935">
    <w:abstractNumId w:val="1"/>
  </w:num>
  <w:num w:numId="18" w16cid:durableId="1344160400">
    <w:abstractNumId w:val="1"/>
  </w:num>
  <w:num w:numId="19" w16cid:durableId="328943451">
    <w:abstractNumId w:val="0"/>
  </w:num>
  <w:num w:numId="20" w16cid:durableId="1624924416">
    <w:abstractNumId w:val="0"/>
  </w:num>
  <w:num w:numId="21" w16cid:durableId="1638216736">
    <w:abstractNumId w:val="9"/>
  </w:num>
  <w:num w:numId="22" w16cid:durableId="340133275">
    <w:abstractNumId w:val="7"/>
  </w:num>
  <w:num w:numId="23" w16cid:durableId="381173782">
    <w:abstractNumId w:val="6"/>
  </w:num>
  <w:num w:numId="24" w16cid:durableId="209925041">
    <w:abstractNumId w:val="5"/>
  </w:num>
  <w:num w:numId="25" w16cid:durableId="1028063804">
    <w:abstractNumId w:val="4"/>
  </w:num>
  <w:num w:numId="26" w16cid:durableId="960455982">
    <w:abstractNumId w:val="8"/>
  </w:num>
  <w:num w:numId="27" w16cid:durableId="456146687">
    <w:abstractNumId w:val="3"/>
  </w:num>
  <w:num w:numId="28" w16cid:durableId="1478379045">
    <w:abstractNumId w:val="2"/>
  </w:num>
  <w:num w:numId="29" w16cid:durableId="1733692720">
    <w:abstractNumId w:val="1"/>
  </w:num>
  <w:num w:numId="30" w16cid:durableId="1064596592">
    <w:abstractNumId w:val="0"/>
  </w:num>
  <w:num w:numId="31" w16cid:durableId="1613435353">
    <w:abstractNumId w:val="9"/>
  </w:num>
  <w:num w:numId="32" w16cid:durableId="287206308">
    <w:abstractNumId w:val="7"/>
  </w:num>
  <w:num w:numId="33" w16cid:durableId="152264517">
    <w:abstractNumId w:val="6"/>
  </w:num>
  <w:num w:numId="34" w16cid:durableId="1273443291">
    <w:abstractNumId w:val="5"/>
  </w:num>
  <w:num w:numId="35" w16cid:durableId="1232891522">
    <w:abstractNumId w:val="4"/>
  </w:num>
  <w:num w:numId="36" w16cid:durableId="542715333">
    <w:abstractNumId w:val="8"/>
  </w:num>
  <w:num w:numId="37" w16cid:durableId="883712812">
    <w:abstractNumId w:val="3"/>
  </w:num>
  <w:num w:numId="38" w16cid:durableId="89353558">
    <w:abstractNumId w:val="2"/>
  </w:num>
  <w:num w:numId="39" w16cid:durableId="656373635">
    <w:abstractNumId w:val="1"/>
  </w:num>
  <w:num w:numId="40" w16cid:durableId="1888176085">
    <w:abstractNumId w:val="0"/>
  </w:num>
  <w:num w:numId="41" w16cid:durableId="1964337759">
    <w:abstractNumId w:val="10"/>
  </w:num>
  <w:num w:numId="42" w16cid:durableId="1750417715">
    <w:abstractNumId w:val="10"/>
  </w:num>
  <w:num w:numId="43" w16cid:durableId="1904632771">
    <w:abstractNumId w:val="10"/>
  </w:num>
  <w:num w:numId="44" w16cid:durableId="18092853">
    <w:abstractNumId w:val="12"/>
  </w:num>
  <w:num w:numId="45" w16cid:durableId="1958412819">
    <w:abstractNumId w:val="13"/>
  </w:num>
  <w:num w:numId="46" w16cid:durableId="5977611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CS"/>
    <w:docVar w:name="dvnumam" w:val="0"/>
    <w:docVar w:name="dvpe" w:val="778.061"/>
    <w:docVar w:name="dvrapporteur" w:val="Zpravodaj: "/>
    <w:docVar w:name="dvtitre" w:val="Rozhodnutí Evropského parlamentu ze dne.... 2026 o udělení absolutoria za plnění souhrnného rozpočtu Evropské unie na rozpočtový rok 2024, oddíl X – Evropská služba pro vnější činnost(2025/2150(DEC))"/>
  </w:docVars>
  <w:rsids>
    <w:rsidRoot w:val="007804B4"/>
    <w:rsid w:val="00002272"/>
    <w:rsid w:val="000034E9"/>
    <w:rsid w:val="00064002"/>
    <w:rsid w:val="000677B9"/>
    <w:rsid w:val="000831BA"/>
    <w:rsid w:val="000A42CC"/>
    <w:rsid w:val="000E7DD9"/>
    <w:rsid w:val="0010095E"/>
    <w:rsid w:val="00125B37"/>
    <w:rsid w:val="00187494"/>
    <w:rsid w:val="001F32AE"/>
    <w:rsid w:val="002177A9"/>
    <w:rsid w:val="00251711"/>
    <w:rsid w:val="002767FF"/>
    <w:rsid w:val="0028274D"/>
    <w:rsid w:val="002B18FE"/>
    <w:rsid w:val="002B5493"/>
    <w:rsid w:val="00335E22"/>
    <w:rsid w:val="00343214"/>
    <w:rsid w:val="00361C00"/>
    <w:rsid w:val="0038582E"/>
    <w:rsid w:val="00395FA1"/>
    <w:rsid w:val="003C55ED"/>
    <w:rsid w:val="003E15D4"/>
    <w:rsid w:val="004111D8"/>
    <w:rsid w:val="00411CCE"/>
    <w:rsid w:val="0041666E"/>
    <w:rsid w:val="00421060"/>
    <w:rsid w:val="00471C19"/>
    <w:rsid w:val="004867E3"/>
    <w:rsid w:val="00494A28"/>
    <w:rsid w:val="004C0004"/>
    <w:rsid w:val="004C5D52"/>
    <w:rsid w:val="0050519A"/>
    <w:rsid w:val="005072A1"/>
    <w:rsid w:val="00514517"/>
    <w:rsid w:val="00545827"/>
    <w:rsid w:val="00560270"/>
    <w:rsid w:val="005625B5"/>
    <w:rsid w:val="005C239B"/>
    <w:rsid w:val="005C2568"/>
    <w:rsid w:val="005C3D97"/>
    <w:rsid w:val="005F1B17"/>
    <w:rsid w:val="006037C0"/>
    <w:rsid w:val="006631B6"/>
    <w:rsid w:val="00680577"/>
    <w:rsid w:val="006B4858"/>
    <w:rsid w:val="006E5DEB"/>
    <w:rsid w:val="006F74FA"/>
    <w:rsid w:val="00731ADD"/>
    <w:rsid w:val="00734777"/>
    <w:rsid w:val="00747932"/>
    <w:rsid w:val="00751A4A"/>
    <w:rsid w:val="00756632"/>
    <w:rsid w:val="00762C74"/>
    <w:rsid w:val="007804B4"/>
    <w:rsid w:val="00786EC0"/>
    <w:rsid w:val="007D1690"/>
    <w:rsid w:val="007E22AD"/>
    <w:rsid w:val="007E26A7"/>
    <w:rsid w:val="00817416"/>
    <w:rsid w:val="00821B84"/>
    <w:rsid w:val="00842779"/>
    <w:rsid w:val="00865F67"/>
    <w:rsid w:val="00881A7B"/>
    <w:rsid w:val="008840E5"/>
    <w:rsid w:val="00887B3E"/>
    <w:rsid w:val="008C2AC6"/>
    <w:rsid w:val="00930C23"/>
    <w:rsid w:val="0093193B"/>
    <w:rsid w:val="009324C0"/>
    <w:rsid w:val="009509D8"/>
    <w:rsid w:val="00950B64"/>
    <w:rsid w:val="00981893"/>
    <w:rsid w:val="009B5DB9"/>
    <w:rsid w:val="00A1687D"/>
    <w:rsid w:val="00A43E52"/>
    <w:rsid w:val="00A4678D"/>
    <w:rsid w:val="00A73AF9"/>
    <w:rsid w:val="00A778C7"/>
    <w:rsid w:val="00AB441E"/>
    <w:rsid w:val="00AB6293"/>
    <w:rsid w:val="00AE0928"/>
    <w:rsid w:val="00AF3B82"/>
    <w:rsid w:val="00B12E95"/>
    <w:rsid w:val="00B22876"/>
    <w:rsid w:val="00B558F0"/>
    <w:rsid w:val="00B82B96"/>
    <w:rsid w:val="00BD48FE"/>
    <w:rsid w:val="00BD7BD8"/>
    <w:rsid w:val="00BE6ADC"/>
    <w:rsid w:val="00C05BFE"/>
    <w:rsid w:val="00C1148C"/>
    <w:rsid w:val="00C23CD4"/>
    <w:rsid w:val="00C61C0C"/>
    <w:rsid w:val="00C941CB"/>
    <w:rsid w:val="00CA3164"/>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415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F866D"/>
  <w15:chartTrackingRefBased/>
  <w15:docId w15:val="{5FA6BE98-7116-498F-BBC3-3A54631DA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1148C"/>
    <w:rPr>
      <w:b/>
      <w:kern w:val="28"/>
      <w:sz w:val="28"/>
      <w:lang w:val="fr-FR" w:eastAsia="fr-FR"/>
    </w:rPr>
  </w:style>
  <w:style w:type="character" w:customStyle="1" w:styleId="Heading2Char">
    <w:name w:val="Heading 2 Char"/>
    <w:basedOn w:val="DefaultParagraphFont"/>
    <w:link w:val="Heading2"/>
    <w:semiHidden/>
    <w:rsid w:val="00C1148C"/>
    <w:rPr>
      <w:sz w:val="24"/>
      <w:lang w:val="fr-FR" w:eastAsia="fr-FR"/>
    </w:rPr>
  </w:style>
  <w:style w:type="character" w:customStyle="1" w:styleId="Heading3Char">
    <w:name w:val="Heading 3 Char"/>
    <w:basedOn w:val="DefaultParagraphFont"/>
    <w:link w:val="Heading3"/>
    <w:semiHidden/>
    <w:rsid w:val="00C1148C"/>
    <w:rPr>
      <w:rFonts w:ascii="Arial" w:hAnsi="Arial"/>
      <w:sz w:val="24"/>
      <w:lang w:val="fr-FR" w:eastAsia="fr-FR"/>
    </w:rPr>
  </w:style>
  <w:style w:type="character" w:customStyle="1" w:styleId="Heading4Char">
    <w:name w:val="Heading 4 Char"/>
    <w:basedOn w:val="DefaultParagraphFont"/>
    <w:link w:val="Heading4"/>
    <w:semiHidden/>
    <w:rsid w:val="00C1148C"/>
    <w:rPr>
      <w:sz w:val="24"/>
      <w:lang w:val="en-US" w:eastAsia="fr-FR"/>
    </w:rPr>
  </w:style>
  <w:style w:type="character" w:customStyle="1" w:styleId="Heading5Char">
    <w:name w:val="Heading 5 Char"/>
    <w:basedOn w:val="DefaultParagraphFont"/>
    <w:link w:val="Heading5"/>
    <w:semiHidden/>
    <w:rsid w:val="00C1148C"/>
    <w:rPr>
      <w:sz w:val="24"/>
      <w:lang w:val="en-US" w:eastAsia="fr-FR"/>
    </w:rPr>
  </w:style>
  <w:style w:type="character" w:customStyle="1" w:styleId="Heading6Char">
    <w:name w:val="Heading 6 Char"/>
    <w:basedOn w:val="DefaultParagraphFont"/>
    <w:link w:val="Heading6"/>
    <w:semiHidden/>
    <w:rsid w:val="00C1148C"/>
    <w:rPr>
      <w:i/>
      <w:sz w:val="22"/>
      <w:lang w:val="cs-CZ"/>
    </w:rPr>
  </w:style>
  <w:style w:type="character" w:customStyle="1" w:styleId="Heading7Char">
    <w:name w:val="Heading 7 Char"/>
    <w:basedOn w:val="DefaultParagraphFont"/>
    <w:link w:val="Heading7"/>
    <w:semiHidden/>
    <w:rsid w:val="00C1148C"/>
    <w:rPr>
      <w:rFonts w:ascii="Arial" w:hAnsi="Arial"/>
      <w:sz w:val="24"/>
      <w:lang w:val="cs-CZ"/>
    </w:rPr>
  </w:style>
  <w:style w:type="character" w:customStyle="1" w:styleId="Heading8Char">
    <w:name w:val="Heading 8 Char"/>
    <w:basedOn w:val="DefaultParagraphFont"/>
    <w:link w:val="Heading8"/>
    <w:semiHidden/>
    <w:rsid w:val="00C1148C"/>
    <w:rPr>
      <w:rFonts w:ascii="Arial" w:hAnsi="Arial"/>
      <w:i/>
      <w:sz w:val="24"/>
      <w:lang w:val="cs-CZ"/>
    </w:rPr>
  </w:style>
  <w:style w:type="character" w:customStyle="1" w:styleId="Heading9Char">
    <w:name w:val="Heading 9 Char"/>
    <w:basedOn w:val="DefaultParagraphFont"/>
    <w:link w:val="Heading9"/>
    <w:semiHidden/>
    <w:rsid w:val="00C1148C"/>
    <w:rPr>
      <w:rFonts w:ascii="Arial" w:hAnsi="Arial"/>
      <w:b/>
      <w:i/>
      <w:sz w:val="18"/>
      <w:lang w:val="cs-CZ"/>
    </w:rPr>
  </w:style>
  <w:style w:type="paragraph" w:styleId="TOCHeading">
    <w:name w:val="TOC Heading"/>
    <w:basedOn w:val="Normal"/>
    <w:next w:val="Normal"/>
    <w:unhideWhenUsed/>
    <w:qFormat/>
    <w:rsid w:val="00C1148C"/>
    <w:pPr>
      <w:widowControl/>
      <w:spacing w:after="240"/>
    </w:pPr>
    <w:rPr>
      <w:lang w:val="en-GB"/>
    </w:rPr>
  </w:style>
  <w:style w:type="paragraph" w:customStyle="1" w:styleId="EPFooter2">
    <w:name w:val="EPFooter2"/>
    <w:basedOn w:val="Normal"/>
    <w:next w:val="Normal"/>
    <w:rsid w:val="00C1148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1148C"/>
    <w:pPr>
      <w:spacing w:before="480" w:after="240"/>
    </w:pPr>
  </w:style>
  <w:style w:type="paragraph" w:customStyle="1" w:styleId="TOCPage">
    <w:name w:val="TOC Page"/>
    <w:basedOn w:val="Normal"/>
    <w:next w:val="TOC1"/>
    <w:rsid w:val="00C1148C"/>
    <w:pPr>
      <w:keepNext/>
      <w:spacing w:after="240"/>
      <w:jc w:val="right"/>
    </w:pPr>
    <w:rPr>
      <w:rFonts w:ascii="Arial" w:hAnsi="Arial"/>
      <w:b/>
    </w:rPr>
  </w:style>
  <w:style w:type="paragraph" w:customStyle="1" w:styleId="PageHeading">
    <w:name w:val="PageHeading"/>
    <w:basedOn w:val="Normal"/>
    <w:rsid w:val="00C1148C"/>
    <w:pPr>
      <w:keepNext/>
      <w:spacing w:after="480"/>
      <w:jc w:val="center"/>
    </w:pPr>
    <w:rPr>
      <w:rFonts w:ascii="Arial" w:hAnsi="Arial" w:cs="Arial"/>
      <w:b/>
    </w:rPr>
  </w:style>
  <w:style w:type="paragraph" w:customStyle="1" w:styleId="NormalBold">
    <w:name w:val="NormalBold"/>
    <w:basedOn w:val="Normal"/>
    <w:rsid w:val="00C1148C"/>
    <w:rPr>
      <w:b/>
    </w:rPr>
  </w:style>
  <w:style w:type="paragraph" w:customStyle="1" w:styleId="NormalHanging12a">
    <w:name w:val="NormalHanging12a"/>
    <w:basedOn w:val="Normal"/>
    <w:link w:val="NormalHanging12aChar"/>
    <w:qFormat/>
    <w:rsid w:val="00C1148C"/>
    <w:pPr>
      <w:spacing w:after="240"/>
      <w:ind w:left="567" w:hanging="567"/>
    </w:pPr>
  </w:style>
  <w:style w:type="paragraph" w:customStyle="1" w:styleId="CoverNormal24a">
    <w:name w:val="CoverNormal24a"/>
    <w:basedOn w:val="Normal"/>
    <w:rsid w:val="00C1148C"/>
    <w:pPr>
      <w:spacing w:after="480"/>
      <w:ind w:left="1417"/>
    </w:pPr>
  </w:style>
  <w:style w:type="paragraph" w:customStyle="1" w:styleId="CoverNormal">
    <w:name w:val="CoverNormal"/>
    <w:basedOn w:val="Normal"/>
    <w:rsid w:val="00C1148C"/>
    <w:pPr>
      <w:ind w:left="1418"/>
    </w:pPr>
  </w:style>
  <w:style w:type="paragraph" w:customStyle="1" w:styleId="CoverReference">
    <w:name w:val="CoverReference"/>
    <w:basedOn w:val="Normal"/>
    <w:rsid w:val="00C1148C"/>
    <w:pPr>
      <w:spacing w:before="1080"/>
      <w:jc w:val="right"/>
    </w:pPr>
    <w:rPr>
      <w:rFonts w:ascii="Arial" w:hAnsi="Arial" w:cs="Arial"/>
      <w:b/>
    </w:rPr>
  </w:style>
  <w:style w:type="paragraph" w:customStyle="1" w:styleId="CoverDocType24a">
    <w:name w:val="CoverDocType24a"/>
    <w:basedOn w:val="Normal"/>
    <w:rsid w:val="00C1148C"/>
    <w:pPr>
      <w:spacing w:after="480"/>
      <w:ind w:left="1418"/>
    </w:pPr>
    <w:rPr>
      <w:rFonts w:ascii="Arial" w:hAnsi="Arial"/>
      <w:b/>
      <w:sz w:val="48"/>
    </w:rPr>
  </w:style>
  <w:style w:type="paragraph" w:customStyle="1" w:styleId="CoverDate">
    <w:name w:val="CoverDate"/>
    <w:basedOn w:val="Normal"/>
    <w:rsid w:val="00C1148C"/>
    <w:pPr>
      <w:spacing w:before="240" w:after="1200"/>
    </w:pPr>
  </w:style>
  <w:style w:type="paragraph" w:styleId="Header">
    <w:name w:val="header"/>
    <w:basedOn w:val="Normal"/>
    <w:link w:val="HeaderChar"/>
    <w:rsid w:val="00C1148C"/>
    <w:pPr>
      <w:tabs>
        <w:tab w:val="center" w:pos="4513"/>
        <w:tab w:val="right" w:pos="9026"/>
      </w:tabs>
    </w:pPr>
  </w:style>
  <w:style w:type="character" w:customStyle="1" w:styleId="HeaderChar">
    <w:name w:val="Header Char"/>
    <w:basedOn w:val="DefaultParagraphFont"/>
    <w:link w:val="Header"/>
    <w:rsid w:val="00C1148C"/>
    <w:rPr>
      <w:sz w:val="24"/>
      <w:lang w:val="cs-CZ"/>
    </w:rPr>
  </w:style>
  <w:style w:type="paragraph" w:customStyle="1" w:styleId="EPBody">
    <w:name w:val="EPBody"/>
    <w:basedOn w:val="Normal"/>
    <w:rsid w:val="00C1148C"/>
    <w:pPr>
      <w:jc w:val="center"/>
    </w:pPr>
    <w:rPr>
      <w:rFonts w:ascii="Arial" w:hAnsi="Arial" w:cs="Arial"/>
      <w:i/>
      <w:sz w:val="22"/>
      <w:szCs w:val="22"/>
    </w:rPr>
  </w:style>
  <w:style w:type="paragraph" w:customStyle="1" w:styleId="EPFooter">
    <w:name w:val="EPFooter"/>
    <w:basedOn w:val="Normal"/>
    <w:rsid w:val="00C1148C"/>
    <w:pPr>
      <w:tabs>
        <w:tab w:val="center" w:pos="4535"/>
        <w:tab w:val="right" w:pos="9071"/>
      </w:tabs>
      <w:spacing w:before="240" w:after="240"/>
    </w:pPr>
    <w:rPr>
      <w:color w:val="010000"/>
      <w:sz w:val="22"/>
    </w:rPr>
  </w:style>
  <w:style w:type="character" w:styleId="Hyperlink">
    <w:name w:val="Hyperlink"/>
    <w:basedOn w:val="DefaultParagraphFont"/>
    <w:rsid w:val="00C1148C"/>
    <w:rPr>
      <w:color w:val="0563C1" w:themeColor="hyperlink"/>
      <w:u w:val="single"/>
    </w:rPr>
  </w:style>
  <w:style w:type="character" w:customStyle="1" w:styleId="NormalHanging12aChar">
    <w:name w:val="NormalHanging12a Char"/>
    <w:basedOn w:val="DefaultParagraphFont"/>
    <w:link w:val="NormalHanging12a"/>
    <w:locked/>
    <w:rsid w:val="00C1148C"/>
    <w:rPr>
      <w:sz w:val="24"/>
      <w:lang w:val="cs-CZ"/>
    </w:rPr>
  </w:style>
  <w:style w:type="character" w:styleId="CommentReference">
    <w:name w:val="annotation reference"/>
    <w:basedOn w:val="DefaultParagraphFont"/>
    <w:rsid w:val="00C1148C"/>
    <w:rPr>
      <w:sz w:val="16"/>
      <w:szCs w:val="16"/>
    </w:rPr>
  </w:style>
  <w:style w:type="paragraph" w:styleId="CommentText">
    <w:name w:val="annotation text"/>
    <w:basedOn w:val="Normal"/>
    <w:link w:val="CommentTextChar"/>
    <w:rsid w:val="00C1148C"/>
    <w:rPr>
      <w:sz w:val="20"/>
    </w:rPr>
  </w:style>
  <w:style w:type="character" w:customStyle="1" w:styleId="CommentTextChar">
    <w:name w:val="Comment Text Char"/>
    <w:basedOn w:val="DefaultParagraphFont"/>
    <w:link w:val="CommentText"/>
    <w:rsid w:val="00C1148C"/>
    <w:rPr>
      <w:lang w:val="cs-CZ"/>
    </w:rPr>
  </w:style>
  <w:style w:type="paragraph" w:styleId="CommentSubject">
    <w:name w:val="annotation subject"/>
    <w:basedOn w:val="CommentText"/>
    <w:next w:val="CommentText"/>
    <w:link w:val="CommentSubjectChar"/>
    <w:unhideWhenUsed/>
    <w:rsid w:val="00C1148C"/>
    <w:rPr>
      <w:b/>
      <w:bCs/>
    </w:rPr>
  </w:style>
  <w:style w:type="character" w:customStyle="1" w:styleId="CommentSubjectChar">
    <w:name w:val="Comment Subject Char"/>
    <w:basedOn w:val="CommentTextChar"/>
    <w:link w:val="CommentSubject"/>
    <w:rsid w:val="00C1148C"/>
    <w:rPr>
      <w:b/>
      <w:bCs/>
      <w:lang w:val="cs-CZ"/>
    </w:rPr>
  </w:style>
  <w:style w:type="paragraph" w:styleId="BalloonText">
    <w:name w:val="Balloon Text"/>
    <w:basedOn w:val="Normal"/>
    <w:link w:val="BalloonTextChar"/>
    <w:unhideWhenUsed/>
    <w:rsid w:val="00C1148C"/>
    <w:rPr>
      <w:rFonts w:ascii="Segoe UI" w:hAnsi="Segoe UI" w:cs="Segoe UI"/>
      <w:sz w:val="18"/>
      <w:szCs w:val="18"/>
    </w:rPr>
  </w:style>
  <w:style w:type="character" w:customStyle="1" w:styleId="BalloonTextChar">
    <w:name w:val="Balloon Text Char"/>
    <w:basedOn w:val="DefaultParagraphFont"/>
    <w:link w:val="BalloonText"/>
    <w:rsid w:val="00C1148C"/>
    <w:rPr>
      <w:rFonts w:ascii="Segoe UI" w:hAnsi="Segoe UI" w:cs="Segoe UI"/>
      <w:sz w:val="18"/>
      <w:szCs w:val="18"/>
      <w:lang w:val="cs-CZ"/>
    </w:rPr>
  </w:style>
  <w:style w:type="paragraph" w:styleId="Footer">
    <w:name w:val="footer"/>
    <w:basedOn w:val="Normal"/>
    <w:link w:val="FooterChar"/>
    <w:rsid w:val="00C1148C"/>
    <w:pPr>
      <w:tabs>
        <w:tab w:val="center" w:pos="4513"/>
        <w:tab w:val="right" w:pos="9026"/>
      </w:tabs>
    </w:pPr>
  </w:style>
  <w:style w:type="character" w:customStyle="1" w:styleId="FooterChar">
    <w:name w:val="Footer Char"/>
    <w:basedOn w:val="DefaultParagraphFont"/>
    <w:link w:val="Footer"/>
    <w:rsid w:val="00C1148C"/>
    <w:rPr>
      <w:sz w:val="24"/>
      <w:lang w:val="cs-CZ"/>
    </w:rPr>
  </w:style>
  <w:style w:type="character" w:styleId="UnresolvedMention">
    <w:name w:val="Unresolved Mention"/>
    <w:basedOn w:val="DefaultParagraphFont"/>
    <w:uiPriority w:val="99"/>
    <w:semiHidden/>
    <w:unhideWhenUsed/>
    <w:rsid w:val="00C1148C"/>
    <w:rPr>
      <w:color w:val="605E5C"/>
      <w:shd w:val="clear" w:color="auto" w:fill="E1DFDD"/>
    </w:rPr>
  </w:style>
  <w:style w:type="paragraph" w:styleId="Revision">
    <w:name w:val="Revision"/>
    <w:hidden/>
    <w:uiPriority w:val="99"/>
    <w:semiHidden/>
    <w:rsid w:val="00C1148C"/>
    <w:rPr>
      <w:sz w:val="24"/>
      <w:lang w:val="cs-CZ"/>
    </w:rPr>
  </w:style>
  <w:style w:type="paragraph" w:customStyle="1" w:styleId="Normal24a">
    <w:name w:val="Normal24a"/>
    <w:basedOn w:val="Normal"/>
    <w:rsid w:val="00C1148C"/>
    <w:pPr>
      <w:spacing w:after="480"/>
    </w:pPr>
    <w:rPr>
      <w:lang w:val="en-GB"/>
    </w:rPr>
  </w:style>
  <w:style w:type="paragraph" w:customStyle="1" w:styleId="NormalBoldCenter">
    <w:name w:val="NormalBoldCenter"/>
    <w:basedOn w:val="Normal"/>
    <w:rsid w:val="00C1148C"/>
    <w:pPr>
      <w:jc w:val="center"/>
    </w:pPr>
    <w:rPr>
      <w:b/>
      <w:lang w:val="en-GB"/>
    </w:rPr>
  </w:style>
  <w:style w:type="paragraph" w:customStyle="1" w:styleId="Footprint12b">
    <w:name w:val="Footprint12b"/>
    <w:basedOn w:val="Normal"/>
    <w:rsid w:val="00C1148C"/>
    <w:pPr>
      <w:spacing w:before="240"/>
    </w:pPr>
    <w:rPr>
      <w:szCs w:val="24"/>
      <w:lang w:val="en-GB"/>
    </w:rPr>
  </w:style>
  <w:style w:type="paragraph" w:customStyle="1" w:styleId="NormalSingle">
    <w:name w:val="NormalSingle"/>
    <w:basedOn w:val="Normal"/>
    <w:qFormat/>
    <w:rsid w:val="00C1148C"/>
    <w:rPr>
      <w:szCs w:val="24"/>
      <w:lang w:val="en-GB"/>
    </w:rPr>
  </w:style>
  <w:style w:type="paragraph" w:customStyle="1" w:styleId="Normal12a">
    <w:name w:val="Normal12a"/>
    <w:basedOn w:val="Normal"/>
    <w:rsid w:val="00C1148C"/>
    <w:pPr>
      <w:spacing w:after="240"/>
    </w:pPr>
  </w:style>
  <w:style w:type="paragraph" w:customStyle="1" w:styleId="PageHeadingNotTOC">
    <w:name w:val="PageHeadingNotTOC"/>
    <w:basedOn w:val="Normal"/>
    <w:rsid w:val="00C1148C"/>
    <w:pPr>
      <w:keepNext/>
      <w:spacing w:after="480"/>
      <w:jc w:val="center"/>
    </w:pPr>
    <w:rPr>
      <w:rFonts w:ascii="Arial" w:hAnsi="Arial" w:cs="Arial"/>
      <w:b/>
    </w:rPr>
  </w:style>
  <w:style w:type="paragraph" w:customStyle="1" w:styleId="RollCallSymbols14pt">
    <w:name w:val="RollCallSymbols14pt"/>
    <w:basedOn w:val="Normal"/>
    <w:rsid w:val="00C1148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1148C"/>
    <w:pPr>
      <w:tabs>
        <w:tab w:val="center" w:pos="284"/>
        <w:tab w:val="left" w:pos="426"/>
      </w:tabs>
    </w:pPr>
    <w:rPr>
      <w:snapToGrid w:val="0"/>
      <w:lang w:eastAsia="en-US"/>
    </w:rPr>
  </w:style>
  <w:style w:type="paragraph" w:customStyle="1" w:styleId="RollCallVotes">
    <w:name w:val="RollCallVotes"/>
    <w:basedOn w:val="Normal"/>
    <w:rsid w:val="00C1148C"/>
    <w:pPr>
      <w:spacing w:before="120" w:after="120"/>
      <w:jc w:val="center"/>
    </w:pPr>
    <w:rPr>
      <w:b/>
      <w:bCs/>
      <w:snapToGrid w:val="0"/>
      <w:sz w:val="16"/>
      <w:lang w:eastAsia="en-US"/>
    </w:rPr>
  </w:style>
  <w:style w:type="paragraph" w:customStyle="1" w:styleId="RollCallTable">
    <w:name w:val="RollCallTable"/>
    <w:basedOn w:val="Normal"/>
    <w:rsid w:val="00C1148C"/>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13543</Words>
  <Characters>80759</Characters>
  <Application>Microsoft Office Word</Application>
  <DocSecurity>0</DocSecurity>
  <Lines>672</Lines>
  <Paragraphs>188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KONOPKOVA Jindra</cp:lastModifiedBy>
  <cp:revision>2</cp:revision>
  <cp:lastPrinted>2004-11-19T15:42:00Z</cp:lastPrinted>
  <dcterms:created xsi:type="dcterms:W3CDTF">2026-05-05T14:14:00Z</dcterms:created>
  <dcterms:modified xsi:type="dcterms:W3CDTF">2026-05-05T14:14:00Z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P10_TA(2026)0130_</vt:lpwstr>
  </property>
  <property fmtid="{D5CDD505-2E9C-101B-9397-08002B2CF9AE}" pid="4" name="&lt;Type&gt;">
    <vt:lpwstr>RR</vt:lpwstr>
  </property>
</Properties>
</file>