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B47B9" w14:paraId="0CA59250" w14:textId="77777777" w:rsidTr="0010095E">
        <w:trPr>
          <w:trHeight w:hRule="exact" w:val="1418"/>
        </w:trPr>
        <w:tc>
          <w:tcPr>
            <w:tcW w:w="6804" w:type="dxa"/>
            <w:shd w:val="clear" w:color="auto" w:fill="auto"/>
            <w:vAlign w:val="center"/>
          </w:tcPr>
          <w:p w14:paraId="18682600" w14:textId="50D11DFE" w:rsidR="00751A4A" w:rsidRPr="00CB47B9" w:rsidRDefault="00D63067" w:rsidP="0010095E">
            <w:pPr>
              <w:pStyle w:val="EPName"/>
            </w:pPr>
            <w:r w:rsidRPr="00CB47B9">
              <w:t>Ευρωπαϊκό Κοινοβούλιο</w:t>
            </w:r>
          </w:p>
          <w:p w14:paraId="6E867A48" w14:textId="77777777" w:rsidR="00751A4A" w:rsidRPr="00CB47B9" w:rsidRDefault="005F1B17" w:rsidP="005F1B17">
            <w:pPr>
              <w:pStyle w:val="EPTerm"/>
              <w:rPr>
                <w:rStyle w:val="HideTWBExt"/>
                <w:noProof w:val="0"/>
                <w:vanish w:val="0"/>
                <w:color w:val="auto"/>
              </w:rPr>
            </w:pPr>
            <w:r w:rsidRPr="00CB47B9">
              <w:t>2024</w:t>
            </w:r>
            <w:r w:rsidR="00817416" w:rsidRPr="00CB47B9">
              <w:t>-202</w:t>
            </w:r>
            <w:r w:rsidRPr="00CB47B9">
              <w:t>9</w:t>
            </w:r>
          </w:p>
        </w:tc>
        <w:tc>
          <w:tcPr>
            <w:tcW w:w="2268" w:type="dxa"/>
            <w:shd w:val="clear" w:color="auto" w:fill="auto"/>
          </w:tcPr>
          <w:p w14:paraId="380E0369" w14:textId="77777777" w:rsidR="00751A4A" w:rsidRPr="00CB47B9" w:rsidRDefault="00187494" w:rsidP="0010095E">
            <w:pPr>
              <w:pStyle w:val="EPLogo"/>
            </w:pPr>
            <w:r w:rsidRPr="00CB47B9">
              <w:rPr>
                <w:noProof/>
                <w:lang w:eastAsia="ja-JP"/>
              </w:rPr>
              <w:drawing>
                <wp:inline distT="0" distB="0" distL="0" distR="0" wp14:anchorId="204111BA" wp14:editId="7B51D0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EABF42" w14:textId="77777777" w:rsidR="00D058B8" w:rsidRPr="00CB47B9" w:rsidRDefault="00D058B8" w:rsidP="004C5D52">
      <w:pPr>
        <w:pStyle w:val="LineTop"/>
      </w:pPr>
    </w:p>
    <w:p w14:paraId="36B829A8" w14:textId="07A81166" w:rsidR="00680577" w:rsidRPr="00CB47B9" w:rsidRDefault="00D63067" w:rsidP="00680577">
      <w:pPr>
        <w:pStyle w:val="EPBodyTA1"/>
      </w:pPr>
      <w:r w:rsidRPr="00CB47B9">
        <w:t>ΚΕΙΜΕΝΑ ΠΟΥ ΕΓΚΡΙΘΗΚΑΝ</w:t>
      </w:r>
    </w:p>
    <w:p w14:paraId="5222F456" w14:textId="77777777" w:rsidR="00D058B8" w:rsidRPr="00CB47B9" w:rsidRDefault="00D058B8" w:rsidP="00D058B8">
      <w:pPr>
        <w:pStyle w:val="LineBottom"/>
      </w:pPr>
    </w:p>
    <w:p w14:paraId="26026015" w14:textId="2F2F9FD3" w:rsidR="00D63067" w:rsidRPr="00CB47B9" w:rsidRDefault="00D63067" w:rsidP="00D63067">
      <w:pPr>
        <w:pStyle w:val="ATHeading1"/>
      </w:pPr>
      <w:bookmarkStart w:id="0" w:name="TANumber"/>
      <w:r w:rsidRPr="00CB47B9">
        <w:t>P10_TA(2026)0</w:t>
      </w:r>
      <w:r w:rsidR="00680DFB" w:rsidRPr="00CB47B9">
        <w:t>13</w:t>
      </w:r>
      <w:r w:rsidRPr="00CB47B9">
        <w:t>0</w:t>
      </w:r>
      <w:bookmarkEnd w:id="0"/>
    </w:p>
    <w:p w14:paraId="32DA90E4" w14:textId="1D1CEF93" w:rsidR="00D63067" w:rsidRPr="00CB47B9" w:rsidRDefault="001A4996" w:rsidP="00D63067">
      <w:pPr>
        <w:pStyle w:val="ATHeading2"/>
      </w:pPr>
      <w:bookmarkStart w:id="1" w:name="title"/>
      <w:r w:rsidRPr="00CB47B9">
        <w:t>Απαλλαγή 2024: Γενικός προϋπολογισμός της ΕΕ – Ευρωπαϊκή Υπηρεσία Εξωτερικής Δράσης</w:t>
      </w:r>
      <w:bookmarkEnd w:id="1"/>
    </w:p>
    <w:p w14:paraId="28385D6D" w14:textId="607DD2D2" w:rsidR="00D63067" w:rsidRPr="00CB47B9" w:rsidRDefault="00D63067" w:rsidP="00D63067">
      <w:pPr>
        <w:rPr>
          <w:i/>
          <w:vanish/>
        </w:rPr>
      </w:pPr>
      <w:r w:rsidRPr="00CB47B9">
        <w:rPr>
          <w:i/>
        </w:rPr>
        <w:fldChar w:fldCharType="begin"/>
      </w:r>
      <w:r w:rsidRPr="00CB47B9">
        <w:rPr>
          <w:i/>
        </w:rPr>
        <w:instrText xml:space="preserve"> TC"(</w:instrText>
      </w:r>
      <w:bookmarkStart w:id="2" w:name="DocNumber"/>
      <w:r w:rsidRPr="00CB47B9">
        <w:rPr>
          <w:i/>
        </w:rPr>
        <w:instrText>A10-0053/2026</w:instrText>
      </w:r>
      <w:bookmarkEnd w:id="2"/>
      <w:r w:rsidRPr="00CB47B9">
        <w:rPr>
          <w:i/>
        </w:rPr>
        <w:instrText xml:space="preserve"> - Εισηγητής: Pasquale Tridico)"\l3 \n&gt; \* MERGEFORMAT </w:instrText>
      </w:r>
      <w:r w:rsidRPr="00CB47B9">
        <w:rPr>
          <w:i/>
        </w:rPr>
        <w:fldChar w:fldCharType="end"/>
      </w:r>
    </w:p>
    <w:p w14:paraId="4F9693E7" w14:textId="77777777" w:rsidR="00D63067" w:rsidRPr="00CB47B9" w:rsidRDefault="00D63067" w:rsidP="00D63067">
      <w:pPr>
        <w:rPr>
          <w:vanish/>
        </w:rPr>
      </w:pPr>
      <w:bookmarkStart w:id="3" w:name="Commission"/>
      <w:r w:rsidRPr="00CB47B9">
        <w:rPr>
          <w:vanish/>
        </w:rPr>
        <w:t>Επιτροπή Ελέγχου του Προϋπολογισμού</w:t>
      </w:r>
      <w:bookmarkEnd w:id="3"/>
    </w:p>
    <w:p w14:paraId="230CDBB4" w14:textId="77777777" w:rsidR="00D63067" w:rsidRPr="00CB47B9" w:rsidRDefault="00D63067" w:rsidP="00D63067">
      <w:pPr>
        <w:rPr>
          <w:vanish/>
        </w:rPr>
      </w:pPr>
      <w:bookmarkStart w:id="4" w:name="PE"/>
      <w:r w:rsidRPr="00CB47B9">
        <w:rPr>
          <w:vanish/>
        </w:rPr>
        <w:t>PE778.061</w:t>
      </w:r>
      <w:bookmarkEnd w:id="4"/>
    </w:p>
    <w:p w14:paraId="4C506504" w14:textId="0E5230C4" w:rsidR="00D63067" w:rsidRPr="00CB47B9" w:rsidRDefault="0065484E" w:rsidP="00D63067">
      <w:pPr>
        <w:pStyle w:val="ATHeading3"/>
      </w:pPr>
      <w:bookmarkStart w:id="5" w:name="Sujet"/>
      <w:r w:rsidRPr="00CB47B9">
        <w:t>1. Α</w:t>
      </w:r>
      <w:r w:rsidR="00D63067" w:rsidRPr="00CB47B9">
        <w:t xml:space="preserve">πόφαση του Ευρωπαϊκού Κοινοβουλίου της </w:t>
      </w:r>
      <w:r w:rsidR="00F665F0" w:rsidRPr="00CB47B9">
        <w:t xml:space="preserve">29ης Απριλίου </w:t>
      </w:r>
      <w:r w:rsidR="00D63067" w:rsidRPr="00CB47B9">
        <w:t>2026 σχετικά με την απαλλαγή όσον αφορά την εκτέλεση του γενικού προϋπολογισμού της Ευρωπαϊκής Ένωσης για το οικονομικό έτος 2024, τμήμα X – Ευρωπαϊκή Υπηρεσία Εξωτερικής Δράσης</w:t>
      </w:r>
      <w:bookmarkEnd w:id="5"/>
      <w:r w:rsidR="00D63067" w:rsidRPr="00CB47B9">
        <w:t xml:space="preserve"> </w:t>
      </w:r>
      <w:bookmarkStart w:id="6" w:name="References"/>
      <w:r w:rsidR="00D63067" w:rsidRPr="00CB47B9">
        <w:t>(2025/2150(DEC))</w:t>
      </w:r>
      <w:bookmarkEnd w:id="6"/>
    </w:p>
    <w:p w14:paraId="42EF4C8D" w14:textId="77777777" w:rsidR="00C06AC8" w:rsidRPr="00CB47B9" w:rsidRDefault="00C06AC8" w:rsidP="00C06AC8">
      <w:pPr>
        <w:pStyle w:val="EPComma"/>
      </w:pPr>
      <w:bookmarkStart w:id="7" w:name="TextBodyBegin"/>
      <w:bookmarkEnd w:id="7"/>
      <w:r w:rsidRPr="00CB47B9">
        <w:rPr>
          <w:i/>
        </w:rPr>
        <w:t>Το Ευρωπαϊκό Κοινοβούλιο</w:t>
      </w:r>
      <w:r w:rsidRPr="00CB47B9">
        <w:t>,</w:t>
      </w:r>
    </w:p>
    <w:p w14:paraId="71588347" w14:textId="77777777" w:rsidR="00C06AC8" w:rsidRPr="00CB47B9" w:rsidRDefault="00C06AC8" w:rsidP="00924112">
      <w:pPr>
        <w:pStyle w:val="NormalHanging12a"/>
        <w:widowControl/>
      </w:pPr>
      <w:r w:rsidRPr="00CB47B9">
        <w:t>–</w:t>
      </w:r>
      <w:r w:rsidRPr="00CB47B9">
        <w:tab/>
        <w:t>έχοντας υπόψη τον γενικό προϋπολογισμό της Ευρωπαϊκής Ένωσης για το οικονομικό έτος 2024</w:t>
      </w:r>
      <w:r w:rsidRPr="00CB47B9">
        <w:rPr>
          <w:rStyle w:val="FootnoteReference"/>
        </w:rPr>
        <w:footnoteReference w:id="1"/>
      </w:r>
      <w:r w:rsidRPr="00CB47B9">
        <w:t>,</w:t>
      </w:r>
    </w:p>
    <w:p w14:paraId="6BB134A0" w14:textId="77777777" w:rsidR="00C06AC8" w:rsidRPr="00CB47B9" w:rsidRDefault="00C06AC8" w:rsidP="00924112">
      <w:pPr>
        <w:pStyle w:val="NormalHanging12a"/>
        <w:widowControl/>
      </w:pPr>
      <w:r w:rsidRPr="00CB47B9">
        <w:t>–</w:t>
      </w:r>
      <w:r w:rsidRPr="00CB47B9">
        <w:tab/>
        <w:t>έχοντας υπόψη τους ενοποιημένους ετήσιους λογαριασμούς της Ευρωπαϊκής Ένωσης για το οικονομικό έτος 2024 (COM(2025)0359 – C10</w:t>
      </w:r>
      <w:r w:rsidRPr="00CB47B9">
        <w:noBreakHyphen/>
        <w:t>0150/2025)</w:t>
      </w:r>
      <w:r w:rsidRPr="00CB47B9">
        <w:rPr>
          <w:rStyle w:val="FootnoteReference"/>
        </w:rPr>
        <w:footnoteReference w:id="2"/>
      </w:r>
      <w:r w:rsidRPr="00CB47B9">
        <w:t>,</w:t>
      </w:r>
    </w:p>
    <w:p w14:paraId="083CC574" w14:textId="77777777" w:rsidR="00C06AC8" w:rsidRPr="00CB47B9" w:rsidRDefault="00C06AC8" w:rsidP="00924112">
      <w:pPr>
        <w:pStyle w:val="NormalHanging12a"/>
        <w:widowControl/>
      </w:pPr>
      <w:r w:rsidRPr="00CB47B9">
        <w:t>–</w:t>
      </w:r>
      <w:r w:rsidRPr="00CB47B9">
        <w:tab/>
        <w:t>έχοντας υπόψη την ετήσια έκθεση της Ευρωπαϊκής Υπηρεσίας Εξωτερικής Δράσης προς την αρμόδια για την απαλλαγή αρχή σχετικά με τους εσωτερικούς ελέγχους που πραγματοποιήθηκαν το 2024,</w:t>
      </w:r>
    </w:p>
    <w:p w14:paraId="1E6FB933" w14:textId="77777777" w:rsidR="00C06AC8" w:rsidRPr="00CB47B9" w:rsidRDefault="00C06AC8" w:rsidP="00924112">
      <w:pPr>
        <w:pStyle w:val="NormalHanging12a"/>
        <w:widowControl/>
      </w:pPr>
      <w:r w:rsidRPr="00CB47B9">
        <w:t>–</w:t>
      </w:r>
      <w:r w:rsidRPr="00CB47B9">
        <w:tab/>
        <w:t>έχοντας υπόψη την ετήσια έκθεση του Ελεγκτικού Συνεδρίου σχετικά με την εκτέλεση του προϋπολογισμού για το οικονομικό έτος 2024, συνοδευόμενη από τις απαντήσεις των θεσμικών οργάνων</w:t>
      </w:r>
      <w:r w:rsidRPr="00CB47B9">
        <w:rPr>
          <w:rStyle w:val="FootnoteReference"/>
        </w:rPr>
        <w:footnoteReference w:id="3"/>
      </w:r>
      <w:r w:rsidRPr="00CB47B9">
        <w:t>,</w:t>
      </w:r>
    </w:p>
    <w:p w14:paraId="3F20ACFF" w14:textId="77777777" w:rsidR="00C06AC8" w:rsidRPr="00CB47B9" w:rsidRDefault="00C06AC8" w:rsidP="00924112">
      <w:pPr>
        <w:pStyle w:val="NormalHanging12a"/>
        <w:widowControl/>
      </w:pPr>
      <w:r w:rsidRPr="00CB47B9">
        <w:t>–</w:t>
      </w:r>
      <w:r w:rsidRPr="00CB47B9">
        <w:tab/>
        <w:t>έχοντας υπόψη τη δήλωση διασφάλισης</w:t>
      </w:r>
      <w:r w:rsidRPr="00CB47B9">
        <w:rPr>
          <w:rStyle w:val="FootnoteReference"/>
        </w:rPr>
        <w:footnoteReference w:id="4"/>
      </w:r>
      <w:r w:rsidRPr="00CB47B9">
        <w:t xml:space="preserve"> σχετικά με την αξιοπιστία των λογαριασμών και τη νομιμότητα και κανονικότητα των υποκείμενων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639999D0" w14:textId="77777777" w:rsidR="00C06AC8" w:rsidRPr="00CB47B9" w:rsidRDefault="00C06AC8" w:rsidP="00924112">
      <w:pPr>
        <w:pStyle w:val="NormalHanging12a"/>
        <w:widowControl/>
      </w:pPr>
      <w:r w:rsidRPr="00CB47B9">
        <w:t>–</w:t>
      </w:r>
      <w:r w:rsidRPr="00CB47B9">
        <w:tab/>
        <w:t>έχοντας υπόψη το άρθρο 314 παράγραφος 10 και τα άρθρα 317, 318 και 319 της Συνθήκης για τη λειτουργία της Ευρωπαϊκής Ένωσης,</w:t>
      </w:r>
    </w:p>
    <w:p w14:paraId="16AE9EFA" w14:textId="77777777" w:rsidR="00C06AC8" w:rsidRPr="00CB47B9" w:rsidRDefault="00C06AC8" w:rsidP="00924112">
      <w:pPr>
        <w:pStyle w:val="NormalHanging12a"/>
        <w:widowControl/>
      </w:pPr>
      <w:r w:rsidRPr="00CB47B9">
        <w:lastRenderedPageBreak/>
        <w:t>–</w:t>
      </w:r>
      <w:r w:rsidRPr="00CB47B9">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B47B9">
        <w:rPr>
          <w:rStyle w:val="FootnoteReference"/>
        </w:rPr>
        <w:footnoteReference w:id="5"/>
      </w:r>
      <w:r w:rsidRPr="00CB47B9">
        <w:t>, και ιδίως τα άρθρα 59, 118, 260 και 263,</w:t>
      </w:r>
    </w:p>
    <w:p w14:paraId="44158B33" w14:textId="77777777" w:rsidR="00C06AC8" w:rsidRPr="00CB47B9" w:rsidRDefault="00C06AC8" w:rsidP="00924112">
      <w:pPr>
        <w:pStyle w:val="NormalHanging12a"/>
        <w:widowControl/>
      </w:pPr>
      <w:r w:rsidRPr="00CB47B9">
        <w:t>–</w:t>
      </w:r>
      <w:r w:rsidRPr="00CB47B9">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CB47B9">
        <w:rPr>
          <w:rStyle w:val="FootnoteReference"/>
        </w:rPr>
        <w:footnoteReference w:id="6"/>
      </w:r>
      <w:r w:rsidRPr="00CB47B9">
        <w:t>, και ιδίως τα άρθρα 59, 118 και 266 έως 269,</w:t>
      </w:r>
    </w:p>
    <w:p w14:paraId="098A0E14" w14:textId="77777777" w:rsidR="00C06AC8" w:rsidRPr="00CB47B9" w:rsidRDefault="00C06AC8" w:rsidP="00924112">
      <w:pPr>
        <w:pStyle w:val="NormalHanging12a"/>
        <w:widowControl/>
      </w:pPr>
      <w:r w:rsidRPr="00CB47B9">
        <w:t>–</w:t>
      </w:r>
      <w:r w:rsidRPr="00CB47B9">
        <w:tab/>
        <w:t>έχοντας υπόψη την απόφαση 2010/427/ΕΕ του Συμβουλίου, της 26ης Ιουλίου 2010, για τον καθορισμό της οργάνωσης και της λειτουργίας της Ευρωπαϊκής Υπηρεσίας Εξωτερικής Δράσης</w:t>
      </w:r>
      <w:r w:rsidRPr="00CB47B9">
        <w:rPr>
          <w:rStyle w:val="FootnoteReference"/>
        </w:rPr>
        <w:footnoteReference w:id="7"/>
      </w:r>
      <w:r w:rsidRPr="00CB47B9">
        <w:t>, και ιδίως το άρθρο 8,</w:t>
      </w:r>
    </w:p>
    <w:p w14:paraId="104AD3FC" w14:textId="77777777" w:rsidR="00C06AC8" w:rsidRPr="00CB47B9" w:rsidRDefault="00C06AC8" w:rsidP="00924112">
      <w:pPr>
        <w:pStyle w:val="NormalHanging12a"/>
        <w:widowControl/>
      </w:pPr>
      <w:r w:rsidRPr="00CB47B9">
        <w:t>–</w:t>
      </w:r>
      <w:r w:rsidRPr="00CB47B9">
        <w:tab/>
        <w:t>έχοντας υπόψη το άρθρο 102 και το παράρτημα V του Κανονισμού του,</w:t>
      </w:r>
    </w:p>
    <w:p w14:paraId="21B31F4C" w14:textId="77777777" w:rsidR="00C06AC8" w:rsidRPr="00CB47B9" w:rsidRDefault="00C06AC8" w:rsidP="00924112">
      <w:pPr>
        <w:pStyle w:val="NormalHanging12a"/>
        <w:widowControl/>
        <w:rPr>
          <w:szCs w:val="24"/>
        </w:rPr>
      </w:pPr>
      <w:r w:rsidRPr="00CB47B9">
        <w:t>–</w:t>
      </w:r>
      <w:r w:rsidRPr="00CB47B9">
        <w:tab/>
        <w:t>έχοντας υπόψη τη γνωμοδότηση της Επιτροπής Εξωτερικών Υποθέσεων,</w:t>
      </w:r>
    </w:p>
    <w:p w14:paraId="6FC47BA7" w14:textId="77777777" w:rsidR="00C06AC8" w:rsidRPr="00CB47B9" w:rsidRDefault="00C06AC8" w:rsidP="00924112">
      <w:pPr>
        <w:pStyle w:val="NormalHanging12a"/>
        <w:widowControl/>
      </w:pPr>
      <w:r w:rsidRPr="00CB47B9">
        <w:t>–</w:t>
      </w:r>
      <w:r w:rsidRPr="00CB47B9">
        <w:tab/>
        <w:t>έχοντας υπόψη την έκθεση της Επιτροπής Ελέγχου του Προϋπολογισμού (A10-0053/2026),</w:t>
      </w:r>
    </w:p>
    <w:p w14:paraId="5FC895B9" w14:textId="77777777" w:rsidR="00C06AC8" w:rsidRPr="00CB47B9" w:rsidRDefault="00C06AC8" w:rsidP="00924112">
      <w:pPr>
        <w:pStyle w:val="NormalHanging12a"/>
        <w:widowControl/>
      </w:pPr>
      <w:r w:rsidRPr="00CB47B9">
        <w:t>1.</w:t>
      </w:r>
      <w:r w:rsidRPr="00CB47B9">
        <w:tab/>
        <w:t>χορηγεί απαλλαγή στην Ύπατη Εκπρόσωπο της Ένωσης για θέματα Εξωτερικής Πολιτικής και Πολιτικής Ασφαλείας όσον αφορά την εκτέλεση του προϋπολογισμού της Ευρωπαϊκής Υπηρεσίας Εξωτερικής Δράσης για το οικονομικό έτος 2024·</w:t>
      </w:r>
    </w:p>
    <w:p w14:paraId="2D24D551" w14:textId="77777777" w:rsidR="00C06AC8" w:rsidRPr="00CB47B9" w:rsidRDefault="00C06AC8" w:rsidP="00924112">
      <w:pPr>
        <w:pStyle w:val="NormalHanging12a"/>
        <w:widowControl/>
      </w:pPr>
      <w:r w:rsidRPr="00CB47B9">
        <w:t>2.</w:t>
      </w:r>
      <w:r w:rsidRPr="00CB47B9">
        <w:tab/>
        <w:t>εκθέτει τις παρατηρήσεις του στο ψήφισμα που ακολουθεί·</w:t>
      </w:r>
    </w:p>
    <w:p w14:paraId="7918489B" w14:textId="77777777" w:rsidR="00C06AC8" w:rsidRPr="00CB47B9" w:rsidRDefault="00C06AC8" w:rsidP="00924112">
      <w:pPr>
        <w:pStyle w:val="NormalHanging12a"/>
        <w:widowControl/>
      </w:pPr>
      <w:r w:rsidRPr="00CB47B9">
        <w:t>3.</w:t>
      </w:r>
      <w:r w:rsidRPr="00CB47B9">
        <w:tab/>
        <w:t xml:space="preserve">αναθέτει στην Πρόεδρό του να διαβιβάσει την παρούσα απόφαση και το ψήφισμα που αποτελεί αναπόσπαστο μέρος της στην Ευρωπαϊκή Υπηρεσία Εξωτερικής Δράσης, στο Συμβούλιο, στην Επιτροπή και στο Ελεγκτικό Συνέδριο, καθώς και στην Ευρωπαία Διαμεσολαβήτρια και στον Ευρωπαίο Επόπτη Προστασίας Δεδομένων, και να μεριμνήσει για τη δημοσίευσή τους στην </w:t>
      </w:r>
      <w:r w:rsidRPr="00CB47B9">
        <w:rPr>
          <w:i/>
        </w:rPr>
        <w:t>Επίσημη Εφημερίδα της Ευρωπαϊκής Ένωσης</w:t>
      </w:r>
      <w:r w:rsidRPr="00CB47B9">
        <w:t xml:space="preserve"> (σειρά L).</w:t>
      </w:r>
    </w:p>
    <w:p w14:paraId="33A66DC0" w14:textId="77777777" w:rsidR="00C06AC8" w:rsidRPr="00CB47B9" w:rsidRDefault="00C06AC8" w:rsidP="00C06AC8">
      <w:pPr>
        <w:pStyle w:val="PageHeading"/>
        <w:jc w:val="left"/>
        <w:sectPr w:rsidR="00C06AC8" w:rsidRPr="00CB47B9" w:rsidSect="007C040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7490A0" w14:textId="77777777" w:rsidR="00A044AA" w:rsidRPr="00CB47B9" w:rsidRDefault="00A044AA" w:rsidP="00A044AA">
      <w:pPr>
        <w:pStyle w:val="ATHeading3"/>
      </w:pPr>
      <w:r w:rsidRPr="00CB47B9">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Χ – Ευρωπαϊκή Υπηρεσία Εξωτερικής Δράσης (2025/2150(DEC))</w:t>
      </w:r>
    </w:p>
    <w:p w14:paraId="7C37F232" w14:textId="77777777" w:rsidR="00C06AC8" w:rsidRPr="00CB47B9" w:rsidRDefault="00C06AC8" w:rsidP="00C06AC8">
      <w:pPr>
        <w:pStyle w:val="EPComma"/>
      </w:pPr>
      <w:r w:rsidRPr="00CB47B9">
        <w:rPr>
          <w:i/>
        </w:rPr>
        <w:t>Το Ευρωπαϊκό Κοινοβούλιο</w:t>
      </w:r>
      <w:r w:rsidRPr="00CB47B9">
        <w:t>,</w:t>
      </w:r>
    </w:p>
    <w:p w14:paraId="0953679F" w14:textId="77777777" w:rsidR="00C06AC8" w:rsidRPr="00CB47B9" w:rsidRDefault="00C06AC8" w:rsidP="00924112">
      <w:pPr>
        <w:pStyle w:val="NormalHanging12a"/>
        <w:widowControl/>
      </w:pPr>
      <w:r w:rsidRPr="00CB47B9">
        <w:t>–</w:t>
      </w:r>
      <w:r w:rsidRPr="00CB47B9">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X – Ευρωπαϊκή Υπηρεσία Εξωτερικής Δράσης,</w:t>
      </w:r>
    </w:p>
    <w:p w14:paraId="5FBAF130" w14:textId="77777777" w:rsidR="00C06AC8" w:rsidRPr="00CB47B9" w:rsidRDefault="00C06AC8" w:rsidP="00924112">
      <w:pPr>
        <w:pStyle w:val="NormalHanging12a"/>
        <w:widowControl/>
      </w:pPr>
      <w:r w:rsidRPr="00CB47B9">
        <w:t>–</w:t>
      </w:r>
      <w:r w:rsidRPr="00CB47B9">
        <w:tab/>
        <w:t>έχοντας υπόψη το άρθρο 102 και το παράρτημα V του Κανονισμού του,</w:t>
      </w:r>
    </w:p>
    <w:p w14:paraId="21C3A1A5" w14:textId="77777777" w:rsidR="00C06AC8" w:rsidRPr="00CB47B9" w:rsidRDefault="00C06AC8" w:rsidP="00924112">
      <w:pPr>
        <w:pStyle w:val="NormalHanging12a"/>
        <w:widowControl/>
        <w:rPr>
          <w:szCs w:val="24"/>
        </w:rPr>
      </w:pPr>
      <w:r w:rsidRPr="00CB47B9">
        <w:t>–</w:t>
      </w:r>
      <w:r w:rsidRPr="00CB47B9">
        <w:tab/>
        <w:t>έχοντας υπόψη τη γνωμοδότηση της Επιτροπής Εξωτερικών Υποθέσεων,</w:t>
      </w:r>
    </w:p>
    <w:p w14:paraId="691CFD4C" w14:textId="77777777" w:rsidR="00C06AC8" w:rsidRPr="00CB47B9" w:rsidRDefault="00C06AC8" w:rsidP="00924112">
      <w:pPr>
        <w:pStyle w:val="NormalHanging12a"/>
        <w:widowControl/>
      </w:pPr>
      <w:r w:rsidRPr="00CB47B9">
        <w:t>–</w:t>
      </w:r>
      <w:r w:rsidRPr="00CB47B9">
        <w:tab/>
        <w:t>έχοντας υπόψη την έκθεση της Επιτροπής Ελέγχου του Προϋπολογισμού (A10-0053/2026),</w:t>
      </w:r>
    </w:p>
    <w:p w14:paraId="182E3BF5" w14:textId="77777777" w:rsidR="00C06AC8" w:rsidRPr="00CB47B9" w:rsidRDefault="00C06AC8" w:rsidP="00924112">
      <w:pPr>
        <w:pStyle w:val="NormalHanging12a"/>
        <w:widowControl/>
      </w:pPr>
      <w:r w:rsidRPr="00CB47B9">
        <w:t>Α.</w:t>
      </w:r>
      <w:r w:rsidRPr="00CB47B9">
        <w:tab/>
        <w:t>λαμβάνοντας υπόψη ότι, στο πλαίσιο της διαδικασίας απαλλαγής, η αρμόδια για την απαλλαγή αρχή επιθυμεί να τονίσει την ιδιαίτερη σημασία που έχουν η περαιτέρω ενίσχυση της δημοκρατικής νομιμοποίησης των θεσμικών οργάνων της Ένωσης μέσω της βελτίωσης της διαφάνειας και της λογοδοσίας, όπως επίσης και η εφαρμογή της προσέγγισης της κατάρτισης του προϋπολογισμού βάσει επιδόσεων και της χρηστής διαχείρισης των ανθρώπινων πόρων·</w:t>
      </w:r>
    </w:p>
    <w:p w14:paraId="40BED655" w14:textId="1B90A834" w:rsidR="00C06AC8" w:rsidRPr="00CB47B9" w:rsidRDefault="00C06AC8" w:rsidP="00924112">
      <w:pPr>
        <w:pStyle w:val="NormalHanging12a"/>
        <w:widowControl/>
      </w:pPr>
      <w:r w:rsidRPr="00CB47B9">
        <w:t>Β.</w:t>
      </w:r>
      <w:r w:rsidRPr="00CB47B9">
        <w:tab/>
        <w:t>λαμβάνοντας υπόψη ότι η Ευρωπαϊκή Υπηρεσία Εξωτερικής Δράσης (</w:t>
      </w:r>
      <w:r w:rsidR="00585641" w:rsidRPr="00CB47B9">
        <w:t>«</w:t>
      </w:r>
      <w:r w:rsidRPr="00CB47B9">
        <w:t>ΕΥΕΔ</w:t>
      </w:r>
      <w:r w:rsidR="00585641" w:rsidRPr="00CB47B9">
        <w:t>»</w:t>
      </w:r>
      <w:r w:rsidRPr="00CB47B9">
        <w:t>) είναι υπεύθυνη για τη διαχείριση των διοικητικών δαπανών των κεντρικών γραφείων της στις Βρυξέλλες και για το δίκτυο των 145 αντιπροσωπειών και γραφείων της Ένωσης·</w:t>
      </w:r>
    </w:p>
    <w:p w14:paraId="74315AC9" w14:textId="77777777" w:rsidR="00C06AC8" w:rsidRPr="00CB47B9" w:rsidRDefault="00C06AC8" w:rsidP="00924112">
      <w:pPr>
        <w:pStyle w:val="NormalHanging12a"/>
        <w:widowControl/>
      </w:pPr>
      <w:r w:rsidRPr="00CB47B9">
        <w:t>Γ.</w:t>
      </w:r>
      <w:r w:rsidRPr="00CB47B9">
        <w:tab/>
        <w:t>λαμβάνοντας υπόψη ότι το πεδίο ευθύνης της ΕΥΕΔ έχει επεκταθεί ώστε να καλύπτει τη διοικητική διεύθυνση του προσωπικού της Επιτροπής στις αντιπροσωπείες μέσω σειράς ρυθμίσεων υπηρεσιακού επιπέδου (SLA)·</w:t>
      </w:r>
    </w:p>
    <w:p w14:paraId="2474BE0B" w14:textId="67BB1D37" w:rsidR="00C06AC8" w:rsidRPr="00CB47B9" w:rsidRDefault="00C06AC8" w:rsidP="00924112">
      <w:pPr>
        <w:pStyle w:val="NormalHanging12a"/>
        <w:widowControl/>
      </w:pPr>
      <w:r w:rsidRPr="00CB47B9">
        <w:t>Δ.</w:t>
      </w:r>
      <w:r w:rsidRPr="00CB47B9">
        <w:tab/>
        <w:t>λαμβάνοντας υπόψη ότι οι εξουσίες που ανατίθενται δυνάμει του κανονισμού υπηρεσιακής κατάστασης στην αρμόδια για τους διορισμούς αρχή ασκούνται από τον Αντιπρόεδρο της Ευρωπαϊκής Επιτροπής/Ύπατο Εκπρόσωπο της Ένωσης για Θέματα Εξωτερικής Πολιτικής και Πολιτικής Ασφαλείας (</w:t>
      </w:r>
      <w:r w:rsidR="00585641" w:rsidRPr="00CB47B9">
        <w:t>«</w:t>
      </w:r>
      <w:r w:rsidRPr="00CB47B9">
        <w:t>Αντιπρόεδρος/Ύπατος Εκπρόσωπος</w:t>
      </w:r>
      <w:r w:rsidR="00585641" w:rsidRPr="00CB47B9">
        <w:t>»</w:t>
      </w:r>
      <w:r w:rsidRPr="00CB47B9">
        <w:t>) όσον αφορά το προσωπικό της ΕΥΕΔ·</w:t>
      </w:r>
    </w:p>
    <w:p w14:paraId="2DAB6A90" w14:textId="105CB8E0" w:rsidR="00C06AC8" w:rsidRPr="00CB47B9" w:rsidRDefault="00C06AC8" w:rsidP="00924112">
      <w:pPr>
        <w:pStyle w:val="NormalHanging12a"/>
        <w:widowControl/>
      </w:pPr>
      <w:r w:rsidRPr="00CB47B9">
        <w:t>Ε.</w:t>
      </w:r>
      <w:r w:rsidRPr="00CB47B9">
        <w:tab/>
        <w:t>λαμβάνοντας υπόψη ότι η εκτέλεση του προϋπολογισμού διέπεται από τον δημοσιονομικό κανονισμό και από τους εσωτερικούς κανόνες εκτέλεσης του προϋπολογισμού της ΕΥΕΔ (</w:t>
      </w:r>
      <w:r w:rsidR="00585641" w:rsidRPr="00CB47B9">
        <w:t>«</w:t>
      </w:r>
      <w:r w:rsidRPr="00CB47B9">
        <w:t>εσωτερικοί κανόνες</w:t>
      </w:r>
      <w:r w:rsidR="00585641" w:rsidRPr="00CB47B9">
        <w:t>»</w:t>
      </w:r>
      <w:r w:rsidRPr="00CB47B9">
        <w:t>)·</w:t>
      </w:r>
    </w:p>
    <w:p w14:paraId="2423E37E" w14:textId="77777777" w:rsidR="00C06AC8" w:rsidRPr="00CB47B9" w:rsidRDefault="00C06AC8" w:rsidP="00924112">
      <w:pPr>
        <w:pStyle w:val="NormalHanging12a"/>
        <w:widowControl/>
      </w:pPr>
      <w:r w:rsidRPr="00CB47B9">
        <w:t>ΣΤ.</w:t>
      </w:r>
      <w:r w:rsidRPr="00CB47B9">
        <w:tab/>
        <w:t>λαμβάνοντας υπόψη ότι, σύμφωνα με τους εσωτερικούς κανόνες, ο Γενικός Γραμματέας της ΕΥΕΔ ενεργεί ως κύριος διατάκτης για την ΕΥΕΔ και ο Γενικός Διευθυντής Διαχείρισης Πόρων έχει τον ρόλο του κύριου δευτερεύοντος διατάκτη·</w:t>
      </w:r>
    </w:p>
    <w:p w14:paraId="0FDB0FB3" w14:textId="77777777" w:rsidR="00C06AC8" w:rsidRPr="00CB47B9" w:rsidRDefault="00C06AC8" w:rsidP="00924112">
      <w:pPr>
        <w:pStyle w:val="NormalHanging12a"/>
        <w:widowControl/>
      </w:pPr>
      <w:r w:rsidRPr="00CB47B9">
        <w:t>Ζ.</w:t>
      </w:r>
      <w:r w:rsidRPr="00CB47B9">
        <w:tab/>
        <w:t>λαμβάνοντας υπόψη ότι ο ρόλος των αντιπροσωπειών της Ένωσης είναι να εκπροσωπούν την Ένωση και τους πολίτες της σε ολόκληρο τον κόσμο, δημιουργώντας δίκτυα και εταιρικές σχέσεις, και να προάγουν τις αξίες της Ένωσης·</w:t>
      </w:r>
    </w:p>
    <w:p w14:paraId="61F5FEF9" w14:textId="77777777" w:rsidR="00C06AC8" w:rsidRPr="00CB47B9" w:rsidRDefault="00C06AC8" w:rsidP="00924112">
      <w:pPr>
        <w:pStyle w:val="NormalHanging12a"/>
        <w:widowControl/>
      </w:pPr>
      <w:r w:rsidRPr="00CB47B9">
        <w:lastRenderedPageBreak/>
        <w:t>Η.</w:t>
      </w:r>
      <w:r w:rsidRPr="00CB47B9">
        <w:tab/>
        <w:t>λαμβάνοντας υπόψη ότι η ιδιαιτερότητα της ΕΥΕΔ συνεχίζει να έγκειται στη φύση και στην προέλευσή της, όπως ακριβώς συνέβαινε όταν αυτή δημιουργήθηκε με τη συγχώνευση προσωπικού από τις πρώην υπηρεσίες εξωτερικών σχέσεων του Συμβουλίου και της Ευρωπαϊκής Επιτροπής και διπλωματών από τα κράτη μέλη·</w:t>
      </w:r>
    </w:p>
    <w:p w14:paraId="35437218" w14:textId="77777777" w:rsidR="00C06AC8" w:rsidRPr="00CB47B9" w:rsidRDefault="00C06AC8" w:rsidP="00924112">
      <w:pPr>
        <w:pStyle w:val="NormalHanging12a"/>
        <w:widowControl/>
        <w:rPr>
          <w:bCs/>
          <w:iCs/>
        </w:rPr>
      </w:pPr>
      <w:r w:rsidRPr="00CB47B9">
        <w:t>Θ.</w:t>
      </w:r>
      <w:r w:rsidRPr="00CB47B9">
        <w:tab/>
        <w:t>λαμβάνοντας υπόψη ότι η αποτελεσματικότητα και η οικονομική αποδοτικότητα της εξωτερικής δράσης της Ένωσης εξαρτώνται από τον στενό συντονισμό με τις διπλωματικές αρχές και τα διπλωματικά δίκτυα των κρατών μελών, ιδίως σε τρίτες χώρες όπου τόσο η ΕΥΕΔ όσο και τα κράτη μέλη έχουν μόνιμη παρουσία, προκειμένου να αποφεύγεται η αλληλεπικάλυψη δομών και δαπανών·</w:t>
      </w:r>
    </w:p>
    <w:p w14:paraId="777CE22D" w14:textId="64ACAAC2" w:rsidR="00C06AC8" w:rsidRPr="00CB47B9" w:rsidRDefault="00CB47B9" w:rsidP="00CB47B9">
      <w:pPr>
        <w:pStyle w:val="NormalHanging12a"/>
        <w:widowControl/>
      </w:pPr>
      <w:r w:rsidRPr="00CB47B9">
        <w:t>1.</w:t>
      </w:r>
      <w:r w:rsidRPr="00CB47B9">
        <w:tab/>
      </w:r>
      <w:r w:rsidR="00C06AC8" w:rsidRPr="00CB47B9">
        <w:t>σημειώνει ότι ο προϋπολογισμός της ΕΥΕΔ εντάσσεται στον τομέα 7 του ΠΔΠ</w:t>
      </w:r>
      <w:r w:rsidR="007747B3" w:rsidRPr="00CB47B9">
        <w:t>,</w:t>
      </w:r>
      <w:r w:rsidR="00C06AC8" w:rsidRPr="00CB47B9">
        <w:t xml:space="preserve"> «Ευρωπαϊκή δημόσια διοίκηση», ο οποίος ανήλθε σε 13,3 </w:t>
      </w:r>
      <w:r w:rsidR="007747B3" w:rsidRPr="00CB47B9">
        <w:t>δισεκατομμύρια</w:t>
      </w:r>
      <w:r w:rsidR="00C06AC8" w:rsidRPr="00CB47B9">
        <w:t> EUR το 2024 (που αντιστοιχεί στο 6,9 % του συνολικού προϋπολογισμού της Ένωσης)· σημειώνει ότι ο προϋπολογισμός ύψους περίπου 1,239 </w:t>
      </w:r>
      <w:r w:rsidR="007747B3" w:rsidRPr="00CB47B9">
        <w:t>δισεκατομμύρια</w:t>
      </w:r>
      <w:r w:rsidR="00C06AC8" w:rsidRPr="00CB47B9">
        <w:t> EUR που συνιστά διαχείριση της ΕΥΕΔ αντιπροσωπεύει περίπου το 9,54 % των συνολικών διοικητικών δαπανών της Ένωσης το 2024·</w:t>
      </w:r>
    </w:p>
    <w:p w14:paraId="0CFDC1ED" w14:textId="1370AD15" w:rsidR="00C06AC8" w:rsidRPr="00CB47B9" w:rsidRDefault="00CB47B9" w:rsidP="00CB47B9">
      <w:pPr>
        <w:pStyle w:val="NormalHanging12a"/>
        <w:widowControl/>
      </w:pPr>
      <w:r w:rsidRPr="00CB47B9">
        <w:t>2.</w:t>
      </w:r>
      <w:r w:rsidRPr="00CB47B9">
        <w:tab/>
      </w:r>
      <w:r w:rsidR="00C06AC8" w:rsidRPr="00CB47B9">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της διοίκησης, αριθμός παρόμοιος με τον αριθμό πράξεων που εξετάστηκαν το 2023· σημειώνει ότι στις διοικητικές δαπάνες συγκαταλέγονται δαπάνες για ανθρώπινους πόρους, συμπεριλαμβανομένων των δαπανών για συντάξεις, οι οποίες το 2024 συνιστούσαν περίπου το 69 % των συνολικών διοικητικών δαπανών, και δαπάνες για κτίρια, εξοπλισμό, ενέργεια, επικοινωνίες και τεχνολογία των πληροφοριών και ότι οι εργασίες του Ελεγκτικού Συνεδρίου επί σειρά ετών υποδεικνύουν ότι, συνολικά, οι δαπάνες αυτές είναι χαμηλού κινδύνου·</w:t>
      </w:r>
    </w:p>
    <w:p w14:paraId="7E055206" w14:textId="574F2CA5" w:rsidR="00C06AC8" w:rsidRPr="00CB47B9" w:rsidRDefault="00CB47B9" w:rsidP="00CB47B9">
      <w:pPr>
        <w:pStyle w:val="NormalHanging12a"/>
        <w:widowControl/>
      </w:pPr>
      <w:r w:rsidRPr="00CB47B9">
        <w:t>3.</w:t>
      </w:r>
      <w:r w:rsidRPr="00CB47B9">
        <w:tab/>
      </w:r>
      <w:r w:rsidR="00C06AC8" w:rsidRPr="00CB47B9">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w:t>
      </w:r>
    </w:p>
    <w:p w14:paraId="2D28A179" w14:textId="2BEDA7E8" w:rsidR="00C06AC8" w:rsidRPr="00CB47B9" w:rsidRDefault="00CB47B9" w:rsidP="00CB47B9">
      <w:pPr>
        <w:pStyle w:val="NormalHanging12a"/>
        <w:widowControl/>
      </w:pPr>
      <w:r w:rsidRPr="00CB47B9">
        <w:t>4.</w:t>
      </w:r>
      <w:r w:rsidRPr="00CB47B9">
        <w:tab/>
      </w:r>
      <w:r w:rsidR="00C06AC8" w:rsidRPr="00CB47B9">
        <w:t>σημειώνει, με βάση την έκθεση του Ελεγκτικού Συνεδρίου, ότι το Ελεγκτικό Συνέδριο εξέτασε 15 πληρωμές που πραγματοποίησε η ΕΥΕΔ, μεταξύ των οποίων εντόπισε δύο ποσοτικώς προσδιορίσιμα σφάλματα· λαμβάνοντας υπόψη ότι ένα σφάλμα αφορούσε μία ουσιώδη τροποποίηση σύμβασης χωρίς έγκυρη διαδικασία σύναψης σύμβασης και χωρίς την εφαρμογή εκ των υστέρων μέτρων δημοσιότητας, ενώ το άλλο σφάλμα αφορούσε μία πληρωμή που είχε σχέση με τη χρήση εσφαλμένης συναλλαγματικής ισοτιμίας κατά τη λογιστική εγγραφή μισθώματος· επικροτεί τα μέτρα που έλαβε η ΕΥΕΔ για να αντιμετωπίσει τα εν λόγω ζητήματα·</w:t>
      </w:r>
    </w:p>
    <w:p w14:paraId="0AC76B03" w14:textId="77777777" w:rsidR="00C06AC8" w:rsidRPr="00CB47B9" w:rsidRDefault="00C06AC8" w:rsidP="00924112">
      <w:pPr>
        <w:pStyle w:val="NormalHanging12a"/>
        <w:widowControl/>
        <w:rPr>
          <w:b/>
          <w:bCs/>
          <w:i/>
          <w:iCs/>
        </w:rPr>
      </w:pPr>
      <w:r w:rsidRPr="00CB47B9">
        <w:rPr>
          <w:b/>
          <w:i/>
        </w:rPr>
        <w:t>Δημοσιονομική και χρηματοοικονομική διαχείριση</w:t>
      </w:r>
    </w:p>
    <w:p w14:paraId="1F611394" w14:textId="1F94D64A" w:rsidR="00C06AC8" w:rsidRPr="00CB47B9" w:rsidRDefault="00CB47B9" w:rsidP="00CB47B9">
      <w:pPr>
        <w:pStyle w:val="NormalHanging12a"/>
        <w:widowControl/>
      </w:pPr>
      <w:r w:rsidRPr="00CB47B9">
        <w:t>5.</w:t>
      </w:r>
      <w:r w:rsidRPr="00CB47B9">
        <w:tab/>
      </w:r>
      <w:r w:rsidR="00C06AC8" w:rsidRPr="00CB47B9">
        <w:t xml:space="preserve">σημειώνει ότι ο οριστικός προϋπολογισμός της ΕΥΕΔ για το 2024 ανήλθε σε 880 165 703 EUR, ποσό που συνιστά αύξηση κατά 7,09 % σε σύγκριση με το 2023· σημειώνει ότι η ΕΥΕΔ είχε επίσης στη διάθεσή της ποσό ύψους 359,1 εκατομμυρίων EUR (συμπεριλαμβανομένων των εσόδων για ειδικό προορισμό και των μεταφερθέντων ποσών) από την Επιτροπή για την κάλυψη των διοικητικών δαπανών του προσωπικού της Επιτροπής που εργάζεται στις αντιπροσωπείες της Ένωσης· σημειώνει περαιτέρω ότι η ΕΥΕΔ έλαβε πρόσθετες συνεισφορές σταθερού ποσού για την κάλυψη των κοινών δαπανών του προσωπικού του Ευρωπαϊκού Ταμείου </w:t>
      </w:r>
      <w:r w:rsidR="00C06AC8" w:rsidRPr="00CB47B9">
        <w:lastRenderedPageBreak/>
        <w:t>Ανάπτυξης σε αντιπροσωπείες και συστεγάσεις της Ένωσης, καθώς και άλλα ποσά που ελήφθησαν στο πλαίσιο συμφωνιών συστέγασης και άλλων συμφωνιών· σημειώνει ότι, ως εκ τούτου, το συνολικό ποσό του προϋπολογισμού που διαχειρίστηκε η ΕΥΕΔ το 2024 ανήλθε σε 1 239,3 εκατομμύρια EUR (πιστώσεις αναλήψεων υποχρεώσεων), ποσό που αντιπροσωπεύει αύξηση κατά 4,43 % σε σύγκριση με το προηγούμενο έτος·</w:t>
      </w:r>
    </w:p>
    <w:p w14:paraId="6A38E529" w14:textId="5E19D1DC" w:rsidR="00C06AC8" w:rsidRPr="00CB47B9" w:rsidRDefault="00CB47B9" w:rsidP="00CB47B9">
      <w:pPr>
        <w:pStyle w:val="NormalHanging12a"/>
        <w:widowControl/>
      </w:pPr>
      <w:r w:rsidRPr="00CB47B9">
        <w:t>6.</w:t>
      </w:r>
      <w:r w:rsidRPr="00CB47B9">
        <w:tab/>
      </w:r>
      <w:r w:rsidR="00C06AC8" w:rsidRPr="00CB47B9">
        <w:t>σημειώνει ότι το 2024 το ποσοστό εκτέλεσης των πιστώσεων αναλήψεων υποχρεώσεων για το τρέχον έτος (μετά τις μεταφορές) ανήλθε σε 100 %, ενώ το ποσοστό εκτέλεσης των πληρωμών ήταν 88,4 % σε σύγκριση με 91,9 % το 2023· σημειώνει ότι ο μέσος χρόνος πληρωμής ήταν 13,43 ημέρες, αλλά το 10,69 % του συνολικού αριθμού των πληρωμών που πραγματοποιήθηκαν το 2024 (που αντιστοιχεί συνολικά σε 57 357 324 EUR) αντιπροσωπεύει καθυστερημένες πληρωμές, γεγονός που οδήγησε σε τόκους υπερημερίας ύψους 37 862,61 EUR το 2024· καλεί την ΕΥΕΔ να συνεχίσει τις προσπάθειές της να βελτιώσει τον αριθμό των ηλεκτρονικών πληρωμών και την ψηφιοποίηση των ροών εργασίας, ιδίως όσον αφορά τα ηλεκτρονικά τιμολόγια στις αντιπροσωπείες της Ένωσης·</w:t>
      </w:r>
    </w:p>
    <w:p w14:paraId="23BC5247" w14:textId="700DD7B9" w:rsidR="00C06AC8" w:rsidRPr="00CB47B9" w:rsidRDefault="00CB47B9" w:rsidP="00CB47B9">
      <w:pPr>
        <w:pStyle w:val="NormalHanging12a"/>
        <w:widowControl/>
      </w:pPr>
      <w:r w:rsidRPr="00CB47B9">
        <w:t>7.</w:t>
      </w:r>
      <w:r w:rsidRPr="00CB47B9">
        <w:tab/>
      </w:r>
      <w:r w:rsidR="00C06AC8" w:rsidRPr="00CB47B9">
        <w:t>σημειώνει ότι η ΕΥΕΔ ενημέρωσε την αρμόδια για τον προϋπολογισμό αρχή σχετικά με δύο μεταφορές πιστώσεων σύμφωνα με το άρθρο 29 παράγραφος 1 του δημοσιονομικού κανονισμού και πραγματοποίησε 10 αυτόνομες μεταφορές σύμφωνα με το άρθρο 29 παράγραφος 4, συνολικής αξίας 53,6 εκατομμυρίων EUR· σημειώνει ότι ο κύριος σκοπός των μεταφορών ήταν η αύξηση της γραμμής του προϋπολογισμού 3 0 0 3 για τα κτίρια και τις συναφείς δαπάνες στις αντιπροσωπείες της Ένωσης κατά 33,78 εκατομμύρια EUR, της γραμμής του προϋπολογισμού 2 0 0 2 για τις εργασίες διαρρύθμισης και ασφάλειας κατά 1,7 εκατομμύρια EUR και της γραμμής του προϋπολογισμού 1 2 0 5 για τους αποσπασμένους στρατιωτικούς εθνικούς εμπειρογνώμονες κατά 1,37 εκατομμύρια EUR· σημειώνει ότι, εκτός από τις μεταφορές, ο οριστικός προϋπολογισμός για την έδρα της ΕΥΕΔ ανήλθε σε 349,2 εκατομμύρια EUR και ο οριστικός προϋπολογισμός για τις αντιπροσωπείες της Ένωσης ανήλθε σε 530,9 εκατομμύρια EUR·</w:t>
      </w:r>
    </w:p>
    <w:p w14:paraId="0AAD355A" w14:textId="3FEC8742" w:rsidR="00C06AC8" w:rsidRPr="00CB47B9" w:rsidRDefault="00CB47B9" w:rsidP="00CB47B9">
      <w:pPr>
        <w:pStyle w:val="NormalHanging12a"/>
        <w:widowControl/>
      </w:pPr>
      <w:r w:rsidRPr="00CB47B9">
        <w:t>8.</w:t>
      </w:r>
      <w:r w:rsidRPr="00CB47B9">
        <w:tab/>
      </w:r>
      <w:r w:rsidR="00C06AC8" w:rsidRPr="00CB47B9">
        <w:t xml:space="preserve">σημειώνει ότι η ΕΥΕΔ αντιμετώπισε διάφορες προκλήσεις όσον αφορά την εκτέλεση του προϋπολογισμού της το 2024 λόγω του σοβαρού αντικτύπου του παράνομου επιθετικού πολέμου της Ρωσίας κατά της Ουκρανίας, των πληθωριστικών πιέσεων, των δυσμενών συναλλαγματικών ισοτιμιών και του ανώτατου ορίου του 2 % στις μη μισθολογικές δαπάνες, με αποτέλεσμα να προκύψει έλλειμμα ύψους 33 εκατομμυρίων EUR για τις αντιπροσωπείες της Ένωσης, γεγονός το οποίο περιόρισε σημαντικά την επιχειρησιακή ικανότητά τους· σημειώνει με ικανοποίηση ότι η ΕΥΕΔ αντιμετώπισε τις εν λόγω προκλήσεις μέσω ενός συνδυασμού στρατηγικών αποταμιεύσεων και ανακατανομών/μεταφορών πιστώσεων· σημειώνει ότι οι μειώσεις επηρέασαν κυρίως τους προϋπολογισμούς για τις αποστολές και την εκπροσώπηση, τις υποδομές και την ασφάλεια· ανησυχεί ότι οι δημοσιονομικοί περιορισμοί ενδέχεται να έχουν αντίκτυπο στο καθήκον μέριμνας της ΕΥΕΔ για το προσωπικό της, ιδίως όσον αφορά τη συντήρηση των υποδομών και τα πρότυπα ασφάλειας στις αντιπροσωπείες· εκφράζει την ικανοποίησή του για τη δέσμη διορθωτικών μέτρων, αλλά επαναλαμβάνει την έκκλησή του για έναν προϋπολογισμό που θα συνάδει με τις ανάγκες και τους στόχους της ΕΥΕΔ· καλεί την ΕΥΕΔ να θέσει ετήσιους στόχους για τη μείωση των καθυστερημένων πληρωμών και του κόστους των τόκων υπερημερίας, και να τυποποιήσει τη διατερματική ηλεκτρονική τιμολόγηση και τις ροές εργασιών για τις ηλεκτρονικές δημόσιες συμβάσεις σε επίπεδο αντιπροσωπειών· αναγνωρίζει την ανάγκη να βελτιώσουν όλα τα θεσμικά όργανα της Ένωσης τη δημοσιονομική τους </w:t>
      </w:r>
      <w:r w:rsidR="00C06AC8" w:rsidRPr="00CB47B9">
        <w:lastRenderedPageBreak/>
        <w:t>διαχείριση, λαμβάνοντας επίσης υπόψη την αστάθεια των τιμών, ιδίως στον τομέα της ενέργειας, κατά τη σύναψη συμβάσεων με παρόχους υπηρεσιών·</w:t>
      </w:r>
    </w:p>
    <w:p w14:paraId="31E48315" w14:textId="68042236" w:rsidR="00C06AC8" w:rsidRPr="00CB47B9" w:rsidRDefault="00CB47B9" w:rsidP="00CB47B9">
      <w:pPr>
        <w:widowControl/>
        <w:spacing w:after="240"/>
        <w:ind w:left="567" w:hanging="567"/>
      </w:pPr>
      <w:bookmarkStart w:id="8" w:name="_Hlk221454822"/>
      <w:r w:rsidRPr="00CB47B9">
        <w:t>9.</w:t>
      </w:r>
      <w:r w:rsidRPr="00CB47B9">
        <w:tab/>
      </w:r>
      <w:r w:rsidR="00C06AC8" w:rsidRPr="00CB47B9">
        <w:t>σημειώνει, με βάση την ακρόαση της Αντιπροέδρου/Ύπατης Εκπροσώπου κατά τη συνεδρίαση της Επιτροπής Ελέγχου του Προϋπολογισμού (CONT) του Κοινοβουλίου στις 17 Νοεμβρίου 2025 (</w:t>
      </w:r>
      <w:r w:rsidR="00585641" w:rsidRPr="00CB47B9">
        <w:t>«</w:t>
      </w:r>
      <w:r w:rsidR="00C06AC8" w:rsidRPr="00CB47B9">
        <w:t>ακρόαση</w:t>
      </w:r>
      <w:r w:rsidR="00585641" w:rsidRPr="00CB47B9">
        <w:t>»</w:t>
      </w:r>
      <w:r w:rsidR="00C06AC8" w:rsidRPr="00CB47B9">
        <w:t>), ότι η ΕΥΕΔ αντιμετώπισε σημαντικούς δημοσιονομικούς περιορισμούς τα τελευταία χρόνια, ενώ το όργανο έχει επιφορτιστεί με μια ολοένα και πιο διευρυμένη εντολή και έχει επιβαρυνθεί με αυξημένο κόστος και ανάγκες για το δίκτυο αντιπροσωπειών που αριθμεί 145 αντιπροσωπείες· εκφράζει τη λύπη του για το γεγονός ότι η υποχρηματοδότηση της ΕΥΕΔ δεν αντιμετωπίζεται διαρθρωτικά· υποστηρίζει την άποψη της ΕΥΕΔ ότι υπάρχει αναντιστοιχία μεταξύ των καθηκόντων και των πόρων, η οποία αποτελεί σημαντική πρόκληση για την ικανότητα της ΕΥΕΔ να επιτύχει πλήρως τους στόχους της και να στηρίξει αποτελεσματικά το θεματολόγιο εξωτερικής πολιτικής και πολιτικής ασφάλειας της Ένωσης,</w:t>
      </w:r>
      <w:bookmarkEnd w:id="8"/>
      <w:r w:rsidR="00C06AC8" w:rsidRPr="00CB47B9">
        <w:t xml:space="preserve"> με αποτέλεσμα να υπονομεύεται η απόδοση της εξωτερικής πολιτικής της Ένωσης, σε μια περίοδο </w:t>
      </w:r>
      <w:proofErr w:type="spellStart"/>
      <w:r w:rsidR="00C06AC8" w:rsidRPr="00CB47B9">
        <w:t>ταχείων</w:t>
      </w:r>
      <w:proofErr w:type="spellEnd"/>
      <w:r w:rsidR="00C06AC8" w:rsidRPr="00CB47B9">
        <w:t xml:space="preserve"> γεωπολιτικών μεταβολών, και η αξιοπιστία της Ένωσης ως παγκόσμιου παράγοντα· καλεί την ΕΥΕΔ να δώσει προτεραιότητα σε δράσεις που αποφέρουν σαφή προστιθέμενη αξία για την Ένωση και τους πολίτες της, αποφεύγοντας παράλληλα δραστηριότητες και έργα που ενέχουν τον κίνδυνο υπονόμευσης της αποτελεσματικότητας και της ευημερίας του προσωπικού· καλεί την ΕΥΕΔ να διορθώσει τις ελλείψεις προσωπικού στις αντιπροσωπείες της Ένωσης, ιδίως σε χώρες απόσπασης που αντιμετωπίζουν σύνθετες προκλήσεις στον τομέα της ασφάλειας ή γεωπολιτικές προκλήσεις, και να ενισχύσει τη διαφάνεια και τη λογοδοσία στο πλαίσιο των διαδικασιών πρόσληψης·</w:t>
      </w:r>
    </w:p>
    <w:p w14:paraId="268577C0" w14:textId="0E269C49" w:rsidR="00C06AC8" w:rsidRPr="00CB47B9" w:rsidRDefault="00CB47B9" w:rsidP="00CB47B9">
      <w:pPr>
        <w:pStyle w:val="NormalHanging12a"/>
        <w:widowControl/>
        <w:rPr>
          <w:bCs/>
          <w:iCs/>
        </w:rPr>
      </w:pPr>
      <w:r w:rsidRPr="00CB47B9">
        <w:rPr>
          <w:bCs/>
          <w:iCs/>
        </w:rPr>
        <w:t>10.</w:t>
      </w:r>
      <w:r w:rsidRPr="00CB47B9">
        <w:rPr>
          <w:bCs/>
          <w:iCs/>
        </w:rPr>
        <w:tab/>
      </w:r>
      <w:r w:rsidR="00C06AC8" w:rsidRPr="00CB47B9">
        <w:t>καλεί το Ελεγκτικό Συνέδριο να διενεργήσει ολοκληρωμένο έλεγχο επιδόσεων της ΕΥΕΔ προκειμένου να αξιολογήσει την αποτελεσματικότητα των δραστηριοτήτων της σε σύγκριση με τις διπλωματικές υπηρεσίες των χωρών του ΟΟΣΑ· ζητεί ο έλεγχος αυτός να εντοπίσει τομείς στους οποίους η ΕΥΕΔ παρέχει μοναδική, αναντικατάστατη προστιθέμενη αξία και τομείς στους οποίους οι δραστηριότητές της αλληλεπικαλύπτονται με εκείνες των κρατών μελών· καλεί ταυτόχρονα την ΕΥΕΔ να διενεργήσει ανάλυση κόστους-οφέλους του παγκόσμιου δικτύου της και να χορηγήσει πόρους κατά προτεραιότητα στις αντιπροσωπείες χωρών που συμβάλλουν σαφώς στα άμεσα συμφέροντα της Ένωσης, όπως η οικονομική ευημερία, η ενεργειακή ασφάλεια, η προστασία των συνόρων και η πρόληψη των παράτυπων μεταναστευτικών ροών· επιμένει στη θέσπιση σαφών, μετρήσιμων δεικτών επιδόσεων για να καταδειχθεί η «σχέση κόστους-οφέλους» που παρέχεται στους πολίτες της Ένωσης και ζητεί από την ΕΥΕΔ να διακόψει κάθε δραστηριότητα ή αποστολή που αξιολογείται ως αναποτελεσματική ή περιττή έπειτα από τις εν λόγω αξιολογήσεις·</w:t>
      </w:r>
    </w:p>
    <w:p w14:paraId="694FC049" w14:textId="3BA6EEDE" w:rsidR="00C06AC8" w:rsidRPr="00CB47B9" w:rsidRDefault="00CB47B9" w:rsidP="00CB47B9">
      <w:pPr>
        <w:pStyle w:val="NormalHanging12a"/>
        <w:widowControl/>
      </w:pPr>
      <w:r w:rsidRPr="00CB47B9">
        <w:t>11.</w:t>
      </w:r>
      <w:r w:rsidRPr="00CB47B9">
        <w:tab/>
      </w:r>
      <w:r w:rsidR="00C06AC8" w:rsidRPr="00CB47B9">
        <w:t>σημειώνει περαιτέρω ότι οι επενδύσεις σε ακίνητα και σε έργα ΤΠ αναβλήθηκαν, ενώ ο αριθμός των ασκουμένων μειώθηκε το 2024· σημειώνει την άποψη της ΕΥΕΔ ότι οι εν λόγω περιορισμοί θα μπορούσαν τελικά να επηρεάσουν την παγκόσμια παρουσία της Ένωσης· προειδοποιεί ότι η συνεχιζόμενη αναβολή των επενδύσεων και μείωση του προσωπικού ενέχουν τον κίνδυνο υπονόμευσης του καθήκοντος μέριμνας της ΕΥΕΔ, ιδίως όσον αφορά την ασφάλεια, την ψυχική υγεία και την προστασία του προσωπικού σε αποσπάσεις υψηλού κινδύνου· καλεί την ΕΥΕΔ να παρουσιάσει μια σειρά επενδύσεων για κρίσιμες υποδομές ΤΠ, κυβερνοασφάλειας και καθήκοντος επιμέλειας, συμπεριλαμβανομένης της ανάλυσης κόστους-οφέλους και του αναμενόμενου επιχειρησιακού αντικτύπου, προκειμένου να αποφευχθούν επανειλημμένες αναβολές που υπονομεύουν την αποδοτικότητα και την ασφάλεια του προσωπικού·</w:t>
      </w:r>
    </w:p>
    <w:p w14:paraId="3390B1EC" w14:textId="39A9A18A" w:rsidR="00C06AC8" w:rsidRPr="00CB47B9" w:rsidRDefault="00CB47B9" w:rsidP="00CB47B9">
      <w:pPr>
        <w:pStyle w:val="NormalHanging12a"/>
        <w:widowControl/>
        <w:rPr>
          <w:bCs/>
          <w:iCs/>
        </w:rPr>
      </w:pPr>
      <w:r w:rsidRPr="00CB47B9">
        <w:rPr>
          <w:bCs/>
          <w:iCs/>
        </w:rPr>
        <w:lastRenderedPageBreak/>
        <w:t>12.</w:t>
      </w:r>
      <w:r w:rsidRPr="00CB47B9">
        <w:rPr>
          <w:bCs/>
          <w:iCs/>
        </w:rPr>
        <w:tab/>
      </w:r>
      <w:r w:rsidR="00C06AC8" w:rsidRPr="00CB47B9">
        <w:t>σημειώνει ότι το ανώτατο χρηματοδοτικό όριο του Ευρωπαϊκού Μηχανισμού για την Ειρήνη, ο οποίος τελεί υπό τη διαχείριση του Αντιπροέδρου/Ύπατου Εκπροσώπου, αυξήθηκε από 12 δισεκατομμύρια EUR το 2023 σε 17 δισεκατομμύρια EUR το 2024, ενώ τα επιπλέον 5 δισεκατομμύρια EUR προορίζονται για τη στρατιωτική στήριξη της Ουκρανίας· τονίζει ότι η σημαντική αύξηση του ορίου του Ευρωπαϊκού Μηχανισμού για την Ειρήνη απαιτεί ενισχυμένη διαφάνεια και κοινοβουλευτική εποπτεία· ζητεί την υποβολή τακτικών και διαρθρωμένων εκθέσεων στην αρμόδια για την απαλλαγή αρχή σχετικά με τη διαχείριση κινδύνων, τις ρυθμίσεις παρακολούθησης και τη συμμόρφωση με τις αξίες της Ένωσης και το διεθνές ανθρωπιστικό δίκαιο· καλεί την ΕΥΕΔ να συνεργαστεί με τη Γενική Διεύθυνση Διεύρυνσης και Ανατολικής Γειτονίας (ΓΔ Διεύρυνσης και Ανατολικής Γειτονίας) της Επιτροπής για να διασφαλίσει την αποτελεσματική εποπτεία και παρακολούθηση των έργων που χρηματοδοτούνται από τον Ευρωπαϊκό Μηχανισμό για την Ειρήνη· αναγνωρίζει τον Ευρωπαϊκό Μηχανισμό για την Ειρήνη ως απαραίτητο εργαλείο για τη διατήρηση της ειρήνης, σε μια εποχή γεωπολιτικού ανταγωνισμού, το οποίο αποσκοπεί στην οικοδόμηση σταθερότητας και μιας ενοποιημένης ευρωπαϊκής αμυντικής συνεργασίας·</w:t>
      </w:r>
    </w:p>
    <w:p w14:paraId="510678CF" w14:textId="254A97AD" w:rsidR="00C06AC8" w:rsidRPr="00CB47B9" w:rsidRDefault="00CB47B9" w:rsidP="00CB47B9">
      <w:pPr>
        <w:pStyle w:val="NormalHanging12a"/>
        <w:widowControl/>
        <w:rPr>
          <w:bCs/>
          <w:iCs/>
        </w:rPr>
      </w:pPr>
      <w:r w:rsidRPr="00CB47B9">
        <w:rPr>
          <w:bCs/>
          <w:iCs/>
        </w:rPr>
        <w:t>13.</w:t>
      </w:r>
      <w:r w:rsidRPr="00CB47B9">
        <w:rPr>
          <w:bCs/>
          <w:iCs/>
        </w:rPr>
        <w:tab/>
      </w:r>
      <w:r w:rsidR="00C06AC8" w:rsidRPr="00CB47B9">
        <w:t>σημειώνει, με βάση τις απαντήσεις της ΕΥΕΔ στο ερωτηματολόγιο της CONT για την απαλλαγή για το 2024 (</w:t>
      </w:r>
      <w:r w:rsidR="00585641" w:rsidRPr="00CB47B9">
        <w:t>«</w:t>
      </w:r>
      <w:r w:rsidR="00C06AC8" w:rsidRPr="00CB47B9">
        <w:t>ερωτηματολόγιο</w:t>
      </w:r>
      <w:r w:rsidR="00585641" w:rsidRPr="00CB47B9">
        <w:t>»</w:t>
      </w:r>
      <w:r w:rsidR="00C06AC8" w:rsidRPr="00CB47B9">
        <w:t>), ότι η ΕΥΕΔ, τόσο στην έδρα της όσο και στις αντιπροσωπείες της Ένωσης, δρομολόγησε συνολικά 71 διαδικασίες σύναψης συμβάσεων για συμβάσεις υψηλής αξίας, δηλαδή πάνω από το όριο των 143 000 EU</w:t>
      </w:r>
      <w:r w:rsidR="00585641" w:rsidRPr="00CB47B9">
        <w:t>R</w:t>
      </w:r>
      <w:r w:rsidR="00C06AC8" w:rsidRPr="00CB47B9">
        <w:t xml:space="preserve"> για αγαθά και υπηρεσίες που ορίζεται στην οδηγία 2014/24/ΕΕ του Ευρωπαϊκού Κοινοβουλίου και του Συμβουλίου</w:t>
      </w:r>
      <w:r w:rsidR="00C06AC8" w:rsidRPr="00CB47B9">
        <w:rPr>
          <w:rStyle w:val="FootnoteReference"/>
        </w:rPr>
        <w:footnoteReference w:id="8"/>
      </w:r>
      <w:r w:rsidR="00C06AC8" w:rsidRPr="00CB47B9">
        <w:t>· σημειώνει ότι 63 από τις εν λόγω διαδικασίες ήταν επιτυχείς, με την υπογραφή 63 συμβάσεων, ενώ 8 διαδικασίες δεν τελεσφόρησαν· σημειώνει ότι, με την έναρξη ισχύος του νέου δημοσιονομικού κανονισμού την 29η</w:t>
      </w:r>
      <w:r w:rsidR="00585641" w:rsidRPr="00CB47B9">
        <w:t> </w:t>
      </w:r>
      <w:r w:rsidR="00C06AC8" w:rsidRPr="00CB47B9">
        <w:t>Σεπτεμβρίου 2024, η διαχείριση των διαδικασιών σύναψης συμβάσεων για τις αντιπροσωπείες της Ένωσης σε τρίτες χώρες απλουστεύθηκε με τη θέσπιση χωριστού συνόλου ανώτατων ορίων για τις συμβάσεις πολύ μικρού, μικρού και μεσαίου ύψους, και έτσι αντιμετωπίστηκε ένα μακροχρόνιο ζήτημα που σχετίζεται με την περιορισμένη ικανότητα των τοπικών φορέων να πληρούν τις πολύπλοκες απαιτήσεις των κανόνων της Ένωσης για τις δημόσιες συμβάσεις· αναμένει ότι οι απλουστεύσεις αυτές θα ανταποκρίνονται καλύτερα στις ανάγκες τόσο των χωρών υποδοχής όσο και των αντιπροσωπειών της Ένωσης όσον αφορά τις διαδικασίες σύναψης συμβάσεων, με την επιφύλαξη της συμμόρφωσης με τα υψηλότερα πρότυπα διαφάνειας, ανταγωνισμού και διασφαλίσεων για την καταπολέμηση της απάτης· καλεί την ΕΥΕΔ να αξιολογήσει και να υποβάλει έκθεση σχετικά με τον αντίκτυπο αυτών των αλλαγών στα ποσοστά σφάλματος και στους κινδύνους για την ακεραιότητα·</w:t>
      </w:r>
      <w:r w:rsidR="00C06AC8" w:rsidRPr="00CB47B9">
        <w:rPr>
          <w:b/>
          <w:i/>
        </w:rPr>
        <w:t xml:space="preserve"> </w:t>
      </w:r>
    </w:p>
    <w:p w14:paraId="00558162" w14:textId="07961FB2" w:rsidR="00C06AC8" w:rsidRPr="00CB47B9" w:rsidRDefault="00CB47B9" w:rsidP="00CB47B9">
      <w:pPr>
        <w:pStyle w:val="NormalHanging12a"/>
        <w:widowControl/>
      </w:pPr>
      <w:r w:rsidRPr="00CB47B9">
        <w:t>14.</w:t>
      </w:r>
      <w:r w:rsidRPr="00CB47B9">
        <w:tab/>
      </w:r>
      <w:r w:rsidR="00C06AC8" w:rsidRPr="00CB47B9">
        <w:t xml:space="preserve">Σημειώνει το γεγονός ότι το 2024 συστάθηκε ειδική ομάδα για τη βελτίωση των διαδικασιών σύναψης συμβάσεων της ΕΥΕΔ τόσο στην έδρα της όσο και στις αντιπροσωπείες· έχει επίγνωση του γεγονότος ότι το τμήμα εσωτερικού ελέγχου διεξήγαγε συμβουλευτική εργασία το 2024, με στόχο να παράσχει ανεξάρτητη επανεξέταση της διαδικασίας σύναψης συμβάσεων, τα αποτελέσματα της οποίας συζητούνται επί του παρόντος με τις αρμόδιες υπηρεσίες· καλεί την ΕΥΕΔ να δημοσιοποιήσει τα συμπεράσματα της εν λόγω επανεξέτασης, καθώς και τον κατάλογο </w:t>
      </w:r>
      <w:r w:rsidR="00C06AC8" w:rsidRPr="00CB47B9">
        <w:lastRenderedPageBreak/>
        <w:t>των μέτρων που εγκρίθηκαν για την αντιμετώπιση των προκλήσεων που προσδιορίστηκαν·</w:t>
      </w:r>
    </w:p>
    <w:p w14:paraId="6B513A75" w14:textId="6811A28E" w:rsidR="00C06AC8" w:rsidRPr="00CB47B9" w:rsidRDefault="00CB47B9" w:rsidP="00CB47B9">
      <w:pPr>
        <w:pStyle w:val="NormalHanging12a"/>
        <w:widowControl/>
      </w:pPr>
      <w:r w:rsidRPr="00CB47B9">
        <w:t>15.</w:t>
      </w:r>
      <w:r w:rsidRPr="00CB47B9">
        <w:tab/>
      </w:r>
      <w:r w:rsidR="00C06AC8" w:rsidRPr="00CB47B9">
        <w:t>σημειώνει ότι ο αριθμός των συστεγάσεων με κράτη μέλη και άλλους εταίρους της Ένωσης σε αντιπροσωπείες της Ένωσης ήταν 137 στο τέλος του 2024, μία λιγότερη απ’ ό,τι το 2023· σημειώνει ότι, από τον συνολικό αριθμό συστεγάσεων το 2023, 45 συνήφθησαν με κράτη μέλη και χώρες εταίρους, 92 με άλλους εταίρους της Ένωσης, ενώ η συστέγαση αντιπροσώπευε το 9 % της συνολικής επιφάνειας γραφείων στις αντιπροσωπείες της Ένωσης και περιλάμβανε περισσότερες από τις μισές αντιπροσωπείες της Ένωσης (80), γεγονός που μπορεί να θεωρηθεί ως παράδειγμα επιτυχούς βελτιστοποίησης της διαχείρισης κτιρίων της ΕΥΕΔ, αλλά και ως δείκτης του αυξημένου ενδιαφέροντος των εταίρων για κοινή χρήση εγκαταστάσεων σε τρίτες χώρες και της σημασίας της συστέγασης σε διπλωματικές υποθέσεις·</w:t>
      </w:r>
    </w:p>
    <w:p w14:paraId="263C7AA4" w14:textId="08D82BB6" w:rsidR="00C06AC8" w:rsidRPr="00CB47B9" w:rsidRDefault="00CB47B9" w:rsidP="00CB47B9">
      <w:pPr>
        <w:pStyle w:val="NormalHanging12a"/>
        <w:widowControl/>
      </w:pPr>
      <w:r w:rsidRPr="00CB47B9">
        <w:t>16.</w:t>
      </w:r>
      <w:r w:rsidRPr="00CB47B9">
        <w:tab/>
      </w:r>
      <w:r w:rsidR="00C06AC8" w:rsidRPr="00CB47B9">
        <w:t xml:space="preserve">σημειώνει, με βάση το ερωτηματολόγιο, ότι ο προϋπολογισμός για τις αποστολές ανήλθε σε 21 582 843 EUR το 2024, ποσό που συνιστά αύξηση κατά περίπου 2,33 % σε σύγκριση με τα 21 091 935 EUR (επικαιροποιημένο ποσό) το 2023· σημειώνει ότι η ΕΥΕΔ δεν διαθέτει χωριστή γραμμή του προϋπολογισμού για τις αποστολές και τα ταξίδια του Αντιπροέδρου/Ύπατου Εκπροσώπου και ότι η ΕΥΕΔ και η Επιτροπή επωμίζονται από κοινού τα έξοδα αποστολών και </w:t>
      </w:r>
      <w:proofErr w:type="spellStart"/>
      <w:r w:rsidR="00C06AC8" w:rsidRPr="00CB47B9">
        <w:t>ταξιδίων</w:t>
      </w:r>
      <w:proofErr w:type="spellEnd"/>
      <w:r w:rsidR="00C06AC8" w:rsidRPr="00CB47B9">
        <w:t xml:space="preserve"> για τον Αντιπρόεδρο/Ύπατο εκπρόσωπο, ανάλογα με τον σκοπό της αποστολής· σημειώνει, ωστόσο, με βάση την έκθεση παρακολούθησης της ΕΥΕΔ σχετικά με τις παρατηρήσεις του Κοινοβουλίου στο ψήφισμα απαλλαγής για το 2023 (</w:t>
      </w:r>
      <w:r w:rsidR="00FF313B" w:rsidRPr="00CB47B9">
        <w:t>«</w:t>
      </w:r>
      <w:r w:rsidR="00C06AC8" w:rsidRPr="00CB47B9">
        <w:t>έκθεση παρακολούθησης</w:t>
      </w:r>
      <w:r w:rsidR="00FF313B" w:rsidRPr="00CB47B9">
        <w:t>»</w:t>
      </w:r>
      <w:r w:rsidR="00C06AC8" w:rsidRPr="00CB47B9">
        <w:t xml:space="preserve">), ότι το εσωτερικό σύστημα διαχείρισης της ΕΥΕΔ διαχωρίζει τις αποστολές του Αντιπροέδρου/Ύπατου Εκπροσώπου από τα ταξίδια των συναδέλφων που τον συνοδεύουν στο πλαίσιο ειδικής χρηματοδότησης στην κύρια γραμμή του προϋπολογισμού για τις αποστολές· σημειώνει περαιτέρω, με βάση το ερωτηματολόγιο, ότι το 2024 ούτε ο απερχόμενος Αντιπρόεδρος/Ύπατος Εκπρόσωπος ούτε η </w:t>
      </w:r>
      <w:proofErr w:type="spellStart"/>
      <w:r w:rsidR="00C06AC8" w:rsidRPr="00CB47B9">
        <w:t>νεοδιορισθείσα</w:t>
      </w:r>
      <w:proofErr w:type="spellEnd"/>
      <w:r w:rsidR="00C06AC8" w:rsidRPr="00CB47B9">
        <w:t xml:space="preserve"> Αντιπρόεδρος/Ύπατη Εκπρόσωπος πραγματοποίησαν αποστολές χρηματοδοτούμενες από την ΕΥΕΔ· αντιλαμβάνεται, με βάση την έκθεση παρακολούθησης, ότι οι ανταγωνιστικές δεσμεύσεις της Αντιπροέδρου/Ύπατης Εκπροσώπου και το πολύ αυστηρό χρονοδιάγραμμα, που συχνά υπαγορεύεται από τη γεωπολιτική κατάσταση, δεν της επιτρέπουν ορισμένες φορές να ταξιδέψει με τακτικές πτήσεις ή άλλα μέσα μεταφοράς για να εκπληρώσει τις επαγγελματικές της υποχρεώσεις· υπογραμμίζει, ωστόσο, ότι οι ηγέτες των θεσμικών οργάνων της Ένωσης θα πρέπει να ενεργούν ως καλό παράδειγμα για το κοινό και τους πολίτες, ιδίως όταν χρησιμοποιούν πόρους της Ένωσης κατά την εκτέλεση των καθηκόντων τους· τονίζει ότι οι επιλογές πτήσεων θα πρέπει να επιλέγονται βάσει χρηστής δημοσιονομικής διαχείρισης, υπό την προϋπόθεση ότι οι εν λόγω εναλλακτικές λύσεις είναι διαθέσιμες και σύμφωνα με την ημερήσια διάταξη και τον τόπο διεξαγωγής των συνεδριάσεων· τονίζει ότι η διαφάνεια και η χρηστή δημοσιονομική διαχείριση κατά τη χρήση των δημόσιων πόρων της Ένωσης πρέπει να παραμείνουν βασική αρχή για όλα τα θεσμικά όργανα της Ένωσης·</w:t>
      </w:r>
    </w:p>
    <w:p w14:paraId="7939A93C" w14:textId="77777777" w:rsidR="00C06AC8" w:rsidRPr="00CB47B9" w:rsidRDefault="00C06AC8" w:rsidP="00924112">
      <w:pPr>
        <w:pStyle w:val="NormalHanging12a"/>
        <w:widowControl/>
      </w:pPr>
      <w:r w:rsidRPr="00CB47B9">
        <w:rPr>
          <w:b/>
          <w:i/>
        </w:rPr>
        <w:t>Εσωτερική διαχείριση, επιδόσεις και εσωτερικός έλεγχος</w:t>
      </w:r>
    </w:p>
    <w:p w14:paraId="341E63D3" w14:textId="4505C15F" w:rsidR="00C06AC8" w:rsidRPr="00CB47B9" w:rsidRDefault="00CB47B9" w:rsidP="00CB47B9">
      <w:pPr>
        <w:pStyle w:val="NormalHanging12a"/>
        <w:widowControl/>
      </w:pPr>
      <w:r w:rsidRPr="00CB47B9">
        <w:t>17.</w:t>
      </w:r>
      <w:r w:rsidRPr="00CB47B9">
        <w:tab/>
      </w:r>
      <w:r w:rsidR="00C06AC8" w:rsidRPr="00CB47B9">
        <w:t xml:space="preserve">σημειώνει ότι, το 2024, η ΕΥΕΔ εξακολουθούσε να αντιμετωπίζει αυξανόμενες πολιτικές και οικονομικές προκλήσεις, καθώς και προκλήσεις όσον αφορά τα ανθρώπινα δικαιώματα και το κράτος δικαίου σε ένα ολοένα και πιο ασταθές γεωπολιτικό περιβάλλον που χαρακτηρίζεται από εντεινόμενες υβριδικές απειλές στα δημοκρατικά συστήματα· σημειώνει ότι ο παράνομος επιθετικός πόλεμος της Ρωσίας κατά της Ουκρανίας και οι γεωπολιτικές επιπτώσεις του συνέχισαν να αποτελούν </w:t>
      </w:r>
      <w:r w:rsidR="00C06AC8" w:rsidRPr="00CB47B9">
        <w:lastRenderedPageBreak/>
        <w:t>βασικό πρόβλημα το 2024· επισημαίνει, στο πλαίσιο αυτό, τη σημασία και την ανάγκη να διαδραματίζει η ΕΥΕΔ κεντρικό και ενισχυμένο καίριο ρόλο στην οικοδόμηση της στρατηγικής αυτονομίας, της ανθεκτικότητας και της ασφάλειας της Ένωσης, οι οποίες θα πρέπει να διαφυλαχθούν επίσης με τη συστηματική και δυναμική καταπολέμηση της χειραγώγησης των πληροφοριών και των παρεμβάσεων από το εξωτερικό και των εκστρατειών παραπληροφόρησης· σημειώνει ότι το 2024 η ΕΥΕΔ δημοσίευσε τη δεύτερη έκθεσή της σχετικά με τις απειλές χειραγώγησης των πληροφοριών και παρεμβάσεων από το εξωτερικό, περιγράφοντας λεπτομερώς 750 περιστατικά και αποκαλύπτοντας την επιχείρηση «</w:t>
      </w:r>
      <w:proofErr w:type="spellStart"/>
      <w:r w:rsidR="00C06AC8" w:rsidRPr="00CB47B9">
        <w:t>False</w:t>
      </w:r>
      <w:proofErr w:type="spellEnd"/>
      <w:r w:rsidR="00C06AC8" w:rsidRPr="00CB47B9">
        <w:t xml:space="preserve"> </w:t>
      </w:r>
      <w:proofErr w:type="spellStart"/>
      <w:r w:rsidR="00C06AC8" w:rsidRPr="00CB47B9">
        <w:t>Façade</w:t>
      </w:r>
      <w:proofErr w:type="spellEnd"/>
      <w:r w:rsidR="00C06AC8" w:rsidRPr="00CB47B9">
        <w:t>» (ένα σύστημα συλλογής πληροφοριών για τη νομιμοποίηση εσόδων από παράνομες δραστηριότητες από οντότητες υπέρ του Κρεμλίνου), συμβάλλοντας έτσι στον δημόσιο καταλογισμό και στη στρατηγική ευαισθητοποίηση σχετικά με κρατικά χρηματοδοτούμενες εχθρικές παρεμβάσεις, και χρησιμοποίησε το σύστημα έγκαιρης προειδοποίησης ως κεντρικό μηχανισμό συντονισμού για τη χειραγώγηση των πληροφοριών και τις παρεμβάσεις από το εξωτερικό στο πλαίσιο της προστασίας της ακεραιότητας των ευρωπαϊκών εκλογών· Σημειώνει τη δημοσίευση μιας εργαλειοθήκης για τον εντοπισμό χειραγώγησης των πληροφοριών και παρεμβάσεων από το εξωτερικό βάσει ταυτότητας, τη διοργάνωση της ετήσιας διάσκεψης υψηλού επιπέδου για τη χειραγώγηση των πληροφοριών και τις παρεμβάσεις από το εξωτερικό, την κατάρτιση του εγχειριδίου της Κοινής Πολιτικής Ασφάλειας και Άμυνας (</w:t>
      </w:r>
      <w:r w:rsidR="007747B3" w:rsidRPr="00CB47B9">
        <w:t>«</w:t>
      </w:r>
      <w:r w:rsidR="00C06AC8" w:rsidRPr="00CB47B9">
        <w:t>ΚΠΑΑ</w:t>
      </w:r>
      <w:r w:rsidR="007747B3" w:rsidRPr="00CB47B9">
        <w:t>»</w:t>
      </w:r>
      <w:r w:rsidR="00C06AC8" w:rsidRPr="00CB47B9">
        <w:t>) για τη χειραγώγηση των πληροφοριών και τις παρεμβάσεις από το εξωτερικό με σκοπό την ενίσχυση της ικανότητας των αποστολών ΚΠΑΑ να εντοπίζουν και να αντιμετωπίζουν τις επιθέσεις χειραγώγησης των πληροφοριών και παρεμβάσεων από το εξωτερικό, και τη συμβολή στην ενίσχυση της ανθεκτικότητας των μέσων ενημέρωσης στην εκδήλωση «</w:t>
      </w:r>
      <w:proofErr w:type="spellStart"/>
      <w:r w:rsidR="00C06AC8" w:rsidRPr="00CB47B9">
        <w:t>Connecting</w:t>
      </w:r>
      <w:proofErr w:type="spellEnd"/>
      <w:r w:rsidR="00C06AC8" w:rsidRPr="00CB47B9">
        <w:t xml:space="preserve"> </w:t>
      </w:r>
      <w:proofErr w:type="spellStart"/>
      <w:r w:rsidR="00C06AC8" w:rsidRPr="00CB47B9">
        <w:t>Media</w:t>
      </w:r>
      <w:proofErr w:type="spellEnd"/>
      <w:r w:rsidR="00C06AC8" w:rsidRPr="00CB47B9">
        <w:t xml:space="preserve"> </w:t>
      </w:r>
      <w:proofErr w:type="spellStart"/>
      <w:r w:rsidR="00C06AC8" w:rsidRPr="00CB47B9">
        <w:t>Communities</w:t>
      </w:r>
      <w:proofErr w:type="spellEnd"/>
      <w:r w:rsidR="00C06AC8" w:rsidRPr="00CB47B9">
        <w:t xml:space="preserve">» (Συνδέοντας τις κοινότητες των μέσων ενημέρωσης) στο Κόσοβο, στην οποία συμμετείχαν 130 δημοσιογράφοι και ελεγκτές γεγονότων· συγχαίρει θερμά την ΕΥΕΔ για την εκστρατεία της </w:t>
      </w:r>
      <w:proofErr w:type="spellStart"/>
      <w:r w:rsidR="00C06AC8" w:rsidRPr="00CB47B9">
        <w:t>EUvsDisinfo</w:t>
      </w:r>
      <w:proofErr w:type="spellEnd"/>
      <w:r w:rsidR="00C06AC8" w:rsidRPr="00CB47B9">
        <w:t xml:space="preserve">, η οποία ανέλυσε και αποκάλυψε τις προσπάθειες της Ρωσίας το 2024 για χειραγώγηση των πληροφοριών και παρεμβάσεις από το εξωτερικό· σημειώνει με ανησυχία ότι οι υποθέσεις παραπληροφόρησης υπέρ του Κρεμλίνου ξεπέρασαν τις 18 000 καταχωρίσεις, επιβεβαιώνοντας την κλίμακα, την επιμονή και τον στρατηγικό χαρακτήρα της απειλής που συνιστά ιδίως η Ρωσία, μαζί με άλλους εχθρικούς παράγοντες· σημειώνει ότι ορισμένες αντιπροσωπείες της Ένωσης διαθέτουν υπεύθυνο στρατηγικής επικοινωνίας που είναι επιφορτισμένος με την ανάλυση και την αντιμετώπιση της χειραγώγησης των πληροφοριών και των παρεμβάσεων από το εξωτερικό, αλλά η ικανότητα συλλογής πληροφοριών παραμένει ευθύνη των κρατών μελών· τονίζει, ως εκ τούτου, την ανάγκη για ενισχυμένο συντονισμό, διαρθρωμένη ανταλλαγή πληροφοριών και στενότερη συνεργασία με τα κράτη μέλη και αξιόπιστους εταίρους· συγχαίρει την ΕΥΕΔ για τη δημιουργία του κέντρου ανταλλαγής και ανάλυσης πληροφοριών σχετικά με τη χειραγώγηση των πληροφοριών και τις παρεμβάσεις από το εξωτερικό, με σκοπό την ενίσχυση της συνεργασίας και της κοινής επίγνωσης της κατάστασης· αναγνωρίζει ότι οι εν λόγω προσπάθειες, υποστηριζόμενες από ενισχυμένο προϋπολογισμό για ικανότητα στρατηγικής επικοινωνίας ύψους 6,12 εκατομμυρίων EUR το 2024, εξασφάλισαν μια πιο ισχυρή, συντονισμένη και ολοκληρωμένη αντίδραση σε επίπεδο Ένωσης στις απειλές χειραγώγησης των πληροφοριών και παρεμβάσεων από το εξωτερικό· ενθαρρύνει τη συνεχή ανάπτυξη και επέκταση του δικτύου των «υπερασπιστών της χειραγώγησης των πληροφοριών και των παρεμβάσεων από το εξωτερικό» μέσω πρωτοβουλιών ανάπτυξης ικανοτήτων· υπογραμμίζει ότι η σταθερή και προβλέψιμη χρηματοδότηση είναι απαραίτητη για τη διασφάλιση της συνέχειας και της αποτελεσματικότητας όσον αφορά την αντιμετώπιση των υβριδικών απειλών και της </w:t>
      </w:r>
      <w:r w:rsidR="00C06AC8" w:rsidRPr="00CB47B9">
        <w:lastRenderedPageBreak/>
        <w:t>χειραγώγησης των πληροφοριών και των παρεμβάσεων από το εξωτερικό· θεωρεί, ως εκ τούτου, ότι πρέπει να καταβληθούν προσπάθειες για την αποτελεσματική καταπολέμηση των εκστρατειών παραπληροφόρησης και των αφηγημάτων κατά της ΕΕ που χρησιμοποιούνται με στρατηγικό τρόπο από αυταρχικά και ανελεύθερα καθεστώτα τα οποία επιδιώκουν να υπονομεύσουν την εξωτερική δράση της Ένωσης σε τρίτες χώρες·</w:t>
      </w:r>
    </w:p>
    <w:p w14:paraId="0CE86767" w14:textId="17C393B2" w:rsidR="00C06AC8" w:rsidRPr="00CB47B9" w:rsidRDefault="00CB47B9" w:rsidP="00CB47B9">
      <w:pPr>
        <w:pStyle w:val="NormalHanging12a"/>
        <w:widowControl/>
      </w:pPr>
      <w:r w:rsidRPr="00CB47B9">
        <w:t>18.</w:t>
      </w:r>
      <w:r w:rsidRPr="00CB47B9">
        <w:tab/>
      </w:r>
      <w:r w:rsidR="00C06AC8" w:rsidRPr="00CB47B9">
        <w:t>τονίζει την ανάγκη εκσυγχρονισμού του δικτύου αντιπροσωπειών της Ένωσης, ιδίως με την ενίσχυση του Κέντρου Ανάλυσης Πληροφοριών της ΕΕ (EU INTCEN) και του Κέντρου Αντιμετώπισης Κρίσεων της ΕΥΕΔ· επισημαίνει ότι η ενίσχυση της αναλυτικής ικανότητας και της ετοιμότητας για την αντιμετώπιση κρίσεων απαιτεί επαρκή στελέχωση, επικαιροποιημένη ασφάλεια ΤΠ και επαρκείς διοικητικούς πόρους·</w:t>
      </w:r>
    </w:p>
    <w:p w14:paraId="4AD3946A" w14:textId="05292D82" w:rsidR="00C06AC8" w:rsidRPr="00CB47B9" w:rsidRDefault="00CB47B9" w:rsidP="00CB47B9">
      <w:pPr>
        <w:pStyle w:val="NormalHanging12a"/>
        <w:widowControl/>
      </w:pPr>
      <w:r w:rsidRPr="00CB47B9">
        <w:t>19.</w:t>
      </w:r>
      <w:r w:rsidRPr="00CB47B9">
        <w:tab/>
      </w:r>
      <w:r w:rsidR="00C06AC8" w:rsidRPr="00CB47B9">
        <w:t>υπενθυμίζει τις εκκλήσεις της στρατηγικής πυξίδας και του Κοινοβουλίου για ενίσχυση των ικανοτήτων της Ένωσης όσον αφορά τη συλλογή πληροφοριών και την επίγνωση της κατάστασης· υπογραμμίζει ότι οι αυξανόμενες ανάγκες ανάλυσης και διαχείρισης κρίσεων της Ένωσης απαιτούν την ενίσχυση των πόρων που διατίθενται στο EU INTCEN και στο Κέντρο αντιμετώπισης κρίσεων της ΕΥΕΔ, ώστε να διασφαλιστεί ότι είναι επαρκώς εξοπλισμένα για την εκπλήρωση των εντολών τους σε ένα ολοένα και πιο σύνθετο και απαιτητικό γεωπολιτικό περιβάλλον· υπογραμμίζει τον κεντρικό ρόλο του EU INTCEN στην παροχή ολοκληρωμένων αναλυτικών αξιολογήσεων από όλες τις πηγές για τη στήριξη της λήψης αποφάσεων στο πλαίσιο της κοινής εξωτερικής πολιτικής και πολιτικής ασφαλείας (ΚΕΠΠΑ) και της ΚΠΑΑ και τονίζει τις δυνατότητες του δικτύου αντιπροσωπειών της Ένωσης, με την επιφύλαξη των αρμοδιοτήτων των κρατών μελών, ως βασικού παράγοντα που συμβάλλει στην επίγνωση της κατάστασης μέσω της ενσωμάτωσης των σχετικών πληροφοριών που είναι ήδη διαθέσιμες επιτόπου· θεωρεί ότι η θέσπιση σαφέστερης και εμφανέστερης κατανομής του προϋπολογισμού για το EU INTCEN θα μπορούσε να διευκολύνει την ενίσχυση της διαφάνειας, του δημοκρατικού ελέγχου και της λογοδοσίας στο πλαίσιο της διαδικασίας απαλλαγής·</w:t>
      </w:r>
    </w:p>
    <w:p w14:paraId="31F1709D" w14:textId="1AD1FED0" w:rsidR="00C06AC8" w:rsidRPr="00CB47B9" w:rsidRDefault="00CB47B9" w:rsidP="00CB47B9">
      <w:pPr>
        <w:pStyle w:val="NormalHanging12a"/>
        <w:widowControl/>
        <w:rPr>
          <w:bCs/>
          <w:iCs/>
        </w:rPr>
      </w:pPr>
      <w:r w:rsidRPr="00CB47B9">
        <w:rPr>
          <w:bCs/>
          <w:iCs/>
        </w:rPr>
        <w:t>20.</w:t>
      </w:r>
      <w:r w:rsidRPr="00CB47B9">
        <w:rPr>
          <w:bCs/>
          <w:iCs/>
        </w:rPr>
        <w:tab/>
      </w:r>
      <w:r w:rsidR="00C06AC8" w:rsidRPr="00CB47B9">
        <w:t>χαιρετίζει τη δημιουργία της Ευρωπαϊκής Ασπίδας Δημοκρατίας και τη δημιουργία ενός Ευρωπαϊκού Κέντρου για τη Δημοκρατική Ανθεκτικότητα ως σημαντικά βήματα για την ενίσχυση της ικανότητας της Ένωσης να αντιμετωπίζει τη χειραγώγηση των πληροφοριών και τις παρεμβάσεις από το εξωτερικό· επικροτεί την πρόθεση να επεκταθεί η προτεινόμενη Ευρωπαϊκή Ασπίδα Δημοκρατίας στις υπό ένταξη χώρες, ενισχύοντας έτσι την ικανότητά τους να αντιμετωπίζουν απειλές όπως η χειραγώγηση των πληροφοριών, οι παρεμβάσεις από το εξωτερικό και οι εκστρατείες παραπληροφόρησης· καλεί την Επιτροπή και την ΕΥΕΔ να εμβαθύνουν τη συνεργασία με τις ευάλωτες χώρες, τη διεύρυνση όσον αφορά την ανθεκτικότητα των πληροφοριών, την κυβερνοασφάλεια και τις υβριδικές απειλές· καλεί την ΕΥΕΔ και τις αντιπροσωπείες της Ένωσης σε τρίτες χώρες να ενισχύσουν περαιτέρω τις αντίστοιχες ικανότητές τους στην καταπολέμηση και την αντιμετώπιση της παραπληροφόρησης και της προπαγάνδας κατά της ΚΕΠΠΑ της Ένωσης, μεταξύ άλλων μέσω επενδύσεων σε εκστρατείες επικοινωνίας για την καταπολέμηση της εξωτερικής επιρροής·</w:t>
      </w:r>
    </w:p>
    <w:p w14:paraId="167A032A" w14:textId="5CED6895" w:rsidR="00C06AC8" w:rsidRPr="00CB47B9" w:rsidRDefault="00CB47B9" w:rsidP="00CB47B9">
      <w:pPr>
        <w:pStyle w:val="NormalHanging12a"/>
        <w:widowControl/>
      </w:pPr>
      <w:r w:rsidRPr="00CB47B9">
        <w:t>21.</w:t>
      </w:r>
      <w:r w:rsidRPr="00CB47B9">
        <w:tab/>
      </w:r>
      <w:r w:rsidR="00C06AC8" w:rsidRPr="00CB47B9">
        <w:t xml:space="preserve">υπογραμμίζει την ανάγκη να διατεθούν επαρκείς πόροι στο τμήμα στρατηγικής επικοινωνίας και ανάλυσης προοπτικών της Ευρωπαϊκής Υπηρεσίας Εξωτερικής Δράσης (ΕΥΕΔ) ώστε να καταπολεμηθεί η παραπληροφόρηση που χρησιμοποιείται από αυταρχικά καθεστώτα, ιδίως το καθεστώς του Κρεμλίνου· υπενθυμίζει ότι στη Μολδαβία και την Ουκρανία, παράγοντες που συνδέονται με τη Ρωσία έχουν </w:t>
      </w:r>
      <w:r w:rsidR="00C06AC8" w:rsidRPr="00CB47B9">
        <w:lastRenderedPageBreak/>
        <w:t>εργαλειοποιήσει τη θρησκεία, συμπεριλαμβανομένης της Ορθόδοξης Εκκλησίας που υπόκειται στο Πατριαρχείο της Μόσχας, για να υπονομεύσουν τη δημοκρατική ανθεκτικότητα· τονίζει ότι είναι σημαντικό να ενισχυθεί η θρησκευτική διπλωματία της Ένωσης στο πλαίσιο της εξωτερικής της δράσης και ζητεί τη δημιουργία ειδικής γραμμής του προϋπολογισμού της ΕΥΕΔ με σκοπό τη στήριξη του διαλόγου, την προώθηση της ανοχής μεταξύ των θρησκειών και την αντιμετώπιση της κατάχρησης της θρησκείας για γεωπολιτικούς σκοπούς·</w:t>
      </w:r>
    </w:p>
    <w:p w14:paraId="61D82AB6" w14:textId="245145BF" w:rsidR="00C06AC8" w:rsidRPr="00CB47B9" w:rsidRDefault="00CB47B9" w:rsidP="00CB47B9">
      <w:pPr>
        <w:pStyle w:val="NormalHanging12a"/>
        <w:widowControl/>
        <w:rPr>
          <w:bCs/>
          <w:iCs/>
        </w:rPr>
      </w:pPr>
      <w:r w:rsidRPr="00CB47B9">
        <w:rPr>
          <w:bCs/>
          <w:iCs/>
        </w:rPr>
        <w:t>22.</w:t>
      </w:r>
      <w:r w:rsidRPr="00CB47B9">
        <w:rPr>
          <w:bCs/>
          <w:iCs/>
        </w:rPr>
        <w:tab/>
      </w:r>
      <w:r w:rsidR="00C06AC8" w:rsidRPr="00CB47B9">
        <w:t>υπενθυμίζει στην Επιτροπή την έκκληση του Κοινοβουλίου να εξοπλίσει επαρκώς το προσωπικό της ΕΥΕΔ ώστε να συμμετέχει σε διάλογο σχετικά με τη θρησκευτική ελευθερία και να θέσει το θέμα αυτό ως σημαντική προτεραιότητα της εξωτερικής της δράσης</w:t>
      </w:r>
      <w:r w:rsidR="00C06AC8" w:rsidRPr="00CB47B9">
        <w:rPr>
          <w:rStyle w:val="FootnoteReference"/>
        </w:rPr>
        <w:footnoteReference w:id="9"/>
      </w:r>
      <w:r w:rsidR="00C06AC8" w:rsidRPr="00CB47B9">
        <w:t>· καλεί την ΕΥΕΔ να ανταποκριθεί αποφασιστικά στην έκκληση αυτή και να αυξήσει τους πόρους της στο απαιτούμενο επίπεδο·</w:t>
      </w:r>
    </w:p>
    <w:p w14:paraId="3CEB7AC2" w14:textId="4AD68FA3" w:rsidR="00C06AC8" w:rsidRPr="00CB47B9" w:rsidRDefault="00CB47B9" w:rsidP="00CB47B9">
      <w:pPr>
        <w:pStyle w:val="NormalHanging12a"/>
        <w:widowControl/>
        <w:rPr>
          <w:bCs/>
          <w:iCs/>
        </w:rPr>
      </w:pPr>
      <w:r w:rsidRPr="00CB47B9">
        <w:rPr>
          <w:bCs/>
          <w:iCs/>
        </w:rPr>
        <w:t>23.</w:t>
      </w:r>
      <w:r w:rsidRPr="00CB47B9">
        <w:rPr>
          <w:bCs/>
          <w:iCs/>
        </w:rPr>
        <w:tab/>
      </w:r>
      <w:r w:rsidR="00C06AC8" w:rsidRPr="00CB47B9">
        <w:t>καλεί την Αντιπρόεδρο της Επιτροπής/Ύπατη Εκπρόσωπο να ενισχύσει τις αποστολές και τις επιχειρήσεις ΚΠΑΑ της Ένωσης με επαρκές προσωπικό, πόρους και ευέλικτες εντολές ώστε να μπορούν να ανταποκρίνονται αποτελεσματικά στις προκλήσεις ασφαλείας·</w:t>
      </w:r>
    </w:p>
    <w:p w14:paraId="30D13ADF" w14:textId="30B27F9E" w:rsidR="00C06AC8" w:rsidRPr="00CB47B9" w:rsidRDefault="00CB47B9" w:rsidP="00CB47B9">
      <w:pPr>
        <w:pStyle w:val="NormalHanging12a"/>
        <w:widowControl/>
        <w:rPr>
          <w:bCs/>
          <w:iCs/>
        </w:rPr>
      </w:pPr>
      <w:r w:rsidRPr="00CB47B9">
        <w:rPr>
          <w:bCs/>
          <w:iCs/>
        </w:rPr>
        <w:t>24.</w:t>
      </w:r>
      <w:r w:rsidRPr="00CB47B9">
        <w:rPr>
          <w:bCs/>
          <w:iCs/>
        </w:rPr>
        <w:tab/>
      </w:r>
      <w:r w:rsidR="00C06AC8" w:rsidRPr="00CB47B9">
        <w:t>τονίζει ότι είναι σημαντικό να διατηρηθεί η Αποστολή Επιτήρησης της Ευρωπαϊκής Ένωσης στη Γεωργία για την παρακολούθηση της κατάστασης στα κατεχόμενα εδάφη και τη διασφάλιση έγκαιρης προειδοποίησης και αναφοράς·</w:t>
      </w:r>
    </w:p>
    <w:p w14:paraId="65CC410B" w14:textId="263DECCF" w:rsidR="00C06AC8" w:rsidRPr="00CB47B9" w:rsidRDefault="00CB47B9" w:rsidP="00CB47B9">
      <w:pPr>
        <w:pStyle w:val="NormalHanging12a"/>
        <w:widowControl/>
        <w:rPr>
          <w:bCs/>
          <w:iCs/>
        </w:rPr>
      </w:pPr>
      <w:r w:rsidRPr="00CB47B9">
        <w:rPr>
          <w:bCs/>
          <w:iCs/>
        </w:rPr>
        <w:t>25.</w:t>
      </w:r>
      <w:r w:rsidRPr="00CB47B9">
        <w:rPr>
          <w:bCs/>
          <w:iCs/>
        </w:rPr>
        <w:tab/>
      </w:r>
      <w:r w:rsidR="00C06AC8" w:rsidRPr="00CB47B9">
        <w:t xml:space="preserve">καλεί την ΕΥΕΔ να </w:t>
      </w:r>
      <w:r w:rsidR="00680DFB" w:rsidRPr="00CB47B9">
        <w:t>περιορίσει τις πολιτικές επαφές με τις αρχές του «Γεωργιανού Ονείρου» στα απολύτως αναγκαία θέματα, διατηρώντας και ενισχύοντας παράλληλα τη συνεργασία με την κοινωνία των πολιτών, τα ανεξάρτητα μέσα ενημέρωσης και τα ακαδημαϊκά ιδρύματα της Γεωργίας· τονίζει ότι είναι σημαντικό να συνεχιστεί η προώθηση των ευρωπαϊκών κανόνων, των δημοκρατικών αξιών και της ευρωπαϊκής πορείας μεταξύ του πληθυσμού της Γεωργίας και των πολιτικών δυνάμεων που είναι προσηλωμένες στις δημοκρατικές αρχές</w:t>
      </w:r>
      <w:r w:rsidR="00C06AC8" w:rsidRPr="00CB47B9">
        <w:t>·</w:t>
      </w:r>
    </w:p>
    <w:p w14:paraId="67E84080" w14:textId="5A345F6E" w:rsidR="00C06AC8" w:rsidRPr="00CB47B9" w:rsidRDefault="00CB47B9" w:rsidP="00CB47B9">
      <w:pPr>
        <w:pStyle w:val="NormalHanging12a"/>
        <w:widowControl/>
      </w:pPr>
      <w:r w:rsidRPr="00CB47B9">
        <w:t>26.</w:t>
      </w:r>
      <w:r w:rsidRPr="00CB47B9">
        <w:tab/>
      </w:r>
      <w:r w:rsidR="00C06AC8" w:rsidRPr="00CB47B9">
        <w:t xml:space="preserve">επισημαίνει ότι το 2024 η Ένωση, με την ισχυρή στήριξη της ΕΥΕΔ, συνέχισε την ολοκληρωμένη πολιτική, στρατιωτική, χρηματοδοτική, διπλωματική, ανθρωπιστική και οικονομική στήριξή της προς την Ουκρανία ως απάντηση στον επιθετικό πόλεμο της Ρωσίας· υπογραμμίζει ότι βασικό ορόσημο ήταν η υπογραφή των από κοινού δεσμεύσεων ΕΕ–Ουκρανίας για θέματα ασφάλειας τον Ιούνιο του 2024, με την προσχώρηση στην Ένωση να προσδιορίζεται ως η απόλυτη εγγύηση ασφάλειας για την ενίσχυση της ανθεκτικότητας, της αποτροπής και της μακροπρόθεσμης σταθερότητας της Ουκρανίας· σημειώνει ότι η ΕΥΕΔ συνεργάστηκε στενά με τα κράτη μέλη, τη G7, το ΝΑΤΟ και τους διεθνείς εταίρους για τη διατήρηση της ενότητας, την επιβολή περιοριστικών μέτρων κατά της Ρωσίας, την πρόληψη της καταστρατήγησης των κυρώσεων και τη στήριξη πρωτοβουλιών λογοδοσίας, διεξάγοντας παράλληλα εκτεταμένη παγκόσμια προβολή για τη στήριξη μιας δίκαιης και διαρκούς ειρήνης σύμφωνα με τον Χάρτη των Ηνωμένων Εθνών και το διεθνές δίκαιο, συμπεριλαμβανομένων της παρακολούθησης της συνόδου κορυφής για την ειρήνη στην Ελβετία, της στήριξης της ειρηνευτικής φόρμουλας της Ουκρανίας, της συμμετοχής στη Διεθνή Πλατφόρμα της Κριμαίας, της στήριξης για τη σύσταση ειδικού δικαστηρίου για </w:t>
      </w:r>
      <w:r w:rsidR="00C06AC8" w:rsidRPr="00CB47B9">
        <w:lastRenderedPageBreak/>
        <w:t>το έγκλημα της επίθεσης και της προσχώρησης της Ένωσης τον Ιούνιο του 2024 στον Διεθνή Συνασπισμό για την επιστροφή των παιδιών της Ουκρανίας·</w:t>
      </w:r>
    </w:p>
    <w:p w14:paraId="0C4FD341" w14:textId="13771384" w:rsidR="00680DFB" w:rsidRPr="00CB47B9" w:rsidRDefault="00CB47B9" w:rsidP="00CB47B9">
      <w:pPr>
        <w:widowControl/>
        <w:spacing w:after="240"/>
        <w:ind w:left="567" w:hanging="567"/>
      </w:pPr>
      <w:r w:rsidRPr="00CB47B9">
        <w:t>27.</w:t>
      </w:r>
      <w:r w:rsidRPr="00CB47B9">
        <w:tab/>
      </w:r>
      <w:r w:rsidR="00680DFB" w:rsidRPr="00CB47B9">
        <w:t>επαναβεβαιώνει ότι η συνεχιζόμενη πολιτική, στρατιωτική, οικονομική και ανθρωπιστική στήριξη της Ένωσης προς την Ουκρανία εξακολουθεί να αποτελεί στρατηγική προτεραιότητα και ηθική υποχρέωση έναντι του παράνομου επιθετικού πολέμου της Ρωσίας· υπογραμμίζει, ωστόσο, ότι η άνευ προηγουμένου κλίμακα της βοήθειας της Ένωσης προς την Ουκρανία πρέπει να συνοδεύεται από εξίσου άνευ προηγουμένου ελέγχους, ιχνηλασιμότητα και διασφαλίσεις για την καταπολέμηση της απάτης, προκειμένου να διατηρηθεί η μακροπρόθεσμη πολιτική και δημόσια στήριξη των φορολογουμένων της Ένωσης· καλεί την ΕΥΕΔ, σε στενή συνεργασία με την OLAF, την Ευρωπαϊκή Εισαγγελία και το Ελεγκτικό Συνέδριο, να διασφαλίσει την πλήρη και σε πραγματικό χρόνο πρόσβαση σε πληροφορίες σχετικά με τη χρήση όλων των κονδυλίων της Ένωσης που εκταμιεύονται για τη στήριξη της Ουκρανίας, και να υποβάλλει ετησίως έκθεση στην αρμόδια για την απαλλαγή αρχή σχετικά με τις παρατυπίες που εντοπίζονται, τις ανακτήσεις και τα διορθωτικά μέτρα·</w:t>
      </w:r>
    </w:p>
    <w:p w14:paraId="53FF51DB" w14:textId="4AA87054" w:rsidR="00C06AC8" w:rsidRPr="00CB47B9" w:rsidRDefault="00CB47B9" w:rsidP="00CB47B9">
      <w:pPr>
        <w:widowControl/>
        <w:spacing w:after="240"/>
        <w:ind w:left="567" w:hanging="567"/>
      </w:pPr>
      <w:r w:rsidRPr="00CB47B9">
        <w:t>28.</w:t>
      </w:r>
      <w:r w:rsidRPr="00CB47B9">
        <w:tab/>
      </w:r>
      <w:r w:rsidR="00C06AC8" w:rsidRPr="00CB47B9">
        <w:t>υπενθυμίζει ότι είναι ζωτικής σημασίας να ενισχυθεί περαιτέρω η στήριξή μας στα ανθρώπινα δικαιώματα, στη δημοκρατία και την ανάπτυξη σε τρίτες χώρες μέσω του δημοσιονομικού πλαισίου του Μηχανισμού Γειτονίας, Ανάπτυξης και Διεθνούς Συνεργασίας – Παγκόσμια Ευρώπη· επισημαίνει ότι η διατήρηση ειδικής χρηματοδότησης για τα ανθρώπινα δικαιώματα και τη δημοκρατία, καθώς και η υιοθέτηση μιας προσέγγισης με βάση τα ανθρώπινα δικαιώματα και η ενσωμάτωσή τους στη στήριξη τρίτων χωρών και στις εταιρικές μας σχέσεις με αυτές, μπορούν να συμβάλουν στην ενίσχυση της θέσης της Ένωσης σε παγκόσμιο επίπεδο και στην προάσπιση των αξιών της Ένωσης· υπογραμμίζει ότι οι πόροι για την ψηφιακή διπλωματία της Ένωσης θα πρέπει να αυξηθούν περαιτέρω, δεδομένου του τρέχοντος πλαισίου ραγδαίων τεχνολογικών εξελίξεων και γεωπολιτικού ανταγωνισμού, ιδίως με σκοπό την αντιμετώπιση της ψηφιακής αυταρχικότητας, των εξωτερικών παρεμβάσεων και της στρεβλής χρήσης των αναδυόμενων τεχνολογιών· καλεί την ΕΥΕΔ να διενεργεί συστηματικά εκτιμήσεις κινδύνου σχετικά με τους περιορισμούς που τίθενται στον χώρο της κοινωνίας των πολιτών στις χώρες εταίρους και σε τρίτες χώρες, προκειμένου να διασφαλιστεί ότι η χρηματοδότηση φτάνει σε ανεξάρτητους φορείς της κοινωνίας των πολιτών· επιμένει ότι η πράσινη μετάβαση θα πρέπει να υποστηρίζονται από επαρκείς οικονομικούς και ανθρώπινους πόρους στην ΕΥΕΔ και στις αντιπροσωπείες της Ένωσης και να ενσωματώνονται με συνέπεια στους πολιτικούς διαλόγους, τις εταιρικές σχέσεις και τις εξωτερικές δαπάνες, μεταξύ άλλων σε τρίτες χώρες, διασφαλίζοντας ταυτόχρονα τη συνέχεια με την ανταγωνιστικότητα, την ενεργειακή ασφάλεια και την οικονομική ανθεκτικότητα των χωρών εταίρων·</w:t>
      </w:r>
    </w:p>
    <w:p w14:paraId="04F412DB" w14:textId="3B08EEB9" w:rsidR="00C06AC8" w:rsidRPr="00CB47B9" w:rsidRDefault="00CB47B9" w:rsidP="00CB47B9">
      <w:pPr>
        <w:pStyle w:val="NormalHanging12a"/>
        <w:widowControl/>
      </w:pPr>
      <w:r w:rsidRPr="00CB47B9">
        <w:t>29.</w:t>
      </w:r>
      <w:r w:rsidRPr="00CB47B9">
        <w:tab/>
      </w:r>
      <w:r w:rsidR="00C06AC8" w:rsidRPr="00CB47B9">
        <w:t>τονίζει την ανάγκη να ενισχύσει η ΕΥΕΔ τη διοικητική και αναλυτική της ικανότητα σε τομείς αυξανόμενης στρατηγικής σημασίας, συμπεριλαμβανομένης της Αρκτικής· ζητεί ενισχυμένη κατάρτιση του προσωπικού, βελτιωμένο διυπηρεσιακό συντονισμό και επαρκείς πόρους για τη στήριξη της εκτίμησης κινδύνου, της επίγνωσης της κατάστασης και της συνεργασίας με τους σχετικούς εταίρους· υπογραμμίζει ότι η εν λόγω ανάπτυξη ικανοτήτων πρέπει να ευθυγραμμίζεται πλήρως με τη χρηστή δημοσιονομική διαχείριση και τους υφιστάμενους δημοσιονομικούς περιορισμούς.</w:t>
      </w:r>
    </w:p>
    <w:p w14:paraId="22841C4C" w14:textId="0508BB5F" w:rsidR="00C06AC8" w:rsidRPr="00CB47B9" w:rsidRDefault="00CB47B9" w:rsidP="00CB47B9">
      <w:pPr>
        <w:widowControl/>
        <w:spacing w:after="240"/>
        <w:ind w:left="567" w:hanging="567"/>
      </w:pPr>
      <w:r w:rsidRPr="00CB47B9">
        <w:t>30.</w:t>
      </w:r>
      <w:r w:rsidRPr="00CB47B9">
        <w:tab/>
      </w:r>
      <w:r w:rsidR="00C06AC8" w:rsidRPr="00CB47B9">
        <w:t xml:space="preserve">σημειώνει με ικανοποίηση, με βάση την έκθεση παρακολούθησης, τον κεντρικό ρόλο και τις δράσεις της ΕΥΕΔ στην προώθηση της ειρήνης και της σταθερότητας στη Μέση Ανατολή, μεταξύ άλλων, ζητώντας την απρόσκοπτη πρόσβαση και τη διαρκή διανομή </w:t>
      </w:r>
      <w:r w:rsidR="00C06AC8" w:rsidRPr="00CB47B9">
        <w:lastRenderedPageBreak/>
        <w:t>ανθρωπιστικής βοήθειας σε ευρεία κλίμακα, σύμφωνα με τις διεθνείς ανθρωπιστικές αρχές· υπογραμμίζει ότι η ανθρωπιστική βοήθεια πρέπει να παρέχεται με ασφαλή, αποτελεσματικό και πολιτικά ουδέτερο τρόπο και δεν πρέπει να εκτρέπεται ή να χρησιμοποιείται καταχρηστικά από τρομοκρατικές ή ένοπλες ομάδες· σημειώνει ότι, από την έναρξη της κρίσης στη Γάζα, η Ένωση χρησιμοποίησε όλα τα διαθέσιμα ανθρωπιστικά μέσα για την ελάφρυνση των δεινών των Παλαιστινίων στη Γάζα και τη Δυτική Όχθη, παρέχοντας ανθρωπιστική βοήθεια ύψους 450 εκατομμυρίων EUR από τον Οκτώβριο του 2023, συμπεριλαμβανομένης μιας αρχικής δέσμης βοήθειας ύψους 120 εκατομμυρίων EUR για το 2025 και, στην ειδική περίπτωση της στήριξης της Ένωσης προς την Παλαιστίνη, σύμφωνα με τους υφιστάμενους μηχανισμούς της Επιτροπής «είναι ισχυροί και λειτουργούν ικανοποιητικά», όπως επιβεβαιώθηκε κατά την επανεξέταση της χρηματοδοτικής συνδρομής της Ένωσης προς την Παλαιστίνη που πραγματοποιήθηκε τον Νοέμβριο του 2023· σημειώνει περαιτέρω ότι, τον Απρίλιο του 2025, η Επιτροπή ενέκρινε ένα ολοκληρωμένο πολυετές πρόγραμμα για την Παλαιστίνη ύψους έως 1,6 δισεκατομμυρίων EUR για την περίοδο 2025-2027 με σκοπό τη στήριξη της οικονομικής ανάκαμψης, της ανθεκτικότητας και της διακυβέρνησης στη Δυτική Όχθη, την Ανατολική Ιερουσαλήμ και τη Γάζα, παρέχοντας έως και 620</w:t>
      </w:r>
      <w:r w:rsidR="007747B3" w:rsidRPr="00CB47B9">
        <w:t> </w:t>
      </w:r>
      <w:r w:rsidR="00C06AC8" w:rsidRPr="00CB47B9">
        <w:t>εκατομμύρια EUR από την εν λόγω χρηματοδότηση για την άμεση χρηματοδοτική στήριξη της Παλαιστινιακής Αρχής· σημειώνει ότι, τον Μάιο του 2024, η Επιτροπή ανακοίνωσε την έγκριση δέσμης χρηματοδοτικής συνδρομής ύψους 1 δισεκατομμυρίου EUR προκειμένου να βοηθήσει τον Λίβανο να αντιμετωπίσει τις εθνικές και περιφερειακές προκλήσεις επικροτεί, στο πλαίσιο αυτό, την άποψη που εξέφρασε η Αντιπρόεδρος/Ύπατη Εκπρόσωπος κατά την ακρόαση, σύμφωνα με την οποία, ως θεμελιώδης αρχή της νομοθεσίας, «όποιος προκαλεί ζημίες θα πρέπει επίσης να πληρώνει για αυτές»· σημειώνει ότι οποιαδήποτε ολοκληρωμένη αξιολόγηση των ζημιών εξακολουθεί να είναι πρώιμη, όσο δεν είναι δυνατή η πρόσβαση στη Γάζα· Τονίζει, ωστόσο, τη σημασία θέσπισης ισχυρών μηχανισμών παρακολούθησης και λογοδοσίας, συμπεριλαμβανομένων αξιόπιστων, ανεξάρτητων πληροφοριών, ώστε να καταστεί δυνατή η επαλήθευση των ζημιών και των αναγκών μόλις επιτραπεί η πρόσβαση· καλεί την ΕΥΕΔ να συνεχίσει να χρησιμοποιεί όλα τα διαθέσιμα μέσα, μεταξύ άλλων ανθρωπιστικά, διπλωματικά και οικονομικά εργαλεία, και, κατά περίπτωση, περιοριστικά μέτρα για την προάσπιση της βασισμένης σε κανόνες διεθνούς τάξης και την προώθηση της διαρκούς ειρήνης και ασφάλειας στην περιοχή·</w:t>
      </w:r>
    </w:p>
    <w:p w14:paraId="413E670D" w14:textId="6CAC7FE7" w:rsidR="00C06AC8" w:rsidRPr="00CB47B9" w:rsidRDefault="00CB47B9" w:rsidP="00CB47B9">
      <w:pPr>
        <w:widowControl/>
        <w:spacing w:after="240"/>
        <w:ind w:left="567" w:hanging="567"/>
      </w:pPr>
      <w:r w:rsidRPr="00CB47B9">
        <w:t>31.</w:t>
      </w:r>
      <w:r w:rsidRPr="00CB47B9">
        <w:tab/>
      </w:r>
      <w:r w:rsidR="00C06AC8" w:rsidRPr="00CB47B9">
        <w:t>υπενθυμίζει τη θέση του σχετικά με τον προϋπολογισμό της Ένωσης για το 2026 και τη σημασία της στήριξης των πολιτικών, οικονομικών και κοινωνικών μεταρρυθμίσεων στην περιοχή της Νότιας Γειτονίας, συμπεριλαμβανομένης της αντιμετώπισης των αυξανόμενων ανθρωπιστικών αναγκών, διασφαλίζοντας παράλληλα ότι δεν διατίθενται κονδύλια της Ένωσης σε δημόσιους οργανισμούς, άτομα ή ενώσεις που συνδέονται με οποιουδήποτε είδους τρομοκρατικά κινήματα και έρχονται σε άμεση αντίθεση με τις θεμελιώδεις αξίες της Ένωσης, συμπεριλαμβανομένων των ισλαμιστικών, αντισημιτικών, αντιχριστιανικών και αντιισλαμικών κινημάτων· υπενθυμίζει ότι η ΕΥΕΔ είναι υπεύθυνη για την παροχή πολιτικής καθοδήγησης και την άσκηση στρατηγικής εποπτείας σχετικά με την εξωτερική δράση της Ένωσης, ενώ η Επιτροπή διατηρεί την πλήρη ευθύνη για τη διαχείριση, τη σύναψη συμβάσεων και την εκταμίευση των δημοσιονομικών πόρων της Ένωσης που παρέχονται σε εταίρους υλοποίησης και διεθνείς οργανισμούς· υπενθυμίζει, στο πλαίσιο αυτό, ότι υπήρξαν κατηγορίες ότι 19 από τους 13 000 υπαλλήλους της UNRWA στη Γάζα εμπλέκονταν στις αποτρόπαιες τρομοκρατικές επιθέσεις της 7ης Οκτωβρίου 2023 που διέπραξε η Χαμάς κατά του Ισραήλ·</w:t>
      </w:r>
      <w:r w:rsidR="00C06AC8" w:rsidRPr="00CB47B9">
        <w:rPr>
          <w:color w:val="1C1C1C"/>
        </w:rPr>
        <w:t xml:space="preserve"> </w:t>
      </w:r>
      <w:r w:rsidR="00C06AC8" w:rsidRPr="00CB47B9">
        <w:t xml:space="preserve">αναγνωρίζει την απάντηση των Ηνωμένων Εθνών στους εν </w:t>
      </w:r>
      <w:r w:rsidR="00C06AC8" w:rsidRPr="00CB47B9">
        <w:lastRenderedPageBreak/>
        <w:t xml:space="preserve">λόγω ισχυρισμούς, συμπεριλαμβανομένων των ερευνών που ξεκίνησε το Γραφείο Υπηρεσιών Εσωτερικής Εποπτείας των Ηνωμένων Εθνών (OIOS), μετά τις οποίες 9 μέλη του προσωπικού απολύθηκαν επισήμως προς το συμφέρον του Οργανισμού και των συστάσεων που εκδόθηκαν μέσω της έκθεσης </w:t>
      </w:r>
      <w:proofErr w:type="spellStart"/>
      <w:r w:rsidR="00C06AC8" w:rsidRPr="00CB47B9">
        <w:t>Colonna</w:t>
      </w:r>
      <w:proofErr w:type="spellEnd"/>
      <w:r w:rsidR="00C06AC8" w:rsidRPr="00CB47B9">
        <w:t xml:space="preserve">· σημειώνει ότι η Επιτροπή συνεργάζεται με το Γραφείο Αρωγής και Έργων των Ηνωμένων Εθνών για τους Παλαιστίνιους Πρόσφυγες στην Εγγύς Ανατολή (UNRWA) για την ενίσχυση των διαδικασιών ουδετερότητας και των συστημάτων ελέγχου του οργανισμού, σύμφωνα με τα πορίσματα των ερευνών του Γραφείου Αρωγής και Έργων των Ηνωμένων Εθνών (OIOS), και για την παρακολούθηση της εφαρμογής του σχεδίου δράσης που παρουσίασε το UNRWA· σημειώνει την εκτίμηση της Επιτροπής ότι η UNRWA παραμένει προσηλωμένη στην εφαρμογή των </w:t>
      </w:r>
      <w:proofErr w:type="spellStart"/>
      <w:r w:rsidR="00C06AC8" w:rsidRPr="00CB47B9">
        <w:t>συμφωνηθείσων</w:t>
      </w:r>
      <w:proofErr w:type="spellEnd"/>
      <w:r w:rsidR="00C06AC8" w:rsidRPr="00CB47B9">
        <w:t xml:space="preserve"> συστάσεων, καθώς και στην εκπλήρωση όλων των προϋποθέσεων που συμφωνήθηκαν με την Ένωση για τη συνέχιση της χρηματοδότησης το 2024</w:t>
      </w:r>
      <w:bookmarkStart w:id="9" w:name="_Hlk216258516"/>
      <w:r w:rsidR="00C06AC8" w:rsidRPr="00CB47B9">
        <w:t>· ενθαρρύνει, στο πλαίσιο αυτό, τη συνεχή δέσμευση και τη στενή παρακολούθηση της Επιτροπής για τη διασφάλιση</w:t>
      </w:r>
      <w:bookmarkEnd w:id="9"/>
      <w:r w:rsidR="00C06AC8" w:rsidRPr="00CB47B9">
        <w:t xml:space="preserve"> χρηματοδότησης με ισχυρές εγγυήσεις για την ουδετερότητα, τη διαφάνεια και τη λογοδοσία· σημειώνει ότι η Ένωση δεν χρηματοδοτεί τα παλαιστινιακά σχολικά βιβλία και ότι αυτά δεν είναι στην ευθύνη της UNRWA, η οποία, ωστόσο, επανεξετάζει όλα τα </w:t>
      </w:r>
      <w:proofErr w:type="spellStart"/>
      <w:r w:rsidR="00C06AC8" w:rsidRPr="00CB47B9">
        <w:t>εκδοθέντα</w:t>
      </w:r>
      <w:proofErr w:type="spellEnd"/>
      <w:r w:rsidR="00C06AC8" w:rsidRPr="00CB47B9">
        <w:t xml:space="preserve"> σχολικά βιβλία ώστε να αντιμετωπιστεί τυχόν προβληματικό περιεχόμενο·</w:t>
      </w:r>
      <w:bookmarkStart w:id="10" w:name="_Hlk216447567"/>
      <w:r w:rsidR="00C06AC8" w:rsidRPr="00CB47B9">
        <w:t xml:space="preserve"> υπενθυμίζει την ανάγκη να αφαιρέσει η Παλαιστινιακή Αρχή όλο το εκπαιδευτικό υλικό και περιεχόμενο που δεν τηρεί τα πρότυπα της UNESCO, ιδίως αυτό που ενθαρρύνει τον αντισημιτισμό και υποκινεί βία, στα οποία δεν θα πρέπει να εκτίθενται τα παιδιά στην Παλαιστίνη·</w:t>
      </w:r>
      <w:bookmarkEnd w:id="10"/>
      <w:r w:rsidR="00C06AC8" w:rsidRPr="00CB47B9">
        <w:t xml:space="preserve"> υπενθυμίζει ότι δεν πρέπει να διατίθενται κονδύλια της Ένωσης, άμεσα ή έμμεσα, στο προαναφερθέν εκπαιδευτικό υλικό· τονίζει ότι η χρηματοδοτική στήριξη από την Ένωση προς την Παλαιστινιακή Αρχή στον τομέα της εκπαίδευσης θα πρέπει να παρέχεται υπό την προϋπόθεση ότι το περιεχόμενο των σχολικών βιβλίων ευθυγραμμίζεται με τα πρότυπα της UNESCO, σύμφωνα με την έκθεση του Ινστιτούτου </w:t>
      </w:r>
      <w:proofErr w:type="spellStart"/>
      <w:r w:rsidR="00C06AC8" w:rsidRPr="00CB47B9">
        <w:t>Georg</w:t>
      </w:r>
      <w:proofErr w:type="spellEnd"/>
      <w:r w:rsidR="00C06AC8" w:rsidRPr="00CB47B9">
        <w:t xml:space="preserve"> </w:t>
      </w:r>
      <w:proofErr w:type="spellStart"/>
      <w:r w:rsidR="00C06AC8" w:rsidRPr="00CB47B9">
        <w:t>Eckert</w:t>
      </w:r>
      <w:proofErr w:type="spellEnd"/>
      <w:r w:rsidR="00C06AC8" w:rsidRPr="00CB47B9">
        <w:t>, την οποία χρηματοδότησε η Ένωση και η οποία αποκάλυψε μια περίπλοκη εικόνα όσον αφορά τα σχολικά βιβλία·</w:t>
      </w:r>
    </w:p>
    <w:p w14:paraId="12043697" w14:textId="71BFA953" w:rsidR="00C06AC8" w:rsidRPr="00CB47B9" w:rsidRDefault="00CB47B9" w:rsidP="00CB47B9">
      <w:pPr>
        <w:widowControl/>
        <w:spacing w:after="240"/>
        <w:ind w:left="567" w:hanging="567"/>
      </w:pPr>
      <w:r w:rsidRPr="00CB47B9">
        <w:t>32.</w:t>
      </w:r>
      <w:r w:rsidRPr="00CB47B9">
        <w:tab/>
      </w:r>
      <w:r w:rsidR="00C06AC8" w:rsidRPr="00CB47B9">
        <w:t xml:space="preserve">εκφράζει τη βαθιά ανησυχία του για την έκθεση περί εικαζόμενων εσωτερικών εγγράφων της Χαμάς που χρονολογούνται από το 2018 έως το 2022, τα οποία εντοπίστηκαν αρχικά από τις Ισραηλινές Ένοπλες Δυνάμεις (IDF) στη Λωρίδα της Γάζας και στη συνέχεια αποχαρακτηρίστηκαν και διαδόθηκαν μέσω της οργάνωσης NGO </w:t>
      </w:r>
      <w:proofErr w:type="spellStart"/>
      <w:r w:rsidR="00C06AC8" w:rsidRPr="00CB47B9">
        <w:t>Monitor</w:t>
      </w:r>
      <w:proofErr w:type="spellEnd"/>
      <w:r w:rsidR="00C06AC8" w:rsidRPr="00CB47B9">
        <w:t>, και τα οποία φέρεται να υποδεικνύουν απόπειρες διείσδυσης της Χαμάς και παρακολούθησης μέσω των αποκαλούμενων «εγγυητών» διεθνών ΜΚΟ, μεταξύ άλλων στο πλαίσιο χρηματοδοτούμενων από την ΕΕ ανθρωπιστικών έργων στη Λωρίδα της Γάζας· υπενθυμίζει ότι, κατά ένα μεγάλο μέρος ως απάντηση στα αιτήματα του Κοινοβουλίου, οι μηχανισμοί επαλήθευσης έχουν ενισχυθεί περαιτέρω από το 2023, ώστε να περιλαμβάνουν ειδικούς ελέγχους, αναλύσεις κινδύνου και πρόσθετη εξωτερική παρακολούθηση· τονίζει ότι κάθε ισχυρισμός σχετικά με οποιαδήποτε κατάχρηση κονδυλίων των φορολογουμένων της Ένωσης θα πρέπει να ελέγχεται προσεκτικά και παροτρύνει την Επιτροπή να διερευνά όλες τις καταγγελίες για κάθε είδους αθέμιτη διείσδυση και επιρροή στο πλαίσιο χρηματοδοτούμενων από την Ένωση ανθρωπιστικών έργων και να αναστέλλει ή να ανακτά τη χρηματοδότηση της Ένωσης όταν διαπιστώνονται παραβιάσεις· υπογραμμίζει ότι κάθε ισχυρισμός περί κατάχρησης κονδυλίων της Ένωσης που εκτρέπονται έμμεσα σε τρομοκρατικές οργανώσεις υπονομεύει την ακεραιότητα της βοήθειας της Ένωσης· προειδοποιεί ότι, σε ένοπλες συγκρούσεις, η παραπληροφόρηση και ο πληροφοριακός πόλεμος που επιδιώκονται για στρατηγικούς σκοπούς αποτελούν κοινή πρακτική·</w:t>
      </w:r>
    </w:p>
    <w:p w14:paraId="46AF02AA" w14:textId="67C77432" w:rsidR="00C06AC8" w:rsidRPr="00CB47B9" w:rsidRDefault="00CB47B9" w:rsidP="00CB47B9">
      <w:pPr>
        <w:widowControl/>
        <w:spacing w:after="240"/>
        <w:ind w:left="567" w:hanging="567"/>
      </w:pPr>
      <w:r w:rsidRPr="00CB47B9">
        <w:lastRenderedPageBreak/>
        <w:t>33.</w:t>
      </w:r>
      <w:r w:rsidRPr="00CB47B9">
        <w:tab/>
      </w:r>
      <w:r w:rsidR="00C06AC8" w:rsidRPr="00CB47B9">
        <w:t xml:space="preserve">υπενθυμίζει ότι εκατομμύρια άνθρωποι παγκοσμίως αντιμετωπίζουν διακρίσεις, διώξεις ή βία λόγω της θρησκείας ή των πεποιθήσεών τους· </w:t>
      </w:r>
      <w:r w:rsidR="00FF313B" w:rsidRPr="00CB47B9">
        <w:t>ε</w:t>
      </w:r>
      <w:r w:rsidR="00C06AC8" w:rsidRPr="00CB47B9">
        <w:t>νθαρρύνει την Επιτροπή και την ΕΥΕΔ, στο πλαίσιο των αντίστοιχων αρμοδιοτήτων τους, να συνεχίσουν να διασφαλίζουν ισορροπημένη πολιτική προσοχή, συντονισμό και διαφάνεια για την αντιμετώπιση όλων των μορφών θρησκευτικού μίσους και μισαλλοδοξίας, συμπεριλαμβανομένου του αντιχριστιανικού, αντιισλαμικού και αντισημιτικού μίσους, και να ενημερώνουν τακτικά το Κοινοβούλιο σχετικά με τα συναφή μέτρα που λαμβάνονται και τους πόρους που κινητοποιούνται προς αυτή την κατεύθυνση·</w:t>
      </w:r>
    </w:p>
    <w:p w14:paraId="43061C5C" w14:textId="7E9622F4" w:rsidR="00C06AC8" w:rsidRPr="00CB47B9" w:rsidRDefault="00CB47B9" w:rsidP="00CB47B9">
      <w:pPr>
        <w:pStyle w:val="NormalHanging12a"/>
        <w:widowControl/>
      </w:pPr>
      <w:r w:rsidRPr="00CB47B9">
        <w:t>34.</w:t>
      </w:r>
      <w:r w:rsidRPr="00CB47B9">
        <w:tab/>
      </w:r>
      <w:r w:rsidR="00C06AC8" w:rsidRPr="00CB47B9">
        <w:t>σημειώνει, με βάση την έκθεση παρακολούθησης, τις συνεχιζόμενες προσπάθειες της ΕΥΕΔ να στηρίξει τον διάλογο σχετικά με την πολιτική, την οικονομική και κοινωνική κατάσταση, το κράτος δικαίου και την καταπολέμηση της διαφθοράς, καθώς και να ενισχύσει τη δημοκρατία και τα ανθρώπινα δικαιώματα σε διάφορες χώρες· επικροτεί το γεγονός ότι η ΕΥΕΔ και οι αντιπροσωπείες της Ένωσης εξακολουθούν να συνεργάζονται με εκπροσώπους των εθνικών διοικήσεων και των θεσμικών οργάνων, με οργανώσεις της κοινωνίας των πολιτών, με ενδιαφερόμενα μέρη που ειδικεύονται στη δημοκρατική διακυβέρνηση, στα ανθρώπινα δικαιώματα, στα μέσα ενημέρωσης, με τους κοινωνικούς εταίρους και τους διεθνείς και τους περιφερειακούς οργανισμούς· σημειώνει ότι η στήριξη των υπερασπιστών των ανθρωπίνων δικαιωμάτων και των υπερασπιστών των γυναικών, συμπεριλαμβανομένων των αυτοχθόνων, συγκαταλέγεται στις βασικές προτεραιότητες της ΕΥΕΔ σύμφωνα με το σχέδιο δράσης της Ένωσης για τα ανθρώπινα δικαιώματα και τη δημοκρατία 2020-2027, και προωθείται μέσω μιας σειράς δραστηριοτήτων, όπως οι πολιτικοί διάλογοι, η υποβολή πολιτικών εκθέσεων, η δημόσια διπλωματία, τα πολυμερή φόρουμ και οι ετήσιες εκθέσεις σχετικά με την εφαρμογή των ανθρωπίνων δικαιωμάτων· καλεί την ΕΥΕΔ και τις αντιπροσωπείες της Ένωσης να ενισχύσουν περαιτέρω το έργο τους όσον αφορά την παροχή βοήθειας και υλικοτεχνικής και τεχνολογικής υποστήριξης στους υπερασπιστές των ανθρωπίνων δικαιωμάτων, καθώς και τη δέσμευση για συνεργασία μαζί τους, σύμφωνα με τις κατευθυντήριες γραμμές της ΕΕ για τους υπερασπιστές των ανθρωπίνων δικαιωμάτων, με ιδιαίτερη προσοχή στις γυναίκες·</w:t>
      </w:r>
    </w:p>
    <w:p w14:paraId="5C7ABEC6" w14:textId="6B322A85" w:rsidR="00C06AC8" w:rsidRPr="00CB47B9" w:rsidRDefault="00CB47B9" w:rsidP="00CB47B9">
      <w:pPr>
        <w:pStyle w:val="NormalHanging12a"/>
        <w:widowControl/>
      </w:pPr>
      <w:r w:rsidRPr="00CB47B9">
        <w:t>35.</w:t>
      </w:r>
      <w:r w:rsidRPr="00CB47B9">
        <w:tab/>
      </w:r>
      <w:r w:rsidR="00C06AC8" w:rsidRPr="00CB47B9">
        <w:t>σημειώνει, με βάση το ερωτηματολόγιο, ότι η υπηρεσία εταιρικής διακυβέρνησης, που συστάθηκε το 2023, διαδραματίζει σημαντικό ρόλο στη βελτίωση της διαχείρισης της ΕΥΕΔ στηρίζοντας την κατάρτιση των ετήσιων σχεδίων διαχείρισης και των ετήσιων εκθέσεων δραστηριοτήτων της ΕΥΕΔ, ενισχύοντας τις διαδικασίες διαχείρισης κινδύνων, αντιμετωπίζοντας συστημικά εταιρικά ζητήματα στις αντιπροσωπείες της Ένωσης και εφαρμόζοντας την έννοια της «μίας αντιπροσωπείας», η οποία στοχεύει στη μείωση του κατακερματισμού της διαχείρισης και της υποβολής εκθέσεων και στην καταγραφή των επαναλαμβανόμενων ζητημάτων και των βέλτιστων πρακτικών τόσο στην έδρα όσο και στην αντιπροσωπεία της Ένωσης· καλεί την ΕΥΕΔ να αντιμετωπίσει άμεσα τις αδυναμίες των εσωτερικών ελέγχων και της διαχείρισης εγγράφων που επισημάνθηκαν από το Ελεγκτικό Συνέδριο, προκειμένου να βελτιωθεί η ακεραιότητα της διαχείρισης των πληροφοριών και να διασφαλιστεί η συνεπής υποβολή εκθέσεων σε όλες τις αντιπροσωπείες της Ένωσης·</w:t>
      </w:r>
    </w:p>
    <w:p w14:paraId="6BF5AB76" w14:textId="2D608745" w:rsidR="00C06AC8" w:rsidRPr="00CB47B9" w:rsidRDefault="00CB47B9" w:rsidP="00CB47B9">
      <w:pPr>
        <w:pStyle w:val="NormalHanging12a"/>
        <w:widowControl/>
      </w:pPr>
      <w:r w:rsidRPr="00CB47B9">
        <w:t>36.</w:t>
      </w:r>
      <w:r w:rsidRPr="00CB47B9">
        <w:tab/>
      </w:r>
      <w:r w:rsidR="00C06AC8" w:rsidRPr="00CB47B9">
        <w:t xml:space="preserve">σημειώνει με ικανοποίηση, με βάση την έκθεση παρακολούθησης και το ερωτηματολόγιο, τις προσπάθειες που καταβάλλει η ΕΥΕΔ για να πετύχει μια φεμινιστική διπλωματία, αν και τα κράτη μέλη διαδραματίζουν τον κύριο ρόλο στον καθορισμό των κατευθυντήριων γραμμών της Ένωσης για τις εξωτερικές δράσεις· συγκεκριμένα, επικροτεί τη δράση που αναλήφθηκε για την επιτάχυνση της υλοποίησης των δεσμεύσεων της Ένωσης στο πλαίσιο του σχεδίου δράσης για την ισότητα των </w:t>
      </w:r>
      <w:r w:rsidR="00C06AC8" w:rsidRPr="00CB47B9">
        <w:lastRenderedPageBreak/>
        <w:t>φύλων (GAP) III· σημειώνει ότι η πρέσβειρα της Ένωσης για θέματα φύλου και διαφορετικότητας συμμετείχε σε προσπάθειες με στόχο την ενσωμάτωση της διάστασης του φύλου στους διαλόγους για τα ανθρώπινα δικαιώματα και σε βασικές πολυμερείς δηλώσεις και ψηφίσματα· σημειώνει περαιτέρω ότι η ηγεσία που λαμβάνει υπόψη τη διάσταση του φύλου συνέχισε να αποτελεί βασικό στοιχείο για τη θεσμοθέτηση της ενσωμάτωσης της διάστασης του φύλου· επικροτεί, στο πλαίσιο αυτό, τον ορισμό σημείων επαφής για θέματα φύλου τον Νοέμβριο του 2024· σημειώνει ότι το GAP III θα λήξει το 2027, και προτρέπει την ΕΥΕΔ να αναπτύξει στο πλαίσιο αυτό ένα πιο φιλόδοξο GAP IV, έτοιμο προς εφαρμογή από το 2028, που να διασφαλίζει ότι τα δικαιώματα και η χειραφέτηση των γυναικών συνδέονται στενότερα με την εξωτερική πολιτική και πολιτική ασφάλειας της Ένωσης·</w:t>
      </w:r>
    </w:p>
    <w:p w14:paraId="4ABFBF88" w14:textId="79542D73" w:rsidR="00C06AC8" w:rsidRPr="00CB47B9" w:rsidRDefault="00CB47B9" w:rsidP="00CB47B9">
      <w:pPr>
        <w:pStyle w:val="NormalHanging12a"/>
        <w:widowControl/>
      </w:pPr>
      <w:r w:rsidRPr="00CB47B9">
        <w:t>37.</w:t>
      </w:r>
      <w:r w:rsidRPr="00CB47B9">
        <w:tab/>
      </w:r>
      <w:r w:rsidR="00C06AC8" w:rsidRPr="00CB47B9">
        <w:t>υπογραμμίζει ότι η Ένωση πρέπει να αυξήσει τη χρηματοδότηση για την ενίσχυση μιας ειδικής γραμμής του προϋπολογισμού στο πλαίσιο των δράσεων εξωτερικής πολιτικής της Ένωσης ειδικά για την ισότητα των φύλων και το θεματολόγιο για τις γυναίκες, την ειρήνη και την ασφάλεια (ΓΕΑ), προκειμένου να διασφαλιστεί συνεπής χρηματοδότηση για πρωτοβουλίες οι οποίες προωθούν την ηγεσία που λαμβάνει υπόψη τη διάσταση του φύλου, προστατεύουν τα δικαιώματα των γυναικών και καταπολεμούν τη σεξουαλική και έμφυλη βία σε συγκρουσιακές και μετασυγκρουσιακές συνθήκες· τονίζει ότι η χρηματοδότηση αυτή είναι απαραίτητη για τη στήριξη των τοπικών οργανώσεων της κοινωνίας των πολιτών, την παροχή στήριξης με επίκεντρο τους επιζώντες και την ενσωμάτωση της διάστασης του φύλου στις διπλωματικές προσπάθειες της Ένωσης, καθώς και στις προσπάθειές της για ασφάλεια·</w:t>
      </w:r>
    </w:p>
    <w:p w14:paraId="3923B360" w14:textId="074EE92E" w:rsidR="00C06AC8" w:rsidRPr="00CB47B9" w:rsidRDefault="00CB47B9" w:rsidP="00CB47B9">
      <w:pPr>
        <w:pStyle w:val="NormalHanging12a"/>
        <w:widowControl/>
      </w:pPr>
      <w:r w:rsidRPr="00CB47B9">
        <w:t>38.</w:t>
      </w:r>
      <w:r w:rsidRPr="00CB47B9">
        <w:tab/>
      </w:r>
      <w:r w:rsidR="00C06AC8" w:rsidRPr="00CB47B9">
        <w:t>θεωρεί ότι η αποστολή παρατήρησης εκλογών αποτελεί πρακτικό και αποτελεσματικό μέσο εξωτερικής πολιτικής το οποίο παραμένει στο επίκεντρο των ενωσιακών πολιτικών και στρατηγικών για τη στήριξη της δημοκρατίας· σημειώνει, με βάση την έκθεση παρακολούθησης, ότι η ΕΥΕΔ δεν έχει καμία προοπτική να επεκτείνει το έργο παρατήρησης στις υποψήφιες και τις γειτονικές χώρες, διότι οι αποστολές παρατήρησης καλύπτουν επαρκώς τις εν λόγω χώρες υπό την καθοδήγηση του Γραφείου Δημοκρατικών Θεσμών και Ανθρωπίνων Δικαιωμάτων του ΟΑΣΕ, το οποίο χρησιμοποίησε μια μεθοδολογία παρόμοια με εκείνη της Ένωσης και συχνά αντλεί εμπειρογνώμονες από την ίδια δεξαμενή επαγγελματιών· επαναλαμβάνει, ωστόσο, την έκκλησή του προς την Ένωση να εξασφαλίσει επαρκείς πόρους, καθώς και εμπειρογνωμοσύνη σχετικά με την ακεραιότητα της ενημέρωσης στο διαδίκτυο και τους κινδύνους παρεμβάσεων στις μεθοδολογίες για την παρατήρηση των εκλογών για τις αποστολές παρατήρησης εκλογών της Ένωσης·</w:t>
      </w:r>
    </w:p>
    <w:p w14:paraId="29A54417" w14:textId="7C55EC15" w:rsidR="00C06AC8" w:rsidRPr="00CB47B9" w:rsidRDefault="00CB47B9" w:rsidP="00CB47B9">
      <w:pPr>
        <w:pStyle w:val="NormalHanging12a"/>
        <w:widowControl/>
      </w:pPr>
      <w:r w:rsidRPr="00CB47B9">
        <w:t>39.</w:t>
      </w:r>
      <w:r w:rsidRPr="00CB47B9">
        <w:tab/>
      </w:r>
      <w:r w:rsidR="00C06AC8" w:rsidRPr="00CB47B9">
        <w:t>σημειώνει με ικανοποίηση, με βάση την έκθεση παρακολούθησης, την προσπάθεια της Ένωσης να προστατεύσει τα παιδιά σε περιοχές που πλήττονται από συγκρούσεις μέσω των αντιπροσωπειών της το 2024· εκφράζει την ικανοποίησή του για την επικαιροποίηση των κατευθυντήριων γραμμών της Ένωσης για τα παιδιά και τις ένοπλες συγκρούσεις το 2024, οι οποίες παρέχουν ένα πλαίσιο για την ενίσχυση της προστασίας και την πρόληψη σοβαρών παραβιάσεων εις βάρος των παιδιών σε καιρό πολέμου·</w:t>
      </w:r>
    </w:p>
    <w:p w14:paraId="4431F481" w14:textId="14F7AA88" w:rsidR="00C06AC8" w:rsidRPr="00CB47B9" w:rsidRDefault="00CB47B9" w:rsidP="00CB47B9">
      <w:pPr>
        <w:pStyle w:val="NormalHanging12a"/>
        <w:widowControl/>
      </w:pPr>
      <w:r w:rsidRPr="00CB47B9">
        <w:t>40.</w:t>
      </w:r>
      <w:r w:rsidRPr="00CB47B9">
        <w:tab/>
      </w:r>
      <w:r w:rsidR="00C06AC8" w:rsidRPr="00CB47B9">
        <w:t xml:space="preserve">υπενθυμίζει ότι το 2021 το Κοινοβούλιο πρότεινε ένα δοκιμαστικό σχέδιο με τίτλο «Προς τη δημιουργία της Ευρωπαϊκής Διπλωματικής Ακαδημίας» με στόχο τη δημιουργία μιας κρίσιμης μάζας Ευρωπαίων διπλωματών εκπαιδευμένων στις εξωτερικές σχέσεις και στην ασφάλεια της Ένωσης και μιας ευρωπαϊκής διπλωματικής νοοτροπίας που στοχεύει στην ενίσχυση του ρόλου της Ένωσης ως αποτελεσματικού </w:t>
      </w:r>
      <w:r w:rsidR="00C06AC8" w:rsidRPr="00CB47B9">
        <w:lastRenderedPageBreak/>
        <w:t>παράγοντα εξωτερικής πολιτικής· σημειώνει ότι στην πρώτη φάση του εν λόγω δοκιμαστικού σχεδίου, το οποίο κάλυψε το ακαδημαϊκό έτος 2022-2023, συμμετείχαν 42 νέοι διπλωμάτες, ενώ στη δεύτερη φάση, η οποία κάλυψε το ακαδημαϊκό έτος 2023-2024, συμμετείχαν 50 άτομα· σημειώνει ότι η δεύτερη φάση υλοποιήθηκε μέσω δύο πανομοιότυπων τετράμηνων κύκλων μαθημάτων, ακολουθούμενοι από αποστολή κατάρτισης διάρκειας ενός μήνα στην έδρα της ΕΥΕΔ στις Βρυξέλλες· σημειώνει ότι τα μαθήματα και τα προγράμματα κατάρτισης υλοποιήθηκαν από ακαδημαϊκή κοινοπραξία που συστάθηκε από το Κολέγιο της Ευρώπης στο Βέλγιο (Μπριζ) και την Πολωνία (</w:t>
      </w:r>
      <w:proofErr w:type="spellStart"/>
      <w:r w:rsidR="00C06AC8" w:rsidRPr="00CB47B9">
        <w:t>Νατολίν</w:t>
      </w:r>
      <w:proofErr w:type="spellEnd"/>
      <w:r w:rsidR="00C06AC8" w:rsidRPr="00CB47B9">
        <w:t>)· σημειώνει, με βάση το ερωτηματολόγιο, ότι, σύμφωνα με τη σύμβαση παροχής υπηρεσιών EEAS/2022/OP/0168-2023, το Κολέγιο της Ευρώπης εκπόνησε τελική έκθεση που περιέχει την αξιολόγηση της δεύτερης φάσης του δοκιμαστικού σχεδίου· καλεί την ΕΥΕΔ να στείλει την εν λόγω έκθεση στην αρμόδια για την απαλλαγή αρχή· σημειώνει, με βάση την έκθεση της ΕΥΕΔ σχετικά με τους ετήσιους λογαριασμούς για τα έτη 2022, 2023 και 2024, όσον αφορά την εκτέλεση του προϋπολογισμού για τις δοκιμαστικές φάσεις της Διπλωματικής Ακαδημίας της ΕΕ, ότι η ΕΥΕΔ κατέβαλε 831 000 EUR το 2022, 120 000 EUR το 2023 και 862 000 EUR το 2024· ζητεί από την ΕΥΕΔ να παρέχει στο Κοινοβούλιο, στο πλαίσιο της διαδικασίας απαλλαγής, αντίγραφα όλων των εγγράφων που αφορούν τις διαδικασίες σύναψης των συμβάσεων που εκτελέστηκαν, τις συμβάσεις που υπογράφηκαν και τις πληρωμές που πραγματοποιήθηκαν σε σχέση με την πρώτη και τη δεύτερη φάση του δοκιμαστικού σχεδίου της Διπλωματικής Ακαδημίας της ΕΕ·</w:t>
      </w:r>
    </w:p>
    <w:p w14:paraId="4B7DE403" w14:textId="36CA9660" w:rsidR="00C06AC8" w:rsidRPr="00CB47B9" w:rsidRDefault="00CB47B9" w:rsidP="00CB47B9">
      <w:pPr>
        <w:pStyle w:val="NormalHanging12a"/>
        <w:widowControl/>
      </w:pPr>
      <w:r w:rsidRPr="00CB47B9">
        <w:t>41.</w:t>
      </w:r>
      <w:r w:rsidRPr="00CB47B9">
        <w:tab/>
      </w:r>
      <w:r w:rsidR="00C06AC8" w:rsidRPr="00CB47B9">
        <w:t>σημειώνει περαιτέρω ότι, στις 21 Μαΐου 2024, με βάση την πείρα και τη δομή που αναπτύχθηκαν κατά τις δοκιμαστικές φάσεις, το Συμβούλιο εξέδωσε απόφαση για τη δημιουργία μιας ολοκληρωμένης Διπλωματικής Ακαδημίας της ΕΕ για τέσσερα ακαδημαϊκά έτη, ξεκινώντας από το 2024-2025, στην οποία τα μαθήματα και οι δραστηριότητες κατάρτισης έχουν ανατεθεί στο Κολέγιο της Ευρώπης, ενώ η Διπλωματική Ακαδημία της ΕΕ θα λειτουργεί υπό την ευθύνη της Αντιπροέδρου/Ύπατης Εκπροσώπου, η οποία θα λαμβάνει καθοδήγηση από διευθύνουσα επιτροπή αποτελούμενη από εκπρόσωπο που ορίζεται από κάθε κράτος μέλος, καθώς και από εκπρόσωπο του Κοινοβουλίου, του Συμβουλίου και της Επιτροπής· σημειώνει, με βάση την εν λόγω απόφαση, ότι προβλέπεται ποσό ύψους 1,72 εκατομμυρίων EUR που θα καλύψει την περίοδο από την 1η Ιουλίου 2024 έως τις 30 Ιουνίου 2025, ενώ η διαχείριση των δαπανών σε σχέση με την Ευρωπαϊκή Διπλωματική Ακαδημία εποπτεύεται από την Επιτροπή μέσω της Υπηρεσίας Μέσων Εξωτερικής Πολιτικής·</w:t>
      </w:r>
    </w:p>
    <w:p w14:paraId="37A11730" w14:textId="4539003A" w:rsidR="00C06AC8" w:rsidRPr="00CB47B9" w:rsidRDefault="00CB47B9" w:rsidP="00CB47B9">
      <w:pPr>
        <w:pStyle w:val="NormalHanging12a"/>
        <w:widowControl/>
      </w:pPr>
      <w:r w:rsidRPr="00CB47B9">
        <w:t>42.</w:t>
      </w:r>
      <w:r w:rsidRPr="00CB47B9">
        <w:tab/>
      </w:r>
      <w:r w:rsidR="00C06AC8" w:rsidRPr="00CB47B9">
        <w:t>σημειώνει ότι, μετά τη δημιουργία της υπηρεσίας εταιρικής διακυβέρνησης το 2023, η ΕΥΕΔ επικαιροποίησε το πλαίσιο εσωτερικού ελέγχου της το 2024, ώστε να αντικατοπτρίζει τον ρόλο του επικεφαλής διακυβέρνησης και να θεσπίσει μηχανισμό παρακολούθησης των εσωτερικών ελέγχων· σημειώνει, με βάση το ερωτηματολόγιο, ότι το πλαίσιο εσωτερικού ελέγχου της ΕΥΕΔ ευθυγραμμίζεται με εκείνο της Επιτροπής· σημειώνει ότι, εκτός από την τυπική ετήσια αξιολόγηση του συστήματος εσωτερικού ελέγχου της, η ΕΥΕΔ διενήργησε το 2024 έρευνα μεταξύ 167</w:t>
      </w:r>
      <w:r w:rsidR="00FF313B" w:rsidRPr="00CB47B9">
        <w:t xml:space="preserve"> </w:t>
      </w:r>
      <w:r w:rsidR="00C06AC8" w:rsidRPr="00CB47B9">
        <w:t xml:space="preserve">ερωτώμενων/μελών του προσωπικού, όλοι με αρμοδιότητες δευτερευόντων διατακτών, ενώ τα αποτελέσματα της εν λόγω έρευνας συζητούνται σε επίπεδο ανώτερων διοικητικών στελεχών στην Επιτροπή Εσωτερικού Ελέγχου της ΕΥΕΔ· σημειώνει ότι η εν λόγω έρευνα ανέδειξε 183 τομείς που χρειάζονται προσοχή, ιδίως όσον αφορά τις προκλήσεις που αντιμετωπίζουν οι αντιπροσωπείες της Ένωσης, όπως η ευαισθητοποίηση σχετικά με τους εσωτερικούς ελέγχους και τη διαχείριση κινδύνων, η πρόσληψη και διατήρηση εξειδικευμένου προσωπικού και οι υπηρεσίες ΤΠ· επικροτεί </w:t>
      </w:r>
      <w:r w:rsidR="00C06AC8" w:rsidRPr="00CB47B9">
        <w:lastRenderedPageBreak/>
        <w:t>το γεγονός ότι η ΕΥΕΔ κατάρτισε σχέδιο δράσης για την αντιμετώπιση των υφιστάμενων ανησυχιών και τον προορατικό χειρισμό των πιθανών κινδύνων· καλεί την ΕΥΕΔ να τηρεί ενήμερη την αρμόδια για την απαλλαγή αρχή σχετικά με αυτά τα θέματα·</w:t>
      </w:r>
    </w:p>
    <w:p w14:paraId="3A036CF2" w14:textId="4C53C853" w:rsidR="00C06AC8" w:rsidRPr="00CB47B9" w:rsidRDefault="00CB47B9" w:rsidP="00CB47B9">
      <w:pPr>
        <w:pStyle w:val="NormalHanging12a"/>
        <w:widowControl/>
      </w:pPr>
      <w:r w:rsidRPr="00CB47B9">
        <w:t>43.</w:t>
      </w:r>
      <w:r w:rsidRPr="00CB47B9">
        <w:tab/>
      </w:r>
      <w:r w:rsidR="00C06AC8" w:rsidRPr="00CB47B9">
        <w:t>ενθαρρύνει την ΕΥΕΔ να ενισχύσει τους εσωτερικούς ελέγχους και τα συστήματα διαχείρισης εγγράφων, αντιμετωπίζοντας τις αδυναμίες που εντόπισε το Ελεγκτικό Συνέδριο, ιδίως εκείνες που αφορούν τη διαχείριση πληροφοριών και την υποβολή εκθέσεων από τις αντιπροσωπείες της Ένωσης·</w:t>
      </w:r>
    </w:p>
    <w:p w14:paraId="307757F5" w14:textId="45BBAFCB" w:rsidR="00C06AC8" w:rsidRPr="00CB47B9" w:rsidRDefault="00CB47B9" w:rsidP="00CB47B9">
      <w:pPr>
        <w:pStyle w:val="NormalHanging12a"/>
        <w:widowControl/>
      </w:pPr>
      <w:r w:rsidRPr="00CB47B9">
        <w:t>44.</w:t>
      </w:r>
      <w:r w:rsidRPr="00CB47B9">
        <w:tab/>
      </w:r>
      <w:r w:rsidR="00C06AC8" w:rsidRPr="00CB47B9">
        <w:t>σημειώνει ότι η ΕΥΕΔ χρησιμοποιεί δύο τρόπους εκ των προτέρων επαλήθευσης όσον αφορά τις χρηματοοικονομικές συναλλαγές (αναλήψεις υποχρεώσεων, πληρωμές και εντάλματα είσπραξης)· σημειώνει ότι το ένα είδος εκ των προτέρων επαλήθευσης είναι αποκεντρωμένο, δηλαδή διενεργείται ανεξάρτητα από τον αρμόδιο δευτερεύοντα διατάκτη, για πληρωμές που συνδέονται με τιμολόγια των οποίων το ποσό είναι (από το 2024) χαμηλότερο από 15 000· σημειώνει ότι, για όλες τις άλλες χρηματοοικονομικές συναλλαγές, η εκ των προτέρων επαλήθευση εξασφαλίζεται εσωτερικά από τα επιχειρησιακά τμήματα ή από τις αντιπροσωπείες της Ένωσης· σημειώνει ότι, όσον αφορά τις διαδικασίες σύναψης συμβάσεων, υπάρχουν δύο ακόμη τρόποι εκ των προτέρων επαλήθευσης: ένας τρόπος για τις συμβάσεις των οποίων η αξία είναι ίση ή μεγαλύτερη από τα όρια της οδηγίας 2014/24/ΕΕ, λειτουργεί ανεξάρτητα από τον δευτερεύοντα διατάκτη του τμήματος που είναι αρμόδιο για τον φάκελο της σύμβασης και ένας άλλος τρόπος που εξασφαλίζεται εσωτερικά, από το αρμόδιο τμήμα, για τις συμβάσεις (πολύ) μικρού και μεσαίου ύψους·</w:t>
      </w:r>
    </w:p>
    <w:p w14:paraId="6D7615E3" w14:textId="19C8C1B3" w:rsidR="00C06AC8" w:rsidRPr="00CB47B9" w:rsidRDefault="00CB47B9" w:rsidP="00CB47B9">
      <w:pPr>
        <w:pStyle w:val="NormalHanging12a"/>
        <w:widowControl/>
      </w:pPr>
      <w:r w:rsidRPr="00CB47B9">
        <w:t>45.</w:t>
      </w:r>
      <w:r w:rsidRPr="00CB47B9">
        <w:tab/>
      </w:r>
      <w:r w:rsidR="00C06AC8" w:rsidRPr="00CB47B9">
        <w:t>σημειώνει ότι, όσον αφορά τα δημοσιονομικά σφάλματα, το ποσοστό σφάλματος που εντοπίστηκε αντιστοιχεί σε σφάλματα που εντοπίστηκαν στους εκ των υστέρων ελέγχους (μετά την πληρωμή/ανάκτηση), τα οποία τροφοδοτούν ένα εναπομένον σφάλμα που αντικατοπτρίζει επίσης σφάλματα τα οποία εικάζεται ότι επηρεάζουν τις μη ελεγχθείσες δαπάνες και έσοδα· σημειώνει ότι το 2024 το εναπομένον ποσοστό δημοσιονομικού σφάλματος ήταν 0,03 % για τις δαπάνες της ΕΥΕΔ και 0,05 % για τα έσοδα· σημειώνει, όσον αφορά τα σφάλματα στον τομέα σύναψης των δημόσιων συμβάσεων, ότι το 2024 η ΕΥΕΔ επικαιροποίησε τη μεθοδολογία της για τους εκ των υστέρων ελέγχους, ευθυγραμμίζοντάς τη με την προσέγγιση της Επιτροπής σχετικά με τον υπολογισμό των σφαλμάτων στον τομέα σύναψης των δημόσιων συμβάσεων, γεγονός που απορρίπτει την έννοια του εναπομένοντος σφάλματος, ενώ οι δημοσιονομικές επιπτώσεις των σφαλμάτων στον τομέα σύναψης των δημόσιων συμβάσεων δεν μπορούν να ποσοτικοποιηθούν με τον ίδιο τρόπο όπως τα δημοσιονομικά σφάλματα· σημειώνει ότι, με βάση την εν λόγω νέα μεθοδολογία, η αξία των σφαλμάτων που εντοπίστηκαν στον τομέα των δημόσιων συμβάσεων ανήλθε σε 49 774 108 EUR το 2024 (από 23 392 948 EUR το 2023) ή στο 4,32 % του ελεγχθέντος πληθυσμού το 2024 (από 2,07 % το 2023)·</w:t>
      </w:r>
    </w:p>
    <w:p w14:paraId="66329508" w14:textId="4931E270" w:rsidR="00C06AC8" w:rsidRPr="00CB47B9" w:rsidRDefault="00CB47B9" w:rsidP="00CB47B9">
      <w:pPr>
        <w:pStyle w:val="NormalHanging12a"/>
        <w:widowControl/>
      </w:pPr>
      <w:r w:rsidRPr="00CB47B9">
        <w:t>46.</w:t>
      </w:r>
      <w:r w:rsidRPr="00CB47B9">
        <w:tab/>
      </w:r>
      <w:r w:rsidR="00C06AC8" w:rsidRPr="00CB47B9">
        <w:t>σημειώνει με ικανοποίηση ότι η ΕΥΕΔ σημείωσε απτή πρόοδο το 2024 όσον αφορά την υλοποίηση εκκρεμών συστάσεων που διατυπώθηκαν από διάφορους φορείς, όπως το τμήμα εσωτερικού ελέγχου (IAD) της ΕΥΕΔ, η υπηρεσία εσωτερικού λογιστικού ελέγχου (IAS) της Επιτροπής και το Ελεγκτικό Συνέδριο· αναγνωρίζει τον ρόλο της επιτροπής παρακολούθησης των ελέγχων της ΕΥΕΔ στη διασφάλιση της ανεξαρτησίας του IAD και στην παρακολούθηση της ποιότητας των εργασιών εσωτερικού ελέγχου και της προόδου που σημειώνεται όσον αφορά τη συνέχεια που δίνεται στις συστάσεις εσωτερικού και εξωτερικού ελέγχου·</w:t>
      </w:r>
    </w:p>
    <w:p w14:paraId="3D8C3F94" w14:textId="3E7FD597" w:rsidR="00C06AC8" w:rsidRPr="00CB47B9" w:rsidRDefault="00CB47B9" w:rsidP="00CB47B9">
      <w:pPr>
        <w:pStyle w:val="NormalHanging12a"/>
        <w:widowControl/>
      </w:pPr>
      <w:r w:rsidRPr="00CB47B9">
        <w:lastRenderedPageBreak/>
        <w:t>47.</w:t>
      </w:r>
      <w:r w:rsidRPr="00CB47B9">
        <w:tab/>
      </w:r>
      <w:r w:rsidR="00C06AC8" w:rsidRPr="00CB47B9">
        <w:t>σημειώνει, όσον αφορά τους ελέγχους που διενήργησε το IAD, ότι ο αριθμός των εκκρεμών συστάσεων μειώθηκε από τέσσερις κρίσιμης σημασίας και 49 πολύ σημαντικές συστάσεις σε τρεις κρίσιμης σημασίας και 32 πολύ σημαντικές συστάσεις και ότι επανεξετάστηκαν τρία σχέδια δράσης, ένα από τα οποία έγινε δεκτό ως ικανοποιητικό· σημειώνει ότι οι υπόλοιπες κρίσιμης σημασίας συστάσεις συνδέονται με τον έλεγχο σχετικά με τη «Διαχείριση του κτιρίου της αντιπροσωπείας της ΕΕ στην Ουάσιγκτον», ο οποίος καθυστέρησε λόγω νομικών ζητημάτων, και 13 από τις 32 εναπομένουσες πολύ σημαντικές συστάσεις συνδέονται με τον έλεγχο σχετικά με τις «ροές πληροφοριών μεταξύ της ΕΥΕΔ, της Γενικής Διεύθυνσης Ανθρωπίνων Πόρων και Ασφάλειας (ΓΔ HR) και του Γραφείου Διαχείρισης και Εκκαθάρισης των Ατομικών Δικαιωμάτων (PMO)»· περαιτέρω, παρατηρεί ότι το IAD δρομολόγησε συμβουλευτική επανεξέταση των διαδικασιών σύναψης συμβάσεων στην έδρα, δρομολόγησε στρατηγική εκτίμηση κινδύνου, διενήργησε συγκριτική αξιολόγηση με άλλα θεσμικά όργανα της Ένωσης, επικαιροποίησε τον χάρτη αποστολής του, ολοκληρώνοντας έτσι το πολυετές σχέδιο ελέγχου για την περίοδο 2022-2024, και έλαβε τα αναγκαία μέτρα για την κατάρτιση του νέου στρατηγικού σχεδίου ελέγχου της, που θα ξεκινήσει το 2025·</w:t>
      </w:r>
    </w:p>
    <w:p w14:paraId="486FEB47" w14:textId="09B9F886" w:rsidR="00C06AC8" w:rsidRPr="00CB47B9" w:rsidRDefault="00CB47B9" w:rsidP="00CB47B9">
      <w:pPr>
        <w:pStyle w:val="NormalHanging12a"/>
        <w:widowControl/>
      </w:pPr>
      <w:r w:rsidRPr="00CB47B9">
        <w:t>48.</w:t>
      </w:r>
      <w:r w:rsidRPr="00CB47B9">
        <w:tab/>
      </w:r>
      <w:r w:rsidR="00C06AC8" w:rsidRPr="00CB47B9">
        <w:t>παρατηρεί ότι η IAS ολοκλήρωσε δύο ελέγχους σχετικά με την κατανομή των ανθρώπινων πόρων και τη στρατηγική της ΕΥΕΔ για την καταπολέμηση της απάτης, με τα σχέδια δράσης να είναι υπό εφαρμογή, και δρομολόγησε νέο έλεγχο σχετικά με τους εκ των υστέρων ελέγχους στο τέλος του 2024, το επιχειρησιακό έργο του οποίου συνεχίστηκε και το 2025· καλεί την ΕΥΕΔ να ενημερώσει την αρμόδια για την απαλλαγή αρχή σχετικά με την πρόοδο που έχει σημειωθεί όσον αφορά την εφαρμογή των συστάσεων της IAS που παραμένουν ανοικτές ως συνέχεια του «Ελέγχου της διαδικασίας σύναψης συμβάσεων και της παρακολούθησης των συμβάσεων στην ΕΥΕΔ», ο οποίος δρομολογήθηκε το 2022·</w:t>
      </w:r>
    </w:p>
    <w:p w14:paraId="08A1ECD2" w14:textId="5ADA74A6" w:rsidR="00C06AC8" w:rsidRPr="00CB47B9" w:rsidRDefault="00CB47B9" w:rsidP="00CB47B9">
      <w:pPr>
        <w:pStyle w:val="NormalHanging12a"/>
        <w:widowControl/>
      </w:pPr>
      <w:r w:rsidRPr="00CB47B9">
        <w:t>49.</w:t>
      </w:r>
      <w:r w:rsidRPr="00CB47B9">
        <w:tab/>
      </w:r>
      <w:r w:rsidR="00C06AC8" w:rsidRPr="00CB47B9">
        <w:t>σημειώνει, με βάση την ετήσια έκθεση δραστηριοτήτων της ΕΥΕΔ για το 2024 (</w:t>
      </w:r>
      <w:r w:rsidR="00FF313B" w:rsidRPr="00CB47B9">
        <w:t>«</w:t>
      </w:r>
      <w:r w:rsidR="00C06AC8" w:rsidRPr="00CB47B9">
        <w:t>έκθεση ΕΥΕΔ για το 2024</w:t>
      </w:r>
      <w:r w:rsidR="00FF313B" w:rsidRPr="00CB47B9">
        <w:t>»</w:t>
      </w:r>
      <w:r w:rsidR="00C06AC8" w:rsidRPr="00CB47B9">
        <w:t>), ότι οι επιχειρήσεις κάθε αντιπροσωπείας της Ένωσης αξιολογούνται περιοδικά (κάθε 4-5 έτη) μέσω αποστολών επιθεώρησης και στρατηγικών εταιρικών ασκήσεων· σημειώνει ότι το 2024 επιθεωρήθηκαν 26 αντιπροσωπείες της Ένωσης, γεγονός που οδήγησε στη διατύπωση 1 000 συστάσεων και συμβουλών προς τις αντιπροσωπείες της Ένωσης που επιθεωρήθηκαν και τις κεντρικές υπηρεσίες, συμπεριλαμβανομένων έξι συστάσεων κρίσιμης σημασίας και περίπου 100 πολύ σημαντικών συστάσεων· σημειώνει με ανησυχία, με βάση το ερωτηματολόγιο, ότι δύο αντιπροσωπείες της Ένωσης έλαβαν συστάσεις κρίσιμης σημασίας σχετικά με την εσωτερική διαχείριση· επικροτεί το γεγονός ότι η ΕΥΕΔ έχει εφαρμόσει αυστηρή παρακολούθηση και στις δύο περιπτώσεις και, παρόλο που η μία επιθεώρηση παραμένει ανοικτή λόγω της πολυπλοκότητάς της, η ΕΥΕΔ στηρίζει ενεργά την αντιπροσωπεία στην επίλυση των εκκρεμών ζητημάτων και την εφαρμογή των απαιτούμενων διορθωτικών μέτρων·</w:t>
      </w:r>
    </w:p>
    <w:p w14:paraId="4706E897" w14:textId="0DDFB975" w:rsidR="00C06AC8" w:rsidRPr="00CB47B9" w:rsidRDefault="00CB47B9" w:rsidP="00CB47B9">
      <w:pPr>
        <w:pStyle w:val="NormalHanging12a"/>
        <w:widowControl/>
      </w:pPr>
      <w:r w:rsidRPr="00CB47B9">
        <w:t>50.</w:t>
      </w:r>
      <w:r w:rsidRPr="00CB47B9">
        <w:tab/>
      </w:r>
      <w:r w:rsidR="00C06AC8" w:rsidRPr="00CB47B9">
        <w:t xml:space="preserve">σημειώνει ότι η ΕΥΕΔ βρίσκεται σε γενικές γραμμές εντός του χρονοδιαγράμματος για να επιτύχει την τήρηση της προθεσμίας του Ελεγκτικού Συνεδρίου όσον αφορά την εφαρμογή των συστάσεων της ειδικής έκθεσης 02/2024 του Ελεγκτικού Συνεδρίου με τίτλο «Ο συντονιστικός ρόλος της Ευρωπαϊκής Υπηρεσίας Εξωτερικής Δράσης» </w:t>
      </w:r>
      <w:r w:rsidR="00FF313B" w:rsidRPr="00CB47B9">
        <w:t>έ</w:t>
      </w:r>
      <w:r w:rsidR="00C06AC8" w:rsidRPr="00CB47B9">
        <w:t xml:space="preserve">ως το τέλος του 2025· αναγνωρίζει ότι όλοι οι νεοδιορισθέντες επικεφαλής αντιπροσωπειών έλαβαν επιστολές ανάθεσης καθηκόντων το 2024 και το 2025, και ότι οι βελτιωμένοι μηχανισμοί ανατροφοδότησης και η διαδικασία του ετήσιου σχεδίου διαχείρισης έχουν ενισχύσει τον συντονισμό μεταξύ της έδρας και των αντιπροσωπειών της Ένωσης· </w:t>
      </w:r>
      <w:r w:rsidR="00C06AC8" w:rsidRPr="00CB47B9">
        <w:lastRenderedPageBreak/>
        <w:t>επικροτεί τη συνεχιζόμενη εφαρμογή της στρατηγικής διαχείρισης πληροφοριών της ΕΥΕΔ, συμπεριλαμβανομένης της πλήρους ανάπτυξης της συνεργατικής πλατφόρμας HIVE, η οποία χρησιμοποιείται από περισσότερους από 16 500 υπαλλήλους· σημειώνει τη συνεχιζόμενη συνεργασία με την Επιτροπή, το Συμβούλιο και τα κράτη μέλη για την ενίσχυση της διαλειτουργικότητας και την πρόοδο των συζητήσεων σχετικά με μια τυποποιημένη διαβάθμιση ασφάλειας· σημειώνει περαιτέρω την ολοκλήρωση της αξιολόγησης του φόρτου εργασίας των αντιπροσωπειών της Ένωσης τον Σεπτέμβριο του 2024, η οποία αποτέλεσε τη βάση για την επακόλουθη πολιτική συμφωνία σχετικά με τον εκσυγχρονισμό του δικτύου αντιπροσωπειών της Ένωσης τον Μάιο του 2025· σημειώνει το καθεστώς της ΕΥΕΔ ως «συνδεδεμένης υπηρεσίας» στους ελέγχους που διενήργησε το Ελεγκτικό Συνέδριο, ενώ τέσσερις έλεγχοι (ειδικές εκθέσεις 17/2024, 18/2024, 06/2024 και 04/2025) ολοκληρώθηκαν το 2024 και δύο έλεγχοι (ειδική έκθεση 17/2025, 20/2025) δρομολογήθηκαν το 2024 και ολοκληρώθηκαν το 2025· επικροτεί, στο πλαίσιο αυτό, την καλή συνεργασία της ΕΥΕΔ με τις γενικές διευθύνσεις της Επιτροπής τις οποίες αφορούν οι εν λόγω έλεγχοι·</w:t>
      </w:r>
    </w:p>
    <w:p w14:paraId="6F15BA73" w14:textId="77777777" w:rsidR="00C06AC8" w:rsidRPr="00CB47B9" w:rsidRDefault="00C06AC8" w:rsidP="00924112">
      <w:pPr>
        <w:pStyle w:val="NormalHanging12a"/>
        <w:widowControl/>
        <w:rPr>
          <w:b/>
          <w:bCs/>
          <w:i/>
          <w:iCs/>
        </w:rPr>
      </w:pPr>
      <w:r w:rsidRPr="00CB47B9">
        <w:rPr>
          <w:b/>
          <w:i/>
        </w:rPr>
        <w:t>Ανθρώπινοι πόροι, ισότητα και ευημερία του προσωπικού</w:t>
      </w:r>
    </w:p>
    <w:p w14:paraId="2F9EC690" w14:textId="12BA3DC0" w:rsidR="00C06AC8" w:rsidRPr="00CB47B9" w:rsidRDefault="00CB47B9" w:rsidP="00CB47B9">
      <w:pPr>
        <w:pStyle w:val="NormalHanging12a"/>
        <w:widowControl/>
      </w:pPr>
      <w:r w:rsidRPr="00CB47B9">
        <w:t>51.</w:t>
      </w:r>
      <w:r w:rsidRPr="00CB47B9">
        <w:tab/>
      </w:r>
      <w:r w:rsidR="00C06AC8" w:rsidRPr="00CB47B9">
        <w:t>σημειώνει ότι το 2024 η ΕΥΕΔ απασχολούσε συνολικά, πέραν του τοπικού προσωπικού, 2 902 υπαλλήλους, συμπεριλαμβανομένων 1 268 μόνιμων υπαλλήλων, 442 έκτακτων υπαλλήλων, 619 συμβασιούχων υπαλλήλων και 573 αποσπασμένων εθνικών εμπειρογνωμόνων το 2024, σε σύγκριση με το 2023 που απασχολούσε 2 812 υπαλλήλους, συμπεριλαμβανομένων 1 245 μόνιμων υπαλλήλων, 450 έκτακτων υπαλλήλων, 603 συμβασιούχων υπαλλήλων και 514 αποσπασμένων εθνικών εμπειρογνωμόνων· υπενθυμίζει τη σημασία της παροχής συμβάσεων αορίστου χρόνου προκειμένου να διατηρηθούν οι δεξιότητες, η συνέχεια και το παραγωγικό εργασιακό περιβάλλον·</w:t>
      </w:r>
    </w:p>
    <w:p w14:paraId="793454A8" w14:textId="4CBD3C2C" w:rsidR="00C06AC8" w:rsidRPr="00CB47B9" w:rsidRDefault="00CB47B9" w:rsidP="00CB47B9">
      <w:pPr>
        <w:pStyle w:val="NormalHanging12a"/>
        <w:widowControl/>
      </w:pPr>
      <w:r w:rsidRPr="00CB47B9">
        <w:t>52.</w:t>
      </w:r>
      <w:r w:rsidRPr="00CB47B9">
        <w:tab/>
      </w:r>
      <w:r w:rsidR="00C06AC8" w:rsidRPr="00CB47B9">
        <w:t>σημειώνει, με βάση την έκθεση της ΕΥΕΔ για το 2024, ότι στο τέλος του 2024 από το σύνολο των 5 355 ατόμων που εργάζονταν στην ΕΥΕΔ, το 47 % εργαζόταν στην έδρα της ΕΥΕΔ και το 53 % στις αντιπροσωπείες της Ένωσης, με 1 622 τοπικούς υπαλλήλους στις αντιπροσωπείες της Ένωσης· σημειώνει ότι, κατά την ακρόαση, τα μέλη εξέφρασαν ανησυχίες σχετικά με την εικαζόμενη απόλυση τοπικού προσωπικού σε ορισμένες αντιπροσωπείες της Ένωσης χωρίς να τηρείται δεόντως το τοπικό εργατικό δίκαιο· σημειώνει ότι, μετά την εν λόγω ακρόαση, τα μέλη της επιτροπής CONT υπέβαλαν πρόσθετες γραπτές ερωτήσεις· σημειώνει, με βάση τις απαντήσεις της ΕΥΕΔ στις εν λόγω ερωτήσεις (</w:t>
      </w:r>
      <w:r w:rsidR="00C91F08" w:rsidRPr="00CB47B9">
        <w:t>«</w:t>
      </w:r>
      <w:r w:rsidR="00C06AC8" w:rsidRPr="00CB47B9">
        <w:t>δεύτερο ερωτηματολόγιο</w:t>
      </w:r>
      <w:r w:rsidR="00C91F08" w:rsidRPr="00CB47B9">
        <w:t>»</w:t>
      </w:r>
      <w:r w:rsidR="00C06AC8" w:rsidRPr="00CB47B9">
        <w:t xml:space="preserve">), ότι στις 14 Μαΐου 2025 η ομάδα έργου των Επιτρόπων για την εξωτερική δράση ενέκρινε έργο για τον εκσυγχρονισμό του δικτύου αντιπροσωπειών της Ένωσης· σημειώνει ότι η υλοποίηση του εν λόγω έργου συνεπάγεται, μεταξύ άλλων, τη συγκέντρωση των λειτουργιών χρηματοδότησης, συμβάσεων και λογιστικού ελέγχου για τις έξι αντιπροσωπείες της Ένωσης στα Δυτικά Βαλκάνια στην έδρα της ΓΔ Διεύρυνσης και Ανατολικής Γειτονίας, καθώς και τη μείωση του αριθμού των υπαλλήλων που εργάζονται στον τομέα των οικονομικών και των συμβάσεων στις εν λόγω αντιπροσωπείες της Ένωσης, με βάση αξιολογήσεις που διενεργούνται σε συνεννόηση με νομικούς συμβούλους· σημειώνει ότι, σε σχέση με τα πακέτα αποζημιώσεων για τις απολύσεις, η ΕΥΕΔ ισχυρίζεται ότι έχουν τηρηθεί όλα τα δικαιώματα που απορρέουν από το τοπικό δίκαιο και τους εσωτερικούς κανόνες της Ένωσης, με τα χρηματοδοτικά πακέτα των απολύσεων που λαμβάνουν χώρα για οικονομικούς λόγους να είναι τα πλέον ευνοϊκά μεταξύ εκείνων που προβλέπονται από το τοπικό δίκαιο και εκείνων της Ένωσης, και αυτό παρά τις ανησυχίες που εξέφρασαν οι τοπικοί υπάλληλοι στις σχετικές </w:t>
      </w:r>
      <w:r w:rsidR="00C06AC8" w:rsidRPr="00CB47B9">
        <w:lastRenderedPageBreak/>
        <w:t>αντιπροσωπείες της Ένωσης· σημειώνει περαιτέρω ότι η ΕΥΕΔ, σε συνεργασία με την Επιτροπή, συνεργάζεται στενά με τοπικό δικηγορικό γραφείο, το οποίο παρέχει καθοδήγηση σχετικά με τυχόν τοπικές νομικές απαιτήσεις, διασφαλίζοντας έτσι την εφαρμογή της διαδικασίας της απόλυσης σε πλήρη συμμόρφωση με την ισχύουσα τοπική εργατική νομοθεσία· καλεί την ΕΥΕΔ να συμβουλεύεται πλήρως τον εκπρόσωπο του τοπικού προσωπικού κατά την κατάρτιση του σχεδίου των απολύσεων που αφορούν το τοπικό προσωπικό· σημειώνει με ανησυχία, με βάση τις απαντήσεις στο ερωτηματολόγιο, ότι εάν μια αντιπροσωπεία της Ένωσης μετεγκατασταθεί σε διαφορετική χώρα, όπως στην περίπτωση εκκένωσης (π.χ. η τοπική υπηρεσία στο Σουδάν μετακομίζει στην Αίγυπτο), οι τοπικοί υπάλληλοι που απασχολούνται στη χώρα καταγωγής απολύονται και έτσι μένουν στο περιθώριο χωρίς ασφάλεια· καλεί την ΕΥΕΔ να εξεύρει βιώσιμες λύσεις για την ασφάλεια και την προστασία του τοπικού προσωπικού που εργάζεται με αφοσίωση στις αντιπροσωπείες της Ένωσης·</w:t>
      </w:r>
    </w:p>
    <w:p w14:paraId="67A0A2C5" w14:textId="2418212B" w:rsidR="00C06AC8" w:rsidRPr="00CB47B9" w:rsidRDefault="00CB47B9" w:rsidP="00CB47B9">
      <w:pPr>
        <w:pStyle w:val="NormalHanging12a"/>
        <w:widowControl/>
        <w:rPr>
          <w:bCs/>
          <w:iCs/>
        </w:rPr>
      </w:pPr>
      <w:r w:rsidRPr="00CB47B9">
        <w:rPr>
          <w:bCs/>
          <w:iCs/>
        </w:rPr>
        <w:t>53.</w:t>
      </w:r>
      <w:r w:rsidRPr="00CB47B9">
        <w:rPr>
          <w:bCs/>
          <w:iCs/>
        </w:rPr>
        <w:tab/>
      </w:r>
      <w:r w:rsidR="00C06AC8" w:rsidRPr="00CB47B9">
        <w:t>εκφράζει σοβαρή ανησυχία σχετικά με αναφορές για ανεπαρκή κοινωνικό διάλογο και για το ότι μεταξύ των τοπικών υπαλλήλων που πλήττονται από απολύσεις σε ορισμένες αντιπροσωπείες της Ένωσης περιλαμβάνονται προστατευόμενοι εκπρόσωποι του προσωπικού· υπενθυμίζει ότι ο σεβασμός του τοπικού εργατικού δικαίου, οι υποχρεώσεις κοινωνικού διαλόγου και η προστασία των εκπροσώπων του προσωπικού αποτελούν ουσιώδη στοιχεία της χρηστής διοίκησης και της αξιοπιστίας της Ένωσης ως εργοδότη·</w:t>
      </w:r>
    </w:p>
    <w:p w14:paraId="18915595" w14:textId="7CDC222D" w:rsidR="00C06AC8" w:rsidRPr="00CB47B9" w:rsidRDefault="00CB47B9" w:rsidP="00CB47B9">
      <w:pPr>
        <w:pStyle w:val="NormalHanging12a"/>
        <w:widowControl/>
        <w:rPr>
          <w:bCs/>
          <w:iCs/>
        </w:rPr>
      </w:pPr>
      <w:r w:rsidRPr="00CB47B9">
        <w:rPr>
          <w:bCs/>
          <w:iCs/>
        </w:rPr>
        <w:t>54.</w:t>
      </w:r>
      <w:r w:rsidRPr="00CB47B9">
        <w:rPr>
          <w:bCs/>
          <w:iCs/>
        </w:rPr>
        <w:tab/>
      </w:r>
      <w:r w:rsidR="00C06AC8" w:rsidRPr="00CB47B9">
        <w:t>τονίζει ότι πριν από κάθε αναδιάρθρωση, μετεγκατάσταση ή απόλυση που επηρεάζει το τοπικό προσωπικό πρέπει να προηγείται ουσιαστική διαβούλευση με τους εκπροσώπους του προσωπικού και ότι οι εν λόγω διαδικασίες να συνοδεύονται από συγκεκριμένα μέτρα για τη διασφάλιση των δικαιωμάτων, της ασφάλειας και της αξιοπρέπειας των τοπικών υπαλλήλων, ιδίως σε καταστάσεις κρίσης ή απομάκρυνσης· καλεί την ΕΥΕΔ να αξιολογήσει και να υποβάλει έκθεση στην αρμόδια για την απαλλαγή αρχή σχετικά με τη σχέση κόστους-οφέλους των μειώσεων προσωπικού σε σύγκριση με εναλλακτικές οργανωτικές λύσεις, συμπεριλαμβανομένων των μακροπρόθεσμων επιπτώσεων που μπορούν να έχουν οι απολύσεις τοπικών υπαλλήλων σε οικονομικό επίπεδο, σε επιχειρησιακό επίπεδο και σε επίπεδο φήμης·</w:t>
      </w:r>
    </w:p>
    <w:p w14:paraId="1A8CEBD4" w14:textId="1AFD275F" w:rsidR="00C06AC8" w:rsidRPr="00CB47B9" w:rsidRDefault="00CB47B9" w:rsidP="00CB47B9">
      <w:pPr>
        <w:pStyle w:val="NormalHanging12a"/>
        <w:widowControl/>
      </w:pPr>
      <w:r w:rsidRPr="00CB47B9">
        <w:t>55.</w:t>
      </w:r>
      <w:r w:rsidRPr="00CB47B9">
        <w:tab/>
      </w:r>
      <w:r w:rsidR="00C06AC8" w:rsidRPr="00CB47B9">
        <w:t>καλεί την ΕΥΕΔ να βελτιώσει περαιτέρω την ασφάλεια των αντιπροσωπειών της Ένωσης, συμπεριλαμβανομένων των ικανοτήτων κυβερνοασφάλειας, φυσικής ασφάλειας και εκκένωσης σε περίπτωση κρίσης, και να υποβάλλει συστηματικά εκθέσεις σχετικά με την πρόοδο και τα εναπομένοντα τρωτά σημεία.</w:t>
      </w:r>
    </w:p>
    <w:p w14:paraId="2B3FEE6C" w14:textId="7524AC91" w:rsidR="00C06AC8" w:rsidRPr="00CB47B9" w:rsidRDefault="00CB47B9" w:rsidP="00CB47B9">
      <w:pPr>
        <w:pStyle w:val="NormalHanging12a"/>
        <w:widowControl/>
      </w:pPr>
      <w:r w:rsidRPr="00CB47B9">
        <w:t>56.</w:t>
      </w:r>
      <w:r w:rsidRPr="00CB47B9">
        <w:tab/>
      </w:r>
      <w:r w:rsidR="00C06AC8" w:rsidRPr="00CB47B9">
        <w:t>σημειώνει ότι, το 2024, το 46,60 % του συνόλου του προσωπικού της ΕΥΕΔ ήταν γυναίκες (σε σύγκριση με 46,80 % το 2023)· σημειώνει, όσον αφορά την εκπροσώπηση των γυναικών και τις θέσεις που κατείχαν στην ΕΥΕΔ το 2024, ότι το 40 % ήταν διοικητικοί υπάλληλοι, το 63,78 % βοηθοί, το 73,25 % βοηθοί</w:t>
      </w:r>
      <w:r w:rsidR="00C91F08" w:rsidRPr="00CB47B9">
        <w:t>-</w:t>
      </w:r>
      <w:r w:rsidR="00C06AC8" w:rsidRPr="00CB47B9">
        <w:t xml:space="preserve">γραμματείς, το 56,70 % συμβασιούχοι υπάλληλοι και το 26,87 % αποσπασμένοι εθνικοί εμπειρογνώμονες· σημειώνει με ικανοποίηση, με βάση την έκθεση της ΕΥΕΔ για το 2024, τις προσπάθειες του οργάνου να επιτύχει μεγαλύτερη εκπροσώπηση των γυναικών σε διευθυντικές θέσεις· σημειώνει, στο πλαίσιο αυτό, μια ανοδική τάση όσον αφορά τις ανώτερες διοικητικές θέσεις, με τις γυναίκες να καταλαμβάνουν το 37,30 % των εν λόγω θέσεων το 2024 (σε σύγκριση με το ποσοστό του 2023 που ήταν 31 %), αλλά μια ελαφρά μείωση όσον αφορά τις μεσαίες διοικητικές θέσεις με τις γυναίκες να καταλαμβάνουν το 38,70 % των θέσεων αυτών το 2024 (σε σύγκριση με το ποσοστό του 2023 που ήταν 40,40 %)· επικροτεί την αύξηση από 35,50 % το 2023 σε 36,10 % το 2024 όσον αφορά </w:t>
      </w:r>
      <w:r w:rsidR="00C06AC8" w:rsidRPr="00CB47B9">
        <w:lastRenderedPageBreak/>
        <w:t>την εκπροσώπηση των γυναικών σε θέσεις επικεφαλής αντιπροσωπειών· εκφράζει την ικανοποίησή του για τη σταδιακή αύξηση του αριθμού των γυναικών σε διευθυντικές θέσεις εντός της ΕΥΕΔ, επισημαίνοντας παράλληλα ότι οι γυναίκες εξακολουθούν να υποεκπροσωπούνται σε επίπεδο υπαλλήλων διοίκησης (AD) και να υπερεκπροσωπούνται σε επίπεδο βοηθών υπαλλήλων (AST), και ότι δεν έχει ακόμη επιτευχθεί πλήρως η ισόρροπη εκπροσώπηση των φύλων στις μεσαίες και ανώτερες διοικητικές θέσεις, τόσο στην έδρα της ΕΥΕΔ όσο και στις αντιπροσωπείες της Ένωσης· τονίζει ότι, ενώ πρέπει να διασφαλίζονται ίσες ευκαιρίες για το προσωπικό εντός των οργάνων των θεσμικών οργάνων, πρέπει να διαφυλάσσονται η αριστεία και ο επαγγελματισμός εντός της ΕΥΕΔ·</w:t>
      </w:r>
    </w:p>
    <w:p w14:paraId="4EAA66DF" w14:textId="2B04E07C" w:rsidR="00C06AC8" w:rsidRPr="00CB47B9" w:rsidRDefault="00CB47B9" w:rsidP="00CB47B9">
      <w:pPr>
        <w:pStyle w:val="NormalHanging12a"/>
        <w:widowControl/>
      </w:pPr>
      <w:r w:rsidRPr="00CB47B9">
        <w:t>57.</w:t>
      </w:r>
      <w:r w:rsidRPr="00CB47B9">
        <w:tab/>
      </w:r>
      <w:r w:rsidR="00C06AC8" w:rsidRPr="00CB47B9">
        <w:t>σημειώνει, με βάση την έκθεση παρακολούθησης, τις προσπάθειες της ΕΥΕΔ να κινητοποιήσει επιπλέον αιτήσεις από το υποεκπροσωπούμενο φύλο· επικροτεί, στο πλαίσιο αυτό, τη διοργάνωση το 2024 τεσσάρων δραστηριοτήτων κατάρτισης εκτελεστικών στελεχών σχετικά με την ηγεσία που λαμβάνει υπόψη τη διάσταση του φύλου (GRL), στα οποία συμμετείχε το 80 % των ανώτερων διοικητικών στελεχών της ΕΥΕΔ, και ενός πλήρους τετράμηνου προγράμματος διάρκειας 29 ωρών για τη GRL για 13 διευθυντικά στελέχη 4 εκ των οποίων από αντιπροσωπείες της Ένωσης· σημειώνει περαιτέρω ότι η ΕΥΕΔ δημιούργησε το νέο της δίκτυο σημείων επαφής για θέματα φύλου και συγκρότησε ειδική ομάδα για τη Σύμβαση της Κωνσταντινούπολης, η οποία υπέβαλε το 2024 ενδιάμεση έκθεση με σχέδιο δράσης· σημειώνει το έργο της πρέσβειρας της Ένωσης για θέματα φύλου και διαφορετικότητας ως προς την ενσωμάτωση της διάστασης του φύλου στους διαλόγους για τα ανθρώπινα δικαιώματα και σε βασικές πολυμερείς δηλώσεις και ψηφίσματα· καλεί την ΕΥΕΔ να συνεχίσει να παρέχει ενημερώσεις σχετικά με τις τελευταίες εξελίξεις του GAP για την περίοδο 2021-2025 και τις δράσεις που έχουν αναληφθεί για την περαιτέρω προώθηση της συμμετοχής των γυναικών σε όλους τους διπλωματικούς και πολιτικούς διαλόγους·</w:t>
      </w:r>
    </w:p>
    <w:p w14:paraId="7A395758" w14:textId="4BF2571D" w:rsidR="00C06AC8" w:rsidRPr="00CB47B9" w:rsidRDefault="00CB47B9" w:rsidP="00CB47B9">
      <w:pPr>
        <w:pStyle w:val="NormalHanging12a"/>
        <w:widowControl/>
        <w:rPr>
          <w:bCs/>
          <w:iCs/>
        </w:rPr>
      </w:pPr>
      <w:r w:rsidRPr="00CB47B9">
        <w:rPr>
          <w:bCs/>
          <w:iCs/>
        </w:rPr>
        <w:t>58.</w:t>
      </w:r>
      <w:r w:rsidRPr="00CB47B9">
        <w:rPr>
          <w:bCs/>
          <w:iCs/>
        </w:rPr>
        <w:tab/>
      </w:r>
      <w:r w:rsidR="00C06AC8" w:rsidRPr="00CB47B9">
        <w:t>σημειώνει τις προσπάθειες που καταβάλλει η ΕΥΕΔ για να επιτύχει ένα ποικιλόμορφο και αντιπροσωπευτικό εργατικό δυναμικό· Εκφράζει, ωστόσο, τη λύπη του για τη συνεχιζόμενη έλλειψη γεωγραφικής ισορροπίας και περιφερειακής πολυμορφίας στην ΕΥΕΔ, μεταξύ άλλων σε διευθυντικές θέσεις και σε καίριες θέσεις σε επίπεδο έδρας· σημειώνει ότι στο τέλος του 2024 τρία κράτη μέλη (ένα κράτος μέλος το 2025) συνέχισαν να μην έχουν πρέσβη της Ένωσης, ενώ πρέσβεις από πέντε κράτη μέλη κατείχαν το 56 % του συνόλου των θέσεων πρέσβεων της Ένωσης, έναντι του 54 % το 2023· τονίζει ότι μια διπλωματική υπηρεσία της Ένωσης πρέπει να αντικατοπτρίζει την πολυμορφία της Ένωσης με σκοπό την ενίσχυση της νομιμότητας, των τοπικών γνώσεων και της αποτελεσματικότητας· καλεί την ΕΥΕΔ, σε συνεργασία με την Ευρωπαϊκή Υπηρεσία Επιλογής Προσωπικού (EPSO) και τις υπηρεσίες της Επιτροπής που είναι αρμόδιες για την πολιτική επιλογής υποψηφίων, να εντείνει τη στοχευμένη προβολή στα υποεκπροσωπούμενα κράτη μέλη (συμπεριλαμβανομένων των εκδηλώσεων ενημέρωσης και πρόσληψης σε επίπεδο «χώρας εστίασης»), να διευρύνει τις ευκαιρίες μέσω περιόδων πρακτικής άσκησης, προγραμμάτων νέων επαγγελματιών και δομημένων αποσπάσεων, και να καταστήσει δικαιότερη την εσωτερική διαδικασία επιλογής μέσω διαφόρων επιτροπών επιλογής, διαφανών κριτηρίων και καθοδήγησης/υποστήριξης για υποεκπροσωπούμενες ομάδες· υπενθυμίζει ότι οι προσλήψεις πρέπει να εξακολουθούν να είναι αξιοκρατικές και να ευθυγραμμίζονται με το δίκαιο της Ένωσης·</w:t>
      </w:r>
    </w:p>
    <w:p w14:paraId="04D8BF1D" w14:textId="34EEE5CA" w:rsidR="00C06AC8" w:rsidRPr="00CB47B9" w:rsidRDefault="00CB47B9" w:rsidP="00CB47B9">
      <w:pPr>
        <w:pStyle w:val="NormalHanging12a"/>
        <w:widowControl/>
      </w:pPr>
      <w:r w:rsidRPr="00CB47B9">
        <w:t>59.</w:t>
      </w:r>
      <w:r w:rsidRPr="00CB47B9">
        <w:tab/>
      </w:r>
      <w:r w:rsidR="00C06AC8" w:rsidRPr="00CB47B9">
        <w:t xml:space="preserve">σημειώνει ότι, στο τέλος του 2024, το ποσοστό κάλυψης του οργανογράμματος της ΕΥΕΔ ήταν 95,3 % (σε σύγκριση με 96,7 % το 2023)· επιπλέον, σημειώνει ότι η </w:t>
      </w:r>
      <w:r w:rsidR="00C06AC8" w:rsidRPr="00CB47B9">
        <w:lastRenderedPageBreak/>
        <w:t>εναλλαγή προσωπικού στην ΕΥΕΔ ανήλθε σε 12,07 % το 2024 (10,15 % το 2023)· παρατηρεί ότι η εν λόγω αύξηση αντικατοπτρίζει την ειδική διάρθρωση της ΕΥΕΔ ως διπλωματικής υπηρεσίας, η οποία χαρακτηρίζεται από τακτικές εναλλαγές προσωπικού από το διπλωματικό σώμα των κρατών μελών και άλλα όργανα της Ένωσης, καθώς και από την εφαρμογή σταθερής πολιτικής στελέχωσης·</w:t>
      </w:r>
    </w:p>
    <w:p w14:paraId="0A285DA2" w14:textId="4F276232" w:rsidR="00C06AC8" w:rsidRPr="00CB47B9" w:rsidRDefault="00CB47B9" w:rsidP="00CB47B9">
      <w:pPr>
        <w:pStyle w:val="NormalHanging12a"/>
        <w:widowControl/>
      </w:pPr>
      <w:r w:rsidRPr="00CB47B9">
        <w:t>60.</w:t>
      </w:r>
      <w:r w:rsidRPr="00CB47B9">
        <w:tab/>
      </w:r>
      <w:r w:rsidR="00C06AC8" w:rsidRPr="00CB47B9">
        <w:t>σημειώνει ότι συνεχίζονται οι εργασίες για την επικαιροποίηση της απόφασης του 2014 σχετικά με τους αποσπασμένους εθνικούς εμπειρογνώμονες, με το αναθεωρημένο κείμενο να αναμένεται να δημοσιευτεί το 2025· παρατηρεί ότι η ΕΥΕΔ συνέχισε τα προγράμματα πρακτικής άσκησης φιλοξενώντας το 2024 62 </w:t>
      </w:r>
      <w:proofErr w:type="spellStart"/>
      <w:r w:rsidR="00C06AC8" w:rsidRPr="00CB47B9">
        <w:t>ασκουμένους</w:t>
      </w:r>
      <w:proofErr w:type="spellEnd"/>
      <w:r w:rsidR="00C06AC8" w:rsidRPr="00CB47B9">
        <w:t xml:space="preserve"> </w:t>
      </w:r>
      <w:proofErr w:type="spellStart"/>
      <w:r w:rsidR="00C06AC8" w:rsidRPr="00CB47B9">
        <w:t>Blue</w:t>
      </w:r>
      <w:proofErr w:type="spellEnd"/>
      <w:r w:rsidR="00C06AC8" w:rsidRPr="00CB47B9">
        <w:t xml:space="preserve"> </w:t>
      </w:r>
      <w:proofErr w:type="spellStart"/>
      <w:r w:rsidR="00C06AC8" w:rsidRPr="00CB47B9">
        <w:t>Book</w:t>
      </w:r>
      <w:proofErr w:type="spellEnd"/>
      <w:r w:rsidR="00C06AC8" w:rsidRPr="00CB47B9">
        <w:t xml:space="preserve"> στην έδρα και 566 ασκουμένους σε 106 αντιπροσωπείες της Ένωσης· σημειώνει ότι 531 ασκούμενοι από την τελευταία κατηγορία έλαβαν αμοιβή είτε από την ΕΥΕΔ είτε από άλλα όργανα, ενώ για 35 σπουδαστές, οι οποίοι δεν έλαβαν αμειβόμενες υποτροφίες πρακτικής άσκησης, η πρακτική άσκηση ήταν υποχρεωτική στο πλαίσιο του ακαδημαϊκού τους προγράμματος· σημειώνει περαιτέρω ότι η ΕΥΕΔ συνέχισε επίσης τον έβδομο γύρο του προγράμματος νέων επαγγελματιών σε αντιπροσωπείες (JPD) για την περίοδο 2023-2025, με την τοποθέτηση 67 νέων επαγγελματιών στις αντιπροσωπείες της Ένωσης·</w:t>
      </w:r>
    </w:p>
    <w:p w14:paraId="499CB5C4" w14:textId="333D3BAE" w:rsidR="00C06AC8" w:rsidRPr="00CB47B9" w:rsidRDefault="00CB47B9" w:rsidP="00CB47B9">
      <w:pPr>
        <w:pStyle w:val="NormalHanging12a"/>
        <w:widowControl/>
      </w:pPr>
      <w:r w:rsidRPr="00CB47B9">
        <w:t>61.</w:t>
      </w:r>
      <w:r w:rsidRPr="00CB47B9">
        <w:tab/>
      </w:r>
      <w:r w:rsidR="00C06AC8" w:rsidRPr="00CB47B9">
        <w:t>σημειώνει ότι το 2024 η ΕΥΕΔ συνέχισε να ενισχύει ένα ασφαλές και δεοντολογικό εργασιακό περιβάλλον στο οποίο επικρατεί σεβασμός· χαιρετίζει τη διευρυμένη προσβασιμότητα της υποχρεωτικής ηλεκτρονικής μάθησης σχετικά με τον σεβασμό και την αξιοπρέπεια στην εργασία, για την αναγνώριση και την αντιμετώπιση της παρενόχλησης, με 1 900 μέλη του προσωπικού να έχουν ολοκληρώσει την κατάρτιση το 2024· επικροτεί το γεγονός ότι το 57 % των διευθυντικών στελεχών παρακολούθησαν παρόμοια υποχρεωτική κατάρτιση το 2024· επαινεί την ΕΥΕΔ επειδή το 2024 παρείχε κατάρτιση σχετικά με την ανθεκτικότητα και τη διαχείριση τραυμάτων στο προσωπικό σε ζώνες κρίσης και στους περιφερειακούς υπευθύνους ασφάλειας· επικροτεί επίσης τη λήψη απόφασης για την επέκταση της προστασίας από την ψυχολογική και σεξουαλική παρενόχληση ώστε να καλύπτει και το τοπικό προσωπικό των αντιπροσωπειών της Ένωσης, το οποίο έχει πλέον πρόσβαση στις επίσημες διαδικασίες της ΕΥΕΔ σε περίπτωση καταγγελιών για παρενόχληση·</w:t>
      </w:r>
    </w:p>
    <w:p w14:paraId="1BF5F699" w14:textId="5A060010" w:rsidR="00C06AC8" w:rsidRPr="00CB47B9" w:rsidRDefault="00CB47B9" w:rsidP="00CB47B9">
      <w:pPr>
        <w:pStyle w:val="NormalHanging12a"/>
        <w:widowControl/>
      </w:pPr>
      <w:r w:rsidRPr="00CB47B9">
        <w:t>62.</w:t>
      </w:r>
      <w:r w:rsidRPr="00CB47B9">
        <w:tab/>
      </w:r>
      <w:r w:rsidR="00C06AC8" w:rsidRPr="00CB47B9">
        <w:t>σημειώνει με ικανοποίηση τις δράσεις που ανέλαβε η ΕΥΕΔ το 2024 στο πλαίσιο του θεματολογίου της για την πολυμορφία και την ένταξη για την περίοδο 2023-2025, ιδίως τις στοχευμένες δράσεις για τις ομάδες φύλου, εθνοτικής καταγωγής, αναπηρίας, ηλικίας και ΛΟΑΤΚΙ+· σημειώνει, στο πλαίσιο αυτό, ότι η ΕΥΕΔ ενσωμάτωσε τα θέματα πολυμορφίας και ένταξης στην εκπαίδευση, παρείχε πληροφορίες στο προσωπικό ΛΟΑΤΚΙ+ ατόμων σχετικά με τη νομική και πολιτιστική κατάσταση στις χώρες απόσπασης και ενίσχυσε τις προσπάθειές της για προσλήψεις με γνώμονα την πολυμορφία· επαινεί περαιτέρω την ΕΥΕΔ για την επικαιροποίηση του χάρτη πορείας της για τη δράση σχετικά με την αναπηρία, τη διενέργεια έρευνας για θέματα αναπηρίας, την παραγωγή ενημερωτικών δελτίων σχετικά με την προσβασιμότητα για τις αντιπροσωπείες της Ένωσης, τη διενέργεια αξιολόγησης για την προσβασιμότητα του ιστοτόπου της και την παροχή οικονομικής βοήθειας για μη ιατρικές δαπάνες σε 26 μέλη του προσωπικού με παιδιά που έχουν αναπηρία· καλεί την ΕΥΕΔ να συνεχίσει να εκπαιδεύει τακτικά το διοικητικό και μη διευθυντικό προσωπικό σε θέματα διαφορετικότητας, ισότητας, ένταξης και συμμετοχής·</w:t>
      </w:r>
    </w:p>
    <w:p w14:paraId="46020F9E" w14:textId="1EB67DD4" w:rsidR="00C06AC8" w:rsidRPr="00CB47B9" w:rsidRDefault="00CB47B9" w:rsidP="00CB47B9">
      <w:pPr>
        <w:pStyle w:val="NormalHanging12a"/>
        <w:widowControl/>
      </w:pPr>
      <w:r w:rsidRPr="00CB47B9">
        <w:t>63.</w:t>
      </w:r>
      <w:r w:rsidRPr="00CB47B9">
        <w:tab/>
      </w:r>
      <w:r w:rsidR="00C06AC8" w:rsidRPr="00CB47B9">
        <w:t xml:space="preserve">σημειώνει, με βάση το ερωτηματολόγιο, ότι το 2024 η ΕΥΕΔ έλαβε 16 αιτήματα παροχής συνδρομής για καταγγελίες ψυχολογικής παρενόχλησης, </w:t>
      </w:r>
      <w:r w:rsidR="00C06AC8" w:rsidRPr="00CB47B9">
        <w:lastRenderedPageBreak/>
        <w:t>συμπεριλαμβανομένων αρκετών που αφορούσαν το ίδιο μέλος του προσωπικού, γεγονός που οδήγησε στην κίνηση τεσσάρων διοικητικών ερευνών, και ότι μία καταγγελλόμενη υπόθεση στην οποία εμπλέκεται μέλος του προσωπικού της Επιτροπής παραπέμφθηκε στην αρμόδια αρχή της Επιτροπής· σημειώνει ότι κινήθηκαν τέσσερις ακόμη επίσημες διαδικασίες για τοπικούς υπαλλήλους σε αντιπροσωπεία της Ένωσης, αλλά δεν βρέθηκαν εκ πρώτης όψεως αποδεικτικά στοιχεία που να δικαιολογούν την κίνηση διοικητικής έρευνας· σημειώνει ότι περατώθηκαν έξι υποθέσεις κατά τη διάρκεια του έτους και ότι εφαρμόστηκαν πειθαρχικά ή διορθωτικά μέτρα, κατά περίπτωση, συμπεριλαμβανομένων πειθαρχικών κυρώσεων σε δύο υποθέσεις και μη πειθαρχικής προειδοποίησης σε άλλη υπόθεση·</w:t>
      </w:r>
    </w:p>
    <w:p w14:paraId="581DF78A" w14:textId="4C1A0ECC" w:rsidR="00C06AC8" w:rsidRPr="00CB47B9" w:rsidRDefault="00CB47B9" w:rsidP="00CB47B9">
      <w:pPr>
        <w:pStyle w:val="NormalHanging12a"/>
        <w:widowControl/>
      </w:pPr>
      <w:r w:rsidRPr="00CB47B9">
        <w:t>64.</w:t>
      </w:r>
      <w:r w:rsidRPr="00CB47B9">
        <w:tab/>
      </w:r>
      <w:r w:rsidR="00C06AC8" w:rsidRPr="00CB47B9">
        <w:t>σημειώνει, με βάση το ερωτηματολόγιο, ότι, σύμφωνα με τον ορισμό που εφαρμόζει η ιατρική υπηρεσία της Επιτροπής, η αναρρωτική άδεια μακράς διάρκειας αναφέρεται σε απουσίες που υπερβαίνουν τις 20 συνεχόμενες ημέρες· σημειώνει ότι, το 2023, 323 μέλη του προσωπικού βρίσκονταν σε αναρρωτική άδεια μακράς διάρκειας με μέση διάρκεια 83 ημερών, ενώ το 2024 τα μέλη του προσωπικού αυξήθηκαν σε 338, με μειωμένη μέση διάρκεια 77 ημερών· σημειώνει περαιτέρω ότι, ενώ το 2024 ο ακριβής αριθμός των περιπτώσεων επαγγελματικής εξουθένωσης είναι άγνωστος, σημαντικό ποσοστό των αναρρωτικών αδειών συνδέθηκε με ανησυχίες για την ψυχική υγεία, όπως η κατάθλιψη και η επαγγελματική εξουθένωση· χαιρετίζει την πρωτοβουλία της Επιτροπής να καταρτίσει μια στρατηγική για την ψυχική υγεία, ώστε να παρέχει ένα δομημένο και βιώσιμο πλαίσιο για την αντιμετώπιση των προκλήσεων ψυχικής υγείας στον χώρο εργασίας, συμπεριλαμβανομένης της πρόληψης της επαγγελματικής εξουθένωσης και της επανένταξης στην εργασία· ενθαρρύνει την ΕΥΕΔ να θεσπίσει επίσης έναν επίσημο μηχανισμό αξιολόγησης του φόρτου εργασίας·</w:t>
      </w:r>
    </w:p>
    <w:p w14:paraId="10AE4C7E" w14:textId="3D8901E2" w:rsidR="00C06AC8" w:rsidRPr="00CB47B9" w:rsidRDefault="00CB47B9" w:rsidP="00CB47B9">
      <w:pPr>
        <w:pStyle w:val="NormalHanging12a"/>
        <w:widowControl/>
      </w:pPr>
      <w:r w:rsidRPr="00CB47B9">
        <w:t>65.</w:t>
      </w:r>
      <w:r w:rsidRPr="00CB47B9">
        <w:tab/>
      </w:r>
      <w:r w:rsidR="00C06AC8" w:rsidRPr="00CB47B9">
        <w:t>επικροτεί, με βάση την έκθεση της ΕΥΕΔ για το 2024, το γεγονός ότι ο χάρτης πορείας για τη δράση σχετικά με την αναπηρία επικαιροποιήθηκε το 2024 και ότι το 2025 λήφθηκε νέα απόφαση για την επέκταση των διατάξεων της ΕΥΕΔ, όπως οι εύλογες προσαρμογές για τους συναδέλφους με αναπηρία, ώστε να καλύπτουν και το τοπικό προσωπικό των αντιπροσωπειών της Ένωσης·</w:t>
      </w:r>
    </w:p>
    <w:p w14:paraId="09B92BB5" w14:textId="77777777" w:rsidR="00C06AC8" w:rsidRPr="00CB47B9" w:rsidRDefault="00C06AC8" w:rsidP="00924112">
      <w:pPr>
        <w:pStyle w:val="NormalHanging12a"/>
        <w:widowControl/>
        <w:rPr>
          <w:b/>
          <w:bCs/>
          <w:i/>
          <w:iCs/>
        </w:rPr>
      </w:pPr>
      <w:r w:rsidRPr="00CB47B9">
        <w:rPr>
          <w:b/>
          <w:i/>
        </w:rPr>
        <w:t>Δεοντολογικό πλαίσιο και διαφάνεια</w:t>
      </w:r>
    </w:p>
    <w:p w14:paraId="1FCE7F7F" w14:textId="277B3ABC" w:rsidR="00C06AC8" w:rsidRPr="00CB47B9" w:rsidRDefault="00CB47B9" w:rsidP="00CB47B9">
      <w:pPr>
        <w:widowControl/>
        <w:spacing w:after="240"/>
        <w:ind w:left="567" w:hanging="567"/>
        <w:rPr>
          <w:bCs/>
          <w:iCs/>
        </w:rPr>
      </w:pPr>
      <w:r w:rsidRPr="00CB47B9">
        <w:rPr>
          <w:bCs/>
          <w:iCs/>
        </w:rPr>
        <w:t>66.</w:t>
      </w:r>
      <w:r w:rsidRPr="00CB47B9">
        <w:rPr>
          <w:bCs/>
          <w:iCs/>
        </w:rPr>
        <w:tab/>
      </w:r>
      <w:r w:rsidR="00C06AC8" w:rsidRPr="00CB47B9">
        <w:t xml:space="preserve">σημειώνει με ανησυχία την έρευνα της Ευρωπαϊκής Εισαγγελίας που ξεκίνησε το 2025 σχετικά με πιθανή απάτη στον τομέα των δημόσιων συμβάσεων, διαφθορά, σύγκρουση συμφερόντων και παραβίαση του επαγγελματικού απορρήτου, η οποία αφορά σοβαρές υπόνοιες για παραβιάσεις των κανόνων ανταγωνισμού σε σχέση με την ανάθεση από την ΕΥΕΔ στο Κολέγιο της Ευρώπης, κατά την περίοδο 2021-2022, διαδικασίας πρόσκλησης υποβολής προσφορών για πρόγραμμα κατάρτισης διάρκειας εννέα μηνών που σχετίζεται με την υλοποίηση πιλοτικού έργου για τη δημιουργία της Διπλωματικής Ακαδημίας της ΕΕ· υπογραμμίζει ότι η δημιουργία της Διπλωματικής Ακαδημίας της ΕΕ αποτελεί στρατηγικό βήμα προς την ενίσχυση της διπλωματικής ικανότητας της Ένωσης και την ανάπτυξη μιας πραγματικά ευρωπαϊκής διπλωματικής νοοτροπίας· σημειώνει ότι η έρευνα επικεντρώνεται στο αν το Κολέγιο της Ευρώπης και/ή οι εκπρόσωποί του είχαν ενημερωθεί εκ των προτέρων σχετικά με τα κριτήρια επιλογής της διαδικασίας υποβολής προσφορών και είχαν επαρκείς λόγους να πιστεύουν ότι θα τους ανατεθεί η υλοποίηση του έργου, πριν από την επίσημη δημοσίευση της προκήρυξης του διαγωνισμού από την ΕΥΕΔ· σημειώνει περαιτέρω ότι, μετά από έφοδο στην ΕΥΕΔ και στο Κολέγιο της Ευρώπης, η βελγική αστυνομία συνέλαβε </w:t>
      </w:r>
      <w:r w:rsidR="00680DFB" w:rsidRPr="00CB47B9">
        <w:t xml:space="preserve">αρκετούς </w:t>
      </w:r>
      <w:r w:rsidR="00C06AC8" w:rsidRPr="00CB47B9">
        <w:t>υπόπτους τον Δεκέμβριο του 2025 και στη συνέχεια τους άφησε ελεύθερους,</w:t>
      </w:r>
      <w:r w:rsidR="00680DFB" w:rsidRPr="00CB47B9">
        <w:t xml:space="preserve"> </w:t>
      </w:r>
      <w:r w:rsidR="00680DFB" w:rsidRPr="00CB47B9">
        <w:lastRenderedPageBreak/>
        <w:t xml:space="preserve">εκ των οποίων </w:t>
      </w:r>
      <w:r w:rsidR="00C06AC8" w:rsidRPr="00CB47B9">
        <w:t xml:space="preserve">μια πρώην Αντιπρόεδρος/Ύπατη Εκπρόσωπος που </w:t>
      </w:r>
      <w:r w:rsidR="00680DFB" w:rsidRPr="00CB47B9">
        <w:t xml:space="preserve">τότε ήταν </w:t>
      </w:r>
      <w:r w:rsidR="00C06AC8" w:rsidRPr="00CB47B9">
        <w:t xml:space="preserve">πρύτανης του Κολεγίου της Ευρώπης και διευθύντρια της Διπλωματικής Ακαδημίας της ΕΕ, καθώς και </w:t>
      </w:r>
      <w:r w:rsidR="00680DFB" w:rsidRPr="00CB47B9">
        <w:t xml:space="preserve">τον τότε </w:t>
      </w:r>
      <w:r w:rsidR="00C06AC8" w:rsidRPr="00CB47B9">
        <w:t xml:space="preserve">γενικό διευθυντή της Γενικής Διεύθυνσης της Επιτροπής για τη Μέση Ανατολή, τη Βόρεια Αφρική και τον Περσικό Κόλπο, και πρώην Γενικό Γραμματέα της ΕΥΕΔ· σημειώνει με ανησυχία ότι η πρύτανης του Κολεγίου της Ευρώπης και διευθύντρια της Διπλωματικής Ακαδημίας της ΕΕ παραιτήθηκε στο πλαίσιο της εν εξελίξει έρευνας που συνδέεται με παρατυπίες στον τομέα των δημόσιων συμβάσεων και την Διπλωματική Ακαδημία της ΕΕ· σημειώνει ότι μια τέτοια κατάσταση, στην οποία ένας δημόσιος διαγωνισμός ενδέχεται να έχει νοθευτεί προς όφελος ενός ιδρύματος ανώτατης εκπαίδευσης, ενέχει τον κίνδυνο υπονόμευσης της εμπιστοσύνης στα θεσμικά όργανα της Ένωσης, καθώς οι καταγγελίες για παρατυπίες στις διαδικασίες δημόσιων συμβάσεων μπορούν να θέσουν υπό αμφισβήτηση τη διαφάνεια, τη δικαιοσύνη και την ίση μεταχείριση των υποψηφίων· κατανοεί, ωστόσο, ότι τα στοιχεία που σχετίζονται με έρευνες της </w:t>
      </w:r>
      <w:r w:rsidR="00E01CFF" w:rsidRPr="00CB47B9">
        <w:t xml:space="preserve">Ευρωπαϊκής Εισαγγελίας </w:t>
      </w:r>
      <w:r w:rsidR="00C06AC8" w:rsidRPr="00CB47B9">
        <w:t>υπόκεινται σε αυστηρούς κανόνες εμπιστευτικότητας και δεν μπορούν να κοινοποιηθούν στο πλαίσιο της διαδικασίας απαλλαγής και τονίζει ότι δεν πρέπει να εξαχθούν συμπεράσματα πριν περατωθούν οι δικαστικές έρευνες· εκφράζει την ικανοποίησή του για το γεγονός ότι η ΕΥΕΔ δεσμεύτηκε να καταστήσει διαθέσιμα τα σχετικά έγγραφα μόλις περατωθούν οι δικαστικές έρευνες· ζητεί να διερευνηθεί δεόντως κάθε υπόνοια απάτης, με την πλήρη συνεργασία της ΕΥΕΔ· ζητεί από την ΕΥΕΔ, με την επιφύλαξη των εν εξελίξει ερευνών, να αντλήσει συστημικά διδάγματα από την υπόθεση αυτή, προκειμένου να παράσχει σοβαρές εγγυήσεις ότι οι υποθέσεις αυτές δεν θα επαναληφθούν στο μέλλον· ζητεί να παραμένει ενήμερη σχετικά η αρμόδια για την απαλλαγή αρχή σχετικά με τις περαιτέρω εξελίξεις· σημειώνει ότι, βάσει της συμφωνίας επιχορήγησης για την ανάθεση της Διπλωματικής Ακαδημίας της ΕΕ στο Κολέγιο της Ευρώπης, το Κολέγιο έχει την υποχρέωση να υποβάλει έκθεση επαλήθευσης των δαπανών μαζί με την τελική της έκθεση, η οποία καταρτίζεται από εξωτερικό ελεγκτή και πρόκειται να υποβληθεί σύντομα για το 2024, διασφαλίζοντας πλήρη διαφάνεια για τα 1,8 εκατομμύρια EUR που δαπανήθηκαν την περίοδο 2022–2024· σημειώνει ότι, στα τέλη Δεκεμβρίου 2025, η ΕΥΕΔ κίνησε τη διαδικασία επανεξέτασης της απόφασης (</w:t>
      </w:r>
      <w:r w:rsidR="00C91F08" w:rsidRPr="00CB47B9">
        <w:t>ΚΕΠΠΑ</w:t>
      </w:r>
      <w:r w:rsidR="00C06AC8" w:rsidRPr="00CB47B9">
        <w:t>) 2024/1472</w:t>
      </w:r>
      <w:r w:rsidR="00C91F08" w:rsidRPr="00CB47B9">
        <w:t xml:space="preserve"> του Συμβουλίου</w:t>
      </w:r>
      <w:r w:rsidR="00C06AC8" w:rsidRPr="00CB47B9">
        <w:rPr>
          <w:rStyle w:val="FootnoteReference"/>
          <w:bCs/>
          <w:iCs/>
        </w:rPr>
        <w:footnoteReference w:id="10"/>
      </w:r>
      <w:r w:rsidR="00C06AC8" w:rsidRPr="00CB47B9">
        <w:t xml:space="preserve"> για τη σύσταση της Διπλωματικής Ακαδημίας της ΕΕ δρομολογώντας ανεξάρτητη εξωτερική αξιολόγηση της Διπλωματικής Ακαδημίας της ΕΕ και των επιδόσεων του Κολεγίου της Ευρώπης όσον αφορά την υλοποίηση των δραστηριοτήτων εκπαίδευσης και κατάρτισης της Διπλωματικής Ακαδημίας της ΕΕ· καλεί την ΕΥΕΔ να κοινοποιήσει στην αρμόδια για την απαλλαγή αρχή τόσο την έκθεση επαλήθευσης των δαπανών όσο και την εξωτερική αξιολόγηση, ώστε να διασφαλιστεί η λογοδοσία και η διαφάνεια· καλεί την ΕΥΕΔ να παράσχει στο Κοινοβούλιο λεπτομερείς πληροφορίες σχετικά με την εφαρμογή των συστάσεων της Υπηρεσίας Εσωτερικού Λογιστικού Ελέγχου για τις δημόσιες συμβάσεις· ζητεί από την ΕΥΕΔ να δημοσιεύσει τα πορίσματα και τις συστάσεις της ειδικής ομάδας που συγκροτήθηκε το 2024 για την ενίσχυση των διαδικασιών σύναψης συμβάσεων, ώστε να είναι δυνατός ο δημόσιος έλεγχος της εφαρμογής τους και να δοθεί η δυνατότητα σε άλλα θεσμικά όργανα της Ένωσης να επωφεληθούν από τα διδάγματα που άντλησε η ΕΥΕΔ από τη βελτίωση των διαδικασιών σύναψης συμβάσεων· σημειώνει επίσης την απόφαση της διευθύνουσας επιτροπής της Διπλωματικής Ακαδημίας της ΕΕ, κατά τη συνεδρίασή της στις 18 Δεκεμβρίου 2025, να ζητήσει από το Κολέγιο της Ευρώπης να </w:t>
      </w:r>
      <w:r w:rsidR="00C06AC8" w:rsidRPr="00CB47B9">
        <w:lastRenderedPageBreak/>
        <w:t xml:space="preserve">μεριμνήσει για μια διαφανή και ανταγωνιστική διαδικασία πρόσληψης, με βάση τη δημοσίευση προκήρυξης κενής θέσης, όσον αφορά τον διορισμό νέου διευθυντή της Διπλωματικής Ακαδημίας της ΕΕ· εκφράζει την ικανοποίησή του για το γεγονός ότι η διευθύνουσα επιτροπή ζήτησε επίσης να διαχωριστούν τα καθήκοντα του διευθυντή της Διπλωματικής Ακαδημίας της ΕΕ από τα καθήκοντα της πρύτανη του Κολεγίου της Ευρώπης· υπογραμμίζει την ανάγκη για επαγρύπνηση και αποτελεσματική κοινοβουλευτική εποπτεία για τη διασφάλιση της ακεραιότητας των δημόσιων συμβάσεων, των δεοντολογικών προτύπων και της προστασίας των οικονομικών συμφερόντων και της φήμης της Ένωσης· επαναλαμβάνει ότι η διαφάνεια και η χρηστή δημοσιονομική διαχείριση κατά τη χρήση των δημόσιων πόρων της Ένωσης πρέπει να παραμείνουν βασική αρχή για όλα τα θεσμικά όργανα και τους οργανισμούς της Ένωσης, συμπεριλαμβανομένης της ΕΥΕΔ, και ότι η αρχή αυτή αποτελεί ακρογωνιαίο λίθο για τη διατήρηση της εμπιστοσύνης των πολιτών στην εξωτερική δράση της Ένωσης· πιστεύει ότι οι έρευνες της </w:t>
      </w:r>
      <w:r w:rsidR="00E01CFF" w:rsidRPr="00CB47B9">
        <w:t xml:space="preserve">Ευρωπαϊκής Εισαγγελίας </w:t>
      </w:r>
      <w:r w:rsidR="00C06AC8" w:rsidRPr="00CB47B9">
        <w:t>δεν θα πρέπει να χρησιμοποιούνται για την υπονόμευση του ρόλου της Διπλωματικής Ακαδημίας της ΕΕ, η προστιθέμενη αξία της οποίας πρέπει να αναγνωρίζεται πλήρως, ειδικότερα λόγω των σταθερά θετικών παρατηρήσεων που λαμβάνονται από τους συμμετέχοντες και τα κράτη μέλη·</w:t>
      </w:r>
    </w:p>
    <w:p w14:paraId="4FFDDC37" w14:textId="63833926" w:rsidR="00C06AC8" w:rsidRPr="00CB47B9" w:rsidRDefault="00CB47B9" w:rsidP="00CB47B9">
      <w:pPr>
        <w:pStyle w:val="NormalHanging12a"/>
        <w:widowControl/>
      </w:pPr>
      <w:r w:rsidRPr="00CB47B9">
        <w:t>67.</w:t>
      </w:r>
      <w:r w:rsidRPr="00CB47B9">
        <w:tab/>
      </w:r>
      <w:r w:rsidR="00C06AC8" w:rsidRPr="00CB47B9">
        <w:t>σημειώνει την έκθεση της ΕΥΕΔ σύμφωνα με την οποία το πρώτο πλήρες έτος εφαρμογής της στρατηγικής του 2023 για την καταπολέμηση της απάτης είχε ως αποτέλεσμα μια πιο ισχυρή και συνεκτική αρχιτεκτονική για την καταπολέμηση της απάτης, γεγονός που ενίσχυσε τη συνολική ακεραιότητα και διαφάνεια του οργάνου· σημειώνει ότι η εν λόγω στρατηγική τέθηκε σε εφαρμογή μέσω ενισχυμένης κατάρτισης και μέτρων πρόληψης για την ευαισθητοποίηση σχετικά με την απάτη, τα οποία ευθυγραμμίζονται καλύτερα με τις ειδικές αρμοδιότητες των διαφόρων ομάδων προσωπικού στην έδρα και στις αντιπροσωπείες, μέσω της διάδοσης εσωτερικών κατευθυντήριων γραμμών και μέσω της ενίσχυσης ασφαλών διαύλων αναφοράς· σημειώνει ότι το προσωπικό της ΕΥΕΔ έχει πρόσβαση σε μια μαθησιακή διαδρομή για την καταπολέμηση της απάτης που καταρτίστηκε από την Ευρωπαϊκή Υπηρεσία Καταπολέμησης της Απάτης (OLAF), στο πλαίσιο της εφαρμογής της δράσης της στρατηγικής της Επιτροπής για την καταπολέμηση της απάτης σχετικά με την κατάρτιση κοινού σχεδίου δεοντολογίας και κατάρτισης για την καταπολέμηση της απάτης με την ΕΥΕΔ· επικροτεί τη συνεχιζόμενη προώθηση των 16 «αρχών επαγγελματικής συμπεριφοράς» κατά τη διάρκεια των υποχρεωτικών μαθημάτων «Δεοντολογία και ακεραιότητα» και «Πολιτική κατά της παρενόχλησης»·</w:t>
      </w:r>
    </w:p>
    <w:p w14:paraId="58F602D8" w14:textId="34094AB1" w:rsidR="00C06AC8" w:rsidRPr="00CB47B9" w:rsidRDefault="00CB47B9" w:rsidP="00CB47B9">
      <w:pPr>
        <w:pStyle w:val="NormalHanging12a"/>
        <w:widowControl/>
      </w:pPr>
      <w:r w:rsidRPr="00CB47B9">
        <w:t>68.</w:t>
      </w:r>
      <w:r w:rsidRPr="00CB47B9">
        <w:tab/>
      </w:r>
      <w:r w:rsidR="00C06AC8" w:rsidRPr="00CB47B9">
        <w:t>σημειώνει, με βάση το ερωτηματολόγιο, ότι η ΕΥΕΔ κατέγραψε δύο υποθέσεις καταγγελίας δυσλειτουργιών το 2024· σημειώνει ότι και οι δύο υποθέσεις εξετάστηκαν από την OLAF και περατώθηκαν χωρίς συστάσεις, είτε κατόπιν έρευνας είτε στο στάδιο της επιλογής· σημειώνει με ικανοποίηση, με βάση την έκθεση της ΕΥΕΔ για το 2024, ότι η ΕΥΕΔ άρχισε να εργάζεται για την κατάρτιση της δικής της πολιτικής για τους καταγγέλτες· ζητεί να ενημερώνεται το Κοινοβούλιο σχετικά με την πρόοδο που σημειώνεται όσον αφορά το ζήτημα αυτό· επιμένει ότι το πλαίσιο της ΕΥΕΔ για τους καταγγέλτες πρέπει να περιλαμβάνει την εμπιστευτική υποβολή αναφορών, την προστασία έναντι αντιποίνων για όλες τις κατηγορίες προσωπικού, συμπεριλαμβανομένων των τοπικών υπαλλήλων, και την ετήσια ανωνυμοποιημένη υποβολή αναφορών σε σχέση με τις υποθέσεις και τα αποτελέσματα·</w:t>
      </w:r>
    </w:p>
    <w:p w14:paraId="70D802A4" w14:textId="31D0D85E" w:rsidR="00C06AC8" w:rsidRPr="00CB47B9" w:rsidRDefault="00CB47B9" w:rsidP="00CB47B9">
      <w:pPr>
        <w:pStyle w:val="NormalHanging12a"/>
        <w:widowControl/>
      </w:pPr>
      <w:r w:rsidRPr="00CB47B9">
        <w:t>69.</w:t>
      </w:r>
      <w:r w:rsidRPr="00CB47B9">
        <w:tab/>
      </w:r>
      <w:r w:rsidR="00C06AC8" w:rsidRPr="00CB47B9">
        <w:t xml:space="preserve">σημειώνει, με βάση το ερωτηματολόγιο, ότι το 2024 η ΕΥΕΔ κατέγραψε τρεις δηλώσεις σύγκρουσης συμφερόντων· παρατηρεί ότι, σε δύο περιπτώσεις που </w:t>
      </w:r>
      <w:r w:rsidR="00C06AC8" w:rsidRPr="00CB47B9">
        <w:lastRenderedPageBreak/>
        <w:t>αφορούσαν διαδικασίες σύναψης συμβάσεων, εντοπίστηκε και μετριάστηκε πιθανός κίνδυνος σύγκρουσης συμφερόντων με την απαλλαγή των ενδιαφερόμενων μελών του προσωπικού από ορισμένα καθήκοντα που σχετίζονταν με τη σύναψη συμβάσεων· σημειώνει περαιτέρω ότι, στην τρίτη περίπτωση η οποία αφορούσε επιστροφή εξόδων, δεν διαπιστώθηκε σύγκρουση συμφερόντων, καθώς το μέλος του προσωπικού δεν είχε κανένα ρόλο διακριτικής ευχέρειας στον υπολογισμό της επιστροφής· σημειώνει ότι η ΕΥΕΔ έλαβε 16 κοινοποιήσεις σχετικά με δραστηριότητες μετά την αποχώρηση από την υπηρεσία, συμπεριλαμβανομένων πέντε που αφορούσαν μετακινήσεις στον ιδιωτικό τομέα, και απαγόρευσε δύο περιπτώσεις μεταπήδησης στον ιδιωτικό τομέα, ενώ δεν επέβαλε περιόδους αναμονής σε πρώην μέλη του προσωπικού·</w:t>
      </w:r>
    </w:p>
    <w:p w14:paraId="29EA362E" w14:textId="4B55B36A" w:rsidR="00C06AC8" w:rsidRPr="00CB47B9" w:rsidRDefault="00CB47B9" w:rsidP="00CB47B9">
      <w:pPr>
        <w:pStyle w:val="NormalHanging12a"/>
        <w:widowControl/>
      </w:pPr>
      <w:r w:rsidRPr="00CB47B9">
        <w:t>70.</w:t>
      </w:r>
      <w:r w:rsidRPr="00CB47B9">
        <w:tab/>
      </w:r>
      <w:r w:rsidR="00C06AC8" w:rsidRPr="00CB47B9">
        <w:t>σημειώνει ότι, το 2024, παραπέμφθηκαν στην OLAF 11 εικαζόμενες υποθέσεις, εκ των οποίων οι 7 απορρίφθηκαν στο στάδιο της επιλογής και μία περατώθηκε χωρίς συστάσεις· σημειώνει περαιτέρω ότι τρεις υποθέσεις —σχετικά με πιθανά παραπτώματα ή παρατυπίες στο πλαίσιο των διαδικασιών σύναψης συμβάσεων, της εκτέλεσης συμβάσεων, καθώς και ζητημάτων ανθρώπινων πόρων— παρέμειναν υπό διερεύνηση· σημειώνει περαιτέρω ότι, από τις 13 έρευνες της OLAF που κινήθηκαν το 2023 σχετικά με την ΕΥΕΔ, δέκα υποθέσεις παραμένουν σε εξέλιξη, μία εκ των οποίων συνδέεται με επιφύλαξη που διατύπωσε η αντιπροσωπεία της Ένωσης στη Σιέρα Λεόνε όσον αφορά υπόνοια απάτης σε σχέση με τον διοικητικό προϋπολογισμό της εν λόγω αντιπροσωπείας της Ένωσης· καλεί την ΕΥΕΔ να παραμείνει πλήρως δεσμευμένη στη στενή συνεργασία με την OLAF στις υποθέσεις που βρίσκονται υπό εξέλιξη και στην παρακολούθηση όλων των εκκρεμών συστάσεων της OLAF·</w:t>
      </w:r>
    </w:p>
    <w:p w14:paraId="192D4C12" w14:textId="18A9F62C" w:rsidR="00C06AC8" w:rsidRPr="00CB47B9" w:rsidRDefault="00CB47B9" w:rsidP="00CB47B9">
      <w:pPr>
        <w:pStyle w:val="NormalHanging12a"/>
        <w:widowControl/>
      </w:pPr>
      <w:r w:rsidRPr="00CB47B9">
        <w:t>71.</w:t>
      </w:r>
      <w:r w:rsidRPr="00CB47B9">
        <w:tab/>
      </w:r>
      <w:r w:rsidR="00C06AC8" w:rsidRPr="00CB47B9">
        <w:t>σημειώνει ότι, το 2024, η ΕΥΕΔ διεκπεραίωσε 19 έρευνες της Ευρωπαίας Διαμεσολαβήτριας, εκ των οποίων οι δέκα αφορούσαν διοικητικά θέματα (συμπεριλαμβανομένων καθυστερημένων απαντήσεων), οι πέντε αφορούσαν την πρόσβαση σε έγγραφα και οι τέσσερις ζητήματα ανθρώπινων πόρων, επιπρόσθετα με διάφορες άτυπα αιτήματα παροχής πληροφοριών που συνδέονταν κυρίως με αποστολές, επιχειρήσεις και την πρόσβαση σε έγγραφα· σημειώνει με ικανοποίηση ότι η Ευρωπαία Διαμεσολαβήτρια δεν διαπίστωσε περιπτώσεις κακοδιοίκησης σε καμία από τις έρευνες που κινήθηκαν και ολοκληρώθηκαν το 2024·</w:t>
      </w:r>
    </w:p>
    <w:p w14:paraId="79CBFB58" w14:textId="0CFE73B7" w:rsidR="00C06AC8" w:rsidRPr="00CB47B9" w:rsidRDefault="00CB47B9" w:rsidP="00CB47B9">
      <w:pPr>
        <w:pStyle w:val="NormalHanging12a"/>
        <w:widowControl/>
        <w:rPr>
          <w:bCs/>
          <w:iCs/>
        </w:rPr>
      </w:pPr>
      <w:r w:rsidRPr="00CB47B9">
        <w:rPr>
          <w:bCs/>
          <w:iCs/>
        </w:rPr>
        <w:t>72.</w:t>
      </w:r>
      <w:r w:rsidRPr="00CB47B9">
        <w:rPr>
          <w:bCs/>
          <w:iCs/>
        </w:rPr>
        <w:tab/>
      </w:r>
      <w:r w:rsidR="00C06AC8" w:rsidRPr="00CB47B9">
        <w:t xml:space="preserve">εκφράζει τη λύπη του για το γεγονός ότι η ΕΥΕΔ απέτυχε να επανεξετάσει καταλλήλως την εφαρμογή των συμφωνιών συνεργασίας με τρίτες χώρες, συμπεριλαμβανομένης της αξιολόγησης της συμμόρφωσης με τους όρους αυτών και τις ρήτρες για τα ανθρώπινα δικαιώματα· τονίζει ότι η αποτυχία αυτή είναι ιδιαίτερα εμφανής στην περίπτωση της συμφωνίας πολιτικού διαλόγου και συνεργασίας με την Κούβα, η οποία, δέκα έτη μετά την υπογραφή της, απέτυχε σε όλους τους τομείς, από τον σεβασμό των ανθρωπίνων δικαιωμάτων, μεταξύ άλλων με τη φυλάκιση περισσότερων από χιλίων πολιτικών κρατουμένων μέχρι το τέλος του 2025, έως τον επιβλαβή αντίκτυπο της Αβάνα στην ευρωπαϊκή ασφάλεια, μεταξύ άλλων με τη στενή πολιτική και στρατιωτική συνεργασία με τα καθεστώτα της Μόσχας και του </w:t>
      </w:r>
      <w:proofErr w:type="spellStart"/>
      <w:r w:rsidR="00C06AC8" w:rsidRPr="00CB47B9">
        <w:t>Μινσκ</w:t>
      </w:r>
      <w:proofErr w:type="spellEnd"/>
      <w:r w:rsidR="00C06AC8" w:rsidRPr="00CB47B9">
        <w:t xml:space="preserve">, όπως καταδεικνύεται ιδίως από το γεγονός ότι οι Κουβανοί έχουν αναδειχθεί στη μεγαλύτερη ομάδα μισθοφόρων που υποστηρίζουν τις ρωσικές δυνάμεις στην επίθεσή τους κατά της Ουκρανίας και από τη συμμετοχή τους σε πράξεις δολιοφθοράς στο έδαφος της ΕΕ, όπως αποδείχθηκε πρόσφατα στη Λιθουανία· σημειώνει ότι, παρά τις κατάφωρες παραβιάσεις πολυάριθμων διατάξεων της συμφωνίας, δεν έχουν ενεργοποιηθεί ούτε οι ρήτρες αναστολής ούτε οι ρήτρες λύσης, ενώ οι χρηματοδοτικοί πόροι της Ένωσης συνέχισαν να διοχετεύονται στην Κούβα, όπου το κομμουνιστικό καθεστώς ελέγχει ολόκληρη την οικονομία, καταχράται τα εν λόγω κονδύλια και αντλεί πολιτική νομιμότητα από τη </w:t>
      </w:r>
      <w:r w:rsidR="00C06AC8" w:rsidRPr="00CB47B9">
        <w:lastRenderedPageBreak/>
        <w:t>συνεχιζόμενη συνεργασία δυνάμει της συμφωνίας πολιτικού διαλόγου και συνεργασίας· θεωρεί ότι τα καθεστώτα αυτά δεν πρέπει να συνεχίσουν να επωφελούνται από την προνομιακή συνεργασία με την Ευρωπαϊκή Ένωση και ότι τα χρήματα των φορολογουμένων της Ένωσης δεν πρέπει να εξυπηρετούν τέτοια καθεστώτα· ζητεί, ως εκ τούτου, την ενεργοποίηση του άρθρου 86 της συμφωνίας και τη λύση αυτής· καλεί το Ελεγκτικό Συνέδριο να εξετάσει επειγόντως το σύνολο της στήριξης της Ένωσης που έχει χορηγηθεί στην Κούβα από το 2016·</w:t>
      </w:r>
    </w:p>
    <w:p w14:paraId="530045D2" w14:textId="032A68AD" w:rsidR="00C06AC8" w:rsidRPr="00CB47B9" w:rsidRDefault="00CB47B9" w:rsidP="00CB47B9">
      <w:pPr>
        <w:pStyle w:val="NormalHanging12a"/>
        <w:widowControl/>
      </w:pPr>
      <w:r w:rsidRPr="00CB47B9">
        <w:t>73.</w:t>
      </w:r>
      <w:r w:rsidRPr="00CB47B9">
        <w:tab/>
      </w:r>
      <w:r w:rsidR="00C06AC8" w:rsidRPr="00CB47B9">
        <w:t>σημειώνει ότι, υπό την ιδιότητά της ως Αντιπροέδρου της Επιτροπής, η Αντιπρόεδρος/Ύπατη Εκπρόσωπος δεσμεύεται από τους κανόνες του Μητρώου Διαφάνειας· τονίζει ότι, ενώ η ΕΥΕΔ δεν είναι θεσμικό όργανο κατά την έννοια του άρθρου 13 της Συνθήκης για την Ευρωπαϊκή Ένωση και δεν διαδραματίζει άμεσο ρόλο στο ενωσιακό δίκαιο, είναι όμως σημαντικός ο ρόλος της στο ενωσιακό δίκαιο όσον αφορά αποφάσεις για την επιβολή κυρώσεων και τη διαπραγμάτευση διεθνών εμπορικών συμφωνιών, οι οποίες έχουν σημαντικό κανονιστικό αντίκτυπο· καλεί την ΕΥΕΔ να εγκρίνει εσωτερικά μέτρα διαφάνειας ευθυγραμμισμένα με τα πρότυπα του Μητρώου Διαφάνειας, συμπεριλαμβανομένης της προορατικής δημοσίευσης συνεδριάσεων υψηλού επιπέδου των σχετικών ανώτατων διοικητικών στελεχών, εφόσον αυτό δεν θέτει σε κίνδυνο την ευαίσθητη από άποψη ασφάλειας διπλωματία για την ΕΥΕΔ· σημειώνει με ικανοποίηση, με βάση την έκθεση παρακολούθησης, ότι η Αντιπρόεδρος/Ύπατη Εκπρόσωπος ξεκίνησε μια ευρύτερη συζήτηση για την αντιμετώπιση του ζητήματος στην εξωτερική διάσταση, με διατύπωση συστάσεων που αναμένονται έως το τέλος του 2025· ζητεί από την ΕΥΕΔ να ενημερώνει το Κοινοβούλιο σχετικά με την πρόοδο που σημειώνεται στο ζήτημα αυτό·</w:t>
      </w:r>
    </w:p>
    <w:p w14:paraId="4C836381" w14:textId="77777777" w:rsidR="00C06AC8" w:rsidRPr="00CB47B9" w:rsidRDefault="00C06AC8" w:rsidP="00924112">
      <w:pPr>
        <w:pStyle w:val="NormalHanging12a"/>
        <w:widowControl/>
        <w:rPr>
          <w:b/>
          <w:bCs/>
          <w:i/>
          <w:iCs/>
        </w:rPr>
      </w:pPr>
      <w:r w:rsidRPr="00CB47B9">
        <w:rPr>
          <w:b/>
          <w:i/>
        </w:rPr>
        <w:t>Ψηφιοποίηση, κυβερνοασφάλεια και προστασία δεδομένων</w:t>
      </w:r>
    </w:p>
    <w:p w14:paraId="678D1A03" w14:textId="7765458F" w:rsidR="00C06AC8" w:rsidRPr="00CB47B9" w:rsidRDefault="00CB47B9" w:rsidP="00CB47B9">
      <w:pPr>
        <w:pStyle w:val="NormalHanging12a"/>
        <w:widowControl/>
      </w:pPr>
      <w:r w:rsidRPr="00CB47B9">
        <w:t>74.</w:t>
      </w:r>
      <w:r w:rsidRPr="00CB47B9">
        <w:tab/>
      </w:r>
      <w:r w:rsidR="00C06AC8" w:rsidRPr="00CB47B9">
        <w:t>σημειώνει, με βάση το ερωτηματολόγιο, ότι οι δαπάνες ΤΠ, συμπεριλαμβανομένων των έργων, του εξοπλισμού και της κυβερνοασφάλειας, μειώθηκαν κατά 6,1 %, από 26,04 εκατομμύρια EUR το 2023 σε 24,45 εκατομμύρια EUR το 2024· παρατηρεί ότι οι δαπάνες ΤΠ για την έδρα αυξήθηκαν κατά 37,2 % το 2024, κυρίως λόγω σημαντικών επενδύσεων για τη στήριξη της μεταφοράς των εφαρμογών της ΕΥΕΔ, ενώ οι δαπάνες στις αντιπροσωπείες της Ένωσης μειώθηκαν σημαντικά μετά τις σημαντικές επενδύσεις στην ανανέωση του υλισμικού υπολογιστών και τη συνδεσιμότητα στις αντιπροσωπείες της Ένωσης που πραγματοποιήθηκαν το 2023·</w:t>
      </w:r>
    </w:p>
    <w:p w14:paraId="2B2BD03D" w14:textId="21EC0AC1" w:rsidR="00C06AC8" w:rsidRPr="00CB47B9" w:rsidRDefault="00CB47B9" w:rsidP="00CB47B9">
      <w:pPr>
        <w:pStyle w:val="NormalHanging12a"/>
        <w:widowControl/>
      </w:pPr>
      <w:r w:rsidRPr="00CB47B9">
        <w:t>75.</w:t>
      </w:r>
      <w:r w:rsidRPr="00CB47B9">
        <w:tab/>
      </w:r>
      <w:r w:rsidR="00C06AC8" w:rsidRPr="00CB47B9">
        <w:t>υπενθυμίζει ότι η ΕΥΕΔ άρχισε να φιλοξενεί και να διαχειρίζεται το δικό της περιβάλλον ΤΝ το 2023, γεγονός που παρείχε τη δυνατότητα για εξακρίβωση του εφικτού ιδέας, για παράδειγμα σε σχέση με ενημερώσεις, πρακτικά συνεδριάσεων και έναν βοηθό ΤΝ· εκφράζει την ικανοποίησή του για την έγκριση της στρατηγικής της ΕΥΕΔ για την τεχνητή νοημοσύνη το 2024, η οποία προωθεί μια ανθρωποκεντρική προσέγγιση της ΤΝ σύμφωνα με τον κανονισμό (ΕΕ) 2024/1689 του Ευρωπαϊκού Κοινοβουλίου και του Συμβουλίου</w:t>
      </w:r>
      <w:r w:rsidR="00C06AC8" w:rsidRPr="00CB47B9">
        <w:rPr>
          <w:rStyle w:val="FootnoteReference"/>
        </w:rPr>
        <w:footnoteReference w:id="11"/>
      </w:r>
      <w:r w:rsidR="00C06AC8" w:rsidRPr="00CB47B9">
        <w:t xml:space="preserve">, διασφαλίζοντας δεοντολογικά και αξιόπιστα </w:t>
      </w:r>
      <w:r w:rsidR="00C06AC8" w:rsidRPr="00CB47B9">
        <w:lastRenderedPageBreak/>
        <w:t>συστήματα και τις κατευθυντήριες γραμμές για τη χρήση παραγωγικής ΤΝ τρίτων· εκφράζει την ικανοποίησή του για το γεγονός ότι η ΕΥΕΔ επέκτεινε τη συνεργατική και επικεντρωμένη στα έγγραφα πλατφόρμα (HIVE) σε εξωτερικούς χρήστες, π.χ. από τα κράτη μέλη και το σύστημα διαχείρισης ανθρωπίνων πόρων (HR HUB) στους τοπικούς υπαλλήλους στις αντιπροσωπείες της Ένωσης·</w:t>
      </w:r>
    </w:p>
    <w:p w14:paraId="4AE08442" w14:textId="09266B38" w:rsidR="00C06AC8" w:rsidRPr="00CB47B9" w:rsidRDefault="00CB47B9" w:rsidP="00CB47B9">
      <w:pPr>
        <w:pStyle w:val="NormalHanging12a"/>
        <w:widowControl/>
        <w:rPr>
          <w:bCs/>
          <w:iCs/>
        </w:rPr>
      </w:pPr>
      <w:r w:rsidRPr="00CB47B9">
        <w:rPr>
          <w:bCs/>
          <w:iCs/>
        </w:rPr>
        <w:t>76.</w:t>
      </w:r>
      <w:r w:rsidRPr="00CB47B9">
        <w:rPr>
          <w:bCs/>
          <w:iCs/>
        </w:rPr>
        <w:tab/>
      </w:r>
      <w:r w:rsidR="00C06AC8" w:rsidRPr="00CB47B9">
        <w:t>τονίζει ότι η ανάπτυξη εργαλείων τεχνητής νοημοσύνης στην εξωτερική δράση πρέπει να συνοδεύεται από αυστηρές διασφαλίσεις όσον αφορά την προστασία των δεδομένων, τα θεμελιώδη δικαιώματα, τη διαφάνεια και την ανθρώπινη εποπτεία, μεταξύ άλλων στις αντιπροσωπείες της Ένωσης και στο πλαίσιο της συνεργασίας με τρίτες χώρες εταίρους· ζητεί την τακτική υποβολή εκθέσεων στο Κοινοβούλιο σχετικά με την εφαρμογή της στρατηγικής της ΕΥΕΔ για την τεχνητή νοημοσύνη·</w:t>
      </w:r>
    </w:p>
    <w:p w14:paraId="223EB87D" w14:textId="58C7EEF1" w:rsidR="00C06AC8" w:rsidRPr="00CB47B9" w:rsidRDefault="00CB47B9" w:rsidP="00CB47B9">
      <w:pPr>
        <w:pStyle w:val="NormalHanging12a"/>
        <w:widowControl/>
      </w:pPr>
      <w:r w:rsidRPr="00CB47B9">
        <w:t>77.</w:t>
      </w:r>
      <w:r w:rsidRPr="00CB47B9">
        <w:tab/>
      </w:r>
      <w:r w:rsidR="00C06AC8" w:rsidRPr="00CB47B9">
        <w:t>επαινεί την ΕΥΕΔ για τις δράσεις της σχετικά με την ενίσχυση της κυβερνοετοιμότητας, μέσω τακτικών ενημερώσεων για θέματα ασφάλειας που καλύπτουν ένα ευρύ φάσμα προσωπικού και συνδεδεμένων φορέων, καθώς και μέσω σεμιναρίων κατάρτισης που διοργανώνονται κατόπιν αιτήματος από διάφορες ομάδες χρηστών, συμπεριλαμβανομένων των περιφερειακών υπευθύνων ασφάλειας (ΠΥΑ) και των συντονιστών ασφάλειας αντιπροσωπείας της Ένωσης (ΣΑΑ) και ασκήσεων ηλεκτρονικού «ψαρέματος» (</w:t>
      </w:r>
      <w:proofErr w:type="spellStart"/>
      <w:r w:rsidR="00C06AC8" w:rsidRPr="00CB47B9">
        <w:t>phishing</w:t>
      </w:r>
      <w:proofErr w:type="spellEnd"/>
      <w:r w:rsidR="00C06AC8" w:rsidRPr="00CB47B9">
        <w:t>)· καλεί την ΕΥΕΔ να παράσχει τακτική υποχρεωτική εκπαίδευση στον τομέα της κυβερνοασφάλειας για όλα τα μέλη του προσωπικού της ΕΥΕΔ· σημειώνει με ικανοποίηση, με βάση το ερωτηματολόγιο, τα εργαλεία —όπως το κέντρο επιχειρήσεων ασφάλειας της ΕΥΕΔ— με τα οποία η ΕΥΕΔ είναι εξοπλισμένη να παρακολουθεί τις απειλές στον κυβερνοχώρο και να εντοπίζει τα τρωτά σημεία στον τομέα της ασφάλειας σε πραγματικό χρόνο·</w:t>
      </w:r>
    </w:p>
    <w:p w14:paraId="5B384516" w14:textId="0C37EE91" w:rsidR="00C06AC8" w:rsidRPr="00CB47B9" w:rsidRDefault="00CB47B9" w:rsidP="00CB47B9">
      <w:pPr>
        <w:pStyle w:val="NormalHanging12a"/>
        <w:widowControl/>
      </w:pPr>
      <w:r w:rsidRPr="00CB47B9">
        <w:t>78.</w:t>
      </w:r>
      <w:r w:rsidRPr="00CB47B9">
        <w:tab/>
      </w:r>
      <w:r w:rsidR="00C06AC8" w:rsidRPr="00CB47B9">
        <w:t xml:space="preserve">συγχαίρει την ΕΥΕΔ για τα ψηφιακά εργαλεία και συστήματα που χρησιμοποιεί για την καταπολέμηση της χειραγώγησης των πληροφοριών και των παρεμβάσεων από το εξωτερικό, όπως το κέντρο ανταλλαγής και ανάλυσης πληροφοριών σχετικά με τη χειραγώγηση των πληροφοριών και τις παρεμβάσεις από το εξωτερικό ή το σύστημα έγκαιρης προειδοποίησης· σημειώνει περαιτέρω, με βάση το ερωτηματολόγιο, τη δρομολόγηση ενός προγράμματος ηλεκτρονικής μάθησης για την αντιμετώπιση της παραπληροφόρησης, που είναι προσβάσιμο σε όλα τα όργανα της Ένωσης, και την ολοκλήρωση ενός εγχειριδίου ΚΠΑΑ σχετικά με την παραπληροφόρηση, το οποίο έχει σχεδιαστεί για τη στήριξη του επιτόπιου προσωπικού σε στρατιωτικές και μη στρατιωτικές αποστολές της Ένωσης· εκφράζει την ικανοποίησή του για τη συνεχιζόμενη ανάπτυξη της πρωτοβουλίας ευαισθητοποίησης </w:t>
      </w:r>
      <w:proofErr w:type="spellStart"/>
      <w:r w:rsidR="00C06AC8" w:rsidRPr="00CB47B9">
        <w:t>EUvsDisinfo</w:t>
      </w:r>
      <w:proofErr w:type="spellEnd"/>
      <w:r w:rsidR="00C06AC8" w:rsidRPr="00CB47B9">
        <w:t xml:space="preserve"> και τονίζει τη σημασία της περαιτέρω συνεργασίας με τα κράτη μέλη προκειμένου να αντιμετωπιστούν αποτελεσματικότερα οι υβριδικές απειλές στο πεδίο δράσης·</w:t>
      </w:r>
    </w:p>
    <w:p w14:paraId="18BF473E" w14:textId="712AA63A" w:rsidR="00C06AC8" w:rsidRPr="00CB47B9" w:rsidRDefault="00CB47B9" w:rsidP="00CB47B9">
      <w:pPr>
        <w:pStyle w:val="NormalHanging12a"/>
        <w:widowControl/>
      </w:pPr>
      <w:r w:rsidRPr="00CB47B9">
        <w:t>79.</w:t>
      </w:r>
      <w:r w:rsidRPr="00CB47B9">
        <w:tab/>
      </w:r>
      <w:r w:rsidR="00C06AC8" w:rsidRPr="00CB47B9">
        <w:t>σημειώνει, με βάση το ερωτηματολόγιο και την έκθεση της ΕΥΕΔ για το 2024, ότι η ΕΥΕΔ εντόπισε περίπου 27 000 προειδοποιήσεις, εκ των οποίων οι 348 απαιτούσαν περαιτέρω διερεύνηση· παρατηρεί ότι 57 από τις τελευταίες επιβεβαιώθηκαν ως κυβερνοεπιθέσεις και 5 είχαν σημαντικό αντίκτυπο στις επιχειρήσεις της ΕΥΕΔ· σημειώνει με ικανοποίηση ότι η ΕΥΕΔ εντόπισε τις τακτικές, τις τεχνικές και τις διαδικασίες των επιτιθεμένων και χρησιμοποίησε την ανάλυση αυτή για να ενισχύσει τα αντίμετρά της· ζητεί διευκρινίσεις σχετικά με τον βαθμό στον οποίο οι εν λόγω επιθέσεις επηρέασαν τις δραστηριότητες του οργάνου·</w:t>
      </w:r>
    </w:p>
    <w:p w14:paraId="7D1CDEBA" w14:textId="77777777" w:rsidR="00C06AC8" w:rsidRPr="00CB47B9" w:rsidRDefault="00C06AC8" w:rsidP="00924112">
      <w:pPr>
        <w:pStyle w:val="NormalHanging12a"/>
        <w:widowControl/>
        <w:rPr>
          <w:b/>
          <w:bCs/>
          <w:i/>
          <w:iCs/>
        </w:rPr>
      </w:pPr>
      <w:r w:rsidRPr="00CB47B9">
        <w:rPr>
          <w:b/>
          <w:i/>
        </w:rPr>
        <w:t>Κτίρια και ασφάλεια</w:t>
      </w:r>
    </w:p>
    <w:p w14:paraId="5799712B" w14:textId="0B2DA549" w:rsidR="00C06AC8" w:rsidRPr="00CB47B9" w:rsidRDefault="00CB47B9" w:rsidP="00CB47B9">
      <w:pPr>
        <w:pStyle w:val="NormalHanging12a"/>
        <w:widowControl/>
      </w:pPr>
      <w:r w:rsidRPr="00CB47B9">
        <w:lastRenderedPageBreak/>
        <w:t>80.</w:t>
      </w:r>
      <w:r w:rsidRPr="00CB47B9">
        <w:tab/>
      </w:r>
      <w:r w:rsidR="00C06AC8" w:rsidRPr="00CB47B9">
        <w:t>σημειώνει ότι το 2024 η ΕΥΕΔ διέθετε ένα συνολικό δίκτυο 328 κτιρίων για τις αντιπροσωπείες της Ένωσης που χρησιμοποιούνταν ως γραφεία και κατοικίες για τους επικεφαλής των αντιπροσωπειών, καθώς και τρία κτίρια γραφείων στην έδρα στις Βρυξέλλες· σημειώνει ότι, έως το τέλος του 2024, η ΕΥΕΔ χρησιμοποιούσε τρία κτίρια στις Βρυξέλλες συνολικού εμβαδού 87 506 m² και χρησιμοποιούσε 175 κτίρια γραφείων για τις αντιπροσωπείες της Ένωσης σε τρίτες χώρες, συνολικού εμβαδού 287 000 m²· σημειώνει περαιτέρω ότι στην Ένωση ανήκε το 23 % των εν λόγω εγκαταστάσεων των αντιπροσωπειών της Ένωσης, ενώ το υπόλοιπο 77 % ήταν μισθωμένο· σημειώνει με ανησυχία, με βάση το ερωτηματολόγιο, την έλλειψη πόρων η οποία περιορίζει την εφαρμογή της κτιριακής πολιτικής της ΕΥΕΔ, ενώ η ΕΥΕΔ θα χρειαστεί περισσότερους εμπειρογνώμονες σε θέματα υποδομών για να αυξήσει την ικανότητά της να εκτελεί έργα στον τομέα των ακινήτων·</w:t>
      </w:r>
    </w:p>
    <w:p w14:paraId="3497522B" w14:textId="20DE4C9B" w:rsidR="00C06AC8" w:rsidRPr="00CB47B9" w:rsidRDefault="00CB47B9" w:rsidP="00CB47B9">
      <w:pPr>
        <w:pStyle w:val="NormalHanging12a"/>
        <w:widowControl/>
      </w:pPr>
      <w:r w:rsidRPr="00CB47B9">
        <w:t>81.</w:t>
      </w:r>
      <w:r w:rsidRPr="00CB47B9">
        <w:tab/>
      </w:r>
      <w:r w:rsidR="00C06AC8" w:rsidRPr="00CB47B9">
        <w:t>σημειώνει με ικανοποίηση ότι η ΕΥΕΔ επιβεβαίωσε τη δέσμευσή της να διατηρήσει το δίκτυο των 145 αντιπροσωπειών της Ένωσης και να ενισχύσει την αρχή της «μίας αντιπροσωπείας»· παρατηρεί ότι ο υπό εξέλιξη εκσυγχρονισμός επιδιώκει να ενισχύσει την αποτελεσματικότητα και να ευθυγραμμίσει το δίκτυο με τις προτεραιότητες της Ένωσης, αντιμετωπίζοντας παράλληλα τους δημοσιονομικούς περιορισμούς· υπογραμμίζει ότι, μέχρι να βελτιωθεί η οικονομική κατάσταση, θα συνεχιστούν τα αυστηρά μέτρα αποταμίευσης, οι συζητήσεις με την Επιτροπή για τον επιμερισμό του κόστους και η στοχευμένη ενίσχυση των βασικών αντιπροσωπειών της Ένωσης· καλεί την ΕΥΕΔ να εφαρμόσει μεθοδολογία περιοδικής αξιολόγησης του φόρτου εργασίας και των αναγκών σε προσωπικό για τις αντιπροσωπείες, η οποία θα συνδέεται με το επίπεδο κινδύνου και τη διεύρυνση της εντολής, με στόχο την πρόληψη της επαγγελματικής εξουθένωσης και τη βελτίωση της διατήρησης του προσωπικού· εκφράζει ανησυχίες σχετικά με το σχέδιο εισαγωγής νέων διακρίσεων ως προς τις κατηγορίες και τη διάθεση πόρων μεταξύ των αντιπροσωπειών· εκφράζει τη λύπη του διότι η μείωση του μεγέθους ορισμένων αντιπροσωπειών της Ένωσης και η μείωση του προσωπικού, κατά τη μετατόπιση από την αρχική εστίαση στην αναπτυξιακή βοήθεια και την οικονομική συνεργασία σε ορισμένα στρατηγικά συμφέροντα, ενέχει τον κίνδυνο να υπονομευτούν οι επιχειρησιακές δραστηριότητες και η παρουσία της Ένωσης σε τρίτες χώρες και να παρεμποδιστεί η ικανότητα της ΕΥΕΔ να εκπληρώνει την εντολή της και να υπερασπίζεται τις αξίες της Ένωσης, με ιδιαίτερη επίπτωση στις σχέσεις της Ένωσης με τον Νότο και τη Νότια Γειτονία· καλεί την ΕΥΕΔ να διατηρήσει τον καίριο ρόλο και τη στρατηγική προτεραιότητά της στην περιοχή της Μεσογείου βασιζόμενη σε μια ολοκληρωμένη εκτίμηση των γεωπολιτικών προκλήσεων της Ένωσης, συνεχίζοντας ταυτόχρονα την τρέχουσα συνεργασία της με τις χώρες της ανατολικής γειτονίας·</w:t>
      </w:r>
    </w:p>
    <w:p w14:paraId="2C380367" w14:textId="59E427F8" w:rsidR="00C06AC8" w:rsidRPr="00CB47B9" w:rsidRDefault="00CB47B9" w:rsidP="00CB47B9">
      <w:pPr>
        <w:pStyle w:val="NormalHanging12a"/>
        <w:widowControl/>
      </w:pPr>
      <w:r w:rsidRPr="00CB47B9">
        <w:t>82.</w:t>
      </w:r>
      <w:r w:rsidRPr="00CB47B9">
        <w:tab/>
      </w:r>
      <w:r w:rsidR="00C06AC8" w:rsidRPr="00CB47B9">
        <w:t>επαναλαμβάνει ότι οι δημοσιονομικοί περιορισμοί ενδέχεται να οδηγήσουν στο κλείσιμο υπερβολικού αριθμού πρεσβειών της ΕΕ, καθώς και στην αναβολή των εγκαταστάσεων ασφάλειας σε ορισμένες αντιπροσωπείες της ΕΕ, πράγμα που εμποδίζει την ικανότητα της ΕΥΕΔ να εκτελεί την εντολή της, να υπερασπίζεται της αξίες της ΕΕ και να διασφαλίζει δεόντως το καθήκον μέριμνας για όλο το προσωπικό των αντιπροσωπειών της Ένωσης· ζητεί από τα κράτη μέλη να παράσχουν επαρκή χρηματοδότηση στην ΕΥΕΔ και την Επιτροπή, ώστε να εξασφαλιστεί ότι η ΕΕ διατηρεί αμετάβλητο το δίκτυο αντιπροσωπειών της ως μήνυμα της παγκόσμιας δέσμευσής της·</w:t>
      </w:r>
    </w:p>
    <w:p w14:paraId="7BE760B4" w14:textId="3E3D8A01" w:rsidR="00C06AC8" w:rsidRPr="00CB47B9" w:rsidRDefault="00CB47B9" w:rsidP="00CB47B9">
      <w:pPr>
        <w:pStyle w:val="NormalHanging12a"/>
        <w:widowControl/>
        <w:rPr>
          <w:bCs/>
          <w:iCs/>
        </w:rPr>
      </w:pPr>
      <w:r w:rsidRPr="00CB47B9">
        <w:rPr>
          <w:bCs/>
          <w:iCs/>
        </w:rPr>
        <w:t>83.</w:t>
      </w:r>
      <w:r w:rsidRPr="00CB47B9">
        <w:rPr>
          <w:bCs/>
          <w:iCs/>
        </w:rPr>
        <w:tab/>
      </w:r>
      <w:r w:rsidR="00C06AC8" w:rsidRPr="00CB47B9">
        <w:t xml:space="preserve">καλεί την ΕΥΕΔ να ενισχύσει τους μηχανισμούς πρακτικού συντονισμού με τις διπλωματικές αποστολές των κρατών μελών σε τρίτες χώρες, μεταξύ άλλων μέσω κοινών υπηρεσιών, κοινών υλικοτεχνικών ρυθμίσεων και ενισχυμένης ανταλλαγής </w:t>
      </w:r>
      <w:r w:rsidR="00C06AC8" w:rsidRPr="00CB47B9">
        <w:lastRenderedPageBreak/>
        <w:t>πληροφοριών, προκειμένου να μεγιστοποιηθεί η αποτελεσματικότητα και να διασφαλιστεί η βέλτιστη χρήση των ενωσιακών και εθνικών πόρων·</w:t>
      </w:r>
    </w:p>
    <w:p w14:paraId="7675D4DF" w14:textId="350FE7D4" w:rsidR="00C06AC8" w:rsidRPr="00CB47B9" w:rsidRDefault="00CB47B9" w:rsidP="00CB47B9">
      <w:pPr>
        <w:pStyle w:val="NormalHanging12a"/>
        <w:widowControl/>
      </w:pPr>
      <w:r w:rsidRPr="00CB47B9">
        <w:t>84.</w:t>
      </w:r>
      <w:r w:rsidRPr="00CB47B9">
        <w:tab/>
      </w:r>
      <w:r w:rsidR="00C06AC8" w:rsidRPr="00CB47B9">
        <w:t xml:space="preserve">σημειώνει, με βάση το ερωτηματολόγιο, ότι το 2024 η ΕΥΕΔ συνέχισε να εφαρμόζει την πολιτική της για έναν συνεργατικό χώρο και νέους τρόπους εργασίας, συμπεριλαμβανομένης της προβολής σε ολόκληρη την Ένωση των κεντρικών υπηρεσιών και των αντιπροσωπειών της· επισημαίνει ότι η προσέγγιση αντικαθιστά τα ατομικά γραφεία με χώρους πολλαπλών χρήσεων για τη βελτίωση της αποτελεσματικότητας του χώρου, τη στήριξη της ομαδικής εργασίας και τη μείωση των περιβαλλοντικών επιπτώσεων· σημειώνει περαιτέρω ότι τα εν λόγω έργα συζητούνται με εκπροσώπους του προσωπικού μέσω της επιτροπής προσωπικού της ΕΥΕΔ και ότι δρομολογήθηκε ειδική έρευνα για το προσωπικό του κτιρίου </w:t>
      </w:r>
      <w:proofErr w:type="spellStart"/>
      <w:r w:rsidR="00C06AC8" w:rsidRPr="00CB47B9">
        <w:t>Belmont</w:t>
      </w:r>
      <w:proofErr w:type="spellEnd"/>
      <w:r w:rsidR="00C06AC8" w:rsidRPr="00CB47B9">
        <w:t>·</w:t>
      </w:r>
    </w:p>
    <w:p w14:paraId="2174560A" w14:textId="198C43C0" w:rsidR="00C06AC8" w:rsidRPr="00CB47B9" w:rsidRDefault="00CB47B9" w:rsidP="00CB47B9">
      <w:pPr>
        <w:pStyle w:val="NormalHanging12a"/>
        <w:widowControl/>
      </w:pPr>
      <w:r w:rsidRPr="00CB47B9">
        <w:t>85.</w:t>
      </w:r>
      <w:r w:rsidRPr="00CB47B9">
        <w:tab/>
      </w:r>
      <w:r w:rsidR="00C06AC8" w:rsidRPr="00CB47B9">
        <w:t xml:space="preserve">σημειώνει, με βάση την έκθεση της ΕΥΕΔ για το 2024, ότι η ΕΥΕΔ πέτυχε τις βασικές προτεραιότητές της για το 2024 όσον αφορά την ακίνητη περιουσία, συμπεριλαμβανομένων της ολοκλήρωσης της ανακαίνισης του κτιρίου NEO, της μετεγκατάστασης των τμημάτων διαχείρισης κρίσεων και πληροφοριών σε έναν ασφαλέστερο και ενεργειακά αποδοτικότερο χώρο και της ικανοποιητικής προόδου που έχει σημειωθεί όσον αφορά την ανακαίνιση του κτιρίου </w:t>
      </w:r>
      <w:proofErr w:type="spellStart"/>
      <w:r w:rsidR="00C06AC8" w:rsidRPr="00CB47B9">
        <w:t>Schuman</w:t>
      </w:r>
      <w:proofErr w:type="spellEnd"/>
      <w:r w:rsidR="00C06AC8" w:rsidRPr="00CB47B9">
        <w:t>·</w:t>
      </w:r>
    </w:p>
    <w:p w14:paraId="07158E2F" w14:textId="18BCAED8" w:rsidR="00C06AC8" w:rsidRPr="00CB47B9" w:rsidRDefault="00CB47B9" w:rsidP="00CB47B9">
      <w:pPr>
        <w:pStyle w:val="NormalHanging12a"/>
        <w:widowControl/>
      </w:pPr>
      <w:r w:rsidRPr="00CB47B9">
        <w:t>86.</w:t>
      </w:r>
      <w:r w:rsidRPr="00CB47B9">
        <w:tab/>
      </w:r>
      <w:r w:rsidR="00C06AC8" w:rsidRPr="00CB47B9">
        <w:t>σημειώνει, με βάση το ερωτηματολόγιο, ότι, λόγω της μείωσης του επιπέδου ασφάλειας στον κόσμο, η ΕΥΕΔ χρειάστηκε να ενισχύσει τις δομές ασφάλειας το 2024· επικροτεί την αύξηση κατά 10 εκατομμύρια EUR στον προϋπολογισμό του 2025 για την ενίσχυση των υποδομών ασφάλειας στις αντιπροσωπείες της Ένωσης· παρατηρεί τον στόχο της ΕΥΕΔ να μειώσει κατά περίπου 15 % τον αριθμό των αντιπροσωπειών της Ένωσης που δεν συμμορφώνονται με τα πρότυπα ασφάλειας μέσω νέων εγκαταστάσεων και της αντικατάστασης απαρχαιωμένων συστημάτων·</w:t>
      </w:r>
    </w:p>
    <w:p w14:paraId="60FC5EAA" w14:textId="6DACC98A" w:rsidR="00C06AC8" w:rsidRPr="00CB47B9" w:rsidRDefault="00CB47B9" w:rsidP="00CB47B9">
      <w:pPr>
        <w:pStyle w:val="NormalHanging12a"/>
        <w:widowControl/>
      </w:pPr>
      <w:r w:rsidRPr="00CB47B9">
        <w:t>87.</w:t>
      </w:r>
      <w:r w:rsidRPr="00CB47B9">
        <w:tab/>
      </w:r>
      <w:r w:rsidR="00C06AC8" w:rsidRPr="00CB47B9">
        <w:t xml:space="preserve">σημειώνει, με βάση την έκθεση της ΕΥΕΔ για το 2024, ότι έως το τέλος του 2024 οι ρυθμίσεις συστέγασης αυξήθηκαν σε 137 (45 με τα κράτη μέλη και τις χώρες εταίρους και 92 με άλλους εταίρους της Ένωσης)· παρατηρεί ότι η συστέγαση έχει αυξηθεί ραγδαία, έχει υπερδιπλασιαστεί την τελευταία εξαετία και έχει </w:t>
      </w:r>
      <w:proofErr w:type="spellStart"/>
      <w:r w:rsidR="00C06AC8" w:rsidRPr="00CB47B9">
        <w:t>υπερεξαπλασιαστεί</w:t>
      </w:r>
      <w:proofErr w:type="spellEnd"/>
      <w:r w:rsidR="00C06AC8" w:rsidRPr="00CB47B9">
        <w:t xml:space="preserve"> από το 2011· υπογραμμίζει ότι η συστέγαση αντιστοιχεί πλέον στο 8 % του χώρου γραφείων των αντιπροσωπειών της Ένωσης και περιλαμβάνει 80 αντιπροσωπείες της Ένωσης, ενώ οι αρχές της βιωσιμότητας εφαρμόζονται συστηματικά σε όλα τα κοινά εργασιακά περιβάλλοντα·</w:t>
      </w:r>
    </w:p>
    <w:p w14:paraId="4CC8856F" w14:textId="6939E901" w:rsidR="00C06AC8" w:rsidRPr="00CB47B9" w:rsidRDefault="00CB47B9" w:rsidP="00CB47B9">
      <w:pPr>
        <w:pStyle w:val="NormalHanging12a"/>
        <w:widowControl/>
      </w:pPr>
      <w:r w:rsidRPr="00CB47B9">
        <w:t>88.</w:t>
      </w:r>
      <w:r w:rsidRPr="00CB47B9">
        <w:tab/>
      </w:r>
      <w:r w:rsidR="00C06AC8" w:rsidRPr="00CB47B9">
        <w:t>επικροτεί το γεγονός ότι η ΕΥΕΔ εστιάζει στη διασφάλιση της προσβασιμότητας των κτιρίων της για άτομα με αναπηρία και μειωμένη κινητικότητα· σημειώνει, με βάση το ερωτηματολόγιο, ότι το 2024 πραγματοποιήθηκαν τακτικές συνεδριάσεις με το τμήμα ακινήτων της ΕΥΕΔ, το τμήμα ασφάλειας και άλλες υπηρεσίες της Επιτροπής με στόχο την ανταλλαγή βέλτιστων πρακτικών σχετικά με, μεταξύ άλλων, την προσβασιμότητα και την εκκένωση των κτιρίων·</w:t>
      </w:r>
    </w:p>
    <w:p w14:paraId="43B3DFD2" w14:textId="77777777" w:rsidR="00C06AC8" w:rsidRPr="00CB47B9" w:rsidRDefault="00C06AC8" w:rsidP="00924112">
      <w:pPr>
        <w:pStyle w:val="NormalHanging12a"/>
        <w:widowControl/>
        <w:rPr>
          <w:b/>
          <w:bCs/>
          <w:i/>
          <w:iCs/>
        </w:rPr>
      </w:pPr>
      <w:r w:rsidRPr="00CB47B9">
        <w:rPr>
          <w:b/>
          <w:i/>
        </w:rPr>
        <w:t>Περιβάλλον και βιωσιμότητα</w:t>
      </w:r>
    </w:p>
    <w:p w14:paraId="669E55BA" w14:textId="4071CFB3" w:rsidR="00C06AC8" w:rsidRPr="00CB47B9" w:rsidRDefault="00CB47B9" w:rsidP="00CB47B9">
      <w:pPr>
        <w:pStyle w:val="NormalHanging12a"/>
        <w:widowControl/>
      </w:pPr>
      <w:r w:rsidRPr="00CB47B9">
        <w:t>89.</w:t>
      </w:r>
      <w:r w:rsidRPr="00CB47B9">
        <w:tab/>
      </w:r>
      <w:r w:rsidR="00C06AC8" w:rsidRPr="00CB47B9">
        <w:t xml:space="preserve">επισημαίνει τις πρωτοβουλίες της ΕΥΕΔ για την ενεργειακή αποδοτικότητα και τις ανανεώσιμες πηγές ενέργειας το 2024, συμπεριλαμβανομένης της αντικατάστασης του φωτισμού με LED και των ανακαινίσεων στο κτίριο </w:t>
      </w:r>
      <w:proofErr w:type="spellStart"/>
      <w:r w:rsidR="00C06AC8" w:rsidRPr="00CB47B9">
        <w:t>Schuman</w:t>
      </w:r>
      <w:proofErr w:type="spellEnd"/>
      <w:r w:rsidR="00C06AC8" w:rsidRPr="00CB47B9">
        <w:t xml:space="preserve"> στο πλαίσιο των «Νέων τρόπων εργασίας», της μόνωσης των αγωγών νερού και θέρμανσης, της βελτιστοποίησης των συστημάτων θέρμανσης, εξαερισμού και κλιματισμού και των </w:t>
      </w:r>
      <w:r w:rsidR="00C06AC8" w:rsidRPr="00CB47B9">
        <w:lastRenderedPageBreak/>
        <w:t xml:space="preserve">τυποποιημένων σημείων ρύθμισης της θερμοκρασίας· σημειώνει τη σταδιακή εγκατάσταση κεντρικών σταθμών διαλογής αποβλήτων στο κτίριο </w:t>
      </w:r>
      <w:proofErr w:type="spellStart"/>
      <w:r w:rsidR="00C06AC8" w:rsidRPr="00CB47B9">
        <w:t>Schuman</w:t>
      </w:r>
      <w:proofErr w:type="spellEnd"/>
      <w:r w:rsidR="00C06AC8" w:rsidRPr="00CB47B9">
        <w:t xml:space="preserve"> και την πλήρη εγκατάσταση στα κτίρια </w:t>
      </w:r>
      <w:proofErr w:type="spellStart"/>
      <w:r w:rsidR="00C06AC8" w:rsidRPr="00CB47B9">
        <w:t>Belmont</w:t>
      </w:r>
      <w:proofErr w:type="spellEnd"/>
      <w:r w:rsidR="00C06AC8" w:rsidRPr="00CB47B9">
        <w:t xml:space="preserve"> και NEO, παράλληλα με τα υπό εξέλιξη μέτρα εξοικονόμησης ενέργειας· αναγνωρίζει την προμήθεια ηλεκτρικής ενέργειας κατά 100 % από ανανεώσιμες πηγές (1,569 εκατομμύρια EUR) και την επιτόπια παραγωγή ηλιακής ενέργειας 22,286 </w:t>
      </w:r>
      <w:proofErr w:type="spellStart"/>
      <w:r w:rsidR="00C06AC8" w:rsidRPr="00CB47B9">
        <w:t>kWh</w:t>
      </w:r>
      <w:proofErr w:type="spellEnd"/>
      <w:r w:rsidR="00C06AC8" w:rsidRPr="00CB47B9">
        <w:t xml:space="preserve">, με την πορεία </w:t>
      </w:r>
      <w:proofErr w:type="spellStart"/>
      <w:r w:rsidR="00C06AC8" w:rsidRPr="00CB47B9">
        <w:t>απανθρακοποίησης</w:t>
      </w:r>
      <w:proofErr w:type="spellEnd"/>
      <w:r w:rsidR="00C06AC8" w:rsidRPr="00CB47B9">
        <w:t xml:space="preserve"> του κτιρίου </w:t>
      </w:r>
      <w:proofErr w:type="spellStart"/>
      <w:r w:rsidR="00C06AC8" w:rsidRPr="00CB47B9">
        <w:t>Schuman</w:t>
      </w:r>
      <w:proofErr w:type="spellEnd"/>
      <w:r w:rsidR="00C06AC8" w:rsidRPr="00CB47B9">
        <w:t xml:space="preserve"> προς το 2050 να συνδυάζει βραχυπρόθεσμα μέτρα διαχείρισης και μόνωσης με μακροπρόθεσμες αναβαθμίσεις, όπως </w:t>
      </w:r>
      <w:proofErr w:type="spellStart"/>
      <w:r w:rsidR="00C06AC8" w:rsidRPr="00CB47B9">
        <w:t>φωτοβολταϊκές</w:t>
      </w:r>
      <w:proofErr w:type="spellEnd"/>
      <w:r w:rsidR="00C06AC8" w:rsidRPr="00CB47B9">
        <w:t xml:space="preserve"> εγκαταστάσεις και αντικατάσταση της θέρμανσης με αέριο με αντλίες θερμότητας·</w:t>
      </w:r>
    </w:p>
    <w:p w14:paraId="634BA3A0" w14:textId="17129F31" w:rsidR="00C06AC8" w:rsidRPr="00CB47B9" w:rsidRDefault="00CB47B9" w:rsidP="00CB47B9">
      <w:pPr>
        <w:pStyle w:val="NormalHanging12a"/>
        <w:widowControl/>
      </w:pPr>
      <w:r w:rsidRPr="00CB47B9">
        <w:t>90.</w:t>
      </w:r>
      <w:r w:rsidRPr="00CB47B9">
        <w:tab/>
      </w:r>
      <w:r w:rsidR="00C06AC8" w:rsidRPr="00CB47B9">
        <w:t>σημειώνει την πρώτη ολοκληρωμένη εκτίμηση του αποτυπώματος άνθρακα της ΕΥΕΔ για το 2024 στο πλαίσιο της καταχώρισης στο σύστημα οικολογικής διαχείρισης και οικολογικού ελέγχου (EMAS)· σημειώνει ότι η εν λόγω εκτίμηση κάλυψε τα κτίρια της έδρας και τις υπό κεντρική διαχείριση δραστηριότητες του πεδίου εφαρμογής 3, και κατέδειξε μηδενικές εκπομπές πεδίου εφαρμογής 2 βάσει αγοράς λόγω της προμήθειας ηλεκτρικής ενέργειας κατά 100 % από ανανεώσιμες πηγές, της μείωσης της έντασης άνθρακα από 4,6 τόνους C</w:t>
      </w:r>
      <w:r w:rsidR="00C91F08" w:rsidRPr="00CB47B9">
        <w:t>O</w:t>
      </w:r>
      <w:r w:rsidR="00C06AC8" w:rsidRPr="00CB47B9">
        <w:rPr>
          <w:vertAlign w:val="subscript"/>
        </w:rPr>
        <w:t>2</w:t>
      </w:r>
      <w:r w:rsidR="00C06AC8" w:rsidRPr="00CB47B9">
        <w:t>e ανά ΙΠΑ το 2019 σε 3,4 τόνους CO</w:t>
      </w:r>
      <w:r w:rsidR="00C06AC8" w:rsidRPr="00CB47B9">
        <w:rPr>
          <w:vertAlign w:val="subscript"/>
        </w:rPr>
        <w:t>2</w:t>
      </w:r>
      <w:r w:rsidR="00C06AC8" w:rsidRPr="00CB47B9">
        <w:t>e ανά ΙΠΑ το 2024 (–28 %), με το αποτύπωμα να περιλαμβάνει περίπου 20 % εκπομπές του πεδίου εφαρμογής 1 και 80 % εκπομπές του πεδίου εφαρμογής 3·</w:t>
      </w:r>
    </w:p>
    <w:p w14:paraId="67D10FE8" w14:textId="10152AAB" w:rsidR="00C06AC8" w:rsidRPr="00CB47B9" w:rsidRDefault="00CB47B9" w:rsidP="00CB47B9">
      <w:pPr>
        <w:pStyle w:val="NormalHanging12a"/>
        <w:widowControl/>
      </w:pPr>
      <w:r w:rsidRPr="00CB47B9">
        <w:t>91.</w:t>
      </w:r>
      <w:r w:rsidRPr="00CB47B9">
        <w:tab/>
      </w:r>
      <w:r w:rsidR="00C06AC8" w:rsidRPr="00CB47B9">
        <w:t>επικροτεί την ενισχυμένη δέσμευση της ΕΥΕΔ για βιώσιμη κινητικότητα, συμπεριλαμβανομένης της έγκρισης της νέας πολιτικής για τις μετακινήσεις μεταξύ κατοικίας και εργασίας στην έδρα στα τέλη του 2024, η οποία αυξάνει την επιστροφή των εξόδων για τις δημόσιες συγκοινωνίες στο 90 % από τον Ιανουάριο του 2025· αναγνωρίζει την εφαρμογή μέτρων με στόχο τη μείωση των περιβαλλοντικών επιπτώσεων, την επίτευξη του ποσοστού 64 % για αεροπορικά ταξίδια στην οικονομική θέση το 2024 (υπερβαίνοντας τον στόχο του EMAS για 60 % έως το 2030), με προτεραιοποίηση των σιδηροδρομικών μεταφορών για ταξίδια μικρής διάρκειας, την πρόβλεψη μείωσης των μετακινήσεων του προσωπικού μεταξύ κατοικίας και εργασίας με αυτοκίνητο από 17 % το 2024 σε 13 % το 2027 και με την προώθηση πρωτοβουλιών ποδηλασίας και πεζοπορίας μέσω βελτιωμένων εγκαταστάσεων και εκστρατειών ευαισθητοποίησης·</w:t>
      </w:r>
    </w:p>
    <w:p w14:paraId="5A5C2EDE" w14:textId="2F028E2D" w:rsidR="00C06AC8" w:rsidRPr="00CB47B9" w:rsidRDefault="00CB47B9" w:rsidP="00CB47B9">
      <w:pPr>
        <w:pStyle w:val="NormalHanging12a"/>
        <w:widowControl/>
      </w:pPr>
      <w:r w:rsidRPr="00CB47B9">
        <w:t>92.</w:t>
      </w:r>
      <w:r w:rsidRPr="00CB47B9">
        <w:tab/>
      </w:r>
      <w:r w:rsidR="00C06AC8" w:rsidRPr="00CB47B9">
        <w:t>εκτιμά το γεγονός ότι τα ζητήματα βιωσιμότητας έχουν ενσωματωθεί στις δημόσιες συμβάσεις μέσω ρητρών οικολογικών δημόσιων συμβάσεων στα υποδείγματα υποβολής προσφορών· σημειώνει ότι το 38 % των συμβάσεων των κεντρικών γραφείων με υψηλή αξία και το 87 % των υποδειγμάτων δημόσιων συμβάσεων περιλάμβαναν ρήτρες οικολογικών δημόσιων συμβάσεων το 2024· σημειώνει με ικανοποίηση ότι οι αντιπροσωπείες της Ένωσης εφάρμοσαν οικολογικά κριτήρια στις δημόσιες συμβάσεις για οχήματα, εξοπλισμό ΤΠ και υπηρεσίες καθαρισμού, και προγραμματίζονται περαιτέρω προσπάθειες για το 2025, συμπεριλαμβανομένου ενός ειδικού κόμβου πληροφοριών για τις οικολογικές δημόσιες συμβάσεις για τις αντιπροσωπείες της Ένωσης στην πλατφόρμα HIVE· σημειώνει ότι το 2024 ολοκληρώθηκαν 16 διαγωνισμοί υψηλής αξίας με δείκτες περιβαλλοντικών επιδόσεων και υπογράφηκαν 6 συμβάσεις συναφείς με τις οικολογικές δημόσιες συμβάσεις·</w:t>
      </w:r>
    </w:p>
    <w:p w14:paraId="1D7ED098" w14:textId="77777777" w:rsidR="00C06AC8" w:rsidRPr="00CB47B9" w:rsidRDefault="00C06AC8" w:rsidP="00924112">
      <w:pPr>
        <w:pStyle w:val="NormalHanging12a"/>
        <w:widowControl/>
        <w:rPr>
          <w:b/>
          <w:bCs/>
          <w:i/>
          <w:iCs/>
        </w:rPr>
      </w:pPr>
      <w:r w:rsidRPr="00CB47B9">
        <w:rPr>
          <w:b/>
          <w:i/>
        </w:rPr>
        <w:t>Διοργανική συνεργασία</w:t>
      </w:r>
    </w:p>
    <w:p w14:paraId="251517CF" w14:textId="1C922E2F" w:rsidR="00C06AC8" w:rsidRPr="00CB47B9" w:rsidRDefault="00CB47B9" w:rsidP="00CB47B9">
      <w:pPr>
        <w:pStyle w:val="NormalHanging12a"/>
        <w:widowControl/>
      </w:pPr>
      <w:r w:rsidRPr="00CB47B9">
        <w:t>93.</w:t>
      </w:r>
      <w:r w:rsidRPr="00CB47B9">
        <w:tab/>
      </w:r>
      <w:r w:rsidR="00C06AC8" w:rsidRPr="00CB47B9">
        <w:t xml:space="preserve">σημειώνει, με βάση το ερωτηματολόγιο, ότι η ΕΥΕΔ συνέχισε τη στενή συνεργασία της με την OLAF και τις αρμόδιες Γενικές Διευθύνσεις της Επιτροπής όσον αφορά την εφαρμογή της στρατηγικής της Επιτροπής για την καταπολέμηση της απάτης, ιδίως </w:t>
      </w:r>
      <w:r w:rsidR="00C06AC8" w:rsidRPr="00CB47B9">
        <w:lastRenderedPageBreak/>
        <w:t>μέσω της ανάπτυξης κοινών προγραμμάτων κατάρτισης και μιας κοινής πορείας κατάρτισης για την καταπολέμηση της απάτης, καθώς και μέσω στοχευμένων δράσεων με σκοπό την αντιμετώπιση συγκεκριμένων κινδύνων απάτης στις αντιπροσωπείες της Ένωσης· σημειώνει με ικανοποίηση ότι η ΕΥΕΔ ενίσχυσε το επιχειρησιακό της πλαίσιο, υπογράφοντας συμφωνίες συνεργασίας με την Ευρωπαϊκή Εισαγγελία τον Ιούνιο του 2024·</w:t>
      </w:r>
    </w:p>
    <w:p w14:paraId="353F29B4" w14:textId="56C34746" w:rsidR="00C06AC8" w:rsidRPr="00CB47B9" w:rsidRDefault="00CB47B9" w:rsidP="00CB47B9">
      <w:pPr>
        <w:pStyle w:val="NormalHanging12a"/>
        <w:widowControl/>
      </w:pPr>
      <w:r w:rsidRPr="00CB47B9">
        <w:t>94.</w:t>
      </w:r>
      <w:r w:rsidRPr="00CB47B9">
        <w:tab/>
      </w:r>
      <w:r w:rsidR="00C06AC8" w:rsidRPr="00CB47B9">
        <w:t>υπενθυμίζει ότι, το 2023, το Κοινοβούλιο, το Συμβούλιο και η ΕΥΕΔ πραγματοποίησαν τεχνικές συζητήσεις σχετικά με την αντικατάσταση της θεσμικής συμφωνίας του 2002 μεταξύ του Κοινοβουλίου και του Συμβουλίου στον τομέα της κοινής εξωτερικής πολιτικής και πολιτικής ασφάλειας· σημειώνει με ανησυχία, με βάση την έκθεση παρακολούθησης, ότι το 2024 δεν σημειώθηκαν εξελίξεις στο εν λόγω θέμα λόγω των ευρωπαϊκών εκλογών και της διαδικασίας διορισμού της νέας Επιτροπής·</w:t>
      </w:r>
    </w:p>
    <w:p w14:paraId="532FBF7F" w14:textId="1D86C86A" w:rsidR="00C06AC8" w:rsidRPr="00CB47B9" w:rsidRDefault="00CB47B9" w:rsidP="00CB47B9">
      <w:pPr>
        <w:pStyle w:val="NormalHanging12a"/>
        <w:widowControl/>
        <w:rPr>
          <w:bCs/>
          <w:iCs/>
        </w:rPr>
      </w:pPr>
      <w:r w:rsidRPr="00CB47B9">
        <w:rPr>
          <w:bCs/>
          <w:iCs/>
        </w:rPr>
        <w:t>95.</w:t>
      </w:r>
      <w:r w:rsidRPr="00CB47B9">
        <w:rPr>
          <w:bCs/>
          <w:iCs/>
        </w:rPr>
        <w:tab/>
      </w:r>
      <w:r w:rsidR="00C06AC8" w:rsidRPr="00CB47B9">
        <w:t>υπενθυμίζει ότι, σύμφωνα με τις Συνθήκες, η εξωτερική δράση της Ένωσης και η ΕΥΕΔ έχουν ως στόχο να υποστηρίζουν, να συντονίζουν και να λειτουργούν συμπληρωματικά προς τη διπλωματική δράση των κρατών μελών· υπογραμμίζει τη σημασία της στενής συνεργασίας για την αποφυγή ανεπαρκειών·</w:t>
      </w:r>
    </w:p>
    <w:p w14:paraId="69D2548F" w14:textId="2723A53C" w:rsidR="00C06AC8" w:rsidRPr="00CB47B9" w:rsidRDefault="00CB47B9" w:rsidP="00CB47B9">
      <w:pPr>
        <w:pStyle w:val="NormalHanging12a"/>
        <w:widowControl/>
      </w:pPr>
      <w:r w:rsidRPr="00CB47B9">
        <w:t>96.</w:t>
      </w:r>
      <w:r w:rsidRPr="00CB47B9">
        <w:tab/>
      </w:r>
      <w:r w:rsidR="00C06AC8" w:rsidRPr="00CB47B9">
        <w:t>επικροτεί το γεγονός ότι οι δράσεις επικοινωνίας της ΕΥΕΔ συντονίζονται και εναρμονίζονται με άλλα όργανα μέσω του δικτύου διευθυντών επικοινωνίας της ΕΕ, των διοργανικών πλατφορμών με το Κοινοβούλιο και την Επιτροπή και της υποομάδας RELEX για την προστασία της πολιτιστικής κληρονομιάς και των διεθνών πολιτιστικών σχέσεων·</w:t>
      </w:r>
    </w:p>
    <w:p w14:paraId="4502E198" w14:textId="77777777" w:rsidR="00C06AC8" w:rsidRPr="00CB47B9" w:rsidRDefault="00C06AC8" w:rsidP="00924112">
      <w:pPr>
        <w:pStyle w:val="NormalHanging12a"/>
        <w:widowControl/>
        <w:rPr>
          <w:b/>
          <w:bCs/>
          <w:i/>
          <w:iCs/>
        </w:rPr>
      </w:pPr>
      <w:r w:rsidRPr="00CB47B9">
        <w:rPr>
          <w:b/>
          <w:i/>
        </w:rPr>
        <w:t>Επικοινωνία</w:t>
      </w:r>
    </w:p>
    <w:p w14:paraId="1A95506C" w14:textId="51899B9D" w:rsidR="00C06AC8" w:rsidRPr="00CB47B9" w:rsidRDefault="00CB47B9" w:rsidP="00CB47B9">
      <w:pPr>
        <w:pStyle w:val="NormalHanging12a"/>
        <w:widowControl/>
      </w:pPr>
      <w:r w:rsidRPr="00CB47B9">
        <w:t>97.</w:t>
      </w:r>
      <w:r w:rsidRPr="00CB47B9">
        <w:tab/>
      </w:r>
      <w:r w:rsidR="00C06AC8" w:rsidRPr="00CB47B9">
        <w:t>σημειώνει, με βάση το ερωτηματολόγιο, ότι το 2024 η ΕΥΕΔ διέθεσε 1 745 000 EUR —τα οποία συμπληρώθηκαν με 107 968,67 EUR σε πιστώσεις C5— για ενημέρωση του κοινού και εκδηλώσεις, με ποσοστό εκτέλεσης 99,70 %· επισημαίνει ότι η εν λόγω χρηματοδότηση στήριξε την προμήθεια ψηφιακών υπηρεσιών, προϊόντων επικοινωνίας και γραφιστικών, καθώς και τη διοργάνωση δημόσιων εκδηλώσεων, όπως η Ημέρα της Ευρώπης· σημειώνει περαιτέρω ότι ο προϋπολογισμός χρηματοδότησε επιπλέον την παραγωγή και τη διάδοση διαδικτυακού περιεχομένου, τη διαχείριση εταιρικών λογαριασμών στα μέσα κοινωνικής δικτύωσης και την παροχή βοήθειας στις αντιπροσωπείες της Ένωσης για την ενίσχυση της ψηφιακής παρουσίας τους·</w:t>
      </w:r>
    </w:p>
    <w:p w14:paraId="6D3B0EA8" w14:textId="514B51B0" w:rsidR="00C06AC8" w:rsidRPr="00CB47B9" w:rsidRDefault="00CB47B9" w:rsidP="00CB47B9">
      <w:pPr>
        <w:pStyle w:val="NormalHanging12a"/>
        <w:widowControl/>
      </w:pPr>
      <w:r w:rsidRPr="00CB47B9">
        <w:t>98.</w:t>
      </w:r>
      <w:r w:rsidRPr="00CB47B9">
        <w:tab/>
      </w:r>
      <w:r w:rsidR="00C06AC8" w:rsidRPr="00CB47B9">
        <w:t xml:space="preserve">σημειώνει, με βάση το ερωτηματολόγιο και την έκθεση της ΕΥΕΔ για το 2024, ότι η ΕΥΕΔ επέκτεινε σημαντικά τη στρατηγική επικοινωνία, τη δημόσια προβολή και την πολιτιστική διπλωματία της, συνδυάζοντας παγκόσμιες ψηφιακές εκστρατείες, σημαντικές δημόσιες εκδηλώσεις και ενισχυμένες δραστηριότητες διεθνών πολιτιστικών σχέσεων· παρατηρεί ότι οι ψηφιακές εκστρατείες είχαν απήχηση στο ευρύ κοινό και προώθησαν βασικές προτεραιότητες της Ένωσης, συμπεριλαμβανομένων των ανθρωπίνων δικαιωμάτων, της δράσης για το κλίμα και της στήριξης της Ουκρανίας, ενώ καινοτόμοι μορφότυποι συνέβαλαν στη συμμετοχή των νεότερων δημογραφικών ομάδων· σημειώνει ότι δημόσιες εκδηλώσεις όπως η Ημέρα της Ευρώπης για ελεύθερη προσέλευση και το πρόγραμμα επισκέψεων της ΕΥΕΔ συνέβαλαν στην καλύτερη κατανόηση των πολιτικών της Ένωσης· επισημαίνει ότι η ΕΥΕΔ προώθησε πολιτιστικές πρωτοβουλίες, συμπεριλαμβανομένων του διαλόγου για τη συνεργασία μουσείων με την Αφρική, εργαστηρίων για την πολιτιστική πολυμορφία και μιας διάσκεψης για την πολιτιστική κληρονομιά που διοργανώθηκε με την εκ περιτροπής </w:t>
      </w:r>
      <w:r w:rsidR="00C06AC8" w:rsidRPr="00CB47B9">
        <w:lastRenderedPageBreak/>
        <w:t xml:space="preserve">προεδρία του Συμβουλίου, προετοιμάζοντας παράλληλα εμβληματικά έργα, όπως η συμμετοχή της Ένωσης στην Έκθεση που θα λάβει χώρα στην Οσάκα (Expo </w:t>
      </w:r>
      <w:proofErr w:type="spellStart"/>
      <w:r w:rsidR="00C06AC8" w:rsidRPr="00CB47B9">
        <w:t>Osaka</w:t>
      </w:r>
      <w:proofErr w:type="spellEnd"/>
      <w:r w:rsidR="00C06AC8" w:rsidRPr="00CB47B9">
        <w:t>)·</w:t>
      </w:r>
    </w:p>
    <w:p w14:paraId="0DAE318E" w14:textId="096A6257" w:rsidR="00C06AC8" w:rsidRPr="00CB47B9" w:rsidRDefault="00CB47B9" w:rsidP="00CB47B9">
      <w:pPr>
        <w:pStyle w:val="NormalHanging12a"/>
        <w:widowControl/>
        <w:rPr>
          <w:bCs/>
          <w:iCs/>
        </w:rPr>
      </w:pPr>
      <w:r w:rsidRPr="00CB47B9">
        <w:rPr>
          <w:bCs/>
          <w:iCs/>
        </w:rPr>
        <w:t>99.</w:t>
      </w:r>
      <w:r w:rsidRPr="00CB47B9">
        <w:rPr>
          <w:bCs/>
          <w:iCs/>
        </w:rPr>
        <w:tab/>
      </w:r>
      <w:r w:rsidR="00C06AC8" w:rsidRPr="00CB47B9">
        <w:t>ενθαρρύνει τη συνέχιση της διαδικασίας ενίσχυσης της επικοινωνίας με υπηκόους τρίτων χωρών σχετικά με την πολιτική της Ένωσης, καθώς και την αύξηση των προσπαθειών συντονισμού με σκοπό τη μεγαλύτερη προβολή των έργων που χρηματοδοτούνται από την Ένωση, ιδίως στις υποψήφιες χώρες, προκειμένου να αντιμετωπιστούν οι προσπάθειες φορέων που ενεργούν κακόπιστα με στόχο να υπονομεύσουν τις προσπάθειες της Ένωσης· επαναλαμβάνει, επιπλέον, την έκκλησή του προς την Επιτροπή να μεριμνήσει για την πλήρη προβολή και ευαισθητοποίηση του κοινού σχετικά με τη στήριξη και τις επενδύσεις της Ένωσης στις τρίτες χώρες, με σαφή σήμανση και τη σημαία της Ένωσης·</w:t>
      </w:r>
    </w:p>
    <w:p w14:paraId="509E4FFF" w14:textId="18081716" w:rsidR="0096466D" w:rsidRPr="00CB47B9" w:rsidRDefault="00CB47B9" w:rsidP="00CB47B9">
      <w:pPr>
        <w:pStyle w:val="NormalHanging12a"/>
        <w:widowControl/>
      </w:pPr>
      <w:r w:rsidRPr="00CB47B9">
        <w:t>100.</w:t>
      </w:r>
      <w:r w:rsidRPr="00CB47B9">
        <w:tab/>
      </w:r>
      <w:r w:rsidR="00C06AC8" w:rsidRPr="00CB47B9">
        <w:t xml:space="preserve">σημειώνει, με βάση το ερωτηματολόγιο και την έκθεση της ΕΥΕΔ για το 2024, ότι το 2024 η ΕΥΕΔ ενίσχυσε τη στρατηγική της δέσμευση όσον αφορά τα δεδομένα και την ψηφιακή κυριαρχία της Ένωσης, διασφαλίζοντας αυστηρές πρακτικές στα μέσα κοινωνικής δικτύωσης, σύμφωνες με τον ΓΚΠΔ, ενισχύοντας τους ελέγχους ασφάλειας και πρόσβασης, και μειώνοντας την εξάρτηση από μεμονωμένους εξωτερικούς παρόχους· επισημαίνει ότι η διαφοροποίηση των πλατφορμών —συμπεριλαμβανομένης της επέκτασης στο </w:t>
      </w:r>
      <w:proofErr w:type="spellStart"/>
      <w:r w:rsidR="00C06AC8" w:rsidRPr="00CB47B9">
        <w:t>Bluesky</w:t>
      </w:r>
      <w:proofErr w:type="spellEnd"/>
      <w:r w:rsidR="00C06AC8" w:rsidRPr="00CB47B9">
        <w:t xml:space="preserve"> και στο </w:t>
      </w:r>
      <w:proofErr w:type="spellStart"/>
      <w:r w:rsidR="00C06AC8" w:rsidRPr="00CB47B9">
        <w:t>Threads</w:t>
      </w:r>
      <w:proofErr w:type="spellEnd"/>
      <w:r w:rsidR="00C06AC8" w:rsidRPr="00CB47B9">
        <w:t>—, σε συνδυασμό με τη χρήση εργαλείων διαχείρισης που διαθέτει η Ένωση, τη συστηματική κατάρτιση του προσωπικού και τις τακτικές εκτιμήσεις κινδύνου και παραπληροφόρησης, συμβάλλει στην αύξηση της ανθεκτικότητας και στη διασφάλιση της επικοινωνιακής κυριαρχίας της Ένωσης·</w:t>
      </w:r>
    </w:p>
    <w:p w14:paraId="079A1E28" w14:textId="52DD8A1B" w:rsidR="00E365E1" w:rsidRPr="00CB47B9" w:rsidRDefault="00CB47B9" w:rsidP="00CB47B9">
      <w:pPr>
        <w:widowControl/>
        <w:spacing w:after="240"/>
        <w:ind w:left="567" w:hanging="567"/>
      </w:pPr>
      <w:r w:rsidRPr="00CB47B9">
        <w:t>101.</w:t>
      </w:r>
      <w:r w:rsidRPr="00CB47B9">
        <w:tab/>
      </w:r>
      <w:r w:rsidR="00C06AC8" w:rsidRPr="00CB47B9">
        <w:rPr>
          <w:color w:val="000000" w:themeColor="text1"/>
        </w:rPr>
        <w:t xml:space="preserve">σημειώνει ότι η ΕΥΕΔ προσέγγισε, μέσω της εκστρατείας </w:t>
      </w:r>
      <w:proofErr w:type="spellStart"/>
      <w:r w:rsidR="00C06AC8" w:rsidRPr="00CB47B9">
        <w:rPr>
          <w:color w:val="000000" w:themeColor="text1"/>
        </w:rPr>
        <w:t>EUvsDisinfo</w:t>
      </w:r>
      <w:proofErr w:type="spellEnd"/>
      <w:r w:rsidR="00C06AC8" w:rsidRPr="00CB47B9">
        <w:rPr>
          <w:color w:val="000000" w:themeColor="text1"/>
        </w:rPr>
        <w:t>, περισσότερους από 38 εκατομμύρια χρήστες και κατέγραψε περισσότερες από 18 000 περιπτώσεις, καταδεικνύοντας την κλίμακα και τον συστημικό χαρακτήρα της παραπληροφόρησης υπέρ του Κρεμλίνου το 2024</w:t>
      </w:r>
      <w:r w:rsidR="00F665F0" w:rsidRPr="00CB47B9">
        <w:rPr>
          <w:color w:val="000000" w:themeColor="text1"/>
        </w:rPr>
        <w:t>.</w:t>
      </w:r>
    </w:p>
    <w:sectPr w:rsidR="00E365E1" w:rsidRPr="00CB47B9" w:rsidSect="007C0407">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8C33B" w14:textId="77777777" w:rsidR="00D63067" w:rsidRPr="007C0407" w:rsidRDefault="00D63067">
      <w:r w:rsidRPr="007C0407">
        <w:separator/>
      </w:r>
    </w:p>
  </w:endnote>
  <w:endnote w:type="continuationSeparator" w:id="0">
    <w:p w14:paraId="62AB990A" w14:textId="77777777" w:rsidR="00D63067" w:rsidRPr="007C0407" w:rsidRDefault="00D63067">
      <w:r w:rsidRPr="007C04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6E32A" w14:textId="77777777" w:rsidR="00C06AC8" w:rsidRPr="007C0407" w:rsidRDefault="00C06AC8" w:rsidP="00D57E1D">
    <w:pPr>
      <w:pStyle w:val="EPFooter"/>
    </w:pPr>
    <w:r w:rsidRPr="007C0407">
      <w:t>PE</w:t>
    </w:r>
    <w:r w:rsidRPr="007C0407">
      <w:rPr>
        <w:rStyle w:val="HideTWBExt"/>
      </w:rPr>
      <w:t>&lt;NoPE&gt;</w:t>
    </w:r>
    <w:r w:rsidRPr="007C0407">
      <w:t>778.061</w:t>
    </w:r>
    <w:r w:rsidRPr="007C0407">
      <w:rPr>
        <w:rStyle w:val="HideTWBExt"/>
      </w:rPr>
      <w:t>&lt;/NoPE&gt;&lt;Version&gt;</w:t>
    </w:r>
    <w:r w:rsidRPr="007C0407">
      <w:t>v03-00</w:t>
    </w:r>
    <w:r w:rsidRPr="007C0407">
      <w:rPr>
        <w:rStyle w:val="HideTWBExt"/>
      </w:rPr>
      <w:t>&lt;/Version&gt;</w:t>
    </w:r>
    <w:r w:rsidRPr="007C0407">
      <w:tab/>
    </w:r>
    <w:r w:rsidRPr="007C0407">
      <w:fldChar w:fldCharType="begin"/>
    </w:r>
    <w:r w:rsidRPr="007C0407">
      <w:instrText xml:space="preserve"> PAGE  \* MERGEFORMAT </w:instrText>
    </w:r>
    <w:r w:rsidRPr="007C0407">
      <w:fldChar w:fldCharType="separate"/>
    </w:r>
    <w:r w:rsidRPr="007C0407">
      <w:rPr>
        <w:noProof/>
      </w:rPr>
      <w:t>42</w:t>
    </w:r>
    <w:r w:rsidRPr="007C0407">
      <w:fldChar w:fldCharType="end"/>
    </w:r>
    <w:r w:rsidRPr="007C0407">
      <w:t>/</w:t>
    </w:r>
    <w:fldSimple w:instr=" NUMPAGES  \* MERGEFORMAT ">
      <w:r w:rsidRPr="007C0407">
        <w:rPr>
          <w:noProof/>
        </w:rPr>
        <w:t>43</w:t>
      </w:r>
    </w:fldSimple>
    <w:r w:rsidRPr="007C0407">
      <w:tab/>
    </w:r>
    <w:r w:rsidRPr="007C0407">
      <w:rPr>
        <w:rStyle w:val="HideTWBExt"/>
      </w:rPr>
      <w:t>&lt;PathFdR&gt;</w:t>
    </w:r>
    <w:r w:rsidRPr="007C0407">
      <w:t>RR\1340307EL.docx</w:t>
    </w:r>
    <w:r w:rsidRPr="007C0407">
      <w:rPr>
        <w:rStyle w:val="HideTWBExt"/>
      </w:rPr>
      <w:t>&lt;/PathFdR&gt;</w:t>
    </w:r>
  </w:p>
  <w:p w14:paraId="70957282" w14:textId="77777777" w:rsidR="00C06AC8" w:rsidRPr="007C0407" w:rsidRDefault="00C06AC8" w:rsidP="00D57E1D">
    <w:pPr>
      <w:pStyle w:val="EPFooter2"/>
    </w:pPr>
    <w:r w:rsidRPr="007C040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C111D" w14:textId="77777777" w:rsidR="00C06AC8" w:rsidRPr="007C0407" w:rsidRDefault="00C06AC8" w:rsidP="00D57E1D">
    <w:pPr>
      <w:pStyle w:val="EPFooter"/>
    </w:pPr>
    <w:r w:rsidRPr="007C0407">
      <w:rPr>
        <w:rStyle w:val="HideTWBExt"/>
      </w:rPr>
      <w:t>&lt;PathFdR&gt;</w:t>
    </w:r>
    <w:r w:rsidRPr="007C0407">
      <w:t>RR\1340307EL.docx</w:t>
    </w:r>
    <w:r w:rsidRPr="007C0407">
      <w:rPr>
        <w:rStyle w:val="HideTWBExt"/>
      </w:rPr>
      <w:t>&lt;/PathFdR&gt;</w:t>
    </w:r>
    <w:r w:rsidRPr="007C0407">
      <w:tab/>
    </w:r>
    <w:r w:rsidRPr="007C0407">
      <w:tab/>
      <w:t>PE</w:t>
    </w:r>
    <w:r w:rsidRPr="007C0407">
      <w:rPr>
        <w:rStyle w:val="HideTWBExt"/>
      </w:rPr>
      <w:t>&lt;NoPE&gt;</w:t>
    </w:r>
    <w:r w:rsidRPr="007C0407">
      <w:t>778.061</w:t>
    </w:r>
    <w:r w:rsidRPr="007C0407">
      <w:rPr>
        <w:rStyle w:val="HideTWBExt"/>
      </w:rPr>
      <w:t>&lt;/NoPE&gt;&lt;Version&gt;</w:t>
    </w:r>
    <w:r w:rsidRPr="007C0407">
      <w:t>v03-00</w:t>
    </w:r>
    <w:r w:rsidRPr="007C0407">
      <w:rPr>
        <w:rStyle w:val="HideTWBExt"/>
      </w:rPr>
      <w:t>&lt;/Version&gt;</w:t>
    </w:r>
  </w:p>
  <w:p w14:paraId="6D397673" w14:textId="77777777" w:rsidR="00C06AC8" w:rsidRPr="007C0407" w:rsidRDefault="00C06AC8" w:rsidP="00D57E1D">
    <w:pPr>
      <w:pStyle w:val="EPFooter2"/>
    </w:pPr>
    <w:r w:rsidRPr="007C0407">
      <w:t>EL</w:t>
    </w:r>
    <w:r w:rsidRPr="007C0407">
      <w:tab/>
    </w:r>
    <w:r w:rsidRPr="007C0407">
      <w:rPr>
        <w:b w:val="0"/>
        <w:i/>
        <w:color w:val="C0C0C0"/>
        <w:sz w:val="22"/>
      </w:rPr>
      <w:t>Ενωμένη στην πολυμορφία</w:t>
    </w:r>
    <w:r w:rsidRPr="007C0407">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2381" w14:textId="77777777" w:rsidR="00064002" w:rsidRPr="007C040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5765F" w14:textId="77777777" w:rsidR="00064002" w:rsidRPr="007C040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B66B" w14:textId="77777777" w:rsidR="00064002" w:rsidRPr="007C040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6FFE" w14:textId="77777777" w:rsidR="00D63067" w:rsidRPr="007C0407" w:rsidRDefault="00D63067">
      <w:r w:rsidRPr="007C0407">
        <w:separator/>
      </w:r>
    </w:p>
  </w:footnote>
  <w:footnote w:type="continuationSeparator" w:id="0">
    <w:p w14:paraId="0E38F1AD" w14:textId="77777777" w:rsidR="00D63067" w:rsidRPr="007C0407" w:rsidRDefault="00D63067">
      <w:r w:rsidRPr="007C0407">
        <w:continuationSeparator/>
      </w:r>
    </w:p>
  </w:footnote>
  <w:footnote w:id="1">
    <w:p w14:paraId="5D7BE5F5" w14:textId="62018E52" w:rsidR="00C06AC8" w:rsidRPr="00914A2B" w:rsidRDefault="00C06AC8" w:rsidP="0065484E">
      <w:pPr>
        <w:pStyle w:val="FootnoteText"/>
        <w:spacing w:line="240" w:lineRule="auto"/>
        <w:ind w:left="567" w:hanging="567"/>
        <w:rPr>
          <w:sz w:val="24"/>
          <w:lang w:val="fi-FI"/>
        </w:rPr>
      </w:pPr>
      <w:r w:rsidRPr="007C0407">
        <w:rPr>
          <w:rStyle w:val="FootnoteReference"/>
          <w:sz w:val="24"/>
          <w:lang w:val="el-GR"/>
        </w:rPr>
        <w:footnoteRef/>
      </w:r>
      <w:r w:rsidR="007C0407" w:rsidRPr="00914A2B">
        <w:rPr>
          <w:sz w:val="24"/>
          <w:lang w:val="fi-FI"/>
        </w:rPr>
        <w:t xml:space="preserve"> </w:t>
      </w:r>
      <w:r w:rsidR="007C0407" w:rsidRPr="00914A2B">
        <w:rPr>
          <w:sz w:val="24"/>
          <w:lang w:val="fi-FI"/>
        </w:rPr>
        <w:tab/>
      </w:r>
      <w:r w:rsidRPr="007C0407">
        <w:rPr>
          <w:sz w:val="24"/>
          <w:lang w:val="el-GR"/>
        </w:rPr>
        <w:t>ΕΕ</w:t>
      </w:r>
      <w:r w:rsidRPr="00914A2B">
        <w:rPr>
          <w:sz w:val="24"/>
          <w:lang w:val="fi-FI"/>
        </w:rPr>
        <w:t xml:space="preserve"> </w:t>
      </w:r>
      <w:r w:rsidRPr="0065484E">
        <w:rPr>
          <w:sz w:val="24"/>
          <w:lang w:val="fi-FI"/>
        </w:rPr>
        <w:t>L</w:t>
      </w:r>
      <w:r w:rsidR="00F42FA5">
        <w:rPr>
          <w:sz w:val="24"/>
          <w:lang w:val="fi-FI"/>
        </w:rPr>
        <w:t>,</w:t>
      </w:r>
      <w:r w:rsidRPr="0065484E">
        <w:rPr>
          <w:sz w:val="24"/>
          <w:lang w:val="fi-FI"/>
        </w:rPr>
        <w:t> </w:t>
      </w:r>
      <w:r w:rsidR="00914A2B">
        <w:rPr>
          <w:sz w:val="24"/>
          <w:lang w:val="fi-FI"/>
        </w:rPr>
        <w:t>2024/</w:t>
      </w:r>
      <w:r w:rsidRPr="00914A2B">
        <w:rPr>
          <w:sz w:val="24"/>
          <w:lang w:val="fi-FI"/>
        </w:rPr>
        <w:t xml:space="preserve">207, 22.2.2024, </w:t>
      </w:r>
      <w:r w:rsidRPr="0065484E">
        <w:rPr>
          <w:sz w:val="24"/>
          <w:lang w:val="fi-FI"/>
        </w:rPr>
        <w:t>ELI</w:t>
      </w:r>
      <w:r w:rsidRPr="00914A2B">
        <w:rPr>
          <w:sz w:val="24"/>
          <w:lang w:val="fi-FI"/>
        </w:rPr>
        <w:t xml:space="preserve">: </w:t>
      </w:r>
      <w:hyperlink r:id="rId1" w:history="1">
        <w:r w:rsidRPr="0065484E">
          <w:rPr>
            <w:rStyle w:val="Hyperlink"/>
            <w:sz w:val="24"/>
            <w:lang w:val="fi-FI"/>
          </w:rPr>
          <w:t>http</w:t>
        </w:r>
        <w:r w:rsidRPr="00914A2B">
          <w:rPr>
            <w:rStyle w:val="Hyperlink"/>
            <w:sz w:val="24"/>
            <w:lang w:val="fi-FI"/>
          </w:rPr>
          <w:t>://</w:t>
        </w:r>
        <w:r w:rsidRPr="0065484E">
          <w:rPr>
            <w:rStyle w:val="Hyperlink"/>
            <w:sz w:val="24"/>
            <w:lang w:val="fi-FI"/>
          </w:rPr>
          <w:t>data</w:t>
        </w:r>
        <w:r w:rsidRPr="00914A2B">
          <w:rPr>
            <w:rStyle w:val="Hyperlink"/>
            <w:sz w:val="24"/>
            <w:lang w:val="fi-FI"/>
          </w:rPr>
          <w:t>.</w:t>
        </w:r>
        <w:r w:rsidRPr="0065484E">
          <w:rPr>
            <w:rStyle w:val="Hyperlink"/>
            <w:sz w:val="24"/>
            <w:lang w:val="fi-FI"/>
          </w:rPr>
          <w:t>europa</w:t>
        </w:r>
        <w:r w:rsidRPr="00914A2B">
          <w:rPr>
            <w:rStyle w:val="Hyperlink"/>
            <w:sz w:val="24"/>
            <w:lang w:val="fi-FI"/>
          </w:rPr>
          <w:t>.</w:t>
        </w:r>
        <w:r w:rsidRPr="0065484E">
          <w:rPr>
            <w:rStyle w:val="Hyperlink"/>
            <w:sz w:val="24"/>
            <w:lang w:val="fi-FI"/>
          </w:rPr>
          <w:t>eu</w:t>
        </w:r>
        <w:r w:rsidRPr="00914A2B">
          <w:rPr>
            <w:rStyle w:val="Hyperlink"/>
            <w:sz w:val="24"/>
            <w:lang w:val="fi-FI"/>
          </w:rPr>
          <w:t>/</w:t>
        </w:r>
        <w:r w:rsidRPr="0065484E">
          <w:rPr>
            <w:rStyle w:val="Hyperlink"/>
            <w:sz w:val="24"/>
            <w:lang w:val="fi-FI"/>
          </w:rPr>
          <w:t>eli</w:t>
        </w:r>
        <w:r w:rsidRPr="00914A2B">
          <w:rPr>
            <w:rStyle w:val="Hyperlink"/>
            <w:sz w:val="24"/>
            <w:lang w:val="fi-FI"/>
          </w:rPr>
          <w:t>/</w:t>
        </w:r>
        <w:r w:rsidRPr="0065484E">
          <w:rPr>
            <w:rStyle w:val="Hyperlink"/>
            <w:sz w:val="24"/>
            <w:lang w:val="fi-FI"/>
          </w:rPr>
          <w:t>budget</w:t>
        </w:r>
        <w:r w:rsidRPr="00914A2B">
          <w:rPr>
            <w:rStyle w:val="Hyperlink"/>
            <w:sz w:val="24"/>
            <w:lang w:val="fi-FI"/>
          </w:rPr>
          <w:t>/2024/207/</w:t>
        </w:r>
        <w:r w:rsidRPr="0065484E">
          <w:rPr>
            <w:rStyle w:val="Hyperlink"/>
            <w:sz w:val="24"/>
            <w:lang w:val="fi-FI"/>
          </w:rPr>
          <w:t>oj</w:t>
        </w:r>
      </w:hyperlink>
      <w:r w:rsidRPr="00914A2B">
        <w:rPr>
          <w:rStyle w:val="Hyperlink"/>
          <w:sz w:val="24"/>
          <w:lang w:val="fi-FI"/>
        </w:rPr>
        <w:t>.</w:t>
      </w:r>
    </w:p>
  </w:footnote>
  <w:footnote w:id="2">
    <w:p w14:paraId="7531DB8A" w14:textId="2A9C5F90"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ΕΕ C, C/2025/4944, 13.10.2025, ELI: </w:t>
      </w:r>
      <w:hyperlink r:id="rId2" w:tgtFrame="_blank" w:tooltip="Πρόσβαση στο έγγραφο μέσω URI τύπου ELI." w:history="1">
        <w:r w:rsidRPr="007C0407">
          <w:rPr>
            <w:rStyle w:val="Hyperlink"/>
            <w:sz w:val="24"/>
            <w:lang w:val="el-GR"/>
          </w:rPr>
          <w:t>http://data.europa.eu/eli/C/2025/4944/oj</w:t>
        </w:r>
      </w:hyperlink>
      <w:r w:rsidRPr="007C0407">
        <w:rPr>
          <w:sz w:val="24"/>
          <w:lang w:val="el-GR"/>
        </w:rPr>
        <w:t>.</w:t>
      </w:r>
    </w:p>
  </w:footnote>
  <w:footnote w:id="3">
    <w:p w14:paraId="14C040C9" w14:textId="587C51BD" w:rsidR="00C06AC8" w:rsidRPr="0065484E" w:rsidRDefault="00C06AC8" w:rsidP="0065484E">
      <w:pPr>
        <w:pStyle w:val="FootnoteText"/>
        <w:spacing w:line="240" w:lineRule="auto"/>
        <w:ind w:left="567" w:hanging="567"/>
        <w:rPr>
          <w:sz w:val="24"/>
          <w:lang w:val="fi-FI"/>
        </w:rPr>
      </w:pPr>
      <w:r w:rsidRPr="007C0407">
        <w:rPr>
          <w:rStyle w:val="FootnoteReference"/>
          <w:sz w:val="24"/>
          <w:lang w:val="el-GR"/>
        </w:rPr>
        <w:footnoteRef/>
      </w:r>
      <w:r w:rsidR="007C0407" w:rsidRPr="0065484E">
        <w:rPr>
          <w:sz w:val="24"/>
          <w:lang w:val="fi-FI"/>
        </w:rPr>
        <w:t xml:space="preserve"> </w:t>
      </w:r>
      <w:r w:rsidR="007C0407" w:rsidRPr="0065484E">
        <w:rPr>
          <w:sz w:val="24"/>
          <w:lang w:val="fi-FI"/>
        </w:rPr>
        <w:tab/>
      </w:r>
      <w:r w:rsidRPr="007C0407">
        <w:rPr>
          <w:sz w:val="24"/>
          <w:lang w:val="el-GR"/>
        </w:rPr>
        <w:t>ΕΕ</w:t>
      </w:r>
      <w:r w:rsidRPr="0065484E">
        <w:rPr>
          <w:sz w:val="24"/>
          <w:lang w:val="fi-FI"/>
        </w:rPr>
        <w:t xml:space="preserve"> C, C/2025/5409, 8.10.2025, ELI: </w:t>
      </w:r>
      <w:hyperlink r:id="rId3" w:history="1">
        <w:r w:rsidRPr="0065484E">
          <w:rPr>
            <w:rStyle w:val="Hyperlink"/>
            <w:sz w:val="24"/>
            <w:lang w:val="fi-FI"/>
          </w:rPr>
          <w:t>http://data.europa.eu/eli/C/2025/5409/oj</w:t>
        </w:r>
      </w:hyperlink>
      <w:r w:rsidRPr="0065484E">
        <w:rPr>
          <w:rStyle w:val="Hyperlink"/>
          <w:sz w:val="24"/>
          <w:lang w:val="fi-FI"/>
        </w:rPr>
        <w:t>.</w:t>
      </w:r>
    </w:p>
  </w:footnote>
  <w:footnote w:id="4">
    <w:p w14:paraId="2E82180B" w14:textId="47EE3F30" w:rsidR="00C06AC8" w:rsidRPr="0065484E" w:rsidRDefault="00C06AC8" w:rsidP="0065484E">
      <w:pPr>
        <w:pStyle w:val="FootnoteText"/>
        <w:spacing w:line="240" w:lineRule="auto"/>
        <w:ind w:left="567" w:hanging="567"/>
        <w:rPr>
          <w:sz w:val="24"/>
          <w:lang w:val="fi-FI"/>
        </w:rPr>
      </w:pPr>
      <w:r w:rsidRPr="007C0407">
        <w:rPr>
          <w:rStyle w:val="FootnoteReference"/>
          <w:sz w:val="24"/>
          <w:lang w:val="el-GR"/>
        </w:rPr>
        <w:footnoteRef/>
      </w:r>
      <w:r w:rsidR="007C0407" w:rsidRPr="0065484E">
        <w:rPr>
          <w:sz w:val="24"/>
          <w:lang w:val="fi-FI"/>
        </w:rPr>
        <w:t xml:space="preserve"> </w:t>
      </w:r>
      <w:r w:rsidR="007C0407" w:rsidRPr="0065484E">
        <w:rPr>
          <w:sz w:val="24"/>
          <w:lang w:val="fi-FI"/>
        </w:rPr>
        <w:tab/>
      </w:r>
      <w:r w:rsidRPr="007C0407">
        <w:rPr>
          <w:sz w:val="24"/>
          <w:lang w:val="el-GR"/>
        </w:rPr>
        <w:t>ΕΕ</w:t>
      </w:r>
      <w:r w:rsidRPr="0065484E">
        <w:rPr>
          <w:sz w:val="24"/>
          <w:lang w:val="fi-FI"/>
        </w:rPr>
        <w:t xml:space="preserve"> C, C/2025/5407, 13.10.2025, ELI: </w:t>
      </w:r>
      <w:hyperlink r:id="rId4" w:history="1">
        <w:r w:rsidRPr="0065484E">
          <w:rPr>
            <w:rStyle w:val="Hyperlink"/>
            <w:sz w:val="24"/>
            <w:lang w:val="fi-FI"/>
          </w:rPr>
          <w:t>http://data.europa.eu/eli/C/2025/5407/oj</w:t>
        </w:r>
      </w:hyperlink>
      <w:r w:rsidRPr="0065484E">
        <w:rPr>
          <w:rStyle w:val="Hyperlink"/>
          <w:sz w:val="24"/>
          <w:lang w:val="fi-FI"/>
        </w:rPr>
        <w:t>.</w:t>
      </w:r>
    </w:p>
  </w:footnote>
  <w:footnote w:id="5">
    <w:p w14:paraId="4FE11A3D" w14:textId="49017D92"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ΕΕ L 193 της 30.7.2018, σ. </w:t>
      </w:r>
      <w:r w:rsidRPr="007C0407">
        <w:rPr>
          <w:sz w:val="24"/>
          <w:lang w:val="el-GR"/>
        </w:rPr>
        <w:t xml:space="preserve">1, ELI: </w:t>
      </w:r>
      <w:hyperlink r:id="rId5" w:history="1">
        <w:r w:rsidRPr="007C0407">
          <w:rPr>
            <w:rStyle w:val="Hyperlink"/>
            <w:sz w:val="24"/>
            <w:lang w:val="el-GR"/>
          </w:rPr>
          <w:t>http://data.europa.eu/eli/reg/2018/1046/oj</w:t>
        </w:r>
      </w:hyperlink>
      <w:r w:rsidRPr="007C0407">
        <w:rPr>
          <w:sz w:val="24"/>
          <w:lang w:val="el-GR"/>
        </w:rPr>
        <w:t>.</w:t>
      </w:r>
    </w:p>
  </w:footnote>
  <w:footnote w:id="6">
    <w:p w14:paraId="09B87180" w14:textId="4D047E99" w:rsidR="00C06AC8" w:rsidRPr="0065484E" w:rsidRDefault="00C06AC8" w:rsidP="0065484E">
      <w:pPr>
        <w:pStyle w:val="FootnoteText"/>
        <w:spacing w:line="240" w:lineRule="auto"/>
        <w:ind w:left="567" w:hanging="567"/>
        <w:rPr>
          <w:sz w:val="24"/>
          <w:lang w:val="fi-FI"/>
        </w:rPr>
      </w:pPr>
      <w:r w:rsidRPr="007C0407">
        <w:rPr>
          <w:rStyle w:val="FootnoteReference"/>
          <w:sz w:val="24"/>
          <w:lang w:val="el-GR"/>
        </w:rPr>
        <w:footnoteRef/>
      </w:r>
      <w:r w:rsidR="007C0407" w:rsidRPr="0065484E">
        <w:rPr>
          <w:sz w:val="24"/>
          <w:lang w:val="fi-FI"/>
        </w:rPr>
        <w:t xml:space="preserve"> </w:t>
      </w:r>
      <w:r w:rsidR="007C0407" w:rsidRPr="0065484E">
        <w:rPr>
          <w:sz w:val="24"/>
          <w:lang w:val="fi-FI"/>
        </w:rPr>
        <w:tab/>
      </w:r>
      <w:r w:rsidRPr="007C0407">
        <w:rPr>
          <w:sz w:val="24"/>
          <w:lang w:val="el-GR"/>
        </w:rPr>
        <w:t>ΕΕ</w:t>
      </w:r>
      <w:r w:rsidRPr="0065484E">
        <w:rPr>
          <w:sz w:val="24"/>
          <w:lang w:val="fi-FI"/>
        </w:rPr>
        <w:t xml:space="preserve"> L, 2024/2509, 26.9.2024, ELI: </w:t>
      </w:r>
      <w:hyperlink r:id="rId6" w:history="1">
        <w:r w:rsidRPr="0065484E">
          <w:rPr>
            <w:rStyle w:val="Hyperlink"/>
            <w:sz w:val="24"/>
            <w:lang w:val="fi-FI"/>
          </w:rPr>
          <w:t>http://data.europa.eu/eli/reg/2024/2509/oj</w:t>
        </w:r>
      </w:hyperlink>
      <w:r w:rsidRPr="0065484E">
        <w:rPr>
          <w:sz w:val="24"/>
          <w:lang w:val="fi-FI"/>
        </w:rPr>
        <w:t>.</w:t>
      </w:r>
    </w:p>
  </w:footnote>
  <w:footnote w:id="7">
    <w:p w14:paraId="03E6FF17" w14:textId="14FC19D6"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ΕΕ L 201 της 3.8.2010, σ. </w:t>
      </w:r>
      <w:r w:rsidRPr="007C0407">
        <w:rPr>
          <w:sz w:val="24"/>
          <w:lang w:val="el-GR"/>
        </w:rPr>
        <w:t xml:space="preserve">30, ELI: </w:t>
      </w:r>
      <w:hyperlink r:id="rId7" w:history="1">
        <w:r w:rsidRPr="007C0407">
          <w:rPr>
            <w:rStyle w:val="Hyperlink"/>
            <w:sz w:val="24"/>
            <w:lang w:val="el-GR"/>
          </w:rPr>
          <w:t>http://data.europa.eu/eli/dec/2010/427/oj</w:t>
        </w:r>
      </w:hyperlink>
      <w:r w:rsidRPr="007C0407">
        <w:rPr>
          <w:sz w:val="24"/>
          <w:lang w:val="el-GR"/>
        </w:rPr>
        <w:t>.</w:t>
      </w:r>
    </w:p>
  </w:footnote>
  <w:footnote w:id="8">
    <w:p w14:paraId="303DAFA8" w14:textId="7A8504B4"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Οδηγία 2014/24/ΕΕ του Ευρωπαϊκού Κοινοβουλίου και του Συμβουλίου, της 26ης</w:t>
      </w:r>
      <w:r w:rsidR="0065484E">
        <w:rPr>
          <w:sz w:val="24"/>
          <w:lang w:val="el-GR"/>
        </w:rPr>
        <w:t> </w:t>
      </w:r>
      <w:r w:rsidRPr="007C0407">
        <w:rPr>
          <w:sz w:val="24"/>
          <w:lang w:val="el-GR"/>
        </w:rPr>
        <w:t>Φεβρουαρίου 2014, σχετικά με τις διαδικασίες σύναψης δημοσίων συμβάσεων και την κατάργηση της οδηγίας 2004/18/ΕΚ (ΕΕ L 94 της 28.3.2014, σ. </w:t>
      </w:r>
      <w:r w:rsidRPr="007C0407">
        <w:rPr>
          <w:sz w:val="24"/>
          <w:lang w:val="el-GR"/>
        </w:rPr>
        <w:t xml:space="preserve">65, ELI: </w:t>
      </w:r>
      <w:hyperlink r:id="rId8" w:history="1">
        <w:r w:rsidRPr="007C0407">
          <w:rPr>
            <w:rStyle w:val="Hyperlink"/>
            <w:sz w:val="24"/>
            <w:lang w:val="el-GR"/>
          </w:rPr>
          <w:t>http://data.europa.eu/eli/dir/2014/24/oj</w:t>
        </w:r>
      </w:hyperlink>
      <w:r w:rsidRPr="007C0407">
        <w:rPr>
          <w:sz w:val="24"/>
          <w:lang w:val="el-GR"/>
        </w:rPr>
        <w:t>).</w:t>
      </w:r>
    </w:p>
  </w:footnote>
  <w:footnote w:id="9">
    <w:p w14:paraId="1758DF23" w14:textId="0793CBD8"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Ψήφισμα P10_TA(2025)0086, παράγραφος 83</w:t>
      </w:r>
      <w:r w:rsidR="0065484E">
        <w:rPr>
          <w:sz w:val="24"/>
          <w:lang w:val="el-GR"/>
        </w:rPr>
        <w:t>.</w:t>
      </w:r>
    </w:p>
  </w:footnote>
  <w:footnote w:id="10">
    <w:p w14:paraId="4774FB56" w14:textId="452A7F7B"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Απόφαση (ΚΕΠΠΑ) 2024/1472 του Συμβουλίου, της 21ης Μαΐου 2024, σχετικά με τη Διπλωματική Ακαδημία της Ευρωπαϊκής Ένωσης</w:t>
      </w:r>
      <w:r w:rsidRPr="007C0407">
        <w:rPr>
          <w:color w:val="333333"/>
          <w:sz w:val="24"/>
          <w:shd w:val="clear" w:color="auto" w:fill="FFFFFF"/>
          <w:lang w:val="el-GR"/>
        </w:rPr>
        <w:t xml:space="preserve"> (</w:t>
      </w:r>
      <w:r w:rsidRPr="007C0407">
        <w:rPr>
          <w:sz w:val="24"/>
          <w:lang w:val="el-GR"/>
        </w:rPr>
        <w:t>ΕΕ L, 2024/1472, 22.5.2024, ELI: </w:t>
      </w:r>
      <w:hyperlink r:id="rId9" w:tgtFrame="_blank" w:tooltip="Πρόσβαση στο έγγραφο μέσω URI τύπου ELI." w:history="1">
        <w:r w:rsidRPr="007C0407">
          <w:rPr>
            <w:rStyle w:val="Hyperlink"/>
            <w:sz w:val="24"/>
            <w:lang w:val="el-GR"/>
          </w:rPr>
          <w:t>http://data.europa.eu/eli/dec/2024/1472/oj</w:t>
        </w:r>
      </w:hyperlink>
      <w:r w:rsidRPr="007C0407">
        <w:rPr>
          <w:sz w:val="24"/>
          <w:lang w:val="el-GR"/>
        </w:rPr>
        <w:t>).</w:t>
      </w:r>
    </w:p>
  </w:footnote>
  <w:footnote w:id="11">
    <w:p w14:paraId="6DDADFDE" w14:textId="0AAD7594" w:rsidR="00C06AC8" w:rsidRPr="007C0407" w:rsidRDefault="00C06AC8" w:rsidP="0065484E">
      <w:pPr>
        <w:pStyle w:val="FootnoteText"/>
        <w:spacing w:line="240" w:lineRule="auto"/>
        <w:ind w:left="567" w:hanging="567"/>
        <w:rPr>
          <w:sz w:val="24"/>
          <w:lang w:val="el-GR"/>
        </w:rPr>
      </w:pPr>
      <w:r w:rsidRPr="007C0407">
        <w:rPr>
          <w:rStyle w:val="FootnoteReference"/>
          <w:sz w:val="24"/>
          <w:lang w:val="el-GR"/>
        </w:rPr>
        <w:footnoteRef/>
      </w:r>
      <w:r w:rsidR="007C0407" w:rsidRPr="007C0407">
        <w:rPr>
          <w:sz w:val="24"/>
          <w:lang w:val="el-GR"/>
        </w:rPr>
        <w:t xml:space="preserve"> </w:t>
      </w:r>
      <w:r w:rsidR="007C0407" w:rsidRPr="007C0407">
        <w:rPr>
          <w:sz w:val="24"/>
          <w:lang w:val="el-GR"/>
        </w:rPr>
        <w:tab/>
      </w:r>
      <w:r w:rsidRPr="007C0407">
        <w:rPr>
          <w:sz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w:t>
      </w:r>
      <w:r w:rsidRPr="007C0407">
        <w:rPr>
          <w:sz w:val="24"/>
          <w:lang w:val="el-GR"/>
        </w:rPr>
        <w:t xml:space="preserve">168/2013, (ΕΕ) 2018/858, (ΕΕ) 2018/1139 και (ΕΕ) 2019/2144 και των οδηγιών 2014/90/ΕΕ, (ΕΕ) 2016/797 και (ΕΕ) 2020/1828 (κανονισμός για την τεχνητή νοημοσύνη) (ΕΕ L, 2024/1689, 12.7.2024, ELI: </w:t>
      </w:r>
      <w:hyperlink r:id="rId10" w:history="1">
        <w:r w:rsidRPr="007C0407">
          <w:rPr>
            <w:rStyle w:val="Hyperlink"/>
            <w:sz w:val="24"/>
            <w:lang w:val="el-GR"/>
          </w:rPr>
          <w:t>http://data</w:t>
        </w:r>
        <w:r w:rsidRPr="007C0407">
          <w:rPr>
            <w:rStyle w:val="Hyperlink"/>
            <w:sz w:val="24"/>
            <w:lang w:val="el-GR"/>
          </w:rPr>
          <w:t>.</w:t>
        </w:r>
        <w:r w:rsidRPr="007C0407">
          <w:rPr>
            <w:rStyle w:val="Hyperlink"/>
            <w:sz w:val="24"/>
            <w:lang w:val="el-GR"/>
          </w:rPr>
          <w:t>europa.eu/eli/reg/2024/1689/oj</w:t>
        </w:r>
      </w:hyperlink>
      <w:r w:rsidRPr="007C0407">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E1ED" w14:textId="77777777" w:rsidR="00064002" w:rsidRPr="007C040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47A16" w14:textId="77777777" w:rsidR="00064002" w:rsidRPr="007C040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E211D" w14:textId="77777777" w:rsidR="00064002" w:rsidRPr="007C040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1A237B"/>
    <w:multiLevelType w:val="hybridMultilevel"/>
    <w:tmpl w:val="8ADC8A82"/>
    <w:lvl w:ilvl="0" w:tplc="DCDC5F9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89085478">
    <w:abstractNumId w:val="0"/>
  </w:num>
  <w:num w:numId="2" w16cid:durableId="1968121449">
    <w:abstractNumId w:val="2"/>
  </w:num>
  <w:num w:numId="3" w16cid:durableId="7845520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3/2026"/>
    <w:docVar w:name="dvlangue" w:val="EL"/>
    <w:docVar w:name="dvnumam" w:val="0"/>
    <w:docVar w:name="dvpe" w:val="778.061"/>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X – Ευρωπαϊκή Υπηρεσία Εξωτερικής Δράσης(2025/2150(DEC))"/>
  </w:docVars>
  <w:rsids>
    <w:rsidRoot w:val="00D63067"/>
    <w:rsid w:val="00002272"/>
    <w:rsid w:val="00064002"/>
    <w:rsid w:val="000677B9"/>
    <w:rsid w:val="000831BA"/>
    <w:rsid w:val="000A42CC"/>
    <w:rsid w:val="000E7DD9"/>
    <w:rsid w:val="0010095E"/>
    <w:rsid w:val="00125B37"/>
    <w:rsid w:val="00187494"/>
    <w:rsid w:val="001A4996"/>
    <w:rsid w:val="001F32AE"/>
    <w:rsid w:val="002767FF"/>
    <w:rsid w:val="002B18FE"/>
    <w:rsid w:val="002B5493"/>
    <w:rsid w:val="00343214"/>
    <w:rsid w:val="00361C00"/>
    <w:rsid w:val="00395FA1"/>
    <w:rsid w:val="003E15D4"/>
    <w:rsid w:val="003F7CBA"/>
    <w:rsid w:val="00411CCE"/>
    <w:rsid w:val="0041666E"/>
    <w:rsid w:val="00421060"/>
    <w:rsid w:val="00471C19"/>
    <w:rsid w:val="004867E3"/>
    <w:rsid w:val="00494A28"/>
    <w:rsid w:val="004C0004"/>
    <w:rsid w:val="004C5D52"/>
    <w:rsid w:val="0050519A"/>
    <w:rsid w:val="005072A1"/>
    <w:rsid w:val="00514517"/>
    <w:rsid w:val="00545827"/>
    <w:rsid w:val="00560270"/>
    <w:rsid w:val="00585641"/>
    <w:rsid w:val="005C2568"/>
    <w:rsid w:val="005F1B17"/>
    <w:rsid w:val="006037C0"/>
    <w:rsid w:val="0065484E"/>
    <w:rsid w:val="006631B6"/>
    <w:rsid w:val="006646FF"/>
    <w:rsid w:val="00680577"/>
    <w:rsid w:val="00680DFB"/>
    <w:rsid w:val="006919C2"/>
    <w:rsid w:val="006F629F"/>
    <w:rsid w:val="006F74FA"/>
    <w:rsid w:val="00731ADD"/>
    <w:rsid w:val="00734777"/>
    <w:rsid w:val="00747932"/>
    <w:rsid w:val="00751A4A"/>
    <w:rsid w:val="00756632"/>
    <w:rsid w:val="00762C74"/>
    <w:rsid w:val="007747B3"/>
    <w:rsid w:val="00786EC0"/>
    <w:rsid w:val="007C0407"/>
    <w:rsid w:val="007D1690"/>
    <w:rsid w:val="007E22AD"/>
    <w:rsid w:val="00817416"/>
    <w:rsid w:val="00842779"/>
    <w:rsid w:val="00865F67"/>
    <w:rsid w:val="00881A7B"/>
    <w:rsid w:val="008840E5"/>
    <w:rsid w:val="00887B3E"/>
    <w:rsid w:val="008C2AC6"/>
    <w:rsid w:val="00914A2B"/>
    <w:rsid w:val="00924112"/>
    <w:rsid w:val="00930C23"/>
    <w:rsid w:val="0093193B"/>
    <w:rsid w:val="009509D8"/>
    <w:rsid w:val="00950B64"/>
    <w:rsid w:val="0096466D"/>
    <w:rsid w:val="0096591C"/>
    <w:rsid w:val="00981893"/>
    <w:rsid w:val="00A044AA"/>
    <w:rsid w:val="00A1687D"/>
    <w:rsid w:val="00A43E52"/>
    <w:rsid w:val="00A4678D"/>
    <w:rsid w:val="00A550D6"/>
    <w:rsid w:val="00A778C7"/>
    <w:rsid w:val="00AB441E"/>
    <w:rsid w:val="00AB6293"/>
    <w:rsid w:val="00AE0928"/>
    <w:rsid w:val="00AF3B82"/>
    <w:rsid w:val="00B12E95"/>
    <w:rsid w:val="00B22876"/>
    <w:rsid w:val="00B558F0"/>
    <w:rsid w:val="00BD48FE"/>
    <w:rsid w:val="00BD7BD8"/>
    <w:rsid w:val="00BE6ADC"/>
    <w:rsid w:val="00C05BFE"/>
    <w:rsid w:val="00C06AC8"/>
    <w:rsid w:val="00C23CD4"/>
    <w:rsid w:val="00C61C0C"/>
    <w:rsid w:val="00C91F08"/>
    <w:rsid w:val="00C941CB"/>
    <w:rsid w:val="00CB47B9"/>
    <w:rsid w:val="00CC2357"/>
    <w:rsid w:val="00CF071A"/>
    <w:rsid w:val="00D058B8"/>
    <w:rsid w:val="00D20557"/>
    <w:rsid w:val="00D56C11"/>
    <w:rsid w:val="00D63067"/>
    <w:rsid w:val="00D834A0"/>
    <w:rsid w:val="00D872DF"/>
    <w:rsid w:val="00D91E21"/>
    <w:rsid w:val="00DA7FCD"/>
    <w:rsid w:val="00DB0178"/>
    <w:rsid w:val="00E01CFF"/>
    <w:rsid w:val="00E365E1"/>
    <w:rsid w:val="00E820A4"/>
    <w:rsid w:val="00EB006A"/>
    <w:rsid w:val="00EB4772"/>
    <w:rsid w:val="00ED169E"/>
    <w:rsid w:val="00ED4235"/>
    <w:rsid w:val="00F04346"/>
    <w:rsid w:val="00F075DC"/>
    <w:rsid w:val="00F149E9"/>
    <w:rsid w:val="00F42FA5"/>
    <w:rsid w:val="00F5134D"/>
    <w:rsid w:val="00F665F0"/>
    <w:rsid w:val="00F74202"/>
    <w:rsid w:val="00F87713"/>
    <w:rsid w:val="00FB4360"/>
    <w:rsid w:val="00FD0C70"/>
    <w:rsid w:val="00FF313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4D563"/>
  <w15:chartTrackingRefBased/>
  <w15:docId w15:val="{60506858-CE6A-4BF7-BC46-B545D388E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6AC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6AC8"/>
    <w:pPr>
      <w:spacing w:before="480" w:after="240"/>
    </w:pPr>
  </w:style>
  <w:style w:type="paragraph" w:customStyle="1" w:styleId="PageHeading">
    <w:name w:val="PageHeading"/>
    <w:basedOn w:val="Normal"/>
    <w:rsid w:val="00C06AC8"/>
    <w:pPr>
      <w:keepNext/>
      <w:spacing w:after="480"/>
      <w:jc w:val="center"/>
    </w:pPr>
    <w:rPr>
      <w:rFonts w:ascii="Arial" w:hAnsi="Arial" w:cs="Arial"/>
      <w:b/>
    </w:rPr>
  </w:style>
  <w:style w:type="paragraph" w:customStyle="1" w:styleId="NormalBold">
    <w:name w:val="NormalBold"/>
    <w:basedOn w:val="Normal"/>
    <w:rsid w:val="00C06AC8"/>
    <w:rPr>
      <w:b/>
    </w:rPr>
  </w:style>
  <w:style w:type="paragraph" w:customStyle="1" w:styleId="NormalHanging12a">
    <w:name w:val="NormalHanging12a"/>
    <w:basedOn w:val="Normal"/>
    <w:link w:val="NormalHanging12aChar"/>
    <w:qFormat/>
    <w:rsid w:val="00C06AC8"/>
    <w:pPr>
      <w:spacing w:after="240"/>
      <w:ind w:left="567" w:hanging="567"/>
    </w:pPr>
  </w:style>
  <w:style w:type="paragraph" w:styleId="Header">
    <w:name w:val="header"/>
    <w:basedOn w:val="Normal"/>
    <w:link w:val="HeaderChar"/>
    <w:rsid w:val="00C06AC8"/>
    <w:pPr>
      <w:tabs>
        <w:tab w:val="center" w:pos="4513"/>
        <w:tab w:val="right" w:pos="9026"/>
      </w:tabs>
    </w:pPr>
  </w:style>
  <w:style w:type="character" w:customStyle="1" w:styleId="HeaderChar">
    <w:name w:val="Header Char"/>
    <w:basedOn w:val="DefaultParagraphFont"/>
    <w:link w:val="Header"/>
    <w:rsid w:val="00C06AC8"/>
    <w:rPr>
      <w:sz w:val="24"/>
      <w:lang w:val="el-GR"/>
    </w:rPr>
  </w:style>
  <w:style w:type="paragraph" w:customStyle="1" w:styleId="EPFooter">
    <w:name w:val="EPFooter"/>
    <w:basedOn w:val="Normal"/>
    <w:rsid w:val="00C06AC8"/>
    <w:pPr>
      <w:tabs>
        <w:tab w:val="center" w:pos="4535"/>
        <w:tab w:val="right" w:pos="9071"/>
      </w:tabs>
      <w:spacing w:before="240" w:after="240"/>
    </w:pPr>
    <w:rPr>
      <w:color w:val="010000"/>
      <w:sz w:val="22"/>
    </w:rPr>
  </w:style>
  <w:style w:type="character" w:styleId="Hyperlink">
    <w:name w:val="Hyperlink"/>
    <w:basedOn w:val="DefaultParagraphFont"/>
    <w:rsid w:val="00C06AC8"/>
    <w:rPr>
      <w:color w:val="0563C1" w:themeColor="hyperlink"/>
      <w:u w:val="single"/>
    </w:rPr>
  </w:style>
  <w:style w:type="character" w:customStyle="1" w:styleId="NormalHanging12aChar">
    <w:name w:val="NormalHanging12a Char"/>
    <w:basedOn w:val="DefaultParagraphFont"/>
    <w:link w:val="NormalHanging12a"/>
    <w:locked/>
    <w:rsid w:val="00C06AC8"/>
    <w:rPr>
      <w:sz w:val="24"/>
      <w:lang w:val="el-GR"/>
    </w:rPr>
  </w:style>
  <w:style w:type="paragraph" w:styleId="Revision">
    <w:name w:val="Revision"/>
    <w:hidden/>
    <w:uiPriority w:val="99"/>
    <w:semiHidden/>
    <w:rsid w:val="0065484E"/>
    <w:rPr>
      <w:sz w:val="24"/>
      <w:lang w:val="el-GR"/>
    </w:rPr>
  </w:style>
  <w:style w:type="paragraph" w:styleId="ListParagraph">
    <w:name w:val="List Paragraph"/>
    <w:basedOn w:val="Normal"/>
    <w:uiPriority w:val="34"/>
    <w:qFormat/>
    <w:rsid w:val="0065484E"/>
    <w:pPr>
      <w:ind w:left="720"/>
      <w:contextualSpacing/>
    </w:pPr>
  </w:style>
  <w:style w:type="character" w:styleId="FollowedHyperlink">
    <w:name w:val="FollowedHyperlink"/>
    <w:basedOn w:val="DefaultParagraphFont"/>
    <w:rsid w:val="006919C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24/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dec/2010/427/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dec/2024/147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16260</Words>
  <Characters>96791</Characters>
  <Application>Microsoft Office Word</Application>
  <DocSecurity>0</DocSecurity>
  <Lines>806</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CHRISTOFOROU Nikolaos</cp:lastModifiedBy>
  <cp:revision>2</cp:revision>
  <cp:lastPrinted>2004-11-19T15:42:00Z</cp:lastPrinted>
  <dcterms:created xsi:type="dcterms:W3CDTF">2026-05-05T08:02:00Z</dcterms:created>
  <dcterms:modified xsi:type="dcterms:W3CDTF">2026-05-05T08:02:00Z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P10_TA(2026)0130_</vt:lpwstr>
  </property>
  <property fmtid="{D5CDD505-2E9C-101B-9397-08002B2CF9AE}" pid="4" name="&lt;Type&gt;">
    <vt:lpwstr>RR</vt:lpwstr>
  </property>
</Properties>
</file>