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47D0" w14:paraId="7DA5AA37" w14:textId="77777777" w:rsidTr="0010095E">
        <w:trPr>
          <w:trHeight w:hRule="exact" w:val="1418"/>
        </w:trPr>
        <w:tc>
          <w:tcPr>
            <w:tcW w:w="6804" w:type="dxa"/>
            <w:shd w:val="clear" w:color="auto" w:fill="auto"/>
            <w:vAlign w:val="center"/>
          </w:tcPr>
          <w:p w14:paraId="03705170" w14:textId="77777777" w:rsidR="00751A4A" w:rsidRPr="00D347D0" w:rsidRDefault="007D7CC6" w:rsidP="0010095E">
            <w:pPr>
              <w:pStyle w:val="EPName"/>
            </w:pPr>
            <w:r w:rsidRPr="00D347D0">
              <w:t>Parlamentul European</w:t>
            </w:r>
          </w:p>
          <w:p w14:paraId="06F0D7C9" w14:textId="77777777" w:rsidR="00751A4A" w:rsidRPr="00D347D0" w:rsidRDefault="005F1B17" w:rsidP="005F1B17">
            <w:pPr>
              <w:pStyle w:val="EPTerm"/>
              <w:rPr>
                <w:rStyle w:val="HideTWBExt"/>
                <w:noProof w:val="0"/>
                <w:vanish w:val="0"/>
                <w:color w:val="auto"/>
              </w:rPr>
            </w:pPr>
            <w:r w:rsidRPr="00D347D0">
              <w:t>2024</w:t>
            </w:r>
            <w:r w:rsidR="00817416" w:rsidRPr="00D347D0">
              <w:t>-202</w:t>
            </w:r>
            <w:r w:rsidRPr="00D347D0">
              <w:t>9</w:t>
            </w:r>
          </w:p>
        </w:tc>
        <w:tc>
          <w:tcPr>
            <w:tcW w:w="2268" w:type="dxa"/>
            <w:shd w:val="clear" w:color="auto" w:fill="auto"/>
          </w:tcPr>
          <w:p w14:paraId="6092DFEE" w14:textId="77777777" w:rsidR="00751A4A" w:rsidRPr="00D347D0" w:rsidRDefault="00187494" w:rsidP="0010095E">
            <w:pPr>
              <w:pStyle w:val="EPLogo"/>
            </w:pPr>
            <w:r w:rsidRPr="00D347D0">
              <w:rPr>
                <w:noProof/>
                <w:lang w:eastAsia="ja-JP"/>
              </w:rPr>
              <w:drawing>
                <wp:inline distT="0" distB="0" distL="0" distR="0" wp14:anchorId="329D2EA3" wp14:editId="5312E2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7FEA61" w14:textId="77777777" w:rsidR="00D058B8" w:rsidRPr="00D347D0" w:rsidRDefault="00D058B8" w:rsidP="004C5D52">
      <w:pPr>
        <w:pStyle w:val="LineTop"/>
      </w:pPr>
    </w:p>
    <w:p w14:paraId="614F6261" w14:textId="77777777" w:rsidR="00680577" w:rsidRPr="00D347D0" w:rsidRDefault="007D7CC6" w:rsidP="00680577">
      <w:pPr>
        <w:pStyle w:val="EPBodyTA1"/>
      </w:pPr>
      <w:r w:rsidRPr="00D347D0">
        <w:t>TEXTE ADOPTATE</w:t>
      </w:r>
    </w:p>
    <w:p w14:paraId="3D7E0698" w14:textId="77777777" w:rsidR="00D058B8" w:rsidRPr="00D347D0" w:rsidRDefault="00D058B8" w:rsidP="00D058B8">
      <w:pPr>
        <w:pStyle w:val="LineBottom"/>
      </w:pPr>
    </w:p>
    <w:p w14:paraId="26CFC984" w14:textId="6D74E8F1" w:rsidR="007D7CC6" w:rsidRPr="00D347D0" w:rsidRDefault="007D7CC6" w:rsidP="007D7CC6">
      <w:pPr>
        <w:pStyle w:val="ATHeading1"/>
      </w:pPr>
      <w:bookmarkStart w:id="0" w:name="TANumber"/>
      <w:r w:rsidRPr="00D347D0">
        <w:t>P10_TA(2026)0</w:t>
      </w:r>
      <w:r w:rsidR="0028336B" w:rsidRPr="00D347D0">
        <w:t>130</w:t>
      </w:r>
      <w:bookmarkEnd w:id="0"/>
    </w:p>
    <w:p w14:paraId="0C728DB2" w14:textId="77777777" w:rsidR="007D7CC6" w:rsidRPr="00D347D0" w:rsidRDefault="007D7CC6" w:rsidP="007D7CC6">
      <w:pPr>
        <w:pStyle w:val="ATHeading2"/>
      </w:pPr>
      <w:bookmarkStart w:id="1" w:name="title"/>
      <w:r w:rsidRPr="00D347D0">
        <w:t>Descărcarea de gestiune 2024: Bugetul general al UE - Serviciul European de Acțiune Externă</w:t>
      </w:r>
      <w:bookmarkEnd w:id="1"/>
    </w:p>
    <w:p w14:paraId="21B296BF" w14:textId="77777777" w:rsidR="007D7CC6" w:rsidRPr="00D347D0" w:rsidRDefault="007D7CC6" w:rsidP="007D7CC6">
      <w:pPr>
        <w:rPr>
          <w:i/>
          <w:vanish/>
        </w:rPr>
      </w:pPr>
      <w:r w:rsidRPr="00D347D0">
        <w:rPr>
          <w:i/>
        </w:rPr>
        <w:fldChar w:fldCharType="begin"/>
      </w:r>
      <w:r w:rsidRPr="00D347D0">
        <w:rPr>
          <w:i/>
        </w:rPr>
        <w:instrText xml:space="preserve"> TC"(</w:instrText>
      </w:r>
      <w:bookmarkStart w:id="2" w:name="DocNumber"/>
      <w:r w:rsidRPr="00D347D0">
        <w:rPr>
          <w:i/>
        </w:rPr>
        <w:instrText>A10-0053/2026</w:instrText>
      </w:r>
      <w:bookmarkEnd w:id="2"/>
      <w:r w:rsidRPr="00D347D0">
        <w:rPr>
          <w:i/>
        </w:rPr>
        <w:instrText xml:space="preserve"> - Raportor: </w:instrText>
      </w:r>
      <w:proofErr w:type="spellStart"/>
      <w:r w:rsidRPr="00D347D0">
        <w:rPr>
          <w:i/>
        </w:rPr>
        <w:instrText>Pasquale</w:instrText>
      </w:r>
      <w:proofErr w:type="spellEnd"/>
      <w:r w:rsidRPr="00D347D0">
        <w:rPr>
          <w:i/>
        </w:rPr>
        <w:instrText xml:space="preserve"> </w:instrText>
      </w:r>
      <w:proofErr w:type="spellStart"/>
      <w:r w:rsidRPr="00D347D0">
        <w:rPr>
          <w:i/>
        </w:rPr>
        <w:instrText>Tridico</w:instrText>
      </w:r>
      <w:proofErr w:type="spellEnd"/>
      <w:r w:rsidRPr="00D347D0">
        <w:rPr>
          <w:i/>
        </w:rPr>
        <w:instrText xml:space="preserve">)"\l3 \n&gt; \* MERGEFORMAT </w:instrText>
      </w:r>
      <w:r w:rsidRPr="00D347D0">
        <w:rPr>
          <w:i/>
        </w:rPr>
        <w:fldChar w:fldCharType="end"/>
      </w:r>
    </w:p>
    <w:p w14:paraId="5B4DCFE3" w14:textId="77777777" w:rsidR="007D7CC6" w:rsidRPr="00D347D0" w:rsidRDefault="007D7CC6" w:rsidP="007D7CC6">
      <w:pPr>
        <w:rPr>
          <w:vanish/>
        </w:rPr>
      </w:pPr>
      <w:bookmarkStart w:id="3" w:name="Commission"/>
      <w:r w:rsidRPr="00D347D0">
        <w:rPr>
          <w:vanish/>
        </w:rPr>
        <w:t>Comisia pentru control bugetar</w:t>
      </w:r>
      <w:bookmarkEnd w:id="3"/>
    </w:p>
    <w:p w14:paraId="532D21A3" w14:textId="77777777" w:rsidR="007D7CC6" w:rsidRPr="00D347D0" w:rsidRDefault="007D7CC6" w:rsidP="007D7CC6">
      <w:pPr>
        <w:rPr>
          <w:vanish/>
        </w:rPr>
      </w:pPr>
      <w:bookmarkStart w:id="4" w:name="PE"/>
      <w:r w:rsidRPr="00D347D0">
        <w:rPr>
          <w:vanish/>
        </w:rPr>
        <w:t>PE778.061</w:t>
      </w:r>
      <w:bookmarkEnd w:id="4"/>
    </w:p>
    <w:p w14:paraId="057052D2" w14:textId="224A4FE9" w:rsidR="007D7CC6" w:rsidRPr="00D347D0" w:rsidRDefault="004C6106" w:rsidP="007D7CC6">
      <w:pPr>
        <w:pStyle w:val="ATHeading3"/>
      </w:pPr>
      <w:bookmarkStart w:id="5" w:name="Sujet"/>
      <w:r w:rsidRPr="00D347D0">
        <w:t xml:space="preserve">1. </w:t>
      </w:r>
      <w:r w:rsidR="007D7CC6" w:rsidRPr="00D347D0">
        <w:t>Decizia Parlamentului European din 2</w:t>
      </w:r>
      <w:r w:rsidR="00022EBB" w:rsidRPr="00D347D0">
        <w:t>9</w:t>
      </w:r>
      <w:r w:rsidR="007D7CC6" w:rsidRPr="00D347D0">
        <w:t xml:space="preserve"> aprilie 2026 privind descărcarea de gestiune pentru execuția bugetului general al Uniunii Europene aferent exercițiului financiar</w:t>
      </w:r>
      <w:r w:rsidR="00022EBB" w:rsidRPr="00D347D0">
        <w:t> </w:t>
      </w:r>
      <w:r w:rsidR="007D7CC6" w:rsidRPr="00D347D0">
        <w:t>2024, secțiunea X – Serviciul European de Acțiune Externă</w:t>
      </w:r>
      <w:bookmarkEnd w:id="5"/>
      <w:r w:rsidR="007D7CC6" w:rsidRPr="00D347D0">
        <w:t xml:space="preserve"> </w:t>
      </w:r>
      <w:bookmarkStart w:id="6" w:name="References"/>
      <w:r w:rsidR="007D7CC6" w:rsidRPr="00D347D0">
        <w:t>(2025/2150(DEC))</w:t>
      </w:r>
      <w:bookmarkEnd w:id="6"/>
    </w:p>
    <w:p w14:paraId="38E47FAC" w14:textId="77777777" w:rsidR="005346BC" w:rsidRPr="00D347D0" w:rsidRDefault="005346BC" w:rsidP="005346BC">
      <w:pPr>
        <w:pStyle w:val="EPComma"/>
      </w:pPr>
      <w:bookmarkStart w:id="7" w:name="TextBodyBegin"/>
      <w:bookmarkEnd w:id="7"/>
      <w:r w:rsidRPr="00D347D0">
        <w:rPr>
          <w:i/>
        </w:rPr>
        <w:t>Parlamentul European</w:t>
      </w:r>
      <w:r w:rsidRPr="00D347D0">
        <w:t>,</w:t>
      </w:r>
    </w:p>
    <w:p w14:paraId="3102AA26" w14:textId="77777777" w:rsidR="005346BC" w:rsidRPr="00D347D0" w:rsidRDefault="005346BC" w:rsidP="005346BC">
      <w:pPr>
        <w:pStyle w:val="NormalHanging12a"/>
      </w:pPr>
      <w:r w:rsidRPr="00D347D0">
        <w:t>–</w:t>
      </w:r>
      <w:r w:rsidRPr="00D347D0">
        <w:tab/>
        <w:t>având în vedere bugetul general al Uniunii Europene aferent exercițiului financiar 2024</w:t>
      </w:r>
      <w:r w:rsidRPr="00D347D0">
        <w:rPr>
          <w:rStyle w:val="FootnoteReference"/>
        </w:rPr>
        <w:footnoteReference w:id="1"/>
      </w:r>
      <w:r w:rsidRPr="00D347D0">
        <w:t>,</w:t>
      </w:r>
    </w:p>
    <w:p w14:paraId="4E464447" w14:textId="77777777" w:rsidR="005346BC" w:rsidRPr="00D347D0" w:rsidRDefault="005346BC" w:rsidP="005346BC">
      <w:pPr>
        <w:pStyle w:val="NormalHanging12a"/>
      </w:pPr>
      <w:r w:rsidRPr="00D347D0">
        <w:t>–</w:t>
      </w:r>
      <w:r w:rsidRPr="00D347D0">
        <w:tab/>
        <w:t>având în vedere conturile anuale consolidate ale Uniunii Europene pentru exercițiul financiar 2024 (COM(2025)0359 – C10</w:t>
      </w:r>
      <w:r w:rsidRPr="00D347D0">
        <w:noBreakHyphen/>
        <w:t>0150/2025)</w:t>
      </w:r>
      <w:r w:rsidRPr="00D347D0">
        <w:rPr>
          <w:rStyle w:val="FootnoteReference"/>
        </w:rPr>
        <w:footnoteReference w:id="2"/>
      </w:r>
      <w:r w:rsidRPr="00D347D0">
        <w:t>,</w:t>
      </w:r>
    </w:p>
    <w:p w14:paraId="78B634C7" w14:textId="77777777" w:rsidR="005346BC" w:rsidRPr="00D347D0" w:rsidRDefault="005346BC" w:rsidP="005346BC">
      <w:pPr>
        <w:pStyle w:val="NormalHanging12a"/>
      </w:pPr>
      <w:r w:rsidRPr="00D347D0">
        <w:t>–</w:t>
      </w:r>
      <w:r w:rsidRPr="00D347D0">
        <w:tab/>
        <w:t>având în vedere Raportul anual al Serviciului European de Acțiune Externă către autoritatea care acordă descărcarea de gestiune privind auditurile interne desfășurate în 2024,</w:t>
      </w:r>
    </w:p>
    <w:p w14:paraId="0113A019" w14:textId="77777777" w:rsidR="005346BC" w:rsidRPr="00D347D0" w:rsidRDefault="005346BC" w:rsidP="005346BC">
      <w:pPr>
        <w:pStyle w:val="NormalHanging12a"/>
      </w:pPr>
      <w:r w:rsidRPr="00D347D0">
        <w:t>–</w:t>
      </w:r>
      <w:r w:rsidRPr="00D347D0">
        <w:tab/>
        <w:t>având în vedere Raportul anual al Curții de Conturi referitor la execuția bugetului privind exercițiul financiar 2024, însoțit de răspunsurile instituțiilor</w:t>
      </w:r>
      <w:r w:rsidRPr="00D347D0">
        <w:rPr>
          <w:rStyle w:val="FootnoteReference"/>
        </w:rPr>
        <w:footnoteReference w:id="3"/>
      </w:r>
      <w:r w:rsidRPr="00D347D0">
        <w:t>,</w:t>
      </w:r>
    </w:p>
    <w:p w14:paraId="68F17E7A" w14:textId="77777777" w:rsidR="005346BC" w:rsidRPr="00D347D0" w:rsidRDefault="005346BC" w:rsidP="005346BC">
      <w:pPr>
        <w:pStyle w:val="NormalHanging12a"/>
      </w:pPr>
      <w:r w:rsidRPr="00D347D0">
        <w:t>–</w:t>
      </w:r>
      <w:r w:rsidRPr="00D347D0">
        <w:tab/>
        <w:t>având în vedere declarația de asigurare</w:t>
      </w:r>
      <w:r w:rsidRPr="00D347D0">
        <w:rPr>
          <w:rStyle w:val="FootnoteReference"/>
        </w:rPr>
        <w:footnoteReference w:id="4"/>
      </w:r>
      <w:r w:rsidRPr="00D347D0">
        <w:t xml:space="preserve"> privind fiabilitatea conturilor și legalitatea și regularitatea operațiunilor subiacente întocmită de Curtea de Conturi pentru exercițiul financiar 2024 în temeiul articolului 287 din Tratatul privind funcționarea Uniunii Europene,</w:t>
      </w:r>
    </w:p>
    <w:p w14:paraId="138DEC49" w14:textId="77777777" w:rsidR="005346BC" w:rsidRPr="00D347D0" w:rsidRDefault="005346BC" w:rsidP="005346BC">
      <w:pPr>
        <w:pStyle w:val="NormalHanging12a"/>
      </w:pPr>
      <w:r w:rsidRPr="00D347D0">
        <w:t>–</w:t>
      </w:r>
      <w:r w:rsidRPr="00D347D0">
        <w:tab/>
        <w:t>având în vedere articolul 314 alineatul (10) și articolele 317, 318 și 319 din Tratatul privind funcționarea Uniunii Europene,</w:t>
      </w:r>
    </w:p>
    <w:p w14:paraId="46AE62EB" w14:textId="05E1EADB" w:rsidR="005346BC" w:rsidRPr="00D347D0" w:rsidRDefault="005346BC" w:rsidP="005346BC">
      <w:pPr>
        <w:pStyle w:val="NormalHanging12a"/>
      </w:pPr>
      <w:r w:rsidRPr="00D347D0">
        <w:t>–</w:t>
      </w:r>
      <w:r w:rsidRPr="00D347D0">
        <w:tab/>
        <w:t xml:space="preserve">având în vedere Regulamentul (UE, Euratom) 2018/1046 al Parlamentului European și al Consiliului din 18 iulie 2018 privind normele financiare aplicabile bugetului general al Uniunii, de modificare a Regulamentelor (UE) nr. 1296/2013, (UE) nr. 1301/2013, </w:t>
      </w:r>
      <w:r w:rsidRPr="00D347D0">
        <w:lastRenderedPageBreak/>
        <w:t>(UE) nr. 1303/2013, (UE) nr. 1304/2013, (UE) nr. 1309/2013, (UE) nr. 1316/2013, (UE) nr. 223/2014, (UE) nr. 283/2014 și a Deciziei nr. 541/2014/UE și de abrogare a Regulamentului (UE, Euratom) nr. 966/2012</w:t>
      </w:r>
      <w:r w:rsidRPr="00D347D0">
        <w:rPr>
          <w:rStyle w:val="FootnoteReference"/>
        </w:rPr>
        <w:footnoteReference w:id="5"/>
      </w:r>
      <w:r w:rsidRPr="00D347D0">
        <w:t>, în special articolele 59</w:t>
      </w:r>
      <w:r w:rsidR="0028336B" w:rsidRPr="00D347D0">
        <w:t xml:space="preserve"> și</w:t>
      </w:r>
      <w:r w:rsidRPr="00D347D0">
        <w:t xml:space="preserve"> 118,</w:t>
      </w:r>
      <w:r w:rsidR="0028336B" w:rsidRPr="00D347D0">
        <w:t xml:space="preserve"> precum și articolele</w:t>
      </w:r>
      <w:r w:rsidRPr="00D347D0">
        <w:t xml:space="preserve"> 260</w:t>
      </w:r>
      <w:r w:rsidR="0028336B" w:rsidRPr="00D347D0">
        <w:t>-</w:t>
      </w:r>
      <w:r w:rsidRPr="00D347D0">
        <w:t>263,</w:t>
      </w:r>
    </w:p>
    <w:p w14:paraId="2B15A644" w14:textId="46FB91C0" w:rsidR="005346BC" w:rsidRPr="00D347D0" w:rsidRDefault="005346BC" w:rsidP="005346BC">
      <w:pPr>
        <w:pStyle w:val="NormalHanging12a"/>
      </w:pPr>
      <w:r w:rsidRPr="00D347D0">
        <w:t>–</w:t>
      </w:r>
      <w:r w:rsidRPr="00D347D0">
        <w:tab/>
        <w:t>având în vedere Regulamentul (UE, Euratom) 2024/2509 al Parlamentului European și al Consiliului din 23 septembrie 2024 privind normele financiare aplicabile bugetului general al Uniunii</w:t>
      </w:r>
      <w:r w:rsidRPr="00D347D0">
        <w:rPr>
          <w:rStyle w:val="FootnoteReference"/>
        </w:rPr>
        <w:footnoteReference w:id="6"/>
      </w:r>
      <w:r w:rsidRPr="00D347D0">
        <w:t>, în special articolele 59</w:t>
      </w:r>
      <w:r w:rsidR="00A62BCA" w:rsidRPr="00D347D0">
        <w:t xml:space="preserve"> și</w:t>
      </w:r>
      <w:r w:rsidRPr="00D347D0">
        <w:t xml:space="preserve"> 118</w:t>
      </w:r>
      <w:r w:rsidR="00A62BCA" w:rsidRPr="00D347D0">
        <w:t>, precum</w:t>
      </w:r>
      <w:r w:rsidRPr="00D347D0">
        <w:t xml:space="preserve"> și </w:t>
      </w:r>
      <w:r w:rsidR="00A62BCA" w:rsidRPr="00D347D0">
        <w:t xml:space="preserve">articolele </w:t>
      </w:r>
      <w:r w:rsidRPr="00D347D0">
        <w:t>266-269,</w:t>
      </w:r>
    </w:p>
    <w:p w14:paraId="789850D2" w14:textId="77777777" w:rsidR="005346BC" w:rsidRPr="00D347D0" w:rsidRDefault="005346BC" w:rsidP="005346BC">
      <w:pPr>
        <w:pStyle w:val="NormalHanging12a"/>
      </w:pPr>
      <w:r w:rsidRPr="00D347D0">
        <w:t>–</w:t>
      </w:r>
      <w:r w:rsidRPr="00D347D0">
        <w:tab/>
        <w:t>având în vedere Decizia 2010/427/UE a Consiliului din 26 iulie 2010 privind organizarea și funcționarea Serviciului European de Acțiune Externă</w:t>
      </w:r>
      <w:r w:rsidRPr="00D347D0">
        <w:rPr>
          <w:rStyle w:val="FootnoteReference"/>
        </w:rPr>
        <w:footnoteReference w:id="7"/>
      </w:r>
      <w:r w:rsidRPr="00D347D0">
        <w:t>, în special articolul 8,</w:t>
      </w:r>
    </w:p>
    <w:p w14:paraId="06618B7E" w14:textId="77777777" w:rsidR="005346BC" w:rsidRPr="00D347D0" w:rsidRDefault="005346BC" w:rsidP="005346BC">
      <w:pPr>
        <w:pStyle w:val="NormalHanging12a"/>
      </w:pPr>
      <w:r w:rsidRPr="00D347D0">
        <w:t>–</w:t>
      </w:r>
      <w:r w:rsidRPr="00D347D0">
        <w:tab/>
        <w:t>având în vedere articolul 102 și anexa V la Regulamentul său de procedură,</w:t>
      </w:r>
    </w:p>
    <w:p w14:paraId="67311658" w14:textId="77777777" w:rsidR="005346BC" w:rsidRPr="00D347D0" w:rsidRDefault="005346BC" w:rsidP="005346BC">
      <w:pPr>
        <w:pStyle w:val="NormalHanging12a"/>
        <w:rPr>
          <w:szCs w:val="24"/>
        </w:rPr>
      </w:pPr>
      <w:r w:rsidRPr="00D347D0">
        <w:t>–</w:t>
      </w:r>
      <w:r w:rsidRPr="00D347D0">
        <w:tab/>
        <w:t>având în vedere avizul Comisiei pentru afaceri externe,</w:t>
      </w:r>
    </w:p>
    <w:p w14:paraId="6133294D" w14:textId="77777777" w:rsidR="005346BC" w:rsidRPr="00D347D0" w:rsidRDefault="005346BC" w:rsidP="005346BC">
      <w:pPr>
        <w:pStyle w:val="NormalHanging12a"/>
      </w:pPr>
      <w:r w:rsidRPr="00D347D0">
        <w:t>–</w:t>
      </w:r>
      <w:r w:rsidRPr="00D347D0">
        <w:tab/>
        <w:t>având în vedere raportul Comisiei pentru control bugetar (A10-0053/2026),</w:t>
      </w:r>
    </w:p>
    <w:p w14:paraId="02C44811" w14:textId="77777777" w:rsidR="005346BC" w:rsidRPr="00D347D0" w:rsidRDefault="005346BC" w:rsidP="005346BC">
      <w:pPr>
        <w:pStyle w:val="NormalHanging12a"/>
      </w:pPr>
      <w:r w:rsidRPr="00D347D0">
        <w:t>1.</w:t>
      </w:r>
      <w:r w:rsidRPr="00D347D0">
        <w:tab/>
        <w:t>acordă Înaltei Reprezentante a Uniunii pentru afaceri externe și politica de securitate descărcarea de gestiune pentru execuția bugetului Serviciului European de Acțiune Externă aferent exercițiului financiar 2024;</w:t>
      </w:r>
    </w:p>
    <w:p w14:paraId="3F0D6687" w14:textId="77777777" w:rsidR="005346BC" w:rsidRPr="00D347D0" w:rsidRDefault="005346BC" w:rsidP="005346BC">
      <w:pPr>
        <w:pStyle w:val="NormalHanging12a"/>
      </w:pPr>
      <w:r w:rsidRPr="00D347D0">
        <w:t>2.</w:t>
      </w:r>
      <w:r w:rsidRPr="00D347D0">
        <w:tab/>
        <w:t>își prezintă observațiile în cadrul rezoluției de mai jos;</w:t>
      </w:r>
    </w:p>
    <w:p w14:paraId="00232549" w14:textId="77777777" w:rsidR="005346BC" w:rsidRPr="00D347D0" w:rsidRDefault="005346BC" w:rsidP="005346BC">
      <w:pPr>
        <w:pStyle w:val="NormalHanging12a"/>
      </w:pPr>
      <w:r w:rsidRPr="00D347D0">
        <w:t>3.</w:t>
      </w:r>
      <w:r w:rsidRPr="00D347D0">
        <w:tab/>
        <w:t xml:space="preserve">încredințează Președintei sarcina de a transmite prezenta decizie împreună cu rezoluția Parlamentului, ca parte integrantă a acesteia, Serviciului European de Acțiune Externă, Consiliului, Comisiei și Curții de Conturi, Ombudsmanului European și Autorității Europene pentru Protecția Datelor și de a asigura publicarea acestora în </w:t>
      </w:r>
      <w:r w:rsidRPr="00D347D0">
        <w:rPr>
          <w:i/>
        </w:rPr>
        <w:t>Jurnalul Oficial al Uniunii Europene</w:t>
      </w:r>
      <w:r w:rsidRPr="00D347D0">
        <w:t xml:space="preserve"> (seria L).</w:t>
      </w:r>
    </w:p>
    <w:p w14:paraId="5F5A1CA3" w14:textId="77777777" w:rsidR="005346BC" w:rsidRPr="00D347D0" w:rsidRDefault="005346BC" w:rsidP="005346BC">
      <w:pPr>
        <w:pStyle w:val="PageHeading"/>
        <w:jc w:val="left"/>
        <w:sectPr w:rsidR="005346BC" w:rsidRPr="00D347D0" w:rsidSect="00EB4F9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E715510" w14:textId="7EBD88DA" w:rsidR="002646B4" w:rsidRPr="00D347D0" w:rsidRDefault="002646B4" w:rsidP="002646B4">
      <w:pPr>
        <w:pStyle w:val="ATHeading3"/>
      </w:pPr>
      <w:r w:rsidRPr="00D347D0">
        <w:lastRenderedPageBreak/>
        <w:t>2. Rezoluția Parlamentului European din 2</w:t>
      </w:r>
      <w:r w:rsidR="00476E54" w:rsidRPr="00D347D0">
        <w:t>9</w:t>
      </w:r>
      <w:r w:rsidRPr="00D347D0">
        <w:t xml:space="preserve"> aprilie 2026 conținând observațiile care fac parte integrantă din decizia privind descărcarea de gestiune pentru execuția bugetului general al Uniunii Europene aferent exercițiului financiar 2024, secțiunea X – Serviciul European de Acțiune Externă (2025/2150(DEC))</w:t>
      </w:r>
    </w:p>
    <w:p w14:paraId="17974687" w14:textId="77777777" w:rsidR="005346BC" w:rsidRPr="00D347D0" w:rsidRDefault="005346BC" w:rsidP="005346BC">
      <w:pPr>
        <w:pStyle w:val="EPComma"/>
      </w:pPr>
      <w:r w:rsidRPr="00D347D0">
        <w:rPr>
          <w:i/>
        </w:rPr>
        <w:t>Parlamentul European</w:t>
      </w:r>
      <w:r w:rsidRPr="00D347D0">
        <w:t>,</w:t>
      </w:r>
    </w:p>
    <w:p w14:paraId="21797878" w14:textId="77777777" w:rsidR="005346BC" w:rsidRPr="00D347D0" w:rsidRDefault="005346BC" w:rsidP="005346BC">
      <w:pPr>
        <w:pStyle w:val="NormalHanging12a"/>
      </w:pPr>
      <w:r w:rsidRPr="00D347D0">
        <w:t>–</w:t>
      </w:r>
      <w:r w:rsidRPr="00D347D0">
        <w:tab/>
        <w:t>având în vedere Decizia sa privind descărcarea de gestiune pentru execuția bugetului general al Uniunii Europene aferent exercițiului financiar 2024, secțiunea X – Serviciul European de Acțiune Externă,</w:t>
      </w:r>
    </w:p>
    <w:p w14:paraId="4C0F5BC0" w14:textId="77777777" w:rsidR="005346BC" w:rsidRPr="00D347D0" w:rsidRDefault="005346BC" w:rsidP="005346BC">
      <w:pPr>
        <w:pStyle w:val="NormalHanging12a"/>
      </w:pPr>
      <w:r w:rsidRPr="00D347D0">
        <w:t>–</w:t>
      </w:r>
      <w:r w:rsidRPr="00D347D0">
        <w:tab/>
        <w:t>având în vedere articolul 102 și anexa V la Regulamentul său de procedură,</w:t>
      </w:r>
    </w:p>
    <w:p w14:paraId="043FAB85" w14:textId="77777777" w:rsidR="005346BC" w:rsidRPr="00D347D0" w:rsidRDefault="005346BC" w:rsidP="005346BC">
      <w:pPr>
        <w:pStyle w:val="NormalHanging12a"/>
        <w:rPr>
          <w:szCs w:val="24"/>
        </w:rPr>
      </w:pPr>
      <w:r w:rsidRPr="00D347D0">
        <w:t>–</w:t>
      </w:r>
      <w:r w:rsidRPr="00D347D0">
        <w:tab/>
        <w:t>având în vedere avizul Comisiei pentru afaceri externe,</w:t>
      </w:r>
    </w:p>
    <w:p w14:paraId="19A3CDD5" w14:textId="77777777" w:rsidR="005346BC" w:rsidRPr="00D347D0" w:rsidRDefault="005346BC" w:rsidP="005346BC">
      <w:pPr>
        <w:pStyle w:val="NormalHanging12a"/>
      </w:pPr>
      <w:r w:rsidRPr="00D347D0">
        <w:t>–</w:t>
      </w:r>
      <w:r w:rsidRPr="00D347D0">
        <w:tab/>
        <w:t>având în vedere raportul Comisiei pentru control bugetar (A10-0053/2026),</w:t>
      </w:r>
    </w:p>
    <w:p w14:paraId="3C1C26EA" w14:textId="77777777" w:rsidR="005346BC" w:rsidRPr="00D347D0" w:rsidRDefault="005346BC" w:rsidP="005346BC">
      <w:pPr>
        <w:pStyle w:val="NormalHanging12a"/>
      </w:pPr>
      <w:r w:rsidRPr="00D347D0">
        <w:t>A.</w:t>
      </w:r>
      <w:r w:rsidRPr="00D347D0">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principiului întocmirii bugetului în funcție de performanțe și al bunei gestiuni a resurselor umane;</w:t>
      </w:r>
    </w:p>
    <w:p w14:paraId="1F0DC43D" w14:textId="77777777" w:rsidR="005346BC" w:rsidRPr="00D347D0" w:rsidRDefault="005346BC" w:rsidP="005346BC">
      <w:pPr>
        <w:pStyle w:val="NormalHanging12a"/>
      </w:pPr>
      <w:r w:rsidRPr="00D347D0">
        <w:t>B.</w:t>
      </w:r>
      <w:r w:rsidRPr="00D347D0">
        <w:tab/>
        <w:t>întrucât Serviciul European de Acțiune Externă (SEAE) este responsabil de gestionarea cheltuielilor administrative de la sediul său central de la Bruxelles și de rețeaua celor 145 de delegații și birouri ale Uniunii;</w:t>
      </w:r>
    </w:p>
    <w:p w14:paraId="6E2E1AD8" w14:textId="77777777" w:rsidR="005346BC" w:rsidRPr="00D347D0" w:rsidRDefault="005346BC" w:rsidP="005346BC">
      <w:pPr>
        <w:pStyle w:val="NormalHanging12a"/>
      </w:pPr>
      <w:r w:rsidRPr="00D347D0">
        <w:t>C.</w:t>
      </w:r>
      <w:r w:rsidRPr="00D347D0">
        <w:tab/>
        <w:t>întrucât responsabilitatea SEAE a fost extinsă pentru a include gestionarea administrativă a personalului Comisiei din delegațiile Uniunii printr-o serie de acorduri privind nivelul serviciilor;</w:t>
      </w:r>
    </w:p>
    <w:p w14:paraId="79C8C3A1" w14:textId="77777777" w:rsidR="005346BC" w:rsidRPr="00D347D0" w:rsidRDefault="005346BC" w:rsidP="005346BC">
      <w:pPr>
        <w:pStyle w:val="NormalHanging12a"/>
      </w:pPr>
      <w:r w:rsidRPr="00D347D0">
        <w:t>D.</w:t>
      </w:r>
      <w:r w:rsidRPr="00D347D0">
        <w:tab/>
        <w:t>întrucât competențele conferite de Statutul funcționarilor autorității împuternicite să facă numiri se exercită de către vicepreședinta Comisiei/Înalta Reprezentantă a Uniunii pentru afaceri externe și politica de securitate (denumită în continuare „vicepreședinta/Înalta Reprezentantă”) în ceea ce privește personalul SEAE;</w:t>
      </w:r>
    </w:p>
    <w:p w14:paraId="2605FEBC" w14:textId="77777777" w:rsidR="005346BC" w:rsidRPr="00D347D0" w:rsidRDefault="005346BC" w:rsidP="005346BC">
      <w:pPr>
        <w:pStyle w:val="NormalHanging12a"/>
      </w:pPr>
      <w:r w:rsidRPr="00D347D0">
        <w:t>E.</w:t>
      </w:r>
      <w:r w:rsidRPr="00D347D0">
        <w:tab/>
        <w:t>întrucât execuția bugetului este reglementată de Regulamentul financiar și de normele interne de execuție a bugetului ale SEAE (denumite în continuare „normele interne”);</w:t>
      </w:r>
    </w:p>
    <w:p w14:paraId="4F0A46E4" w14:textId="2C11B80D" w:rsidR="005346BC" w:rsidRPr="00D347D0" w:rsidRDefault="005346BC" w:rsidP="005346BC">
      <w:pPr>
        <w:pStyle w:val="NormalHanging12a"/>
      </w:pPr>
      <w:r w:rsidRPr="00D347D0">
        <w:t>F</w:t>
      </w:r>
      <w:r w:rsidR="00832B97">
        <w:t>.</w:t>
      </w:r>
      <w:r w:rsidRPr="00D347D0">
        <w:tab/>
        <w:t xml:space="preserve">întrucât, în conformitate cu normele interne, Secretarul General al SEAE acționează ca ordonator de credite delegat al SEAE, iar directorul general pentru gestionarea resurselor are rolul de ordonator de credite </w:t>
      </w:r>
      <w:proofErr w:type="spellStart"/>
      <w:r w:rsidRPr="00D347D0">
        <w:t>subdelegat</w:t>
      </w:r>
      <w:proofErr w:type="spellEnd"/>
      <w:r w:rsidRPr="00D347D0">
        <w:t xml:space="preserve"> principal;</w:t>
      </w:r>
    </w:p>
    <w:p w14:paraId="584E7570" w14:textId="77777777" w:rsidR="005346BC" w:rsidRPr="00D347D0" w:rsidRDefault="005346BC" w:rsidP="005346BC">
      <w:pPr>
        <w:pStyle w:val="NormalHanging12a"/>
      </w:pPr>
      <w:r w:rsidRPr="00D347D0">
        <w:t>G.</w:t>
      </w:r>
      <w:r w:rsidRPr="00D347D0">
        <w:tab/>
        <w:t>întrucât rolul delegațiilor Uniunii este de a reprezenta Uniunea și cetățenii săi din întreaga lume prin dezvoltarea de rețele și parteneriate și de a promova valorile Uniunii;</w:t>
      </w:r>
    </w:p>
    <w:p w14:paraId="54FC3702" w14:textId="77777777" w:rsidR="005346BC" w:rsidRPr="00D347D0" w:rsidRDefault="005346BC" w:rsidP="005346BC">
      <w:pPr>
        <w:pStyle w:val="NormalHanging12a"/>
      </w:pPr>
      <w:r w:rsidRPr="00D347D0">
        <w:t>H.</w:t>
      </w:r>
      <w:r w:rsidRPr="00D347D0">
        <w:tab/>
        <w:t>întrucât particularitatea SEAE constă în originea și natura sa, astfel cum era la momentul formării sale prin fuzionarea personalului aparținând departamentelor de relații externe ale Consiliului și Comisiei, în care au fost integrați diplomați din statele membre;</w:t>
      </w:r>
    </w:p>
    <w:p w14:paraId="6AD72216" w14:textId="77777777" w:rsidR="005346BC" w:rsidRPr="00D347D0" w:rsidRDefault="005346BC" w:rsidP="005346BC">
      <w:pPr>
        <w:pStyle w:val="NormalHanging12a"/>
        <w:rPr>
          <w:bCs/>
          <w:iCs/>
        </w:rPr>
      </w:pPr>
      <w:r w:rsidRPr="00D347D0">
        <w:lastRenderedPageBreak/>
        <w:t>I.</w:t>
      </w:r>
      <w:r w:rsidRPr="00D347D0">
        <w:tab/>
        <w:t>întrucât eficacitatea și eficiența din perspectiva costurilor a acțiunii externe a Uniunii depind de strânsa coordonare cu instituțiile și rețelele diplomatice ale statelor membre, în special în țările terțe în care atât SEAE, cât și statele membre mențin o prezență permanentă, pentru a se evita suprapunerea structurilor și a cheltuielilor,</w:t>
      </w:r>
    </w:p>
    <w:p w14:paraId="5A43A871" w14:textId="77777777" w:rsidR="005346BC" w:rsidRPr="00D347D0" w:rsidRDefault="005346BC" w:rsidP="005346BC">
      <w:pPr>
        <w:pStyle w:val="NormalHanging12a"/>
      </w:pPr>
      <w:r w:rsidRPr="00D347D0">
        <w:t>1.</w:t>
      </w:r>
      <w:r w:rsidRPr="00D347D0">
        <w:tab/>
        <w:t>observă că bugetul SEAE se încadrează la rubrica 7 din CFM, „Administrația publică europeană”, care s-a ridicat la 13,3 miliarde EUR în 2024 (reprezentând 6,9 % din bugetul total al Uniunii); constată că bugetul de aproximativ 1,239 miliarde EUR gestionat de SEAE reprezintă aproximativ 9,54 % din cheltuielile administrative totale ale Uniunii în 2024;</w:t>
      </w:r>
    </w:p>
    <w:p w14:paraId="70A1DA07" w14:textId="77777777" w:rsidR="005346BC" w:rsidRPr="00D347D0" w:rsidRDefault="005346BC" w:rsidP="005346BC">
      <w:pPr>
        <w:pStyle w:val="NormalHanging12a"/>
      </w:pPr>
      <w:r w:rsidRPr="00D347D0">
        <w:t>2.</w:t>
      </w:r>
      <w:r w:rsidRPr="00D347D0">
        <w:tab/>
        <w:t>constată că în raportul său anual pentru exercițiul financiar 2024 (denumit în continuare „raportul Curții”), Curtea de Conturi (denumită în continuare „Curtea”) a examinat un eșantion de 70 de operațiuni de la rubrica „Administrație”, similar numărului de operațiuni examinate în 2023; constată, de asemenea, că cheltuielile administrative cuprind cheltuielile cu resursele umane, inclusiv cheltuielile cu pensiile, care în 2024 au reprezentat aproximativ 69 % din totalul cheltuielilor administrative, și cheltuielile cu clădirile, echipamentele, energia, comunicațiile și tehnologia informației, precum și că din activitatea Curții desfășurată de-a lungul mai multor ani reiese că aceste cheltuieli prezintă, în general, un risc scăzut;</w:t>
      </w:r>
    </w:p>
    <w:p w14:paraId="0C363CBA" w14:textId="77777777" w:rsidR="005346BC" w:rsidRPr="00D347D0" w:rsidRDefault="005346BC" w:rsidP="005346BC">
      <w:pPr>
        <w:pStyle w:val="NormalHanging12a"/>
      </w:pPr>
      <w:r w:rsidRPr="00D347D0">
        <w:t>3.</w:t>
      </w:r>
      <w:r w:rsidRPr="00D347D0">
        <w:tab/>
        <w:t>constată că 16 (23 %) din cele 70 de operațiuni au conținut erori, însă Curtea, pe baza celor trei erori care au fost cuantificate, estimează că nivelul de eroare este sub pragul de semnificație;</w:t>
      </w:r>
    </w:p>
    <w:p w14:paraId="17C45A8E" w14:textId="77777777" w:rsidR="005346BC" w:rsidRPr="00D347D0" w:rsidRDefault="005346BC" w:rsidP="005346BC">
      <w:pPr>
        <w:pStyle w:val="NormalHanging12a"/>
      </w:pPr>
      <w:r w:rsidRPr="00D347D0">
        <w:t>4.</w:t>
      </w:r>
      <w:r w:rsidRPr="00D347D0">
        <w:tab/>
        <w:t>constată din raportul Curții că aceasta a examinat 15 plăți efectuate de SEAE, în care a identificat două erori cuantificabile; observă că o eroare privea o modificare substanțială a unui contract fără o procedură valabilă de achiziții și fără măsuri de publicitate ex post, iar cealaltă eroare privea o plată legată de utilizarea unui curs valutar incorect la înregistrarea plății unei chirii; salută măsurile luate de SEAE pentru a remedia aceste probleme;</w:t>
      </w:r>
    </w:p>
    <w:p w14:paraId="62D2A8CA" w14:textId="77777777" w:rsidR="005346BC" w:rsidRPr="00D347D0" w:rsidRDefault="005346BC" w:rsidP="005346BC">
      <w:pPr>
        <w:pStyle w:val="NormalHanging12a"/>
        <w:rPr>
          <w:b/>
          <w:bCs/>
          <w:i/>
          <w:iCs/>
        </w:rPr>
      </w:pPr>
      <w:r w:rsidRPr="00D347D0">
        <w:rPr>
          <w:b/>
          <w:i/>
        </w:rPr>
        <w:t>Gestiunea bugetară și financiară</w:t>
      </w:r>
    </w:p>
    <w:p w14:paraId="46A237DB" w14:textId="77777777" w:rsidR="005346BC" w:rsidRPr="00D347D0" w:rsidRDefault="005346BC" w:rsidP="005346BC">
      <w:pPr>
        <w:pStyle w:val="NormalHanging12a"/>
      </w:pPr>
      <w:r w:rsidRPr="00D347D0">
        <w:t>5.</w:t>
      </w:r>
      <w:r w:rsidRPr="00D347D0">
        <w:tab/>
        <w:t xml:space="preserve">ia act de faptul că bugetul final al SEAE pentru 2024 a fost de 880 165 703 EUR, ceea ce reprezintă o creștere de 7,09 % față de 2023; constată că SEAE a dispus și de o sumă de 359,1 milioane EUR (inclusiv venituri alocate și sume reportate) din partea Comisiei pentru a acoperi costurile administrative aferente personalului Comisiei care lucrează în delegațiile Uniunii; constată, de asemenea, că SEAE a primit contribuții fixe suplimentare pentru a acoperi costurile comune ale personalului Fondului european de dezvoltare în delegațiile Uniunii și în </w:t>
      </w:r>
      <w:proofErr w:type="spellStart"/>
      <w:r w:rsidRPr="00D347D0">
        <w:t>coamplasări</w:t>
      </w:r>
      <w:proofErr w:type="spellEnd"/>
      <w:r w:rsidRPr="00D347D0">
        <w:t xml:space="preserve">, precum și alte sume primite în temeiul acordurilor de </w:t>
      </w:r>
      <w:proofErr w:type="spellStart"/>
      <w:r w:rsidRPr="00D347D0">
        <w:t>coamplasare</w:t>
      </w:r>
      <w:proofErr w:type="spellEnd"/>
      <w:r w:rsidRPr="00D347D0">
        <w:t xml:space="preserve"> și al altor acorduri; constată că suma bugetară totală gestionată de SEAE în 2024 s-a ridicat, prin urmare, la 1 239,3 milioane EUR (credite de angajament), ceea ce a reprezentat o creștere de 4,43 % față de exercițiul precedent;</w:t>
      </w:r>
    </w:p>
    <w:p w14:paraId="5845AAAB" w14:textId="77777777" w:rsidR="005346BC" w:rsidRPr="00D347D0" w:rsidRDefault="005346BC" w:rsidP="005346BC">
      <w:pPr>
        <w:pStyle w:val="NormalHanging12a"/>
      </w:pPr>
      <w:r w:rsidRPr="00D347D0">
        <w:t>6.</w:t>
      </w:r>
      <w:r w:rsidRPr="00D347D0">
        <w:tab/>
        <w:t xml:space="preserve">constată că în 2024, rata de execuție bugetară a creditelor de angajament pentru anul curent (după transferuri) a fost de 100 %, în timp ce rata de execuție a plăților a fost de 88,4 %, față de 91,9 % în 2023; constată că termenul mediu de plată a fost de 13,43 zile, însă 10,69 % din numărul total de plăți efectuate în 2024 (corespunzând unui total de 57 357 324 EUR) au reprezentat plăți întârziate, ceea ce a dus la plata unor dobânzi de întârziere în valoare de 37 862,61 EUR în 2024; invită SEAE să își continue eforturile </w:t>
      </w:r>
      <w:r w:rsidRPr="00D347D0">
        <w:lastRenderedPageBreak/>
        <w:t>de îmbunătățire a numărului de plăți electronice și de digitalizare a fluxurilor de lucru, în special în ceea ce privește facturile electronice în delegațiile Uniunii;</w:t>
      </w:r>
    </w:p>
    <w:p w14:paraId="03B1415C" w14:textId="77777777" w:rsidR="005346BC" w:rsidRPr="00D347D0" w:rsidRDefault="005346BC" w:rsidP="005346BC">
      <w:pPr>
        <w:pStyle w:val="NormalHanging12a"/>
      </w:pPr>
      <w:r w:rsidRPr="00D347D0">
        <w:t>7.</w:t>
      </w:r>
      <w:r w:rsidRPr="00D347D0">
        <w:tab/>
        <w:t>constată că SEAE a informat autoritatea bugetară cu privire la două transferuri bugetare în conformitate cu articolul 29 alineatul (1) din Regulamentul financiar și a efectuat 10 transferuri autonome în conformitate cu articolul 29 alineatul (4), în valoare totală de 53,6 milioane EUR; ia act de faptul că principalul scop al transferurilor a fost de a majora linia bugetară 3 0 0 3 pentru clădiri și costuri asociate în delegațiile Uniunii cu 33,78 milioane EUR, linia bugetară 2 0 0 2 pentru lucrări de amenajare și de securitate cu 1,7 milioane EUR și linia bugetară 1 2 0 5 pentru experți militari naționali detașați cu 1,37 milioane EUR; constată că, în urma transferurilor, bugetul final pentru sediul SEAE s-a ridicat la 349,2 milioane EUR, iar bugetul final pentru delegațiile Uniunii s-a ridicat la 530,9 milioane EUR;</w:t>
      </w:r>
    </w:p>
    <w:p w14:paraId="422514BA" w14:textId="77777777" w:rsidR="005346BC" w:rsidRPr="00D347D0" w:rsidRDefault="005346BC" w:rsidP="005346BC">
      <w:pPr>
        <w:pStyle w:val="NormalHanging12a"/>
      </w:pPr>
      <w:r w:rsidRPr="00D347D0">
        <w:t>8.</w:t>
      </w:r>
      <w:r w:rsidRPr="00D347D0">
        <w:tab/>
        <w:t>constată că SEAE s-a confruntat cu mai multe dificultăți în ceea ce privește execuția bugetului său în 2024, din cauza impactului puternic al războiului ilegal de agresiune al Rusiei împotriva Ucrainei, a presiunilor inflaționiste, a cursurilor de schimb valutar nefavorabile și a plafonului de 2 % pentru cheltuielile nelegate de salarii, ceea ce a dus la un deficit de 33 de milioane EUR pentru delegațiile Uniunii, care le-a limitat semnificativ capacitatea operațională; constată cu satisfacție că SEAE a răspuns acestor dificultăți printr-o combinație de economii strategice și realocări/transferuri bugetare; observă că reducerile au afectat în principal bugetele pentru misiuni și reprezentare, infrastructură și securitate; este îngrijorat că obligația de diligență a SEAE față de personalul său ar putea fi afectată de constrângerile bugetare, mai ales în ceea ce privește întreținerea infrastructurii și standardele de securitate în delegații; salută pachetul de măsuri de corecție, dar își reiterează apelul pentru un buget care să fie în concordanță cu nevoile și obiectivele SEAE; invită SEAE să stabilească obiective anuale pentru reducerea plăților întârziate și a cheltuielilor cu dobânzile de întârziere și să standardizeze fluxurile de lucru pentru facturarea electronică și achizițiile publice electronice de la un capăt la altul în toate delegațiile; recunoaște necesitatea ca toate instituțiile Uniunii să își îmbunătățească gestionarea bugetară, ținând cont și de volatilitatea prețurilor, în special în sectorul energetic, atunci când încheie contracte cu furnizorii de servicii;</w:t>
      </w:r>
    </w:p>
    <w:p w14:paraId="23990727" w14:textId="77777777" w:rsidR="005346BC" w:rsidRPr="00D347D0" w:rsidRDefault="005346BC" w:rsidP="005346BC">
      <w:pPr>
        <w:spacing w:after="240"/>
        <w:ind w:left="567" w:hanging="567"/>
      </w:pPr>
      <w:r w:rsidRPr="00D347D0">
        <w:t>9.</w:t>
      </w:r>
      <w:r w:rsidRPr="00D347D0">
        <w:tab/>
      </w:r>
      <w:bookmarkStart w:id="8" w:name="_Hlk221454822"/>
      <w:r w:rsidRPr="00D347D0">
        <w:t xml:space="preserve">constată, în urma audierii vicepreședintei/Înaltei Reprezentante în cadrul reuniunii Comisiei pentru control bugetar (CONT) a Parlamentului din 17 noiembrie 2025 (denumită în continuare „audierea”), că SEAE s-a confruntat cu constrângeri bugetare semnificative în ultimii ani, deși instituția a primit un mandat din ce în ce mai extins și a avut costuri și nevoi crescute pentru rețeaua de 145 de delegații; regretă că subfinanțarea SEAE nu primește un răspuns structural; susține opinia SEAE conform căreia există o disparitate între sarcini și resurse, ceea ce reprezintă o dificultate semnificativă pentru capacitatea SEAE de a-și îndeplini pe deplin obiectivele și de a sprijini în mod eficient agenda de politică externă și de securitate a Uniunii, subminându-se </w:t>
      </w:r>
      <w:bookmarkEnd w:id="8"/>
      <w:r w:rsidRPr="00D347D0">
        <w:rPr>
          <w:u w:val="single"/>
        </w:rPr>
        <w:t>astfel</w:t>
      </w:r>
      <w:r w:rsidRPr="00D347D0">
        <w:t xml:space="preserve"> performanța politicii externe a Uniunii</w:t>
      </w:r>
      <w:r w:rsidRPr="00D347D0">
        <w:rPr>
          <w:color w:val="5B9BD5" w:themeColor="accent1"/>
        </w:rPr>
        <w:t xml:space="preserve"> </w:t>
      </w:r>
      <w:r w:rsidRPr="00D347D0">
        <w:t>într-o perioadă de schimbări geopolitice rapide, precum și credibilitatea Uniunii ca actor mondial; invită SEAE să acorde prioritate acțiunilor care aduc o valoare adăugată clară Uniunii și cetățenilor săi, evitând totodată activitățile și proiectele care riscă să submineze eficacitatea și starea de bine a personalului; invită SEAE să remedieze deficitul de personal din delegațiile Uniunii, în special în posturile care se confruntă cu provocări complexe de securitate sau geopolitice, și să consolideze transparența și asumarea răspunderii în procedurile de recrutare;</w:t>
      </w:r>
    </w:p>
    <w:p w14:paraId="40B42601" w14:textId="77777777" w:rsidR="005346BC" w:rsidRPr="00D347D0" w:rsidRDefault="005346BC" w:rsidP="005346BC">
      <w:pPr>
        <w:pStyle w:val="NormalHanging12a"/>
        <w:rPr>
          <w:bCs/>
          <w:iCs/>
        </w:rPr>
      </w:pPr>
      <w:r w:rsidRPr="00D347D0">
        <w:lastRenderedPageBreak/>
        <w:t>10.</w:t>
      </w:r>
      <w:r w:rsidRPr="00D347D0">
        <w:tab/>
        <w:t>invită Curtea să efectueze un audit cuprinzător al performanței SEAE pentru a evalua eficiența activităților sale în comparație cu serviciile diplomatice ale țărilor din OCDE; solicită ca acest audit să identifice domeniile în care SEAE oferă o valoare adăugată unică și de neînlocuit și domeniile în care activitățile sale se suprapun cu cele ale statelor membre; invită, în același timp, SEAE să efectueze o analiză cost-beneficii a rețelei sale globale și să acorde prioritate alocării resurselor către delegațiile din țările care contribuie în mod clar la interesele imediate ale Uniunii, cum ar fi prosperitatea economică, securitatea energetică, protecția frontierelor și prevenirea fluxurilor de migrație ilegală; insistă asupra stabilirii unor indicatori de performanță clari și măsurabili pentru a demonstra „raportul calitate-preț” oferit cetățenilor Uniunii și solicită ca SEAE să întrerupă orice activități sau misiuni considerate ca fiind ineficiente sau redundante în urma acestor evaluări;</w:t>
      </w:r>
    </w:p>
    <w:p w14:paraId="5A22CF1A" w14:textId="77777777" w:rsidR="005346BC" w:rsidRPr="00D347D0" w:rsidRDefault="005346BC" w:rsidP="005346BC">
      <w:pPr>
        <w:pStyle w:val="NormalHanging12a"/>
      </w:pPr>
      <w:r w:rsidRPr="00D347D0">
        <w:t>11.</w:t>
      </w:r>
      <w:r w:rsidRPr="00D347D0">
        <w:tab/>
        <w:t>constată, de asemenea, că investițiile în proiecte imobiliare și informatice au fost amânate, iar numărul stagiarilor s-a redus în 2024; ia act de opinia SEAE conform căreia aceste limitări ar putea, în cele din urmă, să afecteze prezența la nivel mondial a Uniunii; avertizează că amânarea continuă a investițiilor și reducerile de personal riscă să submineze obligația de diligență a SEAE, îndeosebi în ceea ce privește siguranța, sănătatea mintală și securitatea personalului în detașările care prezintă un risc ridicat; invită SEAE să prezinte o rezervă de investiții pentru infrastructura critică de IT, de securitate cibernetică și legată de obligația de diligență, inclusiv o analiză cost-beneficii și impactul operațional preconizat, pentru a evita amânările repetate care subminează eficiența și siguranța personalului;</w:t>
      </w:r>
    </w:p>
    <w:p w14:paraId="046FF104" w14:textId="77777777" w:rsidR="005346BC" w:rsidRPr="00D347D0" w:rsidRDefault="005346BC" w:rsidP="005346BC">
      <w:pPr>
        <w:pStyle w:val="NormalHanging12a"/>
        <w:rPr>
          <w:b/>
          <w:i/>
        </w:rPr>
      </w:pPr>
      <w:r w:rsidRPr="00D347D0">
        <w:t>12.</w:t>
      </w:r>
      <w:r w:rsidRPr="00D347D0">
        <w:tab/>
        <w:t>constată că plafonul financiar al Instrumentului european pentru pace, gestionat sub autoritatea vicepreședintei/Înaltei Reprezentante, a crescut de la 12 miliarde EUR în 2023 la 17 miliarde EUR în 2024, în timp ce cele 5 miliarde EUR suplimentare sunt dedicate sprijinului militar pentru Ucraina; subliniază că majorarea semnificativă a Instrumentului european pentru pace impune consolidarea transparenței și a controlului parlamentar; solicită raportări periodice și structurate către autoritatea care acordă descărcarea de gestiune cu privire la gestionarea riscurilor, la mecanismele de monitorizare și la respectarea valorilor Uniunii și a dreptului internațional umanitar; invită SEAE să colaboreze cu Direcția Generală Extindere și Vecinătate Estică (DG Extindere și Vecinătate Estică) a Comisiei pentru a asigura supravegherea și monitorizarea eficientă a proiectelor finanțate de Instrumentul european pentru pace; recunoaște că Instrumentul european pentru pace este un instrument necesar pentru menținerea păcii într-o perioadă de concurență geopolitică, care vizează consolidarea stabilității și a unei cooperări europene unificate în domeniul apărării;</w:t>
      </w:r>
    </w:p>
    <w:p w14:paraId="557DCE64" w14:textId="77777777" w:rsidR="005346BC" w:rsidRPr="00D347D0" w:rsidRDefault="005346BC" w:rsidP="005346BC">
      <w:pPr>
        <w:pStyle w:val="NormalHanging12a"/>
        <w:rPr>
          <w:b/>
          <w:i/>
        </w:rPr>
      </w:pPr>
      <w:r w:rsidRPr="00D347D0">
        <w:t>13.</w:t>
      </w:r>
      <w:r w:rsidRPr="00D347D0">
        <w:tab/>
        <w:t>constată, astfel cum reiese din răspunsurile SEAE la chestionarul CONT pentru descărcarea de gestiune pe 2024 (denumit în continuare „chestionarul”), că în 2024, SEAE a lansat în total, atât la sediul său central, cât și în delegațiile Uniunii, 71 de proceduri de achiziții publice pentru contracte cu valoare mare, depășind pragul de 143 000 EUR pentru bunuri și servicii prevăzut de Directiva 2014/24/UE a Parlamentului European și a Consiliului</w:t>
      </w:r>
      <w:r w:rsidRPr="00D347D0">
        <w:rPr>
          <w:rStyle w:val="FootnoteReference"/>
        </w:rPr>
        <w:footnoteReference w:id="8"/>
      </w:r>
      <w:r w:rsidRPr="00D347D0">
        <w:t xml:space="preserve">; observă că 63 dintre aceste proceduri au fost finalizate cu succes, fiind semnate 63 de contracte, iar 8 proceduri nu au fost finalizate; constată că, odată cu intrarea în vigoare a noului Regulament financiar la </w:t>
      </w:r>
      <w:r w:rsidRPr="00D347D0">
        <w:lastRenderedPageBreak/>
        <w:t>29 septembrie 2024, gestionarea procedurilor de achiziții publice pentru delegațiile Uniunii în țările terțe a fost simplificată prin introducerea unui set separat de plafoane pentru contracte de valoare foarte mică, mică și medie, răspunzându-se astfel la o veche problemă legată de capacitatea limitată a operatorilor locali de a îndeplini cerințele complexe din normele de achiziții publice ale Uniunii; se așteaptă ca aceste simplificări să răspundă mai bine atât nevoilor țărilor-gazdă, cât și nevoilor delegațiilor Uniunii în ceea ce privește procedurile de achiziții publice, fără a aduce atingere respectării celor mai înalte standarde în materie de transparență, concurență și garanții antifraudă; invită SEAE să evalueze și să raporteze cu privire la impactul acestor modificări asupra ratelor de eroare și a riscurilor la adresa integrității;</w:t>
      </w:r>
      <w:r w:rsidRPr="00D347D0">
        <w:rPr>
          <w:b/>
          <w:i/>
        </w:rPr>
        <w:t xml:space="preserve"> </w:t>
      </w:r>
    </w:p>
    <w:p w14:paraId="5663A50C" w14:textId="77777777" w:rsidR="005346BC" w:rsidRPr="00D347D0" w:rsidRDefault="005346BC" w:rsidP="005346BC">
      <w:pPr>
        <w:pStyle w:val="NormalHanging12a"/>
      </w:pPr>
      <w:r w:rsidRPr="00D347D0">
        <w:t>14.</w:t>
      </w:r>
      <w:r w:rsidRPr="00D347D0">
        <w:tab/>
        <w:t>ia act de faptul că în 2024 a fost înființat un grup operativ pentru îmbunătățirea procedurilor de achiziții ale SEAE atât la nivelul sediului central, cât și la nivelul delegațiilor; știe că divizia de audit intern a desfășurat în 2024 o misiune de consiliere având ca obiect furnizarea unei evaluări independente a procesului de achiziții, ale cărei rezultate sunt în prezent discutate cu serviciile responsabile; invită SEAE să facă publice concluziile acestei evaluări, precum și lista măsurilor adoptate pentru a răspunde problemelor identificate;</w:t>
      </w:r>
    </w:p>
    <w:p w14:paraId="47BFAB94" w14:textId="77777777" w:rsidR="005346BC" w:rsidRPr="00D347D0" w:rsidRDefault="005346BC" w:rsidP="005346BC">
      <w:pPr>
        <w:pStyle w:val="NormalHanging12a"/>
      </w:pPr>
      <w:r w:rsidRPr="00D347D0">
        <w:t>15.</w:t>
      </w:r>
      <w:r w:rsidRPr="00D347D0">
        <w:tab/>
        <w:t xml:space="preserve">constată că numărul de proiecte de </w:t>
      </w:r>
      <w:proofErr w:type="spellStart"/>
      <w:r w:rsidRPr="00D347D0">
        <w:t>coamplasare</w:t>
      </w:r>
      <w:proofErr w:type="spellEnd"/>
      <w:r w:rsidRPr="00D347D0">
        <w:t xml:space="preserve"> cu statele membre și cu alți parteneri ai Uniunii în cadrul delegațiilor Uniunii a fost de 137 la sfârșitul anului 2024, cu unul mai puțin decât în 2023; constată că din numărul total de proiecte de </w:t>
      </w:r>
      <w:proofErr w:type="spellStart"/>
      <w:r w:rsidRPr="00D347D0">
        <w:t>coamplasare</w:t>
      </w:r>
      <w:proofErr w:type="spellEnd"/>
      <w:r w:rsidRPr="00D347D0">
        <w:t xml:space="preserve"> din 2023, 45 au fost încheiate cu state membre și țări partenere, 92 cu alți parteneri ai Uniunii, în timp ce proiectele de </w:t>
      </w:r>
      <w:proofErr w:type="spellStart"/>
      <w:r w:rsidRPr="00D347D0">
        <w:t>coamplasare</w:t>
      </w:r>
      <w:proofErr w:type="spellEnd"/>
      <w:r w:rsidRPr="00D347D0">
        <w:t xml:space="preserve"> au reprezentat 9 % din suprafața totală a birourilor din delegațiile Uniunii și au implicat mai mult de jumătate din delegațiile Uniunii (80), ceea ce poate fi considerat un exemplu de optimizare cu succes a administrării clădirilor SEAE, dar și un indicator al interesului crescut al partenerilor de a partaja spațiile din țări terțe și al relevanței proiectelor de </w:t>
      </w:r>
      <w:proofErr w:type="spellStart"/>
      <w:r w:rsidRPr="00D347D0">
        <w:t>coamplasare</w:t>
      </w:r>
      <w:proofErr w:type="spellEnd"/>
      <w:r w:rsidRPr="00D347D0">
        <w:t xml:space="preserve"> în afacerile diplomatice;</w:t>
      </w:r>
    </w:p>
    <w:p w14:paraId="1F262E06" w14:textId="77777777" w:rsidR="005346BC" w:rsidRPr="00D347D0" w:rsidRDefault="005346BC" w:rsidP="005346BC">
      <w:pPr>
        <w:pStyle w:val="NormalHanging12a"/>
      </w:pPr>
      <w:r w:rsidRPr="00D347D0">
        <w:t>16.</w:t>
      </w:r>
      <w:r w:rsidRPr="00D347D0">
        <w:tab/>
        <w:t xml:space="preserve">constată, astfel cum reiese din chestionar, că bugetul pentru misiuni s-a ridicat la 21 582 843 EUR în 2024, ceea ce reprezintă o creștere de aproximativ 2,33 % față de 21 091 935 EUR (cifră actualizată) în 2023; constată că SEAE nu are o linie bugetară separată pentru misiuni și deplasări pentru vicepreședintă/Înalta Reprezentantă și că misiunile și cheltuielile de deplasare pentru aceasta sunt împărțite între SEAE și Comisie, în funcție de scopul misiunii; constată totuși, astfel cum reiese din raportul de monitorizare al SEAE privind observațiile Parlamentului din rezoluția referitoare la descărcarea de gestiune pentru 2023 (denumit în continuare „raportul de monitorizare”), că sistemul intern de gestiune al SEAE separă misiunile vicepreședintei/Înaltei Reprezentante de deplasările colegilor care o însoțesc în cadrul unei alocări speciale din linia bugetară principală pentru misiuni; observă, de asemenea, astfel cum reiese din chestionar, că în 2024, nici vicepreședintele/Înaltul Reprezentant care și-a încheiat mandatul, nici vicepreședinta/Înalta Reprezentantă nou-numită nu au întreprins misiuni finanțate de SEAE; înțelege din raportul de monitorizare că angajamentele concurente și programul foarte încărcat al vicepreședintei/Înaltei Reprezentante, adesea dictat de situația geopolitică, fac uneori imposibilă deplasarea acesteia cu zboruri sau alte mijloace de transport regulate pentru a-și îndeplini obligațiile profesionale; subliniază totuși că liderii instituțiilor Uniunii ar trebui să fie un bun exemplu pentru public și cetățeni, mai ales atunci când folosesc resursele Uniunii în îndeplinirea sarcinilor; accentuează că opțiunile de zbor ar trebui alese pe baza unor criterii de bună gestiune financiară, cu condiția ca astfel de opțiuni să fie disponibile și în conformitate cu ordinea de zi și locul de desfășurare a reuniunilor; subliniază că transparența și buna </w:t>
      </w:r>
      <w:r w:rsidRPr="00D347D0">
        <w:lastRenderedPageBreak/>
        <w:t>gestiune financiară în utilizarea fondurilor publice ale Uniunii trebuie să rămână un principiu de bază pentru toate instituțiile Uniunii;</w:t>
      </w:r>
    </w:p>
    <w:p w14:paraId="16C06D2E" w14:textId="77777777" w:rsidR="005346BC" w:rsidRPr="00D347D0" w:rsidRDefault="005346BC" w:rsidP="005346BC">
      <w:pPr>
        <w:pStyle w:val="NormalHanging12a"/>
      </w:pPr>
      <w:r w:rsidRPr="00D347D0">
        <w:rPr>
          <w:b/>
          <w:i/>
        </w:rPr>
        <w:t>Gestiunea internă, performanța și controlul intern</w:t>
      </w:r>
    </w:p>
    <w:p w14:paraId="6F293EBF" w14:textId="77777777" w:rsidR="005346BC" w:rsidRPr="00D347D0" w:rsidRDefault="005346BC" w:rsidP="005346BC">
      <w:pPr>
        <w:pStyle w:val="NormalHanging12a"/>
      </w:pPr>
      <w:r w:rsidRPr="00D347D0">
        <w:t>17.</w:t>
      </w:r>
      <w:r w:rsidRPr="00D347D0">
        <w:tab/>
        <w:t>constată că în 2024, SEAE s-a confruntat în continuare cu provocări politice și financiare tot mai mari, precum și cu provocări în ceea ce privește drepturile omului și statul de drept într-un mediu geopolitic tot mai instabil, marcat de intensificarea amenințărilor hibride la adresa sistemelor democratice; constată că războiul de agresiune ilegal al Rusiei împotriva Ucrainei și consecințele sale geopolitice au continuat să reprezinte o problemă importantă în 2024; evidențiază, în acest sens, importanța și necesitatea ca SEAE să joace un rol-cheie central și consolidat în construirea autonomiei strategice, a rezilienței și a securității Uniunii, care ar trebui protejate și prin lupta sistematică și robustă împotriva acțiunilor străine de manipulare a informațiilor și împotriva ingerințelor străine (FIMI) și a campaniilor de dezinformare; constată că în 2024, SEAE și-a publicat cel de al doilea raport privind amenințările FIMI, care detaliază 750 de incidente și expune Operațiunea „Fațadă Falsă” (un sistem de spălare de informații de către entități pro-Kremlin), contribuind astfel la identificarea publică a responsabililor și la consolidarea conștientizării strategice privind ingerințe ostile sponsorizate de alte state; constată că SEAE a folosit sistemul de alertă rapidă ca mecanism central de coordonare privind FIMI în contextul protejării integrității alegerilor europene; ia act de lansarea unui set de instrumente pentru detectarea FIMI bazate pe identitate, de organizarea conferinței anuale la nivel înalt privind FIMI, de elaborarea manualului pentru politica de securitate și apărare comună (PSAC) privind FIMI, pentru a consolida capacitatea misiunilor PSAC de a detecta și de a răspunde la atacurile FIMI, și de contribuția la consolidarea rezilienței mass-mediei în cadrul evenimentului „</w:t>
      </w:r>
      <w:proofErr w:type="spellStart"/>
      <w:r w:rsidRPr="00D347D0">
        <w:t>Connecting</w:t>
      </w:r>
      <w:proofErr w:type="spellEnd"/>
      <w:r w:rsidRPr="00D347D0">
        <w:t xml:space="preserve"> Media </w:t>
      </w:r>
      <w:proofErr w:type="spellStart"/>
      <w:r w:rsidRPr="00D347D0">
        <w:t>Communities</w:t>
      </w:r>
      <w:proofErr w:type="spellEnd"/>
      <w:r w:rsidRPr="00D347D0">
        <w:t xml:space="preserve">” din Kosovo, la care au participat 130 de jurnaliști și verificatori ai veridicității informațiilor; felicită călduros SEAE pentru campania sa </w:t>
      </w:r>
      <w:proofErr w:type="spellStart"/>
      <w:r w:rsidRPr="00D347D0">
        <w:t>EUvsDisinfo</w:t>
      </w:r>
      <w:proofErr w:type="spellEnd"/>
      <w:r w:rsidRPr="00D347D0">
        <w:t xml:space="preserve">, care a analizat și expus eforturile Rusiei în domeniul FIMI din 2024; constată cu îngrijorare că numărul cazurilor de dezinformare pro-Kremlin a depășit nivelul de 18 000, ceea ce confirmă amploarea, persistența și natura strategică a amenințării reprezentate în special de Rusia, alături de alți actori ostili; observă că unele delegații ale Uniunii au un responsabil cu comunicarea strategică însărcinat cu analizarea și FIMI și răspunsul la acestea, însă capacitatea de colectare a informațiilor rămâne responsabilitatea statelor membre; accentuează, prin urmare, că este nevoie de o coordonare consolidată, de schimburi structurate de informații și de o cooperare mai strânsă cu statele membre și cu partenerii de încredere; felicită SEAE pentru lansarea Centrului de schimb de informații și analiză privind FIMI, menit să consolideze cooperarea și conștientizarea situațională comună; recunoaște că aceste eforturi, susținute de un buget consolidat pentru capacitatea de comunicare strategică în valoare de 6,12 milioane EUR în 2024, au asigurat un răspuns mai robust, mai coordonat și mai cuprinzător la nivelul întregii Uniuni la amenințările reprezentate de FIMI; încurajează dezvoltarea și extinderea continuă a rețelei de „apărători împotriva FIMI” prin inițiative de consolidare a capacităților; subliniază că finanțarea susținută și previzibilă este esențială pentru a asigura continuitatea și eficacitatea acțiunilor de contracarare a amenințărilor hibride și a FIMI; consideră așadar că ar trebui depuse eforturi pentru a combate eficient campaniile și discursurile de dezinformare anti-UE utilizate strategic de regimurile autoritare și </w:t>
      </w:r>
      <w:proofErr w:type="spellStart"/>
      <w:r w:rsidRPr="00D347D0">
        <w:t>iliberale</w:t>
      </w:r>
      <w:proofErr w:type="spellEnd"/>
      <w:r w:rsidRPr="00D347D0">
        <w:t xml:space="preserve"> care urmăresc să submineze acțiunea externă a Uniunii în țările terțe;</w:t>
      </w:r>
    </w:p>
    <w:p w14:paraId="1C5918B4" w14:textId="77777777" w:rsidR="005346BC" w:rsidRPr="00D347D0" w:rsidRDefault="005346BC" w:rsidP="005346BC">
      <w:pPr>
        <w:pStyle w:val="NormalHanging12a"/>
      </w:pPr>
      <w:r w:rsidRPr="00D347D0">
        <w:t>18.</w:t>
      </w:r>
      <w:r w:rsidRPr="00D347D0">
        <w:tab/>
        <w:t xml:space="preserve">accentuează necesitatea de a moderniza rețeaua delegațiilor Uniunii, în special prin </w:t>
      </w:r>
      <w:r w:rsidRPr="00D347D0">
        <w:lastRenderedPageBreak/>
        <w:t>consolidarea Centrului de situații și de analiză a informațiilor al Uniunii Europene (INTCEN UE) și a Centrului de răspuns la situații de criză al SEAE; evidențiază că îmbunătățirea capacității analitice și a pregătirii pentru situații de criză necesită personal adecvat, măsuri de securitate informatică actualizate și resurse administrative suficiente;</w:t>
      </w:r>
    </w:p>
    <w:p w14:paraId="211579D9" w14:textId="77777777" w:rsidR="005346BC" w:rsidRPr="00D347D0" w:rsidRDefault="005346BC" w:rsidP="005346BC">
      <w:pPr>
        <w:pStyle w:val="NormalHanging12a"/>
      </w:pPr>
      <w:r w:rsidRPr="00D347D0">
        <w:t>19.</w:t>
      </w:r>
      <w:r w:rsidRPr="00D347D0">
        <w:tab/>
        <w:t>reamintește apelurile Busolei strategice și ale Parlamentului de a consolida capacitățile Uniunii în materie de informații operative și de conștientizare a situației; subliniază că nevoile tot mai mari ale Uniunii în materie de analiză și de gestionare a crizelor impun consolidarea resurselor alocate INTCEN UE și Centrului de răspuns la situații de criză al SEAE, pentru a asigura dotarea adecvată a acestora în vederea îndeplinirii mandatelor într-un context geopolitic din ce în ce mai complex și mai problematic; subliniază rolul central al INTCEN UE în furnizarea de evaluări analitice integrate, bazate pe toate sursele disponibile, în sprijinul procesului decizional din cadrul politicii externe și de securitate comune (PESC) și al PSAC, și evidențiază potențialul rețelei delegațiilor UE, fără a aduce atingere competențelor statelor membre, ca factor-cheie care contribuie la conștientizarea situației prin integrarea informațiilor relevante deja disponibile la nivel local; consideră că stabilirea unei alocări bugetare mai clare și mai vizibile pentru INTCEN UE ar putea facilita o transparență, un control democratic și o răspundere mai accentuate în cadrul procedurii de descărcare de gestiune;</w:t>
      </w:r>
    </w:p>
    <w:p w14:paraId="4FF0461C" w14:textId="77777777" w:rsidR="005346BC" w:rsidRPr="00D347D0" w:rsidRDefault="005346BC" w:rsidP="005346BC">
      <w:pPr>
        <w:pStyle w:val="NormalHanging12a"/>
        <w:rPr>
          <w:bCs/>
          <w:iCs/>
        </w:rPr>
      </w:pPr>
      <w:r w:rsidRPr="00D347D0">
        <w:t>20.</w:t>
      </w:r>
      <w:r w:rsidRPr="00D347D0">
        <w:tab/>
        <w:t>salută instituirea scutului european pentru democrație și crearea unui centru pentru reziliență democratică ca pași importanți în consolidarea capacității Uniunii de a combate FIMI; salută intenția de a extinde scutul european pentru democrație propus la țările în curs de aderare, întărind astfel capacitatea acestora de a răspunde unor amenințări precum FIMI și campaniile de dezinformare; invită Comisia și SEAE să intensifice cooperarea cu țările vulnerabile implicate în procesul de aderare în ceea ce privește reziliența în materie de informații, securitatea cibernetică și amenințările hibride; invită SEAE și delegațiile Uniunii în țările terțe să continue să își consolideze capacitățile de combatere și contracarare a dezinformării și a propagandei împotriva PESC a Uniunii, inclusiv prin investiții în campanii de comunicare pentru combaterea influenței străine;</w:t>
      </w:r>
    </w:p>
    <w:p w14:paraId="4FBE7690" w14:textId="77777777" w:rsidR="005346BC" w:rsidRPr="00D347D0" w:rsidRDefault="005346BC" w:rsidP="005346BC">
      <w:pPr>
        <w:pStyle w:val="NormalHanging12a"/>
      </w:pPr>
      <w:r w:rsidRPr="00D347D0">
        <w:t>21.</w:t>
      </w:r>
      <w:r w:rsidRPr="00D347D0">
        <w:tab/>
        <w:t>subliniază necesitatea de a furniza resurse adecvate Diviziei de comunicare strategică și analiză prospectivă a Serviciului European de Acțiune Externă (SEAE), în vederea contracarării dezinformării utilizate de regimuri autoritare, în special de Kremlin; reamintește că în Republica Moldova și în Ucraina, actori asociați Rusiei au instrumentalizat religia, inclusiv Biserica Ortodoxă subordonată Patriarhiei Moscovei, pentru a submina reziliența democratică; accentuează că este important să se consolideze diplomația Uniunii bazată pe dialog interconfesional în cadrul acțiunii sale externe și solicită instituirea unei linii bugetare specifice în cadrul SEAE pentru sprijinirea dialogului, promovarea toleranței interreligioase și combaterea utilizării geopolitice a religiei;</w:t>
      </w:r>
    </w:p>
    <w:p w14:paraId="58D75CB6" w14:textId="77777777" w:rsidR="005346BC" w:rsidRPr="00D347D0" w:rsidRDefault="005346BC" w:rsidP="005346BC">
      <w:pPr>
        <w:pStyle w:val="NormalHanging12a"/>
        <w:rPr>
          <w:bCs/>
          <w:iCs/>
        </w:rPr>
      </w:pPr>
      <w:r w:rsidRPr="00D347D0">
        <w:t xml:space="preserve">22. </w:t>
      </w:r>
      <w:r w:rsidRPr="00D347D0">
        <w:tab/>
        <w:t>reamintește Comisiei apelul Parlamentului de a pregăti adecvat personalul SEAE pentru ca acesta să poată purta un dialog privind libertatea religioasă și de a face din acest aspect o prioritate importantă a acțiunii sale externe</w:t>
      </w:r>
      <w:r w:rsidRPr="00D347D0">
        <w:rPr>
          <w:rStyle w:val="FootnoteReference"/>
        </w:rPr>
        <w:footnoteReference w:id="9"/>
      </w:r>
      <w:r w:rsidRPr="00D347D0">
        <w:t>; invită SEAE să răspundă ferm acestui apel și să aloce nivelul necesar de resurse în acest sens;</w:t>
      </w:r>
    </w:p>
    <w:p w14:paraId="590C8942" w14:textId="77777777" w:rsidR="005346BC" w:rsidRPr="00D347D0" w:rsidRDefault="005346BC" w:rsidP="005346BC">
      <w:pPr>
        <w:pStyle w:val="NormalHanging12a"/>
        <w:rPr>
          <w:bCs/>
          <w:iCs/>
        </w:rPr>
      </w:pPr>
      <w:r w:rsidRPr="00D347D0">
        <w:t>23.</w:t>
      </w:r>
      <w:r w:rsidRPr="00D347D0">
        <w:tab/>
        <w:t xml:space="preserve">invită vicepreședinta/Înalta Reprezentantă să consolideze misiunile și operațiunile </w:t>
      </w:r>
      <w:r w:rsidRPr="00D347D0">
        <w:lastRenderedPageBreak/>
        <w:t>PSAC ale Uniunii cu personal și resurse adecvate și cu mandate flexibile, pentru a răspunde eficient provocărilor de securitate;</w:t>
      </w:r>
    </w:p>
    <w:p w14:paraId="50FA8C55" w14:textId="77777777" w:rsidR="005346BC" w:rsidRPr="00D347D0" w:rsidRDefault="005346BC" w:rsidP="005346BC">
      <w:pPr>
        <w:pStyle w:val="NormalHanging12a"/>
        <w:rPr>
          <w:bCs/>
          <w:iCs/>
        </w:rPr>
      </w:pPr>
      <w:r w:rsidRPr="00D347D0">
        <w:t>24.</w:t>
      </w:r>
      <w:r w:rsidRPr="00D347D0">
        <w:tab/>
        <w:t>evidențiază că este important să se mențină misiunea Uniunii Europene de monitorizare în Georgia, pentru a monitoriza situația din teritoriile ocupate și a asigura alerta timpurie și raportarea;</w:t>
      </w:r>
    </w:p>
    <w:p w14:paraId="36E66D2D" w14:textId="1FECAAFD" w:rsidR="005346BC" w:rsidRPr="00D347D0" w:rsidRDefault="005346BC" w:rsidP="005346BC">
      <w:pPr>
        <w:pStyle w:val="NormalHanging12a"/>
        <w:rPr>
          <w:bCs/>
          <w:iCs/>
        </w:rPr>
      </w:pPr>
      <w:r w:rsidRPr="00D347D0">
        <w:t>25.</w:t>
      </w:r>
      <w:r w:rsidRPr="00D347D0">
        <w:tab/>
        <w:t xml:space="preserve">invită SEAE să </w:t>
      </w:r>
      <w:r w:rsidR="00F63927" w:rsidRPr="00D347D0">
        <w:t>limiteze contactele politice cu autoritățile din partidul „Visul georgian” la chestiuni de strictă necesitate, menținând și consolidând în același timp cooperarea cu societatea civilă georgiană, mass-media independentă și instituțiile academice; subliniază importanța promovării în continuare a normelor europene, a valorilor democratice și a parcursului european în rândul populației georgiene și al forțelor politice care și-au asumat angajamentul față de principiile democratice</w:t>
      </w:r>
      <w:r w:rsidRPr="00D347D0">
        <w:t>;</w:t>
      </w:r>
    </w:p>
    <w:p w14:paraId="40F71816" w14:textId="77777777" w:rsidR="005346BC" w:rsidRPr="00D347D0" w:rsidRDefault="005346BC" w:rsidP="005346BC">
      <w:pPr>
        <w:pStyle w:val="NormalHanging12a"/>
      </w:pPr>
      <w:r w:rsidRPr="00D347D0">
        <w:t>26.</w:t>
      </w:r>
      <w:r w:rsidRPr="00D347D0">
        <w:tab/>
        <w:t xml:space="preserve">subliniază că, în 2024, cu sprijinul semnificativ al SEAE, Uniunea și-a continuat sprijinul politic, militar, financiar, diplomatic, umanitar și economic cuprinzător pentru Ucraina ca răspuns la războiul de agresiune al Rusiei; subliniază că semnarea angajamentelor comune în materie de securitate între UE și Ucraina în iunie 2024 a reprezentat o etapă importantă, aderarea la Uniune fiind identificată ca garanția supremă de securitate pentru consolidarea rezilienței, a capacității de descurajare și a stabilității pe termen lung a Ucrainei; constată că SEAE a colaborat îndeaproape cu statele membre, G7, NATO și partenerii internaționali pentru a menține unitatea, a asigura respectarea măsurilor restrictive împotriva Rusiei, a preveni eludarea sancțiunilor și a sprijini inițiativele de asumare a răspunderii, desfășurând în același timp ample activități de informare la nivel mondial în sprijinul unei păci juste și durabile, în conformitate cu Carta ONU și cu dreptul internațional, inclusiv acțiuni ulterioare </w:t>
      </w:r>
      <w:proofErr w:type="spellStart"/>
      <w:r w:rsidRPr="00D347D0">
        <w:t>Summitului</w:t>
      </w:r>
      <w:proofErr w:type="spellEnd"/>
      <w:r w:rsidRPr="00D347D0">
        <w:t xml:space="preserve"> din Elveția privind pacea, sprijin pentru Formula de pace ucraineană, participarea la Platforma internațională pentru Crimeea, sprijin pentru înființarea unui tribunal special pentru crima de agresiune și aderarea Uniunii, în iunie 2024, la Coaliția internațională pentru întoarcerea copiilor ucraineni;</w:t>
      </w:r>
    </w:p>
    <w:p w14:paraId="5DD365EA" w14:textId="2495574C" w:rsidR="00F63927" w:rsidRPr="00D347D0" w:rsidRDefault="00F63927" w:rsidP="005346BC">
      <w:pPr>
        <w:pStyle w:val="NormalHanging12a"/>
      </w:pPr>
      <w:r w:rsidRPr="00D347D0">
        <w:t>27.</w:t>
      </w:r>
      <w:r w:rsidRPr="00D347D0">
        <w:tab/>
        <w:t>reafirmă că sprijinul politic, militar, financiar și umanitar continuu al Uniunii pentru Ucraina continuă să fie o prioritate strategică și o obligație morală în fața războiului ilegal de agresiune al Rusiei; subliniază, cu toate acestea, că amploarea fără precedent a asistenței acordate de Uniune Ucrainei trebuie să fie însoțită de controale, trasabilitate și garanții antifraudă la fel de excepționale, pentru a menține sprijinul politic și public pe termen lung al contribuabililor Uniunii; invită SEAE, în strânsă cooperare cu OLAF, EPPO și Curtea, să asigure accesul deplin și în timp real la informațiile privind utilizarea tuturor fondurilor Uniunii plătite în sprijinul Ucrainei și să informeze anual autoritatea care acordă descărcarea de gestiune cu privire la neregulile detectate, la recuperările și măsurile de corecție aplicate;</w:t>
      </w:r>
    </w:p>
    <w:p w14:paraId="6263DB6F" w14:textId="53E8B983" w:rsidR="005346BC" w:rsidRPr="00D347D0" w:rsidRDefault="000D3EB1" w:rsidP="005346BC">
      <w:pPr>
        <w:spacing w:after="240"/>
        <w:ind w:left="567" w:hanging="567"/>
      </w:pPr>
      <w:r w:rsidRPr="00D347D0">
        <w:t>28</w:t>
      </w:r>
      <w:r w:rsidR="005346BC" w:rsidRPr="00D347D0">
        <w:t>.</w:t>
      </w:r>
      <w:r w:rsidR="005346BC" w:rsidRPr="00D347D0">
        <w:tab/>
        <w:t xml:space="preserve">reamintește că este esențial să ne consolidăm și mai mult sprijinul pentru drepturile omului, democrație și dezvoltare în țările terțe prin intermediul cadrului financiar al Instrumentului de vecinătate, cooperare pentru dezvoltare și cooperare internațională – „Europa globală”; evidențiază că menținerea unei finanțări specifice pentru drepturile omului și democrație, precum și o abordare bazată pe drepturile omului și integrarea drepturilor omului în sprijinul acordat țărilor terțe și în parteneriatele cu acestea pot contribui la consolidarea poziției Uniunii la nivel mondial și la susținerea valorilor Uniunii; subliniază că resursele pentru diplomația digitală a Uniunii ar trebui majorate în continuare, având în vedere contextul actual de progrese tehnologice rapide și </w:t>
      </w:r>
      <w:r w:rsidR="005346BC" w:rsidRPr="00D347D0">
        <w:lastRenderedPageBreak/>
        <w:t>concurență geopolitică, în special pentru a contracara autoritarismul digital, ingerințele străine și utilizarea abuzivă a tehnologiilor emergente; invită SEAE să efectueze sistematic evaluări ale riscurilor privind restrângerea spațiului civic în țările partenere și în țările terțe, pentru a se asigura că finanțarea din partea Uniunii ajunge la părțile interesante relevante; insistă ca tranziția verde să fie susținut</w:t>
      </w:r>
      <w:r w:rsidR="006D467C" w:rsidRPr="00D347D0">
        <w:t>ă</w:t>
      </w:r>
      <w:r w:rsidR="005346BC" w:rsidRPr="00D347D0">
        <w:t xml:space="preserve"> de resurse financiare și umane adecvate în cadrul SEAE și al delegațiilor Uniunii și să fie integrat</w:t>
      </w:r>
      <w:r w:rsidR="003C6D3D" w:rsidRPr="00D347D0">
        <w:t>ă</w:t>
      </w:r>
      <w:r w:rsidR="005346BC" w:rsidRPr="00D347D0">
        <w:t xml:space="preserve"> în mod consecvent în dialogurile politice, în parteneriate și în cheltuielile externe, inclusiv în ceea ce privește țările terțe, asigurând totodată coerența în materie de competitivitate, securitate energetică și reziliență economică a țărilor partenere;</w:t>
      </w:r>
    </w:p>
    <w:p w14:paraId="2BE60A31" w14:textId="2221C63C" w:rsidR="005346BC" w:rsidRPr="00D347D0" w:rsidRDefault="000D3EB1" w:rsidP="005346BC">
      <w:pPr>
        <w:pStyle w:val="NormalHanging12a"/>
      </w:pPr>
      <w:r w:rsidRPr="00D347D0">
        <w:t>29</w:t>
      </w:r>
      <w:r w:rsidR="005346BC" w:rsidRPr="00D347D0">
        <w:t>.</w:t>
      </w:r>
      <w:r w:rsidR="005346BC" w:rsidRPr="00D347D0">
        <w:tab/>
        <w:t>evidențiază că este nevoie ca SEAE să își consolideze capacitatea administrativă și analitică în zone de importanță strategică tot mai mare, inclusiv în regiunea arctică; solicită să se consolideze formarea personalului și să se asigure o mai bună coordonare între servicii și resurse adecvate pentru a sprijini evaluarea riscurilor, conștientizarea situației și colaborarea cu partenerii pertinenți; subliniază că o astfel de consolidare a capacităților trebuie să fie pe deplin aliniată la buna gestiune financiară și la constrângerile bugetare existente;</w:t>
      </w:r>
    </w:p>
    <w:p w14:paraId="3321BD9D" w14:textId="04BEB801" w:rsidR="005346BC" w:rsidRPr="00D347D0" w:rsidRDefault="000D3EB1" w:rsidP="00EE747D">
      <w:pPr>
        <w:spacing w:after="240"/>
        <w:ind w:left="567" w:hanging="567"/>
      </w:pPr>
      <w:r w:rsidRPr="00D347D0">
        <w:t>30</w:t>
      </w:r>
      <w:r w:rsidR="005346BC" w:rsidRPr="00D347D0">
        <w:t>.</w:t>
      </w:r>
      <w:r w:rsidR="005346BC" w:rsidRPr="00D347D0">
        <w:tab/>
        <w:t>ia act cu satisfacție, astfel cum reiese din raportul de monitorizare, de rolul central și de acțiunile SEAE pentru promovarea păcii și a stabilității în Orientul Mijlociu, inclusiv prin solicitarea accesului neîngrădit și distribuirea susținută a ajutorului umanitar la scară largă, în conformitate cu principiile umanitare internaționale; subliniază că asistența umanitară trebuie furnizată în condiții de siguranță, într-un mod eficient și depolitizat și nu trebuie deturnată sau utilizată abuziv de grupări teroriste sau armate; observă că, de la debutul crizei din Gaza, Uniunea a mobilizat toate instrumentele umanitare disponibile pentru a atenua suferința palestinienilor din Gaza și Cisiordania, furnizând ajutor umanitar în valoare de 450 de milioane EUR începând din octombrie 2023, inclusiv un pachet inițial de ajutor în valoare de 120 de milioane EUR pentru 2025, și că, în cazul specific al sprijinului Uniunii pentru Palestina, potrivit Comisiei, mecanismele existente „sunt solide și funcționează eficient”, astfel cum s-a reafirmat în cadrul revizuirii financiare a asistenței Uniunii pentru Palestina efectuate în noiembrie 2023; observă, de asemenea, că în aprilie 2025, Comisia a adoptat un program multianual cuprinzător pentru Palestina, în valoare de până la 1,6 miliarde EUR pentru perioada 2025-2027, destinat sprijinirii redresării economice, rezilienței și guvernanței în Cisiordania, Ierusalimul de Est și Gaza, din care până la 620 de milioane EUR reprezintă sprijin financiar direct pentru Autoritatea Palestiniană; constată că în mai 2024, Comisia a anunțat un pachet de asistență financiară în valoare de 1 miliard EUR pentru a ajuta Libanul să facă față dificultăților interne și regionale; salută, în acest context, opinia vicepreședintei/Înaltei Reprezentante, exprimată în cadrul audierii, conform căreia, ca principiu fundamental de drept, cel care provoacă daune trebuie să suporte costurile pentru acestea; observă că o evaluare cuprinzătoare a pagubelor este în continuare prematură atât timp cât accesul în Gaza nu este posibil; accentuează, cu toate acestea, că este important să se instituie mecanisme solide de monitorizare și de asumare a răspunderii, incluzând informații fiabile, independente și verificabile, pentru a permite o evaluare a daunelor și a nevoilor imediat ce accesul este permis; invită SEAE să continue să folosească toate instrumentele disponibile, inclusiv instrumente umanitare, diplomatice și financiare și, după caz, măsuri restrictive, pentru a menține ordinea internațională bazată pe norme și a promova pacea și securitatea durabile în regiune;</w:t>
      </w:r>
    </w:p>
    <w:p w14:paraId="333D7C18" w14:textId="23A5A76D" w:rsidR="000D3EB1" w:rsidRPr="00D347D0" w:rsidRDefault="000D3EB1" w:rsidP="00EE747D">
      <w:pPr>
        <w:spacing w:after="240"/>
        <w:ind w:left="567" w:hanging="567"/>
      </w:pPr>
      <w:r w:rsidRPr="00D347D0">
        <w:t>31</w:t>
      </w:r>
      <w:r w:rsidR="005346BC" w:rsidRPr="00D347D0">
        <w:t>.</w:t>
      </w:r>
      <w:r w:rsidR="005346BC" w:rsidRPr="00D347D0">
        <w:tab/>
        <w:t xml:space="preserve">reamintește poziția sa privind bugetul Uniunii pentru 2026 și importanța sprijinirii </w:t>
      </w:r>
      <w:r w:rsidR="005346BC" w:rsidRPr="00D347D0">
        <w:lastRenderedPageBreak/>
        <w:t xml:space="preserve">reformelor politice, economice și sociale în regiunea vecinătății sudice, inclusiv a răspunsului la nevoile umanitare tot mai mari, asigurând totodată faptul că nu se alocă fonduri ale Uniunii instituțiilor publice, persoanelor sau asociațiilor care au legătură cu orice tip de mișcări teroriste și care sunt direct contrare valorilor fundamentale ale Uniunii, inclusiv mișcărilor islamiste, antisemite, anticreștine și </w:t>
      </w:r>
      <w:proofErr w:type="spellStart"/>
      <w:r w:rsidR="005346BC" w:rsidRPr="00D347D0">
        <w:t>antiislamice</w:t>
      </w:r>
      <w:proofErr w:type="spellEnd"/>
      <w:r w:rsidR="005346BC" w:rsidRPr="00D347D0">
        <w:t xml:space="preserve">; reamintește că SEAE este responsabil cu furnizarea de orientări politice și asigurarea supravegherii strategice a acțiunii externe a Uniunii, în timp ce Comisia își păstrează responsabilitatea deplină pentru gestionarea, contractarea și alocarea resurselor bugetare ale Uniunii puse la dispoziția partenerilor de implementare și a organizațiilor internaționale; reamintește că au existat acuzații potrivit cărora 19 dintre cei 13 000 de angajați ai UNRWA din Gaza au fost implicați în atacurile teroriste abominabile ale </w:t>
      </w:r>
      <w:proofErr w:type="spellStart"/>
      <w:r w:rsidR="005346BC" w:rsidRPr="00D347D0">
        <w:t>Hamas</w:t>
      </w:r>
      <w:proofErr w:type="spellEnd"/>
      <w:r w:rsidR="005346BC" w:rsidRPr="00D347D0">
        <w:t xml:space="preserve"> împotriva Israelului din 7 octombrie 2023</w:t>
      </w:r>
      <w:r w:rsidR="005346BC" w:rsidRPr="00D347D0">
        <w:rPr>
          <w:color w:val="1C1C1C"/>
        </w:rPr>
        <w:t>; ia act de răspunsul Organizației Națiunilor Unite la aceste acuzații, inclusiv de investigațiile lansate de Biroul serviciilor de supraveghere internă al ONU (OIOS), în urma cărora</w:t>
      </w:r>
      <w:r w:rsidR="005346BC" w:rsidRPr="00D347D0">
        <w:t xml:space="preserve">, în interesul Agenției, a fost reziliat oficial contractul de muncă pentru nouă angajați, precum și de </w:t>
      </w:r>
      <w:r w:rsidR="005346BC" w:rsidRPr="00D347D0">
        <w:rPr>
          <w:color w:val="1C1C1C"/>
        </w:rPr>
        <w:t xml:space="preserve">recomandările formulate în raportul </w:t>
      </w:r>
      <w:proofErr w:type="spellStart"/>
      <w:r w:rsidR="005346BC" w:rsidRPr="00D347D0">
        <w:rPr>
          <w:color w:val="1C1C1C"/>
        </w:rPr>
        <w:t>Colonna</w:t>
      </w:r>
      <w:proofErr w:type="spellEnd"/>
      <w:r w:rsidR="005346BC" w:rsidRPr="00D347D0">
        <w:t>; constată că Comisia a colaborat cu UNRWA pentru a consolida procesele de neutralitate și sistemele de control din Agenție, în conformitate cu constatările anchetelor OIOS al ONU și pentru a monitoriza aplicarea planului de acțiune prezentat de UNRWA; ia act de evaluarea Comisiei potrivit căreia UNRWA rămâne angajată în punerea în aplicare a recomandărilor convenite și de îndeplinirea tuturor condițiilor convenite cu Uniunea pentru continuarea finanțării în 2024</w:t>
      </w:r>
      <w:bookmarkStart w:id="9" w:name="_Hlk216258516"/>
      <w:r w:rsidR="005346BC" w:rsidRPr="00D347D0">
        <w:t>; încurajează, în acest sens, continuarea angajamentului Comisiei și monitorizarea atentă din partea acesteia pentru a asigura faptul că</w:t>
      </w:r>
      <w:bookmarkEnd w:id="9"/>
      <w:r w:rsidR="005346BC" w:rsidRPr="00D347D0">
        <w:t xml:space="preserve"> finanțării i se răspunde prin garanții solide privind neutralitatea, transparența și asumarea răspunderii; observă că Uniunea nu finanțează manualele palestiniene și că acestea nu țin nici de responsabilitatea UNRWA, deși aceasta examinează toate manualele publicate pentru a identifica un eventual conținut problematic;</w:t>
      </w:r>
      <w:bookmarkStart w:id="10" w:name="_Hlk216447567"/>
      <w:r w:rsidR="005346BC" w:rsidRPr="00D347D0">
        <w:t xml:space="preserve"> reamintește că este necesar ca Autoritatea Palestiniană să elimine toate materialele și conținuturile educaționale care nu respectă standardele UNESCO, în special pe cele care încurajează antisemitismul și incită la violență, materiale la care copiii palestinieni nu ar trebui să fie expuși;</w:t>
      </w:r>
      <w:bookmarkEnd w:id="10"/>
      <w:r w:rsidR="005346BC" w:rsidRPr="00D347D0">
        <w:t xml:space="preserve"> reamintește că nu trebuie alocate fonduri ale Uniunii, direct sau indirect, pentru materialele educaționale menționate mai sus; accentuează că sprijinul financiar din partea Uniunii pentru Autoritatea Palestiniană în domeniul educației ar trebui acordat cu condiția ca manualele să aibă un conținut aliniat la standardele UNESCO, în concordanță cu constatările din raportul Institutului Georg </w:t>
      </w:r>
      <w:proofErr w:type="spellStart"/>
      <w:r w:rsidR="005346BC" w:rsidRPr="00D347D0">
        <w:t>Eckert</w:t>
      </w:r>
      <w:proofErr w:type="spellEnd"/>
      <w:r w:rsidR="005346BC" w:rsidRPr="00D347D0">
        <w:t>, finanțat de Uniune, care a oferit o imagine complexă asupra manualelor;</w:t>
      </w:r>
    </w:p>
    <w:p w14:paraId="2CE27ADB" w14:textId="2514C8C1" w:rsidR="004C6106" w:rsidRPr="00D347D0" w:rsidRDefault="000D3EB1" w:rsidP="00EE747D">
      <w:pPr>
        <w:spacing w:after="240"/>
        <w:ind w:left="567" w:hanging="567"/>
      </w:pPr>
      <w:r w:rsidRPr="00D347D0">
        <w:t>32</w:t>
      </w:r>
      <w:r w:rsidR="005346BC" w:rsidRPr="00D347D0">
        <w:t>.</w:t>
      </w:r>
      <w:r w:rsidR="005346BC" w:rsidRPr="00D347D0">
        <w:tab/>
        <w:t xml:space="preserve">își exprimă îngrijorarea profundă cu privire la raport, în legătură cu presupuse documente interne ale </w:t>
      </w:r>
      <w:proofErr w:type="spellStart"/>
      <w:r w:rsidR="005346BC" w:rsidRPr="00D347D0">
        <w:t>Hamas</w:t>
      </w:r>
      <w:proofErr w:type="spellEnd"/>
      <w:r w:rsidR="005346BC" w:rsidRPr="00D347D0">
        <w:t xml:space="preserve">, datate între 2018 și 2022, găsite inițial de Forțele de Apărare ale Israelului în Fâșia Gaza și ulterior declasificate și difuzate prin intermediul organizației NGO Monitor, care ar indica presupuse tentative de infiltrare și monitorizare ale </w:t>
      </w:r>
      <w:proofErr w:type="spellStart"/>
      <w:r w:rsidR="005346BC" w:rsidRPr="00D347D0">
        <w:t>Hamas</w:t>
      </w:r>
      <w:proofErr w:type="spellEnd"/>
      <w:r w:rsidR="005346BC" w:rsidRPr="00D347D0">
        <w:t xml:space="preserve"> prin intermediul așa-numiților „garanți” ai ONG-urilor internaționale, inclusiv în cadrul proiectelor umanitare finanțate de Uniune în Fâșia Gaza; reamintește că, în mare măsură ca răspuns la solicitările Parlamentului, mecanismele de verificare au fost consolidate și mai mult începând din 2023, inclusiv prin audituri specifice, analize de risc și monitorizare externă suplimentară; subliniază că orice alegație privind utilizarea necorespunzătoare a fondurilor contribuabililor din Uniune trebuie verificată atent și îndeamnă Comisia să investigheze toate acuzațiile privind orice formă de infiltrare sau influență nejustificată în cadrul proiectelor umanitare finanțate de Uniune și să suspende sau să recupereze finanțarea din partea </w:t>
      </w:r>
      <w:r w:rsidR="005346BC" w:rsidRPr="00D347D0">
        <w:lastRenderedPageBreak/>
        <w:t xml:space="preserve">Uniunii atunci când se confirmă existența unor încălcări; subliniază că orice acuzație de utilizare abuzivă a fondurilor Uniunii, care ar fi deturnate indirect către organizații teroriste subminează integritatea asistenței Uniunii; avertizează că, în contextul conflictelor armate, dezinformarea și războiul informațional în scopuri strategice reprezintă practici frecvente; </w:t>
      </w:r>
    </w:p>
    <w:p w14:paraId="6B2230C8" w14:textId="29666AE2" w:rsidR="005346BC" w:rsidRPr="00D347D0" w:rsidRDefault="000D3EB1" w:rsidP="005346BC">
      <w:pPr>
        <w:spacing w:after="240"/>
        <w:ind w:left="567" w:hanging="567"/>
      </w:pPr>
      <w:r w:rsidRPr="00D347D0">
        <w:t>33</w:t>
      </w:r>
      <w:r w:rsidR="005346BC" w:rsidRPr="00D347D0">
        <w:t>.</w:t>
      </w:r>
      <w:r w:rsidR="005346BC" w:rsidRPr="00D347D0">
        <w:tab/>
        <w:t>reamintește că milioane de oameni din întreaga lume se confruntă cu discriminare, persecuții sau violență din cauza religiei sau a convingerilor lor; încurajează Comisia și SEAE să continue, în limitele competențelor lor respective, să asigure acordarea unei atenții echilibrate la nivel de politici, coordonarea și transparența în răspunsul în ceea ce privește toate formele de ură și intoleranță pe motive religioase, inclusiv ură față de creștini și față de Islam și antisemitism, și să informeze cu regularitate Parlamentul cu privire la măsurile relevante adoptate și resursele mobilizate în acest sens;</w:t>
      </w:r>
    </w:p>
    <w:p w14:paraId="19B66231" w14:textId="591F209D" w:rsidR="005346BC" w:rsidRPr="00D347D0" w:rsidRDefault="000D3EB1" w:rsidP="005346BC">
      <w:pPr>
        <w:pStyle w:val="NormalHanging12a"/>
      </w:pPr>
      <w:r w:rsidRPr="00D347D0">
        <w:t>34</w:t>
      </w:r>
      <w:r w:rsidR="005346BC" w:rsidRPr="00D347D0">
        <w:t>.</w:t>
      </w:r>
      <w:r w:rsidR="005346BC" w:rsidRPr="00D347D0">
        <w:tab/>
        <w:t>ia act, astfel cum reiese din raportul de monitorizare, de eforturile continue ale SEAE de a sprijini dialogul privind situația politică, economică și socială, statul de drept și combaterea corupției, precum și de a consolida democrația și drepturile omului în diferite țări; salută faptul că SEAE și delegațiile Uniunii continuă să colaboreze cu reprezentanți ai administrațiilor și instituțiilor naționale, organizații ale societății civile, părți interesate specializate în guvernanță democratică, drepturile omului, mass-media, parteneri sociali și organizații internaționale și regionale; constată că sprijinul pentru apărătorii drepturilor omului și ai femeilor, inclusiv cei indigeni, se numără printre principalele priorități ale SEAE, în conformitate cu Planul de acțiune al Uniunii privind drepturile omului și democrația 2020-2027, și este promovat printr-o serie de activități precum dialoguri politice, raportări politice, diplomație publică, foruri multilaterale și rapoarte anuale privind punerea în aplicare a drepturilor omului; solicită SEAE și delegațiilor Uniunii să își consolideze și mai mult activitatea de acordare de asistență și de sprijin logistic și tehnologic apărătorilor drepturilor omului, precum și de colaborare cu aceștia, în conformitate cu Orientările UE cu privire la apărătorii drepturilor omului, acordând o atenție deosebită femeilor;</w:t>
      </w:r>
    </w:p>
    <w:p w14:paraId="04E1BD42" w14:textId="1A330FF0" w:rsidR="005346BC" w:rsidRPr="00D347D0" w:rsidRDefault="000D3EB1" w:rsidP="005346BC">
      <w:pPr>
        <w:pStyle w:val="NormalHanging12a"/>
      </w:pPr>
      <w:r w:rsidRPr="00D347D0">
        <w:t>35</w:t>
      </w:r>
      <w:r w:rsidR="005346BC" w:rsidRPr="00D347D0">
        <w:t>.</w:t>
      </w:r>
      <w:r w:rsidR="005346BC" w:rsidRPr="00D347D0">
        <w:tab/>
        <w:t>constată, astfel cum reiese din chestionar, că serviciul de guvernanță internă (CGS), înființat în 2023, joacă un rol important în îmbunătățirea gestionării SEAE prin sprijinirea pregătirii planurilor anuale de gestionare și a rapoartelor anuale de activitate ale SEAE, consolidarea proceselor de gestionare a riscurilor, abordarea problemelor sistemice ale instituției în delegațiile Uniunii și punerea în aplicare a conceptului „O singură delegație”, care vizează reducerea fragmentării gestionării și raportării și documentarea problemelor recurente și a celor mai bune practici atât la sediul central, cât și în delegațiile Uniunii; invită SEAE să remedieze rapid deficiențele evidențiate de Curte în materie de controale interne și de gestionare a documentelor, în vederea îmbunătățirii integrității gestionării informațiilor și a asigurării unei raportări consecvente în toate delegațiile Uniunii;</w:t>
      </w:r>
    </w:p>
    <w:p w14:paraId="63263D14" w14:textId="33F7290E" w:rsidR="005346BC" w:rsidRPr="00D347D0" w:rsidRDefault="000D3EB1" w:rsidP="005346BC">
      <w:pPr>
        <w:pStyle w:val="NormalHanging12a"/>
      </w:pPr>
      <w:r w:rsidRPr="00D347D0">
        <w:t>36</w:t>
      </w:r>
      <w:r w:rsidR="005346BC" w:rsidRPr="00D347D0">
        <w:t>.</w:t>
      </w:r>
      <w:r w:rsidR="005346BC" w:rsidRPr="00D347D0">
        <w:tab/>
        <w:t xml:space="preserve">ia act cu satisfacție, astfel cum reiese din raportul de monitorizare și din chestionar, de eforturile depuse de SEAE în direcția unei diplomații feministe, în pofida faptului că statele membre au rolul principal în stabilirea orientărilor pentru acțiunile externe ale Uniunii; salută în special acțiunile întreprinse pentru accelerarea punerii în aplicare a angajamentelor Uniunii în cadrul Planului de acțiune pentru egalitatea de gen (GAP) III; constată că Ambasadoarea Uniunii pentru gen și diversitate s-a angajat în eforturi de integrare a perspectivei de gen în dialogurile privind drepturile omului și în declarațiile și rezoluțiile multilaterale esențiale; constată, de asemenea, că o conducere care ia în </w:t>
      </w:r>
      <w:r w:rsidR="005346BC" w:rsidRPr="00D347D0">
        <w:lastRenderedPageBreak/>
        <w:t>considerare dimensiunea de gen a continuat să fie un element-cheie în instituționalizarea integrării perspectivei de gen; salută, în acest context, numirea unor puncte de contact pentru probleme de gen, în noiembrie 2024; observă că GAP III va expira în 2027 și îndeamnă SEAE să elaboreze în acest scop un GAP IV mai ambițios, care să asigure o legătură mai strânsă între drepturile și capacitarea femeilor și politica externă și de securitate a Uniunii și să fie gata de punere în aplicare începând din 2028;</w:t>
      </w:r>
    </w:p>
    <w:p w14:paraId="4D0219A2" w14:textId="2BEEC0C6" w:rsidR="005346BC" w:rsidRPr="00D347D0" w:rsidRDefault="000D3EB1" w:rsidP="005346BC">
      <w:pPr>
        <w:pStyle w:val="NormalHanging12a"/>
      </w:pPr>
      <w:r w:rsidRPr="00D347D0">
        <w:t>37</w:t>
      </w:r>
      <w:r w:rsidR="005346BC" w:rsidRPr="00D347D0">
        <w:t>.</w:t>
      </w:r>
      <w:r w:rsidR="005346BC" w:rsidRPr="00D347D0">
        <w:tab/>
        <w:t>subliniază că Uniunea trebuie să majoreze finanțarea pentru a consolida linia bugetară specifică din cadrul acțiunilor de politică externă ale Uniunii, în special pentru egalitatea de gen și Agenda privind femeile, pacea și securitatea (FPS), pentru a asigura finanțarea consecventă a inițiativelor care promovează o conducere ce ia în considerare dimensiunea de gen, care protejează drepturile femeilor și care combat violența sexuală și de gen în situații de conflict și post-conflict; accentuează că o astfel de finanțare este esențială pentru sprijinirea organizațiilor locale ale societății civile, pentru a oferi sprijin centrat pe supraviețuitori și pentru a integra perspectivele de gen în eforturile diplomatice și de securitate ale Uniunii;</w:t>
      </w:r>
    </w:p>
    <w:p w14:paraId="649E2EDF" w14:textId="016638BC" w:rsidR="005346BC" w:rsidRPr="00D347D0" w:rsidRDefault="000D3EB1" w:rsidP="005346BC">
      <w:pPr>
        <w:pStyle w:val="NormalHanging12a"/>
      </w:pPr>
      <w:r w:rsidRPr="00D347D0">
        <w:t>38</w:t>
      </w:r>
      <w:r w:rsidR="005346BC" w:rsidRPr="00D347D0">
        <w:t>.</w:t>
      </w:r>
      <w:r w:rsidR="005346BC" w:rsidRPr="00D347D0">
        <w:tab/>
        <w:t>consideră că misiunile de observare a alegerilor sunt un instrument practic și eficient de politică externă, care rămâne un element central al politicilor și strategiilor Uniunii de sprijinire a democrației; constată, astfel cum reiese din raportul de monitorizare, că SEAE nu are nicio perspectivă de a-și extinde activitatea de observare către țările candidate și vecine, deoarece misiunile de observare acoperă în mod adecvat aceste țări, fiind conduse de Biroul OSCE pentru Instituții Democratice și Drepturile Omului, care a utilizat o metodologie similară cu cea a Uniunii și care apelează adesea la experți din același grup de profesioniști; își reia, cu toate acestea, apelul adresat Uniunii de a asigura resurse adecvate, inclusiv expertiză în domeniul integrității informațiilor online și al riscurilor de ingerință în metodologiile de observare a alegerilor, pentru misiunile Uniunii de observare a alegerilor;</w:t>
      </w:r>
    </w:p>
    <w:p w14:paraId="237904BE" w14:textId="499B3EBE" w:rsidR="005346BC" w:rsidRPr="00D347D0" w:rsidRDefault="000D3EB1" w:rsidP="005346BC">
      <w:pPr>
        <w:pStyle w:val="NormalHanging12a"/>
      </w:pPr>
      <w:r w:rsidRPr="00D347D0">
        <w:t>39</w:t>
      </w:r>
      <w:r w:rsidR="005346BC" w:rsidRPr="00D347D0">
        <w:t>.</w:t>
      </w:r>
      <w:r w:rsidR="005346BC" w:rsidRPr="00D347D0">
        <w:tab/>
        <w:t>ia act cu satisfacție, astfel cum reiese din raportul de monitorizare, de eforturile Uniunii de a proteja copiii din regiunile afectate de conflicte prin intermediul delegațiilor sale în 2024; salută actualizarea din 2024 a Orientărilor Uniunii privind copiii și conflictele armate, care oferă un cadru pentru consolidarea protecției și prevenirea încălcărilor grave împotriva copiilor în timp de război;</w:t>
      </w:r>
    </w:p>
    <w:p w14:paraId="74B7BDCB" w14:textId="63C2CC93" w:rsidR="005346BC" w:rsidRPr="00D347D0" w:rsidRDefault="000D3EB1" w:rsidP="005346BC">
      <w:pPr>
        <w:pStyle w:val="NormalHanging12a"/>
      </w:pPr>
      <w:r w:rsidRPr="00D347D0">
        <w:t>40</w:t>
      </w:r>
      <w:r w:rsidR="005346BC" w:rsidRPr="00D347D0">
        <w:t>.</w:t>
      </w:r>
      <w:r w:rsidR="005346BC" w:rsidRPr="00D347D0">
        <w:tab/>
        <w:t>reamintește că în 2021, Parlamentul a propus un proiect-pilot intitulat „Către crearea Academiei Diplomatice Europene”, cu obiectivul de a crea o masă critică de diplomați europeni formați în domeniul relațiilor externe și al securității Uniunii și o cultură diplomatică europeană care să vizeze consolidarea rolului Uniunii de actor eficient în politica externă; constată că în prima fază a acestui proiect-pilot, care a acoperit anul universitar 2022-2023, au participat 42 de tineri diplomați, iar în cea de-a doua fază, care a acoperit anul universitar 2023-2024, au participat 50 de persoane; constată că în cea de-a doua fază s-au desfășurat două ediții identice ale unui curs cu durata de patru luni, urmate de o misiune de formare de o lună la sediul SEAE din Bruxelles; constată că cursurile și programele de formare au fost implementate de un consorțiu academic format din Colegiul Europei din Belgia (Bruges) și Polonia (</w:t>
      </w:r>
      <w:proofErr w:type="spellStart"/>
      <w:r w:rsidR="005346BC" w:rsidRPr="00D347D0">
        <w:t>Natolin</w:t>
      </w:r>
      <w:proofErr w:type="spellEnd"/>
      <w:r w:rsidR="005346BC" w:rsidRPr="00D347D0">
        <w:t xml:space="preserve">); constată, astfel cum reiese din chestionar, că, în conformitate cu contractul de servicii EEAS/2022/OP/0168-2023, Colegiul Europei a elaborat un raport final care conține evaluarea celei de-a doua faze a proiectului-pilot; invită SEAE să pună raportul la dispoziția autorității care acordă descărcarea de gestiune; constată, astfel cum reiese din raportul SEAE privind conturile anuale pentru anii 2022, 2023 și 2024, că în ceea ce </w:t>
      </w:r>
      <w:r w:rsidR="005346BC" w:rsidRPr="00D347D0">
        <w:lastRenderedPageBreak/>
        <w:t>privește execuția bugetară pentru fazele-pilot ale Academiei Diplomatice a UE, SEAE a plătit 831 000 EUR în 2022, 120 000 EUR în 2023 și 862 000 EUR în 2024; solicită SEAE să furnizeze Parlamentului, în contextul procedurii de descărcare de gestiune, copii ale tuturor documentelor referitoare la procedurile de achiziții publice desfășurate, contractele semnate și plățile efectuate în legătură cu faza 1 și faza 2 ale proiectului-pilot privind Academia Diplomatică a UE;</w:t>
      </w:r>
    </w:p>
    <w:p w14:paraId="47F90D9B" w14:textId="432F08A1" w:rsidR="005346BC" w:rsidRPr="00D347D0" w:rsidRDefault="000D3EB1" w:rsidP="005346BC">
      <w:pPr>
        <w:pStyle w:val="NormalHanging12a"/>
      </w:pPr>
      <w:r w:rsidRPr="00D347D0">
        <w:t>41</w:t>
      </w:r>
      <w:r w:rsidR="005346BC" w:rsidRPr="00D347D0">
        <w:t>.</w:t>
      </w:r>
      <w:r w:rsidR="005346BC" w:rsidRPr="00D347D0">
        <w:tab/>
        <w:t>constată, de asemenea, că la 21 mai 2024, bazându-se pe experiența și structura dezvoltate în fazele-pilot, Consiliul a adoptat o decizie de înființare a unei Academii Diplomatice a UE de sine stătătoare pentru patru ani universitari, începând cu 2024-2025, cursurile și activitățile de formare fiind încredințate Colegiului Europei, iar Academia Diplomatică a UE va funcționa sub responsabilitatea vicepreședintei/Înaltei Reprezentante, care va primi îndrumări din partea unui comitet director compus dintr-un reprezentant desemnat de fiecare stat membru, precum și din reprezentanți ai Parlamentului, Consiliului și Comisiei; constată, astfel cum reiese din decizia respectivă, că o sumă preconizată de 1,72 milioane EUR va acoperi perioada 1 iulie 2024-30 iunie 2025, întrucât gestionarea cheltuielilor legate de Academia Diplomatică a UE este supravegheată de Comisie prin intermediul Serviciului Instrumente de Politică Externă;</w:t>
      </w:r>
    </w:p>
    <w:p w14:paraId="388BCCB3" w14:textId="7E6AF189" w:rsidR="005346BC" w:rsidRPr="00D347D0" w:rsidRDefault="000D3EB1" w:rsidP="005346BC">
      <w:pPr>
        <w:pStyle w:val="NormalHanging12a"/>
      </w:pPr>
      <w:r w:rsidRPr="00D347D0">
        <w:t>42</w:t>
      </w:r>
      <w:r w:rsidR="005346BC" w:rsidRPr="00D347D0">
        <w:t>.</w:t>
      </w:r>
      <w:r w:rsidR="005346BC" w:rsidRPr="00D347D0">
        <w:tab/>
        <w:t xml:space="preserve">constată, în urma creării CGS în 2023, SEAE și-a actualizat cadrul de control intern în 2024 pentru a reflecta rolul directorului general pentru guvernanță și pentru a introduce un mecanism de monitorizare a controalelor interne; constată, pe baza chestionarului, că cadrul de control intern al SEAE este aliniat cu cel al Comisiei; ia act că, pe lângă evaluarea anuală standard a sistemului său de control intern, SEAE a efectuat, în 2024, un sondaj în rândul a 167 de respondenți/angajați, toți cu responsabilități de ordonatori de credite </w:t>
      </w:r>
      <w:proofErr w:type="spellStart"/>
      <w:r w:rsidR="005346BC" w:rsidRPr="00D347D0">
        <w:t>subdelegați</w:t>
      </w:r>
      <w:proofErr w:type="spellEnd"/>
      <w:r w:rsidR="005346BC" w:rsidRPr="00D347D0">
        <w:t xml:space="preserve">, iar rezultatele sondajului respectiv sunt discutate la nivel de conducere superioară în cadrul Comitetului de control intern al SEAE; constată că sondajul respectiv a evidențiat 183 de domenii care necesită atenție, în special în ceea ce privește provocările cu care se confruntă delegațiile Uniunii, cum ar fi informare legată de controalele interne și gestionarea riscurilor, recrutarea și menținerea personalului calificat și serviciile IT; salută faptul că SEAE a elaborat un plan de acțiune pentru a remedia probleme identificate și pentru a aborda în mod </w:t>
      </w:r>
      <w:proofErr w:type="spellStart"/>
      <w:r w:rsidR="005346BC" w:rsidRPr="00D347D0">
        <w:t>proactiv</w:t>
      </w:r>
      <w:proofErr w:type="spellEnd"/>
      <w:r w:rsidR="005346BC" w:rsidRPr="00D347D0">
        <w:t xml:space="preserve"> riscurile potențiale; invită SEAE să țină autoritatea care acordă descărcarea de gestiune la curent cu aceste chestiuni;</w:t>
      </w:r>
    </w:p>
    <w:p w14:paraId="6638BD40" w14:textId="67C107EF" w:rsidR="005346BC" w:rsidRPr="00D347D0" w:rsidRDefault="000D3EB1" w:rsidP="005346BC">
      <w:pPr>
        <w:pStyle w:val="NormalHanging12a"/>
      </w:pPr>
      <w:r w:rsidRPr="00D347D0">
        <w:t>43</w:t>
      </w:r>
      <w:r w:rsidR="005346BC" w:rsidRPr="00D347D0">
        <w:t>.</w:t>
      </w:r>
      <w:r w:rsidR="005346BC" w:rsidRPr="00D347D0">
        <w:tab/>
        <w:t>încurajează SEAE să consolideze controalele interne și sistemele de gestionare a documentelor, abordând deficiențele identificate de Curte, în special pe cele referitoare la gestionarea informațiilor și la rapoartele prezentate de delegațiile Uniunii;</w:t>
      </w:r>
    </w:p>
    <w:p w14:paraId="29C1325E" w14:textId="735A3CB4" w:rsidR="005346BC" w:rsidRPr="00D347D0" w:rsidRDefault="000D3EB1" w:rsidP="005346BC">
      <w:pPr>
        <w:pStyle w:val="NormalHanging12a"/>
      </w:pPr>
      <w:r w:rsidRPr="00D347D0">
        <w:t>44</w:t>
      </w:r>
      <w:r w:rsidR="005346BC" w:rsidRPr="00D347D0">
        <w:t>.</w:t>
      </w:r>
      <w:r w:rsidR="005346BC" w:rsidRPr="00D347D0">
        <w:tab/>
        <w:t xml:space="preserve">constată că SEAE utilizează două moduri de verificare ex ante în ceea ce privește tranzacțiile financiare (angajamente, plăți și ordine de recuperare); constată că un tip de verificare ex ante este descentralizat, adică este efectuat independent de ordonatorul de credite </w:t>
      </w:r>
      <w:proofErr w:type="spellStart"/>
      <w:r w:rsidR="005346BC" w:rsidRPr="00D347D0">
        <w:t>subdelegat</w:t>
      </w:r>
      <w:proofErr w:type="spellEnd"/>
      <w:r w:rsidR="005346BC" w:rsidRPr="00D347D0">
        <w:t xml:space="preserve"> responsabil, pentru plățile legate de facturi a căror valoare se situează (începând cu 2024) sub 15 000; ia act că, pentru toate celelalte tranzacții financiare, verificarea ex ante este asigurată intern de către diviziile operaționale sau de către delegațiile Uniunii; constată că și pentru procedurile de achiziții publice există două modalități de verificare ex ante: o modalitate pentru contractele a căror valoare este mai mare sau egală cu pragurile prevăzute în Directiva 2014/24/UE, gestionate independent de ordonatorul de credite </w:t>
      </w:r>
      <w:proofErr w:type="spellStart"/>
      <w:r w:rsidR="005346BC" w:rsidRPr="00D347D0">
        <w:t>subdelegat</w:t>
      </w:r>
      <w:proofErr w:type="spellEnd"/>
      <w:r w:rsidR="005346BC" w:rsidRPr="00D347D0">
        <w:t xml:space="preserve"> din departamentul responsabil de dosarul de achiziții publice și o altă modalitate asigurată intern, de către departamentul responsabil, </w:t>
      </w:r>
      <w:r w:rsidR="005346BC" w:rsidRPr="00D347D0">
        <w:lastRenderedPageBreak/>
        <w:t>pentru contractele de valoare (foarte) mică și medie;</w:t>
      </w:r>
    </w:p>
    <w:p w14:paraId="73B60C1F" w14:textId="5AF81312" w:rsidR="005346BC" w:rsidRPr="00D347D0" w:rsidRDefault="000D3EB1" w:rsidP="005346BC">
      <w:pPr>
        <w:pStyle w:val="NormalHanging12a"/>
      </w:pPr>
      <w:r w:rsidRPr="00D347D0">
        <w:t>45</w:t>
      </w:r>
      <w:r w:rsidR="005346BC" w:rsidRPr="00D347D0">
        <w:t>.</w:t>
      </w:r>
      <w:r w:rsidR="005346BC" w:rsidRPr="00D347D0">
        <w:tab/>
        <w:t>constată că, în cazul erorilor financiare, rata de eroare detectată corespunde erorilor detectate prin controale ex post (după efectuarea plății/recuperării), care alimentează o eroare reziduală ce reflectă, de asemenea, erori care ar putea afecta și cheltuielile și veniturile necontrolate; ia act de faptul că, în 2024, rata de eroare financiară reziduală pentru cheltuielile SEAE a fost de 0,03 %, iar pentru venituri, de 0,05 %; ia act, în ceea ce privește erorile legate de achiziții, de faptul că SEAE și-a actualizat metodologia de control ex post în 2024, aliniind-o astfel la abordarea Comisiei în ceea ce privește calcularea erorilor legate de achiziții, care elimină noțiunea de eroare reziduală, întrucât impactul financiar al erorilor legate de achiziții nu poate fi cuantificat în același mod în care se cuantifică erorile financiare; constată că, pe baza acestei noi metodologii, valoarea erorilor legate de achiziții publice detectate a fost de 49 774 108 EUR în 2024 (în creștere față de 23 392 948 EUR în 2023) sau 4,32 % din populația auditată în 2024 (în creștere față de 2,07</w:t>
      </w:r>
      <w:r w:rsidR="00694B76" w:rsidRPr="00D347D0">
        <w:t> </w:t>
      </w:r>
      <w:r w:rsidR="005346BC" w:rsidRPr="00D347D0">
        <w:t>% în 2023);</w:t>
      </w:r>
    </w:p>
    <w:p w14:paraId="29FC0882" w14:textId="7A008AFA" w:rsidR="005346BC" w:rsidRPr="00D347D0" w:rsidRDefault="000D3EB1" w:rsidP="005346BC">
      <w:pPr>
        <w:pStyle w:val="NormalHanging12a"/>
      </w:pPr>
      <w:r w:rsidRPr="00D347D0">
        <w:t>46</w:t>
      </w:r>
      <w:r w:rsidR="005346BC" w:rsidRPr="00D347D0">
        <w:t>.</w:t>
      </w:r>
      <w:r w:rsidR="005346BC" w:rsidRPr="00D347D0">
        <w:tab/>
        <w:t>ia act cu satisfacție că SEAE a înregistrat progrese concrete în 2024 în punerea în aplicare a recomandărilor restante formulate de diverse organisme, precum Divizia de audit intern (IAD) a SEAE, Serviciul de audit intern (IAS) al Comisiei și Curtea de Conturi; recunoaște rolul Comitetului de monitorizare a auditurilor SEAE în asigurarea independenței IAD și în monitorizarea calității activității de audit intern și a progreselor înregistrate în ceea ce privește urmărirea recomandărilor de audit intern și extern;</w:t>
      </w:r>
    </w:p>
    <w:p w14:paraId="44DF37D2" w14:textId="01E0992D" w:rsidR="005346BC" w:rsidRPr="00D347D0" w:rsidRDefault="000D3EB1" w:rsidP="005346BC">
      <w:pPr>
        <w:pStyle w:val="NormalHanging12a"/>
      </w:pPr>
      <w:r w:rsidRPr="00D347D0">
        <w:t>47</w:t>
      </w:r>
      <w:r w:rsidR="005346BC" w:rsidRPr="00D347D0">
        <w:t>.</w:t>
      </w:r>
      <w:r w:rsidR="005346BC" w:rsidRPr="00D347D0">
        <w:tab/>
        <w:t>ia act, în ceea ce privește auditurile efectuate de IAD, că numărul recomandărilor deschise a fost redus de la patru recomandări critice și 49 de recomandări foarte importante la trei recomandări critice și 32 de recomandări foarte importante și că au fost revizuite trei planuri de acțiune, dintre care unul a fost acceptat ca fiind satisfăcător; ia act de faptul că recomandările critice rămase sunt legate de auditul privind „Gestionarea clădirii Delegației UE de la Washington”, care a fost amânat din cauza unor probleme juridice, iar 13 dintre cele 32 de recomandări foarte importante rămase sunt legate de auditul privind „Fluxurile de informații dintre SEAE, DG HR și PMO”; observă, de asemenea, că IAD a lansat o analiză consultativă a proceselor de achiziții publice de la sediul central, a inițiat o evaluare strategică a riscurilor, a efectuat analize comparative cu alte instituții ale Uniunii, și-a actualizat Carta misiunii, finalizând astfel planul de audit multianual 2022-2024 și a luat măsurile necesare pentru a-și pregăti noul plan de audit strategic care începe în 2025;</w:t>
      </w:r>
    </w:p>
    <w:p w14:paraId="426D4FE7" w14:textId="20610CAC" w:rsidR="005346BC" w:rsidRPr="00D347D0" w:rsidRDefault="000D3EB1" w:rsidP="005346BC">
      <w:pPr>
        <w:pStyle w:val="NormalHanging12a"/>
      </w:pPr>
      <w:r w:rsidRPr="00D347D0">
        <w:t>48</w:t>
      </w:r>
      <w:r w:rsidR="005346BC" w:rsidRPr="00D347D0">
        <w:t>.</w:t>
      </w:r>
      <w:r w:rsidR="005346BC" w:rsidRPr="00D347D0">
        <w:tab/>
        <w:t>observă că IAS a finalizat două audituri privind alocarea resurselor umane și strategia antifraudă a SEAE, cu planuri de acțiune în curs de punere în aplicare, și a lansat un nou audit privind controalele ex post la sfârșitul anului 2024, a cărui activitate operațională a continuat în 2025; invită SEAE să informeze autoritatea care acordă descărcarea de gestiune cu privire la progresele înregistrate în ceea ce privește punerea în aplicare a recomandărilor IAS care sunt încă deschise ca urmare a „Auditului privind procesul de achiziții publice și monitorizarea contractelor în cadrul SEAE”, lansat în 2022;</w:t>
      </w:r>
    </w:p>
    <w:p w14:paraId="769F17DF" w14:textId="462FD43D" w:rsidR="005346BC" w:rsidRPr="00D347D0" w:rsidRDefault="000D3EB1" w:rsidP="005346BC">
      <w:pPr>
        <w:pStyle w:val="NormalHanging12a"/>
      </w:pPr>
      <w:r w:rsidRPr="00D347D0">
        <w:t>49</w:t>
      </w:r>
      <w:r w:rsidR="005346BC" w:rsidRPr="00D347D0">
        <w:t>.</w:t>
      </w:r>
      <w:r w:rsidR="005346BC" w:rsidRPr="00D347D0">
        <w:tab/>
        <w:t xml:space="preserve">ia act, astfel cum reiese din Raportul anual de activitate al SEAE (denumit în continuare „raportul SEAE 2024”) pentru 2024, că operațiunile fiecărei delegații a Uniunii sunt evaluate periodic (o dată la 4-5 ani) prin misiuni de inspecție și exerciții instituționale strategice; constată că 26 de delegații ale Uniunii au fost inspectate în 2024, ceea ce a dus la formularea a 1 000 de recomandări și avize adresate delegațiilor Uniunii inspectate și serviciilor de la sediul central, inclusiv șase recomandări critice și </w:t>
      </w:r>
      <w:r w:rsidR="005346BC" w:rsidRPr="00D347D0">
        <w:lastRenderedPageBreak/>
        <w:t>aproximativ 100 de recomandări foarte importante; ia act cu îngrijorare, astfel cum reiese din chestionar, că două delegații ale Uniunii au primit recomandări critice privind managementul intern; salută faptul că SEAE a aplicat o monitorizare strictă în ambele cazuri și, deși o inspecție rămâne deschisă din cauza complexității sale, SEAE sprijină activ delegația în soluționarea problemelor nerezolvate și în punerea în aplicare a măsurilor corective necesare;</w:t>
      </w:r>
    </w:p>
    <w:p w14:paraId="5063C6BD" w14:textId="33EE0A04" w:rsidR="005346BC" w:rsidRPr="00D347D0" w:rsidRDefault="000D3EB1" w:rsidP="005346BC">
      <w:pPr>
        <w:pStyle w:val="NormalHanging12a"/>
      </w:pPr>
      <w:r w:rsidRPr="00D347D0">
        <w:t>50</w:t>
      </w:r>
      <w:r w:rsidR="005346BC" w:rsidRPr="00D347D0">
        <w:t>.</w:t>
      </w:r>
      <w:r w:rsidR="005346BC" w:rsidRPr="00D347D0">
        <w:tab/>
        <w:t>constată că SEAE respectă în mare măsură calendarul cu termenul-limită stabilit de Curte pentru sfârșitul anului 2025 în ceea ce privește punerea în aplicare a recomandărilor din Raportul special nr. 02/2024 al Curții intitulat „Rolul de coordonare al Serviciului European de Acțiune Externă”; recunoaște că toți șefii de delegație nou-numiți au primit scrisori de misiune în 2024 și 2025 și că mecanismele îmbunătățite de feedback și procesul Planului anual de management au consolidat coordonarea dintre sediul central și delegațiile Uniunii; salută punerea în aplicare în curs a strategiei de gestionare a informațiilor SEAE, inclusiv lansarea completă a platformei de colaborare HIVE, utilizată de peste 16 500 de angajați; ia act de continuarea activității cu Comisia, Consiliul și statele membre privind îmbunătățirea interoperabilității și de avansarea discuțiilor privind o clasificare standardizată a securității; ia act, de asemenea, de finalizarea evaluării volumului de muncă al delegațiilor Uniunii în septembrie 2024, care a stat la baza acordului politic ulterior privind modernizarea rețelei de delegații ale Uniunii în mai 2025; ia act de statutul SEAE de „serviciu asociat” în auditurile efectuate de Curte, întrucât în 2024 au fost finalizate patru audituri (rapoartele speciale nr. 17/2024, 18/2024, 06/2024 și 04/2025), iar în 2024 au fost lansate două audituri (rapoartele speciale nr. 17/2025, 20/2025), care au fost finalizate în 2025; ia act, în acest context, cu satisfacție, de buna cooperare a SEAE cu direcțiile generale ale Comisiei vizate de aceste audituri;</w:t>
      </w:r>
    </w:p>
    <w:p w14:paraId="1ECC1CE6" w14:textId="77777777" w:rsidR="005346BC" w:rsidRPr="00D347D0" w:rsidRDefault="005346BC" w:rsidP="005346BC">
      <w:pPr>
        <w:pStyle w:val="NormalHanging12a"/>
        <w:rPr>
          <w:b/>
          <w:bCs/>
          <w:i/>
          <w:iCs/>
        </w:rPr>
      </w:pPr>
      <w:r w:rsidRPr="00D347D0">
        <w:rPr>
          <w:b/>
          <w:i/>
        </w:rPr>
        <w:t>Resursele umane, egalitatea și starea de bine a personalului</w:t>
      </w:r>
    </w:p>
    <w:p w14:paraId="177D6E09" w14:textId="4E031DD5" w:rsidR="005346BC" w:rsidRPr="00D347D0" w:rsidRDefault="000D3EB1" w:rsidP="005346BC">
      <w:pPr>
        <w:pStyle w:val="NormalHanging12a"/>
      </w:pPr>
      <w:r w:rsidRPr="00D347D0">
        <w:t>51</w:t>
      </w:r>
      <w:r w:rsidR="005346BC" w:rsidRPr="00D347D0">
        <w:t>.</w:t>
      </w:r>
      <w:r w:rsidR="005346BC" w:rsidRPr="00D347D0">
        <w:tab/>
        <w:t>ia act că în 2024 SEAE avea în total, excluzând personalul local, 2 902 angajați, dintre care 1 268 de funcționari, 442 de agenți temporari, 619 agenți contractuali și 573 de experți naționali detașați, comparativ cu 2 812 angajați în 2023, dintre care 1 245 de funcționari, 450 de agenți temporari, 603 agenți contractuali și 514 experți naționali detașați; reamintește că este important să se ofere contracte permanente pentru a menține competențele, continuitatea și un mediu de lucru productiv;</w:t>
      </w:r>
    </w:p>
    <w:p w14:paraId="41F317E0" w14:textId="689C612C" w:rsidR="005346BC" w:rsidRPr="00D347D0" w:rsidRDefault="000D3EB1" w:rsidP="005346BC">
      <w:pPr>
        <w:pStyle w:val="NormalHanging12a"/>
      </w:pPr>
      <w:r w:rsidRPr="00D347D0">
        <w:t>52</w:t>
      </w:r>
      <w:r w:rsidR="005346BC" w:rsidRPr="00D347D0">
        <w:t>.</w:t>
      </w:r>
      <w:r w:rsidR="005346BC" w:rsidRPr="00D347D0">
        <w:tab/>
        <w:t xml:space="preserve">ia act din raportul SEAE din 2024 că, la sfârșitul anului 2024, dintr-un total de 5 355 de persoane care lucrau în cadrul SEAE, 47 % lucrau la sediul SEAE și 53 % în delegațiile Uniunii, 1 622 dintre aceste persoane fiind agenți locali în delegațiile Uniunii; ia act de faptul că, în timpul audierii, deputații din Parlamentul European și-au exprimat îngrijorarea cu privire la presupusa concediere a personalului local din anumite delegații ale Uniunii fără respectarea legislației muncii aplicabile la nivel local; constată că, în urma audierii respective, membrii Comisiei CONT au prezentat întrebări scrise suplimentare; ia act, pe baza răspunsurilor SEAE la aceste întrebări („al doilea chestionar”), că, la 14 mai 2025, grupul comisarilor pentru proiectul referitor la acțiunea externă a aprobat un proiect de modernizare a rețelei delegațiilor Uniunii; constată că implementarea acestui proiect implică, printre altele, centralizarea funcțiilor financiare și legate de contracte și de audit pentru cele șase delegații ale Uniunii în Balcanii de Vest la sediul DG Extindere și Vecinătate Estică, precum și o reducere a numărului de angajați care lucrează în domeniul financiar și contractual în cadrul acestor delegații ale Uniunii, pe baza evaluărilor efectuate în consultare cu consilierii juridici; ia act, în ceea </w:t>
      </w:r>
      <w:r w:rsidR="005346BC" w:rsidRPr="00D347D0">
        <w:lastRenderedPageBreak/>
        <w:t>ce privește pachetul de concediere, că SEAE susține că toate drepturile prevăzute de legislația locală și de normele interne ale Uniunii au fost respectate, pachetele financiare pentru concedierea din motive economice fiind cele mai favorabile dintre cele prevăzute de legislația locală și de legislația Uniunii, și aceasta în pofida preocupărilor exprimate de agenții locali din delegațiile relevante ale Uniunii; constată, de asemenea, că SEAE, în colaborare cu Comisia, cooperează îndeaproape cu firme de avocatură locale care oferă îndrumări cu privire la orice cerințe legale locale, asigurând astfel punerea în aplicare a procesului de concediere în deplină conformitate cu legislația muncii locală aplicabilă; solicită SEAE să consulte în toate privințele reprezentantul personalului local atunci când elaborează planul de concediere pentru personalul local; constată cu îngrijorare că, astfel cum reiese din răspunsurile din chestionar, în cazul în care o delegație a Uniunii este mutată într-o altă țară, cum ar fi în cazul unei evacuări (de exemplu, mutarea biroului secundar din Sudan în Egipt), agenții locali angajați în țara de origine sunt concediați, rămânând fără securitate; solicită SEAE să găsească soluții viabile pentru securitatea și siguranța personalului local care a lucrat cu loialitate în delegațiile Uniunii;</w:t>
      </w:r>
    </w:p>
    <w:p w14:paraId="25E7C697" w14:textId="5248CB4C" w:rsidR="005346BC" w:rsidRPr="00D347D0" w:rsidRDefault="000D3EB1" w:rsidP="005346BC">
      <w:pPr>
        <w:pStyle w:val="NormalHanging12a"/>
        <w:rPr>
          <w:bCs/>
          <w:iCs/>
        </w:rPr>
      </w:pPr>
      <w:r w:rsidRPr="00D347D0">
        <w:t>53</w:t>
      </w:r>
      <w:r w:rsidR="005346BC" w:rsidRPr="00D347D0">
        <w:t>.</w:t>
      </w:r>
      <w:r w:rsidR="005346BC" w:rsidRPr="00D347D0">
        <w:tab/>
        <w:t>își exprimă îngrijorarea serioasă cu privire la rapoartele privind dialogul social insuficient și includerea reprezentanților protejați ai personalului printre agenții locali afectați de concedieri în anumite delegații ale Uniunii; reamintește că respectarea legislației locale a muncii, a obligațiilor privind dialogul social și protecția reprezentanților personalului reprezintă elemente esențiale ale unei administrații solide și ale credibilității Uniunii ca angajator;</w:t>
      </w:r>
    </w:p>
    <w:p w14:paraId="47BA5D01" w14:textId="4DABF52E" w:rsidR="005346BC" w:rsidRPr="00D347D0" w:rsidRDefault="000D3EB1" w:rsidP="005346BC">
      <w:pPr>
        <w:pStyle w:val="NormalHanging12a"/>
        <w:rPr>
          <w:bCs/>
          <w:iCs/>
        </w:rPr>
      </w:pPr>
      <w:r w:rsidRPr="00D347D0">
        <w:t>54</w:t>
      </w:r>
      <w:r w:rsidR="005346BC" w:rsidRPr="00D347D0">
        <w:t>.</w:t>
      </w:r>
      <w:r w:rsidR="005346BC" w:rsidRPr="00D347D0">
        <w:tab/>
        <w:t xml:space="preserve">subliniază că orice restructurare, relocare sau concediere care afectează personalul local trebuie să fie precedată de consultări semnificative cu reprezentanții personalului și să fie însoțită de măsuri concrete pentru a proteja drepturile, securitatea și demnitatea agenților locali, îndeosebi în contexte de criză sau de evacuare; solicită SEAE să evalueze și să raporteze autorității care acordă descărcarea de gestiune cu privire la eficiența reducerilor de personal comparativ cu soluțiile organizatorice alternative, inclusiv impactul financiar, operațional și </w:t>
      </w:r>
      <w:proofErr w:type="spellStart"/>
      <w:r w:rsidR="005346BC" w:rsidRPr="00D347D0">
        <w:t>reputațional</w:t>
      </w:r>
      <w:proofErr w:type="spellEnd"/>
      <w:r w:rsidR="005346BC" w:rsidRPr="00D347D0">
        <w:t xml:space="preserve"> pe termen lung al concedierilor care afectează personalul local;</w:t>
      </w:r>
    </w:p>
    <w:p w14:paraId="538EDA83" w14:textId="58E9C5FE" w:rsidR="005346BC" w:rsidRPr="00D347D0" w:rsidRDefault="000D3EB1" w:rsidP="005346BC">
      <w:pPr>
        <w:pStyle w:val="NormalHanging12a"/>
      </w:pPr>
      <w:r w:rsidRPr="00D347D0">
        <w:t>55</w:t>
      </w:r>
      <w:r w:rsidR="005346BC" w:rsidRPr="00D347D0">
        <w:t>.</w:t>
      </w:r>
      <w:r w:rsidR="005346BC" w:rsidRPr="00D347D0">
        <w:tab/>
        <w:t>invită SEAE să îmbunătățească în continuare securitatea delegațiilor Uniunii, inclusiv securitatea cibernetică și fizică și capacitățile de evacuare în situații de criză, și să prezinte sistematic rapoarte cu privire la progresele înregistrate și la vulnerabilitățile care nu au fost încă soluționate;</w:t>
      </w:r>
    </w:p>
    <w:p w14:paraId="2A61A3B1" w14:textId="1B5D8AC6" w:rsidR="005346BC" w:rsidRPr="00D347D0" w:rsidRDefault="000D3EB1" w:rsidP="005346BC">
      <w:pPr>
        <w:pStyle w:val="NormalHanging12a"/>
      </w:pPr>
      <w:r w:rsidRPr="00D347D0">
        <w:t>56</w:t>
      </w:r>
      <w:r w:rsidR="005346BC" w:rsidRPr="00D347D0">
        <w:t>.</w:t>
      </w:r>
      <w:r w:rsidR="005346BC" w:rsidRPr="00D347D0">
        <w:tab/>
        <w:t xml:space="preserve">ia act că, în 2024, 46,60 % din totalul personalului SEAE era format din femei (față de 46,80 % în 2023); ia act, în ceea ce privește reprezentarea femeilor și posturile ocupate de acestea în cadrul SEAE în 2024, că 40 % erau administratoare, 63,78 % erau asistente, 73,25 % erau secretare adjuncte, 56,70 % erau agente contractuale și 26,87 % erau experte naționale detașate; ia act cu satisfacție de eforturile depuse de instituție pentru a obține o reprezentare mai mare a femeilor în funcții de conducere, astfel cum reiese din raportul SEAE din 2024; constată, în acest context, o tendință ascendentă în ceea ce privește posturile de conducere superioară, cu 37,30 % femei în 2024 (față de 31 % în 2023), dar o ușoară scădere în ceea ce privește posturile de conducere de nivel mediu, cu 38,70 % femei în 2024 (față de 40,40 % în 2023); salută creșterea reprezentării femeilor în funcțiile de șefe de delegație de la 35,50 % în 2023 la 36,10 % în 2024; salută creșterea treptată a numărului de femei în funcții de conducere în cadrul SEAE, subliniind totodată că femeile continuă să fie subreprezentate la nivel AD </w:t>
      </w:r>
      <w:r w:rsidR="005346BC" w:rsidRPr="00D347D0">
        <w:lastRenderedPageBreak/>
        <w:t>(administrator) și suprareprezentate la nivel AST (asistent), iar echilibrul de gen în funcțiile de conducere de nivel mediu și superior, atât la sediul central, cât și în delegațiile Uniunii, nu a fost încă pe deplin realizat; subliniază că, deși trebuie asigurată egalitatea de șanse pentru personalul din organismele instituțiilor, trebuie menținute excelența și profesionalismul în cadrul SEAE;</w:t>
      </w:r>
    </w:p>
    <w:p w14:paraId="7ED17771" w14:textId="6EA19E2D" w:rsidR="005346BC" w:rsidRPr="00D347D0" w:rsidRDefault="000D3EB1" w:rsidP="005346BC">
      <w:pPr>
        <w:pStyle w:val="NormalHanging12a"/>
      </w:pPr>
      <w:r w:rsidRPr="00D347D0">
        <w:t>57</w:t>
      </w:r>
      <w:r w:rsidR="005346BC" w:rsidRPr="00D347D0">
        <w:t>.</w:t>
      </w:r>
      <w:r w:rsidR="005346BC" w:rsidRPr="00D347D0">
        <w:tab/>
        <w:t>ia act, din raportul de monitorizare, de eforturile SEAE de a încuraja mai multe persoane aparținând genului subreprezentat să candideze; salută, în acest context, organizarea în 2024 a patru activități de formare pentru directori privind o conducere care ia în considerare dimensiunea de gen („</w:t>
      </w:r>
      <w:proofErr w:type="spellStart"/>
      <w:r w:rsidR="005346BC" w:rsidRPr="00D347D0">
        <w:t>gender-responsive</w:t>
      </w:r>
      <w:proofErr w:type="spellEnd"/>
      <w:r w:rsidR="005346BC" w:rsidRPr="00D347D0">
        <w:t xml:space="preserve"> leadership” - GRL), la care au participat 80 % dintre managerii de nivel superior ai SEAE, precum și a unui program complet de 29 de ore în decurs de patru luni privind GRL pentru 13 manageri, dintre care patru din delegațiile Uniunii; ia act, de asemenea, de faptul că SEAE a înființat noua sa rețea de puncte de contact pentru egalitatea de gen și a creat un grup operativ privind Convenția de la Istanbul, care a prezentat în 2024 un raport intermediar cu un plan de acțiune; ia act de activitatea Ambasadoarei Uniunii pentru gen și diversitate în materie de integrare a perspectivei de gen în dialogurile privind drepturile omului și în declarațiile și rezoluțiile multilaterale cheie; invită SEAE să continue să furnizeze actualizări cu privire la cele mai recente evoluții ale GAP pentru perioada 2021-2025 și la acțiunile întreprinse pentru a continua promovarea participării femeilor la toate dialogurile diplomatice și politice;</w:t>
      </w:r>
    </w:p>
    <w:p w14:paraId="44E02874" w14:textId="493E12CB" w:rsidR="005346BC" w:rsidRPr="00D347D0" w:rsidRDefault="000D3EB1" w:rsidP="005346BC">
      <w:pPr>
        <w:pStyle w:val="NormalHanging12a"/>
        <w:rPr>
          <w:bCs/>
          <w:iCs/>
        </w:rPr>
      </w:pPr>
      <w:r w:rsidRPr="00D347D0">
        <w:t>58</w:t>
      </w:r>
      <w:r w:rsidR="005346BC" w:rsidRPr="00D347D0">
        <w:t>.</w:t>
      </w:r>
      <w:r w:rsidR="005346BC" w:rsidRPr="00D347D0">
        <w:tab/>
        <w:t>ia act de eforturile depuse de SEAE pentru a avea o forță de muncă diversă și reprezentativă; regretă totuși lipsa persistentă a echilibrului geografic și a diversității regionale în cadrul SEAE, inclusiv în funcțiile de conducere și în funcțiile-cheie de la sediul central; ia act de faptul că, la sfârșitul anului 2024, trei state membre (un stat membru în 2025) continuau să nu aibă niciun ambasador al Uniunii, în timp ce ambasadorii din cinci state membre ocupau 56 % din totalul posturilor de ambasadori ai Uniunii (144), față de 54 % în 2023; subliniază că un serviciu diplomatic al UE trebuie să reflecte diversitatea Uniunii, pentru a consolida legitimitatea, cunoștințele locale și eficacitatea; solicită SEAE ca, în cooperare cu Oficiul European pentru Selecția Personalului (EPSO) și cu serviciile Comisiei responsabile de politica de selecție a personalului, să intensifice acțiunile de comunicare și promovare orientate către statele membre subreprezentate (inclusiv activități de informare și recrutare pentru „țările-țintă”), să extindă baza de selecție prin stagii, programe pentru tineri profesioniști și detașări structurate, precum și să îmbunătățească echitatea în cadrul procedurilor interne de selecție prin comisii de selecție cu o componență diversă, prin criterii transparente și mecanisme de mentorat/sponsorizare pentru grupurile subreprezentate; reamintește că recrutarea trebuie să fie în continuare bazată pe merit și în conformitate cu dreptul Uniunii;</w:t>
      </w:r>
    </w:p>
    <w:p w14:paraId="667CD476" w14:textId="6D63C5B1" w:rsidR="005346BC" w:rsidRPr="00D347D0" w:rsidRDefault="000D3EB1" w:rsidP="005346BC">
      <w:pPr>
        <w:pStyle w:val="NormalHanging12a"/>
      </w:pPr>
      <w:r w:rsidRPr="00D347D0">
        <w:t>59</w:t>
      </w:r>
      <w:r w:rsidR="005346BC" w:rsidRPr="00D347D0">
        <w:t>.</w:t>
      </w:r>
      <w:r w:rsidR="005346BC" w:rsidRPr="00D347D0">
        <w:tab/>
        <w:t>constată că, la sfârșitul anului 2024, rata de ocupare a posturilor din schema de personal a SEAE era de 95,3 % (față de 96,7 % în 2023); ia act, în plus, de faptul că rata de rotație a personalului din cadrul SEAE a ajuns la 12,07 % în 2024 (10,15 % în 2023); observă că această creștere reflectă structura specifică a SEAE ca serviciu diplomatic, caracterizată prin rotații periodice ale personalului din corpul diplomatic al statelor membre și din alte instituții ale Uniunii, precum și prin aplicarea unei politici stabile de personal;</w:t>
      </w:r>
    </w:p>
    <w:p w14:paraId="5DEFA967" w14:textId="27A4103D" w:rsidR="005346BC" w:rsidRPr="00D347D0" w:rsidRDefault="000D3EB1" w:rsidP="005346BC">
      <w:pPr>
        <w:pStyle w:val="NormalHanging12a"/>
      </w:pPr>
      <w:r w:rsidRPr="00D347D0">
        <w:t>60</w:t>
      </w:r>
      <w:r w:rsidR="005346BC" w:rsidRPr="00D347D0">
        <w:t>.</w:t>
      </w:r>
      <w:r w:rsidR="005346BC" w:rsidRPr="00D347D0">
        <w:tab/>
        <w:t xml:space="preserve">ia act de faptul că se lucrează la actualizarea deciziei din 2014 privind experții naționali detașați, textul revizuit urmând să fie publicat în 2025; observă că SEAE și-a continuat </w:t>
      </w:r>
      <w:r w:rsidR="005346BC" w:rsidRPr="00D347D0">
        <w:lastRenderedPageBreak/>
        <w:t xml:space="preserve">programele de stagii prin găzduirea a 62 de stagiari Blue </w:t>
      </w:r>
      <w:proofErr w:type="spellStart"/>
      <w:r w:rsidR="005346BC" w:rsidRPr="00D347D0">
        <w:t>Book</w:t>
      </w:r>
      <w:proofErr w:type="spellEnd"/>
      <w:r w:rsidR="005346BC" w:rsidRPr="00D347D0">
        <w:t xml:space="preserve"> la sediul central și a 566 de stagiari în 106 delegații ale Uniunii în 2024; ia act de faptul că 531 de stagiari din ultima categorie au fost plătiți fie de SEAE, fie de alte instituții, în timp ce pentru 35 de studenți cărora nu li s-au plătit burse de stagiu stagiul a fost obligatoriu ca parte a programului lor de studii; remarcă, de asemenea, că SEAE a continuat și cea de-a șaptea rundă a programului „Profesioniști tineri în delegații” (JPD) pentru perioada 2023-2025, cu 67 de JPD plasați în delegațiile Uniunii;</w:t>
      </w:r>
    </w:p>
    <w:p w14:paraId="4E42BBE5" w14:textId="5C0FAE3A" w:rsidR="005346BC" w:rsidRPr="00D347D0" w:rsidRDefault="000D3EB1" w:rsidP="005346BC">
      <w:pPr>
        <w:pStyle w:val="NormalHanging12a"/>
      </w:pPr>
      <w:r w:rsidRPr="00D347D0">
        <w:t>61</w:t>
      </w:r>
      <w:r w:rsidR="005346BC" w:rsidRPr="00D347D0">
        <w:t>.</w:t>
      </w:r>
      <w:r w:rsidR="005346BC" w:rsidRPr="00D347D0">
        <w:tab/>
        <w:t>constată că în 2024 SEAE a continuat să consolideze un mediu de lucru sigur, respectuos și etic; salută accesibilitatea extinsă a cursurilor obligatorii online privind respectul și demnitatea la locul de muncă, care au scopul de a recunoaște și combate hărțuirea, 1 900 de angajați absolvind cursul în 2024; salută faptul că 57 % dintre manageri au participat la cursuri de formare obligatorii similare în 2024; felicită SEAE pentru că a oferit cursuri de formare privind reziliența și gestionarea traumelor pentru personalul din zonele de criză și pentru ofițerii de securitate regională în 2024; salută, de asemenea, adoptarea unei decizii prin care protecția împotriva hărțuirii psihologice și sexuale este extinsă la personalul local din delegațiile Uniunii, care are acum acces la procedurile formale ale SEAE în caz de acuzații de hărțuire;</w:t>
      </w:r>
    </w:p>
    <w:p w14:paraId="712F141C" w14:textId="609BDE81" w:rsidR="005346BC" w:rsidRPr="00D347D0" w:rsidRDefault="000D3EB1" w:rsidP="005346BC">
      <w:pPr>
        <w:pStyle w:val="NormalHanging12a"/>
      </w:pPr>
      <w:r w:rsidRPr="00D347D0">
        <w:t>62</w:t>
      </w:r>
      <w:r w:rsidR="005346BC" w:rsidRPr="00D347D0">
        <w:t>.</w:t>
      </w:r>
      <w:r w:rsidR="005346BC" w:rsidRPr="00D347D0">
        <w:tab/>
        <w:t>ia act cu satisfacție de măsurile luate de SEAE în 2024 în cadrul Agendei sale pentru diversitate și incluziune pentru perioada 2023-2025, în special de măsurile specifice destinate grupurilor de persoane definite în funcție de gen, etnie, dizabilitate, vârstă și apartenență la comunitatea LGBTIQ+; ia act, în acest context, de faptul că SEAE a integrat teme legate de diversitate și incluziune în activitățile de formare, a furnizat informații personalului LGBTIQ+ cu privire la situația juridică și culturală din țările în care detașează personal și și-a consolidat eforturile legate de diversitate în procesul de recrutare; felicită, de asemenea, SEAE pentru că și-a actualizat Planul de acțiune privind persoanele cu dizabilități, că a realizat un sondaj privind aspecte legate de dizabilități, a elaborat fișe informative privind accesibilitatea în delegațiile Uniunii, a efectuat o evaluare a accesibilității site-ului său web și a acordat ajutor financiar pentru cheltuieli nemedicale pentru 26 de angajați care au copii cu dizabilități; invită SEAE să continue formarea periodică a personalului de conducere și a personalului fără funcții de conducere cu privire la aspecte legate de diversitate, echitate, incluziune și apartenență;</w:t>
      </w:r>
    </w:p>
    <w:p w14:paraId="362360CC" w14:textId="56B3E93B" w:rsidR="005346BC" w:rsidRPr="00D347D0" w:rsidRDefault="000D3EB1" w:rsidP="005346BC">
      <w:pPr>
        <w:pStyle w:val="NormalHanging12a"/>
      </w:pPr>
      <w:r w:rsidRPr="00D347D0">
        <w:t>63</w:t>
      </w:r>
      <w:r w:rsidR="005346BC" w:rsidRPr="00D347D0">
        <w:t>.</w:t>
      </w:r>
      <w:r w:rsidR="005346BC" w:rsidRPr="00D347D0">
        <w:tab/>
        <w:t>remarcă, pe baza chestionarului, că în 2024 SEAE a primit 16 cereri de asistență pentru acuzații de hărțuire psihologică, inclusiv mai multe cereri referitoare la același angajat, ceea ce a dus la deschiderea a patru anchete administrative și că un caz care ar implica un membru al personalului Comisiei a fost semnalat autorității competente a Comisiei; ia act de faptul că au fost inițiate și patru proceduri formale pentru agenții locali din delegația Uniunii, dar nu s-au găsit dovezi prima </w:t>
      </w:r>
      <w:proofErr w:type="spellStart"/>
      <w:r w:rsidR="005346BC" w:rsidRPr="00D347D0">
        <w:t>facie</w:t>
      </w:r>
      <w:proofErr w:type="spellEnd"/>
      <w:r w:rsidR="005346BC" w:rsidRPr="00D347D0">
        <w:t xml:space="preserve"> care să justifice deschiderea unei anchete administrative; ia act de faptul că în cursul anului au fost finalizate șase cazuri și că au fost aplicate măsuri disciplinare sau corective, după caz, inclusiv sancțiuni disciplinare în două cazuri și un avertisment nedisciplinar într-un alt caz;</w:t>
      </w:r>
    </w:p>
    <w:p w14:paraId="064537DF" w14:textId="4F076BA0" w:rsidR="005346BC" w:rsidRPr="00D347D0" w:rsidRDefault="000D3EB1" w:rsidP="005346BC">
      <w:pPr>
        <w:pStyle w:val="NormalHanging12a"/>
      </w:pPr>
      <w:r w:rsidRPr="00D347D0">
        <w:t>64</w:t>
      </w:r>
      <w:r w:rsidR="005346BC" w:rsidRPr="00D347D0">
        <w:t>.</w:t>
      </w:r>
      <w:r w:rsidR="005346BC" w:rsidRPr="00D347D0">
        <w:tab/>
        <w:t xml:space="preserve">remarcă, pe baza chestionarului, că, în conformitate cu definiția aplicată de Serviciul Medical al Comisiei, concediul medical de lungă durată se referă la absențele care depășesc 20 de zile consecutive; ia act de faptul că, în 2023, 323 de angajați s-au aflat în concediu medical de lungă durată, cu o durată medie de 83 de zile, în timp ce, în 2024, acest număr a crescut la 338 de angajați, cu o durată medie redusă de 77 de zile; ia act, de asemenea, de faptul că, deși numărul exact de cazuri de epuizare profesională nu este cunoscut, în 2024 o proporție semnificativă a concediilor medicale a fost legată de </w:t>
      </w:r>
      <w:r w:rsidR="005346BC" w:rsidRPr="00D347D0">
        <w:lastRenderedPageBreak/>
        <w:t>probleme de sănătate mintală, cum ar fi depresia și epuizarea profesională; salută inițiativa Comisiei de a dezvolta o strategie privind sănătatea mintală care să ofere un cadru structurat și sustenabil pentru a aborda provocările legate de sănătatea mintală la locul de muncă, inclusiv prevenirea epuizării profesionale și reintegrarea în muncă; încurajează SEAE să instituie, de asemenea, un mecanism formal de evaluare a volumului de muncă;</w:t>
      </w:r>
    </w:p>
    <w:p w14:paraId="287D1D9C" w14:textId="6AB8C83E" w:rsidR="005346BC" w:rsidRPr="00D347D0" w:rsidRDefault="000D3EB1" w:rsidP="005346BC">
      <w:pPr>
        <w:pStyle w:val="NormalHanging12a"/>
      </w:pPr>
      <w:r w:rsidRPr="00D347D0">
        <w:t>65</w:t>
      </w:r>
      <w:r w:rsidR="005346BC" w:rsidRPr="00D347D0">
        <w:t>.</w:t>
      </w:r>
      <w:r w:rsidR="005346BC" w:rsidRPr="00D347D0">
        <w:tab/>
        <w:t>ia act cu apreciere din raportul SEAE din 2024 de faptul că Planul de acțiune privind persoanele cu dizabilități a fost actualizat în 2024 și că în 2025 a fost adoptată o nouă decizie pentru a extinde dispozițiile SEAE, cum ar fi amenajările corespunzătoare pentru colegii cu dizabilități, la personalul local din delegațiile Uniunii;</w:t>
      </w:r>
    </w:p>
    <w:p w14:paraId="62E5BAF8" w14:textId="77777777" w:rsidR="005346BC" w:rsidRPr="00D347D0" w:rsidRDefault="005346BC" w:rsidP="005346BC">
      <w:pPr>
        <w:pStyle w:val="NormalHanging12a"/>
        <w:rPr>
          <w:b/>
          <w:bCs/>
          <w:i/>
          <w:iCs/>
        </w:rPr>
      </w:pPr>
      <w:r w:rsidRPr="00D347D0">
        <w:rPr>
          <w:b/>
          <w:i/>
        </w:rPr>
        <w:t>Cadrul etic și transparența</w:t>
      </w:r>
    </w:p>
    <w:p w14:paraId="22429902" w14:textId="6DEEB824" w:rsidR="005346BC" w:rsidRPr="00D347D0" w:rsidRDefault="000D3EB1" w:rsidP="005346BC">
      <w:pPr>
        <w:spacing w:after="240"/>
        <w:ind w:left="567" w:hanging="567"/>
        <w:rPr>
          <w:bCs/>
          <w:iCs/>
        </w:rPr>
      </w:pPr>
      <w:r w:rsidRPr="00D347D0">
        <w:t>66</w:t>
      </w:r>
      <w:r w:rsidR="005346BC" w:rsidRPr="00D347D0">
        <w:t>.</w:t>
      </w:r>
      <w:r w:rsidR="005346BC" w:rsidRPr="00D347D0">
        <w:tab/>
        <w:t xml:space="preserve">ia act cu îngrijorare de ancheta Parchetului European (EPPO), lansată în 2025, privind un posibil caz de fraudă în domeniul achizițiilor publice, corupție, conflict de interese și încălcare a secretului profesional, care implică suspiciuni puternice de încălcare a normelor de concurență în legătură cu atribuirea de către SEAE, în beneficiul Colegiului Europei, în perioada 2021-2022, a unei proceduri de licitație pentru un program de formare de nouă luni legat de implementarea unui proiect-pilot pentru crearea Academiei diplomatice a UE; subliniază că înființarea Academiei diplomatice a UE reprezintă un pas strategic către consolidarea capacității diplomatice a Uniunii și dezvoltarea unei adevărate culturi diplomatice europene; constată că ancheta are rolul de a stabili dacă Colegiul Europei și/sau reprezentanții acestuia au fost informați în prealabil cu privire la criteriile de selecție ale procedurii de licitație și dacă au avut motive suficiente să creadă că li se va atribui execuția proiectului înainte de publicarea oficială a anunțului de licitație de către SEAE; ia act, de asemenea, de faptul că, în urma unor percheziții efectuate la SEAE și la Colegiul Europei în decembrie 2025, poliția belgiană a reținut și apoi a eliberat </w:t>
      </w:r>
      <w:r w:rsidR="00571B6A" w:rsidRPr="00D347D0">
        <w:t xml:space="preserve">mai mulți </w:t>
      </w:r>
      <w:r w:rsidR="005346BC" w:rsidRPr="00D347D0">
        <w:t xml:space="preserve">suspecți, și anume un fost vicepreședinte/Înalt Reprezentant, în </w:t>
      </w:r>
      <w:r w:rsidR="00571B6A" w:rsidRPr="00D347D0">
        <w:t>momentul respectiv</w:t>
      </w:r>
      <w:r w:rsidR="005346BC" w:rsidRPr="00D347D0">
        <w:t xml:space="preserve"> rector al Colegiului Europei și director al Academiei diplomatice </w:t>
      </w:r>
      <w:r w:rsidR="00571B6A" w:rsidRPr="00D347D0">
        <w:t xml:space="preserve">a </w:t>
      </w:r>
      <w:r w:rsidR="005346BC" w:rsidRPr="00D347D0">
        <w:t>UE, pe director</w:t>
      </w:r>
      <w:r w:rsidR="00571B6A" w:rsidRPr="00D347D0">
        <w:t>ul</w:t>
      </w:r>
      <w:r w:rsidR="005346BC" w:rsidRPr="00D347D0">
        <w:t xml:space="preserve"> general</w:t>
      </w:r>
      <w:r w:rsidR="00571B6A" w:rsidRPr="00D347D0">
        <w:t>, în momentul respectiv,</w:t>
      </w:r>
      <w:r w:rsidR="005346BC" w:rsidRPr="00D347D0">
        <w:t xml:space="preserve"> al Direcției Generale Orientul Mijlociu, Africa de Nord și Golful Persic a Comisiei și un fost secretar general al SEAE; ia act cu îngrijorare de demisia rectorului Colegiului Europei și a directorului Academiei Diplomatice a UE în contextul anchetei în curs legate de nereguli în materie de achiziții publice și de Academia Diplomatică a UE; constată că o astfel de situație, în care este posibil ca o licitație publică să fi fost organizată în favoarea unei instituții de învățământ superior, riscă să submineze încrederea în instituțiile UE, deoarece acuzațiile de nereguli în domeniul achizițiilor publice pot pune sub semnul întrebării transparența, echitatea și egalitatea de tratament a candidaților; înțelege, cu toate acestea, că faptele investigate de EPPO fac obiectul unor norme stricte de confidențialitate și nu pot fi divulgate în contextul procedurii de descărcare de gestiune și subliniază că nu ar trebui trase concluzii înainte de încheierea procesului judiciar; salută angajamentul SEAE de a pune la dispoziție documentele relevante după încheierea anchetelor judiciare; solicită ca orice suspiciune de fraudă să fie investigată în mod corespunzător, cu cooperarea deplină a SEAE; solicită SEAE ca, fără a aduce atingere anchetelor în curs, să tragă învățăminte sistemice din acest caz, pentru a oferi garanții serioase că astfel de cazuri nu se vor repeta în viitor; solicită ca autoritatea care acordă descărcarea de gestiune să fie informată în consecință cu privire la evoluțiile ulterioare; ia act că, în temeiul acordului de grant prin care Academia Diplomatică a UE este încredințată Colegiului Europei, Colegiul are obligația de a prezenta un raport de verificare a cheltuielilor împreună cu raportul său final, pregătit de </w:t>
      </w:r>
      <w:r w:rsidR="005346BC" w:rsidRPr="00D347D0">
        <w:lastRenderedPageBreak/>
        <w:t>un auditor extern și care urmează să fie prezentat în curând pentru 2024, asigurând transparența deplină cu privire la cele 1,8 milioane EUR cheltuite în perioada 2022-2024; remarcă, de asemenea, că la sfârșitul lunii decembrie 2025 SEAE a inițiat procesul de revizuire a Deciziei (PESC) 2024/1472 a Consiliului</w:t>
      </w:r>
      <w:r w:rsidR="005346BC" w:rsidRPr="00D347D0">
        <w:rPr>
          <w:rStyle w:val="FootnoteReference"/>
          <w:bCs/>
          <w:iCs/>
        </w:rPr>
        <w:footnoteReference w:id="10"/>
      </w:r>
      <w:r w:rsidR="005346BC" w:rsidRPr="00D347D0">
        <w:t xml:space="preserve"> de înființare a Academiei Diplomatice a UE prin lansarea unei evaluări externe independente a Academiei Diplomatice a UE și a performanței Colegiului Europei în realizarea activităților de educație și formare ale Academiei Diplomatice a UE; invită SEAE să comunice autorității care acordă descărcarea de gestiune atât raportul de verificare a cheltuielilor, cât și evaluarea externă, pentru a asigura responsabilitatea și transparența; invită SEAE să furnizeze Parlamentului informații detaliate privind punerea în aplicare a recomandărilor Serviciului de Audit Intern referitoare la achizițiile publice; solicită SEAE să publice constatările și recomandările grupului operativ instituit în 2024 pentru consolidarea procedurilor de achiziții, pentru a asigura controlul public asupra implementării acestor proceduri și pentru a permite și altor instituții ale Uniunii să beneficieze de lecțiile învățate de SEAE în ceea ce privește îmbunătățirea procedurilor de achiziții publice; ia act, de asemenea, de decizia comitetului director al Academiei Diplomatice a UE, adoptată în cadrul reuniunii sale din 18 decembrie 2025, de a solicita Colegiului Europei să asigure un proces de recrutare transparent și competitiv, bazat pe publicarea unui anunț de post vacant, pentru numirea unui nou director al Academiei Diplomatice a UE; salută, de asemenea, cererea comitetului director ca funcția de director al Academiei Diplomatice a UE să fie separată de cea de rector al Colegiului Europei; subliniază necesitatea unei supravegheri parlamentare vigilente și eficace pentru a proteja integritatea achizițiilor publice, standardele etice, precum și interesele financiare și reputația Uniunii; reamintește că transparența și buna gestiune financiară în utilizarea fondurilor publice ale Uniunii trebuie să rămână un principiu fundamental pentru toate instituțiile și organismele Uniunii, inclusiv pentru SEAE, și că acest principiu constituie o piatră de temelie pentru menținerea încrederii cetățenilor în acțiunea externă a Uniunii; consideră că ancheta EPPO nu ar trebui utilizată pentru a submina rolul Academiei diplomatice a UE, a cărei valoare adăugată trebuie recunoscută pe deplin, în special având în vedere feedbackul pozitiv constant  primit de la participanți și de la statele membre;</w:t>
      </w:r>
    </w:p>
    <w:p w14:paraId="6FF49E31" w14:textId="381D49E6" w:rsidR="005346BC" w:rsidRPr="00D347D0" w:rsidRDefault="000D3EB1" w:rsidP="005346BC">
      <w:pPr>
        <w:pStyle w:val="NormalHanging12a"/>
      </w:pPr>
      <w:r w:rsidRPr="00D347D0">
        <w:t>67</w:t>
      </w:r>
      <w:r w:rsidR="005346BC" w:rsidRPr="00D347D0">
        <w:t>.</w:t>
      </w:r>
      <w:r w:rsidR="005346BC" w:rsidRPr="00D347D0">
        <w:tab/>
        <w:t>ia act de raportul SEAE, conform căruia după primul an complet de punere în aplicare a strategiei antifraudă din 2023, arhitectura antifraudă a devenit mai robustă și mai coerentă, ceea ce a consolidat integritatea și transparența generală a instituției; constată că strategia respectivă a fost pusă în practică prin intermediul unor cursuri de formare îmbunătățite în domeniul sensibilizării cu privire la fraude și măsurile de prevenire a acestora, care au fost mai adecvate în raport cu responsabilitățile specifice ale diferitelor grupuri de personal de la sediul central și din delegații, prin diseminarea de orientări interne și prin consolidarea canalelor de raportare securizate; ia act de faptul că personalul SEAE are acces la formări în domeniul combaterii fraudei elaborate de Oficiul European de Luptă Antifraudă (OLAF), ca parte a implementării acțiunii strategice antifraudă a Comisiei privind dezvoltarea unui plan comun de formare în domeniul eticii și combaterii fraudei împreună cu SEAE; salută faptul că se continuă promovarea celor 16 „principii de conduită profesională” în cadrul cursurilor obligatorii „Etică și integritate” și „Politica anti-hărțuire”;</w:t>
      </w:r>
    </w:p>
    <w:p w14:paraId="1665AE0C" w14:textId="56A8C3CF" w:rsidR="005346BC" w:rsidRPr="00D347D0" w:rsidRDefault="000D3EB1" w:rsidP="005346BC">
      <w:pPr>
        <w:pStyle w:val="NormalHanging12a"/>
      </w:pPr>
      <w:r w:rsidRPr="00D347D0">
        <w:lastRenderedPageBreak/>
        <w:t>68</w:t>
      </w:r>
      <w:r w:rsidR="005346BC" w:rsidRPr="00D347D0">
        <w:t>.</w:t>
      </w:r>
      <w:r w:rsidR="005346BC" w:rsidRPr="00D347D0">
        <w:tab/>
        <w:t>ia act din chestionar că în 2024 SEAE a înregistrat două cazuri de avertizare în interes public; constată că ambele cazuri au fost examinate de OLAF și închise fără recomandări, fie în urma investigației, fie în etapa de analiză preliminară; constată cu satisfacție din raportul SEAE din 2024 că SEAE a început să lucreze la dezvoltarea propriei politici privind avertizorii de integritate; solicită ca Parlamentul să fie informat cu privire la progresele înregistrate în această chestiune; insistă ca în cadrul SEAE privind avertizorii de integritate să fie incluse mecanisme de raportare confidențială, de protecție împotriva represaliilor pentru toate categoriile de personal, inclusiv agenți locali, precum și raportări anuale anonimizate privind cazurile și deznodământul acestora;</w:t>
      </w:r>
    </w:p>
    <w:p w14:paraId="55D2B9BB" w14:textId="236CD270" w:rsidR="005346BC" w:rsidRPr="00D347D0" w:rsidRDefault="000D3EB1" w:rsidP="005346BC">
      <w:pPr>
        <w:pStyle w:val="NormalHanging12a"/>
      </w:pPr>
      <w:r w:rsidRPr="00D347D0">
        <w:t>69</w:t>
      </w:r>
      <w:r w:rsidR="005346BC" w:rsidRPr="00D347D0">
        <w:t>.</w:t>
      </w:r>
      <w:r w:rsidR="005346BC" w:rsidRPr="00D347D0">
        <w:tab/>
        <w:t>ia act din chestionar că, în 2024, SEAE a înregistrat trei declarații de conflicte de interese; observă că în două cazuri legate de proceduri de achiziții publice a fost identificat un potențial risc de conflict de interese, care a fost rezolvat prin retragerea anumitor atribuții legate de achiziții publice de la respectivii angajați; constată, de asemenea, că în cel de-al treilea caz privind rambursarea cheltuielilor, nu s-a constatat niciun conflict de interese, întrucât angajatul în cauză nu a avut rol discreționar în calcularea rambursării; ia act de faptul că SEAE a primit 16 notificări privind activități desfășurate după încetarea funcției, dintre care cinci au implicat trecerea în sectorul privat, și a interzis două cazuri de „uși turnante”, fără a impune perioade de așteptare foștilor angajați;</w:t>
      </w:r>
    </w:p>
    <w:p w14:paraId="102C1DB1" w14:textId="20D1DE4B" w:rsidR="005346BC" w:rsidRPr="00D347D0" w:rsidRDefault="000D3EB1" w:rsidP="005346BC">
      <w:pPr>
        <w:pStyle w:val="NormalHanging12a"/>
      </w:pPr>
      <w:r w:rsidRPr="00D347D0">
        <w:t>70</w:t>
      </w:r>
      <w:r w:rsidR="005346BC" w:rsidRPr="00D347D0">
        <w:t>.</w:t>
      </w:r>
      <w:r w:rsidR="005346BC" w:rsidRPr="00D347D0">
        <w:tab/>
        <w:t>constată că, în 2024, 11 cazuri suspecte au fost trimise către OLAF, dintre care 7 au fost respinse în etapa de analiză preliminară, iar unul a fost închis fără recomandări; ia act, de asemenea, că trei cazuri privind potențiale abateri sau nereguli în contextul unor proceduri de achiziții publice, executări de contracte și aspecte legate de resursele umane, sunt încă în curs de investigare; remarcă, de asemenea, că, dintre cele 13 investigații OLAF deschise în 2023 referitoare la SEAE, zece cazuri sunt în curs, dintre care unul este legat de o rezervă formulată de delegația Uniunii în Sierra Leone cu privire la o suspiciune de fraudă legată de bugetul administrativ al respectivei delegații a Uniunii; invită SEAE să își mențină pe deplin angajamentul de a coopera îndeaproape cu OLAF în cazurile în desfășurare și de a da curs tuturor recomandărilor pendinte ale OLAF;</w:t>
      </w:r>
    </w:p>
    <w:p w14:paraId="077BD237" w14:textId="2E49A14A" w:rsidR="005346BC" w:rsidRPr="00D347D0" w:rsidRDefault="000D3EB1" w:rsidP="005346BC">
      <w:pPr>
        <w:pStyle w:val="NormalHanging12a"/>
      </w:pPr>
      <w:r w:rsidRPr="00D347D0">
        <w:t>71</w:t>
      </w:r>
      <w:r w:rsidR="005346BC" w:rsidRPr="00D347D0">
        <w:t>.</w:t>
      </w:r>
      <w:r w:rsidR="005346BC" w:rsidRPr="00D347D0">
        <w:tab/>
        <w:t>ia act de faptul că, în 2024, SEAE a gestionat 19 anchete de la Ombudsmanul European, dintre care 10 au vizat chestiuni administrative (inclusiv răspunsuri întârziate), cinci au fost legate de accesul la documente și patru, de probleme legate de resurse umane, pe lângă mai multe solicitări informale de informații legate în principal de misiuni, operațiuni și acces la documente; ia act cu satisfacție că Ombudsmanul European nu a constatat cazuri de administrare defectuoasă în niciuna dintre anchetele deschise și finalizate în 2024;</w:t>
      </w:r>
    </w:p>
    <w:p w14:paraId="343C4353" w14:textId="59BD56A5" w:rsidR="005346BC" w:rsidRPr="00D347D0" w:rsidRDefault="000D3EB1" w:rsidP="005346BC">
      <w:pPr>
        <w:pStyle w:val="NormalHanging12a"/>
        <w:rPr>
          <w:bCs/>
          <w:iCs/>
        </w:rPr>
      </w:pPr>
      <w:r w:rsidRPr="00D347D0">
        <w:t>72</w:t>
      </w:r>
      <w:r w:rsidR="005346BC" w:rsidRPr="00D347D0">
        <w:t>.</w:t>
      </w:r>
      <w:r w:rsidR="005346BC" w:rsidRPr="00D347D0">
        <w:tab/>
        <w:t xml:space="preserve">regretă că SEAE nu a efectuat evaluări adecvate ale punerii în aplicare a acordurilor de cooperare cu țări terțe și evaluări ale respectării condițiilor și a clauzelor privind drepturile omului din aceste acorduri; subliniază că această deficiență este deosebit de evidentă în cazul Acordului de dialog politic și de cooperare (ADPC) cu Cuba, care, la zece ani de la semnare, a eșuat în toate domeniile, de la respectarea drepturilor omului – a se vedea încarcerarea a peste o mie de deținuți politici până la sfârșitul anului 2025 – până la impactul nociv al Havanei asupra securității europene, inclusiv cooperarea politică și militară strânsă cu regimurile de la Moscova și Minsk, manifestată în special prin faptul că cetățenii cubanezi au devenit cel mai numeros grup de mercenari care </w:t>
      </w:r>
      <w:r w:rsidR="005346BC" w:rsidRPr="00D347D0">
        <w:lastRenderedPageBreak/>
        <w:t>sprijină forțele ruse în agresiunea acestora împotriva Ucrainei și prin implicarea lor în acte de sabotaj pe teritoriul UE, după cum s-a demonstrat recent în Lituania; observă că, în pofida încălcărilor flagrante ale numeroaselor dispoziții ale acordului, nu au fost activate nici clauzele de suspendare, nici cele de încetare, în timp ce resurse financiare ale Uniunii au continuat să fie direcționate către Cuba, unde regimul comunist controlează întreaga economie, utilizează în mod abuziv aceste fonduri și obține legitimitate politică din cooperarea în temeiul ADPC; consideră că astfel de regimuri nu trebuie să mai beneficieze de cooperare privilegiată cu Uniunea Europeană și că banii contribuabililor Uniunii nu trebuie să servească unor asemenea regimuri; solicită, prin urmare, activarea articolului 86 al acordului și încetarea acestuia; solicită Curții să examineze de urgență toate formele de sprijin acordate de Uniune Cubei începând din 2016;</w:t>
      </w:r>
    </w:p>
    <w:p w14:paraId="06EF9B9A" w14:textId="4FB1CBB6" w:rsidR="005346BC" w:rsidRPr="00D347D0" w:rsidRDefault="000D3EB1" w:rsidP="005346BC">
      <w:pPr>
        <w:pStyle w:val="NormalHanging12a"/>
      </w:pPr>
      <w:r w:rsidRPr="00D347D0">
        <w:t>73</w:t>
      </w:r>
      <w:r w:rsidR="005346BC" w:rsidRPr="00D347D0">
        <w:t>.</w:t>
      </w:r>
      <w:r w:rsidR="005346BC" w:rsidRPr="00D347D0">
        <w:tab/>
        <w:t xml:space="preserve">ia act de faptul că, în calitatea sa de vicepreședintă a Comisiei, Vicepreședinta/Înalta Reprezentantă este obligată să respecte normele Registrului de transparență; subliniază că, deși SEAE nu este o instituție în sensul articolului 13 din Tratatul privind Uniunea Europeană și nu are rol direct în legislația Uniunii, acesta are totuși un rol important în legislația Uniunii în ceea ce privește deciziile referitoare la sancțiuni și la negocierea acordurilor comerciale internaționale, care au un impact considerabil în materie de reglementare; solicită SEAE să adopte măsuri interne de transparență aliniate la standardele registrului de transparență, care să includă publicarea </w:t>
      </w:r>
      <w:proofErr w:type="spellStart"/>
      <w:r w:rsidR="005346BC" w:rsidRPr="00D347D0">
        <w:t>proactivă</w:t>
      </w:r>
      <w:proofErr w:type="spellEnd"/>
      <w:r w:rsidR="005346BC" w:rsidRPr="00D347D0">
        <w:t xml:space="preserve"> a informațiilor privind reuniunile la nivel înalt ale conducerii relevante, în măsura în care acest lucru nu compromite activitățile diplomatice sensibile din punctul de vedere al securității desfășurate de SEAE; constată cu satisfacție, din raportul de monitorizare, că Vicepreședinta/Înalta Reprezentantă a inițiat o discuție mai amplă privind abordarea chestiunii în dimensiunea externă, cu recomandări așteptate până la sfârșitul anului 2025; invită SEAE să țină Parlamentul la curent cu progresele înregistrate în această chestiune;</w:t>
      </w:r>
    </w:p>
    <w:p w14:paraId="4189B22D" w14:textId="77777777" w:rsidR="005346BC" w:rsidRPr="00D347D0" w:rsidRDefault="005346BC" w:rsidP="005346BC">
      <w:pPr>
        <w:pStyle w:val="NormalHanging12a"/>
        <w:rPr>
          <w:b/>
          <w:bCs/>
          <w:i/>
          <w:iCs/>
        </w:rPr>
      </w:pPr>
      <w:r w:rsidRPr="00D347D0">
        <w:rPr>
          <w:b/>
          <w:i/>
        </w:rPr>
        <w:t>Digitalizarea, securitatea cibernetică și protecția datelor</w:t>
      </w:r>
    </w:p>
    <w:p w14:paraId="5A8541F6" w14:textId="77777777" w:rsidR="005346BC" w:rsidRPr="00D347D0" w:rsidRDefault="005346BC" w:rsidP="005346BC">
      <w:pPr>
        <w:pStyle w:val="NormalHanging12a"/>
      </w:pPr>
      <w:r w:rsidRPr="00D347D0">
        <w:t>74.</w:t>
      </w:r>
      <w:r w:rsidRPr="00D347D0">
        <w:tab/>
        <w:t>remarcă din chestionar că cheltuielile legate de IT, inclusiv proiecte, echipamente și securitate cibernetică, au scăzut cu 6,1 %, de la 26,04 milioane EUR în 2023 la 24,45 milioane EUR în 2024; observă că cheltuielile legate de IT pentru sediul central au crescut cu 37,2 % în 2024, în principal ca urmare a investițiilor majore care au sprijinit migrarea aplicațiilor SEAE, în timp ce cheltuielile în delegațiile Uniunii au fost reduse semnificativ în urma investițiilor substanțiale în reînnoirea componentelor hardware și conectivitate în delegațiile Uniunii efectuate în 2023;</w:t>
      </w:r>
    </w:p>
    <w:p w14:paraId="45405D7F" w14:textId="77777777" w:rsidR="005346BC" w:rsidRPr="00D347D0" w:rsidRDefault="005346BC" w:rsidP="005346BC">
      <w:pPr>
        <w:pStyle w:val="NormalHanging12a"/>
      </w:pPr>
      <w:r w:rsidRPr="00D347D0">
        <w:t>75.</w:t>
      </w:r>
      <w:r w:rsidRPr="00D347D0">
        <w:tab/>
        <w:t xml:space="preserve">reamintește că SEAE a început să găzduiască și să gestioneze propriul mediu de IA în 2023, ceea ce a permis realizarea de validări ale conceptelor, cum ar fi informări, procese-verbale ale reuniunilor și un asistent de IA; salută adoptarea Strategiei SEAE privind inteligența artificială în 2024, care promovează o abordare a IA centrată pe factorul uman, în conformitate cu Regulamentul (UE) 2024/1689 al Parlamentului </w:t>
      </w:r>
      <w:r w:rsidRPr="00D347D0">
        <w:lastRenderedPageBreak/>
        <w:t>European și al Consiliului</w:t>
      </w:r>
      <w:r w:rsidRPr="00D347D0">
        <w:rPr>
          <w:rStyle w:val="FootnoteReference"/>
        </w:rPr>
        <w:footnoteReference w:id="11"/>
      </w:r>
      <w:r w:rsidRPr="00D347D0">
        <w:t xml:space="preserve">, asigurând sisteme etice și fiabile și Orientările privind utilizarea inteligenței artificiale generative de la terți; salută faptul că SEAE a extins platforma </w:t>
      </w:r>
      <w:proofErr w:type="spellStart"/>
      <w:r w:rsidRPr="00D347D0">
        <w:t>colaborativă</w:t>
      </w:r>
      <w:proofErr w:type="spellEnd"/>
      <w:r w:rsidRPr="00D347D0">
        <w:t xml:space="preserve"> și centrată pe documente (HIVE) pentru utilizatori externi, de exemplu din statele membre, și sistemul de gestionare (HR HUB) pentru agenții locali din delegațiile Uniunii;</w:t>
      </w:r>
    </w:p>
    <w:p w14:paraId="514FB6E3" w14:textId="77777777" w:rsidR="005346BC" w:rsidRPr="00D347D0" w:rsidRDefault="005346BC" w:rsidP="005346BC">
      <w:pPr>
        <w:pStyle w:val="NormalHanging12a"/>
        <w:rPr>
          <w:bCs/>
          <w:iCs/>
        </w:rPr>
      </w:pPr>
      <w:r w:rsidRPr="00D347D0">
        <w:t>76.</w:t>
      </w:r>
      <w:r w:rsidRPr="00D347D0">
        <w:tab/>
        <w:t>subliniază că utilizarea instrumentelor de inteligență artificială în acțiunea externă trebuie să fie însoțită de garanții stricte privind protecția datelor, drepturile fundamentale, transparența și supravegherea umană, inclusiv în delegațiile Uniunii și în cooperarea cu parteneri din țările terțe; solicită prezentarea de rapoarte periodice Parlamentului cu privire la punerea în aplicare a Strategiei SEAE privind inteligența artificială;</w:t>
      </w:r>
    </w:p>
    <w:p w14:paraId="7A2815ED" w14:textId="77777777" w:rsidR="005346BC" w:rsidRPr="00D347D0" w:rsidRDefault="005346BC" w:rsidP="005346BC">
      <w:pPr>
        <w:pStyle w:val="NormalHanging12a"/>
      </w:pPr>
      <w:r w:rsidRPr="00D347D0">
        <w:t>77.</w:t>
      </w:r>
      <w:r w:rsidRPr="00D347D0">
        <w:tab/>
        <w:t xml:space="preserve">felicită SEAE pentru acțiunile sale de îmbunătățire a pregătirii în materie de securitate cibernetică, prin informări periodice în materie de securitate destinate unei game largi de angajați și afiliați, împreună cu sesiuni de formare organizate la cererea a diferite grupuri de utilizatori, inclusiv ofițeri de securitate regională și coordonatori de securitate ai delegațiilor Uniunii și exerciții privind </w:t>
      </w:r>
      <w:proofErr w:type="spellStart"/>
      <w:r w:rsidRPr="00D347D0">
        <w:t>phishing-ul</w:t>
      </w:r>
      <w:proofErr w:type="spellEnd"/>
      <w:r w:rsidRPr="00D347D0">
        <w:t>; solicită SEAE să asigure furnizarea unei formări obligatorii periodice în domeniul securității cibernetice pentru toți angajații SEAE; ia act cu satisfacție din chestionar de instrumentele cum ar fi Centrul de operațiuni de securitate al SEAE, cu care SEAE este dotat pentru a monitoriza amenințările cibernetice și a identifica vulnerabilitățile de securitate în timp real;</w:t>
      </w:r>
    </w:p>
    <w:p w14:paraId="6EDE21C7" w14:textId="77777777" w:rsidR="005346BC" w:rsidRPr="00D347D0" w:rsidRDefault="005346BC" w:rsidP="005346BC">
      <w:pPr>
        <w:pStyle w:val="NormalHanging12a"/>
      </w:pPr>
      <w:r w:rsidRPr="00D347D0">
        <w:t>78.</w:t>
      </w:r>
      <w:r w:rsidRPr="00D347D0">
        <w:tab/>
        <w:t xml:space="preserve">felicită SEAE pentru instrumentele și sistemele digitale pe care le utilizează pentru combaterea FIMI, cum ar fi Centrul de analiză și partajare a informațiilor FIMI sau sistemul de alertă rapidă; ia act, de asemenea, astfel cum reiese din chestionar, de lansarea unui curs online privind combaterea dezinformării, accesibil tuturor instituțiilor Uniunii, și de finalizarea unui manual PSAC privind dezinformarea, conceput pentru a sprijini personalul de pe teren din misiunile militare și civile ale Uniunii; salută dezvoltarea în curs a inițiativei de sensibilizare </w:t>
      </w:r>
      <w:proofErr w:type="spellStart"/>
      <w:r w:rsidRPr="00D347D0">
        <w:t>EUvsDisinfo</w:t>
      </w:r>
      <w:proofErr w:type="spellEnd"/>
      <w:r w:rsidRPr="00D347D0">
        <w:t xml:space="preserve"> și subliniază importanța consolidării colaborării cu statele membre pentru a combate mai eficient amenințările hibride pe teren;</w:t>
      </w:r>
    </w:p>
    <w:p w14:paraId="5AC2B2B9" w14:textId="77777777" w:rsidR="005346BC" w:rsidRPr="00D347D0" w:rsidRDefault="005346BC" w:rsidP="005346BC">
      <w:pPr>
        <w:pStyle w:val="NormalHanging12a"/>
      </w:pPr>
      <w:r w:rsidRPr="00D347D0">
        <w:t>79.</w:t>
      </w:r>
      <w:r w:rsidRPr="00D347D0">
        <w:tab/>
        <w:t>ia act, din chestionar și din raportul SEAE pe 2024, de faptul că SEAE a detectat aproximativ 27 000 de alerte, dintre care 348 au necesitat investigații suplimentare; observă că 57 dintre acestea din urmă au fost confirmate ca atacuri cibernetice, iar cinci au avut impact semnificativ asupra operațiunilor SEAE; constată cu satisfacție că SEAE a identificat tacticile, tehnicile și procedurile autorilor atacurilor și a folosit această analiză pentru a-și consolida contramăsurile; solicită clarificări cu privire la măsura în care aceste atacuri au afectat activitățile instituției;</w:t>
      </w:r>
    </w:p>
    <w:p w14:paraId="7A4F3E8B" w14:textId="77777777" w:rsidR="005346BC" w:rsidRPr="00D347D0" w:rsidRDefault="005346BC" w:rsidP="005346BC">
      <w:pPr>
        <w:pStyle w:val="NormalHanging12a"/>
        <w:rPr>
          <w:b/>
          <w:bCs/>
          <w:i/>
          <w:iCs/>
        </w:rPr>
      </w:pPr>
      <w:r w:rsidRPr="00D347D0">
        <w:rPr>
          <w:b/>
          <w:i/>
        </w:rPr>
        <w:t>Clădirile și securitatea</w:t>
      </w:r>
    </w:p>
    <w:p w14:paraId="4D1F4472" w14:textId="77777777" w:rsidR="005346BC" w:rsidRPr="00D347D0" w:rsidRDefault="005346BC" w:rsidP="005346BC">
      <w:pPr>
        <w:pStyle w:val="NormalHanging12a"/>
      </w:pPr>
      <w:r w:rsidRPr="00D347D0">
        <w:lastRenderedPageBreak/>
        <w:t>80.</w:t>
      </w:r>
      <w:r w:rsidRPr="00D347D0">
        <w:tab/>
        <w:t>ia act de faptul că, în 2024, SEAE avea o rețea globală de 328 de clădiri ale delegațiilor Uniunii utilizate ca birouri și reședințe pentru șefii de delegații și trei clădiri de birouri la sediul central din Bruxelles; ia act de faptul că, la sfârșitul anului 2024, SEAE ocupa trei clădiri la Bruxelles, cu o suprafață totală de 87 506 m², și utiliza 175 de clădiri de birouri pentru delegațiile Uniunii în țări terțe, însumând o suprafață de 287 000 m²; observă, de asemenea, că Uniunea deținea 23 % dintre aceste spații ale delegațiilor Uniunii, în timp ce restul de 77 % erau închiriate; ia act cu îngrijorare din chestionar de o lipsă de resurse care limitează punerea în aplicare a politicii imobiliare a SEAE, întrucât SEAE ar avea nevoie de mai mulți experți în infrastructură pentru a-și crește capacitatea de a derula proiecte imobiliare;</w:t>
      </w:r>
    </w:p>
    <w:p w14:paraId="43919D42" w14:textId="77777777" w:rsidR="005346BC" w:rsidRPr="00D347D0" w:rsidRDefault="005346BC" w:rsidP="005346BC">
      <w:pPr>
        <w:pStyle w:val="NormalHanging12a"/>
      </w:pPr>
      <w:r w:rsidRPr="00D347D0">
        <w:t>81.</w:t>
      </w:r>
      <w:r w:rsidRPr="00D347D0">
        <w:tab/>
        <w:t>ia act cu apreciere că SEAE și-a reafirmat angajamentul de a menține rețeaua de 145 de delegații ale Uniunii și de a consolida principiul unei singure delegații; observă că modernizarea în curs vizează creșterea eficienței și alinierea rețelei la prioritățile Uniunii, abordând în același timp constrângerile bugetare; subliniază că, până la îmbunătățirea condițiilor financiare, măsurile stricte de economisire, discuțiile cu Comisia privind partajarea costurilor și consolidarea specifică a delegațiilor-cheie ale Uniunii vor continua; solicită SEAE să introducă o evaluare periodică a volumului de muncă și o metodologie cu necesarul de personal pentru delegații, corelată cu nivelul de risc și cu extinderea mandatului, pentru a preveni epuizarea profesională și a îmbunătăți păstrarea personalului; își exprimă îngrijorarea cu privire la planul de implementare a noilor distincții în ceea ce privește categoriile și resursele alocate delegațiilor; regretă că reducerea dimensiunii unor delegații ale Uniunii și reducerea personalului, în tranziția de la accentul inițial pus pe ajutorul pentru dezvoltare și cooperarea economică la anumite interese strategice, riscă să submineze activitățile operaționale și prezența Uniunii în țările terțe și să afecteze capacitatea SEAE de a-și îndeplini mandatul și de a apăra valorile Uniunii, cu impact deosebit asupra relațiilor Uniunii cu sudul global și cu vecinătatea sudică; invită SEAE să își mențină rolul esențial și prioritatea strategică în regiunea mediteraneeană, pe baza unei evaluări cuprinzătoare a provocărilor geopolitice ale Uniunii, continuându-și, în același timp, colaborarea continuă cu țările din vecinătatea estică;</w:t>
      </w:r>
    </w:p>
    <w:p w14:paraId="444AD0A2" w14:textId="77777777" w:rsidR="005346BC" w:rsidRPr="00D347D0" w:rsidRDefault="005346BC" w:rsidP="005346BC">
      <w:pPr>
        <w:pStyle w:val="NormalHanging12a"/>
      </w:pPr>
      <w:r w:rsidRPr="00D347D0">
        <w:t>82.</w:t>
      </w:r>
      <w:r w:rsidRPr="00D347D0">
        <w:tab/>
        <w:t>reiterează că constrângerile bugetare ar putea duce la închideri excesiv de numeroase ale ambasadelor Uniunii și la amânarea introducerii măsurilor de securitate într-o serie de delegații ale Uniunii, afectând capacitatea SEAE de a-și îndeplini mandatul și de a apăra valorile Uniunii, precum și de a-și îndeplini în mod corespunzător obligația de a proteja întregul personal din delegațiile Uniunii; îndeamnă statele membre să ofere finanțare suficientă SEAE și Comisiei pentru a se asigura că rețeaua de delegații a Uniunea nu este afectată, ca un semnal al angajamentului său la nivel mondial;</w:t>
      </w:r>
    </w:p>
    <w:p w14:paraId="0532A0A9" w14:textId="77777777" w:rsidR="005346BC" w:rsidRPr="00D347D0" w:rsidRDefault="005346BC" w:rsidP="005346BC">
      <w:pPr>
        <w:pStyle w:val="NormalHanging12a"/>
        <w:rPr>
          <w:bCs/>
          <w:iCs/>
        </w:rPr>
      </w:pPr>
      <w:r w:rsidRPr="00D347D0">
        <w:t>83.</w:t>
      </w:r>
      <w:r w:rsidRPr="00D347D0">
        <w:tab/>
        <w:t>solicită SEAE să consolideze mecanismele de coordonare practică cu misiunile diplomatice ale statelor membre în țările terțe, inclusiv prin servicii comune, soluții logistice comune și un schimb mai intens de informații, pentru a maximiza eficiența și a asigura utilizarea optimă a resurselor Uniunii și a resurselor naționale;</w:t>
      </w:r>
    </w:p>
    <w:p w14:paraId="024A23A7" w14:textId="77777777" w:rsidR="005346BC" w:rsidRPr="00D347D0" w:rsidRDefault="005346BC" w:rsidP="005346BC">
      <w:pPr>
        <w:pStyle w:val="NormalHanging12a"/>
      </w:pPr>
      <w:r w:rsidRPr="00D347D0">
        <w:t>84.</w:t>
      </w:r>
      <w:r w:rsidRPr="00D347D0">
        <w:tab/>
        <w:t xml:space="preserve">ia act din chestionar că, în 2024, SEAE a continuat să își pună în aplicare politica privind spațiul </w:t>
      </w:r>
      <w:proofErr w:type="spellStart"/>
      <w:r w:rsidRPr="00D347D0">
        <w:t>colaborativ</w:t>
      </w:r>
      <w:proofErr w:type="spellEnd"/>
      <w:r w:rsidRPr="00D347D0">
        <w:t xml:space="preserve"> de lucru și noile modalități de lucru, precum și să promoveze imaginea sediului central și a delegațiilor sale la nivelul Uniunii; subliniază că această abordare înlocuiește birourile individuale cu spații multifuncționale pentru a îmbunătăți eficiența spațiului, a încuraja munca în echipă și a reduce impactul asupra mediului; remarcă, de asemenea, că aceste proiecte sunt discutate cu reprezentanții angajaților prin </w:t>
      </w:r>
      <w:r w:rsidRPr="00D347D0">
        <w:lastRenderedPageBreak/>
        <w:t xml:space="preserve">intermediul Comitetului pentru personal al SEAE și că a fost lansat un sondaj dedicat personalului pentru clădirea </w:t>
      </w:r>
      <w:proofErr w:type="spellStart"/>
      <w:r w:rsidRPr="00D347D0">
        <w:t>Belmont</w:t>
      </w:r>
      <w:proofErr w:type="spellEnd"/>
      <w:r w:rsidRPr="00D347D0">
        <w:t>;</w:t>
      </w:r>
    </w:p>
    <w:p w14:paraId="7146703E" w14:textId="77777777" w:rsidR="005346BC" w:rsidRPr="00D347D0" w:rsidRDefault="005346BC" w:rsidP="005346BC">
      <w:pPr>
        <w:pStyle w:val="NormalHanging12a"/>
      </w:pPr>
      <w:r w:rsidRPr="00D347D0">
        <w:t>85.</w:t>
      </w:r>
      <w:r w:rsidRPr="00D347D0">
        <w:tab/>
        <w:t>ia act din raportul SEAE din 2024 că SEAE și-a respectat cu succes prioritățile-cheie în domeniul imobiliar pentru 2024, printre care se numără finalizarea renovării clădirii NEO, mutarea diviziilor de gestionare a crizelor și de informații într-un sediu mai sigur și mai eficient din punct de vedere energetic, precum și progrese semnificative înregistrate în renovarea clădirii Schuman;</w:t>
      </w:r>
    </w:p>
    <w:p w14:paraId="364CEBAB" w14:textId="77777777" w:rsidR="005346BC" w:rsidRPr="00D347D0" w:rsidRDefault="005346BC" w:rsidP="005346BC">
      <w:pPr>
        <w:pStyle w:val="NormalHanging12a"/>
      </w:pPr>
      <w:r w:rsidRPr="00D347D0">
        <w:t>86.</w:t>
      </w:r>
      <w:r w:rsidRPr="00D347D0">
        <w:tab/>
        <w:t>ia act din chestionar că, din cauza scăderii nivelului de securitate la nivel mondial, SEAE a trebuit să consolideze structurile de securitate în 2024; salută majorarea cu 10 milioane EUR a bugetului pe 2025 pentru consolidarea infrastructurii de securitate din delegațiile Uniunii; observă obiectivul SEAE de a reduce numărul delegațiilor Uniunii care nu respectă standardele de securitate cu aproximativ 15 %, asigurând instalații noi și înlocuirea sistemelor învechite;</w:t>
      </w:r>
    </w:p>
    <w:p w14:paraId="3FF9D451" w14:textId="77777777" w:rsidR="005346BC" w:rsidRPr="00D347D0" w:rsidRDefault="005346BC" w:rsidP="005346BC">
      <w:pPr>
        <w:pStyle w:val="NormalHanging12a"/>
      </w:pPr>
      <w:r w:rsidRPr="00D347D0">
        <w:t>87.</w:t>
      </w:r>
      <w:r w:rsidRPr="00D347D0">
        <w:tab/>
        <w:t>ia act din raportul SEAE 2024 că, până la sfârșitul anului 2024, numărul acordurilor de utilizare a acelorași clădiri a crescut la 137 (45 cu statele membre și țările partenere și 92 cu alți parteneri ai Uniunii); observă că numărul proiectelor de utilizare a acelorași clădiri a crescut rapid, dublându-se în ultimii șase ani și crescând de peste șase ori începând din 2011; subliniază că proiectele de utilizare a acelorași clădiri reprezintă în prezent 8 % din spațiul de birouri al delegațiilor Uniunii și implică 80 de delegații ale Uniunii, principiile de sustenabilitate fiind aplicate în mod consecvent în toate mediile de lucru comune;</w:t>
      </w:r>
    </w:p>
    <w:p w14:paraId="6E52EF0E" w14:textId="77777777" w:rsidR="005346BC" w:rsidRPr="00D347D0" w:rsidRDefault="005346BC" w:rsidP="005346BC">
      <w:pPr>
        <w:pStyle w:val="NormalHanging12a"/>
      </w:pPr>
      <w:r w:rsidRPr="00D347D0">
        <w:t>88.</w:t>
      </w:r>
      <w:r w:rsidRPr="00D347D0">
        <w:tab/>
        <w:t>apreciază că SEAE depune eforturi pentru a garanta că clădirile sale sunt accesibile persoanelor cu dizabilități și cu mobilitate redusă; ia act din chestionar că, în 2024, au avut loc reuniuni periodice cu divizia imobiliară a SEAE, divizia de securitate și alte servicii ale Comisiei pentru a face schimb de bune practici privind accesibilitatea și evacuarea clădirilor, printre altele;</w:t>
      </w:r>
    </w:p>
    <w:p w14:paraId="7EA9DECC" w14:textId="77777777" w:rsidR="005346BC" w:rsidRPr="00D347D0" w:rsidRDefault="005346BC" w:rsidP="005346BC">
      <w:pPr>
        <w:pStyle w:val="NormalHanging12a"/>
        <w:rPr>
          <w:b/>
          <w:bCs/>
          <w:i/>
          <w:iCs/>
        </w:rPr>
      </w:pPr>
      <w:r w:rsidRPr="00D347D0">
        <w:rPr>
          <w:b/>
          <w:i/>
        </w:rPr>
        <w:t>Mediul și sustenabilitatea</w:t>
      </w:r>
    </w:p>
    <w:p w14:paraId="55D53BE8" w14:textId="77777777" w:rsidR="005346BC" w:rsidRPr="00D347D0" w:rsidRDefault="005346BC" w:rsidP="005346BC">
      <w:pPr>
        <w:pStyle w:val="NormalHanging12a"/>
      </w:pPr>
      <w:r w:rsidRPr="00D347D0">
        <w:t>89.</w:t>
      </w:r>
      <w:r w:rsidRPr="00D347D0">
        <w:tab/>
        <w:t xml:space="preserve">subliniază inițiativele SEAE în materie de eficiență energetică și energii din surse regenerabile în 2024, inclusiv înlocuirea becurilor cu LED-uri și renovările din cadrul programului „Noi modalități de lucru” la clădirea Schuman, izolarea conductelor de apă și încălzire, optimizarea sistemelor HVAC și standardizarea valorilor de referință ale temperaturii; ia act de instalarea progresivă a stațiilor centrale de sortare a deșeurilor în clădirea Schuman și de instalarea completă a acestora în clădirile </w:t>
      </w:r>
      <w:proofErr w:type="spellStart"/>
      <w:r w:rsidRPr="00D347D0">
        <w:t>Belmont</w:t>
      </w:r>
      <w:proofErr w:type="spellEnd"/>
      <w:r w:rsidRPr="00D347D0">
        <w:t xml:space="preserve"> și NEO, alături de măsurile deja existente de economisire a energiei; recunoaște achiziționarea de energie electrică produsă 100 % din surse regenerabile (1,569 milioane EUR) și producția de energie solară la fața locului de 22 286 kWh, soluția de decarbonizare a clădirii Schuman până în 2050 combinând măsuri de gestionare și izolare pe termen scurt cu modernizări pe termen lung, cum ar fi instalații fotovoltaice și înlocuirea încălzirii cu gaz cu pompe de căldură;</w:t>
      </w:r>
    </w:p>
    <w:p w14:paraId="70682099" w14:textId="77777777" w:rsidR="005346BC" w:rsidRPr="00D347D0" w:rsidRDefault="005346BC" w:rsidP="005346BC">
      <w:pPr>
        <w:pStyle w:val="NormalHanging12a"/>
      </w:pPr>
      <w:r w:rsidRPr="00D347D0">
        <w:t>90.</w:t>
      </w:r>
      <w:r w:rsidRPr="00D347D0">
        <w:tab/>
        <w:t xml:space="preserve">ia act de prima evaluare cuprinzătoare a SEAE privind amprenta sa de carbon din 2024, în contextul înregistrării în sistemul de management de mediu și audit (EMAS); observă că evaluarea respectivă a vizat clădirile sediilor centrale și activitățile din categoria 3 gestionate centralizat și a indicat zero emisii la activitățile din categoria 2 în funcție de piață, datorită achizițiilor de energie electrică produsă 100 % din surse regenerabile, și </w:t>
      </w:r>
      <w:r w:rsidRPr="00D347D0">
        <w:lastRenderedPageBreak/>
        <w:t>reducerea intensității emisiilor de carbon de la 4,6 </w:t>
      </w:r>
      <w:proofErr w:type="spellStart"/>
      <w:r w:rsidRPr="00D347D0">
        <w:t>tCO₂e</w:t>
      </w:r>
      <w:proofErr w:type="spellEnd"/>
      <w:r w:rsidRPr="00D347D0">
        <w:t>/FTE în 2019 la 3,4 </w:t>
      </w:r>
      <w:proofErr w:type="spellStart"/>
      <w:r w:rsidRPr="00D347D0">
        <w:t>tCO₂e</w:t>
      </w:r>
      <w:proofErr w:type="spellEnd"/>
      <w:r w:rsidRPr="00D347D0">
        <w:t>/FTE în 2024 (-28 %), amprenta cuprinzând aproximativ 20 % din emisiile de la activitățile din categoria 1 și 80 % din emisiile de la activitățile din categoria 3;</w:t>
      </w:r>
    </w:p>
    <w:p w14:paraId="65B78E4F" w14:textId="77777777" w:rsidR="005346BC" w:rsidRPr="00D347D0" w:rsidRDefault="005346BC" w:rsidP="005346BC">
      <w:pPr>
        <w:pStyle w:val="NormalHanging12a"/>
      </w:pPr>
      <w:r w:rsidRPr="00D347D0">
        <w:t>91.</w:t>
      </w:r>
      <w:r w:rsidRPr="00D347D0">
        <w:tab/>
        <w:t>salută angajamentul consolidat al SEAE față de mobilitatea sustenabilă, inclusiv adoptarea noii politici privind naveta pentru sediul central la sfârșitul anului 2024, care majorează rambursarea cheltuielilor de transport public la 90 % începând cu ianuarie 2025; recunoaște punerea în aplicare a măsurilor de reducere a impactului asupra mediului, prin atingerea nivelului de 64 % din distanțe parcurse cu avionul la clasa economică în 2024 (depășind obiectivul EMAS de 60 % până în 2030), acordarea de prioritate transportului feroviar pentru călătoriile scurte, proiectul de a reduce numărul de angajați care fac naveta cu mașina de la 17 % în 2024 la 13 % în 2027 și promovarea inițiativelor privind mersul cu bicicleta și mersul pe jos prin îmbunătățirea facilităților și campanii de sensibilizare;</w:t>
      </w:r>
    </w:p>
    <w:p w14:paraId="4DDB48EF" w14:textId="77777777" w:rsidR="005346BC" w:rsidRPr="00D347D0" w:rsidRDefault="005346BC" w:rsidP="005346BC">
      <w:pPr>
        <w:pStyle w:val="NormalHanging12a"/>
      </w:pPr>
      <w:r w:rsidRPr="00D347D0">
        <w:t>92.</w:t>
      </w:r>
      <w:r w:rsidRPr="00D347D0">
        <w:tab/>
        <w:t>apreciază că aspectele legate de sustenabilitate sunt integrate în achizițiile publice prin intermediul clauzelor de achiziții publice verzi din modelele de licitații; constată că, în 2024, 38 % dintre contractele de mare valoare pentru sediul central și 87 % dintre modelele de achiziții publice au inclus clauze privind achizițiile publice verzi; ia act cu satisfacție de faptul că delegațiile Uniunii au aplicat criterii verzi în achizițiile publice de vehicule, echipamente informatice și servicii de curățenie și că sunt planificate eforturi suplimentare pentru 2025, inclusiv un centru informativ dedicat achizițiilor publice verzi, pentru delegațiile Uniunii, pe platforma HIVE; ia act de faptul că, în 2024, au fost finalizate 16 licitații de mare valoare cu indicatori de performanță de mediu și au fost semnate 6 contracte relevante pentru achizițiile publice verzi;</w:t>
      </w:r>
    </w:p>
    <w:p w14:paraId="7089E9AA" w14:textId="77777777" w:rsidR="005346BC" w:rsidRPr="00D347D0" w:rsidRDefault="005346BC" w:rsidP="005346BC">
      <w:pPr>
        <w:pStyle w:val="NormalHanging12a"/>
        <w:rPr>
          <w:b/>
          <w:bCs/>
          <w:i/>
          <w:iCs/>
        </w:rPr>
      </w:pPr>
      <w:r w:rsidRPr="00D347D0">
        <w:rPr>
          <w:b/>
          <w:i/>
        </w:rPr>
        <w:t>Cooperare interinstituțională</w:t>
      </w:r>
    </w:p>
    <w:p w14:paraId="75D60DB9" w14:textId="77777777" w:rsidR="005346BC" w:rsidRPr="00D347D0" w:rsidRDefault="005346BC" w:rsidP="005346BC">
      <w:pPr>
        <w:pStyle w:val="NormalHanging12a"/>
      </w:pPr>
      <w:r w:rsidRPr="00D347D0">
        <w:t>93.</w:t>
      </w:r>
      <w:r w:rsidRPr="00D347D0">
        <w:tab/>
        <w:t>ia act din chestionar că SEAE și-a continuat cooperarea strânsă cu OLAF și cu direcțiile generale relevante ale Comisiei în punerea în aplicare a strategiei antifraudă a Comisiei, în special prin elaborarea unor cursuri de formare comune și a unui parcurs comun de formare în materie de antifraudă, precum și prin acțiuni specifice menite să abordeze riscurile specifice de fraudă din delegațiile Uniunii; ia act cu satisfacție că SEAE și-a consolidat cadrul operațional prin semnarea unor acorduri de lucru cu EPPO în iunie 2024;</w:t>
      </w:r>
    </w:p>
    <w:p w14:paraId="2FD972DC" w14:textId="77777777" w:rsidR="005346BC" w:rsidRPr="00D347D0" w:rsidRDefault="005346BC" w:rsidP="005346BC">
      <w:pPr>
        <w:pStyle w:val="NormalHanging12a"/>
      </w:pPr>
      <w:r w:rsidRPr="00D347D0">
        <w:t>94.</w:t>
      </w:r>
      <w:r w:rsidRPr="00D347D0">
        <w:tab/>
        <w:t>reamintește că, în 2023, Parlamentul, Consiliul și SEAE au purtat discuții tehnice privind înlocuirea acordului instituțional din 2002 dintre Parlament și Consiliu în domeniul politicii externe și de securitate comune; ia act cu îngrijorare, astfel cum reiese din raportul de monitorizare, de faptul că, în 2024, nu s-au înregistrat progrese în această privință din cauza alegerilor europene și a procesului de numire a noii Comisii;</w:t>
      </w:r>
    </w:p>
    <w:p w14:paraId="4418371E" w14:textId="77777777" w:rsidR="005346BC" w:rsidRPr="00D347D0" w:rsidRDefault="005346BC" w:rsidP="005346BC">
      <w:pPr>
        <w:pStyle w:val="NormalHanging12a"/>
        <w:rPr>
          <w:bCs/>
          <w:iCs/>
        </w:rPr>
      </w:pPr>
      <w:r w:rsidRPr="00D347D0">
        <w:t>95.</w:t>
      </w:r>
      <w:r w:rsidRPr="00D347D0">
        <w:tab/>
        <w:t>reamintește că, în conformitate cu tratatele, acțiunea externă a Uniunii și SEAE au rolul de a sprijini, coordona și completa acțiunea diplomatică a statelor membre; subliniază importanța unei cooperări strânse pentru a evita ineficiența;</w:t>
      </w:r>
    </w:p>
    <w:p w14:paraId="70074187" w14:textId="77777777" w:rsidR="005346BC" w:rsidRPr="00D347D0" w:rsidRDefault="005346BC" w:rsidP="005346BC">
      <w:pPr>
        <w:pStyle w:val="NormalHanging12a"/>
      </w:pPr>
      <w:r w:rsidRPr="00D347D0">
        <w:t>96.</w:t>
      </w:r>
      <w:r w:rsidRPr="00D347D0">
        <w:tab/>
        <w:t>salută faptul că acțiunile de comunicare ale SEAE sunt coordonate și armonizate cu alte instituții prin intermediul rețelei directorilor de comunicare ai UE, al platformelor interinstituționale cu Parlamentul și Comisia și al subgrupului RELEX pentru protecția patrimoniului cultural și relațiile culturale internaționale;</w:t>
      </w:r>
    </w:p>
    <w:p w14:paraId="6169CAC2" w14:textId="77777777" w:rsidR="005346BC" w:rsidRPr="00D347D0" w:rsidRDefault="005346BC" w:rsidP="005346BC">
      <w:pPr>
        <w:pStyle w:val="NormalHanging12a"/>
        <w:rPr>
          <w:b/>
          <w:bCs/>
          <w:i/>
          <w:iCs/>
        </w:rPr>
      </w:pPr>
      <w:r w:rsidRPr="00D347D0">
        <w:rPr>
          <w:b/>
          <w:i/>
        </w:rPr>
        <w:lastRenderedPageBreak/>
        <w:t>Comunicare</w:t>
      </w:r>
    </w:p>
    <w:p w14:paraId="329451EA" w14:textId="77777777" w:rsidR="005346BC" w:rsidRPr="00D347D0" w:rsidRDefault="005346BC" w:rsidP="005346BC">
      <w:pPr>
        <w:pStyle w:val="NormalHanging12a"/>
      </w:pPr>
      <w:r w:rsidRPr="00D347D0">
        <w:t>97.</w:t>
      </w:r>
      <w:r w:rsidRPr="00D347D0">
        <w:tab/>
        <w:t>constată din chestionar că SEAE a alocat 1 745 000 EUR – sumă suplimentată cu 107 968,67 EUR în credite C5 – pentru informare publică și evenimente, cu o rată de execuție de 99,70 % în 2024; subliniază că această finanțare a sprijinit achizițiile publice de servicii digitale, produse de comunicare și grafică, precum și organizarea de evenimente publice, cum ar fi Ziua Europei; ia act, de asemenea, că bugetul a finanțat, de asemenea, producția și difuzarea de conținut online, gestionarea conturilor de socializare ale instituției și asistența acordată delegațiilor Uniunii în creșterea prezenței lor digitale;</w:t>
      </w:r>
    </w:p>
    <w:p w14:paraId="7F1744E3" w14:textId="77777777" w:rsidR="005346BC" w:rsidRPr="00D347D0" w:rsidRDefault="005346BC" w:rsidP="005346BC">
      <w:pPr>
        <w:pStyle w:val="NormalHanging12a"/>
      </w:pPr>
      <w:r w:rsidRPr="00D347D0">
        <w:t>98.</w:t>
      </w:r>
      <w:r w:rsidRPr="00D347D0">
        <w:tab/>
        <w:t>ia act din chestionar și din raportul SEAE pe 2024 că SEAE și-a extins semnificativ comunicarea strategică, activitățile de informare publică și diplomația culturală, combinând campanii digitale globale, evenimente publice majore și activități consolidate în domeniul relațiilor culturale internaționale; observă că campaniile digitale au ajuns la un public larg și au promovat prioritățile fundamentale ale Uniunii, printre care drepturile omului, acțiunile climatice și sprijinul pentru Ucraina, iar formatele inovatoare au contribuit la implicarea tinerilor; observă că evenimente publice precum Ziua Europei, „Ziua porților deschise” și Programul pentru vizitatori al SEAE au contribuit la o mai bună înțelegere a politicilor Uniunii; subliniază că SEAE a promovat inițiative culturale, inclusiv Dialogul privind cooperare între muzee cu Africa, ateliere privind diversitatea culturală și o conferință privind patrimoniul cultural organizată sub președinția prin rotație a Consiliului, pregătind în același timp proiecte emblematice, cum ar fi participarea Uniunii la Expo Osaka;</w:t>
      </w:r>
    </w:p>
    <w:p w14:paraId="3ABAB239" w14:textId="77777777" w:rsidR="005346BC" w:rsidRPr="00D347D0" w:rsidRDefault="005346BC" w:rsidP="005346BC">
      <w:pPr>
        <w:pStyle w:val="NormalHanging12a"/>
        <w:rPr>
          <w:bCs/>
          <w:iCs/>
        </w:rPr>
      </w:pPr>
      <w:r w:rsidRPr="00D347D0">
        <w:t>99.</w:t>
      </w:r>
      <w:r w:rsidRPr="00D347D0">
        <w:tab/>
        <w:t>încurajează continuarea procesului de intensificare a comunicării cu resortisanții țărilor terțe pe teme privind politica Uniunii, precum și intensificarea eforturilor de coordonare pentru a crește vizibilitatea proiectelor finanțate de Uniune, în special în țările candidate, pentru a contracara încercările actorilor care acționează cu rea-credință de a submina eforturile Uniunii; reiterează, de asemenea, solicitarea adresată Comisiei de a asigura vizibilitatea deplină și informarea publică cu privire la sprijinul și investițiile UE în țările terțe, prin indicatoare clare și utilizarea drapelului UE;</w:t>
      </w:r>
    </w:p>
    <w:p w14:paraId="275414FE" w14:textId="77777777" w:rsidR="005346BC" w:rsidRPr="00D347D0" w:rsidRDefault="005346BC" w:rsidP="005346BC">
      <w:pPr>
        <w:pStyle w:val="NormalHanging12a"/>
      </w:pPr>
      <w:r w:rsidRPr="00D347D0">
        <w:t>100.</w:t>
      </w:r>
      <w:r w:rsidRPr="00D347D0">
        <w:tab/>
        <w:t xml:space="preserve">ia act din chestionar și din raportul SEAE pe 2024 că, în 2024, SEAE și-a consolidat angajamentul strategic față de suveranitatea Uniunii în materie de date și digitală, asigurând practici stricte conforme cu RGPD pe rețelele sociale, consolidând controalele de securitate și de acces și reducând dependența de furnizori externi unici; subliniază că diversificarea platformelor – inclusiv extinderea către </w:t>
      </w:r>
      <w:proofErr w:type="spellStart"/>
      <w:r w:rsidRPr="00D347D0">
        <w:t>Bluesky</w:t>
      </w:r>
      <w:proofErr w:type="spellEnd"/>
      <w:r w:rsidRPr="00D347D0">
        <w:t xml:space="preserve"> și </w:t>
      </w:r>
      <w:proofErr w:type="spellStart"/>
      <w:r w:rsidRPr="00D347D0">
        <w:t>Threads</w:t>
      </w:r>
      <w:proofErr w:type="spellEnd"/>
      <w:r w:rsidRPr="00D347D0">
        <w:t xml:space="preserve"> – împreună cu utilizarea instrumentelor de management găzduite de Uniune, formarea sistematică a personalului și evaluările periodice ale riscurilor și dezinformării contribuie la creșterea rezilienței și la protejarea suveranității comunicării Uniunii;</w:t>
      </w:r>
    </w:p>
    <w:p w14:paraId="6FCD37D1" w14:textId="03F5CD3A" w:rsidR="00E365E1" w:rsidRPr="00D347D0" w:rsidRDefault="005346BC" w:rsidP="008242F9">
      <w:pPr>
        <w:pStyle w:val="NormalHanging12a"/>
      </w:pPr>
      <w:r w:rsidRPr="00D347D0">
        <w:rPr>
          <w:color w:val="000000" w:themeColor="text1"/>
        </w:rPr>
        <w:t>101.</w:t>
      </w:r>
      <w:r w:rsidRPr="00D347D0">
        <w:rPr>
          <w:color w:val="000000" w:themeColor="text1"/>
        </w:rPr>
        <w:tab/>
        <w:t xml:space="preserve">ia act de faptul că, prin campania sa </w:t>
      </w:r>
      <w:proofErr w:type="spellStart"/>
      <w:r w:rsidRPr="00D347D0">
        <w:rPr>
          <w:color w:val="000000" w:themeColor="text1"/>
        </w:rPr>
        <w:t>EUvsDisinfo</w:t>
      </w:r>
      <w:proofErr w:type="spellEnd"/>
      <w:r w:rsidRPr="00D347D0">
        <w:rPr>
          <w:color w:val="000000" w:themeColor="text1"/>
        </w:rPr>
        <w:t>, SEAE a ajuns la peste 38 de milioane de utilizatori și a documentat mai mult de 18 000 de cazuri, demonstrând amploarea și caracterul sistemic al dezinformării pro-Kremlin în 2024.</w:t>
      </w:r>
    </w:p>
    <w:sectPr w:rsidR="00E365E1" w:rsidRPr="00D347D0" w:rsidSect="00EB4F9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0E702" w14:textId="77777777" w:rsidR="007D7CC6" w:rsidRPr="00EB4F94" w:rsidRDefault="007D7CC6">
      <w:r w:rsidRPr="00EB4F94">
        <w:separator/>
      </w:r>
    </w:p>
  </w:endnote>
  <w:endnote w:type="continuationSeparator" w:id="0">
    <w:p w14:paraId="1BBD72E2" w14:textId="77777777" w:rsidR="007D7CC6" w:rsidRPr="00EB4F94" w:rsidRDefault="007D7CC6">
      <w:r w:rsidRPr="00EB4F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25EB7" w14:textId="77777777" w:rsidR="005346BC" w:rsidRPr="00EB4F94" w:rsidRDefault="005346BC" w:rsidP="003B3FB2">
    <w:pPr>
      <w:pStyle w:val="EPFooter"/>
    </w:pPr>
    <w:r w:rsidRPr="00EB4F94">
      <w:t>PE</w:t>
    </w:r>
    <w:r w:rsidRPr="00EB4F94">
      <w:rPr>
        <w:rStyle w:val="HideTWBExt"/>
      </w:rPr>
      <w:t>&lt;</w:t>
    </w:r>
    <w:proofErr w:type="spellStart"/>
    <w:r w:rsidRPr="00EB4F94">
      <w:rPr>
        <w:rStyle w:val="HideTWBExt"/>
      </w:rPr>
      <w:t>NoPE</w:t>
    </w:r>
    <w:proofErr w:type="spellEnd"/>
    <w:r w:rsidRPr="00EB4F94">
      <w:rPr>
        <w:rStyle w:val="HideTWBExt"/>
      </w:rPr>
      <w:t>&gt;</w:t>
    </w:r>
    <w:r w:rsidRPr="00EB4F94">
      <w:t>778.061</w:t>
    </w:r>
    <w:r w:rsidRPr="00EB4F94">
      <w:rPr>
        <w:rStyle w:val="HideTWBExt"/>
      </w:rPr>
      <w:t>&lt;/</w:t>
    </w:r>
    <w:proofErr w:type="spellStart"/>
    <w:r w:rsidRPr="00EB4F94">
      <w:rPr>
        <w:rStyle w:val="HideTWBExt"/>
      </w:rPr>
      <w:t>NoPE</w:t>
    </w:r>
    <w:proofErr w:type="spellEnd"/>
    <w:r w:rsidRPr="00EB4F94">
      <w:rPr>
        <w:rStyle w:val="HideTWBExt"/>
      </w:rPr>
      <w:t>&gt;&lt;Version&gt;</w:t>
    </w:r>
    <w:r w:rsidRPr="00EB4F94">
      <w:t>v03-00</w:t>
    </w:r>
    <w:r w:rsidRPr="00EB4F94">
      <w:rPr>
        <w:rStyle w:val="HideTWBExt"/>
      </w:rPr>
      <w:t>&lt;/</w:t>
    </w:r>
    <w:proofErr w:type="spellStart"/>
    <w:r w:rsidRPr="00EB4F94">
      <w:rPr>
        <w:rStyle w:val="HideTWBExt"/>
      </w:rPr>
      <w:t>Version</w:t>
    </w:r>
    <w:proofErr w:type="spellEnd"/>
    <w:r w:rsidRPr="00EB4F94">
      <w:rPr>
        <w:rStyle w:val="HideTWBExt"/>
      </w:rPr>
      <w:t>&gt;</w:t>
    </w:r>
    <w:r w:rsidRPr="00EB4F94">
      <w:tab/>
    </w:r>
    <w:r w:rsidRPr="00EB4F94">
      <w:fldChar w:fldCharType="begin"/>
    </w:r>
    <w:r w:rsidRPr="00EB4F94">
      <w:instrText xml:space="preserve"> PAGE  \* MERGEFORMAT </w:instrText>
    </w:r>
    <w:r w:rsidRPr="00EB4F94">
      <w:fldChar w:fldCharType="separate"/>
    </w:r>
    <w:r w:rsidRPr="00EB4F94">
      <w:rPr>
        <w:noProof/>
      </w:rPr>
      <w:t>22</w:t>
    </w:r>
    <w:r w:rsidRPr="00EB4F94">
      <w:fldChar w:fldCharType="end"/>
    </w:r>
    <w:r w:rsidRPr="00EB4F94">
      <w:t>/</w:t>
    </w:r>
    <w:fldSimple w:instr=" NUMPAGES  \* MERGEFORMAT ">
      <w:r w:rsidRPr="00EB4F94">
        <w:rPr>
          <w:noProof/>
        </w:rPr>
        <w:t>37</w:t>
      </w:r>
    </w:fldSimple>
    <w:r w:rsidRPr="00EB4F94">
      <w:tab/>
    </w:r>
    <w:r w:rsidRPr="00EB4F94">
      <w:rPr>
        <w:rStyle w:val="HideTWBExt"/>
      </w:rPr>
      <w:t>&lt;PathFdR&gt;</w:t>
    </w:r>
    <w:r w:rsidRPr="00EB4F94">
      <w:t>RR\1340307RO.docx</w:t>
    </w:r>
    <w:r w:rsidRPr="00EB4F94">
      <w:rPr>
        <w:rStyle w:val="HideTWBExt"/>
      </w:rPr>
      <w:t>&lt;/</w:t>
    </w:r>
    <w:proofErr w:type="spellStart"/>
    <w:r w:rsidRPr="00EB4F94">
      <w:rPr>
        <w:rStyle w:val="HideTWBExt"/>
      </w:rPr>
      <w:t>PathFdR</w:t>
    </w:r>
    <w:proofErr w:type="spellEnd"/>
    <w:r w:rsidRPr="00EB4F94">
      <w:rPr>
        <w:rStyle w:val="HideTWBExt"/>
      </w:rPr>
      <w:t>&gt;</w:t>
    </w:r>
  </w:p>
  <w:p w14:paraId="341843EF" w14:textId="77777777" w:rsidR="005346BC" w:rsidRPr="00EB4F94" w:rsidRDefault="005346BC" w:rsidP="003B3FB2">
    <w:pPr>
      <w:pStyle w:val="EPFooter2"/>
    </w:pPr>
    <w:r w:rsidRPr="00EB4F94">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E4504" w14:textId="77777777" w:rsidR="005346BC" w:rsidRPr="00EB4F94" w:rsidRDefault="005346BC" w:rsidP="003B3FB2">
    <w:pPr>
      <w:pStyle w:val="EPFooter"/>
    </w:pPr>
    <w:r w:rsidRPr="00EB4F94">
      <w:rPr>
        <w:rStyle w:val="HideTWBExt"/>
      </w:rPr>
      <w:t>&lt;PathFdR&gt;</w:t>
    </w:r>
    <w:r w:rsidRPr="00EB4F94">
      <w:t>RR\1340307RO.docx</w:t>
    </w:r>
    <w:r w:rsidRPr="00EB4F94">
      <w:rPr>
        <w:rStyle w:val="HideTWBExt"/>
      </w:rPr>
      <w:t>&lt;/</w:t>
    </w:r>
    <w:proofErr w:type="spellStart"/>
    <w:r w:rsidRPr="00EB4F94">
      <w:rPr>
        <w:rStyle w:val="HideTWBExt"/>
      </w:rPr>
      <w:t>PathFdR</w:t>
    </w:r>
    <w:proofErr w:type="spellEnd"/>
    <w:r w:rsidRPr="00EB4F94">
      <w:rPr>
        <w:rStyle w:val="HideTWBExt"/>
      </w:rPr>
      <w:t>&gt;</w:t>
    </w:r>
    <w:r w:rsidRPr="00EB4F94">
      <w:tab/>
    </w:r>
    <w:r w:rsidRPr="00EB4F94">
      <w:tab/>
      <w:t>PE</w:t>
    </w:r>
    <w:r w:rsidRPr="00EB4F94">
      <w:rPr>
        <w:rStyle w:val="HideTWBExt"/>
      </w:rPr>
      <w:t>&lt;</w:t>
    </w:r>
    <w:proofErr w:type="spellStart"/>
    <w:r w:rsidRPr="00EB4F94">
      <w:rPr>
        <w:rStyle w:val="HideTWBExt"/>
      </w:rPr>
      <w:t>NoPE</w:t>
    </w:r>
    <w:proofErr w:type="spellEnd"/>
    <w:r w:rsidRPr="00EB4F94">
      <w:rPr>
        <w:rStyle w:val="HideTWBExt"/>
      </w:rPr>
      <w:t>&gt;</w:t>
    </w:r>
    <w:r w:rsidRPr="00EB4F94">
      <w:t>778.061</w:t>
    </w:r>
    <w:r w:rsidRPr="00EB4F94">
      <w:rPr>
        <w:rStyle w:val="HideTWBExt"/>
      </w:rPr>
      <w:t>&lt;/</w:t>
    </w:r>
    <w:proofErr w:type="spellStart"/>
    <w:r w:rsidRPr="00EB4F94">
      <w:rPr>
        <w:rStyle w:val="HideTWBExt"/>
      </w:rPr>
      <w:t>NoPE</w:t>
    </w:r>
    <w:proofErr w:type="spellEnd"/>
    <w:r w:rsidRPr="00EB4F94">
      <w:rPr>
        <w:rStyle w:val="HideTWBExt"/>
      </w:rPr>
      <w:t>&gt;&lt;Version&gt;</w:t>
    </w:r>
    <w:r w:rsidRPr="00EB4F94">
      <w:t>v03-00</w:t>
    </w:r>
    <w:r w:rsidRPr="00EB4F94">
      <w:rPr>
        <w:rStyle w:val="HideTWBExt"/>
      </w:rPr>
      <w:t>&lt;/</w:t>
    </w:r>
    <w:proofErr w:type="spellStart"/>
    <w:r w:rsidRPr="00EB4F94">
      <w:rPr>
        <w:rStyle w:val="HideTWBExt"/>
      </w:rPr>
      <w:t>Version</w:t>
    </w:r>
    <w:proofErr w:type="spellEnd"/>
    <w:r w:rsidRPr="00EB4F94">
      <w:rPr>
        <w:rStyle w:val="HideTWBExt"/>
      </w:rPr>
      <w:t>&gt;</w:t>
    </w:r>
  </w:p>
  <w:p w14:paraId="0C3A6D38" w14:textId="77777777" w:rsidR="005346BC" w:rsidRPr="00EB4F94" w:rsidRDefault="005346BC" w:rsidP="003B3FB2">
    <w:pPr>
      <w:pStyle w:val="EPFooter2"/>
    </w:pPr>
    <w:r w:rsidRPr="00EB4F94">
      <w:t>RO</w:t>
    </w:r>
    <w:r w:rsidRPr="00EB4F94">
      <w:tab/>
    </w:r>
    <w:r w:rsidRPr="00EB4F94">
      <w:rPr>
        <w:b w:val="0"/>
        <w:i/>
        <w:color w:val="C0C0C0"/>
        <w:sz w:val="22"/>
      </w:rPr>
      <w:t>Unită în diversitate</w:t>
    </w:r>
    <w:r w:rsidRPr="00EB4F94">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42374" w14:textId="77777777" w:rsidR="00064002" w:rsidRPr="00EB4F9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CF053" w14:textId="77777777" w:rsidR="00064002" w:rsidRPr="00EB4F9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235F" w14:textId="77777777" w:rsidR="00064002" w:rsidRPr="00EB4F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DAA3B" w14:textId="77777777" w:rsidR="007D7CC6" w:rsidRPr="00EB4F94" w:rsidRDefault="007D7CC6">
      <w:r w:rsidRPr="00EB4F94">
        <w:separator/>
      </w:r>
    </w:p>
  </w:footnote>
  <w:footnote w:type="continuationSeparator" w:id="0">
    <w:p w14:paraId="3D36AC4A" w14:textId="77777777" w:rsidR="007D7CC6" w:rsidRPr="00EB4F94" w:rsidRDefault="007D7CC6">
      <w:r w:rsidRPr="00EB4F94">
        <w:continuationSeparator/>
      </w:r>
    </w:p>
  </w:footnote>
  <w:footnote w:id="1">
    <w:p w14:paraId="64D1BF63" w14:textId="4A0F5E4E" w:rsidR="005346BC" w:rsidRPr="00F63927" w:rsidRDefault="005346BC" w:rsidP="00EB4F94">
      <w:pPr>
        <w:pStyle w:val="FootnoteText"/>
        <w:ind w:left="567" w:hanging="567"/>
        <w:rPr>
          <w:sz w:val="24"/>
          <w:lang w:val="ro-RO"/>
        </w:rPr>
      </w:pPr>
      <w:r w:rsidRPr="00EB4F94">
        <w:rPr>
          <w:rStyle w:val="FootnoteReference"/>
          <w:sz w:val="24"/>
          <w:lang w:val="ro-RO"/>
        </w:rPr>
        <w:footnoteRef/>
      </w:r>
      <w:r w:rsidR="00EB4F94" w:rsidRPr="00EB4F94">
        <w:rPr>
          <w:sz w:val="24"/>
          <w:lang w:val="ro-RO"/>
        </w:rPr>
        <w:t xml:space="preserve"> </w:t>
      </w:r>
      <w:r w:rsidR="00EB4F94" w:rsidRPr="00EB4F94">
        <w:rPr>
          <w:sz w:val="24"/>
          <w:lang w:val="ro-RO"/>
        </w:rPr>
        <w:tab/>
      </w:r>
      <w:r w:rsidRPr="00D347D0">
        <w:rPr>
          <w:sz w:val="24"/>
          <w:lang w:val="ro-RO"/>
        </w:rPr>
        <w:t>JO L</w:t>
      </w:r>
      <w:r w:rsidR="00022EBB" w:rsidRPr="00D347D0">
        <w:rPr>
          <w:sz w:val="24"/>
          <w:lang w:val="ro-RO"/>
        </w:rPr>
        <w:t>,</w:t>
      </w:r>
      <w:r w:rsidRPr="00D347D0">
        <w:rPr>
          <w:sz w:val="24"/>
          <w:lang w:val="ro-RO"/>
        </w:rPr>
        <w:t xml:space="preserve"> </w:t>
      </w:r>
      <w:r w:rsidR="00022EBB" w:rsidRPr="00D347D0">
        <w:rPr>
          <w:sz w:val="24"/>
          <w:lang w:val="ro-RO"/>
        </w:rPr>
        <w:t>2024/</w:t>
      </w:r>
      <w:r w:rsidRPr="00D347D0">
        <w:rPr>
          <w:sz w:val="24"/>
          <w:lang w:val="ro-RO"/>
        </w:rPr>
        <w:t>207, 22.2.2024</w:t>
      </w:r>
      <w:r w:rsidRPr="00F63927">
        <w:rPr>
          <w:sz w:val="24"/>
          <w:lang w:val="ro-RO"/>
        </w:rPr>
        <w:t xml:space="preserve">, ELI: </w:t>
      </w:r>
      <w:hyperlink r:id="rId1" w:history="1">
        <w:r w:rsidRPr="00F63927">
          <w:rPr>
            <w:rStyle w:val="Hyperlink"/>
            <w:sz w:val="24"/>
            <w:lang w:val="ro-RO"/>
          </w:rPr>
          <w:t>http://data.europa.eu/eli/budget/2024/207/oj</w:t>
        </w:r>
      </w:hyperlink>
      <w:r w:rsidRPr="00F63927">
        <w:rPr>
          <w:rStyle w:val="Hyperlink"/>
          <w:sz w:val="24"/>
          <w:lang w:val="ro-RO"/>
        </w:rPr>
        <w:t>.</w:t>
      </w:r>
    </w:p>
  </w:footnote>
  <w:footnote w:id="2">
    <w:p w14:paraId="5DA817F9" w14:textId="39E32CA5" w:rsidR="005346BC" w:rsidRPr="00EB4F94" w:rsidRDefault="005346BC" w:rsidP="00EB4F94">
      <w:pPr>
        <w:pStyle w:val="FootnoteText"/>
        <w:ind w:left="567" w:hanging="567"/>
        <w:rPr>
          <w:sz w:val="24"/>
          <w:lang w:val="ro-RO"/>
        </w:rPr>
      </w:pPr>
      <w:r w:rsidRPr="00F63927">
        <w:rPr>
          <w:rStyle w:val="FootnoteReference"/>
          <w:sz w:val="24"/>
          <w:lang w:val="ro-RO"/>
        </w:rPr>
        <w:footnoteRef/>
      </w:r>
      <w:r w:rsidR="00EB4F94" w:rsidRPr="00F63927">
        <w:rPr>
          <w:sz w:val="24"/>
          <w:lang w:val="ro-RO"/>
        </w:rPr>
        <w:t xml:space="preserve"> </w:t>
      </w:r>
      <w:r w:rsidR="00EB4F94" w:rsidRPr="00F63927">
        <w:rPr>
          <w:sz w:val="24"/>
          <w:lang w:val="ro-RO"/>
        </w:rPr>
        <w:tab/>
      </w:r>
      <w:r w:rsidRPr="00F63927">
        <w:rPr>
          <w:sz w:val="24"/>
          <w:lang w:val="ro-RO"/>
        </w:rPr>
        <w:t>JO C, C/2025/4944, 13</w:t>
      </w:r>
      <w:r w:rsidRPr="00EB4F94">
        <w:rPr>
          <w:sz w:val="24"/>
          <w:lang w:val="ro-RO"/>
        </w:rPr>
        <w:t>.10.2025, ELI: </w:t>
      </w:r>
      <w:hyperlink r:id="rId2" w:tgtFrame="_blank" w:tooltip="Oferă acces la acest document prin identificatorul său uniform de resurse ELI." w:history="1">
        <w:r w:rsidRPr="00EB4F94">
          <w:rPr>
            <w:rStyle w:val="Hyperlink"/>
            <w:sz w:val="24"/>
            <w:lang w:val="ro-RO"/>
          </w:rPr>
          <w:t>http://data.europa.eu/eli/C/2025/4944/oj</w:t>
        </w:r>
      </w:hyperlink>
      <w:r w:rsidRPr="00EB4F94">
        <w:rPr>
          <w:sz w:val="24"/>
          <w:lang w:val="ro-RO"/>
        </w:rPr>
        <w:t>.</w:t>
      </w:r>
    </w:p>
  </w:footnote>
  <w:footnote w:id="3">
    <w:p w14:paraId="14AC9196" w14:textId="06ED8654" w:rsidR="005346BC" w:rsidRPr="00EB4F94" w:rsidRDefault="005346BC" w:rsidP="00EB4F94">
      <w:pPr>
        <w:pStyle w:val="FootnoteText"/>
        <w:ind w:left="567" w:hanging="567"/>
        <w:rPr>
          <w:sz w:val="24"/>
          <w:lang w:val="ro-RO"/>
        </w:rPr>
      </w:pPr>
      <w:r w:rsidRPr="00EB4F94">
        <w:rPr>
          <w:rStyle w:val="FootnoteReference"/>
          <w:sz w:val="24"/>
          <w:lang w:val="ro-RO"/>
        </w:rPr>
        <w:footnoteRef/>
      </w:r>
      <w:r w:rsidR="00EB4F94" w:rsidRPr="00EB4F94">
        <w:rPr>
          <w:sz w:val="24"/>
          <w:lang w:val="ro-RO"/>
        </w:rPr>
        <w:t xml:space="preserve"> </w:t>
      </w:r>
      <w:r w:rsidR="00EB4F94" w:rsidRPr="00EB4F94">
        <w:rPr>
          <w:sz w:val="24"/>
          <w:lang w:val="ro-RO"/>
        </w:rPr>
        <w:tab/>
      </w:r>
      <w:r w:rsidRPr="00EB4F94">
        <w:rPr>
          <w:sz w:val="24"/>
          <w:lang w:val="ro-RO"/>
        </w:rPr>
        <w:t xml:space="preserve">JO C, C/2025/5409, 8.10.2025, ELI: </w:t>
      </w:r>
      <w:hyperlink r:id="rId3" w:history="1">
        <w:r w:rsidRPr="00EB4F94">
          <w:rPr>
            <w:rStyle w:val="Hyperlink"/>
            <w:sz w:val="24"/>
            <w:lang w:val="ro-RO"/>
          </w:rPr>
          <w:t>http://data.europa.eu/eli/C/2025/5409/oj</w:t>
        </w:r>
      </w:hyperlink>
      <w:r w:rsidRPr="00EB4F94">
        <w:rPr>
          <w:rStyle w:val="Hyperlink"/>
          <w:sz w:val="24"/>
          <w:lang w:val="ro-RO"/>
        </w:rPr>
        <w:t>.</w:t>
      </w:r>
    </w:p>
  </w:footnote>
  <w:footnote w:id="4">
    <w:p w14:paraId="3B59F113" w14:textId="7AE0FA3A" w:rsidR="005346BC" w:rsidRPr="00EB4F94" w:rsidRDefault="005346BC" w:rsidP="00EB4F94">
      <w:pPr>
        <w:pStyle w:val="FootnoteText"/>
        <w:ind w:left="567" w:hanging="567"/>
        <w:rPr>
          <w:sz w:val="24"/>
          <w:lang w:val="ro-RO"/>
        </w:rPr>
      </w:pPr>
      <w:r w:rsidRPr="00EB4F94">
        <w:rPr>
          <w:rStyle w:val="FootnoteReference"/>
          <w:sz w:val="24"/>
          <w:lang w:val="ro-RO"/>
        </w:rPr>
        <w:footnoteRef/>
      </w:r>
      <w:r w:rsidR="00EB4F94" w:rsidRPr="00EB4F94">
        <w:rPr>
          <w:sz w:val="24"/>
          <w:lang w:val="ro-RO"/>
        </w:rPr>
        <w:t xml:space="preserve"> </w:t>
      </w:r>
      <w:r w:rsidR="00EB4F94" w:rsidRPr="00EB4F94">
        <w:rPr>
          <w:sz w:val="24"/>
          <w:lang w:val="ro-RO"/>
        </w:rPr>
        <w:tab/>
      </w:r>
      <w:r w:rsidRPr="00EB4F94">
        <w:rPr>
          <w:sz w:val="24"/>
          <w:lang w:val="ro-RO"/>
        </w:rPr>
        <w:t xml:space="preserve">JO C, C/2025/5407, 13.10.2025, ELI: </w:t>
      </w:r>
      <w:hyperlink r:id="rId4" w:history="1">
        <w:r w:rsidRPr="00EB4F94">
          <w:rPr>
            <w:rStyle w:val="Hyperlink"/>
            <w:sz w:val="24"/>
            <w:lang w:val="ro-RO"/>
          </w:rPr>
          <w:t>http://data.europa.eu/eli/C/2025/5407/oj</w:t>
        </w:r>
      </w:hyperlink>
      <w:r w:rsidRPr="00EB4F94">
        <w:rPr>
          <w:rStyle w:val="Hyperlink"/>
          <w:sz w:val="24"/>
          <w:lang w:val="ro-RO"/>
        </w:rPr>
        <w:t>.</w:t>
      </w:r>
    </w:p>
  </w:footnote>
  <w:footnote w:id="5">
    <w:p w14:paraId="0482279E" w14:textId="41EB17F8" w:rsidR="005346BC" w:rsidRPr="00EB4F94" w:rsidRDefault="005346BC" w:rsidP="00EB4F94">
      <w:pPr>
        <w:pStyle w:val="FootnoteText"/>
        <w:ind w:left="567" w:hanging="567"/>
        <w:rPr>
          <w:sz w:val="24"/>
          <w:lang w:val="ro-RO"/>
        </w:rPr>
      </w:pPr>
      <w:r w:rsidRPr="00EB4F94">
        <w:rPr>
          <w:rStyle w:val="FootnoteReference"/>
          <w:sz w:val="24"/>
          <w:lang w:val="ro-RO"/>
        </w:rPr>
        <w:footnoteRef/>
      </w:r>
      <w:r w:rsidR="00EB4F94" w:rsidRPr="00EB4F94">
        <w:rPr>
          <w:sz w:val="24"/>
          <w:lang w:val="ro-RO"/>
        </w:rPr>
        <w:t xml:space="preserve"> </w:t>
      </w:r>
      <w:r w:rsidR="00EB4F94" w:rsidRPr="00EB4F94">
        <w:rPr>
          <w:sz w:val="24"/>
          <w:lang w:val="ro-RO"/>
        </w:rPr>
        <w:tab/>
      </w:r>
      <w:r w:rsidRPr="00EB4F94">
        <w:rPr>
          <w:sz w:val="24"/>
          <w:lang w:val="ro-RO"/>
        </w:rPr>
        <w:t xml:space="preserve">JO L 193, 30.7.2018, p. 1, ELI: </w:t>
      </w:r>
      <w:hyperlink r:id="rId5" w:history="1">
        <w:r w:rsidRPr="00EB4F94">
          <w:rPr>
            <w:rStyle w:val="Hyperlink"/>
            <w:sz w:val="24"/>
            <w:lang w:val="ro-RO"/>
          </w:rPr>
          <w:t>http://data.europa.eu/eli/reg/2018/1046/oj</w:t>
        </w:r>
      </w:hyperlink>
      <w:r w:rsidRPr="00EB4F94">
        <w:rPr>
          <w:sz w:val="24"/>
          <w:lang w:val="ro-RO"/>
        </w:rPr>
        <w:t>.</w:t>
      </w:r>
    </w:p>
  </w:footnote>
  <w:footnote w:id="6">
    <w:p w14:paraId="10369757" w14:textId="63C263F8" w:rsidR="005346BC" w:rsidRPr="00EB4F94" w:rsidRDefault="005346BC" w:rsidP="00EB4F94">
      <w:pPr>
        <w:pStyle w:val="FootnoteText"/>
        <w:ind w:left="567" w:hanging="567"/>
        <w:rPr>
          <w:sz w:val="24"/>
          <w:lang w:val="ro-RO"/>
        </w:rPr>
      </w:pPr>
      <w:r w:rsidRPr="00EB4F94">
        <w:rPr>
          <w:rStyle w:val="FootnoteReference"/>
          <w:sz w:val="24"/>
          <w:lang w:val="ro-RO"/>
        </w:rPr>
        <w:footnoteRef/>
      </w:r>
      <w:r w:rsidR="00EB4F94" w:rsidRPr="00EB4F94">
        <w:rPr>
          <w:sz w:val="24"/>
          <w:lang w:val="ro-RO"/>
        </w:rPr>
        <w:t xml:space="preserve"> </w:t>
      </w:r>
      <w:r w:rsidR="00EB4F94" w:rsidRPr="00EB4F94">
        <w:rPr>
          <w:sz w:val="24"/>
          <w:lang w:val="ro-RO"/>
        </w:rPr>
        <w:tab/>
      </w:r>
      <w:r w:rsidRPr="00EB4F94">
        <w:rPr>
          <w:sz w:val="24"/>
          <w:lang w:val="ro-RO"/>
        </w:rPr>
        <w:t xml:space="preserve">JO L, 2024/2509, 26.9.2024, ELI: </w:t>
      </w:r>
      <w:hyperlink r:id="rId6" w:history="1">
        <w:r w:rsidRPr="00EB4F94">
          <w:rPr>
            <w:rStyle w:val="Hyperlink"/>
            <w:sz w:val="24"/>
            <w:lang w:val="ro-RO"/>
          </w:rPr>
          <w:t>http://data.europa.eu/eli/reg/2024/2509/oj</w:t>
        </w:r>
      </w:hyperlink>
      <w:r w:rsidRPr="00EB4F94">
        <w:rPr>
          <w:sz w:val="24"/>
          <w:lang w:val="ro-RO"/>
        </w:rPr>
        <w:t>.</w:t>
      </w:r>
    </w:p>
  </w:footnote>
  <w:footnote w:id="7">
    <w:p w14:paraId="1958AE43" w14:textId="1DD7A53D" w:rsidR="005346BC" w:rsidRPr="00EB4F94" w:rsidRDefault="005346BC" w:rsidP="00EB4F94">
      <w:pPr>
        <w:pStyle w:val="FootnoteText"/>
        <w:ind w:left="567" w:hanging="567"/>
        <w:rPr>
          <w:sz w:val="24"/>
          <w:lang w:val="ro-RO"/>
        </w:rPr>
      </w:pPr>
      <w:r w:rsidRPr="00EB4F94">
        <w:rPr>
          <w:rStyle w:val="FootnoteReference"/>
          <w:sz w:val="24"/>
          <w:lang w:val="ro-RO"/>
        </w:rPr>
        <w:footnoteRef/>
      </w:r>
      <w:r w:rsidR="00EB4F94" w:rsidRPr="00EB4F94">
        <w:rPr>
          <w:sz w:val="24"/>
          <w:lang w:val="ro-RO"/>
        </w:rPr>
        <w:t xml:space="preserve"> </w:t>
      </w:r>
      <w:r w:rsidR="00EB4F94" w:rsidRPr="00EB4F94">
        <w:rPr>
          <w:sz w:val="24"/>
          <w:lang w:val="ro-RO"/>
        </w:rPr>
        <w:tab/>
      </w:r>
      <w:r w:rsidRPr="00EB4F94">
        <w:rPr>
          <w:sz w:val="24"/>
          <w:lang w:val="ro-RO"/>
        </w:rPr>
        <w:t xml:space="preserve">JO L 201, 3.8.2010, p. 30, ELI: </w:t>
      </w:r>
      <w:hyperlink r:id="rId7" w:history="1">
        <w:r w:rsidRPr="00EB4F94">
          <w:rPr>
            <w:rStyle w:val="Hyperlink"/>
            <w:sz w:val="24"/>
            <w:lang w:val="ro-RO"/>
          </w:rPr>
          <w:t>http://data.europa.eu/eli/dec/2010/427/oj</w:t>
        </w:r>
      </w:hyperlink>
      <w:r w:rsidRPr="00EB4F94">
        <w:rPr>
          <w:sz w:val="24"/>
          <w:lang w:val="ro-RO"/>
        </w:rPr>
        <w:t>.</w:t>
      </w:r>
    </w:p>
  </w:footnote>
  <w:footnote w:id="8">
    <w:p w14:paraId="06C0E601" w14:textId="3E689B0A" w:rsidR="005346BC" w:rsidRPr="00EB4F94" w:rsidRDefault="005346BC" w:rsidP="004C6106">
      <w:pPr>
        <w:pStyle w:val="FootnoteText"/>
        <w:ind w:left="567" w:hanging="567"/>
        <w:rPr>
          <w:sz w:val="24"/>
          <w:lang w:val="ro-RO"/>
        </w:rPr>
      </w:pPr>
      <w:r w:rsidRPr="00EB4F94">
        <w:rPr>
          <w:rStyle w:val="FootnoteReference"/>
          <w:sz w:val="24"/>
          <w:lang w:val="ro-RO"/>
        </w:rPr>
        <w:footnoteRef/>
      </w:r>
      <w:r w:rsidR="00EB4F94" w:rsidRPr="00EB4F94">
        <w:rPr>
          <w:sz w:val="24"/>
          <w:lang w:val="ro-RO"/>
        </w:rPr>
        <w:t xml:space="preserve"> </w:t>
      </w:r>
      <w:r w:rsidR="00EB4F94" w:rsidRPr="00EB4F94">
        <w:rPr>
          <w:sz w:val="24"/>
          <w:lang w:val="ro-RO"/>
        </w:rPr>
        <w:tab/>
      </w:r>
      <w:r w:rsidRPr="00EB4F94">
        <w:rPr>
          <w:sz w:val="24"/>
          <w:lang w:val="ro-RO"/>
        </w:rPr>
        <w:t xml:space="preserve">Directiva 2014/24/UE a Parlamentului European și a Consiliului din 26 februarie 2014 privind achizițiile publice și de abrogare a Directivei 2004/18/CE (JO L 94, 28.3.2014, p. 65, ELI: </w:t>
      </w:r>
      <w:hyperlink r:id="rId8" w:history="1">
        <w:r w:rsidRPr="00EB4F94">
          <w:rPr>
            <w:rStyle w:val="Hyperlink"/>
            <w:sz w:val="24"/>
            <w:lang w:val="ro-RO"/>
          </w:rPr>
          <w:t>http://data.europa.eu/eli/dir/2014/24/oj</w:t>
        </w:r>
      </w:hyperlink>
      <w:r w:rsidRPr="00EB4F94">
        <w:rPr>
          <w:sz w:val="24"/>
          <w:lang w:val="ro-RO"/>
        </w:rPr>
        <w:t>).</w:t>
      </w:r>
    </w:p>
  </w:footnote>
  <w:footnote w:id="9">
    <w:p w14:paraId="25F4CFF0" w14:textId="4E10AF71" w:rsidR="005346BC" w:rsidRPr="00EB4F94" w:rsidRDefault="005346BC" w:rsidP="00EB4F94">
      <w:pPr>
        <w:pStyle w:val="FootnoteText"/>
        <w:ind w:left="567" w:hanging="567"/>
        <w:rPr>
          <w:sz w:val="24"/>
          <w:lang w:val="ro-RO"/>
        </w:rPr>
      </w:pPr>
      <w:r w:rsidRPr="00EB4F94">
        <w:rPr>
          <w:rStyle w:val="FootnoteReference"/>
          <w:sz w:val="24"/>
          <w:lang w:val="ro-RO"/>
        </w:rPr>
        <w:footnoteRef/>
      </w:r>
      <w:r w:rsidR="00EB4F94" w:rsidRPr="00EB4F94">
        <w:rPr>
          <w:sz w:val="24"/>
          <w:lang w:val="ro-RO"/>
        </w:rPr>
        <w:t xml:space="preserve"> </w:t>
      </w:r>
      <w:r w:rsidR="00EB4F94" w:rsidRPr="00EB4F94">
        <w:rPr>
          <w:sz w:val="24"/>
          <w:lang w:val="ro-RO"/>
        </w:rPr>
        <w:tab/>
      </w:r>
      <w:r w:rsidRPr="00EB4F94">
        <w:rPr>
          <w:sz w:val="24"/>
          <w:lang w:val="ro-RO"/>
        </w:rPr>
        <w:t>Rezoluția P10_TA(2025)0086, punctul 83.</w:t>
      </w:r>
      <w:r w:rsidR="00EB4F94" w:rsidRPr="00EB4F94">
        <w:rPr>
          <w:sz w:val="24"/>
          <w:lang w:val="ro-RO"/>
        </w:rPr>
        <w:t xml:space="preserve"> </w:t>
      </w:r>
      <w:r w:rsidR="00EB4F94" w:rsidRPr="00EB4F94">
        <w:rPr>
          <w:sz w:val="24"/>
          <w:lang w:val="ro-RO"/>
        </w:rPr>
        <w:tab/>
      </w:r>
    </w:p>
  </w:footnote>
  <w:footnote w:id="10">
    <w:p w14:paraId="3BD9F2A5" w14:textId="52D660A8" w:rsidR="005346BC" w:rsidRPr="00EB4F94" w:rsidRDefault="005346BC" w:rsidP="00EB4F94">
      <w:pPr>
        <w:pStyle w:val="FootnoteText"/>
        <w:ind w:left="567" w:hanging="567"/>
        <w:rPr>
          <w:sz w:val="24"/>
          <w:lang w:val="ro-RO"/>
        </w:rPr>
      </w:pPr>
      <w:r w:rsidRPr="00EB4F94">
        <w:rPr>
          <w:rStyle w:val="FootnoteReference"/>
          <w:sz w:val="24"/>
          <w:lang w:val="ro-RO"/>
        </w:rPr>
        <w:footnoteRef/>
      </w:r>
      <w:r w:rsidR="00EB4F94" w:rsidRPr="00EB4F94">
        <w:rPr>
          <w:sz w:val="24"/>
          <w:lang w:val="ro-RO"/>
        </w:rPr>
        <w:t xml:space="preserve"> </w:t>
      </w:r>
      <w:r w:rsidR="00EB4F94" w:rsidRPr="00EB4F94">
        <w:rPr>
          <w:sz w:val="24"/>
          <w:lang w:val="ro-RO"/>
        </w:rPr>
        <w:tab/>
      </w:r>
      <w:r w:rsidRPr="00EB4F94">
        <w:rPr>
          <w:sz w:val="24"/>
          <w:lang w:val="ro-RO"/>
        </w:rPr>
        <w:t xml:space="preserve">Decizia (PESC) 2024/1472 a Consiliului din 21 mai 2024 privind o Academie Diplomatică a Uniunii Europene </w:t>
      </w:r>
      <w:r w:rsidRPr="00EB4F94">
        <w:rPr>
          <w:color w:val="333333"/>
          <w:sz w:val="24"/>
          <w:shd w:val="clear" w:color="auto" w:fill="FFFFFF"/>
          <w:lang w:val="ro-RO"/>
        </w:rPr>
        <w:t>(</w:t>
      </w:r>
      <w:r w:rsidRPr="00EB4F94">
        <w:rPr>
          <w:sz w:val="24"/>
          <w:lang w:val="ro-RO"/>
        </w:rPr>
        <w:t>JO L, 2024/1472, 22.5.2024, ELI: </w:t>
      </w:r>
      <w:hyperlink r:id="rId9" w:tgtFrame="_blank" w:tooltip="Oferă acces la acest document prin identificatorul său uniform de resurse ELI." w:history="1">
        <w:r w:rsidRPr="00EB4F94">
          <w:rPr>
            <w:rStyle w:val="Hyperlink"/>
            <w:sz w:val="24"/>
            <w:lang w:val="ro-RO"/>
          </w:rPr>
          <w:t>http://data.europa.eu/eli/dec/2024/1472/oj</w:t>
        </w:r>
      </w:hyperlink>
      <w:r w:rsidRPr="00EB4F94">
        <w:rPr>
          <w:sz w:val="24"/>
          <w:lang w:val="ro-RO"/>
        </w:rPr>
        <w:t>).</w:t>
      </w:r>
    </w:p>
  </w:footnote>
  <w:footnote w:id="11">
    <w:p w14:paraId="333E7038" w14:textId="0ABADA35" w:rsidR="005346BC" w:rsidRPr="00EB4F94" w:rsidRDefault="005346BC" w:rsidP="00EB4F94">
      <w:pPr>
        <w:pStyle w:val="FootnoteText"/>
        <w:ind w:left="567" w:hanging="567"/>
        <w:rPr>
          <w:sz w:val="24"/>
          <w:lang w:val="ro-RO"/>
        </w:rPr>
      </w:pPr>
      <w:r w:rsidRPr="00EB4F94">
        <w:rPr>
          <w:rStyle w:val="FootnoteReference"/>
          <w:sz w:val="24"/>
          <w:lang w:val="ro-RO"/>
        </w:rPr>
        <w:footnoteRef/>
      </w:r>
      <w:r w:rsidR="00EB4F94" w:rsidRPr="00EB4F94">
        <w:rPr>
          <w:sz w:val="24"/>
          <w:lang w:val="ro-RO"/>
        </w:rPr>
        <w:t xml:space="preserve"> </w:t>
      </w:r>
      <w:r w:rsidR="00EB4F94" w:rsidRPr="00EB4F94">
        <w:rPr>
          <w:sz w:val="24"/>
          <w:lang w:val="ro-RO"/>
        </w:rPr>
        <w:tab/>
      </w:r>
      <w:r w:rsidRPr="00EB4F94">
        <w:rPr>
          <w:sz w:val="24"/>
          <w:lang w:val="ro-RO"/>
        </w:rPr>
        <w:t xml:space="preserve">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(Legea privind inteligența artificială) (JO L, 2024/1689, 12.7.2024, ELI: </w:t>
      </w:r>
      <w:hyperlink r:id="rId10" w:history="1">
        <w:r w:rsidRPr="00EB4F94">
          <w:rPr>
            <w:rStyle w:val="Hyperlink"/>
            <w:sz w:val="24"/>
            <w:lang w:val="ro-RO"/>
          </w:rPr>
          <w:t>http://data.europa.eu/eli/reg/2024/1689/oj</w:t>
        </w:r>
      </w:hyperlink>
      <w:r w:rsidRPr="00EB4F94">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88593" w14:textId="77777777" w:rsidR="00064002" w:rsidRPr="00EB4F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8C590" w14:textId="77777777" w:rsidR="00064002" w:rsidRPr="00EB4F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DC11" w14:textId="77777777" w:rsidR="00064002" w:rsidRPr="00EB4F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1208000">
    <w:abstractNumId w:val="9"/>
  </w:num>
  <w:num w:numId="2" w16cid:durableId="893350219">
    <w:abstractNumId w:val="9"/>
  </w:num>
  <w:num w:numId="3" w16cid:durableId="1450734683">
    <w:abstractNumId w:val="7"/>
  </w:num>
  <w:num w:numId="4" w16cid:durableId="976492327">
    <w:abstractNumId w:val="7"/>
  </w:num>
  <w:num w:numId="5" w16cid:durableId="69232643">
    <w:abstractNumId w:val="6"/>
  </w:num>
  <w:num w:numId="6" w16cid:durableId="1746686059">
    <w:abstractNumId w:val="6"/>
  </w:num>
  <w:num w:numId="7" w16cid:durableId="660544914">
    <w:abstractNumId w:val="5"/>
  </w:num>
  <w:num w:numId="8" w16cid:durableId="1861967060">
    <w:abstractNumId w:val="5"/>
  </w:num>
  <w:num w:numId="9" w16cid:durableId="1294168977">
    <w:abstractNumId w:val="4"/>
  </w:num>
  <w:num w:numId="10" w16cid:durableId="512846184">
    <w:abstractNumId w:val="4"/>
  </w:num>
  <w:num w:numId="11" w16cid:durableId="172650703">
    <w:abstractNumId w:val="8"/>
  </w:num>
  <w:num w:numId="12" w16cid:durableId="458037546">
    <w:abstractNumId w:val="8"/>
  </w:num>
  <w:num w:numId="13" w16cid:durableId="1323241092">
    <w:abstractNumId w:val="3"/>
  </w:num>
  <w:num w:numId="14" w16cid:durableId="613826016">
    <w:abstractNumId w:val="3"/>
  </w:num>
  <w:num w:numId="15" w16cid:durableId="104934495">
    <w:abstractNumId w:val="2"/>
  </w:num>
  <w:num w:numId="16" w16cid:durableId="338627161">
    <w:abstractNumId w:val="2"/>
  </w:num>
  <w:num w:numId="17" w16cid:durableId="1717897316">
    <w:abstractNumId w:val="1"/>
  </w:num>
  <w:num w:numId="18" w16cid:durableId="256331383">
    <w:abstractNumId w:val="1"/>
  </w:num>
  <w:num w:numId="19" w16cid:durableId="378363758">
    <w:abstractNumId w:val="0"/>
  </w:num>
  <w:num w:numId="20" w16cid:durableId="776217260">
    <w:abstractNumId w:val="0"/>
  </w:num>
  <w:num w:numId="21" w16cid:durableId="1193805610">
    <w:abstractNumId w:val="9"/>
  </w:num>
  <w:num w:numId="22" w16cid:durableId="1422219611">
    <w:abstractNumId w:val="7"/>
  </w:num>
  <w:num w:numId="23" w16cid:durableId="2085836037">
    <w:abstractNumId w:val="6"/>
  </w:num>
  <w:num w:numId="24" w16cid:durableId="1423598609">
    <w:abstractNumId w:val="5"/>
  </w:num>
  <w:num w:numId="25" w16cid:durableId="1038432350">
    <w:abstractNumId w:val="4"/>
  </w:num>
  <w:num w:numId="26" w16cid:durableId="1686903039">
    <w:abstractNumId w:val="8"/>
  </w:num>
  <w:num w:numId="27" w16cid:durableId="890306892">
    <w:abstractNumId w:val="3"/>
  </w:num>
  <w:num w:numId="28" w16cid:durableId="1819765861">
    <w:abstractNumId w:val="2"/>
  </w:num>
  <w:num w:numId="29" w16cid:durableId="452989149">
    <w:abstractNumId w:val="1"/>
  </w:num>
  <w:num w:numId="30" w16cid:durableId="1665354271">
    <w:abstractNumId w:val="0"/>
  </w:num>
  <w:num w:numId="31" w16cid:durableId="1800954181">
    <w:abstractNumId w:val="9"/>
  </w:num>
  <w:num w:numId="32" w16cid:durableId="711541748">
    <w:abstractNumId w:val="7"/>
  </w:num>
  <w:num w:numId="33" w16cid:durableId="969168720">
    <w:abstractNumId w:val="6"/>
  </w:num>
  <w:num w:numId="34" w16cid:durableId="1594706289">
    <w:abstractNumId w:val="5"/>
  </w:num>
  <w:num w:numId="35" w16cid:durableId="1797718785">
    <w:abstractNumId w:val="4"/>
  </w:num>
  <w:num w:numId="36" w16cid:durableId="1206141705">
    <w:abstractNumId w:val="8"/>
  </w:num>
  <w:num w:numId="37" w16cid:durableId="1642465602">
    <w:abstractNumId w:val="3"/>
  </w:num>
  <w:num w:numId="38" w16cid:durableId="510415175">
    <w:abstractNumId w:val="2"/>
  </w:num>
  <w:num w:numId="39" w16cid:durableId="55397210">
    <w:abstractNumId w:val="1"/>
  </w:num>
  <w:num w:numId="40" w16cid:durableId="483592972">
    <w:abstractNumId w:val="0"/>
  </w:num>
  <w:num w:numId="41" w16cid:durableId="1069232516">
    <w:abstractNumId w:val="10"/>
  </w:num>
  <w:num w:numId="42" w16cid:durableId="1485316964">
    <w:abstractNumId w:val="10"/>
  </w:num>
  <w:num w:numId="43" w16cid:durableId="547495887">
    <w:abstractNumId w:val="10"/>
  </w:num>
  <w:num w:numId="44" w16cid:durableId="2126917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RO"/>
    <w:docVar w:name="dvnumam" w:val="0"/>
    <w:docVar w:name="dvpe" w:val="778.061"/>
    <w:docVar w:name="dvrapporteur" w:val="Raportor: "/>
    <w:docVar w:name="dvtitre" w:val="Decizia Parlamentului European din 28 aprilie 2026 privind descărcarea de gestiune pentru execuția bugetului general al Uniunii Europene aferent exercițiului financiar 2024, secțiunea X – Serviciul European de Acțiune Externă(2025/2150(DEC))"/>
  </w:docVars>
  <w:rsids>
    <w:rsidRoot w:val="007D7CC6"/>
    <w:rsid w:val="00002272"/>
    <w:rsid w:val="00022EBB"/>
    <w:rsid w:val="00064002"/>
    <w:rsid w:val="000677B9"/>
    <w:rsid w:val="000831BA"/>
    <w:rsid w:val="000A42CC"/>
    <w:rsid w:val="000D3EB1"/>
    <w:rsid w:val="000E7DD9"/>
    <w:rsid w:val="0010095E"/>
    <w:rsid w:val="00125B37"/>
    <w:rsid w:val="00187494"/>
    <w:rsid w:val="001F32AE"/>
    <w:rsid w:val="001F5B91"/>
    <w:rsid w:val="002646B4"/>
    <w:rsid w:val="002767FF"/>
    <w:rsid w:val="0028336B"/>
    <w:rsid w:val="002B18FE"/>
    <w:rsid w:val="002B5493"/>
    <w:rsid w:val="00343214"/>
    <w:rsid w:val="00361C00"/>
    <w:rsid w:val="00395FA1"/>
    <w:rsid w:val="003C6D3D"/>
    <w:rsid w:val="003E15D4"/>
    <w:rsid w:val="00411CCE"/>
    <w:rsid w:val="0041666E"/>
    <w:rsid w:val="00421060"/>
    <w:rsid w:val="0046710F"/>
    <w:rsid w:val="00471C19"/>
    <w:rsid w:val="00476E54"/>
    <w:rsid w:val="004867E3"/>
    <w:rsid w:val="00494A28"/>
    <w:rsid w:val="004C0004"/>
    <w:rsid w:val="004C5D52"/>
    <w:rsid w:val="004C6106"/>
    <w:rsid w:val="0050519A"/>
    <w:rsid w:val="005072A1"/>
    <w:rsid w:val="00514517"/>
    <w:rsid w:val="005346BC"/>
    <w:rsid w:val="00545827"/>
    <w:rsid w:val="00560270"/>
    <w:rsid w:val="00571B6A"/>
    <w:rsid w:val="005C2568"/>
    <w:rsid w:val="005F1B17"/>
    <w:rsid w:val="006037C0"/>
    <w:rsid w:val="006631B6"/>
    <w:rsid w:val="00680577"/>
    <w:rsid w:val="00694B76"/>
    <w:rsid w:val="006D467C"/>
    <w:rsid w:val="006D7A52"/>
    <w:rsid w:val="006F74FA"/>
    <w:rsid w:val="00731ADD"/>
    <w:rsid w:val="00734777"/>
    <w:rsid w:val="0074466D"/>
    <w:rsid w:val="00747932"/>
    <w:rsid w:val="00751A4A"/>
    <w:rsid w:val="00756632"/>
    <w:rsid w:val="00762C74"/>
    <w:rsid w:val="00786EC0"/>
    <w:rsid w:val="007D1690"/>
    <w:rsid w:val="007D7CC6"/>
    <w:rsid w:val="007E22AD"/>
    <w:rsid w:val="00817416"/>
    <w:rsid w:val="008242F9"/>
    <w:rsid w:val="00832B97"/>
    <w:rsid w:val="00842779"/>
    <w:rsid w:val="008625B6"/>
    <w:rsid w:val="00865F67"/>
    <w:rsid w:val="00881A7B"/>
    <w:rsid w:val="008840E5"/>
    <w:rsid w:val="00887B3E"/>
    <w:rsid w:val="008C2AC6"/>
    <w:rsid w:val="008E16CD"/>
    <w:rsid w:val="00914F27"/>
    <w:rsid w:val="00930C23"/>
    <w:rsid w:val="0093193B"/>
    <w:rsid w:val="009509D8"/>
    <w:rsid w:val="00950B64"/>
    <w:rsid w:val="00981893"/>
    <w:rsid w:val="00A1687D"/>
    <w:rsid w:val="00A43E52"/>
    <w:rsid w:val="00A4678D"/>
    <w:rsid w:val="00A62BCA"/>
    <w:rsid w:val="00A778C7"/>
    <w:rsid w:val="00AB441E"/>
    <w:rsid w:val="00AB6293"/>
    <w:rsid w:val="00AE0928"/>
    <w:rsid w:val="00AF3B82"/>
    <w:rsid w:val="00B12E95"/>
    <w:rsid w:val="00B13B02"/>
    <w:rsid w:val="00B22876"/>
    <w:rsid w:val="00B558F0"/>
    <w:rsid w:val="00BD48FE"/>
    <w:rsid w:val="00BD7BD8"/>
    <w:rsid w:val="00BE6ADC"/>
    <w:rsid w:val="00C05BFE"/>
    <w:rsid w:val="00C23CD4"/>
    <w:rsid w:val="00C61C0C"/>
    <w:rsid w:val="00C941CB"/>
    <w:rsid w:val="00CC2357"/>
    <w:rsid w:val="00CF071A"/>
    <w:rsid w:val="00D058B8"/>
    <w:rsid w:val="00D27A41"/>
    <w:rsid w:val="00D347D0"/>
    <w:rsid w:val="00D56C11"/>
    <w:rsid w:val="00D834A0"/>
    <w:rsid w:val="00D872DF"/>
    <w:rsid w:val="00D91E21"/>
    <w:rsid w:val="00DA7FCD"/>
    <w:rsid w:val="00E365E1"/>
    <w:rsid w:val="00E820A4"/>
    <w:rsid w:val="00EB006A"/>
    <w:rsid w:val="00EB4772"/>
    <w:rsid w:val="00EB4F94"/>
    <w:rsid w:val="00ED169E"/>
    <w:rsid w:val="00ED4235"/>
    <w:rsid w:val="00EE747D"/>
    <w:rsid w:val="00F04346"/>
    <w:rsid w:val="00F075DC"/>
    <w:rsid w:val="00F149E9"/>
    <w:rsid w:val="00F27FD8"/>
    <w:rsid w:val="00F5134D"/>
    <w:rsid w:val="00F6392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A2D31"/>
  <w15:chartTrackingRefBased/>
  <w15:docId w15:val="{B23564BF-5D38-45A7-A7D9-15B201E28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346B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346BC"/>
    <w:pPr>
      <w:spacing w:before="480" w:after="240"/>
    </w:pPr>
  </w:style>
  <w:style w:type="paragraph" w:customStyle="1" w:styleId="PageHeading">
    <w:name w:val="PageHeading"/>
    <w:basedOn w:val="Normal"/>
    <w:rsid w:val="005346BC"/>
    <w:pPr>
      <w:keepNext/>
      <w:spacing w:after="480"/>
      <w:jc w:val="center"/>
    </w:pPr>
    <w:rPr>
      <w:rFonts w:ascii="Arial" w:hAnsi="Arial" w:cs="Arial"/>
      <w:b/>
    </w:rPr>
  </w:style>
  <w:style w:type="paragraph" w:customStyle="1" w:styleId="NormalBold">
    <w:name w:val="NormalBold"/>
    <w:basedOn w:val="Normal"/>
    <w:rsid w:val="005346BC"/>
    <w:rPr>
      <w:b/>
    </w:rPr>
  </w:style>
  <w:style w:type="paragraph" w:customStyle="1" w:styleId="NormalHanging12a">
    <w:name w:val="NormalHanging12a"/>
    <w:basedOn w:val="Normal"/>
    <w:link w:val="NormalHanging12aChar"/>
    <w:qFormat/>
    <w:rsid w:val="005346BC"/>
    <w:pPr>
      <w:spacing w:after="240"/>
      <w:ind w:left="567" w:hanging="567"/>
    </w:pPr>
  </w:style>
  <w:style w:type="paragraph" w:styleId="Header">
    <w:name w:val="header"/>
    <w:basedOn w:val="Normal"/>
    <w:link w:val="HeaderChar"/>
    <w:rsid w:val="005346BC"/>
    <w:pPr>
      <w:tabs>
        <w:tab w:val="center" w:pos="4513"/>
        <w:tab w:val="right" w:pos="9026"/>
      </w:tabs>
    </w:pPr>
  </w:style>
  <w:style w:type="character" w:customStyle="1" w:styleId="HeaderChar">
    <w:name w:val="Header Char"/>
    <w:basedOn w:val="DefaultParagraphFont"/>
    <w:link w:val="Header"/>
    <w:rsid w:val="005346BC"/>
    <w:rPr>
      <w:sz w:val="24"/>
      <w:lang w:val="ro-RO"/>
    </w:rPr>
  </w:style>
  <w:style w:type="paragraph" w:customStyle="1" w:styleId="EPFooter">
    <w:name w:val="EPFooter"/>
    <w:basedOn w:val="Normal"/>
    <w:rsid w:val="005346BC"/>
    <w:pPr>
      <w:tabs>
        <w:tab w:val="center" w:pos="4535"/>
        <w:tab w:val="right" w:pos="9071"/>
      </w:tabs>
      <w:spacing w:before="240" w:after="240"/>
    </w:pPr>
    <w:rPr>
      <w:color w:val="010000"/>
      <w:sz w:val="22"/>
    </w:rPr>
  </w:style>
  <w:style w:type="character" w:styleId="Hyperlink">
    <w:name w:val="Hyperlink"/>
    <w:basedOn w:val="DefaultParagraphFont"/>
    <w:rsid w:val="005346BC"/>
    <w:rPr>
      <w:color w:val="0563C1" w:themeColor="hyperlink"/>
      <w:u w:val="single"/>
    </w:rPr>
  </w:style>
  <w:style w:type="character" w:customStyle="1" w:styleId="NormalHanging12aChar">
    <w:name w:val="NormalHanging12a Char"/>
    <w:basedOn w:val="DefaultParagraphFont"/>
    <w:link w:val="NormalHanging12a"/>
    <w:locked/>
    <w:rsid w:val="005346BC"/>
    <w:rPr>
      <w:sz w:val="24"/>
      <w:lang w:val="ro-RO"/>
    </w:rPr>
  </w:style>
  <w:style w:type="paragraph" w:customStyle="1" w:styleId="Normal12a">
    <w:name w:val="Normal12a"/>
    <w:basedOn w:val="Normal"/>
    <w:rsid w:val="005346BC"/>
    <w:pPr>
      <w:spacing w:after="240"/>
    </w:pPr>
  </w:style>
  <w:style w:type="paragraph" w:customStyle="1" w:styleId="PageHeadingNotTOC">
    <w:name w:val="PageHeadingNotTOC"/>
    <w:basedOn w:val="Normal"/>
    <w:rsid w:val="005346BC"/>
    <w:pPr>
      <w:keepNext/>
      <w:spacing w:after="480"/>
      <w:jc w:val="center"/>
    </w:pPr>
    <w:rPr>
      <w:rFonts w:ascii="Arial" w:hAnsi="Arial" w:cs="Arial"/>
      <w:b/>
    </w:rPr>
  </w:style>
  <w:style w:type="paragraph" w:customStyle="1" w:styleId="Normal24a">
    <w:name w:val="Normal24a"/>
    <w:basedOn w:val="Normal"/>
    <w:link w:val="Normal24aChar"/>
    <w:rsid w:val="005346BC"/>
    <w:pPr>
      <w:spacing w:after="480"/>
    </w:pPr>
  </w:style>
  <w:style w:type="character" w:customStyle="1" w:styleId="Normal24aChar">
    <w:name w:val="Normal24a Char"/>
    <w:basedOn w:val="DefaultParagraphFont"/>
    <w:link w:val="Normal24a"/>
    <w:rsid w:val="005346BC"/>
    <w:rPr>
      <w:sz w:val="24"/>
      <w:lang w:val="ro-RO"/>
    </w:rPr>
  </w:style>
  <w:style w:type="paragraph" w:styleId="Footer">
    <w:name w:val="footer"/>
    <w:basedOn w:val="Normal"/>
    <w:link w:val="FooterChar"/>
    <w:rsid w:val="004C6106"/>
    <w:pPr>
      <w:tabs>
        <w:tab w:val="center" w:pos="4513"/>
        <w:tab w:val="right" w:pos="9026"/>
      </w:tabs>
    </w:pPr>
  </w:style>
  <w:style w:type="character" w:customStyle="1" w:styleId="FooterChar">
    <w:name w:val="Footer Char"/>
    <w:basedOn w:val="DefaultParagraphFont"/>
    <w:link w:val="Footer"/>
    <w:rsid w:val="004C6106"/>
    <w:rPr>
      <w:sz w:val="24"/>
      <w:lang w:val="ro-RO"/>
    </w:rPr>
  </w:style>
  <w:style w:type="paragraph" w:styleId="Revision">
    <w:name w:val="Revision"/>
    <w:hidden/>
    <w:uiPriority w:val="99"/>
    <w:semiHidden/>
    <w:rsid w:val="004C610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24/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dec/2024/14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15341</Words>
  <Characters>89496</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2026-05-19T14:27:00Z</dcterms:created>
  <dcterms:modified xsi:type="dcterms:W3CDTF">2026-05-19T14:27:00Z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P10_TA(2026)0130_</vt:lpwstr>
  </property>
  <property fmtid="{D5CDD505-2E9C-101B-9397-08002B2CF9AE}" pid="4" name="&lt;Type&gt;">
    <vt:lpwstr>RR</vt:lpwstr>
  </property>
</Properties>
</file>