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D54" w14:paraId="29C14FCE" w14:textId="77777777" w:rsidTr="0010095E">
        <w:trPr>
          <w:trHeight w:hRule="exact" w:val="1418"/>
        </w:trPr>
        <w:tc>
          <w:tcPr>
            <w:tcW w:w="6804" w:type="dxa"/>
            <w:shd w:val="clear" w:color="auto" w:fill="auto"/>
            <w:vAlign w:val="center"/>
          </w:tcPr>
          <w:p w14:paraId="59F23AD3" w14:textId="77777777" w:rsidR="00751A4A" w:rsidRPr="00C42D54" w:rsidRDefault="006A5358" w:rsidP="0010095E">
            <w:pPr>
              <w:pStyle w:val="EPName"/>
            </w:pPr>
            <w:r w:rsidRPr="00C42D54">
              <w:t>Európsky parlament</w:t>
            </w:r>
          </w:p>
          <w:p w14:paraId="3CC78A7E" w14:textId="77777777" w:rsidR="00751A4A" w:rsidRPr="00C42D54" w:rsidRDefault="005F1B17" w:rsidP="005F1B17">
            <w:pPr>
              <w:pStyle w:val="EPTerm"/>
              <w:rPr>
                <w:rStyle w:val="HideTWBExt"/>
                <w:noProof w:val="0"/>
                <w:vanish w:val="0"/>
                <w:color w:val="auto"/>
              </w:rPr>
            </w:pPr>
            <w:r w:rsidRPr="00C42D54">
              <w:t>2024</w:t>
            </w:r>
            <w:r w:rsidR="00817416" w:rsidRPr="00C42D54">
              <w:t>-202</w:t>
            </w:r>
            <w:r w:rsidRPr="00C42D54">
              <w:t>9</w:t>
            </w:r>
          </w:p>
        </w:tc>
        <w:tc>
          <w:tcPr>
            <w:tcW w:w="2268" w:type="dxa"/>
            <w:shd w:val="clear" w:color="auto" w:fill="auto"/>
          </w:tcPr>
          <w:p w14:paraId="4E18D572" w14:textId="77777777" w:rsidR="00751A4A" w:rsidRPr="00C42D54" w:rsidRDefault="00187494" w:rsidP="0010095E">
            <w:pPr>
              <w:pStyle w:val="EPLogo"/>
            </w:pPr>
            <w:r w:rsidRPr="00C42D54">
              <w:rPr>
                <w:noProof/>
                <w:lang w:eastAsia="ja-JP"/>
              </w:rPr>
              <w:drawing>
                <wp:inline distT="0" distB="0" distL="0" distR="0" wp14:anchorId="57FD4F0A" wp14:editId="2BCE21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1F600F" w14:textId="77777777" w:rsidR="00D058B8" w:rsidRPr="00C42D54" w:rsidRDefault="00D058B8" w:rsidP="004C5D52">
      <w:pPr>
        <w:pStyle w:val="LineTop"/>
      </w:pPr>
    </w:p>
    <w:p w14:paraId="66B51190" w14:textId="77777777" w:rsidR="00680577" w:rsidRPr="00C42D54" w:rsidRDefault="006A5358" w:rsidP="00680577">
      <w:pPr>
        <w:pStyle w:val="EPBodyTA1"/>
      </w:pPr>
      <w:r w:rsidRPr="00C42D54">
        <w:t>PRIJATÉ TEXTY</w:t>
      </w:r>
    </w:p>
    <w:p w14:paraId="4B6FB3BA" w14:textId="77777777" w:rsidR="00D058B8" w:rsidRPr="00C42D54" w:rsidRDefault="00D058B8" w:rsidP="00D058B8">
      <w:pPr>
        <w:pStyle w:val="LineBottom"/>
      </w:pPr>
    </w:p>
    <w:p w14:paraId="174ECE6C" w14:textId="5FAABB13" w:rsidR="006A5358" w:rsidRPr="00C42D54" w:rsidRDefault="006A5358" w:rsidP="006A5358">
      <w:pPr>
        <w:pStyle w:val="ATHeading1"/>
      </w:pPr>
      <w:bookmarkStart w:id="0" w:name="TANumber"/>
      <w:r w:rsidRPr="00C42D54">
        <w:t>P10_TA(2026)0</w:t>
      </w:r>
      <w:r w:rsidR="00C42D54" w:rsidRPr="00C42D54">
        <w:t>130</w:t>
      </w:r>
      <w:bookmarkEnd w:id="0"/>
    </w:p>
    <w:p w14:paraId="4551D5A2" w14:textId="77777777" w:rsidR="006A5358" w:rsidRPr="00C42D54" w:rsidRDefault="006A5358" w:rsidP="006A5358">
      <w:pPr>
        <w:pStyle w:val="ATHeading2"/>
      </w:pPr>
      <w:bookmarkStart w:id="1" w:name="title"/>
      <w:r w:rsidRPr="00C42D54">
        <w:t>Absolutórium za rok 2024: všeobecný rozpočet EÚ – Európska služba pre vonkajšiu činnosť</w:t>
      </w:r>
      <w:bookmarkEnd w:id="1"/>
    </w:p>
    <w:p w14:paraId="6F7D7DDE" w14:textId="77777777" w:rsidR="006A5358" w:rsidRPr="00C42D54" w:rsidRDefault="006A5358" w:rsidP="006A5358">
      <w:pPr>
        <w:rPr>
          <w:i/>
          <w:vanish/>
        </w:rPr>
      </w:pPr>
      <w:r w:rsidRPr="00C42D54">
        <w:rPr>
          <w:i/>
        </w:rPr>
        <w:fldChar w:fldCharType="begin"/>
      </w:r>
      <w:r w:rsidRPr="00C42D54">
        <w:rPr>
          <w:i/>
        </w:rPr>
        <w:instrText xml:space="preserve"> TC"(</w:instrText>
      </w:r>
      <w:bookmarkStart w:id="2" w:name="DocNumber"/>
      <w:r w:rsidRPr="00C42D54">
        <w:rPr>
          <w:i/>
        </w:rPr>
        <w:instrText>A10-0053/2026</w:instrText>
      </w:r>
      <w:bookmarkEnd w:id="2"/>
      <w:r w:rsidRPr="00C42D54">
        <w:rPr>
          <w:i/>
        </w:rPr>
        <w:instrText xml:space="preserve"> - Spravodajca: Pasquale Tridico)"\l3 \n&gt; \* MERGEFORMAT </w:instrText>
      </w:r>
      <w:r w:rsidRPr="00C42D54">
        <w:rPr>
          <w:i/>
        </w:rPr>
        <w:fldChar w:fldCharType="end"/>
      </w:r>
    </w:p>
    <w:p w14:paraId="3C529B92" w14:textId="77777777" w:rsidR="006A5358" w:rsidRPr="00C42D54" w:rsidRDefault="006A5358" w:rsidP="006A5358">
      <w:pPr>
        <w:rPr>
          <w:vanish/>
        </w:rPr>
      </w:pPr>
      <w:bookmarkStart w:id="3" w:name="Commission"/>
      <w:r w:rsidRPr="00C42D54">
        <w:rPr>
          <w:vanish/>
        </w:rPr>
        <w:t>Výbor pre kontrolu rozpočtu</w:t>
      </w:r>
      <w:bookmarkEnd w:id="3"/>
    </w:p>
    <w:p w14:paraId="4826F57F" w14:textId="77777777" w:rsidR="006A5358" w:rsidRPr="00C42D54" w:rsidRDefault="006A5358" w:rsidP="006A5358">
      <w:pPr>
        <w:rPr>
          <w:vanish/>
        </w:rPr>
      </w:pPr>
      <w:bookmarkStart w:id="4" w:name="PE"/>
      <w:r w:rsidRPr="00C42D54">
        <w:rPr>
          <w:vanish/>
        </w:rPr>
        <w:t>PE778.061</w:t>
      </w:r>
      <w:bookmarkEnd w:id="4"/>
    </w:p>
    <w:p w14:paraId="19A4F197" w14:textId="384578E8" w:rsidR="006A5358" w:rsidRPr="00C42D54" w:rsidRDefault="003C0388" w:rsidP="006A5358">
      <w:pPr>
        <w:pStyle w:val="ATHeading3"/>
      </w:pPr>
      <w:bookmarkStart w:id="5" w:name="Sujet"/>
      <w:r w:rsidRPr="00C42D54">
        <w:t xml:space="preserve">1. </w:t>
      </w:r>
      <w:r w:rsidR="006A5358" w:rsidRPr="00C42D54">
        <w:t xml:space="preserve">Rozhodnutie Európskeho parlamentu z </w:t>
      </w:r>
      <w:r w:rsidR="00F61F29" w:rsidRPr="00C42D54">
        <w:t>29</w:t>
      </w:r>
      <w:r w:rsidR="006A5358" w:rsidRPr="00C42D54">
        <w:t xml:space="preserve">. </w:t>
      </w:r>
      <w:r w:rsidR="00AA21BD" w:rsidRPr="00C42D54">
        <w:t xml:space="preserve">apríla </w:t>
      </w:r>
      <w:r w:rsidR="006A5358" w:rsidRPr="00C42D54">
        <w:t>2026 o absolutóriu za plnenie všeobecného rozpočtu Európskej únie za rozpočtový rok 2024, oddiel X – Európska služba pre vonkajšiu činnosť</w:t>
      </w:r>
      <w:bookmarkEnd w:id="5"/>
      <w:r w:rsidR="006A5358" w:rsidRPr="00C42D54">
        <w:t xml:space="preserve"> </w:t>
      </w:r>
      <w:bookmarkStart w:id="6" w:name="References"/>
      <w:r w:rsidR="006A5358" w:rsidRPr="00C42D54">
        <w:t>(2025/2150(DEC))</w:t>
      </w:r>
      <w:bookmarkEnd w:id="6"/>
    </w:p>
    <w:p w14:paraId="5032C34B" w14:textId="77777777" w:rsidR="00572096" w:rsidRPr="00C42D54" w:rsidRDefault="00572096" w:rsidP="00572096">
      <w:pPr>
        <w:pStyle w:val="EPComma"/>
      </w:pPr>
      <w:bookmarkStart w:id="7" w:name="TextBodyBegin"/>
      <w:bookmarkEnd w:id="7"/>
      <w:r w:rsidRPr="00C42D54">
        <w:rPr>
          <w:i/>
          <w:iCs/>
        </w:rPr>
        <w:t>Európsky parlament</w:t>
      </w:r>
      <w:r w:rsidRPr="00C42D54">
        <w:t>,</w:t>
      </w:r>
    </w:p>
    <w:p w14:paraId="467AE698" w14:textId="77777777" w:rsidR="00572096" w:rsidRPr="00C42D54" w:rsidRDefault="00572096" w:rsidP="00572096">
      <w:pPr>
        <w:pStyle w:val="NormalHanging12a"/>
      </w:pPr>
      <w:r w:rsidRPr="00C42D54">
        <w:t>–</w:t>
      </w:r>
      <w:r w:rsidRPr="00C42D54">
        <w:tab/>
        <w:t>so zreteľom na všeobecný rozpočet Európskej únie na rozpočtový rok 2024</w:t>
      </w:r>
      <w:r w:rsidRPr="00C42D54">
        <w:rPr>
          <w:rStyle w:val="FootnoteReference"/>
        </w:rPr>
        <w:footnoteReference w:id="1"/>
      </w:r>
      <w:r w:rsidRPr="00C42D54">
        <w:t>,</w:t>
      </w:r>
    </w:p>
    <w:p w14:paraId="73ED2098" w14:textId="77777777" w:rsidR="00572096" w:rsidRPr="00C42D54" w:rsidRDefault="00572096" w:rsidP="00572096">
      <w:pPr>
        <w:pStyle w:val="NormalHanging12a"/>
      </w:pPr>
      <w:r w:rsidRPr="00C42D54">
        <w:t>–</w:t>
      </w:r>
      <w:r w:rsidRPr="00C42D54">
        <w:tab/>
        <w:t>so zreteľom na konsolidovanú ročnú účtovnú závierku Európskej únie za rozpočtový rok 2024 (COM(2025)0359 – C10</w:t>
      </w:r>
      <w:r w:rsidRPr="00C42D54">
        <w:noBreakHyphen/>
        <w:t>0150/2025)</w:t>
      </w:r>
      <w:r w:rsidRPr="00C42D54">
        <w:rPr>
          <w:rStyle w:val="FootnoteReference"/>
        </w:rPr>
        <w:footnoteReference w:id="2"/>
      </w:r>
      <w:r w:rsidRPr="00C42D54">
        <w:t>,</w:t>
      </w:r>
    </w:p>
    <w:p w14:paraId="6B085D14" w14:textId="77777777" w:rsidR="00572096" w:rsidRPr="00C42D54" w:rsidRDefault="00572096" w:rsidP="00572096">
      <w:pPr>
        <w:pStyle w:val="NormalHanging12a"/>
      </w:pPr>
      <w:r w:rsidRPr="00C42D54">
        <w:t>–</w:t>
      </w:r>
      <w:r w:rsidRPr="00C42D54">
        <w:tab/>
        <w:t>so zreteľom na výročnú správu Európskej služby pre vonkajšiu činnosť o vnútorných auditoch vykonaných v roku 2024 pre orgán udeľujúci absolutórium,</w:t>
      </w:r>
    </w:p>
    <w:p w14:paraId="3AE7BDD4" w14:textId="77777777" w:rsidR="00572096" w:rsidRPr="00C42D54" w:rsidRDefault="00572096" w:rsidP="00572096">
      <w:pPr>
        <w:pStyle w:val="NormalHanging12a"/>
      </w:pPr>
      <w:r w:rsidRPr="00C42D54">
        <w:t>–</w:t>
      </w:r>
      <w:r w:rsidRPr="00C42D54">
        <w:tab/>
        <w:t>so zreteľom na výročnú správu Dvora audítorov o plnení rozpočtu za rozpočtový rok 2024 spolu s odpoveďami inštitúcií</w:t>
      </w:r>
      <w:r w:rsidRPr="00C42D54">
        <w:rPr>
          <w:rStyle w:val="FootnoteReference"/>
        </w:rPr>
        <w:footnoteReference w:id="3"/>
      </w:r>
      <w:r w:rsidRPr="00C42D54">
        <w:t>,</w:t>
      </w:r>
    </w:p>
    <w:p w14:paraId="676A47B4" w14:textId="77777777" w:rsidR="00572096" w:rsidRPr="00C42D54" w:rsidRDefault="00572096" w:rsidP="00572096">
      <w:pPr>
        <w:pStyle w:val="NormalHanging12a"/>
      </w:pPr>
      <w:r w:rsidRPr="00C42D54">
        <w:t>–</w:t>
      </w:r>
      <w:r w:rsidRPr="00C42D54">
        <w:tab/>
        <w:t>so zreteľom na vyhlásenie o vierohodnosti</w:t>
      </w:r>
      <w:r w:rsidRPr="00C42D54">
        <w:rPr>
          <w:rStyle w:val="FootnoteReference"/>
        </w:rPr>
        <w:footnoteReference w:id="4"/>
      </w:r>
      <w:r w:rsidRPr="00C42D54">
        <w:t xml:space="preserve"> vedenia účtov a zákonnosti a správnosti príslušných operácií, ktoré poskytol Dvor audítorov za rozpočtový rok 2024 v súlade s článkom 287 Zmluvy o fungovaní Európskej únie,</w:t>
      </w:r>
    </w:p>
    <w:p w14:paraId="734DAE7C" w14:textId="77777777" w:rsidR="00572096" w:rsidRPr="00C42D54" w:rsidRDefault="00572096" w:rsidP="00572096">
      <w:pPr>
        <w:pStyle w:val="NormalHanging12a"/>
      </w:pPr>
      <w:r w:rsidRPr="00C42D54">
        <w:t>–</w:t>
      </w:r>
      <w:r w:rsidRPr="00C42D54">
        <w:tab/>
        <w:t>so zreteľom na článok 314 ods. 10 a články 317, 318 a 319 Zmluvy o fungovaní Európskej únie,</w:t>
      </w:r>
    </w:p>
    <w:p w14:paraId="062BD30C" w14:textId="77777777" w:rsidR="00572096" w:rsidRPr="00C42D54" w:rsidRDefault="00572096" w:rsidP="00572096">
      <w:pPr>
        <w:pStyle w:val="NormalHanging12a"/>
      </w:pPr>
      <w:r w:rsidRPr="00C42D54">
        <w:t>–</w:t>
      </w:r>
      <w:r w:rsidRPr="00C42D54">
        <w:tab/>
        <w:t xml:space="preserve">so zreteľom na nariadenie Európskeho parlamentu a Rady (EÚ, </w:t>
      </w:r>
      <w:proofErr w:type="spellStart"/>
      <w:r w:rsidRPr="00C42D54">
        <w:t>Euratom</w:t>
      </w:r>
      <w:proofErr w:type="spellEnd"/>
      <w:r w:rsidRPr="00C42D54">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C42D54">
        <w:t>Euratom</w:t>
      </w:r>
      <w:proofErr w:type="spellEnd"/>
      <w:r w:rsidRPr="00C42D54">
        <w:t xml:space="preserve">) </w:t>
      </w:r>
      <w:r w:rsidRPr="00C42D54">
        <w:lastRenderedPageBreak/>
        <w:t>č. 966/2012</w:t>
      </w:r>
      <w:r w:rsidRPr="00C42D54">
        <w:rPr>
          <w:rStyle w:val="FootnoteReference"/>
        </w:rPr>
        <w:footnoteReference w:id="5"/>
      </w:r>
      <w:r w:rsidRPr="00C42D54">
        <w:t>, a najmä na jeho články 59, 118 a 260 až 263,</w:t>
      </w:r>
    </w:p>
    <w:p w14:paraId="5A4C1A8C" w14:textId="77777777" w:rsidR="00572096" w:rsidRPr="00C42D54" w:rsidRDefault="00572096" w:rsidP="00572096">
      <w:pPr>
        <w:pStyle w:val="NormalHanging12a"/>
      </w:pPr>
      <w:r w:rsidRPr="00C42D54">
        <w:t>–</w:t>
      </w:r>
      <w:r w:rsidRPr="00C42D54">
        <w:tab/>
        <w:t xml:space="preserve">so zreteľom na nariadenie Európskeho parlamentu a Rady (EÚ, </w:t>
      </w:r>
      <w:proofErr w:type="spellStart"/>
      <w:r w:rsidRPr="00C42D54">
        <w:t>Euratom</w:t>
      </w:r>
      <w:proofErr w:type="spellEnd"/>
      <w:r w:rsidRPr="00C42D54">
        <w:t>) 2024/2509 z 23. septembra 2024 o rozpočtových pravidlách, ktoré sa vzťahujú na všeobecný rozpočet Únie</w:t>
      </w:r>
      <w:r w:rsidRPr="00C42D54">
        <w:rPr>
          <w:rStyle w:val="FootnoteReference"/>
        </w:rPr>
        <w:footnoteReference w:id="6"/>
      </w:r>
      <w:r w:rsidRPr="00C42D54">
        <w:t>, a najmä na jeho články 59, 118 a 266 až 269,</w:t>
      </w:r>
    </w:p>
    <w:p w14:paraId="34A346A0" w14:textId="77777777" w:rsidR="00572096" w:rsidRPr="00C42D54" w:rsidRDefault="00572096" w:rsidP="00572096">
      <w:pPr>
        <w:pStyle w:val="NormalHanging12a"/>
      </w:pPr>
      <w:r w:rsidRPr="00C42D54">
        <w:t>–</w:t>
      </w:r>
      <w:r w:rsidRPr="00C42D54">
        <w:tab/>
        <w:t>so zreteľom na rozhodnutie Rady 2010/427/EÚ z 26. júla 2010 o organizácii a fungovaní Európskej služby pre vonkajšiu činnosť</w:t>
      </w:r>
      <w:r w:rsidRPr="00C42D54">
        <w:rPr>
          <w:rStyle w:val="FootnoteReference"/>
        </w:rPr>
        <w:footnoteReference w:id="7"/>
      </w:r>
      <w:r w:rsidRPr="00C42D54">
        <w:t>, a najmä na jeho článok 8,</w:t>
      </w:r>
    </w:p>
    <w:p w14:paraId="76D932D3" w14:textId="77777777" w:rsidR="00572096" w:rsidRPr="00C42D54" w:rsidRDefault="00572096" w:rsidP="00572096">
      <w:pPr>
        <w:pStyle w:val="NormalHanging12a"/>
      </w:pPr>
      <w:r w:rsidRPr="00C42D54">
        <w:t>–</w:t>
      </w:r>
      <w:r w:rsidRPr="00C42D54">
        <w:tab/>
        <w:t>so zreteľom na článok 102 a prílohu V k rokovaciemu poriadku,</w:t>
      </w:r>
    </w:p>
    <w:p w14:paraId="057FCC88" w14:textId="77777777" w:rsidR="00572096" w:rsidRPr="00C42D54" w:rsidRDefault="00572096" w:rsidP="00572096">
      <w:pPr>
        <w:pStyle w:val="NormalHanging12a"/>
        <w:rPr>
          <w:szCs w:val="24"/>
        </w:rPr>
      </w:pPr>
      <w:r w:rsidRPr="00C42D54">
        <w:t>–</w:t>
      </w:r>
      <w:r w:rsidRPr="00C42D54">
        <w:tab/>
        <w:t>so zreteľom na stanovisko Výboru pre zahraničné veci,</w:t>
      </w:r>
    </w:p>
    <w:p w14:paraId="12D624E6" w14:textId="77777777" w:rsidR="00572096" w:rsidRPr="00C42D54" w:rsidRDefault="00572096" w:rsidP="00572096">
      <w:pPr>
        <w:pStyle w:val="NormalHanging12a"/>
      </w:pPr>
      <w:r w:rsidRPr="00C42D54">
        <w:t>–</w:t>
      </w:r>
      <w:r w:rsidRPr="00C42D54">
        <w:tab/>
        <w:t>so zreteľom na správu Výboru pre kontrolu rozpočtu (A10-0053/2026),</w:t>
      </w:r>
    </w:p>
    <w:p w14:paraId="3C523477" w14:textId="77777777" w:rsidR="00572096" w:rsidRPr="00C42D54" w:rsidRDefault="00572096" w:rsidP="00572096">
      <w:pPr>
        <w:pStyle w:val="NormalHanging12a"/>
      </w:pPr>
      <w:r w:rsidRPr="00C42D54">
        <w:t>1.</w:t>
      </w:r>
      <w:r w:rsidRPr="00C42D54">
        <w:tab/>
        <w:t>udeľuje vysokej predstaviteľke Únie pre zahraničné veci a bezpečnostnú politiku absolutórium za plnenie rozpočtu Európskej služby pre vonkajšiu činnosť za rozpočtový rok 2024;</w:t>
      </w:r>
    </w:p>
    <w:p w14:paraId="38B399D0" w14:textId="77777777" w:rsidR="00572096" w:rsidRPr="00C42D54" w:rsidRDefault="00572096" w:rsidP="00572096">
      <w:pPr>
        <w:pStyle w:val="NormalHanging12a"/>
      </w:pPr>
      <w:r w:rsidRPr="00C42D54">
        <w:t>2.</w:t>
      </w:r>
      <w:r w:rsidRPr="00C42D54">
        <w:tab/>
        <w:t>uvádza svoje poznámky v priloženom uznesení;</w:t>
      </w:r>
    </w:p>
    <w:p w14:paraId="5D209F92" w14:textId="77777777" w:rsidR="00572096" w:rsidRPr="00C42D54" w:rsidRDefault="00572096" w:rsidP="00572096">
      <w:pPr>
        <w:pStyle w:val="NormalHanging12a"/>
      </w:pPr>
      <w:r w:rsidRPr="00C42D54">
        <w:t>3.</w:t>
      </w:r>
      <w:r w:rsidRPr="00C42D54">
        <w:tab/>
        <w:t xml:space="preserve">poveruje svoju predsedníčku, aby postúpila toto rozhodnutie a uznesenie, ktoré je jeho neoddeliteľnou súčasťou, Európskej službe pre vonkajšiu činnosť, Rade, Komisii, Dvoru audítorov, európskemu ombudsmanovi a európskemu dozornému úradníkovi pre ochranu údajov a aby zabezpečila ich uverejnenie v </w:t>
      </w:r>
      <w:r w:rsidRPr="00C42D54">
        <w:rPr>
          <w:i/>
        </w:rPr>
        <w:t>Úradnom vestníku Európskej únie</w:t>
      </w:r>
      <w:r w:rsidRPr="00C42D54">
        <w:t xml:space="preserve"> (v sérii L).</w:t>
      </w:r>
    </w:p>
    <w:p w14:paraId="47968A2B" w14:textId="77777777" w:rsidR="00572096" w:rsidRPr="00C42D54" w:rsidRDefault="00572096" w:rsidP="00572096">
      <w:pPr>
        <w:pStyle w:val="PageHeading"/>
        <w:jc w:val="left"/>
        <w:sectPr w:rsidR="00572096" w:rsidRPr="00C42D54" w:rsidSect="00FE645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BB9CE2" w14:textId="3BF02E60" w:rsidR="003C0388" w:rsidRPr="00C42D54" w:rsidRDefault="003C0388" w:rsidP="003C0388">
      <w:pPr>
        <w:pStyle w:val="ATHeading3"/>
      </w:pPr>
      <w:r w:rsidRPr="00C42D54">
        <w:lastRenderedPageBreak/>
        <w:t xml:space="preserve">2. Uznesenie Európskeho parlamentu z </w:t>
      </w:r>
      <w:r w:rsidR="00F61F29" w:rsidRPr="00C42D54">
        <w:t>29</w:t>
      </w:r>
      <w:r w:rsidRPr="00C42D54">
        <w:t xml:space="preserve">. </w:t>
      </w:r>
      <w:r w:rsidR="00AA21BD" w:rsidRPr="00C42D54">
        <w:t xml:space="preserve">apríla </w:t>
      </w:r>
      <w:r w:rsidRPr="00C42D54">
        <w:t xml:space="preserve">2026 s poznámkami, ktoré </w:t>
      </w:r>
      <w:r w:rsidR="00AA21BD" w:rsidRPr="00C42D54">
        <w:t xml:space="preserve">je </w:t>
      </w:r>
      <w:r w:rsidRPr="00C42D54">
        <w:t>neoddeliteľnou súčasťou rozhodnutia o absolutóriu za plnenie všeobecného rozpočtu Európskej únie za rozpočtový rok 2024, oddiel X – Európska služba pre vonkajšiu činnosť (2025/2150(DEC))</w:t>
      </w:r>
    </w:p>
    <w:p w14:paraId="228372C7" w14:textId="77777777" w:rsidR="00572096" w:rsidRPr="00C42D54" w:rsidRDefault="00572096" w:rsidP="00572096">
      <w:pPr>
        <w:pStyle w:val="EPComma"/>
      </w:pPr>
      <w:r w:rsidRPr="00C42D54">
        <w:rPr>
          <w:i/>
          <w:iCs/>
        </w:rPr>
        <w:t>Európsky parlament</w:t>
      </w:r>
      <w:r w:rsidRPr="00C42D54">
        <w:t>,</w:t>
      </w:r>
    </w:p>
    <w:p w14:paraId="27D700DB" w14:textId="77777777" w:rsidR="00572096" w:rsidRPr="00C42D54" w:rsidRDefault="00572096" w:rsidP="00572096">
      <w:pPr>
        <w:pStyle w:val="NormalHanging12a"/>
      </w:pPr>
      <w:r w:rsidRPr="00C42D54">
        <w:t>–</w:t>
      </w:r>
      <w:r w:rsidRPr="00C42D54">
        <w:tab/>
        <w:t>so zreteľom na svoje rozhodnutie o absolutóriu za plnenie všeobecného rozpočtu Európskej únie za rozpočtový rok 2024, oddiel X – Európska služba pre vonkajšiu činnosť,</w:t>
      </w:r>
    </w:p>
    <w:p w14:paraId="7E488CC0" w14:textId="77777777" w:rsidR="00572096" w:rsidRPr="00C42D54" w:rsidRDefault="00572096" w:rsidP="00572096">
      <w:pPr>
        <w:pStyle w:val="NormalHanging12a"/>
      </w:pPr>
      <w:r w:rsidRPr="00C42D54">
        <w:t>–</w:t>
      </w:r>
      <w:r w:rsidRPr="00C42D54">
        <w:tab/>
        <w:t>so zreteľom na článok 102 a prílohu V k rokovaciemu poriadku,</w:t>
      </w:r>
    </w:p>
    <w:p w14:paraId="404C8E9F" w14:textId="77777777" w:rsidR="00572096" w:rsidRPr="00C42D54" w:rsidRDefault="00572096" w:rsidP="00572096">
      <w:pPr>
        <w:pStyle w:val="NormalHanging12a"/>
        <w:rPr>
          <w:szCs w:val="24"/>
        </w:rPr>
      </w:pPr>
      <w:r w:rsidRPr="00C42D54">
        <w:t>–</w:t>
      </w:r>
      <w:r w:rsidRPr="00C42D54">
        <w:tab/>
        <w:t>so zreteľom na stanovisko Výboru pre zahraničné veci,</w:t>
      </w:r>
    </w:p>
    <w:p w14:paraId="540840C1" w14:textId="77777777" w:rsidR="00572096" w:rsidRPr="00C42D54" w:rsidRDefault="00572096" w:rsidP="00572096">
      <w:pPr>
        <w:pStyle w:val="NormalHanging12a"/>
      </w:pPr>
      <w:r w:rsidRPr="00C42D54">
        <w:t>–</w:t>
      </w:r>
      <w:r w:rsidRPr="00C42D54">
        <w:tab/>
        <w:t>so zreteľom na správu Výboru pre kontrolu rozpočtu (A10-0053/2026),</w:t>
      </w:r>
    </w:p>
    <w:p w14:paraId="5BA90188" w14:textId="77777777" w:rsidR="00572096" w:rsidRPr="00C42D54" w:rsidRDefault="00572096" w:rsidP="00572096">
      <w:pPr>
        <w:pStyle w:val="NormalHanging12a"/>
      </w:pPr>
      <w:r w:rsidRPr="00C42D54">
        <w:t>A.</w:t>
      </w:r>
      <w:r w:rsidRPr="00C42D54">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14:paraId="7DAC9AF0" w14:textId="77777777" w:rsidR="00572096" w:rsidRPr="00C42D54" w:rsidRDefault="00572096" w:rsidP="00572096">
      <w:pPr>
        <w:pStyle w:val="NormalHanging12a"/>
      </w:pPr>
      <w:r w:rsidRPr="00C42D54">
        <w:t>B.</w:t>
      </w:r>
      <w:r w:rsidRPr="00C42D54">
        <w:tab/>
        <w:t>keďže Európska služba pre vonkajšiu činnosť (ďalej len „ESVČ“) je zodpovedná za riadenie administratívnych výdavkov svojho ústredia v Bruseli a za sieť 145 delegácií a úradov Únie;</w:t>
      </w:r>
    </w:p>
    <w:p w14:paraId="61C0F5E7" w14:textId="77777777" w:rsidR="00572096" w:rsidRPr="00C42D54" w:rsidRDefault="00572096" w:rsidP="00572096">
      <w:pPr>
        <w:pStyle w:val="NormalHanging12a"/>
      </w:pPr>
      <w:r w:rsidRPr="00C42D54">
        <w:t>C.</w:t>
      </w:r>
      <w:r w:rsidRPr="00C42D54">
        <w:tab/>
        <w:t>keďže zodpovednosť ESVČ sa rozšírila na administratívne riadenie zamestnancov Komisie v delegáciách Únie prostredníctvom série dohôd o úrovni poskytovaných služieb (SLA);</w:t>
      </w:r>
    </w:p>
    <w:p w14:paraId="42A67D8D" w14:textId="77777777" w:rsidR="00572096" w:rsidRPr="00C42D54" w:rsidRDefault="00572096" w:rsidP="00572096">
      <w:pPr>
        <w:pStyle w:val="NormalHanging12a"/>
      </w:pPr>
      <w:r w:rsidRPr="00C42D54">
        <w:t>D.</w:t>
      </w:r>
      <w:r w:rsidRPr="00C42D54">
        <w:tab/>
        <w:t>keďže právomoci zverené služobným poriadkom menovaciemu orgánu, pokiaľ ide o zamestnancov ESVČ, vykonáva podpredsedníčka Komisie/vysoká predstaviteľka Únie pre zahraničné veci a bezpečnostnú politiku (ďalej len „podpredsedníčka Komisie/vysoká predstaviteľka“);</w:t>
      </w:r>
    </w:p>
    <w:p w14:paraId="082B73E0" w14:textId="77777777" w:rsidR="00572096" w:rsidRPr="00C42D54" w:rsidRDefault="00572096" w:rsidP="00572096">
      <w:pPr>
        <w:pStyle w:val="NormalHanging12a"/>
      </w:pPr>
      <w:r w:rsidRPr="00C42D54">
        <w:t>E.</w:t>
      </w:r>
      <w:r w:rsidRPr="00C42D54">
        <w:tab/>
        <w:t>keďže plnenie rozpočtu sa riadi nariadením o rozpočtových pravidlách a vnútornými pravidlami plnenia rozpočtu ESVČ (ďalej len „vnútorné pravidlá“);</w:t>
      </w:r>
    </w:p>
    <w:p w14:paraId="06091033" w14:textId="0B9A745E" w:rsidR="00572096" w:rsidRPr="00C42D54" w:rsidRDefault="00572096" w:rsidP="00572096">
      <w:pPr>
        <w:pStyle w:val="NormalHanging12a"/>
      </w:pPr>
      <w:r w:rsidRPr="00C42D54">
        <w:t>F</w:t>
      </w:r>
      <w:r w:rsidR="00451280">
        <w:t>.</w:t>
      </w:r>
      <w:r w:rsidRPr="00C42D54">
        <w:tab/>
        <w:t xml:space="preserve">keďže podľa vnútorných pravidiel pôsobí generálny tajomník ESVČ pre ESVČ ako povoľujúci úradník vymenovaný delegovaním a generálny riaditeľ pre riadenie zdrojov má úlohu hlavného povoľujúceho úradníka vymenovaného </w:t>
      </w:r>
      <w:proofErr w:type="spellStart"/>
      <w:r w:rsidRPr="00C42D54">
        <w:t>subdelegovaním</w:t>
      </w:r>
      <w:proofErr w:type="spellEnd"/>
      <w:r w:rsidRPr="00C42D54">
        <w:t>;</w:t>
      </w:r>
    </w:p>
    <w:p w14:paraId="24BF345E" w14:textId="77777777" w:rsidR="00572096" w:rsidRPr="00C42D54" w:rsidRDefault="00572096" w:rsidP="00572096">
      <w:pPr>
        <w:pStyle w:val="NormalHanging12a"/>
      </w:pPr>
      <w:r w:rsidRPr="00C42D54">
        <w:t>G.</w:t>
      </w:r>
      <w:r w:rsidRPr="00C42D54">
        <w:tab/>
        <w:t>keďže úlohou delegácií Únie je zastupovať Úniu a jej občanov na celom svete prostredníctvom sietí a partnerstiev a podporovať hodnoty Únie;</w:t>
      </w:r>
    </w:p>
    <w:p w14:paraId="5648CAB2" w14:textId="77777777" w:rsidR="00572096" w:rsidRPr="00C42D54" w:rsidRDefault="00572096" w:rsidP="00572096">
      <w:pPr>
        <w:pStyle w:val="NormalHanging12a"/>
      </w:pPr>
      <w:r w:rsidRPr="00C42D54">
        <w:t>H.</w:t>
      </w:r>
      <w:r w:rsidRPr="00C42D54">
        <w:tab/>
        <w:t>keďže osobitosť ESVČ je naďalej v jej povahe a pôvode, ako to bolo v čase, keď bola vytvorená zlúčením zamestnancov bývalých oddelení vonkajších vzťahov Rady a Komisie, do ktorých boli začlenení diplomati z členských štátov;</w:t>
      </w:r>
    </w:p>
    <w:p w14:paraId="4194F29E" w14:textId="77777777" w:rsidR="00572096" w:rsidRPr="00C42D54" w:rsidRDefault="00572096" w:rsidP="00572096">
      <w:pPr>
        <w:pStyle w:val="NormalHanging12a"/>
        <w:rPr>
          <w:bCs/>
          <w:iCs/>
        </w:rPr>
      </w:pPr>
      <w:r w:rsidRPr="00C42D54">
        <w:t>I.</w:t>
      </w:r>
      <w:r w:rsidRPr="00C42D54">
        <w:tab/>
        <w:t xml:space="preserve">keďže účinnosť a nákladová efektívnosť vonkajšej činnosti Únie závisia od úzkej koordinácie s diplomatickými inštitúciami a sieťami členských štátov, najmä v tretích </w:t>
      </w:r>
      <w:r w:rsidRPr="00C42D54">
        <w:lastRenderedPageBreak/>
        <w:t>krajinách, v ktorých sú ESVČ aj členské štáty stále prítomné, aby sa zabránilo duplicite štruktúr a výdavkov;</w:t>
      </w:r>
    </w:p>
    <w:p w14:paraId="0A2C7D14" w14:textId="77777777" w:rsidR="00572096" w:rsidRPr="00C42D54" w:rsidRDefault="00572096" w:rsidP="00572096">
      <w:pPr>
        <w:pStyle w:val="NormalHanging12a"/>
      </w:pPr>
      <w:r w:rsidRPr="00C42D54">
        <w:t>1.</w:t>
      </w:r>
      <w:r w:rsidRPr="00C42D54">
        <w:tab/>
        <w:t>konštatuje, že rozpočet ESVČ patrí do okruhu 7 VFR „Európska verejná správa“, ktorý v roku 2024 predstavoval 13,3 miliardy EUR (6,9 % celkového rozpočtu Únie); konštatuje, že rozpočet vo výške približne 1,239 miliardy EUR riadený ESVČ predstavuje zhruba 9,54 % celkových administratívnych výdavkov Únie v roku 2024;</w:t>
      </w:r>
    </w:p>
    <w:p w14:paraId="67C72E65" w14:textId="77777777" w:rsidR="00572096" w:rsidRPr="00C42D54" w:rsidRDefault="00572096" w:rsidP="00572096">
      <w:pPr>
        <w:pStyle w:val="NormalHanging12a"/>
      </w:pPr>
      <w:r w:rsidRPr="00C42D54">
        <w:t>2.</w:t>
      </w:r>
      <w:r w:rsidRPr="00C42D54">
        <w:tab/>
        <w:t>konštatuje, že Európsky dvor audítorov (ďalej len „Dvor audítorov“) vo svojej výročnej správe za rozpočtový rok 2024 (ďalej len „správa Dvora audítorov“) preskúmal vzorku 70 operácií v oddiele Administratíva, teda podobný počet vzoriek ako v roku 2023; ďalej konštatuje, že administratívne výdavky zahŕňajú výdavky na ľudské zdroje vrátane výdavkov na dôchodky, ktoré v roku 2024 predstavovali približne 69 % celkových administratívnych výdavkov, a výdavky na budovy, zariadenie, energie, komunikáciu a informačné technológie a že z práce Dvora audítorov počas mnohých rokov vyplýva, že tieto výdavky sú celkovo nízkorizikové;</w:t>
      </w:r>
    </w:p>
    <w:p w14:paraId="5F4BD97E" w14:textId="77777777" w:rsidR="00572096" w:rsidRPr="00C42D54" w:rsidRDefault="00572096" w:rsidP="00572096">
      <w:pPr>
        <w:pStyle w:val="NormalHanging12a"/>
      </w:pPr>
      <w:r w:rsidRPr="00C42D54">
        <w:t>3.</w:t>
      </w:r>
      <w:r w:rsidRPr="00C42D54">
        <w:tab/>
        <w:t>konštatuje, že 16 (23 %) zo 70 operácií obsahovalo chyby, ale že Dvor audítorov na základe troch vyčíslených chýb odhaduje, že chybovosť bola pod prahom významnosti;</w:t>
      </w:r>
    </w:p>
    <w:p w14:paraId="7BE399D3" w14:textId="77777777" w:rsidR="00572096" w:rsidRPr="00C42D54" w:rsidRDefault="00572096" w:rsidP="00572096">
      <w:pPr>
        <w:pStyle w:val="NormalHanging12a"/>
      </w:pPr>
      <w:r w:rsidRPr="00C42D54">
        <w:t>4.</w:t>
      </w:r>
      <w:r w:rsidRPr="00C42D54">
        <w:tab/>
        <w:t xml:space="preserve">na základe správy Dvora audítorov konštatuje, že Dvor audítorov preskúmal 15 platieb, ktoré uskutočnila ESVČ, v ktorých našiel dve vyčísliteľné chyby; zatiaľ čo jedna chyba sa týkala podstatnej zmeny zmluvy bez platného postupu verejného obstarávania a bez opatrení na účely </w:t>
      </w:r>
      <w:r w:rsidRPr="00C42D54">
        <w:rPr>
          <w:i/>
          <w:iCs/>
        </w:rPr>
        <w:t>ex post</w:t>
      </w:r>
      <w:r w:rsidRPr="00C42D54">
        <w:t xml:space="preserve"> uverejnenia, druhá sa týkala platby súvisiacej s použitím nesprávneho výmenného kurzu pri zaúčtovaní platby nájomného; víta opatrenia, ktoré ESVČ prijala na riešenie týchto problémov;</w:t>
      </w:r>
    </w:p>
    <w:p w14:paraId="659138CC" w14:textId="77777777" w:rsidR="00572096" w:rsidRPr="00C42D54" w:rsidRDefault="00572096" w:rsidP="00572096">
      <w:pPr>
        <w:pStyle w:val="NormalHanging12a"/>
        <w:rPr>
          <w:b/>
          <w:bCs/>
          <w:i/>
          <w:iCs/>
        </w:rPr>
      </w:pPr>
      <w:r w:rsidRPr="00C42D54">
        <w:rPr>
          <w:b/>
          <w:i/>
        </w:rPr>
        <w:t>Rozpočtové a finančné riadenie</w:t>
      </w:r>
    </w:p>
    <w:p w14:paraId="0F3CE1C6" w14:textId="77777777" w:rsidR="00572096" w:rsidRPr="00C42D54" w:rsidRDefault="00572096" w:rsidP="00572096">
      <w:pPr>
        <w:pStyle w:val="NormalHanging12a"/>
      </w:pPr>
      <w:r w:rsidRPr="00C42D54">
        <w:t>5.</w:t>
      </w:r>
      <w:r w:rsidRPr="00C42D54">
        <w:tab/>
        <w:t>konštatuje, že konečný rozpočet ESVČ na rok 2024 bol 880 165 703 EUR, čo v porovnaní s rokom 2023 predstavuje zvýšenie o 7,09 %; poznamenáva, že ESVČ disponovala aj sumou 359,1 milióna EUR (vrátane pripísaných príjmov a prenesených súm), ktorú poskytla Komisia na pokrytie administratívnych nákladov na zamestnancov Komisie pracujúcich v delegáciách Únie; ďalej konštatuje, že ESVČ dostala dodatočné príspevky v pevnej výške na pokrytie spoločných nákladov na zamestnancov Európskeho rozvojového fondu v delegáciách Únie a spoločných priestoroch, ako aj ďalšie sumy na základe dohôd o spoločnom využívaní priestorov a iných zmlúv; konštatuje, že celková suma rozpočtu riadeného ESVČ v roku 2024 preto predstavovala 1 239,3 milióna EUR (viazané rozpočtové prostriedky), čo v porovnaní s predchádzajúcim rokom predstavovalo zvýšenie o 4,43 %;</w:t>
      </w:r>
    </w:p>
    <w:p w14:paraId="2DAE1F7B" w14:textId="77777777" w:rsidR="00572096" w:rsidRPr="00C42D54" w:rsidRDefault="00572096" w:rsidP="00572096">
      <w:pPr>
        <w:pStyle w:val="NormalHanging12a"/>
      </w:pPr>
      <w:r w:rsidRPr="00C42D54">
        <w:t>6.</w:t>
      </w:r>
      <w:r w:rsidRPr="00C42D54">
        <w:tab/>
        <w:t>konštatuje, že v roku 2024 bola miera plnenia viazaných rozpočtových prostriedkov v bežnom roku (po presunoch) na úrovni 100 %, zatiaľ čo miera plnenia platieb bola 88,4 % v porovnaní s 91,9 % v roku 2023; konštatuje, že priemerný čas potrebný na úhradu platieb predstavoval 13,43 dňa, ale 10,69 % celkového počtu platieb uskutočnených v roku 2024 (čo zodpovedá celkovej sume 57 357 324 EUR) predstavovalo oneskorené platby, čo v roku 2024 viedlo k úrokom z omeškania vo výške 37 862,61 EUR; vyzýva ESVČ, aby sa aj naďalej usilovala zvyšovať počet elektronických platieb a digitalizovať pracovné postupy, najmä pokiaľ ide o elektronické faktúry v delegáciách Únie;</w:t>
      </w:r>
    </w:p>
    <w:p w14:paraId="0BFA6E27" w14:textId="77777777" w:rsidR="00572096" w:rsidRPr="00C42D54" w:rsidRDefault="00572096" w:rsidP="00572096">
      <w:pPr>
        <w:pStyle w:val="NormalHanging12a"/>
      </w:pPr>
      <w:r w:rsidRPr="00C42D54">
        <w:lastRenderedPageBreak/>
        <w:t>7.</w:t>
      </w:r>
      <w:r w:rsidRPr="00C42D54">
        <w:tab/>
        <w:t>konštatuje, že ESVČ informovala rozpočtový orgán o dvoch rozpočtových presunoch v súlade s článkom 29 ods. 1 nariadenia o rozpočtových pravidlách a uskutočnila 10 autonómnych presunov v súlade s článkom 29 ods. 4 v celkovej hodnote 53,6 milióna EUR; konštatuje, že hlavným účelom presunov bolo zvýšiť rozpočtový riadok 3 0 0 3 „Budovy a súvisiace náklady v delegáciách Únie“ o 33,78 milióna EUR, rozpočtový riadok 2 0 0 2 „Zariadenie priestorov a bezpečnostné práce“ o 1,7 milióna EUR a rozpočtový riadok 1 2 0 5 „Vyslaní národní vojenskí experti“ o 1,37 milióna EUR; konštatuje, že v nadväznosti na presuny predstavoval konečný rozpočet ústredia ESVČ 349,2 milióna EUR a konečný rozpočet pre delegácie Únie 530,9 milióna EUR;</w:t>
      </w:r>
    </w:p>
    <w:p w14:paraId="2160980D" w14:textId="77777777" w:rsidR="00572096" w:rsidRPr="00C42D54" w:rsidRDefault="00572096" w:rsidP="00572096">
      <w:pPr>
        <w:pStyle w:val="NormalHanging12a"/>
      </w:pPr>
      <w:r w:rsidRPr="00C42D54">
        <w:t>8.</w:t>
      </w:r>
      <w:r w:rsidRPr="00C42D54">
        <w:tab/>
        <w:t>konštatuje, že ESVČ čelila viacerým výzvam v súvislosti s plnením svojho rozpočtu v roku 2024 v dôsledku silného vplyvu nezákonnej ruskej útočnej vojny proti Ukrajine, inflačných tlakov, nepriaznivých výmenných kurzov a 2 % stropu na rast výdavkov nesúvisiacich s platmi, čo viedlo k deficitu delegácií Únie vo výške 33 miliónov EUR, čo výrazne obmedzilo ich operačnú kapacitu; s uspokojením konštatuje, že ESVČ riešila tieto výzvy kombináciou strategických úspor a prerozdelenia/rozpočtových presunov; konštatuje, že zníženia sa týkali najmä rozpočtov na služobné cesty a reprezentáciu, infraštruktúru a bezpečnosť; vyjadruje znepokojenie nad tým, že rozpočtové obmedzenia môžu mať vplyv na povinnosť náležitej starostlivosti ESVČ o svojich zamestnancov, najmä pokiaľ ide o údržbu infraštruktúry a bezpečnostné normy v delegáciách; víta balík nápravných opatrení, ale opakuje svoju výzvu, aby bol rozpočet v súlade s potrebami a cieľmi ESVČ; vyzýva ESVČ, aby stanovila ročné ciele na zníženie počtu oneskorených platieb a nákladov na úroky z omeškania a aby vo všetkých delegáciách štandardizovala pracovné postupy plne elektronickej fakturácie a elektronického obstarávania; uznáva, že je potrebné, aby všetky inštitúcie Únie zlepšili svoje rozpočtové riadenie tým, že pri uzatváraní zmlúv s poskytovateľmi služieb zohľadnia aj cenovú volatilitu, najmä v odvetví energetiky;</w:t>
      </w:r>
    </w:p>
    <w:p w14:paraId="11B5E1F3" w14:textId="77777777" w:rsidR="00572096" w:rsidRPr="00C42D54" w:rsidRDefault="00572096" w:rsidP="00572096">
      <w:pPr>
        <w:spacing w:after="240"/>
        <w:ind w:left="567" w:hanging="567"/>
      </w:pPr>
      <w:r w:rsidRPr="00C42D54">
        <w:t>9.</w:t>
      </w:r>
      <w:r w:rsidRPr="00C42D54">
        <w:tab/>
      </w:r>
      <w:bookmarkStart w:id="8" w:name="_Hlk221454822"/>
      <w:r w:rsidRPr="00C42D54">
        <w:t>na základe vypočutia podpredsedníčky Komisie/vysokej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vyjadruje poľutovanie nad tým, že nedostatočné financovanie ESVČ sa nerieši štrukturálne; podporuje názor ESVČ, že existuje nepomer medzi úlohami a zdrojmi, čo predstavuje významnú výzvu, pokiaľ ide o schopnosť ESVČ v plnej miere plniť svoje ciele a účinne podporovať program zahraničnej a bezpečnostnej politiky Únie</w:t>
      </w:r>
      <w:bookmarkEnd w:id="8"/>
      <w:r w:rsidRPr="00C42D54">
        <w:t>, čo oslabuje vykonávanie zahraničnej politiky Únie v čase rýchlych geopolitických zmien a dôveryhodnosť Únie ako globálneho aktéra; vyzýva ESVČ, aby uprednostnila opatrenia, ktoré prinášajú jasnú pridanú hodnotu pre Úniu a jej občanov, a zároveň sa vyhla činnostiam a projektom, ktoré by mohli ohroziť účinnosť a dobré podmienky zamestnancov; vyzýva ESVČ, aby napravila nedostatok zamestnancov v delegáciách Únie, najmä v prípade miest, ktoré čelia zložitým bezpečnostným alebo geopolitickým výzvam, a aby posilnila transparentnosť a zodpovednosť v postupoch prijímania zamestnancov;</w:t>
      </w:r>
    </w:p>
    <w:p w14:paraId="09A9D5BD" w14:textId="77777777" w:rsidR="00572096" w:rsidRPr="00C42D54" w:rsidRDefault="00572096" w:rsidP="00572096">
      <w:pPr>
        <w:pStyle w:val="NormalHanging12a"/>
        <w:rPr>
          <w:bCs/>
          <w:iCs/>
        </w:rPr>
      </w:pPr>
      <w:r w:rsidRPr="00C42D54">
        <w:t>10.</w:t>
      </w:r>
      <w:r w:rsidRPr="00C42D54">
        <w:tab/>
        <w:t xml:space="preserve">vyzýva Dvor audítorov, aby vykonal komplexný audit výkonnosti ESVČ s cieľom vyhodnotiť efektívnosť jej činností v porovnaní s diplomatickými službami krajín OECD; žiada, aby sa v rámci tohto auditu identifikovali oblasti, v ktorých ESVČ poskytuje jedinečnú, nenahraditeľnú pridanú hodnotu, a oblasti, v ktorých sa jej činnosti prekrývajú s činnosťami členských štátov; zároveň vyzýva ESVČ, aby vykonala analýzu nákladov a prínosov svojej globálnej siete a uprednostnila zdroje pre delegácie </w:t>
      </w:r>
      <w:r w:rsidRPr="00C42D54">
        <w:lastRenderedPageBreak/>
        <w:t>v krajinách, ktoré jasne prispievajú k bezprostredným záujmom Únie, ako sú hospodárska prosperita, energetická bezpečnosť, ochrana hraníc a predchádzanie tokom neoprávnenej migrácie; trvá na stanovení jasných a merateľných ukazovateľov výkonnosti, ktoré preukážu „hodnotu za vynaložené peniaze“ poskytovanú občanom Únie, a žiada, aby ESVČ ukončila všetky činnosti alebo misie, ktoré sú na základe týchto posúdení vyhodnotené ako neúčinné alebo nadbytočné;</w:t>
      </w:r>
    </w:p>
    <w:p w14:paraId="53795873" w14:textId="77777777" w:rsidR="00572096" w:rsidRPr="00C42D54" w:rsidRDefault="00572096" w:rsidP="00572096">
      <w:pPr>
        <w:pStyle w:val="NormalHanging12a"/>
      </w:pPr>
      <w:r w:rsidRPr="00C42D54">
        <w:t>11.</w:t>
      </w:r>
      <w:r w:rsidRPr="00C42D54">
        <w:tab/>
        <w:t>ďalej konštatuje, že investície do nehnuteľností a IT projektov boli odložené a počet stážistov sa v roku 2024 znížil; berie na vedomie názor ESVČ, že tieto obmedzenia by v konečnom dôsledku mohli mať vplyv na globálnu prítomnosť Únie; varuje, že pokračujúce odkladanie investícií a znižovanie počtu zamestnancov môže ohroziť povinnosť náležitej starostlivosti ESVČ, najmä pokiaľ ide o bezpečnosť zamestnancov, duševné zdravie a bezpečnosť pri vysokorizikových vyslaniach; vyzýva ESVČ, aby predložila plán investícií do kritickej infraštruktúry v oblasti IT, kybernetickej bezpečnosti a náležitej starostlivosti zahŕňajúci analýzu nákladov a prínosov a očakávaný operačný vplyv s cieľom zabrániť opakovaným odkladom, ktoré oslabujú efektívnosť a bezpečnosť zamestnancov;</w:t>
      </w:r>
    </w:p>
    <w:p w14:paraId="714314BB" w14:textId="77777777" w:rsidR="00572096" w:rsidRPr="00C42D54" w:rsidRDefault="00572096" w:rsidP="00572096">
      <w:pPr>
        <w:pStyle w:val="NormalHanging12a"/>
        <w:rPr>
          <w:b/>
          <w:i/>
        </w:rPr>
      </w:pPr>
      <w:r w:rsidRPr="00C42D54">
        <w:t>12.</w:t>
      </w:r>
      <w:r w:rsidRPr="00C42D54">
        <w:tab/>
        <w:t>konštatuje, že finančný strop Európskeho mierového nástroja riadeného v gescii podpredsedníčky Komisie/vysokej predstaviteľky sa zvýšil z 12 miliárd EUR v roku 2023 na 17 miliárd EUR v roku 2024, pričom dodatočných 5 miliárd EUR je určených na vojenskú podporu Ukrajiny; zdôrazňuje, že výrazné zvýšenie prostriedkov Európskeho mierového nástroja si vyžaduje posilnenie transparentnosti a parlamentného dohľadu; vyzýva na pravidelné a štruktúrované podávanie správ orgánu udeľujúcemu absolutórium o riadení rizík, monitorovacích opatreniach a dodržiavaní hodnôt Únie a medzinárodného humanitárneho práva; vyzýva ESVČ, aby spolupracovala s generálnym riaditeľstvom Komisie pre rozširovanie a východné susedstvo (GR pre rozširovanie a východné susedstvo) na zabezpečení účinného dohľadu nad projektmi financovanými z Európskeho mierového nástroja a ich monitorovania; uznáva Európsky mierový nástroj ako nevyhnutný nástroj na udržiavanie mieru v ére geopolitickej súťaže, ktorého cieľom je budovanie stability a jednotnej európskej obrannej spolupráce;</w:t>
      </w:r>
    </w:p>
    <w:p w14:paraId="357F4BC9" w14:textId="77777777" w:rsidR="00572096" w:rsidRPr="00C42D54" w:rsidRDefault="00572096" w:rsidP="00572096">
      <w:pPr>
        <w:pStyle w:val="NormalHanging12a"/>
        <w:rPr>
          <w:b/>
          <w:i/>
        </w:rPr>
      </w:pPr>
      <w:r w:rsidRPr="00C42D54">
        <w:t>13.</w:t>
      </w:r>
      <w:r w:rsidRPr="00C42D54">
        <w:tab/>
        <w:t>na základe odpovedí ESVČ na dotazník výboru CONT v súvislosti s absolutóriom za rok 2024 (ďalej len „dotazník“) konštatuje, že ESVČ v roku 2024 vo svojom ústredí a v delegáciách Únie začala celkovo 71 postupov verejného obstarávania pre zákazky s vysokou hodnotou, t. j. nad prahovou hodnotou 143 000 EUR pre tovar a služby stanovenou v smernici Európskeho parlamentu a Rady 2014/24/EÚ</w:t>
      </w:r>
      <w:r w:rsidRPr="00C42D54">
        <w:rPr>
          <w:rStyle w:val="FootnoteReference"/>
        </w:rPr>
        <w:footnoteReference w:id="8"/>
      </w:r>
      <w:r w:rsidRPr="00C42D54">
        <w:t xml:space="preserve">; konštatuje, že 63 z týchto postupov bolo úspešných a bolo podpísaných 63 zmlúv, pričom 8 postupov bolo neúspešných; konštatuje, že nadobudnutím účinnosti nového nariadenia o rozpočtových pravidlách 29. septembra 2024 sa riadenie postupov verejného obstarávania pre delegácie Únie v tretích krajinách zjednodušilo zavedením samostatného súboru stropov pre zákazky s veľmi nízkou, nízkou a strednou hodnotou, čím sa vyriešil dlhodobý problém súvisiaci s obmedzenou schopnosťou miestnych subjektov plniť zložité požiadavky pravidiel Únie v oblasti verejného obstarávania; očakáva, že tieto zjednodušenia budú lepšie spĺňať potreby hostiteľských krajín aj delegácií Únie, pokiaľ ide o postupy verejného obstarávania, a to bez toho, aby bolo dotknuté dodržiavanie </w:t>
      </w:r>
      <w:r w:rsidRPr="00C42D54">
        <w:lastRenderedPageBreak/>
        <w:t>najvyšších noriem transparentnosti, hospodárskej súťaže a záruk boja proti podvodom; vyzýva ESVČ, aby posúdila vplyv týchto zmien na miery chybovosti a riziká pre integritu a podala o tom správu;</w:t>
      </w:r>
      <w:r w:rsidRPr="00C42D54">
        <w:rPr>
          <w:b/>
          <w:i/>
        </w:rPr>
        <w:t xml:space="preserve"> </w:t>
      </w:r>
    </w:p>
    <w:p w14:paraId="6F8B2F9D" w14:textId="77777777" w:rsidR="00572096" w:rsidRPr="00C42D54" w:rsidRDefault="00572096" w:rsidP="00572096">
      <w:pPr>
        <w:pStyle w:val="NormalHanging12a"/>
      </w:pPr>
      <w:r w:rsidRPr="00C42D54">
        <w:t>14.</w:t>
      </w:r>
      <w:r w:rsidRPr="00C42D54">
        <w:tab/>
        <w:t>berie na vedomie, že v roku 2024 bola zriadená osobitná pracovná skupina na zlepšenie postupov verejného obstarávania ESVČ v ústredí aj v delegáciách; je si vedomý toho, že oddelenie vnútorného auditu vykonávalo v roku 2024 poradenskú činnosť s cieľom poskytnúť nezávislé preskúmanie procesu verejného obstarávania, o výsledkoch ktorého sa v súčasnosti diskutuje s príslušnými útvarmi; vyzýva ESVČ, aby zverejnila závery tohto preskúmania, ako aj zoznam opatrení prijatých s cieľom reagovať na zistené výzvy;</w:t>
      </w:r>
    </w:p>
    <w:p w14:paraId="49AE92D2" w14:textId="77777777" w:rsidR="00572096" w:rsidRPr="00C42D54" w:rsidRDefault="00572096" w:rsidP="00572096">
      <w:pPr>
        <w:pStyle w:val="NormalHanging12a"/>
      </w:pPr>
      <w:r w:rsidRPr="00C42D54">
        <w:t>15.</w:t>
      </w:r>
      <w:r w:rsidRPr="00C42D54">
        <w:tab/>
        <w:t>konštatuje, že ku koncu roka 2024 sa v delegáciách Únie využívalo 137 spoločných priestorov s členskými štátmi a inými partnermi z Únie, t. j. o 1 menej ako v roku 2023; konštatuje, že z celkového počtu spoločných priestorov v roku 2023 bolo 45 využívaných s členskými štátmi a partnerskými krajinami a 92 s inými partnermi z Únie, pričom spoločné priestory predstavovali 9 % celkovej kancelárskej plochy v delegáciách Únie a využívala ich viac ako polovica delegácií Únie (80), čo možno považovať za príklad úspešnej optimalizácie správy budov ESVČ, ale aj za ukazovateľ zvýšeného záujmu partnerov o spoločné využívanie priestorov v tretích krajinách a význam spoločného využívania priestorov v oblasti diplomacie;</w:t>
      </w:r>
    </w:p>
    <w:p w14:paraId="494354A3" w14:textId="77777777" w:rsidR="00572096" w:rsidRPr="00C42D54" w:rsidRDefault="00572096" w:rsidP="00572096">
      <w:pPr>
        <w:pStyle w:val="NormalHanging12a"/>
      </w:pPr>
      <w:r w:rsidRPr="00C42D54">
        <w:t>16.</w:t>
      </w:r>
      <w:r w:rsidRPr="00C42D54">
        <w:tab/>
        <w:t>na základe dotazníka konštatuje, že rozpočet na služobné cesty v roku 2024 bol vo výške 21 582 843 EUR, čo predstavuje zvýšenie približne o 2,33 % v porovnaní so sumou 21 091 935 EUR (aktualizovaný údaj) v roku 2023; konštatuje, že ESVČ nemá samostatný rozpočtový riadok na služobné cesty a cesty podpredsedníčky Komisie/vysokej predstaviteľky a že služobné cesty a cestovné náklady podpredsedníčky Komisie/vysokej predstaviteľky sa delia medzi ESVČ a Komisiu v závislosti od účelu služobnej cesty; na základe správy ESVČ o následných opatreniach k pripomienkam Európskeho parlamentu v uznesení o absolutóriu za rok 2023 (ďalej len „správa o následných opatreniach“) však konštatuje, že vnútorný systém riadenia ESVČ oddeľuje služobné cesty VP/PK a cesty sprevádzajúcich kolegov v rámci osobitných rozpočtových prostriedkov pridelených v hlavnom rozpočtovom riadku pre služobné cesty; ďalej na základe dotazníka konštatuje, že v roku 2024 ani odchádzajúci podpredseda Komisie/vysoký predstaviteľ, ani novovymenovaná podpredsedníčka Komisie/vysoká predstaviteľka neuskutočnili žiadne služobné cesty financované ESVČ; na základe správy o následných opatreniach chápe, že protichodné záväzky podpredsedníčky Komisie/vysokej predstaviteľky a veľmi napätý harmonogram, často diktovaný geopolitickou situáciou, jej niekedy znemožňujú cestovať pravidelnými letmi alebo inými dopravnými prostriedkami pri plnení jej pracovných povinností; podčiarkuje však, že vedúci predstavitelia inštitúcií Únie by mali ísť príkladom pre verejnosť a občanov, najmä ak pri plnení svojich povinností využívajú zdroje Únie; zdôrazňuje, že letecké spojenie by sa malo vyberať na základe správneho finančného riadenia, ak existuje viac možností, a v súlade s programom a miestom konania schôdzí; zdôrazňuje, že transparentnosť a správne finančné riadenie pri využívaní verejných prostriedkov Únie musia zostať základnou zásadou všetkých inštitúcií Únie;</w:t>
      </w:r>
    </w:p>
    <w:p w14:paraId="3712BC98" w14:textId="77777777" w:rsidR="00572096" w:rsidRPr="00C42D54" w:rsidRDefault="00572096" w:rsidP="00572096">
      <w:pPr>
        <w:pStyle w:val="NormalHanging12a"/>
      </w:pPr>
      <w:r w:rsidRPr="00C42D54">
        <w:rPr>
          <w:b/>
          <w:i/>
        </w:rPr>
        <w:t>Vnútorné riadenie, výkonnosť a vnútorná kontrola</w:t>
      </w:r>
    </w:p>
    <w:p w14:paraId="64D9E2B7" w14:textId="77777777" w:rsidR="00572096" w:rsidRPr="00C42D54" w:rsidRDefault="00572096" w:rsidP="00572096">
      <w:pPr>
        <w:pStyle w:val="NormalHanging12a"/>
      </w:pPr>
      <w:r w:rsidRPr="00C42D54">
        <w:t>17.</w:t>
      </w:r>
      <w:r w:rsidRPr="00C42D54">
        <w:tab/>
        <w:t xml:space="preserve">konštatuje, že v roku 2024 ESVČ naďalej čelila rastúcim politickým a finančným výzvam, ako aj výzvam v oblasti ľudských práv a právneho štátu v čoraz nestabilnejšom </w:t>
      </w:r>
      <w:r w:rsidRPr="00C42D54">
        <w:lastRenderedPageBreak/>
        <w:t xml:space="preserve">geopolitickom prostredí poznačenom zintenzívnenými hybridnými hrozbami pre demokratické systémy; konštatuje, že nezákonná útočná vojna Ruska proti Ukrajine a jej geopolitické dôsledky boli v roku 2024 naďalej kľúčovým problémom; v tejto súvislosti zdôrazňuje, že je dôležité a potrebné, aby ESVČ zohrávala ústrednú a posilnenú kľúčovú úlohu pri budovaní strategickej autonómie, odolnosti a bezpečnosti Únie, ktoré by sa mali chrániť aj prostredníctvom systematického a dôsledného boja proti zahraničnej manipulácii s informáciami a zahraničnému zasahovaniu a dezinformačným kampaniam; konštatuje, že v roku 2024 ESVČ uverejnila svoju druhú správu o hrozbách zahraničnej manipulácie s informáciami a zahraničného zasahovania, v ktorej podrobne opísala 750 incidentov a odhalila operáciu </w:t>
      </w:r>
      <w:proofErr w:type="spellStart"/>
      <w:r w:rsidRPr="00C42D54">
        <w:t>False</w:t>
      </w:r>
      <w:proofErr w:type="spellEnd"/>
      <w:r w:rsidRPr="00C42D54">
        <w:t xml:space="preserve"> </w:t>
      </w:r>
      <w:proofErr w:type="spellStart"/>
      <w:r w:rsidRPr="00C42D54">
        <w:t>Façade</w:t>
      </w:r>
      <w:proofErr w:type="spellEnd"/>
      <w:r w:rsidRPr="00C42D54">
        <w:t xml:space="preserve"> (systém prania informácií </w:t>
      </w:r>
      <w:proofErr w:type="spellStart"/>
      <w:r w:rsidRPr="00C42D54">
        <w:t>prokremeľskými</w:t>
      </w:r>
      <w:proofErr w:type="spellEnd"/>
      <w:r w:rsidRPr="00C42D54">
        <w:t xml:space="preserve"> subjektmi), čím prispela k verejnému pripisovaniu zodpovednosti a strategickému povedomiu o nepriateľskom zasahovaní podporovanom štátmi, a využila systém včasného varovania ako centrálny koordinačný mechanizmus v prípadoch zahraničnej manipulácie s informáciami a zahraničného zasahovania v súvislosti s ochranou integrity volieb do Európskeho parlamentu; berie na vedomie vydanie súboru nástrojov na odhaľovanie zahraničnej manipulácie s informáciami a zahraničného zasahovania založeného na identite, usporiadanie výročnej konferencie na vysokej úrovni o zahraničnej manipulácii s informáciami a zahraničnom zasahovaní, vypracovanie príručky spoločnej bezpečnostnej a obrannej politiky (SBOP) o zahraničnej manipulácii s informáciami a zahraničnom zasahovaní s cieľom posilniť schopnosť misií SBOP odhaľovať útoky využívajúce zahraničnú manipuláciu s informáciami a zahraničné zasahovanie a reagovať na </w:t>
      </w:r>
      <w:proofErr w:type="spellStart"/>
      <w:r w:rsidRPr="00C42D54">
        <w:t>ne</w:t>
      </w:r>
      <w:proofErr w:type="spellEnd"/>
      <w:r w:rsidRPr="00C42D54">
        <w:t xml:space="preserve">, ako aj príspevok k posilneniu odolnosti médií na podujatí </w:t>
      </w:r>
      <w:proofErr w:type="spellStart"/>
      <w:r w:rsidRPr="00C42D54">
        <w:t>Connecting</w:t>
      </w:r>
      <w:proofErr w:type="spellEnd"/>
      <w:r w:rsidRPr="00C42D54">
        <w:t xml:space="preserve"> </w:t>
      </w:r>
      <w:proofErr w:type="spellStart"/>
      <w:r w:rsidRPr="00C42D54">
        <w:t>Media</w:t>
      </w:r>
      <w:proofErr w:type="spellEnd"/>
      <w:r w:rsidRPr="00C42D54">
        <w:t xml:space="preserve"> </w:t>
      </w:r>
      <w:proofErr w:type="spellStart"/>
      <w:r w:rsidRPr="00C42D54">
        <w:t>Communities</w:t>
      </w:r>
      <w:proofErr w:type="spellEnd"/>
      <w:r w:rsidRPr="00C42D54">
        <w:t xml:space="preserve"> (Prepájanie mediálnych komunít) v Kosove, na ktorom sa zúčastnilo 130 novinárov a overovateľov faktov; vyjadruje ESVČ veľké uznanie za jej kampaň </w:t>
      </w:r>
      <w:proofErr w:type="spellStart"/>
      <w:r w:rsidRPr="00C42D54">
        <w:t>EUvsDisinfo</w:t>
      </w:r>
      <w:proofErr w:type="spellEnd"/>
      <w:r w:rsidRPr="00C42D54">
        <w:t xml:space="preserve">, v rámci ktorej sa v roku 2024 analyzovali a odhaľovali snahy Ruska v oblasti zahraničnej manipulácie s informáciami a zahraničného zasahovania; so znepokojením konštatuje, že sa zaznamenalo viac než 18 000 prípadov </w:t>
      </w:r>
      <w:proofErr w:type="spellStart"/>
      <w:r w:rsidRPr="00C42D54">
        <w:t>prokremeľských</w:t>
      </w:r>
      <w:proofErr w:type="spellEnd"/>
      <w:r w:rsidRPr="00C42D54">
        <w:t xml:space="preserve"> dezinformácií, čo potvrdzuje rozsah, pretrvávanie a strategickú povahu hrozby, ktorú predstavuje najmä Rusko spolu s ďalšími nepriateľskými aktérmi; konštatuje, že niektoré delegácie Únie majú úradníka pre strategickú komunikáciu, ktorého úlohou je analyzovať a riešiť zahraničnú manipuláciu s informáciami a zahraničné zasahovanie, ale schopnosť zhromažďovať spravodajské informácie zostáva zodpovednosťou členských štátov; preto zdôrazňuje potrebu posilnenej koordinácie, štruktúrovanej výmeny informácií a užšej spolupráce s členskými štátmi a dôveryhodnými partnermi; vyjadruje ESVČ uznanie za zriadenie strediska pre výmenu a analýzu informácií (ISAC) týkajúcich sa zahraničnej manipulácie s informáciami a zahraničného zasahovania s cieľom posilniť spoluprácu a spoločné situačné povedomie; uznáva, že toto úsilie podporené posilneným rozpočtom na kapacitu v oblasti strategickej komunikácie vo výške 6,12 milióna EUR v roku 2024 zabezpečilo spoľahlivejšiu, koordinovanejšiu a komplexnejšiu reakciu v celej Únii na hrozby zahraničnej manipulácie s informáciami a zahraničného zasahovania; podporuje pokračujúci rozvoj a rozširovanie siete tzv. ochrancov pred zahraničnou manipuláciou s informáciami a zahraničným zasahovaním prostredníctvom iniciatív na budovanie kapacít; zdôrazňuje, že trvalé a predvídateľné financovanie je nevyhnutné na zabezpečenie kontinuity a účinnosti v boji proti hybridným hrozbám a zahraničnej manipulácii s informáciami a zahraničnému zasahovaniu; preto sa domnieva, že je potrebné úsilie na účinný boj proti dezinformačným kampaniam a </w:t>
      </w:r>
      <w:proofErr w:type="spellStart"/>
      <w:r w:rsidRPr="00C42D54">
        <w:t>naratívom</w:t>
      </w:r>
      <w:proofErr w:type="spellEnd"/>
      <w:r w:rsidRPr="00C42D54">
        <w:t xml:space="preserve"> zameraným proti EÚ, ktoré strategicky šíria autoritárske a neliberálne režimy, ktorých cieľom je oslabiť vonkajšiu činnosť Únie v tretích krajinách;</w:t>
      </w:r>
    </w:p>
    <w:p w14:paraId="15DB7BF9" w14:textId="77777777" w:rsidR="00572096" w:rsidRPr="00C42D54" w:rsidRDefault="00572096" w:rsidP="00572096">
      <w:pPr>
        <w:pStyle w:val="NormalHanging12a"/>
      </w:pPr>
      <w:r w:rsidRPr="00C42D54">
        <w:lastRenderedPageBreak/>
        <w:t>18.</w:t>
      </w:r>
      <w:r w:rsidRPr="00C42D54">
        <w:tab/>
        <w:t>zdôrazňuje potrebu modernizovať sieť delegácií Únie, najmä posilnením Spravodajského a situačného centra Európskej únie (EU INTCEN) a centra ESVČ pre reakcie na krízy; zdôrazňuje, že posilnenie analytických kapacít a pripravenosti na krízy si vyžaduje primerané personálne obsadenie, modernú bezpečnosť IT a dostatočné administratívne zdroje;</w:t>
      </w:r>
    </w:p>
    <w:p w14:paraId="202FABBE" w14:textId="2ED61250" w:rsidR="00572096" w:rsidRPr="00C42D54" w:rsidRDefault="00572096" w:rsidP="00572096">
      <w:pPr>
        <w:pStyle w:val="NormalHanging12a"/>
      </w:pPr>
      <w:r w:rsidRPr="00C42D54">
        <w:t>19.</w:t>
      </w:r>
      <w:r w:rsidRPr="00C42D54">
        <w:tab/>
        <w:t>pripomína výzvy Strategického kompasu a</w:t>
      </w:r>
      <w:r w:rsidR="00337564" w:rsidRPr="00C42D54">
        <w:t> Európskeho p</w:t>
      </w:r>
      <w:r w:rsidRPr="00C42D54">
        <w:t>arlamentu na posilnenie spôsobilostí Únie v oblasti spravodajských informácií a situačnej informovanosti; zdôrazňuje, že rastúce analytické potreby a potreby krízového riadenia Únie si vyžadujú posilnenie zdrojov pridelených EU INTCEN a centru ESVČ pre reakcie na krízy s cieľom zabezpečiť, aby boli primerane vybavené na plnenie svojich mandátov v čoraz zložitejšom a náročnejšom geopolitickom prostredí; zdôrazňuje ústrednú úlohu EU INTCEN pri poskytovaní integrovaných analytických posúdení zo všetkých zdrojov na podporu rozhodovania v rámci spoločnej zahraničnej a bezpečnostnej politiky (SZBP) a SBOP, ako aj potenciál siete delegácií Únie ako kľúčového prispievateľa k situačnej informovanosti prostredníctvom integrácie relevantných informácií, ktoré sú už k dispozícii v teréne, bez toho, aby boli dotknuté právomoci členských štátov; domnieva sa, že stanovenie jasnejšieho a viditeľnejšieho prideľovania rozpočtových prostriedkov pre EU INTCEN by mohlo uľahčiť väčšiu transparentnosť, demokratickú kontrolu a zodpovednosť v rámci postupu udeľovania absolutória;</w:t>
      </w:r>
    </w:p>
    <w:p w14:paraId="5FDC58E9" w14:textId="77777777" w:rsidR="00572096" w:rsidRPr="00C42D54" w:rsidRDefault="00572096" w:rsidP="00572096">
      <w:pPr>
        <w:pStyle w:val="NormalHanging12a"/>
        <w:rPr>
          <w:bCs/>
          <w:iCs/>
        </w:rPr>
      </w:pPr>
      <w:r w:rsidRPr="00C42D54">
        <w:t>20.</w:t>
      </w:r>
      <w:r w:rsidRPr="00C42D54">
        <w:tab/>
        <w:t>víta zriadenie štítu EÚ na obranu demokracie a zriadenie centra pre odolnosť demokracie ako dôležité kroky na posilnenie schopnosti Únie bojovať proti zahraničnej manipulácii s informáciami a zahraničnému zasahovaniu; víta zámer rozšíriť navrhovaný európsky štít na obranu demokracie na pristupujúce krajiny, a tak posilniť ich schopnosť reagovať na hrozby, ako sú zahraničná manipulácia s informáciami a zahraničné zasahovanie a dezinformačné kampane; vyzýva Komisiu a ESVČ, aby prehĺbili spoluprácu so zraniteľnými krajinami zapojenými do procesu rozširovania v oblasti informačnej odolnosti, kybernetickej bezpečnosti a hybridných hrozieb; vyzýva ESVČ a delegácie Únie v tretích krajinách, aby ďalej posilňovali svoje príslušné kapacity na boj a potláčanie dezinformácií a propagandy namierenej proti SZBP Únie, a to aj investovaním do komunikačných kampaní na boj proti zahraničnému vplyvu;</w:t>
      </w:r>
    </w:p>
    <w:p w14:paraId="234BC806" w14:textId="77777777" w:rsidR="00572096" w:rsidRPr="00C42D54" w:rsidRDefault="00572096" w:rsidP="00572096">
      <w:pPr>
        <w:pStyle w:val="NormalHanging12a"/>
      </w:pPr>
      <w:r w:rsidRPr="00C42D54">
        <w:t>21.</w:t>
      </w:r>
      <w:r w:rsidRPr="00C42D54">
        <w:tab/>
        <w:t>zdôrazňuje, že je potrebné poskytnúť oddeleniu strategickej komunikácie a výhľadu ESVČ primerané prostriedky na boj proti dezinformáciám, ktoré používajú autoritárske režimy, najmä Kremeľ; pripomína, že v Moldavsku a na Ukrajine aktéri prepojení s Ruskom zneužívajú náboženstvo vrátane pravoslávnej cirkvi pod moskovským patriarchátom na oslabenie demokratickej odolnosti; zdôrazňuje význam posilnenia diplomacie Únie založenej na viere v rámci jej vonkajšej činnosti a vyzýva na vytvorenie osobitného rozpočtového riadku ESVČ na podporu dialógu, presadzovanie tolerancie medzi vierovyznaniami a boj proti geopolitickému zneužívaniu náboženstva;</w:t>
      </w:r>
    </w:p>
    <w:p w14:paraId="2D455ECE" w14:textId="65896133" w:rsidR="00572096" w:rsidRPr="00C42D54" w:rsidRDefault="00572096" w:rsidP="00572096">
      <w:pPr>
        <w:pStyle w:val="NormalHanging12a"/>
        <w:rPr>
          <w:bCs/>
          <w:iCs/>
        </w:rPr>
      </w:pPr>
      <w:r w:rsidRPr="00C42D54">
        <w:t xml:space="preserve">22. </w:t>
      </w:r>
      <w:r w:rsidRPr="00C42D54">
        <w:tab/>
        <w:t xml:space="preserve">pripomína Komisii výzvu </w:t>
      </w:r>
      <w:r w:rsidR="00337564" w:rsidRPr="00C42D54">
        <w:t>Európskeho p</w:t>
      </w:r>
      <w:r w:rsidRPr="00C42D54">
        <w:t>arlamentu, aby personál ESVČ dostatočne vybavila na zapájanie sa do dialógu o náboženskej slobode a aby to stanovila za dôležitú prioritu vo svojej vonkajšej činnosti</w:t>
      </w:r>
      <w:r w:rsidRPr="00C42D54">
        <w:rPr>
          <w:rStyle w:val="FootnoteReference"/>
        </w:rPr>
        <w:footnoteReference w:id="9"/>
      </w:r>
      <w:r w:rsidRPr="00C42D54">
        <w:t>; vyzýva ESVČ, aby na túto výzvu rázne reagovala a zvýšila svoje zdroje na požadovanú úroveň;</w:t>
      </w:r>
    </w:p>
    <w:p w14:paraId="5952C965" w14:textId="77777777" w:rsidR="00572096" w:rsidRPr="00C42D54" w:rsidRDefault="00572096" w:rsidP="00572096">
      <w:pPr>
        <w:pStyle w:val="NormalHanging12a"/>
        <w:rPr>
          <w:bCs/>
          <w:iCs/>
        </w:rPr>
      </w:pPr>
      <w:r w:rsidRPr="00C42D54">
        <w:t>23.</w:t>
      </w:r>
      <w:r w:rsidRPr="00C42D54">
        <w:tab/>
        <w:t xml:space="preserve">vyzýva podpredsedníčku Komisie/vysokú predstaviteľku, aby posilnila misie a operácie SBOP Únie primeraným personálom, zdrojmi a pružnými mandátmi s cieľom účinne </w:t>
      </w:r>
      <w:r w:rsidRPr="00C42D54">
        <w:lastRenderedPageBreak/>
        <w:t>reagovať na bezpečnostné výzvy;</w:t>
      </w:r>
    </w:p>
    <w:p w14:paraId="5805093F" w14:textId="77777777" w:rsidR="00572096" w:rsidRPr="00C42D54" w:rsidRDefault="00572096" w:rsidP="00572096">
      <w:pPr>
        <w:pStyle w:val="NormalHanging12a"/>
        <w:rPr>
          <w:bCs/>
          <w:iCs/>
        </w:rPr>
      </w:pPr>
      <w:r w:rsidRPr="00C42D54">
        <w:t>24.</w:t>
      </w:r>
      <w:r w:rsidRPr="00C42D54">
        <w:tab/>
        <w:t>zdôrazňuje, že je dôležité zachovať pozorovateľskú misiu Európskej únie v Gruzínsku s cieľom monitorovať situáciu na okupovaných územiach a zabezpečiť včasné varovanie a podávanie správ;</w:t>
      </w:r>
    </w:p>
    <w:p w14:paraId="5440A2C2" w14:textId="5EDD5B2B" w:rsidR="00572096" w:rsidRPr="00C42D54" w:rsidRDefault="00572096" w:rsidP="00572096">
      <w:pPr>
        <w:pStyle w:val="NormalHanging12a"/>
        <w:rPr>
          <w:bCs/>
          <w:iCs/>
        </w:rPr>
      </w:pPr>
      <w:r w:rsidRPr="00C42D54">
        <w:t>25.</w:t>
      </w:r>
      <w:r w:rsidRPr="00C42D54">
        <w:tab/>
        <w:t xml:space="preserve">vyzýva ESVČ, aby </w:t>
      </w:r>
      <w:r w:rsidR="00C33586" w:rsidRPr="00C33586">
        <w:t xml:space="preserve">obmedzila politické kontakty s orgánmi strany Gruzínsky sen na striktne nevyhnutné záležitosti a zároveň </w:t>
      </w:r>
      <w:r w:rsidRPr="00C42D54">
        <w:t xml:space="preserve">zachovala </w:t>
      </w:r>
      <w:r w:rsidR="00C33586" w:rsidRPr="00C33586">
        <w:t xml:space="preserve">a posilnila </w:t>
      </w:r>
      <w:r w:rsidRPr="00C42D54">
        <w:t xml:space="preserve">spoluprácu s </w:t>
      </w:r>
      <w:r w:rsidR="00C33586" w:rsidRPr="00C33586">
        <w:t xml:space="preserve">gruzínskou občianskou spoločnosťou, nezávislými médiami a akademickými inštitúciami; zdôrazňuje dôležitosť pretrvávajúceho presadzovania európskych noriem, </w:t>
      </w:r>
      <w:r w:rsidRPr="00C42D54">
        <w:t xml:space="preserve">demokratických </w:t>
      </w:r>
      <w:r w:rsidR="00C33586" w:rsidRPr="00C33586">
        <w:t xml:space="preserve">hodnôt </w:t>
      </w:r>
      <w:r w:rsidRPr="00C42D54">
        <w:t xml:space="preserve">a európskej </w:t>
      </w:r>
      <w:r w:rsidR="00C33586" w:rsidRPr="00C33586">
        <w:t>cesty medzi gruzínskym obyvateľstvom a politickými silami oddanými demokratickým zásadám</w:t>
      </w:r>
      <w:r w:rsidRPr="00C42D54">
        <w:t>;</w:t>
      </w:r>
    </w:p>
    <w:p w14:paraId="4EB0C365" w14:textId="77777777" w:rsidR="00572096" w:rsidRDefault="00572096" w:rsidP="00572096">
      <w:pPr>
        <w:pStyle w:val="NormalHanging12a"/>
      </w:pPr>
      <w:r w:rsidRPr="00C42D54">
        <w:t>26.</w:t>
      </w:r>
      <w:r w:rsidRPr="00C42D54">
        <w:tab/>
        <w:t>zdôrazňuje, že v roku 2024 Únia s výraznou podporou ESVČ pokračovala vo svojej komplexnej politickej, vojenskej, finančnej, diplomatickej, humanitárnej a hospodárskej podpore Ukrajiny v reakcii na útočnú vojnu Ruska; zdôrazňuje, že kľúčovým míľnikom bolo podpísanie spoločných bezpečnostných záväzkov EÚ a Ukrajiny v júni 2024, pričom pristúpenie k Únii bolo označené za konečnú bezpečnostnú záruku na posilnenie odolnosti, odstrašovania a dlhodobej stability Ukrajiny; konštatuje, že ESVČ úzko spolupracovala s členskými štátmi, skupinou G7, NATO a medzinárodnými partnermi s cieľom zachovať jednotu, presadzovať reštriktívne opatrenia voči Rusku, predchádzať obchádzaniu sankcií a podporovať iniciatívy týkajúce sa zodpovednosti a zároveň vykonávala rozsiahle globálne činnosti na podporu spravodlivého a trvalého mieru v súlade s Chartou OSN a medzinárodným právom vrátane nadviazania na mierový samit vo Švajčiarsku, podpory mierového plánu Ukrajiny, účasti na medzinárodnej Krymskej platforme, podpory zriadenia osobitného tribunálu pre zločin agresie a pristúpenia Únie k Medzinárodnej koalícii pre návrat ukrajinských detí v júni 2024;</w:t>
      </w:r>
    </w:p>
    <w:p w14:paraId="246C74FB" w14:textId="6CFF71E9" w:rsidR="007B26AB" w:rsidRPr="00C42D54" w:rsidRDefault="00B14BE4" w:rsidP="00572096">
      <w:pPr>
        <w:pStyle w:val="NormalHanging12a"/>
      </w:pPr>
      <w:r>
        <w:t>27</w:t>
      </w:r>
      <w:r w:rsidR="007B26AB" w:rsidRPr="007B26AB">
        <w:t>.‏</w:t>
      </w:r>
      <w:r w:rsidR="007B26AB" w:rsidRPr="007B26AB">
        <w:tab/>
        <w:t xml:space="preserve">opätovne potvrdzuje, že pokračujúca politická, vojenská, finančná a humanitárna podpora Únie Ukrajine zostáva strategickou prioritou a morálnou povinnosťou vzhľadom na nezákonnú útočnú vojnu Ruska; zdôrazňuje však, že bezprecedentný rozsah pomoci Únie Ukrajine musia sprevádzať rovnako bezprecedentné kontroly, </w:t>
      </w:r>
      <w:proofErr w:type="spellStart"/>
      <w:r w:rsidR="007B26AB" w:rsidRPr="007B26AB">
        <w:t>vysledovateľnosť</w:t>
      </w:r>
      <w:proofErr w:type="spellEnd"/>
      <w:r w:rsidR="007B26AB" w:rsidRPr="007B26AB">
        <w:t xml:space="preserve"> a záruky proti podvodom, aby sa zachovala dlhodobá politická a verejná podpora daňových poplatníkov Únie; vyzýva ESVČ, aby v úzkej spolupráci s úradom OLAF, Európskou prokuratúrou a Dvorom audítorov zabezpečila úplný prístup k informáciám o využívaní všetkých finančných prostriedkov Únie vyplatených na podporu Ukrajiny v reálnom čase a aby orgánu udeľujúcemu absolutórium každoročne podávala správy o zistených nezrovnalostiach, vymáhaní a nápravných opatreniach;</w:t>
      </w:r>
    </w:p>
    <w:p w14:paraId="6E44C824" w14:textId="7CE05F6B" w:rsidR="00572096" w:rsidRPr="00C42D54" w:rsidRDefault="00862B81" w:rsidP="00572096">
      <w:pPr>
        <w:spacing w:after="240"/>
        <w:ind w:left="567" w:hanging="567"/>
      </w:pPr>
      <w:r>
        <w:t>28</w:t>
      </w:r>
      <w:r w:rsidR="00572096" w:rsidRPr="00C42D54">
        <w:t>.</w:t>
      </w:r>
      <w:r w:rsidR="00572096" w:rsidRPr="00C42D54">
        <w:tab/>
        <w:t xml:space="preserve">pripomína, že je nevyhnutné ďalej zintenzívňovať našu podporu ľudských práv, demokracie a rozvoja v tretích krajinách prostredníctvom finančného rámca Nástroja susedstva a rozvojovej a medzinárodnej spolupráce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 najmä s cieľom bojovať proti digitálnemu </w:t>
      </w:r>
      <w:proofErr w:type="spellStart"/>
      <w:r w:rsidR="00572096" w:rsidRPr="00C42D54">
        <w:t>autoritárstvu</w:t>
      </w:r>
      <w:proofErr w:type="spellEnd"/>
      <w:r w:rsidR="00572096" w:rsidRPr="00C42D54">
        <w:t xml:space="preserve">, zahraničnému zasahovaniu a zneužívaniu vznikajúcich technológií; vyzýva ESVČ, aby systematicky vykonávala posúdenia rizík obmedzenia priestoru pre občiansku spoločnosť v partnerských a tretích krajinách s cieľom </w:t>
      </w:r>
      <w:r w:rsidR="00572096" w:rsidRPr="00C42D54">
        <w:lastRenderedPageBreak/>
        <w:t>zabezpečiť, aby sa financovanie Únie dostalo k príslušným zainteresovaným stranám; trvá na tom, aby sa zelená transformácia opieral</w:t>
      </w:r>
      <w:r w:rsidR="003D19B6">
        <w:t>a</w:t>
      </w:r>
      <w:r w:rsidR="00572096" w:rsidRPr="00C42D54">
        <w:t xml:space="preserve"> o primerané finančné a ľudské zdroje v ESVČ a delegáciách Únie a aby sa dôsledne začleňoval</w:t>
      </w:r>
      <w:r w:rsidR="003D19B6">
        <w:t>a</w:t>
      </w:r>
      <w:r w:rsidR="00572096" w:rsidRPr="00C42D54">
        <w:t xml:space="preserve"> do politických dialógov, partnerstiev a vonkajších výdavkov, a to aj v tretích krajinách, pričom by sa mal zabezpečiť súlad s konkurencieschopnosťou, energetickou bezpečnosťou a hospodárskou odolnosťou partnerských krajín;</w:t>
      </w:r>
    </w:p>
    <w:p w14:paraId="5FBEEDBC" w14:textId="46B97A2A" w:rsidR="00572096" w:rsidRPr="00C42D54" w:rsidRDefault="00862B81" w:rsidP="00572096">
      <w:pPr>
        <w:pStyle w:val="NormalHanging12a"/>
      </w:pPr>
      <w:r>
        <w:t>29</w:t>
      </w:r>
      <w:r w:rsidR="00572096" w:rsidRPr="00C42D54">
        <w:t>.</w:t>
      </w:r>
      <w:r w:rsidR="00572096" w:rsidRPr="00C42D54">
        <w:tab/>
        <w:t>zdôrazňuje, že ESVČ musí posilniť svoje administratívne a analytické kapacity v oblastiach rastúceho strategického významu vrátane Arktídy; požaduje posilnenie odbornej prípravy zamestnancov, zlepšenie koordinácie medzi útvarmi a primerané zdroje na podporu posudzovania rizík, situačnej informovanosti a spolupráce s príslušnými partnermi; zdôrazňuje, že takéto budovanie kapacít musí byť v plnom súlade so správnym finančným riadením a existujúcimi rozpočtovými obmedzeniami;</w:t>
      </w:r>
    </w:p>
    <w:p w14:paraId="3AB32B6D" w14:textId="5490857B" w:rsidR="00572096" w:rsidRPr="00C42D54" w:rsidRDefault="00862B81" w:rsidP="00572096">
      <w:pPr>
        <w:spacing w:after="240"/>
        <w:ind w:left="567" w:hanging="567"/>
      </w:pPr>
      <w:r>
        <w:t>30</w:t>
      </w:r>
      <w:r w:rsidR="00572096" w:rsidRPr="00C42D54">
        <w:t>.</w:t>
      </w:r>
      <w:r w:rsidR="00572096" w:rsidRPr="00C42D54">
        <w:tab/>
        <w:t>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zdôrazňuje, že humanitárna pomoc sa musí poskytovať bezpečným, účinným a odpolitizovaným spôsobom a nesmie byť použitá inak alebo zneužitá teroristickými alebo ozbrojenými skupinami; konštatuje, že Únia od začiatku krízy v Pásme Gazy využíva všetky dostupné humanitárne nástroje na zmiernenie utrpenia Palestínčanov v Pásme Gazy a na Západnom brehu Jordánu a od októbra 2023 poskytla humanitárnu pomoc vo výške 450 miliónov EUR vrátane počiatočného balíka pomoci vo výške 120 miliónov EUR na rok 2025 a v osobitnom prípade podpory Únie v Palestíne sú zavedené mechanizmy podľa Komisie „spoľahlivé a účinne fungujú“, ako sa opätovne potvrdilo počas finančného preskúmania pomoci Únie v Palestíne, ktoré sa uskutočnilo v novembri 2023; ďalej konštatuje, že v apríli 2025 Komisia prijala komplexný viacročný program pre Palestínu v hodnote maximálne 1,6 miliardy EUR na roky 2025 – 2027 na podporu hospodárskej obnovy, odolnosti a správy na Západnom brehu Jordánu, vo východnom Jeruzaleme a v Pásme Gazy, pričom maximálne 620 miliónov EUR z týchto finančných prostriedkov je určených na priamu finančnú podporu Palestínskej samosprávy; konštatuje, že v máji 2024 Komisia oznámila balík finančnej pomoci vo výške 1 miliardy EUR na pomoc Libanonu pri riešení domácich a regionálnych výziev; v tejto súvislosti víta názor podpredsedníčky Komisie/vysokej predstaviteľky vyjadrený na vypočutí, že základnou zásadou práva je, aby každý, kto spôsobí škodu, za ňu aj zaplatil; konštatuje, že je predčasné robiť komplexné posúdenie škôd, pokým nie je možný prístup do Pásma Gazy; zdôrazňuje však význam zriadenia spoľahlivých mechanizmov monitorovania a zodpovednosti zahŕňajúcich spoľahlivé, nezávislé a overiteľné informácie s cieľom umožniť posúdenie škôd a potrieb hneď, ako sa umožní prístup; vyzýva ESVČ, aby naďalej využívala všetky dostupné nástroje vrátane humanitárnych, diplomatických a finančných nástrojov a vo vhodných prípadoch reštriktívne opatrenia na presadzovanie medzinárodného poriadku založeného na pravidlách a podporu trvalého mieru a bezpečnosti v regióne;</w:t>
      </w:r>
    </w:p>
    <w:p w14:paraId="0695BE2E" w14:textId="475DB2EC" w:rsidR="00572096" w:rsidRPr="00C42D54" w:rsidRDefault="00862B81" w:rsidP="00572096">
      <w:pPr>
        <w:spacing w:after="240"/>
        <w:ind w:left="567" w:hanging="567"/>
      </w:pPr>
      <w:r>
        <w:t>31</w:t>
      </w:r>
      <w:r w:rsidR="00572096" w:rsidRPr="00C42D54">
        <w:t>.</w:t>
      </w:r>
      <w:r w:rsidR="00572096" w:rsidRPr="00C42D54">
        <w:tab/>
        <w:t xml:space="preserve">pripomína svoju pozíciu k rozpočtu Únie na rok 2026 a význam podpory politických, hospodárskych a sociálnych reforiem v regióne južného susedstva vrátane riešenia rastúcich humanitárnych potrieb a zároveň zabezpečenia toho, aby sa žiadne finančné prostriedky Únie neprideľovali verejným inštitúciám, jednotlivcom alebo združeniam, ktoré sú spojené s akýmkoľvek druhom teroristických hnutí alebo ktoré pôsobia v priamom rozpore so základnými hodnotami Únie, vrátane </w:t>
      </w:r>
      <w:proofErr w:type="spellStart"/>
      <w:r w:rsidR="00572096" w:rsidRPr="00C42D54">
        <w:t>islamistických</w:t>
      </w:r>
      <w:proofErr w:type="spellEnd"/>
      <w:r w:rsidR="00572096" w:rsidRPr="00C42D54">
        <w:t xml:space="preserve">, </w:t>
      </w:r>
      <w:r w:rsidR="00572096" w:rsidRPr="00C42D54">
        <w:lastRenderedPageBreak/>
        <w:t xml:space="preserve">antisemitských, protikresťanských a </w:t>
      </w:r>
      <w:proofErr w:type="spellStart"/>
      <w:r w:rsidR="00572096" w:rsidRPr="00C42D54">
        <w:t>protiislamských</w:t>
      </w:r>
      <w:proofErr w:type="spellEnd"/>
      <w:r w:rsidR="00572096" w:rsidRPr="00C42D54">
        <w:t xml:space="preserve"> hnutí; pripomína, že ESVČ je zodpovedná za poskytovanie politického usmernenia a strategického dohľadu nad vonkajšou činnosťou Únie, zatiaľ čo Komisia si ponecháva plnú zodpovednosť za riadenie, uzatváranie zmlúv a vyplácanie rozpočtových zdrojov Únie poskytnutých implementujúcim partnerom a medzinárodným organizáciám; v tejto súvislosti pripomína, že existujú tvrdenia, že 19 z 13 000 zamestnancov UNRWA v Pásme Gazy bolo zapojených do </w:t>
      </w:r>
      <w:proofErr w:type="spellStart"/>
      <w:r w:rsidR="00572096" w:rsidRPr="00C42D54">
        <w:t>opovrhnutiahodných</w:t>
      </w:r>
      <w:proofErr w:type="spellEnd"/>
      <w:r w:rsidR="00572096" w:rsidRPr="00C42D54">
        <w:t xml:space="preserve"> teroristických útokov hnutia </w:t>
      </w:r>
      <w:proofErr w:type="spellStart"/>
      <w:r w:rsidR="00572096" w:rsidRPr="00C42D54">
        <w:t>Hamas</w:t>
      </w:r>
      <w:proofErr w:type="spellEnd"/>
      <w:r w:rsidR="00572096" w:rsidRPr="00C42D54">
        <w:t xml:space="preserve"> proti Izraelu 7. októbra 2023;</w:t>
      </w:r>
      <w:r w:rsidR="00572096" w:rsidRPr="00C42D54">
        <w:rPr>
          <w:color w:val="1C1C1C"/>
        </w:rPr>
        <w:t xml:space="preserve"> </w:t>
      </w:r>
      <w:r w:rsidR="00572096" w:rsidRPr="00C42D54">
        <w:t xml:space="preserve">berie na vedomie reakciu Organizácie Spojených národov na tieto obvinenia vrátane vyšetrovaní, ktoré začal Úrad OSN pre služby vnútorného dohľadu (OIOS) a po ktorých sa v záujme agentúry formálne ukončil pracovný pomer 9 zamestnancov, a odporúčania vydané prostredníctvom </w:t>
      </w:r>
      <w:proofErr w:type="spellStart"/>
      <w:r w:rsidR="00572096" w:rsidRPr="00C42D54">
        <w:t>Colonnovej</w:t>
      </w:r>
      <w:proofErr w:type="spellEnd"/>
      <w:r w:rsidR="00572096" w:rsidRPr="00C42D54">
        <w:t xml:space="preserve"> správy; konštatuje, že Komisia spolupracuje s UNRWA na posilnení procesov neutrality a kontrolných systémov v agentúre v súlade so zisteniami vyšetrovaní OIOS OSN a na monitorovaní uplatňovania akčného plánu, ktorý predložila UNRWA; berie na vedomie posúdenie Komisie, že UNRWA je naďalej odhodlaná vykonávať dohodnuté odporúčania, ako aj splnenie všetkých podmienok dohodnutých s Úniou na pokračovanie financovania v roku 2024</w:t>
      </w:r>
      <w:bookmarkStart w:id="9" w:name="_Hlk216258516"/>
      <w:r w:rsidR="00572096" w:rsidRPr="00C42D54">
        <w:t>; v tejto súvislosti nabáda Komisiu, aby sa naďalej angažovala a vykonávala pozorné monitorovanie s cieľom zabezpečiť, že</w:t>
      </w:r>
      <w:bookmarkEnd w:id="9"/>
      <w:r w:rsidR="00572096" w:rsidRPr="00C42D54">
        <w:t xml:space="preserve"> financovanie bude spojené so spoľahlivými zárukami neutrality, transparentnosti a zodpovednosti; konštatuje, že Únia nefinancuje palestínske učebnice a že za </w:t>
      </w:r>
      <w:proofErr w:type="spellStart"/>
      <w:r w:rsidR="00572096" w:rsidRPr="00C42D54">
        <w:t>ne</w:t>
      </w:r>
      <w:proofErr w:type="spellEnd"/>
      <w:r w:rsidR="00572096" w:rsidRPr="00C42D54">
        <w:t xml:space="preserve"> nie je zodpovedná ani UNRWA, ktorá však skúma všetky vydané učebnice s cieľom zaoberať sa akýmkoľvek problematickým obsahom;</w:t>
      </w:r>
      <w:bookmarkStart w:id="10" w:name="_Hlk216447567"/>
      <w:r w:rsidR="00572096" w:rsidRPr="00C42D54">
        <w:t xml:space="preserve"> pripomína, že je potrebné, aby Palestínska samospráva odstránila všetky vzdelávacie materiály a obsah, ktoré nie sú v súlade s normami UNESCO, najmä tie, ktoré podporujú antisemitizmus a podnecujú násilie, ktorému by palestínske deti nemali byť vystavené;</w:t>
      </w:r>
      <w:bookmarkEnd w:id="10"/>
      <w:r w:rsidR="00572096" w:rsidRPr="00C42D54">
        <w:t xml:space="preserve"> pripomína, že na uvedené vzdelávacie materiály sa nesmú priamo ani nepriamo prideľovať žiadne finančné prostriedky Únie; zdôrazňuje, že finančná podpora Únie pre Palestínsku samosprávu v oblasti vzdelávania by sa mala poskytovať pod podmienkou, že obsah učebníc bude v súlade s normami UNESCO podľa zistení uvedených v správe Inštitútu </w:t>
      </w:r>
      <w:proofErr w:type="spellStart"/>
      <w:r w:rsidR="00572096" w:rsidRPr="00C42D54">
        <w:t>Georga</w:t>
      </w:r>
      <w:proofErr w:type="spellEnd"/>
      <w:r w:rsidR="00572096" w:rsidRPr="00C42D54">
        <w:t xml:space="preserve"> Eckerta, ktorú financovala Únia a ktorá poskytla komplexný obraz o učebniciach;</w:t>
      </w:r>
    </w:p>
    <w:p w14:paraId="39ADAC6C" w14:textId="70A5EF82" w:rsidR="00572096" w:rsidRPr="00C42D54" w:rsidRDefault="00862B81" w:rsidP="00572096">
      <w:pPr>
        <w:spacing w:after="240"/>
        <w:ind w:left="567" w:hanging="567"/>
      </w:pPr>
      <w:r>
        <w:t>32</w:t>
      </w:r>
      <w:r w:rsidR="00572096" w:rsidRPr="00C42D54">
        <w:t>.</w:t>
      </w:r>
      <w:r w:rsidR="00572096" w:rsidRPr="00C42D54">
        <w:tab/>
        <w:t xml:space="preserve">vyjadruje znepokojenie nad správou o pravdepodobných interných dokumentoch </w:t>
      </w:r>
      <w:proofErr w:type="spellStart"/>
      <w:r w:rsidR="00572096" w:rsidRPr="00C42D54">
        <w:t>Hamasu</w:t>
      </w:r>
      <w:proofErr w:type="spellEnd"/>
      <w:r w:rsidR="00572096" w:rsidRPr="00C42D54">
        <w:t xml:space="preserve"> z rokov 2018 až 2022, ktoré pôvodne našli príslušníci izraelských obranných síl v Pásme Gazy a ktoré boli neskôr odtajnené a šírené prostredníctvom MVO Monitor, v ktorých sa údajne naznačujú pokusy o infiltráciu a monitorovanie medzinárodných MVO zo strany </w:t>
      </w:r>
      <w:proofErr w:type="spellStart"/>
      <w:r w:rsidR="00572096" w:rsidRPr="00C42D54">
        <w:t>Hamasu</w:t>
      </w:r>
      <w:proofErr w:type="spellEnd"/>
      <w:r w:rsidR="00572096" w:rsidRPr="00C42D54">
        <w:t xml:space="preserve"> prostredníctvom tzv. ručiteľov, a to aj v rámci humanitárnych projektov financovaných Úniou v Pásme Gazy; pripomína, že vo veľkej miere v reakcii na požiadavky </w:t>
      </w:r>
      <w:r w:rsidR="00337564" w:rsidRPr="00C42D54">
        <w:t>Európskeho p</w:t>
      </w:r>
      <w:r w:rsidR="00572096" w:rsidRPr="00C42D54">
        <w:t>arlamentu sa od roku 2023 ešte viac posilnili mechanizmy overovania vrátane osobitných auditov, analýz rizík a dodatočného externého monitorovania; zdôrazňuje, že akékoľvek tvrdenie o akomkoľvek zneužití finančných prostriedkov daňovníkov Únie by sa malo dôkladne overiť, a naliehavo vyzýva Komisiu, aby vyšetrila všetky obvinenia z akéhokoľvek druhu nenáležitej infiltrácie a vplyvu v rámci humanitárnych projektov financovaných Úniou a aby pozastavila alebo vymáhala finančné prostriedky Únie v prípade, že sa potvrdí porušenie; zdôrazňuje, že akékoľvek tvrdenie o zneužití finančných prostriedkov Únie nepriamo odklonených teroristickým organizáciám narúša integritu pomoci Únie; upozorňuje, že v ozbrojených konfliktoch sú dezinformácie a informačná vojna na strategické účely bežnými postupmi;</w:t>
      </w:r>
    </w:p>
    <w:p w14:paraId="56BC9089" w14:textId="28E23E05" w:rsidR="00572096" w:rsidRPr="00C42D54" w:rsidRDefault="00862B81" w:rsidP="00572096">
      <w:pPr>
        <w:spacing w:after="240"/>
        <w:ind w:left="567" w:hanging="567"/>
      </w:pPr>
      <w:r>
        <w:t>33</w:t>
      </w:r>
      <w:r w:rsidR="00572096" w:rsidRPr="00C42D54">
        <w:t>.</w:t>
      </w:r>
      <w:r w:rsidR="00572096" w:rsidRPr="00C42D54">
        <w:tab/>
        <w:t xml:space="preserve">pripomína, že milióny ľudí na celom svete čelia diskriminácii, prenasledovaniu alebo násiliu z dôvodu ich náboženského vyznania alebo viery; vyzýva Komisiu a ESVČ, aby </w:t>
      </w:r>
      <w:r w:rsidR="00572096" w:rsidRPr="00C42D54">
        <w:lastRenderedPageBreak/>
        <w:t xml:space="preserve">v rámci svojich príslušných právomocí naďalej zabezpečovali vyváženú politickú pozornosť, koordináciu a transparentnosť pri riešení všetkých foriem náboženskej nenávisti a neznášanlivosti vrátane protikresťanskej, </w:t>
      </w:r>
      <w:proofErr w:type="spellStart"/>
      <w:r w:rsidR="00572096" w:rsidRPr="00C42D54">
        <w:t>protiislamskej</w:t>
      </w:r>
      <w:proofErr w:type="spellEnd"/>
      <w:r w:rsidR="00572096" w:rsidRPr="00C42D54">
        <w:t xml:space="preserve"> a antisemitskej nenávisti a aby pravidelne informovali </w:t>
      </w:r>
      <w:r w:rsidR="00337564" w:rsidRPr="00C42D54">
        <w:t>Európsky p</w:t>
      </w:r>
      <w:r w:rsidR="00572096" w:rsidRPr="00C42D54">
        <w:t>arlament o relevantných prijatých opatreniach a mobilizovaných zdrojoch v tejto súvislosti;</w:t>
      </w:r>
    </w:p>
    <w:p w14:paraId="1B01C7CA" w14:textId="0A721FF5" w:rsidR="00572096" w:rsidRPr="00C42D54" w:rsidRDefault="00862B81" w:rsidP="00572096">
      <w:pPr>
        <w:pStyle w:val="NormalHanging12a"/>
      </w:pPr>
      <w:r>
        <w:t>34</w:t>
      </w:r>
      <w:r w:rsidR="00572096" w:rsidRPr="00C42D54">
        <w:t>.</w:t>
      </w:r>
      <w:r w:rsidR="00572096" w:rsidRPr="00C42D54">
        <w:tab/>
        <w:t>na základe správy o následných opatreniach berie na vedomie pokračujúce úsilie ESVČ o podporu dialógu o politickej, hospodárskej a sociálnej situácii, právnom štáte a boji proti korupcii a o posilnenie demokracie a ľudských práv v rôznych krajinách; víta skutočnosť, že ESVČ a delegácie Únie naďalej spolupracujú so zástupcami vnútroštátnych správnych orgánov a inštitúcií, organizáciami občianskej spoločnosti, zainteresovanými stranami zameranými na demokratickú správu vecí verejných a ľudské práva, médiami, sociálnymi partnermi a medzinárodnými a regionálnymi organizáciami; konštatuje, že podpora obhajcov ľudských práv a práv žien vrátane práv domorodého obyvateľstva patrí medzi kľúčové priority ESVČ v súlade s akčným plánom Únie pre ľudské práva a demokraciu na roky 2020 – 2027 a napreduje prostredníctvom celého radu činností, ako sú politické dialógy, politické správy, verejná diplomacia, multilaterálne fóra a výročné správy o vykonávaní ľudských práv; vyzýva ESVČ a delegácie Únie, aby ešte posilnili svoju prácu pri poskytovaní pomoci a logistickej a technologickej podpory obhajcom ľudských práv a spoluprácu s nimi v súlade s usmerneniami EÚ o obhajcoch ľudských práv, a to s osobitným zameraním na ženy;</w:t>
      </w:r>
    </w:p>
    <w:p w14:paraId="2E5A5911" w14:textId="5740C12F" w:rsidR="00572096" w:rsidRPr="00C42D54" w:rsidRDefault="00862B81" w:rsidP="00572096">
      <w:pPr>
        <w:pStyle w:val="NormalHanging12a"/>
      </w:pPr>
      <w:r>
        <w:t>35</w:t>
      </w:r>
      <w:r w:rsidR="00572096" w:rsidRPr="00C42D54">
        <w:t>.</w:t>
      </w:r>
      <w:r w:rsidR="00572096" w:rsidRPr="00C42D54">
        <w:tab/>
        <w:t>na základe dotazníka konštatuje, že útvar správy a riadenia (</w:t>
      </w:r>
      <w:proofErr w:type="spellStart"/>
      <w:r w:rsidR="00572096" w:rsidRPr="00C42D54">
        <w:t>Corporate</w:t>
      </w:r>
      <w:proofErr w:type="spellEnd"/>
      <w:r w:rsidR="00572096" w:rsidRPr="00C42D54">
        <w:t xml:space="preserve"> </w:t>
      </w:r>
      <w:proofErr w:type="spellStart"/>
      <w:r w:rsidR="00572096" w:rsidRPr="00C42D54">
        <w:t>Governance</w:t>
      </w:r>
      <w:proofErr w:type="spellEnd"/>
      <w:r w:rsidR="00572096" w:rsidRPr="00C42D54">
        <w:t xml:space="preserve"> Service) zriadený v roku 2023 zohráva dôležitú úlohu pri zlepšovaní riadenia ESVČ tým, že podporuje prípravu ročných plánov riadenia ESVČ a výročných správ o činnosti, posilňuje procesy riadenia rizík, rieši systémové inštitucionálne otázky v delegáciách Únie a vykonáva koncepciu „jednej delegácie“ s cieľom znížiť fragmentáciu riadenia a podávania správ a dokumentovať opakujúce sa problémy a najlepšie postupy v ústredí aj v delegáciách Únie; vyzýva ESVČ, aby urýchlene riešila nedostatky vo vnútornej kontrole a správe dokumentov, na ktoré poukázal Dvor audítorov, s cieľom zlepšiť integritu riadenia informácií a zabezpečiť konzistentné podávanie správ vo všetkých delegáciách Únie;</w:t>
      </w:r>
    </w:p>
    <w:p w14:paraId="5B179BFE" w14:textId="6A401757" w:rsidR="00572096" w:rsidRPr="00C42D54" w:rsidRDefault="00862B81" w:rsidP="00572096">
      <w:pPr>
        <w:pStyle w:val="NormalHanging12a"/>
      </w:pPr>
      <w:r>
        <w:t>36</w:t>
      </w:r>
      <w:r w:rsidR="00572096" w:rsidRPr="00C42D54">
        <w:t>.</w:t>
      </w:r>
      <w:r w:rsidR="00572096" w:rsidRPr="00C42D54">
        <w:tab/>
        <w:t xml:space="preserve">na základe správy o následných opatreniach a dotazníka s uspokojením berie na vedomie úsilie ESVČ o feministickú diplomaciu napriek tomu, že členské štáty plnia hlavnú úlohu pri stanovovaní usmernení Únie pre vonkajšiu činnosť; víta najmä opatrenia prijaté na urýchlenie plnenia záväzkov Únie v rámci akčného plánu pre rodovú rovnosť (GAP) III; konštatuje, že veľvyslankyňa Únie pre rodovú rovnosť a rozmanitosť sa zapojila do úsilia o začlenenie rodového hľadiska do dialógov o ľudských právach a kľúčových mnohostranných vyhlásení a uznesení; ďalej konštatuje, že rodovo </w:t>
      </w:r>
      <w:proofErr w:type="spellStart"/>
      <w:r w:rsidR="00572096" w:rsidRPr="00C42D54">
        <w:t>responzívne</w:t>
      </w:r>
      <w:proofErr w:type="spellEnd"/>
      <w:r w:rsidR="00572096" w:rsidRPr="00C42D54">
        <w:t xml:space="preserve"> vedenie je naďalej kľúčovým prvkom </w:t>
      </w:r>
      <w:proofErr w:type="spellStart"/>
      <w:r w:rsidR="00572096" w:rsidRPr="00C42D54">
        <w:t>inštitucionalizácie</w:t>
      </w:r>
      <w:proofErr w:type="spellEnd"/>
      <w:r w:rsidR="00572096" w:rsidRPr="00C42D54">
        <w:t xml:space="preserve"> uplatňovania hľadiska rodovej rovnosti; v tejto súvislosti víta vymenovanie kontaktných miest pre rodové otázky v novembri 2024; konštatuje, že platnosť akčného plánu GAP III sa skončí v roku 2027, a preto naliehavo vyzýva ESVČ, aby vypracovala ambicióznejší akčný plán GAP IV, ktorým sa zabezpečí silnejšie prepojenie medzi právami a posilnením postavenia žien a zahraničnou a bezpečnostnou politikou Únie a ktorý bude pripravený na vykonávanie od roku 2028;</w:t>
      </w:r>
    </w:p>
    <w:p w14:paraId="33C84FAB" w14:textId="37CC5AB1" w:rsidR="00572096" w:rsidRPr="00C42D54" w:rsidRDefault="00862B81" w:rsidP="00572096">
      <w:pPr>
        <w:pStyle w:val="NormalHanging12a"/>
      </w:pPr>
      <w:r>
        <w:t>37</w:t>
      </w:r>
      <w:r w:rsidR="00572096" w:rsidRPr="00C42D54">
        <w:t>.</w:t>
      </w:r>
      <w:r w:rsidR="00572096" w:rsidRPr="00C42D54">
        <w:tab/>
        <w:t xml:space="preserve">zdôrazňuje, že Únia musí zvýšiť finančné prostriedky na posilnenie osobitného rozpočtového riadku v rámci opatrení zahraničnej politiky EÚ, najmä v oblasti rodovej </w:t>
      </w:r>
      <w:r w:rsidR="00572096" w:rsidRPr="00C42D54">
        <w:lastRenderedPageBreak/>
        <w:t xml:space="preserve">rovnosti a programu zameraného na ženy, mier a bezpečnosť, s cieľom zabezpečiť konzistentné financovanie iniciatív, ktoré podporujú rodovo </w:t>
      </w:r>
      <w:proofErr w:type="spellStart"/>
      <w:r w:rsidR="00572096" w:rsidRPr="00C42D54">
        <w:t>responzívne</w:t>
      </w:r>
      <w:proofErr w:type="spellEnd"/>
      <w:r w:rsidR="00572096" w:rsidRPr="00C42D54">
        <w:t xml:space="preserve"> vedenie, chránia práva žien a bojujú proti sexuálnemu a rodovo motivovanému násiliu počas konfliktov a po nich; zdôrazňuje, že takéto financovanie je nevyhnutné na podporu miestnych organizácií občianskej spoločnosti, poskytovanie podpory zameranej na obete a začlenenie rodového hľadiska do diplomatického a bezpečnostného úsilia Únie;</w:t>
      </w:r>
    </w:p>
    <w:p w14:paraId="26A51848" w14:textId="35C01C55" w:rsidR="00572096" w:rsidRPr="00C42D54" w:rsidRDefault="00862B81" w:rsidP="00572096">
      <w:pPr>
        <w:pStyle w:val="NormalHanging12a"/>
      </w:pPr>
      <w:r>
        <w:t>38</w:t>
      </w:r>
      <w:r w:rsidR="00572096" w:rsidRPr="00C42D54">
        <w:t>.</w:t>
      </w:r>
      <w:r w:rsidR="00572096" w:rsidRPr="00C42D54">
        <w:tab/>
        <w:t>považuje volebnú pozorovateľskú misiu za praktický a účinný nástroj zahraničnej politiky a aj naďalej ústredný prvok politík a stratégií Únie na podporu demokracie; na základe správy o následných opatreniach konštatuje, že ESVČ nemá v úmysle rozšíriť pozorovateľské činnosti na kandidátske a susedné krajiny, pretože tieto krajiny primerane pokrývajú pozorovateľské misie pod vedením Úradu OBSE pre demokratické inštitúcie a ľudské práva, ktorý použil metodiku podobnú metodike Únie a často využíva expertov z rovnakej skupiny odborníkov; opakuje však svoju výzvu Únii, aby volebným pozorovateľským misiám Únie zabezpečila primerané zdroje vrátane odborných znalostí o integrite online informácií a rizikách zasahovania do metodík volebných pozorovateľských misií Únie;</w:t>
      </w:r>
    </w:p>
    <w:p w14:paraId="26A14EBC" w14:textId="260BAF2A" w:rsidR="00572096" w:rsidRPr="00C42D54" w:rsidRDefault="00862B81" w:rsidP="00572096">
      <w:pPr>
        <w:pStyle w:val="NormalHanging12a"/>
      </w:pPr>
      <w:r>
        <w:t>39</w:t>
      </w:r>
      <w:r w:rsidR="00572096" w:rsidRPr="00C42D54">
        <w:t>.</w:t>
      </w:r>
      <w:r w:rsidR="00572096" w:rsidRPr="00C42D54">
        <w:tab/>
        <w:t>na základe správy o následných opatreniach berie s uspokojením na vedomie úsilie Únie o ochranu detí v regiónoch postihnutých konfliktom prostredníctvom jej delegácií v roku 2024; víta aktualizáciu usmernení Únie o deťoch v ozbrojených konfliktoch v roku 2024, ktoré poskytujú rámec na posilnenie ochrany a predchádzanie závažnému porušovaniu práv detí v čase vojny;</w:t>
      </w:r>
    </w:p>
    <w:p w14:paraId="15564E34" w14:textId="294BA045" w:rsidR="00572096" w:rsidRPr="00C42D54" w:rsidRDefault="00862B81" w:rsidP="00572096">
      <w:pPr>
        <w:pStyle w:val="NormalHanging12a"/>
      </w:pPr>
      <w:r>
        <w:t>40</w:t>
      </w:r>
      <w:r w:rsidR="00572096" w:rsidRPr="00C42D54">
        <w:t>.</w:t>
      </w:r>
      <w:r w:rsidR="00572096" w:rsidRPr="00C42D54">
        <w:tab/>
        <w:t xml:space="preserve">pripomína, že v roku 2021 </w:t>
      </w:r>
      <w:r w:rsidR="00337564" w:rsidRPr="00C42D54">
        <w:t>Európsky p</w:t>
      </w:r>
      <w:r w:rsidR="00572096" w:rsidRPr="00C42D54">
        <w:t xml:space="preserve">arlament navrhol pilotný projekt s názvom Smerom k vytvoreniu Európskej diplomatickej akadémie s cieľom pripraviť dostatočné množstvo európskych diplomatov vyškolených v oblasti zahraničných vzťahov a bezpečnosti Únie a vybudovať európsku diplomatickú kultúru v záujme posilnenia úlohy Únie ako účinného aktéra zahraničnej politiky; konštatuje, že na prvej fáze tohto pilotného projektu, ktorá prebiehala počas akademického roka 2022 – 2023, sa zúčastnilo 42 mladých diplomatov, zatiaľ čo do druhej fázy, ktorá prebiehala počas akademického roka 2023 – 2024, sa zapojilo 50 účastníkov; konštatuje, že druhá fáza pozostávala z dvoch rovnakých štvormesačných kurzov, po ktorých nasledovala jednomesačná stáž v ústredí ESVČ v Bruseli; konštatuje, že programy kurzov a stáže realizovalo akademické konzorcium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v Belgicku (Bruggy) a Poľsku (</w:t>
      </w:r>
      <w:proofErr w:type="spellStart"/>
      <w:r w:rsidR="00572096" w:rsidRPr="00C42D54">
        <w:t>Natolin</w:t>
      </w:r>
      <w:proofErr w:type="spellEnd"/>
      <w:r w:rsidR="00572096" w:rsidRPr="00C42D54">
        <w:t xml:space="preserve">); na základe dotazníka konštatuje, že v súlade so zmluvou o poskytovaní služieb EEAS/2022/OP/0168-2023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vypracovalo záverečnú správu obsahujúcu posúdenie druhej fázy pilotného projektu; vyzýva ESVČ, aby orgánu udeľujúcemu absolutórium poskytla túto správu; na základe správ ESVČ o ročnej účtovnej závierke za roky 2022, 2023 a 2024, pokiaľ ide o plnenie rozpočtu pilotných fáz diplomatickej akadémie EÚ, konštatuje, že ESVČ vyplatila 831 000 EUR v roku 2022, 120 000 EUR v roku 2023 a 862 000 EUR v roku 2024; žiada ESVČ, aby v súvislosti s postupom udeľovania absolutória poskytla </w:t>
      </w:r>
      <w:r w:rsidR="00337564" w:rsidRPr="00C42D54">
        <w:t>Európskemu p</w:t>
      </w:r>
      <w:r w:rsidR="00572096" w:rsidRPr="00C42D54">
        <w:t>arlamentu kópie všetkej dokumentácie týkajúcej sa uskutočnených postupov verejného obstarávania, podpísaných zmlúv a uskutočnených platieb v súvislosti s prvou a druhou fázou pilotného projektu diplomatickej akadémie EÚ;</w:t>
      </w:r>
    </w:p>
    <w:p w14:paraId="2B02D471" w14:textId="555051E1" w:rsidR="00572096" w:rsidRPr="00C42D54" w:rsidRDefault="00862B81" w:rsidP="00572096">
      <w:pPr>
        <w:pStyle w:val="NormalHanging12a"/>
      </w:pPr>
      <w:r>
        <w:t>41</w:t>
      </w:r>
      <w:r w:rsidR="00572096" w:rsidRPr="00C42D54">
        <w:t>.</w:t>
      </w:r>
      <w:r w:rsidR="00572096" w:rsidRPr="00C42D54">
        <w:tab/>
        <w:t xml:space="preserve">ďalej konštatuje, že 21. mája 2024 Rada na základe skúseností a štruktúry vytvorenej v pilotných fázach prijala rozhodnutie o zriadení plnohodnotnej diplomatickej akadémie EÚ na štyri akademické roky počnúc rokom 2024/2025, pričom organizáciou kurzov a vzdelávacích aktivít bola poverená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zatiaľ čo za činnosť </w:t>
      </w:r>
      <w:r w:rsidR="00572096" w:rsidRPr="00C42D54">
        <w:lastRenderedPageBreak/>
        <w:t xml:space="preserve">diplomatickej akadémie EÚ bude zodpovedať podpredsedníčka Komisie/vysoká predstaviteľka, ktorej bude usmernenia poskytovať riadiaci výbor zložený zo zástupcu určeného každým členským štátom, ako aj zo zástupcu </w:t>
      </w:r>
      <w:r w:rsidR="00337564" w:rsidRPr="00C42D54">
        <w:t>Európskeho p</w:t>
      </w:r>
      <w:r w:rsidR="00572096" w:rsidRPr="00C42D54">
        <w:t>arlamentu, Rady a Komisie; na základe tohto rozhodnutia konštatuje, že plánovaná suma 1,72 milióna EUR sa vzťahuje na obdobie od 1. júla 2024 do 30. júna 2025, pričom na riadenie výdavkov v súvislosti s diplomatickou akadémiou EÚ dohliada Komisia prostredníctvom Útvaru pre nástroje zahraničnej politiky;</w:t>
      </w:r>
    </w:p>
    <w:p w14:paraId="269CCBB1" w14:textId="05620447" w:rsidR="00572096" w:rsidRPr="00C42D54" w:rsidRDefault="00862B81" w:rsidP="00572096">
      <w:pPr>
        <w:pStyle w:val="NormalHanging12a"/>
      </w:pPr>
      <w:r>
        <w:t>42</w:t>
      </w:r>
      <w:r w:rsidR="00572096" w:rsidRPr="00C42D54">
        <w:t>.</w:t>
      </w:r>
      <w:r w:rsidR="00572096" w:rsidRPr="00C42D54">
        <w:tab/>
        <w:t xml:space="preserve">konštatuje, že po vytvorení CGS v roku 2023 ESVČ v roku 2024 aktualizovala svoj rámec vnútornej kontroly s cieľom zohľadniť úlohu hlavného úradníka pre riadenie a zaviesť monitorovací mechanizmus vnútornej kontroly; na základe dotazníka konštatuje, že rámec vnútornej kontroly ESVČ je v súlade s rámcom Komisie; konštatuje, že ESVČ okrem štandardného ročného hodnotenia svojho systému vnútornej kontroly vykonala v roku 2024 prieskum medzi 167 respondentmi/zamestnancami, pričom všetci z nich mali zodpovednosť povoľujúcich úradníkov vymenovaných </w:t>
      </w:r>
      <w:proofErr w:type="spellStart"/>
      <w:r w:rsidR="00572096" w:rsidRPr="00C42D54">
        <w:t>subdelegovaním</w:t>
      </w:r>
      <w:proofErr w:type="spellEnd"/>
      <w:r w:rsidR="00572096" w:rsidRPr="00C42D54">
        <w:t>, a o výsledkoch tohto prieskumu sa diskutuje na úrovni vyššieho manažmentu vo výbore ESVČ pre vnútornú kontrolu; konštatuje, že v tomto prieskume sa poukázalo na 183 oblastí, ktoré si vyžadujú pozornosť, najmä pokiaľ ide o výzvy, ktorým čelia delegácie Únie, ako je informovanosť o vnútornej kontrole a riadení rizík, prijímanie a udržanie kvalifikovaných zamestnancov a IT služby; víta skutočnosť, že ESVČ vypracovala akčný plán na riešenie existujúcich obáv a aktívne riešenie potenciálnych rizík; žiada ESVČ, aby o týchto otázkach priebežne informovala orgán udeľujúci absolutórium;</w:t>
      </w:r>
    </w:p>
    <w:p w14:paraId="683F1A91" w14:textId="1C4ABB9C" w:rsidR="00572096" w:rsidRPr="00C42D54" w:rsidRDefault="00862B81" w:rsidP="00572096">
      <w:pPr>
        <w:pStyle w:val="NormalHanging12a"/>
      </w:pPr>
      <w:r>
        <w:t>43</w:t>
      </w:r>
      <w:r w:rsidR="00572096" w:rsidRPr="00C42D54">
        <w:t>.</w:t>
      </w:r>
      <w:r w:rsidR="00572096" w:rsidRPr="00C42D54">
        <w:tab/>
        <w:t>nabáda ESVČ, aby posilnila vnútornú kontrolu a systémy správy dokumentov a riešila nedostatky zistené Dvorom audítorov, a to najmä tie, ktoré sa týkajú správy informácií a podávania správ zo strany delegácií Únie;</w:t>
      </w:r>
    </w:p>
    <w:p w14:paraId="57EB21A3" w14:textId="7A0C22C4" w:rsidR="00572096" w:rsidRPr="00C42D54" w:rsidRDefault="00862B81" w:rsidP="00572096">
      <w:pPr>
        <w:pStyle w:val="NormalHanging12a"/>
      </w:pPr>
      <w:r>
        <w:t>44</w:t>
      </w:r>
      <w:r w:rsidR="00572096" w:rsidRPr="00C42D54">
        <w:t>.</w:t>
      </w:r>
      <w:r w:rsidR="00572096" w:rsidRPr="00C42D54">
        <w:tab/>
        <w:t xml:space="preserve">konštatuje, že ESVČ používa dva spôsoby </w:t>
      </w:r>
      <w:r w:rsidR="00572096" w:rsidRPr="00C42D54">
        <w:rPr>
          <w:i/>
          <w:iCs/>
        </w:rPr>
        <w:t xml:space="preserve">ex </w:t>
      </w:r>
      <w:proofErr w:type="spellStart"/>
      <w:r w:rsidR="00572096" w:rsidRPr="00C42D54">
        <w:rPr>
          <w:i/>
          <w:iCs/>
        </w:rPr>
        <w:t>ante</w:t>
      </w:r>
      <w:proofErr w:type="spellEnd"/>
      <w:r w:rsidR="00572096" w:rsidRPr="00C42D54">
        <w:t xml:space="preserve"> overovania, pokiaľ ide o finančné transakcie (záväzky, platby a príkazy na vymáhanie); konštatuje, že jeden typ </w:t>
      </w:r>
      <w:r w:rsidR="00572096" w:rsidRPr="00C42D54">
        <w:rPr>
          <w:i/>
          <w:iCs/>
        </w:rPr>
        <w:t xml:space="preserve">ex </w:t>
      </w:r>
      <w:proofErr w:type="spellStart"/>
      <w:r w:rsidR="00572096" w:rsidRPr="00C42D54">
        <w:rPr>
          <w:i/>
          <w:iCs/>
        </w:rPr>
        <w:t>ante</w:t>
      </w:r>
      <w:proofErr w:type="spellEnd"/>
      <w:r w:rsidR="00572096" w:rsidRPr="00C42D54">
        <w:t xml:space="preserve"> overovania je decentralizovaný, t. j. vykonáva sa nezávisle od zodpovedného povoľujúceho úradníka vymenovaného </w:t>
      </w:r>
      <w:proofErr w:type="spellStart"/>
      <w:r w:rsidR="00572096" w:rsidRPr="00C42D54">
        <w:t>subdelegovaním</w:t>
      </w:r>
      <w:proofErr w:type="spellEnd"/>
      <w:r w:rsidR="00572096" w:rsidRPr="00C42D54">
        <w:t xml:space="preserve"> v prípade platieb súvisiacich s faktúrami, ktorých suma (k roku 2024) je nižšia ako 15 000 EUR; konštatuje, že v prípade všetkých ostatných finančných transakcií zabezpečujú </w:t>
      </w:r>
      <w:r w:rsidR="00572096" w:rsidRPr="00C42D54">
        <w:rPr>
          <w:i/>
          <w:iCs/>
        </w:rPr>
        <w:t xml:space="preserve">ex </w:t>
      </w:r>
      <w:proofErr w:type="spellStart"/>
      <w:r w:rsidR="00572096" w:rsidRPr="00C42D54">
        <w:rPr>
          <w:i/>
          <w:iCs/>
        </w:rPr>
        <w:t>ante</w:t>
      </w:r>
      <w:proofErr w:type="spellEnd"/>
      <w:r w:rsidR="00572096" w:rsidRPr="00C42D54">
        <w:t xml:space="preserve"> overovanie interne operačné oddelenia alebo delegácie Únie; konštatuje, že aj v prípade postupov verejného obstarávania existujú dva spôsoby </w:t>
      </w:r>
      <w:r w:rsidR="00572096" w:rsidRPr="00C42D54">
        <w:rPr>
          <w:i/>
          <w:iCs/>
        </w:rPr>
        <w:t xml:space="preserve">ex </w:t>
      </w:r>
      <w:proofErr w:type="spellStart"/>
      <w:r w:rsidR="00572096" w:rsidRPr="00C42D54">
        <w:rPr>
          <w:i/>
          <w:iCs/>
        </w:rPr>
        <w:t>ante</w:t>
      </w:r>
      <w:proofErr w:type="spellEnd"/>
      <w:r w:rsidR="00572096" w:rsidRPr="00C42D54">
        <w:t xml:space="preserve"> overovania: jeden spôsob pre zákazky, ktorých hodnota sa rovná finančným limitom stanoveným v smernici 2014/24/EÚ alebo ich presahuje, prebiehal nezávisle od povoľujúceho úradníka vymenovaného </w:t>
      </w:r>
      <w:proofErr w:type="spellStart"/>
      <w:r w:rsidR="00572096" w:rsidRPr="00C42D54">
        <w:t>subdelegovaním</w:t>
      </w:r>
      <w:proofErr w:type="spellEnd"/>
      <w:r w:rsidR="00572096" w:rsidRPr="00C42D54">
        <w:t xml:space="preserve"> oddelenia zodpovedného za spis o verejnom obstarávaní a druhý spôsob bol zabezpečovaný interne oddelením zodpovedným za zákazky (veľmi) nízkej a strednej hodnoty;</w:t>
      </w:r>
    </w:p>
    <w:p w14:paraId="727658CE" w14:textId="3E9EA3E7" w:rsidR="00572096" w:rsidRPr="00C42D54" w:rsidRDefault="00862B81" w:rsidP="00572096">
      <w:pPr>
        <w:pStyle w:val="NormalHanging12a"/>
      </w:pPr>
      <w:r>
        <w:t>45</w:t>
      </w:r>
      <w:r w:rsidR="00572096" w:rsidRPr="00C42D54">
        <w:t>.</w:t>
      </w:r>
      <w:r w:rsidR="00572096" w:rsidRPr="00C42D54">
        <w:tab/>
        <w:t xml:space="preserve">konštatuje, že pokiaľ ide o finančné chyby, zistená miera chybovosti zodpovedá chybám zisteným </w:t>
      </w:r>
      <w:r w:rsidR="00572096" w:rsidRPr="00C42D54">
        <w:rPr>
          <w:i/>
          <w:iCs/>
        </w:rPr>
        <w:t>ex post</w:t>
      </w:r>
      <w:r w:rsidR="00572096" w:rsidRPr="00C42D54">
        <w:t xml:space="preserve"> kontrolami (po vykonaní platby/vymožení), čo vedie k zostatkovej chybe, ktorá odráža aj chyby, o ktorých sa predpokladá, že sa týkajú nekontrolovaných výdavkov a príjmov; konštatuje, že v roku 2024 bola finančná zostatková miera chybovosti v prípade výdavkov ESVČ 0,03 % a v prípade príjmov 0,05 %; konštatuje, že pokiaľ ide o chyby vo verejnom obstarávaní, ESVČ v roku 2024 aktualizovala svoju metodiku </w:t>
      </w:r>
      <w:r w:rsidR="00572096" w:rsidRPr="00C42D54">
        <w:rPr>
          <w:i/>
          <w:iCs/>
        </w:rPr>
        <w:t>ex post</w:t>
      </w:r>
      <w:r w:rsidR="00572096" w:rsidRPr="00C42D54">
        <w:t xml:space="preserve"> kontrol, čím ju zosúladila s prístupom Komisie, pokiaľ ide o výpočet chýb vo verejnom obstarávaní, v ktorom sa vylučuje pojem zostatkovej chyby, keďže finančný vplyv chýb vo verejnom obstarávaní nemožno vyčísliť rovnako ako finančné </w:t>
      </w:r>
      <w:r w:rsidR="00572096" w:rsidRPr="00C42D54">
        <w:lastRenderedPageBreak/>
        <w:t>chyby; konštatuje, že na základe tejto novej metodiky bola v roku 2024 hodnota zistených chýb vo verejnom obstarávaní 49 774 108 EUR (nárast z 23 392 948 EUR v roku 2023) alebo 4,32 % kontrolovaného súboru v roku 2024 (nárast z 2,07 % v roku 2023);</w:t>
      </w:r>
    </w:p>
    <w:p w14:paraId="4139DAEF" w14:textId="6702A191" w:rsidR="00572096" w:rsidRPr="00C42D54" w:rsidRDefault="00862B81" w:rsidP="00572096">
      <w:pPr>
        <w:pStyle w:val="NormalHanging12a"/>
      </w:pPr>
      <w:r>
        <w:t>46</w:t>
      </w:r>
      <w:r w:rsidR="00572096" w:rsidRPr="00C42D54">
        <w:t>.</w:t>
      </w:r>
      <w:r w:rsidR="00572096" w:rsidRPr="00C42D54">
        <w:tab/>
        <w:t>s uznaním konštatuje, že ESVČ dosiahla v roku 2024 hmatateľný pokrok pri vykonávaní zostávajúcich odporúčaní rôznych orgánov, ako je oddelenie vnútorného auditu ESVČ, Útvar pre vnútorný audit Komisie a Dvor audítorov; uznáva úlohu výboru ESVČ pre pokrok v oblasti auditu pri zabezpečovaní nezávislosti oddelenia vnútorného auditu a monitorovaní kvality práce vnútorného auditu a pokrok dosiahnutý v súvislosti s opatreniami nadväzujúcimi na odporúčania vnútorného a vonkajšieho auditu;</w:t>
      </w:r>
    </w:p>
    <w:p w14:paraId="6390E5A7" w14:textId="6AFD30E8" w:rsidR="00572096" w:rsidRPr="00C42D54" w:rsidRDefault="00862B81" w:rsidP="00572096">
      <w:pPr>
        <w:pStyle w:val="NormalHanging12a"/>
      </w:pPr>
      <w:r>
        <w:t>47</w:t>
      </w:r>
      <w:r w:rsidR="00572096" w:rsidRPr="00C42D54">
        <w:t>.</w:t>
      </w:r>
      <w:r w:rsidR="00572096" w:rsidRPr="00C42D54">
        <w:tab/>
        <w:t>konštatuje, že v súvislosti s auditmi, ktoré vykonalo oddelenie vnútorného auditu, sa počet nevykonaných odporúčaní znížil zo štyroch kritických odporúčaní a 49 veľmi dôležitých odporúčaní na tri kritické odporúčania a 32 veľmi dôležitých odporúčaní a boli preskúmané tri akčné plány, pričom jeden z nich bol akceptovaný ako uspokojivý; konštatuje, že zostávajúce kritické odporúčania súvisia s auditom s názvom Riadenie budovy delegácie EÚ vo Washingtone, ktorý sa oneskoril pre právne záležitosti, a 13 z 32 zostávajúcich veľmi dôležitých odporúčaní súvisí s auditom s názvom Informačné toky medzi ESVČ, GR pre ľudské zdroje a bezpečnosť a Úradom pre správu a úhradu individuálnych nárokov; ďalej konštatuje, že oddelenie vnútorného auditu začalo poradné preskúmanie postupov verejného obstarávania v ústredí, iniciovalo strategické posúdenie rizík, vykonalo referenčné porovnávanie s ostatnými inštitúciami Únie, aktualizovalo svoju poverovaciu listinu, čím dokončilo viacročný plán auditu na roky 2022 – 2024, a prijalo potrebné kroky na prípravu svojho nového strategického plánu auditu od roku 2025;</w:t>
      </w:r>
    </w:p>
    <w:p w14:paraId="48C727E9" w14:textId="0E4A3071" w:rsidR="00572096" w:rsidRPr="00C42D54" w:rsidRDefault="00862B81" w:rsidP="00572096">
      <w:pPr>
        <w:pStyle w:val="NormalHanging12a"/>
      </w:pPr>
      <w:r>
        <w:t>48</w:t>
      </w:r>
      <w:r w:rsidR="00572096" w:rsidRPr="00C42D54">
        <w:t>.</w:t>
      </w:r>
      <w:r w:rsidR="00572096" w:rsidRPr="00C42D54">
        <w:tab/>
        <w:t xml:space="preserve">konštatuje, že Útvar pre vnútorný audit dokončil dva audity týkajúce sa prideľovania ľudských zdrojov a stratégie ESVČ pre boj proti podvodom, pričom akčné plány sa vykonávajú, a koncom roka 2024 začal nový audit </w:t>
      </w:r>
      <w:r w:rsidR="00572096" w:rsidRPr="00C42D54">
        <w:rPr>
          <w:i/>
          <w:iCs/>
        </w:rPr>
        <w:t>ex post</w:t>
      </w:r>
      <w:r w:rsidR="00572096" w:rsidRPr="00C42D54">
        <w:t xml:space="preserve"> kontrol, v rámci ktorého operačná práca pokračovala do roku 2025; vyzýva ESVČ, aby informovala orgán udeľujúci absolutórium o pokroku dosiahnutom pri vykonávaní odporúčaní Útvaru pre vnútorný audit, ktoré ešte nie sú vykonané v nadväznosti na Audit procesu verejného obstarávania a monitorovania zmlúv v ESVČ, ktorý sa začal v roku 2022;</w:t>
      </w:r>
    </w:p>
    <w:p w14:paraId="1B52F33C" w14:textId="4F3111C7" w:rsidR="00572096" w:rsidRPr="00C42D54" w:rsidRDefault="00862B81" w:rsidP="00572096">
      <w:pPr>
        <w:pStyle w:val="NormalHanging12a"/>
      </w:pPr>
      <w:r>
        <w:t>49</w:t>
      </w:r>
      <w:r w:rsidR="00572096" w:rsidRPr="00C42D54">
        <w:t>.</w:t>
      </w:r>
      <w:r w:rsidR="00572096" w:rsidRPr="00C42D54">
        <w:tab/>
        <w:t>na základe výročnej správy o činnosti ESVČ za rok 2024 (ďalej len „správa ESVČ za rok 2024“) konštatuje, že operácie každej delegácie Únie sa pravidelne hodnotia (každé štyri až päť rokov) prostredníctvom inšpekčných misií a strategických cvičení organizácie; konštatuje, že v roku 2024 bolo skontrolovaných 26 delegácií Únie, čo viedlo k vypracovaniu 1 000 odporúčaní a rád pre delegácie Únie a útvary ústredia vrátane šiestich kritických odporúčaní a približne 100 veľmi dôležitých odporúčaní; na základe dotazníka so znepokojením konštatuje, že dve delegácie Únie dostali kritické odporúčania týkajúce sa vnútorného riadenia; víta skutočnosť, že ESVČ v oboch prípadoch prijala prísne následné opatrenia, a hoci jedna inšpekcia zostáva vzhľadom na svoju zložitosť nedokončená, ESVČ aktívne podporuje delegáciu pri riešení nevyriešených problémov a vykonávaní požadovaných nápravných opatrení;</w:t>
      </w:r>
    </w:p>
    <w:p w14:paraId="5849F340" w14:textId="2883D803" w:rsidR="00572096" w:rsidRPr="00C42D54" w:rsidRDefault="00862B81" w:rsidP="00572096">
      <w:pPr>
        <w:pStyle w:val="NormalHanging12a"/>
      </w:pPr>
      <w:r>
        <w:t>50</w:t>
      </w:r>
      <w:r w:rsidR="00572096" w:rsidRPr="00C42D54">
        <w:t>.</w:t>
      </w:r>
      <w:r w:rsidR="00572096" w:rsidRPr="00C42D54">
        <w:tab/>
        <w:t xml:space="preserve">konštatuje, že ESVČ vo všeobecnosti plní harmonogram tak, aby splnila lehotu stanovenú Dvorom audítorov na koniec roka 2025 na vykonanie odporúčaní osobitnej správy Dvora audítorov č. 02/2024 s názvom Koordinačná úloha Európskej služby pre vonkajšiu činnosť; berie na vedomie, že všetci novovymenovaní vedúci delegácií </w:t>
      </w:r>
      <w:r w:rsidR="00572096" w:rsidRPr="00C42D54">
        <w:lastRenderedPageBreak/>
        <w:t xml:space="preserve">dostali v rokoch 2024 a 2025 poverovacie listy a že zlepšené mechanizmy spätnej väzby a proces ročného plánu riadenia posilnili koordináciu medzi ústredím a delegáciami Únie; víta prebiehajúce vykonávanie stratégie riadenia informácií ESVČ vrátane úplného zavedenia platformy spolupráce HIVE, ktorú využíva viac ako 16 500 zamestnancov; berie na vedomie pokračujúcu spoluprácu s Komisiou, Radou a členskými štátmi na zlepšovaní </w:t>
      </w:r>
      <w:proofErr w:type="spellStart"/>
      <w:r w:rsidR="00572096" w:rsidRPr="00C42D54">
        <w:t>interoperability</w:t>
      </w:r>
      <w:proofErr w:type="spellEnd"/>
      <w:r w:rsidR="00572096" w:rsidRPr="00C42D54">
        <w:t xml:space="preserve"> a dosiahnutí pokroku v diskusiách o štandardizovanom stupni utajenia; ďalej berie na vedomie dokončenie posúdenia pracovného zaťaženia delegácií Únie v septembri 2024, ktoré bolo podkladom pre následnú politickú dohodu o modernizácii siete delegácií Únie v máji 2025; berie na vedomie štatút ESVČ ako „pridruženého útvaru“ v auditoch vykonaných Dvorom audítorov, pričom štyri audity (osobitné správy č. 17/2024, 18/2024, 06/2024 a 04/2025) boli dokončené v roku 2024 a dva audity (osobitné správy č. 17/2025 a 20/2025) boli začaté v roku 2024 a dokončené v roku 2025; v tejto súvislosti s uspokojením berie na vedomie dobrú spoluprácu ESVČ s generálnymi riaditeľstvami Komisie, ktorých sa tieto audity týkajú;</w:t>
      </w:r>
    </w:p>
    <w:p w14:paraId="2805CFC5" w14:textId="77777777" w:rsidR="00572096" w:rsidRPr="00C42D54" w:rsidRDefault="00572096" w:rsidP="00572096">
      <w:pPr>
        <w:pStyle w:val="NormalHanging12a"/>
        <w:rPr>
          <w:b/>
          <w:bCs/>
          <w:i/>
          <w:iCs/>
        </w:rPr>
      </w:pPr>
      <w:r w:rsidRPr="00C42D54">
        <w:rPr>
          <w:b/>
          <w:i/>
        </w:rPr>
        <w:t>Ľudské zdroje, rovnosť a dobré podmienky zamestnancov</w:t>
      </w:r>
    </w:p>
    <w:p w14:paraId="0200732A" w14:textId="6502A0F6" w:rsidR="00572096" w:rsidRPr="00C42D54" w:rsidRDefault="00862B81" w:rsidP="00572096">
      <w:pPr>
        <w:pStyle w:val="NormalHanging12a"/>
      </w:pPr>
      <w:r>
        <w:t>51</w:t>
      </w:r>
      <w:r w:rsidR="00572096" w:rsidRPr="00C42D54">
        <w:t>.</w:t>
      </w:r>
      <w:r w:rsidR="00572096" w:rsidRPr="00C42D54">
        <w:tab/>
        <w:t>konštatuje, že ESVČ v roku 2024 zamestnávala okrem miestnych zamestnancov celkovo 2 902 zamestnancov vrátane 1 268 úradníkov, 442 dočasných zamestnancov, 619 zmluvných zamestnancov a 573 vyslaných národných expertov v porovnaní s 2 812 zamestnancami vrátane 1 245 úradníkov, 450 dočasných zamestnancov, 603 zmluvných zamestnancov a 514 vyslaných národných expertov v roku 2023; pripomína, že je dôležité ponúkať trvalé pracovné zmluvy, aby sa zachovala kvalifikácia, kontinuita a produktívne pracovné prostredie;</w:t>
      </w:r>
    </w:p>
    <w:p w14:paraId="664EC761" w14:textId="30E5EE36" w:rsidR="00572096" w:rsidRPr="00C42D54" w:rsidRDefault="00862B81" w:rsidP="00572096">
      <w:pPr>
        <w:pStyle w:val="NormalHanging12a"/>
      </w:pPr>
      <w:r>
        <w:t>52</w:t>
      </w:r>
      <w:r w:rsidR="00572096" w:rsidRPr="00C42D54">
        <w:t>.</w:t>
      </w:r>
      <w:r w:rsidR="00572096" w:rsidRPr="00C42D54">
        <w:tab/>
        <w:t xml:space="preserve">na základe správy ESVČ za rok 2024 konštatuje, že z celkového počtu 5 355 osôb pracujúcich v ESVČ ich na konci roka 2024 pracovalo v ústredí ESVČ 47 % a v delegáciách Únie 53 %, pričom v delegáciách Únie pracovalo 1 622 miestnych zamestnancov; konštatuje, že počas vypočutia poslanci vyjadrili obavy v súvislosti s údajným prepúšťaním miestnych zamestnancov v niektorých delegáciách Únie bez náležitého dodržania miestneho pracovného práva; konštatuje, že po tomto vypočutí členovia výboru CONT predložili dodatočné písomné otázky; na základe odpovedí ESVČ na tieto otázky (ďalej len „druhý dotazník“) konštatuje, že 14. mája 2025 projektová skupina komisárov pre vonkajšiu činnosť schválila projekt modernizácie siete delegácií Únie; konštatuje, že vykonávanie tohto projektu zahŕňa okrem iného centralizáciu funkcií v oblasti financií, zmlúv a auditu pre šesť delegácií Únie na západnom Balkáne v ústredí GR pre rozširovanie a východné susedstvo, ako aj zníženie počtu zamestnancov pracujúcich v oblasti financií a zmlúv v týchto delegáciách Únie na základe posúdení vykonaných po konzultácii s právnymi poradcami; konštatuje, že v súvislosti s balíkom spojeným so znižovaním stavu ESVČ tvrdí, že boli dodržané všetky práva vyplývajúce z miestneho práva a vnútorných pravidiel Únie, pričom finančné balíky pre zamestnancov prepustených z ekonomických dôvodov sú najpriaznivejšie spomedzi balíkov, ktoré stanovuje miestne právo a Únia, a to aj napriek obavám, ktoré vyjadrili miestni zamestnanci v príslušných delegáciách Únie; ďalej konštatuje, že ESVČ v spolupráci s Komisiou úzko spolupracuje s miestnou advokátskou kanceláriou, ktorá poskytuje usmernenia týkajúce sa akýchkoľvek miestnych právnych požiadaviek, čím zabezpečuje vykonávanie procesu prepúšťania v plnom súlade s platnými miestnymi pracovnoprávnymi predpismi; vyzýva ESVČ, aby pri navrhovaní plánu prepúšťania miestnych zamestnancov v plnej miere konzultovala so zástupcom miestnych zamestnancov; so znepokojením berie na vedomie odpovede z dotazníka, že </w:t>
      </w:r>
      <w:r w:rsidR="00572096" w:rsidRPr="00C42D54">
        <w:lastRenderedPageBreak/>
        <w:t>ak je delegácia Únie premiestnená do inej krajiny, napríklad v prípade evakuácie (napr. presťahovanie pobočky zo Sudánu do Egypta), sú miestni zamestnanci zamestnaní v krajine pôvodu prepustení, a teda zostávajú bez zabezpečenia; vyzýva ESVČ, aby našla uskutočniteľné riešenia, pokiaľ ide o bezpečnosť a ochranu miestnych zamestnancov, ktorí lojálne pracujú v delegáciách Únie;</w:t>
      </w:r>
    </w:p>
    <w:p w14:paraId="7743CC1F" w14:textId="7FF05638" w:rsidR="00572096" w:rsidRPr="00C42D54" w:rsidRDefault="00862B81" w:rsidP="00572096">
      <w:pPr>
        <w:pStyle w:val="NormalHanging12a"/>
        <w:rPr>
          <w:bCs/>
          <w:iCs/>
        </w:rPr>
      </w:pPr>
      <w:r>
        <w:t>53</w:t>
      </w:r>
      <w:r w:rsidR="00572096" w:rsidRPr="00C42D54">
        <w:t>.</w:t>
      </w:r>
      <w:r w:rsidR="00572096" w:rsidRPr="00C42D54">
        <w:tab/>
        <w:t>vyjadruje vážne znepokojenie nad správami o nedostatočnom sociálnom dialógu a o zahrnutí chránených zástupcov zamestnancov medzi miestnych zamestnancov postihnutých prepúšťaním v niektorých delegáciách Únie; pripomína, že dodržiavanie miestneho pracovného práva, povinnosti sociálneho dialógu a ochrana zástupcov zamestnancov sú základnými prvkami dobrej správy a dôveryhodnosti Únie ako zamestnávateľa;</w:t>
      </w:r>
    </w:p>
    <w:p w14:paraId="7EFACA14" w14:textId="4228A2EC" w:rsidR="00572096" w:rsidRPr="00C42D54" w:rsidRDefault="00862B81" w:rsidP="00572096">
      <w:pPr>
        <w:pStyle w:val="NormalHanging12a"/>
        <w:rPr>
          <w:bCs/>
          <w:iCs/>
        </w:rPr>
      </w:pPr>
      <w:r>
        <w:t>54</w:t>
      </w:r>
      <w:r w:rsidR="00572096" w:rsidRPr="00C42D54">
        <w:t>.</w:t>
      </w:r>
      <w:r w:rsidR="00572096" w:rsidRPr="00C42D54">
        <w:tab/>
        <w:t xml:space="preserve">zdôrazňuje, že akejkoľvek reštrukturalizácii, premiestneniu alebo prepúšťaniu, ktoré sa týka miestnych zamestnancov, musia predchádzať zmysluplné konzultácie so zástupcami zamestnancov a musia ich sprevádzať konkrétne opatrenia na ochranu práv, bezpečnosti a dôstojnosti miestnych zamestnancov, najmä v krízových alebo evakuačných situáciách; vyzýva ESVČ, aby posúdila nákladovú efektívnosť znižovania počtu zamestnancov v porovnaní s alternatívnymi organizačnými riešeniami vrátane dlhodobých finančných, prevádzkových a </w:t>
      </w:r>
      <w:proofErr w:type="spellStart"/>
      <w:r w:rsidR="00572096" w:rsidRPr="00C42D54">
        <w:t>reputačných</w:t>
      </w:r>
      <w:proofErr w:type="spellEnd"/>
      <w:r w:rsidR="00572096" w:rsidRPr="00C42D54">
        <w:t xml:space="preserve"> vplyvov prepúšťania, ktoré má vplyv na miestnych zamestnancov, a podala o tom správu orgánu udeľujúcemu absolutórium;</w:t>
      </w:r>
    </w:p>
    <w:p w14:paraId="7627552D" w14:textId="2BFF05E3" w:rsidR="00572096" w:rsidRPr="00C42D54" w:rsidRDefault="00862B81" w:rsidP="00572096">
      <w:pPr>
        <w:pStyle w:val="NormalHanging12a"/>
      </w:pPr>
      <w:r>
        <w:t>55</w:t>
      </w:r>
      <w:r w:rsidR="00572096" w:rsidRPr="00C42D54">
        <w:t>.</w:t>
      </w:r>
      <w:r w:rsidR="00572096" w:rsidRPr="00C42D54">
        <w:tab/>
        <w:t>vyzýva ESVČ, aby ďalej zlepšovala bezpečnosť delegácií Únie vrátane spôsobilostí v oblasti kybernetickej bezpečnosti, fyzickej bezpečnosti a evakuácie v prípade krízy a aby systematicky podávala správy o pokroku a zostávajúcich zraniteľných miestach;</w:t>
      </w:r>
    </w:p>
    <w:p w14:paraId="5DFB9F8C" w14:textId="71919A3F" w:rsidR="00572096" w:rsidRPr="00C42D54" w:rsidRDefault="00862B81" w:rsidP="00572096">
      <w:pPr>
        <w:pStyle w:val="NormalHanging12a"/>
      </w:pPr>
      <w:r>
        <w:t>56</w:t>
      </w:r>
      <w:r w:rsidR="00572096" w:rsidRPr="00C42D54">
        <w:t>.</w:t>
      </w:r>
      <w:r w:rsidR="00572096" w:rsidRPr="00C42D54">
        <w:tab/>
        <w:t xml:space="preserve">konštatuje, že v roku 2024 tvorili ženy 46,60 % všetkých zamestnancov ESVČ (v porovnaní so 46,80 % v roku 2023); konštatuje, že pokiaľ ide o zastúpenie žien a pozície, ktoré zastávali v ESVČ v roku 2024, tvorili 40 % administrátorov, 63,78 % asistentov, 73,25 % asistentov-sekretárov, 56,70 % zmluvných zamestnancov a 26,87 % vyslaných národných expertov; na základe správy ESVČ za rok 2024 s uspokojením berie na vedomie úsilie inštitúcie o dosiahnutie väčšieho zastúpenia žien na riadiacich pozíciách; v tejto súvislosti berie na vedomie rastúci trend, pokiaľ ide o pozície vyššieho manažmentu, v ktorých boli ženy v roku 2024 zastúpené 37,30 % (v porovnaní s 31 % v roku 2023), ale mierny pokles, pokiaľ ide o pozície stredného manažmentu, v ktorých bol v roku 2024 podiel žien 38,70 % (v porovnaní so 40,40 % v roku 2023); víta zvýšenie zastúpenia žien na pozíciách vedúcich delegácií z 35,50 % v roku 2023 na 36,10 % v roku 2024; víta postupné zvyšovanie počtu žien na riadiacich pozíciách v rámci ESVČ, pričom poznamenáva, že ženy sú naďalej nedostatočne zastúpené na úrovni AD a nadmerne zastúpené na úrovni AST a že rodová rovnováha na stredných a vyšších riadiacich pozíciách v ústrediach aj v delegáciách Únie sa ešte v plnej miere nedosiahla; zdôrazňuje, že hoci sa musia pre zamestnancov v orgánoch inštitúcií zabezpečiť rovnaké príležitosti, v rámci ESVČ sa musí zachovať </w:t>
      </w:r>
      <w:proofErr w:type="spellStart"/>
      <w:r w:rsidR="00572096" w:rsidRPr="00C42D54">
        <w:t>excelentnosť</w:t>
      </w:r>
      <w:proofErr w:type="spellEnd"/>
      <w:r w:rsidR="00572096" w:rsidRPr="00C42D54">
        <w:t xml:space="preserve"> a profesionalita;</w:t>
      </w:r>
    </w:p>
    <w:p w14:paraId="1924B5F9" w14:textId="79D75958" w:rsidR="00572096" w:rsidRPr="00C42D54" w:rsidRDefault="00862B81" w:rsidP="00572096">
      <w:pPr>
        <w:pStyle w:val="NormalHanging12a"/>
      </w:pPr>
      <w:r>
        <w:t>57</w:t>
      </w:r>
      <w:r w:rsidR="00572096" w:rsidRPr="00C42D54">
        <w:t>.</w:t>
      </w:r>
      <w:r w:rsidR="00572096" w:rsidRPr="00C42D54">
        <w:tab/>
        <w:t xml:space="preserve">na základe správy o následných opatreniach berie na vedomie úsilie ESVČ o prilákanie ďalších žiadostí od nedostatočne zastúpeného pohlavia; v tejto súvislosti víta usporiadanie štyroch školení pre vedúcich pracovníkov o rodovo </w:t>
      </w:r>
      <w:proofErr w:type="spellStart"/>
      <w:r w:rsidR="00572096" w:rsidRPr="00C42D54">
        <w:t>responzívnom</w:t>
      </w:r>
      <w:proofErr w:type="spellEnd"/>
      <w:r w:rsidR="00572096" w:rsidRPr="00C42D54">
        <w:t xml:space="preserve"> vedení, na ktorých sa zúčastnilo 80 % vyšších riadiacich pracovníkov ESVČ, a program v oblasti rodovo </w:t>
      </w:r>
      <w:proofErr w:type="spellStart"/>
      <w:r w:rsidR="00572096" w:rsidRPr="00C42D54">
        <w:t>responzívneho</w:t>
      </w:r>
      <w:proofErr w:type="spellEnd"/>
      <w:r w:rsidR="00572096" w:rsidRPr="00C42D54">
        <w:t xml:space="preserve"> vedenia v trvaní celých 29 hodín počas štyroch mesiacov </w:t>
      </w:r>
      <w:r w:rsidR="00572096" w:rsidRPr="00C42D54">
        <w:lastRenderedPageBreak/>
        <w:t>pre 13 riadiacich pracovníkov vrátane štyroch z delegácií Únie v roku 2024; ďalej konštatuje, že ESVČ zriadila svoju novú sieť kontaktných miest pre rodové otázky a vytvorila pracovnú skupinu pre Istanbulský dohovor, ktorá v roku 2024 predložila správu v polovici trvania s akčným plánom; berie na vedomie prácu veľvyslankyne Únie pre rodovú rovnosť a rozmanitosť zameranú na začlenenie rodového hľadiska do dialógov o ľudských právach a kľúčových mnohostranných vyhlásení a uznesení; vyzýva ESVČ, aby naďalej poskytovala aktuálne informácie o najnovšom vývoji akčného plánu pre rodovú rovnosť na roky 2021 – 2025 a o opatreniach prijatých na ďalšiu podporu účasti žien na všetkých diplomatických a politických dialógoch;</w:t>
      </w:r>
    </w:p>
    <w:p w14:paraId="3065CB74" w14:textId="558B8BEA" w:rsidR="00572096" w:rsidRPr="00C42D54" w:rsidRDefault="00862B81" w:rsidP="00572096">
      <w:pPr>
        <w:pStyle w:val="NormalHanging12a"/>
        <w:rPr>
          <w:bCs/>
          <w:iCs/>
        </w:rPr>
      </w:pPr>
      <w:r>
        <w:t>58</w:t>
      </w:r>
      <w:r w:rsidR="00572096" w:rsidRPr="00C42D54">
        <w:t>.</w:t>
      </w:r>
      <w:r w:rsidR="00572096" w:rsidRPr="00C42D54">
        <w:tab/>
        <w:t>berie na vedomie úsilie ESVČ o vytvorenie rozmanitej a reprezentatívnej pracovnej sily; vyjadruje však poľutovanie nad pretrvávajúcou nedostatočnou geografickou rovnováhou a regionálnou rozmanitosťou v ESVČ, a to aj na riadiacich pozíciách a v kľúčových funkciách v ústredí; konštatuje, že na konci roka 2024 tri členské štáty (jeden členský štát v roku 2025) naďalej nemali žiadneho veľvyslanca Únie, zatiaľ čo veľvyslanci z piatich členských štátov obsadili 56 % všetkých pozícií veľvyslancov Únie, čo predstavuje nárast z 54 % v roku 2023; zdôrazňuje, že diplomatická služba Únie musí odrážať rozmanitosť Únie s cieľom posilniť legitimitu, miestne znalosti a účinnosť; vyzýva ESVČ, aby v spolupráci s Európskym úradom pre výber pracovníkov (EPSO) a útvarmi Komisie zodpovednými za politiku výberu zintenzívnila cielenú osvetu v nedostatočne zastúpených členských štátoch (vrátane informačných a náborových podujatí zameraných na konkrétnu krajinu), rozšírila databázu prostredníctvom stáží, programov pre mladých odborníkov a štruktúrovaných vyslaní a zlepšila spravodlivosť vnútorného výberu prostredníctvom rôznych výberových komisií, transparentných kritérií a mentorstva/sponzorstva pre nedostatočne zastúpené skupiny; pripomína, že prijímanie zamestnancov musí byť naďalej založené na zásluhách a v súlade s právom Únie;</w:t>
      </w:r>
    </w:p>
    <w:p w14:paraId="4C3AEB3F" w14:textId="65836F17" w:rsidR="00572096" w:rsidRPr="00C42D54" w:rsidRDefault="00862B81" w:rsidP="00572096">
      <w:pPr>
        <w:pStyle w:val="NormalHanging12a"/>
      </w:pPr>
      <w:r>
        <w:t>59</w:t>
      </w:r>
      <w:r w:rsidR="00572096" w:rsidRPr="00C42D54">
        <w:t>.</w:t>
      </w:r>
      <w:r w:rsidR="00572096" w:rsidRPr="00C42D54">
        <w:tab/>
        <w:t>konštatuje, že ku koncu roka 2024 bol plán pracovných miest ESVČ obsadený na 95,3 % (v porovnaní s 96,7 % v roku 2023); okrem toho konštatuje, že fluktuácia zamestnancov v ESVČ dosiahla v roku 2024 úroveň 12,07 % (10,15 % v roku 2023); konštatuje, že toto zvýšenie odráža osobitnú štruktúru ESVČ ako diplomatickej služby, ktorá sa vyznačuje pravidelnou rotáciou zamestnancov z diplomatického zboru členských štátov a iných inštitúcií Únie, ako aj uplatňovaním stabilnej personálnej politiky;</w:t>
      </w:r>
    </w:p>
    <w:p w14:paraId="0B5F9C04" w14:textId="7E49B273" w:rsidR="00572096" w:rsidRPr="00C42D54" w:rsidRDefault="00862B81" w:rsidP="00572096">
      <w:pPr>
        <w:pStyle w:val="NormalHanging12a"/>
      </w:pPr>
      <w:r>
        <w:t>60</w:t>
      </w:r>
      <w:r w:rsidR="00572096" w:rsidRPr="00C42D54">
        <w:t>.</w:t>
      </w:r>
      <w:r w:rsidR="00572096" w:rsidRPr="00C42D54">
        <w:tab/>
        <w:t>berie na vedomie prebiehajúce práce na aktualizácii rozhodnutia z roku 2014 o vyslaných národných expertoch, pričom revidované znenie sa malo uverejniť v roku 2025; konštatuje, že ESVČ pokračovala vo svojich programoch stáží tým, že v roku 2024 prijala 62 stážistov v rámci Programu stáží v Európskej komisii v ústredí a 566 stážistov v 106 delegáciách Únie; konštatuje, že 531 stážistov v delegáciách Únie platila ESVČ alebo iné inštitúcie, zatiaľ čo v prípade 35 študentov, ktorým neboli vyplatené granty na stáž, bola stáž povinnou súčasťou ich akademického programu; ďalej konštatuje, že ESVČ pokračovala aj v siedmom kole programu pre pomocných expertov v delegáciách (PED) na roky 2023 – 2025, pričom v delegáciách Únie bolo umiestnených 67 PED;</w:t>
      </w:r>
    </w:p>
    <w:p w14:paraId="6DF10DE8" w14:textId="6C4FD199" w:rsidR="00572096" w:rsidRPr="00C42D54" w:rsidRDefault="00862B81" w:rsidP="00572096">
      <w:pPr>
        <w:pStyle w:val="NormalHanging12a"/>
      </w:pPr>
      <w:r>
        <w:t>61</w:t>
      </w:r>
      <w:r w:rsidR="00572096" w:rsidRPr="00C42D54">
        <w:t>.</w:t>
      </w:r>
      <w:r w:rsidR="00572096" w:rsidRPr="00C42D54">
        <w:tab/>
        <w:t xml:space="preserve">konštatuje, že ESVČ v roku 2024 pokračovala v posilňovaní bezpečného, rešpektujúceho a etického pracovného prostredia; víta rozšírenú dostupnosť povinného elektronického učenia sa o rešpekte a dôstojnosti v práci, rozpoznávaní obťažovania a jeho riešení, pričom v roku 2024 absolvovalo toto školenie 1 900 zamestnancov; víta </w:t>
      </w:r>
      <w:r w:rsidR="00572096" w:rsidRPr="00C42D54">
        <w:lastRenderedPageBreak/>
        <w:t>skutočnosť, že 57 % manažérov absolvovalo v roku 2024 podobné povinné školenie; vyjadruje ESVČ uznanie za to, že v roku 2024 ponúkala školenie v oblasti odolnosti a zvládania traumy pre zamestnancov v krízových zónach a pre regionálnych bezpečnostných úradníkov; ďalej víta prijatie rozhodnutia, ktorým sa rozširuje ochrana pred psychickým a sexuálnym obťažovaním na miestnych zamestnancov v delegáciách Únie, ktorí tak majú v prípade obvinení z obťažovania prístup k formálnym postupom ESVČ;</w:t>
      </w:r>
    </w:p>
    <w:p w14:paraId="53AF6FEC" w14:textId="4D28C31B" w:rsidR="00572096" w:rsidRPr="00C42D54" w:rsidRDefault="00862B81" w:rsidP="00572096">
      <w:pPr>
        <w:pStyle w:val="NormalHanging12a"/>
      </w:pPr>
      <w:r>
        <w:t>62</w:t>
      </w:r>
      <w:r w:rsidR="00572096" w:rsidRPr="00C42D54">
        <w:t>.</w:t>
      </w:r>
      <w:r w:rsidR="00572096" w:rsidRPr="00C42D54">
        <w:tab/>
        <w:t>s uspokojením berie na vedomie opatrenia, ktoré ESVČ prijala v roku 2024 v rámci svojho programu rozmanitosti a začlenenia na roky 2023 – 2025, najmä cielené opatrenia týkajúce sa rodových, etnických, vekových a LGBTIQ+ skupín a skupín osôb so zdravotným postihnutím; v tejto súvislosti konštatuje, že ESVČ zapracovala témy rozmanitosti a začlenenia do školení, poskytla LGBTIQ+ zamestnancom informácie o právnej a kultúrnej situácii vo vysielajúcich krajinách a posilnila svoje úsilie o nábor pracovníkov zohľadňujúci hľadisko rozmanitosti; ďalej oceňuje ESVČ za aktualizáciu svojho akčného plánu pre oblasť zdravotného postihnutia, uskutočnenie prieskumu o otázkach zdravotného postihnutia, vypracovanie informačných prehľadov o prístupnosti pre delegácie Únie, ktoré vykonávajú posúdenie prístupnosti svojho webového sídla, a poskytnutie finančnej pomoci na iné ako zdravotné náklady 26 zamestnancom, ktorí majú deti so zdravotným postihnutím; vyzýva ESVČ, aby pracovníkom na manažérskych a nemanažérskych pozíciách naďalej poskytovala pravidelnú odbornú prípravu v oblasti rozmanitosti, rovnosti, inklúzie a spolupatričnosti;</w:t>
      </w:r>
    </w:p>
    <w:p w14:paraId="0C658748" w14:textId="2FD1CBA2" w:rsidR="00572096" w:rsidRPr="00C42D54" w:rsidRDefault="00862B81" w:rsidP="00572096">
      <w:pPr>
        <w:pStyle w:val="NormalHanging12a"/>
      </w:pPr>
      <w:r>
        <w:t>63</w:t>
      </w:r>
      <w:r w:rsidR="00572096" w:rsidRPr="00C42D54">
        <w:t>.</w:t>
      </w:r>
      <w:r w:rsidR="00572096" w:rsidRPr="00C42D54">
        <w:tab/>
        <w:t xml:space="preserve">na základe dotazníka konštatuje, že v roku 2024 ESVČ dostala 16 žiadostí o pomoc v súvislosti s obvineniami z psychického obťažovania vrátane niekoľkých žiadostí týkajúcich sa toho istého zamestnanca, čo viedlo k začatiu štyroch administratívnych vyšetrovaní, a že jeden údajný prípad týkajúci sa zamestnanca Komisie bol postúpený príslušnému orgánu Komisie; konštatuje, že sa začali aj štyri formálne postupy v prípade miestnych zamestnancov v delegácii Únie, ale nenašli sa žiadne dôkazy </w:t>
      </w:r>
      <w:proofErr w:type="spellStart"/>
      <w:r w:rsidR="00572096" w:rsidRPr="00C42D54">
        <w:t>prima</w:t>
      </w:r>
      <w:proofErr w:type="spellEnd"/>
      <w:r w:rsidR="00572096" w:rsidRPr="00C42D54">
        <w:t xml:space="preserve"> </w:t>
      </w:r>
      <w:proofErr w:type="spellStart"/>
      <w:r w:rsidR="00572096" w:rsidRPr="00C42D54">
        <w:t>facie</w:t>
      </w:r>
      <w:proofErr w:type="spellEnd"/>
      <w:r w:rsidR="00572096" w:rsidRPr="00C42D54">
        <w:t>, ktoré by odôvodňovali začatie administratívneho vyšetrovania; konštatuje, že počas roka bolo uzavretých šesť prípadov a že v prípade potreby sa uplatnili disciplinárne alebo nápravné opatrenia vrátane disciplinárnych sankcií v dvoch prípadoch a nedisciplinárneho varovania v ďalšom prípade;</w:t>
      </w:r>
    </w:p>
    <w:p w14:paraId="2E0380C4" w14:textId="1E7DE41D" w:rsidR="00572096" w:rsidRPr="00C42D54" w:rsidRDefault="00862B81" w:rsidP="00572096">
      <w:pPr>
        <w:pStyle w:val="NormalHanging12a"/>
      </w:pPr>
      <w:r>
        <w:t>64</w:t>
      </w:r>
      <w:r w:rsidR="00572096" w:rsidRPr="00C42D54">
        <w:t>.</w:t>
      </w:r>
      <w:r w:rsidR="00572096" w:rsidRPr="00C42D54">
        <w:tab/>
        <w:t>na základe dotazníka konštatuje, že podľa vymedzenia, ktoré použila lekárska služba Komisie, sa dlhodobá práceneschopnosť chápe ako neprítomnosť presahujúca 20 po sebe nasledujúcich dní; konštatuje, že v roku 2023 bolo 323 zamestnancov dlhodobo práceneschopných s priemerným trvaním práceneschopnosti 83 dní, zatiaľ čo v roku 2024 sa tento počet zvýšil na 338 zamestnancov, pričom priemerné trvanie práceneschopnosti sa skrátilo na 77 dní; ďalej konštatuje, že hoci presný počet prípadov vyhorenia nie je známy, značná časť práceneschopnosti súvisela v roku 2024 s problémami duševného zdravia, ako je depresia a vyhorenie; víta iniciatívu Komisie vypracovať stratégiu duševného zdravia s cieľom poskytnúť štruktúrovaný a udržateľný rámec na riešenie výziev v oblasti duševného zdravia na pracovisku vrátane prevencie vyhorenia a opätovného začlenenia do práce; nabáda ESVČ, aby vytvorila aj formálny mechanizmus posudzovania pracovného zaťaženia;</w:t>
      </w:r>
    </w:p>
    <w:p w14:paraId="576FAE1A" w14:textId="5EA4F357" w:rsidR="00572096" w:rsidRPr="00C42D54" w:rsidRDefault="00862B81" w:rsidP="00572096">
      <w:pPr>
        <w:pStyle w:val="NormalHanging12a"/>
      </w:pPr>
      <w:r>
        <w:t>65</w:t>
      </w:r>
      <w:r w:rsidR="00572096" w:rsidRPr="00C42D54">
        <w:t>.</w:t>
      </w:r>
      <w:r w:rsidR="00572096" w:rsidRPr="00C42D54">
        <w:tab/>
        <w:t>na základe správy ESVČ za rok 2024 s uznaním konštatuje, že akčný plán v oblasti zdravotného postihnutia bol aktualizovaný v roku 2024 a v roku 2025 bolo prijaté nové rozhodnutie o rozšírení ustanovení ESVČ, ako sú primerané úpravy pre kolegov so zdravotným postihnutím, na miestnych zamestnancov v delegáciách Únie;</w:t>
      </w:r>
    </w:p>
    <w:p w14:paraId="7276FF8C" w14:textId="77777777" w:rsidR="00572096" w:rsidRPr="00C42D54" w:rsidRDefault="00572096" w:rsidP="00572096">
      <w:pPr>
        <w:pStyle w:val="NormalHanging12a"/>
        <w:rPr>
          <w:b/>
          <w:bCs/>
          <w:i/>
          <w:iCs/>
        </w:rPr>
      </w:pPr>
      <w:r w:rsidRPr="00C42D54">
        <w:rPr>
          <w:b/>
          <w:i/>
        </w:rPr>
        <w:lastRenderedPageBreak/>
        <w:t>Etický rámec a transparentnosť</w:t>
      </w:r>
    </w:p>
    <w:p w14:paraId="5A369179" w14:textId="330C5338" w:rsidR="00572096" w:rsidRPr="00C42D54" w:rsidRDefault="00862B81" w:rsidP="00572096">
      <w:pPr>
        <w:spacing w:after="240"/>
        <w:ind w:left="567" w:hanging="567"/>
        <w:rPr>
          <w:bCs/>
          <w:iCs/>
        </w:rPr>
      </w:pPr>
      <w:r>
        <w:t>66</w:t>
      </w:r>
      <w:r w:rsidR="00572096" w:rsidRPr="00C42D54">
        <w:t>.</w:t>
      </w:r>
      <w:r w:rsidR="00572096" w:rsidRPr="00C42D54">
        <w:tab/>
        <w:t xml:space="preserve">so znepokojením berie na vedomie vyšetrovanie Európskej prokuratúry (EPPO), ktoré sa začalo v roku 2025 v súvislosti s prípadom možného podvodu v oblasti verejného obstarávania, korupcie, konfliktu záujmov a porušenia služobného tajomstva, ktorý zahŕňa silné podozrenie z porušenia pravidiel hospodárskej súťaže v súvislosti so zadaním verejnej zákazky na deväťmesačný vzdelávací program v rámci vykonávania pilotného projektu na vytvorenie diplomatickej akadémie EÚ v období 2021 – 2022, ktorú ESVČ zadala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zdôrazňuje, že vytvorenie diplomatickej akadémie EÚ predstavuje strategický krok k posilneniu diplomatických kapacít Únie a k rozvoju skutočne európskej diplomatickej kultúry; konštatuje, že vyšetrovanie sa zameriava na to, či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a/alebo jej zástupcovia boli vopred informovaní o podmienkach účasti na postupe verejného obstarávania a mali dostatočný dôvod domnievať sa, že im bude zadaná realizácia projektu, ešte pred oficiálnym uverejnením oznámenia o vyhlásení verejného obstarávania zo strany ESVČ; ďalej konštatuje, že po raziách v ESVČ a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belgická polícia v decembri 2025 zadržala a následne prepustila </w:t>
      </w:r>
      <w:r w:rsidR="00B14BE4" w:rsidRPr="00B14BE4">
        <w:t xml:space="preserve">niekoľkých </w:t>
      </w:r>
      <w:r w:rsidR="00572096" w:rsidRPr="00C42D54">
        <w:t xml:space="preserve">podozrivých, t. j. bývalú podpredsedníčku Komisie/vysokú predstaviteľku, v </w:t>
      </w:r>
      <w:r w:rsidR="00B14BE4" w:rsidRPr="00B14BE4">
        <w:t xml:space="preserve">tom čase </w:t>
      </w:r>
      <w:r w:rsidR="00572096" w:rsidRPr="00C42D54">
        <w:t xml:space="preserve">rektorku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a riaditeľku diplomatickej akadémie EÚ, ako aj </w:t>
      </w:r>
      <w:r w:rsidR="007A7CF0">
        <w:t xml:space="preserve">v </w:t>
      </w:r>
      <w:r w:rsidR="00B14BE4" w:rsidRPr="00B14BE4">
        <w:t xml:space="preserve">tom čase </w:t>
      </w:r>
      <w:r w:rsidR="00572096" w:rsidRPr="00C42D54">
        <w:t xml:space="preserve">generálneho riaditeľa generálneho riaditeľstva Komisie pre Blízky východ, severnú Afriku a Perzský záliv a bývalého generálneho tajomníka ESVČ; so znepokojením konštatuje, že rektorka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a riaditeľka diplomatickej akadémie EÚ odstúpila v súvislosti s prebiehajúcim vyšetrovaním týkajúcim sa nezrovnalostí vo verejnom obstarávaní a diplomatickej akadémie EÚ; konštatuje, že takáto situácia, keď verejná súťaž mohla byť zmanipulovaná v prospech inštitúcie vysokoškolského vzdelávania, môže oslabiť dôveru v inštitúcie EÚ, keďže obvinenia z nezrovnalostí vo verejnom obstarávaní môžu vyvolať pochybnosti o transparentnosti, spravodlivosti a rovnakom zaobchádzaní s uchádzačmi; chápe však, že skutočnosti súvisiace s vyšetrovaniami Európskej prokuratúry podliehajú prísnym pravidlám dôvernosti a nemožno ich zverejniť v súvislosti s postupom udeľovania absolutória, a zdôrazňuje, že pred ukončením súdneho konania by sa nemali vyvodzovať žiadne závery; víta skutočnosť, že ESVČ sa zaviazala sprístupniť príslušné dokumenty po ukončení súdnych vyšetrovaní; žiada, aby sa akékoľvek podozrenie z podvodu riadne vyšetrilo za plnej spolupráce ESVČ; žiada ESVČ, aby bez toho, aby boli dotknuté prebiehajúce vyšetrovania, vyvodila z tohto prípadu systémové ponaučenia s cieľom poskytnúť vážne záruky, že takéto prípady sa v budúcnosti nebudú opakovať; žiada, aby bol orgán udeľujúci absolutórium priebežne primerane informovaný o ďalšom vývoji; konštatuje, že podľa dohody o grante, ktorou sa diplomatická akadémia EÚ zveruje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je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povinná predložiť správu o overení výdavkov spolu so svojou záverečnou správou, ktorú vypracoval externý audítor a ktorá sa má čoskoro predložiť za rok 2024, čím sa zabezpečí úplná transparentnosť sumy 1,8 milióna EUR vynaloženej v rokoch 2022 – 2024; berie tiež na vedomie, že ESVČ koncom decembra 2025 iniciovala proces preskúmania rozhodnutia Rady (SZBP) 2024/1472</w:t>
      </w:r>
      <w:r w:rsidR="00572096" w:rsidRPr="00C42D54">
        <w:rPr>
          <w:rStyle w:val="FootnoteReference"/>
          <w:bCs/>
          <w:iCs/>
        </w:rPr>
        <w:footnoteReference w:id="10"/>
      </w:r>
      <w:r w:rsidR="00572096" w:rsidRPr="00C42D54">
        <w:t xml:space="preserve">, ktorým sa zriaďuje diplomatická akadémia EÚ, a to začatím nezávislého externého hodnotenia diplomatickej akadémie EÚ a výkonnosti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pri vykonávaní činností vzdelávania a odbornej prípravy v rámci diplomatickej akadémie EÚ; vyzýva ESVČ, aby orgánu udeľujúcemu absolutórium poskytla správu o overení výdavkov aj externé hodnotenie s cieľom </w:t>
      </w:r>
      <w:r w:rsidR="00572096" w:rsidRPr="00C42D54">
        <w:lastRenderedPageBreak/>
        <w:t xml:space="preserve">zabezpečiť zodpovednosť a transparentnosť; vyzýva ESVČ, aby </w:t>
      </w:r>
      <w:r w:rsidR="00337564" w:rsidRPr="00C42D54">
        <w:t>Európskemu p</w:t>
      </w:r>
      <w:r w:rsidR="00572096" w:rsidRPr="00C42D54">
        <w:t xml:space="preserve">arlamentu poskytla podrobné informácie o vykonávaní odporúčaní Útvaru pre vnútorný audit týkajúcich sa verejného obstarávania; žiada, aby ESVČ zverejnila zistenia a odporúčania pracovnej skupiny zriadenej v roku 2024 s cieľom posilniť postupy verejného obstarávania, aby sa umožnila verejná kontrola ich vykonávania a aby ostatné inštitúcie Únie mohli využívať skúsenosti, ktoré ESVČ získala pri zlepšovaní postupov verejného obstarávania; ďalej berie na vedomie rozhodnutie riadiaceho výboru diplomatickej akadémie EÚ z jeho schôdze z 18. decembra 2025 požiadať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xml:space="preserve">, aby zabezpečila transparentný a konkurenčný proces výberu nového riaditeľa diplomatickej akadémie EÚ na základe uverejnenia oznámenia o voľnom pracovnom mieste; víta, že riadiaci výbor ďalej požiadal, aby bola funkcia riaditeľa diplomatickej akadémie EÚ oddelená od funkcie rektora </w:t>
      </w:r>
      <w:proofErr w:type="spellStart"/>
      <w:r w:rsidR="00572096" w:rsidRPr="00C42D54">
        <w:t>College</w:t>
      </w:r>
      <w:proofErr w:type="spellEnd"/>
      <w:r w:rsidR="00572096" w:rsidRPr="00C42D54">
        <w:t xml:space="preserve"> of </w:t>
      </w:r>
      <w:proofErr w:type="spellStart"/>
      <w:r w:rsidR="00572096" w:rsidRPr="00C42D54">
        <w:t>Europe</w:t>
      </w:r>
      <w:proofErr w:type="spellEnd"/>
      <w:r w:rsidR="00572096" w:rsidRPr="00C42D54">
        <w:t>; zdôrazňuje potrebu ostražitého a účinného parlamentného dohľadu s cieľom chrániť integritu obstarávania, etické normy a finančné záujmy a dobré meno Únie; opakuje, že transparentnosť a správne finančné riadenie pri využívaní verejných finančných prostriedkov Únie musia zostať základnou zásadou pre všetky inštitúcie a orgány Únie vrátane ESVČ a že táto zásada je základným kameňom zachovania dôvery občanov vo vonkajšiu činnosť Únie; domnieva sa, že vyšetrovanie Európskej prokuratúry by sa nemalo využívať na oslabenie úlohy diplomatickej akadémie EÚ, ktorej pridanú hodnotu treba plne uznať, najmä vzhľadom na neustále pozitívnu spätnú väzbu od účastníkov a členských štátov;</w:t>
      </w:r>
    </w:p>
    <w:p w14:paraId="7A77B348" w14:textId="050092E6" w:rsidR="00572096" w:rsidRPr="00C42D54" w:rsidRDefault="00862B81" w:rsidP="00572096">
      <w:pPr>
        <w:pStyle w:val="NormalHanging12a"/>
      </w:pPr>
      <w:r>
        <w:t>67</w:t>
      </w:r>
      <w:r w:rsidR="00572096" w:rsidRPr="00C42D54">
        <w:t>.</w:t>
      </w:r>
      <w:r w:rsidR="00572096" w:rsidRPr="00C42D54">
        <w:tab/>
        <w:t>berie na vedomie správy ESVČ, podľa ktorých prvý celý rok vykonávania stratégie boja proti podvodom z roku 2023 viedol k spoľahlivejšej a súdržnejšej štruktúre boja proti podvodom, čím sa posilnila celková integrita a transparentnosť inštitúcie; konštatuje, že táto stratégia sa realizovala prostredníctvom školenia na zvýšenie informovanosti o podvodoch a preventívnych opatrení, ktoré sú lepšie zosúladené s osobitnými povinnosťami rôznych skupín zamestnancov v ústrediach a delegáciách, šírením interných usmernení a posilnením bezpečných kanálov nahlasovania; konštatuje, že zamestnanci ESVČ majú prístup k vzdelávacej dráhe v oblasti boja proti podvodom, ktorú vypracoval Európsky úrad pre boj proti podvodom (OLAF) v rámci vykonávania opatrenia stratégie Komisie pre boj proti podvodom týkajúceho sa vypracovania spoločného plánu školení v oblasti etiky a boja proti podvodom s ESVČ; víta pokračujúcu podporu 16 zásad profesionálneho správania počas povinných kurzov na tému Etika a bezúhonnosť a Politika proti obťažovaniu;</w:t>
      </w:r>
    </w:p>
    <w:p w14:paraId="5D25D9AD" w14:textId="02103316" w:rsidR="00572096" w:rsidRPr="00C42D54" w:rsidRDefault="00862B81" w:rsidP="00572096">
      <w:pPr>
        <w:pStyle w:val="NormalHanging12a"/>
      </w:pPr>
      <w:r>
        <w:t>68</w:t>
      </w:r>
      <w:r w:rsidR="00572096" w:rsidRPr="00C42D54">
        <w:t>.</w:t>
      </w:r>
      <w:r w:rsidR="00572096" w:rsidRPr="00C42D54">
        <w:tab/>
        <w:t>na základe dotazníka konštatuje, že ESVČ v roku 2024 zaregistrovala dva prípady oznámenia protispoločenskej činnosti; konštatuje, že oba prípady boli preskúmané úradom OLAF a uzavreté bez odporúčaní, a to buď na základe vyšetrovania, alebo vo fáze výberu; na základe správy ESVČ za rok 2024 s uspokojením konštatuje, že ESVČ začala pracovať na rozvoji svojej vlastnej politiky týkajúcej sa oznamovateľov; žiada, aby bol Európsky parlament priebežne informovaný o pokroku dosiahnutom v tejto záležitosti; trvá na tom, aby rámec ESVČ pre oznamovateľov zahŕňal dôverné podávanie správ, ochranu pred odvetnými opatreniami pre všetky kategórie zamestnancov vrátane miestnych zamestnancov a ročné anonymizované podávanie správ o prípadoch a výsledkoch;</w:t>
      </w:r>
    </w:p>
    <w:p w14:paraId="101C99E4" w14:textId="428488F1" w:rsidR="00572096" w:rsidRPr="00C42D54" w:rsidRDefault="00862B81" w:rsidP="00572096">
      <w:pPr>
        <w:pStyle w:val="NormalHanging12a"/>
      </w:pPr>
      <w:r>
        <w:t>69</w:t>
      </w:r>
      <w:r w:rsidR="00572096" w:rsidRPr="00C42D54">
        <w:t>.</w:t>
      </w:r>
      <w:r w:rsidR="00572096" w:rsidRPr="00C42D54">
        <w:tab/>
        <w:t xml:space="preserve">na základe dotazníka konštatuje, že ESVČ v roku 2024 zaevidovala tri vyhlásenia o konflikte záujmov; konštatuje, že v dvoch prípadoch týkajúcich sa postupov verejného obstarávania bolo zistené potenciálne riziko konfliktu záujmov, ktoré bolo zmiernené tým, že dotknutí zamestnanci boli oslobodení od niektorých povinností súvisiacich s </w:t>
      </w:r>
      <w:r w:rsidR="00572096" w:rsidRPr="00C42D54">
        <w:lastRenderedPageBreak/>
        <w:t xml:space="preserve">verejným obstarávaním; ďalej konštatuje, že v treťom prípade týkajúcom sa náhrady výdavkov sa nezistil žiadny konflikt záujmov, keďže zamestnanec nemal pri výpočte náhrady žiadnu </w:t>
      </w:r>
      <w:proofErr w:type="spellStart"/>
      <w:r w:rsidR="00572096" w:rsidRPr="00C42D54">
        <w:t>diskrečnú</w:t>
      </w:r>
      <w:proofErr w:type="spellEnd"/>
      <w:r w:rsidR="00572096" w:rsidRPr="00C42D54">
        <w:t xml:space="preserve"> úlohu; konštatuje, že ESVČ dostala 16 oznámení o činnostiach po skončení pracovného pomeru, z ktorých päť zahŕňalo presuny do súkromného sektora, a zakázala dva prípady javu otáčavých dverí, pričom bývalým zamestnancom neuložila žiadne obdobia, počas ktorých sa musia vyhýbať akýmkoľvek konfliktom záujmov;</w:t>
      </w:r>
    </w:p>
    <w:p w14:paraId="344883B7" w14:textId="718656FF" w:rsidR="00572096" w:rsidRPr="00C42D54" w:rsidRDefault="00862B81" w:rsidP="00572096">
      <w:pPr>
        <w:pStyle w:val="NormalHanging12a"/>
      </w:pPr>
      <w:r>
        <w:t>70</w:t>
      </w:r>
      <w:r w:rsidR="00572096" w:rsidRPr="00C42D54">
        <w:t>.</w:t>
      </w:r>
      <w:r w:rsidR="00572096" w:rsidRPr="00C42D54">
        <w:tab/>
        <w:t>konštatuje, že v roku 2024 bolo úradu OLAF postúpených 11 podozrivých prípadov, z ktorých sedem bolo zamietnutých vo fáze výberu a jeden bol uzavretý bez odporúčaní; ďalej konštatuje, že tri prípady – o možnom pochybení alebo nezrovnalostiach v súvislosti s postupmi verejného obstarávania, plnením zmlúv a ľudskými zdrojmi – sú naďalej predmetom vyšetrovania; ďalej konštatuje, že z 13 vyšetrovaní úradu OLAF začatých v roku 2023 v súvislosti s ESVČ stále prebieha desať prípadov, z ktorých jeden súvisí s výhradou delegácie Únie v Sierre Leone, pokiaľ ide o podozrenie z podvodu v súvislosti s administratívnym rozpočtom tejto delegácie Únie; vyzýva ESVČ, aby bola naďalej plne odhodlaná úzko spolupracovať s úradom OLAF na prebiehajúcich prípadoch a prijímať opatrenia v nadväznosti na všetky nevykonané odporúčania úradu OLAF;</w:t>
      </w:r>
    </w:p>
    <w:p w14:paraId="5CF1CCAF" w14:textId="49C4767D" w:rsidR="00572096" w:rsidRPr="00C42D54" w:rsidRDefault="00862B81" w:rsidP="00572096">
      <w:pPr>
        <w:pStyle w:val="NormalHanging12a"/>
      </w:pPr>
      <w:r>
        <w:t>71</w:t>
      </w:r>
      <w:r w:rsidR="00572096" w:rsidRPr="00C42D54">
        <w:t>.</w:t>
      </w:r>
      <w:r w:rsidR="00572096" w:rsidRPr="00C42D54">
        <w:tab/>
        <w:t>konštatuje, že v roku 2024 ESVČ riešila 19 vyšetrovaní od európskej ombudsmanky, z ktorých 10 sa týkalo administratívnych záležitostí (vrátane oneskorených odpovedí), päť sa týkalo prístupu k dokumentom a štyri sa týkali otázok ľudských zdrojov, a okrem toho bolo podaných niekoľko neformálnych žiadostí o informácie, ktoré sa týkali najmä služobných ciest, operácií a prístupu k dokumentom; s uspokojením konštatuje, že európska ombudsmanka nezistila v žiadnom z vyšetrovaní začatých a uzavretých v roku 2024 prípad nesprávneho úradného postupu;</w:t>
      </w:r>
    </w:p>
    <w:p w14:paraId="4346412C" w14:textId="11026B03" w:rsidR="00572096" w:rsidRPr="00C42D54" w:rsidRDefault="00862B81" w:rsidP="00572096">
      <w:pPr>
        <w:pStyle w:val="NormalHanging12a"/>
        <w:rPr>
          <w:bCs/>
          <w:iCs/>
        </w:rPr>
      </w:pPr>
      <w:r>
        <w:t>72</w:t>
      </w:r>
      <w:r w:rsidR="00572096" w:rsidRPr="00C42D54">
        <w:t>.</w:t>
      </w:r>
      <w:r w:rsidR="00572096" w:rsidRPr="00C42D54">
        <w:tab/>
        <w:t>vyjadruje poľutovanie nad tým, že ESVČ nevykonala riadne preskúmanie vykonávania dohôd o spolupráci s tretími krajinami zahŕňajúce posúdenie dodržiavania ich podmienok a doložiek o ľudských právach; zdôrazňuje, že toto zlyhanie je obzvlášť zjavné v prípade dohody o politickom dialógu a spolupráci s Kubou, ktorá desať rokov po jej podpise zlyhala vo všetkých oblastiach, od dodržiavania ľudských práv vrátane uväznenia viac ako tisíc politických väzňov ku koncu roka 2025 až po škodlivý vplyv Havany na európsku bezpečnosť vrátane úzkej politickej a vojenskej spolupráce s režimami v Moskve a Minsku, o čom svedčí najmä skutočnosť, že Kubánci sa stali najväčšou skupinou žoldnierov podporujúcich ruské sily v ich agresii voči Ukrajine, a ich zapojenie do sabotáží na území EÚ, ako sa nedávno ukázalo v Litve; konštatuje, že napriek očividnému porušeniu mnohých ustanovení dohody neboli aktivované doložky o pozastavení ani vypovedaní, zatiaľ čo finančné zdroje Únie naďalej prúdia na Kubu, kde komunistický režim kontroluje celé hospodárstvo, zneužíva tieto finančné prostriedky a zakladá politickú legitimitu na prebiehajúcej spolupráci v rámci dohody o politickom dialógu a spolupráci; domnieva sa, že takéto režimy nesmú naďalej využívať privilegovanú spoluprácu s Európskou úniou a že peniaze daňovníkov Únie nesmú slúžiť takýmto režimom; vyzýva preto na aktiváciu článku 86 dohody a na jej vypovedanie; vyzýva Dvor audítorov, aby urýchlene preskúmal všetku podporu Únie poskytnutú Kube od roku 2016;</w:t>
      </w:r>
    </w:p>
    <w:p w14:paraId="793F0887" w14:textId="24CFFE26" w:rsidR="00572096" w:rsidRPr="00C42D54" w:rsidRDefault="00862B81" w:rsidP="00572096">
      <w:pPr>
        <w:pStyle w:val="NormalHanging12a"/>
      </w:pPr>
      <w:r>
        <w:t>73</w:t>
      </w:r>
      <w:r w:rsidR="00572096" w:rsidRPr="00C42D54">
        <w:t>.</w:t>
      </w:r>
      <w:r w:rsidR="00572096" w:rsidRPr="00C42D54">
        <w:tab/>
        <w:t xml:space="preserve">konštatuje, že podpredsedníčka Komisie/vysoká predstaviteľka je ako podpredsedníčka Komisie viazaná pravidlami registra transparentnosti; zdôrazňuje, že hoci ESVČ nie je inštitúciou Únie v zmysle článku 13 Zmluvy o Európskej únii a nemá priamu úlohu v </w:t>
      </w:r>
      <w:r w:rsidR="00572096" w:rsidRPr="00C42D54">
        <w:lastRenderedPageBreak/>
        <w:t xml:space="preserve">práve Únie, má dôležitú úlohu v súvislosti s právom Únie, pokiaľ ide o rozhodnutia týkajúce sa sankcií a rokovania o medzinárodných obchodných dohodách, ktoré majú značný vplyv na reguláciu; vyzýva ESVČ, aby prijala vnútorné opatrenia v oblasti transparentnosti v súlade s normami registra transparentnosti vrátane aktívneho zverejňovania stretnutí príslušného vrcholového manažmentu na vysokej úrovni, ak to neohrozí diplomaciu ESVČ citlivú z hľadiska bezpečnosti; na základe správy o následných opatreniach s uspokojením konštatuje, že podpredsedníčka Komisie/vysoká predstaviteľka iniciovala širšiu diskusiu o riešení tejto záležitosti na úrovni vonkajšieho rozmeru, pričom odporúčania sa očakávali do konca roka 2025; vyzýva ESVČ, aby </w:t>
      </w:r>
      <w:r w:rsidR="00337564" w:rsidRPr="00C42D54">
        <w:t>Európsky p</w:t>
      </w:r>
      <w:r w:rsidR="00572096" w:rsidRPr="00C42D54">
        <w:t>arlament priebežne informovala o pokroku dosiahnutom v tejto záležitosti;</w:t>
      </w:r>
    </w:p>
    <w:p w14:paraId="159B38E1" w14:textId="77777777" w:rsidR="00572096" w:rsidRPr="00C42D54" w:rsidRDefault="00572096" w:rsidP="00572096">
      <w:pPr>
        <w:pStyle w:val="NormalHanging12a"/>
        <w:rPr>
          <w:b/>
          <w:bCs/>
          <w:i/>
          <w:iCs/>
        </w:rPr>
      </w:pPr>
      <w:r w:rsidRPr="00C42D54">
        <w:rPr>
          <w:b/>
          <w:i/>
        </w:rPr>
        <w:t>Digitalizácia, kybernetická bezpečnosť a ochrana údajov</w:t>
      </w:r>
    </w:p>
    <w:p w14:paraId="7EE1CC6E" w14:textId="77777777" w:rsidR="00572096" w:rsidRPr="00C42D54" w:rsidRDefault="00572096" w:rsidP="00572096">
      <w:pPr>
        <w:pStyle w:val="NormalHanging12a"/>
      </w:pPr>
      <w:r w:rsidRPr="00C42D54">
        <w:t>74.</w:t>
      </w:r>
      <w:r w:rsidRPr="00C42D54">
        <w:tab/>
        <w:t xml:space="preserve">na základe dotazníka konštatuje, že výdavky súvisiace s IT vrátane projektov, vybavenia a kybernetickej bezpečnosti sa znížili o 6,1 % z 26,04 milióna EUR v roku 2023 na 24,45 milióna EUR v roku 2024; konštatuje, že výdavky na IT pre ústredie sa v roku 2024 zvýšili o 37,2 % najmä v dôsledku veľkých investícií na podporu migrácie aplikácií ESVČ, zatiaľ čo výdavky v delegáciách Únie sa výrazne znížili v dôsledku značných investícií do obnovy hardvéru a </w:t>
      </w:r>
      <w:proofErr w:type="spellStart"/>
      <w:r w:rsidRPr="00C42D54">
        <w:t>pripojiteľnosti</w:t>
      </w:r>
      <w:proofErr w:type="spellEnd"/>
      <w:r w:rsidRPr="00C42D54">
        <w:t xml:space="preserve"> v delegáciách Únie uskutočnených v roku 2023;</w:t>
      </w:r>
    </w:p>
    <w:p w14:paraId="376C8DC0" w14:textId="77777777" w:rsidR="00572096" w:rsidRPr="00C42D54" w:rsidRDefault="00572096" w:rsidP="00572096">
      <w:pPr>
        <w:pStyle w:val="NormalHanging12a"/>
      </w:pPr>
      <w:r w:rsidRPr="00C42D54">
        <w:t>75.</w:t>
      </w:r>
      <w:r w:rsidRPr="00C42D54">
        <w:tab/>
        <w:t xml:space="preserve">pripomína, že ESVČ začala v roku 2023 poskytovať </w:t>
      </w:r>
      <w:proofErr w:type="spellStart"/>
      <w:r w:rsidRPr="00C42D54">
        <w:t>hosting</w:t>
      </w:r>
      <w:proofErr w:type="spellEnd"/>
      <w:r w:rsidRPr="00C42D54">
        <w:t xml:space="preserve"> a správu pre svoje vlastné prostredie umelej inteligencie, čo umožnilo overovať koncepcie, ako sú brífingy, zápisnice zo schôdzí a asistent umelej inteligencie; víta prijatie stratégie ESVČ v oblasti umelej inteligencie v roku 2024, ktorá podporuje prístup k AI zameraný na človeka v súlade s nariadením Európskeho parlamentu a Rady (EÚ) 2024/1689</w:t>
      </w:r>
      <w:r w:rsidRPr="00C42D54">
        <w:rPr>
          <w:rStyle w:val="FootnoteReference"/>
        </w:rPr>
        <w:footnoteReference w:id="11"/>
      </w:r>
      <w:r w:rsidRPr="00C42D54">
        <w:t>, čím sa zabezpečia etické a dôveryhodné systémy, a usmerneniami o využívaní generatívnej umelej inteligencie tretích strán; víta skutočnosť, že ESVČ rozšírila platformu pre spoluprácu zameranú na dokumenty (HIVE) aj na externých používateľov, napríklad z členských štátov, a systém riadenia (HR HUB) na miestnych zamestnancov v delegáciách Únie;</w:t>
      </w:r>
    </w:p>
    <w:p w14:paraId="5A86C6E8" w14:textId="3DF634E5" w:rsidR="00572096" w:rsidRPr="00C42D54" w:rsidRDefault="00572096" w:rsidP="00572096">
      <w:pPr>
        <w:pStyle w:val="NormalHanging12a"/>
        <w:rPr>
          <w:bCs/>
          <w:iCs/>
        </w:rPr>
      </w:pPr>
      <w:r w:rsidRPr="00C42D54">
        <w:t>76.</w:t>
      </w:r>
      <w:r w:rsidRPr="00C42D54">
        <w:tab/>
        <w:t xml:space="preserve">zdôrazňuje, že zavádzanie nástrojov umelej inteligencie vo vonkajšej činnosti musia sprevádzať prísne záruky ochrany údajov, základných práv, transparentnosti a ľudského dohľadu, a to aj v delegáciách Únie a pri spolupráci s partnermi z tretích krajín; vyzýva na pravidelné podávanie správ </w:t>
      </w:r>
      <w:r w:rsidR="00337564" w:rsidRPr="00C42D54">
        <w:t>Európskemu p</w:t>
      </w:r>
      <w:r w:rsidRPr="00C42D54">
        <w:t>arlamentu o vykonávaní stratégie ESVČ v oblasti umelej inteligencie;</w:t>
      </w:r>
    </w:p>
    <w:p w14:paraId="7F89890B" w14:textId="77777777" w:rsidR="00572096" w:rsidRPr="00C42D54" w:rsidRDefault="00572096" w:rsidP="00572096">
      <w:pPr>
        <w:pStyle w:val="NormalHanging12a"/>
      </w:pPr>
      <w:r w:rsidRPr="00C42D54">
        <w:t>77.</w:t>
      </w:r>
      <w:r w:rsidRPr="00C42D54">
        <w:tab/>
        <w:t xml:space="preserve">chváli ESVČ za jej opatrenia na posilnenie pripravenosti v oblasti kybernetickej bezpečnosti pravidelnými bezpečnostnými brífingmi pre širokú škálu zamestnancov a pridružených subjektov, ako aj školeniami organizovanými na žiadosť rôznych skupín používateľov vrátane regionálnych bezpečnostných úradníkov a koordinátorov bezpečnosti delegácií Únie a cvičeniami zameranými na phishing; vyzýva ESVČ, aby poskytovala pravidelné povinné školenia v oblasti kybernetickej bezpečnosti pre </w:t>
      </w:r>
      <w:r w:rsidRPr="00C42D54">
        <w:lastRenderedPageBreak/>
        <w:t>všetkých zamestnancov ESVČ; na základe dotazníka s uspokojením berie na vedomie nástroje, ako je centrum bezpečnostných operácií ESVČ, ktoré ESVČ umožňuje monitorovať kybernetické hrozby a identifikovať bezpečnostné zraniteľnosti v reálnom čase;</w:t>
      </w:r>
    </w:p>
    <w:p w14:paraId="5A5B783C" w14:textId="77777777" w:rsidR="00572096" w:rsidRPr="00C42D54" w:rsidRDefault="00572096" w:rsidP="00572096">
      <w:pPr>
        <w:pStyle w:val="NormalHanging12a"/>
      </w:pPr>
      <w:r w:rsidRPr="00C42D54">
        <w:t>78.</w:t>
      </w:r>
      <w:r w:rsidRPr="00C42D54">
        <w:tab/>
        <w:t xml:space="preserve">chváli ESVČ za digitálne nástroje a systémy, ktoré používa v boji proti zahraničnej manipulácii s informáciami a zahraničnému zasahovaniu, ako je stredisko pre výmenu a analýzu informácií o zahraničnej manipulácii s informáciami a zahraničnom zasahovaní alebo systém rýchleho varovania; ďalej na základe dotazníka berie na vedomie spustenie online kurzu o boji proti dezinformáciám, ktorý je prístupný všetkým inštitúciám Únie, a dokončenie príručky SBOP o dezinformáciách určenej na podporu terénnych pracovníkov vo vojenských a civilných misiách Únie; víta prebiehajúci vývoj iniciatívy na zvyšovanie informovanosti </w:t>
      </w:r>
      <w:proofErr w:type="spellStart"/>
      <w:r w:rsidRPr="00C42D54">
        <w:t>EUvsDisinfo</w:t>
      </w:r>
      <w:proofErr w:type="spellEnd"/>
      <w:r w:rsidRPr="00C42D54">
        <w:t xml:space="preserve"> a zdôrazňuje význam ďalšej spolupráce s členskými štátmi s cieľom účinnejšie riešiť hybridné hrozby v teréne;</w:t>
      </w:r>
    </w:p>
    <w:p w14:paraId="02207EC7" w14:textId="77777777" w:rsidR="00572096" w:rsidRPr="00C42D54" w:rsidRDefault="00572096" w:rsidP="00572096">
      <w:pPr>
        <w:pStyle w:val="NormalHanging12a"/>
      </w:pPr>
      <w:r w:rsidRPr="00C42D54">
        <w:t>79.</w:t>
      </w:r>
      <w:r w:rsidRPr="00C42D54">
        <w:tab/>
        <w:t>na základe dotazníka a správy ESVČ za rok 2024 konštatuje, že ESVČ zaznamenala približne 27 000 varovaní, z ktorých 348 si vyžadovalo ďalšie vyšetrovanie; konštatuje, že 57 z nich bolo potvrdených ako kybernetické útoky a 5 malo významný vplyv na operácie ESVČ; s uspokojením konštatuje, že ESVČ identifikovala taktiku, techniky a postupy útočníkov a využila túto analýzu na posilnenie svojich protiopatrení; žiada o objasnenie rozsahu, v akom tieto útoky ovplyvnili činnosti inštitúcie;</w:t>
      </w:r>
    </w:p>
    <w:p w14:paraId="33AC37C4" w14:textId="77777777" w:rsidR="00572096" w:rsidRPr="00C42D54" w:rsidRDefault="00572096" w:rsidP="00572096">
      <w:pPr>
        <w:pStyle w:val="NormalHanging12a"/>
        <w:rPr>
          <w:b/>
          <w:bCs/>
          <w:i/>
          <w:iCs/>
        </w:rPr>
      </w:pPr>
      <w:r w:rsidRPr="00C42D54">
        <w:rPr>
          <w:b/>
          <w:i/>
        </w:rPr>
        <w:t>Budovy a bezpečnosť</w:t>
      </w:r>
    </w:p>
    <w:p w14:paraId="70E418C5" w14:textId="77777777" w:rsidR="00572096" w:rsidRPr="00C42D54" w:rsidRDefault="00572096" w:rsidP="00572096">
      <w:pPr>
        <w:pStyle w:val="NormalHanging12a"/>
      </w:pPr>
      <w:r w:rsidRPr="00C42D54">
        <w:t>80.</w:t>
      </w:r>
      <w:r w:rsidRPr="00C42D54">
        <w:tab/>
        <w:t>konštatuje, že v roku 2024 mala ESVČ globálnu sieť 328 budov delegácií Únie, ktoré sa používali ako kancelárie a rezidencie pre vedúcich delegácií, a tri kancelárske budovy v ústredí v Bruseli; konštatuje, že ku koncu roka 2024 ESVČ využívala tri budovy v Bruseli s celkovou plochou 87 506 m² a využívala 175 kancelárskych budov pre delegácie Únie v tretích krajinách s celkovou rozlohou 287 000 m²; ďalej konštatuje, že Únia vlastnila 23 % týchto priestorov delegácií Únie, zatiaľ čo zvyšných 77 % bolo prenajatých; na základe dotazníka so znepokojením berie na vedomie nedostatok zdrojov, ktorý obmedzuje vykonávanie politiky ESVČ v oblasti nehnuteľností, pričom ESVČ by potrebovala viac odborníkov na infraštruktúru, aby zvýšila svoju kapacitu na vykonávanie projektov v oblasti nehnuteľností;</w:t>
      </w:r>
    </w:p>
    <w:p w14:paraId="799721BE" w14:textId="77777777" w:rsidR="00572096" w:rsidRPr="00C42D54" w:rsidRDefault="00572096" w:rsidP="00572096">
      <w:pPr>
        <w:pStyle w:val="NormalHanging12a"/>
      </w:pPr>
      <w:r w:rsidRPr="00C42D54">
        <w:t>81.</w:t>
      </w:r>
      <w:r w:rsidRPr="00C42D54">
        <w:tab/>
        <w:t xml:space="preserve">s uznaním konštatuje, že ESVČ opätovne potvrdila svoj záväzok zachovať sieť 145 delegácií Únie a posilniť zásadu jednej delegácie; konštatuje, že cieľom prebiehajúcej modernizácie je zvýšiť efektívnosť a zosúladiť sieť s prioritami Únie a zároveň riešiť rozpočtové obmedzenia; zdôrazňuje, že kým sa nezlepšia finančné podmienky, budú pokračovať prísne úsporné opatrenia, diskusie s Komisiou o rozdelení nákladov a cielené posilňovanie kľúčových delegácií Únie; vyzýva ESVČ, aby zaviedla pravidelné posudzovanie pracovného zaťaženia a metodiku určovania potrieb z hľadiska počtu zamestnancov v prípade delegácií, ktorá bude spojená s úrovňou rizika a rozšírením mandátu, aby sa zabránilo vyhoreniu a zlepšilo udržanie zamestnancov; vyjadruje znepokojenie nad plánom zaviesť nové rozlišovanie medzi delegáciami, pokiaľ ide o kategórie a zdroje; vyjadruje poľutovanie nad tým, že v prípade zmenšenia niektorých delegácií Únie a zníženia počtu zamestnancov pri prechode z pôvodného zamerania na rozvojovú pomoc a hospodársku spoluprácu na niektoré strategické záujmy vzniká riziko oslabenia operačných činností a prítomnosti Únie v tretích krajinách a obmedzuje sa schopnosť ESVČ plniť svoj mandát a brániť hodnoty Únie, čo má osobitný vplyv na vzťahy Únie s globálnym Juhom a južným susedstvom; vyzýva ESVČ, aby si zachovala </w:t>
      </w:r>
      <w:r w:rsidRPr="00C42D54">
        <w:lastRenderedPageBreak/>
        <w:t>svoju kľúčovú úlohu a strategickú prioritu v oblasti Stredozemia na základe komplexného posúdenia geopolitických výziev pre Úniu a zároveň pokračovala v trvalých kontaktoch s východnými susednými krajinami;</w:t>
      </w:r>
    </w:p>
    <w:p w14:paraId="35F670AF" w14:textId="77777777" w:rsidR="00572096" w:rsidRPr="00C42D54" w:rsidRDefault="00572096" w:rsidP="00572096">
      <w:pPr>
        <w:pStyle w:val="NormalHanging12a"/>
      </w:pPr>
      <w:r w:rsidRPr="00C42D54">
        <w:t>82.</w:t>
      </w:r>
      <w:r w:rsidRPr="00C42D54">
        <w:tab/>
        <w:t>opakuje, že rozpočtové obmedzenia by mohli viesť k nadmernému rušeniu veľvyslanectiev Únie a k odsúvaniu inštalácie bezpečnostných systémov vo viacerých delegáciách Únie na neskôr, čo by obmedzilo schopnosť ESVČ plniť si svoj mandát, brániť hodnoty Únie a riadne zabezpečovať náležitú starostlivosť voči všetkým zamestnancom v delegáciách Únie; naliehavo žiada členské štáty o poskytnutie dostatočných finančných prostriedkov ESVČ a Komisii na to, aby si Únia mohla zachovať sieť delegácií v nezmenenej forme ako prejav svojej globálnej angažovanosti;</w:t>
      </w:r>
    </w:p>
    <w:p w14:paraId="4A4DAA63" w14:textId="77777777" w:rsidR="00572096" w:rsidRPr="00C42D54" w:rsidRDefault="00572096" w:rsidP="00572096">
      <w:pPr>
        <w:pStyle w:val="NormalHanging12a"/>
        <w:rPr>
          <w:bCs/>
          <w:iCs/>
        </w:rPr>
      </w:pPr>
      <w:r w:rsidRPr="00C42D54">
        <w:t>83.</w:t>
      </w:r>
      <w:r w:rsidRPr="00C42D54">
        <w:tab/>
        <w:t>vyzýva ESVČ, aby posilnila mechanizmy praktickej koordinácie s diplomatickými misiami členských štátov v tretích krajinách, a to aj prostredníctvom spoločných služieb, spoločných logistických opatrení a posilnenej výmeny informácií, s cieľom maximalizovať efektívnosť a zabezpečiť optimálne využívanie zdrojov Únie a vnútroštátnych zdrojov;</w:t>
      </w:r>
    </w:p>
    <w:p w14:paraId="208E7660" w14:textId="77777777" w:rsidR="00572096" w:rsidRPr="00C42D54" w:rsidRDefault="00572096" w:rsidP="00572096">
      <w:pPr>
        <w:pStyle w:val="NormalHanging12a"/>
      </w:pPr>
      <w:r w:rsidRPr="00C42D54">
        <w:t>84.</w:t>
      </w:r>
      <w:r w:rsidRPr="00C42D54">
        <w:tab/>
        <w:t xml:space="preserve">na základe dotazníka konštatuje, že ESVČ v roku 2024 pokračovala vo vykonávaní svojej politiky spoločných priestorov a nových spôsobov práce vrátane rovnakého označovania svojho ústredia a delegácií v celej Únii; zdôrazňuje, že tento prístup nahrádza jednotlivé kancelárie viacúčelovými priestormi s cieľom zlepšiť efektívnosť priestorov, podporiť tímovú prácu a znížiť vplyv na životné prostredie; ďalej konštatuje, že o týchto projektoch sa diskutuje so zástupcami zamestnancov prostredníctvom výboru zamestnancov ESVČ a že sa začal osobitný prieskum medzi zamestnancami týkajúci sa budovy </w:t>
      </w:r>
      <w:proofErr w:type="spellStart"/>
      <w:r w:rsidRPr="00C42D54">
        <w:t>Belmont</w:t>
      </w:r>
      <w:proofErr w:type="spellEnd"/>
      <w:r w:rsidRPr="00C42D54">
        <w:t>;</w:t>
      </w:r>
    </w:p>
    <w:p w14:paraId="1460159F" w14:textId="77777777" w:rsidR="00572096" w:rsidRPr="00C42D54" w:rsidRDefault="00572096" w:rsidP="00572096">
      <w:pPr>
        <w:pStyle w:val="NormalHanging12a"/>
      </w:pPr>
      <w:r w:rsidRPr="00C42D54">
        <w:t>85.</w:t>
      </w:r>
      <w:r w:rsidRPr="00C42D54">
        <w:tab/>
        <w:t xml:space="preserve">na základe správy ESVČ za rok 2024 konštatuje, že ESVČ úspešne dosiahla svoje kľúčové priority v oblasti nehnuteľností na rok 2024 vrátane dokončenia renovácie budovy NEO, premiestnenia divízií krízového riadenia a spravodajstva do bezpečnejšieho a energeticky účinnejšieho objektu a podstatného pokroku dosiahnutého pri obnove budovy </w:t>
      </w:r>
      <w:proofErr w:type="spellStart"/>
      <w:r w:rsidRPr="00C42D54">
        <w:t>Schuman</w:t>
      </w:r>
      <w:proofErr w:type="spellEnd"/>
      <w:r w:rsidRPr="00C42D54">
        <w:t>;</w:t>
      </w:r>
    </w:p>
    <w:p w14:paraId="452A38F2" w14:textId="77777777" w:rsidR="00572096" w:rsidRPr="00C42D54" w:rsidRDefault="00572096" w:rsidP="00572096">
      <w:pPr>
        <w:pStyle w:val="NormalHanging12a"/>
      </w:pPr>
      <w:r w:rsidRPr="00C42D54">
        <w:t>86.</w:t>
      </w:r>
      <w:r w:rsidRPr="00C42D54">
        <w:tab/>
        <w:t>na základe dotazníka konštatuje, že v dôsledku poklesu úrovne bezpečnosti vo svete musela ESVČ v roku 2024 posilniť bezpečnostné štruktúry; víta zvýšenie rozpočtu na rok 2025 o 10 miliónov EUR na posilnenie bezpečnostnej infraštruktúry v delegáciách Únie; berie na vedomie cieľ ESVČ znížiť počet delegácií Únie, ktoré nespĺňajú bezpečnostné normy, približne o 15 % inštaláciou nových a nahradením zastaraných systémov;</w:t>
      </w:r>
    </w:p>
    <w:p w14:paraId="7FD780FD" w14:textId="77777777" w:rsidR="00572096" w:rsidRPr="00C42D54" w:rsidRDefault="00572096" w:rsidP="00572096">
      <w:pPr>
        <w:pStyle w:val="NormalHanging12a"/>
      </w:pPr>
      <w:r w:rsidRPr="00C42D54">
        <w:t>87.</w:t>
      </w:r>
      <w:r w:rsidRPr="00C42D54">
        <w:tab/>
        <w:t>na základe správy ESVČ za rok 2024 konštatuje, že do konca roka 2024 sa počet dohôd o spoločnom využívaní priestorov zvýšil na 137 (45 s členskými štátmi a partnerskými krajinami a 92 s inými partnermi z Únie); konštatuje, že spoločné využívanie priestorov zaznamenalo rýchly nárast, za posledných šesť rokov sa viac ako zdvojnásobilo a od roku 2011 sa zvýšilo viac ako šesťnásobne; zdôrazňuje, že spoločné využívanie priestorov sa v súčasnosti týka 8 % plochy kancelárskych priestorov delegácií Únie a 80 delegácií Únie, pričom zásady udržateľnosti sa dôsledne uplatňujú vo všetkých spoločných pracovných prostrediach;</w:t>
      </w:r>
    </w:p>
    <w:p w14:paraId="097C6B64" w14:textId="77777777" w:rsidR="00572096" w:rsidRPr="00C42D54" w:rsidRDefault="00572096" w:rsidP="00572096">
      <w:pPr>
        <w:pStyle w:val="NormalHanging12a"/>
      </w:pPr>
      <w:r w:rsidRPr="00C42D54">
        <w:t>88.</w:t>
      </w:r>
      <w:r w:rsidRPr="00C42D54">
        <w:tab/>
        <w:t xml:space="preserve">víta skutočnosť, že ESVČ sa snaží zabezpečiť, aby jej budovy boli prístupné osobám so zdravotným postihnutím a zníženou pohyblivosťou; na základe dotazníka konštatuje, že </w:t>
      </w:r>
      <w:r w:rsidRPr="00C42D54">
        <w:lastRenderedPageBreak/>
        <w:t>v roku 2024 sa konali pravidelné stretnutia s oddelením ESVČ pre nehnuteľnosti, oddelením pre bezpečnosť a inými útvarmi Komisie s cieľom vymieňať si okrem iného najlepšie postupy v oblasti prístupnosti a evakuácie budov;</w:t>
      </w:r>
    </w:p>
    <w:p w14:paraId="05308A03" w14:textId="77777777" w:rsidR="00572096" w:rsidRPr="00C42D54" w:rsidRDefault="00572096" w:rsidP="00572096">
      <w:pPr>
        <w:pStyle w:val="NormalHanging12a"/>
        <w:rPr>
          <w:b/>
          <w:bCs/>
          <w:i/>
          <w:iCs/>
        </w:rPr>
      </w:pPr>
      <w:r w:rsidRPr="00C42D54">
        <w:rPr>
          <w:b/>
          <w:i/>
        </w:rPr>
        <w:t>Životné prostredie a udržateľnosť</w:t>
      </w:r>
    </w:p>
    <w:p w14:paraId="322B4EC9" w14:textId="77777777" w:rsidR="00572096" w:rsidRPr="00C42D54" w:rsidRDefault="00572096" w:rsidP="00572096">
      <w:pPr>
        <w:pStyle w:val="NormalHanging12a"/>
      </w:pPr>
      <w:r w:rsidRPr="00C42D54">
        <w:t>89.</w:t>
      </w:r>
      <w:r w:rsidRPr="00C42D54">
        <w:tab/>
        <w:t xml:space="preserve">zdôrazňuje iniciatívy ESVČ v oblasti energetickej účinnosti a energie z obnoviteľných zdrojov v roku 2024 vrátane inštalácie LED osvetlenia a renovácií v súlade s novými spôsobmi práce v budove </w:t>
      </w:r>
      <w:proofErr w:type="spellStart"/>
      <w:r w:rsidRPr="00C42D54">
        <w:t>Schuman</w:t>
      </w:r>
      <w:proofErr w:type="spellEnd"/>
      <w:r w:rsidRPr="00C42D54">
        <w:t xml:space="preserve">, izolácie vodovodných a vykurovacích potrubí, optimalizácie systémov vykurovania, vetrania a klimatizácie a štandardizovaných teplotných nastavení; berie na vedomie postupnú inštaláciu centrálnych staníc na triedenie odpadu v budove </w:t>
      </w:r>
      <w:proofErr w:type="spellStart"/>
      <w:r w:rsidRPr="00C42D54">
        <w:t>Schuman</w:t>
      </w:r>
      <w:proofErr w:type="spellEnd"/>
      <w:r w:rsidRPr="00C42D54">
        <w:t xml:space="preserve"> a ich plné zavedenie v budovách </w:t>
      </w:r>
      <w:proofErr w:type="spellStart"/>
      <w:r w:rsidRPr="00C42D54">
        <w:t>Belmont</w:t>
      </w:r>
      <w:proofErr w:type="spellEnd"/>
      <w:r w:rsidRPr="00C42D54">
        <w:t xml:space="preserve"> a NEO spolu s prebiehajúcimi opatreniami na úsporu energie; berie na vedomie obstarávanie 100 % elektrickej energie z obnoviteľných zdrojov (1,569 milióna EUR) a výroby 22 286 kWh solárnej energie na mieste, pričom plán dekarbonizácie budovy </w:t>
      </w:r>
      <w:proofErr w:type="spellStart"/>
      <w:r w:rsidRPr="00C42D54">
        <w:t>Schuman</w:t>
      </w:r>
      <w:proofErr w:type="spellEnd"/>
      <w:r w:rsidRPr="00C42D54">
        <w:t xml:space="preserve"> do roku 2050 kombinuje krátkodobé opatrenia v oblasti riadenia a izolácie s dlhodobou modernizáciou, ako sú </w:t>
      </w:r>
      <w:proofErr w:type="spellStart"/>
      <w:r w:rsidRPr="00C42D54">
        <w:t>fotovoltické</w:t>
      </w:r>
      <w:proofErr w:type="spellEnd"/>
      <w:r w:rsidRPr="00C42D54">
        <w:t xml:space="preserve"> zariadenia a nahradenie plynového vykurovania tepelnými čerpadlami;</w:t>
      </w:r>
    </w:p>
    <w:p w14:paraId="427A499D" w14:textId="77777777" w:rsidR="00572096" w:rsidRPr="00C42D54" w:rsidRDefault="00572096" w:rsidP="00572096">
      <w:pPr>
        <w:pStyle w:val="NormalHanging12a"/>
      </w:pPr>
      <w:r w:rsidRPr="00C42D54">
        <w:t>90.</w:t>
      </w:r>
      <w:r w:rsidRPr="00C42D54">
        <w:tab/>
        <w:t>berie na vedomie prvé komplexné posúdenie ESVČ týkajúce sa jej uhlíkovej stopy za rok 2024 v súvislosti s registráciou schémy pre environmentálne manažérstvo a audit (EMAS); konštatuje, že toto posúdenie sa týkalo budov ústredia a centrálne riadených činností rozsahu 3 a ukázalo nulové emisie rozsahu 2 podľa metódy založenej na trhu v dôsledku 100 % nákupu elektriny z obnoviteľných zdrojov, zníženia uhlíkovej náročnosti zo 4,6 ton na ekvivalent plného pracovného času (</w:t>
      </w:r>
      <w:proofErr w:type="spellStart"/>
      <w:r w:rsidRPr="00C42D54">
        <w:t>tCO₂e</w:t>
      </w:r>
      <w:proofErr w:type="spellEnd"/>
      <w:r w:rsidRPr="00C42D54">
        <w:t>/FTE) v roku 2019 na 3,4 </w:t>
      </w:r>
      <w:proofErr w:type="spellStart"/>
      <w:r w:rsidRPr="00C42D54">
        <w:t>tCO₂e</w:t>
      </w:r>
      <w:proofErr w:type="spellEnd"/>
      <w:r w:rsidRPr="00C42D54">
        <w:t>/FTE v roku 2024 (–28 %), pričom stopa zahŕňala približne 20 % emisií rozsahu 1 a 80 % emisií rozsahu 3;</w:t>
      </w:r>
    </w:p>
    <w:p w14:paraId="6866E8A5" w14:textId="77777777" w:rsidR="00572096" w:rsidRPr="00C42D54" w:rsidRDefault="00572096" w:rsidP="00572096">
      <w:pPr>
        <w:pStyle w:val="NormalHanging12a"/>
      </w:pPr>
      <w:r w:rsidRPr="00C42D54">
        <w:t>91.</w:t>
      </w:r>
      <w:r w:rsidRPr="00C42D54">
        <w:tab/>
        <w:t>víta posilnenie záväzku ESVČ k udržateľnej mobilite vrátane prijatia novej politiky dochádzania do zamestnania pre ústredie na konci roka 2024, ktorou sa od januára 2025 zvyšuje preplácanie nákladov na verejnú dopravu na 90 %; berie na vedomie vykonávanie opatrení na zníženie vplyvu na životné prostredie, dosiahnutie úrovne 64 % vzdialeností precestovaných lietadlom v ekonomickej triede v roku 2024 (prekročenie cieľa EMAS, ktorý je 60 % do roku 2030), uprednostňovanie železničnej dopravy pri krátkych cestách, predpokladané zníženie počtu zamestnancov dochádzajúcich autom zo 17 % v roku 2024 na 13 % v roku 2027 a podporu iniciatív v oblasti cyklistiky a chôdze zlepšením možností a informačnými kampaňami;</w:t>
      </w:r>
    </w:p>
    <w:p w14:paraId="4EF7EF43" w14:textId="77777777" w:rsidR="00572096" w:rsidRPr="00C42D54" w:rsidRDefault="00572096" w:rsidP="00572096">
      <w:pPr>
        <w:pStyle w:val="NormalHanging12a"/>
      </w:pPr>
      <w:r w:rsidRPr="00C42D54">
        <w:t>92.</w:t>
      </w:r>
      <w:r w:rsidRPr="00C42D54">
        <w:tab/>
        <w:t>oceňuje, že aspekty udržateľnosti sú začlenené do verejného obstarávania prostredníctvom doložiek o zelenom verejnom obstarávaní vo vzoroch súťažných podkladov; konštatuje, že 38 % zákaziek s vysokou hodnotou zadávaných v ústredí a 87 % vzorov súťažných podkladov obsahovalo v roku 2024 doložky o zelenom verejnom obstarávaní; s uspokojením konštatuje, že delegácie Únie uplatňovali ekologické kritériá pri obstarávaní vozidiel, IT vybavenia a upratovacích služieb a na rok 2025 sa plánovalo ďalšie úsilie vrátane špecializovaného informačného centra pre zelené verejné obstarávanie pre delegácie Únie na platforme HIVE; konštatuje, že v roku 2024 bolo uzavretých 16 postupov verejného obstarávania s vysokou hodnotou s ukazovateľmi environmentálneho správania a 6 zmlúv s významom pre zelené verejné obstarávanie;</w:t>
      </w:r>
    </w:p>
    <w:p w14:paraId="18A2B7B5" w14:textId="77777777" w:rsidR="00572096" w:rsidRPr="00C42D54" w:rsidRDefault="00572096" w:rsidP="00572096">
      <w:pPr>
        <w:pStyle w:val="NormalHanging12a"/>
        <w:rPr>
          <w:b/>
          <w:bCs/>
          <w:i/>
          <w:iCs/>
        </w:rPr>
      </w:pPr>
      <w:proofErr w:type="spellStart"/>
      <w:r w:rsidRPr="00C42D54">
        <w:rPr>
          <w:b/>
          <w:i/>
        </w:rPr>
        <w:t>Medziinštitucionálna</w:t>
      </w:r>
      <w:proofErr w:type="spellEnd"/>
      <w:r w:rsidRPr="00C42D54">
        <w:rPr>
          <w:b/>
          <w:i/>
        </w:rPr>
        <w:t xml:space="preserve"> spolupráca</w:t>
      </w:r>
    </w:p>
    <w:p w14:paraId="356E507A" w14:textId="77777777" w:rsidR="00572096" w:rsidRPr="00C42D54" w:rsidRDefault="00572096" w:rsidP="00572096">
      <w:pPr>
        <w:pStyle w:val="NormalHanging12a"/>
      </w:pPr>
      <w:r w:rsidRPr="00C42D54">
        <w:lastRenderedPageBreak/>
        <w:t>93.</w:t>
      </w:r>
      <w:r w:rsidRPr="00C42D54">
        <w:tab/>
        <w:t>na základe dotazníka konštatuje, že ESVČ pokračovala v úzkej spolupráci s úradom OLAF a príslušnými generálnymi riaditeľstvami Komisie pri vykonávaní stratégie Komisie pre boj proti podvodom, najmä rozvojom spoločných programov odbornej prípravy a spoločnej sústavy odbornej prípravy v oblasti boja proti podvodom, ako aj cielenými opatreniami na riešenie konkrétnych rizík podvodov v delegáciách Únie; s uspokojením konštatuje, že ESVČ posilnila svoj operačný rámec podpísaním dohôd o spolupráci s Európskou prokuratúrou v júni 2024;</w:t>
      </w:r>
    </w:p>
    <w:p w14:paraId="64123B39" w14:textId="77777777" w:rsidR="00572096" w:rsidRPr="00C42D54" w:rsidRDefault="00572096" w:rsidP="00572096">
      <w:pPr>
        <w:pStyle w:val="NormalHanging12a"/>
      </w:pPr>
      <w:r w:rsidRPr="00C42D54">
        <w:t>94.</w:t>
      </w:r>
      <w:r w:rsidRPr="00C42D54">
        <w:tab/>
        <w:t>pripomína, že v roku 2023 Európsky parlament, Rada a ESVČ viedli technické rokovania o nahradení inštitucionálnej dohody medzi Európskym parlamentom a Radou v oblasti spoločnej zahraničnej a bezpečnostnej politiky z roku 2002; na základe správy o následných opatreniach so znepokojením konštatuje, že v roku 2024 nedošlo v tejto záležitosti k žiadnemu pokroku z dôvodu volieb do Európskeho parlamentu a procesu menovania novej Komisie;</w:t>
      </w:r>
    </w:p>
    <w:p w14:paraId="2A76F0EB" w14:textId="77777777" w:rsidR="00572096" w:rsidRPr="00C42D54" w:rsidRDefault="00572096" w:rsidP="00572096">
      <w:pPr>
        <w:pStyle w:val="NormalHanging12a"/>
        <w:rPr>
          <w:bCs/>
          <w:iCs/>
        </w:rPr>
      </w:pPr>
      <w:r w:rsidRPr="00C42D54">
        <w:t>95.</w:t>
      </w:r>
      <w:r w:rsidRPr="00C42D54">
        <w:tab/>
        <w:t>pripomína, že v súlade so zmluvami je cieľom vonkajšej činnosti Únie a ESVČ podporovať, koordinovať a dopĺňať diplomatickú činnosť členských štátov; zdôrazňuje význam úzkej spolupráce s cieľom zabrániť neefektívnosti;</w:t>
      </w:r>
    </w:p>
    <w:p w14:paraId="300540D6" w14:textId="2FECB29C" w:rsidR="00572096" w:rsidRPr="00C42D54" w:rsidRDefault="00572096" w:rsidP="00572096">
      <w:pPr>
        <w:pStyle w:val="NormalHanging12a"/>
      </w:pPr>
      <w:r w:rsidRPr="00C42D54">
        <w:t>96.</w:t>
      </w:r>
      <w:r w:rsidRPr="00C42D54">
        <w:tab/>
        <w:t xml:space="preserve">víta, že komunikačné činnosti ESVČ sa koordinujú a harmonizujú s ostatnými inštitúciami prostredníctvom siete riaditeľov EÚ pre komunikáciu, </w:t>
      </w:r>
      <w:proofErr w:type="spellStart"/>
      <w:r w:rsidRPr="00C42D54">
        <w:t>medziinštitucionálnych</w:t>
      </w:r>
      <w:proofErr w:type="spellEnd"/>
      <w:r w:rsidRPr="00C42D54">
        <w:t xml:space="preserve"> platforiem s</w:t>
      </w:r>
      <w:r w:rsidR="00337564" w:rsidRPr="00C42D54">
        <w:t> Európskym p</w:t>
      </w:r>
      <w:r w:rsidRPr="00C42D54">
        <w:t>arlamentom a Komisiou a podskupiny RELEX pre ochranu kultúrneho dedičstva a medzinárodné kultúrne vzťahy;</w:t>
      </w:r>
    </w:p>
    <w:p w14:paraId="549526EF" w14:textId="77777777" w:rsidR="00572096" w:rsidRPr="00C42D54" w:rsidRDefault="00572096" w:rsidP="00572096">
      <w:pPr>
        <w:pStyle w:val="NormalHanging12a"/>
        <w:rPr>
          <w:b/>
          <w:bCs/>
          <w:i/>
          <w:iCs/>
        </w:rPr>
      </w:pPr>
      <w:r w:rsidRPr="00C42D54">
        <w:rPr>
          <w:b/>
          <w:i/>
        </w:rPr>
        <w:t>Komunikačná činnosť</w:t>
      </w:r>
    </w:p>
    <w:p w14:paraId="79038CD1" w14:textId="77777777" w:rsidR="00572096" w:rsidRPr="00C42D54" w:rsidRDefault="00572096" w:rsidP="00572096">
      <w:pPr>
        <w:pStyle w:val="NormalHanging12a"/>
      </w:pPr>
      <w:r w:rsidRPr="00C42D54">
        <w:t>97.</w:t>
      </w:r>
      <w:r w:rsidRPr="00C42D54">
        <w:tab/>
        <w:t>na základe dotazníka konštatuje, že ESVČ vyčlenila 1 745 000 EUR – doplnených o 107 968,67 EUR v kreditoch C5 – na verejné informácie a podujatia, pričom miera plnenia v roku 2024 bola 99,70 %; zdôrazňuje, že tieto finančné prostriedky podporili obstarávanie digitálnych služieb, komunikačných a grafických produktov a organizovanie verejných podujatí, ako je Deň Európy; ďalej konštatuje, že z rozpočtu sa financovala aj tvorba a šírenie online obsahu, správa účtov organizácie na sociálnych médiách a pomoc delegáciám Únie pri zvyšovaní ich digitálnej prítomnosti;</w:t>
      </w:r>
    </w:p>
    <w:p w14:paraId="183E20A5" w14:textId="77777777" w:rsidR="00572096" w:rsidRPr="00C42D54" w:rsidRDefault="00572096" w:rsidP="00572096">
      <w:pPr>
        <w:pStyle w:val="NormalHanging12a"/>
      </w:pPr>
      <w:r w:rsidRPr="00C42D54">
        <w:t>98.</w:t>
      </w:r>
      <w:r w:rsidRPr="00C42D54">
        <w:tab/>
        <w:t>na základe dotazníka a správy ESVČ za rok 2024 konštatuje, že ESVČ výrazne rozšírila svoju strategickú komunikáciu, verejnú osvetu a kultúrnu diplomaciu, pričom kombinovala globálne digitálne kampane, významné verejné podujatia a posilnila činnosti v oblasti medzinárodných kultúrnych vzťahov; konštatuje, že digitálne kampane oslovili široké publikum a propagovali základné priority Únie vrátane ľudských práv, opatrení v oblasti klímy a podpory Ukrajiny, zatiaľ čo inovatívne formáty pomohli zapojiť mladšie demografické skupiny; konštatuje, že verejné podujatia, ako je deň otvorených dverí počas Dňa Európy a návštevnícky program ESVČ, prispeli k lepšiemu pochopeniu politík Únie; zdôrazňuje, že ESVČ presadzovala kultúrne iniciatívy vrátane dialógu o múzejnej spolupráci s Afrikou, seminárov o kultúrnej rozmanitosti a konferencie o kultúrnom dedičstve organizovanej s rotujúcim predsedníctvom Rady, a zároveň pripravovala hlavné projekty, ako je účasť Únie na výstave Expo Osaka;</w:t>
      </w:r>
    </w:p>
    <w:p w14:paraId="22771104" w14:textId="77777777" w:rsidR="00572096" w:rsidRPr="00C42D54" w:rsidRDefault="00572096" w:rsidP="00572096">
      <w:pPr>
        <w:pStyle w:val="NormalHanging12a"/>
        <w:rPr>
          <w:bCs/>
          <w:iCs/>
        </w:rPr>
      </w:pPr>
      <w:r w:rsidRPr="00C42D54">
        <w:t>99.</w:t>
      </w:r>
      <w:r w:rsidRPr="00C42D54">
        <w:tab/>
        <w:t xml:space="preserve">nabáda na pokračovanie procesu zintenzívňovania komunikácie so štátnymi príslušníkmi tretích krajín o politike Únie, ako aj na zvýšené koordinačné úsilie s cieľom zviditeľniť projekty financované Úniou, najmä v kandidátskych krajinách, s </w:t>
      </w:r>
      <w:r w:rsidRPr="00C42D54">
        <w:lastRenderedPageBreak/>
        <w:t>cieľom bojovať proti pokusom aktérov konajúcich so zlým úmyslom oslabiť úsilie Únie; okrem toho opakuje svoju výzvu Komisii, aby zabezpečila plnú viditeľnosť podpory a investícií EÚ v tretích krajinách a informovanosť verejnosti o nich, a to ich jasným označením aj s vlajkou EÚ;</w:t>
      </w:r>
    </w:p>
    <w:p w14:paraId="4CD48D56" w14:textId="77777777" w:rsidR="00572096" w:rsidRPr="00C42D54" w:rsidRDefault="00572096" w:rsidP="00572096">
      <w:pPr>
        <w:pStyle w:val="NormalHanging12a"/>
      </w:pPr>
      <w:r w:rsidRPr="00C42D54">
        <w:t>100.</w:t>
      </w:r>
      <w:r w:rsidRPr="00C42D54">
        <w:tab/>
        <w:t xml:space="preserve">na základe dotazníka a správy ESVČ za rok 2024 konštatuje, že ESVČ v roku 2024 posilnila svoj strategický záväzok v oblasti dátovej a digitálnej suverenity Únie zabezpečením postupov v oblasti sociálnych médií v prísnom súlade so všeobecným nariadením o ochrane údajov, posilnením bezpečnosti a kontrol prístupu a znížením závislosti od jednotlivých externých poskytovateľov; zdôrazňuje, že diverzifikácia platforiem – vrátane rozšírenia na </w:t>
      </w:r>
      <w:proofErr w:type="spellStart"/>
      <w:r w:rsidRPr="00C42D54">
        <w:t>Bluesky</w:t>
      </w:r>
      <w:proofErr w:type="spellEnd"/>
      <w:r w:rsidRPr="00C42D54">
        <w:t xml:space="preserve"> a </w:t>
      </w:r>
      <w:proofErr w:type="spellStart"/>
      <w:r w:rsidRPr="00C42D54">
        <w:t>Threads</w:t>
      </w:r>
      <w:proofErr w:type="spellEnd"/>
      <w:r w:rsidRPr="00C42D54">
        <w:t xml:space="preserve"> – spolu s využívaním nástrojov riadenia umiestnených v Únii, systematickým školením zamestnancov a pravidelným posudzovaním rizík a dezinformácií pomáha zvyšovať odolnosť a chrániť komunikačnú suverenitu Únie;</w:t>
      </w:r>
    </w:p>
    <w:p w14:paraId="76E81205" w14:textId="02EE4C62" w:rsidR="00E365E1" w:rsidRPr="00C42D54" w:rsidRDefault="00572096" w:rsidP="00C42D54">
      <w:pPr>
        <w:pStyle w:val="NormalHanging12a"/>
      </w:pPr>
      <w:r w:rsidRPr="00C42D54">
        <w:rPr>
          <w:color w:val="000000" w:themeColor="text1"/>
        </w:rPr>
        <w:t>101.</w:t>
      </w:r>
      <w:r w:rsidRPr="00C42D54">
        <w:rPr>
          <w:color w:val="000000" w:themeColor="text1"/>
        </w:rPr>
        <w:tab/>
        <w:t xml:space="preserve">konštatuje, že ESVČ prostredníctvom svojej kampane </w:t>
      </w:r>
      <w:proofErr w:type="spellStart"/>
      <w:r w:rsidRPr="00C42D54">
        <w:rPr>
          <w:color w:val="000000" w:themeColor="text1"/>
        </w:rPr>
        <w:t>EUvsDisinfo</w:t>
      </w:r>
      <w:proofErr w:type="spellEnd"/>
      <w:r w:rsidRPr="00C42D54">
        <w:rPr>
          <w:color w:val="000000" w:themeColor="text1"/>
        </w:rPr>
        <w:t xml:space="preserve"> oslovila viac ako 38 miliónov používateľov a zdokumentovala viac ako 18 000 prípadov, čo dokazuje rozsah a systémovú povahu </w:t>
      </w:r>
      <w:proofErr w:type="spellStart"/>
      <w:r w:rsidRPr="00C42D54">
        <w:rPr>
          <w:color w:val="000000" w:themeColor="text1"/>
        </w:rPr>
        <w:t>prokremeľských</w:t>
      </w:r>
      <w:proofErr w:type="spellEnd"/>
      <w:r w:rsidRPr="00C42D54">
        <w:rPr>
          <w:color w:val="000000" w:themeColor="text1"/>
        </w:rPr>
        <w:t xml:space="preserve"> dezinformácií v roku 2024.</w:t>
      </w:r>
    </w:p>
    <w:sectPr w:rsidR="00E365E1" w:rsidRPr="00C42D54" w:rsidSect="00FE645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3A63" w14:textId="77777777" w:rsidR="006A5358" w:rsidRPr="00FE645B" w:rsidRDefault="006A5358">
      <w:r w:rsidRPr="00FE645B">
        <w:separator/>
      </w:r>
    </w:p>
  </w:endnote>
  <w:endnote w:type="continuationSeparator" w:id="0">
    <w:p w14:paraId="65A888FF" w14:textId="77777777" w:rsidR="006A5358" w:rsidRPr="00FE645B" w:rsidRDefault="006A5358">
      <w:r w:rsidRPr="00FE64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92A6F" w14:textId="77777777" w:rsidR="00572096" w:rsidRPr="00FE645B" w:rsidRDefault="00572096" w:rsidP="00AB4024">
    <w:pPr>
      <w:pStyle w:val="EPFooter"/>
    </w:pPr>
    <w:r w:rsidRPr="00FE645B">
      <w:t>PE</w:t>
    </w:r>
    <w:r w:rsidRPr="00FE645B">
      <w:rPr>
        <w:rStyle w:val="HideTWBExt"/>
      </w:rPr>
      <w:t>&lt;NoPE&gt;</w:t>
    </w:r>
    <w:r w:rsidRPr="00FE645B">
      <w:t>778.061</w:t>
    </w:r>
    <w:r w:rsidRPr="00FE645B">
      <w:rPr>
        <w:rStyle w:val="HideTWBExt"/>
      </w:rPr>
      <w:t>&lt;/NoPE&gt;&lt;Version&gt;</w:t>
    </w:r>
    <w:r w:rsidRPr="00FE645B">
      <w:t>v03-00</w:t>
    </w:r>
    <w:r w:rsidRPr="00FE645B">
      <w:rPr>
        <w:rStyle w:val="HideTWBExt"/>
      </w:rPr>
      <w:t>&lt;/Version&gt;</w:t>
    </w:r>
    <w:r w:rsidRPr="00FE645B">
      <w:tab/>
    </w:r>
    <w:r w:rsidRPr="00FE645B">
      <w:fldChar w:fldCharType="begin"/>
    </w:r>
    <w:r w:rsidRPr="00FE645B">
      <w:instrText xml:space="preserve"> PAGE  \* MERGEFORMAT </w:instrText>
    </w:r>
    <w:r w:rsidRPr="00FE645B">
      <w:fldChar w:fldCharType="separate"/>
    </w:r>
    <w:r w:rsidRPr="00FE645B">
      <w:rPr>
        <w:noProof/>
      </w:rPr>
      <w:t>4</w:t>
    </w:r>
    <w:r w:rsidRPr="00FE645B">
      <w:fldChar w:fldCharType="end"/>
    </w:r>
    <w:r w:rsidRPr="00FE645B">
      <w:t>/</w:t>
    </w:r>
    <w:fldSimple w:instr=" NUMPAGES  \* MERGEFORMAT ">
      <w:r w:rsidRPr="00FE645B">
        <w:rPr>
          <w:noProof/>
        </w:rPr>
        <w:t>37</w:t>
      </w:r>
    </w:fldSimple>
    <w:r w:rsidRPr="00FE645B">
      <w:tab/>
    </w:r>
    <w:r w:rsidRPr="00FE645B">
      <w:rPr>
        <w:rStyle w:val="HideTWBExt"/>
      </w:rPr>
      <w:t>&lt;PathFdR&gt;</w:t>
    </w:r>
    <w:r w:rsidRPr="00FE645B">
      <w:t>RR\1340307SK.docx</w:t>
    </w:r>
    <w:r w:rsidRPr="00FE645B">
      <w:rPr>
        <w:rStyle w:val="HideTWBExt"/>
      </w:rPr>
      <w:t>&lt;/PathFdR&gt;</w:t>
    </w:r>
  </w:p>
  <w:p w14:paraId="559DBBC4" w14:textId="77777777" w:rsidR="00572096" w:rsidRPr="00FE645B" w:rsidRDefault="00572096" w:rsidP="00AB4024">
    <w:pPr>
      <w:pStyle w:val="EPFooter2"/>
    </w:pPr>
    <w:r w:rsidRPr="00FE645B">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DF0D" w14:textId="77777777" w:rsidR="00572096" w:rsidRPr="00FE645B" w:rsidRDefault="00572096" w:rsidP="00AB4024">
    <w:pPr>
      <w:pStyle w:val="EPFooter"/>
    </w:pPr>
    <w:r w:rsidRPr="00FE645B">
      <w:rPr>
        <w:rStyle w:val="HideTWBExt"/>
      </w:rPr>
      <w:t>&lt;PathFdR&gt;</w:t>
    </w:r>
    <w:r w:rsidRPr="00FE645B">
      <w:t>RR\1340307SK.docx</w:t>
    </w:r>
    <w:r w:rsidRPr="00FE645B">
      <w:rPr>
        <w:rStyle w:val="HideTWBExt"/>
      </w:rPr>
      <w:t>&lt;/PathFdR&gt;</w:t>
    </w:r>
    <w:r w:rsidRPr="00FE645B">
      <w:tab/>
    </w:r>
    <w:r w:rsidRPr="00FE645B">
      <w:tab/>
      <w:t>PE</w:t>
    </w:r>
    <w:r w:rsidRPr="00FE645B">
      <w:rPr>
        <w:rStyle w:val="HideTWBExt"/>
      </w:rPr>
      <w:t>&lt;NoPE&gt;</w:t>
    </w:r>
    <w:r w:rsidRPr="00FE645B">
      <w:t>778.061</w:t>
    </w:r>
    <w:r w:rsidRPr="00FE645B">
      <w:rPr>
        <w:rStyle w:val="HideTWBExt"/>
      </w:rPr>
      <w:t>&lt;/NoPE&gt;&lt;Version&gt;</w:t>
    </w:r>
    <w:r w:rsidRPr="00FE645B">
      <w:t>v03-00</w:t>
    </w:r>
    <w:r w:rsidRPr="00FE645B">
      <w:rPr>
        <w:rStyle w:val="HideTWBExt"/>
      </w:rPr>
      <w:t>&lt;/Version&gt;</w:t>
    </w:r>
  </w:p>
  <w:p w14:paraId="623CE716" w14:textId="77777777" w:rsidR="00572096" w:rsidRPr="00FE645B" w:rsidRDefault="00572096" w:rsidP="00AB4024">
    <w:pPr>
      <w:pStyle w:val="EPFooter2"/>
    </w:pPr>
    <w:r w:rsidRPr="00FE645B">
      <w:t>SK</w:t>
    </w:r>
    <w:r w:rsidRPr="00FE645B">
      <w:tab/>
    </w:r>
    <w:r w:rsidRPr="00FE645B">
      <w:rPr>
        <w:b w:val="0"/>
        <w:i/>
        <w:color w:val="C0C0C0"/>
        <w:sz w:val="22"/>
      </w:rPr>
      <w:t>Zjednotení v rozmanitosti</w:t>
    </w:r>
    <w:r w:rsidRPr="00FE645B">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1ACA" w14:textId="77777777" w:rsidR="00064002" w:rsidRPr="00FE645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F6B4" w14:textId="77777777" w:rsidR="00064002" w:rsidRPr="00FE645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2576A" w14:textId="77777777" w:rsidR="00064002" w:rsidRPr="00FE64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602EC" w14:textId="77777777" w:rsidR="006A5358" w:rsidRPr="00FE645B" w:rsidRDefault="006A5358">
      <w:r w:rsidRPr="00FE645B">
        <w:separator/>
      </w:r>
    </w:p>
  </w:footnote>
  <w:footnote w:type="continuationSeparator" w:id="0">
    <w:p w14:paraId="0657AF97" w14:textId="77777777" w:rsidR="006A5358" w:rsidRPr="00FE645B" w:rsidRDefault="006A5358">
      <w:r w:rsidRPr="00FE645B">
        <w:continuationSeparator/>
      </w:r>
    </w:p>
  </w:footnote>
  <w:footnote w:id="1">
    <w:p w14:paraId="52F4B1C4" w14:textId="242B24E3"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Ú. v. EÚ L</w:t>
      </w:r>
      <w:r w:rsidR="00826A4B">
        <w:rPr>
          <w:sz w:val="24"/>
          <w:lang w:val="sk-SK"/>
        </w:rPr>
        <w:t>,</w:t>
      </w:r>
      <w:r w:rsidRPr="00FE645B">
        <w:rPr>
          <w:sz w:val="24"/>
          <w:lang w:val="sk-SK"/>
        </w:rPr>
        <w:t xml:space="preserve"> </w:t>
      </w:r>
      <w:r w:rsidR="00826A4B">
        <w:rPr>
          <w:sz w:val="24"/>
          <w:lang w:val="sk-SK"/>
        </w:rPr>
        <w:t>2024/</w:t>
      </w:r>
      <w:r w:rsidRPr="00FE645B">
        <w:rPr>
          <w:sz w:val="24"/>
          <w:lang w:val="sk-SK"/>
        </w:rPr>
        <w:t xml:space="preserve">207, 22.2.2024, ELI: </w:t>
      </w:r>
      <w:hyperlink r:id="rId1" w:history="1">
        <w:r w:rsidRPr="00FE645B">
          <w:rPr>
            <w:rStyle w:val="Hyperlink"/>
            <w:sz w:val="24"/>
            <w:lang w:val="sk-SK"/>
          </w:rPr>
          <w:t>http://data.europa.eu/eli/budget/2024/207/oj</w:t>
        </w:r>
      </w:hyperlink>
      <w:r w:rsidRPr="00FE645B">
        <w:rPr>
          <w:rStyle w:val="Hyperlink"/>
          <w:sz w:val="24"/>
          <w:lang w:val="sk-SK"/>
        </w:rPr>
        <w:t>.</w:t>
      </w:r>
    </w:p>
  </w:footnote>
  <w:footnote w:id="2">
    <w:p w14:paraId="10548093" w14:textId="4C7CAF8E"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Ú. v. EÚ C, C/2025/4944, 13.10.2025, ELI: </w:t>
      </w:r>
      <w:r>
        <w:fldChar w:fldCharType="begin"/>
      </w:r>
      <w:r w:rsidRPr="00451280">
        <w:rPr>
          <w:lang w:val="es-ES"/>
        </w:rPr>
        <w:instrText>HYPERLINK "http://data.europa.eu/eli/C/2025/4944/oj" \t "_blank" \o "Umožňuje prístup k tomuto dokumentu prostredníctvom identifikátora URI používaného v rámci ELI."</w:instrText>
      </w:r>
      <w:r>
        <w:fldChar w:fldCharType="separate"/>
      </w:r>
      <w:r w:rsidRPr="00FE645B">
        <w:rPr>
          <w:rStyle w:val="Hyperlink"/>
          <w:sz w:val="24"/>
          <w:lang w:val="sk-SK"/>
        </w:rPr>
        <w:t>http://data.europa.eu/eli/C/2025/4944/oj</w:t>
      </w:r>
      <w:r>
        <w:fldChar w:fldCharType="end"/>
      </w:r>
      <w:r w:rsidRPr="00FE645B">
        <w:rPr>
          <w:sz w:val="24"/>
          <w:lang w:val="sk-SK"/>
        </w:rPr>
        <w:t>.</w:t>
      </w:r>
    </w:p>
  </w:footnote>
  <w:footnote w:id="3">
    <w:p w14:paraId="14D54F1D" w14:textId="3436A31F"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Ú. v. EÚ C, C/2025/5409, 8.10.2025, ELI: </w:t>
      </w:r>
      <w:r>
        <w:fldChar w:fldCharType="begin"/>
      </w:r>
      <w:r w:rsidRPr="00451280">
        <w:rPr>
          <w:lang w:val="fi-FI"/>
        </w:rPr>
        <w:instrText>HYPERLINK "http://data.europa.eu/eli/C/2025/5409/oj"</w:instrText>
      </w:r>
      <w:r>
        <w:fldChar w:fldCharType="separate"/>
      </w:r>
      <w:r w:rsidRPr="00FE645B">
        <w:rPr>
          <w:rStyle w:val="Hyperlink"/>
          <w:sz w:val="24"/>
          <w:lang w:val="sk-SK"/>
        </w:rPr>
        <w:t>http://data.europa.eu/eli/C/2025/5409/oj</w:t>
      </w:r>
      <w:r>
        <w:fldChar w:fldCharType="end"/>
      </w:r>
      <w:r w:rsidRPr="00FE645B">
        <w:rPr>
          <w:rStyle w:val="Hyperlink"/>
          <w:sz w:val="24"/>
          <w:lang w:val="sk-SK"/>
        </w:rPr>
        <w:t>.</w:t>
      </w:r>
    </w:p>
  </w:footnote>
  <w:footnote w:id="4">
    <w:p w14:paraId="5648B87E" w14:textId="7CC7A680"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Ú. v. EÚ C, C/2025/5407, 13.10.2025, ELI: </w:t>
      </w:r>
      <w:r>
        <w:fldChar w:fldCharType="begin"/>
      </w:r>
      <w:r w:rsidRPr="00451280">
        <w:rPr>
          <w:lang w:val="fi-FI"/>
        </w:rPr>
        <w:instrText>HYPERLINK "http://data.europa.eu/eli/C/2025/5407/oj"</w:instrText>
      </w:r>
      <w:r>
        <w:fldChar w:fldCharType="separate"/>
      </w:r>
      <w:r w:rsidRPr="00FE645B">
        <w:rPr>
          <w:rStyle w:val="Hyperlink"/>
          <w:sz w:val="24"/>
          <w:lang w:val="sk-SK"/>
        </w:rPr>
        <w:t>http://data.europa.eu/eli/C/2025/5407/oj</w:t>
      </w:r>
      <w:r>
        <w:fldChar w:fldCharType="end"/>
      </w:r>
      <w:r w:rsidRPr="00FE645B">
        <w:rPr>
          <w:rStyle w:val="Hyperlink"/>
          <w:sz w:val="24"/>
          <w:lang w:val="sk-SK"/>
        </w:rPr>
        <w:t>.</w:t>
      </w:r>
    </w:p>
  </w:footnote>
  <w:footnote w:id="5">
    <w:p w14:paraId="3EDA9303" w14:textId="741E812B"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Ú. v. EÚ L 193, 30.7.2018, s. 1, ELI: </w:t>
      </w:r>
      <w:r>
        <w:fldChar w:fldCharType="begin"/>
      </w:r>
      <w:r w:rsidRPr="00451280">
        <w:rPr>
          <w:lang w:val="fi-FI"/>
        </w:rPr>
        <w:instrText>HYPERLINK "http://data.europa.eu/eli/reg/2018/1046/oj"</w:instrText>
      </w:r>
      <w:r>
        <w:fldChar w:fldCharType="separate"/>
      </w:r>
      <w:r w:rsidRPr="00FE645B">
        <w:rPr>
          <w:rStyle w:val="Hyperlink"/>
          <w:sz w:val="24"/>
          <w:lang w:val="sk-SK"/>
        </w:rPr>
        <w:t>http://data.europa.eu/eli/reg/2018/1046/oj</w:t>
      </w:r>
      <w:r>
        <w:fldChar w:fldCharType="end"/>
      </w:r>
      <w:r w:rsidRPr="00FE645B">
        <w:rPr>
          <w:sz w:val="24"/>
          <w:lang w:val="sk-SK"/>
        </w:rPr>
        <w:t>.</w:t>
      </w:r>
    </w:p>
  </w:footnote>
  <w:footnote w:id="6">
    <w:p w14:paraId="6246C0BD" w14:textId="4207FF6F"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Ú. v. EÚ L, 2024/2509, 26.9.2024, ELI: </w:t>
      </w:r>
      <w:r>
        <w:fldChar w:fldCharType="begin"/>
      </w:r>
      <w:r w:rsidRPr="00451280">
        <w:rPr>
          <w:lang w:val="fi-FI"/>
        </w:rPr>
        <w:instrText>HYPERLINK "http://data.europa.eu/eli/reg/2024/2509/oj"</w:instrText>
      </w:r>
      <w:r>
        <w:fldChar w:fldCharType="separate"/>
      </w:r>
      <w:r w:rsidRPr="00FE645B">
        <w:rPr>
          <w:rStyle w:val="Hyperlink"/>
          <w:sz w:val="24"/>
          <w:lang w:val="sk-SK"/>
        </w:rPr>
        <w:t>http://data.europa.eu/eli/reg/2024/2509/oj</w:t>
      </w:r>
      <w:r>
        <w:fldChar w:fldCharType="end"/>
      </w:r>
      <w:r w:rsidRPr="00FE645B">
        <w:rPr>
          <w:sz w:val="24"/>
          <w:lang w:val="sk-SK"/>
        </w:rPr>
        <w:t>.</w:t>
      </w:r>
    </w:p>
  </w:footnote>
  <w:footnote w:id="7">
    <w:p w14:paraId="4F5D0D04" w14:textId="5636FA5E"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Ú. v. EÚ L 201, 3.8.2010, s. 30, ELI: </w:t>
      </w:r>
      <w:r>
        <w:fldChar w:fldCharType="begin"/>
      </w:r>
      <w:r w:rsidRPr="00451280">
        <w:rPr>
          <w:lang w:val="fi-FI"/>
        </w:rPr>
        <w:instrText>HYPERLINK "http://data.europa.eu/eli/dec/2010/427/oj"</w:instrText>
      </w:r>
      <w:r>
        <w:fldChar w:fldCharType="separate"/>
      </w:r>
      <w:r w:rsidRPr="00FE645B">
        <w:rPr>
          <w:rStyle w:val="Hyperlink"/>
          <w:sz w:val="24"/>
          <w:lang w:val="sk-SK"/>
        </w:rPr>
        <w:t>http://data.europa.eu/eli/dec/2010/427/oj</w:t>
      </w:r>
      <w:r>
        <w:fldChar w:fldCharType="end"/>
      </w:r>
      <w:r w:rsidRPr="00FE645B">
        <w:rPr>
          <w:sz w:val="24"/>
          <w:lang w:val="sk-SK"/>
        </w:rPr>
        <w:t>.</w:t>
      </w:r>
    </w:p>
  </w:footnote>
  <w:footnote w:id="8">
    <w:p w14:paraId="274441EC" w14:textId="2D22B2CB"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Smernica Európskeho parlamentu a Rady 2014/24/EÚ z 26. februára 2014 o verejnom obstarávaní a o zrušení smernice 2004/18/ES (Ú. v. EÚ L 94, 28.3.2014, s. 65, ELI: </w:t>
      </w:r>
      <w:r>
        <w:fldChar w:fldCharType="begin"/>
      </w:r>
      <w:r w:rsidRPr="00451280">
        <w:rPr>
          <w:lang w:val="sk-SK"/>
        </w:rPr>
        <w:instrText>HYPERLINK "http://data.europa.eu/eli/dir/2014/24/oj"</w:instrText>
      </w:r>
      <w:r>
        <w:fldChar w:fldCharType="separate"/>
      </w:r>
      <w:r w:rsidRPr="00FE645B">
        <w:rPr>
          <w:rStyle w:val="Hyperlink"/>
          <w:sz w:val="24"/>
          <w:lang w:val="sk-SK"/>
        </w:rPr>
        <w:t>http://data.europa.eu/eli/dir/2014/24/oj</w:t>
      </w:r>
      <w:r>
        <w:fldChar w:fldCharType="end"/>
      </w:r>
      <w:r w:rsidRPr="00FE645B">
        <w:rPr>
          <w:sz w:val="24"/>
          <w:lang w:val="sk-SK"/>
        </w:rPr>
        <w:t>).</w:t>
      </w:r>
    </w:p>
  </w:footnote>
  <w:footnote w:id="9">
    <w:p w14:paraId="5B060157" w14:textId="3D29740F"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Uznesenie P10_TA(2025)0086, odsek 83.</w:t>
      </w:r>
    </w:p>
  </w:footnote>
  <w:footnote w:id="10">
    <w:p w14:paraId="106E54E8" w14:textId="66DD6725"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Rozhodnutie Rady (SZBP) 2024/1472 z 21. mája 2024 o diplomatickej akadémii Európskej únie (Ú. v. EÚ L, 2024/1472, 22.5.2024, ELI: </w:t>
      </w:r>
      <w:r>
        <w:fldChar w:fldCharType="begin"/>
      </w:r>
      <w:r w:rsidRPr="00451280">
        <w:rPr>
          <w:lang w:val="sk-SK"/>
        </w:rPr>
        <w:instrText>HYPERLINK "http://data.europa.eu/eli/dec/2024/1472/oj" \t "_blank" \o "Umožňuje prístup k tomuto dokumentu prostredníctvom identifikátora URI používaného v rámci ELI."</w:instrText>
      </w:r>
      <w:r>
        <w:fldChar w:fldCharType="separate"/>
      </w:r>
      <w:r w:rsidRPr="00FE645B">
        <w:rPr>
          <w:rStyle w:val="Hyperlink"/>
          <w:sz w:val="24"/>
          <w:lang w:val="sk-SK"/>
        </w:rPr>
        <w:t>http://data.europa.eu/eli/dec/2024/1472/oj</w:t>
      </w:r>
      <w:r>
        <w:fldChar w:fldCharType="end"/>
      </w:r>
      <w:r w:rsidRPr="00FE645B">
        <w:rPr>
          <w:sz w:val="24"/>
          <w:lang w:val="sk-SK"/>
        </w:rPr>
        <w:t>).</w:t>
      </w:r>
    </w:p>
  </w:footnote>
  <w:footnote w:id="11">
    <w:p w14:paraId="73BBEF3E" w14:textId="3E4BE454" w:rsidR="00572096" w:rsidRPr="00FE645B" w:rsidRDefault="00572096" w:rsidP="00FE645B">
      <w:pPr>
        <w:pStyle w:val="FootnoteText"/>
        <w:ind w:left="567" w:hanging="567"/>
        <w:rPr>
          <w:sz w:val="24"/>
          <w:lang w:val="sk-SK"/>
        </w:rPr>
      </w:pPr>
      <w:r w:rsidRPr="00FE645B">
        <w:rPr>
          <w:rStyle w:val="FootnoteReference"/>
          <w:sz w:val="24"/>
          <w:lang w:val="sk-SK"/>
        </w:rPr>
        <w:footnoteRef/>
      </w:r>
      <w:r w:rsidR="00FE645B" w:rsidRPr="00FE645B">
        <w:rPr>
          <w:sz w:val="24"/>
          <w:lang w:val="sk-SK"/>
        </w:rPr>
        <w:t xml:space="preserve"> </w:t>
      </w:r>
      <w:r w:rsidR="00FE645B" w:rsidRPr="00FE645B">
        <w:rPr>
          <w:sz w:val="24"/>
          <w:lang w:val="sk-SK"/>
        </w:rPr>
        <w:tab/>
      </w:r>
      <w:r w:rsidRPr="00FE645B">
        <w:rPr>
          <w:sz w:val="24"/>
          <w:lang w:val="sk-SK"/>
        </w:rPr>
        <w:t xml:space="preserve">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 ELI: </w:t>
      </w:r>
      <w:r>
        <w:fldChar w:fldCharType="begin"/>
      </w:r>
      <w:r w:rsidRPr="00451280">
        <w:rPr>
          <w:lang w:val="sk-SK"/>
        </w:rPr>
        <w:instrText>HYPERLINK "http://data.europa.eu/eli/reg/2024/1689/oj"</w:instrText>
      </w:r>
      <w:r>
        <w:fldChar w:fldCharType="separate"/>
      </w:r>
      <w:r w:rsidRPr="00FE645B">
        <w:rPr>
          <w:rStyle w:val="Hyperlink"/>
          <w:sz w:val="24"/>
          <w:lang w:val="sk-SK"/>
        </w:rPr>
        <w:t>http://data.europa.eu/eli/reg/2024/1689/oj</w:t>
      </w:r>
      <w:r>
        <w:fldChar w:fldCharType="end"/>
      </w:r>
      <w:r w:rsidRPr="00FE645B">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BE85" w14:textId="77777777" w:rsidR="00064002" w:rsidRPr="00FE64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96AE" w14:textId="77777777" w:rsidR="00064002" w:rsidRPr="00FE64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454D4" w14:textId="77777777" w:rsidR="00064002" w:rsidRPr="00FE64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965828">
    <w:abstractNumId w:val="9"/>
  </w:num>
  <w:num w:numId="2" w16cid:durableId="280648538">
    <w:abstractNumId w:val="9"/>
  </w:num>
  <w:num w:numId="3" w16cid:durableId="2065979179">
    <w:abstractNumId w:val="7"/>
  </w:num>
  <w:num w:numId="4" w16cid:durableId="1043793167">
    <w:abstractNumId w:val="7"/>
  </w:num>
  <w:num w:numId="5" w16cid:durableId="1828402327">
    <w:abstractNumId w:val="6"/>
  </w:num>
  <w:num w:numId="6" w16cid:durableId="992100938">
    <w:abstractNumId w:val="6"/>
  </w:num>
  <w:num w:numId="7" w16cid:durableId="1985037163">
    <w:abstractNumId w:val="5"/>
  </w:num>
  <w:num w:numId="8" w16cid:durableId="1441879828">
    <w:abstractNumId w:val="5"/>
  </w:num>
  <w:num w:numId="9" w16cid:durableId="1971401794">
    <w:abstractNumId w:val="4"/>
  </w:num>
  <w:num w:numId="10" w16cid:durableId="1966807496">
    <w:abstractNumId w:val="4"/>
  </w:num>
  <w:num w:numId="11" w16cid:durableId="880435941">
    <w:abstractNumId w:val="8"/>
  </w:num>
  <w:num w:numId="12" w16cid:durableId="1829898272">
    <w:abstractNumId w:val="8"/>
  </w:num>
  <w:num w:numId="13" w16cid:durableId="865486101">
    <w:abstractNumId w:val="3"/>
  </w:num>
  <w:num w:numId="14" w16cid:durableId="731466785">
    <w:abstractNumId w:val="3"/>
  </w:num>
  <w:num w:numId="15" w16cid:durableId="1137064450">
    <w:abstractNumId w:val="2"/>
  </w:num>
  <w:num w:numId="16" w16cid:durableId="1971746455">
    <w:abstractNumId w:val="2"/>
  </w:num>
  <w:num w:numId="17" w16cid:durableId="1579904296">
    <w:abstractNumId w:val="1"/>
  </w:num>
  <w:num w:numId="18" w16cid:durableId="1507472970">
    <w:abstractNumId w:val="1"/>
  </w:num>
  <w:num w:numId="19" w16cid:durableId="1283920316">
    <w:abstractNumId w:val="0"/>
  </w:num>
  <w:num w:numId="20" w16cid:durableId="584416713">
    <w:abstractNumId w:val="0"/>
  </w:num>
  <w:num w:numId="21" w16cid:durableId="804159452">
    <w:abstractNumId w:val="9"/>
  </w:num>
  <w:num w:numId="22" w16cid:durableId="1931891952">
    <w:abstractNumId w:val="7"/>
  </w:num>
  <w:num w:numId="23" w16cid:durableId="1766996596">
    <w:abstractNumId w:val="6"/>
  </w:num>
  <w:num w:numId="24" w16cid:durableId="2114860222">
    <w:abstractNumId w:val="5"/>
  </w:num>
  <w:num w:numId="25" w16cid:durableId="41253509">
    <w:abstractNumId w:val="4"/>
  </w:num>
  <w:num w:numId="26" w16cid:durableId="160508063">
    <w:abstractNumId w:val="8"/>
  </w:num>
  <w:num w:numId="27" w16cid:durableId="1315597294">
    <w:abstractNumId w:val="3"/>
  </w:num>
  <w:num w:numId="28" w16cid:durableId="1558318613">
    <w:abstractNumId w:val="2"/>
  </w:num>
  <w:num w:numId="29" w16cid:durableId="1140725716">
    <w:abstractNumId w:val="1"/>
  </w:num>
  <w:num w:numId="30" w16cid:durableId="625308754">
    <w:abstractNumId w:val="0"/>
  </w:num>
  <w:num w:numId="31" w16cid:durableId="209196688">
    <w:abstractNumId w:val="9"/>
  </w:num>
  <w:num w:numId="32" w16cid:durableId="1784232046">
    <w:abstractNumId w:val="7"/>
  </w:num>
  <w:num w:numId="33" w16cid:durableId="343746032">
    <w:abstractNumId w:val="6"/>
  </w:num>
  <w:num w:numId="34" w16cid:durableId="1562444273">
    <w:abstractNumId w:val="5"/>
  </w:num>
  <w:num w:numId="35" w16cid:durableId="794107642">
    <w:abstractNumId w:val="4"/>
  </w:num>
  <w:num w:numId="36" w16cid:durableId="1320772328">
    <w:abstractNumId w:val="8"/>
  </w:num>
  <w:num w:numId="37" w16cid:durableId="167987724">
    <w:abstractNumId w:val="3"/>
  </w:num>
  <w:num w:numId="38" w16cid:durableId="1734310413">
    <w:abstractNumId w:val="2"/>
  </w:num>
  <w:num w:numId="39" w16cid:durableId="434443551">
    <w:abstractNumId w:val="1"/>
  </w:num>
  <w:num w:numId="40" w16cid:durableId="1353728851">
    <w:abstractNumId w:val="0"/>
  </w:num>
  <w:num w:numId="41" w16cid:durableId="890115163">
    <w:abstractNumId w:val="10"/>
  </w:num>
  <w:num w:numId="42" w16cid:durableId="1611475501">
    <w:abstractNumId w:val="10"/>
  </w:num>
  <w:num w:numId="43" w16cid:durableId="620308785">
    <w:abstractNumId w:val="10"/>
  </w:num>
  <w:num w:numId="44" w16cid:durableId="1803838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SK"/>
    <w:docVar w:name="dvnumam" w:val="0"/>
    <w:docVar w:name="dvpe" w:val="778.061"/>
    <w:docVar w:name="dvrapporteur" w:val="Spravodajca: "/>
    <w:docVar w:name="dvtitre" w:val="Rozhodnutie Európskeho parlamentu z/zo xx. xxx 2026 o absolutóriu za plnenie všeobecného rozpočtu Európskej únie za rozpočtový rok 2024, oddiel X – Európska služba pre vonkajšiu činnosť(2025/2150(DEC))"/>
  </w:docVars>
  <w:rsids>
    <w:rsidRoot w:val="006A5358"/>
    <w:rsid w:val="00002272"/>
    <w:rsid w:val="00045896"/>
    <w:rsid w:val="00064002"/>
    <w:rsid w:val="000677B9"/>
    <w:rsid w:val="000831BA"/>
    <w:rsid w:val="000A42CC"/>
    <w:rsid w:val="000E7DD9"/>
    <w:rsid w:val="0010095E"/>
    <w:rsid w:val="00125B37"/>
    <w:rsid w:val="00187494"/>
    <w:rsid w:val="001F32AE"/>
    <w:rsid w:val="00266D6F"/>
    <w:rsid w:val="002767FF"/>
    <w:rsid w:val="002B18FE"/>
    <w:rsid w:val="002B5493"/>
    <w:rsid w:val="00335997"/>
    <w:rsid w:val="00337564"/>
    <w:rsid w:val="00343214"/>
    <w:rsid w:val="00361C00"/>
    <w:rsid w:val="00395FA1"/>
    <w:rsid w:val="003C0388"/>
    <w:rsid w:val="003D19B6"/>
    <w:rsid w:val="003E15D4"/>
    <w:rsid w:val="00411CCE"/>
    <w:rsid w:val="0041666E"/>
    <w:rsid w:val="00421060"/>
    <w:rsid w:val="00451280"/>
    <w:rsid w:val="00471C19"/>
    <w:rsid w:val="004867E3"/>
    <w:rsid w:val="00494A28"/>
    <w:rsid w:val="004C0004"/>
    <w:rsid w:val="004C5D52"/>
    <w:rsid w:val="0050519A"/>
    <w:rsid w:val="005072A1"/>
    <w:rsid w:val="00514517"/>
    <w:rsid w:val="00545827"/>
    <w:rsid w:val="00560270"/>
    <w:rsid w:val="00572096"/>
    <w:rsid w:val="005C2568"/>
    <w:rsid w:val="005F1B17"/>
    <w:rsid w:val="006037C0"/>
    <w:rsid w:val="006631B6"/>
    <w:rsid w:val="00680577"/>
    <w:rsid w:val="006A5358"/>
    <w:rsid w:val="006F74FA"/>
    <w:rsid w:val="00731ADD"/>
    <w:rsid w:val="00734777"/>
    <w:rsid w:val="00747932"/>
    <w:rsid w:val="00751A4A"/>
    <w:rsid w:val="00756632"/>
    <w:rsid w:val="00762C74"/>
    <w:rsid w:val="00786EC0"/>
    <w:rsid w:val="007A7CF0"/>
    <w:rsid w:val="007B26AB"/>
    <w:rsid w:val="007D1690"/>
    <w:rsid w:val="007E22AD"/>
    <w:rsid w:val="00817416"/>
    <w:rsid w:val="00826A4B"/>
    <w:rsid w:val="00842779"/>
    <w:rsid w:val="00862B81"/>
    <w:rsid w:val="00865F67"/>
    <w:rsid w:val="008660BA"/>
    <w:rsid w:val="00881A7B"/>
    <w:rsid w:val="008840E5"/>
    <w:rsid w:val="00887B3E"/>
    <w:rsid w:val="008C2AC6"/>
    <w:rsid w:val="008F3F02"/>
    <w:rsid w:val="00930C23"/>
    <w:rsid w:val="0093193B"/>
    <w:rsid w:val="009509D8"/>
    <w:rsid w:val="00950B64"/>
    <w:rsid w:val="00981893"/>
    <w:rsid w:val="00A1687D"/>
    <w:rsid w:val="00A43E52"/>
    <w:rsid w:val="00A4678D"/>
    <w:rsid w:val="00A47F5D"/>
    <w:rsid w:val="00A778C7"/>
    <w:rsid w:val="00AA21BD"/>
    <w:rsid w:val="00AB441E"/>
    <w:rsid w:val="00AB6293"/>
    <w:rsid w:val="00AD1491"/>
    <w:rsid w:val="00AD33A1"/>
    <w:rsid w:val="00AE0928"/>
    <w:rsid w:val="00AF3B82"/>
    <w:rsid w:val="00B12E95"/>
    <w:rsid w:val="00B14BE4"/>
    <w:rsid w:val="00B22876"/>
    <w:rsid w:val="00B558F0"/>
    <w:rsid w:val="00BD48FE"/>
    <w:rsid w:val="00BD7BD8"/>
    <w:rsid w:val="00BE6ADC"/>
    <w:rsid w:val="00C05BFE"/>
    <w:rsid w:val="00C23CD4"/>
    <w:rsid w:val="00C33586"/>
    <w:rsid w:val="00C42D54"/>
    <w:rsid w:val="00C61C0C"/>
    <w:rsid w:val="00C941CB"/>
    <w:rsid w:val="00CC2357"/>
    <w:rsid w:val="00CF071A"/>
    <w:rsid w:val="00D058B8"/>
    <w:rsid w:val="00D56C11"/>
    <w:rsid w:val="00D745AB"/>
    <w:rsid w:val="00D834A0"/>
    <w:rsid w:val="00D872DF"/>
    <w:rsid w:val="00D91E21"/>
    <w:rsid w:val="00DA7FCD"/>
    <w:rsid w:val="00E27B4C"/>
    <w:rsid w:val="00E365E1"/>
    <w:rsid w:val="00E820A4"/>
    <w:rsid w:val="00EB006A"/>
    <w:rsid w:val="00EB4772"/>
    <w:rsid w:val="00ED169E"/>
    <w:rsid w:val="00ED4235"/>
    <w:rsid w:val="00F04346"/>
    <w:rsid w:val="00F075DC"/>
    <w:rsid w:val="00F149E9"/>
    <w:rsid w:val="00F5134D"/>
    <w:rsid w:val="00F61F29"/>
    <w:rsid w:val="00F74202"/>
    <w:rsid w:val="00F87713"/>
    <w:rsid w:val="00FB4360"/>
    <w:rsid w:val="00FC5F7A"/>
    <w:rsid w:val="00FD0C70"/>
    <w:rsid w:val="00FE645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1D1BC"/>
  <w15:chartTrackingRefBased/>
  <w15:docId w15:val="{158BA95E-6EE2-4151-AB53-6DCC66C90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20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2096"/>
    <w:pPr>
      <w:spacing w:before="480" w:after="240"/>
    </w:pPr>
  </w:style>
  <w:style w:type="paragraph" w:customStyle="1" w:styleId="PageHeading">
    <w:name w:val="PageHeading"/>
    <w:basedOn w:val="Normal"/>
    <w:rsid w:val="00572096"/>
    <w:pPr>
      <w:keepNext/>
      <w:spacing w:after="480"/>
      <w:jc w:val="center"/>
    </w:pPr>
    <w:rPr>
      <w:rFonts w:ascii="Arial" w:hAnsi="Arial" w:cs="Arial"/>
      <w:b/>
    </w:rPr>
  </w:style>
  <w:style w:type="paragraph" w:customStyle="1" w:styleId="NormalBold">
    <w:name w:val="NormalBold"/>
    <w:basedOn w:val="Normal"/>
    <w:rsid w:val="00572096"/>
    <w:rPr>
      <w:b/>
    </w:rPr>
  </w:style>
  <w:style w:type="paragraph" w:customStyle="1" w:styleId="NormalHanging12a">
    <w:name w:val="NormalHanging12a"/>
    <w:basedOn w:val="Normal"/>
    <w:link w:val="NormalHanging12aChar"/>
    <w:qFormat/>
    <w:rsid w:val="00572096"/>
    <w:pPr>
      <w:spacing w:after="240"/>
      <w:ind w:left="567" w:hanging="567"/>
    </w:pPr>
  </w:style>
  <w:style w:type="paragraph" w:styleId="Header">
    <w:name w:val="header"/>
    <w:basedOn w:val="Normal"/>
    <w:link w:val="HeaderChar"/>
    <w:rsid w:val="00572096"/>
    <w:pPr>
      <w:tabs>
        <w:tab w:val="center" w:pos="4513"/>
        <w:tab w:val="right" w:pos="9026"/>
      </w:tabs>
    </w:pPr>
  </w:style>
  <w:style w:type="character" w:customStyle="1" w:styleId="HeaderChar">
    <w:name w:val="Header Char"/>
    <w:basedOn w:val="DefaultParagraphFont"/>
    <w:link w:val="Header"/>
    <w:rsid w:val="00572096"/>
    <w:rPr>
      <w:sz w:val="24"/>
      <w:lang w:val="sk-SK"/>
    </w:rPr>
  </w:style>
  <w:style w:type="paragraph" w:customStyle="1" w:styleId="EPFooter">
    <w:name w:val="EPFooter"/>
    <w:basedOn w:val="Normal"/>
    <w:rsid w:val="00572096"/>
    <w:pPr>
      <w:tabs>
        <w:tab w:val="center" w:pos="4535"/>
        <w:tab w:val="right" w:pos="9071"/>
      </w:tabs>
      <w:spacing w:before="240" w:after="240"/>
    </w:pPr>
    <w:rPr>
      <w:color w:val="010000"/>
      <w:sz w:val="22"/>
    </w:rPr>
  </w:style>
  <w:style w:type="character" w:styleId="Hyperlink">
    <w:name w:val="Hyperlink"/>
    <w:basedOn w:val="DefaultParagraphFont"/>
    <w:rsid w:val="00572096"/>
    <w:rPr>
      <w:color w:val="0563C1" w:themeColor="hyperlink"/>
      <w:u w:val="single"/>
    </w:rPr>
  </w:style>
  <w:style w:type="character" w:customStyle="1" w:styleId="NormalHanging12aChar">
    <w:name w:val="NormalHanging12a Char"/>
    <w:basedOn w:val="DefaultParagraphFont"/>
    <w:link w:val="NormalHanging12a"/>
    <w:locked/>
    <w:rsid w:val="00572096"/>
    <w:rPr>
      <w:sz w:val="24"/>
      <w:lang w:val="sk-SK"/>
    </w:rPr>
  </w:style>
  <w:style w:type="paragraph" w:styleId="Footer">
    <w:name w:val="footer"/>
    <w:basedOn w:val="Normal"/>
    <w:link w:val="FooterChar"/>
    <w:rsid w:val="00AA21BD"/>
    <w:pPr>
      <w:tabs>
        <w:tab w:val="center" w:pos="4513"/>
        <w:tab w:val="right" w:pos="9026"/>
      </w:tabs>
    </w:pPr>
  </w:style>
  <w:style w:type="character" w:customStyle="1" w:styleId="FooterChar">
    <w:name w:val="Footer Char"/>
    <w:basedOn w:val="DefaultParagraphFont"/>
    <w:link w:val="Footer"/>
    <w:rsid w:val="00AA21BD"/>
    <w:rPr>
      <w:sz w:val="24"/>
      <w:lang w:val="sk-SK"/>
    </w:rPr>
  </w:style>
  <w:style w:type="paragraph" w:styleId="Revision">
    <w:name w:val="Revision"/>
    <w:hidden/>
    <w:uiPriority w:val="99"/>
    <w:semiHidden/>
    <w:rsid w:val="00AA21BD"/>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13350</Words>
  <Characters>83047</Characters>
  <Application>Microsoft Office Word</Application>
  <DocSecurity>0</DocSecurity>
  <Lines>692</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2026-05-06T09:37:00Z</dcterms:created>
  <dcterms:modified xsi:type="dcterms:W3CDTF">2026-05-06T09:37:00Z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P10_TA(2026)0130_</vt:lpwstr>
  </property>
  <property fmtid="{D5CDD505-2E9C-101B-9397-08002B2CF9AE}" pid="4" name="&lt;Type&gt;">
    <vt:lpwstr>RR</vt:lpwstr>
  </property>
</Properties>
</file>