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795C" w14:paraId="253D66C3" w14:textId="77777777" w:rsidTr="0010095E">
        <w:trPr>
          <w:trHeight w:hRule="exact" w:val="1418"/>
        </w:trPr>
        <w:tc>
          <w:tcPr>
            <w:tcW w:w="6804" w:type="dxa"/>
            <w:shd w:val="clear" w:color="auto" w:fill="auto"/>
            <w:vAlign w:val="center"/>
          </w:tcPr>
          <w:p w14:paraId="4BF666BA" w14:textId="77777777" w:rsidR="00751A4A" w:rsidRPr="0046795C" w:rsidRDefault="007C0EC0" w:rsidP="0010095E">
            <w:pPr>
              <w:pStyle w:val="EPName"/>
            </w:pPr>
            <w:r w:rsidRPr="0046795C">
              <w:t>Europaparlamentet</w:t>
            </w:r>
          </w:p>
          <w:p w14:paraId="46CFD57F" w14:textId="77777777" w:rsidR="00751A4A" w:rsidRPr="0046795C" w:rsidRDefault="005F1B17" w:rsidP="005F1B17">
            <w:pPr>
              <w:pStyle w:val="EPTerm"/>
              <w:rPr>
                <w:rStyle w:val="HideTWBExt"/>
                <w:noProof w:val="0"/>
                <w:vanish w:val="0"/>
                <w:color w:val="auto"/>
              </w:rPr>
            </w:pPr>
            <w:r w:rsidRPr="0046795C">
              <w:t>2024</w:t>
            </w:r>
            <w:r w:rsidR="00817416" w:rsidRPr="0046795C">
              <w:t>-202</w:t>
            </w:r>
            <w:r w:rsidRPr="0046795C">
              <w:t>9</w:t>
            </w:r>
          </w:p>
        </w:tc>
        <w:tc>
          <w:tcPr>
            <w:tcW w:w="2268" w:type="dxa"/>
            <w:shd w:val="clear" w:color="auto" w:fill="auto"/>
          </w:tcPr>
          <w:p w14:paraId="2E3E4081" w14:textId="77777777" w:rsidR="00751A4A" w:rsidRPr="0046795C" w:rsidRDefault="00187494" w:rsidP="0010095E">
            <w:pPr>
              <w:pStyle w:val="EPLogo"/>
            </w:pPr>
            <w:r w:rsidRPr="0046795C">
              <w:rPr>
                <w:noProof/>
                <w:lang w:eastAsia="ja-JP"/>
              </w:rPr>
              <w:drawing>
                <wp:inline distT="0" distB="0" distL="0" distR="0" wp14:anchorId="6A55EF54" wp14:editId="7DCB6C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9C0EC5" w14:textId="77777777" w:rsidR="00D058B8" w:rsidRPr="0046795C" w:rsidRDefault="00D058B8" w:rsidP="004C5D52">
      <w:pPr>
        <w:pStyle w:val="LineTop"/>
      </w:pPr>
    </w:p>
    <w:p w14:paraId="60EF83CA" w14:textId="77777777" w:rsidR="00680577" w:rsidRPr="0046795C" w:rsidRDefault="007C0EC0" w:rsidP="00680577">
      <w:pPr>
        <w:pStyle w:val="EPBodyTA1"/>
      </w:pPr>
      <w:r w:rsidRPr="0046795C">
        <w:t>ANTAGNA TEXTER</w:t>
      </w:r>
    </w:p>
    <w:p w14:paraId="5F9FCF9F" w14:textId="77777777" w:rsidR="00D058B8" w:rsidRPr="0046795C" w:rsidRDefault="00D058B8" w:rsidP="00D058B8">
      <w:pPr>
        <w:pStyle w:val="LineBottom"/>
      </w:pPr>
    </w:p>
    <w:p w14:paraId="10ECEE8A" w14:textId="16F66817" w:rsidR="007C0EC0" w:rsidRPr="0046795C" w:rsidRDefault="007C0EC0" w:rsidP="007C0EC0">
      <w:pPr>
        <w:pStyle w:val="ATHeading1"/>
      </w:pPr>
      <w:bookmarkStart w:id="0" w:name="TANumber"/>
      <w:r w:rsidRPr="0046795C">
        <w:t>P10_TA(2026)</w:t>
      </w:r>
      <w:bookmarkEnd w:id="0"/>
      <w:r w:rsidR="00020C8C" w:rsidRPr="0046795C">
        <w:t>0</w:t>
      </w:r>
      <w:r w:rsidR="00020C8C">
        <w:t>130</w:t>
      </w:r>
    </w:p>
    <w:p w14:paraId="6C87ED8F" w14:textId="77777777" w:rsidR="007C0EC0" w:rsidRPr="0046795C" w:rsidRDefault="007C0EC0" w:rsidP="007C0EC0">
      <w:pPr>
        <w:pStyle w:val="ATHeading2"/>
      </w:pPr>
      <w:bookmarkStart w:id="1" w:name="title"/>
      <w:r w:rsidRPr="0046795C">
        <w:t>Ansvarsfrihet 2024: EU:s allmänna budget – Europeiska utrikestjänsten</w:t>
      </w:r>
      <w:bookmarkEnd w:id="1"/>
    </w:p>
    <w:p w14:paraId="35B18774" w14:textId="77777777" w:rsidR="007C0EC0" w:rsidRPr="0046795C" w:rsidRDefault="007C0EC0" w:rsidP="007C0EC0">
      <w:pPr>
        <w:rPr>
          <w:i/>
          <w:vanish/>
        </w:rPr>
      </w:pPr>
      <w:r w:rsidRPr="0046795C">
        <w:rPr>
          <w:i/>
        </w:rPr>
        <w:fldChar w:fldCharType="begin"/>
      </w:r>
      <w:r w:rsidRPr="0046795C">
        <w:rPr>
          <w:i/>
        </w:rPr>
        <w:instrText xml:space="preserve"> TC"(</w:instrText>
      </w:r>
      <w:bookmarkStart w:id="2" w:name="DocNumber"/>
      <w:r w:rsidRPr="0046795C">
        <w:rPr>
          <w:i/>
        </w:rPr>
        <w:instrText>A10-0053/2026</w:instrText>
      </w:r>
      <w:bookmarkEnd w:id="2"/>
      <w:r w:rsidRPr="0046795C">
        <w:rPr>
          <w:i/>
        </w:rPr>
        <w:instrText xml:space="preserve"> - Föredragande: Pasquale </w:instrText>
      </w:r>
      <w:proofErr w:type="spellStart"/>
      <w:r w:rsidRPr="0046795C">
        <w:rPr>
          <w:i/>
        </w:rPr>
        <w:instrText>Tridico</w:instrText>
      </w:r>
      <w:proofErr w:type="spellEnd"/>
      <w:r w:rsidRPr="0046795C">
        <w:rPr>
          <w:i/>
        </w:rPr>
        <w:instrText xml:space="preserve">)"\l3 \n&gt; \* MERGEFORMAT </w:instrText>
      </w:r>
      <w:r w:rsidRPr="0046795C">
        <w:rPr>
          <w:i/>
        </w:rPr>
        <w:fldChar w:fldCharType="end"/>
      </w:r>
    </w:p>
    <w:p w14:paraId="76A63465" w14:textId="77777777" w:rsidR="007C0EC0" w:rsidRPr="0046795C" w:rsidRDefault="007C0EC0" w:rsidP="007C0EC0">
      <w:pPr>
        <w:rPr>
          <w:vanish/>
        </w:rPr>
      </w:pPr>
      <w:bookmarkStart w:id="3" w:name="Commission"/>
      <w:r w:rsidRPr="0046795C">
        <w:rPr>
          <w:vanish/>
        </w:rPr>
        <w:t>Budgetkontrollutskottet</w:t>
      </w:r>
      <w:bookmarkEnd w:id="3"/>
    </w:p>
    <w:p w14:paraId="6134FCED" w14:textId="77777777" w:rsidR="007C0EC0" w:rsidRPr="0046795C" w:rsidRDefault="007C0EC0" w:rsidP="007C0EC0">
      <w:pPr>
        <w:rPr>
          <w:vanish/>
        </w:rPr>
      </w:pPr>
      <w:bookmarkStart w:id="4" w:name="PE"/>
      <w:r w:rsidRPr="0046795C">
        <w:rPr>
          <w:vanish/>
        </w:rPr>
        <w:t>PE778.061</w:t>
      </w:r>
      <w:bookmarkEnd w:id="4"/>
    </w:p>
    <w:p w14:paraId="48D80237" w14:textId="148B4A32" w:rsidR="007C0EC0" w:rsidRPr="0046795C" w:rsidRDefault="005E110E" w:rsidP="007C0EC0">
      <w:pPr>
        <w:pStyle w:val="ATHeading3"/>
      </w:pPr>
      <w:bookmarkStart w:id="5" w:name="Sujet"/>
      <w:r>
        <w:t xml:space="preserve">1. </w:t>
      </w:r>
      <w:r w:rsidR="007C0EC0" w:rsidRPr="0046795C">
        <w:t xml:space="preserve">Europaparlamentets beslut av den </w:t>
      </w:r>
      <w:r w:rsidR="002E4A61">
        <w:t>29</w:t>
      </w:r>
      <w:r w:rsidR="007C0EC0" w:rsidRPr="0046795C">
        <w:t xml:space="preserve"> </w:t>
      </w:r>
      <w:r w:rsidR="002E4A61">
        <w:t>april</w:t>
      </w:r>
      <w:r w:rsidR="007C0EC0" w:rsidRPr="0046795C">
        <w:t xml:space="preserve"> 2026 om ansvarsfrihet för genomförandet av Europeiska unionens allmänna budget för budgetåret 2024, avsnitt X – Europeiska utrikestjänsten</w:t>
      </w:r>
      <w:bookmarkEnd w:id="5"/>
      <w:r w:rsidR="007C0EC0" w:rsidRPr="0046795C">
        <w:t xml:space="preserve"> </w:t>
      </w:r>
      <w:bookmarkStart w:id="6" w:name="References"/>
      <w:r w:rsidR="007C0EC0" w:rsidRPr="0046795C">
        <w:t>(2025/2150(DEC))</w:t>
      </w:r>
      <w:bookmarkEnd w:id="6"/>
    </w:p>
    <w:p w14:paraId="7CBD495E" w14:textId="77777777" w:rsidR="00AA68A9" w:rsidRPr="0046795C" w:rsidRDefault="00AA68A9" w:rsidP="00AA68A9">
      <w:pPr>
        <w:pStyle w:val="EPComma"/>
      </w:pPr>
      <w:bookmarkStart w:id="7" w:name="TextBodyBegin"/>
      <w:bookmarkEnd w:id="7"/>
      <w:r w:rsidRPr="0046795C">
        <w:rPr>
          <w:i/>
        </w:rPr>
        <w:t>Europaparlamentet fattar detta beslut</w:t>
      </w:r>
    </w:p>
    <w:p w14:paraId="04B49091" w14:textId="77777777" w:rsidR="00AA68A9" w:rsidRPr="0046795C" w:rsidRDefault="00AA68A9" w:rsidP="00AA68A9">
      <w:pPr>
        <w:pStyle w:val="NormalHanging12a"/>
      </w:pPr>
      <w:r w:rsidRPr="0046795C">
        <w:t>–</w:t>
      </w:r>
      <w:r w:rsidRPr="0046795C">
        <w:tab/>
        <w:t>med beaktande av Europeiska unionens allmänna budget för budgetåret 2024</w:t>
      </w:r>
      <w:r w:rsidRPr="0046795C">
        <w:rPr>
          <w:rStyle w:val="FootnoteReference"/>
        </w:rPr>
        <w:footnoteReference w:id="1"/>
      </w:r>
      <w:r w:rsidRPr="0046795C">
        <w:t>,</w:t>
      </w:r>
    </w:p>
    <w:p w14:paraId="1E1AB011" w14:textId="77777777" w:rsidR="00AA68A9" w:rsidRPr="0046795C" w:rsidRDefault="00AA68A9" w:rsidP="00AA68A9">
      <w:pPr>
        <w:pStyle w:val="NormalHanging12a"/>
      </w:pPr>
      <w:r w:rsidRPr="0046795C">
        <w:t>–</w:t>
      </w:r>
      <w:r w:rsidRPr="0046795C">
        <w:tab/>
        <w:t>med beaktande av Europeiska unionens konsoliderade årsredovisning för budgetåret 2024 (COM(2025)0359 – C10</w:t>
      </w:r>
      <w:r w:rsidRPr="0046795C">
        <w:noBreakHyphen/>
        <w:t>0150/2025)</w:t>
      </w:r>
      <w:r w:rsidRPr="0046795C">
        <w:rPr>
          <w:rStyle w:val="FootnoteReference"/>
        </w:rPr>
        <w:footnoteReference w:id="2"/>
      </w:r>
      <w:r w:rsidRPr="0046795C">
        <w:t>,</w:t>
      </w:r>
    </w:p>
    <w:p w14:paraId="00E14828" w14:textId="77777777" w:rsidR="00AA68A9" w:rsidRPr="0046795C" w:rsidRDefault="00AA68A9" w:rsidP="00AA68A9">
      <w:pPr>
        <w:pStyle w:val="NormalHanging12a"/>
      </w:pPr>
      <w:r w:rsidRPr="0046795C">
        <w:t>–</w:t>
      </w:r>
      <w:r w:rsidRPr="0046795C">
        <w:tab/>
        <w:t>med beaktande av Europeiska utrikestjänstens årsrapport till den ansvarsfrihetsbeviljande myndigheten om de internrevisioner som genomförts under 2024,</w:t>
      </w:r>
    </w:p>
    <w:p w14:paraId="5D99E10C" w14:textId="77777777" w:rsidR="00AA68A9" w:rsidRPr="0046795C" w:rsidRDefault="00AA68A9" w:rsidP="00AA68A9">
      <w:pPr>
        <w:pStyle w:val="NormalHanging12a"/>
      </w:pPr>
      <w:r w:rsidRPr="0046795C">
        <w:t>–</w:t>
      </w:r>
      <w:r w:rsidRPr="0046795C">
        <w:tab/>
        <w:t>med beaktande av revisionsrättens årsrapport om genomförandet av budgeten för budgetåret 2024, med institutionernas svar</w:t>
      </w:r>
      <w:r w:rsidRPr="0046795C">
        <w:rPr>
          <w:rStyle w:val="FootnoteReference"/>
        </w:rPr>
        <w:footnoteReference w:id="3"/>
      </w:r>
      <w:r w:rsidRPr="0046795C">
        <w:t>,</w:t>
      </w:r>
    </w:p>
    <w:p w14:paraId="735B843D" w14:textId="77777777" w:rsidR="00AA68A9" w:rsidRPr="0046795C" w:rsidRDefault="00AA68A9" w:rsidP="00AA68A9">
      <w:pPr>
        <w:pStyle w:val="NormalHanging12a"/>
      </w:pPr>
      <w:r w:rsidRPr="0046795C">
        <w:t>–</w:t>
      </w:r>
      <w:r w:rsidRPr="0046795C">
        <w:tab/>
        <w:t>med beaktande av förklaringen om räkenskapernas tillförlitlighet och de underliggande transaktionernas laglighet och korrekthet</w:t>
      </w:r>
      <w:r w:rsidRPr="0046795C">
        <w:rPr>
          <w:rStyle w:val="FootnoteReference"/>
        </w:rPr>
        <w:footnoteReference w:id="4"/>
      </w:r>
      <w:r w:rsidRPr="0046795C">
        <w:t>, som avgetts av revisionsrätten för budgetåret 2024 i enlighet med artikel 287 i fördraget om Europeiska unionens funktionssätt,</w:t>
      </w:r>
    </w:p>
    <w:p w14:paraId="18ED1FA2" w14:textId="77777777" w:rsidR="00AA68A9" w:rsidRPr="0046795C" w:rsidRDefault="00AA68A9" w:rsidP="00AA68A9">
      <w:pPr>
        <w:pStyle w:val="NormalHanging12a"/>
      </w:pPr>
      <w:r w:rsidRPr="0046795C">
        <w:t>–</w:t>
      </w:r>
      <w:r w:rsidRPr="0046795C">
        <w:tab/>
        <w:t>med beaktande av artikel 314.10 och artiklarna 317, 318 och 319 i fördraget om Europeiska unionens funktionssätt,</w:t>
      </w:r>
    </w:p>
    <w:p w14:paraId="5BE34CE9" w14:textId="77777777" w:rsidR="00AA68A9" w:rsidRPr="0046795C" w:rsidRDefault="00AA68A9" w:rsidP="00AA68A9">
      <w:pPr>
        <w:pStyle w:val="NormalHanging12a"/>
      </w:pPr>
      <w:r w:rsidRPr="0046795C">
        <w:t>–</w:t>
      </w:r>
      <w:r w:rsidRPr="0046795C">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46795C">
        <w:lastRenderedPageBreak/>
        <w:t>Euratom) nr 966/2012</w:t>
      </w:r>
      <w:r w:rsidRPr="0046795C">
        <w:rPr>
          <w:rStyle w:val="FootnoteReference"/>
        </w:rPr>
        <w:footnoteReference w:id="5"/>
      </w:r>
      <w:r w:rsidRPr="0046795C">
        <w:t>, särskilt artiklarna 59, 118 och 260–263,</w:t>
      </w:r>
    </w:p>
    <w:p w14:paraId="3A0A764A" w14:textId="77777777" w:rsidR="00AA68A9" w:rsidRPr="0046795C" w:rsidRDefault="00AA68A9" w:rsidP="00AA68A9">
      <w:pPr>
        <w:pStyle w:val="NormalHanging12a"/>
      </w:pPr>
      <w:r w:rsidRPr="0046795C">
        <w:t>–</w:t>
      </w:r>
      <w:r w:rsidRPr="0046795C">
        <w:tab/>
        <w:t>med beaktande av Europaparlamentets och rådets förordning (EU, Euratom) 2024/2509 av den 23 september 2024 om finansiella regler för unionens allmänna budget</w:t>
      </w:r>
      <w:r w:rsidRPr="0046795C">
        <w:rPr>
          <w:rStyle w:val="FootnoteReference"/>
        </w:rPr>
        <w:footnoteReference w:id="6"/>
      </w:r>
      <w:r w:rsidRPr="0046795C">
        <w:t>, särskilt artiklarna 59, 118 och 266–269,</w:t>
      </w:r>
    </w:p>
    <w:p w14:paraId="3E68C116" w14:textId="77777777" w:rsidR="00AA68A9" w:rsidRPr="0046795C" w:rsidRDefault="00AA68A9" w:rsidP="00AA68A9">
      <w:pPr>
        <w:pStyle w:val="NormalHanging12a"/>
      </w:pPr>
      <w:r w:rsidRPr="0046795C">
        <w:t>–</w:t>
      </w:r>
      <w:r w:rsidRPr="0046795C">
        <w:tab/>
        <w:t>med beaktande av rådets beslut 2010/427/EU av den 26 juli 2010 om hur den europeiska avdelningen för yttre åtgärder ska organiseras och arbeta</w:t>
      </w:r>
      <w:r w:rsidRPr="0046795C">
        <w:rPr>
          <w:rStyle w:val="FootnoteReference"/>
        </w:rPr>
        <w:footnoteReference w:id="7"/>
      </w:r>
      <w:r w:rsidRPr="0046795C">
        <w:t>, särskilt artikel 8,</w:t>
      </w:r>
    </w:p>
    <w:p w14:paraId="53C4386A" w14:textId="77777777" w:rsidR="00AA68A9" w:rsidRPr="0046795C" w:rsidRDefault="00AA68A9" w:rsidP="00AA68A9">
      <w:pPr>
        <w:pStyle w:val="NormalHanging12a"/>
      </w:pPr>
      <w:r w:rsidRPr="0046795C">
        <w:t>–</w:t>
      </w:r>
      <w:r w:rsidRPr="0046795C">
        <w:tab/>
        <w:t>med beaktande av artikel 102 och bilaga V i arbetsordningen,</w:t>
      </w:r>
    </w:p>
    <w:p w14:paraId="29B52907" w14:textId="77777777" w:rsidR="00AA68A9" w:rsidRPr="0046795C" w:rsidRDefault="00AA68A9" w:rsidP="00AA68A9">
      <w:pPr>
        <w:pStyle w:val="NormalHanging12a"/>
        <w:rPr>
          <w:szCs w:val="24"/>
        </w:rPr>
      </w:pPr>
      <w:r w:rsidRPr="0046795C">
        <w:t>–</w:t>
      </w:r>
      <w:r w:rsidRPr="0046795C">
        <w:tab/>
        <w:t>med beaktande av yttrandet från utskottet för utrikesfrågor,</w:t>
      </w:r>
    </w:p>
    <w:p w14:paraId="25F3C850" w14:textId="77777777" w:rsidR="00AA68A9" w:rsidRPr="0046795C" w:rsidRDefault="00AA68A9" w:rsidP="00AA68A9">
      <w:pPr>
        <w:pStyle w:val="NormalHanging12a"/>
      </w:pPr>
      <w:r w:rsidRPr="0046795C">
        <w:t>–</w:t>
      </w:r>
      <w:r w:rsidRPr="0046795C">
        <w:tab/>
        <w:t>med beaktande av betänkandet från budgetkontrollutskottet (A10-0053/2026).</w:t>
      </w:r>
    </w:p>
    <w:p w14:paraId="63B6D021" w14:textId="1FB2D558" w:rsidR="0099213A" w:rsidRDefault="00AA68A9" w:rsidP="00AA68A9">
      <w:pPr>
        <w:pStyle w:val="NormalHanging12a"/>
      </w:pPr>
      <w:r w:rsidRPr="0046795C">
        <w:t>1.</w:t>
      </w:r>
      <w:r w:rsidRPr="0046795C">
        <w:tab/>
        <w:t>Europaparlamentet beviljar unionens höga representant för utrikes frågor och säkerhetspolitik ansvarsfrihet för genomförandet av Europeiska utrikestjänstens budget för budgetåret 2024</w:t>
      </w:r>
      <w:r w:rsidR="0099213A">
        <w:t>.</w:t>
      </w:r>
    </w:p>
    <w:p w14:paraId="14586594" w14:textId="1CBEEDD5" w:rsidR="00AA68A9" w:rsidRPr="0046795C" w:rsidRDefault="00AA68A9" w:rsidP="00AA68A9">
      <w:pPr>
        <w:pStyle w:val="NormalHanging12a"/>
      </w:pPr>
      <w:r w:rsidRPr="0046795C">
        <w:t>2.</w:t>
      </w:r>
      <w:r w:rsidRPr="0046795C">
        <w:tab/>
        <w:t>Europaparlamentet redovisar sina iakttagelser i resolutionen nedan.</w:t>
      </w:r>
    </w:p>
    <w:p w14:paraId="1E3DA14E" w14:textId="77777777" w:rsidR="00AA68A9" w:rsidRPr="0046795C" w:rsidRDefault="00AA68A9" w:rsidP="00AA68A9">
      <w:pPr>
        <w:pStyle w:val="NormalHanging12a"/>
      </w:pPr>
      <w:r w:rsidRPr="0046795C">
        <w:t>3.</w:t>
      </w:r>
      <w:r w:rsidRPr="0046795C">
        <w:tab/>
        <w:t xml:space="preserve">Europaparlamentet uppdrar åt talmannen att översända detta beslut och den resolution som utgör en del av beslutet till Europeiska utrikestjänsten, rådet, kommissionen och revisionsrätten samt till Europeiska ombudsmannen och Europeiska datatillsynsmannen, och att se till att de offentliggörs i </w:t>
      </w:r>
      <w:r w:rsidRPr="0046795C">
        <w:rPr>
          <w:i/>
        </w:rPr>
        <w:t>Europeiska unionens officiella tidning</w:t>
      </w:r>
      <w:r w:rsidRPr="0046795C">
        <w:t xml:space="preserve"> (L-serien).</w:t>
      </w:r>
    </w:p>
    <w:p w14:paraId="3D61EC34" w14:textId="77777777" w:rsidR="00AA68A9" w:rsidRPr="0046795C" w:rsidRDefault="00AA68A9" w:rsidP="00AA68A9">
      <w:pPr>
        <w:pStyle w:val="PageHeading"/>
        <w:jc w:val="left"/>
        <w:sectPr w:rsidR="00AA68A9" w:rsidRPr="0046795C" w:rsidSect="004679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0B3466" w14:textId="77777777" w:rsidR="005E110E" w:rsidRDefault="005E110E" w:rsidP="005E110E">
      <w:pPr>
        <w:pStyle w:val="ATHeading3"/>
      </w:pPr>
      <w:r>
        <w:lastRenderedPageBreak/>
        <w:t>2. Europaparlamentets resolution av den 29 april 2026 med de iakttagelser som utgör en del av beslutet om ansvarsfrihet för genomförandet av Europeiska unionens allmänna budget för budgetåret 2024, avsnitt X – Europeiska utrikestjänsten (2025/2150(DEC))</w:t>
      </w:r>
    </w:p>
    <w:p w14:paraId="10334879" w14:textId="77777777" w:rsidR="00AA68A9" w:rsidRPr="0046795C" w:rsidRDefault="00AA68A9" w:rsidP="00AA68A9">
      <w:pPr>
        <w:pStyle w:val="EPComma"/>
      </w:pPr>
      <w:r w:rsidRPr="0046795C">
        <w:rPr>
          <w:i/>
        </w:rPr>
        <w:t>Europaparlamentet utfärdar denna resolution</w:t>
      </w:r>
    </w:p>
    <w:p w14:paraId="1A6FF93E" w14:textId="77777777" w:rsidR="00AA68A9" w:rsidRPr="0046795C" w:rsidRDefault="00AA68A9" w:rsidP="00AA68A9">
      <w:pPr>
        <w:pStyle w:val="NormalHanging12a"/>
      </w:pPr>
      <w:r w:rsidRPr="0046795C">
        <w:t>–</w:t>
      </w:r>
      <w:r w:rsidRPr="0046795C">
        <w:tab/>
        <w:t>med beaktande av sitt beslut om ansvarsfrihet för genomförandet av Europeiska unionens allmänna budget för budgetåret 2024, avsnitt X – Europeiska utrikestjänsten,</w:t>
      </w:r>
    </w:p>
    <w:p w14:paraId="54B96FBD" w14:textId="77777777" w:rsidR="00AA68A9" w:rsidRPr="0046795C" w:rsidRDefault="00AA68A9" w:rsidP="00AA68A9">
      <w:pPr>
        <w:pStyle w:val="NormalHanging12a"/>
      </w:pPr>
      <w:r w:rsidRPr="0046795C">
        <w:t>–</w:t>
      </w:r>
      <w:r w:rsidRPr="0046795C">
        <w:tab/>
        <w:t>med beaktande av artikel 102 och bilaga V i arbetsordningen,</w:t>
      </w:r>
    </w:p>
    <w:p w14:paraId="69008E4C" w14:textId="77777777" w:rsidR="00AA68A9" w:rsidRPr="0046795C" w:rsidRDefault="00AA68A9" w:rsidP="00AA68A9">
      <w:pPr>
        <w:pStyle w:val="NormalHanging12a"/>
        <w:rPr>
          <w:szCs w:val="24"/>
        </w:rPr>
      </w:pPr>
      <w:r w:rsidRPr="0046795C">
        <w:t>–</w:t>
      </w:r>
      <w:r w:rsidRPr="0046795C">
        <w:tab/>
        <w:t>med beaktande av yttrandet från utskottet för utrikesfrågor,</w:t>
      </w:r>
    </w:p>
    <w:p w14:paraId="555FD9AB" w14:textId="77777777" w:rsidR="00AA68A9" w:rsidRPr="0046795C" w:rsidRDefault="00AA68A9" w:rsidP="00AA68A9">
      <w:pPr>
        <w:pStyle w:val="NormalHanging12a"/>
      </w:pPr>
      <w:r w:rsidRPr="0046795C">
        <w:t>–</w:t>
      </w:r>
      <w:r w:rsidRPr="0046795C">
        <w:tab/>
        <w:t>med beaktande av betänkandet från budgetkontrollutskottet (A10-0053/2026), och av följande skäl:</w:t>
      </w:r>
    </w:p>
    <w:p w14:paraId="592E49B7" w14:textId="77777777" w:rsidR="00AA68A9" w:rsidRPr="0046795C" w:rsidRDefault="00AA68A9" w:rsidP="00AA68A9">
      <w:pPr>
        <w:pStyle w:val="NormalHanging12a"/>
      </w:pPr>
      <w:r w:rsidRPr="0046795C">
        <w:t>A.</w:t>
      </w:r>
      <w:r w:rsidRPr="0046795C">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prestationsbaserad budgetering och säkra en god förvaltning av personalresurserna.</w:t>
      </w:r>
    </w:p>
    <w:p w14:paraId="5FCECE17" w14:textId="77777777" w:rsidR="00AA68A9" w:rsidRPr="0046795C" w:rsidRDefault="00AA68A9" w:rsidP="00AA68A9">
      <w:pPr>
        <w:pStyle w:val="NormalHanging12a"/>
      </w:pPr>
      <w:r w:rsidRPr="0046795C">
        <w:t>B.</w:t>
      </w:r>
      <w:r w:rsidRPr="0046795C">
        <w:tab/>
        <w:t>Europeiska utrikestjänsten (utrikestjänsten) ansvarar för förvaltningen av de administrativa utgifterna för sitt huvudkontor i Bryssel och för nätverket av unionens 145 delegationer och kontor.</w:t>
      </w:r>
    </w:p>
    <w:p w14:paraId="1BC535AE" w14:textId="77777777" w:rsidR="00AA68A9" w:rsidRPr="0046795C" w:rsidRDefault="00AA68A9" w:rsidP="00AA68A9">
      <w:pPr>
        <w:pStyle w:val="NormalHanging12a"/>
      </w:pPr>
      <w:r w:rsidRPr="0046795C">
        <w:t>C.</w:t>
      </w:r>
      <w:r w:rsidRPr="0046795C">
        <w:tab/>
        <w:t>Utrikestjänstens ansvar har utökats till att omfatta den administrativa förvaltningen av kommissionens personal vid unionens delegationer genom en rad servicenivåavtal.</w:t>
      </w:r>
    </w:p>
    <w:p w14:paraId="77A90835" w14:textId="77777777" w:rsidR="00AA68A9" w:rsidRPr="0046795C" w:rsidRDefault="00AA68A9" w:rsidP="00AA68A9">
      <w:pPr>
        <w:pStyle w:val="NormalHanging12a"/>
      </w:pPr>
      <w:r w:rsidRPr="0046795C">
        <w:t>D.</w:t>
      </w:r>
      <w:r w:rsidRPr="0046795C">
        <w:tab/>
        <w:t>De befogenheter som genom tjänsteföreskrifterna tilldelas tillsättningsmyndigheten utövas av vice ordföranden för kommissionen/unionens höga representant för utrikes frågor och säkerhetspolitik (vice ordföranden/den höga representanten) med avseende på utrikestjänstens personal.</w:t>
      </w:r>
    </w:p>
    <w:p w14:paraId="2AACDBB5" w14:textId="77777777" w:rsidR="00AA68A9" w:rsidRPr="0046795C" w:rsidRDefault="00AA68A9" w:rsidP="00AA68A9">
      <w:pPr>
        <w:pStyle w:val="NormalHanging12a"/>
      </w:pPr>
      <w:r w:rsidRPr="0046795C">
        <w:t>E.</w:t>
      </w:r>
      <w:r w:rsidRPr="0046795C">
        <w:tab/>
        <w:t>Genomförandet av budgeten styrs av budgetförordningen och de interna reglerna för genomförandet av Europeiska utrikestjänstens budget (</w:t>
      </w:r>
      <w:r w:rsidRPr="0046795C">
        <w:rPr>
          <w:i/>
        </w:rPr>
        <w:t>de interna reglerna</w:t>
      </w:r>
      <w:r w:rsidRPr="0046795C">
        <w:t>).</w:t>
      </w:r>
    </w:p>
    <w:p w14:paraId="44756B5F" w14:textId="178EB1CE" w:rsidR="00AA68A9" w:rsidRPr="0046795C" w:rsidRDefault="00AA68A9" w:rsidP="00AA68A9">
      <w:pPr>
        <w:pStyle w:val="NormalHanging12a"/>
      </w:pPr>
      <w:r w:rsidRPr="0046795C">
        <w:t>F</w:t>
      </w:r>
      <w:r w:rsidR="000A770B">
        <w:t>.</w:t>
      </w:r>
      <w:r w:rsidRPr="0046795C">
        <w:tab/>
        <w:t>Enligt de interna reglerna agerar utrikestjänstens generalsekreterare som delegerad utanordnare för utrikestjänsten, och generaldirektören för resurshantering har rollen som huvudsaklig vidaredelegerad utanordnare.</w:t>
      </w:r>
    </w:p>
    <w:p w14:paraId="67A4F353" w14:textId="77777777" w:rsidR="00AA68A9" w:rsidRPr="0046795C" w:rsidRDefault="00AA68A9" w:rsidP="00AA68A9">
      <w:pPr>
        <w:pStyle w:val="NormalHanging12a"/>
      </w:pPr>
      <w:r w:rsidRPr="0046795C">
        <w:t>G.</w:t>
      </w:r>
      <w:r w:rsidRPr="0046795C">
        <w:tab/>
        <w:t>Unionens delegationers roll är att företräda unionen och dess medborgare runt om i världen genom nätverk och partnerskap samt att främja unionens värden.</w:t>
      </w:r>
    </w:p>
    <w:p w14:paraId="3E17B2DC" w14:textId="77777777" w:rsidR="00AA68A9" w:rsidRPr="0046795C" w:rsidRDefault="00AA68A9" w:rsidP="00AA68A9">
      <w:pPr>
        <w:pStyle w:val="NormalHanging12a"/>
        <w:widowControl/>
      </w:pPr>
      <w:r w:rsidRPr="0046795C">
        <w:t>H.</w:t>
      </w:r>
      <w:r w:rsidRPr="0046795C">
        <w:tab/>
        <w:t>Utrikestjänstens särart ligger fortfarande i dess natur och ursprung, på samma sätt som när den inrättades genom sammanslagningen av personal från de tidigare avdelningarna för yttre förbindelser vid rådet och kommissionen, i vilken diplomater från medlemsstaterna har integrerats.</w:t>
      </w:r>
    </w:p>
    <w:p w14:paraId="2E35777E" w14:textId="77777777" w:rsidR="00AA68A9" w:rsidRPr="0046795C" w:rsidRDefault="00AA68A9" w:rsidP="00AA68A9">
      <w:pPr>
        <w:pStyle w:val="NormalHanging12a"/>
        <w:rPr>
          <w:bCs/>
          <w:iCs/>
        </w:rPr>
      </w:pPr>
      <w:r w:rsidRPr="0046795C">
        <w:t>I.</w:t>
      </w:r>
      <w:r w:rsidRPr="0046795C">
        <w:tab/>
        <w:t xml:space="preserve">Effektiviteten och kostnadseffektiviteten i unionens yttre åtgärder är beroende av en nära samordning med medlemsstaternas diplomatiska organ och nätverk, i synnerhet i </w:t>
      </w:r>
      <w:r w:rsidRPr="0046795C">
        <w:lastRenderedPageBreak/>
        <w:t>tredjeländer där både utrikestjänsten och medlemsstaterna har en permanent närvaro, för att undvika dubbla strukturer och utgifter.</w:t>
      </w:r>
    </w:p>
    <w:p w14:paraId="5435E0E2" w14:textId="77777777" w:rsidR="00AA68A9" w:rsidRPr="0046795C" w:rsidRDefault="00AA68A9" w:rsidP="00AA68A9">
      <w:pPr>
        <w:pStyle w:val="NormalHanging12a"/>
      </w:pPr>
      <w:r w:rsidRPr="0046795C">
        <w:t>1.</w:t>
      </w:r>
      <w:r w:rsidRPr="0046795C">
        <w:tab/>
        <w:t>Europaparlamentet noterar att utrikestjänstens budget sorterar under rubrik 7 i den fleråriga budgetramen, ”Europeisk offentlig förvaltning”, som uppgick till 13,3 miljarder EUR 2024 (vilket motsvarar 6,9 % av unionens totala budget). Parlamentet noterar att den budget på cirka 1,239 miljarder EUR som utrikestjänsten förvaltar motsvarar cirka 9,54 % av unionens totala administrativa utgifter under 2024.</w:t>
      </w:r>
    </w:p>
    <w:p w14:paraId="32011C36" w14:textId="77777777" w:rsidR="00AA68A9" w:rsidRPr="0046795C" w:rsidRDefault="00AA68A9" w:rsidP="00AA68A9">
      <w:pPr>
        <w:pStyle w:val="NormalHanging12a"/>
      </w:pPr>
      <w:r w:rsidRPr="0046795C">
        <w:t>2.</w:t>
      </w:r>
      <w:r w:rsidRPr="0046795C">
        <w:tab/>
        <w:t>Europaparlamentet noterar att revisionsrätten i sin årsrapport för budgetåret 2024 (</w:t>
      </w:r>
      <w:r w:rsidRPr="0046795C">
        <w:rPr>
          <w:i/>
          <w:iCs/>
        </w:rPr>
        <w:t>revisionsrättens rapport</w:t>
      </w:r>
      <w:r w:rsidRPr="0046795C">
        <w:t>) granskade ett urval på 70 transaktioner under administration, ungefär samma antal som 2023. Parlamentet noterar vidare att de administrativa utgifterna omfattar personalkostnader, inklusive pensioner, som 2024 stod för omkring 69 % av de totala administrativa utgifterna, och kostnader för byggnader, utrustning, energi, kommunikation och it, och att revisionsrättens arbete under många år har visat att dessa kostnader totalt sett är förknippade med låg risk.</w:t>
      </w:r>
    </w:p>
    <w:p w14:paraId="6FA422D9" w14:textId="77777777" w:rsidR="00AA68A9" w:rsidRPr="0046795C" w:rsidRDefault="00AA68A9" w:rsidP="00AA68A9">
      <w:pPr>
        <w:pStyle w:val="NormalHanging12a"/>
      </w:pPr>
      <w:r w:rsidRPr="0046795C">
        <w:t>3.</w:t>
      </w:r>
      <w:r w:rsidRPr="0046795C">
        <w:tab/>
        <w:t>Europaparlamentet noterar att 16 (23 %) av de 70 transaktionerna innehöll fel, men att revisionsrätten, på grundval av de tre fel som kvantifierats, uppskattar att felnivån ligger under väsentlighetströskeln.</w:t>
      </w:r>
    </w:p>
    <w:p w14:paraId="06D9D9DE" w14:textId="77777777" w:rsidR="00AA68A9" w:rsidRPr="0046795C" w:rsidRDefault="00AA68A9" w:rsidP="00AA68A9">
      <w:pPr>
        <w:pStyle w:val="NormalHanging12a"/>
      </w:pPr>
      <w:r w:rsidRPr="0046795C">
        <w:t>4.</w:t>
      </w:r>
      <w:r w:rsidRPr="0046795C">
        <w:tab/>
        <w:t>Europaparlamentet noterar i revisionsrättens rapport att revisionsrätten granskade 15 utbetalningar som gjorts av utrikestjänsten, bland vilka den fann två kvantifierbara fel. Det ena felet gällde en betydande kontraktsändring utan giltigt upphandlingsförfarande och utan åtgärder för offentliggörande i efterhand, medan det andra felet gällde en utbetalning med anknytning till användningen av en felaktig växelkurs vid bokföring av en hyresbetalning. Parlamentet välkomnar de åtgärder som utrikestjänsten har vidtagit för att ta itu med dessa frågor.</w:t>
      </w:r>
    </w:p>
    <w:p w14:paraId="6E87D703" w14:textId="77777777" w:rsidR="00AA68A9" w:rsidRPr="0046795C" w:rsidRDefault="00AA68A9" w:rsidP="00AA68A9">
      <w:pPr>
        <w:pStyle w:val="NormalHanging12a"/>
        <w:rPr>
          <w:b/>
          <w:bCs/>
          <w:i/>
          <w:iCs/>
        </w:rPr>
      </w:pPr>
      <w:r w:rsidRPr="0046795C">
        <w:rPr>
          <w:b/>
          <w:i/>
        </w:rPr>
        <w:t>Budgetförvaltningen och den ekonomiska förvaltningen</w:t>
      </w:r>
    </w:p>
    <w:p w14:paraId="6C508539" w14:textId="77777777" w:rsidR="00AA68A9" w:rsidRPr="0046795C" w:rsidRDefault="00AA68A9" w:rsidP="00AA68A9">
      <w:pPr>
        <w:pStyle w:val="NormalHanging12a"/>
      </w:pPr>
      <w:r w:rsidRPr="0046795C">
        <w:t>5.</w:t>
      </w:r>
      <w:r w:rsidRPr="0046795C">
        <w:tab/>
        <w:t>Europaparlamentet noterar att utrikestjänstens slutliga budget för 2024 uppgick till 880 165 703 EUR, vilket var en ökning med 7,09 % jämfört med 2023. Parlamentet noterar att utrikestjänsten också erhållit ett belopp på 359,1 miljoner EUR (vilket inkluderar inkomster avsatta för särskilda ändamål och överförda belopp) från kommissionen för att täcka de administrativa kostnaderna för kommissionens personal vid unionens delegationer. Parlamentet noterar vidare att utrikestjänsten mottog ytterligare bidrag till ett fast belopp för att täcka de gemensamma kostnaderna för Europeiska utvecklingsfondens personal vid unionens delegationer och samlokaliseringar, samt andra belopp som mottagits inom ramen för samlokalisering och andra avtal. Parlamentet noterar att det totala budgetbelopp som utrikestjänsten förvaltade 2024 därför uppgick till 1 239,3 miljoner EUR (åtagandebemyndiganden), vilket innebär en ökning med 4,43 % jämfört med det föregående året.</w:t>
      </w:r>
    </w:p>
    <w:p w14:paraId="6813D4B7" w14:textId="77777777" w:rsidR="00AA68A9" w:rsidRPr="0046795C" w:rsidRDefault="00AA68A9" w:rsidP="00AA68A9">
      <w:pPr>
        <w:pStyle w:val="NormalHanging12a"/>
      </w:pPr>
      <w:r w:rsidRPr="0046795C">
        <w:t>6.</w:t>
      </w:r>
      <w:r w:rsidRPr="0046795C">
        <w:tab/>
        <w:t xml:space="preserve">Europaparlamentet noterar att budgetgenomförandet av innevarande års åtagandebemyndiganden (efter överföringar) uppgick till 100 %, medan genomförandegraden för betalningar var 88,4 %, jämfört med 91,9 % 2023. Parlamentet noterar att den genomsnittliga betalningstiden var 13,43 dagar, men att 10,69 % av det totala antalet betalningar som gjordes 2024 (motsvarande totalt 57 357 324 EUR) utgjorde sena betalningar, vilket ledde till en dröjsmålsränta på 37 862,61 EUR 2024. Parlamentet uppmanar utrikestjänsten att fortsätta sina insatser för att öka antalet </w:t>
      </w:r>
      <w:r w:rsidRPr="0046795C">
        <w:lastRenderedPageBreak/>
        <w:t>elektroniska betalningar och digitaliseringen av arbetsflödena, i synnerhet med avseende på elektroniska fakturor vid unionens delegationer.</w:t>
      </w:r>
    </w:p>
    <w:p w14:paraId="5BD457CE" w14:textId="77777777" w:rsidR="00AA68A9" w:rsidRPr="0046795C" w:rsidRDefault="00AA68A9" w:rsidP="00AA68A9">
      <w:pPr>
        <w:pStyle w:val="NormalHanging12a"/>
      </w:pPr>
      <w:r w:rsidRPr="0046795C">
        <w:t>7.</w:t>
      </w:r>
      <w:r w:rsidRPr="0046795C">
        <w:tab/>
        <w:t>Europaparlamentet noterar att utrikestjänsten informerade budgetmyndigheten om två budgetöverföringar i enlighet med artikel 29.1 i budgetförordningen och gjorde 10 autonoma överföringar i enlighet med artikel 29.4, till ett totalt värde av 53,6 miljoner EUR. Parlamentet noterar att huvudsyftet med överföringarna var att öka budgetpost 3 0 0 3 för fastigheter och därtill hörande kostnader vid unionens delegationer med 33,78 miljoner EUR, budgetpost 2 0 0 2 för inrednings- och säkerhetsarbeten med 1,7 miljoner EUR och budgetpost 1 2 0 5 för militära utstationerade nationella experter med 1,37 miljoner EUR. Parlamentet noterar att den slutliga budgeten för utrikestjänstens huvudkontor, i och med överföringarna, uppgick till 349,2 miljoner EUR och den slutliga budgeten för unionens delegationer till 530,9 miljoner EUR.</w:t>
      </w:r>
    </w:p>
    <w:p w14:paraId="7C39662E" w14:textId="77777777" w:rsidR="00AA68A9" w:rsidRPr="0046795C" w:rsidRDefault="00AA68A9" w:rsidP="00AA68A9">
      <w:pPr>
        <w:pStyle w:val="NormalHanging12a"/>
      </w:pPr>
      <w:r w:rsidRPr="0046795C">
        <w:t>8.</w:t>
      </w:r>
      <w:r w:rsidRPr="0046795C">
        <w:tab/>
        <w:t>Europaparlamentet noterar att utrikestjänsten stod inför flera utmaningar när det gäller genomförandet av budgeten för 2024 på grund av en kraftig inverkan av Rysslands olagliga anfallskrig mot Ukraina, inflationstryck, ogynnsamma växelkurser och taket på 2 % för icke lönerelaterade utgifter, vilket ledde till ett underskott på 33 miljoner EUR för unionens delegationer, vilket i betydande utsträckning begränsade deras operativa kapacitet. Parlamentet noterar med tillfredsställelse att utrikestjänsten tog itu med dessa utmaningar genom en blandning av strategiska besparingar och omfördelningar/budgetöverföringar. Parlamentet noterar att minskningarna främst påverkade budgetarna för tjänsteresor och representation, infrastruktur och säkerhet. Parlamentet är bekymrat över att budgetbegränsningarna kan påverka utrikestjänstens aktsamhetsplikt gentemot sin personal, särskilt när det gäller underhållet av infrastrukturen och säkerhetsstandarderna vid delegationerna. Parlamentet välkomnar paketet med korrigerande åtgärder, men upprepar sitt krav på en budget som är förenlig med utrikestjänstens behov och mål. Parlamentet uppmanar utrikestjänsten att fastställa årliga mål för att minska de sena betalningarna och kostnaderna på grund av dröjsmålsräntor och att standardisera arbetsflödena för genomgående e-fakturering och e-upphandling i delegationerna. Parlamentet erkänner behovet av att alla EU-institutioner förbättrar sin budgetförvaltning genom att även ta hänsyn till prisvolatilitet, särskilt inom energisektorn, när de ingår avtal med tjänsteleverantörer.</w:t>
      </w:r>
    </w:p>
    <w:p w14:paraId="4111E594" w14:textId="77777777" w:rsidR="00AA68A9" w:rsidRPr="0046795C" w:rsidRDefault="00AA68A9" w:rsidP="00AA68A9">
      <w:pPr>
        <w:spacing w:after="240"/>
        <w:ind w:left="567" w:hanging="567"/>
      </w:pPr>
      <w:r w:rsidRPr="0046795C">
        <w:t>9.</w:t>
      </w:r>
      <w:r w:rsidRPr="0046795C">
        <w:tab/>
      </w:r>
      <w:bookmarkStart w:id="8" w:name="_Hlk221454822"/>
      <w:r w:rsidRPr="0046795C">
        <w:t>Europaparlamentet konstaterar utifrån utfrågningen av vice ordföranden/den höga representanten vid sammanträdet i parlamentets budgetkontrollutskott (CONT) den 17 november 2025 (</w:t>
      </w:r>
      <w:r w:rsidRPr="0046795C">
        <w:rPr>
          <w:i/>
          <w:iCs/>
        </w:rPr>
        <w:t>utfrågningen</w:t>
      </w:r>
      <w:r w:rsidRPr="0046795C">
        <w:t xml:space="preserve">) att utrikestjänsten har ställts inför betydande budgetbegränsningar under de senaste åren, samtidigt som institutionen har fått ett alltmer omfattande uppdrag och ådragit sig ökade kostnader och behov för nätverket bestående av 145 delegationer. Parlamentet beklagar att underfinansieringen av utrikestjänsten inte åtgärdas strukturellt. Parlamentet ställer sig bakom utrikestjänstens uppfattning att det råder en obalans mellan uppgifter och resurser, vilket innebär en betydande utmaning för utrikestjänstens förmåga att fullt ut uppnå sina mål och effektivt stödja unionens utrikes- och säkerhetspolitiska agenda, </w:t>
      </w:r>
      <w:bookmarkEnd w:id="8"/>
      <w:r w:rsidRPr="0046795C">
        <w:t xml:space="preserve">så att resultaten av unionens utrikespolitik, i en tid av snabba geopolitiska förändringar, och unionens trovärdighet som global aktör undergrävs. Parlamentet uppmanar utrikestjänsten att prioritera åtgärder som ger ett tydligt mervärde för unionen och dess medborgare, samtidigt som man undviker verksamhet och projekt som riskerar att undergräva effektiviteten och personalens välbefinnande. Parlamentet uppmanar utrikestjänsten att åtgärda personalbristen vid unionens delegationer, särskilt på stationeringsorter med </w:t>
      </w:r>
      <w:r w:rsidRPr="0046795C">
        <w:lastRenderedPageBreak/>
        <w:t>komplexa säkerhetsmässiga och geopolitiska utmaningar, och att stärka transparensen och ansvarsskyldigheten i rekryteringsprocesserna.</w:t>
      </w:r>
    </w:p>
    <w:p w14:paraId="66A123C6" w14:textId="77777777" w:rsidR="00AA68A9" w:rsidRPr="0046795C" w:rsidRDefault="00AA68A9" w:rsidP="00AA68A9">
      <w:pPr>
        <w:pStyle w:val="NormalHanging12a"/>
        <w:rPr>
          <w:bCs/>
          <w:iCs/>
        </w:rPr>
      </w:pPr>
      <w:r w:rsidRPr="0046795C">
        <w:t>10.</w:t>
      </w:r>
      <w:r w:rsidRPr="0046795C">
        <w:tab/>
        <w:t>Europaparlamentet uppmanar revisionsrätten att genomföra en omfattande effektivitetsrevision av utrikestjänsten för att utvärdera effektiviteten i dess verksamhet jämfört med OECD-ländernas diplomattjänster. Parlamentet begär att man vid denna revision identifierar områden där utrikestjänsten tillför ett unikt och oersättligt mervärde och områden där dess verksamhet överlappar medlemsstaternas verksamhet. Parlamentet uppmanar samtidigt utrikestjänsten att genomföra en kostnads-nyttoanalys av sitt globala nätverk och att prioritera resurser till delegationer i länder som tydligt bidrar till unionens omedelbara intressen, såsom ekonomiskt välstånd, energitrygghet, gränsskydd och förebyggande av irreguljära migrationsströmmar. Parlamentet insisterar på att det inrättas tydliga, mätbara resultatindikatorer för att visa att unionsmedborgarna får ”valuta för pengarna”, och begär att utrikestjänsten avbryter all verksamhet och alla uppdrag som vid dessa bedömningar anses som ineffektiva eller överflödiga.</w:t>
      </w:r>
    </w:p>
    <w:p w14:paraId="4EE647EF" w14:textId="77777777" w:rsidR="00AA68A9" w:rsidRPr="0046795C" w:rsidRDefault="00AA68A9" w:rsidP="00AA68A9">
      <w:pPr>
        <w:pStyle w:val="NormalHanging12a"/>
      </w:pPr>
      <w:r w:rsidRPr="0046795C">
        <w:t>11.</w:t>
      </w:r>
      <w:r w:rsidRPr="0046795C">
        <w:tab/>
        <w:t xml:space="preserve">Europaparlamentet noterar vidare att investeringar i fastigheter och </w:t>
      </w:r>
      <w:proofErr w:type="spellStart"/>
      <w:r w:rsidRPr="0046795C">
        <w:t>it-projekt</w:t>
      </w:r>
      <w:proofErr w:type="spellEnd"/>
      <w:r w:rsidRPr="0046795C">
        <w:t xml:space="preserve"> sköts upp och att antalet praktikanter minskade under 2024. Parlamentet noterar utrikestjänstens uppfattning att dessa begränsningar i slutändan skulle kunna påverka unionens globala närvaro. Parlamentet varnar för att fortsatta uppskjutna investeringar och personalnedskärningar riskerar att undergräva utrikestjänstens aktsamhetsplikt, särskilt när det gäller personalsäkerhet, psykisk hälsa och säkerhet vid högriskstationeringar. Parlamentet uppmanar utrikestjänsten att lägga fram en plan med investeringar för kritisk infrastruktur för it, cybersäkerhet och aktsamhetsplikten, inbegripet en kostnads-nyttoanalys och förväntade operativa effekter, för att undvika upprepade </w:t>
      </w:r>
      <w:proofErr w:type="spellStart"/>
      <w:r w:rsidRPr="0046795C">
        <w:t>uppskjutanden</w:t>
      </w:r>
      <w:proofErr w:type="spellEnd"/>
      <w:r w:rsidRPr="0046795C">
        <w:t xml:space="preserve"> som undergräver effektiviteten och personalsäkerheten.</w:t>
      </w:r>
    </w:p>
    <w:p w14:paraId="73626FF7" w14:textId="77777777" w:rsidR="00AA68A9" w:rsidRPr="0046795C" w:rsidRDefault="00AA68A9" w:rsidP="00AA68A9">
      <w:pPr>
        <w:pStyle w:val="NormalHanging12a"/>
        <w:rPr>
          <w:b/>
          <w:i/>
        </w:rPr>
      </w:pPr>
      <w:r w:rsidRPr="0046795C">
        <w:t>12.</w:t>
      </w:r>
      <w:r w:rsidRPr="0046795C">
        <w:tab/>
        <w:t>Europaparlamentet noterar att det finansiella taket för den europeiska fredsfaciliteten, förvaltad under ledning av vice ordföranden/den höga representanten, höjdes från 12 miljarder EUR 2023 till 17 miljarder EUR 2024. De ytterligare 5 miljarderna EUR är avsatta för militärt stöd till Ukraina. Parlamentet betonar att den betydande ökningen inom den europeiska fredsfaciliteten kräver ökad transparens och parlamentarisk tillsyn. Parlamentet efterlyser regelbunden, strukturerad rapportering till den ansvarsfrihetsbeviljande myndigheten om riskhantering, övervakningsarrangemang och efterlevnad av unionens värden och internationell humanitär rätt. Parlamentet uppmanar utrikestjänsten att samarbeta med kommissionens generaldirektorat för utvidgning och det östra grannskapet (GD Utvidgning och det östra grannskapet) för att säkerställa effektiv tillsyn och övervakning av de projekt som finansieras av den europeiska fredsfaciliteten. Parlamentet erkänner, i en tid av geopolitisk konkurrens, den europeiska fredsfaciliteten som ett nödvändigt verktyg för att bygga upp stabilitet och ett enhetligt europeiskt försvarssamarbete.</w:t>
      </w:r>
    </w:p>
    <w:p w14:paraId="226E5643" w14:textId="77777777" w:rsidR="00AA68A9" w:rsidRPr="0046795C" w:rsidRDefault="00AA68A9" w:rsidP="00AA68A9">
      <w:pPr>
        <w:pStyle w:val="NormalHanging12a"/>
        <w:rPr>
          <w:b/>
          <w:i/>
        </w:rPr>
      </w:pPr>
      <w:r w:rsidRPr="0046795C">
        <w:t>13.</w:t>
      </w:r>
      <w:r w:rsidRPr="0046795C">
        <w:tab/>
        <w:t>Europaparlamentet konstaterar utifrån utrikestjänstens svar på CONT-utskottets frågeformulär för ansvarsfriheten för 2024 (</w:t>
      </w:r>
      <w:r w:rsidRPr="0046795C">
        <w:rPr>
          <w:i/>
          <w:iCs/>
        </w:rPr>
        <w:t>frågeformuläret</w:t>
      </w:r>
      <w:r w:rsidRPr="0046795C">
        <w:t xml:space="preserve">) att utrikestjänsten under 2024, vid sitt huvudkontor och vid unionens delegationer, inledde totalt 71 upphandlingsförfaranden för kontrakt av högt värde, dvs. över tröskelvärdet på 143 000 EUR för varor och tjänster i Europaparlamentets och rådets direktiv </w:t>
      </w:r>
      <w:r w:rsidRPr="0046795C">
        <w:lastRenderedPageBreak/>
        <w:t>2014/24/EU</w:t>
      </w:r>
      <w:r w:rsidRPr="0046795C">
        <w:rPr>
          <w:rStyle w:val="FootnoteReference"/>
        </w:rPr>
        <w:footnoteReference w:id="8"/>
      </w:r>
      <w:r w:rsidRPr="0046795C">
        <w:t>. Parlamentet noterar att 63 av dessa förfaranden var framgångsrika, med 63 undertecknade kontrakt, medan 8 förfaranden inte var framgångsrika. Parlamentet noterar att förvaltningen av upphandlingsförfaranden för unionens delegationer i tredjeländer – i och med ikraftträdandet av den nya budgetförordningen den 29 september 2024 – har förenklats genom införandet av en separat uppsättning tak för kontrakt av mycket lågt, lågt och medelhögt värde, vilket innebär att man åtgärdar ett långvarigt problem rörande lokala aktörers begränsade kapacitet att uppfylla de komplexa kraven i unionens upphandlingsregler. Parlamentet förväntar sig att dessa förenklingar bättre tillgodoser både värdländernas och unionens delegationers behov när det gäller upphandlingsförfaranden, utan att det påverkar upprätthållandet av högsta standard för transparens, konkurrens och skyddsåtgärder mot bedrägerier. Parlamentet uppmanar utrikestjänsten att bedöma och rapportera om dessa förändringars inverkan på felprocentsatser och integritetsrisker.</w:t>
      </w:r>
      <w:r w:rsidRPr="0046795C">
        <w:rPr>
          <w:b/>
          <w:i/>
        </w:rPr>
        <w:t xml:space="preserve"> </w:t>
      </w:r>
    </w:p>
    <w:p w14:paraId="7DF001CE" w14:textId="77777777" w:rsidR="00AA68A9" w:rsidRPr="0046795C" w:rsidRDefault="00AA68A9" w:rsidP="00AA68A9">
      <w:pPr>
        <w:pStyle w:val="NormalHanging12a"/>
      </w:pPr>
      <w:r w:rsidRPr="0046795C">
        <w:t>14.</w:t>
      </w:r>
      <w:r w:rsidRPr="0046795C">
        <w:tab/>
        <w:t>Europaparlamentet noterar att en särskild arbetsgrupp inrättades 2024 för att förbättra utrikestjänstens upphandlingsförfaranden både vid huvudkontoret och i delegationerna. Parlamentet är medvetet om att avdelningen för internrevision genomförde ett rådgivande uppdrag under 2024 i syfte att tillhandahålla en oberoende översyn av upphandlingsprocessen, vars resultat för närvarande diskuteras med de ansvariga avdelningarna. Parlamentet uppmanar utrikestjänsten att offentliggöra slutsatserna av denna översyn samt förteckningen över åtgärder som vidtagits för att möta de utmaningar som identifierats.</w:t>
      </w:r>
    </w:p>
    <w:p w14:paraId="7B824840" w14:textId="77777777" w:rsidR="00AA68A9" w:rsidRPr="0046795C" w:rsidRDefault="00AA68A9" w:rsidP="00AA68A9">
      <w:pPr>
        <w:pStyle w:val="NormalHanging12a"/>
      </w:pPr>
      <w:r w:rsidRPr="0046795C">
        <w:t>15.</w:t>
      </w:r>
      <w:r w:rsidRPr="0046795C">
        <w:tab/>
        <w:t>Europaparlamentet noterar att antalet samlokaliseringar med medlemsstater och andra unionspartner i unionens delegationer var 137 i slutet av 2024, vilket är en mindre än 2023. Av det totala antalet samlokaliseringar under 2023 ingicks 45 överenskommelser med medlemsstater och partnerländer och 92 med andra unionspartner, medan samlokaliseringar utgjorde 9 % av den totala kontorsytan i unionens delegationer och tillämpades vid mer än hälften av unionens delegationer (80), vilket kan ses som ett exempel på framgångsrik optimering av utrikestjänstens fastighetsförvaltning, men också som en indikator på partnernas ökade intresse för att dela lokaler i tredjeländer och betydelsen av samlokalisering i diplomatiska sammanhang.</w:t>
      </w:r>
    </w:p>
    <w:p w14:paraId="501AA860" w14:textId="77777777" w:rsidR="00AA68A9" w:rsidRPr="0046795C" w:rsidRDefault="00AA68A9" w:rsidP="00AA68A9">
      <w:pPr>
        <w:pStyle w:val="NormalHanging12a"/>
      </w:pPr>
      <w:r w:rsidRPr="0046795C">
        <w:t>16.</w:t>
      </w:r>
      <w:r w:rsidRPr="0046795C">
        <w:tab/>
        <w:t>Europaparlamentet konstaterar utifrån frågeformuläret att budgeten för tjänsteresor uppgick till 21 582 843 EUR 2024, vilket innebär en ökning med cirka 2,33 % jämfört med 21 091 935 EUR (uppdaterad siffra) 2023. Parlamentet noterar att utrikestjänsten inte har någon separat budgetpost för vice ordförandens/den höga representantens tjänsteresor och resor och att vice ordförandens/den höga representantens kostnader för tjänsteresor och resor delas mellan utrikestjänsten och kommissionen beroende på uppdragets syfte. Parlamentet konstaterar dock utifrån utrikestjänstens uppföljningsrapport till parlamentets iakttagelser i resolutionen om ansvarsfrihet för 2023 (</w:t>
      </w:r>
      <w:r w:rsidRPr="0046795C">
        <w:rPr>
          <w:i/>
          <w:iCs/>
        </w:rPr>
        <w:t>uppföljningsrapporten</w:t>
      </w:r>
      <w:r w:rsidRPr="0046795C">
        <w:t xml:space="preserve">) att utrikestjänstens interna förvaltningssystem skiljer mellan vice ordförandens/den höga representantens tjänsteresor och medföljande kollegors resor inom ramen för ett särskilt anslag till den ordinarie budgetposten för tjänsteresor. Parlamentet konstaterar vidare utifrån frågeformuläret att varken den avgående vice ordföranden/höga representanten eller den nyutnämnda vice ordföranden/höga representanten genomförde några tjänsteresor som finansierades av </w:t>
      </w:r>
      <w:r w:rsidRPr="0046795C">
        <w:lastRenderedPageBreak/>
        <w:t>utrikestjänsten under 2024. Parlamentet förstår av uppföljningsrapporten att vice ordförandens/den höga representantens konkurrerande åtaganden och en mycket snäv tidsplan, som ofta dikteras av den geopolitiska situationen, ibland gör det omöjligt för henne att flyga reguljärt eller använda andra transportmedel för att fullgöra sina yrkesmässiga skyldigheter. Parlamentet understryker samtidigt att ledarna för unionens institutioner bör föregå med gott exempel för allmänheten och medborgarna, särskilt när de använder unionens medel vid utförandet av sina uppgifter. Parlamentet betonar att flygalternativen bör väljas på grundval av sund ekonomisk förvaltning, förutsatt att sådana alternativ finns tillgängliga och är i linje med sammanträdenas dagordning och plats. Parlamentet betonar att transparens och sund ekonomisk förvaltning vid användning av unionens offentliga medel måste förbli en central princip för alla unionens institutioner.</w:t>
      </w:r>
    </w:p>
    <w:p w14:paraId="29BA3EB9" w14:textId="77777777" w:rsidR="00AA68A9" w:rsidRPr="0046795C" w:rsidRDefault="00AA68A9" w:rsidP="00AA68A9">
      <w:pPr>
        <w:pStyle w:val="NormalHanging12a"/>
      </w:pPr>
      <w:r w:rsidRPr="0046795C">
        <w:rPr>
          <w:b/>
          <w:i/>
        </w:rPr>
        <w:t>Intern förvaltning, verksamhetsresultat och intern kontroll</w:t>
      </w:r>
    </w:p>
    <w:p w14:paraId="6904FC7F" w14:textId="77777777" w:rsidR="00AA68A9" w:rsidRPr="0046795C" w:rsidRDefault="00AA68A9" w:rsidP="00AA68A9">
      <w:pPr>
        <w:pStyle w:val="NormalHanging12a"/>
      </w:pPr>
      <w:r w:rsidRPr="0046795C">
        <w:t>17.</w:t>
      </w:r>
      <w:r w:rsidRPr="0046795C">
        <w:tab/>
        <w:t xml:space="preserve">Europaparlamentet noterar att utrikestjänsten under 2024 fortsatt stod inför växande politiska och ekonomiska utmaningar samt utmaningar när det gäller mänskliga rättigheter och rättsstatsprincipen i en alltmer instabil geopolitisk miljö som kännetecknas av intensifierade hybridhot mot demokratiska system. Parlamentet noterar att Rysslands olagliga anfallskrig mot Ukraina och dess geopolitiska konsekvenser fortsatte att vara en central fråga under 2024. Parlamentet betonar i detta avseende vikten och behovet av att utrikestjänsten spelar en central och förstärkt nyckelroll i uppbyggnaden av unionens strategiska oberoende, resiliens och säkerhet, som bör värnas även genom den systematiska och beslutsamma kampen mot utländsk informationsmanipulering och inblandning samt desinformationskampanjer. Parlamentet noterar att utrikestjänsten under 2024 offentliggjorde sin andra rapport om hot om utländsk informationsmanipulering och inblandning, i vilken den redogjorde för 750 incidenter och avslöjade Operation </w:t>
      </w:r>
      <w:proofErr w:type="spellStart"/>
      <w:r w:rsidRPr="0046795C">
        <w:t>False</w:t>
      </w:r>
      <w:proofErr w:type="spellEnd"/>
      <w:r w:rsidRPr="0046795C">
        <w:t xml:space="preserve"> </w:t>
      </w:r>
      <w:proofErr w:type="spellStart"/>
      <w:r w:rsidRPr="0046795C">
        <w:t>Façade</w:t>
      </w:r>
      <w:proofErr w:type="spellEnd"/>
      <w:r w:rsidRPr="0046795C">
        <w:t xml:space="preserve"> (ett system för penningtvätt som drivs av Kremlvänliga enheter), vilket bidrog till offentlig </w:t>
      </w:r>
      <w:proofErr w:type="spellStart"/>
      <w:r w:rsidRPr="0046795C">
        <w:t>attribuering</w:t>
      </w:r>
      <w:proofErr w:type="spellEnd"/>
      <w:r w:rsidRPr="0046795C">
        <w:t xml:space="preserve"> av och strategisk medvetenhet om fientlig statsstödd inblandning, samt använde systemet för snabb varning som en central samordningsmekanism för utländsk informationsmanipulering och inblandning i samband med skyddet av integriteten i valet till Europaparlamentet. Parlamentet noterar offentliggörandet av en verktygslåda för att upptäcka identitetsbaserad utländsk informationsmanipulering och inblandning, anordnandet av den årliga högnivåkonferensen om utländsk informationsmanipulering och inblandning, utarbetandet av handboken om den gemensamma säkerhets- och försvarspolitiken (GSFP) för att stärka GSFP-uppdragens förmåga att upptäcka och reagera på attacker med utländsk informationsmanipulering och inblandning och bidraget till att stärka mediernas motståndskraft vid evenemanget </w:t>
      </w:r>
      <w:proofErr w:type="spellStart"/>
      <w:r w:rsidRPr="0046795C">
        <w:rPr>
          <w:i/>
          <w:iCs/>
        </w:rPr>
        <w:t>Connecting</w:t>
      </w:r>
      <w:proofErr w:type="spellEnd"/>
      <w:r w:rsidRPr="0046795C">
        <w:rPr>
          <w:i/>
          <w:iCs/>
        </w:rPr>
        <w:t xml:space="preserve"> Media </w:t>
      </w:r>
      <w:proofErr w:type="spellStart"/>
      <w:r w:rsidRPr="0046795C">
        <w:rPr>
          <w:i/>
          <w:iCs/>
        </w:rPr>
        <w:t>Communities</w:t>
      </w:r>
      <w:proofErr w:type="spellEnd"/>
      <w:r w:rsidRPr="0046795C">
        <w:t xml:space="preserve"> i Kosovo, där 130 journalister och faktagranskare deltog. Parlamentet lovordar helhjärtat utrikestjänsten för dess kampanj </w:t>
      </w:r>
      <w:proofErr w:type="spellStart"/>
      <w:r w:rsidRPr="0046795C">
        <w:t>EUvsDisinfo</w:t>
      </w:r>
      <w:proofErr w:type="spellEnd"/>
      <w:r w:rsidRPr="0046795C">
        <w:t xml:space="preserve">, som har analyserat och avslöjat Rysslands operationer inom ramen för utländsk informationsmanipulering och inblandning under 2024. Parlamentet noterar med oro att fallen av Kremlvänlig desinformation översteg 18 000 poster, vilket bekräftar det omfattande, ihållande och strategiska hot som i synnerhet Ryssland utgör, tillsammans med andra fientliga aktörer. Parlamentet noterar att vissa av unionens delegationer har en tjänsteman med ansvar för strategisk kommunikation som har till uppgift att analysera och ta itu med utländsk informationsmanipulering och inblandning, men att förmågor för underrättelseinsamling fortfarande är medlemsstaternas ansvar. Parlamentet betonar därför behovet av förstärkt samordning, strukturerat informationsutbyte och närmare samarbete med medlemsstaterna och betrodda partner. Parlamentet lovordar utrikestjänsten för att ha </w:t>
      </w:r>
      <w:r w:rsidRPr="0046795C">
        <w:lastRenderedPageBreak/>
        <w:t>inrättat informations- och analyscentralen avseende utländsk informationsmanipulering och inblandning i syfte att förbättra samarbetet och den gemensamma lägesuppfattningen. Parlamentet erkänner att dessa insatser, med stöd av en förstärkt budget för strategisk kommunikationskapacitet på 6,12 miljoner EUR 2024, säkerställde ett mer robust, samordnat och heltäckande unionsomfattande svar på hot om utländsk informationsmanipulering och inblandning. Parlamentet uppmuntrar till fortsatt utveckling och utvidgning av nätverket av ”försvarare mot utländsk informationsmanipulering och inblandning” genom kapacitetsuppbyggnadsinitiativ. Parlamentet understryker att varaktig och förutsägbar finansiering är avgörande för att säkerställa kontinuitet och effektivitet när det gäller att motverka hybridhot och utländsk informationsmanipulering och inblandning. Parlamentet anser därför att insatser bör göras för att effektivt bekämpa EU-fientliga desinformationskampanjer och budskap som sprids strategiskt av auktoritära och illiberala regimer som försöker undergräva unionens yttre åtgärder i tredjeländer.</w:t>
      </w:r>
    </w:p>
    <w:p w14:paraId="7F57844D" w14:textId="77777777" w:rsidR="00AA68A9" w:rsidRPr="0046795C" w:rsidRDefault="00AA68A9" w:rsidP="00AA68A9">
      <w:pPr>
        <w:pStyle w:val="NormalHanging12a"/>
      </w:pPr>
      <w:r w:rsidRPr="0046795C">
        <w:t>18.</w:t>
      </w:r>
      <w:r w:rsidRPr="0046795C">
        <w:tab/>
        <w:t>Europaparlamentet betonar behovet att modernisera nätverket av unionens delegationer, särskilt genom att stärka EU:s underrättelse- och lägescentral (EU </w:t>
      </w:r>
      <w:proofErr w:type="spellStart"/>
      <w:r w:rsidRPr="0046795C">
        <w:t>Intcen</w:t>
      </w:r>
      <w:proofErr w:type="spellEnd"/>
      <w:r w:rsidRPr="0046795C">
        <w:t xml:space="preserve">) och utrikestjänstens krishanteringscentrum. Parlamentet framhåller att en förbättring av den analytiska kapaciteten och krisberedskapen kräver tillräckliga personalresurser, uppdaterad </w:t>
      </w:r>
      <w:proofErr w:type="spellStart"/>
      <w:r w:rsidRPr="0046795C">
        <w:t>it-säkerhet</w:t>
      </w:r>
      <w:proofErr w:type="spellEnd"/>
      <w:r w:rsidRPr="0046795C">
        <w:t xml:space="preserve"> och tillräckliga administrativa resurser.</w:t>
      </w:r>
    </w:p>
    <w:p w14:paraId="5B7B7AF4" w14:textId="77777777" w:rsidR="00AA68A9" w:rsidRPr="0046795C" w:rsidRDefault="00AA68A9" w:rsidP="00AA68A9">
      <w:pPr>
        <w:pStyle w:val="NormalHanging12a"/>
      </w:pPr>
      <w:r w:rsidRPr="0046795C">
        <w:t>19.</w:t>
      </w:r>
      <w:r w:rsidRPr="0046795C">
        <w:tab/>
        <w:t>Europaparlamentet påminner om uppmaningarna i den strategiska kompassen och från parlamentet om att stärka unionens underrättelseförmåga och situationsmedvetenhet. Parlamentet understryker att unionens växande behov av analys och krishantering kräver en förstärkning av de resurser som tilldelas EU </w:t>
      </w:r>
      <w:proofErr w:type="spellStart"/>
      <w:r w:rsidRPr="0046795C">
        <w:t>Intcen</w:t>
      </w:r>
      <w:proofErr w:type="spellEnd"/>
      <w:r w:rsidRPr="0046795C">
        <w:t xml:space="preserve"> och utrikestjänstens krishanteringscentrum, för att säkerställa att dessa har tillräckliga förutsättningar för att fullgöra sina mandat i en alltmer komplex och krävande geopolitisk miljö. Parlamentet understryker den centrala roll som EU </w:t>
      </w:r>
      <w:proofErr w:type="spellStart"/>
      <w:r w:rsidRPr="0046795C">
        <w:t>Intcen</w:t>
      </w:r>
      <w:proofErr w:type="spellEnd"/>
      <w:r w:rsidRPr="0046795C">
        <w:t xml:space="preserve"> spelar när det gäller att tillhandahålla integrerade analytiska bedömningar från alla källor till stöd för beslutsfattandet inom </w:t>
      </w:r>
      <w:proofErr w:type="spellStart"/>
      <w:r w:rsidRPr="0046795C">
        <w:t>Gusp</w:t>
      </w:r>
      <w:proofErr w:type="spellEnd"/>
      <w:r w:rsidRPr="0046795C">
        <w:t xml:space="preserve"> och GSFP, och betonar potentialen hos nätverket av unionens delegationer, utan att det påverkar medlemsstaternas befogenheter, som en viktig bidragande faktor till situationsmedvetenhet genom integrering av relevant information som redan finns tillgänglig på fältet. Parlamentet anser att inrättandet av ett tydligare och mer synligt budgetanslag för EU </w:t>
      </w:r>
      <w:proofErr w:type="spellStart"/>
      <w:r w:rsidRPr="0046795C">
        <w:t>Intcen</w:t>
      </w:r>
      <w:proofErr w:type="spellEnd"/>
      <w:r w:rsidRPr="0046795C">
        <w:t xml:space="preserve"> skulle kunna underlätta ökad transparens, demokratisk kontroll och ansvarsskyldighet inom ansvarsfrihetsförfarandet.</w:t>
      </w:r>
    </w:p>
    <w:p w14:paraId="2B28BB95" w14:textId="77777777" w:rsidR="00AA68A9" w:rsidRPr="0046795C" w:rsidRDefault="00AA68A9" w:rsidP="00AA68A9">
      <w:pPr>
        <w:pStyle w:val="NormalHanging12a"/>
        <w:widowControl/>
        <w:rPr>
          <w:bCs/>
          <w:iCs/>
        </w:rPr>
      </w:pPr>
      <w:r w:rsidRPr="0046795C">
        <w:t>20.</w:t>
      </w:r>
      <w:r w:rsidRPr="0046795C">
        <w:tab/>
        <w:t xml:space="preserve">Europaparlamentet välkomnar inrättandet av den europeiska demokratiskölden och av ett centrum för demokratisk resiliens som viktiga steg för att stärka EU:s kapacitet att motverka utländsk informationsmanipulering och inblandning. Parlamentet välkomnar avsikten att utvidga den föreslagna europeiska demokratiskölden till anslutningsländerna och därigenom stärka deras förmåga att reagera på hot såsom utländsk informationsmanipulering och inblandning och desinformationskampanjer. Parlamentet uppmanar kommissionen och utrikestjänsten att fördjupa samarbetet med sårbara utvidgningsländer kring </w:t>
      </w:r>
      <w:proofErr w:type="spellStart"/>
      <w:r w:rsidRPr="0046795C">
        <w:t>informationsresiliens</w:t>
      </w:r>
      <w:proofErr w:type="spellEnd"/>
      <w:r w:rsidRPr="0046795C">
        <w:t>, cybersäkerhet och hybridhot. Parlamentet uppmanar utrikestjänsten och unionens delegationer i tredjeländer att ytterligare stärka sin respektive kapacitet att bekämpa och motverka desinformation och propaganda mot unionens gemensamma utrikes- och säkerhetspolitik, bland annat genom att investera i kommunikationskampanjer för att bekämpa utländskt inflytande.</w:t>
      </w:r>
    </w:p>
    <w:p w14:paraId="54B10DE8" w14:textId="77777777" w:rsidR="00AA68A9" w:rsidRPr="0046795C" w:rsidRDefault="00AA68A9" w:rsidP="00AA68A9">
      <w:pPr>
        <w:pStyle w:val="NormalHanging12a"/>
      </w:pPr>
      <w:r w:rsidRPr="0046795C">
        <w:t>21.</w:t>
      </w:r>
      <w:r w:rsidRPr="0046795C">
        <w:tab/>
        <w:t xml:space="preserve">Europaparlamentet understryker behovet av tillräckliga resurser för Europeiska utrikestjänstens avdelning för strategisk kommunikation och framsyn för att motverka </w:t>
      </w:r>
      <w:r w:rsidRPr="0046795C">
        <w:lastRenderedPageBreak/>
        <w:t xml:space="preserve">desinformation som härrör från auktoritära regimer, framför allt Kreml. Parlamentet påminner om att aktörer med koppling till Ryssland i Moldavien och Ukraina har </w:t>
      </w:r>
      <w:proofErr w:type="spellStart"/>
      <w:r w:rsidRPr="0046795C">
        <w:t>instrumentaliserat</w:t>
      </w:r>
      <w:proofErr w:type="spellEnd"/>
      <w:r w:rsidRPr="0046795C">
        <w:t xml:space="preserve"> religion, inbegripet den ortodoxa kyrkan under Moskvapatriarkatet, för att undergräva den demokratiska </w:t>
      </w:r>
      <w:proofErr w:type="spellStart"/>
      <w:r w:rsidRPr="0046795C">
        <w:t>resiliensen</w:t>
      </w:r>
      <w:proofErr w:type="spellEnd"/>
      <w:r w:rsidRPr="0046795C">
        <w:t>. Parlamentet betonar vikten av att stärka unionens trosbaserade diplomati inom ramen för dess yttre åtgärder och efterlyser en särskild budgetpost för utrikestjänsten för att stödja dialog, främja interreligiös tolerans och motverka geopolitiskt missbruk av religion.</w:t>
      </w:r>
    </w:p>
    <w:p w14:paraId="276F61C3" w14:textId="0802E8F3" w:rsidR="00AA68A9" w:rsidRPr="0046795C" w:rsidRDefault="00AA68A9" w:rsidP="00AA68A9">
      <w:pPr>
        <w:pStyle w:val="NormalHanging12a"/>
        <w:rPr>
          <w:bCs/>
          <w:iCs/>
        </w:rPr>
      </w:pPr>
      <w:r w:rsidRPr="0046795C">
        <w:t>22.</w:t>
      </w:r>
      <w:r w:rsidRPr="0046795C">
        <w:tab/>
        <w:t>Europaparlamentet påminner kommissionen om parlamentets uppmaning att på lämpligt sätt rusta utrikestjänstens personal så att den kan inleda en dialog om religionsfrihet och att göra detta till ett viktigt fokusområde i sina yttre åtgärder.</w:t>
      </w:r>
      <w:r w:rsidRPr="0046795C">
        <w:rPr>
          <w:rStyle w:val="FootnoteReference"/>
        </w:rPr>
        <w:footnoteReference w:id="9"/>
      </w:r>
      <w:r w:rsidRPr="0046795C">
        <w:t xml:space="preserve"> Parlamentet uppmanar utrikestjänsten att agera prompt på denna uppmaning och att uppgradera sina resurser till den nivå som krävs.</w:t>
      </w:r>
    </w:p>
    <w:p w14:paraId="77063F91" w14:textId="77777777" w:rsidR="00AA68A9" w:rsidRPr="0046795C" w:rsidRDefault="00AA68A9" w:rsidP="00AA68A9">
      <w:pPr>
        <w:pStyle w:val="NormalHanging12a"/>
        <w:rPr>
          <w:bCs/>
          <w:iCs/>
        </w:rPr>
      </w:pPr>
      <w:r w:rsidRPr="0046795C">
        <w:t>23.</w:t>
      </w:r>
      <w:r w:rsidRPr="0046795C">
        <w:tab/>
        <w:t>Europaparlamentet uppmanar vice ordföranden/den höga representanten att stärka unionens uppdrag och insatser inom GSFP med tillräcklig personal, resurser och flexibla mandat för att effektivt reagera på säkerhetsutmaningar.</w:t>
      </w:r>
    </w:p>
    <w:p w14:paraId="45C193B0" w14:textId="77777777" w:rsidR="00AA68A9" w:rsidRPr="0046795C" w:rsidRDefault="00AA68A9" w:rsidP="00AA68A9">
      <w:pPr>
        <w:pStyle w:val="NormalHanging12a"/>
        <w:rPr>
          <w:bCs/>
          <w:iCs/>
        </w:rPr>
      </w:pPr>
      <w:r w:rsidRPr="0046795C">
        <w:t>24.</w:t>
      </w:r>
      <w:r w:rsidRPr="0046795C">
        <w:tab/>
        <w:t>Europaparlamentet betonar vikten av att upprätthålla Europeiska unionens övervakningsuppdrag i Georgien för att övervaka situationen i de ockuperade territorierna och säkerställa tidig varning och rapportering.</w:t>
      </w:r>
    </w:p>
    <w:p w14:paraId="2E4BA413" w14:textId="3516779E" w:rsidR="00AA68A9" w:rsidRPr="0046795C" w:rsidRDefault="00AA68A9" w:rsidP="00AA68A9">
      <w:pPr>
        <w:pStyle w:val="NormalHanging12a"/>
        <w:rPr>
          <w:bCs/>
          <w:iCs/>
        </w:rPr>
      </w:pPr>
      <w:r w:rsidRPr="0046795C">
        <w:t>25.</w:t>
      </w:r>
      <w:r w:rsidRPr="0046795C">
        <w:tab/>
      </w:r>
      <w:r w:rsidR="00020C8C" w:rsidRPr="00020C8C">
        <w:t>Europaparlamentet uppmanar utrikestjänsten att begränsa de politiska kontakterna med de myndigheter som tillsatts av Georgisk dröm till frågor som är absolut nödvändiga och att samtidigt upprätthålla och stärka samarbetet med Georgiens civilsamhälle, oberoende medier och akademiska institutioner. Parlamentet betonar vikten av att fortsätta främja europeiska normer, demokratiska värden och den europeiska vägen bland den georgiska befolkningen och de politiska krafter som är fast beslutna att följa demokratiska principer.</w:t>
      </w:r>
    </w:p>
    <w:p w14:paraId="26E23E47" w14:textId="77777777" w:rsidR="00AA68A9" w:rsidRDefault="00AA68A9" w:rsidP="00AA68A9">
      <w:pPr>
        <w:pStyle w:val="NormalHanging12a"/>
      </w:pPr>
      <w:r w:rsidRPr="0046795C">
        <w:t>26.</w:t>
      </w:r>
      <w:r w:rsidRPr="0046795C">
        <w:tab/>
        <w:t>Europaparlamentet betonar att unionen under 2024, med starkt stöd från utrikestjänsten, fortsatte arbetet med sitt omfattande politiska, militära, finansiella, diplomatiska, humanitära och ekonomiska stöd till Ukraina som svar på Rysslands anfallskrig. Parlamentet understryker att en viktig milstolpe var undertecknandet av EU:s och Ukrainas gemensamma säkerhetsåtaganden i juni 2024, där en anslutning till unionen identifierades som den slutliga säkerhetsgarantin för att stärka Ukrainas motståndskraft, avskräckande förmåga och långsiktiga stabilitet. Parlamentet noterar att utrikestjänsten hade ett nära samarbete med medlemsstaterna, G7, Nato och internationella partner för att upprätthålla enighet, verkställa restriktiva åtgärder mot Ryssland, förhindra kringgående av sanktioner och stödja initiativ för ansvarsskyldighet, samtidigt som man genomförde omfattande globala utåtriktade insatser till stöd för en rättvis och varaktig fred i linje med FN-stadgan och internationell rätt, inbegripet uppföljning av fredstoppmötet i Schweiz, stöd till Ukrainas fredsformel, deltagande i Krimplattformen, stöd till inrättandet av en särskild tribunal för aggressionsbrottet samt unionens anslutning i juni 2024 till den internationella koalitionen för återförande av ukrainska barn.</w:t>
      </w:r>
    </w:p>
    <w:p w14:paraId="718D8D56" w14:textId="06C650F9" w:rsidR="00020C8C" w:rsidRPr="0046795C" w:rsidRDefault="00020C8C" w:rsidP="00AA68A9">
      <w:pPr>
        <w:pStyle w:val="NormalHanging12a"/>
      </w:pPr>
      <w:r w:rsidRPr="00020C8C">
        <w:t>2</w:t>
      </w:r>
      <w:r w:rsidR="00EB499D">
        <w:t>7</w:t>
      </w:r>
      <w:r w:rsidRPr="00020C8C">
        <w:t>.</w:t>
      </w:r>
      <w:r w:rsidRPr="00020C8C">
        <w:tab/>
        <w:t xml:space="preserve">Europaparlamentet bekräftar att unionens fortsatta politiska, militära, finansiella och humanitära stöd till Ukraina fortfarande utgör en strategisk prioritering och en moralisk </w:t>
      </w:r>
      <w:r w:rsidRPr="00020C8C">
        <w:lastRenderedPageBreak/>
        <w:t xml:space="preserve">skyldighet mot bakgrund av Rysslands olagliga anfallskrig. Parlamentet understryker dock att den aldrig tidigare skådade omfattningen av unionens stöd till Ukraina på samma sätt måste åtföljas av aldrig tidigare skådade kontroller, åtgärder för spårbarhet och skyddsåtgärder mot bedrägerier för att upprätthålla det långsiktiga politiska och offentliga stödet från unionens skattebetalare. Parlamentet uppmanar utrikestjänsten att i nära samarbete med Olaf, </w:t>
      </w:r>
      <w:proofErr w:type="spellStart"/>
      <w:r w:rsidRPr="00020C8C">
        <w:t>Eppo</w:t>
      </w:r>
      <w:proofErr w:type="spellEnd"/>
      <w:r w:rsidRPr="00020C8C">
        <w:t xml:space="preserve"> och revisionsrätten säkerställa fullständig tillgång i realtid till information om användningen av alla unionsmedel som betalats ut till stöd för Ukraina, och att årligen rapportera till den ansvarsfrihetsbeviljande myndigheten om upptäckta oriktigheter, återkrav och korrigerande åtgärder.</w:t>
      </w:r>
    </w:p>
    <w:p w14:paraId="507BE74F" w14:textId="6FD81BDB" w:rsidR="00AA68A9" w:rsidRPr="0046795C" w:rsidRDefault="00AA68A9" w:rsidP="00AA68A9">
      <w:pPr>
        <w:spacing w:after="240"/>
        <w:ind w:left="567" w:hanging="567"/>
      </w:pPr>
      <w:r w:rsidRPr="0046795C">
        <w:t>2</w:t>
      </w:r>
      <w:r w:rsidR="00EB499D">
        <w:t>8</w:t>
      </w:r>
      <w:r w:rsidRPr="0046795C">
        <w:t>.</w:t>
      </w:r>
      <w:r w:rsidRPr="0046795C">
        <w:tab/>
        <w:t>Europaparlamentet påminner om att vårt stöd till mänskliga rättigheter, demokrati och utveckling i tredjeländer måste stärkas ytterligare genom den finansiella ram som instrumentet för grannskapet, utvecklingssamarbete och internationellt samarbete – Europa i världen utgör. Parlamentet betonar att bibehållandet av särskild finansiering för mänskliga rättigheter och demokrati samt en människorättsbaserad strategi och integrering av mänskliga rättigheter i vårt stöd till och våra partnerskap med tredjeländer kan bidra till att stärka unionens ställning globalt och innebära att unionens värden underbyggs. Parlamentet understryker att resurserna till unionens digitala diplomati bör ökas ytterligare med tanke på den nuvarande situationen med snabba tekniska framsteg och geopolitisk konkurrens, särskilt för att motverka digitalt auktoritärt styre, utländsk inblandning och missbruk av ny teknik. Parlamentet uppmanar utrikestjänsten att systematiskt genomföra riskbedömningar av inskränkningar av civilsamhällets demokratiska utrymme i partnerländer och tredjeländer, i syfte att säkerställa att unionsfinansieringen når de relevanta berörda parterna. Parlamentet vidhåller att den gröna omställningen bör backas upp av tillräckliga ekonomiska resurser och personalresurser inom utrikestjänsten och unionens delegationer och konsekvent integreras i politiska dialoger, partnerskap och externa utgifter, även i tredjeländer, samtidigt som samstämdhet säkerställs i förhållande till partnerländernas konkurrenskraft, energitrygghet och ekonomiska resiliens.</w:t>
      </w:r>
    </w:p>
    <w:p w14:paraId="3C65A069" w14:textId="50B19FF0" w:rsidR="00AA68A9" w:rsidRPr="0046795C" w:rsidRDefault="00AA68A9" w:rsidP="00AA68A9">
      <w:pPr>
        <w:pStyle w:val="NormalHanging12a"/>
      </w:pPr>
      <w:r w:rsidRPr="0046795C">
        <w:t>2</w:t>
      </w:r>
      <w:r w:rsidR="00EB499D">
        <w:t>9</w:t>
      </w:r>
      <w:r w:rsidRPr="0046795C">
        <w:t>.</w:t>
      </w:r>
      <w:r w:rsidRPr="0046795C">
        <w:tab/>
        <w:t>Europaparlamentet betonar att utrikestjänsten måste stärka sin administrativa och analytiska kapacitet på områden av växande strategisk betydelse, inbegripet Arktis. Parlamentet efterlyser förstärkt personalutbildning, förbättrad samordning mellan avdelningar och tillräckliga resurser för att stödja riskbedömning, situationsmedvetenhet och samarbete med relevanta partner. Parlamentet understryker att sådan kapacitetsuppbyggnad måste vara helt i linje med sund ekonomisk förvaltning och befintliga budgetbegränsningar.</w:t>
      </w:r>
    </w:p>
    <w:p w14:paraId="21C7A667" w14:textId="49518BEF" w:rsidR="00AA68A9" w:rsidRPr="0046795C" w:rsidRDefault="00EB499D" w:rsidP="00AA68A9">
      <w:pPr>
        <w:spacing w:after="240"/>
        <w:ind w:left="567" w:hanging="567"/>
      </w:pPr>
      <w:r>
        <w:t>30</w:t>
      </w:r>
      <w:r w:rsidR="00AA68A9" w:rsidRPr="0046795C">
        <w:t>.</w:t>
      </w:r>
      <w:r w:rsidR="00AA68A9" w:rsidRPr="0046795C">
        <w:tab/>
        <w:t xml:space="preserve">Europaparlamentet noterar med tillfredsställelse, utifrån uppföljningsrapporten, utrikestjänstens centrala roll och åtgärder när det gäller att främja fred och stabilitet i Mellanöstern, bland annat genom att efterlysa obehindrat tillträde och oavbruten distribution av humanitärt bistånd i stor skala, i linje med internationella humanitära principer. Parlamentet understryker att det humanitära biståndet måste tillhandahållas på ett säkert, effektivt och avpolitiserat sätt och att det inte får avledas eller missbrukas av terroristgrupper eller väpnade grupper. Parlamentet noterar att unionen sedan början av krisen i Gaza har använt alla tillgängliga humanitära instrument för att lindra lidandet för palestinierna i Gaza och på Västbanken genom att tillhandahålla 450 miljoner EUR i humanitärt bistånd sedan oktober 2023, inbegripet ett inledande biståndspaket på 120 miljoner EUR för 2025; i det specifika fallet med unionens stöd i Palestina är de befintliga mekanismerna enligt kommissionen solida och fungerar väl, vilket bekräftades vid den finansiella översyn av unionens bistånd i Palestina som ägde rum i </w:t>
      </w:r>
      <w:r w:rsidR="00AA68A9" w:rsidRPr="0046795C">
        <w:lastRenderedPageBreak/>
        <w:t>november 2023. Parlamentet noterar vidare att kommissionen i april 2025 antog ett omfattande flerårigt program för Palestina till ett värde av upp till 1,6 miljarder EUR för 2025–2027 för att stödja ekonomisk återhämtning, resiliens och styrning på Västbanken, i östra Jerusalem och i Gaza, med upp till 620 miljoner EUR av denna finansiering i direkt ekonomiskt stöd till Palestinska myndigheten. Parlamentet noterar att kommissionen i maj 2024 tillkännagav ett ekonomiskt stödpaket på 1 miljard EUR för att hjälpa Libanon att möta nationella och regionala utmaningar. Parlamentet välkomnar i detta sammanhang den ståndpunkt som vice ordföranden/den höga representanten uttryckte vid utfrågningen, enligt vilken den som orsakar skada som en grundläggande rättsprincip också bör betala för den. Parlamentet konstaterar att en heltäckande bedömning av skadorna ännu inte är möjlig så länge tillträde till Gaza inte är möjligt. Parlamentet betonar emellertid vikten av att inrätta robusta mekanismer för övervakning och ansvarsutkrävande, inbegripet tillförlitlig, oberoende och verifierbar information, för att möjliggöra en bedömning av skador och behov så snart tillträde tillåts. Parlamentet uppmanar utrikestjänsten att fortsätta att använda alla tillgängliga instrument, inbegripet humanitära, diplomatiska och finansiella verktyg och, när så är lämpligt, restriktiva åtgärder för att upprätthålla den regelbaserade världsordningen och främja varaktig fred och säkerhet i regionen.</w:t>
      </w:r>
    </w:p>
    <w:p w14:paraId="0347711F" w14:textId="49727F73" w:rsidR="00AA68A9" w:rsidRPr="0046795C" w:rsidRDefault="00AA68A9" w:rsidP="00AA68A9">
      <w:pPr>
        <w:spacing w:after="240"/>
        <w:ind w:left="567" w:hanging="567"/>
      </w:pPr>
      <w:r w:rsidRPr="0046795C">
        <w:t>3</w:t>
      </w:r>
      <w:r w:rsidR="00EB499D">
        <w:t>1</w:t>
      </w:r>
      <w:r w:rsidRPr="0046795C">
        <w:t>.</w:t>
      </w:r>
      <w:r w:rsidRPr="0046795C">
        <w:tab/>
        <w:t>Europaparlamentet påminner om sin ståndpunkt om unionens budget för 2026 och vikten av att stödja politiska, ekonomiska och sociala reformer i det södra grannskapet, inbegripet att ta itu med ökande humanitära behov, samtidigt som man ser till att inga unionsmedel tilldelas offentliga institutioner, enskilda personer eller sammanslutningar som är kopplade till någon form av terroriströrelse och som direkt strider mot unionens grundläggande värden, däribland islamistiska, antisemitiska, antikristna och antiislamiska rörelser. Parlamentet påminner om att utrikestjänsten ansvarar för att tillhandahålla politisk vägledning och strategisk tillsyn över unionens yttre åtgärder, medan kommissionen har fullt ansvar för förvaltningen, upphandlingen och utbetalningen av unionens budgetmedel till genomförandepartner och internationella organisationer. Parlamentet påminner om att det har framförts anklagelser om att 19 av 13 000 anställda vid UNRWA i Gaza var involverade i de avskyvärda terroristattacker som Hamas utförde mot Israel den 7 oktober</w:t>
      </w:r>
      <w:r w:rsidR="000A770B">
        <w:t xml:space="preserve"> 2023</w:t>
      </w:r>
      <w:r w:rsidRPr="0046795C">
        <w:t>.</w:t>
      </w:r>
      <w:r w:rsidRPr="0046795C">
        <w:rPr>
          <w:color w:val="1C1C1C"/>
        </w:rPr>
        <w:t xml:space="preserve"> </w:t>
      </w:r>
      <w:r w:rsidRPr="0046795C">
        <w:t xml:space="preserve">Parlamentet noterar FN:s svar på dessa anklagelser, inbegripet de utredningar som inletts av FN:s kontor för intern tillsyn (OIOS), efter vilka nio personers anställning formellt avslutades i byråns intresse, och de rekommendationer som utfärdades genom </w:t>
      </w:r>
      <w:proofErr w:type="spellStart"/>
      <w:r w:rsidRPr="0046795C">
        <w:t>Colonna</w:t>
      </w:r>
      <w:proofErr w:type="spellEnd"/>
      <w:r w:rsidRPr="0046795C">
        <w:t>-rapporten. Parlamentet noterar att kommissionen har arbetat med UNRWA för att förbättra neutralitetsprocesserna och kontrollsystemen inom byrån, i linje med resultaten av utredningarna gjorda av FN:s OIOS och för att övervaka tillämpningen av den handlingsplan som UNRWA lagt fram. Parlamentet noterar kommissionens bedömning att UNRWA står fast vid sitt åtagande om att genomföra de överenskomna rekommendationerna samt uppfyllandet av alla villkor som överenskommits med unionen för fortsatt finansiering under 2024</w:t>
      </w:r>
      <w:bookmarkStart w:id="9" w:name="_Hlk216258516"/>
      <w:r w:rsidRPr="0046795C">
        <w:t>. Parlamentet uppmuntrar i detta avseende kommissionens fortsatta engagemang och nära övervakning för att säkerställa att</w:t>
      </w:r>
      <w:bookmarkEnd w:id="9"/>
      <w:r w:rsidRPr="0046795C">
        <w:t xml:space="preserve"> finansiering sker i utbyte mot solida garantier för neutralitet, transparens och ansvarsskyldighet. Parlamentet noterar att unionen inte finansierar de palestinska läroböckerna och att de inte heller är UNRWA:s ansvarsområde, som ändå granskar alla utgivna läroböcker för att ta itu med eventuellt problematiskt innehåll.</w:t>
      </w:r>
      <w:bookmarkStart w:id="10" w:name="_Hlk216447567"/>
      <w:r w:rsidRPr="0046795C">
        <w:t xml:space="preserve"> Parlamentet påminner om att Palestinska myndigheten måste avlägsna allt utbildningsmaterial och allt utbildningsinnehåll som inte följer Unescos standarder, särskilt sådant som uppmuntrar antisemitism och uppviglar till våld och som palestinska barn inte bör exponeras för.</w:t>
      </w:r>
      <w:bookmarkEnd w:id="10"/>
      <w:r w:rsidRPr="0046795C">
        <w:t xml:space="preserve"> Parlamentet påminner om att inga unionsmedel </w:t>
      </w:r>
      <w:r w:rsidRPr="0046795C">
        <w:lastRenderedPageBreak/>
        <w:t xml:space="preserve">får anslås, direkt eller indirekt, till ovannämnda typer av utbildningsmaterial. Parlamentet betonar att ekonomiskt stöd från unionen till Palestinska myndigheten på utbildningsområdet bör ges under förutsättning att läroböckernas innehåll är anpassat till Unescos standarder, i linje med slutsatserna i Georg </w:t>
      </w:r>
      <w:proofErr w:type="spellStart"/>
      <w:r w:rsidRPr="0046795C">
        <w:t>Eckert</w:t>
      </w:r>
      <w:proofErr w:type="spellEnd"/>
      <w:r w:rsidRPr="0046795C">
        <w:t>-institutets rapport, som finansierades av unionen och som avslöjade en komplex bild av läroböckerna.</w:t>
      </w:r>
    </w:p>
    <w:p w14:paraId="66CB7279" w14:textId="2FAF452E" w:rsidR="00AA68A9" w:rsidRPr="0046795C" w:rsidRDefault="00AA68A9" w:rsidP="00AA68A9">
      <w:pPr>
        <w:spacing w:after="240"/>
        <w:ind w:left="567" w:hanging="567"/>
      </w:pPr>
      <w:r w:rsidRPr="0046795C">
        <w:t>3</w:t>
      </w:r>
      <w:r w:rsidR="00EB499D">
        <w:t>2</w:t>
      </w:r>
      <w:r w:rsidRPr="0046795C">
        <w:t>.</w:t>
      </w:r>
      <w:r w:rsidRPr="0046795C">
        <w:tab/>
        <w:t>Europaparlamentet uttrycker djup oro över rapporten om misstänkta interna Hamas-dokument från 2018–2022 vilka ursprungligen hittades av den israeliska försvarsmakten i Gazaremsan och senare fick sin säkerhetsskyddsklassificering hävd och spreds genom NGO Monitor, som påstås tyda på försök till infiltration och övervakning från Hamas sida – genom så kallade garanter – av internationella icke-statliga organisationer, även inom unionsfinansierade humanitära projekt i Gazaremsan. Parlamentet påminner om att kontrollmekanismerna, i mångt och mycket till följd av parlamentets krav, har förstärkts ytterligare sedan 2023, blandat annat med särskilda revisioner, riskanalyser och ytterligare extern övervakning. Parlamentet betonar att alla påståenden om missbruk av medel från unionens skattebetalare noggrant bör kontrolleras, och uppmanar eftertryckligen kommissionen att utreda alla påståenden om någon form av otillbörlig infiltration och otillbörligt inflytande inom unionsfinansierade humanitära projekt och att dra in eller återkräva unionsfinansiering om överträdelser bekräftas. Parlamentet understryker att varje påstående om missbruk av unionsmedel som indirekt avleds till terroristorganisationer undergräver integriteten i unionens bistånd. Parlamentet varnar för att desinformation och informationskrigföring för strategiska ändamål är vanligt förekommande i väpnade konflikter.</w:t>
      </w:r>
    </w:p>
    <w:p w14:paraId="25F37F5A" w14:textId="71FDC1D6" w:rsidR="00AA68A9" w:rsidRPr="0046795C" w:rsidRDefault="00AA68A9" w:rsidP="00AA68A9">
      <w:pPr>
        <w:spacing w:after="240"/>
        <w:ind w:left="567" w:hanging="567"/>
      </w:pPr>
      <w:r w:rsidRPr="0046795C">
        <w:t>3</w:t>
      </w:r>
      <w:r w:rsidR="00EB499D">
        <w:t>3</w:t>
      </w:r>
      <w:r w:rsidRPr="0046795C">
        <w:t>.</w:t>
      </w:r>
      <w:r w:rsidRPr="0046795C">
        <w:tab/>
        <w:t>Parlamentet påminner om att miljontals människor världen över utsätts för diskriminering, förföljelse eller våld på grund av sin religion eller trosuppfattning. Parlamentet uppmuntrar kommissionen och utrikestjänsten att inom ramen för sina respektive befogenheter fortsätta att säkerställa en balans i fråga om politisk uppmärksamhet, samordning och transparens när det gäller att ta itu med alla former av religiöst hat och intolerans, inbegripet antikristet, antiislamiskt och antisemitiskt hat, och att regelbundet informera parlamentet om relevanta åtgärder som vidtagits och de resurser som anslagits i detta avseende.</w:t>
      </w:r>
    </w:p>
    <w:p w14:paraId="09695FB0" w14:textId="2F021D90" w:rsidR="00AA68A9" w:rsidRPr="0046795C" w:rsidRDefault="00AA68A9" w:rsidP="00AA68A9">
      <w:pPr>
        <w:pStyle w:val="NormalHanging12a"/>
      </w:pPr>
      <w:r w:rsidRPr="0046795C">
        <w:t>3</w:t>
      </w:r>
      <w:r w:rsidR="00EB499D">
        <w:t>4</w:t>
      </w:r>
      <w:r w:rsidRPr="0046795C">
        <w:t>.</w:t>
      </w:r>
      <w:r w:rsidRPr="0046795C">
        <w:tab/>
        <w:t>Europaparlamentet noterar utifrån uppföljningsrapporten utrikestjänstens pågående insatser för att stödja dialogen om den politiska, ekonomiska och sociala situationen, rättsstatsprincipen och kampen mot korruption samt stärka demokratin och de mänskliga rättigheterna i olika länder. Parlamentet välkomnar att utrikestjänsten och unionens delegationer fortsätter att samarbeta med företrädare för nationella förvaltningar och institutioner, organisationer i det civila samhället, berörda parter som är specialiserade på demokratisk samhällsstyrning, mänskliga rättigheter, medier, arbetsmarknadens parter och internationella och regionala organisationer. Parlamentet noterar att stöd till människorättsförsvarare och kvinnliga människorättsförsvarare, inbegripet kvinnor från urfolk, är en av utrikestjänstens huvudprioriteringar i linje med unionens handlingsplan för mänskliga rättigheter och demokrati 2020–2027, och främjas genom en rad verksamheter, däribland politiska dialoger, politisk rapportering, offentlig diplomati, multilaterala forum och årliga rapporter om genomförandet av mänskliga rättigheter. Parlamentet uppmanar utrikestjänsten och unionens delegationer att ytterligare stärka sitt arbete med att tillhandahålla bistånd och logistiskt och tekniskt stöd och samarbeta med människorättsförsvarare, i linje med EU:s riktlinjer om människorättsförsvarare, med särskild uppmärksamhet på kvinnor.</w:t>
      </w:r>
    </w:p>
    <w:p w14:paraId="2A889B0F" w14:textId="7F34E9A9" w:rsidR="00AA68A9" w:rsidRPr="0046795C" w:rsidRDefault="00AA68A9" w:rsidP="00AA68A9">
      <w:pPr>
        <w:pStyle w:val="NormalHanging12a"/>
      </w:pPr>
      <w:r w:rsidRPr="0046795C">
        <w:lastRenderedPageBreak/>
        <w:t>3</w:t>
      </w:r>
      <w:r w:rsidR="00EB499D">
        <w:t>5</w:t>
      </w:r>
      <w:r w:rsidRPr="0046795C">
        <w:t>.</w:t>
      </w:r>
      <w:r w:rsidRPr="0046795C">
        <w:tab/>
        <w:t xml:space="preserve">Europaparlamentet konstaterar utifrån frågeformuläret att tjänsten för verksamhetsstyrning, som inrättades 2023, spelar en viktig roll när det gäller att förbättra utrikestjänstens förvaltning genom att stödja utarbetandet av utrikestjänstens årliga förvaltningsplaner och årliga verksamhetsrapporter, stärka riskhanteringsprocesserna, ta itu med systemrelaterade verksamhetsfrågor vid unionens delegationer och genomföra konceptet </w:t>
      </w:r>
      <w:proofErr w:type="spellStart"/>
      <w:r w:rsidRPr="0046795C">
        <w:rPr>
          <w:i/>
        </w:rPr>
        <w:t>One</w:t>
      </w:r>
      <w:proofErr w:type="spellEnd"/>
      <w:r w:rsidRPr="0046795C">
        <w:rPr>
          <w:i/>
        </w:rPr>
        <w:t xml:space="preserve"> Delegation</w:t>
      </w:r>
      <w:r w:rsidRPr="0046795C">
        <w:t>, som syftar till att minska fragmenteringen av förvaltningen och rapporteringen och dokumentera återkommande problem och bästa praxis vid både huvudkontoret och unionens delegation. Parlamentet uppmanar utrikestjänsten att snabbt ta itu med de brister i internkontrollerna och dokumenthanteringen som revisionsrätten lyft fram, i syfte att förbättra informationshanteringens integritet och säkerställa en konsekvent rapportering mellan unionens delegationer.</w:t>
      </w:r>
    </w:p>
    <w:p w14:paraId="55B16A29" w14:textId="2BF4FC1F" w:rsidR="00AA68A9" w:rsidRPr="0046795C" w:rsidRDefault="00AA68A9" w:rsidP="00AA68A9">
      <w:pPr>
        <w:pStyle w:val="NormalHanging12a"/>
      </w:pPr>
      <w:r w:rsidRPr="0046795C">
        <w:t>3</w:t>
      </w:r>
      <w:r w:rsidR="00EB499D">
        <w:t>6</w:t>
      </w:r>
      <w:r w:rsidRPr="0046795C">
        <w:t>.</w:t>
      </w:r>
      <w:r w:rsidRPr="0046795C">
        <w:tab/>
        <w:t>Europaparlamentet noterar med tillfredsställelse utifrån uppföljningsrapporten och frågeformuläret de insatser som utrikestjänsten gjort för en feministisk diplomati, även om medlemsstaterna har den ledande rollen när det gäller att fastställa riktlinjerna för unionens yttre åtgärder. Parlamentet välkomnar i synnerhet de åtgärder som vidtagits för att påskynda genomförandet av unionens åtaganden enligt den tredje handlingsplanen för jämställdhet. Parlamentet noterar att unionens ambassadör för jämställdhet och mångfald deltog i insatser för att integrera ett jämställdhetsperspektiv i människorättsdialoger och viktiga multilaterala uttalanden och resolutioner. Parlamentet noterar vidare att jämställdhetsmedvetet ledarskap fortsatte att vara ett centralt inslag i institutionaliseringen av jämställdhetsintegrering. Parlamentet välkomnar i detta sammanhang utnämningen av kontaktpunkter för jämställdhetsfrågor i november 2024. Parlamentet noterar att den tredje handlingsplanen för jämställdhet löper ut 2027, och riktar därför en bestämd uppmaning till utrikestjänsten att utveckla en mer ambitiös fjärde handlingsplan för jämställdhet som säkerställer en starkare koppling mellan å ena sidan kvinnors rättigheter och egenmakt och å andra sidan EU:s utrikes- och säkerhetspolitik och som är klar att genomföras från och med 2028.</w:t>
      </w:r>
    </w:p>
    <w:p w14:paraId="12428D53" w14:textId="7078F153" w:rsidR="00AA68A9" w:rsidRPr="0046795C" w:rsidRDefault="00AA68A9" w:rsidP="00AA68A9">
      <w:pPr>
        <w:pStyle w:val="NormalHanging12a"/>
      </w:pPr>
      <w:r w:rsidRPr="0046795C">
        <w:t>3</w:t>
      </w:r>
      <w:r w:rsidR="00EB499D">
        <w:t>7</w:t>
      </w:r>
      <w:r w:rsidRPr="0046795C">
        <w:t>.</w:t>
      </w:r>
      <w:r w:rsidRPr="0046795C">
        <w:tab/>
        <w:t>Europaparlamentet betonar att unionen inom ramen för unionens utrikespolitiska åtgärder måste öka finansieringen för att förstärka den särskilda budgetposten för jämställdhet och agendan för kvinnor, fred och säkerhet, i syfte att säkerställa konsekvent finansiering av initiativ som främjar jämställdhetsmedvetet ledarskap, skyddar kvinnors rättigheter och motverkar sexuellt och könsrelaterat våld i konfliktsituationer och efter konflikter. Parlamentet betonar att sådan finansiering är avgörande för att stödja lokala civilsamhällesorganisationer, tillhandahålla stöd till överlevande och integrera jämställdhetsperspektivet i unionens diplomatiska insatser och säkerhetsinsatser.</w:t>
      </w:r>
    </w:p>
    <w:p w14:paraId="1E34683F" w14:textId="6ACEE29A" w:rsidR="00AA68A9" w:rsidRPr="0046795C" w:rsidRDefault="00AA68A9" w:rsidP="00AA68A9">
      <w:pPr>
        <w:pStyle w:val="NormalHanging12a"/>
      </w:pPr>
      <w:r w:rsidRPr="0046795C">
        <w:t>3</w:t>
      </w:r>
      <w:r w:rsidR="00EB499D">
        <w:t>8</w:t>
      </w:r>
      <w:r w:rsidRPr="0046795C">
        <w:t>.</w:t>
      </w:r>
      <w:r w:rsidRPr="0046795C">
        <w:tab/>
        <w:t>Europaparlamentet ser valobservatörsuppdrag som ett ändamålsenligt och effektivt utrikespolitiskt instrument som förblir centralt för unionens politik och strategier för demokratistöd. Parlamentet konstaterar utifrån uppföljningsrapporten att utrikestjänsten inte har några utsikter att utvidga observatörsarbetet så att det kommer att omfatta kandidatländer och grannländer, eftersom dessa länder i tillräcklig utsträckning omfattas av de observatörsuppdrag som leds av OSSE:s kontor för demokratiska institutioner och mänskliga rättigheter, som använt en metod som liknar unionens och i många fall hämtar experter från samma reserv av yrkesverksamma. Parlamentet upprepar dock sin uppmaning till unionen att säkerställa tillräckliga resurser, inbegripet expertis inom informationsintegritet online och risker för inblandning i valövervakningsmetoder, till unionens valobservatörsuppdrag.</w:t>
      </w:r>
    </w:p>
    <w:p w14:paraId="5B8FEA1D" w14:textId="1DD82C0D" w:rsidR="00AA68A9" w:rsidRPr="0046795C" w:rsidRDefault="00AA68A9" w:rsidP="00AA68A9">
      <w:pPr>
        <w:pStyle w:val="NormalHanging12a"/>
      </w:pPr>
      <w:r w:rsidRPr="0046795C">
        <w:lastRenderedPageBreak/>
        <w:t>3</w:t>
      </w:r>
      <w:r w:rsidR="00EB499D">
        <w:t>9</w:t>
      </w:r>
      <w:r w:rsidRPr="0046795C">
        <w:t>.</w:t>
      </w:r>
      <w:r w:rsidRPr="0046795C">
        <w:tab/>
        <w:t>Europaparlamentet noterar med tillfredsställelse utifrån uppföljningsrapporten unionens insatser för att skydda barn i konfliktdrabbade regioner genom sina delegationer under 2024. Parlamentet välkomnar 2024 års uppdatering av unionens riktlinjer om barn och väpnad konflikt, som utgör en ram för att stärka skyddet och förhindra allvarliga kränkningar av barn i krigstider.</w:t>
      </w:r>
    </w:p>
    <w:p w14:paraId="3B154156" w14:textId="091EBD2D" w:rsidR="00AA68A9" w:rsidRPr="0046795C" w:rsidRDefault="00EB499D" w:rsidP="00AA68A9">
      <w:pPr>
        <w:pStyle w:val="NormalHanging12a"/>
      </w:pPr>
      <w:r>
        <w:t>40</w:t>
      </w:r>
      <w:r w:rsidR="00AA68A9" w:rsidRPr="0046795C">
        <w:t>.</w:t>
      </w:r>
      <w:r w:rsidR="00AA68A9" w:rsidRPr="0046795C">
        <w:tab/>
        <w:t xml:space="preserve">Europaparlamentet påminner om att parlamentet 2021 föreslog ett pilotprojekt, </w:t>
      </w:r>
      <w:r w:rsidR="00AA68A9" w:rsidRPr="0046795C">
        <w:rPr>
          <w:i/>
          <w:iCs/>
        </w:rPr>
        <w:t>Mot inrättandet av en europeisk diplomatakademi</w:t>
      </w:r>
      <w:r w:rsidR="00AA68A9" w:rsidRPr="0046795C">
        <w:t>, i syfte att skapa en kritisk massa av europeiska diplomater som utbildats i unionens yttre förbindelser och säkerhet och en europeisk diplomatisk kultur för att stärka unionens roll som en effektiv utrikespolitisk aktör. Parlamentet noterar att 42 unga diplomater deltog i den första fasen av detta pilotprojekt, som omfattade läsåret 2022–2023, medan andra fasen, dvs. läsåret 2023–2024, omfattade 50 deltagare. Parlamentet noterar att den andra fasen pågick under två identiska, fyra månader långa kursomgångar, följt av en månads utbildningsuppdrag vid utrikestjänstens huvudkontor i Bryssel. Parlamentet noterar att kurser och utbildningsprogram genomfördes av ett akademiskt konsortium bestående av Europeiska högskolan i Belgien (Brygge) och Polen (</w:t>
      </w:r>
      <w:proofErr w:type="spellStart"/>
      <w:r w:rsidR="00AA68A9" w:rsidRPr="0046795C">
        <w:t>Natolin</w:t>
      </w:r>
      <w:proofErr w:type="spellEnd"/>
      <w:r w:rsidR="00AA68A9" w:rsidRPr="0046795C">
        <w:t>). Parlamentet konstaterar utifrån frågeformuläret att Europeiska högskolan, i enlighet med tjänsteavtal EEAS/2022/OP/0168-2023, utarbetade en slutrapport med en bedömning av pilotprojektets andra fas. Parlamentet uppmanar utrikestjänsten att förse den ansvarsfrihetsbeviljande myndigheten med denna rapport. Parlamentet noterar i utrikestjänstens rapport om årsredovisningen för åren 2022, 2023 och 2024, när det gäller budgetgenomförandet för den europeiska diplomatakademins pilotfaser, att utrikestjänsten betalade ut 831 000 EUR 2022, 120 000 EUR 2023 och 862 000 EUR 2024. Parlamentet uppmanar utrikestjänsten att inom ramen för förfarandet för beviljande av ansvarsfrihet förse parlamentet med kopior av all dokumentation om upphandlingsförfaranden som genomförts, kontrakt som undertecknats och utbetalningar som gjorts i samband med den första fasen och den andra fasen av pilotprojektet med den europeiska diplomatakademin.</w:t>
      </w:r>
    </w:p>
    <w:p w14:paraId="3978622D" w14:textId="7B4C21A3" w:rsidR="00AA68A9" w:rsidRPr="0046795C" w:rsidRDefault="00AA68A9" w:rsidP="00AA68A9">
      <w:pPr>
        <w:pStyle w:val="NormalHanging12a"/>
      </w:pPr>
      <w:r w:rsidRPr="0046795C">
        <w:t>4</w:t>
      </w:r>
      <w:r w:rsidR="00EB499D">
        <w:t>1</w:t>
      </w:r>
      <w:r w:rsidRPr="0046795C">
        <w:t>.</w:t>
      </w:r>
      <w:r w:rsidRPr="0046795C">
        <w:tab/>
        <w:t>Europaparlamentet noterar vidare att rådet den 21 maj 2024, på grundval av erfarenheterna från och den struktur som utvecklats under pilotfaserna, antog ett beslut om att inrätta en fullfjädrad europeisk diplomatakademi för fyra läsår från och med läsåret 2024–2025. Kurs- och utbildningsverksamheten har uppdragits åt Europeiska högskolan, medan den europeiska diplomatakademin kommer att arbeta under ansvar av vice ordföranden/den höga representanten, som kommer att vägledas av en styrkommitté bestående av en företrädare för varje enskild medlemsstat, utsedd av respektive medlemsstat, samt en företrädare för parlamentet, rådet respektive kommissionen. Parlamentet konstaterar utifrån detta beslut att ett planerat belopp på 1,72 miljoner EUR ska täcka perioden den 1 juli 2024–den 30 juni 2025. Förvaltningen av utgifterna i samband med den europeiska diplomatakademin övervakas av kommissionen genom tjänsten för utrikespolitiska instrument.</w:t>
      </w:r>
    </w:p>
    <w:p w14:paraId="5A5B1B55" w14:textId="32B3768F" w:rsidR="00AA68A9" w:rsidRPr="0046795C" w:rsidRDefault="00AA68A9" w:rsidP="00AA68A9">
      <w:pPr>
        <w:pStyle w:val="NormalHanging12a"/>
      </w:pPr>
      <w:r w:rsidRPr="0046795C">
        <w:t>4</w:t>
      </w:r>
      <w:r w:rsidR="00EB499D">
        <w:t>2</w:t>
      </w:r>
      <w:r w:rsidRPr="0046795C">
        <w:t>.</w:t>
      </w:r>
      <w:r w:rsidRPr="0046795C">
        <w:tab/>
        <w:t xml:space="preserve">Europaparlamentet noterar att utrikestjänsten, efter inrättandet av tjänsten för verksamhetsstyrning 2023, uppdaterade sin ram för intern kontroll 2024 för att återspegla den roll som den huvudansvarige för verksamhetsstyrningen spelar och införa en övervakningsmekanism för interna kontroller. Parlamentet konstaterar utifrån frågeformuläret att utrikestjänstens ram för intern kontroll är anpassad till kommissionens ram. Parlamentet noterar att utrikestjänsten, utöver den årliga standardbedömningen av sitt interna kontrollsystem, under 2024 genomförde en undersökning bland 167 uppgiftslämnare/anställda, var och en med ansvar som </w:t>
      </w:r>
      <w:r w:rsidRPr="0046795C">
        <w:lastRenderedPageBreak/>
        <w:t>vidaredelegerad utanordnare. Resultaten av denna undersökning diskuteras på högsta ledningsnivå i utrikestjänstens interna kontrollkommitté. Parlamentet noterar att undersökningen belyste 183 områden som behöver uppmärksammas, särskilt när det gäller de utmaningar som unionens delegationer står inför, till exempel medvetenhet om interna kontroller och riskhantering, rekrytering och bibehållande av kvalificerad personal och it-tjänster. Parlamentet välkomnar att utrikestjänsten utarbetade en handlingsplan för att åtgärda befintliga problem och proaktivt ta itu med potentiella risker. Parlamentet uppmanar utrikestjänsten att hålla den ansvarsbefrielsebeviljande myndigheten uppdaterad om dessa frågor.</w:t>
      </w:r>
    </w:p>
    <w:p w14:paraId="7434748D" w14:textId="29D807AB" w:rsidR="00AA68A9" w:rsidRPr="0046795C" w:rsidRDefault="00AA68A9" w:rsidP="00AA68A9">
      <w:pPr>
        <w:pStyle w:val="NormalHanging12a"/>
      </w:pPr>
      <w:r w:rsidRPr="0046795C">
        <w:t>4</w:t>
      </w:r>
      <w:r w:rsidR="00EB499D">
        <w:t>3</w:t>
      </w:r>
      <w:r w:rsidRPr="0046795C">
        <w:t>.</w:t>
      </w:r>
      <w:r w:rsidRPr="0046795C">
        <w:tab/>
        <w:t>Europaparlamentet uppmuntrar utrikestjänsten att stärka de interna kontrollerna och dokumenthanteringssystemen och åtgärda de brister som revisionsrätten identifierat, särskilt de som rör informationshantering och rapportering från unionens delegationer.</w:t>
      </w:r>
    </w:p>
    <w:p w14:paraId="1B683BE9" w14:textId="5FAAFC0B" w:rsidR="00AA68A9" w:rsidRPr="0046795C" w:rsidRDefault="00AA68A9" w:rsidP="00AA68A9">
      <w:pPr>
        <w:pStyle w:val="NormalHanging12a"/>
      </w:pPr>
      <w:r w:rsidRPr="0046795C">
        <w:t>4</w:t>
      </w:r>
      <w:r w:rsidR="00EB499D">
        <w:t>4</w:t>
      </w:r>
      <w:r w:rsidRPr="0046795C">
        <w:t>.</w:t>
      </w:r>
      <w:r w:rsidRPr="0046795C">
        <w:tab/>
        <w:t>Europaparlamentet noterar att utrikestjänsten använder två metoder för förhandskontroll av finansiella transaktioner (åtaganden, betalningar och betalningskrav). Parlamentet noterar att en typ av förhandskontroll är decentraliserad, dvs. utförs oberoende av den ansvariga vidaredelegerade utanordnaren, för betalningar kopplade till fakturor vars belopp (från och med 2024) understiger 15 000. Parlamentet noterar att förhandskontrollen för alla andra finansiella transaktioner säkerställs internt av de operativa avdelningarna eller av unionens delegationer. Parlamentet noterar att det för upphandlingsförfaranden också finns två metoder för förhandskontroll: den ena metoden för kontrakt vars värde är lika med eller överstiger tröskelvärdena i direktiv 2014/24/EU – denna tillämpas oberoende av den vidaredelegerade utanordnaren vid den avdelning som ansvarar för upphandlingsdokumentationen – och den andra metoden för kontrakt av (mycket) lågt och medelhögt värde, tillämpad internt, av den avdelning som ansvarar för respektive kontrakt.</w:t>
      </w:r>
    </w:p>
    <w:p w14:paraId="08CF28B3" w14:textId="3D94126E" w:rsidR="00AA68A9" w:rsidRPr="0046795C" w:rsidRDefault="00AA68A9" w:rsidP="00AA68A9">
      <w:pPr>
        <w:pStyle w:val="NormalHanging12a"/>
      </w:pPr>
      <w:r w:rsidRPr="0046795C">
        <w:t>4</w:t>
      </w:r>
      <w:r w:rsidR="00EB499D">
        <w:t>5</w:t>
      </w:r>
      <w:r w:rsidRPr="0046795C">
        <w:t>.</w:t>
      </w:r>
      <w:r w:rsidRPr="0046795C">
        <w:tab/>
        <w:t>När det gäller finansiella fel konstaterar Europaparlamentet att den upptäckta felprocenten motsvarar fel som upptäckts vid efterhandskontroller (efter det att betalningen har gjorts/betalningskravet har verkställts), vilket leder till ett kvarstående fel som också återspeglar fel som antas påverka de utgifter och inkomster som inte kontrollerats. Parlamentet noterar att procentsatsen för kvarstående finansiella fel för utrikestjänstens utgifter 2024 var 0,03 % och för inkomster 0,05 %. När det gäller fel avseende upphandling konstaterar parlamentet att utrikestjänsten uppdaterade sin metod för efterhandskontroller 2024 och därmed anpassade den till kommissionens strategi för beräkning av fel avseende upphandling, som utesluter begreppet kvarstående fel. De ekonomiska konsekvenserna av fel avseende upphandling kan inte kvantifieras på samma sätt som de finansiella felen. På grundval av denna nya metod uppgick värdet av upptäckta fel avseende upphandling till 49 774 108 EUR 2024 (en ökning från 23 392 948 EUR 2023) eller 4,32 % av den granskade populationen 2024 (en ökning från 2,07 % 2023).</w:t>
      </w:r>
    </w:p>
    <w:p w14:paraId="0E590058" w14:textId="7493D708" w:rsidR="00AA68A9" w:rsidRPr="0046795C" w:rsidRDefault="00AA68A9" w:rsidP="00AA68A9">
      <w:pPr>
        <w:pStyle w:val="NormalHanging12a"/>
      </w:pPr>
      <w:r w:rsidRPr="0046795C">
        <w:t>4</w:t>
      </w:r>
      <w:r w:rsidR="00EB499D">
        <w:t>6</w:t>
      </w:r>
      <w:r w:rsidRPr="0046795C">
        <w:t>.</w:t>
      </w:r>
      <w:r w:rsidRPr="0046795C">
        <w:tab/>
        <w:t>Europaparlamentet noterar med tillfredsställelse att utrikestjänsten under 2024 gjorde påtagliga framsteg med att genomföra kvarstående rekommendationer från olika organ, till exempel utrikestjänstens avdelning för internrevision, kommissionens tjänst för internrevision (IAS) och revisionsrätten. Parlamentet erkänner den roll som utrikestjänstens kommitté för revisionsuppföljning spelar när det gäller att säkerställa internrevisionens oberoende och övervaka kvaliteten på det interna revisionsarbetet och de framsteg som gjorts när det gäller uppföljningen av interna och externa revisionsrekommendationer.</w:t>
      </w:r>
    </w:p>
    <w:p w14:paraId="076EF4FB" w14:textId="66AD3C46" w:rsidR="00AA68A9" w:rsidRPr="0046795C" w:rsidRDefault="00AA68A9" w:rsidP="00AA68A9">
      <w:pPr>
        <w:pStyle w:val="NormalHanging12a"/>
      </w:pPr>
      <w:r w:rsidRPr="0046795C">
        <w:lastRenderedPageBreak/>
        <w:t>4</w:t>
      </w:r>
      <w:r w:rsidR="00EB499D">
        <w:t>7</w:t>
      </w:r>
      <w:r w:rsidRPr="0046795C">
        <w:t>.</w:t>
      </w:r>
      <w:r w:rsidRPr="0046795C">
        <w:tab/>
        <w:t>Europaparlamentet noterar när det gäller revisioner genomförda av avdelningen för internrevision att antalet kvarvarande rekommendationer minskades från 4 kritiska och 49 mycket viktiga rekommendationer till 3 kritiska och 32 mycket viktiga rekommendationer och att tre handlingsplaner granskades, varav en godtogs som tillfredsställande. Parlamentet noterar att de återstående kritiska rekommendationerna är kopplade till revisionen av förvaltningen av EU-delegationens byggnad i Washington, som försenades på grund av rättsliga frågor, och att 13 av de 32 återstående mycket viktiga rekommendationerna är kopplade till revisionen av informationsflödena mellan utrikestjänsten, GD HR och PMO. Parlamentet konstaterar vidare att avdelningen för internrevision inledde en rådgivande översyn av upphandlingsprocesserna vid huvudkontoret, inledde en strategisk riskbedömning, genomförde riktmärkning med andra unionsinstitutioner, uppdaterade sin uppdragsstadga och därmed slutförde den fleråriga revisionsplanen för 2022–2024, samt vidtog nödvändiga åtgärder för att utarbeta sin nya strategiska revisionsplan med början 2025.</w:t>
      </w:r>
    </w:p>
    <w:p w14:paraId="46B8FFD3" w14:textId="1EEE38B3" w:rsidR="00AA68A9" w:rsidRPr="0046795C" w:rsidRDefault="00AA68A9" w:rsidP="00AA68A9">
      <w:pPr>
        <w:pStyle w:val="NormalHanging12a"/>
      </w:pPr>
      <w:r w:rsidRPr="0046795C">
        <w:t>4</w:t>
      </w:r>
      <w:r w:rsidR="00EB499D">
        <w:t>8</w:t>
      </w:r>
      <w:r w:rsidRPr="0046795C">
        <w:t>.</w:t>
      </w:r>
      <w:r w:rsidRPr="0046795C">
        <w:tab/>
        <w:t>Europaparlamentet konstaterar att IAS slutförde två revisioner av personaltilldelningen och utrikestjänstens strategi mot bedrägerier, med handlingsplaner som håller på att genomföras, och inledde en ny revision av efterhandskontroller i slutet av 2024, vars operativa arbete fortsatte under 2025. Parlamentet uppmanar utrikestjänsten att informera den ansvarsfrihetsbeviljande myndigheten om de framsteg som gjorts när det gäller genomförandet av de kvarvarande IAS-rekommendationerna som uppföljning av den revision av upphandlingsprocessen och övervakningen av kontrakt inom utrikestjänsten som inleddes 2022.</w:t>
      </w:r>
    </w:p>
    <w:p w14:paraId="423B15CC" w14:textId="3401FAC1" w:rsidR="00AA68A9" w:rsidRPr="0046795C" w:rsidRDefault="00AA68A9" w:rsidP="00AA68A9">
      <w:pPr>
        <w:pStyle w:val="NormalHanging12a"/>
      </w:pPr>
      <w:r w:rsidRPr="0046795C">
        <w:t>4</w:t>
      </w:r>
      <w:r w:rsidR="00EB499D">
        <w:t>9</w:t>
      </w:r>
      <w:r w:rsidRPr="0046795C">
        <w:t>.</w:t>
      </w:r>
      <w:r w:rsidRPr="0046795C">
        <w:tab/>
        <w:t>Europaparlamentet konstaterar utifrån utrikestjänstens årliga verksamhetsrapport för 2024 (</w:t>
      </w:r>
      <w:r w:rsidRPr="0046795C">
        <w:rPr>
          <w:i/>
        </w:rPr>
        <w:t>utrikestjänstens rapport för 2024</w:t>
      </w:r>
      <w:r w:rsidRPr="0046795C">
        <w:t>) att verksamheten vid var och en av unionens delegationer utvärderas regelbundet (vart 4:e–5:e år) genom kontrollbesök och strategiska verksamhetskontroller. Parlamentet noterar att 26 av unionens delegationer mottog kontrollbesök under 2024, vilket ledde till utarbetandet av 1 000 rekommendationer och råd till de av unionens delegationer som kontrollerades och till huvudkontorets tjänsteavdelningar, däribland 6 kritiska rekommendationer och omkring 100 mycket viktiga rekommendationer. Parlamentet konstaterar med oro, utifrån frågeformuläret, att två av unionens delegationer fick ta emot kritiska rekommendationer om den interna förvaltningen. Parlamentet välkomnar att utrikestjänsten har gjort en strikt uppföljning i båda fallen och att den, även om en av kontrollerna fortfarande inte är avslutad på grund av sin komplexitet, aktivt stöder delegationen i arbetet med att lösa de kvarstående frågorna och genomföra de korrigerande åtgärder som krävs.</w:t>
      </w:r>
    </w:p>
    <w:p w14:paraId="6FC00C45" w14:textId="4AFD7BC7" w:rsidR="00AA68A9" w:rsidRPr="0046795C" w:rsidRDefault="00EB499D" w:rsidP="00AA68A9">
      <w:pPr>
        <w:pStyle w:val="NormalHanging12a"/>
      </w:pPr>
      <w:r>
        <w:t>50</w:t>
      </w:r>
      <w:r w:rsidR="00AA68A9" w:rsidRPr="0046795C">
        <w:t>.</w:t>
      </w:r>
      <w:r w:rsidR="00AA68A9" w:rsidRPr="0046795C">
        <w:tab/>
        <w:t xml:space="preserve">Europaparlamentet noterar att utrikestjänsten i stort sett kommer att hålla revisionsrättens tidsfrist för genomförandet av rekommendationerna i revisionsrättens särskilda rapport 02/2024 om Europeiska utrikestjänstens samordnande roll i slutet av 2025. Parlamentet konstaterar att alla nyutnämnda delegationschefer mottog uppdragsbeskrivningar 2024 och 2025, och att förbättrade återkopplingsmekanismer och processen med den årliga förvaltningsplanen har stärkt samordningen mellan huvudkontoret och unionens delegationer. Parlamentet välkomnar det pågående genomförandet av utrikestjänstens informationshanteringsstrategi, inbegripet det fullständiga införandet av samarbetsplattformen HIVE, som används av över 16 500 anställda. Parlamentet noterar det fortsatta samarbetet med kommissionen, rådet och medlemsstaterna för att förbättra interoperabiliteten och gå vidare med diskussionerna om en standardiserad säkerhetsklassificering. Parlamentet noterar vidare slutförandet av </w:t>
      </w:r>
      <w:r w:rsidR="00AA68A9" w:rsidRPr="0046795C">
        <w:lastRenderedPageBreak/>
        <w:t>unionsdelegationernas bedömning av arbetsbördan i september 2024, som låg till grund för den efterföljande politiska överenskommelsen om moderniseringen av nätverket av unionens delegationer i maj 2025. Parlamentet noterar utrikestjänstens status som associerad tjänst i revisionsrättens revisioner. Fyra revisioner (de särskilda rapporterna 17/2024, 18/2024, 06/2024 och 04/2025) slutfördes 2024, och två revisioner (de särskilda rapporterna 17/2025 och 20/2025) inleddes 2024 och slutfördes 2025. Parlamentet noterar i detta sammanhang med tillfredsställelse utrikestjänstens goda samarbete med de generaldirektorat inom kommissionen som berörs av dessa revisioner.</w:t>
      </w:r>
    </w:p>
    <w:p w14:paraId="35A3B91D" w14:textId="77777777" w:rsidR="00AA68A9" w:rsidRPr="0046795C" w:rsidRDefault="00AA68A9" w:rsidP="00AA68A9">
      <w:pPr>
        <w:pStyle w:val="NormalHanging12a"/>
        <w:rPr>
          <w:b/>
          <w:bCs/>
          <w:i/>
          <w:iCs/>
        </w:rPr>
      </w:pPr>
      <w:r w:rsidRPr="0046795C">
        <w:rPr>
          <w:b/>
          <w:i/>
        </w:rPr>
        <w:t>Personalresurser, jämställdhet och personalens välbefinnande</w:t>
      </w:r>
    </w:p>
    <w:p w14:paraId="650165B9" w14:textId="79826DF0" w:rsidR="00AA68A9" w:rsidRPr="0046795C" w:rsidRDefault="00AA68A9" w:rsidP="00AA68A9">
      <w:pPr>
        <w:pStyle w:val="NormalHanging12a"/>
      </w:pPr>
      <w:r w:rsidRPr="0046795C">
        <w:t>5</w:t>
      </w:r>
      <w:r w:rsidR="00EB499D">
        <w:t>1</w:t>
      </w:r>
      <w:r w:rsidRPr="0046795C">
        <w:t>.</w:t>
      </w:r>
      <w:r w:rsidRPr="0046795C">
        <w:tab/>
        <w:t>Europaparlamentet noterar att utrikestjänsten, förutom lokalanställda, hade totalt 2 902 anställda, däribland 1 268 tjänstemän, 442 tillfälligt anställda, 619 kontraktsanställda och 573 utstationerade nationella experter, under 2024, jämfört med 2 812 anställda, däribland 1 245 tjänstemän, 450 tillfälligt anställda, 603 kontraktsanställda och 514 utstationerade nationella experter, under 2023. Parlamentet påminner om vikten av att erbjuda fast anställning för att behålla kompetens, upprätthålla kontinuiteten och sörja för en produktiv arbetsmiljö.</w:t>
      </w:r>
    </w:p>
    <w:p w14:paraId="01A86265" w14:textId="1BC07891" w:rsidR="00AA68A9" w:rsidRPr="0046795C" w:rsidRDefault="00AA68A9" w:rsidP="00AA68A9">
      <w:pPr>
        <w:pStyle w:val="NormalHanging12a"/>
      </w:pPr>
      <w:r w:rsidRPr="0046795C">
        <w:t>5</w:t>
      </w:r>
      <w:r w:rsidR="00EB499D">
        <w:t>2</w:t>
      </w:r>
      <w:r w:rsidRPr="0046795C">
        <w:t>.</w:t>
      </w:r>
      <w:r w:rsidRPr="0046795C">
        <w:tab/>
        <w:t>Europaparlamentet konstaterar utifrån utrikestjänstens rapport för 2024 att av totalt 5 355 personer som arbetade vid utrikestjänsten arbetade 47 % vid utrikestjänstens huvudkontor och 53 % i unionens delegationer i slutet av 2024, med 1 622 lokalanställda i unionens delegationer. Parlamentet noterar att ledamöterna under utfrågningen uttryckte oro över den påstådda uppsägningen av lokalanställda i vissa av unionens delegationer utan vederbörlig respekt för lokal arbetsrätt. Parlamentet noterar att CONT-utskottets ledamöter efter denna utfrågning lämnade in ytterligare skriftliga frågor. Parlamentet konstaterar utifrån utrikestjänstens svar på dessa frågor (</w:t>
      </w:r>
      <w:r w:rsidRPr="0046795C">
        <w:rPr>
          <w:i/>
        </w:rPr>
        <w:t>det andra frågeformuläret</w:t>
      </w:r>
      <w:r w:rsidRPr="0046795C">
        <w:t>) att kommissionsledamöternas projektgrupp för yttre åtgärder den 14 maj 2025 godkände ett projekt för modernisering av nätverket av unionens delegationer. Parlamentet noterar att genomförandet av detta projekt bland annat innebär en centralisering av ekonomi-, kontrakts- och revisionsfunktionerna för de sex unionsdelegationerna på västra Balkan vid huvudkontoret för GD Utvidgning och det östra grannskapet samt en minskning av antalet anställda som arbetar med ekonomi och kontrakt i dessa unionsdelegationer, på grundval av bedömningar utförda i samråd med juridiska rådgivare. Parlamentet noterar att utrikestjänsten, när det gäller uppsägningspaketet, hävdar att alla rättigheter enligt lokal rätt och unionens interna regler har respekterats, och att avgångspaket vid ekonomisk uppsägning är de mest gynnsamma av dem som föreskrivs i lokal rätt och unionsrätten, detta trots de farhågor som uttryckts av de lokalanställda i de berörda unionsdelegationerna. Parlamentet noterar vidare att utrikestjänsten i samarbete med kommissionen arbetar nära den lokala advokatbyrå som ger vägledning om eventuella lokala rättsliga krav och därmed säkerställer att genomförandet av uppsägningsprocessen sker i full överensstämmelse med tillämplig lokal arbetsrätt. Parlamentet uppmanar utrikestjänsten att säkerställa ett fullständigt samråd med företrädaren för de lokalanställda vid utformningen av uppsägningsplanen för lokalanställda. Parlamentet noterar med oro utifrån svaren i frågeformuläret att lokalanställda i ursprungslandet blir uppsagda om en unionsdelegation flyttas till ett annat land, till exempel i händelse av en evakuering (exempelvis om Sudans underkontor flyttar till Egypten), så att de berörda personerna lämnas utan skydd. Parlamentet uppmanar utrikestjänsten att hitta hållbara, säkra och trygga lösningar för lokalanställda som har arbetat lojalt för unionens delegationer.</w:t>
      </w:r>
    </w:p>
    <w:p w14:paraId="33D37DA8" w14:textId="41DE0733" w:rsidR="00AA68A9" w:rsidRPr="0046795C" w:rsidRDefault="00AA68A9" w:rsidP="00AA68A9">
      <w:pPr>
        <w:pStyle w:val="NormalHanging12a"/>
        <w:rPr>
          <w:bCs/>
          <w:iCs/>
        </w:rPr>
      </w:pPr>
      <w:r w:rsidRPr="0046795C">
        <w:lastRenderedPageBreak/>
        <w:t>5</w:t>
      </w:r>
      <w:r w:rsidR="00EB499D">
        <w:t>3</w:t>
      </w:r>
      <w:r w:rsidRPr="0046795C">
        <w:t>.</w:t>
      </w:r>
      <w:r w:rsidRPr="0046795C">
        <w:tab/>
        <w:t>Europaparlamentet uttrycker allvarlig oro över rapporterna om otillräcklig social dialog och inkludering av skyddade personalföreträdare bland lokalanställda som drabbats av uppsägningar i vissa av unionens delegationer. Parlamentet påminner om att respekt för lokal arbetsrätt, skyldigheter avseende den sociala dialogen och skydd av personalföreträdare är väsentliga inslag i en sund förvaltning och för unionens trovärdighet som arbetsgivare.</w:t>
      </w:r>
    </w:p>
    <w:p w14:paraId="53885C04" w14:textId="7DC71607" w:rsidR="00AA68A9" w:rsidRPr="0046795C" w:rsidRDefault="00AA68A9" w:rsidP="00AA68A9">
      <w:pPr>
        <w:pStyle w:val="NormalHanging12a"/>
        <w:rPr>
          <w:bCs/>
          <w:iCs/>
        </w:rPr>
      </w:pPr>
      <w:r w:rsidRPr="0046795C">
        <w:t>5</w:t>
      </w:r>
      <w:r w:rsidR="00EB499D">
        <w:t>4</w:t>
      </w:r>
      <w:r w:rsidRPr="0046795C">
        <w:t>.</w:t>
      </w:r>
      <w:r w:rsidRPr="0046795C">
        <w:tab/>
        <w:t>Europaparlamentet betonar att alla omstruktureringar, omlokaliseringar eller uppsägningar som påverkar lokalanställda måste föregås av meningsfulla samråd med personalföreträdare och åtföljas av konkreta åtgärder för att skydda lokalanställdas rättigheter, säkerhet och värdighet, särskilt i kris- eller evakueringssammanhang. Parlamentet uppmanar utrikestjänsten att bedöma och rapportera till den ansvarsfrihetsbeviljande myndigheten om kostnadseffektiviteten i personalminskningarna jämfört med alternativa organisatoriska lösningar, inbegripet de långsiktiga ekonomiska, operativa och anseendemässiga konsekvenserna av uppsägningar som drabbar lokalanställda.</w:t>
      </w:r>
    </w:p>
    <w:p w14:paraId="313EDD75" w14:textId="59A4F6F7" w:rsidR="00AA68A9" w:rsidRPr="0046795C" w:rsidRDefault="00AA68A9" w:rsidP="00AA68A9">
      <w:pPr>
        <w:pStyle w:val="NormalHanging12a"/>
      </w:pPr>
      <w:r w:rsidRPr="0046795C">
        <w:t>5</w:t>
      </w:r>
      <w:r w:rsidR="00EB499D">
        <w:t>5</w:t>
      </w:r>
      <w:r w:rsidRPr="0046795C">
        <w:t>.</w:t>
      </w:r>
      <w:r w:rsidRPr="0046795C">
        <w:tab/>
        <w:t>Europaparlamentet uppmanar utrikestjänsten att ytterligare förbättra unionsdelegationernas säkerhet, inbegripet cybersäkerheten, den fysiska säkerheten och krisevakueringskapaciteten, och att systematiskt rapportera om framsteg och återstående sårbarheter.</w:t>
      </w:r>
    </w:p>
    <w:p w14:paraId="53C2A51F" w14:textId="28A33547" w:rsidR="00AA68A9" w:rsidRPr="0046795C" w:rsidRDefault="00AA68A9" w:rsidP="00AA68A9">
      <w:pPr>
        <w:pStyle w:val="NormalHanging12a"/>
      </w:pPr>
      <w:r w:rsidRPr="0046795C">
        <w:t>5</w:t>
      </w:r>
      <w:r w:rsidR="00EB499D">
        <w:t>6</w:t>
      </w:r>
      <w:r w:rsidRPr="0046795C">
        <w:t>.</w:t>
      </w:r>
      <w:r w:rsidRPr="0046795C">
        <w:tab/>
        <w:t>Europaparlamentet noterar för 2024 att 46,60 % av all personal vid utrikestjänsten var kvinnor (jämfört med 46,80 % 2023). Parlamentet noterar, när det gäller kvinnlig representation och de tjänster som kvinnor innehade vid utrikestjänsten 2024, att 40 % var handläggare, 63,78 % assistenter, 73,25 % biträdande sekreterare, 56,70 % kontraktsanställda och 26,87 % utstationerade nationella experter. Parlamentet noterar med tillfredsställelse i utrikestjänstens rapport för 2024 institutionens insatser för att uppnå en ökad representation av kvinnor i ledande befattningar. Parlamentet noterar i detta sammanhang en uppåtgående trend när det gäller högre chefstjänster, med 37,30 % kvinnor 2024 (jämfört med 31 % 2023), men en liten minskning när det gäller mellanchefstjänster med 38,70 % kvinnor 2024 (jämfört med 40,40 % 2023). Parlamentet välkomnar en ökning från 35,50 % 2023 till 36,10 % 2024 när det gäller andelen kvinnor bland delegationscheferna. Parlamentet välkomnar den gradvisa ökningen av antalet kvinnor i ledande befattningar inom utrikestjänsten, men noterar samtidigt att kvinnor fortfarande är underrepresenterade på AD-nivå och överrepresenterade på AST-nivå, och att en jämn könsfördelning på mellanchefsnivå och inom högre chefstjänster, både vid huvudkontoret och i unionens delegationer, ännu inte har uppnåtts fullt ut. Parlamentet betonar att lika möjligheter måste säkerställas för personalen inom institutionernas organ samtidigt som spetskompetensen och det yrkesmässiga uppförandet inom utrikestjänsten måste bevaras.</w:t>
      </w:r>
    </w:p>
    <w:p w14:paraId="6D458B5F" w14:textId="183FAC94" w:rsidR="00AA68A9" w:rsidRPr="0046795C" w:rsidRDefault="00AA68A9" w:rsidP="00AA68A9">
      <w:pPr>
        <w:pStyle w:val="NormalHanging12a"/>
      </w:pPr>
      <w:r w:rsidRPr="0046795C">
        <w:t>5</w:t>
      </w:r>
      <w:r w:rsidR="00EB499D">
        <w:t>7</w:t>
      </w:r>
      <w:r w:rsidRPr="0046795C">
        <w:t>.</w:t>
      </w:r>
      <w:r w:rsidRPr="0046795C">
        <w:tab/>
        <w:t xml:space="preserve">Europaparlamentet noterar i uppföljningsrapporten utrikestjänstens insatser för att få fram ytterligare ansökningar från det kön som är underrepresenterat. Parlamentet välkomnar i detta sammanhang anordnandet av fyra chefsutbildningar om jämställdhetsmedvetet ledarskap, som nådde ut till 80 % av utrikestjänstens högre chefer, och ett fullständigt 29 timmar långt fyramånadersprogram om jämställdhetsmedvetet ledarskap för 13 chefer, varav 4 från unionens delegationer under 2024. Parlamentet noterar vidare att utrikestjänsten inrättade sitt nya nätverk av kontaktpunkter för jämställdhetsfrågor och inrättade en arbetsgrupp för Istanbulkonventionen, som 2024 lade fram en halvtidsrapport med en handlingsplan. </w:t>
      </w:r>
      <w:r w:rsidRPr="0046795C">
        <w:lastRenderedPageBreak/>
        <w:t>Parlamentet noterar det arbete som unionens ambassadör för jämställdhet och mångfald utfört för att integrera ett jämställdhetsperspektiv i människorättsdialoger och viktiga multilaterala uttalanden och resolutioner. Parlamentet uppmanar utrikestjänsten att fortsatt tillhandahålla uppdateringar om den senaste utvecklingen i samband med handlingsplanen för jämställdhet för 2021–2025 och de åtgärder som vidtagits för att ytterligare främja kvinnors deltagande i alla diplomatiska och politiska dialoger.</w:t>
      </w:r>
    </w:p>
    <w:p w14:paraId="2000B80B" w14:textId="5DCC5DB0" w:rsidR="00AA68A9" w:rsidRPr="0046795C" w:rsidRDefault="00AA68A9" w:rsidP="00AA68A9">
      <w:pPr>
        <w:pStyle w:val="NormalHanging12a"/>
        <w:rPr>
          <w:bCs/>
          <w:iCs/>
        </w:rPr>
      </w:pPr>
      <w:r w:rsidRPr="0046795C">
        <w:t>5</w:t>
      </w:r>
      <w:r w:rsidR="00EB499D">
        <w:t>8</w:t>
      </w:r>
      <w:r w:rsidRPr="0046795C">
        <w:t>.</w:t>
      </w:r>
      <w:r w:rsidRPr="0046795C">
        <w:tab/>
        <w:t>Europaparlamentet noterar utrikestjänstens insatser för att uppnå en diversifierad och representativ arbetsstyrka. Parlamentet beklagar emellertid den ihållande bristen på geografisk balans och regional mångfald inom utrikestjänsten, bland annat inom chefstjänster och centrala funktioner vid huvudkontoret. Parlamentet noterar att tre medlemsstater i slutet av 2024 (en medlemsstat 2025) fortfarande inte hade någon unionsambassadör, medan ambassadörer från fem medlemsstater innehade 56 % av alla unionsambassadörstjänster, en ökning från 54 % 2023. Parlamentet betonar att en unionsdiplomattjänst måste återspegla unionens mångfald för att stärka legitimiteten, den lokala kunskapen och ändamålsenligheten. Parlamentet uppmanar utrikestjänsten att, i samarbete med Europeiska rekryteringsbyrån (</w:t>
      </w:r>
      <w:proofErr w:type="spellStart"/>
      <w:r w:rsidRPr="0046795C">
        <w:t>Epso</w:t>
      </w:r>
      <w:proofErr w:type="spellEnd"/>
      <w:r w:rsidRPr="0046795C">
        <w:t xml:space="preserve">) och de avdelningar inom kommissionen som ansvarar för rekrytering, öka de riktade informationskampanjerna i underrepresenterade medlemsstater (inbegripet information om ”fokusländer” och rekryteringsevenemang), bredda tillflödet genom praktikplatser, Junior </w:t>
      </w:r>
      <w:proofErr w:type="spellStart"/>
      <w:r w:rsidRPr="0046795C">
        <w:t>Professionals</w:t>
      </w:r>
      <w:proofErr w:type="spellEnd"/>
      <w:r w:rsidRPr="0046795C">
        <w:t>-program och strukturerade utstationeringar och göra det interna urvalet mer rättvist genom olika urvalskommittéer, transparenta kriterier och mentorskap/sponsring för underrepresenterade grupper. Parlamentet påminner om att rekryteringen måste förbli meritbaserad och i linje med unionsrätten.</w:t>
      </w:r>
    </w:p>
    <w:p w14:paraId="56A153A3" w14:textId="0433246C" w:rsidR="00AA68A9" w:rsidRPr="0046795C" w:rsidRDefault="00AA68A9" w:rsidP="00AA68A9">
      <w:pPr>
        <w:pStyle w:val="NormalHanging12a"/>
      </w:pPr>
      <w:r w:rsidRPr="0046795C">
        <w:t>5</w:t>
      </w:r>
      <w:r w:rsidR="00EB499D">
        <w:t>9</w:t>
      </w:r>
      <w:r w:rsidRPr="0046795C">
        <w:t>.</w:t>
      </w:r>
      <w:r w:rsidRPr="0046795C">
        <w:tab/>
        <w:t>Europaparlamentet noterar att tillsättningsgraden i utrikestjänstens tjänsteförteckning vid utgången av 2024 låg på 95,3 % (jämfört med 96,7 % 2023). Parlamentet noterar dessutom att personalomsättningen vid utrikestjänsten uppgick till 12,07 % 2024 (10,15 % 2023). Parlamentet konstaterar att denna ökning återspeglar utrikestjänstens särskilda struktur som diplomattjänst, kännetecknad av regelbundna rotationer bland personalen från medlemsstaternas diplomatkår och andra unionsinstitutioner, samt tillämpningen av en stabil personalpolitik.</w:t>
      </w:r>
    </w:p>
    <w:p w14:paraId="061285A9" w14:textId="390903E6" w:rsidR="00AA68A9" w:rsidRPr="0046795C" w:rsidRDefault="00EB499D" w:rsidP="00AA68A9">
      <w:pPr>
        <w:pStyle w:val="NormalHanging12a"/>
      </w:pPr>
      <w:r>
        <w:t>60</w:t>
      </w:r>
      <w:r w:rsidR="00AA68A9" w:rsidRPr="0046795C">
        <w:t>.</w:t>
      </w:r>
      <w:r w:rsidR="00AA68A9" w:rsidRPr="0046795C">
        <w:tab/>
        <w:t>Europaparlamentet noterar att arbetet med att uppdatera 2014 års beslut om utstationerade nationella experter pågår, och att den reviderade texten ska offentliggöras 2025. Parlamentet konstaterar att utrikestjänsten fortsatte sina praktikprogram genom att ta emot 62 praktikanter vid huvudkontoret inom ramen för kommissionens praktikprogram och 566 praktikanter i 106 av unionens delegationer under 2024. Parlamentet noterar att 531 praktikanter från den sistnämnda kategorin betalades antingen av utrikestjänsten eller av andra institutioner, medan praktiktjänstgöringen var obligatorisk som en del av det akademiska programmet för 35 studenter, som inte fick något praktikbidrag. Parlamentet noterar vidare att utrikestjänsten också fortsatte med den sjunde omgången av programmet för lägre tjänstemän i delegationerna för 2023–2025, där 67 lägre tjänstemän placerades i unionens delegationer.</w:t>
      </w:r>
    </w:p>
    <w:p w14:paraId="0F9E5806" w14:textId="29E75F08" w:rsidR="00AA68A9" w:rsidRPr="0046795C" w:rsidRDefault="00AA68A9" w:rsidP="00AA68A9">
      <w:pPr>
        <w:pStyle w:val="NormalHanging12a"/>
        <w:widowControl/>
      </w:pPr>
      <w:r w:rsidRPr="0046795C">
        <w:t>6</w:t>
      </w:r>
      <w:r w:rsidR="00EB499D">
        <w:t>1</w:t>
      </w:r>
      <w:r w:rsidRPr="0046795C">
        <w:t>.</w:t>
      </w:r>
      <w:r w:rsidRPr="0046795C">
        <w:tab/>
        <w:t xml:space="preserve">Europaparlamentet noterar att utrikestjänsten under 2024 fortsatte att arbeta för en trygg, respektfull och etisk arbetsmiljö. Parlamentet välkomnar den ökade tillgängligheten till den obligatoriska e-utbildningen om respekt och värdighet på arbetsplatsen, som erkänner och hanterar trakasserier och som 1 900 anställda slutförde under 2024. Parlamentet välkomnar att 57 % av cheferna deltog i någon liknande obligatorisk utbildning 2024. Parlamentet lovordar utrikestjänsten för att ha erbjudit </w:t>
      </w:r>
      <w:r w:rsidRPr="0046795C">
        <w:lastRenderedPageBreak/>
        <w:t>utbildning om resiliens och traumahantering för personal i krisområden och för regionala säkerhetsansvariga under 2024. Parlamentet välkomnar vidare antagandet av ett beslut om att utvidga skyddet mot mobbning och sexuella trakasserier till att omfatta lokalanställda i unionens delegationer, som nu har tillgång till utrikestjänstens formella förfaranden i händelse av anklagelser om trakasserier.</w:t>
      </w:r>
    </w:p>
    <w:p w14:paraId="48A3976D" w14:textId="2C356C88" w:rsidR="00AA68A9" w:rsidRPr="0046795C" w:rsidRDefault="00AA68A9" w:rsidP="00AA68A9">
      <w:pPr>
        <w:pStyle w:val="NormalHanging12a"/>
      </w:pPr>
      <w:r w:rsidRPr="0046795C">
        <w:t>6</w:t>
      </w:r>
      <w:r w:rsidR="00EB499D">
        <w:t>2</w:t>
      </w:r>
      <w:r w:rsidRPr="0046795C">
        <w:t>.</w:t>
      </w:r>
      <w:r w:rsidRPr="0046795C">
        <w:tab/>
        <w:t>Europaparlamentet noterar med tillfredsställelse de åtgärder som utrikestjänsten vidtog 2024 inom ramen för sin agenda för mångfald och inkludering för 2023–2025, i synnerhet riktade åtgärder för grupper som berörs av frågor med anknytning till kön, etnisk tillhörighet, funktionsnedsättning och ålder samt hbtqi+-grupper. Parlamentet noterar i detta sammanhang att utrikestjänsten införlivade frågor om mångfald och inkludering i utbildningen, tillhandahöll information till hbtqi+-personal om rättsliga och kulturella förutsättningar i utstationeringsländerna och ökade sina insatser för rekrytering i enlighet med principen om mångfald. Parlamentet lovordar vidare utrikestjänsten för att ha uppdaterat sin färdplan för åtgärder avseende funktionsnedsättning, genomfört en undersökning om funktionsnedsättningsfrågor, tagit fram faktablad om tillgänglighet för unionens delegationer, gjort en tillgänglighetsbedömning av sin webbplats och tillhandahållit ekonomiskt stöd för andra kostnader än läkarvårdskostnader till 26 anställda med barn med funktionsnedsättning. Parlamentet uppmanar utrikestjänsten att fortsätta att regelbundet utbilda personal i ledande och icke-ledande befattningar i frågor som rör mångfald, rättvisa, inkludering och tillhörighet.</w:t>
      </w:r>
    </w:p>
    <w:p w14:paraId="46F501BF" w14:textId="189160D8" w:rsidR="00AA68A9" w:rsidRPr="0046795C" w:rsidRDefault="00AA68A9" w:rsidP="00AA68A9">
      <w:pPr>
        <w:pStyle w:val="NormalHanging12a"/>
      </w:pPr>
      <w:r w:rsidRPr="0046795C">
        <w:t>6</w:t>
      </w:r>
      <w:r w:rsidR="00EB499D">
        <w:t>3</w:t>
      </w:r>
      <w:r w:rsidRPr="0046795C">
        <w:t>.</w:t>
      </w:r>
      <w:r w:rsidRPr="0046795C">
        <w:tab/>
        <w:t>Europaparlamentet konstaterar utifrån frågeformuläret att utrikestjänsten under 2024 mottog 16 begäranden om bistånd för anklagelser om mobbning, däribland flera som rörde samma person bland de anställda, vilket ledde till att fyra administrativa utredningar inleddes, och att ett påstått fall som rörde en anställd vid kommissionen hänsköts till den behöriga myndigheten vid kommissionen. Parlamentet noterar att fyra formella förfaranden också inleddes för lokalanställda i unionens delegationer, men att det inte fanns några prima facie-bevis som motiverade inledande av en administrativ utredning. Parlamentet noterar att sex fall avslutades under året och att disciplinära eller korrigerande åtgärder vidtogs när så var lämpligt, inbegripet disciplinära påföljder i två fall och en icke-disciplinär varning i ett annat fall.</w:t>
      </w:r>
    </w:p>
    <w:p w14:paraId="4050CB5D" w14:textId="1C3D043B" w:rsidR="00AA68A9" w:rsidRPr="0046795C" w:rsidRDefault="00AA68A9" w:rsidP="00AA68A9">
      <w:pPr>
        <w:pStyle w:val="NormalHanging12a"/>
      </w:pPr>
      <w:r w:rsidRPr="0046795C">
        <w:t>6</w:t>
      </w:r>
      <w:r w:rsidR="00EB499D">
        <w:t>4</w:t>
      </w:r>
      <w:r w:rsidRPr="0046795C">
        <w:t>.</w:t>
      </w:r>
      <w:r w:rsidRPr="0046795C">
        <w:tab/>
        <w:t>Europaparlamentet konstaterar utifrån frågeformuläret att långtidssjukskrivning enligt den definition som kommissionens läkarmottagning tillämpar innebär frånvaro som överstiger 20 på varandra följande dagar. Parlamentet noterar att 323 anställda var långtidssjukskrivna med en genomsnittlig frånvaro på 83 dagar under 2023, medan detta under 2024 ökade till 338 anställda, med en minskad genomsnittlig frånvaro på 77 dagar. Parlamentet noterar vidare att en betydande andel av sjukskrivningarna var kopplade till psykiska hälsoproblem såsom depression och utbrändhet under 2024, även om det exakta antalet fall av utbrändhet är okänt. Parlamentet välkomnar kommissionens initiativ att utveckla en strategi för psykisk hälsa i syfte att tillhandahålla en strukturerad och hållbar ram för att ta itu med utmaningar avseende psykisk hälsa på arbetsplatsen, inbegripet förebyggande av utbrändhet och återintegrering på arbetsplatsen. Parlamentet uppmuntrar utrikestjänsten att också inrätta en formell mekanism för bedömning av arbetsbördan.</w:t>
      </w:r>
    </w:p>
    <w:p w14:paraId="7696737E" w14:textId="6BD80307" w:rsidR="00AA68A9" w:rsidRPr="0046795C" w:rsidRDefault="00AA68A9" w:rsidP="00AA68A9">
      <w:pPr>
        <w:pStyle w:val="NormalHanging12a"/>
      </w:pPr>
      <w:r w:rsidRPr="0046795C">
        <w:t>6</w:t>
      </w:r>
      <w:r w:rsidR="00EB499D">
        <w:t>5</w:t>
      </w:r>
      <w:r w:rsidRPr="0046795C">
        <w:t>.</w:t>
      </w:r>
      <w:r w:rsidRPr="0046795C">
        <w:tab/>
        <w:t xml:space="preserve">Europaparlamentet konstaterar med tillfredsställelse utifrån utrikestjänstens rapport för 2024 att färdplanen för åtgärder för personer med funktionsnedsättning uppdaterades 2024 och att ett nytt beslut antogs 2025 om att utvidga utrikestjänstens bestämmelser – </w:t>
      </w:r>
      <w:r w:rsidRPr="0046795C">
        <w:lastRenderedPageBreak/>
        <w:t>till exempel skälig anpassning för kollegor med funktionsnedsättning – så att de kom att omfatta lokalanställda i unionens delegationer.</w:t>
      </w:r>
    </w:p>
    <w:p w14:paraId="04D99845" w14:textId="77777777" w:rsidR="00AA68A9" w:rsidRPr="0046795C" w:rsidRDefault="00AA68A9" w:rsidP="00AA68A9">
      <w:pPr>
        <w:pStyle w:val="NormalHanging12a"/>
        <w:rPr>
          <w:b/>
          <w:bCs/>
          <w:i/>
          <w:iCs/>
        </w:rPr>
      </w:pPr>
      <w:r w:rsidRPr="0046795C">
        <w:rPr>
          <w:b/>
          <w:i/>
        </w:rPr>
        <w:t>Etisk ram och transparens</w:t>
      </w:r>
    </w:p>
    <w:p w14:paraId="2AB34D55" w14:textId="764EE343" w:rsidR="00AA68A9" w:rsidRPr="0046795C" w:rsidRDefault="00AA68A9" w:rsidP="00AA68A9">
      <w:pPr>
        <w:spacing w:after="240"/>
        <w:ind w:left="567" w:hanging="567"/>
        <w:rPr>
          <w:bCs/>
          <w:iCs/>
        </w:rPr>
      </w:pPr>
      <w:r w:rsidRPr="0046795C">
        <w:t>6</w:t>
      </w:r>
      <w:r w:rsidR="00EB499D">
        <w:t>6</w:t>
      </w:r>
      <w:r w:rsidRPr="0046795C">
        <w:t>.</w:t>
      </w:r>
      <w:r w:rsidRPr="0046795C">
        <w:tab/>
      </w:r>
      <w:r w:rsidR="00663A55" w:rsidRPr="00663A55">
        <w:t>Europaparlamentet noterar med oro Europeiska åklagarmyndighetens (</w:t>
      </w:r>
      <w:proofErr w:type="spellStart"/>
      <w:r w:rsidR="00663A55" w:rsidRPr="00663A55">
        <w:t>Eppo</w:t>
      </w:r>
      <w:proofErr w:type="spellEnd"/>
      <w:r w:rsidR="00663A55" w:rsidRPr="00663A55">
        <w:t xml:space="preserve">) utredning som inleddes 2025 av ett potentiellt upphandlingsbedrägeri, korruption, en intressekonflikt och ett brott mot tystnadsplikten, inbegripet starka misstankar om överträdelser av konkurrensreglerna i samband med utrikestjänstens kontraktstilldelning till Europeiska högskolan under perioden 2021–2022 inom ramen för ett anbudsförfarande för ett nio månader långt utbildningsprogram kopplat till genomförandet av ett pilotprojekt för inrättandet av den europeiska diplomatakademin. Parlamentet understryker att inrättandet av den europeiska diplomatakademin utgör ett strategiskt steg i riktning mot att stärka unionens diplomatiska kapacitet och utveckla en genuint europeisk diplomatisk kultur. Parlamentet noterar att utredningen fokuserar på huruvida Europeiska högskolan och/eller deras företrädare informerades i förväg om urvalskriterierna för anbudsförfarandet och hade tillräckliga skäl att anta att de skulle tilldelas genomförandet av projektet, innan utrikestjänsten officiellt offentliggjorde meddelandet om upphandling. Parlamentet noterar vidare att den belgiska polisen till följd av räderna inom utrikestjänsten och Europeiska högskolan frihetsberövade och sedan frigav flera misstänkta i december 2025, närmare bestämt en tidigare vice ordförande/hög representant, vid den tidpunkten rektor för Europeiska högskolan och direktör för den europeiska diplomatakademin, samt vid den tidpunkten generaldirektören för kommissionens generaldirektorat för Mellanöstern, Nordafrika och Gulfstaterna, och en tidigare generalsekreterare för utrikestjänsten. Parlamentet noterar med oro att rektorn för Europeiska högskolan och direktören för den europeiska diplomatakademin avgick i samband med den pågående utredningen av oriktigheter i samband med upphandling och den europeiska diplomatakademin. Parlamentet noterar att en sådan situation, där en offentlig upphandling kan ha riggats till förmån för en högre utbildningsanstalt, riskerar att undergräva förtroendet för unionsinstitutionerna, eftersom anklagelser om oriktigheter i samband med offentlig upphandling kan väcka tvivel om transparens, rättvisa och likabehandling av kandidater. Parlamentet förstår dock att fakta som rör </w:t>
      </w:r>
      <w:proofErr w:type="spellStart"/>
      <w:r w:rsidR="00663A55" w:rsidRPr="00663A55">
        <w:t>Eppos</w:t>
      </w:r>
      <w:proofErr w:type="spellEnd"/>
      <w:r w:rsidR="00663A55" w:rsidRPr="00663A55">
        <w:t xml:space="preserve"> utredningar omfattas av strikta </w:t>
      </w:r>
      <w:proofErr w:type="spellStart"/>
      <w:r w:rsidR="00663A55" w:rsidRPr="00663A55">
        <w:t>konfidentialitetsregler</w:t>
      </w:r>
      <w:proofErr w:type="spellEnd"/>
      <w:r w:rsidR="00663A55" w:rsidRPr="00663A55">
        <w:t xml:space="preserve"> och inte kan lämnas ut i samband med ansvarsfrihetsförfarandet, och betonar att inga slutsatser bör dras innan den rättsliga processen har slutförts. Parlamentet välkomnar att utrikestjänsten har åtagit sig att göra relevanta handlingar tillgängliga när de rättsliga utredningarna har avslutats. Parlamentet begär att alla misstankar om bedrägeri utreds vederbörligen, med fullt samarbete från utrikestjänstens sida. Parlamentet kräver att utrikestjänsten, utan att det påverkar pågående utredningar, systematiskt ska dra lärdom av detta fall i syfte att ge seriösa garantier om att sådana fall inte kommer att upprepas i framtiden. Parlamentet begär att den ansvarsfrihetsbeviljande myndigheten hålls vederbörligen informerad om utvecklingen framöver. Parlamentet noterar att enligt bidragsavtalet, genom vilket den europeiska diplomatakademin anförtros Europeiska högskolan, är Europeiska högskolan skyldig att lämna in en utgiftskontrollrapport tillsammans med sin slutrapport, som ska utarbetas av en extern revisor och inom kort läggas fram för 2024, för att säkerställa full transparens när det gäller de 1,8 miljoner EUR som spenderats under 2022–2024. Parlamentet noterar också att utrikestjänsten i slutet av december 2025 inledde översynen av rådets beslut (</w:t>
      </w:r>
      <w:proofErr w:type="spellStart"/>
      <w:r w:rsidR="00663A55" w:rsidRPr="00663A55">
        <w:t>Gusp</w:t>
      </w:r>
      <w:proofErr w:type="spellEnd"/>
      <w:r w:rsidR="00663A55" w:rsidRPr="00663A55">
        <w:t>) 2024/1472</w:t>
      </w:r>
      <w:r w:rsidR="00663A55">
        <w:rPr>
          <w:rStyle w:val="FootnoteReference"/>
        </w:rPr>
        <w:footnoteReference w:id="10"/>
      </w:r>
      <w:r w:rsidR="00663A55" w:rsidRPr="00663A55">
        <w:t xml:space="preserve"> om </w:t>
      </w:r>
      <w:r w:rsidR="00663A55" w:rsidRPr="00663A55">
        <w:lastRenderedPageBreak/>
        <w:t xml:space="preserve">inrättande av den europeiska diplomatakademin genom att inleda en oberoende extern utvärdering av den europeiska diplomatakademin och av Europeiska högskolans resultat när det gäller att genomföra den europeiska diplomatakademins utbildningsverksamhet. Parlamentet uppmanar utrikestjänsten att dela både utgiftskontrollrapporten och den externa utvärderingen med den ansvarsfrihetsbeviljande myndigheten för att säkerställa ansvarsskyldighet och transparens. Parlamentet uppmanar utrikestjänsten att förse parlamentet med detaljerad information om genomförandet av internrevisionstjänstens upphandlingsrelaterade rekommendationer. Parlamentet begär att utrikestjänsten offentliggör resultaten och rekommendationerna från den arbetsgrupp som inrättades 2024 för att stärka upphandlingsprocesserna, i syfte att möjliggöra offentlig granskning av deras genomförande och göra det möjligt för andra unionsinstitutioner att dra nytta av utrikestjänstens lärdomar när det gäller att förbättra upphandlingsförfarandena. Parlamentet noterar även beslutet av den europeiska diplomatakademins styrkommitté vid dess sammanträde den 18 december 2025 att begära att Europeiska högskolan säkerställer en transparent och konkurrensutsatt rekryteringsprocess, på grundval av offentliggörandet av ett meddelande om lediga tjänster, för utnämningen av en ny direktör för den europeiska diplomatakademin. Parlamentet välkomnar att styrkommittén dessutom begärde att tjänsten som direktör för den europeiska diplomatakademin skulle hållas åtskild från tjänsten som rektor för Europeiska högskolan. Parlamentet understryker behovet av vaksam och effektiv parlamentarisk tillsyn för att skydda upphandlingars integritet, upprätthålla etiska standarder och sörja för skyddet av unionens ekonomiska intressen och dess anseende. Parlamentet upprepar att transparens och sund ekonomisk förvaltning vid användningen av unionens offentliga medel måste förbli en grundläggande princip för alla unionens institutioner och organ, inbegripet utrikestjänsten, och att denna princip är en hörnsten när det gäller att upprätthålla medborgarnas förtroende för unionens yttre åtgärder. Parlamentet anser att </w:t>
      </w:r>
      <w:proofErr w:type="spellStart"/>
      <w:r w:rsidR="00663A55" w:rsidRPr="00663A55">
        <w:t>Eppos</w:t>
      </w:r>
      <w:proofErr w:type="spellEnd"/>
      <w:r w:rsidR="00663A55" w:rsidRPr="00663A55">
        <w:t xml:space="preserve"> utredning inte bör användas för att undergräva den funktion som utövas av den europeiska diplomatakademin, vars mervärde måste erkännas fullt ut, särskilt med tanke på den konsekvent positiva återkoppling som mottagits från deltagare och medlemsstater.</w:t>
      </w:r>
    </w:p>
    <w:p w14:paraId="3BAA8D8C" w14:textId="4B71891C" w:rsidR="00AA68A9" w:rsidRPr="0046795C" w:rsidRDefault="00AA68A9" w:rsidP="00AA68A9">
      <w:pPr>
        <w:pStyle w:val="NormalHanging12a"/>
      </w:pPr>
      <w:r w:rsidRPr="0046795C">
        <w:t>6</w:t>
      </w:r>
      <w:r w:rsidR="00EB499D">
        <w:t>7</w:t>
      </w:r>
      <w:r w:rsidRPr="0046795C">
        <w:t>.</w:t>
      </w:r>
      <w:r w:rsidRPr="0046795C">
        <w:tab/>
        <w:t>Europaparlamentet noterar utrikestjänstens rapportering om att det första hela året av genomförandet av 2023 års strategi mot bedrägerier ledde till en mer robust och enhetlig struktur mot bedrägerier, vilket stärkte institutionens övergripande integritet och transparens. Parlamentet noterar att denna strategi genomfördes genom förbättrad utbildning om medvetenhet om bedrägerier och förebyggande åtgärder som är bättre anpassade till de olika personalgruppernas särskilda ansvarsområden vid huvudkontoret och i delegationerna, spridning av interna riktlinjer och förstärkta, säkra rapporteringskanaler. Parlamentet noterar att utrikestjänstens personal har tillgång till en utbildningsväg för bedrägeribekämpning som utvecklats av Europeiska byrån för bedrägeribekämpning (Olaf), som en del av genomförandet av kommissionens strategi mot bedrägerier för att utveckla en gemensam utbildningsplan för etik och bedrägeribekämpning med utrikestjänsten. Parlamentet välkomnar det fortsatta främjandet av de 16 principerna för yrkesmässigt uppförande inom ramen för obligatoriska kurser i etik och integritet och policyn mot trakasserier.</w:t>
      </w:r>
    </w:p>
    <w:p w14:paraId="1904FB45" w14:textId="5DA5D61B" w:rsidR="00AA68A9" w:rsidRPr="0046795C" w:rsidRDefault="00AA68A9" w:rsidP="00AA68A9">
      <w:pPr>
        <w:pStyle w:val="NormalHanging12a"/>
      </w:pPr>
      <w:r w:rsidRPr="0046795C">
        <w:t>6</w:t>
      </w:r>
      <w:r w:rsidR="00EB499D">
        <w:t>8</w:t>
      </w:r>
      <w:r w:rsidRPr="0046795C">
        <w:t>.</w:t>
      </w:r>
      <w:r w:rsidRPr="0046795C">
        <w:tab/>
        <w:t xml:space="preserve">Europaparlamentet konstaterar utifrån frågeformuläret att utrikestjänsten registrerade två fall av visselblåsning under 2024. Parlamentet noterar att båda fallen granskades av Olaf och avslutades utan rekommendationer, antingen efter utredning eller i urvalsskedet. Parlamentet konstaterar med tillfredsställelse utifrån utrikestjänstens rapport för 2024 att utrikestjänsten började arbeta med att utveckla sin egen policy för </w:t>
      </w:r>
      <w:r w:rsidRPr="0046795C">
        <w:lastRenderedPageBreak/>
        <w:t>visselblåsare. Parlamentet begär att det hålls uppdaterat om framstegen med denna fråga. Parlamentet insisterar på att utrikestjänstens ram för visselblåsare ska omfatta konfidentiell rapportering, skydd mot repressalier för alla personalkategorier, inbegripet lokalanställda, och årlig anonymiserad rapportering om fall och resultat.</w:t>
      </w:r>
    </w:p>
    <w:p w14:paraId="6F283D83" w14:textId="3E13A8F8" w:rsidR="00AA68A9" w:rsidRPr="0046795C" w:rsidRDefault="00AA68A9" w:rsidP="00AA68A9">
      <w:pPr>
        <w:pStyle w:val="NormalHanging12a"/>
      </w:pPr>
      <w:r w:rsidRPr="0046795C">
        <w:t>6</w:t>
      </w:r>
      <w:r w:rsidR="00EB499D">
        <w:t>9</w:t>
      </w:r>
      <w:r w:rsidRPr="0046795C">
        <w:t>.</w:t>
      </w:r>
      <w:r w:rsidRPr="0046795C">
        <w:tab/>
        <w:t xml:space="preserve">Europaparlamentet konstaterar utifrån frågeformuläret att utrikestjänsten under 2024 registrerade tre förklaringar om intressekonflikter. I två fall som rörde upphandlingsförfaranden konstaterar parlamentet att en potentiell risk för intressekonflikter identifierades och begränsades genom att den berörda personalen befriades från vissa upphandlingsrelaterade uppgifter. I det tredje fallet, som gällde ersättning av utgifter, noterar parlamentet vidare att ingen intressekonflikt konstaterades föreligga, eftersom den anställde inte hade någon </w:t>
      </w:r>
      <w:proofErr w:type="spellStart"/>
      <w:r w:rsidRPr="0046795C">
        <w:t>diskretionär</w:t>
      </w:r>
      <w:proofErr w:type="spellEnd"/>
      <w:r w:rsidRPr="0046795C">
        <w:t xml:space="preserve"> roll i beräkningen av ersättningen. Parlamentet noterar att utrikestjänsten mottog 16 anmälningar om verksamhet efter avslutad tjänstgöring, varav 5 gällde flytt till den privata sektorn. Utrikestjänsten satte stopp för två fall av svängdörrsproblematik, dock utan att införa karensperioder för tidigare anställda.</w:t>
      </w:r>
    </w:p>
    <w:p w14:paraId="75CCB450" w14:textId="1345FFCC" w:rsidR="00AA68A9" w:rsidRPr="0046795C" w:rsidRDefault="00EB499D" w:rsidP="00AA68A9">
      <w:pPr>
        <w:pStyle w:val="NormalHanging12a"/>
      </w:pPr>
      <w:r>
        <w:t>70</w:t>
      </w:r>
      <w:r w:rsidR="00AA68A9" w:rsidRPr="0046795C">
        <w:t>.</w:t>
      </w:r>
      <w:r w:rsidR="00AA68A9" w:rsidRPr="0046795C">
        <w:tab/>
        <w:t>Europaparlamentet noterar att 11 misstänkta fall hänsköts till Olaf under 2024, varav 7 avvisades i urvalsskedet och ett avslutades utan rekommendationer. Parlamentet noterar vidare att 3 fall – som gällde potentiella tjänstefel eller oriktigheter i samband med upphandlingsförfaranden, kontraktsgenomförande och personalfrågor – fortfarande var under utredning. Parlamentet noterar vidare att 10 av de 13 Olaf-utredningar som inleddes 2023 och som rör utrikestjänsten fortfarande pågår, varav en är kopplad till en reservation som unionens delegation i Sierra Leone gjort med avseende på en misstanke om bedrägeri i samband med den unionsdelegationens administrativa budget. Parlamentet uppmanar utrikestjänsten att stå fast vid sitt åtagande att ha ett nära samarbete med Olaf i pågående ärenden och följa upp alla kvarstående rekommendationer från Olaf.</w:t>
      </w:r>
    </w:p>
    <w:p w14:paraId="492E464A" w14:textId="7F72F671" w:rsidR="00AA68A9" w:rsidRPr="0046795C" w:rsidRDefault="00AA68A9" w:rsidP="00AA68A9">
      <w:pPr>
        <w:pStyle w:val="NormalHanging12a"/>
      </w:pPr>
      <w:r w:rsidRPr="0046795C">
        <w:t>7</w:t>
      </w:r>
      <w:r w:rsidR="00EB499D">
        <w:t>1</w:t>
      </w:r>
      <w:r w:rsidRPr="0046795C">
        <w:t>.</w:t>
      </w:r>
      <w:r w:rsidRPr="0046795C">
        <w:tab/>
        <w:t>Europaparlamentet noterar att utrikestjänsten under 2024 hanterade 19 undersökningar från Europeiska ombudsmannen, varav 10 gällde administrativa frågor (inklusive försenade svar), 5 gällde tillgång till handlingar och 4 gällde personalfrågor, utöver ett antal informella begäranden om uppgifter som främst var kopplade till tjänsteresor, insatser och tillgång till handlingar. Parlamentet noterar med tillfredsställelse att Europeiska ombudsmannen inte fann några fall av administrativa missförhållanden i någon av de undersökningar som inleddes och avslutades 2024.</w:t>
      </w:r>
    </w:p>
    <w:p w14:paraId="0F4B6E03" w14:textId="78655C3C" w:rsidR="00AA68A9" w:rsidRPr="0046795C" w:rsidRDefault="00AA68A9" w:rsidP="00AA68A9">
      <w:pPr>
        <w:pStyle w:val="NormalHanging12a"/>
        <w:rPr>
          <w:bCs/>
          <w:iCs/>
        </w:rPr>
      </w:pPr>
      <w:r w:rsidRPr="0046795C">
        <w:t>7</w:t>
      </w:r>
      <w:r w:rsidR="00EB499D">
        <w:t>2</w:t>
      </w:r>
      <w:r w:rsidRPr="0046795C">
        <w:t>.</w:t>
      </w:r>
      <w:r w:rsidRPr="0046795C">
        <w:tab/>
        <w:t xml:space="preserve">Europaparlamentet beklagar djupt att utrikestjänsten har underlåtit att genomföra ordentliga översyner av genomförandet av samarbetsavtal med tredjeländer, inbegripet en bedömning av efterlevnaden av villkor och människorättsklausuler i avtalen. Parlamentet betonar att denna underlåtenhet är särskilt tydlig när det gäller avtalet om politisk dialog och samarbete med Kuba, som tio år efter undertecknandet har inneburit ett misslyckande på alla områden, från respekten för de mänskliga rättigheterna, inbegripet fängslandet av över tusen politiska fångar fram till slutet av 2025, till den kubanska regimens skadliga inverkan på den europeiska säkerheten, inbegripet ett nära politiskt och militärt samarbete med regimerna i Moskva och Minsk, vilket särskilt framgår av det faktum att kubanerna har blivit den största gruppen legosoldater som stöder de ryska styrkorna i deras anfallskrig mot Ukraina och genom deras inblandning i sabotage på EU:s territorium, vilket nyligen påvisats i Litauen. Parlamentet noterar att trots uppenbara kränkningar av många av bestämmelserna i avtalet har varken upphävande- eller uppsägningsklausulerna aktiverats, samtidigt som unionens </w:t>
      </w:r>
      <w:r w:rsidRPr="0046795C">
        <w:lastRenderedPageBreak/>
        <w:t>ekonomiska resurser har fortsatt att flöda till Kuba, där kommunistregimen kontrollerar hela ekonomin, missbrukar dessa medel och får politisk legitimitet från det pågående samarbetet inom ramen för avtalet om politisk dialog och samarbete. Parlamentet anser att sådana regimer inte får fortsätta att gynnas av ett privilegierat samarbete med Europeiska unionen och att unionsskattebetalarnas pengar inte får gå till sådana regimer. Parlamentet begär därför att artikel 86 i avtalet ska aktiveras och att avtalet ska upphävas. Parlamentet uppmanar revisionsrätten att snarast granska allt unionsstöd som beviljats Kuba sedan 2016.</w:t>
      </w:r>
    </w:p>
    <w:p w14:paraId="5BC8167F" w14:textId="63906E7E" w:rsidR="00AA68A9" w:rsidRPr="0046795C" w:rsidRDefault="00AA68A9" w:rsidP="00AA68A9">
      <w:pPr>
        <w:pStyle w:val="NormalHanging12a"/>
      </w:pPr>
      <w:r w:rsidRPr="0046795C">
        <w:t>7</w:t>
      </w:r>
      <w:r w:rsidR="00EB499D">
        <w:t>3</w:t>
      </w:r>
      <w:r w:rsidRPr="0046795C">
        <w:t>.</w:t>
      </w:r>
      <w:r w:rsidRPr="0046795C">
        <w:tab/>
        <w:t>Europaparlamentet noterar att vice ordföranden/den höga representanten i sin egenskap av vice ordförande för kommissionen är bunden av öppenhetsregistrets regler. Parlamentet betonar att även om utrikestjänsten inte är en institution i den mening som avses i artikel 13 i fördraget om Europeiska unionen och inte har någon direkt roll inom unionsrätten, spelar den dock en viktig roll inom unionsrätten när det gäller beslut om sanktioner och förhandlingar om internationella handelsavtal, vilka har en betydande reglerande verkan. Parlamentet uppmanar utrikestjänsten att anta interna transparensåtgärder som är anpassade till öppenhetsregistrets standarder, inbegripet proaktivt offentliggörande av möten på hög nivå med relevant högsta ledning när detta inte äventyrar säkerhetskänslig diplomati för utrikestjänsten. Parlamentet konstaterar med tillfredsställelse utifrån uppföljningsrapporten att vice ordföranden/den höga representanten inledde en bredare diskussion om att ta itu med frågan i den externa dimensionen med rekommendationer som förväntades i slutet av 2025. Parlamentet uppmanar utrikestjänsten att hålla parlamentet uppdaterat om de framsteg som görs i denna fråga.</w:t>
      </w:r>
    </w:p>
    <w:p w14:paraId="63F18693" w14:textId="77777777" w:rsidR="00AA68A9" w:rsidRPr="0046795C" w:rsidRDefault="00AA68A9" w:rsidP="00AA68A9">
      <w:pPr>
        <w:pStyle w:val="NormalHanging12a"/>
        <w:keepNext/>
        <w:widowControl/>
        <w:rPr>
          <w:b/>
          <w:bCs/>
          <w:i/>
          <w:iCs/>
        </w:rPr>
      </w:pPr>
      <w:r w:rsidRPr="0046795C">
        <w:rPr>
          <w:b/>
          <w:i/>
        </w:rPr>
        <w:t>Digitalisering, cybersäkerhet och skydd av personuppgifter</w:t>
      </w:r>
    </w:p>
    <w:p w14:paraId="43C4B202" w14:textId="77777777" w:rsidR="00AA68A9" w:rsidRPr="0046795C" w:rsidRDefault="00AA68A9" w:rsidP="00AA68A9">
      <w:pPr>
        <w:pStyle w:val="NormalHanging12a"/>
        <w:keepNext/>
        <w:widowControl/>
      </w:pPr>
      <w:r w:rsidRPr="0046795C">
        <w:t>74.</w:t>
      </w:r>
      <w:r w:rsidRPr="0046795C">
        <w:tab/>
        <w:t xml:space="preserve">Europaparlamentet konstaterar utifrån frågeformuläret att </w:t>
      </w:r>
      <w:proofErr w:type="spellStart"/>
      <w:r w:rsidRPr="0046795C">
        <w:t>it-relaterade</w:t>
      </w:r>
      <w:proofErr w:type="spellEnd"/>
      <w:r w:rsidRPr="0046795C">
        <w:t xml:space="preserve"> utgifter, inbegripet projekt, utrustning och cybersäkerhet, minskade med 6,1 %, från 26,04 miljoner EUR 2023 till 24,45 miljoner EUR 2024. Parlamentet konstaterar att </w:t>
      </w:r>
      <w:proofErr w:type="spellStart"/>
      <w:r w:rsidRPr="0046795C">
        <w:t>it-utgifterna</w:t>
      </w:r>
      <w:proofErr w:type="spellEnd"/>
      <w:r w:rsidRPr="0046795C">
        <w:t xml:space="preserve"> för huvudkontoret ökade med 37,2 % under 2024, främst på grund av stora investeringar till stöd för </w:t>
      </w:r>
      <w:proofErr w:type="spellStart"/>
      <w:r w:rsidRPr="0046795C">
        <w:t>migreringen</w:t>
      </w:r>
      <w:proofErr w:type="spellEnd"/>
      <w:r w:rsidRPr="0046795C">
        <w:t xml:space="preserve"> av utrikestjänstens applikationer, medan utgifterna i unionens delegationer minskade avsevärt till följd av betydande investeringar i utbyggnad av maskinvara och </w:t>
      </w:r>
      <w:proofErr w:type="spellStart"/>
      <w:r w:rsidRPr="0046795C">
        <w:t>konnektivitet</w:t>
      </w:r>
      <w:proofErr w:type="spellEnd"/>
      <w:r w:rsidRPr="0046795C">
        <w:t xml:space="preserve"> i unionens delegationer under 2023.</w:t>
      </w:r>
    </w:p>
    <w:p w14:paraId="6BEDD330" w14:textId="77777777" w:rsidR="00AA68A9" w:rsidRPr="0046795C" w:rsidRDefault="00AA68A9" w:rsidP="00AA68A9">
      <w:pPr>
        <w:pStyle w:val="NormalHanging12a"/>
      </w:pPr>
      <w:r w:rsidRPr="0046795C">
        <w:t>75.</w:t>
      </w:r>
      <w:r w:rsidRPr="0046795C">
        <w:tab/>
        <w:t xml:space="preserve">Europaparlamentet påminner om att utrikestjänsten började hysa och förvalta sin egen AI-miljö 2023, vilket gjorde det möjligt att köra </w:t>
      </w:r>
      <w:proofErr w:type="spellStart"/>
      <w:r w:rsidRPr="0046795C">
        <w:t>koncepttest</w:t>
      </w:r>
      <w:proofErr w:type="spellEnd"/>
      <w:r w:rsidRPr="0046795C">
        <w:t xml:space="preserve"> såsom briefingar, mötesprotokoll och en AI-assistent. Parlamentet välkomnar antagandet av utrikestjänstens strategi för artificiell intelligens 2024, som främjar en människocentrerad strategi för AI i linje med Europaparlamentets och rådets förordning (EU) 2024/1689</w:t>
      </w:r>
      <w:r w:rsidRPr="0046795C">
        <w:rPr>
          <w:rStyle w:val="FootnoteReference"/>
        </w:rPr>
        <w:footnoteReference w:id="11"/>
      </w:r>
      <w:r w:rsidRPr="0046795C">
        <w:t xml:space="preserve"> och säkerställer etiska och tillförlitliga system, samt riktlinjerna för användning av generativ AI från tredje part. Parlamentet välkomnar att utrikestjänsten utvidgade den samarbetsinriktade och dokumentcentrerade plattformen (HIVE) för </w:t>
      </w:r>
      <w:r w:rsidRPr="0046795C">
        <w:lastRenderedPageBreak/>
        <w:t>externa användare, till exempel från medlemsstaterna, och förvaltningssystemet (HR HUB) för lokalanställda i unionens delegationer.</w:t>
      </w:r>
    </w:p>
    <w:p w14:paraId="1DCBB7D3" w14:textId="77777777" w:rsidR="00AA68A9" w:rsidRPr="0046795C" w:rsidRDefault="00AA68A9" w:rsidP="00AA68A9">
      <w:pPr>
        <w:pStyle w:val="NormalHanging12a"/>
        <w:rPr>
          <w:bCs/>
          <w:iCs/>
        </w:rPr>
      </w:pPr>
      <w:r w:rsidRPr="0046795C">
        <w:t>76.</w:t>
      </w:r>
      <w:r w:rsidRPr="0046795C">
        <w:tab/>
        <w:t>Europaparlamentet betonar att införandet av verktyg för artificiell intelligens i yttre åtgärder måste åtföljas av strikta skyddsåtgärder för dataskydd, grundläggande rättigheter, transparens och mänsklig tillsyn, även i unionens delegationer och i samarbetet med partner i tredjeländer. Parlamentet efterlyser regelbunden rapportering till parlamentet om genomförandet av utrikestjänstens strategi för artificiell intelligens.</w:t>
      </w:r>
    </w:p>
    <w:p w14:paraId="2B57D5F9" w14:textId="77777777" w:rsidR="00AA68A9" w:rsidRPr="0046795C" w:rsidRDefault="00AA68A9" w:rsidP="00AA68A9">
      <w:pPr>
        <w:pStyle w:val="NormalHanging12a"/>
      </w:pPr>
      <w:r w:rsidRPr="0046795C">
        <w:t>77.</w:t>
      </w:r>
      <w:r w:rsidRPr="0046795C">
        <w:tab/>
        <w:t>Europaparlamentet lovordar utrikestjänsten för dess åtgärder för att förbättra cybersäkerhetsberedskapen genom regelbundna säkerhetsgenomgångar som omfattar ett brett spektrum av personal och associerade personer, tillsammans med utbildningstillfällen anordnade på begäran av olika användargrupper, inbegripet regionala säkerhetsansvariga och säkerhetssamordnare för unionens delegationer, samt nätfiskeövningar. Parlamentet uppmanar utrikestjänsten att tillhandahålla regelbunden obligatorisk cybersäkerhetsutbildning för all personal vid utrikestjänsten. Parlamentet noterar med tillfredsställelse utifrån frågeformuläret de verktyg – exempelvis utrikestjänstens säkerhetscentrum – som utrikestjänsten är utrustad med för att i realtid övervaka cyberhot och identifiera sårbarheter vad gäller säkerheten.</w:t>
      </w:r>
    </w:p>
    <w:p w14:paraId="63B86D66" w14:textId="77777777" w:rsidR="00AA68A9" w:rsidRPr="0046795C" w:rsidRDefault="00AA68A9" w:rsidP="00AA68A9">
      <w:pPr>
        <w:pStyle w:val="NormalHanging12a"/>
      </w:pPr>
      <w:r w:rsidRPr="0046795C">
        <w:t>78.</w:t>
      </w:r>
      <w:r w:rsidRPr="0046795C">
        <w:tab/>
        <w:t xml:space="preserve">Europaparlamentet lovordar utrikestjänsten för de digitala verktyg och system som den använder i kampen mot utländsk informationsmanipulering och inblandning, till exempel informations- och analyscentralen avseende utländsk informationsmanipulering och inblandning och systemet för snabb varning. Parlamentet noterar vidare utifrån frågeformuläret lanseringen av en e-kurs om motverkande av desinformation, tillgänglig för alla unionsinstitutioner, och slutförandet av en GSFP-handbok om desinformation utformad för att stödja fältpersonal i unionens militära och civila uppdrag. Parlamentet välkomnar den pågående utvecklingen av initiativet </w:t>
      </w:r>
      <w:proofErr w:type="spellStart"/>
      <w:r w:rsidRPr="0046795C">
        <w:t>EUvsDisinfo</w:t>
      </w:r>
      <w:proofErr w:type="spellEnd"/>
      <w:r w:rsidRPr="0046795C">
        <w:t xml:space="preserve"> för att öka medvetenheten och betonar vikten av ytterligare samarbete med medlemsstaterna för att mer effektivt ta itu med hybridhot på plats.</w:t>
      </w:r>
    </w:p>
    <w:p w14:paraId="3549C7E2" w14:textId="77777777" w:rsidR="00AA68A9" w:rsidRPr="0046795C" w:rsidRDefault="00AA68A9" w:rsidP="00AA68A9">
      <w:pPr>
        <w:pStyle w:val="NormalHanging12a"/>
      </w:pPr>
      <w:r w:rsidRPr="0046795C">
        <w:t>79.</w:t>
      </w:r>
      <w:r w:rsidRPr="0046795C">
        <w:tab/>
        <w:t>Europaparlamentet konstaterar utifrån frågeformuläret och utrikestjänstens rapport för 2024 att utrikestjänsten upptäckte omkring 27 000 varningar, varav 348 krävde ytterligare utredning. Parlamentet konstaterar att 57 av de sistnämnda bekräftades vara cyberattacker och att 5 hade en betydande inverkan på utrikestjänstens insatser. Parlamentet noterar med tillfredsställelse att utrikestjänsten identifierade angriparnas taktik, teknik och förfaranden och använde denna analys för att stärka sina motåtgärder. Parlamentet begär ett förtydligande av i vilken utsträckning dessa attacker påverkade institutionens verksamhet.</w:t>
      </w:r>
    </w:p>
    <w:p w14:paraId="6A85FD2B" w14:textId="77777777" w:rsidR="00AA68A9" w:rsidRPr="0046795C" w:rsidRDefault="00AA68A9" w:rsidP="00AA68A9">
      <w:pPr>
        <w:pStyle w:val="NormalHanging12a"/>
        <w:rPr>
          <w:b/>
          <w:bCs/>
          <w:i/>
          <w:iCs/>
        </w:rPr>
      </w:pPr>
      <w:r w:rsidRPr="0046795C">
        <w:rPr>
          <w:b/>
          <w:i/>
        </w:rPr>
        <w:t>Byggnader och säkerhet</w:t>
      </w:r>
    </w:p>
    <w:p w14:paraId="314E532F" w14:textId="77777777" w:rsidR="00AA68A9" w:rsidRPr="0046795C" w:rsidRDefault="00AA68A9" w:rsidP="00AA68A9">
      <w:pPr>
        <w:pStyle w:val="NormalHanging12a"/>
      </w:pPr>
      <w:r w:rsidRPr="0046795C">
        <w:t>80.</w:t>
      </w:r>
      <w:r w:rsidRPr="0046795C">
        <w:tab/>
        <w:t xml:space="preserve">Europaparlamentet noterar att utrikestjänsten under 2024 hade ett globalt nätverk av 328 byggnader för unionens delegationer som användes som kontor och bostäder för delegationschefer samt tre kontorsbyggnader vid huvudkontoret i Bryssel. Parlamentet noterar att utrikestjänsten i slutet av 2024 hade tre byggnader i Bryssel med en total yta på 87 506 m² och använde 175 kontorsbyggnader för unionens delegationer i tredjeländer, motsvarande 287 000 m². Parlamentet noterar vidare att unionen ägde 23 % av dessa lokaler för unionens delegationer, medan återstående 77 % hyrdes. Parlamentet noterar med oro, utifrån frågeformuläret, en resursbrist som begränsar genomförandet av utrikestjänstens fastighetspolitik, och att utrikestjänsten skulle </w:t>
      </w:r>
      <w:r w:rsidRPr="0046795C">
        <w:lastRenderedPageBreak/>
        <w:t>behöva fler infrastrukturexperter för att öka sin kapacitet att genomföra fastighetsprojekt.</w:t>
      </w:r>
    </w:p>
    <w:p w14:paraId="24D9EF84" w14:textId="77777777" w:rsidR="00AA68A9" w:rsidRPr="0046795C" w:rsidRDefault="00AA68A9" w:rsidP="00AA68A9">
      <w:pPr>
        <w:pStyle w:val="NormalHanging12a"/>
      </w:pPr>
      <w:r w:rsidRPr="0046795C">
        <w:t>81.</w:t>
      </w:r>
      <w:r w:rsidRPr="0046795C">
        <w:tab/>
        <w:t xml:space="preserve">Europaparlamentet konstaterar med tillfredsställelse att utrikestjänsten på nytt bekräftade sitt åtagande att bevara nätverket av 145 unionsdelegationer och stärka </w:t>
      </w:r>
      <w:proofErr w:type="spellStart"/>
      <w:r w:rsidRPr="0046795C">
        <w:rPr>
          <w:i/>
          <w:iCs/>
        </w:rPr>
        <w:t>One</w:t>
      </w:r>
      <w:proofErr w:type="spellEnd"/>
      <w:r w:rsidRPr="0046795C">
        <w:rPr>
          <w:i/>
          <w:iCs/>
        </w:rPr>
        <w:t> Delegation</w:t>
      </w:r>
      <w:r w:rsidRPr="0046795C">
        <w:t>-principen. Parlamentet konstaterar att den pågående moderniseringen syftar till att öka effektiviteten och anpassa nätverket till unionens prioriteringar samtidigt som man tar itu med budgetbegränsningarna. Parlamentet understryker att strikta besparingsåtgärder, diskussioner om kostnadsdelning med kommissionen och en riktad förstärkning av viktiga unionsdelegationer kommer att fortsätta fram till dess att de finansiella villkoren förbättras. Parlamentet uppmanar utrikestjänsten att införa periodiska bedömningar av delegationernas arbetsbörda och en metod för kartläggning av deras personalbehov, kopplade till risknivå och en utökning av mandatet, för att förhindra utbrändhet och förbättra bibehållandet av personal. Parlamentet uttrycker oro över planen att införa nya distinktioner i fråga om kategorier och resurser bland delegationerna. Parlamentet beklagar djupt att en minskning av vissa unionsdelegationers storlek och nedskärning av personal, i en övergång från det ursprungliga fokuset på utvecklingsbistånd och ekonomiskt samarbete till vissa strategiska intressen, riskerar att undergräva unionens operativa verksamhet och närvaro i tredjeländer och hämma utrikestjänstens förmåga att fullgöra sitt mandat och försvara unionens värden, med särskild inverkan på unionens förbindelser med det globala Syd och det södra grannskapet. Parlamentet uppmanar utrikestjänsten att behålla sin centrala roll och strategiska prioritering i Medelhavsområdet på grundval av en omfattande bedömning av unionens geopolitiska utmaningar, medan en hög nivå av engagemang med de östra grannländerna upprätthålls.</w:t>
      </w:r>
    </w:p>
    <w:p w14:paraId="57C672B1" w14:textId="77777777" w:rsidR="00AA68A9" w:rsidRPr="0046795C" w:rsidRDefault="00AA68A9" w:rsidP="00AA68A9">
      <w:pPr>
        <w:pStyle w:val="NormalHanging12a"/>
      </w:pPr>
      <w:r w:rsidRPr="0046795C">
        <w:t>82.</w:t>
      </w:r>
      <w:r w:rsidRPr="0046795C">
        <w:tab/>
        <w:t>Europaparlamentet upprepar att budgetbegränsningar kan leda till alltför många stängningar av unionens ambassader och till att installationen av säkerhetsanordningar i ett antal av unionens delegationer skjuts upp, vilket hämmar utrikestjänstens förmåga att fullgöra sitt uppdrag och skydda unionens värden och på ett korrekt sätt säkerställa aktsamhetsplikten med avseende på all personal i unionens delegationer. Medlemsstaterna uppmanas eftertryckligen att tillhandahålla tillräcklig finansiering till utrikestjänsten och kommissionen för att säkerställa att unionen bibehåller sitt delegationsnätverk oförändrat, som en signal om sitt globala engagemang.</w:t>
      </w:r>
    </w:p>
    <w:p w14:paraId="732AE509" w14:textId="77777777" w:rsidR="00AA68A9" w:rsidRPr="0046795C" w:rsidRDefault="00AA68A9" w:rsidP="00AA68A9">
      <w:pPr>
        <w:pStyle w:val="NormalHanging12a"/>
        <w:rPr>
          <w:bCs/>
          <w:iCs/>
        </w:rPr>
      </w:pPr>
      <w:r w:rsidRPr="0046795C">
        <w:t>83.</w:t>
      </w:r>
      <w:r w:rsidRPr="0046795C">
        <w:tab/>
        <w:t>Europaparlamentet uppmanar utrikestjänsten att stärka de praktiska samordningsmekanismerna med medlemsstaternas diplomatiska beskickningar i tredjeländer, bland annat genom gemensamma tjänster, gemensamma logistiska arrangemang och förbättrat informationsutbyte, för att maximera effektiviteten och säkerställa en optimal användning av unionens resurser och nationella resurser.</w:t>
      </w:r>
    </w:p>
    <w:p w14:paraId="4FA18A52" w14:textId="77777777" w:rsidR="00AA68A9" w:rsidRPr="0046795C" w:rsidRDefault="00AA68A9" w:rsidP="00AA68A9">
      <w:pPr>
        <w:pStyle w:val="NormalHanging12a"/>
      </w:pPr>
      <w:r w:rsidRPr="0046795C">
        <w:t>84.</w:t>
      </w:r>
      <w:r w:rsidRPr="0046795C">
        <w:tab/>
        <w:t>Europaparlamentet konstaterar utifrån frågeformuläret att utrikestjänsten under 2024 fortsatte att genomföra sin politik för samarbetsinriktade kontor och nya arbetsmetoder, inbegripet unionsomfattande varumärkesprofilering för sina huvudkontor och delegationer. Parlamentet betonar att man genom denna strategi ersätter enskilda kontor med multifunktionella områden för att förbättra utrymmeseffektiviteten, stödja lagarbete och minska miljöpåverkan. Parlamentet noterar vidare att dessa projekt diskuteras med personalföreträdare genom utrikestjänstens personalkommitté och att en särskild personalundersökning inleddes för Belmont-byggnaden.</w:t>
      </w:r>
    </w:p>
    <w:p w14:paraId="034455F7" w14:textId="77777777" w:rsidR="00AA68A9" w:rsidRPr="0046795C" w:rsidRDefault="00AA68A9" w:rsidP="00AA68A9">
      <w:pPr>
        <w:pStyle w:val="NormalHanging12a"/>
      </w:pPr>
      <w:r w:rsidRPr="0046795C">
        <w:t>85.</w:t>
      </w:r>
      <w:r w:rsidRPr="0046795C">
        <w:tab/>
        <w:t xml:space="preserve">Europaparlamentet konstaterar utifrån utrikestjänstens rapport för 2024 att </w:t>
      </w:r>
      <w:r w:rsidRPr="0046795C">
        <w:lastRenderedPageBreak/>
        <w:t>utrikestjänsten framgångsrikt uppnådde sina viktigaste fastighetsprioriteringar för 2024, bland annat att slutföra renoveringen av NEO-byggnaden, flytta krishanterings- och underrättelseavdelningar till en säkrare och mer energieffektiv plats och göra ordentliga framsteg med renoveringen av Schumanbyggnaden.</w:t>
      </w:r>
    </w:p>
    <w:p w14:paraId="6FA2A6F7" w14:textId="77777777" w:rsidR="00AA68A9" w:rsidRPr="0046795C" w:rsidRDefault="00AA68A9" w:rsidP="00AA68A9">
      <w:pPr>
        <w:pStyle w:val="NormalHanging12a"/>
      </w:pPr>
      <w:r w:rsidRPr="0046795C">
        <w:t>86.</w:t>
      </w:r>
      <w:r w:rsidRPr="0046795C">
        <w:tab/>
        <w:t>Europaparlamentet noterar i frågeformuläret att utrikestjänsten på grund av den alltmer instabila säkerhetssituationen i världen var tvungen att stärka säkerhetsstrukturerna under 2024. Parlamentet välkomnar ökningen på 10 miljoner EUR i 2025 års budget för att stärka säkerhetsinfrastrukturen i unionens delegationer. Parlamentet noterar utrikestjänstens mål att minska antalet unionsdelegationer som inte uppfyller säkerhetsstandarderna med omkring 15 % genom nya installationer och utbyte av föråldrade system.</w:t>
      </w:r>
    </w:p>
    <w:p w14:paraId="4DEC4173" w14:textId="77777777" w:rsidR="00AA68A9" w:rsidRPr="0046795C" w:rsidRDefault="00AA68A9" w:rsidP="00AA68A9">
      <w:pPr>
        <w:pStyle w:val="NormalHanging12a"/>
      </w:pPr>
      <w:r w:rsidRPr="0046795C">
        <w:t>87.</w:t>
      </w:r>
      <w:r w:rsidRPr="0046795C">
        <w:tab/>
        <w:t xml:space="preserve">Europaparlamentet noterar i utrikestjänstens rapport för 2024 att samlokaliseringsarrangemangen i slutet av 2024 hade ökat till 137 (45 med medlemsstater och partnerländer och 92 med andra unionspartner). Parlamentet konstaterar att samlokaliseringen har ökat snabbt, mer än fördubblats under de senaste sex åren och mer än sexdubblats sedan 2011. Parlamentet understryker att samlokalisering nu står för 8 % av unionsdelegationernas kontorsutrymme och involverar 80 unionsdelegationer, med en konsekvent tillämpning av </w:t>
      </w:r>
      <w:proofErr w:type="spellStart"/>
      <w:r w:rsidRPr="0046795C">
        <w:t>hållbarhetsprinciper</w:t>
      </w:r>
      <w:proofErr w:type="spellEnd"/>
      <w:r w:rsidRPr="0046795C">
        <w:t xml:space="preserve"> i alla gemensamma arbetsmiljöer.</w:t>
      </w:r>
    </w:p>
    <w:p w14:paraId="7B97C2F3" w14:textId="77777777" w:rsidR="00AA68A9" w:rsidRPr="0046795C" w:rsidRDefault="00AA68A9" w:rsidP="00AA68A9">
      <w:pPr>
        <w:pStyle w:val="NormalHanging12a"/>
      </w:pPr>
      <w:r w:rsidRPr="0046795C">
        <w:t>88.</w:t>
      </w:r>
      <w:r w:rsidRPr="0046795C">
        <w:tab/>
        <w:t>Europaparlamentet välkomnar att utrikestjänsten fokuserar på att säkerställa att dess byggnader är tillgängliga för personer med funktionsnedsättning och nedsatt rörlighet. Parlamentet konstaterar utifrån frågeformuläret att det under 2024 hölls regelbundna möten med utrikestjänstens fastighetsavdelning och säkerhetsavdelning och andra kommissionsavdelningar för att utbyta bästa praxis om bland annat tillgänglighet och utrymning av byggnader.</w:t>
      </w:r>
    </w:p>
    <w:p w14:paraId="081ECCE2" w14:textId="77777777" w:rsidR="00AA68A9" w:rsidRPr="0046795C" w:rsidRDefault="00AA68A9" w:rsidP="00AA68A9">
      <w:pPr>
        <w:pStyle w:val="NormalHanging12a"/>
        <w:keepNext/>
        <w:widowControl/>
        <w:rPr>
          <w:b/>
          <w:bCs/>
          <w:i/>
          <w:iCs/>
        </w:rPr>
      </w:pPr>
      <w:r w:rsidRPr="0046795C">
        <w:rPr>
          <w:b/>
          <w:i/>
        </w:rPr>
        <w:t>Miljö och hållbarhet</w:t>
      </w:r>
    </w:p>
    <w:p w14:paraId="20A69D18" w14:textId="77777777" w:rsidR="00AA68A9" w:rsidRPr="0046795C" w:rsidRDefault="00AA68A9" w:rsidP="00AA68A9">
      <w:pPr>
        <w:pStyle w:val="NormalHanging12a"/>
        <w:keepNext/>
        <w:widowControl/>
      </w:pPr>
      <w:r w:rsidRPr="0046795C">
        <w:t>89.</w:t>
      </w:r>
      <w:r w:rsidRPr="0046795C">
        <w:tab/>
        <w:t>Europaparlamentet framhåller utrikestjänstens initiativ för energieffektivitet och förnybar energi under 2024, inbegripet byte till LED-belysning och renoveringsarbeten i Schumanbyggnaden till följd av nya arbetsmetoder, isolering av vatten- och värmeledningar, optimering av system för uppvärmning, ventilation och luftkonditionering samt standardiserade. Parlamentet noterar den successiva installationen av centrala avfallssorteringsstationer i Schumanbyggnaden och den fullständiga installationen i Belmont- och NEO-byggnaderna, tillsammans med pågående energibesparingsåtgärder. Parlamentet erkänner upphandlingen av 100 % förnybar el (1 569 miljoner EUR) och solenergiproduktionen på plats på 22 286 kWh, där Schumanbyggnadens väg mot en utfasning av fossila bränslen fram till 2050 innebär att man kombinerar kortsiktiga förvaltnings- och isoleringsåtgärder med långsiktiga förbättringar, till exempel solcellsinstallationer och byte från gasuppvärmning till värmepumpar.</w:t>
      </w:r>
    </w:p>
    <w:p w14:paraId="32E574E4" w14:textId="77777777" w:rsidR="00AA68A9" w:rsidRPr="0046795C" w:rsidRDefault="00AA68A9" w:rsidP="00AA68A9">
      <w:pPr>
        <w:pStyle w:val="NormalHanging12a"/>
      </w:pPr>
      <w:r w:rsidRPr="0046795C">
        <w:t>90.</w:t>
      </w:r>
      <w:r w:rsidRPr="0046795C">
        <w:tab/>
        <w:t xml:space="preserve">Europaparlamentet noterar utrikestjänstens första omfattande bedömning av sitt koldioxidavtryck för 2024 i samband med certifieringen enligt miljölednings- och miljörevisionsordningen (Emas). Parlamentet noterar att denna bedömning omfattade huvudkontorsbyggnader och centralt förvaltad </w:t>
      </w:r>
      <w:proofErr w:type="spellStart"/>
      <w:r w:rsidRPr="0046795C">
        <w:t>scope</w:t>
      </w:r>
      <w:proofErr w:type="spellEnd"/>
      <w:r w:rsidRPr="0046795C">
        <w:t xml:space="preserve"> 3-verksamhet och visade på noll marknadsbaserade </w:t>
      </w:r>
      <w:proofErr w:type="spellStart"/>
      <w:r w:rsidRPr="0046795C">
        <w:t>scope</w:t>
      </w:r>
      <w:proofErr w:type="spellEnd"/>
      <w:r w:rsidRPr="0046795C">
        <w:t> 2-utsläpp på grund av 100 % inköp av förnybar el och en minskning av koldioxidintensiteten från 4,6 </w:t>
      </w:r>
      <w:proofErr w:type="spellStart"/>
      <w:r w:rsidRPr="0046795C">
        <w:t>tCO₂e</w:t>
      </w:r>
      <w:proofErr w:type="spellEnd"/>
      <w:r w:rsidRPr="0046795C">
        <w:t xml:space="preserve">/heltidsekvivalent 2019 till </w:t>
      </w:r>
      <w:r w:rsidRPr="0046795C">
        <w:lastRenderedPageBreak/>
        <w:t>3,4 </w:t>
      </w:r>
      <w:proofErr w:type="spellStart"/>
      <w:r w:rsidRPr="0046795C">
        <w:t>tCO₂e</w:t>
      </w:r>
      <w:proofErr w:type="spellEnd"/>
      <w:r w:rsidRPr="0046795C">
        <w:t xml:space="preserve">/heltidsekvivalent 2024 (–28 %), med ett avtryck som omfattade omkring 20 % </w:t>
      </w:r>
      <w:proofErr w:type="spellStart"/>
      <w:r w:rsidRPr="0046795C">
        <w:t>scope</w:t>
      </w:r>
      <w:proofErr w:type="spellEnd"/>
      <w:r w:rsidRPr="0046795C">
        <w:t xml:space="preserve"> 1- och 80 % </w:t>
      </w:r>
      <w:proofErr w:type="spellStart"/>
      <w:r w:rsidRPr="0046795C">
        <w:t>scope</w:t>
      </w:r>
      <w:proofErr w:type="spellEnd"/>
      <w:r w:rsidRPr="0046795C">
        <w:t> 3-utsläpp.</w:t>
      </w:r>
    </w:p>
    <w:p w14:paraId="27C21A22" w14:textId="77777777" w:rsidR="00AA68A9" w:rsidRPr="0046795C" w:rsidRDefault="00AA68A9" w:rsidP="00AA68A9">
      <w:pPr>
        <w:pStyle w:val="NormalHanging12a"/>
      </w:pPr>
      <w:r w:rsidRPr="0046795C">
        <w:t>91.</w:t>
      </w:r>
      <w:r w:rsidRPr="0046795C">
        <w:tab/>
        <w:t>Europaparlamentet välkomnar utrikestjänstens förstärkta engagemang för hållbar mobilitet, inbegripet antagandet av den nya pendlingspolicyn för huvudkontoret i slutet av 2024, som innebär att ersättningen för kollektivtrafik ökar till 90 % från och med januari 2025. Parlamentet erkänner genomförandet av åtgärder för att minska miljöpåverkan, så att man uppnådde 64 % av flygsträckorna i ekonomiklass 2024 (en högre siffra än Emas-målet på 60 % senast 2030) och prioriterade tåg för korta resor, med en planerad minskning av personalens bilpendling från 17 % 2024 till 13 % 2027, samt främjade cykel- och gånginitiativ genom förbättrade faciliteter och informationskampanjer.</w:t>
      </w:r>
    </w:p>
    <w:p w14:paraId="5C7152E1" w14:textId="77777777" w:rsidR="00AA68A9" w:rsidRPr="0046795C" w:rsidRDefault="00AA68A9" w:rsidP="00AA68A9">
      <w:pPr>
        <w:pStyle w:val="NormalHanging12a"/>
      </w:pPr>
      <w:r w:rsidRPr="0046795C">
        <w:t>92.</w:t>
      </w:r>
      <w:r w:rsidRPr="0046795C">
        <w:tab/>
        <w:t>Europaparlamentet uppskattar att hållbarhetshänsyn ingår i upphandlingar genom klausuler om miljöanpassad offentlig upphandling (MOU) i anbudsmallarna. Parlamentet noterar att 38 % av huvudkontorets kontrakt av högt värde och 87 % av upphandlingsmallarna innehöll MOU-klausuler 2024. Parlamentet noterar med tillfredsställelse att unionens delegationer tillämpade gröna kriterier vid upphandlingar av fordon, it-utrustning och städtjänster, och att ytterligare insatser planeras för 2025, inbegripet ett särskilt MOU-informationsnav, för unionens delegationer, på plattformen HIVE. Parlamentet noterar att 16 upphandlingar av högt värde omfattade indikatorer för miljöprestanda och att 6 kontrakt med relevans för MOU undertecknades 2024.</w:t>
      </w:r>
    </w:p>
    <w:p w14:paraId="02857B5A" w14:textId="77777777" w:rsidR="00AA68A9" w:rsidRPr="0046795C" w:rsidRDefault="00AA68A9" w:rsidP="00AA68A9">
      <w:pPr>
        <w:pStyle w:val="NormalHanging12a"/>
        <w:keepNext/>
        <w:widowControl/>
        <w:rPr>
          <w:b/>
          <w:bCs/>
          <w:i/>
          <w:iCs/>
        </w:rPr>
      </w:pPr>
      <w:r w:rsidRPr="0046795C">
        <w:rPr>
          <w:b/>
          <w:i/>
        </w:rPr>
        <w:t>Interinstitutionellt samarbete</w:t>
      </w:r>
    </w:p>
    <w:p w14:paraId="55D9D79A" w14:textId="77777777" w:rsidR="00AA68A9" w:rsidRPr="0046795C" w:rsidRDefault="00AA68A9" w:rsidP="00AA68A9">
      <w:pPr>
        <w:pStyle w:val="NormalHanging12a"/>
        <w:keepNext/>
        <w:widowControl/>
      </w:pPr>
      <w:r w:rsidRPr="0046795C">
        <w:t>93.</w:t>
      </w:r>
      <w:r w:rsidRPr="0046795C">
        <w:tab/>
        <w:t>Europaparlamentet konstaterar utifrån frågeformuläret att utrikestjänsten fortsatte sitt nära samarbete med Olaf och kommissionens berörda generaldirektorat för att genomföra kommissionens strategi mot bedrägerier, särskilt genom att ta fram gemensamma utbildningsprogram och en gemensam utbildningsväg för bedrägeribekämpning samt genom riktade åtgärder för att hantera specifika bedrägeririsker i unionens delegationer. Parlamentet noterar med tillfredsställelse att utrikestjänsten stärkte sin operativa ram genom att underteckna samarbetsavtal med Eppo i juni 2024.</w:t>
      </w:r>
    </w:p>
    <w:p w14:paraId="213119B9" w14:textId="77777777" w:rsidR="00AA68A9" w:rsidRPr="0046795C" w:rsidRDefault="00AA68A9" w:rsidP="00AA68A9">
      <w:pPr>
        <w:pStyle w:val="NormalHanging12a"/>
      </w:pPr>
      <w:r w:rsidRPr="0046795C">
        <w:t>94.</w:t>
      </w:r>
      <w:r w:rsidRPr="0046795C">
        <w:tab/>
        <w:t>Europaparlamentet påminner om att parlamentet, rådet och utrikestjänsten under 2023 förde tekniska diskussioner om ersättandet av 2002 års institutionella avtal mellan parlamentet och rådet på området för den gemensamma utrikes- och säkerhetspolitiken. Parlamentet konstaterar med oro, utifrån uppföljningsrapporten, att inga framsteg gjorts i denna fråga under 2024 på grund av valet till Europaparlamentet och förfarandet för utnämning av den nya kommissionen.</w:t>
      </w:r>
    </w:p>
    <w:p w14:paraId="73B49277" w14:textId="77777777" w:rsidR="00AA68A9" w:rsidRPr="0046795C" w:rsidRDefault="00AA68A9" w:rsidP="00AA68A9">
      <w:pPr>
        <w:pStyle w:val="NormalHanging12a"/>
        <w:rPr>
          <w:bCs/>
          <w:iCs/>
        </w:rPr>
      </w:pPr>
      <w:r w:rsidRPr="0046795C">
        <w:t>95.</w:t>
      </w:r>
      <w:r w:rsidRPr="0046795C">
        <w:tab/>
        <w:t>Europaparlamentet påminner om att unionens yttre åtgärder och utrikestjänsten i enlighet med fördragen är avsedda att stödja, samordna och komplettera medlemsstaternas diplomatiska åtgärder. Parlamentet understryker vikten av ett nära samarbete för att undvika ineffektivitet.</w:t>
      </w:r>
    </w:p>
    <w:p w14:paraId="7163CB46" w14:textId="77777777" w:rsidR="00AA68A9" w:rsidRPr="0046795C" w:rsidRDefault="00AA68A9" w:rsidP="00AA68A9">
      <w:pPr>
        <w:pStyle w:val="NormalHanging12a"/>
      </w:pPr>
      <w:r w:rsidRPr="0046795C">
        <w:t>96.</w:t>
      </w:r>
      <w:r w:rsidRPr="0046795C">
        <w:tab/>
        <w:t xml:space="preserve">Europaparlamentet välkomnar att utrikestjänstens kommunikationsåtgärder samordnas och harmoniseras med andra institutioner genom nätverket för EU:s kommunikationsdirektörer, interinstitutionella plattformar med parlamentet och kommissionen samt </w:t>
      </w:r>
      <w:proofErr w:type="spellStart"/>
      <w:r w:rsidRPr="0046795C">
        <w:t>Relex</w:t>
      </w:r>
      <w:proofErr w:type="spellEnd"/>
      <w:r w:rsidRPr="0046795C">
        <w:t>-undergruppen för skydd av kulturarvet och internationella kulturella förbindelser.</w:t>
      </w:r>
    </w:p>
    <w:p w14:paraId="1C7A39F0" w14:textId="77777777" w:rsidR="00AA68A9" w:rsidRPr="0046795C" w:rsidRDefault="00AA68A9" w:rsidP="00AA68A9">
      <w:pPr>
        <w:pStyle w:val="NormalHanging12a"/>
        <w:rPr>
          <w:b/>
          <w:bCs/>
          <w:i/>
          <w:iCs/>
        </w:rPr>
      </w:pPr>
      <w:r w:rsidRPr="0046795C">
        <w:rPr>
          <w:b/>
          <w:i/>
        </w:rPr>
        <w:lastRenderedPageBreak/>
        <w:t>Kommunikation</w:t>
      </w:r>
    </w:p>
    <w:p w14:paraId="180D6942" w14:textId="77777777" w:rsidR="00AA68A9" w:rsidRPr="0046795C" w:rsidRDefault="00AA68A9" w:rsidP="00AA68A9">
      <w:pPr>
        <w:pStyle w:val="NormalHanging12a"/>
      </w:pPr>
      <w:r w:rsidRPr="0046795C">
        <w:t>97.</w:t>
      </w:r>
      <w:r w:rsidRPr="0046795C">
        <w:tab/>
        <w:t xml:space="preserve">Europaparlamentet konstaterar utifrån frågeformuläret att utrikestjänsten anslog 1 745 000 EUR – kompletterat med 107 968,67 EUR i C5-anslag – till offentlig information och offentliga evenemang, med en genomförandegrad på 99,70 % under 2024. Parlamentet betonar att denna finansiering stödde upphandlingen av digitala tjänster, kommunikationsprodukter och grafiska produkter samt anordnandet av offentliga evenemang såsom Europadagen. Parlamentet noterar vidare att budgeten också finansierade produktion och spridning av </w:t>
      </w:r>
      <w:proofErr w:type="spellStart"/>
      <w:r w:rsidRPr="0046795C">
        <w:t>onlineinnehåll</w:t>
      </w:r>
      <w:proofErr w:type="spellEnd"/>
      <w:r w:rsidRPr="0046795C">
        <w:t>, förvaltning av företagskonton på sociala medier och stöd till unionens delegationer för att stärka deras digitala närvaro.</w:t>
      </w:r>
    </w:p>
    <w:p w14:paraId="558BBDE0" w14:textId="77777777" w:rsidR="00AA68A9" w:rsidRPr="0046795C" w:rsidRDefault="00AA68A9" w:rsidP="00AA68A9">
      <w:pPr>
        <w:pStyle w:val="NormalHanging12a"/>
      </w:pPr>
      <w:r w:rsidRPr="0046795C">
        <w:t>98.</w:t>
      </w:r>
      <w:r w:rsidRPr="0046795C">
        <w:tab/>
        <w:t>Europaparlamentet konstaterar utifrån frågeformuläret och utrikestjänstens rapport för 2024 att utrikestjänsten avsevärt utökade sin strategiska kommunikation, sin utåtriktade verksamhet gentemot allmänheten och sin kulturdiplomati genom att kombinera globala digitala kampanjer, större offentliga evenemang och stärkt verksamhet för internationella kulturella förbindelser. Parlamentet konstaterar att de digitala kampanjerna nådde en bred publik och främjade unionens centrala prioriteringar, inbegripet mänskliga rättigheter, klimatåtgärder och stöd till Ukraina, samtidigt som innovativa format bidrog till att engagera yngre befolkningsgrupper. Parlamentet noterar att offentliga evenemang, till exempel öppet </w:t>
      </w:r>
      <w:proofErr w:type="spellStart"/>
      <w:r w:rsidRPr="0046795C">
        <w:t>hus-evenemanget</w:t>
      </w:r>
      <w:proofErr w:type="spellEnd"/>
      <w:r w:rsidRPr="0046795C">
        <w:t xml:space="preserve"> under Europadagen och utrikestjänstens besöksprogram, bidrog till en ökad förståelse av unionens politik. Parlamentet betonar att utrikestjänsten vidareutvecklade kulturella initiativ, inbegripet dialogen om museisamarbete med Afrika, workshoppar om kulturell mångfald och en kulturarvskonferens som anordnades tillsammans med rådets roterande ordförandeskap, samtidigt som man utarbetade flaggskeppsprojekt såsom unionens deltagande i Expo Osaka.</w:t>
      </w:r>
    </w:p>
    <w:p w14:paraId="6D001D5A" w14:textId="77777777" w:rsidR="00AA68A9" w:rsidRPr="0046795C" w:rsidRDefault="00AA68A9" w:rsidP="00AA68A9">
      <w:pPr>
        <w:pStyle w:val="NormalHanging12a"/>
        <w:rPr>
          <w:bCs/>
          <w:iCs/>
        </w:rPr>
      </w:pPr>
      <w:r w:rsidRPr="0046795C">
        <w:t>99.</w:t>
      </w:r>
      <w:r w:rsidRPr="0046795C">
        <w:tab/>
        <w:t>Europaparlamentet uppmuntrar till en fortsatt process för att öka kommunikationen med tredjelandsmedborgare om unionens politik samt ökade samordningsinsatser för att stärka profilen för unionsfinansierade projekt, i synnerhet i kandidatländer, i syfte att motverka försök från aktörer som handlar i ond tro att undergräva unionens insatser. Parlamentet upprepar dessutom sin uppmaning till kommissionen att säkerställa full synlighet för och allmän medvetenhet om unionens stöd och investeringar i tredjeländerna med tydliga skyltar och unionens flagga.</w:t>
      </w:r>
    </w:p>
    <w:p w14:paraId="387303E0" w14:textId="77777777" w:rsidR="00AA68A9" w:rsidRPr="0046795C" w:rsidRDefault="00AA68A9" w:rsidP="00AA68A9">
      <w:pPr>
        <w:pStyle w:val="NormalHanging12a"/>
      </w:pPr>
      <w:r w:rsidRPr="0046795C">
        <w:t>100.</w:t>
      </w:r>
      <w:r w:rsidRPr="0046795C">
        <w:tab/>
        <w:t xml:space="preserve">Europaparlamentet konstaterar utifrån frågeformuläret och utrikestjänstens rapport för 2024 att utrikestjänsten under 2024 stärkte sitt strategiska engagemang för unionens datamässiga och digitala suveränitet genom att säkerställa strikta metoder för sociala medier som är förenliga med den allmänna dataskyddsförordningen, stärka säkerhets- och åtkomstkontrollerna och minska beroendet av enskilda externa leverantörer. Parlamentet betonar att diversifieringen av plattformar – inbegripet utvidgningen till </w:t>
      </w:r>
      <w:proofErr w:type="spellStart"/>
      <w:r w:rsidRPr="0046795C">
        <w:t>Bluesky</w:t>
      </w:r>
      <w:proofErr w:type="spellEnd"/>
      <w:r w:rsidRPr="0046795C">
        <w:t xml:space="preserve"> och </w:t>
      </w:r>
      <w:proofErr w:type="spellStart"/>
      <w:r w:rsidRPr="0046795C">
        <w:t>Threads</w:t>
      </w:r>
      <w:proofErr w:type="spellEnd"/>
      <w:r w:rsidRPr="0046795C">
        <w:t xml:space="preserve"> – kombinerat med användningen av unionsbaserade förvaltningsverktyg, systematisk utbildning för personalen och regelbundna risk- och desinformationsbedömningar, bidrar till att öka </w:t>
      </w:r>
      <w:proofErr w:type="spellStart"/>
      <w:r w:rsidRPr="0046795C">
        <w:t>resiliensen</w:t>
      </w:r>
      <w:proofErr w:type="spellEnd"/>
      <w:r w:rsidRPr="0046795C">
        <w:t xml:space="preserve"> och värna unionens suveränitet på kommunikationsområdet.</w:t>
      </w:r>
    </w:p>
    <w:p w14:paraId="2E8DCEFC" w14:textId="54DFA30A" w:rsidR="00E365E1" w:rsidRPr="0046795C" w:rsidRDefault="00AA68A9" w:rsidP="00DD1AE6">
      <w:pPr>
        <w:pStyle w:val="NormalHanging12a"/>
      </w:pPr>
      <w:r w:rsidRPr="0046795C">
        <w:rPr>
          <w:color w:val="000000" w:themeColor="text1"/>
        </w:rPr>
        <w:t>101.</w:t>
      </w:r>
      <w:r w:rsidRPr="0046795C">
        <w:rPr>
          <w:color w:val="000000" w:themeColor="text1"/>
        </w:rPr>
        <w:tab/>
        <w:t xml:space="preserve">Europaparlamentet noterar att utrikestjänsten genom sin kampanj </w:t>
      </w:r>
      <w:proofErr w:type="spellStart"/>
      <w:r w:rsidRPr="0046795C">
        <w:rPr>
          <w:color w:val="000000" w:themeColor="text1"/>
        </w:rPr>
        <w:t>EUvsDisinfo</w:t>
      </w:r>
      <w:proofErr w:type="spellEnd"/>
      <w:r w:rsidRPr="0046795C">
        <w:rPr>
          <w:color w:val="000000" w:themeColor="text1"/>
        </w:rPr>
        <w:t xml:space="preserve"> nådde ut till över 38 miljoner användare och dokumenterade mer än 18 000 fall, vilket visar på omfattningen av och den systemiska karaktären hos den Kremlvänliga desinformationen under 2024.</w:t>
      </w:r>
    </w:p>
    <w:sectPr w:rsidR="00E365E1" w:rsidRPr="0046795C" w:rsidSect="0046795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0A044" w14:textId="77777777" w:rsidR="007C0EC0" w:rsidRPr="0046795C" w:rsidRDefault="007C0EC0">
      <w:r w:rsidRPr="0046795C">
        <w:separator/>
      </w:r>
    </w:p>
  </w:endnote>
  <w:endnote w:type="continuationSeparator" w:id="0">
    <w:p w14:paraId="6F4AE540" w14:textId="77777777" w:rsidR="007C0EC0" w:rsidRPr="0046795C" w:rsidRDefault="007C0EC0">
      <w:r w:rsidRPr="004679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9267" w14:textId="77777777" w:rsidR="00AA68A9" w:rsidRPr="0046795C" w:rsidRDefault="00AA68A9" w:rsidP="00862885">
    <w:pPr>
      <w:pStyle w:val="EPFooter"/>
    </w:pPr>
    <w:r w:rsidRPr="0046795C">
      <w:t>PE</w:t>
    </w:r>
    <w:r w:rsidRPr="0046795C">
      <w:rPr>
        <w:rStyle w:val="HideTWBExt"/>
      </w:rPr>
      <w:t>&lt;</w:t>
    </w:r>
    <w:proofErr w:type="spellStart"/>
    <w:r w:rsidRPr="0046795C">
      <w:rPr>
        <w:rStyle w:val="HideTWBExt"/>
      </w:rPr>
      <w:t>NoPE</w:t>
    </w:r>
    <w:proofErr w:type="spellEnd"/>
    <w:r w:rsidRPr="0046795C">
      <w:rPr>
        <w:rStyle w:val="HideTWBExt"/>
      </w:rPr>
      <w:t>&gt;</w:t>
    </w:r>
    <w:r w:rsidRPr="0046795C">
      <w:t>778.061</w:t>
    </w:r>
    <w:r w:rsidRPr="0046795C">
      <w:rPr>
        <w:rStyle w:val="HideTWBExt"/>
      </w:rPr>
      <w:t>&lt;/</w:t>
    </w:r>
    <w:proofErr w:type="spellStart"/>
    <w:r w:rsidRPr="0046795C">
      <w:rPr>
        <w:rStyle w:val="HideTWBExt"/>
      </w:rPr>
      <w:t>NoPE</w:t>
    </w:r>
    <w:proofErr w:type="spellEnd"/>
    <w:r w:rsidRPr="0046795C">
      <w:rPr>
        <w:rStyle w:val="HideTWBExt"/>
      </w:rPr>
      <w:t>&gt;&lt;Version&gt;</w:t>
    </w:r>
    <w:r w:rsidRPr="0046795C">
      <w:t>v03-00</w:t>
    </w:r>
    <w:r w:rsidRPr="0046795C">
      <w:rPr>
        <w:rStyle w:val="HideTWBExt"/>
      </w:rPr>
      <w:t>&lt;/Version&gt;</w:t>
    </w:r>
    <w:r w:rsidRPr="0046795C">
      <w:tab/>
    </w:r>
    <w:r w:rsidRPr="0046795C">
      <w:fldChar w:fldCharType="begin"/>
    </w:r>
    <w:r w:rsidRPr="0046795C">
      <w:instrText xml:space="preserve"> PAGE  \* MERGEFORMAT </w:instrText>
    </w:r>
    <w:r w:rsidRPr="0046795C">
      <w:fldChar w:fldCharType="separate"/>
    </w:r>
    <w:r w:rsidRPr="0046795C">
      <w:rPr>
        <w:noProof/>
      </w:rPr>
      <w:t>40</w:t>
    </w:r>
    <w:r w:rsidRPr="0046795C">
      <w:fldChar w:fldCharType="end"/>
    </w:r>
    <w:r w:rsidRPr="0046795C">
      <w:t>/</w:t>
    </w:r>
    <w:fldSimple w:instr=" NUMPAGES  \* MERGEFORMAT ">
      <w:r w:rsidRPr="0046795C">
        <w:rPr>
          <w:noProof/>
        </w:rPr>
        <w:t>41</w:t>
      </w:r>
    </w:fldSimple>
    <w:r w:rsidRPr="0046795C">
      <w:tab/>
    </w:r>
    <w:r w:rsidRPr="0046795C">
      <w:rPr>
        <w:rStyle w:val="HideTWBExt"/>
      </w:rPr>
      <w:t>&lt;PathFdR&gt;</w:t>
    </w:r>
    <w:r w:rsidRPr="0046795C">
      <w:t>RR\1340307SV.docx</w:t>
    </w:r>
    <w:r w:rsidRPr="0046795C">
      <w:rPr>
        <w:rStyle w:val="HideTWBExt"/>
      </w:rPr>
      <w:t>&lt;/</w:t>
    </w:r>
    <w:proofErr w:type="spellStart"/>
    <w:r w:rsidRPr="0046795C">
      <w:rPr>
        <w:rStyle w:val="HideTWBExt"/>
      </w:rPr>
      <w:t>PathFdR</w:t>
    </w:r>
    <w:proofErr w:type="spellEnd"/>
    <w:r w:rsidRPr="0046795C">
      <w:rPr>
        <w:rStyle w:val="HideTWBExt"/>
      </w:rPr>
      <w:t>&gt;</w:t>
    </w:r>
  </w:p>
  <w:p w14:paraId="79BA46E4" w14:textId="77777777" w:rsidR="00AA68A9" w:rsidRPr="0046795C" w:rsidRDefault="00AA68A9" w:rsidP="00862885">
    <w:pPr>
      <w:pStyle w:val="EPFooter2"/>
    </w:pPr>
    <w:r w:rsidRPr="0046795C">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9A60" w14:textId="23C9C09F" w:rsidR="00AA68A9" w:rsidRPr="0046795C" w:rsidRDefault="00AA68A9" w:rsidP="0086288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705C8" w14:textId="77777777" w:rsidR="00AA68A9" w:rsidRPr="0046795C" w:rsidRDefault="00AA68A9" w:rsidP="00862885">
    <w:pPr>
      <w:pStyle w:val="EPFooter"/>
    </w:pPr>
    <w:r w:rsidRPr="0046795C">
      <w:rPr>
        <w:rStyle w:val="HideTWBExt"/>
      </w:rPr>
      <w:t>&lt;PathFdR&gt;</w:t>
    </w:r>
    <w:r w:rsidRPr="0046795C">
      <w:t>RR\1340307SV.docx</w:t>
    </w:r>
    <w:r w:rsidRPr="0046795C">
      <w:rPr>
        <w:rStyle w:val="HideTWBExt"/>
      </w:rPr>
      <w:t>&lt;/</w:t>
    </w:r>
    <w:proofErr w:type="spellStart"/>
    <w:r w:rsidRPr="0046795C">
      <w:rPr>
        <w:rStyle w:val="HideTWBExt"/>
      </w:rPr>
      <w:t>PathFdR</w:t>
    </w:r>
    <w:proofErr w:type="spellEnd"/>
    <w:r w:rsidRPr="0046795C">
      <w:rPr>
        <w:rStyle w:val="HideTWBExt"/>
      </w:rPr>
      <w:t>&gt;</w:t>
    </w:r>
    <w:r w:rsidRPr="0046795C">
      <w:tab/>
    </w:r>
    <w:r w:rsidRPr="0046795C">
      <w:tab/>
      <w:t>PE</w:t>
    </w:r>
    <w:r w:rsidRPr="0046795C">
      <w:rPr>
        <w:rStyle w:val="HideTWBExt"/>
      </w:rPr>
      <w:t>&lt;</w:t>
    </w:r>
    <w:proofErr w:type="spellStart"/>
    <w:r w:rsidRPr="0046795C">
      <w:rPr>
        <w:rStyle w:val="HideTWBExt"/>
      </w:rPr>
      <w:t>NoPE</w:t>
    </w:r>
    <w:proofErr w:type="spellEnd"/>
    <w:r w:rsidRPr="0046795C">
      <w:rPr>
        <w:rStyle w:val="HideTWBExt"/>
      </w:rPr>
      <w:t>&gt;</w:t>
    </w:r>
    <w:r w:rsidRPr="0046795C">
      <w:t>778.061</w:t>
    </w:r>
    <w:r w:rsidRPr="0046795C">
      <w:rPr>
        <w:rStyle w:val="HideTWBExt"/>
      </w:rPr>
      <w:t>&lt;/</w:t>
    </w:r>
    <w:proofErr w:type="spellStart"/>
    <w:r w:rsidRPr="0046795C">
      <w:rPr>
        <w:rStyle w:val="HideTWBExt"/>
      </w:rPr>
      <w:t>NoPE</w:t>
    </w:r>
    <w:proofErr w:type="spellEnd"/>
    <w:r w:rsidRPr="0046795C">
      <w:rPr>
        <w:rStyle w:val="HideTWBExt"/>
      </w:rPr>
      <w:t>&gt;&lt;Version&gt;</w:t>
    </w:r>
    <w:r w:rsidRPr="0046795C">
      <w:t>v03-00</w:t>
    </w:r>
    <w:r w:rsidRPr="0046795C">
      <w:rPr>
        <w:rStyle w:val="HideTWBExt"/>
      </w:rPr>
      <w:t>&lt;/Version&gt;</w:t>
    </w:r>
  </w:p>
  <w:p w14:paraId="3205B75B" w14:textId="77777777" w:rsidR="00AA68A9" w:rsidRPr="0046795C" w:rsidRDefault="00AA68A9" w:rsidP="00862885">
    <w:pPr>
      <w:pStyle w:val="EPFooter2"/>
    </w:pPr>
    <w:r w:rsidRPr="0046795C">
      <w:t>SV</w:t>
    </w:r>
    <w:r w:rsidRPr="0046795C">
      <w:tab/>
    </w:r>
    <w:r w:rsidRPr="0046795C">
      <w:rPr>
        <w:b w:val="0"/>
        <w:i/>
        <w:color w:val="C0C0C0"/>
        <w:sz w:val="22"/>
      </w:rPr>
      <w:t>Förenade i mångfalden</w:t>
    </w:r>
    <w:r w:rsidRPr="0046795C">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63621" w14:textId="77777777" w:rsidR="00064002" w:rsidRPr="0046795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8469B" w14:textId="77777777" w:rsidR="00064002" w:rsidRPr="0046795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437B" w14:textId="77777777" w:rsidR="00064002" w:rsidRPr="004679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CB460" w14:textId="77777777" w:rsidR="007C0EC0" w:rsidRPr="0046795C" w:rsidRDefault="007C0EC0">
      <w:r w:rsidRPr="0046795C">
        <w:separator/>
      </w:r>
    </w:p>
  </w:footnote>
  <w:footnote w:type="continuationSeparator" w:id="0">
    <w:p w14:paraId="61743E18" w14:textId="77777777" w:rsidR="007C0EC0" w:rsidRPr="0046795C" w:rsidRDefault="007C0EC0">
      <w:r w:rsidRPr="0046795C">
        <w:continuationSeparator/>
      </w:r>
    </w:p>
  </w:footnote>
  <w:footnote w:id="1">
    <w:p w14:paraId="188D939F" w14:textId="5847E528" w:rsidR="00AA68A9" w:rsidRPr="0018311A" w:rsidRDefault="00AA68A9" w:rsidP="0046795C">
      <w:pPr>
        <w:pStyle w:val="FootnoteText"/>
        <w:ind w:left="567" w:hanging="567"/>
        <w:rPr>
          <w:sz w:val="24"/>
          <w:lang w:val="fi-FI"/>
        </w:rPr>
      </w:pPr>
      <w:r w:rsidRPr="0046795C">
        <w:rPr>
          <w:rStyle w:val="FootnoteReference"/>
          <w:sz w:val="24"/>
          <w:lang w:val="sv-SE"/>
        </w:rPr>
        <w:footnoteRef/>
      </w:r>
      <w:r w:rsidR="0046795C" w:rsidRPr="0018311A">
        <w:rPr>
          <w:sz w:val="24"/>
          <w:lang w:val="fi-FI"/>
        </w:rPr>
        <w:t xml:space="preserve"> </w:t>
      </w:r>
      <w:r w:rsidR="0046795C" w:rsidRPr="0018311A">
        <w:rPr>
          <w:sz w:val="24"/>
          <w:lang w:val="fi-FI"/>
        </w:rPr>
        <w:tab/>
      </w:r>
      <w:r w:rsidRPr="0018311A">
        <w:rPr>
          <w:sz w:val="24"/>
          <w:lang w:val="fi-FI"/>
        </w:rPr>
        <w:t>EUT L</w:t>
      </w:r>
      <w:r w:rsidR="000A770B">
        <w:rPr>
          <w:sz w:val="24"/>
          <w:lang w:val="fi-FI"/>
        </w:rPr>
        <w:t>,</w:t>
      </w:r>
      <w:r w:rsidRPr="0018311A">
        <w:rPr>
          <w:sz w:val="24"/>
          <w:lang w:val="fi-FI"/>
        </w:rPr>
        <w:t xml:space="preserve"> </w:t>
      </w:r>
      <w:r w:rsidR="00FF7200">
        <w:rPr>
          <w:sz w:val="24"/>
          <w:lang w:val="fi-FI"/>
        </w:rPr>
        <w:t>2024/</w:t>
      </w:r>
      <w:r w:rsidRPr="0018311A">
        <w:rPr>
          <w:sz w:val="24"/>
          <w:lang w:val="fi-FI"/>
        </w:rPr>
        <w:t xml:space="preserve">207, 22.2.2024, ELI: </w:t>
      </w:r>
      <w:hyperlink r:id="rId1" w:history="1">
        <w:r w:rsidRPr="0018311A">
          <w:rPr>
            <w:rStyle w:val="Hyperlink"/>
            <w:sz w:val="24"/>
            <w:lang w:val="fi-FI"/>
          </w:rPr>
          <w:t>http://data.europa.eu/eli/budget/2024/207/oj</w:t>
        </w:r>
      </w:hyperlink>
      <w:r w:rsidRPr="0018311A">
        <w:rPr>
          <w:rStyle w:val="Hyperlink"/>
          <w:sz w:val="24"/>
          <w:lang w:val="fi-FI"/>
        </w:rPr>
        <w:t>.</w:t>
      </w:r>
    </w:p>
  </w:footnote>
  <w:footnote w:id="2">
    <w:p w14:paraId="0A64F283" w14:textId="7849BC82" w:rsidR="00AA68A9" w:rsidRPr="0018311A" w:rsidRDefault="00AA68A9" w:rsidP="0046795C">
      <w:pPr>
        <w:pStyle w:val="FootnoteText"/>
        <w:ind w:left="567" w:hanging="567"/>
        <w:rPr>
          <w:sz w:val="24"/>
          <w:lang w:val="fr-BE"/>
        </w:rPr>
      </w:pPr>
      <w:r w:rsidRPr="0046795C">
        <w:rPr>
          <w:rStyle w:val="FootnoteReference"/>
          <w:sz w:val="24"/>
          <w:lang w:val="sv-SE"/>
        </w:rPr>
        <w:footnoteRef/>
      </w:r>
      <w:r w:rsidR="0046795C" w:rsidRPr="0018311A">
        <w:rPr>
          <w:sz w:val="24"/>
          <w:lang w:val="fr-BE"/>
        </w:rPr>
        <w:t xml:space="preserve"> </w:t>
      </w:r>
      <w:r w:rsidR="0046795C" w:rsidRPr="0018311A">
        <w:rPr>
          <w:sz w:val="24"/>
          <w:lang w:val="fr-BE"/>
        </w:rPr>
        <w:tab/>
      </w:r>
      <w:r w:rsidRPr="0018311A">
        <w:rPr>
          <w:sz w:val="24"/>
          <w:lang w:val="fr-BE"/>
        </w:rPr>
        <w:t xml:space="preserve">EUT C, C/2025/4944, 13.10.2025, </w:t>
      </w:r>
      <w:proofErr w:type="gramStart"/>
      <w:r w:rsidRPr="0018311A">
        <w:rPr>
          <w:sz w:val="24"/>
          <w:lang w:val="fr-BE"/>
        </w:rPr>
        <w:t>ELI:</w:t>
      </w:r>
      <w:proofErr w:type="gramEnd"/>
      <w:r w:rsidRPr="0018311A">
        <w:rPr>
          <w:sz w:val="24"/>
          <w:lang w:val="fr-BE"/>
        </w:rPr>
        <w:t> </w:t>
      </w:r>
      <w:hyperlink r:id="rId2" w:tgtFrame="_blank" w:tooltip="Ger tillgång till detta dokument via dess ELI-URI." w:history="1">
        <w:r w:rsidRPr="0018311A">
          <w:rPr>
            <w:rStyle w:val="Hyperlink"/>
            <w:sz w:val="24"/>
            <w:lang w:val="fr-BE"/>
          </w:rPr>
          <w:t>http://data.europa.eu/eli/C/2025/4944/oj</w:t>
        </w:r>
      </w:hyperlink>
      <w:r w:rsidRPr="0018311A">
        <w:rPr>
          <w:sz w:val="24"/>
          <w:lang w:val="fr-BE"/>
        </w:rPr>
        <w:t>.</w:t>
      </w:r>
    </w:p>
  </w:footnote>
  <w:footnote w:id="3">
    <w:p w14:paraId="5DB84475" w14:textId="6C83A839" w:rsidR="00AA68A9" w:rsidRPr="0018311A" w:rsidRDefault="00AA68A9" w:rsidP="0046795C">
      <w:pPr>
        <w:pStyle w:val="FootnoteText"/>
        <w:ind w:left="567" w:hanging="567"/>
        <w:rPr>
          <w:sz w:val="24"/>
          <w:lang w:val="fi-FI"/>
        </w:rPr>
      </w:pPr>
      <w:r w:rsidRPr="0046795C">
        <w:rPr>
          <w:rStyle w:val="FootnoteReference"/>
          <w:sz w:val="24"/>
          <w:lang w:val="sv-SE"/>
        </w:rPr>
        <w:footnoteRef/>
      </w:r>
      <w:r w:rsidR="0046795C" w:rsidRPr="0018311A">
        <w:rPr>
          <w:sz w:val="24"/>
          <w:lang w:val="fi-FI"/>
        </w:rPr>
        <w:t xml:space="preserve"> </w:t>
      </w:r>
      <w:r w:rsidR="0046795C" w:rsidRPr="0018311A">
        <w:rPr>
          <w:sz w:val="24"/>
          <w:lang w:val="fi-FI"/>
        </w:rPr>
        <w:tab/>
      </w:r>
      <w:r w:rsidRPr="0018311A">
        <w:rPr>
          <w:sz w:val="24"/>
          <w:lang w:val="fi-FI"/>
        </w:rPr>
        <w:t xml:space="preserve">EUT C, C/2025/5409, 8.10.2025, ELI: </w:t>
      </w:r>
      <w:hyperlink r:id="rId3" w:history="1">
        <w:r w:rsidRPr="0018311A">
          <w:rPr>
            <w:rStyle w:val="Hyperlink"/>
            <w:sz w:val="24"/>
            <w:lang w:val="fi-FI"/>
          </w:rPr>
          <w:t>http://data.europa.eu/eli/C/2025/5409/oj</w:t>
        </w:r>
      </w:hyperlink>
      <w:r w:rsidRPr="0018311A">
        <w:rPr>
          <w:rStyle w:val="Hyperlink"/>
          <w:sz w:val="24"/>
          <w:lang w:val="fi-FI"/>
        </w:rPr>
        <w:t>.</w:t>
      </w:r>
    </w:p>
  </w:footnote>
  <w:footnote w:id="4">
    <w:p w14:paraId="0127378A" w14:textId="633EE275" w:rsidR="00AA68A9" w:rsidRPr="0018311A" w:rsidRDefault="00AA68A9" w:rsidP="0046795C">
      <w:pPr>
        <w:pStyle w:val="FootnoteText"/>
        <w:ind w:left="567" w:hanging="567"/>
        <w:rPr>
          <w:sz w:val="24"/>
          <w:lang w:val="fi-FI"/>
        </w:rPr>
      </w:pPr>
      <w:r w:rsidRPr="0046795C">
        <w:rPr>
          <w:rStyle w:val="FootnoteReference"/>
          <w:sz w:val="24"/>
          <w:lang w:val="sv-SE"/>
        </w:rPr>
        <w:footnoteRef/>
      </w:r>
      <w:r w:rsidR="0046795C" w:rsidRPr="0018311A">
        <w:rPr>
          <w:sz w:val="24"/>
          <w:lang w:val="fi-FI"/>
        </w:rPr>
        <w:t xml:space="preserve"> </w:t>
      </w:r>
      <w:r w:rsidR="0046795C" w:rsidRPr="0018311A">
        <w:rPr>
          <w:sz w:val="24"/>
          <w:lang w:val="fi-FI"/>
        </w:rPr>
        <w:tab/>
      </w:r>
      <w:r w:rsidRPr="0018311A">
        <w:rPr>
          <w:sz w:val="24"/>
          <w:lang w:val="fi-FI"/>
        </w:rPr>
        <w:t xml:space="preserve">EUT C, C/2025/5407, 13.10.2025, ELI: </w:t>
      </w:r>
      <w:hyperlink r:id="rId4" w:history="1">
        <w:r w:rsidRPr="0018311A">
          <w:rPr>
            <w:rStyle w:val="Hyperlink"/>
            <w:sz w:val="24"/>
            <w:lang w:val="fi-FI"/>
          </w:rPr>
          <w:t>http://data.europa.eu/eli/C/2025/5407/oj</w:t>
        </w:r>
      </w:hyperlink>
      <w:r w:rsidRPr="0018311A">
        <w:rPr>
          <w:rStyle w:val="Hyperlink"/>
          <w:sz w:val="24"/>
          <w:lang w:val="fi-FI"/>
        </w:rPr>
        <w:t>.</w:t>
      </w:r>
    </w:p>
  </w:footnote>
  <w:footnote w:id="5">
    <w:p w14:paraId="588A6659" w14:textId="6F08AC37" w:rsidR="00AA68A9" w:rsidRPr="0018311A" w:rsidRDefault="00AA68A9" w:rsidP="0046795C">
      <w:pPr>
        <w:pStyle w:val="FootnoteText"/>
        <w:ind w:left="567" w:hanging="567"/>
        <w:rPr>
          <w:sz w:val="24"/>
          <w:lang w:val="fi-FI"/>
        </w:rPr>
      </w:pPr>
      <w:r w:rsidRPr="0046795C">
        <w:rPr>
          <w:rStyle w:val="FootnoteReference"/>
          <w:sz w:val="24"/>
          <w:lang w:val="sv-SE"/>
        </w:rPr>
        <w:footnoteRef/>
      </w:r>
      <w:r w:rsidR="0046795C" w:rsidRPr="0018311A">
        <w:rPr>
          <w:sz w:val="24"/>
          <w:lang w:val="fi-FI"/>
        </w:rPr>
        <w:t xml:space="preserve"> </w:t>
      </w:r>
      <w:r w:rsidR="0046795C" w:rsidRPr="0018311A">
        <w:rPr>
          <w:sz w:val="24"/>
          <w:lang w:val="fi-FI"/>
        </w:rPr>
        <w:tab/>
      </w:r>
      <w:r w:rsidRPr="0018311A">
        <w:rPr>
          <w:sz w:val="24"/>
          <w:lang w:val="fi-FI"/>
        </w:rPr>
        <w:t xml:space="preserve">EUT L 193, 30.7.2018, s. 1, ELI: </w:t>
      </w:r>
      <w:hyperlink r:id="rId5" w:history="1">
        <w:r w:rsidRPr="0018311A">
          <w:rPr>
            <w:rStyle w:val="Hyperlink"/>
            <w:sz w:val="24"/>
            <w:lang w:val="fi-FI"/>
          </w:rPr>
          <w:t>http://data.europa.eu/eli/reg/2018/1046/oj</w:t>
        </w:r>
      </w:hyperlink>
      <w:r w:rsidRPr="0018311A">
        <w:rPr>
          <w:sz w:val="24"/>
          <w:lang w:val="fi-FI"/>
        </w:rPr>
        <w:t>.</w:t>
      </w:r>
    </w:p>
  </w:footnote>
  <w:footnote w:id="6">
    <w:p w14:paraId="50854D88" w14:textId="00B0BB80" w:rsidR="00AA68A9" w:rsidRPr="0018311A" w:rsidRDefault="00AA68A9" w:rsidP="0046795C">
      <w:pPr>
        <w:pStyle w:val="FootnoteText"/>
        <w:ind w:left="567" w:hanging="567"/>
        <w:rPr>
          <w:sz w:val="24"/>
          <w:lang w:val="fi-FI"/>
        </w:rPr>
      </w:pPr>
      <w:r w:rsidRPr="0046795C">
        <w:rPr>
          <w:rStyle w:val="FootnoteReference"/>
          <w:sz w:val="24"/>
          <w:lang w:val="sv-SE"/>
        </w:rPr>
        <w:footnoteRef/>
      </w:r>
      <w:r w:rsidR="0046795C" w:rsidRPr="0018311A">
        <w:rPr>
          <w:sz w:val="24"/>
          <w:lang w:val="fi-FI"/>
        </w:rPr>
        <w:t xml:space="preserve"> </w:t>
      </w:r>
      <w:r w:rsidR="0046795C" w:rsidRPr="0018311A">
        <w:rPr>
          <w:sz w:val="24"/>
          <w:lang w:val="fi-FI"/>
        </w:rPr>
        <w:tab/>
      </w:r>
      <w:r w:rsidRPr="0018311A">
        <w:rPr>
          <w:sz w:val="24"/>
          <w:lang w:val="fi-FI"/>
        </w:rPr>
        <w:t xml:space="preserve">EUT L, 2024/2509, 26.9.2024, ELI: </w:t>
      </w:r>
      <w:hyperlink r:id="rId6" w:history="1">
        <w:r w:rsidRPr="0018311A">
          <w:rPr>
            <w:rStyle w:val="Hyperlink"/>
            <w:sz w:val="24"/>
            <w:lang w:val="fi-FI"/>
          </w:rPr>
          <w:t>http://data.europa.eu/eli/reg/2024/2509/oj</w:t>
        </w:r>
      </w:hyperlink>
      <w:r w:rsidRPr="0018311A">
        <w:rPr>
          <w:sz w:val="24"/>
          <w:lang w:val="fi-FI"/>
        </w:rPr>
        <w:t>.</w:t>
      </w:r>
    </w:p>
  </w:footnote>
  <w:footnote w:id="7">
    <w:p w14:paraId="24FC409C" w14:textId="39414C8A" w:rsidR="00AA68A9" w:rsidRPr="0018311A" w:rsidRDefault="00AA68A9" w:rsidP="0046795C">
      <w:pPr>
        <w:pStyle w:val="FootnoteText"/>
        <w:ind w:left="567" w:hanging="567"/>
        <w:rPr>
          <w:sz w:val="24"/>
          <w:lang w:val="fi-FI"/>
        </w:rPr>
      </w:pPr>
      <w:r w:rsidRPr="0046795C">
        <w:rPr>
          <w:rStyle w:val="FootnoteReference"/>
          <w:sz w:val="24"/>
          <w:lang w:val="sv-SE"/>
        </w:rPr>
        <w:footnoteRef/>
      </w:r>
      <w:r w:rsidR="0046795C" w:rsidRPr="0018311A">
        <w:rPr>
          <w:sz w:val="24"/>
          <w:lang w:val="fi-FI"/>
        </w:rPr>
        <w:t xml:space="preserve"> </w:t>
      </w:r>
      <w:r w:rsidR="0046795C" w:rsidRPr="0018311A">
        <w:rPr>
          <w:sz w:val="24"/>
          <w:lang w:val="fi-FI"/>
        </w:rPr>
        <w:tab/>
      </w:r>
      <w:r w:rsidRPr="0018311A">
        <w:rPr>
          <w:sz w:val="24"/>
          <w:lang w:val="fi-FI"/>
        </w:rPr>
        <w:t xml:space="preserve">EUT L 201, 3.8.2010, s. 30, ELI: </w:t>
      </w:r>
      <w:hyperlink r:id="rId7" w:history="1">
        <w:r w:rsidRPr="0018311A">
          <w:rPr>
            <w:rStyle w:val="Hyperlink"/>
            <w:sz w:val="24"/>
            <w:lang w:val="fi-FI"/>
          </w:rPr>
          <w:t>http://data.europa.eu/eli/dec/2010/427/oj</w:t>
        </w:r>
      </w:hyperlink>
      <w:r w:rsidRPr="0018311A">
        <w:rPr>
          <w:sz w:val="24"/>
          <w:lang w:val="fi-FI"/>
        </w:rPr>
        <w:t>.</w:t>
      </w:r>
    </w:p>
  </w:footnote>
  <w:footnote w:id="8">
    <w:p w14:paraId="5BCF554C" w14:textId="353BEACE" w:rsidR="00AA68A9" w:rsidRPr="0046795C" w:rsidRDefault="00AA68A9" w:rsidP="0046795C">
      <w:pPr>
        <w:pStyle w:val="FootnoteText"/>
        <w:ind w:left="567" w:hanging="567"/>
        <w:rPr>
          <w:sz w:val="24"/>
          <w:lang w:val="sv-SE"/>
        </w:rPr>
      </w:pPr>
      <w:r w:rsidRPr="0046795C">
        <w:rPr>
          <w:rStyle w:val="FootnoteReference"/>
          <w:sz w:val="24"/>
          <w:lang w:val="sv-SE"/>
        </w:rPr>
        <w:footnoteRef/>
      </w:r>
      <w:r w:rsidR="0046795C" w:rsidRPr="0046795C">
        <w:rPr>
          <w:sz w:val="24"/>
          <w:lang w:val="sv-SE"/>
        </w:rPr>
        <w:t xml:space="preserve"> </w:t>
      </w:r>
      <w:r w:rsidR="0046795C" w:rsidRPr="0046795C">
        <w:rPr>
          <w:sz w:val="24"/>
          <w:lang w:val="sv-SE"/>
        </w:rPr>
        <w:tab/>
      </w:r>
      <w:r w:rsidRPr="0046795C">
        <w:rPr>
          <w:sz w:val="24"/>
          <w:lang w:val="sv-SE"/>
        </w:rPr>
        <w:t xml:space="preserve">Europaparlamentets och rådets direktiv 2014/24/EU av den 26 februari 2014 om offentlig upphandling och om upphävande av direktiv 2004/18/EG (EUT L 94, 28.3.2014, s. 65, ELI: </w:t>
      </w:r>
      <w:hyperlink r:id="rId8" w:history="1">
        <w:r w:rsidRPr="0046795C">
          <w:rPr>
            <w:rStyle w:val="Hyperlink"/>
            <w:sz w:val="24"/>
            <w:lang w:val="sv-SE"/>
          </w:rPr>
          <w:t>http://data.europa.eu/eli/dir/2014/24/oj</w:t>
        </w:r>
      </w:hyperlink>
      <w:r w:rsidRPr="0046795C">
        <w:rPr>
          <w:sz w:val="24"/>
          <w:lang w:val="sv-SE"/>
        </w:rPr>
        <w:t>).</w:t>
      </w:r>
    </w:p>
  </w:footnote>
  <w:footnote w:id="9">
    <w:p w14:paraId="2050DEC2" w14:textId="592F1326" w:rsidR="00AA68A9" w:rsidRPr="0046795C" w:rsidRDefault="00AA68A9" w:rsidP="0046795C">
      <w:pPr>
        <w:pStyle w:val="FootnoteText"/>
        <w:ind w:left="567" w:hanging="567"/>
        <w:rPr>
          <w:sz w:val="24"/>
          <w:lang w:val="sv-SE"/>
        </w:rPr>
      </w:pPr>
      <w:r w:rsidRPr="0046795C">
        <w:rPr>
          <w:rStyle w:val="FootnoteReference"/>
          <w:sz w:val="24"/>
          <w:lang w:val="sv-SE"/>
        </w:rPr>
        <w:footnoteRef/>
      </w:r>
      <w:r w:rsidR="0046795C" w:rsidRPr="0046795C">
        <w:rPr>
          <w:sz w:val="24"/>
          <w:lang w:val="sv-SE"/>
        </w:rPr>
        <w:t xml:space="preserve"> </w:t>
      </w:r>
      <w:r w:rsidR="0046795C" w:rsidRPr="0046795C">
        <w:rPr>
          <w:sz w:val="24"/>
          <w:lang w:val="sv-SE"/>
        </w:rPr>
        <w:tab/>
      </w:r>
      <w:r w:rsidRPr="0046795C">
        <w:rPr>
          <w:sz w:val="24"/>
          <w:lang w:val="sv-SE"/>
        </w:rPr>
        <w:t>Resolution P10_TA(2025)0086, punkt 83.</w:t>
      </w:r>
    </w:p>
  </w:footnote>
  <w:footnote w:id="10">
    <w:p w14:paraId="0881B59B" w14:textId="55C54591" w:rsidR="00663A55" w:rsidRPr="00DD1AE6" w:rsidRDefault="00663A55" w:rsidP="00DD1AE6">
      <w:pPr>
        <w:pStyle w:val="FootnoteText"/>
        <w:ind w:left="567" w:hanging="567"/>
        <w:rPr>
          <w:sz w:val="24"/>
          <w:szCs w:val="24"/>
          <w:lang w:val="sv-SE"/>
        </w:rPr>
      </w:pPr>
      <w:r w:rsidRPr="00DD1AE6">
        <w:rPr>
          <w:rStyle w:val="FootnoteReference"/>
          <w:sz w:val="24"/>
          <w:szCs w:val="24"/>
        </w:rPr>
        <w:footnoteRef/>
      </w:r>
      <w:r w:rsidRPr="00DD1AE6">
        <w:rPr>
          <w:sz w:val="24"/>
          <w:szCs w:val="24"/>
          <w:lang w:val="sv-SE"/>
        </w:rPr>
        <w:t xml:space="preserve"> </w:t>
      </w:r>
      <w:r w:rsidRPr="00DD1AE6">
        <w:rPr>
          <w:sz w:val="24"/>
          <w:szCs w:val="24"/>
          <w:lang w:val="sv-SE"/>
        </w:rPr>
        <w:tab/>
        <w:t>Rådets beslut (</w:t>
      </w:r>
      <w:proofErr w:type="spellStart"/>
      <w:r w:rsidRPr="00DD1AE6">
        <w:rPr>
          <w:sz w:val="24"/>
          <w:szCs w:val="24"/>
          <w:lang w:val="sv-SE"/>
        </w:rPr>
        <w:t>Gusp</w:t>
      </w:r>
      <w:proofErr w:type="spellEnd"/>
      <w:r w:rsidRPr="00DD1AE6">
        <w:rPr>
          <w:sz w:val="24"/>
          <w:szCs w:val="24"/>
          <w:lang w:val="sv-SE"/>
        </w:rPr>
        <w:t xml:space="preserve">) 2024/1472 av den 21 maj 2024 om en europeisk diplomatakademi (EUT L, 2024/1472, 22.5.2024, ELI: </w:t>
      </w:r>
      <w:hyperlink r:id="rId9" w:history="1">
        <w:r w:rsidRPr="00DD1AE6">
          <w:rPr>
            <w:rStyle w:val="Hyperlink"/>
            <w:sz w:val="24"/>
            <w:szCs w:val="24"/>
            <w:lang w:val="sv-SE"/>
          </w:rPr>
          <w:t>http://data.europa.eu/eli/dec/2024/1472/oj</w:t>
        </w:r>
      </w:hyperlink>
      <w:r w:rsidRPr="00DD1AE6">
        <w:rPr>
          <w:sz w:val="24"/>
          <w:szCs w:val="24"/>
          <w:lang w:val="sv-SE"/>
        </w:rPr>
        <w:t>).</w:t>
      </w:r>
    </w:p>
  </w:footnote>
  <w:footnote w:id="11">
    <w:p w14:paraId="669ACC49" w14:textId="017F78C2" w:rsidR="00AA68A9" w:rsidRPr="0046795C" w:rsidRDefault="00AA68A9" w:rsidP="0046795C">
      <w:pPr>
        <w:pStyle w:val="FootnoteText"/>
        <w:ind w:left="567" w:hanging="567"/>
        <w:rPr>
          <w:sz w:val="24"/>
          <w:lang w:val="sv-SE"/>
        </w:rPr>
      </w:pPr>
      <w:r w:rsidRPr="0046795C">
        <w:rPr>
          <w:rStyle w:val="FootnoteReference"/>
          <w:sz w:val="24"/>
          <w:lang w:val="sv-SE"/>
        </w:rPr>
        <w:footnoteRef/>
      </w:r>
      <w:r w:rsidR="0046795C" w:rsidRPr="0046795C">
        <w:rPr>
          <w:sz w:val="24"/>
          <w:lang w:val="sv-SE"/>
        </w:rPr>
        <w:t xml:space="preserve"> </w:t>
      </w:r>
      <w:r w:rsidR="0046795C" w:rsidRPr="0046795C">
        <w:rPr>
          <w:sz w:val="24"/>
          <w:lang w:val="sv-SE"/>
        </w:rPr>
        <w:tab/>
      </w:r>
      <w:r w:rsidRPr="0046795C">
        <w:rPr>
          <w:sz w:val="24"/>
          <w:lang w:val="sv-SE"/>
        </w:rPr>
        <w:t xml:space="preserve">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 12.7.2024, ELI: </w:t>
      </w:r>
      <w:hyperlink r:id="rId10" w:history="1">
        <w:r w:rsidRPr="0046795C">
          <w:rPr>
            <w:rStyle w:val="Hyperlink"/>
            <w:sz w:val="24"/>
            <w:lang w:val="sv-SE"/>
          </w:rPr>
          <w:t>http://data.europa.eu/eli/reg/2024/1689/oj</w:t>
        </w:r>
      </w:hyperlink>
      <w:r w:rsidRPr="0046795C">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0A9F" w14:textId="77777777" w:rsidR="00AA68A9" w:rsidRPr="0046795C" w:rsidRDefault="00AA68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28A31" w14:textId="77777777" w:rsidR="00AA68A9" w:rsidRPr="0046795C" w:rsidRDefault="00AA68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1BA4" w14:textId="77777777" w:rsidR="00AA68A9" w:rsidRPr="0046795C" w:rsidRDefault="00AA68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5B3D" w14:textId="77777777" w:rsidR="00064002" w:rsidRPr="0046795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4A498" w14:textId="77777777" w:rsidR="00064002" w:rsidRPr="0046795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2FDCA" w14:textId="77777777" w:rsidR="00064002" w:rsidRPr="004679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8119840">
    <w:abstractNumId w:val="9"/>
  </w:num>
  <w:num w:numId="2" w16cid:durableId="548345835">
    <w:abstractNumId w:val="9"/>
  </w:num>
  <w:num w:numId="3" w16cid:durableId="970131917">
    <w:abstractNumId w:val="7"/>
  </w:num>
  <w:num w:numId="4" w16cid:durableId="582569965">
    <w:abstractNumId w:val="7"/>
  </w:num>
  <w:num w:numId="5" w16cid:durableId="2143109798">
    <w:abstractNumId w:val="6"/>
  </w:num>
  <w:num w:numId="6" w16cid:durableId="1772967584">
    <w:abstractNumId w:val="6"/>
  </w:num>
  <w:num w:numId="7" w16cid:durableId="433521454">
    <w:abstractNumId w:val="5"/>
  </w:num>
  <w:num w:numId="8" w16cid:durableId="1424645177">
    <w:abstractNumId w:val="5"/>
  </w:num>
  <w:num w:numId="9" w16cid:durableId="891813937">
    <w:abstractNumId w:val="4"/>
  </w:num>
  <w:num w:numId="10" w16cid:durableId="1152527281">
    <w:abstractNumId w:val="4"/>
  </w:num>
  <w:num w:numId="11" w16cid:durableId="413891708">
    <w:abstractNumId w:val="8"/>
  </w:num>
  <w:num w:numId="12" w16cid:durableId="1526749270">
    <w:abstractNumId w:val="8"/>
  </w:num>
  <w:num w:numId="13" w16cid:durableId="1059669586">
    <w:abstractNumId w:val="3"/>
  </w:num>
  <w:num w:numId="14" w16cid:durableId="162017116">
    <w:abstractNumId w:val="3"/>
  </w:num>
  <w:num w:numId="15" w16cid:durableId="2093770806">
    <w:abstractNumId w:val="2"/>
  </w:num>
  <w:num w:numId="16" w16cid:durableId="580649588">
    <w:abstractNumId w:val="2"/>
  </w:num>
  <w:num w:numId="17" w16cid:durableId="718287202">
    <w:abstractNumId w:val="1"/>
  </w:num>
  <w:num w:numId="18" w16cid:durableId="1303190966">
    <w:abstractNumId w:val="1"/>
  </w:num>
  <w:num w:numId="19" w16cid:durableId="1008211544">
    <w:abstractNumId w:val="0"/>
  </w:num>
  <w:num w:numId="20" w16cid:durableId="577403397">
    <w:abstractNumId w:val="0"/>
  </w:num>
  <w:num w:numId="21" w16cid:durableId="1042946214">
    <w:abstractNumId w:val="9"/>
  </w:num>
  <w:num w:numId="22" w16cid:durableId="1510220606">
    <w:abstractNumId w:val="7"/>
  </w:num>
  <w:num w:numId="23" w16cid:durableId="1676110416">
    <w:abstractNumId w:val="6"/>
  </w:num>
  <w:num w:numId="24" w16cid:durableId="2005743764">
    <w:abstractNumId w:val="5"/>
  </w:num>
  <w:num w:numId="25" w16cid:durableId="1535269345">
    <w:abstractNumId w:val="4"/>
  </w:num>
  <w:num w:numId="26" w16cid:durableId="2084450618">
    <w:abstractNumId w:val="8"/>
  </w:num>
  <w:num w:numId="27" w16cid:durableId="1354770785">
    <w:abstractNumId w:val="3"/>
  </w:num>
  <w:num w:numId="28" w16cid:durableId="1228491619">
    <w:abstractNumId w:val="2"/>
  </w:num>
  <w:num w:numId="29" w16cid:durableId="876504931">
    <w:abstractNumId w:val="1"/>
  </w:num>
  <w:num w:numId="30" w16cid:durableId="368577172">
    <w:abstractNumId w:val="0"/>
  </w:num>
  <w:num w:numId="31" w16cid:durableId="1130442231">
    <w:abstractNumId w:val="9"/>
  </w:num>
  <w:num w:numId="32" w16cid:durableId="1368095240">
    <w:abstractNumId w:val="7"/>
  </w:num>
  <w:num w:numId="33" w16cid:durableId="1132283088">
    <w:abstractNumId w:val="6"/>
  </w:num>
  <w:num w:numId="34" w16cid:durableId="1964849808">
    <w:abstractNumId w:val="5"/>
  </w:num>
  <w:num w:numId="35" w16cid:durableId="1934433958">
    <w:abstractNumId w:val="4"/>
  </w:num>
  <w:num w:numId="36" w16cid:durableId="796294011">
    <w:abstractNumId w:val="8"/>
  </w:num>
  <w:num w:numId="37" w16cid:durableId="1144397627">
    <w:abstractNumId w:val="3"/>
  </w:num>
  <w:num w:numId="38" w16cid:durableId="1307127020">
    <w:abstractNumId w:val="2"/>
  </w:num>
  <w:num w:numId="39" w16cid:durableId="2144809364">
    <w:abstractNumId w:val="1"/>
  </w:num>
  <w:num w:numId="40" w16cid:durableId="1304701847">
    <w:abstractNumId w:val="0"/>
  </w:num>
  <w:num w:numId="41" w16cid:durableId="1917125515">
    <w:abstractNumId w:val="10"/>
  </w:num>
  <w:num w:numId="42" w16cid:durableId="1154570245">
    <w:abstractNumId w:val="10"/>
  </w:num>
  <w:num w:numId="43" w16cid:durableId="2107143817">
    <w:abstractNumId w:val="10"/>
  </w:num>
  <w:num w:numId="44" w16cid:durableId="21347063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SV"/>
    <w:docVar w:name="dvnumam" w:val="0"/>
    <w:docVar w:name="dvpe" w:val="778.061"/>
    <w:docVar w:name="dvrapporteur" w:val="Föredragande: "/>
    <w:docVar w:name="dvtitre" w:val="Europaparlamentets beslut av den xx xx 2026 om ansvarsfrihet för genomförandet av Europeiska unionens allmänna budget för budgetåret 2024, avsnitt X – Europeiska utrikestjänsten(2025/2150(DEC))"/>
  </w:docVars>
  <w:rsids>
    <w:rsidRoot w:val="007C0EC0"/>
    <w:rsid w:val="00002272"/>
    <w:rsid w:val="00020C8C"/>
    <w:rsid w:val="00064002"/>
    <w:rsid w:val="000677B9"/>
    <w:rsid w:val="000831BA"/>
    <w:rsid w:val="000A42CC"/>
    <w:rsid w:val="000A770B"/>
    <w:rsid w:val="000E7DD9"/>
    <w:rsid w:val="0010095E"/>
    <w:rsid w:val="00125B37"/>
    <w:rsid w:val="0018311A"/>
    <w:rsid w:val="00187494"/>
    <w:rsid w:val="001B58ED"/>
    <w:rsid w:val="001F32AE"/>
    <w:rsid w:val="002767FF"/>
    <w:rsid w:val="002B18FE"/>
    <w:rsid w:val="002B5493"/>
    <w:rsid w:val="002E4A61"/>
    <w:rsid w:val="00343214"/>
    <w:rsid w:val="00361C00"/>
    <w:rsid w:val="0037689E"/>
    <w:rsid w:val="00395FA1"/>
    <w:rsid w:val="003E15D4"/>
    <w:rsid w:val="004002C0"/>
    <w:rsid w:val="00411CCE"/>
    <w:rsid w:val="0041666E"/>
    <w:rsid w:val="00421060"/>
    <w:rsid w:val="0046795C"/>
    <w:rsid w:val="00471C19"/>
    <w:rsid w:val="004867E3"/>
    <w:rsid w:val="00494A28"/>
    <w:rsid w:val="004C0004"/>
    <w:rsid w:val="004C5D52"/>
    <w:rsid w:val="0050519A"/>
    <w:rsid w:val="005072A1"/>
    <w:rsid w:val="00514517"/>
    <w:rsid w:val="00545827"/>
    <w:rsid w:val="00560270"/>
    <w:rsid w:val="00587C36"/>
    <w:rsid w:val="005C2568"/>
    <w:rsid w:val="005E110E"/>
    <w:rsid w:val="005F1B17"/>
    <w:rsid w:val="006037C0"/>
    <w:rsid w:val="006631B6"/>
    <w:rsid w:val="00663A55"/>
    <w:rsid w:val="00680577"/>
    <w:rsid w:val="006F74FA"/>
    <w:rsid w:val="00731ADD"/>
    <w:rsid w:val="00734777"/>
    <w:rsid w:val="00747932"/>
    <w:rsid w:val="00751A4A"/>
    <w:rsid w:val="00756632"/>
    <w:rsid w:val="00762C74"/>
    <w:rsid w:val="00786EC0"/>
    <w:rsid w:val="007C0EC0"/>
    <w:rsid w:val="007D1690"/>
    <w:rsid w:val="007E22AD"/>
    <w:rsid w:val="00817416"/>
    <w:rsid w:val="00842779"/>
    <w:rsid w:val="00865F67"/>
    <w:rsid w:val="00881A7B"/>
    <w:rsid w:val="008840E5"/>
    <w:rsid w:val="00887B3E"/>
    <w:rsid w:val="008C2AC6"/>
    <w:rsid w:val="00930C23"/>
    <w:rsid w:val="0093193B"/>
    <w:rsid w:val="00941848"/>
    <w:rsid w:val="009509D8"/>
    <w:rsid w:val="00950B64"/>
    <w:rsid w:val="00981893"/>
    <w:rsid w:val="0099213A"/>
    <w:rsid w:val="009A0129"/>
    <w:rsid w:val="00A1687D"/>
    <w:rsid w:val="00A43E52"/>
    <w:rsid w:val="00A4678D"/>
    <w:rsid w:val="00A778C7"/>
    <w:rsid w:val="00AA68A9"/>
    <w:rsid w:val="00AB441E"/>
    <w:rsid w:val="00AB6293"/>
    <w:rsid w:val="00AE0928"/>
    <w:rsid w:val="00AF3B82"/>
    <w:rsid w:val="00B12E95"/>
    <w:rsid w:val="00B22876"/>
    <w:rsid w:val="00B558F0"/>
    <w:rsid w:val="00BD48FE"/>
    <w:rsid w:val="00BD7BD8"/>
    <w:rsid w:val="00BE6ADC"/>
    <w:rsid w:val="00C05BFE"/>
    <w:rsid w:val="00C155AF"/>
    <w:rsid w:val="00C23CD4"/>
    <w:rsid w:val="00C61C0C"/>
    <w:rsid w:val="00C941CB"/>
    <w:rsid w:val="00CC2357"/>
    <w:rsid w:val="00CF071A"/>
    <w:rsid w:val="00CF35A0"/>
    <w:rsid w:val="00D058B8"/>
    <w:rsid w:val="00D56C11"/>
    <w:rsid w:val="00D834A0"/>
    <w:rsid w:val="00D872DF"/>
    <w:rsid w:val="00D91E21"/>
    <w:rsid w:val="00DA7FCD"/>
    <w:rsid w:val="00DD1AE6"/>
    <w:rsid w:val="00E365E1"/>
    <w:rsid w:val="00E820A4"/>
    <w:rsid w:val="00EB006A"/>
    <w:rsid w:val="00EB4772"/>
    <w:rsid w:val="00EB499D"/>
    <w:rsid w:val="00ED169E"/>
    <w:rsid w:val="00ED4235"/>
    <w:rsid w:val="00F04346"/>
    <w:rsid w:val="00F075DC"/>
    <w:rsid w:val="00F149E9"/>
    <w:rsid w:val="00F5134D"/>
    <w:rsid w:val="00F74202"/>
    <w:rsid w:val="00F86822"/>
    <w:rsid w:val="00F87713"/>
    <w:rsid w:val="00FB4360"/>
    <w:rsid w:val="00FD0C70"/>
    <w:rsid w:val="00FF720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DE7AD"/>
  <w15:chartTrackingRefBased/>
  <w15:docId w15:val="{5E3EE8C6-D659-4401-A054-07968D0C2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A68A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A68A9"/>
    <w:pPr>
      <w:spacing w:before="480" w:after="240"/>
    </w:pPr>
  </w:style>
  <w:style w:type="paragraph" w:customStyle="1" w:styleId="PageHeading">
    <w:name w:val="PageHeading"/>
    <w:basedOn w:val="Normal"/>
    <w:rsid w:val="00AA68A9"/>
    <w:pPr>
      <w:keepNext/>
      <w:spacing w:after="480"/>
      <w:jc w:val="center"/>
    </w:pPr>
    <w:rPr>
      <w:rFonts w:ascii="Arial" w:hAnsi="Arial" w:cs="Arial"/>
      <w:b/>
    </w:rPr>
  </w:style>
  <w:style w:type="paragraph" w:customStyle="1" w:styleId="NormalBold">
    <w:name w:val="NormalBold"/>
    <w:basedOn w:val="Normal"/>
    <w:rsid w:val="00AA68A9"/>
    <w:rPr>
      <w:b/>
    </w:rPr>
  </w:style>
  <w:style w:type="paragraph" w:customStyle="1" w:styleId="NormalHanging12a">
    <w:name w:val="NormalHanging12a"/>
    <w:basedOn w:val="Normal"/>
    <w:link w:val="NormalHanging12aChar"/>
    <w:qFormat/>
    <w:rsid w:val="00AA68A9"/>
    <w:pPr>
      <w:spacing w:after="240"/>
      <w:ind w:left="567" w:hanging="567"/>
    </w:pPr>
  </w:style>
  <w:style w:type="paragraph" w:styleId="Header">
    <w:name w:val="header"/>
    <w:basedOn w:val="Normal"/>
    <w:link w:val="HeaderChar"/>
    <w:rsid w:val="00AA68A9"/>
    <w:pPr>
      <w:tabs>
        <w:tab w:val="center" w:pos="4513"/>
        <w:tab w:val="right" w:pos="9026"/>
      </w:tabs>
    </w:pPr>
  </w:style>
  <w:style w:type="character" w:customStyle="1" w:styleId="HeaderChar">
    <w:name w:val="Header Char"/>
    <w:basedOn w:val="DefaultParagraphFont"/>
    <w:link w:val="Header"/>
    <w:rsid w:val="00AA68A9"/>
    <w:rPr>
      <w:sz w:val="24"/>
      <w:lang w:val="sv-SE"/>
    </w:rPr>
  </w:style>
  <w:style w:type="paragraph" w:customStyle="1" w:styleId="EPFooter">
    <w:name w:val="EPFooter"/>
    <w:basedOn w:val="Normal"/>
    <w:rsid w:val="00AA68A9"/>
    <w:pPr>
      <w:tabs>
        <w:tab w:val="center" w:pos="4535"/>
        <w:tab w:val="right" w:pos="9071"/>
      </w:tabs>
      <w:spacing w:before="240" w:after="240"/>
    </w:pPr>
    <w:rPr>
      <w:color w:val="010000"/>
      <w:sz w:val="22"/>
    </w:rPr>
  </w:style>
  <w:style w:type="character" w:styleId="Hyperlink">
    <w:name w:val="Hyperlink"/>
    <w:basedOn w:val="DefaultParagraphFont"/>
    <w:rsid w:val="00AA68A9"/>
    <w:rPr>
      <w:color w:val="0563C1" w:themeColor="hyperlink"/>
      <w:u w:val="single"/>
    </w:rPr>
  </w:style>
  <w:style w:type="character" w:customStyle="1" w:styleId="NormalHanging12aChar">
    <w:name w:val="NormalHanging12a Char"/>
    <w:basedOn w:val="DefaultParagraphFont"/>
    <w:link w:val="NormalHanging12a"/>
    <w:locked/>
    <w:rsid w:val="00AA68A9"/>
    <w:rPr>
      <w:sz w:val="24"/>
      <w:lang w:val="sv-SE"/>
    </w:rPr>
  </w:style>
  <w:style w:type="paragraph" w:styleId="Revision">
    <w:name w:val="Revision"/>
    <w:hidden/>
    <w:uiPriority w:val="99"/>
    <w:semiHidden/>
    <w:rsid w:val="0018311A"/>
    <w:rPr>
      <w:sz w:val="24"/>
      <w:lang w:val="sv-SE"/>
    </w:rPr>
  </w:style>
  <w:style w:type="character" w:styleId="UnresolvedMention">
    <w:name w:val="Unresolved Mention"/>
    <w:basedOn w:val="DefaultParagraphFont"/>
    <w:uiPriority w:val="99"/>
    <w:semiHidden/>
    <w:unhideWhenUsed/>
    <w:rsid w:val="00663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13217</Words>
  <Characters>92395</Characters>
  <Application>Microsoft Office Word</Application>
  <DocSecurity>0</DocSecurity>
  <Lines>769</Lines>
  <Paragraphs>210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2026-05-05T08:37:00Z</dcterms:created>
  <dcterms:modified xsi:type="dcterms:W3CDTF">2026-05-05T08:37:00Z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P10_TA(2026)0130_</vt:lpwstr>
  </property>
  <property fmtid="{D5CDD505-2E9C-101B-9397-08002B2CF9AE}" pid="4" name="&lt;Type&gt;">
    <vt:lpwstr>RR</vt:lpwstr>
  </property>
</Properties>
</file>