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700C" w14:paraId="6C1F07CE" w14:textId="77777777" w:rsidTr="0010095E">
        <w:trPr>
          <w:trHeight w:hRule="exact" w:val="1418"/>
        </w:trPr>
        <w:tc>
          <w:tcPr>
            <w:tcW w:w="6804" w:type="dxa"/>
            <w:shd w:val="clear" w:color="auto" w:fill="auto"/>
            <w:vAlign w:val="center"/>
          </w:tcPr>
          <w:p w14:paraId="6E1D8756" w14:textId="0AF975CE" w:rsidR="00751A4A" w:rsidRPr="0049700C" w:rsidRDefault="002B5734" w:rsidP="0010095E">
            <w:pPr>
              <w:pStyle w:val="EPName"/>
            </w:pPr>
            <w:r w:rsidRPr="0049700C">
              <w:t>Европейски</w:t>
            </w:r>
            <w:r w:rsidR="003C797D" w:rsidRPr="0049700C">
              <w:t xml:space="preserve"> парламент</w:t>
            </w:r>
          </w:p>
          <w:p w14:paraId="7DDDEBF8" w14:textId="720AD81B" w:rsidR="00751A4A" w:rsidRPr="0049700C" w:rsidRDefault="005F1B17" w:rsidP="005F1B17">
            <w:pPr>
              <w:pStyle w:val="EPTerm"/>
              <w:rPr>
                <w:rStyle w:val="HideTWBExt"/>
                <w:noProof w:val="0"/>
                <w:vanish w:val="0"/>
                <w:color w:val="auto"/>
              </w:rPr>
            </w:pPr>
            <w:r w:rsidRPr="0049700C">
              <w:t>2024</w:t>
            </w:r>
            <w:r w:rsidR="002B5734">
              <w:t> – </w:t>
            </w:r>
            <w:r w:rsidR="00817416" w:rsidRPr="0049700C">
              <w:t>202</w:t>
            </w:r>
            <w:r w:rsidRPr="0049700C">
              <w:t>9</w:t>
            </w:r>
          </w:p>
        </w:tc>
        <w:tc>
          <w:tcPr>
            <w:tcW w:w="2268" w:type="dxa"/>
            <w:shd w:val="clear" w:color="auto" w:fill="auto"/>
          </w:tcPr>
          <w:p w14:paraId="45B28181" w14:textId="77777777" w:rsidR="00751A4A" w:rsidRPr="0049700C" w:rsidRDefault="00187494" w:rsidP="0010095E">
            <w:pPr>
              <w:pStyle w:val="EPLogo"/>
            </w:pPr>
            <w:r w:rsidRPr="0049700C">
              <w:rPr>
                <w:noProof/>
                <w:lang w:eastAsia="ja-JP"/>
              </w:rPr>
              <w:drawing>
                <wp:inline distT="0" distB="0" distL="0" distR="0" wp14:anchorId="614FA59A" wp14:editId="4790F6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7B50C9" w14:textId="77777777" w:rsidR="00D058B8" w:rsidRPr="0049700C" w:rsidRDefault="00D058B8" w:rsidP="004C5D52">
      <w:pPr>
        <w:pStyle w:val="LineTop"/>
      </w:pPr>
    </w:p>
    <w:p w14:paraId="7ED71F09" w14:textId="77777777" w:rsidR="00680577" w:rsidRPr="0049700C" w:rsidRDefault="003C797D" w:rsidP="00680577">
      <w:pPr>
        <w:pStyle w:val="EPBodyTA1"/>
      </w:pPr>
      <w:r w:rsidRPr="0049700C">
        <w:t>ПРИЕТИ ТЕКСТОВЕ</w:t>
      </w:r>
    </w:p>
    <w:p w14:paraId="1DCE8B64" w14:textId="77777777" w:rsidR="00D058B8" w:rsidRPr="0049700C" w:rsidRDefault="00D058B8" w:rsidP="00D058B8">
      <w:pPr>
        <w:pStyle w:val="LineBottom"/>
      </w:pPr>
    </w:p>
    <w:p w14:paraId="17C63D31" w14:textId="6F192452" w:rsidR="003C797D" w:rsidRPr="0049700C" w:rsidRDefault="003C797D" w:rsidP="003C797D">
      <w:pPr>
        <w:pStyle w:val="ATHeading1"/>
      </w:pPr>
      <w:bookmarkStart w:id="0" w:name="TANumber"/>
      <w:r w:rsidRPr="0049700C">
        <w:t>P10_TA(2026)0</w:t>
      </w:r>
      <w:r w:rsidR="00DD5C67">
        <w:t>131</w:t>
      </w:r>
      <w:bookmarkEnd w:id="0"/>
    </w:p>
    <w:p w14:paraId="2B264DAE" w14:textId="77777777" w:rsidR="003C797D" w:rsidRPr="0049700C" w:rsidRDefault="003C797D" w:rsidP="003C797D">
      <w:pPr>
        <w:pStyle w:val="ATHeading2"/>
      </w:pPr>
      <w:bookmarkStart w:id="1" w:name="title"/>
      <w:r w:rsidRPr="0049700C">
        <w:t>Освобождаване от отговорност във връзка с изпълнението на бюджета за 2024 г.: Общ бюджет на ЕС - Европейски икономически и социален комитет</w:t>
      </w:r>
      <w:bookmarkEnd w:id="1"/>
    </w:p>
    <w:p w14:paraId="777ECD9F" w14:textId="77777777" w:rsidR="003C797D" w:rsidRPr="0049700C" w:rsidRDefault="003C797D" w:rsidP="003C797D">
      <w:pPr>
        <w:rPr>
          <w:i/>
          <w:vanish/>
        </w:rPr>
      </w:pPr>
      <w:r w:rsidRPr="0049700C">
        <w:rPr>
          <w:i/>
        </w:rPr>
        <w:fldChar w:fldCharType="begin"/>
      </w:r>
      <w:r w:rsidRPr="0049700C">
        <w:rPr>
          <w:i/>
        </w:rPr>
        <w:instrText xml:space="preserve"> TC"(</w:instrText>
      </w:r>
      <w:bookmarkStart w:id="2" w:name="DocNumber"/>
      <w:r w:rsidRPr="0049700C">
        <w:rPr>
          <w:i/>
        </w:rPr>
        <w:instrText>A10-0059/2026</w:instrText>
      </w:r>
      <w:bookmarkEnd w:id="2"/>
      <w:r w:rsidRPr="0049700C">
        <w:rPr>
          <w:i/>
        </w:rPr>
        <w:instrText xml:space="preserve"> - Докладчик: Паскуале Тридико)"\l3 \n&gt; \* MERGEFORMAT </w:instrText>
      </w:r>
      <w:r w:rsidRPr="0049700C">
        <w:rPr>
          <w:i/>
        </w:rPr>
        <w:fldChar w:fldCharType="end"/>
      </w:r>
    </w:p>
    <w:p w14:paraId="56A33C8E" w14:textId="77777777" w:rsidR="003C797D" w:rsidRPr="0049700C" w:rsidRDefault="003C797D" w:rsidP="003C797D">
      <w:pPr>
        <w:rPr>
          <w:vanish/>
        </w:rPr>
      </w:pPr>
      <w:bookmarkStart w:id="3" w:name="Commission"/>
      <w:r w:rsidRPr="0049700C">
        <w:rPr>
          <w:vanish/>
        </w:rPr>
        <w:t>Комисия по бюджетен контрол</w:t>
      </w:r>
      <w:bookmarkEnd w:id="3"/>
    </w:p>
    <w:p w14:paraId="4F56EDB9" w14:textId="77777777" w:rsidR="003C797D" w:rsidRPr="0049700C" w:rsidRDefault="003C797D" w:rsidP="003C797D">
      <w:pPr>
        <w:rPr>
          <w:vanish/>
        </w:rPr>
      </w:pPr>
      <w:bookmarkStart w:id="4" w:name="PE"/>
      <w:r w:rsidRPr="0049700C">
        <w:rPr>
          <w:vanish/>
        </w:rPr>
        <w:t>PE778.063</w:t>
      </w:r>
      <w:bookmarkEnd w:id="4"/>
    </w:p>
    <w:p w14:paraId="4CCB1805" w14:textId="138CDA7B" w:rsidR="003C797D" w:rsidRPr="0049700C" w:rsidRDefault="003C797D" w:rsidP="002B5734">
      <w:pPr>
        <w:pStyle w:val="ATHeading3"/>
      </w:pPr>
      <w:bookmarkStart w:id="5" w:name="Sujet"/>
      <w:r w:rsidRPr="0049700C">
        <w:t xml:space="preserve">1. Решение на Европейския парламент от </w:t>
      </w:r>
      <w:r w:rsidR="002B5734">
        <w:t>2</w:t>
      </w:r>
      <w:r w:rsidR="00780DF7">
        <w:t>9</w:t>
      </w:r>
      <w:r w:rsidR="002B5734">
        <w:t xml:space="preserve"> април</w:t>
      </w:r>
      <w:r w:rsidRPr="0049700C">
        <w:t xml:space="preserve"> 2026 г. относно освобождаването от отговорност във връзка с изпълнението на общия бюджет на Европейския съюз за финансовата 2024 година, раздел VI ‒ Европейски икономически и социален комитет</w:t>
      </w:r>
      <w:bookmarkEnd w:id="5"/>
      <w:r w:rsidRPr="0049700C">
        <w:t xml:space="preserve"> </w:t>
      </w:r>
      <w:bookmarkStart w:id="6" w:name="References"/>
      <w:r w:rsidRPr="0049700C">
        <w:t>(2025/2151(DEC))</w:t>
      </w:r>
      <w:bookmarkEnd w:id="6"/>
    </w:p>
    <w:p w14:paraId="0DC7EB60" w14:textId="77777777" w:rsidR="00C3783B" w:rsidRPr="0049700C" w:rsidRDefault="00C3783B" w:rsidP="00C3783B">
      <w:pPr>
        <w:pStyle w:val="EPComma"/>
      </w:pPr>
      <w:bookmarkStart w:id="7" w:name="TextBodyBegin"/>
      <w:bookmarkEnd w:id="7"/>
      <w:r w:rsidRPr="0049700C">
        <w:rPr>
          <w:i/>
        </w:rPr>
        <w:t>Европейският парламент</w:t>
      </w:r>
      <w:r w:rsidRPr="0049700C">
        <w:t>,</w:t>
      </w:r>
    </w:p>
    <w:p w14:paraId="499D7EF1" w14:textId="77777777" w:rsidR="00C3783B" w:rsidRPr="0049700C" w:rsidRDefault="00C3783B" w:rsidP="00C3783B">
      <w:pPr>
        <w:pStyle w:val="NormalHanging12a"/>
      </w:pPr>
      <w:r w:rsidRPr="0049700C">
        <w:t>–</w:t>
      </w:r>
      <w:r w:rsidRPr="0049700C">
        <w:tab/>
        <w:t>като взе предвид общия бюджет на Европейския съюз за финансовата 2024 година</w:t>
      </w:r>
      <w:r w:rsidRPr="0049700C">
        <w:rPr>
          <w:rStyle w:val="FootnoteReference"/>
        </w:rPr>
        <w:footnoteReference w:id="1"/>
      </w:r>
      <w:r w:rsidRPr="0049700C">
        <w:t>,</w:t>
      </w:r>
    </w:p>
    <w:p w14:paraId="3A1BBED0" w14:textId="77777777" w:rsidR="00C3783B" w:rsidRPr="0049700C" w:rsidRDefault="00C3783B" w:rsidP="00C3783B">
      <w:pPr>
        <w:pStyle w:val="NormalHanging12a"/>
      </w:pPr>
      <w:r w:rsidRPr="0049700C">
        <w:t>–</w:t>
      </w:r>
      <w:r w:rsidRPr="0049700C">
        <w:tab/>
        <w:t>като взе предвид консолидираните годишни отчети на Европейския съюз за финансовата 2024 година (COM(2025)0359 – C10</w:t>
      </w:r>
      <w:r w:rsidRPr="0049700C">
        <w:noBreakHyphen/>
        <w:t>0150/2025)</w:t>
      </w:r>
      <w:r w:rsidRPr="0049700C">
        <w:rPr>
          <w:rStyle w:val="FootnoteReference"/>
        </w:rPr>
        <w:footnoteReference w:id="2"/>
      </w:r>
      <w:r w:rsidRPr="0049700C">
        <w:t>,</w:t>
      </w:r>
    </w:p>
    <w:p w14:paraId="5574148B" w14:textId="77777777" w:rsidR="00C3783B" w:rsidRPr="0049700C" w:rsidRDefault="00C3783B" w:rsidP="00C3783B">
      <w:pPr>
        <w:pStyle w:val="NormalHanging12a"/>
      </w:pPr>
      <w:r w:rsidRPr="0049700C">
        <w:t>–</w:t>
      </w:r>
      <w:r w:rsidRPr="0049700C">
        <w:tab/>
        <w:t>като взе предвид годишния доклад на Европейския икономически и социален комитет пред органа по освобождаване от отговорност относно вътрешните одити, осъществени през 2024 г.,</w:t>
      </w:r>
    </w:p>
    <w:p w14:paraId="6144F04F" w14:textId="77777777" w:rsidR="00C3783B" w:rsidRPr="0049700C" w:rsidRDefault="00C3783B" w:rsidP="00C3783B">
      <w:pPr>
        <w:pStyle w:val="NormalHanging12a"/>
      </w:pPr>
      <w:r w:rsidRPr="0049700C">
        <w:t>–</w:t>
      </w:r>
      <w:r w:rsidRPr="0049700C">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49700C">
        <w:rPr>
          <w:rStyle w:val="FootnoteReference"/>
        </w:rPr>
        <w:footnoteReference w:id="3"/>
      </w:r>
      <w:r w:rsidRPr="0049700C">
        <w:t>,</w:t>
      </w:r>
    </w:p>
    <w:p w14:paraId="2CC40268" w14:textId="77777777" w:rsidR="00C3783B" w:rsidRPr="0049700C" w:rsidRDefault="00C3783B" w:rsidP="00C3783B">
      <w:pPr>
        <w:pStyle w:val="NormalHanging12a"/>
      </w:pPr>
      <w:r w:rsidRPr="0049700C">
        <w:t>–</w:t>
      </w:r>
      <w:r w:rsidRPr="0049700C">
        <w:tab/>
        <w:t>като взе предвид декларацията за достоверност</w:t>
      </w:r>
      <w:r w:rsidRPr="0049700C">
        <w:rPr>
          <w:rStyle w:val="FootnoteReference"/>
        </w:rPr>
        <w:footnoteReference w:id="4"/>
      </w:r>
      <w:r w:rsidRPr="0049700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69D2559" w14:textId="77777777" w:rsidR="00C3783B" w:rsidRPr="0049700C" w:rsidRDefault="00C3783B" w:rsidP="00C3783B">
      <w:pPr>
        <w:pStyle w:val="NormalHanging12a"/>
      </w:pPr>
      <w:r w:rsidRPr="0049700C">
        <w:t>–</w:t>
      </w:r>
      <w:r w:rsidRPr="0049700C">
        <w:tab/>
        <w:t>като взе предвид член 314, параграф 10 и членове 317, 318 и 319 от Договора за функционирането на Европейския съюз,</w:t>
      </w:r>
    </w:p>
    <w:p w14:paraId="05AEB1CF" w14:textId="77777777" w:rsidR="00C3783B" w:rsidRPr="0049700C" w:rsidRDefault="00C3783B" w:rsidP="00C3783B">
      <w:pPr>
        <w:pStyle w:val="NormalHanging12a"/>
      </w:pPr>
      <w:r w:rsidRPr="0049700C">
        <w:t>–</w:t>
      </w:r>
      <w:r w:rsidRPr="0049700C">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w:t>
      </w:r>
      <w:r w:rsidRPr="0049700C">
        <w:lastRenderedPageBreak/>
        <w:t>№ 1316/2013, (ЕС) № 223/2014 и (ЕС) № 283/2014 и на Решение № 541/2014/ЕС и за отмяна на Регламент (ЕС, Евратом) № 966/2012</w:t>
      </w:r>
      <w:r w:rsidRPr="0049700C">
        <w:rPr>
          <w:rStyle w:val="FootnoteReference"/>
        </w:rPr>
        <w:footnoteReference w:id="5"/>
      </w:r>
      <w:r w:rsidRPr="0049700C">
        <w:t>, и по-специално членове 59, 118, 260, 261 и 262 от него,</w:t>
      </w:r>
    </w:p>
    <w:p w14:paraId="19E80A06" w14:textId="77777777" w:rsidR="00C3783B" w:rsidRPr="0049700C" w:rsidRDefault="00C3783B" w:rsidP="00C3783B">
      <w:pPr>
        <w:pStyle w:val="NormalHanging12a"/>
      </w:pPr>
      <w:r w:rsidRPr="0049700C">
        <w:t>–</w:t>
      </w:r>
      <w:r w:rsidRPr="0049700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49700C">
        <w:rPr>
          <w:rStyle w:val="FootnoteReference"/>
        </w:rPr>
        <w:footnoteReference w:id="6"/>
      </w:r>
      <w:r w:rsidRPr="0049700C">
        <w:t>, и по-специално членове 59, 118, 266, 267 и 268 от него,</w:t>
      </w:r>
    </w:p>
    <w:p w14:paraId="75D54804" w14:textId="77777777" w:rsidR="00C3783B" w:rsidRPr="0049700C" w:rsidRDefault="00C3783B" w:rsidP="00C3783B">
      <w:pPr>
        <w:pStyle w:val="NormalHanging12a"/>
      </w:pPr>
      <w:r w:rsidRPr="0049700C">
        <w:t>–</w:t>
      </w:r>
      <w:r w:rsidRPr="0049700C">
        <w:tab/>
        <w:t>като взе предвид член 102 и приложение V към своя Правилник за дейността,</w:t>
      </w:r>
    </w:p>
    <w:p w14:paraId="1238B85E" w14:textId="77777777" w:rsidR="00C3783B" w:rsidRPr="0049700C" w:rsidRDefault="00C3783B" w:rsidP="00C3783B">
      <w:pPr>
        <w:pStyle w:val="NormalHanging12a"/>
      </w:pPr>
      <w:r w:rsidRPr="0049700C">
        <w:t>–</w:t>
      </w:r>
      <w:r w:rsidRPr="0049700C">
        <w:tab/>
        <w:t>като взе предвид доклада на комисията по бюджетен контрол (A10-0059/2026),</w:t>
      </w:r>
    </w:p>
    <w:p w14:paraId="2505ABD1" w14:textId="77777777" w:rsidR="00C3783B" w:rsidRPr="0049700C" w:rsidRDefault="00C3783B" w:rsidP="00C3783B">
      <w:pPr>
        <w:pStyle w:val="NormalHanging12a"/>
      </w:pPr>
      <w:r w:rsidRPr="0049700C">
        <w:t>1.</w:t>
      </w:r>
      <w:r w:rsidRPr="0049700C">
        <w:tab/>
        <w:t>освобождава от отговорност генералния секретар на Европейския икономически и социален комитет във връзка с изпълнението на бюджета на Европейския икономически и социален комитет за финансовата 2024 година;</w:t>
      </w:r>
    </w:p>
    <w:p w14:paraId="659D3735" w14:textId="77777777" w:rsidR="00C3783B" w:rsidRPr="0049700C" w:rsidRDefault="00C3783B" w:rsidP="00C3783B">
      <w:pPr>
        <w:pStyle w:val="NormalHanging12a"/>
      </w:pPr>
      <w:r w:rsidRPr="0049700C">
        <w:t>2.</w:t>
      </w:r>
      <w:r w:rsidRPr="0049700C">
        <w:tab/>
        <w:t>представя своите забележки в резолюцията по-долу;</w:t>
      </w:r>
    </w:p>
    <w:p w14:paraId="5B5BD4A1" w14:textId="77777777" w:rsidR="00C3783B" w:rsidRPr="0049700C" w:rsidRDefault="00C3783B" w:rsidP="00C3783B">
      <w:pPr>
        <w:pStyle w:val="NormalHanging12a"/>
      </w:pPr>
      <w:r w:rsidRPr="0049700C">
        <w:t>3.</w:t>
      </w:r>
      <w:r w:rsidRPr="0049700C">
        <w:tab/>
        <w:t xml:space="preserve">възлага на своя председател да предаде настоящото решение, както и резолюцията, която е неразделна част от него, на Европейския икономически и социален комитет, на Съвета, на Комисията и на Сметната палата и да осигури публикуването им в </w:t>
      </w:r>
      <w:r w:rsidRPr="0049700C">
        <w:rPr>
          <w:i/>
        </w:rPr>
        <w:t>Официален вестник на Европейския съюз</w:t>
      </w:r>
      <w:r w:rsidRPr="0049700C">
        <w:t xml:space="preserve"> (серия L).</w:t>
      </w:r>
    </w:p>
    <w:p w14:paraId="6CF8FF4D" w14:textId="77777777" w:rsidR="00C3783B" w:rsidRPr="0049700C" w:rsidRDefault="00C3783B" w:rsidP="00C3783B">
      <w:pPr>
        <w:pStyle w:val="PageHeading"/>
        <w:sectPr w:rsidR="00C3783B" w:rsidRPr="0049700C" w:rsidSect="0049700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8E4C40" w14:textId="45E4A424" w:rsidR="00085E52" w:rsidRDefault="00085E52" w:rsidP="00085E52">
      <w:pPr>
        <w:pStyle w:val="ATHeading3"/>
      </w:pPr>
      <w:r>
        <w:lastRenderedPageBreak/>
        <w:t>2. Резолюция на Европейския парламент от 2</w:t>
      </w:r>
      <w:r w:rsidR="00780DF7">
        <w:t>9</w:t>
      </w:r>
      <w:r>
        <w:t xml:space="preserve"> април 2026 г.</w:t>
      </w:r>
      <w:r w:rsidR="0016461C">
        <w:t>,</w:t>
      </w:r>
      <w:r>
        <w:t xml:space="preserve"> съдържащ</w:t>
      </w:r>
      <w:r w:rsidR="0016461C">
        <w:t>а</w:t>
      </w:r>
      <w:r>
        <w:t xml:space="preserve"> забележки</w:t>
      </w:r>
      <w:r w:rsidR="00BC0DA7">
        <w:t>те</w:t>
      </w:r>
      <w:r>
        <w:t>,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VI – Европейски икономически и социален комитет (2025/2151(DEC))</w:t>
      </w:r>
    </w:p>
    <w:p w14:paraId="5EE116F6" w14:textId="77777777" w:rsidR="00C3783B" w:rsidRPr="0049700C" w:rsidRDefault="00C3783B" w:rsidP="00C3783B">
      <w:pPr>
        <w:pStyle w:val="EPComma"/>
      </w:pPr>
      <w:r w:rsidRPr="0049700C">
        <w:rPr>
          <w:i/>
        </w:rPr>
        <w:t>Европейският парламент</w:t>
      </w:r>
      <w:r w:rsidRPr="0049700C">
        <w:t>,</w:t>
      </w:r>
    </w:p>
    <w:p w14:paraId="7C3ACEC1" w14:textId="77777777" w:rsidR="00C3783B" w:rsidRPr="0049700C" w:rsidRDefault="00C3783B" w:rsidP="00C3783B">
      <w:pPr>
        <w:pStyle w:val="NormalHanging12a"/>
      </w:pPr>
      <w:r w:rsidRPr="0049700C">
        <w:t>–</w:t>
      </w:r>
      <w:r w:rsidRPr="0049700C">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VI ‒ Европейски икономически и социален комитет,</w:t>
      </w:r>
    </w:p>
    <w:p w14:paraId="771AB7D3" w14:textId="77777777" w:rsidR="00C3783B" w:rsidRPr="0049700C" w:rsidRDefault="00C3783B" w:rsidP="00C3783B">
      <w:pPr>
        <w:pStyle w:val="NormalHanging12a"/>
      </w:pPr>
      <w:r w:rsidRPr="0049700C">
        <w:t>–</w:t>
      </w:r>
      <w:r w:rsidRPr="0049700C">
        <w:tab/>
        <w:t>като взе предвид член 102 и приложение V към своя Правилник за дейността,</w:t>
      </w:r>
    </w:p>
    <w:p w14:paraId="570B0147" w14:textId="77777777" w:rsidR="00C3783B" w:rsidRPr="0049700C" w:rsidRDefault="00C3783B" w:rsidP="00C3783B">
      <w:pPr>
        <w:pStyle w:val="NormalHanging12a"/>
      </w:pPr>
      <w:r w:rsidRPr="0049700C">
        <w:t>–</w:t>
      </w:r>
      <w:r w:rsidRPr="0049700C">
        <w:tab/>
        <w:t>като взе предвид доклада на комисията по бюджетен контрол (A10-0059/2026),</w:t>
      </w:r>
    </w:p>
    <w:p w14:paraId="5C3CE2B9" w14:textId="77777777" w:rsidR="00C3783B" w:rsidRPr="0049700C" w:rsidRDefault="00C3783B" w:rsidP="00C3783B">
      <w:pPr>
        <w:pStyle w:val="NormalHanging12a"/>
      </w:pPr>
      <w:r w:rsidRPr="0049700C">
        <w:t>А.</w:t>
      </w:r>
      <w:r w:rsidRPr="0049700C">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26D2BC8F" w14:textId="77777777" w:rsidR="00C3783B" w:rsidRPr="0049700C" w:rsidRDefault="00C3783B" w:rsidP="00C3783B">
      <w:pPr>
        <w:pStyle w:val="NormalHanging12a"/>
      </w:pPr>
      <w:r w:rsidRPr="0049700C">
        <w:t>Б.</w:t>
      </w:r>
      <w:r w:rsidRPr="0049700C">
        <w:tab/>
        <w:t>като има предвид, че Европейският икономически и социален комитет („Комитетът“) е консултативен орган на Съюза, който осигурява форум за консултации, диалог и консенсус между представителите на различните икономически, социални и граждански компоненти на организираното гражданско общество от държавите членки;</w:t>
      </w:r>
    </w:p>
    <w:p w14:paraId="7D987C42" w14:textId="77777777" w:rsidR="00C3783B" w:rsidRPr="0049700C" w:rsidRDefault="00C3783B" w:rsidP="00C3783B">
      <w:pPr>
        <w:pStyle w:val="NormalHanging12a"/>
      </w:pPr>
      <w:r w:rsidRPr="0049700C">
        <w:t>В.</w:t>
      </w:r>
      <w:r w:rsidRPr="0049700C">
        <w:tab/>
        <w:t>като има предвид, че Комитетът допринася за процеса на вземане на решения в Съюза и че осигурявайки връзка между политиките на Съюза и икономическите, социалните и гражданските обстоятелства, изпълнява своите мисии за по-добро законотворчество, демокрация на участието и насърчаване на европейските ценности;</w:t>
      </w:r>
    </w:p>
    <w:p w14:paraId="5DE3E6A9" w14:textId="77777777" w:rsidR="00C3783B" w:rsidRPr="0049700C" w:rsidRDefault="00C3783B" w:rsidP="00C3783B">
      <w:pPr>
        <w:pStyle w:val="NormalHanging12a"/>
      </w:pPr>
      <w:r w:rsidRPr="0049700C">
        <w:t>Г.</w:t>
      </w:r>
      <w:r w:rsidRPr="0049700C">
        <w:tab/>
        <w:t>като има предвид, че провеждането на консултации с Комитета от страна на Комисията или Съвета е задължително при вземането на решения в някои области и че Комитетът може да приема и становища по собствена инициатива, като същевременно с него може да се провеждат консултации по широк кръг от теми, както е определено в Договорите, които предвиждат Парламентът да се консултира с него;</w:t>
      </w:r>
    </w:p>
    <w:p w14:paraId="0B14D6D0" w14:textId="77777777" w:rsidR="00C3783B" w:rsidRPr="0049700C" w:rsidRDefault="00C3783B" w:rsidP="00C3783B">
      <w:pPr>
        <w:pStyle w:val="NormalHanging12a"/>
      </w:pPr>
      <w:r w:rsidRPr="0049700C">
        <w:t>Д.</w:t>
      </w:r>
      <w:r w:rsidRPr="0049700C">
        <w:tab/>
        <w:t>като има предвид, че комисията по финансови и бюджетни въпроси (CAF) на Комитета е надзорният орган на Комитета за всички бюджетни процедури и по-специално за изготвянето на бюджетните прогнози, изпълнението на бюджета, годишния отчет за дейността, освобождаването от отговорност и последващите действия във връзка с годишния доклад на Сметната палата („Палатата“);</w:t>
      </w:r>
    </w:p>
    <w:p w14:paraId="39818EE1" w14:textId="77777777" w:rsidR="00C3783B" w:rsidRPr="0049700C" w:rsidRDefault="00C3783B" w:rsidP="00C3783B">
      <w:pPr>
        <w:pStyle w:val="NormalHanging12a"/>
      </w:pPr>
      <w:r w:rsidRPr="0049700C">
        <w:t>Е.</w:t>
      </w:r>
      <w:r w:rsidRPr="0049700C">
        <w:tab/>
        <w:t xml:space="preserve">като има предвид, че през последните години Комитетът систематично предприе инициативи за привличане и задържане на квалифициран персонал, за оптимизиране на организационната си структура и методите си на работа и за </w:t>
      </w:r>
      <w:r w:rsidRPr="0049700C">
        <w:lastRenderedPageBreak/>
        <w:t>насърчаване на достойна работна среда, в контекста на ограничен бюджет;</w:t>
      </w:r>
    </w:p>
    <w:p w14:paraId="3A5312BF" w14:textId="77777777" w:rsidR="00C3783B" w:rsidRPr="0049700C" w:rsidRDefault="00C3783B" w:rsidP="00C3783B">
      <w:pPr>
        <w:pStyle w:val="NormalHanging12a"/>
      </w:pPr>
      <w:r w:rsidRPr="0049700C">
        <w:t>Ж.</w:t>
      </w:r>
      <w:r w:rsidRPr="0049700C">
        <w:tab/>
        <w:t>като има предвид, че през 2024 г. Комитетът назначи нов генерален секретар, чиято задача е да повиши ефективността на Комитета и да увеличи неговото въздействие и значение;</w:t>
      </w:r>
    </w:p>
    <w:p w14:paraId="20030E64" w14:textId="77777777" w:rsidR="00C3783B" w:rsidRPr="0049700C" w:rsidRDefault="00C3783B" w:rsidP="00C3783B">
      <w:pPr>
        <w:pStyle w:val="NormalHanging12a"/>
      </w:pPr>
      <w:r w:rsidRPr="0049700C">
        <w:t>З.</w:t>
      </w:r>
      <w:r w:rsidRPr="0049700C">
        <w:tab/>
        <w:t>като има предвид, че през 2024 г. Комитетът започна процес на трансформация с цел да се утвърди като организация, насочена към постигането на въздействие, която дава възможност на своите членове да засилят и защитават гласа на организираното гражданско общество;</w:t>
      </w:r>
    </w:p>
    <w:p w14:paraId="304BE679" w14:textId="77777777" w:rsidR="00C3783B" w:rsidRPr="0049700C" w:rsidRDefault="00C3783B" w:rsidP="00C3783B">
      <w:pPr>
        <w:pStyle w:val="NormalHanging12a"/>
        <w:rPr>
          <w:bCs/>
          <w:iCs/>
        </w:rPr>
      </w:pPr>
      <w:r w:rsidRPr="0049700C">
        <w:t>И.</w:t>
      </w:r>
      <w:r w:rsidRPr="0049700C">
        <w:tab/>
        <w:t>като има предвид, че съгласно членове 300 и 304 от Договора за функционирането на Европейския съюз Европейският икономически и социален комитет е консултативен орган, чиято основна задача е да изготвя становища;</w:t>
      </w:r>
    </w:p>
    <w:p w14:paraId="6AD5891F" w14:textId="77777777" w:rsidR="00C3783B" w:rsidRPr="0049700C" w:rsidRDefault="00C3783B" w:rsidP="00C3783B">
      <w:pPr>
        <w:pStyle w:val="NormalHanging12a"/>
      </w:pPr>
      <w:r w:rsidRPr="0049700C">
        <w:t>1.</w:t>
      </w:r>
      <w:r w:rsidRPr="0049700C">
        <w:tab/>
        <w:t>отбелязва, че бюджетът на Комитета попада в обхвата на функция 7 от МФР „Европейска публична администрация“, която през 2024 г. възлиза на общо 13,3 милиарда евро, т.е. 6,9% от бюджетните разходи на Съюза; отбелязва, че през 2024 г. бюджетът на Комитета представлява 1,50% от бюджетните кредити по функция 7 от МФР (което представлява увеличение спрямо 1,29% през 2023 г.);</w:t>
      </w:r>
    </w:p>
    <w:p w14:paraId="1CFA49F3" w14:textId="77777777" w:rsidR="00C3783B" w:rsidRPr="0049700C" w:rsidRDefault="00C3783B" w:rsidP="00C3783B">
      <w:pPr>
        <w:pStyle w:val="NormalHanging12a"/>
      </w:pPr>
      <w:r w:rsidRPr="0049700C">
        <w:t>2.</w:t>
      </w:r>
      <w:r w:rsidRPr="0049700C">
        <w:tab/>
        <w:t>отбелязва, че в своя годишен доклад за финансовата 2024 година („доклада на Палатата“) Сметната палата („Палатата“) посочи, че е проверила извадка от 70 операции в обхвата на функция „Администрация“, което е същият брой проверени операции, както през 2023 г.; като има предвид, че Палатата посочва освен това, че административните разходи включват разходи за човешки ресурси, в т.ч. разходи за пенсии, които през 2024 г. представляваха приблизително 69% от общия размер на административните разходи и разходите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p w14:paraId="48F3A11B" w14:textId="77777777" w:rsidR="00C3783B" w:rsidRPr="0049700C" w:rsidRDefault="00C3783B" w:rsidP="00C3783B">
      <w:pPr>
        <w:pStyle w:val="NormalHanging12a"/>
      </w:pPr>
      <w:r w:rsidRPr="0049700C">
        <w:t>3.</w:t>
      </w:r>
      <w:r w:rsidRPr="0049700C">
        <w:tab/>
        <w:t xml:space="preserve">отбелязва, че 16 (23%) от 70-те операции съдържат грешки, но че въз основа на трите </w:t>
      </w:r>
      <w:proofErr w:type="spellStart"/>
      <w:r w:rsidRPr="0049700C">
        <w:t>остойностени</w:t>
      </w:r>
      <w:proofErr w:type="spellEnd"/>
      <w:r w:rsidRPr="0049700C">
        <w:t xml:space="preserve"> грешки Палатата заключава, че изчисленият процент грешки е под прага на същественост; отбелязва, че в доклада на Палатата не са установени конкретни проблеми, засягащи Комитета;</w:t>
      </w:r>
    </w:p>
    <w:p w14:paraId="45785AA1" w14:textId="77777777" w:rsidR="00C3783B" w:rsidRPr="0049700C" w:rsidRDefault="00C3783B" w:rsidP="00C3783B">
      <w:pPr>
        <w:pStyle w:val="NormalHanging12a"/>
        <w:rPr>
          <w:b/>
          <w:i/>
        </w:rPr>
      </w:pPr>
      <w:r w:rsidRPr="0049700C">
        <w:rPr>
          <w:b/>
          <w:i/>
        </w:rPr>
        <w:t>Бюджетно и финансово управление</w:t>
      </w:r>
    </w:p>
    <w:p w14:paraId="3539B9D1" w14:textId="77777777" w:rsidR="00C3783B" w:rsidRPr="0049700C" w:rsidRDefault="00C3783B" w:rsidP="00C3783B">
      <w:pPr>
        <w:pStyle w:val="NormalHanging12a"/>
      </w:pPr>
      <w:r w:rsidRPr="0049700C">
        <w:t>4.</w:t>
      </w:r>
      <w:r w:rsidRPr="0049700C">
        <w:tab/>
        <w:t>отбелязва, че през 2024 г. окончателният приет бюджет на Комитета възлиза на 164 945 524 EUR, което представлява общо увеличение с 3,90% в сравнение с 2023 г.; отбелязва въз основа на отговорите на Комитета на въпросника, представен от комисията по бюджетен контрол в контекста на освобождаването от отговорност във връзка с изпълнението на бюджета за 2024 г. („въпросника“), че два бюджетни реда на Комитета, а именно 1 2 0 0 (Възнаграждения и надбавки) и 1 0 0 4 (Пътни разноски, пътни и дневни надбавки, участие в заседания и свързани разходи), съставляват по-голямата част от бюджета на Комитета, тоест 65,80% през 2024 г. – което представлява увеличение спрямо 65,58% през 2023 г.;</w:t>
      </w:r>
    </w:p>
    <w:p w14:paraId="029A4CEA" w14:textId="77777777" w:rsidR="00C3783B" w:rsidRPr="0049700C" w:rsidRDefault="00C3783B" w:rsidP="00C3783B">
      <w:pPr>
        <w:pStyle w:val="NormalHanging12a"/>
        <w:rPr>
          <w:bCs/>
          <w:iCs/>
        </w:rPr>
      </w:pPr>
      <w:r w:rsidRPr="0049700C">
        <w:t>5.</w:t>
      </w:r>
      <w:r w:rsidRPr="0049700C">
        <w:tab/>
        <w:t xml:space="preserve">отбелязва преминаването на Комитета от ориентиран към разходите подход към управление и приоритизиране на ресурсите, както е отразено в стратегическия </w:t>
      </w:r>
      <w:r w:rsidRPr="0049700C">
        <w:lastRenderedPageBreak/>
        <w:t>финансов пакет, одобрен от Бюрото на Комитета, и въвеждането на дейности по приоритизиране; отбелязва, че тези мерки имат за цел да подобрят финансовото управление и да приведат бюджетните решения в съответствие със стратегическите цели; отбелязва усилията за намаляване на административната тежест и рационализиране на процесите с цел постигане на разходна ефективност; призовава Комитета да продължи да консолидира този подход, като включи в своя годишен финансов цикъл показатели за изпълнението и планиране на прогнозирането;</w:t>
      </w:r>
    </w:p>
    <w:p w14:paraId="74855325" w14:textId="77777777" w:rsidR="00C3783B" w:rsidRPr="0049700C" w:rsidRDefault="00C3783B" w:rsidP="00C3783B">
      <w:pPr>
        <w:pStyle w:val="NormalHanging12a"/>
      </w:pPr>
      <w:r w:rsidRPr="0049700C">
        <w:t>6.</w:t>
      </w:r>
      <w:r w:rsidRPr="0049700C">
        <w:tab/>
        <w:t>приветства високата степен на изпълнение на Комитета за бюджетните кредити за поети задължения за текущата година, която се увеличи от 98,70% през 2023 г. на 99,21% през 2024 г. благодарение на успешния мониторинг на неговото изпълнение на бюджета, но също така и поради високия процент на инфлация, който оказа въздействие върху заплатите на персонала и разходите за сгради; отбелязва в този контекст усилията на Комитета за преразпределяне на средства чрез бюджетни трансфери на обща стойност 2 487 139 EUR (което представлява 1,51% от бюджета му за 2024 г.) по различни бюджетни редове, като най-значителните увеличения бяха свързани с експлоатацията и поддръжката на софтуерни системи (+ 519 682 EUR) и сгради (+ 421 880 EUR); отбелязва освен това със задоволство, че степента на изпълнение на бюджетните кредити за плащания за текущата година се увеличи от 88,12% през 2022 г. и 90,67% през 2023 г. на 92,85% през 2024 г., а средният срок за плащане намаля от 20,14 дни през 2023 г. на 16,06 дни през 2024 г., което е най-добрият резултат на Комитета от 2021 г. насам; насърчава продължаването на ефективния мониторинг, ограничаването на разходите и стратегическото преразпределение, за да се гарантира икономическа ефективност и прозрачност;</w:t>
      </w:r>
    </w:p>
    <w:p w14:paraId="39D39DBE" w14:textId="77777777" w:rsidR="00C3783B" w:rsidRPr="0049700C" w:rsidRDefault="00C3783B" w:rsidP="00C3783B">
      <w:pPr>
        <w:pStyle w:val="NormalHanging12a"/>
      </w:pPr>
      <w:r w:rsidRPr="0049700C">
        <w:t>7.</w:t>
      </w:r>
      <w:r w:rsidRPr="0049700C">
        <w:tab/>
        <w:t>отбелязва, че пренесените бюджетни кредити от 2023 към 2024 г. възлизат на 13 827 713 EUR или 8,38% от бюджета на Комитета за 2024 г., което представлява намаление спрямо равнището от предходната година в размер на 15 466 316 EUR (т.е. 9,74% от бюджета на Комитета за 2023 г.); отбелязва освен това, че степента на изпълнение на бюджетните кредити, пренесени от 2023 към 2024 г., е 84,74% през 2024 г. – по-ниска, отколкото през 2023 г. – 86,76%;</w:t>
      </w:r>
    </w:p>
    <w:p w14:paraId="065750C7" w14:textId="32E86024" w:rsidR="00C3783B" w:rsidRPr="0049700C" w:rsidRDefault="00C3783B" w:rsidP="00C3783B">
      <w:pPr>
        <w:pStyle w:val="NormalHanging12a"/>
      </w:pPr>
      <w:r w:rsidRPr="0049700C">
        <w:t>8.</w:t>
      </w:r>
      <w:r w:rsidRPr="0049700C">
        <w:tab/>
        <w:t xml:space="preserve">отбелязва, че на 21 </w:t>
      </w:r>
      <w:r w:rsidR="00D5661C">
        <w:t>юни</w:t>
      </w:r>
      <w:r w:rsidR="00D5661C" w:rsidRPr="0049700C">
        <w:t xml:space="preserve"> </w:t>
      </w:r>
      <w:r w:rsidRPr="0049700C">
        <w:t xml:space="preserve">2024 г. Съветът прие ново решение относно предоставянето на дневни надбавки и възстановяването на пътни разноски на членовете на Комитета и техните заместници, съгласно което дневните надбавки за бенефициентите, които участват в присъствени заседания, се определят на 367 EUR (което представлява увеличение спрямо 290 EUR), а дневните надбавки за бенефициентите, които участват в заседания дистанционно по електронен път, се определят на 149 EUR (което представлява увеличение спрямо 145 EUR); отбелязва въз основа на въпросника, че през 2024 г. Комитетът е възстановил разходи за дистанционно участие в размер на 259 669 EUR (294 930 EUR през 2023 г.), което се равнява на 1 744 дни заседания (2 006 дни заседания през 2023 г.), а общият размер на фиксираните надбавки, изплатени за физическо участие в заседания, е 6 579 196 EUR през 2024 г. (което представлява увеличение спрямо 5 902 963 EUR през 2023 г.); призовава Комитета да засили прозрачността и пропорционалността на системата за надбавки за дистанционно участие, за да се укрепи общественото доверие, и подчертава, че финансовата компенсация за дистанционно участие трябва да бъде строго обоснована; отбелязва освен това, че Комитетът разполага със система за потвърждаване на действителното </w:t>
      </w:r>
      <w:r w:rsidRPr="0049700C">
        <w:lastRenderedPageBreak/>
        <w:t>присъствие при дистанционно участие в заседания чрез електронни средства; счита, че дистанционното присъствие е важен и ценен инструмент за съвременните институции, тъй като намалява разходите за заседания и създава условия за по-широко участие – например надбавката за дистанционно участие в заседания; приветства подхода на Комитета за разпределяне на надбавки за дистанционно участие по справедлив и пропорционален начин, отразяващ отговорностите на членовете и изискването за подготовка; припомня, че членовете на Комитета не получават възнаграждение за своя мандат;</w:t>
      </w:r>
    </w:p>
    <w:p w14:paraId="5EC29218" w14:textId="77777777" w:rsidR="00C3783B" w:rsidRPr="0049700C" w:rsidRDefault="00C3783B" w:rsidP="00C3783B">
      <w:pPr>
        <w:pStyle w:val="NormalHanging12a"/>
      </w:pPr>
      <w:r w:rsidRPr="0049700C">
        <w:t>9.</w:t>
      </w:r>
      <w:r w:rsidRPr="0049700C">
        <w:tab/>
        <w:t>отбелязва, че собствените служби на Комитета проведоха десет процедури на договаряне на стойност между 15 000 и 60 000 EUR и една процедура с една оферта на стойност в същата категория, най-вече за проучвания; отбелязва, че Комитетът започна и шест процедури за възлагане на обществени поръчки (за рамкови договори) със съвместните служби, споделени с Европейския комитет на регионите („Комитет на регионите“), в областта на кетъринга, логистиката и поддръжката, наред с другото;</w:t>
      </w:r>
    </w:p>
    <w:p w14:paraId="696B9E93" w14:textId="77777777" w:rsidR="00C3783B" w:rsidRPr="0049700C" w:rsidRDefault="00C3783B" w:rsidP="00C3783B">
      <w:pPr>
        <w:pStyle w:val="NormalHanging12a"/>
      </w:pPr>
      <w:r w:rsidRPr="0049700C">
        <w:t>10.</w:t>
      </w:r>
      <w:r w:rsidRPr="0049700C">
        <w:tab/>
        <w:t>отбелязва въз основа на въпросника, че въздействието на агресивната война на Русия е продължило да оказва натиск върху бюджета на Комитета през 2024 г. поради инфлацията и нестабилността на енергийния пазар, които доведоха до по-високи оперативни разходи; отбелязва, че през периода 2021 – 2024 г. се очаква увеличение с + 16,53% на разходите за наеми на Комитета и с + 15% на разходите за договори за услуги по поддръжка и сигурност; отбелязва освен това въз основа на въпросника, че през 2024 г. плащанията на Комитета по договори за дългосрочен наем са се увеличили с 4,7%, което е над тавана на Комисията от 2% за разходи, които не са свързани със заплати; отбелязва освен това, че разходите за енергия за Комитета са намалели от 1 923 391 EUR през 2023 г. на 711 608 EUR през 2024 г.; в този контекст приветства усилията на Комитета за повишаване на икономическата ефективност на своите операции, включително чрез повече усилия за икономии на енергия; признава необходимостта всички институции, органи, служби и агенции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p w14:paraId="60AF50E8" w14:textId="77777777" w:rsidR="00C3783B" w:rsidRPr="0049700C" w:rsidRDefault="00C3783B" w:rsidP="00C3783B">
      <w:pPr>
        <w:pStyle w:val="NormalHanging12a"/>
        <w:rPr>
          <w:bCs/>
          <w:iCs/>
        </w:rPr>
      </w:pPr>
      <w:r w:rsidRPr="0049700C">
        <w:t>11.</w:t>
      </w:r>
      <w:r w:rsidRPr="0049700C">
        <w:tab/>
        <w:t>призовава администрацията на Комитета активно да определя и прилага мерки за икономии на разходи, включително чрез засилена употреба на хибридни технологии за провеждане на заседания, оптимизиране на използването на сградите, консолидиране на парламентарните дейности и намаляване на ненужните логистични разходи; изисква редовни доклади за напредъка по приложените мерки и постигнатите икономии;</w:t>
      </w:r>
    </w:p>
    <w:p w14:paraId="40BFB683" w14:textId="77777777" w:rsidR="00C3783B" w:rsidRPr="0049700C" w:rsidRDefault="00C3783B" w:rsidP="00C3783B">
      <w:pPr>
        <w:pStyle w:val="NormalHanging12a"/>
      </w:pPr>
      <w:r w:rsidRPr="0049700C">
        <w:t>12.</w:t>
      </w:r>
      <w:r w:rsidRPr="0049700C">
        <w:tab/>
        <w:t xml:space="preserve">отбелязва въз основа на въпросника, че през 2024 г. служителите на Комитета са провели 415 командировки (300 през 2023 г.) на обща стойност 448 655 EUR, което представлява увеличение с 25% в сравнение с 2023 г. поради увеличаването на броя на командировките и действителните разходи за полети и настаняване в хотел; отбелязва оценката на Комитета, че е спестил приблизително 40 000 EUR от командировъчни разходи през 2024 г., като е приложил условен процент на инфлация от 21% за периода 2020 – 2023 г. към сумата, платена за командировки от Комитета през 2019 г. преди COVID (т.е. 402 097 EUR); високо оценява политиката на Комитета за свеждане на годишните разходи за командировки до строг минимум; отбелязва, че през 2024 г. председателят на Комитета е провел </w:t>
      </w:r>
      <w:r w:rsidRPr="0049700C">
        <w:lastRenderedPageBreak/>
        <w:t>командировки с обща продължителност 88 дни (което представлява увеличение спрямо 69 дни през 2023 г.) на обща стойност приблизително 113 000 EUR (което представлява увеличение спрямо приблизително 72 000 EUR през 2023 г.), като тези командировки са били необходими, за да се даде възможност председателят на Комитета да участва в международни форуми, инициативи на равнището на Съюза и други прояви, които са изисквали активното участие на Комитета;</w:t>
      </w:r>
    </w:p>
    <w:p w14:paraId="15C99E74" w14:textId="77777777" w:rsidR="00C3783B" w:rsidRPr="0049700C" w:rsidRDefault="00C3783B" w:rsidP="00C3783B">
      <w:pPr>
        <w:pStyle w:val="NormalHanging12a"/>
      </w:pPr>
      <w:r w:rsidRPr="0049700C">
        <w:t>13.</w:t>
      </w:r>
      <w:r w:rsidRPr="0049700C">
        <w:tab/>
        <w:t xml:space="preserve">отбелязва въз основа на въпросника, че съвместната дирекция „Иновации и информационни технологии“ на Комитета и Комитета на регионите разпределя около 4% от своя бюджет за информационни технологии (ИТ) за киберсигурност (което представлява увеличение спрямо 3% през 2023 г.), което все още е далеч от целта от 10%, предвидена в съответното законодателство; отново призовава </w:t>
      </w:r>
      <w:proofErr w:type="spellStart"/>
      <w:r w:rsidRPr="0049700C">
        <w:t>съзаконодателите</w:t>
      </w:r>
      <w:proofErr w:type="spellEnd"/>
      <w:r w:rsidRPr="0049700C">
        <w:t xml:space="preserve"> и Комисията да вземат това предвид в контекста на годишната бюджетна процедура; признава необходимостта Комитетът да модернизира киберсигурността за двата комитета със средства на обща стойност приблизително 1,2 милиона евро, което ще доведе до разходи за киберсигурност в размер на 10% от общия бюджет на Комитета за ИТ;</w:t>
      </w:r>
    </w:p>
    <w:p w14:paraId="72D079F7" w14:textId="77777777" w:rsidR="00C3783B" w:rsidRPr="0049700C" w:rsidRDefault="00C3783B" w:rsidP="00C3783B">
      <w:pPr>
        <w:pStyle w:val="NormalHanging12a"/>
      </w:pPr>
      <w:r w:rsidRPr="0049700C">
        <w:rPr>
          <w:b/>
          <w:i/>
        </w:rPr>
        <w:t>Вътрешно управление, резултати от дейността и вътрешен контрол</w:t>
      </w:r>
    </w:p>
    <w:p w14:paraId="42E3F0EA" w14:textId="17BD110F" w:rsidR="00C3783B" w:rsidRPr="0049700C" w:rsidRDefault="00C3783B" w:rsidP="00C3783B">
      <w:pPr>
        <w:pStyle w:val="NormalHanging12a"/>
      </w:pPr>
      <w:r w:rsidRPr="0049700C">
        <w:t>14.</w:t>
      </w:r>
      <w:r w:rsidRPr="0049700C">
        <w:tab/>
        <w:t>потвърждава, че Комитетът играе основна роля в приноса за разработването на политиките и процесите на вземане на решения на Съюза, представлявайки позициите на всички области на организираното гражданско общество в Съюза, като по този начин доближава Съюза до неговите граждани и повишава демократичната легитимност на законодателството на Съюза; припомня, че като част от годишната си работна програма Комитетът разполага със система за мониторинг на изпълнението с показатели в различни области, например информационни технологии, човешки ресурси, писмен превод и комуникация, структурирани около пет основни ценности и пет ключови стратегически цели, в рамките на стратегията на Генералния секретариат за периода 2021 – 2025 г.; счита обаче, че добавената стойност на неговите дейности за гражданите на Съюза остава до голяма степен недокладвана;  отбелязва със задоволство, въз основа на последващите действия на Комитета във връзка със забележките в резолюцията на Парламента за освобождаване от отговорност за 2023 г. („доклада за последващите действия“) и въпросника, че вследствие на одит Комитетът е започнал структуриран процес за подобряване на своя мониторинг на изпълнението, като е привел своята рамка за изпълнение в съответствие със стратегическите цели чрез ключови показатели за изпълнението и показатели за въздействието, които ще бъдат приведени в съответствие с бъдещите стратегически цели на Комитета; приветства усилията на Комитета да интегрира измерването на въздействието в своя процес на вземане на решения и призовава за ясни количествено измерими ключови показатели за изпълнението и редовно докладване, за да се гарантират измерими резултати и отчетност; приканва Комитета да укрепи допълнително своята рамка за оценка на въздействието, като покаже по-добре как неговите становища и инициативи водят до конкретни политически резултати и осезаеми ползи за гражданите, като висшето ръководство ще играе ключова роля в използването на тези показатели; очаква да бъде информиран за резултатите от прилагането на тази нова рамка чрез бъдещите доклади на Комитета пред органа по освобождаване от отговорност;</w:t>
      </w:r>
    </w:p>
    <w:p w14:paraId="3D9E2856" w14:textId="77777777" w:rsidR="00C3783B" w:rsidRPr="0049700C" w:rsidRDefault="00C3783B" w:rsidP="00C3783B">
      <w:pPr>
        <w:pStyle w:val="NormalHanging12a"/>
      </w:pPr>
      <w:r w:rsidRPr="0049700C">
        <w:t>15.</w:t>
      </w:r>
      <w:r w:rsidRPr="0049700C">
        <w:tab/>
        <w:t xml:space="preserve">отбелязва, че Комитетът изпълнява своята мисия чрез становища по </w:t>
      </w:r>
      <w:r w:rsidRPr="0049700C">
        <w:lastRenderedPageBreak/>
        <w:t>законодателни предложения, направени от Комисията (искания за консултация), становища по собствена инициатива, в които институциите на Съюза се призовават да предприемат действия, и проучвателни становища, които се използват от Комисията за планираните ѝ инициативи, и че позициите на Комитета могат да бъдат посочвани в резолюции или включвани в доклади за оценка и информационни доклади; приветства Комитета за неговите резултати в подпомагането на Парламента, Съвета и Комисията в хода на законодателния цикъл през 2024 г.; отбелязва в този контекст, че през 2024 г. Комитетът прие 142 становища и доклади, което представлява намаление спрямо 213 през 2023 г., и организира 148 изслушвания и 26 конференции, в сравнение със съответно 146 и 24 през 2023 г.; признава, че обновяването на състава на законодателните органи през 2024 г. доведе до намаляване на броя на исканията за консултация и следователно на броя на становищата, приети от Комитета през същата година; отбелязва, че членове на Комитета участваха в 518 срещи на високо равнище, срещи на върха и конференции през 2024 г. в сравнение с 429 през 2023 г.; насърчава приоритизирането на инициативи, които подкрепят икономическия растеж, конкурентоспособността и стратегическата автономност на Съюза;</w:t>
      </w:r>
    </w:p>
    <w:p w14:paraId="777E3139" w14:textId="77777777" w:rsidR="00C3783B" w:rsidRPr="0049700C" w:rsidRDefault="00C3783B" w:rsidP="00C3783B">
      <w:pPr>
        <w:pStyle w:val="NormalHanging12a"/>
        <w:rPr>
          <w:bCs/>
          <w:iCs/>
        </w:rPr>
      </w:pPr>
      <w:r w:rsidRPr="0049700C">
        <w:t>16.</w:t>
      </w:r>
      <w:r w:rsidRPr="0049700C">
        <w:tab/>
        <w:t>насърчава Комитета да продължи усилията за съсредоточаване на работата си върху области, в които може да осигури ясен, измерим и значим за политиката принос, както и да продължи да разработва показатели, основани на изпълнението и въздействието, които надхвърлят резултатите по дейности и отразяват по-добре резултатите и значението за гражданите;</w:t>
      </w:r>
    </w:p>
    <w:p w14:paraId="3F334A93" w14:textId="77777777" w:rsidR="00C3783B" w:rsidRPr="0049700C" w:rsidRDefault="00C3783B" w:rsidP="00C3783B">
      <w:pPr>
        <w:pStyle w:val="NormalHanging12a"/>
      </w:pPr>
      <w:r w:rsidRPr="0049700C">
        <w:t>17.</w:t>
      </w:r>
      <w:r w:rsidRPr="0049700C">
        <w:tab/>
        <w:t>приветства въз основа на доклада за последващите действия ангажимента на Комитета да изготвя становища относно трудовите права, социалното приобщаване и нарушенията на правата на човека, както и да разшири обхвата на своите оценки по отношение на законодателството и програмите на Съюза, при условие че са налични подходящи ресурси;</w:t>
      </w:r>
    </w:p>
    <w:p w14:paraId="2DC0AE6A" w14:textId="4B4426F8" w:rsidR="00C3783B" w:rsidRPr="0049700C" w:rsidRDefault="00C3783B" w:rsidP="00C3783B">
      <w:pPr>
        <w:pStyle w:val="NormalHanging12a"/>
      </w:pPr>
      <w:r w:rsidRPr="0049700C">
        <w:t>18.</w:t>
      </w:r>
      <w:r w:rsidRPr="0049700C">
        <w:tab/>
        <w:t xml:space="preserve">оценява действията, предприети </w:t>
      </w:r>
      <w:r w:rsidR="00D5661C">
        <w:t>от</w:t>
      </w:r>
      <w:r w:rsidR="00D5661C" w:rsidRPr="0049700C">
        <w:t xml:space="preserve"> Комитета</w:t>
      </w:r>
      <w:r w:rsidR="00D5661C">
        <w:t xml:space="preserve"> </w:t>
      </w:r>
      <w:r w:rsidRPr="0049700C">
        <w:t xml:space="preserve">през 2024 г. за подобряване на видимостта и въздействието на неговата работа в политическия и законодателния цикъл; приветства официалното въвеждане, след пилотен проект, на нов формат на становищата, изготвяни в отговор на искания за задължително консултиране от Парламента, Съвета или Комисията; отбелязва, че новият формат увеличава удобството за ползване и използваемостта за законодателя, като същевременно подобрява определянето на приоритети в работата на Комитета; отбелязва освен това, че благодарение на засилените последващи действия във връзка с избрани становища чрез контролен списък и насоки Комитетът очаква тези становища да продължат да бъдат от значение и след приемането си, както и да бъдат включени в многопластовите законодателни процеси; приветства освен това интегрирането на становищата на Комитета в EU </w:t>
      </w:r>
      <w:proofErr w:type="spellStart"/>
      <w:r w:rsidRPr="0049700C">
        <w:t>Law</w:t>
      </w:r>
      <w:proofErr w:type="spellEnd"/>
      <w:r w:rsidRPr="0049700C">
        <w:t xml:space="preserve"> </w:t>
      </w:r>
      <w:proofErr w:type="spellStart"/>
      <w:r w:rsidRPr="0049700C">
        <w:t>Tracker</w:t>
      </w:r>
      <w:proofErr w:type="spellEnd"/>
      <w:r w:rsidRPr="0049700C">
        <w:t xml:space="preserve"> (инструмента за проследяване на законодателния процес в ЕС), считано от април 2024 г., като те вече фигурират като позовавания в законодателните досиета; отбелязва със задоволство, че Комитетът също така прие вътрешен план за по-добро предвиждане на приоритетите на Съюза, подобряване на междуинституционалната координация, укрепване на разпространението и последващите действия, както и по-систематично измерване на въздействието;</w:t>
      </w:r>
    </w:p>
    <w:p w14:paraId="53EFD726" w14:textId="77777777" w:rsidR="00C3783B" w:rsidRPr="0049700C" w:rsidRDefault="00C3783B" w:rsidP="00C3783B">
      <w:pPr>
        <w:pStyle w:val="NormalHanging12a"/>
        <w:rPr>
          <w:bCs/>
          <w:iCs/>
        </w:rPr>
      </w:pPr>
      <w:r w:rsidRPr="0049700C">
        <w:t>19.</w:t>
      </w:r>
      <w:r w:rsidRPr="0049700C">
        <w:tab/>
        <w:t xml:space="preserve">оценява действията на Комитета, предприети през 2024 г. за подобряване на достъпността, яснотата и използваемостта на неговите становища за институциите </w:t>
      </w:r>
      <w:r w:rsidRPr="0049700C">
        <w:lastRenderedPageBreak/>
        <w:t>на Съюза; подчертава, че тези действия имат за цел да повишат капацитета на законодателите да вземат информирани решения;</w:t>
      </w:r>
    </w:p>
    <w:p w14:paraId="331DA0F3" w14:textId="77777777" w:rsidR="00C3783B" w:rsidRPr="0049700C" w:rsidRDefault="00C3783B" w:rsidP="00C3783B">
      <w:pPr>
        <w:pStyle w:val="NormalHanging12a"/>
      </w:pPr>
      <w:r w:rsidRPr="0049700C">
        <w:t>20.</w:t>
      </w:r>
      <w:r w:rsidRPr="0049700C">
        <w:tab/>
        <w:t xml:space="preserve">отбелязва със задоволство, че Комитетът постигна напредък по няколко водещи инициативи, които увеличиха участието, приобщаването и въздействието на политиките в целия Съюз; отбелязва, че от септември 2024 г. Комитетът пое водеща роля в прилагането на оценката на въздействието на ЕС от гледна точка на младежта в своя процес на изготвяне на становища, като включи в него мрежа от 73 младежки организации и млади хора направиха проверка на около 40 становища; приветства и подкрепя инициативите на Комитета за засилване на участието на младите хора в процеса на изготвяне на политиките; отбелязва, че Комитетът разшири взаимодействието си и започна приобщаващ диалог с държавите кандидатки за подготовка за бъдещо разширяване чрез инициативата „Кандидати за членство, обхванати от процеса на разширяване“, като предостави възможност на 146 представители на гражданското общество да допринесат пряко за становищата на Комитета чрез участие в проучвателни групи, заседания на секции и пленарни заседания (проведени през октомври 2024 г.); приветства Комитета за постигането на напредък по неговия Син пакт за ЕС, който спомага за включването на устойчивостта на водните ресурси в дневния ред на Съюза; подчертава, че Комитетът продължи да ръководи Европейската платформа на заинтересованите страни в областта на кръговата икономика и </w:t>
      </w:r>
      <w:proofErr w:type="spellStart"/>
      <w:r w:rsidRPr="0049700C">
        <w:t>съорганизира</w:t>
      </w:r>
      <w:proofErr w:type="spellEnd"/>
      <w:r w:rsidRPr="0049700C">
        <w:t xml:space="preserve"> наградите на ЕС за биологично производство през 2024 г., като укрепи връзките с участниците от гражданското общество в областта на биологичното земеделие; насърчава Комитета да разшири обхвата на становищата, за да включи допълнително законодателство на Съюза, свързано с обществените блага, и измерими резултати;</w:t>
      </w:r>
    </w:p>
    <w:p w14:paraId="12B46372" w14:textId="77777777" w:rsidR="00C3783B" w:rsidRPr="0049700C" w:rsidRDefault="00C3783B" w:rsidP="00C3783B">
      <w:pPr>
        <w:pStyle w:val="NormalHanging12a"/>
      </w:pPr>
      <w:r w:rsidRPr="0049700C">
        <w:t>21.</w:t>
      </w:r>
      <w:r w:rsidRPr="0049700C">
        <w:tab/>
        <w:t>приканва Комитета да засили разработването на всеобхватна стратегия за цифрова трансформация, обхващаща изкуствения интелект (ИИ), като има предвид, че е необходимо да се осигури човешки надзор над използването на ИИ; стратегията следва също така да обхваща автоматизацията, оперативната съвместимост и управлението на данните, като същевременно е придружена от стабилна рамка, гарантираща безопасно, етично, отговорно и прозрачно използване на нововъзникващите технологии;</w:t>
      </w:r>
    </w:p>
    <w:p w14:paraId="2D57C5BC" w14:textId="77777777" w:rsidR="00C3783B" w:rsidRPr="0049700C" w:rsidRDefault="00C3783B" w:rsidP="00C3783B">
      <w:pPr>
        <w:pStyle w:val="NormalHanging12a"/>
      </w:pPr>
      <w:r w:rsidRPr="0049700C">
        <w:t>22.</w:t>
      </w:r>
      <w:r w:rsidRPr="0049700C">
        <w:tab/>
        <w:t>отбелязва с интерес въз основа на въпросника усилията на Комитета да възприеме по-стратегически подход за приоритизиране на работата си, свързана с въздействието, и да постави управлението на въздействието в центъра на процеса на вземане на решения; отбелязва в този контекст организирането на три стратегически семинара на високо равнище с участието на политическото ръководство през 2024 и 2025 г., по време на които изготвянето на прогнози беше в основата на разработването на критерии за повишаване или понижаване на приоритета на инициативи и за осигуряване на тематично съответствие с дългосрочните потребности на гражданското общество, наред с други цели; отбелязва, че определянето на приоритета ще бъде интегрирано в основните дейности на Комитета, тъй като ще се извършва ежегодно, а на всеки 2,5 години ще се допълва от преглед на всички органи, дейности и важни прояви на Комитета;</w:t>
      </w:r>
    </w:p>
    <w:p w14:paraId="1B49956A" w14:textId="77777777" w:rsidR="00C3783B" w:rsidRPr="0049700C" w:rsidRDefault="00C3783B" w:rsidP="00C3783B">
      <w:pPr>
        <w:pStyle w:val="NormalHanging12a"/>
      </w:pPr>
      <w:r w:rsidRPr="0049700C">
        <w:t>23.</w:t>
      </w:r>
      <w:r w:rsidRPr="0049700C">
        <w:tab/>
        <w:t xml:space="preserve">отбелязва по отношение на проверката на съответствието за 2024 г. висока степен на съответствие, като средната стойност беше 85% (87% през 2023 г.); изразява </w:t>
      </w:r>
      <w:r w:rsidRPr="0049700C">
        <w:lastRenderedPageBreak/>
        <w:t>съжаление, че ефективността на системата за вътрешен контрол спадна от 78% през 2023 г. на 66% през 2024 г.; отбелязва в този контекст разминаването между формалното съответствие и практическата ефективност в ежедневните операции; призовава Комитета да се справи със структурните причини за намаляването на ефективността на вътрешния контрол, по-специално чрез укрепване на културата на осведоменост за риска, подобряване на каналите за вътрешна комуникация и ускоряване на модернизирането на системите за управление на документи и информация, наред с другото; отбелязва освен това, че през 2024 г. Комитетът прие преразгледано решение за опростяване на 23 вида проверки, приложимо от януари 2025 г.; приветства факта, че последващите проверки, вече извършени във връзка с тези проверки, потвърдиха, че опростяването не води до допълнителни рискове;</w:t>
      </w:r>
    </w:p>
    <w:p w14:paraId="70F5CE5C" w14:textId="77777777" w:rsidR="00C3783B" w:rsidRPr="0049700C" w:rsidRDefault="00C3783B" w:rsidP="00C3783B">
      <w:pPr>
        <w:pStyle w:val="NormalHanging12a"/>
      </w:pPr>
      <w:r w:rsidRPr="0049700C">
        <w:t>24.</w:t>
      </w:r>
      <w:r w:rsidRPr="0049700C">
        <w:tab/>
        <w:t>отбелязва годишния отчет за дейността на Комитета за 2024 г. („отчета на Комитета“), съгласно който през 2024 г. са извършени пет нови одита относно надбавката за продължителност и разстояние, управлението на риска, исканията за консултация, ключовите показатели за дейността и изпълнението и пътните разноски, които са довели до общо 14 препоръки; отбелязва по-специално констатациите на вътрешния одитор по отношение на надбавките за продължителност и разстояние, например липсата на ясно определение за „обичайно местопребиваване“ и липсата на изисквания за подкрепяща документация; отбелязва освен това, че 13 от препоръките все още не са изпълнени в края на януари 2025 г.; отбелязва освен това, че седем препоръки от предишни одити все още не са изпълнени, по-специално по отношение на етиката и почтеността, сроковете за плащане, разрешенията за заседания, делегатите на Консултативната комисия по индустриални промени и стратегическия цикъл; приветства в този контекст факта, че Комитетът прие нови правила относно разрешенията за заседания, надбавките и възстановяването на разходи; приканва Комитета да гарантира бързото приключване на всички неизпълнени одитни препоръки, особено тези, свързани с надбавките, етиката и почтеността, и да продължи да информира редовно органа по освобождаване от отговорност за напредъка, постигнат в изпълнението на всички все още неизпълнени препоръки;</w:t>
      </w:r>
    </w:p>
    <w:p w14:paraId="20FA8ADF" w14:textId="77777777" w:rsidR="00C3783B" w:rsidRPr="0049700C" w:rsidRDefault="00C3783B" w:rsidP="00C3783B">
      <w:pPr>
        <w:pStyle w:val="NormalHanging12a"/>
        <w:rPr>
          <w:b/>
          <w:i/>
        </w:rPr>
      </w:pPr>
      <w:r w:rsidRPr="0049700C">
        <w:rPr>
          <w:b/>
          <w:i/>
        </w:rPr>
        <w:t>Човешки ресурси, равенство и благосъстояние на служителите</w:t>
      </w:r>
    </w:p>
    <w:p w14:paraId="46AE52C5" w14:textId="77777777" w:rsidR="00C3783B" w:rsidRPr="0049700C" w:rsidRDefault="00C3783B" w:rsidP="00C3783B">
      <w:pPr>
        <w:pStyle w:val="NormalHanging12a"/>
      </w:pPr>
      <w:r w:rsidRPr="0049700C">
        <w:t>25.</w:t>
      </w:r>
      <w:r w:rsidRPr="0049700C">
        <w:tab/>
        <w:t>отбелязва, че в края на 2024 г. служителите на Комитета са били общо 713 (в сравнение със 707 през 2023 г.); отбелязва освен това, че през 2024 г. в Комитета са работили 48 договорно наети служители и 144 срочно наети служители (от които 42 назначени през 2024 г.) (в сравнение с 49 договорно наети служители и 130 срочно наети служители през 2023 г.); подчертава, че е важно да се осигурят безсрочни трудови договори с цел поддържането на умения, приемственост и продуктивна и стабилна работна среда, и предупреждава да не се разчита прекомерно на външни доставчици на услуги; отбелязва освен това, че Комитетът е имал десет доставчици на услуги и 14 души външен персонал, работещи на място, с изключение на служителите в областта на кетъринга, поддръжката, сигурността и безопасността; отбелязва, че през 2024 г. 96% от длъжностите са заети (95,50% през 2023 г.) и че текучеството на персонала е 5,60% (което представлява намаление спрямо 7% през 2023 г.);</w:t>
      </w:r>
    </w:p>
    <w:p w14:paraId="28AA2D87" w14:textId="77777777" w:rsidR="00C3783B" w:rsidRPr="0049700C" w:rsidRDefault="00C3783B" w:rsidP="00C3783B">
      <w:pPr>
        <w:pStyle w:val="NormalHanging12a"/>
      </w:pPr>
      <w:r w:rsidRPr="0049700C">
        <w:t>26.</w:t>
      </w:r>
      <w:r w:rsidRPr="0049700C">
        <w:tab/>
        <w:t xml:space="preserve">приветства Комитета за това, че през 2024 г. за трета поредна година е нетен вносител на таланти от други институции в резултат на изпълнението на неговия </w:t>
      </w:r>
      <w:r w:rsidRPr="0049700C">
        <w:lastRenderedPageBreak/>
        <w:t>план за действие за набиране и задържане на персонал, като се има предвид, че 42% от назначенията през 2024 г. са свързани с премествания в други институции; отбелязва освен това въз основа на доклада за последващите действия увеличение с 11,6% на броя на кандидатурите, получени от Комитета за постоянни длъжности, и с 41% за длъжности за срочно и договорно наети служители; приветства факта, че Комитетът стартира вътрешен конкурс, отворен за срочно и договорно наети служители, като до края на 2025 г. се очаква да бъде изготвен списък с издържалите конкурса кандидати; подчертава, че вътрешните конкурси са важни за задържането на таланти и експертен опит и за стабилизирането на човешките ресурси на Комитета като цяло; отбелязва със задоволство участието на Комитета в свързани с кариерното развитие събития и изложения (включително виртуални) и дни на отворените врати; отбелязва, че през 2024 г. Комитетът организира виртуално свързано с кариерното развитие изложение, посветено на конкретни длъжностни характеристики и възможности за професионално развитие, което привлече 270 участници, като 19 от тях кандидатстваха и за първото обявление за свободна длъжност, отворено по време на проявата;</w:t>
      </w:r>
    </w:p>
    <w:p w14:paraId="23A16558" w14:textId="77777777" w:rsidR="00C3783B" w:rsidRPr="0049700C" w:rsidRDefault="00C3783B" w:rsidP="00C3783B">
      <w:pPr>
        <w:pStyle w:val="NormalHanging12a"/>
      </w:pPr>
      <w:r w:rsidRPr="0049700C">
        <w:t>27.</w:t>
      </w:r>
      <w:r w:rsidRPr="0049700C">
        <w:tab/>
        <w:t>приветства продължаващите усилия на Комитета за подобряване на неговата рамка в областта на човешките ресурси с оглед на утвърждаването му като привлекателен работодател и напълно приобщаващо работно място, където всеки човек е ценен и може да развие напълно своя потенциал; отбелязва, че Комитетът анализира резултатите от проучването относно ангажираността на персонала от 2023 г., установи различни опасения, след което започна целенасочени последващи действия, които бяха изпълнявани през цялата 2024 г.; отбелязва сред тези действия, наред с другото, изпълнението на новото решение относно условията на труд (хибриден режим на работа, извънреден труд, специален отпуск), преразглеждането на правилата за оценка и повишаване, приемането на нова политика относно мобилността и управлението на чувствителните длъжности, прилагането на новата стратегия и план за действие за многообразие и приобщаване, приети в края на 2023 г., преразглеждането на политиката за управление на отсъствията, която ще бъде приета през 2025 г., и (текущата) работа по новата стратегия на Комитета за уменията; приветства допълнителното подобряване на коефициента на ангажираност на персонала, който се увеличи от 70,5% през 2023 г. на 75% през 2025 г., както е видно от последното проучване на Комитета;</w:t>
      </w:r>
    </w:p>
    <w:p w14:paraId="01B99785" w14:textId="77777777" w:rsidR="00C3783B" w:rsidRPr="0049700C" w:rsidRDefault="00C3783B" w:rsidP="00C3783B">
      <w:pPr>
        <w:pStyle w:val="NormalHanging12a"/>
      </w:pPr>
      <w:r w:rsidRPr="0049700C">
        <w:t>28.</w:t>
      </w:r>
      <w:r w:rsidRPr="0049700C">
        <w:tab/>
        <w:t xml:space="preserve">отбелязва, че през 2024 г. всички националности на Съюза са представени сред служителите на Комитета, като някои са </w:t>
      </w:r>
      <w:proofErr w:type="spellStart"/>
      <w:r w:rsidRPr="0049700C">
        <w:t>свръхпредставени</w:t>
      </w:r>
      <w:proofErr w:type="spellEnd"/>
      <w:r w:rsidRPr="0049700C">
        <w:t xml:space="preserve">; отбелязва със задоволство, че 62,70% от служителите са жени, а 37,30% – мъже; отбелязва въз основа на доклада за последващите действия, че жените заемат 52% от ръководните длъжности, което прави Комитета лидер в това отношение; отново приветства назначаването на жена генерален секретар през януари 2024 г. като положителна стъпка към постигане на баланс между половете; признава неотдавнашния напредък в интегрирането на равенството между половете и многообразието като стратегически приоритети за насърчаване на приобщаваща и зачитаща достойнството култура на работното място; приветства изпълнението на стратегия и план за действие за многообразие и приобщаване, както и на целенасочени програми за наставничество и развитие на лидерството за жените и по-слабо представените групи; изразява съжаление обаче, че процентът на жените на висши ръководни длъжности остана нисък през 2024 г., като само две от </w:t>
      </w:r>
      <w:r w:rsidRPr="0049700C">
        <w:lastRenderedPageBreak/>
        <w:t>седемте висши ръководни длъжности понастоящем се заемат от жени – както през 2023 г.; признава, че слабото текучество – спрямо размера на Комитета – е една от причините за ниския дял на жените на тези длъжности; приветства ангажимента на Комитета за повишаване на осведомеността по този въпрос сред органите по назначаването, за насърчаване на балансирани по отношение на половете назначения и за участие в целенасочени действия чрез Форума на жените и Форума за управлението, които подкрепят развитието на лидерството и на кариерата на жените на средни ръководни длъжности;</w:t>
      </w:r>
    </w:p>
    <w:p w14:paraId="47F685C9" w14:textId="77777777" w:rsidR="00C3783B" w:rsidRPr="0049700C" w:rsidRDefault="00C3783B" w:rsidP="00C3783B">
      <w:pPr>
        <w:pStyle w:val="NormalHanging12a"/>
      </w:pPr>
      <w:r w:rsidRPr="0049700C">
        <w:t>29.</w:t>
      </w:r>
      <w:r w:rsidRPr="0049700C">
        <w:tab/>
        <w:t>припомня инициативата на Комитета да въведе нов подход към стратегическото планиране на работната сила и разпределението на персонала, като използва събиране на данни за уменията на персонала, активно изслушване в цялата организация и размисъл относно стратегическите приоритети от страна на политическите органи на Комитета; отбелязва въз основа на доклада за последващите действия, че този нов вид планиране ще започне да се прилага чрез пилотен проект за ограничен брой услуги, подбрани въз основа на стратегически приоритети; приканва Комитета да информира редовно органа по освобождаване от отговорност за напредъка и последващите развития; подчертава, че стратегическото планиране на работната сила е важно, за да се оптимизира разпределението на ресурсите и да се гарантира съответствие с приоритетите на високо равнище;</w:t>
      </w:r>
    </w:p>
    <w:p w14:paraId="577739E6" w14:textId="77777777" w:rsidR="00C3783B" w:rsidRPr="0049700C" w:rsidRDefault="00C3783B" w:rsidP="00C3783B">
      <w:pPr>
        <w:pStyle w:val="NormalHanging12a"/>
      </w:pPr>
      <w:r w:rsidRPr="0049700C">
        <w:t>30.</w:t>
      </w:r>
      <w:r w:rsidRPr="0049700C">
        <w:tab/>
        <w:t xml:space="preserve">приветства усилията на Комитета за създаване на здравословна работна среда за своите служители; приветства по-специално вниманието, което Комитетът обръща на психичното и физическото здраве на персонала, и усилията, полагани за повишаване на осведомеността по въпроси, свързани със здравето; отбелязва мерките на Комитета за управление на отпуските по болест, например работа на непълно работно време по медицински причини и разширена работа от разстояние, за да се гарантира, че служителите, които отсъстват дългосрочно поради болест, се връщат своевременно на работа; отбелязва намаляване със 7,50% на общия брой регистрирани дни на отпуск по болест от 10 552 дни през 2023 г. на 9 763 през 2024 г., както и намаляване на процента на отсъствията от 4,08% през 2023 г. на 3,75% през 2024 г. (най-ниското равнище от 2021 г. насам); изразява съжаление, че Комитетът отново не беше в състояние да предостави данни за случаите на професионално изчерпване; отбелязва сред аргументите на Комитета, че служителите не са длъжни предварително да споделят медицински данни, че професионалното изчерпване не е призната медицинска диагноза, че причините за професионалното изчерпване може да не са свързани с работата, а също и медицинската тайна; отбелязва, че Комитетът събира </w:t>
      </w:r>
      <w:proofErr w:type="spellStart"/>
      <w:r w:rsidRPr="0049700C">
        <w:t>анонимизирани</w:t>
      </w:r>
      <w:proofErr w:type="spellEnd"/>
      <w:r w:rsidRPr="0049700C">
        <w:t xml:space="preserve"> статистически данни за отпуските по болест, свързани с психичното здраве, но наличните данни не позволяват да се направи разграничение между свързаното с работата професионално изчерпване и други проблеми, които не са свързани с работата; въпреки това подчертава, че професионалното изчерпване може да се измерва и без медицински данни, тъй като съществуват инструменти за оценка на свързаното с работата професионално изчерпване, които могат да се използват, и че Европейската агенция за безопасност и здраве при работа (EU-OSHA) подкрепя използването на анонимни въпросници за измерване на свързания с работата стрес и факторите за професионално изчерпване отделно от несвързаните с работата проблеми в областта на психичното здраве; настоятелно призовава Комитета да се консултира и с Европейския надзорен орган по защита на данните (ЕНОЗД) относно събирането на данни за професионалното изчерпване чрез </w:t>
      </w:r>
      <w:r w:rsidRPr="0049700C">
        <w:lastRenderedPageBreak/>
        <w:t>медицински или немедицински инструменти, както и да информира редовно органа по освобождаване от отговорност за последващите действия;</w:t>
      </w:r>
    </w:p>
    <w:p w14:paraId="13F52125" w14:textId="77777777" w:rsidR="00C3783B" w:rsidRPr="0049700C" w:rsidRDefault="00C3783B" w:rsidP="00C3783B">
      <w:pPr>
        <w:pStyle w:val="NormalHanging12a"/>
      </w:pPr>
      <w:r w:rsidRPr="0049700C">
        <w:t>31.</w:t>
      </w:r>
      <w:r w:rsidRPr="0049700C">
        <w:tab/>
        <w:t xml:space="preserve">отбелязва въз основа на въпросника, че през 2024 г. Комитетът и Комитетът на регионите са стартирали проекта </w:t>
      </w:r>
      <w:proofErr w:type="spellStart"/>
      <w:r w:rsidRPr="0049700C">
        <w:t>SPaCES</w:t>
      </w:r>
      <w:proofErr w:type="spellEnd"/>
      <w:r w:rsidRPr="0049700C">
        <w:t xml:space="preserve"> за модернизиране и оптимизиране на работните си пространства чрез напълно приобщаващ и прозрачен процес с участието на представители на персонала и социалните партньори; подчертава, че проектът представлява дългосрочна трансформация, насочена към повишаване на ефективността и гъвкавостта и задълбочаване на сътрудничеството в двете институции в съответствие с хибридния режим на работа; отбелязва, че проектът </w:t>
      </w:r>
      <w:proofErr w:type="spellStart"/>
      <w:r w:rsidRPr="0049700C">
        <w:t>SPaCES</w:t>
      </w:r>
      <w:proofErr w:type="spellEnd"/>
      <w:r w:rsidRPr="0049700C">
        <w:t xml:space="preserve"> се изпълнява чрез изцяло основан на участието подход, който гарантира участието и представителството на персонала на всеки етап; отбелязва, че първият етап, който се изпълнява с подкрепата на външен изпълнител и трябва да приключи през лятото на 2025 г., включва семинари с ръководството и всички служби на двата комитета, както и подробен работен анализ по дейности, за да се определят бъдещите нужди от работно пространство; приветства факта, че са създадени специална структура за управление, екип по проекта и мрежа от звена за контакт, които да ръководят процеса, да гарантират прозрачност и да представляват всички съответни интереси;</w:t>
      </w:r>
    </w:p>
    <w:p w14:paraId="3E055432" w14:textId="77777777" w:rsidR="00C3783B" w:rsidRPr="0049700C" w:rsidRDefault="00C3783B" w:rsidP="00C3783B">
      <w:pPr>
        <w:pStyle w:val="NormalHanging12a"/>
      </w:pPr>
      <w:r w:rsidRPr="0049700C">
        <w:t>32.</w:t>
      </w:r>
      <w:r w:rsidRPr="0049700C">
        <w:tab/>
        <w:t>отбелязва, че Комитетът нае 52 стажанти дългосрочно (пет месеца) и двама стажанти краткосрочно, като всички те получиха месечна надбавка през 2024 г., в съответствие с резолюцията на Парламента от 14 юни 2023 г. относно качествени стажове в Съюза (2020/2005(INL)), в която се призовава всички стажове в Европа да бъдат платени;</w:t>
      </w:r>
    </w:p>
    <w:p w14:paraId="6D7BCE24" w14:textId="77777777" w:rsidR="00C3783B" w:rsidRPr="0049700C" w:rsidRDefault="00C3783B" w:rsidP="00C3783B">
      <w:pPr>
        <w:pStyle w:val="NormalHanging12a"/>
        <w:rPr>
          <w:bCs/>
          <w:iCs/>
        </w:rPr>
      </w:pPr>
      <w:r w:rsidRPr="0049700C">
        <w:t>33.</w:t>
      </w:r>
      <w:r w:rsidRPr="0049700C">
        <w:tab/>
        <w:t>приветства силния и структуриран социален диалог в процесите на организационни промени през цялата 2024 г.; насърчава Комитета да поддържа и допълнително да засили системното участие на представители на персонала в реформите, свързани, наред с другото, с цифровизацията, вътрешната реорганизация и новите методи на работа;</w:t>
      </w:r>
    </w:p>
    <w:p w14:paraId="41A01BF6" w14:textId="77777777" w:rsidR="00C3783B" w:rsidRPr="0049700C" w:rsidRDefault="00C3783B" w:rsidP="00C3783B">
      <w:pPr>
        <w:pStyle w:val="NormalHanging12a"/>
        <w:rPr>
          <w:b/>
          <w:i/>
        </w:rPr>
      </w:pPr>
      <w:r w:rsidRPr="0049700C">
        <w:rPr>
          <w:b/>
          <w:i/>
        </w:rPr>
        <w:t>Етична рамка и прозрачност</w:t>
      </w:r>
    </w:p>
    <w:p w14:paraId="365D80F6" w14:textId="77777777" w:rsidR="00C3783B" w:rsidRPr="0049700C" w:rsidRDefault="00C3783B" w:rsidP="00C3783B">
      <w:pPr>
        <w:pStyle w:val="NormalHanging12a"/>
      </w:pPr>
      <w:r w:rsidRPr="0049700C">
        <w:t>34.</w:t>
      </w:r>
      <w:r w:rsidRPr="0049700C">
        <w:tab/>
        <w:t>припомня, че в рамките на укрепената етична рамка Комитетът и вътрешният одитор постигнаха съгласие по план за действие, свързан с одита на етиката и почтеността на Комитета, с десет препоръки, осем от които бяха приключени до март 2025 г.; отбелязва въз основа на доклада за последващите действия, че Комитетът е взел под внимание останалите две неизпълнени препоръки, като е преразгледал и актуализирал ръководството относно задълженията на длъжностните лица на Комитета, чието съдържание ще бъде отразено и на интранет страницата на Комитета;</w:t>
      </w:r>
    </w:p>
    <w:p w14:paraId="3C2939FB" w14:textId="77777777" w:rsidR="00C3783B" w:rsidRPr="0049700C" w:rsidRDefault="00C3783B" w:rsidP="00C3783B">
      <w:pPr>
        <w:pStyle w:val="NormalHanging12a"/>
      </w:pPr>
      <w:r w:rsidRPr="0049700C">
        <w:t>35.</w:t>
      </w:r>
      <w:r w:rsidRPr="0049700C">
        <w:tab/>
        <w:t xml:space="preserve">отбелязва, че през 2024 г. Комитетът продължи да обучава служители и да повишава осведомеността по теми, свързани с етиката; отбелязва със задоволство, че Комитетът предлага обучения по етика и почтеност, които са задължителни за всички служители, като през 2024 г. 54 души участваха в девет такива обучения; отбелязва освен това, че през 2024 г. 40 от 47 ръководители присъстваха на сесии относно уважението на работното място и ролята на ръководителите, а 25 служители присъстваха на обучения, предлагани от Службата за разследвания и дисциплинарни въпроси на Комисията, относно потенциални изкушения, които </w:t>
      </w:r>
      <w:r w:rsidRPr="0049700C">
        <w:lastRenderedPageBreak/>
        <w:t>носят дисциплинарни последици; приветства факта, че проучванията показват високо равнище на осведоменост сред служителите на Комитета по отношение на неговите стабилни ценности и етични стандарти, процедурите за докладване на нарушения и мрежата от доверени съветници, наред с другото;</w:t>
      </w:r>
    </w:p>
    <w:p w14:paraId="14A21925" w14:textId="77777777" w:rsidR="00C3783B" w:rsidRPr="0049700C" w:rsidRDefault="00C3783B" w:rsidP="00C3783B">
      <w:pPr>
        <w:pStyle w:val="NormalHanging12a"/>
      </w:pPr>
      <w:r w:rsidRPr="0049700C">
        <w:t>36.</w:t>
      </w:r>
      <w:r w:rsidRPr="0049700C">
        <w:tab/>
        <w:t>отбелязва въз основа на въпросника, че през 2024 г. са докладвани два случая на предполагаем тормоз, които са разследвани и приключени през 2025 г., като в единия случай не е установено наличие на тормоз, а в другия засегнатото лице е приело официално извинение за неподходящото поведение; отбелязва освен това, че е взето решение по друг случай, внесен преди 2024 г., относно тормоз, свързан с дисциплинарна процедура; отбелязва освен това, че през 2024 г. не са докладвани случаи на сексуален тормоз; отново изтъква необходимостта от политика на нулева толерантност към тормоза, за да се гарантира защитата на благосъстоянието на персонала, и припомня, че това е задължение на всеки работодател;</w:t>
      </w:r>
    </w:p>
    <w:p w14:paraId="29AB5471" w14:textId="77777777" w:rsidR="00C3783B" w:rsidRPr="0049700C" w:rsidRDefault="00C3783B" w:rsidP="00C3783B">
      <w:pPr>
        <w:pStyle w:val="NormalHanging12a"/>
      </w:pPr>
      <w:r w:rsidRPr="0049700C">
        <w:t>37.</w:t>
      </w:r>
      <w:r w:rsidRPr="0049700C">
        <w:tab/>
        <w:t>отбелязва, въз основа на доклада за последващите действия, развитието на съдебното производство, образувано от белгийските органи срещу бивш член на Комитета, обвинен в неправомерно поведение във връзка с жалба за тормоз в Комитета, регистрирана и приключена от Комитета през 2023 г.; отбелязва, че това производство е спряно, тъй като съответният белгийски съд е поискал от Съда на Европейския съюз разяснения относно тълкуването на член 10 от Протокол (№ 7) за привилегиите и имунитетите на Европейския съюз; приканва Комитета да информира редовно органа по освобождаване от отговорност за последващото развитие по този въпрос;</w:t>
      </w:r>
    </w:p>
    <w:p w14:paraId="2CD34F24" w14:textId="77777777" w:rsidR="00C3783B" w:rsidRPr="0049700C" w:rsidRDefault="00C3783B" w:rsidP="00C3783B">
      <w:pPr>
        <w:pStyle w:val="NormalHanging12a"/>
      </w:pPr>
      <w:r w:rsidRPr="0049700C">
        <w:t>38.</w:t>
      </w:r>
      <w:r w:rsidRPr="0049700C">
        <w:tab/>
        <w:t xml:space="preserve">отбелязва със задоволство, че Комитетът е лидер по отношение на прозрачността, тъй като е първият орган, освен първите подписали страни, който се присъедини към регистъра за прозрачност на Съюза; приветства мерките за прозрачност, приети от Комитета, включително препоръката членовете на Комитета да се срещат само с регистрирани заинтересовани страни, задължението на неговите членове да публикуват своите заседания онлайн и възможността докладчиците на Комитета да прилагат „законодателен отпечатък“ към своите становища, включително чрез пилотен проект, започнат през 2025 г.; отбелязва, че към момента становищата на Комитета се отразяват като ключови етапи в рамките на законодателните досиета в EU </w:t>
      </w:r>
      <w:proofErr w:type="spellStart"/>
      <w:r w:rsidRPr="0049700C">
        <w:t>Law</w:t>
      </w:r>
      <w:proofErr w:type="spellEnd"/>
      <w:r w:rsidRPr="0049700C">
        <w:t xml:space="preserve"> </w:t>
      </w:r>
      <w:proofErr w:type="spellStart"/>
      <w:r w:rsidRPr="0049700C">
        <w:t>Tracker</w:t>
      </w:r>
      <w:proofErr w:type="spellEnd"/>
      <w:r w:rsidRPr="0049700C">
        <w:t>; отбелязва освен това със задоволство, въз основа на въпросника, действията на Комитета за прозрачност по отношение на основните му административни операции в области като финансите, обществените поръчки, човешките ресурси и достъпа до документи;</w:t>
      </w:r>
    </w:p>
    <w:p w14:paraId="418FD49F" w14:textId="77777777" w:rsidR="00C3783B" w:rsidRPr="0049700C" w:rsidRDefault="00C3783B" w:rsidP="00C3783B">
      <w:pPr>
        <w:pStyle w:val="NormalHanging12a"/>
      </w:pPr>
      <w:r w:rsidRPr="0049700C">
        <w:t>39.</w:t>
      </w:r>
      <w:r w:rsidRPr="0049700C">
        <w:tab/>
        <w:t xml:space="preserve">отбелязва, че Комитетът разполага със солидна рамка за предотвратяване на конфликти на интереси и избягване на случаи на кадрова въртележка между държавния и частния сектор; отбелязва, че по отношение на своите служители Комитетът гарантира включването на съображенията, свързани с конфликтите на интереси, във всички процедури по набиране и подбор на персонал; отбелязва, че служителите са задължени проактивно да декларират ситуации, които биха могли да доведат до </w:t>
      </w:r>
      <w:bookmarkStart w:id="8" w:name="_Hlk216797257"/>
      <w:r w:rsidRPr="0049700C">
        <w:t>конфликт на интереси</w:t>
      </w:r>
      <w:bookmarkEnd w:id="8"/>
      <w:r w:rsidRPr="0049700C">
        <w:t xml:space="preserve">; отбелязва по отношение на членовете на Комитета, че в случай на промяна в информацията, декларирана от тях, те представят нова декларация най-късно два месеца след настъпване на въпросната промяна; отбелязва по отношение на неговите членове, че комисията по етика на Комитета разгледа едно искане за насоки относно възможен конфликт на </w:t>
      </w:r>
      <w:r w:rsidRPr="0049700C">
        <w:lastRenderedPageBreak/>
        <w:t>интереси; отбелязва по отношение на персонала на Комитета, че за 2024 г. не са докладвани случаи на конфликт на интереси и сигнали за нередности;</w:t>
      </w:r>
    </w:p>
    <w:p w14:paraId="45DCA89C" w14:textId="77777777" w:rsidR="00C3783B" w:rsidRPr="0049700C" w:rsidRDefault="00C3783B" w:rsidP="00C3783B">
      <w:pPr>
        <w:pStyle w:val="NormalHanging12a"/>
      </w:pPr>
      <w:r w:rsidRPr="0049700C">
        <w:t>40.</w:t>
      </w:r>
      <w:r w:rsidRPr="0049700C">
        <w:tab/>
      </w:r>
      <w:bookmarkStart w:id="9" w:name="_Hlk216869267"/>
      <w:r w:rsidRPr="0049700C">
        <w:t>отбелязва със загриженост предполагаем случай на измама с участието на външен доставчик на услуги, отхвърлен от Европейската служба за борба с измамите (OLAF) и впоследствие отнесен през 2024 г. до Европейската прокуратура за проверка за евентуални престъпления</w:t>
      </w:r>
      <w:bookmarkEnd w:id="9"/>
      <w:r w:rsidRPr="0049700C">
        <w:t>; отбелязва със задоволство въз основа на въпросника, че Комитетът си сътрудничи изцяло с Европейската прокуратура по този случай; отбелязва освен това, че доставчикът на услуги е изплатил на Комитета предварително уговореното обезщетение при неизпълнение; приветства в този контекст мерките, предприети от Комитета за по-успешно предотвратяване на такива случаи в бъдеще, чрез извършване на по-строги проверки за съответствие при възлагането на обществени поръчки и изпълнението на договорите, както и укрепване на насоките и обучението по този въпрос; отбелязва, че един случай на OLAF от 2023 г. е върнат на Комитета за вътрешно опростено административно разследване, което започна през 2024 г. и доведе до окончателен доклад, адресиран до органа по назначаването през юли 2025 г.; приканва Комитета да информира органа по освобождаване от отговорност дали е взето окончателно решение по случая; отбелязва освен това, че проверка, започната от Омбудсмана през 2023 г., е приключена през 2024 г. с констатацията, че не е налице лошо администриране от страна на Комитета;</w:t>
      </w:r>
    </w:p>
    <w:p w14:paraId="3D3D4223" w14:textId="77777777" w:rsidR="00C3783B" w:rsidRPr="0049700C" w:rsidRDefault="00C3783B" w:rsidP="00C3783B">
      <w:pPr>
        <w:pStyle w:val="NormalHanging12a"/>
      </w:pPr>
      <w:r w:rsidRPr="0049700C">
        <w:t>41.</w:t>
      </w:r>
      <w:r w:rsidRPr="0049700C">
        <w:tab/>
        <w:t>отбелязва със задоволство въз основа на въпросника, че след предишните призиви на Парламента Комитетът е изготвил стратегия за борба с измамите, която включва придружаващия план за действие с конкретни мерки, които да бъдат приложени, обхващащи политиките за обучение, както и кампании за повишаване на осведомеността и преразгледани споразумения за сътрудничество с OLAF и Европейската прокуратура, като тази стратегия е била предмет на междуведомствени консултации и процес на приемане; приканва Комитета да информира органа по освобождаване от отговорност за последващите действия по този въпрос; приветства факта, че Комитетът е организирал две обучения, проведени от служителите на OLAF, относно осведомеността за измамите и предотвратяването им в обществените поръчки, като на тези обучения са присъствали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това как да докладват потенциални случаи на Европейската прокуратура; приканва Комитета да укрепи своите процедури за оценка на риска, предотвратяване, откриване и последващи действия при изпълнението на стратегията за борба с измамите;</w:t>
      </w:r>
    </w:p>
    <w:p w14:paraId="721F0DE8" w14:textId="77777777" w:rsidR="00C3783B" w:rsidRPr="0049700C" w:rsidRDefault="00C3783B" w:rsidP="00C3783B">
      <w:pPr>
        <w:pStyle w:val="NormalHanging12a"/>
        <w:rPr>
          <w:b/>
          <w:i/>
        </w:rPr>
      </w:pPr>
      <w:bookmarkStart w:id="10" w:name="_Hlk216263307"/>
      <w:r w:rsidRPr="0049700C">
        <w:rPr>
          <w:b/>
          <w:i/>
        </w:rPr>
        <w:t>Цифровизация, киберсигурност и защита на данните</w:t>
      </w:r>
    </w:p>
    <w:p w14:paraId="2C656B47" w14:textId="77777777" w:rsidR="00C3783B" w:rsidRPr="0049700C" w:rsidRDefault="00C3783B" w:rsidP="00C3783B">
      <w:pPr>
        <w:pStyle w:val="NormalHanging12a"/>
      </w:pPr>
      <w:r w:rsidRPr="0049700C">
        <w:t>42.</w:t>
      </w:r>
      <w:r w:rsidRPr="0049700C">
        <w:tab/>
        <w:t xml:space="preserve">отбелязва, че през 2024 г. общият бюджет за ИТ на Комитета и Комитета на регионите е 13 700 000 EUR в сравнение с 12 700 000 EUR през 2023 г., т.е. увеличение със 7,87%, като през 2024 г. 760 000 EUR от този бюджет (приблизително 6%) са изразходвани за киберсигурност; отбелязва въз основа на въпросника, че финансирането на проекти в областта на ИТ се е увеличило със 109 000 EUR в сравнение с 2023 г., което представлява увеличение с 4%, главно в подкрепа на програмата за работна среда M365 и програмата за трансформация в областта на киберсигурността; отбелязва освен това, че разходите за оборудване </w:t>
      </w:r>
      <w:r w:rsidRPr="0049700C">
        <w:lastRenderedPageBreak/>
        <w:t xml:space="preserve">са нараснали със 117 000 EUR (т.е. увеличение с 20%), главно поради корекции на цените и стратегически инвестиции в инфраструктура за телефония; </w:t>
      </w:r>
      <w:bookmarkStart w:id="11" w:name="_Hlk224229242"/>
      <w:r w:rsidRPr="0049700C">
        <w:t>признава загрижеността на Комитета, че той страда от структурен недостиг на финансиране в областта на цифровизацията и киберсигурността, и предупреждава, че трайният недостиг на инвестиции в киберсигурността представлява структурен риск за почтеността на институциите, органите, службите и агенциите на Съюза</w:t>
      </w:r>
      <w:bookmarkEnd w:id="11"/>
      <w:r w:rsidRPr="0049700C">
        <w:t>; призовава Комитета да приеме структурирана пътна карта за постепенно постигане на целевия показател за разходите за киберсигурност от 10%, включително годишни етапни цели, основано на риска приоритизиране и редовно докладване на органа по освобождаване от отговорност; подчертава, че е необходимо засилено сътрудничество със Службата за киберсигурност за институциите, органите, службите и агенциите на Съюза (CERT-EU) и институциите, органите, службите и агенциите на Съюза, за да се гарантира съгласувана и устойчива позиция в областта на киберсигурността; изразява съжаление в този контекст, че бюджетният орган не включи в бюджета на Съюза за 2026 г. сумата от 1 176 000 EUR, необходима, за да може Комитетът (и Комитетът на регионите) да извърши значително модернизиране във връзка с киберсигурността, като по този начин направи непостижима целта, посочена в Регламент (ЕС, Евратом) 2023/2841</w:t>
      </w:r>
      <w:r w:rsidRPr="0049700C">
        <w:rPr>
          <w:rStyle w:val="FootnoteReference"/>
        </w:rPr>
        <w:footnoteReference w:id="7"/>
      </w:r>
      <w:r w:rsidRPr="0049700C">
        <w:t>, за заделяне на около 10% от общите си разходи за ИТ за киберсигурност; призовава за подходящи средства, за да се даде възможност на Комитета и Комитета на регионите да извършат значително модернизиране на киберсигурността;</w:t>
      </w:r>
    </w:p>
    <w:p w14:paraId="49D14F25" w14:textId="77777777" w:rsidR="00C3783B" w:rsidRPr="0049700C" w:rsidRDefault="00C3783B" w:rsidP="00C3783B">
      <w:pPr>
        <w:pStyle w:val="NormalHanging12a"/>
      </w:pPr>
      <w:r w:rsidRPr="0049700C">
        <w:t>43.</w:t>
      </w:r>
      <w:r w:rsidRPr="0049700C">
        <w:tab/>
        <w:t xml:space="preserve">отбелязва ключовите подобрения по отношение на цифровизацията и управлението на ИТ през 2024 г., например разширяване на покритието с </w:t>
      </w:r>
      <w:proofErr w:type="spellStart"/>
      <w:r w:rsidRPr="0049700C">
        <w:t>Wi-Fi</w:t>
      </w:r>
      <w:proofErr w:type="spellEnd"/>
      <w:r w:rsidRPr="0049700C">
        <w:t xml:space="preserve">, внедряване на Microsoft 365 и пилотни решения в областта на ИИ, миграция в облак и повишаване на осведомеността чрез Дните на киберсигурността, наред с другото; приветства многогодишната стратегия в областта на цифровите технологии (DS 2024-2026), стартирана от съвместната дирекция „Иновации и информационни технологии“ и изградена около четири водещи програми: M365 (програма за цифрови работни места), ARES (системата на Комисията за управление на документи), </w:t>
      </w:r>
      <w:proofErr w:type="spellStart"/>
      <w:r w:rsidRPr="0049700C">
        <w:t>EdiT</w:t>
      </w:r>
      <w:proofErr w:type="spellEnd"/>
      <w:r w:rsidRPr="0049700C">
        <w:t xml:space="preserve"> (споделен инструмент между институциите на Съюза за изготвяне на законодателни документи) и </w:t>
      </w:r>
      <w:proofErr w:type="spellStart"/>
      <w:r w:rsidRPr="0049700C">
        <w:t>Cybersecurity</w:t>
      </w:r>
      <w:proofErr w:type="spellEnd"/>
      <w:r w:rsidRPr="0049700C">
        <w:t>; отбелязва въз основа на отчета на Комитета и въпросника, че с многогодишната стратегия на Комитета в областта на цифровите технологии (DS 2024-2026) се въвежда преразгледан модел на цифрово управление, насочен към задълбочаване на институционалното сътрудничество, рационализиране на работните процеси, автоматизиране на процесите, подобряване на изготвянето на законодателни текстове и укрепване на устойчивостта;</w:t>
      </w:r>
    </w:p>
    <w:p w14:paraId="7DD61BCC" w14:textId="77777777" w:rsidR="00C3783B" w:rsidRPr="0049700C" w:rsidRDefault="00C3783B" w:rsidP="00C3783B">
      <w:pPr>
        <w:pStyle w:val="NormalHanging12a"/>
      </w:pPr>
      <w:r w:rsidRPr="0049700C">
        <w:t>44.</w:t>
      </w:r>
      <w:r w:rsidRPr="0049700C">
        <w:tab/>
        <w:t xml:space="preserve">отбелязва въз основа на въпросника прилагането на системата HAN (HERMES-ARES-NOMCOM) за сигурно управление на документи и спазване на правилата за защита на данните, както и приемането на приложението редактор на </w:t>
      </w:r>
      <w:proofErr w:type="spellStart"/>
      <w:r w:rsidRPr="0049700C">
        <w:t>EdiT</w:t>
      </w:r>
      <w:proofErr w:type="spellEnd"/>
      <w:r w:rsidRPr="0049700C">
        <w:t xml:space="preserve"> XML за изготвяне на законодателни текстове; приветства напредъка, постигнат в управлението на записи, като пълното внедряване се очаква до 2026 г.; признава подобренията в ИТ инфраструктурата, включително автоматизацията, миграцията </w:t>
      </w:r>
      <w:r w:rsidRPr="0049700C">
        <w:lastRenderedPageBreak/>
        <w:t xml:space="preserve">в облак и внедряването на нов инструмент за управление на човешките ресурси (HRT, заместващ </w:t>
      </w:r>
      <w:proofErr w:type="spellStart"/>
      <w:r w:rsidRPr="0049700C">
        <w:t>Sysper</w:t>
      </w:r>
      <w:proofErr w:type="spellEnd"/>
      <w:r w:rsidRPr="0049700C">
        <w:t>) през 2024 г.;</w:t>
      </w:r>
    </w:p>
    <w:p w14:paraId="19F56DC1" w14:textId="77777777" w:rsidR="00C3783B" w:rsidRPr="0049700C" w:rsidRDefault="00C3783B" w:rsidP="00C3783B">
      <w:pPr>
        <w:pStyle w:val="NormalHanging12a"/>
      </w:pPr>
      <w:r w:rsidRPr="0049700C">
        <w:t>45.</w:t>
      </w:r>
      <w:r w:rsidRPr="0049700C">
        <w:tab/>
        <w:t xml:space="preserve">отбелязва, че Комитетът използва </w:t>
      </w:r>
      <w:proofErr w:type="spellStart"/>
      <w:r w:rsidRPr="0049700C">
        <w:t>eTranslation</w:t>
      </w:r>
      <w:proofErr w:type="spellEnd"/>
      <w:r w:rsidRPr="0049700C">
        <w:t xml:space="preserve"> – платформата на Комисията за невронен машинен превод, за да генерира автоматично преводи и така допълнително да подпомага работата на преводачите; отбелязва, че успоредно с това през 2024 г. Комитетът успешно проведе пилотен проект за преобразуване на реч в текст с помощта на ИИ, като използва софтуер, разработен от Световната организация за интелектуална собственост (СОИС); отбелязва освен това, че през юни 2024 г. дирекция „Писмени преводи“ стартира едногодишен пилотен проект за оценка на използването на </w:t>
      </w:r>
      <w:proofErr w:type="spellStart"/>
      <w:r w:rsidRPr="0049700C">
        <w:t>DeepL</w:t>
      </w:r>
      <w:proofErr w:type="spellEnd"/>
      <w:r w:rsidRPr="0049700C">
        <w:t xml:space="preserve"> като алтернативен инструмент за превод, за който беше счетено, че не осигурява добавена стойност в сравнение с вече внедрените системи за превод на документи на Комитета;</w:t>
      </w:r>
    </w:p>
    <w:p w14:paraId="77803657" w14:textId="77777777" w:rsidR="00C3783B" w:rsidRPr="0049700C" w:rsidRDefault="00C3783B" w:rsidP="00C3783B">
      <w:pPr>
        <w:pStyle w:val="NormalHanging12a"/>
      </w:pPr>
      <w:r w:rsidRPr="0049700C">
        <w:t>46.</w:t>
      </w:r>
      <w:r w:rsidRPr="0049700C">
        <w:tab/>
        <w:t xml:space="preserve">отбелязва въз основа на въпросника, че Комитетът поддържа тясно сътрудничество със CERT-EU и използва различни инструменти и непрекъснато наблюдение, за да открива и преодолява уязвимостите на системата; отбелязва освен това, че съвместната дирекция „Иновации и информационни технологии“ е започнала да прилага Essentials 8, рамката за киберсигурност на Националния институт за стандарти и технологии (NIST) и отворения проект за сигурност на </w:t>
      </w:r>
      <w:proofErr w:type="spellStart"/>
      <w:r w:rsidRPr="0049700C">
        <w:t>уебприложенията</w:t>
      </w:r>
      <w:proofErr w:type="spellEnd"/>
      <w:r w:rsidRPr="0049700C">
        <w:t xml:space="preserve"> (</w:t>
      </w:r>
      <w:proofErr w:type="spellStart"/>
      <w:r w:rsidRPr="0049700C">
        <w:t>Open</w:t>
      </w:r>
      <w:proofErr w:type="spellEnd"/>
      <w:r w:rsidRPr="0049700C">
        <w:t xml:space="preserve"> Worldwide </w:t>
      </w:r>
      <w:proofErr w:type="spellStart"/>
      <w:r w:rsidRPr="0049700C">
        <w:t>Application</w:t>
      </w:r>
      <w:proofErr w:type="spellEnd"/>
      <w:r w:rsidRPr="0049700C">
        <w:t xml:space="preserve"> </w:t>
      </w:r>
      <w:proofErr w:type="spellStart"/>
      <w:r w:rsidRPr="0049700C">
        <w:t>Security</w:t>
      </w:r>
      <w:proofErr w:type="spellEnd"/>
      <w:r w:rsidRPr="0049700C">
        <w:t xml:space="preserve"> Project, или OWASP) като референтни модели за укрепване на управлението на риска, подобряване на управлението и интегриране на сигурността в процесите на идентифициране, защита, откриване, реагиране и възстановяване; признава, че работата за постигане на пълно съответствие с оперативните и регулаторните изисквания продължава; отбелязва въз основа на доклада за последващите действия, че киберсигурността е преформулирана от Комитета като споделена отговорност за всички служители, подкрепена от многогодишен план, непрекъснато обучение и кампании за повишаване на осведомеността;</w:t>
      </w:r>
    </w:p>
    <w:p w14:paraId="0CB18E69" w14:textId="77777777" w:rsidR="00C3783B" w:rsidRPr="0049700C" w:rsidRDefault="00C3783B" w:rsidP="00C3783B">
      <w:pPr>
        <w:pStyle w:val="NormalHanging12a"/>
      </w:pPr>
      <w:r w:rsidRPr="0049700C">
        <w:t>47.</w:t>
      </w:r>
      <w:r w:rsidRPr="0049700C">
        <w:tab/>
        <w:t xml:space="preserve">отбелязва със задоволство, че каналите на Комитета за комуникация са достъпни и за хората с увреждания; отбелязва, че Комитетът прилага указанията за достъпност на </w:t>
      </w:r>
      <w:proofErr w:type="spellStart"/>
      <w:r w:rsidRPr="0049700C">
        <w:t>уебсъдържание</w:t>
      </w:r>
      <w:proofErr w:type="spellEnd"/>
      <w:r w:rsidRPr="0049700C">
        <w:t xml:space="preserve"> и че за повечето от неговите приложения се полагат усилия за цялостна достъпност; отбелязва в този контекст, че уебсайтът на Комитета редовно се одитира от специалисти по достъпността, които издават препоръки, а след това тези препоръки се изпълняват, и че следващият одит е насрочен за 2026 г.;</w:t>
      </w:r>
    </w:p>
    <w:p w14:paraId="12B10DB7" w14:textId="77777777" w:rsidR="00C3783B" w:rsidRPr="0049700C" w:rsidRDefault="00C3783B" w:rsidP="00C3783B">
      <w:pPr>
        <w:pStyle w:val="NormalHanging12a"/>
      </w:pPr>
      <w:r w:rsidRPr="0049700C">
        <w:t>48.</w:t>
      </w:r>
      <w:r w:rsidRPr="0049700C">
        <w:tab/>
        <w:t>приветства усилията на Комитета през 2024 г. да гарантира, че служителите придобиват цифровите умения, необходими за все по-цифровизираната работна среда и за провеждането на целенасочени информационни кампании, като предлага всеобхватна програма за обучение и наставничество и поддържа актуална база от знания в областта на ИТ с основан на изкуствен интелект интерфейс в подкрепа на развитието на персонала; насърчава обученията в областта на киберсигурността и безопасното, етично и ефективно използване на ИИ;</w:t>
      </w:r>
    </w:p>
    <w:p w14:paraId="2D67E878" w14:textId="77777777" w:rsidR="00C3783B" w:rsidRPr="0049700C" w:rsidRDefault="00C3783B" w:rsidP="00C3783B">
      <w:pPr>
        <w:pStyle w:val="NormalHanging12a"/>
      </w:pPr>
      <w:r w:rsidRPr="0049700C">
        <w:t>49.</w:t>
      </w:r>
      <w:r w:rsidRPr="0049700C">
        <w:tab/>
        <w:t xml:space="preserve">отбелязва въз основа на доклада за последващите действия, че през 2024 г. Европейският надзорен орган по защита на данните не е започнал разследвания във връзка с прилагането на правилата за защита на данните в Комитета; отбелязва обаче, че все още не е приключила проверка относно управлението на </w:t>
      </w:r>
      <w:r w:rsidRPr="0049700C">
        <w:lastRenderedPageBreak/>
        <w:t>външен одит, започната през 2023 г.; отправя искане към Комитета да информира редовно органа по освобождаване от отговорност за последващите действия по този въпрос;</w:t>
      </w:r>
    </w:p>
    <w:bookmarkEnd w:id="10"/>
    <w:p w14:paraId="064E05E9" w14:textId="77777777" w:rsidR="00C3783B" w:rsidRPr="0049700C" w:rsidRDefault="00C3783B" w:rsidP="00C3783B">
      <w:pPr>
        <w:pStyle w:val="NormalHanging12a"/>
        <w:rPr>
          <w:b/>
          <w:i/>
        </w:rPr>
      </w:pPr>
      <w:r w:rsidRPr="0049700C">
        <w:rPr>
          <w:b/>
          <w:i/>
        </w:rPr>
        <w:t>Сгради</w:t>
      </w:r>
    </w:p>
    <w:p w14:paraId="7A45659A" w14:textId="77777777" w:rsidR="00C3783B" w:rsidRPr="0049700C" w:rsidRDefault="00C3783B" w:rsidP="00C3783B">
      <w:pPr>
        <w:pStyle w:val="NormalHanging12a"/>
      </w:pPr>
      <w:r w:rsidRPr="0049700C">
        <w:t>50.</w:t>
      </w:r>
      <w:r w:rsidRPr="0049700C">
        <w:tab/>
        <w:t>отбелязва въз основа на доклада за последващите действия, че Комитетът работи по дългосрочна стратегия за сградния фонд, като се има предвид, че сградата „СПАК“ предстои да бъде обновена, а сградата „B-100“ ще бъде освободена през август 2026 г.; отбелязва освен това, че резултатите от текущите технически и екологични одити на сградите на Комитета ще бъдат включени в тази стратегия; приканва Комитета да информира редовно органа по освобождаване от отговорност относно тези въпроси;</w:t>
      </w:r>
    </w:p>
    <w:p w14:paraId="5357BA5B" w14:textId="77777777" w:rsidR="00C3783B" w:rsidRPr="0049700C" w:rsidRDefault="00C3783B" w:rsidP="00C3783B">
      <w:pPr>
        <w:pStyle w:val="NormalHanging12a"/>
      </w:pPr>
      <w:r w:rsidRPr="0049700C">
        <w:t>51.</w:t>
      </w:r>
      <w:r w:rsidRPr="0049700C">
        <w:tab/>
        <w:t>оценява факта, че през 2024 г. Комитетът завърши модернизацията и подобряването на достъпността на шестте асансьора в западната част на сградата „JDE“, един от които е специално предназначен за лица с намалена подвижност; приветства значителните подобрения, въведени за ползвателите на инвалидни колички, незрящите лица и лицата с увредено зрение, глухите лица и лицата с намалена подвижност или други физически ограничения, включително подобрена звукова и визуална сигнализация, адаптирано управление, удължено време на отваряне на вратите, огледала и елементи за безопасност, както и парапети;</w:t>
      </w:r>
    </w:p>
    <w:p w14:paraId="6795272C" w14:textId="77777777" w:rsidR="00C3783B" w:rsidRPr="0049700C" w:rsidRDefault="00C3783B" w:rsidP="00C3783B">
      <w:pPr>
        <w:pStyle w:val="NormalHanging12a"/>
      </w:pPr>
      <w:r w:rsidRPr="0049700C">
        <w:t>52.</w:t>
      </w:r>
      <w:r w:rsidRPr="0049700C">
        <w:tab/>
        <w:t>отбелязва въз основа на отчета на Комитета, че през 2024 г., в сътрудничество с Комитета на регионите, в сградата „JDE“ е било създадено ново споделено пространство за комуникация; подчертава, че съоръжението, разположено в бившата библиотечна зона, включва модерно студио за запис, зала за интервюта „на крак“ и специално пространство за конференции;</w:t>
      </w:r>
    </w:p>
    <w:p w14:paraId="600CB553" w14:textId="77777777" w:rsidR="00C3783B" w:rsidRPr="0049700C" w:rsidRDefault="00C3783B" w:rsidP="00C3783B">
      <w:pPr>
        <w:pStyle w:val="NormalHanging12a"/>
        <w:rPr>
          <w:b/>
          <w:i/>
        </w:rPr>
      </w:pPr>
      <w:r w:rsidRPr="0049700C">
        <w:rPr>
          <w:b/>
          <w:i/>
        </w:rPr>
        <w:t>Околна среда и устойчивост</w:t>
      </w:r>
    </w:p>
    <w:p w14:paraId="62951208" w14:textId="77777777" w:rsidR="00C3783B" w:rsidRPr="0049700C" w:rsidRDefault="00C3783B" w:rsidP="00C3783B">
      <w:pPr>
        <w:pStyle w:val="NormalHanging12a"/>
      </w:pPr>
      <w:r w:rsidRPr="0049700C">
        <w:t>53.</w:t>
      </w:r>
      <w:r w:rsidRPr="0049700C">
        <w:tab/>
        <w:t xml:space="preserve">отбелязва въз основа на въпросника, че през 2024 г. Комитетът е заделил 198 894 EUR за </w:t>
      </w:r>
      <w:proofErr w:type="spellStart"/>
      <w:r w:rsidRPr="0049700C">
        <w:t>екологизиране</w:t>
      </w:r>
      <w:proofErr w:type="spellEnd"/>
      <w:r w:rsidRPr="0049700C">
        <w:t xml:space="preserve"> на своите операции, като 55% са били предназначени за консултантски и експертни услуги в областта на енергийното управление и енергийната ефективност, а 45% – за подобрения на инфраструктурата, например светодиодно осветление, паркинг за велосипеди и измерване на потреблението на енергия; приветства приноса на тези инвестиции, заедно с продължаващите инициативи за иновативни сградни инсталации, 100% екологична електроенергия, интелигентни енергоспестяващи технологии и цифровизация, за намаляване на потреблението на енергия и емисиите;</w:t>
      </w:r>
    </w:p>
    <w:p w14:paraId="0BE1B7CB" w14:textId="77777777" w:rsidR="00C3783B" w:rsidRPr="0049700C" w:rsidRDefault="00C3783B" w:rsidP="00C3783B">
      <w:pPr>
        <w:pStyle w:val="NormalHanging12a"/>
      </w:pPr>
      <w:r w:rsidRPr="0049700C">
        <w:t>54.</w:t>
      </w:r>
      <w:r w:rsidRPr="0049700C">
        <w:tab/>
        <w:t xml:space="preserve">отбелязва въз основа на въпросника намаляване на потреблението на електроенергия (- 19%), газ (- 13%) и вода (- 12%), намаляване на обема на отпадъците (- 12%), както и увеличаване на потреблението на хартия (+ 1%) през 2024 г. в сравнение с 2023 г.; приветства освен това намаляването на въглеродните емисии на ЕПРВ (еквивалент на пълно работно време) с 4,30% (не са включени емисиите от пътуванията на членовете на Комитета) през същия период; отбелязва въз основа на въпросника действията на Комитета за насърчаване на по-устойчиви варианти на пътуване сред неговите служители и членове, както и текущото преразглеждане на ръководството за командировките на служителите, което ще включва отпечатъка върху околната среда като ключов </w:t>
      </w:r>
      <w:r w:rsidRPr="0049700C">
        <w:lastRenderedPageBreak/>
        <w:t>компонент; приветства освен това акцента, който Комитетът поставя върху управлението и рециклирането на отпадъците, за да се насърчи културата на намаляване на отпадъците и ефективно използване на ресурсите;</w:t>
      </w:r>
    </w:p>
    <w:p w14:paraId="6D549606" w14:textId="7EE7867F" w:rsidR="00C3783B" w:rsidRPr="0049700C" w:rsidRDefault="00C3783B" w:rsidP="00C3783B">
      <w:pPr>
        <w:pStyle w:val="NormalHanging12a"/>
      </w:pPr>
      <w:r w:rsidRPr="0049700C">
        <w:t>55</w:t>
      </w:r>
      <w:r w:rsidR="008A3B62">
        <w:t>.</w:t>
      </w:r>
      <w:r w:rsidRPr="0049700C">
        <w:tab/>
        <w:t>отбелязва със задоволство, че всички покани на Комитета за подаване на оферти на стойност над 60 000 EUR и тези на стойност над 25 000 EUR, управлявани съвместно с Комитета на регионите, включват клаузи за устойчивост в съответствие със стандартите на Енергийния съюз, Европейския зелен пакт и принципите на кръговата икономика; отбелязва, че новият рамков договор на Комитета за кетъринг услуги, влязъл в сила през август 2024 г., съдържа изисквания за екологични и местно произведени продукти, дарения на храни и сезонни плодове и зеленчуци;</w:t>
      </w:r>
    </w:p>
    <w:p w14:paraId="610C559F" w14:textId="77777777" w:rsidR="00C3783B" w:rsidRPr="0049700C" w:rsidRDefault="00C3783B" w:rsidP="00C3783B">
      <w:pPr>
        <w:pStyle w:val="NormalHanging12a"/>
      </w:pPr>
      <w:r w:rsidRPr="0049700C">
        <w:t>56.</w:t>
      </w:r>
      <w:r w:rsidRPr="0049700C">
        <w:tab/>
        <w:t xml:space="preserve">отбелязва със задоволство въз основа на въпросника продължаващите усилия на Комитета за насърчаване на устойчивата мобилност сред неговите служители; отбелязва по-специално, че Комитетът предлага финансови вноски за карти за пътуване в обществения транспорт, за служители, които използват велосипед, за да пътуват до и от работното си място, а от 2024 г. – вноски за абонаментите </w:t>
      </w:r>
      <w:proofErr w:type="spellStart"/>
      <w:r w:rsidRPr="0049700C">
        <w:t>Flex</w:t>
      </w:r>
      <w:proofErr w:type="spellEnd"/>
      <w:r w:rsidRPr="0049700C">
        <w:t xml:space="preserve"> SNCB, за да се вземе предвид хибридният режим на работа; отбелязва плана на Комитета да участва съвместно с Комитета на регионите в ръководена от Комисията покана за представяне на оферти, която ще бъде подновена през 2026 г., за закупуване и поддръжка на електрически велосипеди; приветства продължаващото сътрудничество с регион Брюксел-столица в областта на планирането на мобилността, както и участието на Комитета в междуинституционални инициативи, които допринасят за култура на устойчиво пътуване до и от работното място;</w:t>
      </w:r>
    </w:p>
    <w:p w14:paraId="313D8EE7" w14:textId="77777777" w:rsidR="00C3783B" w:rsidRPr="0049700C" w:rsidRDefault="00C3783B" w:rsidP="00C3783B">
      <w:pPr>
        <w:pStyle w:val="NormalHanging12a"/>
        <w:rPr>
          <w:b/>
          <w:i/>
        </w:rPr>
      </w:pPr>
      <w:r w:rsidRPr="0049700C">
        <w:rPr>
          <w:b/>
          <w:i/>
        </w:rPr>
        <w:t>Междуинституционално сътрудничество</w:t>
      </w:r>
    </w:p>
    <w:p w14:paraId="219FFB1A" w14:textId="77777777" w:rsidR="00C3783B" w:rsidRPr="0049700C" w:rsidRDefault="00C3783B" w:rsidP="00C3783B">
      <w:pPr>
        <w:pStyle w:val="NormalHanging12a"/>
      </w:pPr>
      <w:r w:rsidRPr="0049700C">
        <w:t>57.</w:t>
      </w:r>
      <w:r w:rsidRPr="0049700C">
        <w:tab/>
        <w:t xml:space="preserve">приветства тясното сътрудничество, установено от Комитета с Комитета на регионите на административно равнище, като двата комитета споделят помещения и съвместни служби в областта на писмените преводи, инфраструктурата, логистиката, сигурността, обществените поръчки, финансовото управление и информационните технологии и същевременно запазват пълна институционална автономност; отбелязва, че с цел разширяване на сътрудничеството в други области и предвид бюджетните ограничения двата комитета стартираха съвместно два ключови проекта през 2024 г., а именно проекта </w:t>
      </w:r>
      <w:proofErr w:type="spellStart"/>
      <w:r w:rsidRPr="0049700C">
        <w:t>SPaCES</w:t>
      </w:r>
      <w:proofErr w:type="spellEnd"/>
      <w:r w:rsidRPr="0049700C">
        <w:t xml:space="preserve"> за трансформация на офис средата и стратегическа реформа на дирекция „Писмени преводи“ чрез структурна реорганизация, подобрено използване на езиковите технологии и постепенно намаляване на капацитета за писмени преводи, извършвани от хора, с цел повишаване на ефикасността и икономическата ефективност;</w:t>
      </w:r>
    </w:p>
    <w:p w14:paraId="1170DD5B" w14:textId="77777777" w:rsidR="00C3783B" w:rsidRPr="0049700C" w:rsidRDefault="00C3783B" w:rsidP="00C3783B">
      <w:pPr>
        <w:pStyle w:val="NormalHanging12a"/>
      </w:pPr>
      <w:r w:rsidRPr="0049700C">
        <w:t>58.</w:t>
      </w:r>
      <w:r w:rsidRPr="0049700C">
        <w:tab/>
        <w:t>приветства положителните резултати, постигнати през първата година от прилагането на споразумението между Комитета и Комитета на регионите в аудио-визуалната област, например бюджетните икономии в размер на приблизително 140 000 EUR в сравнение с независимо управляван проект и увеличен производствен капацитет, като до юни 2025 г. вече бяха произведени 85 видеоматериала в сравнение с около 90 за цялата 2024 г.;</w:t>
      </w:r>
    </w:p>
    <w:p w14:paraId="31E8956C" w14:textId="77777777" w:rsidR="00C3783B" w:rsidRPr="0049700C" w:rsidRDefault="00C3783B" w:rsidP="00C3783B">
      <w:pPr>
        <w:pStyle w:val="NormalHanging12a"/>
      </w:pPr>
      <w:r w:rsidRPr="0049700C">
        <w:t>59.</w:t>
      </w:r>
      <w:r w:rsidRPr="0049700C">
        <w:tab/>
        <w:t xml:space="preserve">приветства Комитета за значителните икономии, постигнати благодарение на </w:t>
      </w:r>
      <w:r w:rsidRPr="0049700C">
        <w:lastRenderedPageBreak/>
        <w:t>прилагането на неговото споразумение за сътрудничество с Комитета на регионите, чрез което бяха създадени съвместни служби, обхващащи задачи главно в областта на ИТ, логистиката и обществените поръчки; отбелязва със задоволство въз основа на въпросника очакваните икономии на Комитета през 2024 г. в областта на ИТ (приблизително 16 милиона евро), инфраструктурата (приблизително 8 милиона евро), печатните услуги (приблизително 125 000 EUR) и услугите в областта на сигурността (приблизително 800 000 EUR); отбелязва освен това, че ако Комитетът и Комитетът на регионите имат отделни служби за писмени преводи и обществени поръчки, общите разходи за персонал ще се увеличат с най-малко 30%; отново призовава това сътрудничество да се разшири във възможно най-голяма степен, така че да се създаде единна администрация за съвместните служби, и да се запази разделението между службите и отделите, отговарящи за основните независими мандати на комитетите;</w:t>
      </w:r>
    </w:p>
    <w:p w14:paraId="42B90DE7" w14:textId="77777777" w:rsidR="00C3783B" w:rsidRPr="0049700C" w:rsidRDefault="00C3783B" w:rsidP="00C3783B">
      <w:pPr>
        <w:pStyle w:val="NormalHanging12a"/>
      </w:pPr>
      <w:r w:rsidRPr="0049700C">
        <w:t>60.</w:t>
      </w:r>
      <w:r w:rsidRPr="0049700C">
        <w:tab/>
        <w:t>отбелязва със задоволство значителните бюджетни и административни икономии, постигнати от Комитета чрез споразумения за нивото на обслужване, по-специално с Комисията относно използването на финансови и ключови ИТ инструменти за управление на човешките ресурси; приветства освен това участието на Комитета в междуинституционални процедури за възлагане на обществени поръчки, ръководени от други институции, например Парламента и Комисията, в области като служебни пътувания, застраховки, пътувания, ИТ, писмен превод и аудио-визуално оборудване; отбелязва въз основа на въпросника, че общите разходи, направени от Комитета за възлагане на конкретни услуги на Комисията, са се увеличили от 793 000 EUR през 2023 г. на 893 000 EUR през 2024 г.;</w:t>
      </w:r>
    </w:p>
    <w:p w14:paraId="50571D33" w14:textId="77777777" w:rsidR="00C3783B" w:rsidRPr="0049700C" w:rsidRDefault="00C3783B" w:rsidP="00C3783B">
      <w:pPr>
        <w:pStyle w:val="NormalHanging12a"/>
      </w:pPr>
      <w:r w:rsidRPr="0049700C">
        <w:t>61.</w:t>
      </w:r>
      <w:r w:rsidRPr="0049700C">
        <w:tab/>
      </w:r>
      <w:bookmarkStart w:id="12" w:name="_Hlk216940933"/>
      <w:r w:rsidRPr="0049700C">
        <w:t>отбелязва някои развития и данни по отношение на сътрудничеството между Комитета и Парламента през 2024 г.: приемането на ново споразумение за сътрудничество, подписването на меморандум за разбирателство относно сътрудничеството при подготовката на изборите за Европейски парламент, участието на 55 членове на ЕП в 38 прояви на Комитета, участието на Комитета в 32 прояви на Парламента, както и участието в различни двустранни срещи и заседания на политическите групи</w:t>
      </w:r>
      <w:bookmarkEnd w:id="12"/>
      <w:r w:rsidRPr="0049700C">
        <w:t>;</w:t>
      </w:r>
    </w:p>
    <w:p w14:paraId="390815E7" w14:textId="77777777" w:rsidR="00C3783B" w:rsidRPr="0049700C" w:rsidRDefault="00C3783B" w:rsidP="00C3783B">
      <w:pPr>
        <w:pStyle w:val="NormalHanging12a"/>
      </w:pPr>
      <w:r w:rsidRPr="0049700C">
        <w:t>62.</w:t>
      </w:r>
      <w:r w:rsidRPr="0049700C">
        <w:tab/>
        <w:t>отбелязва някои развития и данни по отношение на сътрудничеството между Комитета и Комисията през 2024 г.: участие на членове на Европейската комисия в десет пленарни сесии на Комитета и други прояви, организирани от Комитета, над 30 съвместни проекта за комуникация с цел да се привлече за участие гражданското общество, 20 специфични съвместни дейности, принос на Комитета към 17 експертни групи на Комисията, шест проучвателни становища и три доклада за оценка, представени от Комитета по искане на Комисията;</w:t>
      </w:r>
    </w:p>
    <w:p w14:paraId="063D19BC" w14:textId="77777777" w:rsidR="00C3783B" w:rsidRPr="0049700C" w:rsidRDefault="00C3783B" w:rsidP="00C3783B">
      <w:pPr>
        <w:pStyle w:val="NormalHanging12a"/>
      </w:pPr>
      <w:r w:rsidRPr="0049700C">
        <w:t>63.</w:t>
      </w:r>
      <w:r w:rsidRPr="0049700C">
        <w:tab/>
        <w:t>отбелязва някои развития и данни по отношение на сътрудничеството между Комитета и Съвета/Европейския съвет през 2024 г.: три срещи на високо равнище с председателите на Европейския съвет и 21 проучвателни становища, изготвени от Комитета по искане на белгийското и унгарското председателство;</w:t>
      </w:r>
    </w:p>
    <w:p w14:paraId="7110FA77" w14:textId="77777777" w:rsidR="00C3783B" w:rsidRPr="0049700C" w:rsidRDefault="00C3783B" w:rsidP="00C3783B">
      <w:pPr>
        <w:pStyle w:val="NormalHanging12a"/>
      </w:pPr>
      <w:r w:rsidRPr="0049700C">
        <w:t>64.</w:t>
      </w:r>
      <w:r w:rsidRPr="0049700C">
        <w:tab/>
        <w:t xml:space="preserve">отбелязва, че през 2024 г. продължиха да се реализират бюджетни икономии и повишаване на ефективността чрез активно сътрудничество между Комитета и други институции на Съюза, включително чрез организиране на пленарните сесии на Комитета в помещенията на Комисията и Парламента, където залите и </w:t>
      </w:r>
      <w:r w:rsidRPr="0049700C">
        <w:lastRenderedPageBreak/>
        <w:t>свързаните услуги се предоставят безплатно или на цени под външните пазарни цени;</w:t>
      </w:r>
    </w:p>
    <w:p w14:paraId="336597C6" w14:textId="77777777" w:rsidR="00C3783B" w:rsidRPr="0049700C" w:rsidRDefault="00C3783B" w:rsidP="00C3783B">
      <w:pPr>
        <w:pStyle w:val="NormalHanging12a"/>
      </w:pPr>
      <w:r w:rsidRPr="0049700C">
        <w:t>65.</w:t>
      </w:r>
      <w:r w:rsidRPr="0049700C">
        <w:tab/>
        <w:t>отбелязва, че Комитетът играе централна роля за укрепване на връзките със и между националните икономически и социални съвети на държавите членки; отбелязва в този контекст създаването на нова тематична работна група, съставена от 13 национални икономически и социални съвета, публикуването на 32 новинарски статии и 26 резюмета на доклади, приети от национални икономически и социални съвети, организирането на годишната среща на председателите и генералните секретари на националните икономически и социални съвети в Брюксел и съвместно организиран семинар със 100 участници, сред които европейски социални партньори, организации на гражданското общество, представители на институциите на Съюза и представители на академичните среди през 2024 г.; призовава за продължаване на сътрудничеството по теми от общ интерес и обмена на добри практики, като подчертава жизненоважната роля на гражданското общество за справяне с настоящите предизвикателства пред Съюза;</w:t>
      </w:r>
    </w:p>
    <w:p w14:paraId="5B7C5A2C" w14:textId="77777777" w:rsidR="00C3783B" w:rsidRPr="0049700C" w:rsidRDefault="00C3783B" w:rsidP="00C3783B">
      <w:pPr>
        <w:pStyle w:val="NormalHanging12a"/>
        <w:rPr>
          <w:b/>
          <w:i/>
        </w:rPr>
      </w:pPr>
      <w:r w:rsidRPr="0049700C">
        <w:rPr>
          <w:b/>
          <w:i/>
        </w:rPr>
        <w:t>Комуникация</w:t>
      </w:r>
    </w:p>
    <w:p w14:paraId="4C9C429E" w14:textId="77777777" w:rsidR="00C3783B" w:rsidRPr="0049700C" w:rsidRDefault="00C3783B" w:rsidP="00C3783B">
      <w:pPr>
        <w:pStyle w:val="NormalHanging12a"/>
      </w:pPr>
      <w:r w:rsidRPr="0049700C">
        <w:t>66.</w:t>
      </w:r>
      <w:r w:rsidRPr="0049700C">
        <w:tab/>
        <w:t>отбелязва въз основа на въпросника, че общият бюджет на Комитета за комуникация, публикации и придобиване на документация е бил приблизително 2,5 милиона евро през 2024 г. (приблизително същият като през 2023 г.), което представлява 1,4% от общия бюджет на Комитета след трансферите за 2024 г.; приветства факта, че през 2024 г. Комитетът е съсредоточил ресурсите си върху ограничен брой комуникационни приоритети, свързани със законодателните приоритети на институциите на Съюза (например финансова достъпност на енергията, изкуствен интелект, психично здраве, стратегическа автономност, икономическа реформа, равенство между половете, младеж и разширяване), в съответствие с комуникацията на Комитета, насочена към постигането на въздействие;</w:t>
      </w:r>
    </w:p>
    <w:p w14:paraId="21B4922C" w14:textId="77777777" w:rsidR="00C3783B" w:rsidRPr="0049700C" w:rsidRDefault="00C3783B" w:rsidP="00C3783B">
      <w:pPr>
        <w:pStyle w:val="NormalHanging12a"/>
      </w:pPr>
      <w:r w:rsidRPr="0049700C">
        <w:t>67.</w:t>
      </w:r>
      <w:r w:rsidRPr="0049700C">
        <w:tab/>
        <w:t>отбелязва въз основа на въпросника и отчета на Комитета, че през 2024 г. Комитетът е изпълнил всеобхватен план за комуникация в рамките на кампанията за изборите за Европейски парламент чрез информационни прояви на местно равнище и Седмицата на гражданското общество; в този контекст оценява факта, че 104 членове на Комитета са присъствали на 122 информационни прояви с прякото участие на около 350 000 граждани, в допълнение към информационните дейности в социалните медии; приветства освен това докладваните резултати на Комитета по отношение на организацията на Седмицата на гражданското общество, а именно 800 участници, над 8 000 взаимодействия, над 1 милион импресии и около 96 000 гледания на видеоклипове, което отразява силно присъствие в социалните медии;</w:t>
      </w:r>
    </w:p>
    <w:p w14:paraId="2758759B" w14:textId="77777777" w:rsidR="00C3783B" w:rsidRPr="0049700C" w:rsidRDefault="00C3783B" w:rsidP="00C3783B">
      <w:pPr>
        <w:pStyle w:val="NormalHanging12a"/>
        <w:rPr>
          <w:bCs/>
          <w:iCs/>
        </w:rPr>
      </w:pPr>
      <w:r w:rsidRPr="0049700C">
        <w:t>68.</w:t>
      </w:r>
      <w:r w:rsidRPr="0049700C">
        <w:tab/>
        <w:t xml:space="preserve">приветства усилията, положени от Комитета за повишаване на видимостта на неговата работа; счита обаче, че са необходими допълнителни усилия, за да се гарантира, че комуникационните дейности ясно обясняват ролята и конкретния принос на Комитета за присъствието на Съюза на място – по начин, който е достъпен и смислен за гражданите; оценява пускането в експлоатация на платформата </w:t>
      </w:r>
      <w:proofErr w:type="spellStart"/>
      <w:r w:rsidRPr="0049700C">
        <w:t>NaviGate</w:t>
      </w:r>
      <w:proofErr w:type="spellEnd"/>
      <w:r w:rsidRPr="0049700C">
        <w:t xml:space="preserve"> през май 2024 г.; отбелязва, че тази платформа, която захранва с интернет връзки EU </w:t>
      </w:r>
      <w:proofErr w:type="spellStart"/>
      <w:r w:rsidRPr="0049700C">
        <w:t>Law</w:t>
      </w:r>
      <w:proofErr w:type="spellEnd"/>
      <w:r w:rsidRPr="0049700C">
        <w:t xml:space="preserve"> </w:t>
      </w:r>
      <w:proofErr w:type="spellStart"/>
      <w:r w:rsidRPr="0049700C">
        <w:t>Tracker</w:t>
      </w:r>
      <w:proofErr w:type="spellEnd"/>
      <w:r w:rsidRPr="0049700C">
        <w:t xml:space="preserve"> на Службата за публикации на Съюза, </w:t>
      </w:r>
      <w:r w:rsidRPr="0049700C">
        <w:lastRenderedPageBreak/>
        <w:t>значително увеличи видимостта на работата на Комитета и подобри потребителското изживяване за неговите членове, служителите, посетителите от други институции и обществеността, като през 2024 г. достигна 4 600 отделни посетители;</w:t>
      </w:r>
    </w:p>
    <w:p w14:paraId="07A48A10" w14:textId="00D73366" w:rsidR="0049700C" w:rsidRPr="0049700C" w:rsidRDefault="00C3783B" w:rsidP="0049700C">
      <w:pPr>
        <w:pStyle w:val="NormalHanging12a"/>
      </w:pPr>
      <w:r w:rsidRPr="0049700C">
        <w:t>69.</w:t>
      </w:r>
      <w:r w:rsidRPr="0049700C">
        <w:tab/>
        <w:t xml:space="preserve">отбелязва въз основа на отчета на Комитета, че неговото присъствие в социалните медии е продължило да се разширява, като четирите основни профила на Комитета са постигнали общо увеличение на броя на последователите с над 18% в сравнение с 2023 г.; подчертава, че ангажираността е нараснала значително, като се е увеличила с 45% и е надхвърлила 416 000 взаимодействия във всички платформи; отбелязва освен това, че до края на 2024 г. Комитетът е достигнал 62 868 последователи в X, 79 647 в </w:t>
      </w:r>
      <w:proofErr w:type="spellStart"/>
      <w:r w:rsidRPr="0049700C">
        <w:t>LinkedIn</w:t>
      </w:r>
      <w:proofErr w:type="spellEnd"/>
      <w:r w:rsidRPr="0049700C">
        <w:t xml:space="preserve">, 49 494 във </w:t>
      </w:r>
      <w:proofErr w:type="spellStart"/>
      <w:r w:rsidRPr="0049700C">
        <w:t>Facebook</w:t>
      </w:r>
      <w:proofErr w:type="spellEnd"/>
      <w:r w:rsidRPr="0049700C">
        <w:t xml:space="preserve"> и 29 987 в Instagram, което отразява силен ръст конкретно за платформите в сравнение с 2023 г.; отбелязва, че през 2024 г. най-голямото увеличение на броя последователи е регистрирано в профила в Instagram (+ 72%); отбелязва, че в съответствие с общия подход на институциите на Съюза Комитетът е създал първия си профил в </w:t>
      </w:r>
      <w:proofErr w:type="spellStart"/>
      <w:r w:rsidRPr="0049700C">
        <w:t>Bluesky</w:t>
      </w:r>
      <w:proofErr w:type="spellEnd"/>
      <w:r w:rsidRPr="0049700C">
        <w:t xml:space="preserve"> през 2024 г., за да осигури официалното си присъствие, а дейностите са започнали през януари 2025 г.</w:t>
      </w:r>
    </w:p>
    <w:p w14:paraId="16765D2A" w14:textId="698BB304" w:rsidR="00E365E1" w:rsidRPr="0049700C" w:rsidRDefault="00E365E1" w:rsidP="003C797D"/>
    <w:sectPr w:rsidR="00E365E1" w:rsidRPr="0049700C" w:rsidSect="0049700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E0B75" w14:textId="77777777" w:rsidR="003C797D" w:rsidRPr="0049700C" w:rsidRDefault="003C797D">
      <w:r w:rsidRPr="0049700C">
        <w:separator/>
      </w:r>
    </w:p>
  </w:endnote>
  <w:endnote w:type="continuationSeparator" w:id="0">
    <w:p w14:paraId="037D9DF1" w14:textId="77777777" w:rsidR="003C797D" w:rsidRPr="0049700C" w:rsidRDefault="003C797D">
      <w:r w:rsidRPr="004970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6C4A" w14:textId="77777777" w:rsidR="00C3783B" w:rsidRPr="0049700C" w:rsidRDefault="00C3783B" w:rsidP="00AA776E">
    <w:pPr>
      <w:pStyle w:val="EPFooter"/>
    </w:pPr>
    <w:r w:rsidRPr="0049700C">
      <w:t>PE</w:t>
    </w:r>
    <w:r w:rsidRPr="0049700C">
      <w:rPr>
        <w:rStyle w:val="HideTWBExt"/>
      </w:rPr>
      <w:t>&lt;NoPE&gt;</w:t>
    </w:r>
    <w:r w:rsidRPr="0049700C">
      <w:t>778.063</w:t>
    </w:r>
    <w:r w:rsidRPr="0049700C">
      <w:rPr>
        <w:rStyle w:val="HideTWBExt"/>
      </w:rPr>
      <w:t>&lt;/NoPE&gt;&lt;Version&gt;</w:t>
    </w:r>
    <w:r w:rsidRPr="0049700C">
      <w:t>v02-00</w:t>
    </w:r>
    <w:r w:rsidRPr="0049700C">
      <w:rPr>
        <w:rStyle w:val="HideTWBExt"/>
      </w:rPr>
      <w:t>&lt;/Version&gt;</w:t>
    </w:r>
    <w:r w:rsidRPr="0049700C">
      <w:tab/>
    </w:r>
    <w:r w:rsidRPr="0049700C">
      <w:fldChar w:fldCharType="begin"/>
    </w:r>
    <w:r w:rsidRPr="0049700C">
      <w:instrText xml:space="preserve"> PAGE  \* MERGEFORMAT </w:instrText>
    </w:r>
    <w:r w:rsidRPr="0049700C">
      <w:fldChar w:fldCharType="separate"/>
    </w:r>
    <w:r w:rsidRPr="0049700C">
      <w:rPr>
        <w:noProof/>
      </w:rPr>
      <w:t>1</w:t>
    </w:r>
    <w:r w:rsidRPr="0049700C">
      <w:fldChar w:fldCharType="end"/>
    </w:r>
    <w:r w:rsidRPr="0049700C">
      <w:t>/</w:t>
    </w:r>
    <w:fldSimple w:instr=" NUMPAGES  \* MERGEFORMAT ">
      <w:r w:rsidRPr="0049700C">
        <w:rPr>
          <w:noProof/>
        </w:rPr>
        <w:t>1</w:t>
      </w:r>
    </w:fldSimple>
    <w:r w:rsidRPr="0049700C">
      <w:tab/>
    </w:r>
    <w:r w:rsidRPr="0049700C">
      <w:rPr>
        <w:rStyle w:val="HideTWBExt"/>
      </w:rPr>
      <w:t>&lt;PathFdR&gt;</w:t>
    </w:r>
    <w:r w:rsidRPr="0049700C">
      <w:t>RR\1339613BG.docx</w:t>
    </w:r>
    <w:r w:rsidRPr="0049700C">
      <w:rPr>
        <w:rStyle w:val="HideTWBExt"/>
      </w:rPr>
      <w:t>&lt;/PathFdR&gt;</w:t>
    </w:r>
  </w:p>
  <w:p w14:paraId="43E4072F" w14:textId="77777777" w:rsidR="00C3783B" w:rsidRPr="0049700C" w:rsidRDefault="00C3783B" w:rsidP="00AA776E">
    <w:pPr>
      <w:pStyle w:val="EPFooter2"/>
    </w:pPr>
    <w:r w:rsidRPr="0049700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C14A" w14:textId="77777777" w:rsidR="00C3783B" w:rsidRPr="0049700C" w:rsidRDefault="00C3783B" w:rsidP="00AA776E">
    <w:pPr>
      <w:pStyle w:val="EPFooter"/>
    </w:pPr>
    <w:r w:rsidRPr="0049700C">
      <w:rPr>
        <w:rStyle w:val="HideTWBExt"/>
      </w:rPr>
      <w:t>&lt;PathFdR&gt;</w:t>
    </w:r>
    <w:r w:rsidRPr="0049700C">
      <w:t>RR\1339613BG.docx</w:t>
    </w:r>
    <w:r w:rsidRPr="0049700C">
      <w:rPr>
        <w:rStyle w:val="HideTWBExt"/>
      </w:rPr>
      <w:t>&lt;/PathFdR&gt;</w:t>
    </w:r>
    <w:r w:rsidRPr="0049700C">
      <w:tab/>
    </w:r>
    <w:r w:rsidRPr="0049700C">
      <w:tab/>
      <w:t>PE</w:t>
    </w:r>
    <w:r w:rsidRPr="0049700C">
      <w:rPr>
        <w:rStyle w:val="HideTWBExt"/>
      </w:rPr>
      <w:t>&lt;NoPE&gt;</w:t>
    </w:r>
    <w:r w:rsidRPr="0049700C">
      <w:t>778.063</w:t>
    </w:r>
    <w:r w:rsidRPr="0049700C">
      <w:rPr>
        <w:rStyle w:val="HideTWBExt"/>
      </w:rPr>
      <w:t>&lt;/NoPE&gt;&lt;Version&gt;</w:t>
    </w:r>
    <w:r w:rsidRPr="0049700C">
      <w:t>v02-00</w:t>
    </w:r>
    <w:r w:rsidRPr="0049700C">
      <w:rPr>
        <w:rStyle w:val="HideTWBExt"/>
      </w:rPr>
      <w:t>&lt;/Version&gt;</w:t>
    </w:r>
  </w:p>
  <w:p w14:paraId="0B04324A" w14:textId="77777777" w:rsidR="00C3783B" w:rsidRPr="0049700C" w:rsidRDefault="00C3783B" w:rsidP="00AA776E">
    <w:pPr>
      <w:pStyle w:val="EPFooter2"/>
    </w:pPr>
    <w:r w:rsidRPr="0049700C">
      <w:t>BG</w:t>
    </w:r>
    <w:r w:rsidRPr="0049700C">
      <w:tab/>
    </w:r>
    <w:r w:rsidRPr="0049700C">
      <w:rPr>
        <w:b w:val="0"/>
        <w:i/>
        <w:color w:val="C0C0C0"/>
        <w:sz w:val="22"/>
      </w:rPr>
      <w:t>Единство в многообразието</w:t>
    </w:r>
    <w:r w:rsidRPr="0049700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DA3B" w14:textId="77777777" w:rsidR="00064002" w:rsidRPr="0049700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D1AC" w14:textId="77777777" w:rsidR="00064002" w:rsidRPr="0049700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B858" w14:textId="77777777" w:rsidR="00064002" w:rsidRPr="004970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FA497" w14:textId="77777777" w:rsidR="003C797D" w:rsidRPr="0049700C" w:rsidRDefault="003C797D">
      <w:r w:rsidRPr="0049700C">
        <w:separator/>
      </w:r>
    </w:p>
  </w:footnote>
  <w:footnote w:type="continuationSeparator" w:id="0">
    <w:p w14:paraId="3C8B1D3E" w14:textId="77777777" w:rsidR="003C797D" w:rsidRPr="0049700C" w:rsidRDefault="003C797D">
      <w:r w:rsidRPr="0049700C">
        <w:continuationSeparator/>
      </w:r>
    </w:p>
  </w:footnote>
  <w:footnote w:id="1">
    <w:p w14:paraId="1CCF7DE5" w14:textId="1097CC9E" w:rsidR="00C3783B" w:rsidRPr="0049700C" w:rsidRDefault="00C3783B" w:rsidP="0049700C">
      <w:pPr>
        <w:pStyle w:val="FootnoteText"/>
        <w:ind w:left="567" w:hanging="567"/>
        <w:rPr>
          <w:sz w:val="24"/>
          <w:lang w:val="bg-BG"/>
        </w:rPr>
      </w:pPr>
      <w:r w:rsidRPr="0049700C">
        <w:rPr>
          <w:rStyle w:val="FootnoteReference"/>
          <w:sz w:val="24"/>
          <w:lang w:val="bg-BG"/>
        </w:rPr>
        <w:footnoteRef/>
      </w:r>
      <w:r w:rsidR="0049700C" w:rsidRPr="0049700C">
        <w:rPr>
          <w:sz w:val="24"/>
          <w:lang w:val="bg-BG"/>
        </w:rPr>
        <w:t xml:space="preserve"> </w:t>
      </w:r>
      <w:r w:rsidR="0049700C" w:rsidRPr="0049700C">
        <w:rPr>
          <w:sz w:val="24"/>
          <w:lang w:val="bg-BG"/>
        </w:rPr>
        <w:tab/>
      </w:r>
      <w:r w:rsidRPr="0049700C">
        <w:rPr>
          <w:sz w:val="24"/>
          <w:lang w:val="bg-BG"/>
        </w:rPr>
        <w:t>ОВ L</w:t>
      </w:r>
      <w:r w:rsidR="00D5661C">
        <w:rPr>
          <w:sz w:val="24"/>
          <w:lang w:val="en-GB"/>
        </w:rPr>
        <w:t>,</w:t>
      </w:r>
      <w:r w:rsidRPr="0049700C">
        <w:rPr>
          <w:sz w:val="24"/>
          <w:lang w:val="bg-BG"/>
        </w:rPr>
        <w:t> </w:t>
      </w:r>
      <w:r w:rsidR="00D5661C">
        <w:rPr>
          <w:sz w:val="24"/>
          <w:lang w:val="en-GB"/>
        </w:rPr>
        <w:t>2024/</w:t>
      </w:r>
      <w:r w:rsidRPr="0049700C">
        <w:rPr>
          <w:sz w:val="24"/>
          <w:lang w:val="bg-BG"/>
        </w:rPr>
        <w:t xml:space="preserve">207, 22.2.2024 г., ELI: </w:t>
      </w:r>
      <w:hyperlink r:id="rId1" w:history="1">
        <w:r w:rsidRPr="0049700C">
          <w:rPr>
            <w:rStyle w:val="Hyperlink"/>
            <w:sz w:val="24"/>
            <w:lang w:val="bg-BG"/>
          </w:rPr>
          <w:t>http://data.europa.eu/eli/budget/2024/207/oj</w:t>
        </w:r>
      </w:hyperlink>
      <w:r w:rsidRPr="0049700C">
        <w:rPr>
          <w:sz w:val="24"/>
          <w:lang w:val="bg-BG"/>
        </w:rPr>
        <w:t>.</w:t>
      </w:r>
    </w:p>
  </w:footnote>
  <w:footnote w:id="2">
    <w:p w14:paraId="5F1D7755" w14:textId="52CFC90F" w:rsidR="00C3783B" w:rsidRPr="0049700C" w:rsidRDefault="00C3783B" w:rsidP="0049700C">
      <w:pPr>
        <w:pStyle w:val="FootnoteText"/>
        <w:ind w:left="567" w:hanging="567"/>
        <w:rPr>
          <w:sz w:val="24"/>
          <w:lang w:val="bg-BG"/>
        </w:rPr>
      </w:pPr>
      <w:r w:rsidRPr="0049700C">
        <w:rPr>
          <w:rStyle w:val="FootnoteReference"/>
          <w:sz w:val="24"/>
          <w:lang w:val="bg-BG"/>
        </w:rPr>
        <w:footnoteRef/>
      </w:r>
      <w:r w:rsidR="0049700C" w:rsidRPr="0049700C">
        <w:rPr>
          <w:sz w:val="24"/>
          <w:lang w:val="bg-BG"/>
        </w:rPr>
        <w:t xml:space="preserve"> </w:t>
      </w:r>
      <w:r w:rsidR="0049700C" w:rsidRPr="0049700C">
        <w:rPr>
          <w:sz w:val="24"/>
          <w:lang w:val="bg-BG"/>
        </w:rPr>
        <w:tab/>
      </w:r>
      <w:r w:rsidRPr="0049700C">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9700C">
          <w:rPr>
            <w:rStyle w:val="Hyperlink"/>
            <w:sz w:val="24"/>
            <w:lang w:val="bg-BG"/>
          </w:rPr>
          <w:t>http://data.europa.eu/eli/C/2025/4944/oj</w:t>
        </w:r>
      </w:hyperlink>
      <w:r w:rsidRPr="0049700C">
        <w:rPr>
          <w:sz w:val="24"/>
          <w:lang w:val="bg-BG"/>
        </w:rPr>
        <w:t>.</w:t>
      </w:r>
    </w:p>
  </w:footnote>
  <w:footnote w:id="3">
    <w:p w14:paraId="0877DA1D" w14:textId="11B1249A" w:rsidR="00C3783B" w:rsidRPr="0049700C" w:rsidRDefault="00C3783B" w:rsidP="0049700C">
      <w:pPr>
        <w:pStyle w:val="FootnoteText"/>
        <w:ind w:left="567" w:hanging="567"/>
        <w:rPr>
          <w:sz w:val="24"/>
          <w:lang w:val="bg-BG"/>
        </w:rPr>
      </w:pPr>
      <w:r w:rsidRPr="0049700C">
        <w:rPr>
          <w:rStyle w:val="FootnoteReference"/>
          <w:sz w:val="24"/>
          <w:lang w:val="bg-BG"/>
        </w:rPr>
        <w:footnoteRef/>
      </w:r>
      <w:r w:rsidR="0049700C" w:rsidRPr="0049700C">
        <w:rPr>
          <w:sz w:val="24"/>
          <w:lang w:val="bg-BG"/>
        </w:rPr>
        <w:t xml:space="preserve"> </w:t>
      </w:r>
      <w:r w:rsidR="0049700C" w:rsidRPr="0049700C">
        <w:rPr>
          <w:sz w:val="24"/>
          <w:lang w:val="bg-BG"/>
        </w:rPr>
        <w:tab/>
      </w:r>
      <w:r w:rsidRPr="0049700C">
        <w:rPr>
          <w:sz w:val="24"/>
          <w:lang w:val="bg-BG"/>
        </w:rPr>
        <w:t xml:space="preserve">ОВ C, C/2025/5409, 8.10.2025 г., ELI: </w:t>
      </w:r>
      <w:hyperlink r:id="rId3" w:history="1">
        <w:r w:rsidRPr="0049700C">
          <w:rPr>
            <w:rStyle w:val="Hyperlink"/>
            <w:sz w:val="24"/>
            <w:lang w:val="bg-BG"/>
          </w:rPr>
          <w:t>http://data.europa.eu/eli/C/2025/5409/oj</w:t>
        </w:r>
      </w:hyperlink>
      <w:r w:rsidRPr="0049700C">
        <w:rPr>
          <w:sz w:val="24"/>
          <w:lang w:val="bg-BG"/>
        </w:rPr>
        <w:t>.</w:t>
      </w:r>
    </w:p>
  </w:footnote>
  <w:footnote w:id="4">
    <w:p w14:paraId="78F74307" w14:textId="4CAEC2A8" w:rsidR="00C3783B" w:rsidRPr="0049700C" w:rsidRDefault="00C3783B" w:rsidP="0049700C">
      <w:pPr>
        <w:pStyle w:val="FootnoteText"/>
        <w:ind w:left="567" w:hanging="567"/>
        <w:rPr>
          <w:sz w:val="24"/>
          <w:lang w:val="bg-BG"/>
        </w:rPr>
      </w:pPr>
      <w:r w:rsidRPr="0049700C">
        <w:rPr>
          <w:rStyle w:val="FootnoteReference"/>
          <w:sz w:val="24"/>
          <w:lang w:val="bg-BG"/>
        </w:rPr>
        <w:footnoteRef/>
      </w:r>
      <w:r w:rsidR="0049700C" w:rsidRPr="0049700C">
        <w:rPr>
          <w:sz w:val="24"/>
          <w:lang w:val="bg-BG"/>
        </w:rPr>
        <w:t xml:space="preserve"> </w:t>
      </w:r>
      <w:r w:rsidR="0049700C" w:rsidRPr="0049700C">
        <w:rPr>
          <w:sz w:val="24"/>
          <w:lang w:val="bg-BG"/>
        </w:rPr>
        <w:tab/>
      </w:r>
      <w:r w:rsidRPr="0049700C">
        <w:rPr>
          <w:sz w:val="24"/>
          <w:lang w:val="bg-BG"/>
        </w:rPr>
        <w:t xml:space="preserve">ОВ C, C/2025/5407, 13.10.2025 г., ELI: </w:t>
      </w:r>
      <w:hyperlink r:id="rId4" w:history="1">
        <w:r w:rsidRPr="0049700C">
          <w:rPr>
            <w:rStyle w:val="Hyperlink"/>
            <w:sz w:val="24"/>
            <w:lang w:val="bg-BG"/>
          </w:rPr>
          <w:t>http://data.europa.eu/eli/C/2025/5407/oj</w:t>
        </w:r>
      </w:hyperlink>
      <w:r w:rsidRPr="0049700C">
        <w:rPr>
          <w:sz w:val="24"/>
          <w:lang w:val="bg-BG"/>
        </w:rPr>
        <w:t>.</w:t>
      </w:r>
    </w:p>
  </w:footnote>
  <w:footnote w:id="5">
    <w:p w14:paraId="40D36219" w14:textId="18917750" w:rsidR="00C3783B" w:rsidRPr="0049700C" w:rsidRDefault="00C3783B" w:rsidP="0049700C">
      <w:pPr>
        <w:pStyle w:val="FootnoteText"/>
        <w:ind w:left="567" w:hanging="567"/>
        <w:rPr>
          <w:sz w:val="24"/>
          <w:lang w:val="bg-BG"/>
        </w:rPr>
      </w:pPr>
      <w:r w:rsidRPr="0049700C">
        <w:rPr>
          <w:rStyle w:val="FootnoteReference"/>
          <w:sz w:val="24"/>
          <w:lang w:val="bg-BG"/>
        </w:rPr>
        <w:footnoteRef/>
      </w:r>
      <w:r w:rsidR="0049700C" w:rsidRPr="0049700C">
        <w:rPr>
          <w:sz w:val="24"/>
          <w:lang w:val="bg-BG"/>
        </w:rPr>
        <w:t xml:space="preserve"> </w:t>
      </w:r>
      <w:r w:rsidR="0049700C" w:rsidRPr="0049700C">
        <w:rPr>
          <w:sz w:val="24"/>
          <w:lang w:val="bg-BG"/>
        </w:rPr>
        <w:tab/>
      </w:r>
      <w:r w:rsidRPr="0049700C">
        <w:rPr>
          <w:sz w:val="24"/>
          <w:lang w:val="bg-BG"/>
        </w:rPr>
        <w:t xml:space="preserve">ОВ L 193, 30.7.2018 г., стр. 1, ELI: </w:t>
      </w:r>
      <w:hyperlink r:id="rId5" w:history="1">
        <w:r w:rsidRPr="0049700C">
          <w:rPr>
            <w:rStyle w:val="Hyperlink"/>
            <w:sz w:val="24"/>
            <w:lang w:val="bg-BG"/>
          </w:rPr>
          <w:t>http://data.europa.eu/eli/reg/2018/1046/oj</w:t>
        </w:r>
      </w:hyperlink>
      <w:r w:rsidRPr="0049700C">
        <w:rPr>
          <w:sz w:val="24"/>
          <w:lang w:val="bg-BG"/>
        </w:rPr>
        <w:t>.</w:t>
      </w:r>
    </w:p>
  </w:footnote>
  <w:footnote w:id="6">
    <w:p w14:paraId="08672AFB" w14:textId="14F7828F" w:rsidR="00C3783B" w:rsidRPr="0049700C" w:rsidRDefault="00C3783B" w:rsidP="0049700C">
      <w:pPr>
        <w:pStyle w:val="FootnoteText"/>
        <w:ind w:left="567" w:hanging="567"/>
        <w:rPr>
          <w:sz w:val="24"/>
          <w:szCs w:val="24"/>
          <w:lang w:val="bg-BG"/>
        </w:rPr>
      </w:pPr>
      <w:r w:rsidRPr="0049700C">
        <w:rPr>
          <w:rStyle w:val="FootnoteReference"/>
          <w:sz w:val="24"/>
          <w:lang w:val="bg-BG"/>
        </w:rPr>
        <w:footnoteRef/>
      </w:r>
      <w:r w:rsidR="0049700C" w:rsidRPr="0049700C">
        <w:rPr>
          <w:sz w:val="24"/>
          <w:lang w:val="bg-BG"/>
        </w:rPr>
        <w:t xml:space="preserve"> </w:t>
      </w:r>
      <w:r w:rsidR="0049700C" w:rsidRPr="0049700C">
        <w:rPr>
          <w:sz w:val="24"/>
          <w:lang w:val="bg-BG"/>
        </w:rPr>
        <w:tab/>
      </w:r>
      <w:r w:rsidRPr="0049700C">
        <w:rPr>
          <w:sz w:val="24"/>
          <w:lang w:val="bg-BG"/>
        </w:rPr>
        <w:t xml:space="preserve">ОВ L, 2024/2509, 26.9.2024 г., ELI: </w:t>
      </w:r>
      <w:hyperlink r:id="rId6" w:history="1">
        <w:r w:rsidRPr="0049700C">
          <w:rPr>
            <w:rStyle w:val="Hyperlink"/>
            <w:sz w:val="24"/>
            <w:lang w:val="bg-BG"/>
          </w:rPr>
          <w:t>http://data.europa.eu/eli/reg/2024/2509/oj</w:t>
        </w:r>
      </w:hyperlink>
      <w:r w:rsidRPr="0049700C">
        <w:rPr>
          <w:sz w:val="24"/>
          <w:lang w:val="bg-BG"/>
        </w:rPr>
        <w:t>.</w:t>
      </w:r>
    </w:p>
  </w:footnote>
  <w:footnote w:id="7">
    <w:p w14:paraId="105FEBC3" w14:textId="33415B86" w:rsidR="00C3783B" w:rsidRPr="0049700C" w:rsidRDefault="00C3783B" w:rsidP="0049700C">
      <w:pPr>
        <w:pStyle w:val="FootnoteText"/>
        <w:ind w:left="567" w:hanging="567"/>
        <w:rPr>
          <w:sz w:val="24"/>
          <w:lang w:val="bg-BG"/>
        </w:rPr>
      </w:pPr>
      <w:r w:rsidRPr="0049700C">
        <w:rPr>
          <w:rStyle w:val="FootnoteReference"/>
          <w:sz w:val="24"/>
          <w:lang w:val="bg-BG"/>
        </w:rPr>
        <w:footnoteRef/>
      </w:r>
      <w:r w:rsidR="0049700C" w:rsidRPr="0049700C">
        <w:rPr>
          <w:color w:val="333333"/>
          <w:sz w:val="24"/>
          <w:shd w:val="clear" w:color="auto" w:fill="FFFFFF"/>
          <w:lang w:val="bg-BG"/>
        </w:rPr>
        <w:t xml:space="preserve"> </w:t>
      </w:r>
      <w:r w:rsidR="0049700C" w:rsidRPr="0049700C">
        <w:rPr>
          <w:color w:val="333333"/>
          <w:sz w:val="24"/>
          <w:shd w:val="clear" w:color="auto" w:fill="FFFFFF"/>
          <w:lang w:val="bg-BG"/>
        </w:rPr>
        <w:tab/>
      </w:r>
      <w:r w:rsidRPr="0049700C">
        <w:rPr>
          <w:color w:val="333333"/>
          <w:sz w:val="24"/>
          <w:shd w:val="clear" w:color="auto" w:fill="FFFFFF"/>
          <w:lang w:val="bg-BG"/>
        </w:rP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ELI: </w:t>
      </w:r>
      <w:hyperlink r:id="rId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9700C">
          <w:rPr>
            <w:rStyle w:val="Hyperlink"/>
            <w:sz w:val="24"/>
            <w:shd w:val="clear" w:color="auto" w:fill="FFFFFF"/>
            <w:lang w:val="bg-BG"/>
          </w:rPr>
          <w:t>http://data.europa.eu/eli/reg/2023/2841/oj</w:t>
        </w:r>
      </w:hyperlink>
      <w:r w:rsidRPr="0049700C">
        <w:rPr>
          <w:color w:val="333333"/>
          <w:sz w:val="24"/>
          <w:shd w:val="clear" w:color="auto" w:fill="FFFF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1140" w14:textId="77777777" w:rsidR="00064002" w:rsidRPr="004970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741E" w14:textId="77777777" w:rsidR="00064002" w:rsidRPr="004970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F82E" w14:textId="77777777" w:rsidR="00064002" w:rsidRPr="004970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0658512">
    <w:abstractNumId w:val="9"/>
  </w:num>
  <w:num w:numId="2" w16cid:durableId="532428551">
    <w:abstractNumId w:val="9"/>
  </w:num>
  <w:num w:numId="3" w16cid:durableId="1485126834">
    <w:abstractNumId w:val="7"/>
  </w:num>
  <w:num w:numId="4" w16cid:durableId="1849709228">
    <w:abstractNumId w:val="7"/>
  </w:num>
  <w:num w:numId="5" w16cid:durableId="2121409997">
    <w:abstractNumId w:val="6"/>
  </w:num>
  <w:num w:numId="6" w16cid:durableId="545145203">
    <w:abstractNumId w:val="6"/>
  </w:num>
  <w:num w:numId="7" w16cid:durableId="2135826639">
    <w:abstractNumId w:val="5"/>
  </w:num>
  <w:num w:numId="8" w16cid:durableId="207449783">
    <w:abstractNumId w:val="5"/>
  </w:num>
  <w:num w:numId="9" w16cid:durableId="1166554561">
    <w:abstractNumId w:val="4"/>
  </w:num>
  <w:num w:numId="10" w16cid:durableId="1120491008">
    <w:abstractNumId w:val="4"/>
  </w:num>
  <w:num w:numId="11" w16cid:durableId="2035887953">
    <w:abstractNumId w:val="8"/>
  </w:num>
  <w:num w:numId="12" w16cid:durableId="1356812788">
    <w:abstractNumId w:val="8"/>
  </w:num>
  <w:num w:numId="13" w16cid:durableId="1405955065">
    <w:abstractNumId w:val="3"/>
  </w:num>
  <w:num w:numId="14" w16cid:durableId="189803637">
    <w:abstractNumId w:val="3"/>
  </w:num>
  <w:num w:numId="15" w16cid:durableId="1193305505">
    <w:abstractNumId w:val="2"/>
  </w:num>
  <w:num w:numId="16" w16cid:durableId="1890801443">
    <w:abstractNumId w:val="2"/>
  </w:num>
  <w:num w:numId="17" w16cid:durableId="261383422">
    <w:abstractNumId w:val="1"/>
  </w:num>
  <w:num w:numId="18" w16cid:durableId="466241630">
    <w:abstractNumId w:val="1"/>
  </w:num>
  <w:num w:numId="19" w16cid:durableId="183401584">
    <w:abstractNumId w:val="0"/>
  </w:num>
  <w:num w:numId="20" w16cid:durableId="1583029095">
    <w:abstractNumId w:val="0"/>
  </w:num>
  <w:num w:numId="21" w16cid:durableId="1156803736">
    <w:abstractNumId w:val="9"/>
  </w:num>
  <w:num w:numId="22" w16cid:durableId="1380016373">
    <w:abstractNumId w:val="7"/>
  </w:num>
  <w:num w:numId="23" w16cid:durableId="808479868">
    <w:abstractNumId w:val="6"/>
  </w:num>
  <w:num w:numId="24" w16cid:durableId="119106133">
    <w:abstractNumId w:val="5"/>
  </w:num>
  <w:num w:numId="25" w16cid:durableId="1017465324">
    <w:abstractNumId w:val="4"/>
  </w:num>
  <w:num w:numId="26" w16cid:durableId="238448284">
    <w:abstractNumId w:val="8"/>
  </w:num>
  <w:num w:numId="27" w16cid:durableId="137495581">
    <w:abstractNumId w:val="3"/>
  </w:num>
  <w:num w:numId="28" w16cid:durableId="527302855">
    <w:abstractNumId w:val="2"/>
  </w:num>
  <w:num w:numId="29" w16cid:durableId="1575045740">
    <w:abstractNumId w:val="1"/>
  </w:num>
  <w:num w:numId="30" w16cid:durableId="160589125">
    <w:abstractNumId w:val="0"/>
  </w:num>
  <w:num w:numId="31" w16cid:durableId="1211839322">
    <w:abstractNumId w:val="9"/>
  </w:num>
  <w:num w:numId="32" w16cid:durableId="1308389771">
    <w:abstractNumId w:val="7"/>
  </w:num>
  <w:num w:numId="33" w16cid:durableId="1650591730">
    <w:abstractNumId w:val="6"/>
  </w:num>
  <w:num w:numId="34" w16cid:durableId="2099132901">
    <w:abstractNumId w:val="5"/>
  </w:num>
  <w:num w:numId="35" w16cid:durableId="1118061858">
    <w:abstractNumId w:val="4"/>
  </w:num>
  <w:num w:numId="36" w16cid:durableId="1892616522">
    <w:abstractNumId w:val="8"/>
  </w:num>
  <w:num w:numId="37" w16cid:durableId="853616046">
    <w:abstractNumId w:val="3"/>
  </w:num>
  <w:num w:numId="38" w16cid:durableId="80492152">
    <w:abstractNumId w:val="2"/>
  </w:num>
  <w:num w:numId="39" w16cid:durableId="552156426">
    <w:abstractNumId w:val="1"/>
  </w:num>
  <w:num w:numId="40" w16cid:durableId="1158886604">
    <w:abstractNumId w:val="0"/>
  </w:num>
  <w:num w:numId="41" w16cid:durableId="1087579747">
    <w:abstractNumId w:val="10"/>
  </w:num>
  <w:num w:numId="42" w16cid:durableId="393432166">
    <w:abstractNumId w:val="10"/>
  </w:num>
  <w:num w:numId="43" w16cid:durableId="335692206">
    <w:abstractNumId w:val="10"/>
  </w:num>
  <w:num w:numId="44" w16cid:durableId="1792165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BG"/>
    <w:docVar w:name="dvnumam" w:val="0"/>
    <w:docVar w:name="dvpe" w:val="778.063"/>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VI ‒ Европейски икономически и социален комитет(2025/2151(DEC))"/>
  </w:docVars>
  <w:rsids>
    <w:rsidRoot w:val="003C797D"/>
    <w:rsid w:val="00002272"/>
    <w:rsid w:val="00064002"/>
    <w:rsid w:val="000677B9"/>
    <w:rsid w:val="000831BA"/>
    <w:rsid w:val="00085E52"/>
    <w:rsid w:val="000A42CC"/>
    <w:rsid w:val="000E7DD9"/>
    <w:rsid w:val="0010095E"/>
    <w:rsid w:val="00125B37"/>
    <w:rsid w:val="0016461C"/>
    <w:rsid w:val="00187494"/>
    <w:rsid w:val="001F32AE"/>
    <w:rsid w:val="002767FF"/>
    <w:rsid w:val="002B18FE"/>
    <w:rsid w:val="002B5493"/>
    <w:rsid w:val="002B5734"/>
    <w:rsid w:val="00343214"/>
    <w:rsid w:val="00361C00"/>
    <w:rsid w:val="00395FA1"/>
    <w:rsid w:val="003C797D"/>
    <w:rsid w:val="003E15D4"/>
    <w:rsid w:val="00411CCE"/>
    <w:rsid w:val="0041666E"/>
    <w:rsid w:val="00421060"/>
    <w:rsid w:val="00471C19"/>
    <w:rsid w:val="004867E3"/>
    <w:rsid w:val="00494A28"/>
    <w:rsid w:val="0049700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715"/>
    <w:rsid w:val="00734777"/>
    <w:rsid w:val="00747932"/>
    <w:rsid w:val="00751A4A"/>
    <w:rsid w:val="00756632"/>
    <w:rsid w:val="00762C74"/>
    <w:rsid w:val="00780DF7"/>
    <w:rsid w:val="00786EC0"/>
    <w:rsid w:val="007D1690"/>
    <w:rsid w:val="007E22AD"/>
    <w:rsid w:val="00817416"/>
    <w:rsid w:val="008252F2"/>
    <w:rsid w:val="00842779"/>
    <w:rsid w:val="00865F67"/>
    <w:rsid w:val="00881A7B"/>
    <w:rsid w:val="008840E5"/>
    <w:rsid w:val="00887B3E"/>
    <w:rsid w:val="008A3B62"/>
    <w:rsid w:val="008C2AC6"/>
    <w:rsid w:val="00930C23"/>
    <w:rsid w:val="0093193B"/>
    <w:rsid w:val="009509D8"/>
    <w:rsid w:val="00950B64"/>
    <w:rsid w:val="00981893"/>
    <w:rsid w:val="00A1687D"/>
    <w:rsid w:val="00A43E52"/>
    <w:rsid w:val="00A4678D"/>
    <w:rsid w:val="00A47EC8"/>
    <w:rsid w:val="00A778C7"/>
    <w:rsid w:val="00AB441E"/>
    <w:rsid w:val="00AB6293"/>
    <w:rsid w:val="00AE0928"/>
    <w:rsid w:val="00AF3B82"/>
    <w:rsid w:val="00B12E95"/>
    <w:rsid w:val="00B22876"/>
    <w:rsid w:val="00B558F0"/>
    <w:rsid w:val="00B73939"/>
    <w:rsid w:val="00BC0DA7"/>
    <w:rsid w:val="00BD48FE"/>
    <w:rsid w:val="00BD7BD8"/>
    <w:rsid w:val="00BE6ADC"/>
    <w:rsid w:val="00C05BFE"/>
    <w:rsid w:val="00C23CD4"/>
    <w:rsid w:val="00C3783B"/>
    <w:rsid w:val="00C61C0C"/>
    <w:rsid w:val="00C941CB"/>
    <w:rsid w:val="00CA6AB8"/>
    <w:rsid w:val="00CC2357"/>
    <w:rsid w:val="00CF071A"/>
    <w:rsid w:val="00D058B8"/>
    <w:rsid w:val="00D5661C"/>
    <w:rsid w:val="00D56C11"/>
    <w:rsid w:val="00D834A0"/>
    <w:rsid w:val="00D872DF"/>
    <w:rsid w:val="00D91E21"/>
    <w:rsid w:val="00DA7FCD"/>
    <w:rsid w:val="00DD5C6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D6F55"/>
  <w15:chartTrackingRefBased/>
  <w15:docId w15:val="{02E3864A-2A34-4ACD-B81F-065CB311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783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783B"/>
    <w:pPr>
      <w:spacing w:before="480" w:after="240"/>
    </w:pPr>
  </w:style>
  <w:style w:type="paragraph" w:customStyle="1" w:styleId="PageHeading">
    <w:name w:val="PageHeading"/>
    <w:basedOn w:val="Normal"/>
    <w:rsid w:val="00C3783B"/>
    <w:pPr>
      <w:keepNext/>
      <w:spacing w:after="480"/>
      <w:jc w:val="center"/>
    </w:pPr>
    <w:rPr>
      <w:rFonts w:ascii="Arial" w:hAnsi="Arial" w:cs="Arial"/>
      <w:b/>
    </w:rPr>
  </w:style>
  <w:style w:type="paragraph" w:customStyle="1" w:styleId="NormalBold">
    <w:name w:val="NormalBold"/>
    <w:basedOn w:val="Normal"/>
    <w:rsid w:val="00C3783B"/>
    <w:rPr>
      <w:b/>
    </w:rPr>
  </w:style>
  <w:style w:type="paragraph" w:customStyle="1" w:styleId="NormalHanging12a">
    <w:name w:val="NormalHanging12a"/>
    <w:basedOn w:val="Normal"/>
    <w:link w:val="NormalHanging12aChar"/>
    <w:rsid w:val="00C3783B"/>
    <w:pPr>
      <w:spacing w:after="240"/>
      <w:ind w:left="567" w:hanging="567"/>
    </w:pPr>
  </w:style>
  <w:style w:type="paragraph" w:styleId="Header">
    <w:name w:val="header"/>
    <w:basedOn w:val="Normal"/>
    <w:link w:val="HeaderChar"/>
    <w:rsid w:val="00C3783B"/>
    <w:pPr>
      <w:tabs>
        <w:tab w:val="center" w:pos="4513"/>
        <w:tab w:val="right" w:pos="9026"/>
      </w:tabs>
    </w:pPr>
  </w:style>
  <w:style w:type="character" w:customStyle="1" w:styleId="HeaderChar">
    <w:name w:val="Header Char"/>
    <w:basedOn w:val="DefaultParagraphFont"/>
    <w:link w:val="Header"/>
    <w:rsid w:val="00C3783B"/>
    <w:rPr>
      <w:sz w:val="24"/>
      <w:lang w:val="bg-BG"/>
    </w:rPr>
  </w:style>
  <w:style w:type="paragraph" w:customStyle="1" w:styleId="EPFooter">
    <w:name w:val="EPFooter"/>
    <w:basedOn w:val="Normal"/>
    <w:rsid w:val="00C3783B"/>
    <w:pPr>
      <w:tabs>
        <w:tab w:val="center" w:pos="4535"/>
        <w:tab w:val="right" w:pos="9071"/>
      </w:tabs>
      <w:spacing w:before="240" w:after="240"/>
    </w:pPr>
    <w:rPr>
      <w:color w:val="010000"/>
      <w:sz w:val="22"/>
    </w:rPr>
  </w:style>
  <w:style w:type="character" w:styleId="Hyperlink">
    <w:name w:val="Hyperlink"/>
    <w:basedOn w:val="DefaultParagraphFont"/>
    <w:rsid w:val="00C3783B"/>
    <w:rPr>
      <w:color w:val="0563C1" w:themeColor="hyperlink"/>
      <w:u w:val="single"/>
    </w:rPr>
  </w:style>
  <w:style w:type="character" w:customStyle="1" w:styleId="NormalHanging12aChar">
    <w:name w:val="NormalHanging12a Char"/>
    <w:basedOn w:val="DefaultParagraphFont"/>
    <w:link w:val="NormalHanging12a"/>
    <w:rsid w:val="00C3783B"/>
    <w:rPr>
      <w:sz w:val="24"/>
      <w:lang w:val="bg-BG"/>
    </w:rPr>
  </w:style>
  <w:style w:type="paragraph" w:styleId="Revision">
    <w:name w:val="Revision"/>
    <w:hidden/>
    <w:uiPriority w:val="99"/>
    <w:semiHidden/>
    <w:rsid w:val="00BC0DA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9918</Words>
  <Characters>56539</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2026-05-05T09:23:00Z</dcterms:created>
  <dcterms:modified xsi:type="dcterms:W3CDTF">2026-05-05T09:23:00Z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P10_TA(2026)0131_</vt:lpwstr>
  </property>
  <property fmtid="{D5CDD505-2E9C-101B-9397-08002B2CF9AE}" pid="4" name="&lt;Type&gt;">
    <vt:lpwstr>RR</vt:lpwstr>
  </property>
</Properties>
</file>