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F33DB" w14:paraId="104D2B25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69C9138" w14:textId="77777777" w:rsidR="00751A4A" w:rsidRPr="00FF33DB" w:rsidRDefault="001C2D10" w:rsidP="0010095E">
            <w:pPr>
              <w:pStyle w:val="EPName"/>
            </w:pPr>
            <w:r w:rsidRPr="00FF33DB">
              <w:t>Evropský parlament</w:t>
            </w:r>
          </w:p>
          <w:p w14:paraId="1F7C11FF" w14:textId="77777777" w:rsidR="00751A4A" w:rsidRPr="00FF33DB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F33DB">
              <w:t>2024</w:t>
            </w:r>
            <w:r w:rsidR="00817416" w:rsidRPr="00FF33DB">
              <w:t>-202</w:t>
            </w:r>
            <w:r w:rsidRPr="00FF33DB">
              <w:t>9</w:t>
            </w:r>
          </w:p>
        </w:tc>
        <w:tc>
          <w:tcPr>
            <w:tcW w:w="2268" w:type="dxa"/>
            <w:shd w:val="clear" w:color="auto" w:fill="auto"/>
          </w:tcPr>
          <w:p w14:paraId="75CB38C1" w14:textId="77777777" w:rsidR="00751A4A" w:rsidRPr="00FF33DB" w:rsidRDefault="00187494" w:rsidP="0010095E">
            <w:pPr>
              <w:pStyle w:val="EPLogo"/>
            </w:pPr>
            <w:r w:rsidRPr="00FF33DB">
              <w:rPr>
                <w:noProof/>
                <w:lang w:eastAsia="ja-JP"/>
              </w:rPr>
              <w:drawing>
                <wp:inline distT="0" distB="0" distL="0" distR="0" wp14:anchorId="4B6C3F11" wp14:editId="12BC50A9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B7CD49F" w14:textId="77777777" w:rsidR="00D058B8" w:rsidRPr="00FF33DB" w:rsidRDefault="00D058B8" w:rsidP="004C5D52">
      <w:pPr>
        <w:pStyle w:val="LineTop"/>
      </w:pPr>
    </w:p>
    <w:p w14:paraId="7EF5E213" w14:textId="77777777" w:rsidR="00680577" w:rsidRPr="00FF33DB" w:rsidRDefault="001C2D10" w:rsidP="00680577">
      <w:pPr>
        <w:pStyle w:val="EPBodyTA1"/>
      </w:pPr>
      <w:r w:rsidRPr="00FF33DB">
        <w:t>PŘIJATÉ TEXTY</w:t>
      </w:r>
    </w:p>
    <w:p w14:paraId="39EEFF18" w14:textId="77777777" w:rsidR="00D058B8" w:rsidRPr="00FF33DB" w:rsidRDefault="00D058B8" w:rsidP="00D058B8">
      <w:pPr>
        <w:pStyle w:val="LineBottom"/>
      </w:pPr>
    </w:p>
    <w:p w14:paraId="20BD0FDE" w14:textId="3D07E21D" w:rsidR="001C2D10" w:rsidRPr="00FF33DB" w:rsidRDefault="001C2D10" w:rsidP="001C2D10">
      <w:pPr>
        <w:pStyle w:val="ATHeading1"/>
      </w:pPr>
      <w:bookmarkStart w:id="0" w:name="TANumber"/>
      <w:r w:rsidRPr="00FF33DB">
        <w:t>P10_TA(2026)0</w:t>
      </w:r>
      <w:r w:rsidR="004621D3">
        <w:t>131</w:t>
      </w:r>
      <w:bookmarkEnd w:id="0"/>
    </w:p>
    <w:p w14:paraId="10166A74" w14:textId="77777777" w:rsidR="001C2D10" w:rsidRPr="00FF33DB" w:rsidRDefault="001C2D10" w:rsidP="001C2D10">
      <w:pPr>
        <w:pStyle w:val="ATHeading2"/>
      </w:pPr>
      <w:bookmarkStart w:id="1" w:name="title"/>
      <w:r w:rsidRPr="00FF33DB">
        <w:t>Udělení absolutoria za rok 2024: souhrnný rozpočet EU – Evropský hospodářský a sociální výbor</w:t>
      </w:r>
      <w:bookmarkEnd w:id="1"/>
    </w:p>
    <w:p w14:paraId="46FE9D76" w14:textId="77777777" w:rsidR="001C2D10" w:rsidRPr="00FF33DB" w:rsidRDefault="001C2D10" w:rsidP="001C2D10">
      <w:pPr>
        <w:rPr>
          <w:i/>
          <w:vanish/>
        </w:rPr>
      </w:pPr>
      <w:r w:rsidRPr="00FF33DB">
        <w:rPr>
          <w:i/>
        </w:rPr>
        <w:fldChar w:fldCharType="begin"/>
      </w:r>
      <w:r w:rsidRPr="00FF33DB">
        <w:rPr>
          <w:i/>
        </w:rPr>
        <w:instrText xml:space="preserve"> TC"(</w:instrText>
      </w:r>
      <w:bookmarkStart w:id="2" w:name="DocNumber"/>
      <w:r w:rsidRPr="00FF33DB">
        <w:rPr>
          <w:i/>
        </w:rPr>
        <w:instrText>A10-0059/2026</w:instrText>
      </w:r>
      <w:bookmarkEnd w:id="2"/>
      <w:r w:rsidRPr="00FF33DB">
        <w:rPr>
          <w:i/>
        </w:rPr>
        <w:instrText xml:space="preserve"> - Zpravodaj: Pasquale Tridico)"\l3 \n&gt; \* MERGEFORMAT </w:instrText>
      </w:r>
      <w:r w:rsidRPr="00FF33DB">
        <w:rPr>
          <w:i/>
        </w:rPr>
        <w:fldChar w:fldCharType="end"/>
      </w:r>
    </w:p>
    <w:p w14:paraId="30EB8FFC" w14:textId="77777777" w:rsidR="001C2D10" w:rsidRPr="00FF33DB" w:rsidRDefault="001C2D10" w:rsidP="001C2D10">
      <w:pPr>
        <w:rPr>
          <w:vanish/>
        </w:rPr>
      </w:pPr>
      <w:bookmarkStart w:id="3" w:name="Commission"/>
      <w:r w:rsidRPr="00FF33DB">
        <w:rPr>
          <w:vanish/>
        </w:rPr>
        <w:t>Výbor pro rozpočtovou kontrolu</w:t>
      </w:r>
      <w:bookmarkEnd w:id="3"/>
    </w:p>
    <w:p w14:paraId="57FF8166" w14:textId="77777777" w:rsidR="001C2D10" w:rsidRPr="00FF33DB" w:rsidRDefault="001C2D10" w:rsidP="001C2D10">
      <w:pPr>
        <w:rPr>
          <w:vanish/>
        </w:rPr>
      </w:pPr>
      <w:bookmarkStart w:id="4" w:name="PE"/>
      <w:r w:rsidRPr="00FF33DB">
        <w:rPr>
          <w:vanish/>
        </w:rPr>
        <w:t>PE778.063</w:t>
      </w:r>
      <w:bookmarkEnd w:id="4"/>
    </w:p>
    <w:p w14:paraId="00141182" w14:textId="0CC323B2" w:rsidR="001C2D10" w:rsidRPr="00FF33DB" w:rsidRDefault="00FF33DB" w:rsidP="001C2D10">
      <w:pPr>
        <w:pStyle w:val="ATHeading3"/>
      </w:pPr>
      <w:bookmarkStart w:id="5" w:name="Sujet"/>
      <w:r w:rsidRPr="00FF33DB">
        <w:t xml:space="preserve">1. </w:t>
      </w:r>
      <w:r w:rsidR="001C2D10" w:rsidRPr="00FF33DB">
        <w:t>Rozhodnutí Evropského parlamentu ze dne 29. dubna 2026 o udělení absolutoria za plnění souhrnného rozpočtu Evropské unie na rozpočtový rok 2024, oddíl VI – Evropský hospodářský a sociální výbor</w:t>
      </w:r>
      <w:bookmarkEnd w:id="5"/>
      <w:r w:rsidR="001C2D10" w:rsidRPr="00FF33DB">
        <w:t xml:space="preserve"> </w:t>
      </w:r>
      <w:bookmarkStart w:id="6" w:name="References"/>
      <w:r w:rsidR="001C2D10" w:rsidRPr="00FF33DB">
        <w:t>(2025/2151(DEC))</w:t>
      </w:r>
      <w:bookmarkEnd w:id="6"/>
    </w:p>
    <w:p w14:paraId="322A6DCB" w14:textId="77777777" w:rsidR="00B77033" w:rsidRPr="00FF33DB" w:rsidRDefault="00B77033" w:rsidP="00B77033">
      <w:pPr>
        <w:pStyle w:val="EPComma"/>
      </w:pPr>
      <w:bookmarkStart w:id="7" w:name="TextBodyBegin"/>
      <w:bookmarkEnd w:id="7"/>
      <w:r w:rsidRPr="00FF33DB">
        <w:rPr>
          <w:i/>
        </w:rPr>
        <w:t>Evropský parlament</w:t>
      </w:r>
      <w:r w:rsidRPr="00FF33DB">
        <w:t>,</w:t>
      </w:r>
    </w:p>
    <w:p w14:paraId="20C2E15C" w14:textId="77777777" w:rsidR="00B77033" w:rsidRPr="00FF33DB" w:rsidRDefault="00B77033" w:rsidP="00FF33DB">
      <w:pPr>
        <w:pStyle w:val="NormalHanging12a"/>
      </w:pPr>
      <w:r w:rsidRPr="00FF33DB">
        <w:t>–</w:t>
      </w:r>
      <w:r w:rsidRPr="00FF33DB">
        <w:tab/>
        <w:t>s ohledem na souhrnný rozpočet Evropské unie na rozpočtový rok 2024</w:t>
      </w:r>
      <w:r w:rsidRPr="00FF33DB">
        <w:rPr>
          <w:rStyle w:val="FootnoteReference"/>
        </w:rPr>
        <w:footnoteReference w:id="1"/>
      </w:r>
      <w:r w:rsidRPr="00FF33DB">
        <w:t>,</w:t>
      </w:r>
    </w:p>
    <w:p w14:paraId="6F4C4D60" w14:textId="77777777" w:rsidR="00B77033" w:rsidRPr="00FF33DB" w:rsidRDefault="00B77033" w:rsidP="00FF33DB">
      <w:pPr>
        <w:pStyle w:val="NormalHanging12a"/>
      </w:pPr>
      <w:r w:rsidRPr="00FF33DB">
        <w:t>–</w:t>
      </w:r>
      <w:r w:rsidRPr="00FF33DB">
        <w:tab/>
        <w:t>s ohledem na konsolidovanou roční účetní závěrku Evropské unie za rozpočtový rok 2024 (</w:t>
      </w:r>
      <w:proofErr w:type="gramStart"/>
      <w:r w:rsidRPr="00FF33DB">
        <w:t>COM(</w:t>
      </w:r>
      <w:proofErr w:type="gramEnd"/>
      <w:r w:rsidRPr="00FF33DB">
        <w:t>2025)0359 – C10</w:t>
      </w:r>
      <w:r w:rsidRPr="00FF33DB">
        <w:noBreakHyphen/>
        <w:t>0150/2025)</w:t>
      </w:r>
      <w:r w:rsidRPr="00FF33DB">
        <w:rPr>
          <w:rStyle w:val="FootnoteReference"/>
        </w:rPr>
        <w:footnoteReference w:id="2"/>
      </w:r>
      <w:r w:rsidRPr="00FF33DB">
        <w:t>,</w:t>
      </w:r>
    </w:p>
    <w:p w14:paraId="5D415C9A" w14:textId="77777777" w:rsidR="00B77033" w:rsidRPr="00FF33DB" w:rsidRDefault="00B77033" w:rsidP="00FF33DB">
      <w:pPr>
        <w:pStyle w:val="NormalHanging12a"/>
      </w:pPr>
      <w:r w:rsidRPr="00FF33DB">
        <w:t>–</w:t>
      </w:r>
      <w:r w:rsidRPr="00FF33DB">
        <w:tab/>
        <w:t>s ohledem na výroční zprávu Evropského hospodářského a sociálního výboru předkládanou orgánu udělujícímu absolutorium o interních auditech provedených v roce 2024,</w:t>
      </w:r>
    </w:p>
    <w:p w14:paraId="2F8A5C2F" w14:textId="77777777" w:rsidR="00B77033" w:rsidRPr="00FF33DB" w:rsidRDefault="00B77033" w:rsidP="00FF33DB">
      <w:pPr>
        <w:pStyle w:val="NormalHanging12a"/>
      </w:pPr>
      <w:r w:rsidRPr="00FF33DB">
        <w:t>–</w:t>
      </w:r>
      <w:r w:rsidRPr="00FF33DB">
        <w:tab/>
        <w:t>s ohledem na výroční zprávu Účetního dvora o plnění rozpočtu na rozpočtový rok 2024 spolu s odpověďmi orgánů</w:t>
      </w:r>
      <w:r w:rsidRPr="00FF33DB">
        <w:rPr>
          <w:rStyle w:val="FootnoteReference"/>
        </w:rPr>
        <w:footnoteReference w:id="3"/>
      </w:r>
      <w:r w:rsidRPr="00FF33DB">
        <w:t>,</w:t>
      </w:r>
    </w:p>
    <w:p w14:paraId="69FF418D" w14:textId="77777777" w:rsidR="00B77033" w:rsidRPr="00FF33DB" w:rsidRDefault="00B77033" w:rsidP="00FF33DB">
      <w:pPr>
        <w:pStyle w:val="NormalHanging12a"/>
      </w:pPr>
      <w:r w:rsidRPr="00FF33DB">
        <w:t>–</w:t>
      </w:r>
      <w:r w:rsidRPr="00FF33DB">
        <w:tab/>
        <w:t>s ohledem na prohlášení o věrohodnosti</w:t>
      </w:r>
      <w:r w:rsidRPr="00FF33DB">
        <w:rPr>
          <w:rStyle w:val="FootnoteReference"/>
        </w:rPr>
        <w:footnoteReference w:id="4"/>
      </w:r>
      <w:r w:rsidRPr="00FF33DB">
        <w:t xml:space="preserve"> účetnictví a o legalitě a správnosti uskutečněných operací, které předložil Účetní dvůr za rozpočtový rok 2024 podle článku 287 Smlouvy o fungování Evropské unie,</w:t>
      </w:r>
    </w:p>
    <w:p w14:paraId="0082AD32" w14:textId="77777777" w:rsidR="00B77033" w:rsidRPr="00FF33DB" w:rsidRDefault="00B77033" w:rsidP="00FF33DB">
      <w:pPr>
        <w:pStyle w:val="NormalHanging12a"/>
      </w:pPr>
      <w:r w:rsidRPr="00FF33DB">
        <w:t>–</w:t>
      </w:r>
      <w:r w:rsidRPr="00FF33DB">
        <w:tab/>
        <w:t>s ohledem na čl. 314 odst. 10 a články 317, 318 a 319 Smlouvy o fungování Evropské unie,</w:t>
      </w:r>
    </w:p>
    <w:p w14:paraId="303B0B04" w14:textId="77777777" w:rsidR="00B77033" w:rsidRPr="00FF33DB" w:rsidRDefault="00B77033" w:rsidP="00FF33DB">
      <w:pPr>
        <w:pStyle w:val="NormalHanging12a"/>
      </w:pPr>
      <w:r w:rsidRPr="00FF33DB">
        <w:t>–</w:t>
      </w:r>
      <w:r w:rsidRPr="00FF33DB">
        <w:tab/>
        <w:t xml:space="preserve">s ohledem na nařízení Evropského parlamentu a Rady (EU, Euratom) 2018/1046 ze dne 18. července 2018, kterým se stanoví finanční pravidla pro souhrnný rozpočet Unie, mění nařízení (EU) č. 1296/2013, (EU) č. 1301/2013, (EU) č. 1303/2013, (EU) č. 1304/2013, (EU) č. 1309/2013, (EU) č. 1316/2013, (EU) č. 223/2014 a (EU) č. </w:t>
      </w:r>
      <w:r w:rsidRPr="00FF33DB">
        <w:lastRenderedPageBreak/>
        <w:t>283/2014 a rozhodnutí č. 541/2014/EU a zrušuje nařízení (EU, Euratom) č. 966/2012</w:t>
      </w:r>
      <w:r w:rsidRPr="00FF33DB">
        <w:rPr>
          <w:rStyle w:val="FootnoteReference"/>
        </w:rPr>
        <w:footnoteReference w:id="5"/>
      </w:r>
      <w:r w:rsidRPr="00FF33DB">
        <w:t>, a zejména na články 59, 118, 260, 261 a 262 tohoto nařízení,</w:t>
      </w:r>
    </w:p>
    <w:p w14:paraId="6422669A" w14:textId="77777777" w:rsidR="00B77033" w:rsidRPr="00FF33DB" w:rsidRDefault="00B77033" w:rsidP="00FF33DB">
      <w:pPr>
        <w:pStyle w:val="NormalHanging12a"/>
      </w:pPr>
      <w:r w:rsidRPr="00FF33DB">
        <w:t>–</w:t>
      </w:r>
      <w:r w:rsidRPr="00FF33DB">
        <w:tab/>
        <w:t>s ohledem na nařízení Evropského parlamentu a Rady (EU, Euratom) 2024/2509 ze dne 23. září 2024, kterým se stanoví finanční pravidla pro souhrnný rozpočet Unie</w:t>
      </w:r>
      <w:r w:rsidRPr="00FF33DB">
        <w:rPr>
          <w:rStyle w:val="FootnoteReference"/>
        </w:rPr>
        <w:footnoteReference w:id="6"/>
      </w:r>
      <w:r w:rsidRPr="00FF33DB">
        <w:t>, a zejména na články 59, 118, 266, 267 a 268 tohoto nařízení,</w:t>
      </w:r>
    </w:p>
    <w:p w14:paraId="16C71899" w14:textId="77777777" w:rsidR="00B77033" w:rsidRPr="00FF33DB" w:rsidRDefault="00B77033" w:rsidP="00FF33DB">
      <w:pPr>
        <w:pStyle w:val="NormalHanging12a"/>
      </w:pPr>
      <w:r w:rsidRPr="00FF33DB">
        <w:t>–</w:t>
      </w:r>
      <w:r w:rsidRPr="00FF33DB">
        <w:tab/>
        <w:t>s ohledem na článek 102 a přílohu V jednacího řádu,</w:t>
      </w:r>
    </w:p>
    <w:p w14:paraId="6F075DED" w14:textId="77777777" w:rsidR="00B77033" w:rsidRPr="00FF33DB" w:rsidRDefault="00B77033" w:rsidP="00FF33DB">
      <w:pPr>
        <w:pStyle w:val="NormalHanging12a"/>
      </w:pPr>
      <w:r w:rsidRPr="00FF33DB">
        <w:t>–</w:t>
      </w:r>
      <w:r w:rsidRPr="00FF33DB">
        <w:tab/>
        <w:t>s ohledem na zprávu Výboru pro rozpočtovou kontrolu (A10</w:t>
      </w:r>
      <w:r w:rsidRPr="00FF33DB">
        <w:noBreakHyphen/>
        <w:t>0059/2026),</w:t>
      </w:r>
    </w:p>
    <w:p w14:paraId="08AB3DB8" w14:textId="3806805B" w:rsidR="00B77033" w:rsidRPr="00FF33DB" w:rsidRDefault="00B77033" w:rsidP="00FF33DB">
      <w:pPr>
        <w:pStyle w:val="NormalHanging12a"/>
      </w:pPr>
      <w:r w:rsidRPr="00FF33DB">
        <w:t>1.</w:t>
      </w:r>
      <w:r w:rsidRPr="00FF33DB">
        <w:tab/>
        <w:t>uděluje absolutorium generální tajemn</w:t>
      </w:r>
      <w:r w:rsidR="00C51255">
        <w:t>ici</w:t>
      </w:r>
      <w:r w:rsidRPr="00FF33DB">
        <w:t xml:space="preserve"> Evropského hospodářského a sociálního výboru za plnění rozpočtu Evropského hospodářského a sociálního výboru na rozpočtový rok 2024;</w:t>
      </w:r>
    </w:p>
    <w:p w14:paraId="2C6B6F9F" w14:textId="77777777" w:rsidR="00B77033" w:rsidRPr="00FF33DB" w:rsidRDefault="00B77033" w:rsidP="00FF33DB">
      <w:pPr>
        <w:pStyle w:val="NormalHanging12a"/>
      </w:pPr>
      <w:r w:rsidRPr="00FF33DB">
        <w:t>2.</w:t>
      </w:r>
      <w:r w:rsidRPr="00FF33DB">
        <w:tab/>
        <w:t>předkládá své připomínky v dále uvedeném usnesení;</w:t>
      </w:r>
    </w:p>
    <w:p w14:paraId="30A5EDF2" w14:textId="77777777" w:rsidR="00B77033" w:rsidRPr="00FF33DB" w:rsidRDefault="00B77033" w:rsidP="00FF33DB">
      <w:pPr>
        <w:pStyle w:val="NormalHanging12a"/>
      </w:pPr>
      <w:r w:rsidRPr="00FF33DB">
        <w:t>3.</w:t>
      </w:r>
      <w:r w:rsidRPr="00FF33DB">
        <w:tab/>
        <w:t>pověřuje svou předsedkyni, aby předala toto rozhodnutí a usnesení, které je jeho nedílnou součástí, Evropskému hospodářskému a sociálnímu výboru, Radě, Komisi a Účetnímu dvoru a aby zajistila jejich zveřejnění v </w:t>
      </w:r>
      <w:r w:rsidRPr="00FF33DB">
        <w:rPr>
          <w:i/>
        </w:rPr>
        <w:t>Úředním věstníku Evropské unie</w:t>
      </w:r>
      <w:r w:rsidRPr="00FF33DB">
        <w:t xml:space="preserve"> (řada L).</w:t>
      </w:r>
    </w:p>
    <w:p w14:paraId="68A625D1" w14:textId="77777777" w:rsidR="00B77033" w:rsidRPr="00FF33DB" w:rsidRDefault="00B77033" w:rsidP="00B77033">
      <w:pPr>
        <w:pStyle w:val="PageHeading"/>
        <w:sectPr w:rsidR="00B77033" w:rsidRPr="00FF33DB" w:rsidSect="00E80554">
          <w:footerReference w:type="even" r:id="rId9"/>
          <w:footerReference w:type="first" r:id="rId10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7FE7478A" w14:textId="79EA5611" w:rsidR="00B77033" w:rsidRPr="00FF33DB" w:rsidRDefault="00B77033" w:rsidP="00FF33DB">
      <w:pPr>
        <w:pStyle w:val="ATHeading3"/>
      </w:pPr>
      <w:bookmarkStart w:id="8" w:name="_Toc226629511"/>
      <w:r w:rsidRPr="00FF33DB">
        <w:lastRenderedPageBreak/>
        <w:t xml:space="preserve">2. </w:t>
      </w:r>
      <w:r w:rsidR="00FF33DB" w:rsidRPr="00FF33DB">
        <w:t>Usnesení Evropského parlamentu</w:t>
      </w:r>
      <w:bookmarkEnd w:id="8"/>
      <w:r w:rsidR="00FF33DB" w:rsidRPr="00FF33DB">
        <w:t xml:space="preserve"> ze dne 29. dubna 2026 </w:t>
      </w:r>
      <w:r w:rsidRPr="00FF33DB">
        <w:t>obsahující připomínky, které jsou nedílnou součástí rozhodnutí o udělení absolutoria za plnění souhrnného rozpočtu Evropské unie za rozpočtový rok 2024, oddíl VI – Evropský hospodářský a sociální výbor</w:t>
      </w:r>
      <w:r w:rsidR="00FF33DB" w:rsidRPr="00FF33DB">
        <w:t xml:space="preserve"> </w:t>
      </w:r>
      <w:r w:rsidRPr="00FF33DB">
        <w:t>(2025/2151(DEC))</w:t>
      </w:r>
    </w:p>
    <w:p w14:paraId="66B08805" w14:textId="77777777" w:rsidR="00B77033" w:rsidRPr="00FF33DB" w:rsidRDefault="00B77033" w:rsidP="00B77033">
      <w:pPr>
        <w:pStyle w:val="EPComma"/>
      </w:pPr>
      <w:r w:rsidRPr="00FF33DB">
        <w:rPr>
          <w:i/>
        </w:rPr>
        <w:t>Evropský parlament</w:t>
      </w:r>
      <w:r w:rsidRPr="00FF33DB">
        <w:t>,</w:t>
      </w:r>
    </w:p>
    <w:p w14:paraId="1D5F10A5" w14:textId="77777777" w:rsidR="00B77033" w:rsidRPr="00FF33DB" w:rsidRDefault="00B77033" w:rsidP="00FF33DB">
      <w:pPr>
        <w:pStyle w:val="NormalHanging12a"/>
        <w:rPr>
          <w:szCs w:val="24"/>
        </w:rPr>
      </w:pPr>
      <w:r w:rsidRPr="00FF33DB">
        <w:t>–</w:t>
      </w:r>
      <w:r w:rsidRPr="00FF33DB">
        <w:tab/>
        <w:t>s ohledem na své rozhodn</w:t>
      </w:r>
      <w:r w:rsidRPr="00FF33DB">
        <w:rPr>
          <w:szCs w:val="24"/>
        </w:rPr>
        <w:t>utí o udělení absolutoria za plnění souhrnného rozpočtu Evropské unie na rozpočtový rok 2024, oddíl VI – Evropský hospodářský a sociální výbor,</w:t>
      </w:r>
    </w:p>
    <w:p w14:paraId="630E41D6" w14:textId="77777777" w:rsidR="00B77033" w:rsidRPr="00FF33DB" w:rsidRDefault="00B77033" w:rsidP="00FF33DB">
      <w:pPr>
        <w:pStyle w:val="NormalHanging12a"/>
        <w:rPr>
          <w:szCs w:val="24"/>
        </w:rPr>
      </w:pPr>
      <w:r w:rsidRPr="00FF33DB">
        <w:rPr>
          <w:szCs w:val="24"/>
        </w:rPr>
        <w:t>–</w:t>
      </w:r>
      <w:r w:rsidRPr="00FF33DB">
        <w:rPr>
          <w:szCs w:val="24"/>
        </w:rPr>
        <w:tab/>
        <w:t>s ohledem na článek 102 a přílohu V jednacího řádu,</w:t>
      </w:r>
    </w:p>
    <w:p w14:paraId="35009BEA" w14:textId="77777777" w:rsidR="00B77033" w:rsidRPr="00FF33DB" w:rsidRDefault="00B77033" w:rsidP="00FF33DB">
      <w:pPr>
        <w:pStyle w:val="NormalHanging12a"/>
        <w:rPr>
          <w:szCs w:val="24"/>
        </w:rPr>
      </w:pPr>
      <w:r w:rsidRPr="00FF33DB">
        <w:rPr>
          <w:szCs w:val="24"/>
        </w:rPr>
        <w:t>–</w:t>
      </w:r>
      <w:r w:rsidRPr="00FF33DB">
        <w:rPr>
          <w:szCs w:val="24"/>
        </w:rPr>
        <w:tab/>
        <w:t>s ohledem na zprávu Výboru pro rozpočtovou kontrolu (A10</w:t>
      </w:r>
      <w:r w:rsidRPr="00FF33DB">
        <w:rPr>
          <w:szCs w:val="24"/>
        </w:rPr>
        <w:noBreakHyphen/>
        <w:t>0059/2026),</w:t>
      </w:r>
    </w:p>
    <w:p w14:paraId="736A2C6F" w14:textId="77777777" w:rsidR="00B77033" w:rsidRPr="00FF33DB" w:rsidRDefault="00B77033" w:rsidP="00FF33DB">
      <w:pPr>
        <w:pStyle w:val="NormalHanging12a"/>
        <w:rPr>
          <w:szCs w:val="24"/>
        </w:rPr>
      </w:pPr>
      <w:r w:rsidRPr="00FF33DB">
        <w:rPr>
          <w:szCs w:val="24"/>
        </w:rPr>
        <w:t>A.</w:t>
      </w:r>
      <w:r w:rsidRPr="00FF33DB">
        <w:rPr>
          <w:szCs w:val="24"/>
        </w:rPr>
        <w:tab/>
        <w:t>vzhledem k tomu, že v rámci postupu udělování absolutoria hodlá orgán příslušný k udělení absolutoria klást zvláštní důraz na další posilování demokratické legitimity orgánů a institucí Unie zvyšováním transparentnosti a zodpovědnosti, uplatňováním konceptu sestavování rozpočtu podle výkonnosti a řádným řízením lidských zdrojů;</w:t>
      </w:r>
    </w:p>
    <w:p w14:paraId="4B3782A7" w14:textId="77777777" w:rsidR="00B77033" w:rsidRPr="00FF33DB" w:rsidRDefault="00B77033" w:rsidP="00FF33DB">
      <w:pPr>
        <w:pStyle w:val="NormalHanging12a"/>
        <w:rPr>
          <w:szCs w:val="24"/>
        </w:rPr>
      </w:pPr>
      <w:r w:rsidRPr="00FF33DB">
        <w:rPr>
          <w:szCs w:val="24"/>
        </w:rPr>
        <w:t>B.</w:t>
      </w:r>
      <w:r w:rsidRPr="00FF33DB">
        <w:rPr>
          <w:szCs w:val="24"/>
        </w:rPr>
        <w:tab/>
        <w:t>vzhledem k tomu, že Evropský hospodářský a sociální výbor (dále jen „Výbor“) je poradním orgánem Unie, který poskytuje fórum pro konzultace, dialog a konsensus mezi zástupci různých hospodářských, sociálních a občanských složek organizované občanské společnosti členských států;</w:t>
      </w:r>
    </w:p>
    <w:p w14:paraId="2B9C22E7" w14:textId="77777777" w:rsidR="00B77033" w:rsidRPr="00FF33DB" w:rsidRDefault="00B77033" w:rsidP="00FF33DB">
      <w:pPr>
        <w:pStyle w:val="NormalHanging12a"/>
        <w:rPr>
          <w:szCs w:val="24"/>
        </w:rPr>
      </w:pPr>
      <w:r w:rsidRPr="00FF33DB">
        <w:rPr>
          <w:szCs w:val="24"/>
        </w:rPr>
        <w:t>C.</w:t>
      </w:r>
      <w:r w:rsidRPr="00FF33DB">
        <w:rPr>
          <w:szCs w:val="24"/>
        </w:rPr>
        <w:tab/>
        <w:t>vzhledem k tomu, že Výbor přispívá k rozhodovacímu procesu Unie a tím, že zajišťuje propojení politik Unie s hospodářskými, sociálními a občanskými okolnostmi, současně plní své poslání zlepšovat právní úpravu a prosazovat participativní demokracii a evropské hodnoty;</w:t>
      </w:r>
    </w:p>
    <w:p w14:paraId="1FF3B06B" w14:textId="77777777" w:rsidR="00B77033" w:rsidRPr="00FF33DB" w:rsidRDefault="00B77033" w:rsidP="00FF33DB">
      <w:pPr>
        <w:pStyle w:val="NormalHanging12a"/>
        <w:rPr>
          <w:szCs w:val="24"/>
        </w:rPr>
      </w:pPr>
      <w:r w:rsidRPr="00FF33DB">
        <w:rPr>
          <w:szCs w:val="24"/>
        </w:rPr>
        <w:t>D.</w:t>
      </w:r>
      <w:r w:rsidRPr="00FF33DB">
        <w:rPr>
          <w:szCs w:val="24"/>
        </w:rPr>
        <w:tab/>
        <w:t>vzhledem k tomu, že ač jsou konzultace s Výborem ze strany Komise nebo Rady v určitých případech povinné a Výbor může přijímat stanoviska také z vlastní iniciativy a má i široký prostor pro postoupení, jak je stanoveno ve Smlouvách, přičemž konzultovat jej může i Parlament;</w:t>
      </w:r>
    </w:p>
    <w:p w14:paraId="62C3AAB2" w14:textId="77777777" w:rsidR="00B77033" w:rsidRPr="00FF33DB" w:rsidRDefault="00B77033" w:rsidP="00FF33DB">
      <w:pPr>
        <w:pStyle w:val="NormalHanging12a"/>
        <w:rPr>
          <w:szCs w:val="24"/>
        </w:rPr>
      </w:pPr>
      <w:r w:rsidRPr="00FF33DB">
        <w:rPr>
          <w:szCs w:val="24"/>
        </w:rPr>
        <w:t>E.</w:t>
      </w:r>
      <w:r w:rsidRPr="00FF33DB">
        <w:rPr>
          <w:szCs w:val="24"/>
        </w:rPr>
        <w:tab/>
        <w:t>vzhledem k tomu, že kontrolním orgánem Výboru pro všechny rozpočtové postupy, zejména pro stanovení odhadů rozpočtu, plnění rozpočtu, výroční zprávu o činnosti, absolutorium a následná opatření navazující na výroční zprávu Účetního dvora, je Komise pro finanční a rozpočtové záležitosti (CAF) Výboru;</w:t>
      </w:r>
    </w:p>
    <w:p w14:paraId="077866DA" w14:textId="77777777" w:rsidR="00B77033" w:rsidRPr="00FF33DB" w:rsidRDefault="00B77033" w:rsidP="00FF33DB">
      <w:pPr>
        <w:pStyle w:val="NormalHanging12a"/>
        <w:rPr>
          <w:szCs w:val="24"/>
        </w:rPr>
      </w:pPr>
      <w:r w:rsidRPr="00FF33DB">
        <w:rPr>
          <w:szCs w:val="24"/>
        </w:rPr>
        <w:t>F.</w:t>
      </w:r>
      <w:r w:rsidRPr="00FF33DB">
        <w:rPr>
          <w:szCs w:val="24"/>
        </w:rPr>
        <w:tab/>
        <w:t>vzhledem k tomu, že Výbor v posledních letech systematicky přijímal iniciativy, které mají v rámci omezeného rozpočtu přilákat a udržet kvalifikované zaměstnance, optimalizovat organizační strukturu a pracovní metody a podporovat respektující pracovní prostředí;</w:t>
      </w:r>
    </w:p>
    <w:p w14:paraId="310E7A29" w14:textId="77777777" w:rsidR="00B77033" w:rsidRPr="00FF33DB" w:rsidRDefault="00B77033" w:rsidP="00FF33DB">
      <w:pPr>
        <w:pStyle w:val="NormalHanging12a"/>
        <w:rPr>
          <w:szCs w:val="24"/>
        </w:rPr>
      </w:pPr>
      <w:r w:rsidRPr="00FF33DB">
        <w:rPr>
          <w:szCs w:val="24"/>
        </w:rPr>
        <w:t>G.</w:t>
      </w:r>
      <w:r w:rsidRPr="00FF33DB">
        <w:rPr>
          <w:szCs w:val="24"/>
        </w:rPr>
        <w:tab/>
        <w:t>vzhledem k tomu, že v roce 2024 Výbor jmenoval nového generálního tajemníka, jehož úkolem je dosáhnout větší účinnosti a dopadu a posílit význam Výboru;</w:t>
      </w:r>
    </w:p>
    <w:p w14:paraId="13713CE1" w14:textId="77777777" w:rsidR="00B77033" w:rsidRPr="00FF33DB" w:rsidRDefault="00B77033" w:rsidP="00FF33DB">
      <w:pPr>
        <w:pStyle w:val="NormalHanging12a"/>
        <w:rPr>
          <w:szCs w:val="24"/>
        </w:rPr>
      </w:pPr>
      <w:r w:rsidRPr="00FF33DB">
        <w:rPr>
          <w:szCs w:val="24"/>
        </w:rPr>
        <w:t>H.</w:t>
      </w:r>
      <w:r w:rsidRPr="00FF33DB">
        <w:rPr>
          <w:szCs w:val="24"/>
        </w:rPr>
        <w:tab/>
        <w:t>vzhledem k tomu, že Výbor zahájil v roce 2024 proces transformace, jehož cílem je vytvořit z Výboru organizaci zaměřenou na maximalizaci dopadu, která bude svým členům pomáhat posilovat hlas organizované občanské společnosti a chránit jej;</w:t>
      </w:r>
    </w:p>
    <w:p w14:paraId="7A39503D" w14:textId="77777777" w:rsidR="00B77033" w:rsidRPr="00FF33DB" w:rsidRDefault="00B77033" w:rsidP="00FF33DB">
      <w:pPr>
        <w:pStyle w:val="NormalHanging12a"/>
        <w:rPr>
          <w:bCs/>
          <w:iCs/>
          <w:szCs w:val="24"/>
        </w:rPr>
      </w:pPr>
      <w:r w:rsidRPr="00FF33DB">
        <w:rPr>
          <w:szCs w:val="24"/>
        </w:rPr>
        <w:lastRenderedPageBreak/>
        <w:t>I.</w:t>
      </w:r>
      <w:r w:rsidRPr="00FF33DB">
        <w:rPr>
          <w:szCs w:val="24"/>
        </w:rPr>
        <w:tab/>
        <w:t>vzhledem k tomu, že podle článků 300 a 304 Smlouvy o fungování Evropské unie je Evropský hospodářský a sociální výbor poradním orgánem, jehož hlavním posláním je vydávat stanoviska;</w:t>
      </w:r>
    </w:p>
    <w:p w14:paraId="03C81F76" w14:textId="294CF232" w:rsidR="00B77033" w:rsidRPr="00FF33DB" w:rsidRDefault="00B77033" w:rsidP="00FF33DB">
      <w:pPr>
        <w:pStyle w:val="NormalHanging12a"/>
        <w:rPr>
          <w:szCs w:val="24"/>
        </w:rPr>
      </w:pPr>
      <w:r w:rsidRPr="00FF33DB">
        <w:rPr>
          <w:szCs w:val="24"/>
        </w:rPr>
        <w:t>1.</w:t>
      </w:r>
      <w:r w:rsidRPr="00FF33DB">
        <w:rPr>
          <w:szCs w:val="24"/>
        </w:rPr>
        <w:tab/>
        <w:t xml:space="preserve">konstatuje, že rozpočet Výboru spadá do okruhu 7 </w:t>
      </w:r>
      <w:r w:rsidR="00C51255">
        <w:rPr>
          <w:szCs w:val="24"/>
        </w:rPr>
        <w:t>víceletého finančního rámce</w:t>
      </w:r>
      <w:r w:rsidRPr="00FF33DB">
        <w:rPr>
          <w:szCs w:val="24"/>
        </w:rPr>
        <w:t xml:space="preserve"> „Evropská veřejná správa“, který v roce 2024 činil celkem 13,3 miliardy EUR, tj. 6,9 % výdajů rozpočtu Unie; konstatuje, že v roce 2024 představoval rozpočet Výboru 1,5 % prostředků v okruhu 7 </w:t>
      </w:r>
      <w:r w:rsidR="00C51255">
        <w:rPr>
          <w:szCs w:val="24"/>
        </w:rPr>
        <w:t>víceletého finančního rámce</w:t>
      </w:r>
      <w:r w:rsidRPr="00FF33DB">
        <w:rPr>
          <w:szCs w:val="24"/>
        </w:rPr>
        <w:t>, což oproti roku 2023 představuje nárůst z 1,29 %;</w:t>
      </w:r>
    </w:p>
    <w:p w14:paraId="2F6BA98A" w14:textId="77777777" w:rsidR="00B77033" w:rsidRPr="00FF33DB" w:rsidRDefault="00B77033" w:rsidP="00FF33DB">
      <w:pPr>
        <w:pStyle w:val="NormalHanging12a"/>
        <w:rPr>
          <w:szCs w:val="24"/>
        </w:rPr>
      </w:pPr>
      <w:r w:rsidRPr="00FF33DB">
        <w:rPr>
          <w:szCs w:val="24"/>
        </w:rPr>
        <w:t>2.</w:t>
      </w:r>
      <w:r w:rsidRPr="00FF33DB">
        <w:rPr>
          <w:szCs w:val="24"/>
        </w:rPr>
        <w:tab/>
        <w:t>konstatuje, že Evropský účetní dvůr („Účetní dvůr“) ve výroční zprávě za rozpočtový rok 2024 („zpráva Účetního dvora“) zkoumal vzorek 70 transakcí v okruhu „Správa“, což je stejný počet jako v roce 2023; vzhledem k tomu, že Účetní dvůr dále uvádí, že správní výdaje zahrnují výdaje na lidské zdroje včetně výdajů na důchody, které v roce 2024 představovaly přibližně 69 % celkových správních výdajů, a výdaje na budovy, vybavení, energie a komunikační a informační technologie (IT), a že z jeho dlouholeté práce vyplývá, že tyto výdaje celkově vykazují nízké riziko;</w:t>
      </w:r>
    </w:p>
    <w:p w14:paraId="5053EB66" w14:textId="77777777" w:rsidR="00B77033" w:rsidRPr="00FF33DB" w:rsidRDefault="00B77033" w:rsidP="00FF33DB">
      <w:pPr>
        <w:pStyle w:val="NormalHanging12a"/>
        <w:rPr>
          <w:szCs w:val="24"/>
        </w:rPr>
      </w:pPr>
      <w:r w:rsidRPr="00FF33DB">
        <w:rPr>
          <w:szCs w:val="24"/>
        </w:rPr>
        <w:t>3.</w:t>
      </w:r>
      <w:r w:rsidRPr="00FF33DB">
        <w:rPr>
          <w:szCs w:val="24"/>
        </w:rPr>
        <w:tab/>
        <w:t>konstatuje, že 16 (23 %) ze 70 transakcí obsahovalo chyby, ale že Účetní dvůr na základě tří chyb, které byly vyčísleny, odhaduje, že výše chyb nedosahuje prahu významnosti; konstatuje, že zpráva Účetního dvora neuvedla žádné specifické otázky týkající se Výboru;</w:t>
      </w:r>
    </w:p>
    <w:p w14:paraId="3E7A80D8" w14:textId="77777777" w:rsidR="00B77033" w:rsidRPr="00FF33DB" w:rsidRDefault="00B77033" w:rsidP="00FF33DB">
      <w:pPr>
        <w:pStyle w:val="NormalHanging12a"/>
        <w:rPr>
          <w:b/>
          <w:i/>
          <w:szCs w:val="24"/>
        </w:rPr>
      </w:pPr>
      <w:r w:rsidRPr="00FF33DB">
        <w:rPr>
          <w:b/>
          <w:i/>
          <w:szCs w:val="24"/>
        </w:rPr>
        <w:t>Rozpočtové a finanční řízení</w:t>
      </w:r>
    </w:p>
    <w:p w14:paraId="7CADC1AC" w14:textId="77777777" w:rsidR="00B77033" w:rsidRPr="00FF33DB" w:rsidRDefault="00B77033" w:rsidP="00FF33DB">
      <w:pPr>
        <w:pStyle w:val="NormalHanging12a"/>
        <w:rPr>
          <w:szCs w:val="24"/>
        </w:rPr>
      </w:pPr>
      <w:r w:rsidRPr="00FF33DB">
        <w:rPr>
          <w:szCs w:val="24"/>
        </w:rPr>
        <w:t>4.</w:t>
      </w:r>
      <w:r w:rsidRPr="00FF33DB">
        <w:rPr>
          <w:szCs w:val="24"/>
        </w:rPr>
        <w:tab/>
        <w:t>konstatuje, že konečný přijatý rozpočet Výboru v roce 2024 činil 164 945 524 EUR, což oproti roku 2023 představuje celkové zvýšení o 3,90 %; na základě odpovědí Výboru na dotazník předložený Výborem pro rozpočtovou kontrolu k udělení absolutoria za rok 2024 („dotazník“) konstatuje, že dvě rozpočtové položky Výboru, konkrétně položka 1 200 (odměny a příspěvky zaměstnanců) a položka 1 004 (cestovní náhrady a příspěvky na pobyt členů), tvoří většinu rozpočtu Výboru, tj. 65,80 % v roce 2024, což oproti roku 2023 představuje nárůst z 65,58 %;</w:t>
      </w:r>
    </w:p>
    <w:p w14:paraId="30EBD035" w14:textId="77777777" w:rsidR="00B77033" w:rsidRPr="00FF33DB" w:rsidRDefault="00B77033" w:rsidP="00FF33DB">
      <w:pPr>
        <w:pStyle w:val="NormalHanging12a"/>
        <w:rPr>
          <w:bCs/>
          <w:iCs/>
          <w:szCs w:val="24"/>
        </w:rPr>
      </w:pPr>
      <w:r w:rsidRPr="00FF33DB">
        <w:rPr>
          <w:szCs w:val="24"/>
        </w:rPr>
        <w:t>5.</w:t>
      </w:r>
      <w:r w:rsidRPr="00FF33DB">
        <w:rPr>
          <w:szCs w:val="24"/>
        </w:rPr>
        <w:tab/>
        <w:t>konstatuje, že se Výbor z přístupu zaměřeného na výdaje přeorientoval na řízení zdrojů a stanovování priorit, jak se odráží ve strategickém finančním balíčku schváleném předsednictvem Výboru, a že pracuje na bázi priorit; konstatuje, že cílem těchto opatření je zlepšit finanční správu a sladit rozpočtová rozhodnutí se strategickými cíli; bere na vědomí úsilí o snížení administrativní zátěže a zefektivnění procesů v zájmu nákladové efektivnosti; vyzývá Výbor, aby tento přístup dále upevnil začleněním ukazatelů výkonnosti a prognostického plánování do svého ročního finančního cyklu;</w:t>
      </w:r>
    </w:p>
    <w:p w14:paraId="619F4A4F" w14:textId="77777777" w:rsidR="00B77033" w:rsidRPr="00FF33DB" w:rsidRDefault="00B77033" w:rsidP="00FF33DB">
      <w:pPr>
        <w:pStyle w:val="NormalHanging12a"/>
        <w:rPr>
          <w:szCs w:val="24"/>
        </w:rPr>
      </w:pPr>
      <w:r w:rsidRPr="00FF33DB">
        <w:rPr>
          <w:szCs w:val="24"/>
        </w:rPr>
        <w:t>6.</w:t>
      </w:r>
      <w:r w:rsidRPr="00FF33DB">
        <w:rPr>
          <w:szCs w:val="24"/>
        </w:rPr>
        <w:tab/>
        <w:t xml:space="preserve">vyjadřuje uznání Výboru za to, že dosáhl vysoké míry plnění prostředků na závazky na běžný rok, která se zvýšila z 98,70 % v roce 2023 na 99,21 % v roce 2024, a to díky úspěšnému monitorování plnění rozpočtu, ale i díky vysoké míře inflace, která má dopad na platy zaměstnanců a náklady na budovy; v této souvislosti bere na vědomí úsilí Výboru o přerozdělení prostředků prostřednictvím převodů rozpočtových prostředků v celkové výši 2 487 139 EUR (což představuje 1,51 % rozpočtu na rok 2024) mezi jednotlivými rozpočtovými položkami, přičemž nejvýznamnější navýšení se týkalo provozu a údržby softwarových systémů (+ 519 682 EUR) a budov (+ 421 880 EUR); dále s uspokojením konstatuje, že míra čerpání prostředků na platby v běžném roce se zvýšila z 88,12 % v roce 2022 a 90,67 % v roce 2023 na 92,85 % v roce 2024 </w:t>
      </w:r>
      <w:r w:rsidRPr="00FF33DB">
        <w:rPr>
          <w:szCs w:val="24"/>
        </w:rPr>
        <w:lastRenderedPageBreak/>
        <w:t>a průměrná doba do úhrady se snížila z 20,14 dne v roce 2023 na 16,06 dne v roce 2024, což je nejlepší výsledek, který Výbor zaznamenal od roku 2021; vybízí k další práci na účinném monitorování, omezování nákladů a strategickém přerozdělování s cílem zajistit efektivnost nákladů a transparentnost;</w:t>
      </w:r>
    </w:p>
    <w:p w14:paraId="36F2965C" w14:textId="77777777" w:rsidR="00B77033" w:rsidRPr="00FF33DB" w:rsidRDefault="00B77033" w:rsidP="00FF33DB">
      <w:pPr>
        <w:pStyle w:val="NormalHanging12a"/>
        <w:rPr>
          <w:szCs w:val="24"/>
        </w:rPr>
      </w:pPr>
      <w:r w:rsidRPr="00FF33DB">
        <w:rPr>
          <w:szCs w:val="24"/>
        </w:rPr>
        <w:t>7.</w:t>
      </w:r>
      <w:r w:rsidRPr="00FF33DB">
        <w:rPr>
          <w:szCs w:val="24"/>
        </w:rPr>
        <w:tab/>
        <w:t>konstatuje, že přenos prostředků z roku 2023 do roku 2024 činil 13 827 713 EUR, tj. 8,38 % rozpočtu Výboru na rok 2024, což představuje snížení oproti 15 466 316 EUR v předchozím roce (tj. 9,74 % rozpočtu Výboru na rok 2023); dále konstatuje, že míra čerpání prostředků přenesených z roku 2023 do roku 2024 činila v roce 2024 84,74 %, což je méně než 86,76 % v roce 2023;</w:t>
      </w:r>
    </w:p>
    <w:p w14:paraId="137F2336" w14:textId="40E56E6A" w:rsidR="00B77033" w:rsidRPr="00FF33DB" w:rsidRDefault="00B77033" w:rsidP="00FF33DB">
      <w:pPr>
        <w:pStyle w:val="NormalHanging12a"/>
        <w:rPr>
          <w:szCs w:val="24"/>
        </w:rPr>
      </w:pPr>
      <w:r w:rsidRPr="00FF33DB">
        <w:rPr>
          <w:szCs w:val="24"/>
        </w:rPr>
        <w:t>8.</w:t>
      </w:r>
      <w:r w:rsidRPr="00FF33DB">
        <w:rPr>
          <w:szCs w:val="24"/>
        </w:rPr>
        <w:tab/>
        <w:t xml:space="preserve">konstatuje, že dne 21. </w:t>
      </w:r>
      <w:r w:rsidR="003919B8">
        <w:rPr>
          <w:szCs w:val="24"/>
        </w:rPr>
        <w:t>června</w:t>
      </w:r>
      <w:r w:rsidRPr="00FF33DB">
        <w:rPr>
          <w:szCs w:val="24"/>
        </w:rPr>
        <w:t xml:space="preserve"> 2024 přijala Rada nové rozhodnutí o poskytování denních příspěvků a náhrad cestovních výdajů členům Výboru a jejich náhradníkům, přičemž denní příspěvek pro příjemce, kteří se účastní zasedání osobně, je stanoven na 367 EUR (zvýšení z 290 EUR) a denní příspěvek pro příjemce, kteří se účastní zasedání na dálku pomocí elektronických prostředků, je stanoven na 149 EUR (zvýšení ze 145 EUR); na základě dotazníku konstatuje, že v roce 2024 Výbor proplatil za účast na dálku 259 669 EUR (294 930 EUR v roce 2023), což odpovídá 1 744 dnům zasedání (v roce 2023 bylo 2 006 dnů zasedání), zatímco celková výše paušálních příspěvků vyplacených za osobní účast na zasedáních v roce 2024 činila 6 579 196 EUR (oproti 5 902 963 EUR v roce 2023); vyzývá Výbor, aby posílil transparentnost a proporcionalitu systému příspěvků na účast na dálku s cílem posílit důvěru veřejnosti, a zdůrazňuje, že finanční kompenzace za účast na dálku musí být přísně odůvodněná; dále konstatuje, že Výbor má zaveden systém pro potvrzování skutečné účasti na schůzích na dálku pomocí elektronických prostředků; domnívá se, že účast na dálku je důležitým a cenným nástrojem pro moderní instituce, který snižuje náklady na schůze a umožňuje širší účast </w:t>
      </w:r>
      <w:r w:rsidR="003919B8">
        <w:rPr>
          <w:szCs w:val="24"/>
        </w:rPr>
        <w:t>–</w:t>
      </w:r>
      <w:r w:rsidRPr="00FF33DB">
        <w:rPr>
          <w:szCs w:val="24"/>
        </w:rPr>
        <w:t xml:space="preserve"> např. příspěvkem na účast na schůzích na dálku; oceňuje spravedlivý a přiměřený způsob, kterým Výbor přistupuje k přidělování příspěvků na účast na dálku a který odráží povinnosti členů a požadavky na přípravu; připomíná, že členové Výboru nedostávají za svůj mandát plat;</w:t>
      </w:r>
    </w:p>
    <w:p w14:paraId="0F7695A7" w14:textId="77777777" w:rsidR="00B77033" w:rsidRPr="00FF33DB" w:rsidRDefault="00B77033" w:rsidP="00FF33DB">
      <w:pPr>
        <w:pStyle w:val="NormalHanging12a"/>
        <w:rPr>
          <w:szCs w:val="24"/>
        </w:rPr>
      </w:pPr>
      <w:r w:rsidRPr="00FF33DB">
        <w:rPr>
          <w:szCs w:val="24"/>
        </w:rPr>
        <w:t>9.</w:t>
      </w:r>
      <w:r w:rsidRPr="00FF33DB">
        <w:rPr>
          <w:szCs w:val="24"/>
        </w:rPr>
        <w:tab/>
        <w:t>konstatuje, že vlastní služby Výboru provedly 10 jednacích řízení v hodnotě od 15 000 do 60 000 EUR a jedno řízení, v němž byla podána jediná nabídka v hodnotě v témže rozmezí, většinou na studie; konstatuje, že Výbor rovněž zahájil šest zadávacích řízení (na rámcové smlouvy) se společnými službami, které sdílí s Evropským výborem regionů (dále jen „VR“) a které se týkají mimo jiné stravovacích služeb, logistiky a údržby;</w:t>
      </w:r>
    </w:p>
    <w:p w14:paraId="5357E2A3" w14:textId="77777777" w:rsidR="00B77033" w:rsidRPr="00FF33DB" w:rsidRDefault="00B77033" w:rsidP="00FF33DB">
      <w:pPr>
        <w:pStyle w:val="NormalHanging12a"/>
        <w:rPr>
          <w:szCs w:val="24"/>
        </w:rPr>
      </w:pPr>
      <w:r w:rsidRPr="00FF33DB">
        <w:rPr>
          <w:szCs w:val="24"/>
        </w:rPr>
        <w:t>10.</w:t>
      </w:r>
      <w:r w:rsidRPr="00FF33DB">
        <w:rPr>
          <w:szCs w:val="24"/>
        </w:rPr>
        <w:tab/>
        <w:t>na základě dotazníku konstatuje, že dopad ruské útočné války nadále vytvářel tlak na rozpočet Výboru v roce 2024, a to v důsledku inflace a výkyvů na trhu s energiemi, které zapříčinily vyšší provozní náklady; konstatuje, že v období 2021–2024 se odhaduje nárůst nákladů na nájemné Výboru o + 16,53 % a nákladů spojených s veřejnými zakázkami na služby v oblasti údržby a bezpečnosti o + 15 %; na základě dotazníku dále konstatuje, že platby Výboru na leasingové splátky se v roce 2024 zvýšily o 4,7 %, což převyšuje 2% limit Komise pro výdaje nesouvisející s platy; dále konstatuje, že náklady Výboru na energii se snížily z 1 923 391 EUR v roce 2023 na 711 608 EUR v roce 2024; chválí v této souvislosti Výbor za jeho úsilí o zvýšení nákladové efektivnosti svých činností, mimo jiné prostřednictvím intenzivnějšího úsilí o úspory energie; uznává, že je třeba, aby všechny orgány, instituce a jiné subjekty Unie zlepšily své rozpočtové řízení tím, že při uzavírání smluv s poskytovateli služeb zohlední také kolísání cen, zejména v odvětví energetiky;</w:t>
      </w:r>
    </w:p>
    <w:p w14:paraId="6D9E5F2E" w14:textId="77777777" w:rsidR="00B77033" w:rsidRPr="00FF33DB" w:rsidRDefault="00B77033" w:rsidP="00FF33DB">
      <w:pPr>
        <w:pStyle w:val="NormalHanging12a"/>
        <w:rPr>
          <w:bCs/>
          <w:iCs/>
          <w:szCs w:val="24"/>
        </w:rPr>
      </w:pPr>
      <w:r w:rsidRPr="00FF33DB">
        <w:rPr>
          <w:szCs w:val="24"/>
        </w:rPr>
        <w:lastRenderedPageBreak/>
        <w:t>11.</w:t>
      </w:r>
      <w:r w:rsidRPr="00FF33DB">
        <w:rPr>
          <w:szCs w:val="24"/>
        </w:rPr>
        <w:tab/>
        <w:t>vyzývá správu Výboru, aby aktivně identifikovala a prováděla opatření k úspoře nákladů, mimo jiné prostřednictvím většího využívání hybridních technologií pro schůze, optimalizace využívání budov, konsolidace parlamentních činností a snížení zbytečných logistických výdajů; požaduje pravidelné zprávy o pokroku, pokud jde o provedená opatření a dosažené úspory;</w:t>
      </w:r>
    </w:p>
    <w:p w14:paraId="6FB64AFD" w14:textId="77777777" w:rsidR="00B77033" w:rsidRPr="00FF33DB" w:rsidRDefault="00B77033" w:rsidP="00FF33DB">
      <w:pPr>
        <w:pStyle w:val="NormalHanging12a"/>
        <w:rPr>
          <w:szCs w:val="24"/>
        </w:rPr>
      </w:pPr>
      <w:r w:rsidRPr="00FF33DB">
        <w:rPr>
          <w:szCs w:val="24"/>
        </w:rPr>
        <w:t>12.</w:t>
      </w:r>
      <w:r w:rsidRPr="00FF33DB">
        <w:rPr>
          <w:szCs w:val="24"/>
        </w:rPr>
        <w:tab/>
        <w:t>na základě dotazníku konstatuje, že zaměstnanci Výboru v roce 2024 uskutečnili 415 pracovních cest (300 v roce 2023) v celkové výši 448 655 EUR, což oproti roku 2023 představuje nárůst o 25 % v důsledku zvýšení počtu pracovních cest a skutečných nákladů na letenky a hotelové ubytování; konstatuje, že podle odhadu Výboru se v roce 2024 ušetří přibližně 40 000 EUR na nákladech na pracovní cesty, pokud se na částku, kterou Výbor zaplatil za pracovní cesty v roce 2019 (tj. 402 097 EUR), před propuknutím epidemie COVID, použije pomyslná míra inflace ve výši 21 % v období 2020–2023; oceňuje politiku Výboru omezit roční výdaje na pracovní cesty na nejnutnější minimum; konstatuje, že předseda Výboru uskutečnil v roce 2024 pracovní cesty v celkové délce 88 dnů (oproti 69 dnům v roce 2023) s celkovými náklady ve výši přibližně 113 000 EUR (oproti přibližně 72 000 EUR v roce 2023), přičemž tyto pracovní cesty byly nezbytné pro účast předsedy na mezinárodních fórech, iniciativách na úrovni Unie a dalších akcích, které vyžadovaly aktivní účast Výboru;</w:t>
      </w:r>
    </w:p>
    <w:p w14:paraId="3F67BFAD" w14:textId="77777777" w:rsidR="00B77033" w:rsidRPr="00FF33DB" w:rsidRDefault="00B77033" w:rsidP="00FF33DB">
      <w:pPr>
        <w:pStyle w:val="NormalHanging12a"/>
        <w:rPr>
          <w:szCs w:val="24"/>
        </w:rPr>
      </w:pPr>
      <w:r w:rsidRPr="00FF33DB">
        <w:rPr>
          <w:szCs w:val="24"/>
        </w:rPr>
        <w:t>13.</w:t>
      </w:r>
      <w:r w:rsidRPr="00FF33DB">
        <w:rPr>
          <w:szCs w:val="24"/>
        </w:rPr>
        <w:tab/>
        <w:t xml:space="preserve">na základě dotazníku konstatuje, že společné ředitelství pro inovace a informační technologie (DIIT) Výboru a VR vyčleňuje přibližně 4 % svého rozpočtu na IT na kybernetickou bezpečnost (oproti 3 % v roce 2023), což se ani zdaleka neblíží 10 % cíli, s nímž se počítá v příslušných právních předpisech; znovu vyzývá </w:t>
      </w:r>
      <w:proofErr w:type="spellStart"/>
      <w:r w:rsidRPr="00FF33DB">
        <w:rPr>
          <w:szCs w:val="24"/>
        </w:rPr>
        <w:t>spolunormotvůrce</w:t>
      </w:r>
      <w:proofErr w:type="spellEnd"/>
      <w:r w:rsidRPr="00FF33DB">
        <w:rPr>
          <w:szCs w:val="24"/>
        </w:rPr>
        <w:t xml:space="preserve"> a Komisi, aby tuto skutečnost zohlednili v rámci ročního rozpočtového procesu; uznává, že je třeba, aby Výbor zavedl modernizaci kybernetické bezpečnosti pro oba výbory v celkové výši přibližně 1,2 milionu EUR, což by znamenalo, že výdaje na kybernetickou bezpečnost by dosáhly 10 % celkového rozpočtu Výboru na IT;</w:t>
      </w:r>
    </w:p>
    <w:p w14:paraId="0A311BC1" w14:textId="77777777" w:rsidR="00B77033" w:rsidRPr="00FF33DB" w:rsidRDefault="00B77033" w:rsidP="00FF33DB">
      <w:pPr>
        <w:pStyle w:val="NormalHanging12a"/>
        <w:rPr>
          <w:szCs w:val="24"/>
        </w:rPr>
      </w:pPr>
      <w:r w:rsidRPr="00FF33DB">
        <w:rPr>
          <w:b/>
          <w:i/>
          <w:szCs w:val="24"/>
        </w:rPr>
        <w:t>Vnitřní řízení, výkonnost a interní kontrola</w:t>
      </w:r>
    </w:p>
    <w:p w14:paraId="19026EAB" w14:textId="77777777" w:rsidR="00B77033" w:rsidRPr="00FF33DB" w:rsidRDefault="00B77033" w:rsidP="00FF33DB">
      <w:pPr>
        <w:pStyle w:val="NormalHanging12a"/>
        <w:rPr>
          <w:szCs w:val="24"/>
        </w:rPr>
      </w:pPr>
      <w:r w:rsidRPr="00FF33DB">
        <w:rPr>
          <w:szCs w:val="24"/>
        </w:rPr>
        <w:t xml:space="preserve">14. </w:t>
      </w:r>
      <w:r w:rsidRPr="00FF33DB">
        <w:rPr>
          <w:szCs w:val="24"/>
        </w:rPr>
        <w:tab/>
        <w:t xml:space="preserve">uznává, že Výbor plní zásadní úlohu, pokud jde o příspěvek k rozvoji politik a rozhodovacích procesů Unie tím, že zastupuje hlasy všech oblastí organizované občanské společnosti v Unii, čímž přibližuje Unii jejím občanům a zvyšuje demokratickou legitimitu právních předpisů Unie; připomíná, že součástí ročního pracovního programu Výboru je systém sledování výkonnosti, který zahrnuje ukazatele v různých oblastech, jako jsou IT, lidské zdroje, překlady a komunikace, strukturované podle pěti základních hodnot a pěti klíčových strategických cílů v rámci strategie generálního sekretariátu na období 2021–2025; domnívá se však, že přidaná hodnota jeho činností pro občany Unie zůstává z velké části podhodnocena; na základě opatření přijatých Výborem v návaznosti na připomínky uvedené v usnesení Parlamentu o udělení absolutoria za rok 2023 („monitorovací zpráva“) a na základě dotazníku s uspokojením konstatuje, že v návaznosti na audit zahájil Výbor strukturovaný proces za účelem zlepšení monitorování výkonnosti sladěním svého výkonnostního rámce se strategickými cíli prostřednictvím klíčových ukazatelů výkonnosti a ukazatelů dopadu, které mají být sladěny s budoucími strategickými cíli Výboru; vítá úsilí Výboru o začlenění měření dopadu do svého rozhodování a požaduje jasné kvantifikovatelné klíčové ukazatele výkonnosti a pravidelné podávání zpráv s cílem zajistit měřitelné výsledky a odpovědnost; vyzývá Výbor, aby ještě více posílil svůj rámec pro posuzování dopadů tím, že bude lépe prokazovat, jak se jeho stanoviska a iniciativy promítají do konkrétních politických výsledků a hmatatelných přínosů pro občany, </w:t>
      </w:r>
      <w:r w:rsidRPr="00FF33DB">
        <w:rPr>
          <w:szCs w:val="24"/>
        </w:rPr>
        <w:lastRenderedPageBreak/>
        <w:t>zatímco vrcholné vedení Výboru bude hrát klíčovou úlohu při používání těchto ukazatelů; očekává, že bude informován o výsledcích provádění tohoto nového rámce prostřednictvím budoucích zpráv Výboru orgánu příslušnému k udělení absolutoria;</w:t>
      </w:r>
    </w:p>
    <w:p w14:paraId="0D5C4867" w14:textId="77777777" w:rsidR="00B77033" w:rsidRPr="00FF33DB" w:rsidRDefault="00B77033" w:rsidP="00FF33DB">
      <w:pPr>
        <w:pStyle w:val="NormalHanging12a"/>
        <w:rPr>
          <w:szCs w:val="24"/>
        </w:rPr>
      </w:pPr>
      <w:r w:rsidRPr="00FF33DB">
        <w:rPr>
          <w:szCs w:val="24"/>
        </w:rPr>
        <w:t>15.</w:t>
      </w:r>
      <w:r w:rsidRPr="00FF33DB">
        <w:rPr>
          <w:szCs w:val="24"/>
        </w:rPr>
        <w:tab/>
        <w:t>konstatuje, že Výbor plní své poslání prostřednictvím stanovisek, která se týkají legislativních návrhů předložených Komisí (žádosti o vypracování stanoviska), stanovisek vypracovaných z vlastního podnětu, ve kterých vyzývá orgány Unie k přijetí opatření, a průzkumných stanovisek, která přispívají k práci Komise na jejích plánovaných iniciativách, a že postoje Výboru mohou být zdůrazněny v usneseních nebo zahrnuty do hodnotících či informačních zpráv; oceňuje výsledky Výboru, pokud jde o pomoc Parlamentu, Radě a Komisi v legislativním cyklu v roce 2024; v této souvislosti konstatuje, že v roce 2024 přijal Výbor 142 stanovisek a zpráv, což představuje pokles z 213 v roce 2023, a uspořádal 148 slyšení a 26 konferencí, oproti 146 slyšením a 24 konferencím v roce 2023; uznává, že vzhledem k zahajování nového volebního období v roce 2024 se snížil počet žádostí o vypracování stanoviska, a tím i počet stanovisek, která Výbor v tomto roce přijal; konstatuje, že se členové Výboru v roce 2024 zúčastnili 518 schůzí, summitů a konferencí na vysoké úrovni, oproti 429 v roce 2023; vybízí k prioritnímu zaměření na iniciativy, které podporují hospodářský růst, konkurenceschopnost a strategickou autonomii Unie;</w:t>
      </w:r>
    </w:p>
    <w:p w14:paraId="28524653" w14:textId="77777777" w:rsidR="00B77033" w:rsidRPr="00FF33DB" w:rsidRDefault="00B77033" w:rsidP="00FF33DB">
      <w:pPr>
        <w:pStyle w:val="NormalHanging12a"/>
        <w:rPr>
          <w:bCs/>
          <w:iCs/>
          <w:szCs w:val="24"/>
        </w:rPr>
      </w:pPr>
      <w:r w:rsidRPr="00FF33DB">
        <w:rPr>
          <w:szCs w:val="24"/>
        </w:rPr>
        <w:t>16.</w:t>
      </w:r>
      <w:r w:rsidRPr="00FF33DB">
        <w:rPr>
          <w:szCs w:val="24"/>
        </w:rPr>
        <w:tab/>
        <w:t>vybízí Výbor, aby se i nadále snažil zaměřovat svou činnost na oblasti, v nichž může poskytnout jasné, měřitelné a politicky relevantní příspěvky, a aby dále rozvíjel ukazatele výkonnosti a dopadu, které lépe odrážejí výsledky a význam pro občany, nad rámec výstupů z činnosti;</w:t>
      </w:r>
    </w:p>
    <w:p w14:paraId="7760ACC0" w14:textId="77777777" w:rsidR="00B77033" w:rsidRPr="00FF33DB" w:rsidRDefault="00B77033" w:rsidP="00FF33DB">
      <w:pPr>
        <w:pStyle w:val="NormalHanging12a"/>
        <w:rPr>
          <w:szCs w:val="24"/>
        </w:rPr>
      </w:pPr>
      <w:r w:rsidRPr="00FF33DB">
        <w:rPr>
          <w:szCs w:val="24"/>
        </w:rPr>
        <w:t>17.</w:t>
      </w:r>
      <w:r w:rsidRPr="00FF33DB">
        <w:rPr>
          <w:szCs w:val="24"/>
        </w:rPr>
        <w:tab/>
        <w:t>na základě monitorovací zprávy vítá závazek Výboru vypracovat stanoviska k pracovním právům, sociálnímu začlenění a porušování lidských práv a rozšířit rozsah svých hodnocení, pokud jde o právní předpisy a programy Unie, za předpokladu, že budou k dispozici odpovídající zdroje;</w:t>
      </w:r>
    </w:p>
    <w:p w14:paraId="52D03058" w14:textId="77777777" w:rsidR="00B77033" w:rsidRPr="00FF33DB" w:rsidRDefault="00B77033" w:rsidP="00FF33DB">
      <w:pPr>
        <w:pStyle w:val="NormalHanging12a"/>
        <w:rPr>
          <w:szCs w:val="24"/>
        </w:rPr>
      </w:pPr>
      <w:r w:rsidRPr="00FF33DB">
        <w:rPr>
          <w:szCs w:val="24"/>
        </w:rPr>
        <w:t>18.</w:t>
      </w:r>
      <w:r w:rsidRPr="00FF33DB">
        <w:rPr>
          <w:szCs w:val="24"/>
        </w:rPr>
        <w:tab/>
        <w:t xml:space="preserve">oceňuje opatření, která Výbor přijal v roce 2024 s cílem zlepšit posílení povědomí o přínosu své činnosti a její dopad v politickém a legislativním cyklu; vítá skutečnost, že v návaznosti na pilotní projekt byl oficiálně zaveden nový formát stanovisek vypracovávaných v reakci na povinné žádosti Parlamentu, Rady nebo Komise o vypracování stanoviska; konstatuje, že nový formát zlepšuje uživatelské vlastnosti a použitelnost pro normotvůrce a zároveň zlepšuje stanovení priorit v rámci činnosti Výboru; dále konstatuje, že díky posílené kontrole opatření přijatých v návaznosti na vybraná stanoviska prostřednictvím kontrolního seznamu a pokynů Výbor očekává, že si zachovají svou platnost i později, a že se stanou součástí víceúrovňových legislativních procesů; dále vítá začlenění stanovisek Výboru do unijního nástroje EU </w:t>
      </w:r>
      <w:proofErr w:type="spellStart"/>
      <w:r w:rsidRPr="00FF33DB">
        <w:rPr>
          <w:szCs w:val="24"/>
        </w:rPr>
        <w:t>Law</w:t>
      </w:r>
      <w:proofErr w:type="spellEnd"/>
      <w:r w:rsidRPr="00FF33DB">
        <w:rPr>
          <w:szCs w:val="24"/>
        </w:rPr>
        <w:t xml:space="preserve"> </w:t>
      </w:r>
      <w:proofErr w:type="spellStart"/>
      <w:r w:rsidRPr="00FF33DB">
        <w:rPr>
          <w:szCs w:val="24"/>
        </w:rPr>
        <w:t>Tracker</w:t>
      </w:r>
      <w:proofErr w:type="spellEnd"/>
      <w:r w:rsidRPr="00FF33DB">
        <w:rPr>
          <w:szCs w:val="24"/>
        </w:rPr>
        <w:t xml:space="preserve"> (EULT) od dubna 2024, která jsou nově uváděna jako odkazy v legislativních spisech; oceňuje, že Výbor rovněž přijal interní plán s cílem lépe předvídat priority Unie, zlepšit interinstitucionální koordinaci, posílit šíření informací a následná opatření a systematičtěji měřit dopad;</w:t>
      </w:r>
    </w:p>
    <w:p w14:paraId="17DB7DB5" w14:textId="77777777" w:rsidR="00B77033" w:rsidRPr="00FF33DB" w:rsidRDefault="00B77033" w:rsidP="00FF33DB">
      <w:pPr>
        <w:pStyle w:val="NormalHanging12a"/>
        <w:rPr>
          <w:bCs/>
          <w:iCs/>
          <w:szCs w:val="24"/>
        </w:rPr>
      </w:pPr>
      <w:r w:rsidRPr="00FF33DB">
        <w:rPr>
          <w:szCs w:val="24"/>
        </w:rPr>
        <w:t>19.</w:t>
      </w:r>
      <w:r w:rsidRPr="00FF33DB">
        <w:rPr>
          <w:szCs w:val="24"/>
        </w:rPr>
        <w:tab/>
        <w:t>oceňuje opatření, která Výbor přijal v roce 2024 s cílem zlepšit přístupnost, jasnost a použitelnost svých stanovisek pro orgány Unie; zdůrazňuje, že tato opatření mají posílit schopnost zákonodárců přijímat informovaná rozhodnutí;</w:t>
      </w:r>
    </w:p>
    <w:p w14:paraId="5A724525" w14:textId="77777777" w:rsidR="00B77033" w:rsidRPr="00FF33DB" w:rsidRDefault="00B77033" w:rsidP="00FF33DB">
      <w:pPr>
        <w:pStyle w:val="NormalHanging12a"/>
        <w:rPr>
          <w:szCs w:val="24"/>
        </w:rPr>
      </w:pPr>
      <w:r w:rsidRPr="00FF33DB">
        <w:rPr>
          <w:szCs w:val="24"/>
        </w:rPr>
        <w:t>20.</w:t>
      </w:r>
      <w:r w:rsidRPr="00FF33DB">
        <w:rPr>
          <w:szCs w:val="24"/>
        </w:rPr>
        <w:tab/>
        <w:t xml:space="preserve">oceňuje pokrok, kterého Výbor dosáhl v několika stěžejních iniciativách, čímž posílil účast, začlenění a politický dopad v celé Unii; konstatuje, že Výbor od září 2024 </w:t>
      </w:r>
      <w:r w:rsidRPr="00FF33DB">
        <w:rPr>
          <w:szCs w:val="24"/>
        </w:rPr>
        <w:lastRenderedPageBreak/>
        <w:t>převzal iniciativu při ověřování dopadu předpisů EU na mladé lidi ve svém procesu tvorby stanovisek, do něhož zapojil síť 73 mládežnických organizací a v rámci kterého bylo provedeno ověřování dopadu na mladé lidi zhruba u 40 stanovisek; vítá a podporuje iniciativy Výboru na posílení účasti mladých lidí na procesu tvorby politik; konstatuje, že Výbor rozšířil své kontakty s kandidátskými zeměmi prostřednictvím iniciativy inkluzivního dialogu s kandidátskými zeměmi pro budoucí přípravu na rozšíření, která umožňuje 146 zástupcům občanské společnosti přímo přispět k tvorbě stanovisek Výboru, a to prostřednictvím účasti ve studijních skupinách, na schůzích specializovaných sekcí i na plenárním zasedání (konaném v říjnu 2024); chválí Výbor za to, že pokročil ve své modré dohodě pro EU a pomohl zařadit vodohospodářskou odolnost na program Unie; poukazuje na to, že Výbor nadále zajišťoval vedení Evropské platformy zainteresovaných stran pro oběhové hospodářství a spolupořádal udílení cen EU za ekologickou produkci za rok 2024, přičemž posiloval vazby se subjekty občanské společnosti v ekologickém zemědělství; vybízí Výbor, aby rozšířil oblast působnosti stanovisek tak, aby zahrnovala další právní předpisy Unie týkající se veřejných statků a měřitelné výsledky;</w:t>
      </w:r>
    </w:p>
    <w:p w14:paraId="6CD385B7" w14:textId="77777777" w:rsidR="00B77033" w:rsidRPr="00FF33DB" w:rsidRDefault="00B77033" w:rsidP="00FF33DB">
      <w:pPr>
        <w:pStyle w:val="NormalHanging12a"/>
        <w:rPr>
          <w:szCs w:val="24"/>
        </w:rPr>
      </w:pPr>
      <w:r w:rsidRPr="00FF33DB">
        <w:rPr>
          <w:szCs w:val="24"/>
        </w:rPr>
        <w:t>21.</w:t>
      </w:r>
      <w:r w:rsidRPr="00FF33DB">
        <w:rPr>
          <w:szCs w:val="24"/>
        </w:rPr>
        <w:tab/>
        <w:t>vyzývá Výbor, aby více rozvíjel komplexní strategii digitální transformace, která bude zahrnovat umělou inteligenci (AI), a to s ohledem na potřebu zajistit lidský dohled nad využíváním umělé inteligence; strategie by měla rovněž zahrnovat automatizaci, interoperabilitu a správu dat a zároveň by měla být doprovázena spolehlivým rámcem zajišťujícím bezpečné, etické, odpovědné a transparentní využívání vznikajících technologií;</w:t>
      </w:r>
    </w:p>
    <w:p w14:paraId="09BD9F31" w14:textId="77777777" w:rsidR="00B77033" w:rsidRPr="00FF33DB" w:rsidRDefault="00B77033" w:rsidP="00FF33DB">
      <w:pPr>
        <w:pStyle w:val="NormalHanging12a"/>
        <w:rPr>
          <w:szCs w:val="24"/>
        </w:rPr>
      </w:pPr>
      <w:r w:rsidRPr="00FF33DB">
        <w:rPr>
          <w:szCs w:val="24"/>
        </w:rPr>
        <w:t>22.</w:t>
      </w:r>
      <w:r w:rsidRPr="00FF33DB">
        <w:rPr>
          <w:szCs w:val="24"/>
        </w:rPr>
        <w:tab/>
        <w:t>na základě dotazníku bere se zájmem na vědomí snahu Výboru zaujmout strategičtější přístup k určování priorit v rámci své činnosti související s dopadem a začlenit řízení dopadu mezi ústřední faktory rozhodování; v této souvislosti bere na vědomí uspořádání tří strategických seminářů na vysoké úrovni s politickým vedením v letech 2024 a 2025, během nichž byla – kromě jiných cílů – v rámci výhledových studií vypracována kritéria pro stanovení či zrušení priorit u iniciativ a pro zajištění tematického sladění s dlouhodobými potřebami občanské společnosti; konstatuje, že toto stanovení priorit bude začleněno do hlavních činností Výboru, neboť bude prováděno každoročně a jednou za 2,5 roku bude doplněno přezkumem všech orgánů, činností a významných akcí Výboru;</w:t>
      </w:r>
    </w:p>
    <w:p w14:paraId="4A90C8E2" w14:textId="77777777" w:rsidR="00B77033" w:rsidRPr="00FF33DB" w:rsidRDefault="00B77033" w:rsidP="00FF33DB">
      <w:pPr>
        <w:pStyle w:val="NormalHanging12a"/>
        <w:rPr>
          <w:szCs w:val="24"/>
        </w:rPr>
      </w:pPr>
      <w:r w:rsidRPr="00FF33DB">
        <w:rPr>
          <w:szCs w:val="24"/>
        </w:rPr>
        <w:t>23.</w:t>
      </w:r>
      <w:r w:rsidRPr="00FF33DB">
        <w:rPr>
          <w:szCs w:val="24"/>
        </w:rPr>
        <w:tab/>
        <w:t>pokud jde o plnění v roce 2024, konstatuje vysokou míru souladu s průměrnou mírou plnění 85 % (87 % v roce 2023); vyjadřuje politování nad tím, že účinnost systému vnitřní kontroly klesla ze 78 % v roce 2023 na 66 % v roce 2024; v této souvislosti poukazuje na rozdíl mezi formálním dodržováním předpisů a praktickou účinností každodenních operací; vyzývá Výbor, aby se zabýval strukturálními příčinami poklesu účinnosti vnitřní kontroly, mimo jiné zejména posílením kultury povědomí o rizicích, zlepšením kanálů interní komunikace a urychlením modernizace systémů správy dokumentů a informací; dále konstatuje, že v roce 2024 přijal Výbor revidované rozhodnutí o zjednodušení 23 typů ověřování, které vstoupilo v platnost v lednu 2025; vítá skutečnost, že již provedené následné kontroly s ohledem na tato ověření potvrdily, že zjednodušení nepřineslo další rizika;</w:t>
      </w:r>
    </w:p>
    <w:p w14:paraId="2F7754C7" w14:textId="77777777" w:rsidR="00B77033" w:rsidRPr="00FF33DB" w:rsidRDefault="00B77033" w:rsidP="00FF33DB">
      <w:pPr>
        <w:pStyle w:val="NormalHanging12a"/>
        <w:rPr>
          <w:szCs w:val="24"/>
        </w:rPr>
      </w:pPr>
      <w:r w:rsidRPr="00FF33DB">
        <w:rPr>
          <w:szCs w:val="24"/>
        </w:rPr>
        <w:t>24.</w:t>
      </w:r>
      <w:r w:rsidRPr="00FF33DB">
        <w:rPr>
          <w:szCs w:val="24"/>
        </w:rPr>
        <w:tab/>
        <w:t xml:space="preserve">bere na vědomí výroční zprávu Výboru o činnosti za rok 2024 („zpráva Výboru“), že v roce 2024 bylo provedeno pět nových auditů týkajících se příspěvku na vzdálenost a délku cesty, řízení rizik, žádosti o vypracování stanoviska, klíčových ukazatelů činnosti a výkonnosti a cestovních výdajů, které vyústily v celkem 14 doporučení; bere </w:t>
      </w:r>
      <w:r w:rsidRPr="00FF33DB">
        <w:rPr>
          <w:szCs w:val="24"/>
        </w:rPr>
        <w:lastRenderedPageBreak/>
        <w:t>na vědomí zejména zjištění interního auditora, pokud jde o příspěvky na vzdálenost a délku cesty, jako je absence jasné definice „obvyklého místa pobytu“ a chybějící požadavky na podpůrnou dokumentaci; dále konstatuje, že 13 doporučení zůstalo na konci ledna 2025 otevřených; dále konstatuje, že sedm doporučení z předchozích auditů zůstává stále otevřených, zejména doporučení v oblasti etiky a bezúhonnosti, doby do úhrady, schvalování účasti na zasedání, delegátů Poradní komise pro průmyslové změny a strategického cyklu; v této souvislosti vítá skutečnost, že Výbor přijal nová pravidla pro schvalování účasti na zasedání, příspěvků a náhrad; vyzývá výbor, aby zajistil rychlé provedení všech zbývajících doporučení auditu, zejména těch, která se týkají příspěvků, etiky a integrity, a aby i nadále informoval orgán příslušný k udělení absolutoria o pokroku dosaženém při provádění všech probíhajících doporučení;</w:t>
      </w:r>
    </w:p>
    <w:p w14:paraId="0FFC257F" w14:textId="77777777" w:rsidR="00B77033" w:rsidRPr="00FF33DB" w:rsidRDefault="00B77033" w:rsidP="00FF33DB">
      <w:pPr>
        <w:pStyle w:val="NormalHanging12a"/>
        <w:rPr>
          <w:b/>
          <w:i/>
          <w:szCs w:val="24"/>
        </w:rPr>
      </w:pPr>
      <w:r w:rsidRPr="00FF33DB">
        <w:rPr>
          <w:b/>
          <w:i/>
          <w:szCs w:val="24"/>
        </w:rPr>
        <w:t>Lidské zdroje, rovnost a dobré pracovní podmínky zaměstnanců</w:t>
      </w:r>
    </w:p>
    <w:p w14:paraId="57372C63" w14:textId="77777777" w:rsidR="00B77033" w:rsidRPr="00FF33DB" w:rsidRDefault="00B77033" w:rsidP="00FF33DB">
      <w:pPr>
        <w:pStyle w:val="NormalHanging12a"/>
        <w:rPr>
          <w:szCs w:val="24"/>
        </w:rPr>
      </w:pPr>
      <w:r w:rsidRPr="00FF33DB">
        <w:rPr>
          <w:szCs w:val="24"/>
        </w:rPr>
        <w:t>25.</w:t>
      </w:r>
      <w:r w:rsidRPr="00FF33DB">
        <w:rPr>
          <w:szCs w:val="24"/>
        </w:rPr>
        <w:tab/>
        <w:t>konstatuje, že na konci roku 2024 zaměstnával Výbor 713 zaměstnanců, oproti 707 v roce 2023; dále konstatuje, že v roce 2024 bylo zaměstnáno 48 smluvních zaměstnanců a 144 dočasných zaměstnanců (42 z nich bylo přijato v roce 2024), ve srovnání s 49 smluvními zaměstnanci a 130 dočasnými zaměstnanci v roce 2023; zdůrazňuje, že je důležité uzavírat smlouvy na dobu neurčitou, aby byly zachovány dovednosti, kontinuita a produktivní a stabilní pracovní prostředí, a varuje před nadměrnou závislostí na externích poskytovatelích služeb; dále konstatuje, že Výbor zaměstnával 10 poskytovatelů služeb a 14 externích pracovníků, kteří vykonávali svou práci v sídle Výboru, nemluvě o pracovnících v oboru stravování, údržby, bezpečnosti a ochrany; konstatuje, že obsazenost pracovních míst činila 96 % (95,5 % v roce 2023) a že míra fluktuace zaměstnanců v roce 2024 činila 5,6 % (pokles ze 7 % v roce 2023);</w:t>
      </w:r>
    </w:p>
    <w:p w14:paraId="7AAEB517" w14:textId="77777777" w:rsidR="00B77033" w:rsidRPr="00FF33DB" w:rsidRDefault="00B77033" w:rsidP="00FF33DB">
      <w:pPr>
        <w:pStyle w:val="NormalHanging12a"/>
        <w:rPr>
          <w:szCs w:val="24"/>
        </w:rPr>
      </w:pPr>
      <w:r w:rsidRPr="00FF33DB">
        <w:rPr>
          <w:szCs w:val="24"/>
        </w:rPr>
        <w:t>26.</w:t>
      </w:r>
      <w:r w:rsidRPr="00FF33DB">
        <w:rPr>
          <w:szCs w:val="24"/>
        </w:rPr>
        <w:tab/>
        <w:t>chválí Výbor za to, že v roce 2024 byl již třetím rokem po sobě čistým dovozcem talentů z jiných orgánů, a to v důsledku provádění akčního plánu pro nábor a udržení pracovníků, přičemž 42 % náborů v roce 2024 bylo spojeno s interinstitucionálními přesuny; na základě monitorovací zprávy dále konstatuje, že se zvýšil počet žádostí o stálá pracovní místa, které Výbor obdržel, o 11,60 % a o místa dočasných a smluvních zaměstnanců o 41 %; vítá skutečnost, že Výbor vyhlásil interní výběrové řízení, do kterého se mohou přihlásit dočasní a smluvní zaměstnanci, a že do konce roku 2025 by měl být vytvořen rezervní seznam; zdůrazňuje, že interní výběrová řízení jsou důležitá pro udržení talentů a odborných znalostí a pro stabilizaci lidských zdrojů Výboru obecně; s uspokojením bere na vědomí účast Výboru na akcích a veletrzích pracovních příležitostí (včetně virtuálních) a dnech otevřených dveří; konstatuje, že v roce 2024 Výbor uspořádal virtuální veletrh pracovních příležitostí věnovaný konkrétním pracovním profilům a příležitostem, který navštívilo 270 účastníků, přičemž 19 z nich se také přihlásilo na první oznámení o volném pracovním místě, které bylo v době konání akce otevřeno;</w:t>
      </w:r>
    </w:p>
    <w:p w14:paraId="1B663F79" w14:textId="77777777" w:rsidR="00B77033" w:rsidRPr="00FF33DB" w:rsidRDefault="00B77033" w:rsidP="00FF33DB">
      <w:pPr>
        <w:pStyle w:val="NormalHanging12a"/>
        <w:rPr>
          <w:szCs w:val="24"/>
        </w:rPr>
      </w:pPr>
      <w:r w:rsidRPr="00FF33DB">
        <w:rPr>
          <w:szCs w:val="24"/>
        </w:rPr>
        <w:t>27.</w:t>
      </w:r>
      <w:r w:rsidRPr="00FF33DB">
        <w:rPr>
          <w:szCs w:val="24"/>
        </w:rPr>
        <w:tab/>
        <w:t xml:space="preserve">vítá probíhající úsilí Výboru o zlepšení rámce pro lidské zdroje, aby se stal atraktivním zaměstnavatelem a plně inkluzivním pracovištěm, kde je každý jednotlivec ceněn a může plně rozvinout svůj potenciál; konstatuje, že Výbor analyzoval výsledky průzkumu zapojení zaměstnanců v roce 2023, identifikoval jednotlivé problémy a posléze inicioval cílená následná opatření, která byla přijata v průběhu roku 2024; mezi těmito opatřeními bere na vědomí mimo jiné provádění nového rozhodnutí o pracovních podmínkách (hybridní práce, přesčasy, mimořádné volno), revizi pravidel pro hodnocení a povyšování zaměstnanců, přijetí nové politiky mobility a řízení citlivých pracovních míst, provádění nové strategie a akčního plánu pro rozmanitost </w:t>
      </w:r>
      <w:r w:rsidRPr="00FF33DB">
        <w:rPr>
          <w:szCs w:val="24"/>
        </w:rPr>
        <w:lastRenderedPageBreak/>
        <w:t>a začlenění, které byly přijaty na konci roku 2023, revizi politiky řízení absencí, která měla být přijata v roce 2025, a (probíhající) přípravu strategie Výboru v oblasti nových dovedností; vítá další zlepšení hodnocení zapojení zaměstnanců, jak ukazuje nejnovější průzkum Výboru, a to ze 70,5 % v roce 2023 na 75 % v roce 2025;</w:t>
      </w:r>
    </w:p>
    <w:p w14:paraId="3C9DD235" w14:textId="77777777" w:rsidR="00B77033" w:rsidRPr="00FF33DB" w:rsidRDefault="00B77033" w:rsidP="00FF33DB">
      <w:pPr>
        <w:pStyle w:val="NormalHanging12a"/>
        <w:rPr>
          <w:szCs w:val="24"/>
        </w:rPr>
      </w:pPr>
      <w:r w:rsidRPr="00FF33DB">
        <w:rPr>
          <w:szCs w:val="24"/>
        </w:rPr>
        <w:t>28.</w:t>
      </w:r>
      <w:r w:rsidRPr="00FF33DB">
        <w:rPr>
          <w:szCs w:val="24"/>
        </w:rPr>
        <w:tab/>
        <w:t>bere na vědomí, že v roce 2024 Výbor zaměstnával pracovníky, kteří zastupovali všechny státní příslušnosti Unie, přičemž některé z nich byly zastoupeny nadměrně; bere na vědomí, že 62,70 % zaměstnanců tvořily ženy a 37,30 % muži; na základě monitorovací zprávy bere na vědomí, že 52 % vedoucích pozic zaujímají ženy, čímž se Výbor v tomto ohledu řadí na přední místo; opakuje, že s potěšením bere na vědomí jmenování generální tajemnice v lednu 2024 jako pozitivní krok k dosažení vyváženého zastoupení žen a mužů; zaznamenává nedávné úspěchy v začleňování genderové rovnosti a rozmanitosti jako strategických priorit na podporu inkluzivní a ohleduplné kultury na pracovišti; oceňuje provádění strategie a akčního plánu pro rozmanitost a inkluzi, cílených programů mentoringu a rozvoje vůdčích schopností pro ženy a nedostatečně zastoupené skupiny; vyjadřuje však politování nad tím, že podíl žen ve vrcholném vedení zůstal v roce 2024 nízký vzhledem k tomu, že ženy v současné době zastávají pouze dvě ze sedmi pozic ve vrcholném vedení, stejně jako v roce 2023; uznává, že jedním z důvodů nízkého podílu žen na těchto pozicích je nízká míra fluktuace spojená s velikostí Výboru; vítá závazek Výboru zvyšovat povědomí o této otázce mezi orgány oprávněnými ke jmenování, podporovat genderově vyvážené jmenování a zapojit se do cílených opatření prostřednictvím fóra žen a fóra vedoucích pracovníků, která podporují rozvoj manažerských schopností a kariérního růstu žen na středních úrovních vedení;</w:t>
      </w:r>
    </w:p>
    <w:p w14:paraId="0D961F83" w14:textId="77777777" w:rsidR="00B77033" w:rsidRPr="00FF33DB" w:rsidRDefault="00B77033" w:rsidP="00FF33DB">
      <w:pPr>
        <w:pStyle w:val="NormalHanging12a"/>
        <w:rPr>
          <w:szCs w:val="24"/>
        </w:rPr>
      </w:pPr>
      <w:r w:rsidRPr="00FF33DB">
        <w:rPr>
          <w:szCs w:val="24"/>
        </w:rPr>
        <w:t>29.</w:t>
      </w:r>
      <w:r w:rsidRPr="00FF33DB">
        <w:rPr>
          <w:szCs w:val="24"/>
        </w:rPr>
        <w:tab/>
        <w:t>připomíná iniciativu Výboru zavést nový přístup ke strategickému plánování pracovních sil a přidělování zaměstnanců, která posílí shromažďování údajů o dovednostech zaměstnanců, aktivní naslouchání v celé organizaci a uvažování politických orgánů Výboru o strategických prioritách; na základě monitorovací zprávy bere na vědomí, že tento nový typ plánování bude zahájen pilotním projektem v omezeném počtu služeb vybraných na základě strategických priorit; vyzývá agenturu, aby orgán příslušný k udělení absolutoria průběžně informovala o pokroku v této záležitosti a následném vývoji; zdůrazňuje význam strategického personálního plánování pro optimalizaci přidělování zdrojů a zajištění souladu s nejvyššími prioritami;</w:t>
      </w:r>
    </w:p>
    <w:p w14:paraId="5343996A" w14:textId="77777777" w:rsidR="00B77033" w:rsidRPr="00FF33DB" w:rsidRDefault="00B77033" w:rsidP="00FF33DB">
      <w:pPr>
        <w:pStyle w:val="NormalHanging12a"/>
        <w:rPr>
          <w:szCs w:val="24"/>
        </w:rPr>
      </w:pPr>
      <w:r w:rsidRPr="00FF33DB">
        <w:rPr>
          <w:szCs w:val="24"/>
        </w:rPr>
        <w:t>30.</w:t>
      </w:r>
      <w:r w:rsidRPr="00FF33DB">
        <w:rPr>
          <w:szCs w:val="24"/>
        </w:rPr>
        <w:tab/>
        <w:t xml:space="preserve">vítá úsilí Výboru o vytvoření zdravého pracovního prostředí pro své zaměstnance; oceňuje zejména, že Výbor věnuje pozornost duševnímu a fyzickému zdraví zaměstnanců a že vynakládá úsilí na zvyšování povědomí o otázkách souvisejících se zdravím; bere na vědomí opatření Výboru týkající se řízení nemocenské dovolené, jako jsou částečné úvazky ze zdravotních důvodů či prodloužení práce na dálku, s cílem zajistit, aby se zaměstnanci, kteří jsou dlouhodobě nepřítomni z důvodu nemoci, včas vrátili do práce; bere na vědomí snížení celkového počtu evidovaných dnů pracovní neschopnosti o 7,5 % z 10 552 dnů v roce 2023 na 9 763 dnů v roce 2024, jakož i snížení míry absence ze 4,08 % v roce 2023 na 3,75 % v roce 2024 (nejnižší od roku 2021); vyjadřuje politování nad tím, že Výbor nebyl opět schopen poskytnout údaje o případech vyhoření; mezi argumenty Výboru uvádí, že zaměstnanci nemají povinnost předem poskytovat zdravotní údaje, že syndrom vyhoření není uznávanou lékařskou diagnózou a že příčiny syndromu vyhoření nemusí souviset s prací, a také poukazují na lékařské tajemství; bere na vědomí, že Výbor shromažďuje anonymizované statistické údaje o nemocenské dovolené v souvislosti s duševním zdravím, avšak dostupné údaje neumožňují rozlišit mezi syndromem vyhoření souvisejícím s prací a jinými problémy, </w:t>
      </w:r>
      <w:r w:rsidRPr="00FF33DB">
        <w:rPr>
          <w:szCs w:val="24"/>
        </w:rPr>
        <w:lastRenderedPageBreak/>
        <w:t>které s prací nesouvisejí; zdůrazňuje však, že vyhoření lze měřit i bez lékařských údajů, přičemž existují nástroje pro hodnocení pracovního vyhoření, které lze použít, a Evropská agentura pro bezpečnost a ochranu zdraví při práci (EU-OSHA) podporuje anonymní dotazníky pro měření faktorů stresu a vyhoření souvisejících s prací odděleně od duševních problémů nesouvisejících s prací; naléhavě žádá Výbor, aby shromažďování údajů o vyhoření pomocí lékařských nebo nelékařských nástrojů konzultoval rovněž s evropským inspektorem ochrany údajů (EDPS) a aby orgán příslušný k udělení absolutoria průběžně informoval o následných opatřeních;</w:t>
      </w:r>
    </w:p>
    <w:p w14:paraId="63615385" w14:textId="77777777" w:rsidR="00B77033" w:rsidRPr="00FF33DB" w:rsidRDefault="00B77033" w:rsidP="00FF33DB">
      <w:pPr>
        <w:pStyle w:val="NormalHanging12a"/>
        <w:rPr>
          <w:szCs w:val="24"/>
        </w:rPr>
      </w:pPr>
      <w:r w:rsidRPr="00FF33DB">
        <w:rPr>
          <w:szCs w:val="24"/>
        </w:rPr>
        <w:t>31.</w:t>
      </w:r>
      <w:r w:rsidRPr="00FF33DB">
        <w:rPr>
          <w:szCs w:val="24"/>
        </w:rPr>
        <w:tab/>
        <w:t xml:space="preserve">na základě dotazníku konstatuje, že v roce 2024 Výbor a VR zahájily projekt </w:t>
      </w:r>
      <w:proofErr w:type="spellStart"/>
      <w:r w:rsidRPr="00FF33DB">
        <w:rPr>
          <w:szCs w:val="24"/>
        </w:rPr>
        <w:t>SPaCES</w:t>
      </w:r>
      <w:proofErr w:type="spellEnd"/>
      <w:r w:rsidRPr="00FF33DB">
        <w:rPr>
          <w:szCs w:val="24"/>
        </w:rPr>
        <w:t xml:space="preserve"> s cílem modernizovat a optimalizovat svá pracoviště prostřednictvím plně participativního a transparentního procesu zahrnujícího zástupce zaměstnanců a sociální partnery; zdůrazňuje, že projekt představuje dlouhodobou transformaci zaměřenou na zlepšení efektivity, spolupráce a flexibility v obou orgánech v souladu s metodou práce v hybridním režimu; konstatuje, že projekt </w:t>
      </w:r>
      <w:proofErr w:type="spellStart"/>
      <w:r w:rsidRPr="00FF33DB">
        <w:rPr>
          <w:szCs w:val="24"/>
        </w:rPr>
        <w:t>SPaCES</w:t>
      </w:r>
      <w:proofErr w:type="spellEnd"/>
      <w:r w:rsidRPr="00FF33DB">
        <w:rPr>
          <w:szCs w:val="24"/>
        </w:rPr>
        <w:t xml:space="preserve"> je prováděn na základě plně participativního přístupu, který zajišťuje zapojení a zastoupení zaměstnanců ve všech fázích; poznamenává, že první fáze, která probíhá za podpory externího dodavatele a která má být dokončena v létě 2025, zahrnuje pracovní semináře s vedoucími pracovníky a všemi útvary obou výborů, jakož i podrobnou analýzu práce podle činností s cílem určit budoucí potřeby pracovišť; vítá skutečnost, že byla vytvořena specializovaná řídicí struktura, projektový tým a síť kontaktních míst, které mají tento proces řídit, zajistit transparentnost a zastupovat všechny příslušné zájmy;</w:t>
      </w:r>
    </w:p>
    <w:p w14:paraId="27CDF141" w14:textId="77777777" w:rsidR="00B77033" w:rsidRPr="00FF33DB" w:rsidRDefault="00B77033" w:rsidP="00FF33DB">
      <w:pPr>
        <w:pStyle w:val="NormalHanging12a"/>
        <w:rPr>
          <w:szCs w:val="24"/>
        </w:rPr>
      </w:pPr>
      <w:r w:rsidRPr="00FF33DB">
        <w:rPr>
          <w:szCs w:val="24"/>
        </w:rPr>
        <w:t>32.</w:t>
      </w:r>
      <w:r w:rsidRPr="00FF33DB">
        <w:rPr>
          <w:szCs w:val="24"/>
        </w:rPr>
        <w:tab/>
        <w:t>bere na vědomí, že Výbor v souladu s usnesením Parlamentu ze dne 14. června 2023 obsahujícím doporučení Komisi o kvalitních stážích v Unii (2020/2005(INL)), které vyzývá k tomu, aby byly všechny stáže v Evropě placené, přijal 52 stážistů na dlouhodobý úvazek (5 měsíců) a dva stážisty na krátkodobý úvazek, přičemž všichni v roce 2024 pobírali měsíční příspěvek;</w:t>
      </w:r>
    </w:p>
    <w:p w14:paraId="22AD1F96" w14:textId="77777777" w:rsidR="00B77033" w:rsidRPr="00FF33DB" w:rsidRDefault="00B77033" w:rsidP="00FF33DB">
      <w:pPr>
        <w:pStyle w:val="NormalHanging12a"/>
        <w:rPr>
          <w:bCs/>
          <w:iCs/>
          <w:szCs w:val="24"/>
        </w:rPr>
      </w:pPr>
      <w:r w:rsidRPr="00FF33DB">
        <w:rPr>
          <w:szCs w:val="24"/>
        </w:rPr>
        <w:t>33.</w:t>
      </w:r>
      <w:r w:rsidRPr="00FF33DB">
        <w:rPr>
          <w:szCs w:val="24"/>
        </w:rPr>
        <w:tab/>
        <w:t>oceňuje intenzivní strukturovaný sociální dialog v procesech organizačních změn v průběhu roku 2024; vybízí Výbor, aby zachoval a dále posiloval systematické zapojení zástupců zaměstnanců do reforem souvisejících mimo jiné s digitalizací, vnitřní reorganizací a novými pracovními metodami;</w:t>
      </w:r>
    </w:p>
    <w:p w14:paraId="66A17037" w14:textId="77777777" w:rsidR="00B77033" w:rsidRPr="00FF33DB" w:rsidRDefault="00B77033" w:rsidP="00FF33DB">
      <w:pPr>
        <w:pStyle w:val="NormalHanging12a"/>
        <w:rPr>
          <w:b/>
          <w:i/>
          <w:szCs w:val="24"/>
        </w:rPr>
      </w:pPr>
      <w:r w:rsidRPr="00FF33DB">
        <w:rPr>
          <w:b/>
          <w:i/>
          <w:szCs w:val="24"/>
        </w:rPr>
        <w:t>Etický rámec a transparentnost</w:t>
      </w:r>
    </w:p>
    <w:p w14:paraId="5A5AED0F" w14:textId="77777777" w:rsidR="00B77033" w:rsidRPr="00FF33DB" w:rsidRDefault="00B77033" w:rsidP="00FF33DB">
      <w:pPr>
        <w:pStyle w:val="NormalHanging12a"/>
        <w:rPr>
          <w:szCs w:val="24"/>
        </w:rPr>
      </w:pPr>
      <w:r w:rsidRPr="00FF33DB">
        <w:rPr>
          <w:szCs w:val="24"/>
        </w:rPr>
        <w:t>34.</w:t>
      </w:r>
      <w:r w:rsidRPr="00FF33DB">
        <w:rPr>
          <w:szCs w:val="24"/>
        </w:rPr>
        <w:tab/>
        <w:t>připomíná, že v rámci posíleného etického rámce se Výbor a interní auditor dohodli na akčním plánu týkajícím se auditu v oblasti etiky a bezúhonnosti Výboru, který obsahuje deset doporučení, z nichž osm bylo uzavřeno do března 2025; na základě monitorovací zprávy konstatuje, že Výbor se zabýval dvěma dosud nevyřešenými doporučeními, a to revizí a aktualizací příručky týkající se povinností úředníků Výboru, jejíž obsah bude rovněž zveřejněn na intranetu Výboru;</w:t>
      </w:r>
    </w:p>
    <w:p w14:paraId="6D4534AF" w14:textId="77777777" w:rsidR="00B77033" w:rsidRPr="00FF33DB" w:rsidRDefault="00B77033" w:rsidP="00FF33DB">
      <w:pPr>
        <w:pStyle w:val="NormalHanging12a"/>
        <w:rPr>
          <w:szCs w:val="24"/>
        </w:rPr>
      </w:pPr>
      <w:r w:rsidRPr="00FF33DB">
        <w:rPr>
          <w:szCs w:val="24"/>
        </w:rPr>
        <w:t>35.</w:t>
      </w:r>
      <w:r w:rsidRPr="00FF33DB">
        <w:rPr>
          <w:szCs w:val="24"/>
        </w:rPr>
        <w:tab/>
        <w:t xml:space="preserve">konstatuje, že Výbor v roce 2024 pokračoval v pořádání školení zaměstnanců a zvyšování povědomí o tématech souvisejících s etikou; s uspokojením konstatuje, že Výbor nabízí školení v oblasti etiky a bezúhonnosti, která jsou povinná pro všechny zaměstnance, přičemž v roce 2024 se devíti těchto školení zúčastnilo 54 účastníků; dále konstatuje, že 40 ze 47 vedoucích pracovníků se zúčastnilo školení o respektu na pracovišti a úloze vedoucích pracovníků a 25 zaměstnanců se zúčastnilo školení nabízených Úřadem Komise pro vyšetřování a disciplinární opatření o možných úskalích, které s sebou nesou disciplinární důsledky, v průběhu roku 2024; vítá </w:t>
      </w:r>
      <w:r w:rsidRPr="00FF33DB">
        <w:rPr>
          <w:szCs w:val="24"/>
        </w:rPr>
        <w:lastRenderedPageBreak/>
        <w:t>skutečnost, že z průzkumů vyplývá vysoká míra informovanosti zaměstnanců Výboru mimo jiné o jeho pevných hodnotách a etických normách, postupech pro oznamování pochybení a síti důvěrných poradců;</w:t>
      </w:r>
    </w:p>
    <w:p w14:paraId="13030E6B" w14:textId="77777777" w:rsidR="00B77033" w:rsidRPr="00FF33DB" w:rsidRDefault="00B77033" w:rsidP="00FF33DB">
      <w:pPr>
        <w:pStyle w:val="NormalHanging12a"/>
        <w:rPr>
          <w:szCs w:val="24"/>
        </w:rPr>
      </w:pPr>
      <w:r w:rsidRPr="00FF33DB">
        <w:rPr>
          <w:szCs w:val="24"/>
        </w:rPr>
        <w:t>36.</w:t>
      </w:r>
      <w:r w:rsidRPr="00FF33DB">
        <w:rPr>
          <w:szCs w:val="24"/>
        </w:rPr>
        <w:tab/>
        <w:t>na základě dotazníku konstatuje, že v roce 2024 byly nahlášeny dva případy údajného obtěžování, které byly prošetřeny a uzavřeny v roce 2025, přičemž v jednom případě nebylo obtěžování zjištěno a ve druhém byla přijata formální omluva za nevhodné chování dotyčné osoby; dále bere na vědomí, že bylo přijato rozhodnutí v jiném případu, který byl předložen před rokem 2024 a týkal se obtěžování souvisejícího s kárným řízením; dále bere na vědomí, že v roce 2024 nebylo nahlášeno žádné sexuální obtěžování; opakuje, že je třeba uplatňovat politiku nulové tolerance vůči obtěžování, aby byla zajištěna ochrana dobrých pracovních podmínek zaměstnanců, a připomíná, že tuto povinnost má každý zaměstnavatel;</w:t>
      </w:r>
    </w:p>
    <w:p w14:paraId="774CE7A0" w14:textId="77777777" w:rsidR="00B77033" w:rsidRPr="00FF33DB" w:rsidRDefault="00B77033" w:rsidP="00FF33DB">
      <w:pPr>
        <w:pStyle w:val="NormalHanging12a"/>
        <w:rPr>
          <w:szCs w:val="24"/>
        </w:rPr>
      </w:pPr>
      <w:r w:rsidRPr="00FF33DB">
        <w:rPr>
          <w:szCs w:val="24"/>
        </w:rPr>
        <w:t>37.</w:t>
      </w:r>
      <w:r w:rsidRPr="00FF33DB">
        <w:rPr>
          <w:szCs w:val="24"/>
        </w:rPr>
        <w:tab/>
        <w:t>na základě monitorovací zprávy bere na vědomí vývoj týkající se soudního řízení zahájeného belgickými orgány proti jednomu bývalému členovi Výboru obviněnému z pochybení v souvislosti se stížností na obtěžování v rámci Výboru, která byla otevřena a uzavřena Výborem v roce 2023; bere na vědomí, že toto soudní řízení bylo přerušeno, neboť příslušný belgický soud požádal Soudní dvůr Evropské unie o vyjasnění výkladu článku 10 Protokolu (č. 7) o výsadách a imunitách Evropské unie; vyzývá Výbor, aby orgán příslušný k udělení absolutoria průběžně informoval o dalším vývoji v této záležitosti;</w:t>
      </w:r>
    </w:p>
    <w:p w14:paraId="5C5ECD46" w14:textId="77777777" w:rsidR="00B77033" w:rsidRPr="00FF33DB" w:rsidRDefault="00B77033" w:rsidP="00FF33DB">
      <w:pPr>
        <w:pStyle w:val="NormalHanging12a"/>
        <w:rPr>
          <w:szCs w:val="24"/>
        </w:rPr>
      </w:pPr>
      <w:r w:rsidRPr="00FF33DB">
        <w:rPr>
          <w:szCs w:val="24"/>
        </w:rPr>
        <w:t>38.</w:t>
      </w:r>
      <w:r w:rsidRPr="00FF33DB">
        <w:rPr>
          <w:szCs w:val="24"/>
        </w:rPr>
        <w:tab/>
        <w:t xml:space="preserve">s uspokojením konstatuje, že Výbor se v oblasti transparentnosti řadí na přední místo, neboť byl prvním subjektem, který se kromě původních signatářů připojil k rejstříku transparentnosti Unie; vítá opatření v oblasti transparentnosti přijatá Výborem, včetně doporučení, aby se členové Výboru setkávali pouze s registrovanými zúčastněnými stranami, povinnosti členů zveřejňovat svá zasedání na internetu a možnosti zpravodajů Výboru, a to i prostřednictvím pilotního projektu zahájeného v roce 2025, opatřit svá stanoviska „legislativní stopou“; konstatuje, že v současné době jsou stanoviska Výboru dostupná jako milníky v legislativních spisech v nástroji EU </w:t>
      </w:r>
      <w:proofErr w:type="spellStart"/>
      <w:r w:rsidRPr="00FF33DB">
        <w:rPr>
          <w:szCs w:val="24"/>
        </w:rPr>
        <w:t>Law</w:t>
      </w:r>
      <w:proofErr w:type="spellEnd"/>
      <w:r w:rsidRPr="00FF33DB">
        <w:rPr>
          <w:szCs w:val="24"/>
        </w:rPr>
        <w:t xml:space="preserve"> </w:t>
      </w:r>
      <w:proofErr w:type="spellStart"/>
      <w:r w:rsidRPr="00FF33DB">
        <w:rPr>
          <w:szCs w:val="24"/>
        </w:rPr>
        <w:t>Tracker</w:t>
      </w:r>
      <w:proofErr w:type="spellEnd"/>
      <w:r w:rsidRPr="00FF33DB">
        <w:rPr>
          <w:szCs w:val="24"/>
        </w:rPr>
        <w:t>; dále s uspokojením bere na vědomí opatření Výboru v oblasti transparentnosti, pokud jde o jeho hlavní administrativní činnosti v oblastech, jako jsou finance, zadávání veřejných zakázek, lidské zdroje a přístup k dokumentům;</w:t>
      </w:r>
    </w:p>
    <w:p w14:paraId="3BF5E2DA" w14:textId="77777777" w:rsidR="00B77033" w:rsidRPr="00FF33DB" w:rsidRDefault="00B77033" w:rsidP="00FF33DB">
      <w:pPr>
        <w:pStyle w:val="NormalHanging12a"/>
        <w:rPr>
          <w:szCs w:val="24"/>
        </w:rPr>
      </w:pPr>
      <w:r w:rsidRPr="00FF33DB">
        <w:rPr>
          <w:szCs w:val="24"/>
        </w:rPr>
        <w:t>39.</w:t>
      </w:r>
      <w:r w:rsidRPr="00FF33DB">
        <w:rPr>
          <w:szCs w:val="24"/>
        </w:rPr>
        <w:tab/>
        <w:t xml:space="preserve">konstatuje, že Výbor má pevný rámec pro předcházení střetům zájmů a případům efektu otáčivých dveří; s ohledem na zaměstnance Výboru konstatuje, že Výbor dbá na to, aby byla hlediska střetu zájmů začleněna do všech postupů náboru a výběru zaměstnanců; bere na vědomí, že zaměstnanci jsou povinni proaktivně oznámit jakoukoli situaci, která by mohla vést ke </w:t>
      </w:r>
      <w:bookmarkStart w:id="9" w:name="_Hlk216797257"/>
      <w:r w:rsidRPr="00FF33DB">
        <w:rPr>
          <w:szCs w:val="24"/>
        </w:rPr>
        <w:t>střetu zájmů</w:t>
      </w:r>
      <w:bookmarkEnd w:id="9"/>
      <w:r w:rsidRPr="00FF33DB">
        <w:rPr>
          <w:szCs w:val="24"/>
        </w:rPr>
        <w:t xml:space="preserve">; konstatuje, že v případě, že dojde ke změně údajů, které členové Výboru uvedli v prohlášení, předloží nové prohlášení nejpozději do dvou měsíců od dané změny; s ohledem na členy Výboru konstatuje, že Etická komise Výboru se zabývala jednou žádostí o pokyny týkající se možného střetu zájmů; pokud jde o zaměstnance Výboru, konstatuje, že v roce 2024 nebyly hlášeny žádné případy střetu zájmů nebo </w:t>
      </w:r>
      <w:proofErr w:type="spellStart"/>
      <w:r w:rsidRPr="00FF33DB">
        <w:rPr>
          <w:szCs w:val="24"/>
        </w:rPr>
        <w:t>whistleblowingu</w:t>
      </w:r>
      <w:proofErr w:type="spellEnd"/>
      <w:r w:rsidRPr="00FF33DB">
        <w:rPr>
          <w:szCs w:val="24"/>
        </w:rPr>
        <w:t>;</w:t>
      </w:r>
    </w:p>
    <w:p w14:paraId="630C98AA" w14:textId="77777777" w:rsidR="00B77033" w:rsidRPr="00FF33DB" w:rsidRDefault="00B77033" w:rsidP="00FF33DB">
      <w:pPr>
        <w:pStyle w:val="NormalHanging12a"/>
        <w:rPr>
          <w:szCs w:val="24"/>
        </w:rPr>
      </w:pPr>
      <w:r w:rsidRPr="00FF33DB">
        <w:rPr>
          <w:szCs w:val="24"/>
        </w:rPr>
        <w:t>40.</w:t>
      </w:r>
      <w:r w:rsidRPr="00FF33DB">
        <w:rPr>
          <w:szCs w:val="24"/>
        </w:rPr>
        <w:tab/>
      </w:r>
      <w:bookmarkStart w:id="10" w:name="_Hlk216869267"/>
      <w:r w:rsidRPr="00FF33DB">
        <w:rPr>
          <w:szCs w:val="24"/>
        </w:rPr>
        <w:t>se znepokojením bere na vědomí případ podezření z podvodu týkající se jednoho externího poskytovatele služeb, který byl Evropským úřadem pro boj proti podvodům (OLAF) zamítnut a následně postoupen Úřadu evropského veřejného žalobce (EPPO) z důvodu možného spáchání trestného činu v roce 2024</w:t>
      </w:r>
      <w:bookmarkEnd w:id="10"/>
      <w:r w:rsidRPr="00FF33DB">
        <w:rPr>
          <w:szCs w:val="24"/>
        </w:rPr>
        <w:t xml:space="preserve">; na základě dotazníku s uspokojením konstatuje, že Výbor v tomto případě s úřadem EPPO plně spolupracuje; </w:t>
      </w:r>
      <w:r w:rsidRPr="00FF33DB">
        <w:rPr>
          <w:szCs w:val="24"/>
        </w:rPr>
        <w:lastRenderedPageBreak/>
        <w:t>dále konstatuje, že tento poskytovatel služeb zaplatil Výboru dohodnutou smluvní pokutu; v této souvislosti vítá opatření, která Výbor přijal s cílem lépe předcházet podobným případům v budoucnu, a to důslednějšími kontrolami souladu při zadávání veřejných zakázek a realizaci smluv a posílením poradenství a školení v této oblasti; konstatuje, že jeden případ úřadu OLAF z roku 2023 byl vrácen Výboru k internímu zjednodušenému správnímu prošetření, které bylo zahájeno v roce 2024 a jehož výstupem byla závěrečná zpráva určená orgánu oprávněnému ke jmenování z července 2025; vyzývá Výbor, aby informoval orgán příslušný k udělení absolutoria o tom, zda bylo v této věci přijato konečné rozhodnutí; dále konstatuje, že jedno šetření zahájené evropskou veřejnou ochránkyní práv v roce 2023 bylo uzavřeno v roce 2024 se závěrem, že ze strany Výboru nedošlo k nesprávnému úřednímu postupu;</w:t>
      </w:r>
    </w:p>
    <w:p w14:paraId="754998EE" w14:textId="77777777" w:rsidR="00B77033" w:rsidRPr="00FF33DB" w:rsidRDefault="00B77033" w:rsidP="00FF33DB">
      <w:pPr>
        <w:pStyle w:val="NormalHanging12a"/>
        <w:rPr>
          <w:szCs w:val="24"/>
        </w:rPr>
      </w:pPr>
      <w:r w:rsidRPr="00FF33DB">
        <w:rPr>
          <w:szCs w:val="24"/>
        </w:rPr>
        <w:t>41.</w:t>
      </w:r>
      <w:r w:rsidRPr="00FF33DB">
        <w:rPr>
          <w:szCs w:val="24"/>
        </w:rPr>
        <w:tab/>
        <w:t>na základě dotazníku s uspokojením konstatuje, že Výbor v návaznosti na předchozí výzvy Parlamentu vypracoval strategii boje proti podvodům, která zahrnuje doprovodný akční plán s konkrétními opatřeními, která mají být provedena a která se týkají politik odborné přípravy, jakož i osvětových kampaní a revidovaných dohod o spolupráci s úřadem OLAF a Úřadem evropského veřejného žalobce, které byly předloženy k meziútvarové konzultaci a přijetí; vyzývá Výbor, aby informoval orgán příslušný k udělení absolutoria o následných opatřeních přijatých v tomto ohledu; vítá skutečnost, že Výbor uspořádal dvě školení týkající se informovanosti o podvodech a jejich prevenci při zadávání veřejných zakázek, která vedli zaměstnanci úřadu OLAF a kterých se zúčastnilo 21 účastníků, a jedno informační setkání uspořádané společně s úřadem EPPO, jehož cílem bylo seznámit zaměstnance Výboru s mandátem úřadu EPPO a poskytnout jim pokyny, jak hlásit případné případy úřadu EPPO; vyzývá Výbor, aby posílil své postupy pro posuzování rizik, prevenci, odhalování a následná opatření při provádění strategie boje proti podvodům;</w:t>
      </w:r>
    </w:p>
    <w:p w14:paraId="237CE73C" w14:textId="77777777" w:rsidR="00B77033" w:rsidRPr="00FF33DB" w:rsidRDefault="00B77033" w:rsidP="00FF33DB">
      <w:pPr>
        <w:pStyle w:val="NormalHanging12a"/>
        <w:rPr>
          <w:b/>
          <w:i/>
          <w:szCs w:val="24"/>
        </w:rPr>
      </w:pPr>
      <w:bookmarkStart w:id="11" w:name="_Hlk216263307"/>
      <w:r w:rsidRPr="00FF33DB">
        <w:rPr>
          <w:b/>
          <w:i/>
          <w:szCs w:val="24"/>
        </w:rPr>
        <w:t>Digitalizace, kybernetická bezpečnost a ochrana údajů</w:t>
      </w:r>
    </w:p>
    <w:p w14:paraId="09BFBD8B" w14:textId="77777777" w:rsidR="00B77033" w:rsidRPr="00FF33DB" w:rsidRDefault="00B77033" w:rsidP="00FF33DB">
      <w:pPr>
        <w:pStyle w:val="NormalHanging12a"/>
        <w:rPr>
          <w:szCs w:val="24"/>
        </w:rPr>
      </w:pPr>
      <w:r w:rsidRPr="00FF33DB">
        <w:rPr>
          <w:szCs w:val="24"/>
        </w:rPr>
        <w:t>42.</w:t>
      </w:r>
      <w:r w:rsidRPr="00FF33DB">
        <w:rPr>
          <w:szCs w:val="24"/>
        </w:rPr>
        <w:tab/>
        <w:t xml:space="preserve">konstatuje, že kombinovaný rozpočet Výboru a VR na IT v roce 2024 činil 13 700 000 EUR ve srovnání s 12 700 000 EUR v roce 2023, což představuje nárůst o 7,87 %, přičemž 760 000 EUR z tohoto rozpočtu (přibližně 6 %) bylo v roce 2024 vynaloženo na kybernetickou bezpečnost; na základě dotazníku konstatuje, že financování projektů IT bylo ve srovnání s rokem 2023 navýšeno o 109 000 EUR, což představuje 4% nárůst, a to především na podporu programu M365 </w:t>
      </w:r>
      <w:proofErr w:type="spellStart"/>
      <w:r w:rsidRPr="00FF33DB">
        <w:rPr>
          <w:szCs w:val="24"/>
        </w:rPr>
        <w:t>Workplace</w:t>
      </w:r>
      <w:proofErr w:type="spellEnd"/>
      <w:r w:rsidRPr="00FF33DB">
        <w:rPr>
          <w:szCs w:val="24"/>
        </w:rPr>
        <w:t xml:space="preserve"> a programu pro transformaci kybernetické bezpečnosti; dále konstatuje, že výdaje na vybavení vzrostly o 117 000 EUR (tj. o 20 %), zejména v důsledku úprav cen a strategických investic do telefonní infrastruktury; </w:t>
      </w:r>
      <w:bookmarkStart w:id="12" w:name="_Hlk224229242"/>
      <w:r w:rsidRPr="00FF33DB">
        <w:rPr>
          <w:szCs w:val="24"/>
        </w:rPr>
        <w:t>bere na vědomí znepokojení Výboru nad tím, že je v oblasti digitalizace a kybernetické bezpečnosti strukturálně podfinancován, a varuje, že trvale nedostatečné investice do kybernetické bezpečnosti představují strukturální riziko pro integritu orgánů, institucí a jiných subjektů Unie</w:t>
      </w:r>
      <w:bookmarkEnd w:id="12"/>
      <w:r w:rsidRPr="00FF33DB">
        <w:rPr>
          <w:szCs w:val="24"/>
        </w:rPr>
        <w:t xml:space="preserve">; vyzývá Výbor, aby upravil strukturovaný plán tak, aby postupně dosáhl referenční hodnoty 10 % výdajů na kybernetickou bezpečnost, včetně ročních milníků, stanovení priorit na základě rizik a pravidelného podávání zpráv orgánu příslušnému k udělení absolutoria; zdůrazňuje, že je třeba posílit spolupráci se Službou kybernetické bezpečnosti pro orgány, instituce a jiné subjekty Unie (CERT-EU) a orgány, instituce a jiné subjekty Unie s cílem zajistit soudržnou a odolnou pozici v oblasti kybernetické bezpečnosti; vyjadřuje v této souvislosti politování nad tím, že rozpočtový orgán nezahrnul do rozpočtu Unie na rok 2026 částku 1 176 000 EUR, která je nezbytná k tomu, aby Výbor (a VR) provedl rozsáhlou modernizaci kybernetické bezpečnosti, čímž se stal cíl uvedený v nařízení </w:t>
      </w:r>
      <w:r w:rsidRPr="00FF33DB">
        <w:rPr>
          <w:szCs w:val="24"/>
        </w:rPr>
        <w:lastRenderedPageBreak/>
        <w:t>(EU, Euratom) 2023/2841</w:t>
      </w:r>
      <w:r w:rsidRPr="00FF33DB">
        <w:rPr>
          <w:rStyle w:val="FootnoteReference"/>
          <w:szCs w:val="24"/>
        </w:rPr>
        <w:footnoteReference w:id="7"/>
      </w:r>
      <w:r w:rsidRPr="00FF33DB">
        <w:rPr>
          <w:szCs w:val="24"/>
        </w:rPr>
        <w:t xml:space="preserve"> věnovat přibližně 10 % svých celkových výdajů na IT na kybernetickou bezpečnost nedosažitelným; požaduje odpovídající finanční prostředky, které EHSV a Výboru regionů umožní provést v oblasti kybernetické bezpečnosti významnou modernizaci;</w:t>
      </w:r>
    </w:p>
    <w:p w14:paraId="1BD741AF" w14:textId="77777777" w:rsidR="00B77033" w:rsidRPr="00FF33DB" w:rsidRDefault="00B77033" w:rsidP="00FF33DB">
      <w:pPr>
        <w:pStyle w:val="NormalHanging12a"/>
        <w:rPr>
          <w:szCs w:val="24"/>
        </w:rPr>
      </w:pPr>
      <w:r w:rsidRPr="00FF33DB">
        <w:rPr>
          <w:szCs w:val="24"/>
        </w:rPr>
        <w:t>43.</w:t>
      </w:r>
      <w:r w:rsidRPr="00FF33DB">
        <w:rPr>
          <w:szCs w:val="24"/>
        </w:rPr>
        <w:tab/>
        <w:t xml:space="preserve">bere na vědomí klíčová zlepšení, pokud jde o digitalizaci a správu IT v roce 2024, jako je mimo jiné rozšíření pokrytí bezdrátovou místní sítí, zavedení systému Microsoft 365 a pilotních projektů v oblasti umělé inteligence, migrace do cloudu a zvyšování povědomí prostřednictvím Dnů kybernetické bezpečnosti; vítá víceletou digitální strategii (DS 2024–2026), kterou zahájilo společné ředitelství DIIT a která se opírá o čtyři stěžejní programy: M365 (program digitálního pracoviště), ARES (systém Komise pro správu dokumentů), </w:t>
      </w:r>
      <w:proofErr w:type="spellStart"/>
      <w:r w:rsidRPr="00FF33DB">
        <w:rPr>
          <w:szCs w:val="24"/>
        </w:rPr>
        <w:t>EdiT</w:t>
      </w:r>
      <w:proofErr w:type="spellEnd"/>
      <w:r w:rsidRPr="00FF33DB">
        <w:rPr>
          <w:szCs w:val="24"/>
        </w:rPr>
        <w:t xml:space="preserve"> (nástroj sdílený mezi orgány Unie pro přípravu legislativních dokumentů) a kybernetická bezpečnost; na základě zprávy Výboru a dotazníku konstatuje, že digitální strategie Výboru na období 2024–2026 zavádí revidovaný model digitální správy, jehož cílem je posílit institucionální spolupráci, zefektivnit pracovní postupy, automatizovat procesy, zlepšit tvorbu právních předpisů a posílit odolnost;</w:t>
      </w:r>
    </w:p>
    <w:p w14:paraId="2BFF954A" w14:textId="77777777" w:rsidR="00B77033" w:rsidRPr="00FF33DB" w:rsidRDefault="00B77033" w:rsidP="00FF33DB">
      <w:pPr>
        <w:pStyle w:val="NormalHanging12a"/>
        <w:rPr>
          <w:szCs w:val="24"/>
        </w:rPr>
      </w:pPr>
      <w:r w:rsidRPr="00FF33DB">
        <w:rPr>
          <w:szCs w:val="24"/>
        </w:rPr>
        <w:t>44.</w:t>
      </w:r>
      <w:r w:rsidRPr="00FF33DB">
        <w:rPr>
          <w:szCs w:val="24"/>
        </w:rPr>
        <w:tab/>
        <w:t xml:space="preserve">na základě dotazníku bere na vědomí zavedení systému HAN (HERMES-ARES-NOMCOM) pro bezpečnou správu dokumentů a dodržování pravidel pro ochranu údajů a přijetí editoru XML </w:t>
      </w:r>
      <w:proofErr w:type="spellStart"/>
      <w:r w:rsidRPr="00FF33DB">
        <w:rPr>
          <w:szCs w:val="24"/>
        </w:rPr>
        <w:t>EdiT</w:t>
      </w:r>
      <w:proofErr w:type="spellEnd"/>
      <w:r w:rsidRPr="00FF33DB">
        <w:rPr>
          <w:szCs w:val="24"/>
        </w:rPr>
        <w:t xml:space="preserve"> pro přípravu právních předpisů; vítá pokrok, jehož bylo dosaženo v oblasti správy záznamů, přičemž úplné zavedení se očekává do roku 2026; bere na vědomí zlepšení infrastruktury IT, včetně automatizace, migrace prostřednictvím cloudu a zavedení nového nástroje pro řízení lidských zdrojů (HRT nahrazující systém </w:t>
      </w:r>
      <w:proofErr w:type="spellStart"/>
      <w:r w:rsidRPr="00FF33DB">
        <w:rPr>
          <w:szCs w:val="24"/>
        </w:rPr>
        <w:t>Sysper</w:t>
      </w:r>
      <w:proofErr w:type="spellEnd"/>
      <w:r w:rsidRPr="00FF33DB">
        <w:rPr>
          <w:szCs w:val="24"/>
        </w:rPr>
        <w:t>) v roce 2024;</w:t>
      </w:r>
    </w:p>
    <w:p w14:paraId="070F1300" w14:textId="77777777" w:rsidR="00B77033" w:rsidRPr="00FF33DB" w:rsidRDefault="00B77033" w:rsidP="00FF33DB">
      <w:pPr>
        <w:pStyle w:val="NormalHanging12a"/>
        <w:rPr>
          <w:szCs w:val="24"/>
        </w:rPr>
      </w:pPr>
      <w:r w:rsidRPr="00FF33DB">
        <w:rPr>
          <w:szCs w:val="24"/>
        </w:rPr>
        <w:t>45.</w:t>
      </w:r>
      <w:r w:rsidRPr="00FF33DB">
        <w:rPr>
          <w:szCs w:val="24"/>
        </w:rPr>
        <w:tab/>
        <w:t xml:space="preserve">konstatuje, že Výbor využívá platformu Komise pro neurální strojový překlad </w:t>
      </w:r>
      <w:proofErr w:type="spellStart"/>
      <w:r w:rsidRPr="00FF33DB">
        <w:rPr>
          <w:szCs w:val="24"/>
        </w:rPr>
        <w:t>eTranslation</w:t>
      </w:r>
      <w:proofErr w:type="spellEnd"/>
      <w:r w:rsidRPr="00FF33DB">
        <w:rPr>
          <w:szCs w:val="24"/>
        </w:rPr>
        <w:t xml:space="preserve"> k automatickému generování překladů jako další pomůcku pro práci překladatelů; konstatuje, že Výbor souběžně úspěšně provedl pilotní projekt týkající se přepisu řeči do textu s využitím umělé inteligence za použití softwaru vyvinutého Světovou organizací duševního vlastnictví (WIPO) v roce 2024; dále konstatuje, že ředitelství pro překlady zahájilo v červnu 2024 jednoletý pilotní projekt s cílem posoudit využití nástroje </w:t>
      </w:r>
      <w:proofErr w:type="spellStart"/>
      <w:r w:rsidRPr="00FF33DB">
        <w:rPr>
          <w:szCs w:val="24"/>
        </w:rPr>
        <w:t>DeepL</w:t>
      </w:r>
      <w:proofErr w:type="spellEnd"/>
      <w:r w:rsidRPr="00FF33DB">
        <w:rPr>
          <w:szCs w:val="24"/>
        </w:rPr>
        <w:t xml:space="preserve"> jako alternativního překladatelského nástroje, u něhož se mělo za to, že ve srovnání s již zavedenými systémy pro překlad dokumentů Výboru nepřináší přidanou hodnotu;</w:t>
      </w:r>
    </w:p>
    <w:p w14:paraId="685895AE" w14:textId="77777777" w:rsidR="00B77033" w:rsidRPr="00FF33DB" w:rsidRDefault="00B77033" w:rsidP="00FF33DB">
      <w:pPr>
        <w:pStyle w:val="NormalHanging12a"/>
        <w:rPr>
          <w:szCs w:val="24"/>
        </w:rPr>
      </w:pPr>
      <w:r w:rsidRPr="00FF33DB">
        <w:rPr>
          <w:szCs w:val="24"/>
        </w:rPr>
        <w:t>46.</w:t>
      </w:r>
      <w:r w:rsidRPr="00FF33DB">
        <w:rPr>
          <w:szCs w:val="24"/>
        </w:rPr>
        <w:tab/>
        <w:t xml:space="preserve">na základě dotazníku konstatuje, že Výbor udržuje úzkou spolupráci se Službou kybernetické bezpečnosti pro orgány, instituce a jiné subjekty Unie (CERT-EU) a používá k odhalování a řešení slabých míst systému různé nástroje a průběžné monitorování; dále konstatuje, že společné ředitelství DIIT zahájilo provádění „základních zásad 8“, rámce kybernetické bezpečnosti NIST a projekt OWASP jako referenčních modelů s cílem posílit řízení rizik, zlepšit správu a začlenit bezpečnost do procesů identifikace, ochrany, odhalování, reakce a obnovy; bere na vědomí probíhající činnost za účelem dosažení plného souladu s provozními a regulačními požadavky; na základě monitorovací zprávy konstatuje, že kybernetická bezpečnost je Výborem nově pojímána jako sdílená odpovědnost všech zaměstnanců, která se opírá o víceletý plán, </w:t>
      </w:r>
      <w:r w:rsidRPr="00FF33DB">
        <w:rPr>
          <w:szCs w:val="24"/>
        </w:rPr>
        <w:lastRenderedPageBreak/>
        <w:t>průběžná školení a informační kampaně;</w:t>
      </w:r>
    </w:p>
    <w:p w14:paraId="29731445" w14:textId="77777777" w:rsidR="00B77033" w:rsidRPr="00FF33DB" w:rsidRDefault="00B77033" w:rsidP="00FF33DB">
      <w:pPr>
        <w:pStyle w:val="NormalHanging12a"/>
        <w:rPr>
          <w:szCs w:val="24"/>
        </w:rPr>
      </w:pPr>
      <w:r w:rsidRPr="00FF33DB">
        <w:rPr>
          <w:szCs w:val="24"/>
        </w:rPr>
        <w:t>47.</w:t>
      </w:r>
      <w:r w:rsidRPr="00FF33DB">
        <w:rPr>
          <w:szCs w:val="24"/>
        </w:rPr>
        <w:tab/>
        <w:t>s uspokojením konstatuje, že komunikační kanály Výboru jsou přístupné i osobám se zdravotním postižením; konstatuje, že Výbor uplatňuje pokyny pro přístupnost internetového obsahu a u většiny jeho aplikací je zajištěna komplexní přístupnost; v této souvislosti konstatuje, že internetové stránky Výboru pravidelně kontrolují odborníci na přístupnost, kteří vydávají doporučení, jež jsou poté prováděna, přičemž další audit se má uskutečnit v roce 2026;</w:t>
      </w:r>
    </w:p>
    <w:p w14:paraId="3EDD6FA9" w14:textId="77777777" w:rsidR="00B77033" w:rsidRPr="00FF33DB" w:rsidRDefault="00B77033" w:rsidP="00FF33DB">
      <w:pPr>
        <w:pStyle w:val="NormalHanging12a"/>
        <w:rPr>
          <w:szCs w:val="24"/>
        </w:rPr>
      </w:pPr>
      <w:r w:rsidRPr="00FF33DB">
        <w:rPr>
          <w:szCs w:val="24"/>
        </w:rPr>
        <w:t>48.</w:t>
      </w:r>
      <w:r w:rsidRPr="00FF33DB">
        <w:rPr>
          <w:szCs w:val="24"/>
        </w:rPr>
        <w:tab/>
        <w:t>chválí úsilí Výboru v roce 2024 zajistit, aby si zaměstnanci osvojili digitální dovednosti potřebné pro stále více digitalizované pracovní prostředí, jakož i za provádění cílených informačních kampaní, nabídku komplexního vzdělávacího a výcvikového programu a udržování aktuální znalostní databáze IT s rozhraním využívajícím umělou inteligenci na podporu rozvoje zaměstnanců; vybízí k odborné přípravě pracovníků v oblasti kybernetické bezpečnosti a bezpečného, etického a účinného využívání umělé inteligence;</w:t>
      </w:r>
    </w:p>
    <w:p w14:paraId="50118301" w14:textId="77777777" w:rsidR="00B77033" w:rsidRPr="00FF33DB" w:rsidRDefault="00B77033" w:rsidP="00FF33DB">
      <w:pPr>
        <w:pStyle w:val="NormalHanging12a"/>
        <w:rPr>
          <w:szCs w:val="24"/>
        </w:rPr>
      </w:pPr>
      <w:r w:rsidRPr="00FF33DB">
        <w:rPr>
          <w:szCs w:val="24"/>
        </w:rPr>
        <w:t>49.</w:t>
      </w:r>
      <w:r w:rsidRPr="00FF33DB">
        <w:rPr>
          <w:szCs w:val="24"/>
        </w:rPr>
        <w:tab/>
        <w:t>na základě monitorovací zprávy konstatuje, že v roce 2024 nebylo ze strany evropského inspektora ochrany údajů zahájeno žádné šetření týkající se uplatňování pravidel ochrany údajů ve Výboru; konstatuje však, že šetření týkající se řízení jednoho externího auditu, které bylo zahájeno v roce 2023, stále probíhá; žádá Výbor, aby orgán příslušný k udělení absolutoria průběžně informoval o následných opatřeních v této záležitosti;</w:t>
      </w:r>
    </w:p>
    <w:bookmarkEnd w:id="11"/>
    <w:p w14:paraId="4ADBAAAF" w14:textId="77777777" w:rsidR="00B77033" w:rsidRPr="00FF33DB" w:rsidRDefault="00B77033" w:rsidP="00FF33DB">
      <w:pPr>
        <w:pStyle w:val="NormalHanging12a"/>
        <w:rPr>
          <w:b/>
          <w:i/>
          <w:szCs w:val="24"/>
        </w:rPr>
      </w:pPr>
      <w:r w:rsidRPr="00FF33DB">
        <w:rPr>
          <w:b/>
          <w:i/>
          <w:szCs w:val="24"/>
        </w:rPr>
        <w:t>Budovy</w:t>
      </w:r>
    </w:p>
    <w:p w14:paraId="682FD5F0" w14:textId="77777777" w:rsidR="00B77033" w:rsidRPr="00FF33DB" w:rsidRDefault="00B77033" w:rsidP="00FF33DB">
      <w:pPr>
        <w:pStyle w:val="NormalHanging12a"/>
        <w:rPr>
          <w:szCs w:val="24"/>
        </w:rPr>
      </w:pPr>
      <w:r w:rsidRPr="00FF33DB">
        <w:rPr>
          <w:szCs w:val="24"/>
        </w:rPr>
        <w:t>50.</w:t>
      </w:r>
      <w:r w:rsidRPr="00FF33DB">
        <w:rPr>
          <w:szCs w:val="24"/>
        </w:rPr>
        <w:tab/>
        <w:t>na základě monitorovací zprávy konstatuje, že Výbor připravuje dlouhodobou strategii v oblasti budov vzhledem k nadcházející renovaci budovy SPAAK a skutečnosti, že budova B-100 bude v srpnu 2026 uvolněna; dále konstatuje, že do této strategie bude zahrnut výsledek probíhajících technických a environmentálních auditů budov Výboru; žádá Výbor, aby orgán příslušný k udělení absolutoria o těchto záležitostech průběžně informoval;</w:t>
      </w:r>
    </w:p>
    <w:p w14:paraId="0E2F3447" w14:textId="77777777" w:rsidR="00B77033" w:rsidRPr="00FF33DB" w:rsidRDefault="00B77033" w:rsidP="00FF33DB">
      <w:pPr>
        <w:pStyle w:val="NormalHanging12a"/>
        <w:rPr>
          <w:szCs w:val="24"/>
        </w:rPr>
      </w:pPr>
      <w:r w:rsidRPr="00FF33DB">
        <w:rPr>
          <w:szCs w:val="24"/>
        </w:rPr>
        <w:t>51.</w:t>
      </w:r>
      <w:r w:rsidRPr="00FF33DB">
        <w:rPr>
          <w:szCs w:val="24"/>
        </w:rPr>
        <w:tab/>
        <w:t>oceňuje, že Výbor v roce 2024 dokončil modernizaci a zlepšení přístupnosti všech šesti výtahů na západní straně budovy JDE, včetně jednoho určeného konkrétně pro osoby s omezenou schopností pohybu a orientace; vítá významná zlepšení, která byla učiněna pro vozíčkáře, nevidomé a slabozraké osoby, neslyšící a osoby s omezenou schopností pohybu a orientace nebo jiným fyzickým omezením, včetně vylepšené zvukové a vizuální signalizace, upravených ovládacích prvků, prodloužených časů otevření dveří, zrcadel a bezpečnostních prvků a madel;</w:t>
      </w:r>
    </w:p>
    <w:p w14:paraId="43F54456" w14:textId="77777777" w:rsidR="00B77033" w:rsidRPr="00FF33DB" w:rsidRDefault="00B77033" w:rsidP="00FF33DB">
      <w:pPr>
        <w:pStyle w:val="NormalHanging12a"/>
        <w:rPr>
          <w:szCs w:val="24"/>
        </w:rPr>
      </w:pPr>
      <w:r w:rsidRPr="00FF33DB">
        <w:rPr>
          <w:szCs w:val="24"/>
        </w:rPr>
        <w:t>52.</w:t>
      </w:r>
      <w:r w:rsidRPr="00FF33DB">
        <w:rPr>
          <w:szCs w:val="24"/>
        </w:rPr>
        <w:tab/>
        <w:t>bere na vědomí zprávu Výboru, že v roce 2024 byl v budově JDE ve spolupráci s VR vytvořen nový sdílený komunikační prostor; zdůrazňuje, že zařízení, které se nachází v prostorách bývalé knihovny, zahrnuje nejmodernější nahrávací studio, místnost pro rozhovory s výstupem na kameru a specializovaný konferenční prostor;</w:t>
      </w:r>
    </w:p>
    <w:p w14:paraId="334B6817" w14:textId="77777777" w:rsidR="00B77033" w:rsidRPr="00FF33DB" w:rsidRDefault="00B77033" w:rsidP="00FF33DB">
      <w:pPr>
        <w:pStyle w:val="NormalHanging12a"/>
        <w:rPr>
          <w:b/>
          <w:i/>
          <w:szCs w:val="24"/>
        </w:rPr>
      </w:pPr>
      <w:r w:rsidRPr="00FF33DB">
        <w:rPr>
          <w:b/>
          <w:i/>
          <w:szCs w:val="24"/>
        </w:rPr>
        <w:t>Životní prostředí a udržitelnost</w:t>
      </w:r>
    </w:p>
    <w:p w14:paraId="6EE513D1" w14:textId="77777777" w:rsidR="00B77033" w:rsidRPr="00FF33DB" w:rsidRDefault="00B77033" w:rsidP="00FF33DB">
      <w:pPr>
        <w:pStyle w:val="NormalHanging12a"/>
        <w:rPr>
          <w:szCs w:val="24"/>
        </w:rPr>
      </w:pPr>
      <w:r w:rsidRPr="00FF33DB">
        <w:rPr>
          <w:szCs w:val="24"/>
        </w:rPr>
        <w:t>53.</w:t>
      </w:r>
      <w:r w:rsidRPr="00FF33DB">
        <w:rPr>
          <w:szCs w:val="24"/>
        </w:rPr>
        <w:tab/>
        <w:t xml:space="preserve">na základě dotazníku konstatuje, že v roce 2024 vyčlenil Výbor 198 894 EUR na ekologizaci svých činností, přičemž 55 % bylo určeno na poradenské a odborné služby v oblasti hospodaření s energií a energetické účinnosti a 45 % na zlepšení </w:t>
      </w:r>
      <w:r w:rsidRPr="00FF33DB">
        <w:rPr>
          <w:szCs w:val="24"/>
        </w:rPr>
        <w:lastRenderedPageBreak/>
        <w:t>infrastruktury, jako je osvětlení LED, parkování jízdních kol či měření spotřeby energie; vítá, že tyto investice spolu s pokračujícími iniciativami v oblasti inovativních stavebních zařízení, 100 % zelené elektřiny, inteligentních technologií pro úsporu energie a digitalizace přispěly ke snížení spotřeby energie a emisí;</w:t>
      </w:r>
    </w:p>
    <w:p w14:paraId="6536347B" w14:textId="77777777" w:rsidR="00B77033" w:rsidRPr="00FF33DB" w:rsidRDefault="00B77033" w:rsidP="00FF33DB">
      <w:pPr>
        <w:pStyle w:val="NormalHanging12a"/>
        <w:rPr>
          <w:szCs w:val="24"/>
        </w:rPr>
      </w:pPr>
      <w:r w:rsidRPr="00FF33DB">
        <w:rPr>
          <w:szCs w:val="24"/>
        </w:rPr>
        <w:t>54.</w:t>
      </w:r>
      <w:r w:rsidRPr="00FF33DB">
        <w:rPr>
          <w:szCs w:val="24"/>
        </w:rPr>
        <w:tab/>
        <w:t>na základě dotazníku bere na vědomí pokles spotřeby elektřiny (−19 %), plynu (−13 %) a vody (−12 %), snížení objemu odpadu (−12 %) a zvýšení spotřeby papíru (+1 %) v roce 2024 ve srovnání s rokem 2023; vítá další snížení emisí uhlíku v přepočtu na plné pracovní úvazky o 4,3 % (emise z cest členů Výboru nejsou zahrnuty) ve stejném období; na základě dotazníku bere na vědomí opatření Výboru na podporu udržitelnějších možností cestování mezi jeho zaměstnanci a členy a probíhající revizi průvodce pracovními cestami pro zaměstnance, jejíž klíčovou součástí bude environmentální stopa; vítá další zaměření Výboru na nakládání s odpady a recyklaci s cílem podpořit kulturu snižování množství odpadu a účinného využívání zdrojů;</w:t>
      </w:r>
    </w:p>
    <w:p w14:paraId="6B8840C0" w14:textId="264DA2D4" w:rsidR="00B77033" w:rsidRPr="00FF33DB" w:rsidRDefault="00B77033" w:rsidP="00FF33DB">
      <w:pPr>
        <w:pStyle w:val="NormalHanging12a"/>
        <w:rPr>
          <w:szCs w:val="24"/>
        </w:rPr>
      </w:pPr>
      <w:r w:rsidRPr="00FF33DB">
        <w:rPr>
          <w:szCs w:val="24"/>
        </w:rPr>
        <w:t>55</w:t>
      </w:r>
      <w:r w:rsidR="004060F4">
        <w:rPr>
          <w:szCs w:val="24"/>
        </w:rPr>
        <w:t>.</w:t>
      </w:r>
      <w:r w:rsidRPr="00FF33DB">
        <w:rPr>
          <w:szCs w:val="24"/>
        </w:rPr>
        <w:tab/>
        <w:t>s uspokojením konstatuje, že všechny výzvy Výboru k podávání nabídek v hodnotě nad 60 000 EUR a výzvy v hodnotě nad 25 000 EUR, které jsou spravovány společně s VR, obsahují doložky o udržitelnosti v souladu s normami energetické unie, Zelenou dohodou pro Evropu a zásadami oběhového hospodářství; konstatuje, že nová rámcová smlouva Výboru týkající se stravovacích služeb, která vstoupila v platnost v srpnu 2024, obsahuje požadavky na ekologické a místní produkty, darování potravin či sezónní ovoce a zeleninu;</w:t>
      </w:r>
    </w:p>
    <w:p w14:paraId="6528FF6E" w14:textId="77777777" w:rsidR="00B77033" w:rsidRPr="00FF33DB" w:rsidRDefault="00B77033" w:rsidP="00FF33DB">
      <w:pPr>
        <w:pStyle w:val="NormalHanging12a"/>
        <w:rPr>
          <w:szCs w:val="24"/>
        </w:rPr>
      </w:pPr>
      <w:r w:rsidRPr="00FF33DB">
        <w:rPr>
          <w:szCs w:val="24"/>
        </w:rPr>
        <w:t>56.</w:t>
      </w:r>
      <w:r w:rsidRPr="00FF33DB">
        <w:rPr>
          <w:szCs w:val="24"/>
        </w:rPr>
        <w:tab/>
        <w:t xml:space="preserve">na základě dotazníku s uspokojením konstatuje, že Výbor pokračuje v úsilí o podporu udržitelné mobility svých zaměstnanců; konstatuje zejména, že Výbor nabízí finanční příspěvky na jízdenky na veřejnou dopravu, pro zaměstnance, kteří k dojíždění do zaměstnání používají jízdní kolo, a od roku 2024 příspěvky na předplatné </w:t>
      </w:r>
      <w:proofErr w:type="spellStart"/>
      <w:r w:rsidRPr="00FF33DB">
        <w:rPr>
          <w:szCs w:val="24"/>
        </w:rPr>
        <w:t>Flex</w:t>
      </w:r>
      <w:proofErr w:type="spellEnd"/>
      <w:r w:rsidRPr="00FF33DB">
        <w:rPr>
          <w:szCs w:val="24"/>
        </w:rPr>
        <w:t xml:space="preserve"> SNCB s cílem zohlednit aspekty týkající se hybridních pracovních úvazků; bere na vědomí plán Výboru účastnit se společně s VR výzvy k podávání nabídek (která má být znovu zahájena v roce 2026) pod vedením Komise na nákup a údržbu elektrických jízdních kol; vítá pokračující spolupráci s regionem hlavního města Bruselu v oblasti plánování mobility a účast Výboru na interinstitucionálních iniciativách, které přispívají ke kultuře udržitelného dojíždění;</w:t>
      </w:r>
    </w:p>
    <w:p w14:paraId="70DC1E90" w14:textId="77777777" w:rsidR="00B77033" w:rsidRPr="00FF33DB" w:rsidRDefault="00B77033" w:rsidP="00FF33DB">
      <w:pPr>
        <w:pStyle w:val="NormalHanging12a"/>
        <w:rPr>
          <w:b/>
          <w:i/>
          <w:szCs w:val="24"/>
        </w:rPr>
      </w:pPr>
      <w:r w:rsidRPr="00FF33DB">
        <w:rPr>
          <w:b/>
          <w:i/>
          <w:szCs w:val="24"/>
        </w:rPr>
        <w:t>Interinstitucionální spolupráce</w:t>
      </w:r>
    </w:p>
    <w:p w14:paraId="478D60F7" w14:textId="77777777" w:rsidR="00B77033" w:rsidRPr="00FF33DB" w:rsidRDefault="00B77033" w:rsidP="00FF33DB">
      <w:pPr>
        <w:pStyle w:val="NormalHanging12a"/>
        <w:rPr>
          <w:szCs w:val="24"/>
        </w:rPr>
      </w:pPr>
      <w:r w:rsidRPr="00FF33DB">
        <w:rPr>
          <w:szCs w:val="24"/>
        </w:rPr>
        <w:t>57.</w:t>
      </w:r>
      <w:r w:rsidRPr="00FF33DB">
        <w:rPr>
          <w:szCs w:val="24"/>
        </w:rPr>
        <w:tab/>
        <w:t xml:space="preserve">oceňuje úzkou spolupráci, kterou Výbor navázal s VR na administrativní úrovni, přičemž oba výbory sdílejí prostory a společné služby v oblasti překladů, infrastruktury, logistiky, bezpečnosti, zadávání veřejných zakázek, finančního řízení a informačních technologií, a to při zachování plné institucionální autonomie; konstatuje, že oba výbory ve snaze rozšířit spolupráci v dalších oblastech a s ohledem na rozpočtová omezení společně zahájily v roce 2024 dva klíčové projekty – projekt </w:t>
      </w:r>
      <w:proofErr w:type="spellStart"/>
      <w:r w:rsidRPr="00FF33DB">
        <w:rPr>
          <w:szCs w:val="24"/>
        </w:rPr>
        <w:t>SPaCES</w:t>
      </w:r>
      <w:proofErr w:type="spellEnd"/>
      <w:r w:rsidRPr="00FF33DB">
        <w:rPr>
          <w:szCs w:val="24"/>
        </w:rPr>
        <w:t xml:space="preserve"> zaměřený na transformaci kancelářského prostředí a strategickou reformu ředitelství pro překlady prostřednictvím strukturální reorganizace, lepšího využívání jazykových technologií a postupného snižování kapacity lidských překladatelů za účelem zvýšení efektivity a hospodárnosti;</w:t>
      </w:r>
    </w:p>
    <w:p w14:paraId="15CDB7E1" w14:textId="77777777" w:rsidR="00B77033" w:rsidRPr="00FF33DB" w:rsidRDefault="00B77033" w:rsidP="00FF33DB">
      <w:pPr>
        <w:pStyle w:val="NormalHanging12a"/>
        <w:rPr>
          <w:szCs w:val="24"/>
        </w:rPr>
      </w:pPr>
      <w:r w:rsidRPr="00FF33DB">
        <w:rPr>
          <w:szCs w:val="24"/>
        </w:rPr>
        <w:t>58.</w:t>
      </w:r>
      <w:r w:rsidRPr="00FF33DB">
        <w:rPr>
          <w:szCs w:val="24"/>
        </w:rPr>
        <w:tab/>
        <w:t>vítá příznivé výsledky dosažené během prvního roku provádění dohody Výboru a VR v audiovizuální oblasti, jako jsou rozpočtové úspory ve výši přibližně 140 000 EUR oproti samostatně řízenému projektu a zvýšená produkční kapacita, kdy do června 2025 bylo vyrobeno již 85 videí ve srovnání s přibližně 90 videi za celý rok 2024;</w:t>
      </w:r>
    </w:p>
    <w:p w14:paraId="1013E58B" w14:textId="77777777" w:rsidR="00B77033" w:rsidRPr="00FF33DB" w:rsidRDefault="00B77033" w:rsidP="00FF33DB">
      <w:pPr>
        <w:pStyle w:val="NormalHanging12a"/>
        <w:rPr>
          <w:szCs w:val="24"/>
        </w:rPr>
      </w:pPr>
      <w:r w:rsidRPr="00FF33DB">
        <w:rPr>
          <w:szCs w:val="24"/>
        </w:rPr>
        <w:lastRenderedPageBreak/>
        <w:t>59.</w:t>
      </w:r>
      <w:r w:rsidRPr="00FF33DB">
        <w:rPr>
          <w:szCs w:val="24"/>
        </w:rPr>
        <w:tab/>
        <w:t>chválí Výbor za významné úspory dosažené díky provádění dohody o spolupráci s VR, který zřídil společné služby pokrývající úkoly zejména v oblasti IT, logistiky a veřejných zakázek; na základě dotazníku bere s uspokojením na vědomí odhadované úspory Výboru v roce 2024 v oblasti IT (přibližně 16 milionů EUR), infrastruktury (přibližně 8 milionů EUR), tiskařských služeb (přibližně 125 000 EUR) a bezpečnostních služeb (přibližně 800 000 EUR); dále konstatuje, že pokud by Výbor a VR měly samostatné překladatelské služby a odbory zadávání zakázek, celkové náklady na zaměstnance by se zvýšily nejméně o 30 %; opakuje svou výzvu k co největšímu rozšíření této spolupráce na úroveň zřízení jednotné správy pro společné služby a oddělení služeb a oddělení odpovědných za jejich hlavní nezávislé mandáty;</w:t>
      </w:r>
    </w:p>
    <w:p w14:paraId="6659BED0" w14:textId="77777777" w:rsidR="00B77033" w:rsidRPr="00FF33DB" w:rsidRDefault="00B77033" w:rsidP="00FF33DB">
      <w:pPr>
        <w:pStyle w:val="NormalHanging12a"/>
        <w:rPr>
          <w:szCs w:val="24"/>
        </w:rPr>
      </w:pPr>
      <w:r w:rsidRPr="00FF33DB">
        <w:rPr>
          <w:szCs w:val="24"/>
        </w:rPr>
        <w:t>60.</w:t>
      </w:r>
      <w:r w:rsidRPr="00FF33DB">
        <w:rPr>
          <w:szCs w:val="24"/>
        </w:rPr>
        <w:tab/>
        <w:t>s uspokojením bere na vědomí významné rozpočtové a administrativní úspory, jichž Výbor dosáhl prostřednictvím dohod o úrovni služeb, zejména s Komisí, pokud jde o využívání nástrojů IT pro finanční a klíčové řízení lidských zdrojů; dále vítá účast Výboru na interinstitucionálních zadávacích řízeních vedených jinými orgány, jako je Parlament a Komise, v oblastech, jako jsou služební cesty, pojištění, cestování, IT, překlady a audiovizuální vybavení; na základě dotazníku konstatuje, že celkové náklady, které Výboru v souvislosti s outsourcingem konkrétních služeb na Komisi vznikly, se zvýšily ze 793 000 EUR v roce 2023 na 893 000 EUR v roce 2024;</w:t>
      </w:r>
    </w:p>
    <w:p w14:paraId="1BFA300B" w14:textId="77777777" w:rsidR="00B77033" w:rsidRPr="00FF33DB" w:rsidRDefault="00B77033" w:rsidP="00FF33DB">
      <w:pPr>
        <w:pStyle w:val="NormalHanging12a"/>
        <w:rPr>
          <w:szCs w:val="24"/>
        </w:rPr>
      </w:pPr>
      <w:r w:rsidRPr="00FF33DB">
        <w:rPr>
          <w:szCs w:val="24"/>
        </w:rPr>
        <w:t>61.</w:t>
      </w:r>
      <w:r w:rsidRPr="00FF33DB">
        <w:rPr>
          <w:szCs w:val="24"/>
        </w:rPr>
        <w:tab/>
      </w:r>
      <w:bookmarkStart w:id="13" w:name="_Hlk216940933"/>
      <w:r w:rsidRPr="00FF33DB">
        <w:rPr>
          <w:szCs w:val="24"/>
        </w:rPr>
        <w:t>bere na vědomí některé události a údaje týkající se spolupráce mezi Výborem a Parlamentem v roce 2024: přijetí nové dohody o spolupráci, podepsání memoranda o porozumění týkajícího se spolupráce při přípravě voleb do Evropského parlamentu, účast 55 poslanců na 38 akcích Výboru, účast Výboru na 32 akcích Parlamentu a účast na různých dvoustranných setkáních a schůzích politických skupin</w:t>
      </w:r>
      <w:bookmarkEnd w:id="13"/>
      <w:r w:rsidRPr="00FF33DB">
        <w:rPr>
          <w:szCs w:val="24"/>
        </w:rPr>
        <w:t>;</w:t>
      </w:r>
    </w:p>
    <w:p w14:paraId="6811E0D9" w14:textId="77777777" w:rsidR="00B77033" w:rsidRPr="00FF33DB" w:rsidRDefault="00B77033" w:rsidP="00FF33DB">
      <w:pPr>
        <w:pStyle w:val="NormalHanging12a"/>
        <w:rPr>
          <w:szCs w:val="24"/>
        </w:rPr>
      </w:pPr>
      <w:r w:rsidRPr="00FF33DB">
        <w:rPr>
          <w:szCs w:val="24"/>
        </w:rPr>
        <w:t>62.</w:t>
      </w:r>
      <w:r w:rsidRPr="00FF33DB">
        <w:rPr>
          <w:szCs w:val="24"/>
        </w:rPr>
        <w:tab/>
        <w:t>bere na vědomí některé události a údaje týkající se spolupráce mezi Výborem a Komisí v roce 2024: účast členů Komise na 10 plenárních zasedáních Výboru a dalších akcích pořádaných Výborem, více než 30 společných komunikačních projektů zaměřených na zapojení občanské společnosti, 20 konkrétních společných aktivit, příspěvky Výboru do 17 skupin odborníků Komise, šest průzkumných stanovisek a tři hodnotící zprávy, které Výbor předložil na žádost Komise;</w:t>
      </w:r>
    </w:p>
    <w:p w14:paraId="10EBD048" w14:textId="77777777" w:rsidR="00B77033" w:rsidRPr="00FF33DB" w:rsidRDefault="00B77033" w:rsidP="00FF33DB">
      <w:pPr>
        <w:pStyle w:val="NormalHanging12a"/>
        <w:rPr>
          <w:szCs w:val="24"/>
        </w:rPr>
      </w:pPr>
      <w:r w:rsidRPr="00FF33DB">
        <w:rPr>
          <w:szCs w:val="24"/>
        </w:rPr>
        <w:t>63.</w:t>
      </w:r>
      <w:r w:rsidRPr="00FF33DB">
        <w:rPr>
          <w:szCs w:val="24"/>
        </w:rPr>
        <w:tab/>
        <w:t>bere na vědomí některé události a údaje týkající se spolupráce mezi Výborem a Radou/Evropskou radou v roce 2024: tři setkání na vysoké úrovni s předsedy Evropské rady a 21 průzkumných stanovisek vydaných Výborem na žádost belgického a maďarského předsednictví;</w:t>
      </w:r>
    </w:p>
    <w:p w14:paraId="41A21FC4" w14:textId="77777777" w:rsidR="00B77033" w:rsidRPr="00FF33DB" w:rsidRDefault="00B77033" w:rsidP="00FF33DB">
      <w:pPr>
        <w:pStyle w:val="NormalHanging12a"/>
        <w:rPr>
          <w:szCs w:val="24"/>
        </w:rPr>
      </w:pPr>
      <w:r w:rsidRPr="00FF33DB">
        <w:rPr>
          <w:szCs w:val="24"/>
        </w:rPr>
        <w:t>64.</w:t>
      </w:r>
      <w:r w:rsidRPr="00FF33DB">
        <w:rPr>
          <w:szCs w:val="24"/>
        </w:rPr>
        <w:tab/>
        <w:t>poznamenává, že i v roce 2024 byly realizovány rozpočtové úspory a došlo ke zvýšení efektivity prostřednictvím aktivní spolupráce mezi Výborem a orgány Unie, mj. tím, že se plenární zasedání Výboru konala v budovách Komise a Parlamentu, kde jsou prostory a související služby poskytovány zdarma nebo za ceny nižší než na vnějším trhu;</w:t>
      </w:r>
    </w:p>
    <w:p w14:paraId="03A9723B" w14:textId="77777777" w:rsidR="00B77033" w:rsidRPr="00FF33DB" w:rsidRDefault="00B77033" w:rsidP="00FF33DB">
      <w:pPr>
        <w:pStyle w:val="NormalHanging12a"/>
        <w:rPr>
          <w:szCs w:val="24"/>
        </w:rPr>
      </w:pPr>
      <w:r w:rsidRPr="00FF33DB">
        <w:rPr>
          <w:szCs w:val="24"/>
        </w:rPr>
        <w:t>65.</w:t>
      </w:r>
      <w:r w:rsidRPr="00FF33DB">
        <w:rPr>
          <w:szCs w:val="24"/>
        </w:rPr>
        <w:tab/>
        <w:t xml:space="preserve">konstatuje, že Výbor hraje klíčovou roli při posilování vazeb s národními hospodářskými a sociálními radami členských států a mezi nimi; v této souvislosti bere na vědomí zahájení činnosti nové tematické pracovní skupiny složené ze 13 národních hospodářských a sociálních rad, zveřejnění 32 zpravodajských článků a 26 shrnutí zpráv přijatých národními hospodářskými a sociálními radami, uspořádání výročního zasedání předsedů a generálních tajemníků národních hospodářských a sociálních rad v Bruselu a společně organizovaného semináře se 100 účastníky z řad evropských sociálních </w:t>
      </w:r>
      <w:r w:rsidRPr="00FF33DB">
        <w:rPr>
          <w:szCs w:val="24"/>
        </w:rPr>
        <w:lastRenderedPageBreak/>
        <w:t>partnerů, organizací občanské společnosti, zástupců orgánů Unie a akademických pracovníků v roce 2024; vyzývá k pokračující spolupráci na tématech společného zájmu a k výměně osvědčených postupů, přičemž zdůrazňuje zásadní úlohu občanské společnosti při řešení současných výzev Unie;</w:t>
      </w:r>
    </w:p>
    <w:p w14:paraId="168FF49D" w14:textId="77777777" w:rsidR="00B77033" w:rsidRPr="00FF33DB" w:rsidRDefault="00B77033" w:rsidP="00FF33DB">
      <w:pPr>
        <w:pStyle w:val="NormalHanging12a"/>
        <w:rPr>
          <w:b/>
          <w:i/>
          <w:szCs w:val="24"/>
        </w:rPr>
      </w:pPr>
      <w:r w:rsidRPr="00FF33DB">
        <w:rPr>
          <w:b/>
          <w:i/>
          <w:szCs w:val="24"/>
        </w:rPr>
        <w:t>Komunikační činnost</w:t>
      </w:r>
    </w:p>
    <w:p w14:paraId="2BA7E0D6" w14:textId="77777777" w:rsidR="00B77033" w:rsidRPr="00FF33DB" w:rsidRDefault="00B77033" w:rsidP="00FF33DB">
      <w:pPr>
        <w:pStyle w:val="NormalHanging12a"/>
        <w:rPr>
          <w:szCs w:val="24"/>
        </w:rPr>
      </w:pPr>
      <w:r w:rsidRPr="00FF33DB">
        <w:rPr>
          <w:szCs w:val="24"/>
        </w:rPr>
        <w:t>66.</w:t>
      </w:r>
      <w:r w:rsidRPr="00FF33DB">
        <w:rPr>
          <w:szCs w:val="24"/>
        </w:rPr>
        <w:tab/>
        <w:t>na základě dotazníku konstatuje, že celkový rozpočet Výboru na komunikaci, publikace a získávání dokumentace činil v roce 2024 asi 2,5 milionu EUR (přibližně stejně jako v roce 2023), což po převodech rozpočtových prostředků do roku 2024 představuje 1,4 % celkového rozpočtu Výboru; vítá skutečnost, že Výbor v roce 2024 zaměřil své zdroje na omezený počet komunikačních priorit souvisejících s legislativními prioritami orgánů Unie, jako je cenová dostupnost energie, umělá inteligence, duševní zdraví, strategická autonomie, hospodářská reforma, genderová rovnost, mládež a rozšíření, což je v souladu s úsilím v oblasti komunikace zaměřené na dopad;</w:t>
      </w:r>
    </w:p>
    <w:p w14:paraId="62693540" w14:textId="77777777" w:rsidR="00B77033" w:rsidRPr="00FF33DB" w:rsidRDefault="00B77033" w:rsidP="00FF33DB">
      <w:pPr>
        <w:pStyle w:val="NormalHanging12a"/>
        <w:rPr>
          <w:szCs w:val="24"/>
        </w:rPr>
      </w:pPr>
      <w:r w:rsidRPr="00FF33DB">
        <w:rPr>
          <w:szCs w:val="24"/>
        </w:rPr>
        <w:t>67.</w:t>
      </w:r>
      <w:r w:rsidRPr="00FF33DB">
        <w:rPr>
          <w:szCs w:val="24"/>
        </w:rPr>
        <w:tab/>
        <w:t>na základě dotazníku a zprávy Výboru konstatuje, že Výbor v roce 2024 provedl komplexní komunikační plán v rámci kampaně k volbám do Evropského parlamentu prostřednictvím místních akcí a Týdne občanské společnosti; v této souvislosti oceňuje, že 104 členů Výboru se kromě informační činnosti v sociálních médiích zúčastnilo 122 akcí pro veřejnost, v jejich rámci bylo přímo osloveno přibližně 350 000 občanů; dále oceňuje výsledky, které Výbor zaznamenal v souvislosti s uspořádáním Týdne občanské společnosti, konkrétně 800 účastníků, více než 8 000 interakcí, více než 1 milion zobrazení a zhruba 96 000 zhlédnutí videí, což svědčí o silné přítomnosti v sociálních médiích;</w:t>
      </w:r>
    </w:p>
    <w:p w14:paraId="792CCB56" w14:textId="77777777" w:rsidR="00B77033" w:rsidRPr="00FF33DB" w:rsidRDefault="00B77033" w:rsidP="00FF33DB">
      <w:pPr>
        <w:pStyle w:val="NormalHanging12a"/>
        <w:rPr>
          <w:bCs/>
          <w:iCs/>
          <w:szCs w:val="24"/>
        </w:rPr>
      </w:pPr>
      <w:r w:rsidRPr="00FF33DB">
        <w:rPr>
          <w:szCs w:val="24"/>
        </w:rPr>
        <w:t>68.</w:t>
      </w:r>
      <w:r w:rsidRPr="00FF33DB">
        <w:rPr>
          <w:szCs w:val="24"/>
        </w:rPr>
        <w:tab/>
        <w:t xml:space="preserve">oceňuje úsilí Výboru o zviditelnění své činnosti; domnívá se však, že je třeba vyvinout další úsilí k tomu, aby komunikační činnosti jasně vysvětlovaly úlohu Výboru a konkrétní přínos Unie v konkrétních situacích, a to způsobem, který bude pro občany přístupný a přiměřený; oceňuje zahájení činnosti platformy </w:t>
      </w:r>
      <w:proofErr w:type="spellStart"/>
      <w:r w:rsidRPr="00FF33DB">
        <w:rPr>
          <w:szCs w:val="24"/>
        </w:rPr>
        <w:t>NaviGate</w:t>
      </w:r>
      <w:proofErr w:type="spellEnd"/>
      <w:r w:rsidRPr="00FF33DB">
        <w:rPr>
          <w:szCs w:val="24"/>
        </w:rPr>
        <w:t xml:space="preserve"> v květnu 2024; konstatuje, že tato platforma, která poskytuje webové odkazy pro nástroj EU </w:t>
      </w:r>
      <w:proofErr w:type="spellStart"/>
      <w:r w:rsidRPr="00FF33DB">
        <w:rPr>
          <w:szCs w:val="24"/>
        </w:rPr>
        <w:t>Law</w:t>
      </w:r>
      <w:proofErr w:type="spellEnd"/>
      <w:r w:rsidRPr="00FF33DB">
        <w:rPr>
          <w:szCs w:val="24"/>
        </w:rPr>
        <w:t xml:space="preserve"> </w:t>
      </w:r>
      <w:proofErr w:type="spellStart"/>
      <w:r w:rsidRPr="00FF33DB">
        <w:rPr>
          <w:szCs w:val="24"/>
        </w:rPr>
        <w:t>Tracker</w:t>
      </w:r>
      <w:proofErr w:type="spellEnd"/>
      <w:r w:rsidRPr="00FF33DB">
        <w:rPr>
          <w:szCs w:val="24"/>
        </w:rPr>
        <w:t>, výrazně zviditelňuje činnost Výboru a zlepšuje uživatelské pohodlí členů, zaměstnanců, návštěvníků z jiných orgánů a veřejnosti, přičemž v roce 2024 dosáhla 4 600 unikátních návštěvníků;</w:t>
      </w:r>
    </w:p>
    <w:p w14:paraId="2348D05D" w14:textId="3CC9B199" w:rsidR="00E365E1" w:rsidRPr="00FF33DB" w:rsidRDefault="00B77033" w:rsidP="00FF33DB">
      <w:pPr>
        <w:spacing w:after="240"/>
        <w:ind w:left="567" w:hanging="567"/>
        <w:rPr>
          <w:szCs w:val="24"/>
        </w:rPr>
      </w:pPr>
      <w:r w:rsidRPr="00FF33DB">
        <w:rPr>
          <w:szCs w:val="24"/>
        </w:rPr>
        <w:t>69.</w:t>
      </w:r>
      <w:r w:rsidRPr="00FF33DB">
        <w:rPr>
          <w:szCs w:val="24"/>
        </w:rPr>
        <w:tab/>
        <w:t xml:space="preserve">na základě zprávy Výboru konstatuje, že jeho přítomnost na sociálních médiích se nadále rozšiřovala, přičemž čtyři hlavní účty Výboru dosáhly celkového nárůstu počtu sledujících o více než 18 % ve srovnání s rokem 2023; zdůrazňuje, že výrazně vzrostla míra zapojení publika, a to o 45 %, přičemž počet interakcí na všech platformách přesáhl 416 000; dále konstatuje, že do konce roku 2024 dosáhl Výbor 62 868 sledujících na platformě X, 79 647 na LinkedIn, 49 494 na Facebooku a 29 987 na Instagramu, což odráží silný růst specifický pro jednotlivé platformy ve srovnání s rokem 2023; konstatuje, že nejvyšší nárůst počtu sledujících byl zaznamenán na účtu na Instagramu v roce 2024 (+72 %); konstatuje, že v souladu se společným přístupem orgánů Unie otevřel Výbor v roce 2024 svůj první účet </w:t>
      </w:r>
      <w:proofErr w:type="spellStart"/>
      <w:r w:rsidRPr="00FF33DB">
        <w:rPr>
          <w:szCs w:val="24"/>
        </w:rPr>
        <w:t>Bluesky</w:t>
      </w:r>
      <w:proofErr w:type="spellEnd"/>
      <w:r w:rsidRPr="00FF33DB">
        <w:rPr>
          <w:szCs w:val="24"/>
        </w:rPr>
        <w:t>, aby si zajistil oficiální přítomnost, přičemž činnost byla zahájena v lednu 2025</w:t>
      </w:r>
      <w:r w:rsidR="00FF33DB">
        <w:rPr>
          <w:szCs w:val="24"/>
        </w:rPr>
        <w:t>.</w:t>
      </w:r>
    </w:p>
    <w:sectPr w:rsidR="00E365E1" w:rsidRPr="00FF33DB" w:rsidSect="00E8055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E4D943" w14:textId="77777777" w:rsidR="001C2D10" w:rsidRPr="00E80554" w:rsidRDefault="001C2D10">
      <w:r w:rsidRPr="00E80554">
        <w:separator/>
      </w:r>
    </w:p>
  </w:endnote>
  <w:endnote w:type="continuationSeparator" w:id="0">
    <w:p w14:paraId="2AC3EF86" w14:textId="77777777" w:rsidR="001C2D10" w:rsidRPr="00E80554" w:rsidRDefault="001C2D10">
      <w:r w:rsidRPr="00E8055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2F611E" w14:textId="77777777" w:rsidR="00B77033" w:rsidRPr="00E80554" w:rsidRDefault="00B77033" w:rsidP="0060603A">
    <w:pPr>
      <w:pStyle w:val="EPFooter"/>
    </w:pPr>
    <w:r w:rsidRPr="00E80554">
      <w:t>PE</w:t>
    </w:r>
    <w:r w:rsidRPr="00E80554">
      <w:rPr>
        <w:rStyle w:val="HideTWBExt"/>
      </w:rPr>
      <w:t>&lt;</w:t>
    </w:r>
    <w:proofErr w:type="spellStart"/>
    <w:r w:rsidRPr="00E80554">
      <w:rPr>
        <w:rStyle w:val="HideTWBExt"/>
      </w:rPr>
      <w:t>NoPE</w:t>
    </w:r>
    <w:proofErr w:type="spellEnd"/>
    <w:r w:rsidRPr="00E80554">
      <w:rPr>
        <w:rStyle w:val="HideTWBExt"/>
      </w:rPr>
      <w:t>&gt;</w:t>
    </w:r>
    <w:r w:rsidRPr="00E80554">
      <w:t>778.063</w:t>
    </w:r>
    <w:r w:rsidRPr="00E80554">
      <w:rPr>
        <w:rStyle w:val="HideTWBExt"/>
      </w:rPr>
      <w:t>&lt;/</w:t>
    </w:r>
    <w:proofErr w:type="spellStart"/>
    <w:r w:rsidRPr="00E80554">
      <w:rPr>
        <w:rStyle w:val="HideTWBExt"/>
      </w:rPr>
      <w:t>NoPE</w:t>
    </w:r>
    <w:proofErr w:type="spellEnd"/>
    <w:r w:rsidRPr="00E80554">
      <w:rPr>
        <w:rStyle w:val="HideTWBExt"/>
      </w:rPr>
      <w:t>&gt;&lt;Version&gt;</w:t>
    </w:r>
    <w:r w:rsidRPr="00E80554">
      <w:t>v02-00</w:t>
    </w:r>
    <w:r w:rsidRPr="00E80554">
      <w:rPr>
        <w:rStyle w:val="HideTWBExt"/>
      </w:rPr>
      <w:t>&lt;/</w:t>
    </w:r>
    <w:proofErr w:type="spellStart"/>
    <w:r w:rsidRPr="00E80554">
      <w:rPr>
        <w:rStyle w:val="HideTWBExt"/>
      </w:rPr>
      <w:t>Version</w:t>
    </w:r>
    <w:proofErr w:type="spellEnd"/>
    <w:r w:rsidRPr="00E80554">
      <w:rPr>
        <w:rStyle w:val="HideTWBExt"/>
      </w:rPr>
      <w:t>&gt;</w:t>
    </w:r>
    <w:r w:rsidRPr="00E80554">
      <w:tab/>
    </w:r>
    <w:r w:rsidRPr="00E80554">
      <w:fldChar w:fldCharType="begin"/>
    </w:r>
    <w:r w:rsidRPr="00E80554">
      <w:instrText xml:space="preserve"> PAGE  \* MERGEFORMAT </w:instrText>
    </w:r>
    <w:r w:rsidRPr="00E80554">
      <w:fldChar w:fldCharType="separate"/>
    </w:r>
    <w:r w:rsidRPr="00E80554">
      <w:rPr>
        <w:noProof/>
      </w:rPr>
      <w:t>1</w:t>
    </w:r>
    <w:r w:rsidRPr="00E80554">
      <w:fldChar w:fldCharType="end"/>
    </w:r>
    <w:r w:rsidRPr="00E80554">
      <w:t>/</w:t>
    </w:r>
    <w:fldSimple w:instr=" NUMPAGES  \* MERGEFORMAT ">
      <w:r w:rsidRPr="00E80554">
        <w:rPr>
          <w:noProof/>
        </w:rPr>
        <w:t>2</w:t>
      </w:r>
    </w:fldSimple>
    <w:r w:rsidRPr="00E80554">
      <w:tab/>
    </w:r>
    <w:r w:rsidRPr="00E80554">
      <w:rPr>
        <w:rStyle w:val="HideTWBExt"/>
      </w:rPr>
      <w:t>&lt;PathFdR&gt;</w:t>
    </w:r>
    <w:r w:rsidRPr="00E80554">
      <w:t>RR\1339613CS.docx</w:t>
    </w:r>
    <w:r w:rsidRPr="00E80554">
      <w:rPr>
        <w:rStyle w:val="HideTWBExt"/>
      </w:rPr>
      <w:t>&lt;/</w:t>
    </w:r>
    <w:proofErr w:type="spellStart"/>
    <w:r w:rsidRPr="00E80554">
      <w:rPr>
        <w:rStyle w:val="HideTWBExt"/>
      </w:rPr>
      <w:t>PathFdR</w:t>
    </w:r>
    <w:proofErr w:type="spellEnd"/>
    <w:r w:rsidRPr="00E80554">
      <w:rPr>
        <w:rStyle w:val="HideTWBExt"/>
      </w:rPr>
      <w:t>&gt;</w:t>
    </w:r>
  </w:p>
  <w:p w14:paraId="74ADA326" w14:textId="77777777" w:rsidR="00B77033" w:rsidRPr="00E80554" w:rsidRDefault="00B77033" w:rsidP="0060603A">
    <w:pPr>
      <w:pStyle w:val="EPFooter2"/>
    </w:pPr>
    <w:r w:rsidRPr="00E80554">
      <w:t>CS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3EF50D" w14:textId="77777777" w:rsidR="00B77033" w:rsidRPr="00E80554" w:rsidRDefault="00B77033" w:rsidP="0060603A">
    <w:pPr>
      <w:pStyle w:val="EPFooter"/>
    </w:pPr>
    <w:r w:rsidRPr="00E80554">
      <w:rPr>
        <w:rStyle w:val="HideTWBExt"/>
      </w:rPr>
      <w:t>&lt;PathFdR&gt;</w:t>
    </w:r>
    <w:r w:rsidRPr="00E80554">
      <w:t>RR\1339613CS.docx</w:t>
    </w:r>
    <w:r w:rsidRPr="00E80554">
      <w:rPr>
        <w:rStyle w:val="HideTWBExt"/>
      </w:rPr>
      <w:t>&lt;/</w:t>
    </w:r>
    <w:proofErr w:type="spellStart"/>
    <w:r w:rsidRPr="00E80554">
      <w:rPr>
        <w:rStyle w:val="HideTWBExt"/>
      </w:rPr>
      <w:t>PathFdR</w:t>
    </w:r>
    <w:proofErr w:type="spellEnd"/>
    <w:r w:rsidRPr="00E80554">
      <w:rPr>
        <w:rStyle w:val="HideTWBExt"/>
      </w:rPr>
      <w:t>&gt;</w:t>
    </w:r>
    <w:r w:rsidRPr="00E80554">
      <w:tab/>
    </w:r>
    <w:r w:rsidRPr="00E80554">
      <w:tab/>
      <w:t>PE</w:t>
    </w:r>
    <w:r w:rsidRPr="00E80554">
      <w:rPr>
        <w:rStyle w:val="HideTWBExt"/>
      </w:rPr>
      <w:t>&lt;</w:t>
    </w:r>
    <w:proofErr w:type="spellStart"/>
    <w:r w:rsidRPr="00E80554">
      <w:rPr>
        <w:rStyle w:val="HideTWBExt"/>
      </w:rPr>
      <w:t>NoPE</w:t>
    </w:r>
    <w:proofErr w:type="spellEnd"/>
    <w:r w:rsidRPr="00E80554">
      <w:rPr>
        <w:rStyle w:val="HideTWBExt"/>
      </w:rPr>
      <w:t>&gt;</w:t>
    </w:r>
    <w:r w:rsidRPr="00E80554">
      <w:t>778.063</w:t>
    </w:r>
    <w:r w:rsidRPr="00E80554">
      <w:rPr>
        <w:rStyle w:val="HideTWBExt"/>
      </w:rPr>
      <w:t>&lt;/</w:t>
    </w:r>
    <w:proofErr w:type="spellStart"/>
    <w:r w:rsidRPr="00E80554">
      <w:rPr>
        <w:rStyle w:val="HideTWBExt"/>
      </w:rPr>
      <w:t>NoPE</w:t>
    </w:r>
    <w:proofErr w:type="spellEnd"/>
    <w:r w:rsidRPr="00E80554">
      <w:rPr>
        <w:rStyle w:val="HideTWBExt"/>
      </w:rPr>
      <w:t>&gt;&lt;Version&gt;</w:t>
    </w:r>
    <w:r w:rsidRPr="00E80554">
      <w:t>v02-00</w:t>
    </w:r>
    <w:r w:rsidRPr="00E80554">
      <w:rPr>
        <w:rStyle w:val="HideTWBExt"/>
      </w:rPr>
      <w:t>&lt;/</w:t>
    </w:r>
    <w:proofErr w:type="spellStart"/>
    <w:r w:rsidRPr="00E80554">
      <w:rPr>
        <w:rStyle w:val="HideTWBExt"/>
      </w:rPr>
      <w:t>Version</w:t>
    </w:r>
    <w:proofErr w:type="spellEnd"/>
    <w:r w:rsidRPr="00E80554">
      <w:rPr>
        <w:rStyle w:val="HideTWBExt"/>
      </w:rPr>
      <w:t>&gt;</w:t>
    </w:r>
  </w:p>
  <w:p w14:paraId="3B4BD641" w14:textId="77777777" w:rsidR="00B77033" w:rsidRPr="00E80554" w:rsidRDefault="00B77033" w:rsidP="0060603A">
    <w:pPr>
      <w:pStyle w:val="EPFooter2"/>
    </w:pPr>
    <w:r w:rsidRPr="00E80554">
      <w:t>CS</w:t>
    </w:r>
    <w:r w:rsidRPr="00E80554">
      <w:tab/>
    </w:r>
    <w:r w:rsidRPr="00E80554">
      <w:rPr>
        <w:b w:val="0"/>
        <w:i/>
        <w:color w:val="C0C0C0"/>
        <w:sz w:val="22"/>
      </w:rPr>
      <w:t>Jednotná v rozmanitosti</w:t>
    </w:r>
    <w:r w:rsidRPr="00E80554">
      <w:tab/>
      <w:t>CS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167875" w14:textId="77777777" w:rsidR="00064002" w:rsidRPr="00E80554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C49A83" w14:textId="77777777" w:rsidR="00064002" w:rsidRPr="00E80554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D44DFE" w14:textId="77777777" w:rsidR="00064002" w:rsidRPr="00E8055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9C05DE" w14:textId="77777777" w:rsidR="001C2D10" w:rsidRPr="00E80554" w:rsidRDefault="001C2D10">
      <w:r w:rsidRPr="00E80554">
        <w:separator/>
      </w:r>
    </w:p>
  </w:footnote>
  <w:footnote w:type="continuationSeparator" w:id="0">
    <w:p w14:paraId="5402569A" w14:textId="77777777" w:rsidR="001C2D10" w:rsidRPr="00E80554" w:rsidRDefault="001C2D10">
      <w:r w:rsidRPr="00E80554">
        <w:continuationSeparator/>
      </w:r>
    </w:p>
  </w:footnote>
  <w:footnote w:id="1">
    <w:p w14:paraId="7641C128" w14:textId="20AF134D" w:rsidR="00B77033" w:rsidRPr="00E80554" w:rsidRDefault="00B77033" w:rsidP="00E80554">
      <w:pPr>
        <w:pStyle w:val="FootnoteText"/>
        <w:ind w:left="567" w:hanging="567"/>
        <w:rPr>
          <w:sz w:val="24"/>
          <w:lang w:val="cs-CZ"/>
        </w:rPr>
      </w:pPr>
      <w:r w:rsidRPr="00E80554">
        <w:rPr>
          <w:rStyle w:val="FootnoteReference"/>
          <w:sz w:val="24"/>
          <w:lang w:val="cs-CZ"/>
        </w:rPr>
        <w:footnoteRef/>
      </w:r>
      <w:r w:rsidR="00E80554" w:rsidRPr="00E80554">
        <w:rPr>
          <w:sz w:val="24"/>
          <w:lang w:val="cs-CZ"/>
        </w:rPr>
        <w:t xml:space="preserve"> </w:t>
      </w:r>
      <w:r w:rsidR="00E80554" w:rsidRPr="00E80554">
        <w:rPr>
          <w:sz w:val="24"/>
          <w:lang w:val="cs-CZ"/>
        </w:rPr>
        <w:tab/>
      </w:r>
      <w:proofErr w:type="spellStart"/>
      <w:r w:rsidRPr="00E80554">
        <w:rPr>
          <w:sz w:val="24"/>
          <w:lang w:val="cs-CZ"/>
        </w:rPr>
        <w:t>Úř</w:t>
      </w:r>
      <w:proofErr w:type="spellEnd"/>
      <w:r w:rsidRPr="00E80554">
        <w:rPr>
          <w:sz w:val="24"/>
          <w:lang w:val="cs-CZ"/>
        </w:rPr>
        <w:t xml:space="preserve">. </w:t>
      </w:r>
      <w:proofErr w:type="spellStart"/>
      <w:r w:rsidRPr="00E80554">
        <w:rPr>
          <w:sz w:val="24"/>
          <w:lang w:val="cs-CZ"/>
        </w:rPr>
        <w:t>věst</w:t>
      </w:r>
      <w:proofErr w:type="spellEnd"/>
      <w:r w:rsidRPr="00E80554">
        <w:rPr>
          <w:sz w:val="24"/>
          <w:lang w:val="cs-CZ"/>
        </w:rPr>
        <w:t>. L</w:t>
      </w:r>
      <w:r w:rsidR="00C51255">
        <w:rPr>
          <w:sz w:val="24"/>
          <w:lang w:val="cs-CZ"/>
        </w:rPr>
        <w:t>,</w:t>
      </w:r>
      <w:r w:rsidRPr="00E80554">
        <w:rPr>
          <w:sz w:val="24"/>
          <w:lang w:val="cs-CZ"/>
        </w:rPr>
        <w:t xml:space="preserve"> </w:t>
      </w:r>
      <w:r w:rsidR="00C51255">
        <w:rPr>
          <w:sz w:val="24"/>
          <w:lang w:val="cs-CZ"/>
        </w:rPr>
        <w:t>2024/</w:t>
      </w:r>
      <w:r w:rsidRPr="00E80554">
        <w:rPr>
          <w:sz w:val="24"/>
          <w:lang w:val="cs-CZ"/>
        </w:rPr>
        <w:t xml:space="preserve">207, 22.2.2024, ELI: </w:t>
      </w:r>
      <w:r>
        <w:fldChar w:fldCharType="begin"/>
      </w:r>
      <w:r w:rsidRPr="004060F4">
        <w:rPr>
          <w:lang w:val="fi-FI"/>
        </w:rPr>
        <w:instrText>HYPERLINK "http://data.europa.eu/eli/budget/2024/207/oj"</w:instrText>
      </w:r>
      <w:r>
        <w:fldChar w:fldCharType="separate"/>
      </w:r>
      <w:r w:rsidRPr="00E80554">
        <w:rPr>
          <w:rStyle w:val="Hyperlink"/>
          <w:sz w:val="24"/>
          <w:lang w:val="cs-CZ"/>
        </w:rPr>
        <w:t>http://data.europa.eu/eli/budget/2024/207/oj</w:t>
      </w:r>
      <w:r>
        <w:fldChar w:fldCharType="end"/>
      </w:r>
      <w:r w:rsidRPr="00E80554">
        <w:rPr>
          <w:sz w:val="24"/>
          <w:lang w:val="cs-CZ"/>
        </w:rPr>
        <w:t>.</w:t>
      </w:r>
    </w:p>
  </w:footnote>
  <w:footnote w:id="2">
    <w:p w14:paraId="539C2240" w14:textId="201C6B88" w:rsidR="00B77033" w:rsidRPr="00E80554" w:rsidRDefault="00B77033" w:rsidP="00E80554">
      <w:pPr>
        <w:pStyle w:val="FootnoteText"/>
        <w:ind w:left="567" w:hanging="567"/>
        <w:rPr>
          <w:sz w:val="24"/>
          <w:lang w:val="cs-CZ"/>
        </w:rPr>
      </w:pPr>
      <w:r w:rsidRPr="00E80554">
        <w:rPr>
          <w:rStyle w:val="FootnoteReference"/>
          <w:sz w:val="24"/>
          <w:lang w:val="cs-CZ"/>
        </w:rPr>
        <w:footnoteRef/>
      </w:r>
      <w:r w:rsidR="00E80554" w:rsidRPr="00E80554">
        <w:rPr>
          <w:sz w:val="24"/>
          <w:lang w:val="cs-CZ"/>
        </w:rPr>
        <w:t xml:space="preserve"> </w:t>
      </w:r>
      <w:r w:rsidR="00E80554" w:rsidRPr="00E80554">
        <w:rPr>
          <w:sz w:val="24"/>
          <w:lang w:val="cs-CZ"/>
        </w:rPr>
        <w:tab/>
      </w:r>
      <w:proofErr w:type="spellStart"/>
      <w:r w:rsidRPr="00E80554">
        <w:rPr>
          <w:sz w:val="24"/>
          <w:lang w:val="cs-CZ"/>
        </w:rPr>
        <w:t>Úř</w:t>
      </w:r>
      <w:proofErr w:type="spellEnd"/>
      <w:r w:rsidRPr="00E80554">
        <w:rPr>
          <w:sz w:val="24"/>
          <w:lang w:val="cs-CZ"/>
        </w:rPr>
        <w:t xml:space="preserve">. </w:t>
      </w:r>
      <w:proofErr w:type="spellStart"/>
      <w:r w:rsidRPr="00E80554">
        <w:rPr>
          <w:sz w:val="24"/>
          <w:lang w:val="cs-CZ"/>
        </w:rPr>
        <w:t>věst</w:t>
      </w:r>
      <w:proofErr w:type="spellEnd"/>
      <w:r w:rsidRPr="00E80554">
        <w:rPr>
          <w:sz w:val="24"/>
          <w:lang w:val="cs-CZ"/>
        </w:rPr>
        <w:t>. C, C/2025/4944, 13.10.2025, ELI: </w:t>
      </w:r>
      <w:r>
        <w:fldChar w:fldCharType="begin"/>
      </w:r>
      <w:r w:rsidRPr="004060F4">
        <w:rPr>
          <w:lang w:val="cs-CZ"/>
        </w:rPr>
        <w:instrText>HYPERLINK "http://data.europa.eu/eli/C/2025/4944/oj" \t "_blank" \o "Umožňuje přístup k tomuto dokumentu prostřednictvím identifikátoru ELI URI."</w:instrText>
      </w:r>
      <w:r>
        <w:fldChar w:fldCharType="separate"/>
      </w:r>
      <w:r w:rsidRPr="00E80554">
        <w:rPr>
          <w:rStyle w:val="Hyperlink"/>
          <w:sz w:val="24"/>
          <w:lang w:val="cs-CZ"/>
        </w:rPr>
        <w:t>http://data.europa.eu/eli/C/2025/4944/oj</w:t>
      </w:r>
      <w:r>
        <w:fldChar w:fldCharType="end"/>
      </w:r>
      <w:r w:rsidRPr="00E80554">
        <w:rPr>
          <w:sz w:val="24"/>
          <w:lang w:val="cs-CZ"/>
        </w:rPr>
        <w:t>.</w:t>
      </w:r>
    </w:p>
  </w:footnote>
  <w:footnote w:id="3">
    <w:p w14:paraId="27DAE1DE" w14:textId="1467531C" w:rsidR="00B77033" w:rsidRPr="00E80554" w:rsidRDefault="00B77033" w:rsidP="00E80554">
      <w:pPr>
        <w:pStyle w:val="FootnoteText"/>
        <w:ind w:left="567" w:hanging="567"/>
        <w:rPr>
          <w:sz w:val="24"/>
          <w:lang w:val="cs-CZ"/>
        </w:rPr>
      </w:pPr>
      <w:r w:rsidRPr="00E80554">
        <w:rPr>
          <w:rStyle w:val="FootnoteReference"/>
          <w:sz w:val="24"/>
          <w:lang w:val="cs-CZ"/>
        </w:rPr>
        <w:footnoteRef/>
      </w:r>
      <w:r w:rsidR="00E80554" w:rsidRPr="00E80554">
        <w:rPr>
          <w:sz w:val="24"/>
          <w:lang w:val="cs-CZ"/>
        </w:rPr>
        <w:t xml:space="preserve"> </w:t>
      </w:r>
      <w:r w:rsidR="00E80554" w:rsidRPr="00E80554">
        <w:rPr>
          <w:sz w:val="24"/>
          <w:lang w:val="cs-CZ"/>
        </w:rPr>
        <w:tab/>
      </w:r>
      <w:proofErr w:type="spellStart"/>
      <w:r w:rsidRPr="00E80554">
        <w:rPr>
          <w:sz w:val="24"/>
          <w:lang w:val="cs-CZ"/>
        </w:rPr>
        <w:t>Úř</w:t>
      </w:r>
      <w:proofErr w:type="spellEnd"/>
      <w:r w:rsidRPr="00E80554">
        <w:rPr>
          <w:sz w:val="24"/>
          <w:lang w:val="cs-CZ"/>
        </w:rPr>
        <w:t xml:space="preserve">. </w:t>
      </w:r>
      <w:proofErr w:type="spellStart"/>
      <w:r w:rsidRPr="00E80554">
        <w:rPr>
          <w:sz w:val="24"/>
          <w:lang w:val="cs-CZ"/>
        </w:rPr>
        <w:t>věst</w:t>
      </w:r>
      <w:proofErr w:type="spellEnd"/>
      <w:r w:rsidRPr="00E80554">
        <w:rPr>
          <w:sz w:val="24"/>
          <w:lang w:val="cs-CZ"/>
        </w:rPr>
        <w:t xml:space="preserve">. C, C/2025/5409, 8.10.2025, ELI: </w:t>
      </w:r>
      <w:r>
        <w:fldChar w:fldCharType="begin"/>
      </w:r>
      <w:r w:rsidRPr="004060F4">
        <w:rPr>
          <w:lang w:val="fi-FI"/>
        </w:rPr>
        <w:instrText>HYPERLINK "http://data.europa.eu/eli/C/2025/5409/oj"</w:instrText>
      </w:r>
      <w:r>
        <w:fldChar w:fldCharType="separate"/>
      </w:r>
      <w:r w:rsidRPr="00E80554">
        <w:rPr>
          <w:rStyle w:val="Hyperlink"/>
          <w:sz w:val="24"/>
          <w:lang w:val="cs-CZ"/>
        </w:rPr>
        <w:t>http://data.europa.eu/eli/C/2025/5409/oj</w:t>
      </w:r>
      <w:r>
        <w:fldChar w:fldCharType="end"/>
      </w:r>
      <w:r w:rsidRPr="00E80554">
        <w:rPr>
          <w:sz w:val="24"/>
          <w:lang w:val="cs-CZ"/>
        </w:rPr>
        <w:t>.</w:t>
      </w:r>
    </w:p>
  </w:footnote>
  <w:footnote w:id="4">
    <w:p w14:paraId="1317DBB7" w14:textId="677AB1F1" w:rsidR="00B77033" w:rsidRPr="00E80554" w:rsidRDefault="00B77033" w:rsidP="00E80554">
      <w:pPr>
        <w:pStyle w:val="FootnoteText"/>
        <w:ind w:left="567" w:hanging="567"/>
        <w:rPr>
          <w:sz w:val="24"/>
          <w:lang w:val="cs-CZ"/>
        </w:rPr>
      </w:pPr>
      <w:r w:rsidRPr="00E80554">
        <w:rPr>
          <w:rStyle w:val="FootnoteReference"/>
          <w:sz w:val="24"/>
          <w:lang w:val="cs-CZ"/>
        </w:rPr>
        <w:footnoteRef/>
      </w:r>
      <w:r w:rsidR="00E80554" w:rsidRPr="00E80554">
        <w:rPr>
          <w:sz w:val="24"/>
          <w:lang w:val="cs-CZ"/>
        </w:rPr>
        <w:t xml:space="preserve"> </w:t>
      </w:r>
      <w:r w:rsidR="00E80554" w:rsidRPr="00E80554">
        <w:rPr>
          <w:sz w:val="24"/>
          <w:lang w:val="cs-CZ"/>
        </w:rPr>
        <w:tab/>
      </w:r>
      <w:proofErr w:type="spellStart"/>
      <w:r w:rsidRPr="00E80554">
        <w:rPr>
          <w:sz w:val="24"/>
          <w:lang w:val="cs-CZ"/>
        </w:rPr>
        <w:t>Úř</w:t>
      </w:r>
      <w:proofErr w:type="spellEnd"/>
      <w:r w:rsidRPr="00E80554">
        <w:rPr>
          <w:sz w:val="24"/>
          <w:lang w:val="cs-CZ"/>
        </w:rPr>
        <w:t xml:space="preserve">. </w:t>
      </w:r>
      <w:proofErr w:type="spellStart"/>
      <w:r w:rsidRPr="00E80554">
        <w:rPr>
          <w:sz w:val="24"/>
          <w:lang w:val="cs-CZ"/>
        </w:rPr>
        <w:t>věst</w:t>
      </w:r>
      <w:proofErr w:type="spellEnd"/>
      <w:r w:rsidRPr="00E80554">
        <w:rPr>
          <w:sz w:val="24"/>
          <w:lang w:val="cs-CZ"/>
        </w:rPr>
        <w:t xml:space="preserve">. C, C/2025/5407, 13.10.2025, ELI: </w:t>
      </w:r>
      <w:r>
        <w:fldChar w:fldCharType="begin"/>
      </w:r>
      <w:r w:rsidRPr="004060F4">
        <w:rPr>
          <w:lang w:val="fi-FI"/>
        </w:rPr>
        <w:instrText>HYPERLINK "http://data.europa.eu/eli/C/2025/5407/oj"</w:instrText>
      </w:r>
      <w:r>
        <w:fldChar w:fldCharType="separate"/>
      </w:r>
      <w:r w:rsidRPr="00E80554">
        <w:rPr>
          <w:rStyle w:val="Hyperlink"/>
          <w:sz w:val="24"/>
          <w:lang w:val="cs-CZ"/>
        </w:rPr>
        <w:t>http://data.europa.eu/eli/C/2025/5407/oj</w:t>
      </w:r>
      <w:r>
        <w:fldChar w:fldCharType="end"/>
      </w:r>
      <w:r w:rsidRPr="00E80554">
        <w:rPr>
          <w:sz w:val="24"/>
          <w:lang w:val="cs-CZ"/>
        </w:rPr>
        <w:t>.</w:t>
      </w:r>
    </w:p>
  </w:footnote>
  <w:footnote w:id="5">
    <w:p w14:paraId="1554BBB2" w14:textId="10050A07" w:rsidR="00B77033" w:rsidRPr="00E80554" w:rsidRDefault="00B77033" w:rsidP="00E80554">
      <w:pPr>
        <w:pStyle w:val="FootnoteText"/>
        <w:ind w:left="567" w:hanging="567"/>
        <w:rPr>
          <w:sz w:val="24"/>
          <w:lang w:val="cs-CZ"/>
        </w:rPr>
      </w:pPr>
      <w:r w:rsidRPr="00E80554">
        <w:rPr>
          <w:rStyle w:val="FootnoteReference"/>
          <w:sz w:val="24"/>
          <w:lang w:val="cs-CZ"/>
        </w:rPr>
        <w:footnoteRef/>
      </w:r>
      <w:r w:rsidR="00E80554" w:rsidRPr="00E80554">
        <w:rPr>
          <w:sz w:val="24"/>
          <w:lang w:val="cs-CZ"/>
        </w:rPr>
        <w:t xml:space="preserve"> </w:t>
      </w:r>
      <w:r w:rsidR="00E80554" w:rsidRPr="00E80554">
        <w:rPr>
          <w:sz w:val="24"/>
          <w:lang w:val="cs-CZ"/>
        </w:rPr>
        <w:tab/>
      </w:r>
      <w:proofErr w:type="spellStart"/>
      <w:r w:rsidRPr="00E80554">
        <w:rPr>
          <w:sz w:val="24"/>
          <w:lang w:val="cs-CZ"/>
        </w:rPr>
        <w:t>Úř</w:t>
      </w:r>
      <w:proofErr w:type="spellEnd"/>
      <w:r w:rsidRPr="00E80554">
        <w:rPr>
          <w:sz w:val="24"/>
          <w:lang w:val="cs-CZ"/>
        </w:rPr>
        <w:t xml:space="preserve">. </w:t>
      </w:r>
      <w:proofErr w:type="spellStart"/>
      <w:r w:rsidRPr="00E80554">
        <w:rPr>
          <w:sz w:val="24"/>
          <w:lang w:val="cs-CZ"/>
        </w:rPr>
        <w:t>věst</w:t>
      </w:r>
      <w:proofErr w:type="spellEnd"/>
      <w:r w:rsidRPr="00E80554">
        <w:rPr>
          <w:sz w:val="24"/>
          <w:lang w:val="cs-CZ"/>
        </w:rPr>
        <w:t xml:space="preserve">. L 193, 30.7.2018, s. 1, ELI: </w:t>
      </w:r>
      <w:r>
        <w:fldChar w:fldCharType="begin"/>
      </w:r>
      <w:r w:rsidRPr="004060F4">
        <w:rPr>
          <w:lang w:val="fi-FI"/>
        </w:rPr>
        <w:instrText>HYPERLINK "http://data.europa.eu/eli/reg/2018/1046/oj"</w:instrText>
      </w:r>
      <w:r>
        <w:fldChar w:fldCharType="separate"/>
      </w:r>
      <w:r w:rsidRPr="00E80554">
        <w:rPr>
          <w:rStyle w:val="Hyperlink"/>
          <w:sz w:val="24"/>
          <w:lang w:val="cs-CZ"/>
        </w:rPr>
        <w:t>http://data.europa.eu/eli/reg/2018/1046/oj</w:t>
      </w:r>
      <w:r>
        <w:fldChar w:fldCharType="end"/>
      </w:r>
      <w:r w:rsidRPr="00E80554">
        <w:rPr>
          <w:sz w:val="24"/>
          <w:lang w:val="cs-CZ"/>
        </w:rPr>
        <w:t>.</w:t>
      </w:r>
    </w:p>
  </w:footnote>
  <w:footnote w:id="6">
    <w:p w14:paraId="6EB168B0" w14:textId="65CE57E0" w:rsidR="00B77033" w:rsidRPr="00E80554" w:rsidRDefault="00B77033" w:rsidP="00E80554">
      <w:pPr>
        <w:pStyle w:val="FootnoteText"/>
        <w:ind w:left="567" w:hanging="567"/>
        <w:rPr>
          <w:sz w:val="24"/>
          <w:lang w:val="cs-CZ"/>
        </w:rPr>
      </w:pPr>
      <w:r w:rsidRPr="00E80554">
        <w:rPr>
          <w:rStyle w:val="FootnoteReference"/>
          <w:sz w:val="24"/>
          <w:lang w:val="cs-CZ"/>
        </w:rPr>
        <w:footnoteRef/>
      </w:r>
      <w:r w:rsidR="00E80554" w:rsidRPr="00E80554">
        <w:rPr>
          <w:sz w:val="24"/>
          <w:lang w:val="cs-CZ"/>
        </w:rPr>
        <w:t xml:space="preserve"> </w:t>
      </w:r>
      <w:r w:rsidR="00E80554" w:rsidRPr="00E80554">
        <w:rPr>
          <w:sz w:val="24"/>
          <w:lang w:val="cs-CZ"/>
        </w:rPr>
        <w:tab/>
      </w:r>
      <w:proofErr w:type="spellStart"/>
      <w:r w:rsidRPr="00E80554">
        <w:rPr>
          <w:sz w:val="24"/>
          <w:lang w:val="cs-CZ"/>
        </w:rPr>
        <w:t>Úř</w:t>
      </w:r>
      <w:proofErr w:type="spellEnd"/>
      <w:r w:rsidRPr="00E80554">
        <w:rPr>
          <w:sz w:val="24"/>
          <w:lang w:val="cs-CZ"/>
        </w:rPr>
        <w:t xml:space="preserve">. </w:t>
      </w:r>
      <w:proofErr w:type="spellStart"/>
      <w:r w:rsidRPr="00E80554">
        <w:rPr>
          <w:sz w:val="24"/>
          <w:lang w:val="cs-CZ"/>
        </w:rPr>
        <w:t>věst</w:t>
      </w:r>
      <w:proofErr w:type="spellEnd"/>
      <w:r w:rsidRPr="00E80554">
        <w:rPr>
          <w:sz w:val="24"/>
          <w:lang w:val="cs-CZ"/>
        </w:rPr>
        <w:t xml:space="preserve">. L, 2024/2509, 26.9.2024, ELI: </w:t>
      </w:r>
      <w:r>
        <w:fldChar w:fldCharType="begin"/>
      </w:r>
      <w:r w:rsidRPr="004060F4">
        <w:rPr>
          <w:lang w:val="fi-FI"/>
        </w:rPr>
        <w:instrText>HYPERLINK "http://data.europa.eu/eli/reg/2024/2509/oj"</w:instrText>
      </w:r>
      <w:r>
        <w:fldChar w:fldCharType="separate"/>
      </w:r>
      <w:r w:rsidRPr="00E80554">
        <w:rPr>
          <w:rStyle w:val="Hyperlink"/>
          <w:sz w:val="24"/>
          <w:lang w:val="cs-CZ"/>
        </w:rPr>
        <w:t>http://data.europa.eu/eli/reg/2024/2509/oj</w:t>
      </w:r>
      <w:r>
        <w:fldChar w:fldCharType="end"/>
      </w:r>
      <w:r w:rsidRPr="00E80554">
        <w:rPr>
          <w:sz w:val="24"/>
          <w:lang w:val="cs-CZ"/>
        </w:rPr>
        <w:t>.</w:t>
      </w:r>
    </w:p>
  </w:footnote>
  <w:footnote w:id="7">
    <w:p w14:paraId="4A2050EE" w14:textId="049DFFD2" w:rsidR="00B77033" w:rsidRPr="00E80554" w:rsidRDefault="00B77033" w:rsidP="00E80554">
      <w:pPr>
        <w:pStyle w:val="FootnoteText"/>
        <w:ind w:left="567" w:hanging="567"/>
        <w:rPr>
          <w:sz w:val="24"/>
          <w:lang w:val="cs-CZ"/>
        </w:rPr>
      </w:pPr>
      <w:r w:rsidRPr="00E80554">
        <w:rPr>
          <w:rStyle w:val="FootnoteReference"/>
          <w:sz w:val="24"/>
          <w:lang w:val="cs-CZ"/>
        </w:rPr>
        <w:footnoteRef/>
      </w:r>
      <w:r w:rsidR="00E80554" w:rsidRPr="00E80554">
        <w:rPr>
          <w:color w:val="333333"/>
          <w:sz w:val="24"/>
          <w:shd w:val="clear" w:color="auto" w:fill="FFFFFF"/>
          <w:lang w:val="cs-CZ"/>
        </w:rPr>
        <w:t xml:space="preserve"> </w:t>
      </w:r>
      <w:r w:rsidR="00E80554" w:rsidRPr="00E80554">
        <w:rPr>
          <w:color w:val="333333"/>
          <w:sz w:val="24"/>
          <w:shd w:val="clear" w:color="auto" w:fill="FFFFFF"/>
          <w:lang w:val="cs-CZ"/>
        </w:rPr>
        <w:tab/>
      </w:r>
      <w:r w:rsidRPr="00E80554">
        <w:rPr>
          <w:color w:val="333333"/>
          <w:sz w:val="24"/>
          <w:shd w:val="clear" w:color="auto" w:fill="FFFFFF"/>
          <w:lang w:val="cs-CZ"/>
        </w:rPr>
        <w:t>Nařízení Evropského parlamentu a Rady (EU, Euratom) 2023/2841 ze dne 13. prosince 2023, kterým se stanoví opatření k zajištění vysoké společné úrovně kybernetické bezpečnosti v orgánech, institucích a jiných subjektech Unie (</w:t>
      </w:r>
      <w:proofErr w:type="spellStart"/>
      <w:r w:rsidRPr="00E80554">
        <w:rPr>
          <w:color w:val="333333"/>
          <w:sz w:val="24"/>
          <w:shd w:val="clear" w:color="auto" w:fill="FFFFFF"/>
          <w:lang w:val="cs-CZ"/>
        </w:rPr>
        <w:t>Úř</w:t>
      </w:r>
      <w:proofErr w:type="spellEnd"/>
      <w:r w:rsidRPr="00E80554">
        <w:rPr>
          <w:color w:val="333333"/>
          <w:sz w:val="24"/>
          <w:shd w:val="clear" w:color="auto" w:fill="FFFFFF"/>
          <w:lang w:val="cs-CZ"/>
        </w:rPr>
        <w:t xml:space="preserve">. </w:t>
      </w:r>
      <w:proofErr w:type="spellStart"/>
      <w:r w:rsidRPr="00E80554">
        <w:rPr>
          <w:color w:val="333333"/>
          <w:sz w:val="24"/>
          <w:shd w:val="clear" w:color="auto" w:fill="FFFFFF"/>
          <w:lang w:val="cs-CZ"/>
        </w:rPr>
        <w:t>věst</w:t>
      </w:r>
      <w:proofErr w:type="spellEnd"/>
      <w:r w:rsidRPr="00E80554">
        <w:rPr>
          <w:color w:val="333333"/>
          <w:sz w:val="24"/>
          <w:shd w:val="clear" w:color="auto" w:fill="FFFFFF"/>
          <w:lang w:val="cs-CZ"/>
        </w:rPr>
        <w:t>. L, 2023/2841, 18.12.2023, ELI: </w:t>
      </w:r>
      <w:hyperlink r:id="rId1" w:tgtFrame="_blank" w:tooltip="Umožňuje přístup k tomuto dokumentu prostřednictvím identifikátoru ELI URI." w:history="1">
        <w:r w:rsidRPr="00E80554">
          <w:rPr>
            <w:rStyle w:val="Hyperlink"/>
            <w:sz w:val="24"/>
            <w:shd w:val="clear" w:color="auto" w:fill="FFFFFF"/>
            <w:lang w:val="cs-CZ"/>
          </w:rPr>
          <w:t>http://data.europa.eu/eli/reg/2023/2841/oj</w:t>
        </w:r>
      </w:hyperlink>
      <w:r w:rsidRPr="00E80554">
        <w:rPr>
          <w:color w:val="333333"/>
          <w:sz w:val="24"/>
          <w:shd w:val="clear" w:color="auto" w:fill="FFFFFF"/>
          <w:lang w:val="cs-CZ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6D82C0" w14:textId="77777777" w:rsidR="00064002" w:rsidRPr="00E8055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DC6FFD" w14:textId="77777777" w:rsidR="00064002" w:rsidRPr="00E8055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D8A880" w14:textId="77777777" w:rsidR="00064002" w:rsidRPr="00E8055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19091318"/>
    <w:multiLevelType w:val="hybridMultilevel"/>
    <w:tmpl w:val="143224D2"/>
    <w:lvl w:ilvl="0" w:tplc="9D5C48F8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DEC49F6A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3082684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121C332A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2D7A26E0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EB861778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A266A7D0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5B8EE450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6A3282B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2E6A5CB8"/>
    <w:multiLevelType w:val="hybridMultilevel"/>
    <w:tmpl w:val="1EE80404"/>
    <w:lvl w:ilvl="0" w:tplc="88E89ED6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986273"/>
    <w:multiLevelType w:val="hybridMultilevel"/>
    <w:tmpl w:val="91085294"/>
    <w:lvl w:ilvl="0" w:tplc="EE8C3520">
      <w:start w:val="1"/>
      <w:numFmt w:val="upperLetter"/>
      <w:lvlText w:val="%1."/>
      <w:lvlJc w:val="left"/>
      <w:pPr>
        <w:ind w:left="930" w:hanging="57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5" w15:restartNumberingAfterBreak="0">
    <w:nsid w:val="458C4DF2"/>
    <w:multiLevelType w:val="hybridMultilevel"/>
    <w:tmpl w:val="E60E59D0"/>
    <w:lvl w:ilvl="0" w:tplc="08090015">
      <w:start w:val="4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2D6E49"/>
    <w:multiLevelType w:val="hybridMultilevel"/>
    <w:tmpl w:val="78B8CEFC"/>
    <w:lvl w:ilvl="0" w:tplc="3410A46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C46455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72652A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C1C0F7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A7A293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76E829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0E8E6A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9A2CA3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26E6F8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FC66DD9"/>
    <w:multiLevelType w:val="hybridMultilevel"/>
    <w:tmpl w:val="A7CCC14A"/>
    <w:lvl w:ilvl="0" w:tplc="08090015">
      <w:start w:val="8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2513088">
    <w:abstractNumId w:val="9"/>
  </w:num>
  <w:num w:numId="2" w16cid:durableId="1980453585">
    <w:abstractNumId w:val="9"/>
  </w:num>
  <w:num w:numId="3" w16cid:durableId="959336261">
    <w:abstractNumId w:val="7"/>
  </w:num>
  <w:num w:numId="4" w16cid:durableId="712579375">
    <w:abstractNumId w:val="7"/>
  </w:num>
  <w:num w:numId="5" w16cid:durableId="2023821330">
    <w:abstractNumId w:val="6"/>
  </w:num>
  <w:num w:numId="6" w16cid:durableId="595557931">
    <w:abstractNumId w:val="6"/>
  </w:num>
  <w:num w:numId="7" w16cid:durableId="1425570318">
    <w:abstractNumId w:val="5"/>
  </w:num>
  <w:num w:numId="8" w16cid:durableId="390495165">
    <w:abstractNumId w:val="5"/>
  </w:num>
  <w:num w:numId="9" w16cid:durableId="1135101664">
    <w:abstractNumId w:val="4"/>
  </w:num>
  <w:num w:numId="10" w16cid:durableId="1955868939">
    <w:abstractNumId w:val="4"/>
  </w:num>
  <w:num w:numId="11" w16cid:durableId="783042258">
    <w:abstractNumId w:val="8"/>
  </w:num>
  <w:num w:numId="12" w16cid:durableId="2033265063">
    <w:abstractNumId w:val="8"/>
  </w:num>
  <w:num w:numId="13" w16cid:durableId="2114783051">
    <w:abstractNumId w:val="3"/>
  </w:num>
  <w:num w:numId="14" w16cid:durableId="120002495">
    <w:abstractNumId w:val="3"/>
  </w:num>
  <w:num w:numId="15" w16cid:durableId="1436753354">
    <w:abstractNumId w:val="2"/>
  </w:num>
  <w:num w:numId="16" w16cid:durableId="484322097">
    <w:abstractNumId w:val="2"/>
  </w:num>
  <w:num w:numId="17" w16cid:durableId="470052646">
    <w:abstractNumId w:val="1"/>
  </w:num>
  <w:num w:numId="18" w16cid:durableId="1502502617">
    <w:abstractNumId w:val="1"/>
  </w:num>
  <w:num w:numId="19" w16cid:durableId="372659357">
    <w:abstractNumId w:val="0"/>
  </w:num>
  <w:num w:numId="20" w16cid:durableId="1749114722">
    <w:abstractNumId w:val="0"/>
  </w:num>
  <w:num w:numId="21" w16cid:durableId="95369460">
    <w:abstractNumId w:val="9"/>
  </w:num>
  <w:num w:numId="22" w16cid:durableId="949044627">
    <w:abstractNumId w:val="7"/>
  </w:num>
  <w:num w:numId="23" w16cid:durableId="915626231">
    <w:abstractNumId w:val="6"/>
  </w:num>
  <w:num w:numId="24" w16cid:durableId="1145781677">
    <w:abstractNumId w:val="5"/>
  </w:num>
  <w:num w:numId="25" w16cid:durableId="895161012">
    <w:abstractNumId w:val="4"/>
  </w:num>
  <w:num w:numId="26" w16cid:durableId="2095081328">
    <w:abstractNumId w:val="8"/>
  </w:num>
  <w:num w:numId="27" w16cid:durableId="348458857">
    <w:abstractNumId w:val="3"/>
  </w:num>
  <w:num w:numId="28" w16cid:durableId="1650284371">
    <w:abstractNumId w:val="2"/>
  </w:num>
  <w:num w:numId="29" w16cid:durableId="489172262">
    <w:abstractNumId w:val="1"/>
  </w:num>
  <w:num w:numId="30" w16cid:durableId="2067292858">
    <w:abstractNumId w:val="0"/>
  </w:num>
  <w:num w:numId="31" w16cid:durableId="851261789">
    <w:abstractNumId w:val="9"/>
  </w:num>
  <w:num w:numId="32" w16cid:durableId="1336227572">
    <w:abstractNumId w:val="7"/>
  </w:num>
  <w:num w:numId="33" w16cid:durableId="720400992">
    <w:abstractNumId w:val="6"/>
  </w:num>
  <w:num w:numId="34" w16cid:durableId="359548862">
    <w:abstractNumId w:val="5"/>
  </w:num>
  <w:num w:numId="35" w16cid:durableId="767699278">
    <w:abstractNumId w:val="4"/>
  </w:num>
  <w:num w:numId="36" w16cid:durableId="1927222608">
    <w:abstractNumId w:val="8"/>
  </w:num>
  <w:num w:numId="37" w16cid:durableId="23068687">
    <w:abstractNumId w:val="3"/>
  </w:num>
  <w:num w:numId="38" w16cid:durableId="349140550">
    <w:abstractNumId w:val="2"/>
  </w:num>
  <w:num w:numId="39" w16cid:durableId="1686443042">
    <w:abstractNumId w:val="1"/>
  </w:num>
  <w:num w:numId="40" w16cid:durableId="1802843618">
    <w:abstractNumId w:val="0"/>
  </w:num>
  <w:num w:numId="41" w16cid:durableId="1140802463">
    <w:abstractNumId w:val="10"/>
  </w:num>
  <w:num w:numId="42" w16cid:durableId="1858228629">
    <w:abstractNumId w:val="10"/>
  </w:num>
  <w:num w:numId="43" w16cid:durableId="701593601">
    <w:abstractNumId w:val="10"/>
  </w:num>
  <w:num w:numId="44" w16cid:durableId="899484191">
    <w:abstractNumId w:val="14"/>
  </w:num>
  <w:num w:numId="45" w16cid:durableId="1291741333">
    <w:abstractNumId w:val="16"/>
  </w:num>
  <w:num w:numId="46" w16cid:durableId="663438355">
    <w:abstractNumId w:val="11"/>
  </w:num>
  <w:num w:numId="47" w16cid:durableId="78068812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90514159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 w16cid:durableId="1478566513">
    <w:abstractNumId w:val="15"/>
  </w:num>
  <w:num w:numId="50" w16cid:durableId="192113249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59/2026"/>
    <w:docVar w:name="dvlangue" w:val="CS"/>
    <w:docVar w:name="dvnumam" w:val="0"/>
    <w:docVar w:name="dvpe" w:val="778.063"/>
    <w:docVar w:name="dvrapporteur" w:val="Zpravodaj: "/>
    <w:docVar w:name="dvtitre" w:val="Rozhodnutí Evropského parlamentu ze dne 29. dubna 2026 o udělení absolutoria za plnění souhrnného rozpočtu Evropské unie na rozpočtový rok 2024, oddíl VI – Evropský hospodářský a sociální výbor(2025/2151(DEC))"/>
  </w:docVars>
  <w:rsids>
    <w:rsidRoot w:val="001C2D10"/>
    <w:rsid w:val="00002272"/>
    <w:rsid w:val="00064002"/>
    <w:rsid w:val="000677B9"/>
    <w:rsid w:val="000773C7"/>
    <w:rsid w:val="000831BA"/>
    <w:rsid w:val="000A2FBD"/>
    <w:rsid w:val="000A42CC"/>
    <w:rsid w:val="000E7DD9"/>
    <w:rsid w:val="0010095E"/>
    <w:rsid w:val="00125B37"/>
    <w:rsid w:val="00187494"/>
    <w:rsid w:val="001C2D10"/>
    <w:rsid w:val="001F32AE"/>
    <w:rsid w:val="002767FF"/>
    <w:rsid w:val="002B18FE"/>
    <w:rsid w:val="002B5493"/>
    <w:rsid w:val="00343214"/>
    <w:rsid w:val="00361C00"/>
    <w:rsid w:val="003919B8"/>
    <w:rsid w:val="00395FA1"/>
    <w:rsid w:val="003E15D4"/>
    <w:rsid w:val="004060F4"/>
    <w:rsid w:val="00411CCE"/>
    <w:rsid w:val="0041666E"/>
    <w:rsid w:val="00421060"/>
    <w:rsid w:val="004621D3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625B5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65661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77033"/>
    <w:rsid w:val="00BD48FE"/>
    <w:rsid w:val="00BD7BD8"/>
    <w:rsid w:val="00BE6ADC"/>
    <w:rsid w:val="00C05BFE"/>
    <w:rsid w:val="00C23CD4"/>
    <w:rsid w:val="00C51255"/>
    <w:rsid w:val="00C61C0C"/>
    <w:rsid w:val="00C941CB"/>
    <w:rsid w:val="00CC2357"/>
    <w:rsid w:val="00CF071A"/>
    <w:rsid w:val="00D058B8"/>
    <w:rsid w:val="00D515E0"/>
    <w:rsid w:val="00D56C11"/>
    <w:rsid w:val="00D834A0"/>
    <w:rsid w:val="00D872DF"/>
    <w:rsid w:val="00D91E21"/>
    <w:rsid w:val="00DA7FCD"/>
    <w:rsid w:val="00E365E1"/>
    <w:rsid w:val="00E80554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A3BD5"/>
    <w:rsid w:val="00FB4360"/>
    <w:rsid w:val="00FD0C70"/>
    <w:rsid w:val="00FF3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2DD4D51"/>
  <w15:chartTrackingRefBased/>
  <w15:docId w15:val="{EB050CC4-495C-46F2-B825-DD19AA4E5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3" w:uiPriority="3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FF33DB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B77033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B77033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B77033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B77033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B77033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B77033"/>
    <w:rPr>
      <w:i/>
      <w:sz w:val="22"/>
      <w:lang w:val="cs-CZ"/>
    </w:rPr>
  </w:style>
  <w:style w:type="character" w:customStyle="1" w:styleId="Heading7Char">
    <w:name w:val="Heading 7 Char"/>
    <w:basedOn w:val="DefaultParagraphFont"/>
    <w:link w:val="Heading7"/>
    <w:semiHidden/>
    <w:rsid w:val="00B77033"/>
    <w:rPr>
      <w:rFonts w:ascii="Arial" w:hAnsi="Arial"/>
      <w:sz w:val="24"/>
      <w:lang w:val="cs-CZ"/>
    </w:rPr>
  </w:style>
  <w:style w:type="character" w:customStyle="1" w:styleId="Heading8Char">
    <w:name w:val="Heading 8 Char"/>
    <w:basedOn w:val="DefaultParagraphFont"/>
    <w:link w:val="Heading8"/>
    <w:semiHidden/>
    <w:rsid w:val="00B77033"/>
    <w:rPr>
      <w:rFonts w:ascii="Arial" w:hAnsi="Arial"/>
      <w:i/>
      <w:sz w:val="24"/>
      <w:lang w:val="cs-CZ"/>
    </w:rPr>
  </w:style>
  <w:style w:type="character" w:customStyle="1" w:styleId="Heading9Char">
    <w:name w:val="Heading 9 Char"/>
    <w:basedOn w:val="DefaultParagraphFont"/>
    <w:link w:val="Heading9"/>
    <w:semiHidden/>
    <w:rsid w:val="00B77033"/>
    <w:rPr>
      <w:rFonts w:ascii="Arial" w:hAnsi="Arial"/>
      <w:b/>
      <w:i/>
      <w:sz w:val="18"/>
      <w:lang w:val="cs-CZ"/>
    </w:rPr>
  </w:style>
  <w:style w:type="paragraph" w:styleId="TOCHeading">
    <w:name w:val="TOC Heading"/>
    <w:basedOn w:val="Normal"/>
    <w:next w:val="Normal"/>
    <w:unhideWhenUsed/>
    <w:qFormat/>
    <w:rsid w:val="00B77033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B77033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B77033"/>
    <w:pPr>
      <w:spacing w:before="480" w:after="240"/>
    </w:pPr>
  </w:style>
  <w:style w:type="paragraph" w:customStyle="1" w:styleId="TOCPage">
    <w:name w:val="TOC Page"/>
    <w:basedOn w:val="Normal"/>
    <w:next w:val="TOC1"/>
    <w:rsid w:val="00B77033"/>
    <w:pPr>
      <w:keepNext/>
      <w:spacing w:after="240"/>
      <w:jc w:val="right"/>
    </w:pPr>
    <w:rPr>
      <w:rFonts w:ascii="Arial" w:hAnsi="Arial"/>
      <w:b/>
    </w:rPr>
  </w:style>
  <w:style w:type="paragraph" w:customStyle="1" w:styleId="PageHeading">
    <w:name w:val="PageHeading"/>
    <w:basedOn w:val="Normal"/>
    <w:rsid w:val="00B77033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B77033"/>
    <w:rPr>
      <w:b/>
    </w:rPr>
  </w:style>
  <w:style w:type="paragraph" w:customStyle="1" w:styleId="NormalHanging12a">
    <w:name w:val="NormalHanging12a"/>
    <w:basedOn w:val="Normal"/>
    <w:link w:val="NormalHanging12aChar"/>
    <w:rsid w:val="00B77033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B77033"/>
    <w:pPr>
      <w:spacing w:after="480"/>
      <w:ind w:left="1417"/>
    </w:pPr>
  </w:style>
  <w:style w:type="paragraph" w:customStyle="1" w:styleId="CoverNormal">
    <w:name w:val="CoverNormal"/>
    <w:basedOn w:val="Normal"/>
    <w:rsid w:val="00B77033"/>
    <w:pPr>
      <w:ind w:left="1418"/>
    </w:pPr>
  </w:style>
  <w:style w:type="paragraph" w:customStyle="1" w:styleId="CoverReference">
    <w:name w:val="CoverReference"/>
    <w:basedOn w:val="Normal"/>
    <w:rsid w:val="00B77033"/>
    <w:pPr>
      <w:spacing w:before="1080"/>
      <w:jc w:val="right"/>
    </w:pPr>
    <w:rPr>
      <w:rFonts w:ascii="Arial" w:hAnsi="Arial" w:cs="Arial"/>
      <w:b/>
    </w:rPr>
  </w:style>
  <w:style w:type="paragraph" w:customStyle="1" w:styleId="CoverDocType24a">
    <w:name w:val="CoverDocType24a"/>
    <w:basedOn w:val="Normal"/>
    <w:rsid w:val="00B77033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B77033"/>
    <w:pPr>
      <w:spacing w:before="240" w:after="1200"/>
    </w:pPr>
  </w:style>
  <w:style w:type="paragraph" w:styleId="Header">
    <w:name w:val="header"/>
    <w:basedOn w:val="Normal"/>
    <w:link w:val="HeaderChar"/>
    <w:rsid w:val="00B7703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B77033"/>
    <w:rPr>
      <w:sz w:val="24"/>
      <w:lang w:val="cs-CZ"/>
    </w:rPr>
  </w:style>
  <w:style w:type="paragraph" w:customStyle="1" w:styleId="EPBody">
    <w:name w:val="EPBody"/>
    <w:basedOn w:val="Normal"/>
    <w:rsid w:val="00B77033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B77033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styleId="Hyperlink">
    <w:name w:val="Hyperlink"/>
    <w:basedOn w:val="DefaultParagraphFont"/>
    <w:rsid w:val="00B77033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rsid w:val="00B77033"/>
    <w:rPr>
      <w:sz w:val="16"/>
      <w:szCs w:val="16"/>
    </w:rPr>
  </w:style>
  <w:style w:type="paragraph" w:styleId="CommentText">
    <w:name w:val="annotation text"/>
    <w:basedOn w:val="Normal"/>
    <w:link w:val="CommentTextChar"/>
    <w:rsid w:val="00B77033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B77033"/>
    <w:rPr>
      <w:lang w:val="cs-CZ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B7703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B77033"/>
    <w:rPr>
      <w:b/>
      <w:bCs/>
      <w:lang w:val="cs-CZ"/>
    </w:rPr>
  </w:style>
  <w:style w:type="paragraph" w:styleId="BalloonText">
    <w:name w:val="Balloon Text"/>
    <w:basedOn w:val="Normal"/>
    <w:link w:val="BalloonTextChar"/>
    <w:unhideWhenUsed/>
    <w:rsid w:val="00B7703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B77033"/>
    <w:rPr>
      <w:rFonts w:ascii="Segoe UI" w:hAnsi="Segoe UI" w:cs="Segoe UI"/>
      <w:sz w:val="18"/>
      <w:szCs w:val="18"/>
      <w:lang w:val="cs-CZ"/>
    </w:rPr>
  </w:style>
  <w:style w:type="paragraph" w:styleId="Footer">
    <w:name w:val="footer"/>
    <w:basedOn w:val="Normal"/>
    <w:link w:val="FooterChar"/>
    <w:rsid w:val="00B7703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B77033"/>
    <w:rPr>
      <w:sz w:val="24"/>
      <w:lang w:val="cs-CZ"/>
    </w:rPr>
  </w:style>
  <w:style w:type="character" w:styleId="UnresolvedMention">
    <w:name w:val="Unresolved Mention"/>
    <w:basedOn w:val="DefaultParagraphFont"/>
    <w:uiPriority w:val="99"/>
    <w:semiHidden/>
    <w:unhideWhenUsed/>
    <w:rsid w:val="00B77033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77033"/>
    <w:rPr>
      <w:sz w:val="24"/>
      <w:lang w:val="cs-CZ"/>
    </w:rPr>
  </w:style>
  <w:style w:type="paragraph" w:styleId="EndnoteText">
    <w:name w:val="endnote text"/>
    <w:basedOn w:val="Normal"/>
    <w:link w:val="EndnoteTextChar"/>
    <w:rsid w:val="00B77033"/>
    <w:rPr>
      <w:sz w:val="20"/>
    </w:rPr>
  </w:style>
  <w:style w:type="character" w:customStyle="1" w:styleId="EndnoteTextChar">
    <w:name w:val="Endnote Text Char"/>
    <w:basedOn w:val="DefaultParagraphFont"/>
    <w:link w:val="EndnoteText"/>
    <w:rsid w:val="00B77033"/>
    <w:rPr>
      <w:lang w:val="cs-CZ"/>
    </w:rPr>
  </w:style>
  <w:style w:type="character" w:styleId="EndnoteReference">
    <w:name w:val="endnote reference"/>
    <w:basedOn w:val="DefaultParagraphFont"/>
    <w:rsid w:val="00B77033"/>
    <w:rPr>
      <w:vertAlign w:val="superscript"/>
    </w:rPr>
  </w:style>
  <w:style w:type="character" w:customStyle="1" w:styleId="NormalHanging12aChar">
    <w:name w:val="NormalHanging12a Char"/>
    <w:basedOn w:val="DefaultParagraphFont"/>
    <w:link w:val="NormalHanging12a"/>
    <w:rsid w:val="00B77033"/>
    <w:rPr>
      <w:sz w:val="24"/>
      <w:lang w:val="cs-CZ"/>
    </w:rPr>
  </w:style>
  <w:style w:type="paragraph" w:customStyle="1" w:styleId="Normal24a">
    <w:name w:val="Normal24a"/>
    <w:basedOn w:val="Normal"/>
    <w:rsid w:val="00B77033"/>
    <w:pPr>
      <w:spacing w:after="480"/>
    </w:pPr>
  </w:style>
  <w:style w:type="paragraph" w:customStyle="1" w:styleId="NormalBoldCenter">
    <w:name w:val="NormalBoldCenter"/>
    <w:basedOn w:val="Normal"/>
    <w:rsid w:val="00B77033"/>
    <w:pPr>
      <w:jc w:val="center"/>
    </w:pPr>
    <w:rPr>
      <w:b/>
    </w:rPr>
  </w:style>
  <w:style w:type="paragraph" w:customStyle="1" w:styleId="Footprint12b">
    <w:name w:val="Footprint12b"/>
    <w:basedOn w:val="Normal"/>
    <w:rsid w:val="00B77033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B77033"/>
    <w:rPr>
      <w:szCs w:val="24"/>
    </w:rPr>
  </w:style>
  <w:style w:type="paragraph" w:customStyle="1" w:styleId="Normal12a">
    <w:name w:val="Normal12a"/>
    <w:basedOn w:val="Normal"/>
    <w:rsid w:val="00B77033"/>
    <w:pPr>
      <w:spacing w:after="240"/>
    </w:pPr>
  </w:style>
  <w:style w:type="paragraph" w:customStyle="1" w:styleId="RollCallVotes">
    <w:name w:val="RollCallVotes"/>
    <w:basedOn w:val="Normal"/>
    <w:rsid w:val="00B77033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B77033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B77033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B77033"/>
    <w:pPr>
      <w:spacing w:before="120" w:after="120"/>
    </w:pPr>
    <w:rPr>
      <w:snapToGrid w:val="0"/>
      <w:sz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reg/2023/284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18</Pages>
  <Words>8574</Words>
  <Characters>49820</Characters>
  <Application>Microsoft Office Word</Application>
  <DocSecurity>0</DocSecurity>
  <Lines>415</Lines>
  <Paragraphs>116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58278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KONOPKOVA Jindra</dc:creator>
  <cp:keywords/>
  <cp:lastModifiedBy>KONOPKOVA Jindra</cp:lastModifiedBy>
  <cp:revision>2</cp:revision>
  <cp:lastPrinted>2004-11-19T15:42:00Z</cp:lastPrinted>
  <dcterms:created xsi:type="dcterms:W3CDTF">2026-05-05T14:15:00Z</dcterms:created>
  <dcterms:modified xsi:type="dcterms:W3CDTF">2026-05-05T14:15:00Z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P10_TA(2026)0131_</vt:lpwstr>
  </property>
  <property fmtid="{D5CDD505-2E9C-101B-9397-08002B2CF9AE}" pid="4" name="&lt;Type&gt;">
    <vt:lpwstr>RR</vt:lpwstr>
  </property>
</Properties>
</file>