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4DB" w14:paraId="085B9D25" w14:textId="77777777" w:rsidTr="0010095E">
        <w:trPr>
          <w:trHeight w:hRule="exact" w:val="1418"/>
        </w:trPr>
        <w:tc>
          <w:tcPr>
            <w:tcW w:w="6804" w:type="dxa"/>
            <w:shd w:val="clear" w:color="auto" w:fill="auto"/>
            <w:vAlign w:val="center"/>
          </w:tcPr>
          <w:p w14:paraId="7AECC254" w14:textId="77777777" w:rsidR="00751A4A" w:rsidRPr="003524DB" w:rsidRDefault="008D7E4A" w:rsidP="0010095E">
            <w:pPr>
              <w:pStyle w:val="EPName"/>
            </w:pPr>
            <w:r w:rsidRPr="003524DB">
              <w:t>Europski parlament</w:t>
            </w:r>
          </w:p>
          <w:p w14:paraId="67E7FAD6" w14:textId="77777777" w:rsidR="00751A4A" w:rsidRPr="003524DB" w:rsidRDefault="005F1B17" w:rsidP="005F1B17">
            <w:pPr>
              <w:pStyle w:val="EPTerm"/>
              <w:rPr>
                <w:rStyle w:val="HideTWBExt"/>
                <w:noProof w:val="0"/>
                <w:vanish w:val="0"/>
                <w:color w:val="auto"/>
              </w:rPr>
            </w:pPr>
            <w:r w:rsidRPr="003524DB">
              <w:t>2024</w:t>
            </w:r>
            <w:r w:rsidR="00817416" w:rsidRPr="003524DB">
              <w:t>-202</w:t>
            </w:r>
            <w:r w:rsidRPr="003524DB">
              <w:t>9</w:t>
            </w:r>
          </w:p>
        </w:tc>
        <w:tc>
          <w:tcPr>
            <w:tcW w:w="2268" w:type="dxa"/>
            <w:shd w:val="clear" w:color="auto" w:fill="auto"/>
          </w:tcPr>
          <w:p w14:paraId="498EDA5A" w14:textId="77777777" w:rsidR="00751A4A" w:rsidRPr="003524DB" w:rsidRDefault="00187494" w:rsidP="0010095E">
            <w:pPr>
              <w:pStyle w:val="EPLogo"/>
            </w:pPr>
            <w:r w:rsidRPr="003524DB">
              <w:rPr>
                <w:noProof/>
                <w:lang w:eastAsia="ja-JP"/>
              </w:rPr>
              <w:drawing>
                <wp:inline distT="0" distB="0" distL="0" distR="0" wp14:anchorId="18E80D30" wp14:editId="194E9C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A83DE1" w14:textId="77777777" w:rsidR="00D058B8" w:rsidRPr="003524DB" w:rsidRDefault="00D058B8" w:rsidP="004C5D52">
      <w:pPr>
        <w:pStyle w:val="LineTop"/>
      </w:pPr>
    </w:p>
    <w:p w14:paraId="7A5AA55F" w14:textId="77777777" w:rsidR="00680577" w:rsidRPr="003524DB" w:rsidRDefault="008D7E4A" w:rsidP="00680577">
      <w:pPr>
        <w:pStyle w:val="EPBodyTA1"/>
      </w:pPr>
      <w:r w:rsidRPr="003524DB">
        <w:t>USVOJENI TEKSTOVI</w:t>
      </w:r>
    </w:p>
    <w:p w14:paraId="0287160A" w14:textId="77777777" w:rsidR="00D058B8" w:rsidRPr="003524DB" w:rsidRDefault="00D058B8" w:rsidP="00D058B8">
      <w:pPr>
        <w:pStyle w:val="LineBottom"/>
      </w:pPr>
    </w:p>
    <w:p w14:paraId="13654019" w14:textId="72F6C27D" w:rsidR="008D7E4A" w:rsidRPr="003524DB" w:rsidRDefault="008D7E4A" w:rsidP="008D7E4A">
      <w:pPr>
        <w:pStyle w:val="ATHeading1"/>
      </w:pPr>
      <w:bookmarkStart w:id="0" w:name="TANumber"/>
      <w:r w:rsidRPr="003524DB">
        <w:t>P10_TA(2026)0</w:t>
      </w:r>
      <w:r w:rsidR="003D3A5D">
        <w:t>131</w:t>
      </w:r>
      <w:bookmarkEnd w:id="0"/>
    </w:p>
    <w:p w14:paraId="2E58B6FB" w14:textId="77777777" w:rsidR="008D7E4A" w:rsidRPr="003524DB" w:rsidRDefault="008D7E4A" w:rsidP="008D7E4A">
      <w:pPr>
        <w:pStyle w:val="ATHeading2"/>
      </w:pPr>
      <w:bookmarkStart w:id="1" w:name="title"/>
      <w:r w:rsidRPr="003524DB">
        <w:t>Razrješnica za 2024.: Opći proračun EU-a – Europski gospodarski i socijalni odbor</w:t>
      </w:r>
      <w:bookmarkEnd w:id="1"/>
    </w:p>
    <w:p w14:paraId="1C7098FF" w14:textId="77777777" w:rsidR="008D7E4A" w:rsidRPr="003524DB" w:rsidRDefault="008D7E4A" w:rsidP="008D7E4A">
      <w:pPr>
        <w:rPr>
          <w:i/>
          <w:vanish/>
        </w:rPr>
      </w:pPr>
      <w:r w:rsidRPr="003524DB">
        <w:rPr>
          <w:i/>
        </w:rPr>
        <w:fldChar w:fldCharType="begin"/>
      </w:r>
      <w:r w:rsidRPr="003524DB">
        <w:rPr>
          <w:i/>
        </w:rPr>
        <w:instrText xml:space="preserve"> TC"(</w:instrText>
      </w:r>
      <w:bookmarkStart w:id="2" w:name="DocNumber"/>
      <w:r w:rsidRPr="003524DB">
        <w:rPr>
          <w:i/>
        </w:rPr>
        <w:instrText>A10-0059/2026</w:instrText>
      </w:r>
      <w:bookmarkEnd w:id="2"/>
      <w:r w:rsidRPr="003524DB">
        <w:rPr>
          <w:i/>
        </w:rPr>
        <w:instrText xml:space="preserve"> - Izvjestitelj: Pasquale Tridico)"\l3 \n&gt; \* MERGEFORMAT </w:instrText>
      </w:r>
      <w:r w:rsidRPr="003524DB">
        <w:rPr>
          <w:i/>
        </w:rPr>
        <w:fldChar w:fldCharType="end"/>
      </w:r>
    </w:p>
    <w:p w14:paraId="26AA3200" w14:textId="77777777" w:rsidR="008D7E4A" w:rsidRPr="003524DB" w:rsidRDefault="008D7E4A" w:rsidP="008D7E4A">
      <w:pPr>
        <w:rPr>
          <w:vanish/>
        </w:rPr>
      </w:pPr>
      <w:bookmarkStart w:id="3" w:name="Commission"/>
      <w:r w:rsidRPr="003524DB">
        <w:rPr>
          <w:vanish/>
        </w:rPr>
        <w:t>Odbor za proračunski nadzor</w:t>
      </w:r>
      <w:bookmarkEnd w:id="3"/>
    </w:p>
    <w:p w14:paraId="6A4CE8CA" w14:textId="77777777" w:rsidR="008D7E4A" w:rsidRPr="003524DB" w:rsidRDefault="008D7E4A" w:rsidP="008D7E4A">
      <w:pPr>
        <w:rPr>
          <w:vanish/>
        </w:rPr>
      </w:pPr>
      <w:bookmarkStart w:id="4" w:name="PE"/>
      <w:r w:rsidRPr="003524DB">
        <w:rPr>
          <w:vanish/>
        </w:rPr>
        <w:t>PE778.063</w:t>
      </w:r>
      <w:bookmarkEnd w:id="4"/>
    </w:p>
    <w:p w14:paraId="238B6F77" w14:textId="652A50C8" w:rsidR="008D7E4A" w:rsidRPr="003524DB" w:rsidRDefault="003524DB" w:rsidP="008D7E4A">
      <w:pPr>
        <w:pStyle w:val="ATHeading3"/>
      </w:pPr>
      <w:bookmarkStart w:id="5" w:name="Sujet"/>
      <w:r>
        <w:t xml:space="preserve">1. </w:t>
      </w:r>
      <w:r w:rsidR="008D7E4A" w:rsidRPr="003524DB">
        <w:t xml:space="preserve">Odluka Europskog parlamenta od </w:t>
      </w:r>
      <w:r>
        <w:t>29</w:t>
      </w:r>
      <w:r w:rsidR="008D7E4A" w:rsidRPr="003524DB">
        <w:t>.</w:t>
      </w:r>
      <w:r>
        <w:t xml:space="preserve"> travnja</w:t>
      </w:r>
      <w:r w:rsidR="008D7E4A" w:rsidRPr="003524DB">
        <w:t xml:space="preserve"> 2026. o razrješnici za izvršenje općeg proračuna Europske unije za financijsku godinu 2024., dio VI. – Europski gospodarski i socijalni odbor</w:t>
      </w:r>
      <w:bookmarkEnd w:id="5"/>
      <w:r w:rsidR="008D7E4A" w:rsidRPr="003524DB">
        <w:t xml:space="preserve"> </w:t>
      </w:r>
      <w:bookmarkStart w:id="6" w:name="References"/>
      <w:r w:rsidR="008D7E4A" w:rsidRPr="003524DB">
        <w:t>(2025/2151(DEC))</w:t>
      </w:r>
      <w:bookmarkEnd w:id="6"/>
    </w:p>
    <w:p w14:paraId="00294617" w14:textId="77777777" w:rsidR="008C34B6" w:rsidRPr="003524DB" w:rsidRDefault="008C34B6" w:rsidP="008C34B6">
      <w:pPr>
        <w:pStyle w:val="EPComma"/>
      </w:pPr>
      <w:bookmarkStart w:id="7" w:name="TextBodyBegin"/>
      <w:bookmarkEnd w:id="7"/>
      <w:r w:rsidRPr="003524DB">
        <w:rPr>
          <w:i/>
        </w:rPr>
        <w:t>Europski parlament</w:t>
      </w:r>
      <w:r w:rsidRPr="003524DB">
        <w:t>,</w:t>
      </w:r>
    </w:p>
    <w:p w14:paraId="4A72993A" w14:textId="77777777" w:rsidR="008C34B6" w:rsidRPr="003524DB" w:rsidRDefault="008C34B6" w:rsidP="008C34B6">
      <w:pPr>
        <w:pStyle w:val="NormalHanging12a"/>
      </w:pPr>
      <w:r w:rsidRPr="003524DB">
        <w:t>–</w:t>
      </w:r>
      <w:r w:rsidRPr="003524DB">
        <w:tab/>
        <w:t>uzimajući u obzir opći proračun Europske unije za financijsku godinu 2024.</w:t>
      </w:r>
      <w:r w:rsidRPr="003524DB">
        <w:rPr>
          <w:rStyle w:val="FootnoteReference"/>
        </w:rPr>
        <w:footnoteReference w:id="1"/>
      </w:r>
      <w:r w:rsidRPr="003524DB">
        <w:t>,</w:t>
      </w:r>
    </w:p>
    <w:p w14:paraId="296D1ABE" w14:textId="77777777" w:rsidR="008C34B6" w:rsidRPr="003524DB" w:rsidRDefault="008C34B6" w:rsidP="008C34B6">
      <w:pPr>
        <w:pStyle w:val="NormalHanging12a"/>
      </w:pPr>
      <w:r w:rsidRPr="003524DB">
        <w:t>–</w:t>
      </w:r>
      <w:r w:rsidRPr="003524DB">
        <w:tab/>
        <w:t>uzimajući u obzir konsolidiranu godišnju računovodstvenu dokumentaciju Europske unije za financijsku godinu 2024. (COM(2025)0359 – C10</w:t>
      </w:r>
      <w:r w:rsidRPr="003524DB">
        <w:noBreakHyphen/>
        <w:t>0150/2025)</w:t>
      </w:r>
      <w:r w:rsidRPr="003524DB">
        <w:rPr>
          <w:rStyle w:val="FootnoteReference"/>
        </w:rPr>
        <w:footnoteReference w:id="2"/>
      </w:r>
      <w:r w:rsidRPr="003524DB">
        <w:t>,</w:t>
      </w:r>
    </w:p>
    <w:p w14:paraId="59A7B6A0" w14:textId="1A61B91D" w:rsidR="008C34B6" w:rsidRPr="003524DB" w:rsidRDefault="008C34B6" w:rsidP="008C34B6">
      <w:pPr>
        <w:pStyle w:val="NormalHanging12a"/>
      </w:pPr>
      <w:r w:rsidRPr="003524DB">
        <w:t>–</w:t>
      </w:r>
      <w:r w:rsidRPr="003524DB">
        <w:tab/>
        <w:t>uzimajući u obzir godišnje izvješće Europskog</w:t>
      </w:r>
      <w:r w:rsidR="00B610E3">
        <w:t>a</w:t>
      </w:r>
      <w:r w:rsidRPr="003524DB">
        <w:t xml:space="preserve"> gospodarskog i socijalnog odbora tijelu </w:t>
      </w:r>
      <w:r w:rsidR="00B610E3">
        <w:t>koje daje</w:t>
      </w:r>
      <w:r w:rsidRPr="003524DB">
        <w:t xml:space="preserve"> razrješnic</w:t>
      </w:r>
      <w:r w:rsidR="00B610E3">
        <w:t>u</w:t>
      </w:r>
      <w:r w:rsidRPr="003524DB">
        <w:t xml:space="preserve"> o unutarnjim revizijama provedenima tijekom 2024.,</w:t>
      </w:r>
    </w:p>
    <w:p w14:paraId="1215FC88" w14:textId="79775B04" w:rsidR="008C34B6" w:rsidRPr="003524DB" w:rsidRDefault="008C34B6" w:rsidP="008C34B6">
      <w:pPr>
        <w:pStyle w:val="NormalHanging12a"/>
      </w:pPr>
      <w:r w:rsidRPr="003524DB">
        <w:t>–</w:t>
      </w:r>
      <w:r w:rsidRPr="003524DB">
        <w:tab/>
        <w:t>uzimajući u obzir godišnje izvješće Revizorskog suda o izvršenju proračuna za financijsku godinu 2024.</w:t>
      </w:r>
      <w:r w:rsidR="00220B4F">
        <w:t>,</w:t>
      </w:r>
      <w:r w:rsidRPr="003524DB">
        <w:t xml:space="preserve"> s odgovorima institucija</w:t>
      </w:r>
      <w:r w:rsidRPr="003524DB">
        <w:rPr>
          <w:rStyle w:val="FootnoteReference"/>
        </w:rPr>
        <w:footnoteReference w:id="3"/>
      </w:r>
      <w:r w:rsidRPr="003524DB">
        <w:t>,</w:t>
      </w:r>
    </w:p>
    <w:p w14:paraId="7085B02A" w14:textId="5B8F5F2C" w:rsidR="008C34B6" w:rsidRPr="003524DB" w:rsidRDefault="008C34B6" w:rsidP="008C34B6">
      <w:pPr>
        <w:pStyle w:val="NormalHanging12a"/>
      </w:pPr>
      <w:r w:rsidRPr="003524DB">
        <w:t>–</w:t>
      </w:r>
      <w:r w:rsidRPr="003524DB">
        <w:tab/>
        <w:t>uzimajući u obzir izjavu o jamstvu</w:t>
      </w:r>
      <w:r w:rsidRPr="003524DB">
        <w:rPr>
          <w:rStyle w:val="FootnoteReference"/>
        </w:rPr>
        <w:footnoteReference w:id="4"/>
      </w:r>
      <w:r w:rsidRPr="003524DB">
        <w:t xml:space="preserve"> u pogledu pouzdanosti računovodstvene dokumentacije te zakonitosti i pravilnosti </w:t>
      </w:r>
      <w:r w:rsidR="00220B4F">
        <w:t>temeljnih</w:t>
      </w:r>
      <w:r w:rsidRPr="003524DB">
        <w:t xml:space="preserve"> transakcija koju je u skladu s člankom 287. Ugovora o funkcioniranju Europske unije Revizorski sud podnio za financijsku godinu 2024.,</w:t>
      </w:r>
    </w:p>
    <w:p w14:paraId="53C43564" w14:textId="77777777" w:rsidR="008C34B6" w:rsidRPr="003524DB" w:rsidRDefault="008C34B6" w:rsidP="008C34B6">
      <w:pPr>
        <w:pStyle w:val="NormalHanging12a"/>
      </w:pPr>
      <w:r w:rsidRPr="003524DB">
        <w:t>–</w:t>
      </w:r>
      <w:r w:rsidRPr="003524DB">
        <w:tab/>
        <w:t>uzimajući u obzir članak 314. stavak 10. te članke 317., 318. i 319. Ugovora o funkcioniranju Europske unije,</w:t>
      </w:r>
    </w:p>
    <w:p w14:paraId="29411A2A" w14:textId="77777777" w:rsidR="008C34B6" w:rsidRPr="003524DB" w:rsidRDefault="008C34B6" w:rsidP="008C34B6">
      <w:pPr>
        <w:pStyle w:val="NormalHanging12a"/>
      </w:pPr>
      <w:r w:rsidRPr="003524DB">
        <w:t>–</w:t>
      </w:r>
      <w:r w:rsidRPr="003524DB">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3524DB">
        <w:lastRenderedPageBreak/>
        <w:t>Euratom) br. 966/2012</w:t>
      </w:r>
      <w:r w:rsidRPr="003524DB">
        <w:rPr>
          <w:rStyle w:val="FootnoteReference"/>
        </w:rPr>
        <w:footnoteReference w:id="5"/>
      </w:r>
      <w:r w:rsidRPr="003524DB">
        <w:t>, a posebno njezine članke 59., 118., 260., 261. i 262.,</w:t>
      </w:r>
    </w:p>
    <w:p w14:paraId="4195991F" w14:textId="77777777" w:rsidR="008C34B6" w:rsidRPr="003524DB" w:rsidRDefault="008C34B6" w:rsidP="008C34B6">
      <w:pPr>
        <w:pStyle w:val="NormalHanging12a"/>
      </w:pPr>
      <w:r w:rsidRPr="003524DB">
        <w:t>–</w:t>
      </w:r>
      <w:r w:rsidRPr="003524DB">
        <w:tab/>
        <w:t>uzimajući u obzir Uredbu (EU, Euratom) 2024/2509 Europskog parlamenta i Vijeća od 23. rujna 2024. o financijskim pravilima koja se primjenjuju na opći proračun Unije</w:t>
      </w:r>
      <w:r w:rsidRPr="003524DB">
        <w:rPr>
          <w:rStyle w:val="FootnoteReference"/>
        </w:rPr>
        <w:footnoteReference w:id="6"/>
      </w:r>
      <w:r w:rsidRPr="003524DB">
        <w:t>, a posebno njezine članke 59., 118., 266., 267. i 268.,</w:t>
      </w:r>
    </w:p>
    <w:p w14:paraId="23200844" w14:textId="77777777" w:rsidR="008C34B6" w:rsidRPr="003524DB" w:rsidRDefault="008C34B6" w:rsidP="008C34B6">
      <w:pPr>
        <w:pStyle w:val="NormalHanging12a"/>
      </w:pPr>
      <w:r w:rsidRPr="003524DB">
        <w:t>–</w:t>
      </w:r>
      <w:r w:rsidRPr="003524DB">
        <w:tab/>
        <w:t>uzimajući u obzir članak 102. Poslovnika i Prilog V. Poslovniku,</w:t>
      </w:r>
    </w:p>
    <w:p w14:paraId="1EE9CF8E" w14:textId="77777777" w:rsidR="008C34B6" w:rsidRPr="003524DB" w:rsidRDefault="008C34B6" w:rsidP="008C34B6">
      <w:pPr>
        <w:pStyle w:val="NormalHanging12a"/>
      </w:pPr>
      <w:r w:rsidRPr="003524DB">
        <w:t>–</w:t>
      </w:r>
      <w:r w:rsidRPr="003524DB">
        <w:tab/>
        <w:t>uzimajući u obzir izvješće Odbora za proračunski nadzor (A10</w:t>
      </w:r>
      <w:r w:rsidRPr="003524DB">
        <w:noBreakHyphen/>
        <w:t>0059/2026),</w:t>
      </w:r>
    </w:p>
    <w:p w14:paraId="0ACC2C91" w14:textId="768B1CB6" w:rsidR="008C34B6" w:rsidRPr="003524DB" w:rsidRDefault="008C34B6" w:rsidP="008C34B6">
      <w:pPr>
        <w:pStyle w:val="NormalHanging12a"/>
      </w:pPr>
      <w:r w:rsidRPr="003524DB">
        <w:t>1.</w:t>
      </w:r>
      <w:r w:rsidRPr="003524DB">
        <w:tab/>
        <w:t>daje razrješnicu glavno</w:t>
      </w:r>
      <w:r w:rsidR="00B610E3">
        <w:t>j</w:t>
      </w:r>
      <w:r w:rsidRPr="003524DB">
        <w:t xml:space="preserve"> tajni</w:t>
      </w:r>
      <w:r w:rsidR="00B610E3">
        <w:t>ci</w:t>
      </w:r>
      <w:r w:rsidRPr="003524DB">
        <w:t xml:space="preserve"> Europskog</w:t>
      </w:r>
      <w:r w:rsidR="00B610E3">
        <w:t>a</w:t>
      </w:r>
      <w:r w:rsidRPr="003524DB">
        <w:t xml:space="preserve"> gospodarskog i socijalnog odbora za izvršenje proračuna Europskog</w:t>
      </w:r>
      <w:r w:rsidR="00B610E3">
        <w:t>a</w:t>
      </w:r>
      <w:r w:rsidRPr="003524DB">
        <w:t xml:space="preserve"> gospodarskog i socijalnog odbora za financijsku godinu 2024.;</w:t>
      </w:r>
    </w:p>
    <w:p w14:paraId="55D67012" w14:textId="77777777" w:rsidR="008C34B6" w:rsidRPr="003524DB" w:rsidRDefault="008C34B6" w:rsidP="008C34B6">
      <w:pPr>
        <w:pStyle w:val="NormalHanging12a"/>
      </w:pPr>
      <w:r w:rsidRPr="003524DB">
        <w:t>2.</w:t>
      </w:r>
      <w:r w:rsidRPr="003524DB">
        <w:tab/>
        <w:t>iznosi svoje primjedbe u Rezoluciji u nastavku;</w:t>
      </w:r>
    </w:p>
    <w:p w14:paraId="1E9641A0" w14:textId="77777777" w:rsidR="008C34B6" w:rsidRPr="003524DB" w:rsidRDefault="008C34B6" w:rsidP="008C34B6">
      <w:pPr>
        <w:pStyle w:val="NormalHanging12a"/>
      </w:pPr>
      <w:r w:rsidRPr="003524DB">
        <w:t>3.</w:t>
      </w:r>
      <w:r w:rsidRPr="003524DB">
        <w:tab/>
        <w:t xml:space="preserve">nalaže svojoj predsjednici da ovu Odluku i Rezoluciju, koja je njezin sastavni dio, proslijedi Europskom gospodarskom i socijalnom odboru, Vijeću, Komisiji i Revizorskom sudu te da ih da na objavu u </w:t>
      </w:r>
      <w:r w:rsidRPr="003524DB">
        <w:rPr>
          <w:i/>
        </w:rPr>
        <w:t>Službenom listu Europske unije</w:t>
      </w:r>
      <w:r w:rsidRPr="003524DB">
        <w:t xml:space="preserve"> (serija L).</w:t>
      </w:r>
    </w:p>
    <w:p w14:paraId="05605DDC" w14:textId="77777777" w:rsidR="008C34B6" w:rsidRPr="003524DB" w:rsidRDefault="008C34B6" w:rsidP="008C34B6">
      <w:pPr>
        <w:pStyle w:val="PageHeading"/>
        <w:sectPr w:rsidR="008C34B6" w:rsidRPr="003524DB" w:rsidSect="001A257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E184B8" w14:textId="1F449F79" w:rsidR="008C34B6" w:rsidRPr="003524DB" w:rsidRDefault="008C34B6" w:rsidP="003524DB">
      <w:pPr>
        <w:pStyle w:val="PageHeading"/>
        <w:jc w:val="left"/>
        <w:rPr>
          <w:rFonts w:ascii="Times New Roman" w:hAnsi="Times New Roman" w:cs="Times New Roman"/>
        </w:rPr>
      </w:pPr>
      <w:bookmarkStart w:id="8" w:name="_Toc226539217"/>
      <w:r w:rsidRPr="003524DB">
        <w:rPr>
          <w:rFonts w:ascii="Times New Roman" w:hAnsi="Times New Roman" w:cs="Times New Roman"/>
        </w:rPr>
        <w:lastRenderedPageBreak/>
        <w:t xml:space="preserve">2. </w:t>
      </w:r>
      <w:r w:rsidR="003524DB" w:rsidRPr="003524DB">
        <w:rPr>
          <w:rFonts w:ascii="Times New Roman" w:hAnsi="Times New Roman" w:cs="Times New Roman"/>
        </w:rPr>
        <w:t>Rezolucija Europskog parlamenta</w:t>
      </w:r>
      <w:bookmarkEnd w:id="8"/>
      <w:r w:rsidR="003524DB" w:rsidRPr="003524DB">
        <w:rPr>
          <w:rFonts w:ascii="Times New Roman" w:hAnsi="Times New Roman" w:cs="Times New Roman"/>
        </w:rPr>
        <w:t xml:space="preserve"> </w:t>
      </w:r>
      <w:r w:rsidR="003524DB">
        <w:rPr>
          <w:rFonts w:ascii="Times New Roman" w:hAnsi="Times New Roman" w:cs="Times New Roman"/>
        </w:rPr>
        <w:t xml:space="preserve">od 29. travnja 2026. </w:t>
      </w:r>
      <w:r w:rsidRPr="003524DB">
        <w:rPr>
          <w:rFonts w:ascii="Times New Roman" w:hAnsi="Times New Roman" w:cs="Times New Roman"/>
        </w:rPr>
        <w:t>s primjedbama koje su sastavni dio Odluke o razrješnici za izvršenje općeg proračuna Europske unije za financijsku godinu 2024., dio VI. – Europski gospodarski i socijalni odbor</w:t>
      </w:r>
      <w:r w:rsidR="003524DB" w:rsidRPr="003524DB">
        <w:rPr>
          <w:rFonts w:ascii="Times New Roman" w:hAnsi="Times New Roman" w:cs="Times New Roman"/>
        </w:rPr>
        <w:t xml:space="preserve"> </w:t>
      </w:r>
      <w:r w:rsidRPr="003524DB">
        <w:rPr>
          <w:rFonts w:ascii="Times New Roman" w:hAnsi="Times New Roman" w:cs="Times New Roman"/>
        </w:rPr>
        <w:t>(2025/2151(DEC))</w:t>
      </w:r>
    </w:p>
    <w:p w14:paraId="79AD6241" w14:textId="77777777" w:rsidR="008C34B6" w:rsidRPr="003524DB" w:rsidRDefault="008C34B6" w:rsidP="008C34B6">
      <w:pPr>
        <w:pStyle w:val="EPComma"/>
      </w:pPr>
      <w:r w:rsidRPr="003524DB">
        <w:rPr>
          <w:i/>
        </w:rPr>
        <w:t>Europski parlament</w:t>
      </w:r>
      <w:r w:rsidRPr="003524DB">
        <w:t>,</w:t>
      </w:r>
    </w:p>
    <w:p w14:paraId="0B9F4889" w14:textId="77777777" w:rsidR="008C34B6" w:rsidRPr="003524DB" w:rsidRDefault="008C34B6" w:rsidP="008C34B6">
      <w:pPr>
        <w:pStyle w:val="NormalHanging12a"/>
      </w:pPr>
      <w:r w:rsidRPr="003524DB">
        <w:t>–</w:t>
      </w:r>
      <w:r w:rsidRPr="003524DB">
        <w:tab/>
        <w:t>uzimajući u obzir svoju Odluku o razrješnici za izvršenje općeg proračuna Europske unije za financijsku godinu 2024., dio VI. – Europski gospodarski i socijalni odbor,</w:t>
      </w:r>
    </w:p>
    <w:p w14:paraId="78AE590D" w14:textId="77777777" w:rsidR="008C34B6" w:rsidRPr="003524DB" w:rsidRDefault="008C34B6" w:rsidP="008C34B6">
      <w:pPr>
        <w:pStyle w:val="NormalHanging12a"/>
      </w:pPr>
      <w:r w:rsidRPr="003524DB">
        <w:t>–</w:t>
      </w:r>
      <w:r w:rsidRPr="003524DB">
        <w:tab/>
        <w:t>uzimajući u obzir članak 102. Poslovnika i Prilog V. Poslovniku,</w:t>
      </w:r>
    </w:p>
    <w:p w14:paraId="539B4B25" w14:textId="77777777" w:rsidR="008C34B6" w:rsidRPr="003524DB" w:rsidRDefault="008C34B6" w:rsidP="008C34B6">
      <w:pPr>
        <w:pStyle w:val="NormalHanging12a"/>
      </w:pPr>
      <w:r w:rsidRPr="003524DB">
        <w:t>–</w:t>
      </w:r>
      <w:r w:rsidRPr="003524DB">
        <w:tab/>
        <w:t>uzimajući u obzir izvješće Odbora za proračunski nadzor (A10</w:t>
      </w:r>
      <w:r w:rsidRPr="003524DB">
        <w:noBreakHyphen/>
        <w:t>0059/2026),</w:t>
      </w:r>
    </w:p>
    <w:p w14:paraId="079EBB5D" w14:textId="77777777" w:rsidR="008C34B6" w:rsidRPr="003524DB" w:rsidRDefault="008C34B6" w:rsidP="008C34B6">
      <w:pPr>
        <w:pStyle w:val="NormalHanging12a"/>
      </w:pPr>
      <w:r w:rsidRPr="003524DB">
        <w:t>A.</w:t>
      </w:r>
      <w:r w:rsidRPr="003524DB">
        <w:tab/>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6F8687FE" w14:textId="77777777" w:rsidR="008C34B6" w:rsidRPr="003524DB" w:rsidRDefault="008C34B6" w:rsidP="008C34B6">
      <w:pPr>
        <w:pStyle w:val="NormalHanging12a"/>
      </w:pPr>
      <w:r w:rsidRPr="003524DB">
        <w:t>B.</w:t>
      </w:r>
      <w:r w:rsidRPr="003524DB">
        <w:tab/>
        <w:t>budući da je Europski gospodarski i socijalni odbor („Odbor”) savjetodavno tijelo Unije i forum za savjetovanje, dijalog i konsenzus među predstavnicima raznih gospodarskih, socijalnih i civilnih sastavnica organiziranog civilnog društva iz država članica;</w:t>
      </w:r>
    </w:p>
    <w:p w14:paraId="171C17BB" w14:textId="77777777" w:rsidR="008C34B6" w:rsidRPr="003524DB" w:rsidRDefault="008C34B6" w:rsidP="008C34B6">
      <w:pPr>
        <w:pStyle w:val="NormalHanging12a"/>
      </w:pPr>
      <w:r w:rsidRPr="003524DB">
        <w:t>C.</w:t>
      </w:r>
      <w:r w:rsidRPr="003524DB">
        <w:tab/>
        <w:t>budući da Odbor pridonosi postupku donošenja odluka Unije i, omogućivanjem poveznica između politika Unije i gospodarskih, socijalnih i građanskih okolnosti, slijedi ciljeve bolje izrade zakonodavstva, participativne demokracije i promicanja europskih vrijednosti;</w:t>
      </w:r>
    </w:p>
    <w:p w14:paraId="2BC72F89" w14:textId="77777777" w:rsidR="008C34B6" w:rsidRPr="003524DB" w:rsidRDefault="008C34B6" w:rsidP="008C34B6">
      <w:pPr>
        <w:pStyle w:val="NormalHanging12a"/>
      </w:pPr>
      <w:r w:rsidRPr="003524DB">
        <w:t>D.</w:t>
      </w:r>
      <w:r w:rsidRPr="003524DB">
        <w:tab/>
        <w:t>budući da se Odbor u određenim slučajevima mora obavezno savjetovati s Komisijom ili Vijećem, no da Odbor može donijeti mišljenja i na vlastitu inicijativu uz široko područje upućivanja kako je utvrđeno u Ugovorima, koji mu omogućuju savjetovanje s Parlamentom;</w:t>
      </w:r>
    </w:p>
    <w:p w14:paraId="13776301" w14:textId="77777777" w:rsidR="008C34B6" w:rsidRPr="003524DB" w:rsidRDefault="008C34B6" w:rsidP="008C34B6">
      <w:pPr>
        <w:pStyle w:val="NormalHanging12a"/>
      </w:pPr>
      <w:r w:rsidRPr="003524DB">
        <w:t>E.</w:t>
      </w:r>
      <w:r w:rsidRPr="003524DB">
        <w:tab/>
        <w:t>budući da je Povjerenstvo za financije i proračun (CAF) nadzorno tijelo Odbora za sve proračunske postupke, a posebno za izradu projekcija proračuna, izvršenje proračuna, godišnje izvješće o radu, razrješnicu i mjere poduzete na temelju godišnjeg izvješća Revizorskog suda;</w:t>
      </w:r>
    </w:p>
    <w:p w14:paraId="661DD4BC" w14:textId="77777777" w:rsidR="008C34B6" w:rsidRPr="003524DB" w:rsidRDefault="008C34B6" w:rsidP="008C34B6">
      <w:pPr>
        <w:pStyle w:val="NormalHanging12a"/>
      </w:pPr>
      <w:r w:rsidRPr="003524DB">
        <w:t>F.</w:t>
      </w:r>
      <w:r w:rsidRPr="003524DB">
        <w:tab/>
        <w:t>budući da je Odbor posljednjih godina dosljedno poduzimao inicijative za privlačenje i zadržavanje kvalificiranog osoblja, optimizaciju svoje organizacijske strukture i metoda rada te promicanje radnog okruženja punog poštovanja, a sve u kontekstu ograničenog proračuna;</w:t>
      </w:r>
    </w:p>
    <w:p w14:paraId="2177130E" w14:textId="3B8BB480" w:rsidR="008C34B6" w:rsidRPr="003524DB" w:rsidRDefault="008C34B6" w:rsidP="008C34B6">
      <w:pPr>
        <w:pStyle w:val="NormalHanging12a"/>
      </w:pPr>
      <w:r w:rsidRPr="003524DB">
        <w:t>G.</w:t>
      </w:r>
      <w:r w:rsidRPr="003524DB">
        <w:tab/>
        <w:t>budući da je Odbor 2024. imenovao nov</w:t>
      </w:r>
      <w:r w:rsidR="00B610E3">
        <w:t>u</w:t>
      </w:r>
      <w:r w:rsidRPr="003524DB">
        <w:t xml:space="preserve"> glavn</w:t>
      </w:r>
      <w:r w:rsidR="00B610E3">
        <w:t>u</w:t>
      </w:r>
      <w:r w:rsidRPr="003524DB">
        <w:t xml:space="preserve"> tajni</w:t>
      </w:r>
      <w:r w:rsidR="00B610E3">
        <w:t>cu</w:t>
      </w:r>
      <w:r w:rsidRPr="003524DB">
        <w:t xml:space="preserve"> čiji je mandat učiniti Odbor učinkovitijim, djelotvornijim i relevantnijim;</w:t>
      </w:r>
    </w:p>
    <w:p w14:paraId="7022C2FF" w14:textId="77777777" w:rsidR="008C34B6" w:rsidRPr="003524DB" w:rsidRDefault="008C34B6" w:rsidP="008C34B6">
      <w:pPr>
        <w:pStyle w:val="NormalHanging12a"/>
      </w:pPr>
      <w:r w:rsidRPr="003524DB">
        <w:t>H.</w:t>
      </w:r>
      <w:r w:rsidRPr="003524DB">
        <w:tab/>
        <w:t>budući da je Odbor 2024. započeo proces transformacije kako bi postao organizacija koja se temelji na učinku i koja osposobljava svoje članove za jačanje i zaštitu glasa organiziranog civilnog društva;</w:t>
      </w:r>
    </w:p>
    <w:p w14:paraId="009F9259" w14:textId="77777777" w:rsidR="008C34B6" w:rsidRPr="003524DB" w:rsidRDefault="008C34B6" w:rsidP="008C34B6">
      <w:pPr>
        <w:pStyle w:val="NormalHanging12a"/>
        <w:rPr>
          <w:bCs/>
          <w:iCs/>
        </w:rPr>
      </w:pPr>
      <w:r w:rsidRPr="003524DB">
        <w:t>I.</w:t>
      </w:r>
      <w:r w:rsidRPr="003524DB">
        <w:tab/>
        <w:t xml:space="preserve">budući da je, u skladu s člancima 300. i 304. Ugovora o funkcioniranju Europske unije, </w:t>
      </w:r>
      <w:r w:rsidRPr="003524DB">
        <w:lastRenderedPageBreak/>
        <w:t>Europski gospodarski i socijalni odbor savjetodavno tijelo čija je primarna zadaća davanje mišljenja;</w:t>
      </w:r>
    </w:p>
    <w:p w14:paraId="04BE0E6B" w14:textId="77777777" w:rsidR="008C34B6" w:rsidRPr="003524DB" w:rsidRDefault="008C34B6" w:rsidP="008C34B6">
      <w:pPr>
        <w:pStyle w:val="NormalHanging12a"/>
      </w:pPr>
      <w:r w:rsidRPr="003524DB">
        <w:t>1.</w:t>
      </w:r>
      <w:r w:rsidRPr="003524DB">
        <w:tab/>
        <w:t>konstatira da je proračun Odbora obuhvaćen naslovom 7 VFO-a „Europska javna uprava”, koji je 2024. iznosio ukupno 13,3 milijardi EUR, tj. 6,9 % proračunske potrošnje Unije; napominje da je 2024. proračun Odbora činio 1,50 % odobrenih sredstava iz naslova 7. VFO-a, što predstavlja povećanje u odnosu na 1,29 % iz 2023.;</w:t>
      </w:r>
    </w:p>
    <w:p w14:paraId="0A3BC730" w14:textId="77777777" w:rsidR="008C34B6" w:rsidRPr="003524DB" w:rsidRDefault="008C34B6" w:rsidP="008C34B6">
      <w:pPr>
        <w:pStyle w:val="NormalHanging12a"/>
      </w:pPr>
      <w:r w:rsidRPr="003524DB">
        <w:t>2.</w:t>
      </w:r>
      <w:r w:rsidRPr="003524DB">
        <w:tab/>
        <w:t>konstatira da je Revizorski sud u godišnjem izvješću za financijsku godinu 2024. („izvješće Revizorskog suda”) ispitao uzorak od 70 transakcija pod naslovom „Uprava”, jednako kao i za 2023.; budući da Revizorski sud također navodi da administrativni rashodi obuhvaćaju rashode za ljudske resurse, uključujući rashode za mirovine, koji su 2024. činili oko 69 % ukupnih administrativnih rashoda, te rashode za zgrade, opremu, energiju, komunikacije i informacijsku tehnologiju (IT) te da njegov dugogodišnji rad upućuje na to da je takva potrošnja općenito niskorizična;</w:t>
      </w:r>
    </w:p>
    <w:p w14:paraId="325530C5" w14:textId="77777777" w:rsidR="008C34B6" w:rsidRPr="003524DB" w:rsidRDefault="008C34B6" w:rsidP="008C34B6">
      <w:pPr>
        <w:pStyle w:val="NormalHanging12a"/>
      </w:pPr>
      <w:r w:rsidRPr="003524DB">
        <w:t>3.</w:t>
      </w:r>
      <w:r w:rsidRPr="003524DB">
        <w:tab/>
        <w:t>konstatira da je 16 (23 %) od 70 transakcija sadržavalo pogreške, ali da Revizorski sud, na temelju triju kvantificiranih pogrešaka, procjenjuje da je stopa pogreške ispod praga značajnosti; napominje da u izvješću Revizorskog suda nisu utvrđeni posebni problemi koji se odnose na Odbor;</w:t>
      </w:r>
    </w:p>
    <w:p w14:paraId="093CD635" w14:textId="77777777" w:rsidR="008C34B6" w:rsidRPr="003524DB" w:rsidRDefault="008C34B6" w:rsidP="008C34B6">
      <w:pPr>
        <w:pStyle w:val="NormalHanging12a"/>
        <w:rPr>
          <w:b/>
          <w:i/>
        </w:rPr>
      </w:pPr>
      <w:r w:rsidRPr="003524DB">
        <w:rPr>
          <w:b/>
          <w:i/>
        </w:rPr>
        <w:t>Upravljanje proračunom i financijama</w:t>
      </w:r>
    </w:p>
    <w:p w14:paraId="7DF276BB" w14:textId="77777777" w:rsidR="008C34B6" w:rsidRPr="003524DB" w:rsidRDefault="008C34B6" w:rsidP="008C34B6">
      <w:pPr>
        <w:pStyle w:val="NormalHanging12a"/>
      </w:pPr>
      <w:r w:rsidRPr="003524DB">
        <w:t>4.</w:t>
      </w:r>
      <w:r w:rsidRPr="003524DB">
        <w:tab/>
        <w:t>konstatira da je konačni usvojeni proračun Odbora za 2024. iznosio 164 945 524 EUR, što odgovara ukupnom povećanju od 3,90 % u odnosu na 2023.; prima na znanje iz odgovora Odbora na upitnik koji je podnio Odbor za proračunski nadzor u vezi s razrješnicom za proračun za 2024. („Upitnik”) da dvije proračunske linije Odbora, odnosno 1200 (primici od rada i naknade za osoblje) i 1004 (putni troškovi i dnevnice članova), čine većinu proračuna Odbora za 2024., tj. 65,80 %, što je povećanje u odnosu na 65,58 % za 2023.;</w:t>
      </w:r>
    </w:p>
    <w:p w14:paraId="59C1EF13" w14:textId="77777777" w:rsidR="008C34B6" w:rsidRPr="003524DB" w:rsidRDefault="008C34B6" w:rsidP="008C34B6">
      <w:pPr>
        <w:pStyle w:val="NormalHanging12a"/>
        <w:rPr>
          <w:bCs/>
          <w:iCs/>
        </w:rPr>
      </w:pPr>
      <w:r w:rsidRPr="003524DB">
        <w:t>5.</w:t>
      </w:r>
      <w:r w:rsidRPr="003524DB">
        <w:tab/>
        <w:t>prima na znanje da je Odbor s pristupa usmjerenog na potrošnju prešao na upravljanje resursima i određivanje prioriteta, što je vidljivo iz strateškog financijskog paketa koji je podržalo Predsjedništvo Odbora i uvođenja postupaka određivanja prioriteta; primjećuje da je cilj tih mjera poboljšati financijsko upravljanje i uskladiti proračunske odluke sa strateškim ciljevima; prima na znanje korake za smanjenje administrativnog opterećenja i pojednostavnjenje postupaka radi postizanja troškovne učinkovitosti; poziva Odbor da dodatno konsolidira taj pristup uključivanjem pokazatelja uspješnosti i planiranja predviđanja u svoj godišnji financijski ciklus;</w:t>
      </w:r>
    </w:p>
    <w:p w14:paraId="7FFD9194" w14:textId="77777777" w:rsidR="008C34B6" w:rsidRPr="003524DB" w:rsidRDefault="008C34B6" w:rsidP="008C34B6">
      <w:pPr>
        <w:pStyle w:val="NormalHanging12a"/>
      </w:pPr>
      <w:r w:rsidRPr="003524DB">
        <w:t>6.</w:t>
      </w:r>
      <w:r w:rsidRPr="003524DB">
        <w:tab/>
        <w:t xml:space="preserve">pohvaljuje Odbor zbog visoke stope izvršenja proračuna za odobrena sredstva za preuzimanje obveza za tekuću godinu, koja se povećala s 98,70 % 2023. na 99,21 % 2024. zahvaljujući uspješnom praćenju izvršenja proračuna, ali i zbog visoke stope inflacije koja utječe na plaće osoblja i troškove za zgrade; u tom kontekstu prima na znanje nastojanja Odbora u pogledu preraspodjele u obliku proračunskih prijenosa u ukupnom iznosu od 2 487 139 EUR (što čini 1,51 % njegova proračuna za 2024.) u različitim proračunskim linijama, pri čemu se najveća povećanja odnose na rad i održavanje softverskih sustava (+ 519 682 EUR) i zgrada (+ 421 880 EUR); nadalje, sa zadovoljstvom konstatira da se stopa izvršenja odobrenih sredstava za plaćanje za tekuću godinu povećala s 88,12 % 2022. i 90,67 % 2023. na 92,85 % 2024., a prosječno vrijeme plaćanja smanjilo se s 20,14 dana 2023. na 16,06 dana 2024., što predstavlja </w:t>
      </w:r>
      <w:r w:rsidRPr="003524DB">
        <w:lastRenderedPageBreak/>
        <w:t>najbolju uspješnost Odbora od 2021.; potiče nastavak učinkovitog praćenja, ograničavanja troškova i strateške preraspodjele kako bi se osiguralo ostvarivanje vrijednosti za uloženi novac i transparentnost;</w:t>
      </w:r>
    </w:p>
    <w:p w14:paraId="3DC6C743" w14:textId="77777777" w:rsidR="008C34B6" w:rsidRPr="003524DB" w:rsidRDefault="008C34B6" w:rsidP="008C34B6">
      <w:pPr>
        <w:pStyle w:val="NormalHanging12a"/>
      </w:pPr>
      <w:r w:rsidRPr="003524DB">
        <w:t>7.</w:t>
      </w:r>
      <w:r w:rsidRPr="003524DB">
        <w:tab/>
        <w:t>napominje da je prijenos odobrenih sredstava iz 2023. u 2024. iznosio 13 827 713 EUR ili 8,38 % proračuna Odbora za 2024., što predstavlja smanjenje u odnosu na razinu iz prethodne godine od 15 466 316 EUR (tj. 9,74 % proračuna Odbora za 2023.); nadalje prima na znanje da je stopa izvršenja odobrenih sredstava prenesenih iz 2023. u 2024. iznosila 84,74 %, što je niže od 86,76 % koliko je iznosila 2023.;</w:t>
      </w:r>
    </w:p>
    <w:p w14:paraId="0DD72FC8" w14:textId="79985C00" w:rsidR="008C34B6" w:rsidRPr="003524DB" w:rsidRDefault="008C34B6" w:rsidP="008C34B6">
      <w:pPr>
        <w:pStyle w:val="NormalHanging12a"/>
      </w:pPr>
      <w:r w:rsidRPr="003524DB">
        <w:t>8.</w:t>
      </w:r>
      <w:r w:rsidRPr="003524DB">
        <w:tab/>
        <w:t>napominje da je Vijeće 21. </w:t>
      </w:r>
      <w:r w:rsidR="00B610E3">
        <w:t>lipnja</w:t>
      </w:r>
      <w:r w:rsidRPr="003524DB">
        <w:t> 2024. donijelo novu odluku o odobravanju dnevnica i naknadi putnih troškova članovima Odbora i njihovim zamjenicima, prema kojoj dnevnica za korisnike koji sudjeluju na sastancima uživo iznosi 367 EUR (povećanje u odnosu na 290 EUR), a dnevnica za korisnike koji sudjeluju na sastancima na daljinu elektroničkim putem 149 EUR (povećanje u odnosu na 145 EUR); prima na znanje iz Upitnika da je Odbor 2024. nadoknadio troškove sudjelovanja na daljinu u iznosu od 294 930 EUR (2023 930 EUR 2023.), što odgovara 1744 dana sastanaka (2006 dana sastanaka 2023.), dok je ukupni iznos paušalnih naknada isplaćenih za sudjelovanje na sastancima uživo 2024. iznosio 6 579 196 EUR (povećanje u odnosu na 5 902 963 EUR 2023.); poziva Odbor da poveća transparentnost i proporcionalnost sustava naknada za sudjelovanje na daljinu kako bi se ojačalo povjerenje javnosti i naglašava da financijska naknada za sudjelovanje na daljinu mora biti strogo opravdana; nadalje, napominje da je Odbor uspostavio sustav za potvrđivanje stvarnog sudjelovanja na sastancima na daljinu elektroničkim putem; smatra da je sudjelovanje na daljinu, kao i naknada za sudjelovanje na sastancima na daljinu, važan instrument i vrijedan alat za moderne institucije, kojim se smanjuju troškovi sastanaka i omogućuje šire sudjelovanje; pozdravlja pristup Odbora da se naknada za sudjelovanje na daljinu dodjeljuje na pravedan i proporcionalan način, u skladu s odgovornostima članova i zahtjevima u pogledu priprema; podsjeća da članovi Odbora ne primaju plaću za svoj mandat;</w:t>
      </w:r>
    </w:p>
    <w:p w14:paraId="1350C85A" w14:textId="77777777" w:rsidR="008C34B6" w:rsidRPr="003524DB" w:rsidRDefault="008C34B6" w:rsidP="008C34B6">
      <w:pPr>
        <w:pStyle w:val="NormalHanging12a"/>
      </w:pPr>
      <w:r w:rsidRPr="003524DB">
        <w:t>9.</w:t>
      </w:r>
      <w:r w:rsidRPr="003524DB">
        <w:tab/>
        <w:t>napominje da su vlastite službe Odbora provele 10 pregovaračkih postupaka u vrijednosti od 15 000 EUR do 60 000 EUR i jedan postupak s jednom ponudom za vrijednost u istom razredu, uglavnom za studije; napominje da je Odbor pokrenuo i šest postupaka nabave (za okvirne ugovore) sa zajedničkim službama koje dijeli s Europskim odborom regija („Odbor regija”) i koji, među ostalim, obuhvaćaju pripremu i dostavu hrane, logistiku i održavanje;</w:t>
      </w:r>
    </w:p>
    <w:p w14:paraId="1D22DD1E" w14:textId="77777777" w:rsidR="008C34B6" w:rsidRPr="003524DB" w:rsidRDefault="008C34B6" w:rsidP="008C34B6">
      <w:pPr>
        <w:pStyle w:val="NormalHanging12a"/>
      </w:pPr>
      <w:r w:rsidRPr="003524DB">
        <w:t>10.</w:t>
      </w:r>
      <w:r w:rsidRPr="003524DB">
        <w:tab/>
        <w:t>prima na znanje iz Upitnika da je učinak ruske ratne agresije nastavio stvarati pritisak na proračun Odbora 2024. zbog inflacije i nestabilnosti energetskog tržišta, što je dovelo do većih operativnih troškova; napominje da se procjenjuje da su se u razdoblju od 2021. do 2024. troškovi najamnina Odbora povećali za 16,53 %, a troškovi ugovora o održavanju i sigurnosnim uslugama za 15 %; nadalje, prima na znanje iz Upitnika da se 2024. plaćanje najma Odbora povećalo za 4,7 %, što je iznad gornje granice Komisije od 2 % za troškove koji se ne odnose na plaće; nadalje, konstatira da su se troškovi energije Odbora 2024. smanjili s 1 923 391 EUR 2023. na 711 608 EUR; u tom kontekstu pohvaljuje Odbor za njegov trud da svoje operacije učini troškovno učinkovitijima, među ostalim pojačanim naporima za uštedu energije; prepoznaje da sve institucije, tijela, uredi i agencije Unije trebaju poboljšati svoje upravljanje proračunom tako da pri sklapanju ugovora s pružateljima usluga uzimaju u obzir i nestabilnost cijena, posebno u energetskom sektoru;</w:t>
      </w:r>
    </w:p>
    <w:p w14:paraId="5D89991F" w14:textId="77777777" w:rsidR="008C34B6" w:rsidRPr="003524DB" w:rsidRDefault="008C34B6" w:rsidP="008C34B6">
      <w:pPr>
        <w:pStyle w:val="NormalHanging12a"/>
        <w:rPr>
          <w:bCs/>
          <w:iCs/>
        </w:rPr>
      </w:pPr>
      <w:r w:rsidRPr="003524DB">
        <w:lastRenderedPageBreak/>
        <w:t>11.</w:t>
      </w:r>
      <w:r w:rsidRPr="003524DB">
        <w:tab/>
        <w:t>poziva upravu Odbora da aktivno utvrđuje i provodi mjere za smanjenje troškova, među ostalim povećanom upotrebom tehnologija hibridnih sastanaka, optimizacijom upotrebe zgrada, konsolidacijom parlamentarnih aktivnosti i smanjenjem nepotrebnih logističkih troškova; traži redovita izvješća o napretku u pogledu provedenih mjera i ostvarenih ušteda;</w:t>
      </w:r>
    </w:p>
    <w:p w14:paraId="02C41035" w14:textId="77777777" w:rsidR="008C34B6" w:rsidRPr="003524DB" w:rsidRDefault="008C34B6" w:rsidP="008C34B6">
      <w:pPr>
        <w:pStyle w:val="NormalHanging12a"/>
      </w:pPr>
      <w:r w:rsidRPr="003524DB">
        <w:t>12.</w:t>
      </w:r>
      <w:r w:rsidRPr="003524DB">
        <w:tab/>
        <w:t>prima na znanje iz Upitnika da je osoblje Odbora 2024. imalo 415 službenih putovanja (300 u 2023.) u ukupnom iznosu od 448 655 EUR, što je povećanje od 25 % u odnosu na 2023. zbog povećanja broja službenih putovanja i stvarnih troškova letova i hotelskog smještaja; prima na znanje procjenu Odbora da je 2024. uštedio oko 40 000 EUR na troškovima službenih putovanja pri primjeni nominalne stope inflacije od 21 % u razdoblju od 2020. do 2023. na iznos koji je Odbor platio za službena putovanja 2019. (tj. 402 097 EUR), prije pandemije bolesti COVID-19; cijeni politiku Odbora da se godišnji rashodi za službena putovanja svedu na najmanju moguću mjeru; napominje da je predsjednica Odbora 2024. provela ukupno 88 dana na službenim putovanjima (porast u odnosu na 69 dana 2023.) uz ukupni trošak od oko 113 000 EUR (porast u odnosu na oko 72 000 EUR 2023.), budući da su takva službena putovanja bila potrebna za sudjelovanje predsjednice na međunarodnim forumima, inicijativama na razini Unije i drugim događanjima koja su zahtijevala aktivno sudjelovanje Odbora;</w:t>
      </w:r>
    </w:p>
    <w:p w14:paraId="36AE81D8" w14:textId="77777777" w:rsidR="008C34B6" w:rsidRPr="003524DB" w:rsidRDefault="008C34B6" w:rsidP="008C34B6">
      <w:pPr>
        <w:pStyle w:val="NormalHanging12a"/>
      </w:pPr>
      <w:r w:rsidRPr="003524DB">
        <w:t>13.</w:t>
      </w:r>
      <w:r w:rsidRPr="003524DB">
        <w:tab/>
        <w:t>prima na znanje iz Upitnika da je Zajednička uprava za inovacije i informacijsku tehnologiju Odbora i Odbora regija oko 4 % svojeg proračuna za IT namijenila kibernetičkoj sigurnosti (povećanje u odnosu na 3 % 2023.), što je i dalje daleko od cilja od 10 % predviđenog relevantnim zakonodavstvom; ponavlja svoj poziv suzakonodavcima i Komisiji da to uzmu u obzir u okviru godišnjeg proračunskog postupka; prepoznaje potrebu Odbora za unapređenjem kibernetičke sigurnosti za oba odbora u ukupnoj vrijednosti od oko 1,2 milijuna EUR, čime bi potrošnja za kibernetičku sigurnost iznosila 10 % ukupnog proračuna Odbora za IT;</w:t>
      </w:r>
    </w:p>
    <w:p w14:paraId="5FB804F9" w14:textId="77777777" w:rsidR="008C34B6" w:rsidRPr="003524DB" w:rsidRDefault="008C34B6" w:rsidP="008C34B6">
      <w:pPr>
        <w:pStyle w:val="NormalHanging12a"/>
      </w:pPr>
      <w:r w:rsidRPr="003524DB">
        <w:rPr>
          <w:b/>
          <w:i/>
        </w:rPr>
        <w:t>Unutarnje upravljanje, uspješnost i unutarnja kontrola</w:t>
      </w:r>
    </w:p>
    <w:p w14:paraId="31A3BC91" w14:textId="77777777" w:rsidR="008C34B6" w:rsidRPr="003524DB" w:rsidRDefault="008C34B6" w:rsidP="008C34B6">
      <w:pPr>
        <w:pStyle w:val="NormalHanging12a"/>
      </w:pPr>
      <w:r w:rsidRPr="003524DB">
        <w:t xml:space="preserve">14. </w:t>
      </w:r>
      <w:r w:rsidRPr="003524DB">
        <w:tab/>
        <w:t xml:space="preserve">potvrđuje da Odbor ima ključnu ulogu u doprinosu razvoju politika Unije i postupcima donošenja odluka tako što predstavlja glasove svih područja organiziranog civilnog društva u Uniji, čime se Unijja približava svojim građanima i povećava demokratski legitimitet zakonodavstva Unije; podsjeća na to da Odbor u okviru svojeg godišnjeg programa rada ima sustav za praćenje uspješnosti s pokazateljima u različitim područjima, kao što su IT, ljudski resursi, prevođenje i komunikacija, koji počiva na pet temeljnih vrijednosti i pet ključnih strateških ciljeva, u okviru strategije Glavnog tajništva za razdoblje 2021. – 2025.; međutim, smatra da se i dalje u pravilu nedovoljno izvješćuje o dodanoj vrijednosti njegovih aktivnosti za građane Unije; sa zadovoljstvom prima na znanje iz daljnjih mjera Odbora na temelju primjedaba iz rezolucije Parlamenta o razrješnici za 2023. („izvješće o daljnjim mjerama”) i Upitnika da je Odbor nakon revizije pokrenuo strukturirani postupak za poboljšanje praćenja uspješnosti usklađivanjem svojeg okvira uspješnosti sa strateškim ciljevima s pomoću ključnih pokazatelja uspješnosti i pokazatelja učinka koji će biti usklađeni s budućim strateškim ciljevima Odbora; pozdravlja nastojanja Odbora da uključi mjerenje učinka u svoje donošenje odluka i poziva na uvođenje jasnih mjerljivih ključnih pokazatelja uspješnosti i redovito izvješćivanje kako bi se osigurali mjerljivi rezultati i odgovornost; poziva Odbor da dodatno ojača okvir za procjenu učinka i to tako da kvalitetnije pokaže kako se njegova mišljenja i inicijative pretvaraju u konkretne rezultate politika i opipljive koristi za građane, budući da će više rukovodstvo Odbora imati ključnu ulogu </w:t>
      </w:r>
      <w:r w:rsidRPr="003524DB">
        <w:lastRenderedPageBreak/>
        <w:t>u korištenju tih pokazatelja; očekuje da će biti obaviješten o ishodu izvršenja tog novog okvira putem budućeg izvješćivanja Odbora tijelu nadležnom za davanje razrješnice;</w:t>
      </w:r>
    </w:p>
    <w:p w14:paraId="7185E708" w14:textId="77777777" w:rsidR="008C34B6" w:rsidRPr="003524DB" w:rsidRDefault="008C34B6" w:rsidP="008C34B6">
      <w:pPr>
        <w:pStyle w:val="NormalHanging12a"/>
      </w:pPr>
      <w:r w:rsidRPr="003524DB">
        <w:t>15.</w:t>
      </w:r>
      <w:r w:rsidRPr="003524DB">
        <w:tab/>
        <w:t>napominje da Odbor svoju misiju ostvaruje mišljenjima koja se odnose na zakonodavne prijedloge Komisije (zahtjevi za mišljenje) i samoinicijativnim mišljenjima, u kojima se institucije Unije pozivaju na djelovanje, kao i razmatračkim mišljenjima, koja pridonose radu Komisije na planiranim inicijativama, te da se stajališta Odbora mogu istaknuti u rezolucijama ili uvrstiti u evaluacije ili informativna mišljenja; pohvaljuje Odbor za uspješnost u pomaganju Parlamentu, Vijeću i Komisiji u zakonodavnom ciklusu 2024.; u tom kontekstu napominje da je Odbor 2024. donio 142 mišljenja i izvješća, što predstavlja smanjenje u odnosu na 213 tijekom 2023., te je organizirao 148 saslušanja i 26 konferencija, u usporedbi sa 146 odnosno 24 tijekom 2023.; potvrđuje da je obnova saziva 2024. dovela do smanjenja broja zahtjeva za mišljenje, a time i broja mišljenja koja je Odbor usvojio te godine; konstatira da su članovi Odbora 2024. sudjelovali na 518 sastanaka na visokoj razini, sastanaka na vrhu i konferencija, u usporedbi s 429 takvih sastanaka 2023.; potiče davanje prednosti inicijativama kojima se podupiru gospodarski rast, konkurentnost i strateška autonomija Unije;</w:t>
      </w:r>
    </w:p>
    <w:p w14:paraId="38FD0E60" w14:textId="77777777" w:rsidR="008C34B6" w:rsidRPr="003524DB" w:rsidRDefault="008C34B6" w:rsidP="008C34B6">
      <w:pPr>
        <w:pStyle w:val="NormalHanging12a"/>
        <w:rPr>
          <w:bCs/>
          <w:iCs/>
        </w:rPr>
      </w:pPr>
      <w:r w:rsidRPr="003524DB">
        <w:t>16.</w:t>
      </w:r>
      <w:r w:rsidRPr="003524DB">
        <w:tab/>
        <w:t>potiče Odbor da nastavi ulagati napore u to da svoj rad usmjeri na područja u kojima može pružiti jasne i mjerljive doprinose relevantne za politike te da dodatno razvije pokazatelje koji se temelje na uspješnosti i učinku te koji nadilaze ostvarenja temeljena na aktivnostima te bolje odražavaju ishode i relevantnost za građane;</w:t>
      </w:r>
    </w:p>
    <w:p w14:paraId="5F1D4513" w14:textId="77777777" w:rsidR="008C34B6" w:rsidRPr="003524DB" w:rsidRDefault="008C34B6" w:rsidP="008C34B6">
      <w:pPr>
        <w:pStyle w:val="NormalHanging12a"/>
      </w:pPr>
      <w:r w:rsidRPr="003524DB">
        <w:t>17.</w:t>
      </w:r>
      <w:r w:rsidRPr="003524DB">
        <w:tab/>
        <w:t>pozdravlja, na temelju izvješća o daljnjim mjerama, predanost Odbora izradi mišljenja o radničkim pravima, socijalnoj uključenosti i kršenju ljudskih prava te proširenju područja primjene njegovih evaluacija u pogledu zakonodavstva i programa Unije, pod uvjetom da su dostupna odgovarajuća sredstva;</w:t>
      </w:r>
    </w:p>
    <w:p w14:paraId="00EFDFB2" w14:textId="77777777" w:rsidR="008C34B6" w:rsidRPr="003524DB" w:rsidRDefault="008C34B6" w:rsidP="008C34B6">
      <w:pPr>
        <w:pStyle w:val="NormalHanging12a"/>
      </w:pPr>
      <w:r w:rsidRPr="003524DB">
        <w:t>18.</w:t>
      </w:r>
      <w:r w:rsidRPr="003524DB">
        <w:tab/>
        <w:t>cijeni mjere koje je Odbor poduzeo 2024. kako bi poboljšao vidljivost i učinak svojeg rada u političkom i zakonodavnom ciklusu; pozdravlja službeno pokretanje, nakon pilot-projekta, novog formata mišljenja sastavljenih kao odgovor na obvezne zahtjeve Parlamenta, Vijeća ili Komisije; napominje da se novim formatom poboljšava pristupačnost za korisnike i upotrebljivost za zakonodavca, uz istodobno poboljšanje određivanja prioriteta u radu Odbora; nadalje napominje da, zahvaljujući pojačanim daljnjim mjerama povezanima s odabranim mišljenjima s pomoću kontrolnog popisa i smjernica, Odbor očekuje da će ona ostati relevantna i nakon donošenja te da će se uključiti u višeslojne zakonodavne postupke; nadalje, pozdravlja uključivanje mišljenja Odbora u alat za praćenje zakonodavnih akata EU Law Tracker (EULT) od travnja 2024., pri čemu se sada pojavljuju kao upućivanja u zakonodavnim predmetima; sa zadovoljstvom konstatira da je Odbor usvojio i interni plan za bolje predviđanje prioriteta Unije, poboljšanje međuinstitucijske koordinacije, jačanje širenja informacija i daljnjeg postupanja te sustavnije mjerenje učinka;</w:t>
      </w:r>
    </w:p>
    <w:p w14:paraId="0D655176" w14:textId="77777777" w:rsidR="008C34B6" w:rsidRPr="003524DB" w:rsidRDefault="008C34B6" w:rsidP="008C34B6">
      <w:pPr>
        <w:pStyle w:val="NormalHanging12a"/>
        <w:rPr>
          <w:bCs/>
          <w:iCs/>
        </w:rPr>
      </w:pPr>
      <w:r w:rsidRPr="003524DB">
        <w:t>19.</w:t>
      </w:r>
      <w:r w:rsidRPr="003524DB">
        <w:tab/>
        <w:t>cijeni mjere koje je Odbor poduzeo 2024. kako bi poboljšao dostupnost, jasnoću i upotrebljivost svojih mišljenja za institucije Unije; ističe da su takve mjere namijenjene jačanju kapaciteta zakonodavaca za donošenje utemeljenih odluka;</w:t>
      </w:r>
    </w:p>
    <w:p w14:paraId="02F2CC47" w14:textId="77777777" w:rsidR="008C34B6" w:rsidRPr="003524DB" w:rsidRDefault="008C34B6" w:rsidP="008C34B6">
      <w:pPr>
        <w:pStyle w:val="NormalHanging12a"/>
      </w:pPr>
      <w:r w:rsidRPr="003524DB">
        <w:t>20.</w:t>
      </w:r>
      <w:r w:rsidRPr="003524DB">
        <w:tab/>
        <w:t xml:space="preserve">sa zadovoljstvom konstatira da je Odbor pokrenuo nekoliko vodećih inicijativa kojima su se ojačali sudjelovanje, uključenost i učinak politika diljem Unije; napominje da je Odbor od rujna 2024. preuzeo vodeću ulogu u primjeni testa utjecaja politika EU-a na mlade u svojem postupku formiranja mišljenja, kojim je obuhvatio mrežu od </w:t>
      </w:r>
      <w:r w:rsidRPr="003524DB">
        <w:lastRenderedPageBreak/>
        <w:t>73 organizacije mladih i ispitao oko 40 mišljenja; pozdravlja i podržava inicijative Odbora za jačanje angažmana mladih u postupku oblikovanja politika; nadalje napominje da je Odbor proširio svoju suradnju u sklopu inicijative uključivog dijaloga sa zemljama kandidatkinjama radi pripreme za buduće proširenje u okviru inicijative za članove i članice iz zemalja kandidatkinja za proširenje, čime se 146 predstavnika civilnog društva omogućilo da izravno pridonose mišljenjima Odbora sudjelovanjem u studijskim skupinama, sastancima stručnih skupina i plenarnim sjednicama (održanima u listopadu 2024.); pohvaljuje Odbor za napredak u provedbi plavog plana EU-a, čime pomaže u uvrštavanju otpornosti vodoopskrbe na dnevni red Unije; ističe da je Odbor 2024. nastavio voditi Europsku platformu dionika kružnog gospodarstva i suorganizirao nagrade EU-a za ekološku proizvodnju, jačajući veze s akterima civilnog društva u ekološkoj poljoprivredi; potiče Odbor da proširi opseg mišljenjâ kako bi se obuhvatilo dodatno zakonodavstvo Unije o javnim dobrima i mjerljivi ishodi;</w:t>
      </w:r>
    </w:p>
    <w:p w14:paraId="37936572" w14:textId="77777777" w:rsidR="008C34B6" w:rsidRPr="003524DB" w:rsidRDefault="008C34B6" w:rsidP="008C34B6">
      <w:pPr>
        <w:pStyle w:val="NormalHanging12a"/>
      </w:pPr>
      <w:r w:rsidRPr="003524DB">
        <w:t>21.</w:t>
      </w:r>
      <w:r w:rsidRPr="003524DB">
        <w:tab/>
        <w:t>poziva Odbor da poboljša razvoj sveobuhvatne strategije digitalne transformacije, koja bi obuhvaćala umjetnu inteligenciju, vodeći računa o potrebi za time da se osigura ljudski nadzor nad upotrebom umjetne inteligencije; strategija bi trebala obuhvaćati i automatizaciju, interoperabilnost i upravljanje podacima te bi trebala biti popraćena čvrstim okvirom kojim se osigurava sigurna, etična, odgovorna i transparentna upotreba novih tehnologija;</w:t>
      </w:r>
    </w:p>
    <w:p w14:paraId="2CA7979A" w14:textId="77777777" w:rsidR="008C34B6" w:rsidRPr="003524DB" w:rsidRDefault="008C34B6" w:rsidP="008C34B6">
      <w:pPr>
        <w:pStyle w:val="NormalHanging12a"/>
      </w:pPr>
      <w:r w:rsidRPr="003524DB">
        <w:t>22.</w:t>
      </w:r>
      <w:r w:rsidRPr="003524DB">
        <w:tab/>
        <w:t>sa zanimanjem prima na znanje iz Upitnika trud koji Odbor ulaže u usvajanje pristupa s većim strateškim karakterom kako bi dao prednost svojem radu povezanom s učinkom i uveo upravljanje učinkom u središte donošenja odluka; u tom kontekstu prima na znanje organizaciju triju strateških seminara na visokoj razini s političkim vodstvom 2024. i 2025., tijekom kojih su, među ostalim ciljevima, postupci predviđanja bili temelj za razvoj kriterija za određivanje ili ukidanje prioriteta inicijativa i za jamstvo tematske usklađenosti s dugoročnim potrebama civilnog društva; napominje da će taj postupak određivanja prioriteta biti integriran u temeljne aktivnosti Odbora jer će se provoditi svake godine i dopunjavati svake dvije i pol godine preispitivanjem svih tijela, aktivnosti i važnih događanja Odbora;</w:t>
      </w:r>
    </w:p>
    <w:p w14:paraId="346FC530" w14:textId="77777777" w:rsidR="008C34B6" w:rsidRPr="003524DB" w:rsidRDefault="008C34B6" w:rsidP="008C34B6">
      <w:pPr>
        <w:pStyle w:val="NormalHanging12a"/>
      </w:pPr>
      <w:r w:rsidRPr="003524DB">
        <w:t>23.</w:t>
      </w:r>
      <w:r w:rsidRPr="003524DB">
        <w:tab/>
        <w:t>prima na znanje, kad je riječ o postupku ispitivanja usklađenosti za 2024., visoku razinu usklađenosti s prosječnom stopom od 85 % (87 % 2023.); žali zbog toga što je učinkovitost sustava unutarnje kontrole pala sa 78 % u 2023. na 66 % u 2024.; u tom kontekstu prima na znanje jaz između formalne usklađenosti i praktične djelotvornosti u svakodnevnom poslovanju; poziva Odbor da riješi strukturne uzroke smanjenja učinkovitosti unutarnjih kontrola, posebno - i među ostalim - jačanjem kulture osviještenosti o rizicima, poboljšanjem kanala za unutarnju komunikaciju i ubrzavanjem modernizacije sustava za upravljanje dokumentima i informacijama; napominje, nadalje, da je Odbor 2024. donio revidiranu odluku o pojednostavnjenju 23 vrste provjera, koja se primjenjuje od siječnja 2025.; pozdravlja činjenicu da su ex post kontrole koje su već provedene u pogledu tih provjera potvrdile da pojednostavnjenje nije uzrokovalo dodatne rizike;</w:t>
      </w:r>
    </w:p>
    <w:p w14:paraId="3EEC9EE6" w14:textId="77777777" w:rsidR="008C34B6" w:rsidRPr="003524DB" w:rsidRDefault="008C34B6" w:rsidP="008C34B6">
      <w:pPr>
        <w:pStyle w:val="NormalHanging12a"/>
      </w:pPr>
      <w:r w:rsidRPr="003524DB">
        <w:t>24.</w:t>
      </w:r>
      <w:r w:rsidRPr="003524DB">
        <w:tab/>
        <w:t xml:space="preserve">prima na znanje iz godišnjeg izvješća o radu Odbora za 2024. („izvješće Odbora”), prema kojemu je 2024. provedeno pet novih revizija naknada za trajanje putovanja i udaljenost, upravljanja rizicima, zahtjeva za mišljenje, ključnih pokazatelja aktivnosti i uspješnosti te putnih troškova, što je dovelo do ukupno 14 preporuka; posebno prima na znanje zaključke unutarnjeg revizora u pogledu naknada za trajanje putovanja i udaljenost, kao što su nedostatak jasne definicije „uobičajenog boravišta” i nedostatak </w:t>
      </w:r>
      <w:r w:rsidRPr="003524DB">
        <w:lastRenderedPageBreak/>
        <w:t>zahtjeva za popratnu dokumentaciju; nadalje, napominje da je krajem siječnja 2025. ostalo otvoreno 13 preporuka; nadalje, napominje da je sedam preporuka iz prethodnih revizija još uvijek otvoreno, posebno o etici i integritetu, rokovima plaćanja, odobrenjima za sastanke, delegatima Savjetodavnog povjerenstva za industrijske promjene i strateškom ciklusu; u tom kontekstu pozdravlja činjenicu da je Odbor donio nova pravila o odobravanju sastanaka, naknadama i povratu troškova; poziva Odbor da osigura brzo zaključenje svih preostalih revizijskih preporuka, posebno onih koje se odnose na naknade, etiku i integritet, te da nastavi obavještavati tijelo nadležno za davanje razrješnice o napretku postignutom u provedbi svih aktualnih preporuka;</w:t>
      </w:r>
    </w:p>
    <w:p w14:paraId="1698BCF1" w14:textId="77777777" w:rsidR="008C34B6" w:rsidRPr="003524DB" w:rsidRDefault="008C34B6" w:rsidP="008C34B6">
      <w:pPr>
        <w:pStyle w:val="NormalHanging12a"/>
        <w:rPr>
          <w:b/>
          <w:i/>
        </w:rPr>
      </w:pPr>
      <w:r w:rsidRPr="003524DB">
        <w:rPr>
          <w:b/>
          <w:i/>
        </w:rPr>
        <w:t>Ljudski resursi, jednakost i dobrobit osoblja</w:t>
      </w:r>
    </w:p>
    <w:p w14:paraId="7C9525CA" w14:textId="77777777" w:rsidR="008C34B6" w:rsidRPr="003524DB" w:rsidRDefault="008C34B6" w:rsidP="008C34B6">
      <w:pPr>
        <w:pStyle w:val="NormalHanging12a"/>
      </w:pPr>
      <w:r w:rsidRPr="003524DB">
        <w:t>25.</w:t>
      </w:r>
      <w:r w:rsidRPr="003524DB">
        <w:tab/>
        <w:t>konstatira da je na kraju 2024. Odbor zapošljavao 713 članova osoblja, u usporedbi sa 707 članova osoblja 2023.; nadalje napominje da je 2024. bilo zaposleno 48 ugovornih djelatnika i 144 privremenih djelatnika (od kojih je 42 zaposleno 2024.), u usporedbi s 49 ugovornih djelatnika i 130 privremenih djelatnika 2023.; naglašava važnost osiguravanja ugovora na neodređeno vrijeme kako bi se zadržali vještine, kontinuitet i produktivno i stabilno radno okruženje te upozorava na prekomjerno oslanjanje na vanjske pružatelje usluga; osim toga, napominje da je Odbor zapošljavao 10 pružatelja usluga i 14 vanjskih djelatnika koji su radili intra muros, ne uključujući one u području pripreme i dostave hrane, održavanja, sigurnosti i zaštite; prima na znanje da je stopa popunjenosti radnih mjesta iznosila 96 % (95,50 % 2023.) i da je stopa fluktuacije osoblja 2024. iznosila 5,60 % (smanjenje u odnosu na 7 % 2023.);</w:t>
      </w:r>
    </w:p>
    <w:p w14:paraId="00D7B816" w14:textId="77777777" w:rsidR="008C34B6" w:rsidRPr="003524DB" w:rsidRDefault="008C34B6" w:rsidP="008C34B6">
      <w:pPr>
        <w:pStyle w:val="NormalHanging12a"/>
      </w:pPr>
      <w:r w:rsidRPr="003524DB">
        <w:t>26.</w:t>
      </w:r>
      <w:r w:rsidRPr="003524DB">
        <w:tab/>
        <w:t>pohvaljuje Odbor zbog toga što je 2024. treću godinu zaredom bio neto uvoznik talenata iz drugih institucija, kao rezultat provedbe njegova akcijskog plana za zapošljavanje i zadržavanje, dok je 42 % zapošljavanja 2024. bilo povezano s međuinstitucijskim premještajima; nadalje, iz izvješća o daljnjim mjerama prima na znanje povećanje broja prijava koje je Odbor zaprimio za stalna radna mjesta za 11,60 % te za privremena i ugovorna radna mjesta za 41 %; pozdravlja činjenicu da je Odbor pokrenuo interni natječaj, otvoren za privremeno i ugovorno osoblje, a popis uspješnih kandidata očekuje se do kraja 2025.; ističe da su interni natječaji važni za zadržavanje talenata i stručnog znanja te za stabilizaciju ljudskih resursa Odbora općenito; sa zadovoljstvom prima na znanje sudjelovanje Odbora na profesionalnim događanjima i sajmovima (uključujući virtualne) te na danima otvorenih vrata; napominje da je Odbor 2024. organizirao virtualni sajam karijera posvećen posebnim profilima radnih mjesta i mogućnostima za razvoj karijere, koji je privukao 270 sudionika, dok se njih 19 prijavilo i na prvi oglas za slobodno radno mjesto koji je bio objavljen u vrijeme događanja;</w:t>
      </w:r>
    </w:p>
    <w:p w14:paraId="6EBDE7A6" w14:textId="77777777" w:rsidR="008C34B6" w:rsidRPr="003524DB" w:rsidRDefault="008C34B6" w:rsidP="008C34B6">
      <w:pPr>
        <w:pStyle w:val="NormalHanging12a"/>
      </w:pPr>
      <w:r w:rsidRPr="003524DB">
        <w:t>27.</w:t>
      </w:r>
      <w:r w:rsidRPr="003524DB">
        <w:tab/>
        <w:t xml:space="preserve">pozdravlja trenutačne napore Odbora da poboljša svoj okvir ljudskih resursa kako bi postao privlačan poslodavac i potpuno uključivo radno mjesto u kojem se svaki pojedinac cijeni i može u potpunosti razviti svoj potencijal; napominje da je Odbor analizirao rezultate ankete o uključenosti osoblja iz 2023., utvrdio različite razloge za zabrinutost i u konačnici pokrenuo ciljane daljnje mjere koje su poduzete tijekom 2024.; u odnosu na navedene mjere prima na znanje, među ostalim, provedbu nove odluke o radnim uvjetima (hibridni rad, prekovremeni rad, posebni dopust), reviziju pravila o ocjenjivanju i promaknućima, donošenje nove politike mobilnosti i upravljanja osjetljivim radnim mjestima, provedbu nove strategije i akcijskog plana za raznolikost i uključivanje donesenih krajem 2023., reviziju politike upravljanja izostancima koja će se donijeti 2025. i rad na novoj strategiji Odbora za vještine (u tijeku); pozdravlja daljnje poboljšanje rezultata angažiranosti osoblja, kako je prikazano u najnovijoj anketi </w:t>
      </w:r>
      <w:r w:rsidRPr="003524DB">
        <w:lastRenderedPageBreak/>
        <w:t>Odbora, s povećanjem sa 70,5 % 2023. na 75 % 2025.;</w:t>
      </w:r>
    </w:p>
    <w:p w14:paraId="066CCC56" w14:textId="77777777" w:rsidR="008C34B6" w:rsidRPr="003524DB" w:rsidRDefault="008C34B6" w:rsidP="008C34B6">
      <w:pPr>
        <w:pStyle w:val="NormalHanging12a"/>
      </w:pPr>
      <w:r w:rsidRPr="003524DB">
        <w:t>28.</w:t>
      </w:r>
      <w:r w:rsidRPr="003524DB">
        <w:tab/>
        <w:t>napominje da su 2024. među osobljem koje je Odbor zapošljavao bila zastupljena državljanstva svih država članica Unije, pri čemu su neka od njih bila prekomjerno zastupljena; sa zadovoljstvom napominje da su 62,70 % osoblja činile žene, a 37,30 % muškarci; prima na znanje iz izvješća o daljnjim mjerama da žene drže 52 % rukovodećih položaja, što Odbor čini predvodnikom u tom pogledu; iznova pozdravlja imenovanje glavne tajnice u siječnju 2024. kao pozitivan pomak prema postizanju rodne ravnoteže; prima na znanje nedavno ostvaren napredak u uključivanju rodne ravnopravnosti i raznolikosti među strateške prioritete za poticanje uključive kulture na radnome mjestu koja se temelji na poštovanju; pozdravlja provedbu strategije i akcijskog plana za raznolikost i inkluziju, kao i ciljane programe mentorstva i razvoja vodstva za žene i nedovoljno zastupljene skupine; žali, međutim, zbog toga što je postotak žena u višem rukovodstvu 2024. ostao nizak, pri čemu su žene trenutačno na samo dva od sedam viših rukovodećih položaja, što je isto kao i 2023.; potvrđuje da je niska stopa fluktuacije svojstvena veličini Odbora jedan od razloga niskog udjela žena na tim položajima; 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p w14:paraId="16E7B605" w14:textId="77777777" w:rsidR="008C34B6" w:rsidRPr="003524DB" w:rsidRDefault="008C34B6" w:rsidP="008C34B6">
      <w:pPr>
        <w:pStyle w:val="NormalHanging12a"/>
      </w:pPr>
      <w:r w:rsidRPr="003524DB">
        <w:t>29.</w:t>
      </w:r>
      <w:r w:rsidRPr="003524DB">
        <w:tab/>
        <w:t>podsjeća na inicijativu Odbora da uvede novi pristup strateškom planiranju radne snage i raspodjeli osoblja, koristeći se prikupljanjem podataka o vještinama osoblja, aktivnim slušanjem u cijeloj organizaciji i promišljanjima političkih tijela Odbora o strateškim prioritetima; prima na znanje iz izvješća o daljnjim mjerama da će ta nova vrsta planiranja započeti pilot-projektom u ograničenom broju usluga odabranih na temelju strateških prioriteta; poziva Odbor da obavješćuje tijelo nadležno za davanje razrješnice o napretku i daljnjem razvoju događaja; naglašava važnost strateškog planiranja radne snage kako bi se optimizirala dodjela resursa i osigurala usklađenost s prioritetima na visokoj razini;</w:t>
      </w:r>
    </w:p>
    <w:p w14:paraId="523E88D3" w14:textId="77777777" w:rsidR="008C34B6" w:rsidRPr="003524DB" w:rsidRDefault="008C34B6" w:rsidP="008C34B6">
      <w:pPr>
        <w:pStyle w:val="NormalHanging12a"/>
      </w:pPr>
      <w:r w:rsidRPr="003524DB">
        <w:t>30.</w:t>
      </w:r>
      <w:r w:rsidRPr="003524DB">
        <w:tab/>
        <w:t xml:space="preserve">pozdravlja napore Odbora da stvori zdravo radno okruženje za svoje osoblje; posebno pohvaljuje pozornost koju Odbor posvećuje mentalnom i fizičkom zdravlju osoblja te njegova nastojanja povezana s podizanjem razine informiranosti o zdravstvenim pitanjima; prima na znanje mjere Odbora za upravljanje bolovanjem, kao što su rad na nepuno radno vrijeme i produljeni rad na daljinu iz zdravstvenih razloga, kako bi se omogućilo da se osoblje koje je zbog bolesti dugotrajno odsutno s posla pravodobno vrati na posao; prima na znanje smanjenje ukupnog broja prijavljenih dana bolovanja za 7,50 %, s 10 552 dana 2023. na 9 763 dana 2024., kao i smanjenje stope odsutnosti s 4,08 % 2023. na 3,75 % 2024. (najniža razina od 2021.); žali zbog toga što Odbor ponovno nije u mogućnosti pružiti podatke o slučajevima sindroma izgaranja; među argumentima Odbora primjećuje nedostatak obveze osoblja da unaprijed dijeli medicinske podatke, da sindrom izgaranja nije priznata medicinska dijagnoza i da razlozi za sindrom izgaranja možda nisu povezani s poslom, kao i liječničku tajnu; napominje da Odbor prikuplja anonimizirane statističke podatke o bolovanjima povezanima s mentalnim zdravljem, ali dostupni podaci ne omogućuju razlikovanje izgaranja na poslu od drugih uzroka koji nisu povezani s poslom; međutim, ističe da se sindrom izgaranja može mjeriti i bez medicinskih podataka, budući da postoje alati za procjenu sindroma izgaranja na poslu koji se mogu upotrebljavati, a Europska agencija za sigurnost i zdravlje na radu (EU-OSHA) podržava anonimne upitnike za mjerenje </w:t>
      </w:r>
      <w:r w:rsidRPr="003524DB">
        <w:lastRenderedPageBreak/>
        <w:t>stresa povezanog s radom i čimbenika izgaranja na poslu odvojeno od problema s mentalnim zdravljem koji nisu povezani s radom; potiče Odbor da se savjetuje i s Europskim nadzornikom za zaštitu podataka (EDPS) u pogledu prikupljanja podataka o sindromu izgaranja s pomoću medicinskih ili nemedicinskih alata te da obavješćuje tijelo nadležno za davanje razrješnice o daljnjim mjerama;</w:t>
      </w:r>
    </w:p>
    <w:p w14:paraId="4413EA88" w14:textId="77777777" w:rsidR="008C34B6" w:rsidRPr="003524DB" w:rsidRDefault="008C34B6" w:rsidP="008C34B6">
      <w:pPr>
        <w:pStyle w:val="NormalHanging12a"/>
      </w:pPr>
      <w:r w:rsidRPr="003524DB">
        <w:t>31.</w:t>
      </w:r>
      <w:r w:rsidRPr="003524DB">
        <w:tab/>
        <w:t>prima na znanje iz Upitnika da su 2024. Odbor i OR pokrenuli projekt SPaCES kako bi modernizirali i optimizirali svoje radne prostore na temelju potpuno participativnog i transparentnog postupka u kojem sudjeluju predstavnici osoblja i socijalni partneri; ističe da projekt predstavlja dugoročnu preobrazbu usmjerenu na poboljšanje djelotvornosti, suradnje i fleksibilnosti u objema institucijama, usklađeno s hibridnim radom; napominje da se projekt SPaCES provodi primjenom potpuno participativnog pristupa, čime se osigurava uključenost i zastupljenost osoblja u svakoj fazi; primjećuje da prva faza, koju podupire vanjski izvođač i koja bi trebala biti dovršena u ljeto 2025., uključuje radionice s rukovodstvom i svim službama obaju odbora, kao i detaljnu radnu analizu na temelju aktivnosti kako bi se utvrdile buduće potrebe u pogledu radnog prostora; pozdravlja činjenicu da su uspostavljeni posebna upravljačka struktura, projektni tim i mreža kontaktnih točaka za usmjeravanje procesa, jamstvo transparentnosti i zastupanje svih relevantnih interesa;</w:t>
      </w:r>
    </w:p>
    <w:p w14:paraId="4B19421E" w14:textId="77777777" w:rsidR="008C34B6" w:rsidRPr="003524DB" w:rsidRDefault="008C34B6" w:rsidP="008C34B6">
      <w:pPr>
        <w:pStyle w:val="NormalHanging12a"/>
      </w:pPr>
      <w:r w:rsidRPr="003524DB">
        <w:t>32.</w:t>
      </w:r>
      <w:r w:rsidRPr="003524DB">
        <w:tab/>
        <w:t>napominje da je Odbor 2024. zaposlio 52 dugoročna stažista (5 mjeseci) i dva kratkoročna stažista, od kojih su svi primili mjesečnu naknadu, u skladu s Rezolucijom Parlamenta od 14. lipnja 2023. o kvalitetnim pripravništvima u EU-u (2020/2005(INL)), u kojoj se poziva na to da sva pripravništva u Europi budu plaćena;</w:t>
      </w:r>
    </w:p>
    <w:p w14:paraId="230A4328" w14:textId="77777777" w:rsidR="008C34B6" w:rsidRPr="003524DB" w:rsidRDefault="008C34B6" w:rsidP="008C34B6">
      <w:pPr>
        <w:pStyle w:val="NormalHanging12a"/>
        <w:rPr>
          <w:bCs/>
          <w:iCs/>
        </w:rPr>
      </w:pPr>
      <w:r w:rsidRPr="003524DB">
        <w:t>33.</w:t>
      </w:r>
      <w:r w:rsidRPr="003524DB">
        <w:tab/>
        <w:t>pozdravlja snažan i strukturiran socijalni dijalog u procesima organizacijskih promjena tijekom 2024.; potiče Odbor da zadrži i dodatno ojača sustavno sudjelovanje predstavnika osoblja u reformama koje se, među ostalim, odnose na digitalizaciju, unutarnju reorganizaciju i nove metode rada;</w:t>
      </w:r>
    </w:p>
    <w:p w14:paraId="5BBF093B" w14:textId="77777777" w:rsidR="008C34B6" w:rsidRPr="003524DB" w:rsidRDefault="008C34B6" w:rsidP="008C34B6">
      <w:pPr>
        <w:pStyle w:val="NormalHanging12a"/>
        <w:rPr>
          <w:b/>
          <w:i/>
        </w:rPr>
      </w:pPr>
      <w:r w:rsidRPr="003524DB">
        <w:rPr>
          <w:b/>
          <w:i/>
        </w:rPr>
        <w:t>Etički okvir i transparentnost</w:t>
      </w:r>
    </w:p>
    <w:p w14:paraId="4AD20303" w14:textId="77777777" w:rsidR="008C34B6" w:rsidRPr="003524DB" w:rsidRDefault="008C34B6" w:rsidP="008C34B6">
      <w:pPr>
        <w:pStyle w:val="NormalHanging12a"/>
      </w:pPr>
      <w:r w:rsidRPr="003524DB">
        <w:t>34.</w:t>
      </w:r>
      <w:r w:rsidRPr="003524DB">
        <w:tab/>
        <w:t>podsjeća na to da su se unutar ojačanog etičkog okvira Odbor i unutarnji revizor dogovorili o akcijskom planu koji se odnosi na reviziju etičnosti i integriteta Odbora, s deset preporuka, od kojih je osam zaključeno do ožujka 2025.; prima na znanje iz izvješća o daljnjim mjerama da je Odbor razmotrio dvije preostale otvorene preporuke revidiranjem i ažuriranjem vodiča o obvezama dužnosnika Odbora, čiji će sadržaj također biti vidljiv na intranetu Odbora;</w:t>
      </w:r>
    </w:p>
    <w:p w14:paraId="75CA571D" w14:textId="77777777" w:rsidR="008C34B6" w:rsidRPr="003524DB" w:rsidRDefault="008C34B6" w:rsidP="008C34B6">
      <w:pPr>
        <w:pStyle w:val="NormalHanging12a"/>
      </w:pPr>
      <w:r w:rsidRPr="003524DB">
        <w:t>35.</w:t>
      </w:r>
      <w:r w:rsidRPr="003524DB">
        <w:tab/>
        <w:t>napominje da je Odbor 2024. nastavio osposobljavati osoblje i podizati razinu informiranosti o temama povezanima s etikom; sa zadovoljstvom konstatira da Odbor nudi osposobljavanja o temama etike i integriteta koja su obvezna za svo osoblje, dok je devet takvih osposobljavanja 2024. pohađalo 54 sudionika; nadalje napominje da je tijekom 2024. 40 od 47 rukovoditelja pohađalo predavanja o poštovanju na radnom mjestu i ulozi rukovoditelja te da je 25 članova osoblja pohađalo osposobljavanja koja je nudio Ured Komisije za istražne radnje i stegovne postupke o mogućim iskušenjima koja imaju disciplinske posljedice; pozdravlja činjenicu da ankete pokazuju visoku stopu informiranosti među osobljem Odbora u pogledu, među ostalim, njegovih snažnih vrijednosti i etičkih standarda, postupaka za prijavljivanje nezakonitog djelovanja i mreže povjerljivih savjetnika;</w:t>
      </w:r>
    </w:p>
    <w:p w14:paraId="6E7CE93F" w14:textId="77777777" w:rsidR="008C34B6" w:rsidRPr="003524DB" w:rsidRDefault="008C34B6" w:rsidP="008C34B6">
      <w:pPr>
        <w:pStyle w:val="NormalHanging12a"/>
      </w:pPr>
      <w:r w:rsidRPr="003524DB">
        <w:lastRenderedPageBreak/>
        <w:t>36.</w:t>
      </w:r>
      <w:r w:rsidRPr="003524DB">
        <w:tab/>
        <w:t>prima na znanje iz Upitnika da su 2024. prijavljena dva slučaja navodnog uznemiravanja, koji su istraženi i zaključeni 2025., dok u jednom slučaju nije bilo zaključka o uznemiravanju, a u drugom je prihvaćena službena isprika zbog neprimjerenog ponašanja dotične osobe; nadalje napominje da je donesena odluka o još jednom predmetu, podnesenom prije 2024., o uznemiravanju povezanom sa stegovnim postupkom; nadalje napominje da 2024. nije bilo prijavljenih slučajeva seksualnog uznemiravanja; ponavlja potrebu za politikom nulte tolerancije prema uznemiravanju kako bi se osigurala zaštita dobrobiti osoblja i podsjeća da je to obveza svakog poslodavca;</w:t>
      </w:r>
    </w:p>
    <w:p w14:paraId="490CFD83" w14:textId="77777777" w:rsidR="008C34B6" w:rsidRPr="003524DB" w:rsidRDefault="008C34B6" w:rsidP="008C34B6">
      <w:pPr>
        <w:pStyle w:val="NormalHanging12a"/>
      </w:pPr>
      <w:r w:rsidRPr="003524DB">
        <w:t>37.</w:t>
      </w:r>
      <w:r w:rsidRPr="003524DB">
        <w:tab/>
        <w:t>prima na znanje, iz izvješća o daljnjim mjerama, razvoj događaja u vezi sa sudskim postupcima koje su belgijske vlasti pokrenule protiv bivšeg člana Odbora optuženog za povredu dužnosti povezanu s prijavom uznemiravanja u Odboru, koju je Odbor otvorio i zaključio 2023.; napominje da su ti postupci obustavljeni jer je mjerodavni belgijski sud zatražio od Suda Europske unije pojašnjenje tumačenja članka 10. Protokola br. 7 o povlasticama i imunitetima Europske unije; poziva Odbor da tijelo nadležno za davanje razrješnice obavještava o daljnjem razvoju događaja povezanom s tim pitanjem;</w:t>
      </w:r>
    </w:p>
    <w:p w14:paraId="12666C86" w14:textId="77777777" w:rsidR="008C34B6" w:rsidRPr="003524DB" w:rsidRDefault="008C34B6" w:rsidP="008C34B6">
      <w:pPr>
        <w:pStyle w:val="NormalHanging12a"/>
      </w:pPr>
      <w:r w:rsidRPr="003524DB">
        <w:t>38.</w:t>
      </w:r>
      <w:r w:rsidRPr="003524DB">
        <w:tab/>
        <w:t>sa zadovoljstvom napominje da je Odbor predvodnik u pogledu transparentnosti, kao prvo tijelo koje se, osim prvotnih potpisnika, pridružilo registru transparentnosti Unije; pozdravlja mjere transparentnosti koje je donio Odbor, uključujući preporuku da se članovi Odbora sastaju samo s registriranim dionicima, obvezu njegovih članova da svoje sastanke objavljuju na internetu i mogućnost da izvjestitelji Odbora svojim mišljenjima prilože „zakonodavni otisak”, među ostalim putem pilot-projekta pokrenutog 2025.; napominje da su mišljenja Odbora do sada vidljiva kao ključne etape u zakonodavnim predmetima u EULT-u; nadalje, sa zadovoljstvom prima na znanje iz Upitnika mjere Odbora za transparentnost u pogledu njegovih temeljnih administrativnih aktivnosti u područjima kao što su financije, nabava, ljudski resursi i pristup dokumentima;</w:t>
      </w:r>
    </w:p>
    <w:p w14:paraId="7E5E13A9" w14:textId="77777777" w:rsidR="008C34B6" w:rsidRPr="003524DB" w:rsidRDefault="008C34B6" w:rsidP="008C34B6">
      <w:pPr>
        <w:pStyle w:val="NormalHanging12a"/>
      </w:pPr>
      <w:r w:rsidRPr="003524DB">
        <w:t>39.</w:t>
      </w:r>
      <w:r w:rsidRPr="003524DB">
        <w:tab/>
        <w:t xml:space="preserve">napominje da Odbor ima čvrst okvir za sprečavanje sukoba interesa i izbjegavanje slučajeva „rotirajućih vrata”; napominje da, kad je riječ o njegovu osoblju, Odbor osigurava da pitanja sukoba interesa budu uzeta u obzir u svim postupcima zapošljavanja i odabira; napominje da je osoblje obvezno proaktivno prijaviti svaku situaciju koja bi mogla dovesti do </w:t>
      </w:r>
      <w:bookmarkStart w:id="9" w:name="_Hlk216797257"/>
      <w:r w:rsidRPr="003524DB">
        <w:t>sukoba interesa</w:t>
      </w:r>
      <w:bookmarkEnd w:id="9"/>
      <w:r w:rsidRPr="003524DB">
        <w:t>; u pogledu članova Odbora napominje da u slučaju promjene informacija koje prijave oni podnose novu izjavu najkasnije u roku od dva mjeseca od dotične promjene; u pogledu svojih članova napominje da je etičko povjerenstvo Odbora obradilo jedan zahtjev za smjernice u vezi s mogućim sukobom interesa; napominje, kad je riječ o osoblju Odbora, da 2024. nije prijavljen nijedan slučaj sukoba interesa ili zviždača;</w:t>
      </w:r>
    </w:p>
    <w:p w14:paraId="7A25496E" w14:textId="77777777" w:rsidR="008C34B6" w:rsidRPr="003524DB" w:rsidRDefault="008C34B6" w:rsidP="008C34B6">
      <w:pPr>
        <w:pStyle w:val="NormalHanging12a"/>
      </w:pPr>
      <w:r w:rsidRPr="003524DB">
        <w:t>40.</w:t>
      </w:r>
      <w:r w:rsidRPr="003524DB">
        <w:tab/>
      </w:r>
      <w:bookmarkStart w:id="10" w:name="_Hlk216869267"/>
      <w:r w:rsidRPr="003524DB">
        <w:t>sa zabrinutošću prima na znanje slučaj sumnje na prijevaru u kojoj je sudjelovao vanjski pružatelj usluga, koju je Europski ured za borbu protiv prijevara (OLAF) razriješio i koja je zatim 2024. upućena Uredu europskog javnog tužitelja (EPPO) zbog mogućih kaznenih djela</w:t>
      </w:r>
      <w:bookmarkEnd w:id="10"/>
      <w:r w:rsidRPr="003524DB">
        <w:t xml:space="preserve">; sa zadovoljstvom prima na znanje iz Upitnika da Odbor u tom slučaju u potpunosti surađuje s EPPO-om; nadalje napominje da je taj pružatelj usluga Odboru platio dogovorenu ugovornu kaznu; u tom kontekstu pozdravlja mjere koje je Odbor poduzeo kako bi bolje spriječio takve slučajeve u budućnosti provođenjem strožih provjera usklađenosti tijekom nabave i izvršenja ugovora te jačanjem smjernica i osposobljavanja o tom pitanju; napominje da je jedan predmet OLAF-a iz 2023. vraćen Odboru radi interne pojednostavnjene administrativne istrage koja je pokrenuta 2024. i </w:t>
      </w:r>
      <w:r w:rsidRPr="003524DB">
        <w:lastRenderedPageBreak/>
        <w:t>koja je dovela do završnog izvješća upućenog tijelu za imenovanje u srpnju 2025.; poziva Odbor da obavijesti tijelo nadležno za davanje razrješnice o tome je li u tom slučaju donesena konačna odluka; nadalje konstatira da je istraga koju je Ombudsman pokrenuo 2023. zaključena 2024. i da je utvrđeno da nije bilo nepravilnosti u djelovanju Odbora;</w:t>
      </w:r>
    </w:p>
    <w:p w14:paraId="037EF7BA" w14:textId="77777777" w:rsidR="008C34B6" w:rsidRPr="003524DB" w:rsidRDefault="008C34B6" w:rsidP="008C34B6">
      <w:pPr>
        <w:pStyle w:val="NormalHanging12a"/>
      </w:pPr>
      <w:r w:rsidRPr="003524DB">
        <w:t>41.</w:t>
      </w:r>
      <w:r w:rsidRPr="003524DB">
        <w:tab/>
        <w:t>sa zadovoljstvom prima na znanje iz Upitnika da je Odbor, nakon prethodnih poziva Parlamenta, izradio strategiju za borbu protiv prijevara, koja uključuje popratni akcijski plan s konkretnim mjerama koje treba provesti, a koje obuhvaćaju politike osposobljavanja, kao i kampanje za podizanje razine osviještenosti i revidirane sporazume o suradnji s OLAF-om i EPPO-om, i koja je podnesena na savjetovanje među službama i postupak donošenja;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 poziva Odbor da u provedbi strategije za borbu protiv prijevara ojača svoje postupke za procjenu rizika, prevenciju, otkrivanje i daljnje mjere;</w:t>
      </w:r>
    </w:p>
    <w:p w14:paraId="38F24A4D" w14:textId="77777777" w:rsidR="008C34B6" w:rsidRPr="003524DB" w:rsidRDefault="008C34B6" w:rsidP="008C34B6">
      <w:pPr>
        <w:pStyle w:val="NormalHanging12a"/>
        <w:rPr>
          <w:b/>
          <w:i/>
        </w:rPr>
      </w:pPr>
      <w:bookmarkStart w:id="11" w:name="_Hlk216263307"/>
      <w:r w:rsidRPr="003524DB">
        <w:rPr>
          <w:b/>
          <w:i/>
        </w:rPr>
        <w:t>Digitalizacija, kibernetička sigurnost i zaštita podataka</w:t>
      </w:r>
    </w:p>
    <w:p w14:paraId="42193A7F" w14:textId="77777777" w:rsidR="008C34B6" w:rsidRPr="003524DB" w:rsidRDefault="008C34B6" w:rsidP="008C34B6">
      <w:pPr>
        <w:pStyle w:val="NormalHanging12a"/>
      </w:pPr>
      <w:r w:rsidRPr="003524DB">
        <w:t>42.</w:t>
      </w:r>
      <w:r w:rsidRPr="003524DB">
        <w:tab/>
        <w:t xml:space="preserve">napominje da je kombinirani proračun Odbora i Odbora regija namijenjen za IT 2024. iznosio 13 700 000 EUR, u usporedbi s 12 700 000 EUR 2023., što je povećanje od 7,87 %, dok je 760 000 EUR tog proračuna (približno 6 %)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w:t>
      </w:r>
      <w:bookmarkStart w:id="12" w:name="_Hlk224229242"/>
      <w:r w:rsidRPr="003524DB">
        <w:t>prihvaća zabrinutost Odbora zbog toga što je strukturno nedovoljno financiran u području digitalizacije i kibernetičke sigurnosti te upozorava da kontinuirano nedovoljno ulaganje u kibernetičku sigurnost predstavlja strukturni rizik za integritet institucija, tijela, ureda i agencija Unije</w:t>
      </w:r>
      <w:bookmarkEnd w:id="12"/>
      <w:r w:rsidRPr="003524DB">
        <w:t>; poziva Odbor da donese strukturirani plan kako bi se postupno dosegnula referentna vrijednost potrošnje za kibernetičku sigurnost od 10 %, uključujući godišnje ključne etape, određivanje prioriteta na temelju procjene rizika i redovito izvješćivanje tijela nadležnog za davanje razrješnice; naglašava potrebu za pojačanom suradnjom sa Službom za kibernetičku sigurnost institucija, tijela, ureda i agencija Unije (CERT-EU) i institucijama, tijelima, uredima i agencijama Unije kako bi se osiguralo dosljedno i otporno stanje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sidRPr="003524DB">
        <w:rPr>
          <w:rStyle w:val="FootnoteReference"/>
        </w:rPr>
        <w:footnoteReference w:id="7"/>
      </w:r>
      <w:r w:rsidRPr="003524DB">
        <w:t xml:space="preserve"> da se oko 10 % njegovih ukupnih rashoda za IT namijeni kibernetičkoj sigurnosti; poziva na dodjelu odgovarajućih sredstava kako bi se Odboru i Odboru regija omogućilo opsežno </w:t>
      </w:r>
      <w:r w:rsidRPr="003524DB">
        <w:lastRenderedPageBreak/>
        <w:t>unapređenje kibernetičke sigurnosti;</w:t>
      </w:r>
    </w:p>
    <w:p w14:paraId="5CE601C3" w14:textId="77777777" w:rsidR="008C34B6" w:rsidRPr="003524DB" w:rsidRDefault="008C34B6" w:rsidP="008C34B6">
      <w:pPr>
        <w:pStyle w:val="NormalHanging12a"/>
      </w:pPr>
      <w:r w:rsidRPr="003524DB">
        <w:t>43.</w:t>
      </w:r>
      <w:r w:rsidRPr="003524DB">
        <w:tab/>
        <w:t>prima na znanje ključna poboljšanja u pogledu digitalizacije i upravljanja IT-jem 2024., kao što su, među ostalim, proširenje pokrivenosti bežičnim internetom, uvođenje pilot-projekata za Microsoft 365 i umjetnu inteligenciju, migracije u oblak i podizanje razine informiranosti u okviru Dana kibernetičke sigurnosti; pozdravlja višegodišnju digitalnu strategiju (DS 2024. – 2026.), koju je pokrenuo DIIT i koja se temelji na četiri vodeća programa: M365 (program za digitalna radna mjesta), ARES (Komisijin sustav za upravljanje dokumentima), EdiT (zajednički alat institucija Unije za izradu zakonodavnih dokumenata) i Kibernetička sigurnost; prima na znanje iz izvješća Odbora i Upitnika da se digitalnom strategijom Odbora za razdoblje 2024. – 2026. uvodi revidirani model digitalnog upravljanja usmjeren na jačanje institucionalne suradnje, pojednostavnjenje radnih postupaka, automatizaciju postupaka, poboljšanje izrade zakonodavstva i jačanje otpornosti;</w:t>
      </w:r>
    </w:p>
    <w:p w14:paraId="7EDE77B1" w14:textId="77777777" w:rsidR="008C34B6" w:rsidRPr="003524DB" w:rsidRDefault="008C34B6" w:rsidP="008C34B6">
      <w:pPr>
        <w:pStyle w:val="NormalHanging12a"/>
      </w:pPr>
      <w:r w:rsidRPr="003524DB">
        <w:t>44.</w:t>
      </w:r>
      <w:r w:rsidRPr="003524DB">
        <w:tab/>
        <w:t>prima na znanje iz Upitnika provedbu sustava HAN (HERMES-ARES-NOMCOM) za sigurno upravljanje dokumentima i usklađenost s pravilima o zaštiti podataka te prihvaćanje softvera za uređivanje EdiT XML za izradu zakonodavnih akata; pozdravlja napredak postignut u upravljanju dokumentacijom, pri čemu se potpuno uvođenje očekuje do 2026.; prihvaća poboljšanja informatičke infrastrukture, uključujući automatizaciju, migraciju u oblak i uvođenje novog alata za upravljanje ljudskim resursima (HRT koji zamjenjuje Sysper) 2024.;</w:t>
      </w:r>
    </w:p>
    <w:p w14:paraId="37A2CA0C" w14:textId="77777777" w:rsidR="008C34B6" w:rsidRPr="003524DB" w:rsidRDefault="008C34B6" w:rsidP="008C34B6">
      <w:pPr>
        <w:pStyle w:val="NormalHanging12a"/>
      </w:pPr>
      <w:r w:rsidRPr="003524DB">
        <w:t>45.</w:t>
      </w:r>
      <w:r w:rsidRPr="003524DB">
        <w:tab/>
        <w:t>konstatira da se Odbor koristi platformom Komisije za neuralno strojno prevođenje eTranslation kako bi automatski generirao prijevode kao dodatnu pomoć u radu prevoditelja; konstatira da je Odbor istodobno 2024. uspješno proveo pilot-projekt o transkripciji govora u tekst koja se temelji na umjetnoj inteligenciji s pomoću softvera koji je razvila Svjetska organizacija za intelektualno vlasništvo (WIPO); nadalje napominje da je Uprava za prevođenje u lipnju 2024. pokrenula jednogodišnji pilot-projekt kako bi procijenila upotrebu DeepL-a kao alternativnog alata za prevođenje za koji se smatralo da ne pruža dodanu vrijednost u usporedbi s već uvedenim sustavima za prevođenje dokumenata Odbora;</w:t>
      </w:r>
    </w:p>
    <w:p w14:paraId="7B2DF4DD" w14:textId="77777777" w:rsidR="008C34B6" w:rsidRPr="003524DB" w:rsidRDefault="008C34B6" w:rsidP="008C34B6">
      <w:pPr>
        <w:pStyle w:val="NormalHanging12a"/>
      </w:pPr>
      <w:r w:rsidRPr="003524DB">
        <w:t>46.</w:t>
      </w:r>
      <w:r w:rsidRPr="003524DB">
        <w:tab/>
        <w:t>prima na znanje iz Upitnika da Odbor održava blisku suradnju sa službom CERT-EU te da se koristi raznim alatima i stalnim praćenjem kako bi otkrio i uklonio slabosti sustava; nadalje napominje da je DIIT započeo s provedbom programa „Essentials 8”, NIST-ovog okvira za kibernetičku sigurnost (CSF) i OWASP-a kao referentnih modela za jačanje upravljanja rizicima, bolje upravljanje i integraciju sigurnosti u postupke identifikacije, zaštite, otkrivanja, odgovora i oporavka; potvrđuje da je u tijeku rad na postizanju potpune usklađenosti s operativnim i regulatornim zahtjevima; prima na znanje iz izvješća o daljnjim mjerama da je Odbor preoblikovao kibernetičku sigurnost u zajedničku odgovornost cjelokupnog osoblja, uz potporu višegodišnjeg plana, kontinuiranog osposobljavanja i kampanja za podizanje razine informiranosti;</w:t>
      </w:r>
    </w:p>
    <w:p w14:paraId="2D17BF91" w14:textId="77777777" w:rsidR="008C34B6" w:rsidRPr="003524DB" w:rsidRDefault="008C34B6" w:rsidP="008C34B6">
      <w:pPr>
        <w:pStyle w:val="NormalHanging12a"/>
      </w:pPr>
      <w:r w:rsidRPr="003524DB">
        <w:t>47.</w:t>
      </w:r>
      <w:r w:rsidRPr="003524DB">
        <w:tab/>
        <w:t>sa zadovoljstvom napominje da su komunikacijski kanali Odbora dostupni i osobama s invaliditetom; konstatira da Odbor primjenjuje smjernice o pristupačnosti internetskog sadržaja i da se za većinu njegovih aplikacija provodi sveobuhvatna pristupačnost; u tom kontekstu napominje da stručnjaci za pristupačnost redovito revidiraju internetske stranice Odbora i izdaju preporuke koje se zatim provode, dok bi se sljedeća revizija trebala provesti 2026.;</w:t>
      </w:r>
    </w:p>
    <w:p w14:paraId="031CEC21" w14:textId="77777777" w:rsidR="008C34B6" w:rsidRPr="003524DB" w:rsidRDefault="008C34B6" w:rsidP="008C34B6">
      <w:pPr>
        <w:pStyle w:val="NormalHanging12a"/>
      </w:pPr>
      <w:r w:rsidRPr="003524DB">
        <w:lastRenderedPageBreak/>
        <w:t>48.</w:t>
      </w:r>
      <w:r w:rsidRPr="003524DB">
        <w:tab/>
        <w:t>pohvaljuje nastojanja Odbora 2024. da omogući osoblju da stekne digitalne vještine potrebne za radno okruženje u kojem je digitalizacija sve veća i za provedbu ciljanih informativnih kampanja, pružanjem sveobuhvatnog programa osposobljavanja i podučavanja te održavanjem ažurirane baze znanja u području IT-a sa sučeljem koje se temelji na umjetnoj inteligenciji kako bi se podržao razvoj osoblja; potiče osposobljavanje u području kibernetičke sigurnosti te sigurne, etičke i učinkovite upotrebe umjetne inteligencije;</w:t>
      </w:r>
    </w:p>
    <w:p w14:paraId="079B6849" w14:textId="77777777" w:rsidR="008C34B6" w:rsidRPr="003524DB" w:rsidRDefault="008C34B6" w:rsidP="008C34B6">
      <w:pPr>
        <w:pStyle w:val="NormalHanging12a"/>
      </w:pPr>
      <w:r w:rsidRPr="003524DB">
        <w:t>49.</w:t>
      </w:r>
      <w:r w:rsidRPr="003524DB">
        <w:tab/>
        <w:t>prima na znanje iz izvješća o daljnjim mjerama da EDPS 2024. nije pokrenuo istrage o primjeni pravila o zaštiti podataka unutar Odbora; konstatira, međutim, da je istraga o upravljanju vanjskom revizijom, pokrenuta 2023., još u tijeku; traži od Odbora da o daljnjim mjerama u vezi s tim pitanjima obavještava tijelo nadležno za davanje razrješnice;</w:t>
      </w:r>
    </w:p>
    <w:bookmarkEnd w:id="11"/>
    <w:p w14:paraId="6FFC7822" w14:textId="77777777" w:rsidR="008C34B6" w:rsidRPr="003524DB" w:rsidRDefault="008C34B6" w:rsidP="008C34B6">
      <w:pPr>
        <w:pStyle w:val="NormalHanging12a"/>
        <w:rPr>
          <w:b/>
          <w:i/>
        </w:rPr>
      </w:pPr>
      <w:r w:rsidRPr="003524DB">
        <w:rPr>
          <w:b/>
          <w:i/>
        </w:rPr>
        <w:t>Zgrade</w:t>
      </w:r>
    </w:p>
    <w:p w14:paraId="4399A95A" w14:textId="77777777" w:rsidR="008C34B6" w:rsidRPr="003524DB" w:rsidRDefault="008C34B6" w:rsidP="008C34B6">
      <w:pPr>
        <w:pStyle w:val="NormalHanging12a"/>
      </w:pPr>
      <w:r w:rsidRPr="003524DB">
        <w:t>50.</w:t>
      </w:r>
      <w:r w:rsidRPr="003524DB">
        <w:tab/>
        <w:t>prima na znanje iz izvješća o daljnjim mjerama da Odbor radi na dugoročnoj strategiji za zgrade s obzirom na predstojeću obnovu zgrade SPAAK i činjenicu da će zgrada B-100 biti ispražnjena u kolovozu 2026.; nadalje napominje da će ishod tekućih tehničkih i ekoloških revizija zgrada Odbora biti uključen u tu strategiju; poziva Odbor da o tim pitanjima obavještava tijelo nadležno za davanje razrješnice;</w:t>
      </w:r>
    </w:p>
    <w:p w14:paraId="7902B9BC" w14:textId="77777777" w:rsidR="008C34B6" w:rsidRPr="003524DB" w:rsidRDefault="008C34B6" w:rsidP="008C34B6">
      <w:pPr>
        <w:pStyle w:val="NormalHanging12a"/>
      </w:pPr>
      <w:r w:rsidRPr="003524DB">
        <w:t>51.</w:t>
      </w:r>
      <w:r w:rsidRPr="003524DB">
        <w:tab/>
        <w:t>cijeni činjenicu da je Odbor 2024. dovršio modernizaciju i poboljšanje pristupačnosti za svih šest dizala na zapadnoj strani zgrade JDE, uključujući jedno posebno izrađeno za osobe sa smanjenom pokretljivošću; pozdravlja znatna poboljšanja uvedena za korisnike invalidskih kolica, slijepe i slabovidne osobe, gluhe osobe i osobe sa smanjenom pokretljivošću ili drugim fizičkim ograničenjima, uključujući poboljšanu zvučnu i vizualnu signalizaciju, prilagođene upravljačke uređaje, produljeno vrijeme otvaranja vrata, zrcala i sigurnosne značajke te rukohvate;</w:t>
      </w:r>
    </w:p>
    <w:p w14:paraId="789C4B8B" w14:textId="77777777" w:rsidR="008C34B6" w:rsidRPr="003524DB" w:rsidRDefault="008C34B6" w:rsidP="008C34B6">
      <w:pPr>
        <w:pStyle w:val="NormalHanging12a"/>
      </w:pPr>
      <w:r w:rsidRPr="003524DB">
        <w:t>52.</w:t>
      </w:r>
      <w:r w:rsidRPr="003524DB">
        <w:tab/>
        <w:t>prima na znanje iz izvješća Odbora da je 2024. u zgradi JDE u suradnji s Odborom regija otvoren novi zajednički komunikacijski prostor; ističe da objekt, koji se nalazi u nekadašnjoj knjižnici, uključuje najsuvremeniji studio za snimanje, prostoriju za „stand-up” intervjue i namjenski prostor za konferencije;</w:t>
      </w:r>
    </w:p>
    <w:p w14:paraId="1F0B0337" w14:textId="77777777" w:rsidR="008C34B6" w:rsidRPr="003524DB" w:rsidRDefault="008C34B6" w:rsidP="008C34B6">
      <w:pPr>
        <w:pStyle w:val="NormalHanging12a"/>
        <w:rPr>
          <w:b/>
          <w:i/>
        </w:rPr>
      </w:pPr>
      <w:r w:rsidRPr="003524DB">
        <w:rPr>
          <w:b/>
          <w:i/>
        </w:rPr>
        <w:t>Okoliš i održivost</w:t>
      </w:r>
    </w:p>
    <w:p w14:paraId="0487283B" w14:textId="77777777" w:rsidR="008C34B6" w:rsidRPr="003524DB" w:rsidRDefault="008C34B6" w:rsidP="008C34B6">
      <w:pPr>
        <w:pStyle w:val="NormalHanging12a"/>
      </w:pPr>
      <w:r w:rsidRPr="003524DB">
        <w:t>53.</w:t>
      </w:r>
      <w:r w:rsidRPr="003524DB">
        <w:tab/>
        <w:t>prima na znanje iz Upitnika da je Odbor 2024. namijenio 198 894 EUR za ekologizaciju svojeg poslovanja, od čega je 55 % namijenjeno za savjetodavne i stručne usluge u području upravljanja energijom i energetske učinkovitosti, a 45 % za poboljšanja infrastrukture kao što su LED rasvjeta, parkiranje bicikala i mjerenje energije; pozdravlja činjenicu da su ta ulaganja, zajedno s kontinuiranim inicijativama u području inovativnih građevinskih instalacija, 100 % zelenom električnom energijom, pametnim tehnologijama za uštedu energije i digitalizacijom, pridonijela smanjenju potrošnje energije i emisija;</w:t>
      </w:r>
    </w:p>
    <w:p w14:paraId="501F0B57" w14:textId="77777777" w:rsidR="008C34B6" w:rsidRPr="003524DB" w:rsidRDefault="008C34B6" w:rsidP="008C34B6">
      <w:pPr>
        <w:pStyle w:val="NormalHanging12a"/>
      </w:pPr>
      <w:r w:rsidRPr="003524DB">
        <w:t>54.</w:t>
      </w:r>
      <w:r w:rsidRPr="003524DB">
        <w:tab/>
        <w:t xml:space="preserve">prima na znanje iz Upitnika smanjenje potrošnje električne energije (–19 %), plina (–13 %) i vode (–12 %), smanjenje količine otpada (–12 %) te povećanje potrošnje papira (+1 %) 2024. u odnosu na 2023.; nadalje, pozdravlja smanjenje emisija ugljika po EPRV-u za 4,30 %(ne uključujući emisije iz putovanja članova Odbora) tijekom istog razdoblja; prima na znanje iz Upitnika mjere Odbora za promicanje održivijih </w:t>
      </w:r>
      <w:r w:rsidRPr="003524DB">
        <w:lastRenderedPageBreak/>
        <w:t>mogućnosti putovanja među osobljem i članovima te aktualnu reviziju vodiča za službena putovanja za osoblje, koji će sadržavati ekološki otisak kao ključnu sastavnicu; nadalje, pozdravlja težište Odbora na gospodarenju otpadom i recikliranju kako bi se potaknula kultura smanjenja otpada i učinkovitosti resursa;</w:t>
      </w:r>
    </w:p>
    <w:p w14:paraId="5202F361" w14:textId="1B16ED71" w:rsidR="008C34B6" w:rsidRPr="003524DB" w:rsidRDefault="008C34B6" w:rsidP="008C34B6">
      <w:pPr>
        <w:pStyle w:val="NormalHanging12a"/>
      </w:pPr>
      <w:r w:rsidRPr="003524DB">
        <w:t>55</w:t>
      </w:r>
      <w:r w:rsidR="00EA2D54">
        <w:t>.</w:t>
      </w:r>
      <w:r w:rsidRPr="003524DB">
        <w:tab/>
        <w:t>sa zadovoljstvom konstatira da svi pozivi Odbora na podnošenje ponuda u vrijednosti većoj od 60 000 EUR i oni u vrijednosti većoj od 25 000 EUR kojima upravlja zajedno s Odborom regija uključuju odredbe o održivosti u skladu sa standardima energetske unije, europskog zelenog plana i načelima kružnoga gospodarstva; napominje da novi okvirni ugovor Odbora za ugostiteljske usluge, koji je stupio na snagu u kolovozu 2024., sadržava zahtjeve za ekološke i lokalno proizvedene proizvode, donacije hrane te sezonsko voće i povrće;</w:t>
      </w:r>
    </w:p>
    <w:p w14:paraId="563FA3DB" w14:textId="77777777" w:rsidR="008C34B6" w:rsidRPr="003524DB" w:rsidRDefault="008C34B6" w:rsidP="008C34B6">
      <w:pPr>
        <w:pStyle w:val="NormalHanging12a"/>
      </w:pPr>
      <w:r w:rsidRPr="003524DB">
        <w:t>56.</w:t>
      </w:r>
      <w:r w:rsidRPr="003524DB">
        <w:tab/>
        <w:t>sa zadovoljstvom prima na znanje iz upitnika stalne napore koje Odbor ulaže u promicanje održive mobilnosti među svojim osobljem; posebno napominje da Odbor nudi financijske doprinose za putne propusnice javnog prijevoza, za osoblje koje se koristi biciklom za putovanje na posao i, od 2024., doprinose za pretplate Flex SNCB zbog razmatranja o hibridnim radnim aranžmanima; prima na znanje plan Odbora da zajedno s Odborom regija sudjeluje u pozivu na podnošenje ponuda (koji će se ponovno objaviti 2026.) pod vodstvom Komisije za kupnju i održavanje električnih bicikala; pozdravlja kontinuiranu suradnju s Regijom glavnog grada Bruxellesa u pogledu planiranja mobilnosti i sudjelovanje Odbora u međuinstitucijskim inicijativama koje pridonose kulturi održivog putovanja na posao i s posla;</w:t>
      </w:r>
    </w:p>
    <w:p w14:paraId="627DFDAB" w14:textId="77777777" w:rsidR="008C34B6" w:rsidRPr="003524DB" w:rsidRDefault="008C34B6" w:rsidP="008C34B6">
      <w:pPr>
        <w:pStyle w:val="NormalHanging12a"/>
        <w:rPr>
          <w:b/>
          <w:i/>
        </w:rPr>
      </w:pPr>
      <w:r w:rsidRPr="003524DB">
        <w:rPr>
          <w:b/>
          <w:i/>
        </w:rPr>
        <w:t>Međuinstitucijska suradnja</w:t>
      </w:r>
    </w:p>
    <w:p w14:paraId="167985A8" w14:textId="77777777" w:rsidR="008C34B6" w:rsidRPr="003524DB" w:rsidRDefault="008C34B6" w:rsidP="008C34B6">
      <w:pPr>
        <w:pStyle w:val="NormalHanging12a"/>
      </w:pPr>
      <w:r w:rsidRPr="003524DB">
        <w:t>57.</w:t>
      </w:r>
      <w:r w:rsidRPr="003524DB">
        <w:tab/>
        <w:t>pohvaljuje blisku suradnju koju je Odbor uspostavio s Odborom regija na administrativnoj razini, budući da ta dva odbora dijele prostore i zajedničke službe u području prevođenja, infrastrukture, logistike, sigurnosti, nabave, financijskog upravljanja i IT-a, zadržavajući pritom potpunu institucionalnu autonomiju; konstatira da su ta dva odbora, kako bi proširila suradnju u drugim područjima i s obzirom na proračunska ograničenja, 2024. zajednički pokrenula dva ključna projekta, tj. projekt SPaCES za transformaciju uredskog okruženja i stratešku reformu Uprave za prevođenje strukturnom reorganizacijom, boljom upotrebom jezičnih tehnologija i postupnim smanjenjem ljudskih prijevodnih kapaciteta radi veće djelotvornosti i troškovne učinkovitosti;</w:t>
      </w:r>
    </w:p>
    <w:p w14:paraId="4F092D29" w14:textId="77777777" w:rsidR="008C34B6" w:rsidRPr="003524DB" w:rsidRDefault="008C34B6" w:rsidP="008C34B6">
      <w:pPr>
        <w:pStyle w:val="NormalHanging12a"/>
      </w:pPr>
      <w:r w:rsidRPr="003524DB">
        <w:t>58.</w:t>
      </w:r>
      <w:r w:rsidRPr="003524DB">
        <w:tab/>
        <w:t>pozdravlja pozitivne rezultate postignute tijekom prve godine provedbe sporazuma između Odbora i Odbora regija u audiovizualnom području, kao što su proračunske uštede od oko 140 000 EUR u usporedbi s neovisno vođenim projektom i povećani proizvodni kapacitet, pri čemu je 85 videozapisa izrađeno već do lipnja 2025., u usporedbi s oko 90 videozapisa za cijelu 2024.;</w:t>
      </w:r>
    </w:p>
    <w:p w14:paraId="2E166167" w14:textId="77777777" w:rsidR="008C34B6" w:rsidRPr="003524DB" w:rsidRDefault="008C34B6" w:rsidP="008C34B6">
      <w:pPr>
        <w:pStyle w:val="NormalHanging12a"/>
      </w:pPr>
      <w:r w:rsidRPr="003524DB">
        <w:t>59.</w:t>
      </w:r>
      <w:r w:rsidRPr="003524DB">
        <w:tab/>
        <w:t xml:space="preserve">pohvaljuje Odbor za znatne uštede ostvarene provedbom Sporazuma o suradnji s Odborom regija, kojim su osnovane zajedničke službe koje obuhvaćaju poslove uglavnom u području IT-a, logistike i javne nabave; sa zadovoljstvom prima na znanje iz Upitnika procijenjene uštede Odbora ostvarene 2024. u području IT-a (približno 16 milijuna EUR), infrastrukture (približno 8 milijuna EUR), usluga tiskanja (približno 125 000 EUR) i sigurnosnih usluga (približno 800 000 EUR); nadalje napominje da bi se, kada bi Odbor i Odbor regija imali odvojene usluge prevođenja i javne nabave, ukupni troškovi osoblja povećali za najmanje 30 %; ponavlja svoj poziv da se ta </w:t>
      </w:r>
      <w:r w:rsidRPr="003524DB">
        <w:lastRenderedPageBreak/>
        <w:t>suradnja proširi u najvećoj mogućoj mjeri na razinu uspostave jedinstvene uprave za zajedničke službe te da službe i odjel zaduženi za njihove temeljne neovisne mandate ostanu odvojeni;</w:t>
      </w:r>
    </w:p>
    <w:p w14:paraId="2BA3684A" w14:textId="77777777" w:rsidR="008C34B6" w:rsidRPr="003524DB" w:rsidRDefault="008C34B6" w:rsidP="008C34B6">
      <w:pPr>
        <w:pStyle w:val="NormalHanging12a"/>
      </w:pPr>
      <w:r w:rsidRPr="003524DB">
        <w:t>60.</w:t>
      </w:r>
      <w:r w:rsidRPr="003524DB">
        <w:tab/>
        <w:t>sa zadovoljstvom prima na znanje znatne proračunske i administrativne uštede koje je Odbor ostvario sporazumima na razini službi, posebno s Komisijom za upotrebu informatičkih alata za financijsko upravljanje i upravljanje ključnim ljudskim resursima; nadalje, pozdravlja sudjelovanje Odbora u međuinstitucijskim postupcima nabave koje vode druge institucije kao što su Parlament i Komisija u područjima kao što su korporativna putovanja, osiguranje, putovanja, IT, prevođenje i audiovizualna oprema; prima na znanje iz Upitnika da su se ukupni troškovi Odbora za eksternalizaciju određenih usluga Komisiji povećali s 793 000 EUR 2023. na 893 000 EUR 2024.;</w:t>
      </w:r>
    </w:p>
    <w:p w14:paraId="36E49761" w14:textId="77777777" w:rsidR="008C34B6" w:rsidRPr="003524DB" w:rsidRDefault="008C34B6" w:rsidP="008C34B6">
      <w:pPr>
        <w:pStyle w:val="NormalHanging12a"/>
      </w:pPr>
      <w:r w:rsidRPr="003524DB">
        <w:t>61.</w:t>
      </w:r>
      <w:r w:rsidRPr="003524DB">
        <w:tab/>
      </w:r>
      <w:bookmarkStart w:id="13" w:name="_Hlk216940933"/>
      <w:r w:rsidRPr="003524DB">
        <w:t>prima na znanje određena kretanja i podatke u pogledu suradnje između Odbora i Parlamenta 2024.: donošenje novog sporazuma o suradnji, potpisivanje Memoranduma o razumijevanju o suradnji u pripremi za europske izbore, sudjelovanje 55 članova u 38 događanja Odbora, sudjelovanje Odbora u 32 događanja Parlamenta te sudjelovanje na raznim bilateralnim sastancima i sastancima klubova zastupnika</w:t>
      </w:r>
      <w:bookmarkEnd w:id="13"/>
      <w:r w:rsidRPr="003524DB">
        <w:t>;</w:t>
      </w:r>
    </w:p>
    <w:p w14:paraId="7A903C6D" w14:textId="77777777" w:rsidR="008C34B6" w:rsidRPr="003524DB" w:rsidRDefault="008C34B6" w:rsidP="008C34B6">
      <w:pPr>
        <w:pStyle w:val="NormalHanging12a"/>
      </w:pPr>
      <w:r w:rsidRPr="003524DB">
        <w:t>62.</w:t>
      </w:r>
      <w:r w:rsidRPr="003524DB">
        <w:tab/>
        <w:t>prima na znanje određena kretanja i podatke koji se odnose na suradnju između Odbora i Komisije 2024.: sudjelovanje povjerenika na 10 plenarnih sjednica Odbora i drugim događanjima koja organizira Odbor, više od 30 zajedničkih komunikacijskih projekata za uključivanje civilnog društva, 20 posebnih zajedničkih aktivnosti, doprinosi koje je Odbor dao 17 stručnih skupina Komisije, šest razmatračkih mišljenja i tri evaluacijska izvješća koja Odbor dostavlja na zahtjev Komisije;</w:t>
      </w:r>
    </w:p>
    <w:p w14:paraId="0A6B19C9" w14:textId="77777777" w:rsidR="008C34B6" w:rsidRPr="003524DB" w:rsidRDefault="008C34B6" w:rsidP="008C34B6">
      <w:pPr>
        <w:pStyle w:val="NormalHanging12a"/>
      </w:pPr>
      <w:r w:rsidRPr="003524DB">
        <w:t>63.</w:t>
      </w:r>
      <w:r w:rsidRPr="003524DB">
        <w:tab/>
        <w:t>prima na znanje određena kretanja i podatke koji se odnose na suradnju između Odbora i Vijeća / Europskog vijeća 2024.: tri sastanka na visokoj razini s predsjednicima Europskog vijeća i 21 razmatračko mišljenje Odbora na zahtjev belgijskog i mađarskog predsjedništva;</w:t>
      </w:r>
    </w:p>
    <w:p w14:paraId="49C8F4FB" w14:textId="77777777" w:rsidR="008C34B6" w:rsidRPr="003524DB" w:rsidRDefault="008C34B6" w:rsidP="008C34B6">
      <w:pPr>
        <w:pStyle w:val="NormalHanging12a"/>
      </w:pPr>
      <w:r w:rsidRPr="003524DB">
        <w:t>64.</w:t>
      </w:r>
      <w:r w:rsidRPr="003524DB">
        <w:tab/>
        <w:t>primjećuje da su se proračunske uštede i povećanje djelotvornosti nastavili ostvarivati aktivnom suradnjom Odbora i institucija Unije 2024., među ostalim organiziranjem plenarnih sjednica Odbora u prostorima Komisije i Parlamenta, u kojima se mjesta za održavanje događanja i povezane usluge pružaju besplatno ili po cijenama nižima od vanjskih tržišnih cijena;</w:t>
      </w:r>
    </w:p>
    <w:p w14:paraId="3D6B2D88" w14:textId="77777777" w:rsidR="008C34B6" w:rsidRPr="003524DB" w:rsidRDefault="008C34B6" w:rsidP="008C34B6">
      <w:pPr>
        <w:pStyle w:val="NormalHanging12a"/>
      </w:pPr>
      <w:r w:rsidRPr="003524DB">
        <w:t>65.</w:t>
      </w:r>
      <w:r w:rsidRPr="003524DB">
        <w:tab/>
        <w:t>napominje da Odbor ima ključnu ulogu u jačanju veza s nacionalnim gospodarskim i socijalnim vijećima država članica i među njima; u tom kontekstu prima na znanje osnivanje nove tematske radne skupine sastavljene od 13 nacionalnih gospodarskih i socijalnih vijeća, objavu 32 novinska članka i 26 sažetaka izvješća donesenih u okviru nacionalnih gospodarskih i socijalnih vijeća, organizaciju godišnjeg sastanka predsjednika i glavnih tajnika nacionalnih gospodarskih i socijalnih vijeća u Bruxellesu te zajednički organizirani seminar sa 100 sudionika iz europskih socijalnih partnera, organizacija civilnog društva, predstavnika institucija Unije i akademske zajednice 2024.; poziva na kontinuiranu suradnju na temama od zajedničkog interesa i razmjenu dobrih praksi, naglašavajući ključnu ulogu civilnog društva u rješavanju trenutačnih izazova Unije;</w:t>
      </w:r>
    </w:p>
    <w:p w14:paraId="53BE86E8" w14:textId="77777777" w:rsidR="008C34B6" w:rsidRPr="003524DB" w:rsidRDefault="008C34B6" w:rsidP="008C34B6">
      <w:pPr>
        <w:pStyle w:val="NormalHanging12a"/>
        <w:rPr>
          <w:b/>
          <w:i/>
        </w:rPr>
      </w:pPr>
      <w:r w:rsidRPr="003524DB">
        <w:rPr>
          <w:b/>
          <w:i/>
        </w:rPr>
        <w:t>Komunikacija</w:t>
      </w:r>
    </w:p>
    <w:p w14:paraId="4F4A5D94" w14:textId="77777777" w:rsidR="008C34B6" w:rsidRPr="003524DB" w:rsidRDefault="008C34B6" w:rsidP="008C34B6">
      <w:pPr>
        <w:pStyle w:val="NormalHanging12a"/>
      </w:pPr>
      <w:r w:rsidRPr="003524DB">
        <w:lastRenderedPageBreak/>
        <w:t>66.</w:t>
      </w:r>
      <w:r w:rsidRPr="003524DB">
        <w:tab/>
        <w:t>prima na znanje iz Upitnika da je ukupni proračun Odbora za komunikaciju, publikacije i nabavu dokumentacije 2024. iznosio oko 2,5 milijuna EUR (otprilike jednako kao 2023.), što predstavlja 1,4 % ukupnog proračuna Odbora nakon prijenosa za 2024.; pozdravlja činjenicu da je Odbor 2024. usmjerio svoje resurse na ograničen broj komunikacijskih prioriteta povezanih sa zakonodavnim prioritetima institucija Unije, kao što su cjenovna pristupačnost energije, umjetna inteligencija, mentalno zdravlje, strateška autonomija, gospodarska reforma, rodna ravnopravnost, mladi i proširenje, u skladu s komunikacijom Odbora koja se temelji na učinku;</w:t>
      </w:r>
    </w:p>
    <w:p w14:paraId="72F4D4CC" w14:textId="77777777" w:rsidR="008C34B6" w:rsidRPr="003524DB" w:rsidRDefault="008C34B6" w:rsidP="008C34B6">
      <w:pPr>
        <w:pStyle w:val="NormalHanging12a"/>
      </w:pPr>
      <w:r w:rsidRPr="003524DB">
        <w:t>67.</w:t>
      </w:r>
      <w:r w:rsidRPr="003524DB">
        <w:tab/>
        <w:t>prima na znanje iz Upitnika i izvješća Odbora da je Odbor 2024. proveo sveobuhvatan komunikacijski plan u okviru kampanje za europske izbore putem lokalnih informativnih događanja i Tjedna civilnog društva; u tom kontekstu cijeni činjenicu da su 104 člana Odbora sudjelovala na 122 informativna događanja u koja je bilo izravno uključeno oko 350 000 građana uz doseg na društvenim mrežama; nadalje, pohvaljuje uspješnost o kojoj je izvijestio Odbor u pogledu organizacije Tjedna civilnog društva, tj. 800 sudionika, više od 8 000 interakcija, više od milijun dojmova i oko 96 000 videozapisa, što ukazuje na snažnu prisutnost na društvenim mrežama;</w:t>
      </w:r>
    </w:p>
    <w:p w14:paraId="359494BD" w14:textId="77777777" w:rsidR="008C34B6" w:rsidRPr="003524DB" w:rsidRDefault="008C34B6" w:rsidP="008C34B6">
      <w:pPr>
        <w:pStyle w:val="NormalHanging12a"/>
        <w:rPr>
          <w:bCs/>
          <w:iCs/>
        </w:rPr>
      </w:pPr>
      <w:r w:rsidRPr="003524DB">
        <w:t>68.</w:t>
      </w:r>
      <w:r w:rsidRPr="003524DB">
        <w:tab/>
        <w:t>pozdravlja napore koje je Odbor uložio u povećanje vidljivosti svojega rada; smatra, međutim, da je potreban dodatan trud kako bi se osiguralo da se u okviru komunikacijskih aktivnosti jasno objasni uloga Odbora i njegovi konkretni doprinosi prisutnosti Unije na terenu, na način koji je dostupan i konstruktivan za građane; cijeni pokretanje platforme NaviGate u svibnju 2024.; napominje da je ta platforma, koja se internetskim poveznicama prenosi na EULT, znatno povećala vidljivost rada Odbora i poboljšala korisničko iskustvo za zastupnike, osoblje, posjetitelje iz drugih institucija i javnost te je 2024. doprla do 4 600 pojedinačnih posjetitelja;</w:t>
      </w:r>
    </w:p>
    <w:p w14:paraId="201AEF9A" w14:textId="6CAC610A" w:rsidR="001A2573" w:rsidRPr="003524DB" w:rsidRDefault="008C34B6" w:rsidP="001A2573">
      <w:pPr>
        <w:pStyle w:val="NormalHanging12a"/>
      </w:pPr>
      <w:r w:rsidRPr="003524DB">
        <w:t>69.</w:t>
      </w:r>
      <w:r w:rsidRPr="003524DB">
        <w:tab/>
        <w:t>prima na znanje iz izvješća Odbora da se njegova prisutnost na društvenim mrežama nastavila povećavati, pri čemu su četiri glavna računa Odbora postigla ukupno povećanje broja pratitelja za više od 18 % u odnosu na 2023.; ističe da se angažman znatno povećao, i to za 45 %, te je premašio 416 000 interakcija na svim platformama; nadalje, napominje da je do kraja 2024. Odbor dosegnuo 62 868 pratitelja na platformi X, 79 647 na LinkedInu, 49 494 na Facebooku i 29 987 na Instagramu, što odražava snažan rast po pojedinim platformama u odnosu na 2023.; napominje da je najveće povećanje broja pratitelja u 2024. zabilježeno na računu na Instagramu (+ 72 %); konstatira da je, u skladu sa zajedničkim pristupom institucija Unije, Odbor 2024. otvorio svoj prvi račun na mreži Bluesky kako bi osigurao svoju službenu prisutnost, a aktivnosti počinju u siječnju 2025.</w:t>
      </w:r>
    </w:p>
    <w:sectPr w:rsidR="001A2573" w:rsidRPr="003524DB" w:rsidSect="001A257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298B" w14:textId="77777777" w:rsidR="008D7E4A" w:rsidRPr="001A2573" w:rsidRDefault="008D7E4A">
      <w:r w:rsidRPr="001A2573">
        <w:separator/>
      </w:r>
    </w:p>
  </w:endnote>
  <w:endnote w:type="continuationSeparator" w:id="0">
    <w:p w14:paraId="13F64DB1" w14:textId="77777777" w:rsidR="008D7E4A" w:rsidRPr="001A2573" w:rsidRDefault="008D7E4A">
      <w:r w:rsidRPr="001A25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6DD3" w14:textId="77777777" w:rsidR="008C34B6" w:rsidRPr="001A2573" w:rsidRDefault="008C34B6" w:rsidP="00931C9F">
    <w:pPr>
      <w:pStyle w:val="EPFooter"/>
    </w:pPr>
    <w:r w:rsidRPr="001A2573">
      <w:t>PE</w:t>
    </w:r>
    <w:r w:rsidRPr="001A2573">
      <w:rPr>
        <w:rStyle w:val="HideTWBExt"/>
      </w:rPr>
      <w:t>&lt;NoPE&gt;</w:t>
    </w:r>
    <w:r w:rsidRPr="001A2573">
      <w:t>778.063</w:t>
    </w:r>
    <w:r w:rsidRPr="001A2573">
      <w:rPr>
        <w:rStyle w:val="HideTWBExt"/>
      </w:rPr>
      <w:t>&lt;/NoPE&gt;&lt;Version&gt;</w:t>
    </w:r>
    <w:r w:rsidRPr="001A2573">
      <w:t>v02-00</w:t>
    </w:r>
    <w:r w:rsidRPr="001A2573">
      <w:rPr>
        <w:rStyle w:val="HideTWBExt"/>
      </w:rPr>
      <w:t>&lt;/Version&gt;</w:t>
    </w:r>
    <w:r w:rsidRPr="001A2573">
      <w:tab/>
    </w:r>
    <w:r w:rsidRPr="001A2573">
      <w:fldChar w:fldCharType="begin"/>
    </w:r>
    <w:r w:rsidRPr="001A2573">
      <w:instrText xml:space="preserve"> PAGE  \* MERGEFORMAT </w:instrText>
    </w:r>
    <w:r w:rsidRPr="001A2573">
      <w:fldChar w:fldCharType="separate"/>
    </w:r>
    <w:r w:rsidRPr="001A2573">
      <w:rPr>
        <w:noProof/>
      </w:rPr>
      <w:t>2</w:t>
    </w:r>
    <w:r w:rsidRPr="001A2573">
      <w:fldChar w:fldCharType="end"/>
    </w:r>
    <w:r w:rsidRPr="001A2573">
      <w:t>/</w:t>
    </w:r>
    <w:fldSimple w:instr=" NUMPAGES  \* MERGEFORMAT ">
      <w:r w:rsidRPr="001A2573">
        <w:rPr>
          <w:noProof/>
        </w:rPr>
        <w:t>24</w:t>
      </w:r>
    </w:fldSimple>
    <w:r w:rsidRPr="001A2573">
      <w:tab/>
    </w:r>
    <w:r w:rsidRPr="001A2573">
      <w:rPr>
        <w:rStyle w:val="HideTWBExt"/>
      </w:rPr>
      <w:t>&lt;PathFdR&gt;</w:t>
    </w:r>
    <w:r w:rsidRPr="001A2573">
      <w:t>RR\1339613HR.docx</w:t>
    </w:r>
    <w:r w:rsidRPr="001A2573">
      <w:rPr>
        <w:rStyle w:val="HideTWBExt"/>
      </w:rPr>
      <w:t>&lt;/PathFdR&gt;</w:t>
    </w:r>
  </w:p>
  <w:p w14:paraId="5AB9038E" w14:textId="77777777" w:rsidR="008C34B6" w:rsidRPr="001A2573" w:rsidRDefault="008C34B6" w:rsidP="00931C9F">
    <w:pPr>
      <w:pStyle w:val="EPFooter2"/>
    </w:pPr>
    <w:r w:rsidRPr="001A2573">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DB0B" w14:textId="77777777" w:rsidR="008C34B6" w:rsidRPr="001A2573" w:rsidRDefault="008C34B6" w:rsidP="00931C9F">
    <w:pPr>
      <w:pStyle w:val="EPFooter"/>
    </w:pPr>
    <w:r w:rsidRPr="001A2573">
      <w:rPr>
        <w:rStyle w:val="HideTWBExt"/>
      </w:rPr>
      <w:t>&lt;PathFdR&gt;</w:t>
    </w:r>
    <w:r w:rsidRPr="001A2573">
      <w:t>RR\1339613HR.docx</w:t>
    </w:r>
    <w:r w:rsidRPr="001A2573">
      <w:rPr>
        <w:rStyle w:val="HideTWBExt"/>
      </w:rPr>
      <w:t>&lt;/PathFdR&gt;</w:t>
    </w:r>
    <w:r w:rsidRPr="001A2573">
      <w:tab/>
    </w:r>
    <w:r w:rsidRPr="001A2573">
      <w:tab/>
      <w:t>PE</w:t>
    </w:r>
    <w:r w:rsidRPr="001A2573">
      <w:rPr>
        <w:rStyle w:val="HideTWBExt"/>
      </w:rPr>
      <w:t>&lt;NoPE&gt;</w:t>
    </w:r>
    <w:r w:rsidRPr="001A2573">
      <w:t>778.063</w:t>
    </w:r>
    <w:r w:rsidRPr="001A2573">
      <w:rPr>
        <w:rStyle w:val="HideTWBExt"/>
      </w:rPr>
      <w:t>&lt;/NoPE&gt;&lt;Version&gt;</w:t>
    </w:r>
    <w:r w:rsidRPr="001A2573">
      <w:t>v02-00</w:t>
    </w:r>
    <w:r w:rsidRPr="001A2573">
      <w:rPr>
        <w:rStyle w:val="HideTWBExt"/>
      </w:rPr>
      <w:t>&lt;/Version&gt;</w:t>
    </w:r>
  </w:p>
  <w:p w14:paraId="46801E6C" w14:textId="77777777" w:rsidR="008C34B6" w:rsidRPr="001A2573" w:rsidRDefault="008C34B6" w:rsidP="00931C9F">
    <w:pPr>
      <w:pStyle w:val="EPFooter2"/>
    </w:pPr>
    <w:r w:rsidRPr="001A2573">
      <w:t>HR</w:t>
    </w:r>
    <w:r w:rsidRPr="001A2573">
      <w:tab/>
    </w:r>
    <w:r w:rsidRPr="001A2573">
      <w:rPr>
        <w:b w:val="0"/>
        <w:i/>
        <w:color w:val="C0C0C0"/>
        <w:sz w:val="22"/>
      </w:rPr>
      <w:t>Ujedinjena u raznolikosti</w:t>
    </w:r>
    <w:r w:rsidRPr="001A2573">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BB69" w14:textId="77777777" w:rsidR="00064002" w:rsidRPr="001A257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B7C6" w14:textId="77777777" w:rsidR="00064002" w:rsidRPr="001A257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75DF" w14:textId="77777777" w:rsidR="00064002" w:rsidRPr="001A25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3A4A0" w14:textId="77777777" w:rsidR="008D7E4A" w:rsidRPr="001A2573" w:rsidRDefault="008D7E4A">
      <w:r w:rsidRPr="001A2573">
        <w:separator/>
      </w:r>
    </w:p>
  </w:footnote>
  <w:footnote w:type="continuationSeparator" w:id="0">
    <w:p w14:paraId="12B12038" w14:textId="77777777" w:rsidR="008D7E4A" w:rsidRPr="001A2573" w:rsidRDefault="008D7E4A">
      <w:r w:rsidRPr="001A2573">
        <w:continuationSeparator/>
      </w:r>
    </w:p>
  </w:footnote>
  <w:footnote w:id="1">
    <w:p w14:paraId="32BCEAB0" w14:textId="7670AC04"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SL L</w:t>
      </w:r>
      <w:r w:rsidR="00B610E3">
        <w:rPr>
          <w:sz w:val="24"/>
          <w:lang w:val="hr-HR"/>
        </w:rPr>
        <w:t>, 2024/</w:t>
      </w:r>
      <w:r w:rsidRPr="001A2573">
        <w:rPr>
          <w:sz w:val="24"/>
          <w:lang w:val="hr-HR"/>
        </w:rPr>
        <w:t xml:space="preserve">207, 22.2.2024., ELI: </w:t>
      </w:r>
      <w:hyperlink r:id="rId1" w:history="1">
        <w:r w:rsidRPr="001A2573">
          <w:rPr>
            <w:rStyle w:val="Hyperlink"/>
            <w:sz w:val="24"/>
            <w:lang w:val="hr-HR"/>
          </w:rPr>
          <w:t>http://data.europa.eu/eli/budget/2024/207/oj</w:t>
        </w:r>
      </w:hyperlink>
      <w:r w:rsidRPr="001A2573">
        <w:rPr>
          <w:sz w:val="24"/>
          <w:lang w:val="hr-HR"/>
        </w:rPr>
        <w:t>.</w:t>
      </w:r>
    </w:p>
  </w:footnote>
  <w:footnote w:id="2">
    <w:p w14:paraId="14842BAB" w14:textId="34E4FAF6"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SL C, C/2025/4944, 13.10.2025., ELI: </w:t>
      </w:r>
      <w:hyperlink r:id="rId2" w:tgtFrame="_blank" w:tooltip="ELI URI za pristup dokumentu." w:history="1">
        <w:r w:rsidRPr="001A2573">
          <w:rPr>
            <w:rStyle w:val="Hyperlink"/>
            <w:sz w:val="24"/>
            <w:lang w:val="hr-HR"/>
          </w:rPr>
          <w:t>http://data.europa.eu/eli/C/2025/4944/oj</w:t>
        </w:r>
      </w:hyperlink>
      <w:r w:rsidRPr="001A2573">
        <w:rPr>
          <w:sz w:val="24"/>
          <w:lang w:val="hr-HR"/>
        </w:rPr>
        <w:t>.</w:t>
      </w:r>
    </w:p>
  </w:footnote>
  <w:footnote w:id="3">
    <w:p w14:paraId="2D8C0EC5" w14:textId="1BDCC227"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 xml:space="preserve">SL C, C/2025/5409, 8.10.2025., ELI: </w:t>
      </w:r>
      <w:hyperlink r:id="rId3" w:history="1">
        <w:r w:rsidRPr="001A2573">
          <w:rPr>
            <w:rStyle w:val="Hyperlink"/>
            <w:sz w:val="24"/>
            <w:lang w:val="hr-HR"/>
          </w:rPr>
          <w:t>http://data.europa.eu/eli/C/2025/5409/oj</w:t>
        </w:r>
      </w:hyperlink>
      <w:r w:rsidRPr="001A2573">
        <w:rPr>
          <w:sz w:val="24"/>
          <w:lang w:val="hr-HR"/>
        </w:rPr>
        <w:t>.</w:t>
      </w:r>
    </w:p>
  </w:footnote>
  <w:footnote w:id="4">
    <w:p w14:paraId="711F78A0" w14:textId="125FC7E5"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 xml:space="preserve">SL C, C/2025/5407, 13.10.2025., ELI: </w:t>
      </w:r>
      <w:hyperlink r:id="rId4" w:history="1">
        <w:r w:rsidRPr="001A2573">
          <w:rPr>
            <w:rStyle w:val="Hyperlink"/>
            <w:sz w:val="24"/>
            <w:lang w:val="hr-HR"/>
          </w:rPr>
          <w:t>http://data.europa.eu/eli/C/2025/5407/oj</w:t>
        </w:r>
      </w:hyperlink>
      <w:r w:rsidRPr="001A2573">
        <w:rPr>
          <w:sz w:val="24"/>
          <w:lang w:val="hr-HR"/>
        </w:rPr>
        <w:t>.</w:t>
      </w:r>
    </w:p>
  </w:footnote>
  <w:footnote w:id="5">
    <w:p w14:paraId="5F6382E4" w14:textId="10584C64"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 xml:space="preserve">SL L 193, 30.7.2018., str. 1., ELI: </w:t>
      </w:r>
      <w:hyperlink r:id="rId5" w:history="1">
        <w:r w:rsidRPr="001A2573">
          <w:rPr>
            <w:rStyle w:val="Hyperlink"/>
            <w:sz w:val="24"/>
            <w:lang w:val="hr-HR"/>
          </w:rPr>
          <w:t>http://data.europa.eu/eli/reg/2018/1046/oj</w:t>
        </w:r>
      </w:hyperlink>
      <w:r w:rsidRPr="001A2573">
        <w:rPr>
          <w:sz w:val="24"/>
          <w:lang w:val="hr-HR"/>
        </w:rPr>
        <w:t>.</w:t>
      </w:r>
    </w:p>
  </w:footnote>
  <w:footnote w:id="6">
    <w:p w14:paraId="07A14CE8" w14:textId="296D7A41"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sz w:val="24"/>
          <w:lang w:val="hr-HR"/>
        </w:rPr>
        <w:t xml:space="preserve"> </w:t>
      </w:r>
      <w:r w:rsidR="001A2573" w:rsidRPr="001A2573">
        <w:rPr>
          <w:sz w:val="24"/>
          <w:lang w:val="hr-HR"/>
        </w:rPr>
        <w:tab/>
      </w:r>
      <w:r w:rsidRPr="001A2573">
        <w:rPr>
          <w:sz w:val="24"/>
          <w:lang w:val="hr-HR"/>
        </w:rPr>
        <w:t xml:space="preserve">SL L, 2024/2509, 26.9.2024., ELI: </w:t>
      </w:r>
      <w:hyperlink r:id="rId6" w:history="1">
        <w:r w:rsidRPr="001A2573">
          <w:rPr>
            <w:rStyle w:val="Hyperlink"/>
            <w:sz w:val="24"/>
            <w:lang w:val="hr-HR"/>
          </w:rPr>
          <w:t>http://data.europa.eu/eli/reg/2024/2509/oj</w:t>
        </w:r>
      </w:hyperlink>
      <w:r w:rsidRPr="001A2573">
        <w:rPr>
          <w:sz w:val="24"/>
          <w:lang w:val="hr-HR"/>
        </w:rPr>
        <w:t>.</w:t>
      </w:r>
    </w:p>
  </w:footnote>
  <w:footnote w:id="7">
    <w:p w14:paraId="4F8A975C" w14:textId="3333FE37" w:rsidR="008C34B6" w:rsidRPr="001A2573" w:rsidRDefault="008C34B6" w:rsidP="001A2573">
      <w:pPr>
        <w:pStyle w:val="FootnoteText"/>
        <w:ind w:left="567" w:hanging="567"/>
        <w:rPr>
          <w:sz w:val="24"/>
          <w:lang w:val="hr-HR"/>
        </w:rPr>
      </w:pPr>
      <w:r w:rsidRPr="001A2573">
        <w:rPr>
          <w:rStyle w:val="FootnoteReference"/>
          <w:sz w:val="24"/>
          <w:lang w:val="hr-HR"/>
        </w:rPr>
        <w:footnoteRef/>
      </w:r>
      <w:r w:rsidR="001A2573" w:rsidRPr="001A2573">
        <w:rPr>
          <w:color w:val="333333"/>
          <w:sz w:val="24"/>
          <w:shd w:val="clear" w:color="auto" w:fill="FFFFFF"/>
          <w:lang w:val="hr-HR"/>
        </w:rPr>
        <w:t xml:space="preserve"> </w:t>
      </w:r>
      <w:r w:rsidR="001A2573" w:rsidRPr="001A2573">
        <w:rPr>
          <w:color w:val="333333"/>
          <w:sz w:val="24"/>
          <w:shd w:val="clear" w:color="auto" w:fill="FFFFFF"/>
          <w:lang w:val="hr-HR"/>
        </w:rPr>
        <w:tab/>
      </w:r>
      <w:r w:rsidRPr="001A2573">
        <w:rPr>
          <w:color w:val="333333"/>
          <w:sz w:val="24"/>
          <w:shd w:val="clear" w:color="auto" w:fill="FFFFFF"/>
          <w:lang w:val="hr-HR"/>
        </w:rPr>
        <w:t>Uredba (EU, Euratom) 2023/2841 Europskog parlamenta i Vijeća od 13. prosinca 2023. o utvrđivanju mjera za visoku zajedničku razinu kibernetičke sigurnosti u institucijama, tijelima, uredima i agencijama Unije (SL L, 2023/2841, 18.12.2023., ELI: </w:t>
      </w:r>
      <w:hyperlink r:id="rId7" w:tgtFrame="_blank" w:tooltip="ELI URI za pristup dokumentu." w:history="1">
        <w:r w:rsidRPr="001A2573">
          <w:rPr>
            <w:rStyle w:val="Hyperlink"/>
            <w:sz w:val="24"/>
            <w:shd w:val="clear" w:color="auto" w:fill="FFFFFF"/>
            <w:lang w:val="hr-HR"/>
          </w:rPr>
          <w:t>http://data.europa.eu/eli/reg/2023/2841/oj</w:t>
        </w:r>
      </w:hyperlink>
      <w:r w:rsidRPr="001A2573">
        <w:rPr>
          <w:color w:val="333333"/>
          <w:sz w:val="24"/>
          <w:shd w:val="clear" w:color="auto" w:fill="FFFFFF"/>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C296" w14:textId="77777777" w:rsidR="00064002" w:rsidRPr="001A25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0313" w14:textId="77777777" w:rsidR="00064002" w:rsidRPr="001A25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EB99" w14:textId="77777777" w:rsidR="00064002" w:rsidRPr="001A25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8242264">
    <w:abstractNumId w:val="9"/>
  </w:num>
  <w:num w:numId="2" w16cid:durableId="36200270">
    <w:abstractNumId w:val="9"/>
  </w:num>
  <w:num w:numId="3" w16cid:durableId="1285887642">
    <w:abstractNumId w:val="7"/>
  </w:num>
  <w:num w:numId="4" w16cid:durableId="320357737">
    <w:abstractNumId w:val="7"/>
  </w:num>
  <w:num w:numId="5" w16cid:durableId="1661539900">
    <w:abstractNumId w:val="6"/>
  </w:num>
  <w:num w:numId="6" w16cid:durableId="168915426">
    <w:abstractNumId w:val="6"/>
  </w:num>
  <w:num w:numId="7" w16cid:durableId="491801167">
    <w:abstractNumId w:val="5"/>
  </w:num>
  <w:num w:numId="8" w16cid:durableId="427234688">
    <w:abstractNumId w:val="5"/>
  </w:num>
  <w:num w:numId="9" w16cid:durableId="1069234097">
    <w:abstractNumId w:val="4"/>
  </w:num>
  <w:num w:numId="10" w16cid:durableId="192498895">
    <w:abstractNumId w:val="4"/>
  </w:num>
  <w:num w:numId="11" w16cid:durableId="415322349">
    <w:abstractNumId w:val="8"/>
  </w:num>
  <w:num w:numId="12" w16cid:durableId="1377704524">
    <w:abstractNumId w:val="8"/>
  </w:num>
  <w:num w:numId="13" w16cid:durableId="600140942">
    <w:abstractNumId w:val="3"/>
  </w:num>
  <w:num w:numId="14" w16cid:durableId="1370955882">
    <w:abstractNumId w:val="3"/>
  </w:num>
  <w:num w:numId="15" w16cid:durableId="483359506">
    <w:abstractNumId w:val="2"/>
  </w:num>
  <w:num w:numId="16" w16cid:durableId="9768996">
    <w:abstractNumId w:val="2"/>
  </w:num>
  <w:num w:numId="17" w16cid:durableId="1481341945">
    <w:abstractNumId w:val="1"/>
  </w:num>
  <w:num w:numId="18" w16cid:durableId="1276789927">
    <w:abstractNumId w:val="1"/>
  </w:num>
  <w:num w:numId="19" w16cid:durableId="1550259147">
    <w:abstractNumId w:val="0"/>
  </w:num>
  <w:num w:numId="20" w16cid:durableId="1577595269">
    <w:abstractNumId w:val="0"/>
  </w:num>
  <w:num w:numId="21" w16cid:durableId="1865292241">
    <w:abstractNumId w:val="9"/>
  </w:num>
  <w:num w:numId="22" w16cid:durableId="948925982">
    <w:abstractNumId w:val="7"/>
  </w:num>
  <w:num w:numId="23" w16cid:durableId="541477804">
    <w:abstractNumId w:val="6"/>
  </w:num>
  <w:num w:numId="24" w16cid:durableId="27489729">
    <w:abstractNumId w:val="5"/>
  </w:num>
  <w:num w:numId="25" w16cid:durableId="343827760">
    <w:abstractNumId w:val="4"/>
  </w:num>
  <w:num w:numId="26" w16cid:durableId="1025446387">
    <w:abstractNumId w:val="8"/>
  </w:num>
  <w:num w:numId="27" w16cid:durableId="108281659">
    <w:abstractNumId w:val="3"/>
  </w:num>
  <w:num w:numId="28" w16cid:durableId="762722896">
    <w:abstractNumId w:val="2"/>
  </w:num>
  <w:num w:numId="29" w16cid:durableId="1919097710">
    <w:abstractNumId w:val="1"/>
  </w:num>
  <w:num w:numId="30" w16cid:durableId="651064064">
    <w:abstractNumId w:val="0"/>
  </w:num>
  <w:num w:numId="31" w16cid:durableId="1012028807">
    <w:abstractNumId w:val="9"/>
  </w:num>
  <w:num w:numId="32" w16cid:durableId="1523863393">
    <w:abstractNumId w:val="7"/>
  </w:num>
  <w:num w:numId="33" w16cid:durableId="258295129">
    <w:abstractNumId w:val="6"/>
  </w:num>
  <w:num w:numId="34" w16cid:durableId="308246610">
    <w:abstractNumId w:val="5"/>
  </w:num>
  <w:num w:numId="35" w16cid:durableId="1101411017">
    <w:abstractNumId w:val="4"/>
  </w:num>
  <w:num w:numId="36" w16cid:durableId="1118642128">
    <w:abstractNumId w:val="8"/>
  </w:num>
  <w:num w:numId="37" w16cid:durableId="982006230">
    <w:abstractNumId w:val="3"/>
  </w:num>
  <w:num w:numId="38" w16cid:durableId="1277058818">
    <w:abstractNumId w:val="2"/>
  </w:num>
  <w:num w:numId="39" w16cid:durableId="1495754748">
    <w:abstractNumId w:val="1"/>
  </w:num>
  <w:num w:numId="40" w16cid:durableId="579631972">
    <w:abstractNumId w:val="0"/>
  </w:num>
  <w:num w:numId="41" w16cid:durableId="1514300954">
    <w:abstractNumId w:val="10"/>
  </w:num>
  <w:num w:numId="42" w16cid:durableId="834146828">
    <w:abstractNumId w:val="10"/>
  </w:num>
  <w:num w:numId="43" w16cid:durableId="1415084037">
    <w:abstractNumId w:val="10"/>
  </w:num>
  <w:num w:numId="44" w16cid:durableId="1888686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HR"/>
    <w:docVar w:name="dvnumam" w:val="0"/>
    <w:docVar w:name="dvpe" w:val="778.063"/>
    <w:docVar w:name="dvrapporteur" w:val="Izvjestitelj: "/>
    <w:docVar w:name="dvtitre" w:val="Odluka Europskog parlamenta od .... 2026. o razrješnici za izvršenje općeg proračuna Europske unije za financijsku godinu 2024., dio VI. – Europski gospodarski i socijalni odbor(2025/2151(DEC))"/>
  </w:docVars>
  <w:rsids>
    <w:rsidRoot w:val="008D7E4A"/>
    <w:rsid w:val="00002272"/>
    <w:rsid w:val="00064002"/>
    <w:rsid w:val="000677B9"/>
    <w:rsid w:val="000831BA"/>
    <w:rsid w:val="000A42CC"/>
    <w:rsid w:val="000C3AC1"/>
    <w:rsid w:val="000E7DD9"/>
    <w:rsid w:val="0010095E"/>
    <w:rsid w:val="00125B37"/>
    <w:rsid w:val="0018562C"/>
    <w:rsid w:val="00187494"/>
    <w:rsid w:val="001A2573"/>
    <w:rsid w:val="001F32AE"/>
    <w:rsid w:val="00220B4F"/>
    <w:rsid w:val="002767FF"/>
    <w:rsid w:val="002B18FE"/>
    <w:rsid w:val="002B5493"/>
    <w:rsid w:val="00343214"/>
    <w:rsid w:val="003524DB"/>
    <w:rsid w:val="00361C00"/>
    <w:rsid w:val="00395FA1"/>
    <w:rsid w:val="003D3A5D"/>
    <w:rsid w:val="003E15D4"/>
    <w:rsid w:val="00411CCE"/>
    <w:rsid w:val="0041666E"/>
    <w:rsid w:val="00421060"/>
    <w:rsid w:val="0044525A"/>
    <w:rsid w:val="00471C19"/>
    <w:rsid w:val="004867E3"/>
    <w:rsid w:val="00494A28"/>
    <w:rsid w:val="004C0004"/>
    <w:rsid w:val="004C5D52"/>
    <w:rsid w:val="0050519A"/>
    <w:rsid w:val="005072A1"/>
    <w:rsid w:val="00510624"/>
    <w:rsid w:val="00514517"/>
    <w:rsid w:val="0054319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4B6"/>
    <w:rsid w:val="008D7E4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0E3"/>
    <w:rsid w:val="00BD48FE"/>
    <w:rsid w:val="00BD7BD8"/>
    <w:rsid w:val="00BE6ADC"/>
    <w:rsid w:val="00C00A7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D5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4F6CD"/>
  <w15:chartTrackingRefBased/>
  <w15:docId w15:val="{1EA6DCA5-E54A-487C-A628-BCA0FC3B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34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34B6"/>
    <w:pPr>
      <w:spacing w:before="480" w:after="240"/>
    </w:pPr>
  </w:style>
  <w:style w:type="paragraph" w:customStyle="1" w:styleId="PageHeading">
    <w:name w:val="PageHeading"/>
    <w:basedOn w:val="Normal"/>
    <w:rsid w:val="008C34B6"/>
    <w:pPr>
      <w:keepNext/>
      <w:spacing w:after="480"/>
      <w:jc w:val="center"/>
    </w:pPr>
    <w:rPr>
      <w:rFonts w:ascii="Arial" w:hAnsi="Arial" w:cs="Arial"/>
      <w:b/>
    </w:rPr>
  </w:style>
  <w:style w:type="paragraph" w:customStyle="1" w:styleId="NormalBold">
    <w:name w:val="NormalBold"/>
    <w:basedOn w:val="Normal"/>
    <w:rsid w:val="008C34B6"/>
    <w:rPr>
      <w:b/>
    </w:rPr>
  </w:style>
  <w:style w:type="paragraph" w:customStyle="1" w:styleId="NormalHanging12a">
    <w:name w:val="NormalHanging12a"/>
    <w:basedOn w:val="Normal"/>
    <w:link w:val="NormalHanging12aChar"/>
    <w:rsid w:val="008C34B6"/>
    <w:pPr>
      <w:spacing w:after="240"/>
      <w:ind w:left="567" w:hanging="567"/>
    </w:pPr>
  </w:style>
  <w:style w:type="paragraph" w:styleId="Header">
    <w:name w:val="header"/>
    <w:basedOn w:val="Normal"/>
    <w:link w:val="HeaderChar"/>
    <w:rsid w:val="008C34B6"/>
    <w:pPr>
      <w:tabs>
        <w:tab w:val="center" w:pos="4513"/>
        <w:tab w:val="right" w:pos="9026"/>
      </w:tabs>
    </w:pPr>
  </w:style>
  <w:style w:type="character" w:customStyle="1" w:styleId="HeaderChar">
    <w:name w:val="Header Char"/>
    <w:basedOn w:val="DefaultParagraphFont"/>
    <w:link w:val="Header"/>
    <w:rsid w:val="008C34B6"/>
    <w:rPr>
      <w:sz w:val="24"/>
      <w:lang w:val="hr-HR"/>
    </w:rPr>
  </w:style>
  <w:style w:type="paragraph" w:customStyle="1" w:styleId="EPFooter">
    <w:name w:val="EPFooter"/>
    <w:basedOn w:val="Normal"/>
    <w:rsid w:val="008C34B6"/>
    <w:pPr>
      <w:tabs>
        <w:tab w:val="center" w:pos="4535"/>
        <w:tab w:val="right" w:pos="9071"/>
      </w:tabs>
      <w:spacing w:before="240" w:after="240"/>
    </w:pPr>
    <w:rPr>
      <w:color w:val="010000"/>
      <w:sz w:val="22"/>
    </w:rPr>
  </w:style>
  <w:style w:type="character" w:styleId="Hyperlink">
    <w:name w:val="Hyperlink"/>
    <w:basedOn w:val="DefaultParagraphFont"/>
    <w:rsid w:val="008C34B6"/>
    <w:rPr>
      <w:color w:val="0563C1" w:themeColor="hyperlink"/>
      <w:u w:val="single"/>
    </w:rPr>
  </w:style>
  <w:style w:type="character" w:customStyle="1" w:styleId="NormalHanging12aChar">
    <w:name w:val="NormalHanging12a Char"/>
    <w:basedOn w:val="DefaultParagraphFont"/>
    <w:link w:val="NormalHanging12a"/>
    <w:rsid w:val="008C34B6"/>
    <w:rPr>
      <w:sz w:val="24"/>
      <w:lang w:val="hr-HR"/>
    </w:rPr>
  </w:style>
  <w:style w:type="paragraph" w:styleId="Footer">
    <w:name w:val="footer"/>
    <w:basedOn w:val="Normal"/>
    <w:link w:val="FooterChar"/>
    <w:rsid w:val="003524DB"/>
    <w:pPr>
      <w:tabs>
        <w:tab w:val="center" w:pos="4513"/>
        <w:tab w:val="right" w:pos="9026"/>
      </w:tabs>
    </w:pPr>
  </w:style>
  <w:style w:type="character" w:customStyle="1" w:styleId="FooterChar">
    <w:name w:val="Footer Char"/>
    <w:basedOn w:val="DefaultParagraphFont"/>
    <w:link w:val="Footer"/>
    <w:rsid w:val="003524DB"/>
    <w:rPr>
      <w:sz w:val="24"/>
      <w:lang w:val="hr-HR"/>
    </w:rPr>
  </w:style>
  <w:style w:type="paragraph" w:styleId="Revision">
    <w:name w:val="Revision"/>
    <w:hidden/>
    <w:uiPriority w:val="99"/>
    <w:semiHidden/>
    <w:rsid w:val="00510624"/>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8424</Words>
  <Characters>50057</Characters>
  <Application>Microsoft Office Word</Application>
  <DocSecurity>0</DocSecurity>
  <Lines>417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2026-05-05T12:54:00Z</dcterms:created>
  <dcterms:modified xsi:type="dcterms:W3CDTF">2026-05-05T12:54:00Z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P10_TA(2026)0131_</vt:lpwstr>
  </property>
  <property fmtid="{D5CDD505-2E9C-101B-9397-08002B2CF9AE}" pid="4" name="&lt;Type&gt;">
    <vt:lpwstr>RR</vt:lpwstr>
  </property>
</Properties>
</file>