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EE1255" w14:paraId="7C67BEAE" w14:textId="77777777"/>
    <w:tbl>
      <w:tblPr>
        <w:tblW w:w="9072" w:type="dxa"/>
        <w:tblCellMar>
          <w:left w:w="0" w:type="dxa"/>
          <w:right w:w="0" w:type="dxa"/>
        </w:tblCellMar>
        <w:tblLook w:val="01E0"/>
      </w:tblPr>
      <w:tblGrid>
        <w:gridCol w:w="6804"/>
        <w:gridCol w:w="2268"/>
      </w:tblGrid>
      <w:tr w14:paraId="211FB89C" w14:textId="77777777" w:rsidTr="0010095E">
        <w:tblPrEx>
          <w:tblW w:w="9072" w:type="dxa"/>
          <w:tblLook w:val="01E0"/>
        </w:tblPrEx>
        <w:trPr>
          <w:trHeight w:hRule="exact" w:val="1418"/>
        </w:trPr>
        <w:tc>
          <w:tcPr>
            <w:tcW w:w="6804" w:type="dxa"/>
            <w:shd w:val="clear" w:color="auto" w:fill="auto"/>
            <w:vAlign w:val="center"/>
          </w:tcPr>
          <w:p w:rsidR="00751A4A" w:rsidRPr="00EC523D" w:rsidP="0010095E" w14:paraId="12947FA0" w14:textId="77777777">
            <w:pPr>
              <w:pStyle w:val="EPName"/>
            </w:pPr>
            <w:r w:rsidRPr="00EC523D">
              <w:t>Europos Parlamentas</w:t>
            </w:r>
          </w:p>
          <w:p w:rsidR="00751A4A" w:rsidRPr="00EC523D" w:rsidP="005F1B17" w14:paraId="65F0E07C" w14:textId="77777777">
            <w:pPr>
              <w:pStyle w:val="EPTerm"/>
              <w:rPr>
                <w:rStyle w:val="HideTWBExt"/>
                <w:noProof w:val="0"/>
                <w:vanish w:val="0"/>
                <w:color w:val="auto"/>
              </w:rPr>
            </w:pPr>
            <w:r w:rsidRPr="00EC523D">
              <w:t>2024</w:t>
            </w:r>
            <w:r w:rsidRPr="00EC523D" w:rsidR="00817416">
              <w:t>-202</w:t>
            </w:r>
            <w:r w:rsidRPr="00EC523D">
              <w:t>9</w:t>
            </w:r>
          </w:p>
        </w:tc>
        <w:tc>
          <w:tcPr>
            <w:tcW w:w="2268" w:type="dxa"/>
            <w:shd w:val="clear" w:color="auto" w:fill="auto"/>
          </w:tcPr>
          <w:p w:rsidR="00751A4A" w:rsidRPr="00EC523D" w:rsidP="0010095E" w14:paraId="64E0DA33" w14:textId="77777777">
            <w:pPr>
              <w:pStyle w:val="EPLogo"/>
            </w:pPr>
            <w:r w:rsidRPr="00EC523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C523D" w:rsidP="004C5D52" w14:paraId="58FA0998" w14:textId="77777777">
      <w:pPr>
        <w:pStyle w:val="LineTop"/>
      </w:pPr>
    </w:p>
    <w:p w:rsidR="00680577" w:rsidRPr="00EC523D" w:rsidP="00680577" w14:paraId="0B4EECA8" w14:textId="77777777">
      <w:pPr>
        <w:pStyle w:val="EPBodyTA1"/>
      </w:pPr>
      <w:r w:rsidRPr="00EC523D">
        <w:t>PRIIMTI TEKSTAI</w:t>
      </w:r>
    </w:p>
    <w:p w:rsidR="00D058B8" w:rsidRPr="00EC523D" w:rsidP="00D058B8" w14:paraId="6DD993BD" w14:textId="77777777">
      <w:pPr>
        <w:pStyle w:val="LineBottom"/>
      </w:pPr>
    </w:p>
    <w:p w:rsidR="00857086" w:rsidRPr="00EC523D" w:rsidP="00857086" w14:paraId="4F05A807" w14:textId="3C41E11F">
      <w:pPr>
        <w:pStyle w:val="ATHeading1"/>
      </w:pPr>
      <w:bookmarkStart w:id="0" w:name="TANumber"/>
      <w:r w:rsidRPr="00EC523D">
        <w:t>P10_TA(2026)0</w:t>
      </w:r>
      <w:r w:rsidR="00446418">
        <w:t>131</w:t>
      </w:r>
      <w:bookmarkEnd w:id="0"/>
    </w:p>
    <w:p w:rsidR="00857086" w:rsidRPr="00EC523D" w:rsidP="00857086" w14:paraId="270C03D0" w14:textId="77777777">
      <w:pPr>
        <w:pStyle w:val="ATHeading2"/>
      </w:pPr>
      <w:bookmarkStart w:id="1" w:name="title"/>
      <w:r w:rsidRPr="00EC523D">
        <w:t>2024 m. biudžeto įvykdymo patvirtinimas: ES bendrasis biudžetas – Europos ekonomikos ir socialinių reikalų komitetas</w:t>
      </w:r>
      <w:bookmarkEnd w:id="1"/>
    </w:p>
    <w:p w:rsidR="00857086" w:rsidRPr="00EC523D" w:rsidP="00857086" w14:paraId="12FB124A" w14:textId="77777777">
      <w:pPr>
        <w:rPr>
          <w:i/>
          <w:vanish/>
        </w:rPr>
      </w:pPr>
      <w:r>
        <w:rPr>
          <w:i/>
        </w:rPr>
        <w:fldChar w:fldCharType="begin"/>
      </w:r>
      <w:r w:rsidRPr="00EC523D">
        <w:rPr>
          <w:i/>
        </w:rPr>
        <w:instrText xml:space="preserve"> TC"(</w:instrText>
      </w:r>
      <w:bookmarkStart w:id="2" w:name="DocNumber"/>
      <w:r w:rsidRPr="00EC523D">
        <w:rPr>
          <w:i/>
        </w:rPr>
        <w:instrText>A10-0059/2026</w:instrText>
      </w:r>
      <w:bookmarkEnd w:id="2"/>
      <w:r w:rsidRPr="00EC523D">
        <w:rPr>
          <w:i/>
        </w:rPr>
        <w:instrText xml:space="preserve"> - Pranešėjas: </w:instrText>
      </w:r>
      <w:r w:rsidRPr="00EC523D">
        <w:rPr>
          <w:i/>
        </w:rPr>
        <w:instrText>Pasquale</w:instrText>
      </w:r>
      <w:r w:rsidRPr="00EC523D">
        <w:rPr>
          <w:i/>
        </w:rPr>
        <w:instrText xml:space="preserve"> </w:instrText>
      </w:r>
      <w:r w:rsidRPr="00EC523D">
        <w:rPr>
          <w:i/>
        </w:rPr>
        <w:instrText>Tridico</w:instrText>
      </w:r>
      <w:r w:rsidRPr="00EC523D">
        <w:rPr>
          <w:i/>
        </w:rPr>
        <w:instrText xml:space="preserve">)"\l3 \n&gt; \* MERGEFORMAT </w:instrText>
      </w:r>
      <w:r>
        <w:rPr>
          <w:i/>
        </w:rPr>
        <w:fldChar w:fldCharType="end"/>
      </w:r>
    </w:p>
    <w:p w:rsidR="00857086" w:rsidRPr="00EC523D" w:rsidP="00857086" w14:paraId="44F95E8C" w14:textId="77777777">
      <w:pPr>
        <w:rPr>
          <w:vanish/>
        </w:rPr>
      </w:pPr>
      <w:bookmarkStart w:id="3" w:name="Commission"/>
      <w:r w:rsidRPr="00EC523D">
        <w:rPr>
          <w:vanish/>
        </w:rPr>
        <w:t>Biudžeto kontrolės komitetas</w:t>
      </w:r>
      <w:bookmarkEnd w:id="3"/>
    </w:p>
    <w:p w:rsidR="00857086" w:rsidRPr="00EC523D" w:rsidP="00857086" w14:paraId="2DAD0D82" w14:textId="77777777">
      <w:pPr>
        <w:rPr>
          <w:vanish/>
        </w:rPr>
      </w:pPr>
      <w:bookmarkStart w:id="4" w:name="PE"/>
      <w:r w:rsidRPr="00EC523D">
        <w:rPr>
          <w:vanish/>
        </w:rPr>
        <w:t>PE778.063</w:t>
      </w:r>
      <w:bookmarkEnd w:id="4"/>
    </w:p>
    <w:p w:rsidR="00857086" w:rsidRPr="00EC523D" w:rsidP="006111C9" w14:paraId="11525CFA" w14:textId="7EFE41A9">
      <w:pPr>
        <w:pStyle w:val="ATHeading3"/>
      </w:pPr>
      <w:bookmarkStart w:id="5" w:name="Sujet"/>
      <w:r>
        <w:t xml:space="preserve">1. </w:t>
      </w:r>
      <w:r w:rsidRPr="00EC523D">
        <w:t xml:space="preserve">2026 m. </w:t>
      </w:r>
      <w:r w:rsidR="006111C9">
        <w:t>balandžio 29</w:t>
      </w:r>
      <w:r w:rsidRPr="00EC523D">
        <w:t xml:space="preserve"> d. Europos Parlamento sprendimas dėl 2024 finansinių metų Europos Sąjungos bendrojo biudžeto įvykdymo patvirtinimo, VI skirsnis – Europos ekonomikos ir socialinių reikalų komitetas</w:t>
      </w:r>
      <w:bookmarkEnd w:id="5"/>
      <w:r w:rsidRPr="00EC523D">
        <w:t xml:space="preserve"> </w:t>
      </w:r>
      <w:bookmarkStart w:id="6" w:name="References"/>
      <w:r w:rsidRPr="00EC523D">
        <w:t>(2025/2151(DEC))</w:t>
      </w:r>
      <w:bookmarkEnd w:id="6"/>
    </w:p>
    <w:p w:rsidR="00D01991" w:rsidRPr="00EC523D" w:rsidP="00D01991" w14:paraId="1FB2D9A4" w14:textId="77777777">
      <w:pPr>
        <w:pStyle w:val="EPComma"/>
      </w:pPr>
      <w:bookmarkStart w:id="7" w:name="TextBodyBegin"/>
      <w:bookmarkEnd w:id="7"/>
      <w:r w:rsidRPr="00EC523D">
        <w:rPr>
          <w:i/>
        </w:rPr>
        <w:t>Europos Parlamentas</w:t>
      </w:r>
      <w:r w:rsidRPr="00EC523D">
        <w:t>,</w:t>
      </w:r>
    </w:p>
    <w:p w:rsidR="00D01991" w:rsidRPr="00EC523D" w:rsidP="00D01991" w14:paraId="2B5434A2" w14:textId="77777777">
      <w:pPr>
        <w:pStyle w:val="NormalHanging12a"/>
      </w:pPr>
      <w:r w:rsidRPr="00EC523D">
        <w:t>–</w:t>
      </w:r>
      <w:r w:rsidRPr="00EC523D">
        <w:tab/>
        <w:t>atsižvelgdamas į 2024 finansinių metų Europos Sąjungos bendrąjį biudžetą</w:t>
      </w:r>
      <w:r>
        <w:rPr>
          <w:rStyle w:val="FootnoteReference"/>
        </w:rPr>
        <w:footnoteReference w:id="2"/>
      </w:r>
      <w:r w:rsidRPr="00EC523D">
        <w:t>,</w:t>
      </w:r>
    </w:p>
    <w:p w:rsidR="00D01991" w:rsidRPr="00EC523D" w:rsidP="00D01991" w14:paraId="5873EC56" w14:textId="77777777">
      <w:pPr>
        <w:pStyle w:val="NormalHanging12a"/>
      </w:pPr>
      <w:r w:rsidRPr="00EC523D">
        <w:t>–</w:t>
      </w:r>
      <w:r w:rsidRPr="00EC523D">
        <w:tab/>
        <w:t>atsižvelgdamas į 2024 finansinių metų Europos Sąjungos konsoliduotąsias metines ataskaitas (COM(2025)0359 – C10</w:t>
      </w:r>
      <w:r w:rsidRPr="00EC523D">
        <w:noBreakHyphen/>
        <w:t>0150/2025)</w:t>
      </w:r>
      <w:r>
        <w:rPr>
          <w:rStyle w:val="FootnoteReference"/>
        </w:rPr>
        <w:footnoteReference w:id="3"/>
      </w:r>
      <w:r w:rsidRPr="00EC523D">
        <w:t>,</w:t>
      </w:r>
    </w:p>
    <w:p w:rsidR="00D01991" w:rsidRPr="00EC523D" w:rsidP="00D01991" w14:paraId="723E9600" w14:textId="77777777">
      <w:pPr>
        <w:pStyle w:val="NormalHanging12a"/>
      </w:pPr>
      <w:r w:rsidRPr="00EC523D">
        <w:t>–</w:t>
      </w:r>
      <w:r w:rsidRPr="00EC523D">
        <w:tab/>
        <w:t>atsižvelgdamas į Europos ekonomikos ir socialinių reikalų komiteto metinę 2024 m. atlikto vidaus audito ataskaitą biudžeto įvykdymą tvirtinančiai institucijai,</w:t>
      </w:r>
    </w:p>
    <w:p w:rsidR="00D01991" w:rsidRPr="00EC523D" w:rsidP="00D01991" w14:paraId="660D7A61" w14:textId="77777777">
      <w:pPr>
        <w:pStyle w:val="NormalHanging12a"/>
      </w:pPr>
      <w:r w:rsidRPr="00EC523D">
        <w:t>–</w:t>
      </w:r>
      <w:r w:rsidRPr="00EC523D">
        <w:tab/>
        <w:t>atsižvelgdamas į Audito Rūmų metinę ataskaitą dėl 2024 finansinių metų biudžeto vykdymo kartu su institucijų atsakymais</w:t>
      </w:r>
      <w:r w:rsidRPr="00EC523D">
        <w:rPr>
          <w:rStyle w:val="FootnoteReference"/>
        </w:rPr>
        <w:t xml:space="preserve"> </w:t>
      </w:r>
      <w:r>
        <w:rPr>
          <w:rStyle w:val="FootnoteReference"/>
        </w:rPr>
        <w:footnoteReference w:id="4"/>
      </w:r>
      <w:r w:rsidRPr="00EC523D">
        <w:t>,</w:t>
      </w:r>
    </w:p>
    <w:p w:rsidR="00D01991" w:rsidRPr="00EC523D" w:rsidP="00D01991" w14:paraId="2E1CC929" w14:textId="77777777">
      <w:pPr>
        <w:pStyle w:val="NormalHanging12a"/>
      </w:pPr>
      <w:r w:rsidRPr="00EC523D">
        <w:t>–</w:t>
      </w:r>
      <w:r w:rsidRPr="00EC523D">
        <w:tab/>
        <w:t>atsižvelgdamas į Audito Rūmų pagal Sutarties dėl Europos Sąjungos veikimo 287 straipsnį pateiktą 2024 finansinių metų sąskaitų patikimumo ir pagal jas atliktų operacijų teisėtumo ir tvarkingumo patikinimo pareiškimą</w:t>
      </w:r>
      <w:r>
        <w:rPr>
          <w:rStyle w:val="FootnoteReference"/>
        </w:rPr>
        <w:footnoteReference w:id="5"/>
      </w:r>
      <w:r w:rsidRPr="00EC523D">
        <w:t>,</w:t>
      </w:r>
    </w:p>
    <w:p w:rsidR="00D01991" w:rsidRPr="00EC523D" w:rsidP="00D01991" w14:paraId="215DEF48" w14:textId="77777777">
      <w:pPr>
        <w:pStyle w:val="NormalHanging12a"/>
      </w:pPr>
      <w:r w:rsidRPr="00EC523D">
        <w:t>–</w:t>
      </w:r>
      <w:r w:rsidRPr="00EC523D">
        <w:tab/>
        <w:t>atsižvelgdamas į Sutarties dėl Europos Sąjungos veikimo 314 straipsnio 10 dalį ir 317, 318 ir 319 straipsnius,</w:t>
      </w:r>
    </w:p>
    <w:p w:rsidR="00D01991" w:rsidRPr="00EC523D" w:rsidP="00D01991" w14:paraId="2BB15847" w14:textId="77777777">
      <w:pPr>
        <w:pStyle w:val="NormalHanging12a"/>
      </w:pPr>
      <w:r w:rsidRPr="00EC523D">
        <w:t>–</w:t>
      </w:r>
      <w:r w:rsidRPr="00EC523D">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w:t>
      </w:r>
      <w:r w:rsidRPr="00EC523D">
        <w:t>panaikinamas Reglamentas (ES, Euratomas) Nr. 966/2012</w:t>
      </w:r>
      <w:r>
        <w:rPr>
          <w:rStyle w:val="FootnoteReference"/>
        </w:rPr>
        <w:footnoteReference w:id="6"/>
      </w:r>
      <w:r w:rsidRPr="00EC523D">
        <w:t>, ypač į jo 59, 118, 260, 261 ir 262 straipsnius,</w:t>
      </w:r>
    </w:p>
    <w:p w:rsidR="00D01991" w:rsidRPr="00EC523D" w:rsidP="00D01991" w14:paraId="4D945B55" w14:textId="1C40F5B8">
      <w:pPr>
        <w:pStyle w:val="NormalHanging12a"/>
      </w:pPr>
      <w:r w:rsidRPr="00EC523D">
        <w:t>–</w:t>
      </w:r>
      <w:r w:rsidRPr="00EC523D">
        <w:tab/>
        <w:t>atsižvelgdamas į 2024 m. rugsėjo 23 d. Europos Parlamento ir Tarybos reglamentą (ES, Euratomas) 2024/2509 dėl Sąjungos bendrajam biudžetui taikomų finansinių taisyklių</w:t>
      </w:r>
      <w:r>
        <w:rPr>
          <w:rStyle w:val="FootnoteReference"/>
        </w:rPr>
        <w:footnoteReference w:id="7"/>
      </w:r>
      <w:r w:rsidRPr="00EC523D">
        <w:t>, ypač į jo 59, 118, 266, 267 ir 268 straipsnius,</w:t>
      </w:r>
    </w:p>
    <w:p w:rsidR="00D01991" w:rsidRPr="00EC523D" w:rsidP="00D01991" w14:paraId="4F80A6EB" w14:textId="77777777">
      <w:pPr>
        <w:pStyle w:val="NormalHanging12a"/>
      </w:pPr>
      <w:r w:rsidRPr="00EC523D">
        <w:t>–</w:t>
      </w:r>
      <w:r w:rsidRPr="00EC523D">
        <w:tab/>
        <w:t>atsižvelgdamas į Darbo tvarkos taisyklių 102 straipsnį ir V priedą,</w:t>
      </w:r>
    </w:p>
    <w:p w:rsidR="00D01991" w:rsidRPr="00EC523D" w:rsidP="00D01991" w14:paraId="15905373" w14:textId="77777777">
      <w:pPr>
        <w:pStyle w:val="NormalHanging12a"/>
      </w:pPr>
      <w:r w:rsidRPr="00EC523D">
        <w:t>–</w:t>
      </w:r>
      <w:r w:rsidRPr="00EC523D">
        <w:tab/>
        <w:t>atsižvelgdamas į Biudžeto kontrolės komiteto pranešimą (A10</w:t>
      </w:r>
      <w:r w:rsidRPr="00EC523D">
        <w:noBreakHyphen/>
        <w:t>0059/2026),</w:t>
      </w:r>
    </w:p>
    <w:p w:rsidR="00D01991" w:rsidRPr="00EC523D" w:rsidP="00D01991" w14:paraId="5CDE2097" w14:textId="7CC2145C">
      <w:pPr>
        <w:pStyle w:val="NormalHanging12a"/>
      </w:pPr>
      <w:r w:rsidRPr="00EC523D">
        <w:t>1.</w:t>
      </w:r>
      <w:r w:rsidRPr="00EC523D">
        <w:tab/>
        <w:t>patvirtina Europos ekonomikos ir socialinių reikalų komiteto generalin</w:t>
      </w:r>
      <w:r w:rsidR="00DE26BF">
        <w:t>ei</w:t>
      </w:r>
      <w:r w:rsidRPr="00EC523D">
        <w:t xml:space="preserve"> sekretor</w:t>
      </w:r>
      <w:r w:rsidR="00DE26BF">
        <w:t>e</w:t>
      </w:r>
      <w:r w:rsidRPr="00EC523D">
        <w:t>i, kad Europos ekonomikos ir socialinių reikalų komiteto 2024 finansinių metų biudžetas įvykdytas;</w:t>
      </w:r>
    </w:p>
    <w:p w:rsidR="00D01991" w:rsidRPr="00EC523D" w:rsidP="00D01991" w14:paraId="50953B70" w14:textId="77777777">
      <w:pPr>
        <w:pStyle w:val="NormalHanging12a"/>
      </w:pPr>
      <w:r w:rsidRPr="00EC523D">
        <w:t>2.</w:t>
      </w:r>
      <w:r w:rsidRPr="00EC523D">
        <w:tab/>
        <w:t>išdėsto savo pastabas toliau pateikiamoje rezoliucijoje;</w:t>
      </w:r>
    </w:p>
    <w:p w:rsidR="00D01991" w:rsidRPr="00EC523D" w:rsidP="00D01991" w14:paraId="081617D3" w14:textId="77777777">
      <w:pPr>
        <w:pStyle w:val="NormalHanging12a"/>
      </w:pPr>
      <w:r w:rsidRPr="00EC523D">
        <w:t>3.</w:t>
      </w:r>
      <w:r w:rsidRPr="00EC523D">
        <w:tab/>
        <w:t xml:space="preserve">paveda </w:t>
      </w:r>
      <w:r w:rsidRPr="00E42FBB">
        <w:t>Pirmininkei perduoti šį sprendimą ir rezoliuciją, kuri yra neatskiriama jo dalis, Ekonomikos ir socialinių reikalų komitetui, Tarybai, Komisijai</w:t>
      </w:r>
      <w:r w:rsidRPr="00EC523D">
        <w:t xml:space="preserve"> ir Audito Rūmams ir pasirūpinti, kad jie būtų paskelbti </w:t>
      </w:r>
      <w:r w:rsidRPr="00EC523D">
        <w:rPr>
          <w:i/>
        </w:rPr>
        <w:t>Europos Sąjungos oficialiajame leidinyje</w:t>
      </w:r>
      <w:r w:rsidRPr="00EC523D">
        <w:t xml:space="preserve"> (L serijoje).</w:t>
      </w:r>
    </w:p>
    <w:p w:rsidR="00D01991" w:rsidRPr="00EC523D" w:rsidP="00D01991" w14:paraId="529CAEDA" w14:textId="77777777">
      <w:pPr>
        <w:pStyle w:val="PageHeading"/>
        <w:sectPr w:rsidSect="00EC523D">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4048D" w:rsidP="00C4048D" w14:paraId="683E24C1" w14:textId="77777777">
      <w:pPr>
        <w:pStyle w:val="ATHeading3"/>
      </w:pPr>
      <w:r>
        <w:t>2. 2026 m. balandžio 29 d. Europos Parlamento rezoliucija su pastabomis, sudarančiomis neatskiriamą sprendimo dėl 2024 finansinių metų Europos Sąjungos bendrojo biudžeto įvykdymo patvirtinimo, VI skirsnis – Europos ekonomikos ir socialinių reikalų komitetas, dalį (2025/2151(DEC))</w:t>
      </w:r>
    </w:p>
    <w:p w:rsidR="00D01991" w:rsidRPr="00EC523D" w:rsidP="00D01991" w14:paraId="00F94721" w14:textId="77777777">
      <w:pPr>
        <w:pStyle w:val="EPComma"/>
      </w:pPr>
      <w:r w:rsidRPr="00EC523D">
        <w:rPr>
          <w:i/>
        </w:rPr>
        <w:t>Europos Parlamentas</w:t>
      </w:r>
      <w:r w:rsidRPr="00EC523D">
        <w:t>,</w:t>
      </w:r>
    </w:p>
    <w:p w:rsidR="00D01991" w:rsidRPr="00EC523D" w:rsidP="00D01991" w14:paraId="762A7B67" w14:textId="77777777">
      <w:pPr>
        <w:pStyle w:val="NormalHanging12a"/>
      </w:pPr>
      <w:r w:rsidRPr="00EC523D">
        <w:t>–</w:t>
      </w:r>
      <w:r w:rsidRPr="00EC523D">
        <w:tab/>
        <w:t>atsižvelgdamas į savo sprendimą dėl 2024 finansinių metų Europos Sąjungos bendrojo biudžeto įvykdymo patvirtinimo, VI skirsnis – Europos ekonomikos ir socialinių reikalų komitetas,</w:t>
      </w:r>
    </w:p>
    <w:p w:rsidR="00D01991" w:rsidRPr="00EC523D" w:rsidP="00D01991" w14:paraId="56CD0405" w14:textId="77777777">
      <w:pPr>
        <w:pStyle w:val="NormalHanging12a"/>
      </w:pPr>
      <w:r w:rsidRPr="00EC523D">
        <w:t>–</w:t>
      </w:r>
      <w:r w:rsidRPr="00EC523D">
        <w:tab/>
        <w:t>atsižvelgdamas į Darbo tvarkos taisyklių 102 straipsnį ir V priedą,</w:t>
      </w:r>
    </w:p>
    <w:p w:rsidR="00D01991" w:rsidRPr="00EC523D" w:rsidP="00D01991" w14:paraId="122024E3" w14:textId="77777777">
      <w:pPr>
        <w:pStyle w:val="NormalHanging12a"/>
      </w:pPr>
      <w:r w:rsidRPr="00EC523D">
        <w:t>–</w:t>
      </w:r>
      <w:r w:rsidRPr="00EC523D">
        <w:tab/>
        <w:t>atsižvelgdamas į Biudžeto kontrolės komiteto pranešimą (A10</w:t>
      </w:r>
      <w:r w:rsidRPr="00EC523D">
        <w:noBreakHyphen/>
        <w:t>0059/2026),</w:t>
      </w:r>
    </w:p>
    <w:p w:rsidR="00D01991" w:rsidRPr="00EC523D" w:rsidP="00D01991" w14:paraId="7633CF9C" w14:textId="77777777">
      <w:pPr>
        <w:pStyle w:val="NormalHanging12a"/>
      </w:pPr>
      <w:r w:rsidRPr="00EC523D">
        <w:t>A.</w:t>
      </w:r>
      <w:r w:rsidRPr="00EC523D">
        <w:tab/>
        <w:t>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ir užtikrinant gerą žmogiškųjų išteklių valdymą;</w:t>
      </w:r>
    </w:p>
    <w:p w:rsidR="00D01991" w:rsidRPr="00EC523D" w:rsidP="00D01991" w14:paraId="3CB087E3" w14:textId="77777777">
      <w:pPr>
        <w:pStyle w:val="NormalHanging12a"/>
      </w:pPr>
      <w:r w:rsidRPr="00EC523D">
        <w:t>B.</w:t>
      </w:r>
      <w:r w:rsidRPr="00EC523D">
        <w:tab/>
        <w:t>kadangi Europos ekonomikos ir socialinių reikalų komitetas (toliau – Komitetas) yra Sąjungos patariamasis organas, kuris veikia kaip valstybių narių įvairių organizuotos pilietinės visuomenės ekonominės, socialinės ir pilietinės veiklos sričių atstovų konsultacijų, dialogo ir bendro sutarimo forumas;</w:t>
      </w:r>
    </w:p>
    <w:p w:rsidR="00D01991" w:rsidRPr="00EC523D" w:rsidP="00D01991" w14:paraId="5B59DED0" w14:textId="77777777">
      <w:pPr>
        <w:pStyle w:val="NormalHanging12a"/>
      </w:pPr>
      <w:r w:rsidRPr="00EC523D">
        <w:t>C.</w:t>
      </w:r>
      <w:r w:rsidRPr="00EC523D">
        <w:tab/>
        <w:t>kadangi Komitetas prisideda prie Sąjungos sprendimų priėmimo proceso ir, užtikrindamas Sąjungos politikos sąsają su ekonominėmis, socialinėmis ir pilietinėmis aplinkybėmis, vykdo savo misiją – užtikrinti geresnį reglamentavimą, dalyvaujamąją demokratiją ir propaguoti Europos vertybes;</w:t>
      </w:r>
    </w:p>
    <w:p w:rsidR="00D01991" w:rsidRPr="00EC523D" w:rsidP="00D01991" w14:paraId="21C5B91E" w14:textId="77777777">
      <w:pPr>
        <w:pStyle w:val="NormalHanging12a"/>
      </w:pPr>
      <w:r w:rsidRPr="00EC523D">
        <w:t>D.</w:t>
      </w:r>
      <w:r w:rsidRPr="00EC523D">
        <w:tab/>
        <w:t>kadangi tam tikrais atvejais Komisija arba Taryba privalo konsultuotis su Komitetu, Komitetas taip pat gali priimti nuomones savo iniciatyva, be to, Sutartyse nustatyta plati klausimų, kuriais gali būti prašoma Komiteto pateikti savo nuomonę, aprėptis, tokiu būdu sudarant sąlygas Parlamentui su juo konsultuotis;</w:t>
      </w:r>
    </w:p>
    <w:p w:rsidR="00D01991" w:rsidRPr="00EC523D" w:rsidP="00D01991" w14:paraId="395B686D" w14:textId="77777777">
      <w:pPr>
        <w:pStyle w:val="NormalHanging12a"/>
      </w:pPr>
      <w:r w:rsidRPr="00EC523D">
        <w:t>E.</w:t>
      </w:r>
      <w:r w:rsidRPr="00EC523D">
        <w:tab/>
        <w:t>kadangi Komiteto Finansų ir biudžeto reikalų komisija (CAF) yra Komiteto priežiūros organas, atsakingas už visas biudžeto procedūras, ypač už biudžeto sąmatos sudarymą, biudžeto vykdymą, metinę veiklos ataskaitą, biudžeto įvykdymo patvirtinimą ir tolesnius veiksmus, kurių imamasi atsižvelgiant į Europos Audito Rūmų (toliau – Audito Rūmai) metinę ataskaitą;</w:t>
      </w:r>
    </w:p>
    <w:p w:rsidR="00D01991" w:rsidRPr="00EC523D" w:rsidP="00D01991" w14:paraId="02C1DDBE" w14:textId="77777777">
      <w:pPr>
        <w:pStyle w:val="NormalHanging12a"/>
      </w:pPr>
      <w:r w:rsidRPr="00EC523D">
        <w:t>F.</w:t>
      </w:r>
      <w:r w:rsidRPr="00EC523D">
        <w:tab/>
        <w:t>kadangi pastaraisiais metais Komitetas, atsižvelgdamas į turimą ribotą biudžetą, nuolat ėmėsi iniciatyvų pritraukti ir išlaikyti kvalifikuotus darbuotojus, optimizuoti savo organizacinę struktūrą ir darbo metodus bei skatinti pagarbią darbo aplinką;</w:t>
      </w:r>
    </w:p>
    <w:p w:rsidR="00D01991" w:rsidRPr="00EC523D" w:rsidP="00D01991" w14:paraId="626461B7" w14:textId="77777777">
      <w:pPr>
        <w:pStyle w:val="NormalHanging12a"/>
      </w:pPr>
      <w:r w:rsidRPr="00EC523D">
        <w:t>G.</w:t>
      </w:r>
      <w:r w:rsidRPr="00EC523D">
        <w:tab/>
        <w:t>kadangi 2024 m. Komitetas paskyrė naują generalinį sekretorių, kuris įgaliotas užtikrinti veiksmingesnę, didesnio poveikio ir reikšmingesnę Komiteto veiklą;</w:t>
      </w:r>
    </w:p>
    <w:p w:rsidR="00D01991" w:rsidRPr="00EC523D" w:rsidP="00D01991" w14:paraId="4005A351" w14:textId="77777777">
      <w:pPr>
        <w:pStyle w:val="NormalHanging12a"/>
      </w:pPr>
      <w:r w:rsidRPr="00EC523D">
        <w:t>H.</w:t>
      </w:r>
      <w:r w:rsidRPr="00EC523D">
        <w:tab/>
        <w:t xml:space="preserve">kadangi Komitetas 2024 m. pradėjo pertvarkos procesą siekdamas tapti poveikio organizacija, kurioje jos nariai įgalinami stiprinti ir apsaugoti organizuotos pilietinės </w:t>
      </w:r>
      <w:r w:rsidRPr="00EC523D">
        <w:t>visuomenės balsą;</w:t>
      </w:r>
    </w:p>
    <w:p w:rsidR="00D01991" w:rsidRPr="00EC523D" w:rsidP="00D01991" w14:paraId="3357323E" w14:textId="77777777">
      <w:pPr>
        <w:pStyle w:val="NormalHanging12a"/>
        <w:rPr>
          <w:bCs/>
          <w:iCs/>
        </w:rPr>
      </w:pPr>
      <w:r w:rsidRPr="00EC523D">
        <w:t>I.</w:t>
      </w:r>
      <w:r w:rsidRPr="00EC523D">
        <w:tab/>
        <w:t>kadangi pagal Sutarties dėl Europos Sąjungos veikimo 300 ir 304 straipsnius Europos ekonomikos ir socialinių reikalų komitetas yra patariamasis organas, kurio pagrindinė užduotis – teikti nuomones;</w:t>
      </w:r>
    </w:p>
    <w:p w:rsidR="00D01991" w:rsidRPr="00EC523D" w:rsidP="00D01991" w14:paraId="332F49DE" w14:textId="77777777">
      <w:pPr>
        <w:pStyle w:val="NormalHanging12a"/>
      </w:pPr>
      <w:r w:rsidRPr="00EC523D">
        <w:t>1.</w:t>
      </w:r>
      <w:r w:rsidRPr="00EC523D">
        <w:tab/>
        <w:t>pažymi, kad Komiteto biudžetas patenka į DFP 7 išlaidų kategoriją „Europos viešasis administravimas“, kurią 2024 m. iš viso sudarė 13,3 mlrd. EUR, t. y. 6,9 proc. Sąjungos biudžeto išlaidų; pažymi, kad 2024 m. Komiteto biudžetas sudarė 1,50 proc. DFP 7 išlaidų kategorijos asignavimų, t. y. daugiau, palyginti su 2023 m. 1,29 proc. rodikliu;</w:t>
      </w:r>
    </w:p>
    <w:p w:rsidR="00D01991" w:rsidRPr="00EC523D" w:rsidP="00D01991" w14:paraId="38319F38" w14:textId="77777777">
      <w:pPr>
        <w:pStyle w:val="NormalHanging12a"/>
      </w:pPr>
      <w:r w:rsidRPr="00EC523D">
        <w:t>2.</w:t>
      </w:r>
      <w:r w:rsidRPr="00EC523D">
        <w:tab/>
        <w:t>pažymi, kad Audito Rūmai savo 2024 finansinių metų metinėje ataskaitoje (toliau – Audito Rūmų ataskaita) išanalizavo 70 išlaidų kategorijos „Administravimas“ operacijų imtį, t. y. tiek pat, kiek ir 2023 m.; taip pat Audito Rūmai nurodo, kad administracines išlaidas sudaro išlaidos žmogiškiesiems ištekliams, įskaitant išlaidas pensijoms, kurios 2024 m. sudarė apie 69 proc. visų administracinių išlaidų, taip pat išlaidos pastatams, įrangai, energijai, komunikacijai ir informacinėms technologijoms (IT), ir kad jų daugelio metų darbo patirtis rodo, jog apskritai tokios išlaidos yra nedidelės rizikos išlaidos;</w:t>
      </w:r>
    </w:p>
    <w:p w:rsidR="00D01991" w:rsidRPr="00EC523D" w:rsidP="00D01991" w14:paraId="62B5EB74" w14:textId="77777777">
      <w:pPr>
        <w:pStyle w:val="NormalHanging12a"/>
      </w:pPr>
      <w:r w:rsidRPr="00EC523D">
        <w:t>3.</w:t>
      </w:r>
      <w:r w:rsidRPr="00EC523D">
        <w:tab/>
        <w:t>pažymi, kad 16 (23 proc.) iš 70 operacijų buvo klaidų, tačiau Audito Rūmai, remdamiesi trimis kiekybiškai įvertintomis klaidomis, apskaičiavo, kad klaidų lygis nesiekia reikšmingumo ribos; pažymi, kad Audito Rūmų ataskaitoje nenustatyta jokių konkrečių su Komitetu susijusių problemų;</w:t>
      </w:r>
    </w:p>
    <w:p w:rsidR="00D01991" w:rsidRPr="00EC523D" w:rsidP="00D01991" w14:paraId="78169F3F" w14:textId="77777777">
      <w:pPr>
        <w:pStyle w:val="NormalHanging12a"/>
        <w:rPr>
          <w:b/>
          <w:i/>
        </w:rPr>
      </w:pPr>
      <w:r w:rsidRPr="00EC523D">
        <w:rPr>
          <w:b/>
          <w:i/>
        </w:rPr>
        <w:t>Biudžeto ir finansų valdymas</w:t>
      </w:r>
    </w:p>
    <w:p w:rsidR="00D01991" w:rsidRPr="00EC523D" w:rsidP="00D01991" w14:paraId="16E8397D" w14:textId="77777777">
      <w:pPr>
        <w:pStyle w:val="NormalHanging12a"/>
      </w:pPr>
      <w:r w:rsidRPr="00EC523D">
        <w:t>4.</w:t>
      </w:r>
      <w:r w:rsidRPr="00EC523D">
        <w:tab/>
        <w:t>pažymi, kad galutinis priimtas Komiteto biudžetas 2024 m. buvo 164 945 524 EUR, t. y. iš viso 3,90 proc. didesnis, palyginti su 2023 m.; remdamasis Komiteto atsakymais į Biudžeto kontrolės komiteto pateiktą klausimyną dėl 2024 m. biudžeto įvykdymo patvirtinimo (toliau – klausimynas), pažymi, kad dvi Komiteto biudžeto eilutės, t. y. 1200 (darbuotojų darbo užmokestis ir išmokos) ir 1004 (narių kelionės ir pragyvenimo išlaidos), sudaro didžiąją dalį Komiteto biudžeto, t. y. 65,80 proc. 2024 m., palyginti su 65,58 proc. 2023 m.;</w:t>
      </w:r>
    </w:p>
    <w:p w:rsidR="00D01991" w:rsidRPr="00EC523D" w:rsidP="00D01991" w14:paraId="65F21ECA" w14:textId="77777777">
      <w:pPr>
        <w:pStyle w:val="NormalHanging12a"/>
        <w:rPr>
          <w:bCs/>
          <w:iCs/>
        </w:rPr>
      </w:pPr>
      <w:r w:rsidRPr="00EC523D">
        <w:t>5.</w:t>
      </w:r>
      <w:r w:rsidRPr="00EC523D">
        <w:tab/>
        <w:t>atkreipia dėmesį į Komiteto perėjimą nuo į išlaidas orientuoto požiūrio prie išteklių valdymo ir prioritetų nustatymo, kaip matyti iš Komiteto biuro patvirtinto strateginio finansinio paketo ir pradėtos vykdyti prioritetų nustatymo veiklos; pažymi, kad šiomis priemonėmis siekiama pagerinti finansų valdymą ir suderinti biudžeto sprendimus su strateginiais tikslais; atkreipia dėmesį į pastangas sumažinti administracinę naštą ir supaprastinti procesus siekiant išlaidų efektyvumo; ragina Komitetą toliau stiprinti šį požiūrį į savo metinį finansinį ciklą integruojant veiklos rodiklius ir prognozavimą;</w:t>
      </w:r>
    </w:p>
    <w:p w:rsidR="00D01991" w:rsidRPr="00EC523D" w:rsidP="00D01991" w14:paraId="149415EF" w14:textId="77777777">
      <w:pPr>
        <w:pStyle w:val="NormalHanging12a"/>
      </w:pPr>
      <w:r w:rsidRPr="00EC523D">
        <w:t>6.</w:t>
      </w:r>
      <w:r w:rsidRPr="00EC523D">
        <w:tab/>
        <w:t xml:space="preserve">giria Komitetą už jo aukštą biudžeto įvykdymo lygį atsižvelgiant į einamųjų metų įsipareigojimų asignavimus – jis padidėjo nuo 98,70 proc. 2023 m. iki 99,21 proc. 2024 m. – ne tik dėl sėkmingos jo biudžeto vykdymo stebėsenos, bet ir dėl didelio infliacijos lygio, kuris daro poveikį darbuotojų darbo užmokesčiui ir išlaidoms pastatams; šiomis aplinkybėmis atkreipia dėmesį į Komiteto perskirstymo pastangas atliekant biudžeto lėšų perkėlimus įvairiose biudžeto eilutėse, kurių suma sudaro 2 487 139 EUR (t. y. 1,51 proc. jo 2024 m. biudžeto), o didžiausias padidėjimas yra susijęs su programinės įrangos sistemų eksploatavimu ir technine priežiūra </w:t>
      </w:r>
      <w:r w:rsidRPr="00EC523D">
        <w:t>(+ 519 682 EUR) ir pastatais (+ 421 880 EUR); be to, su pasitenkinimu pažymi, kad einamųjų metų mokėjimų asignavimų įvykdymo lygis padidėjo nuo 88,12 proc. 2022 m. ir 90,67 proc. 2023 m. iki 92,85 proc. 2024 m., o vidutinis išmokėjimo laikas sutrumpėjo nuo 20,14 dienos 2023 m. iki 16,06 dienos 2024 m., ir tai yra geriausias Komiteto rezultatas nuo 2021 m.; ragina toliau vykdyti veiksmingą stebėseną, riboti išlaidas ir strategiškai perskirstyti lėšas, kad būtų užtikrintas ekonominis naudingumas ir skaidrumas;</w:t>
      </w:r>
    </w:p>
    <w:p w:rsidR="00D01991" w:rsidRPr="00EC523D" w:rsidP="00D01991" w14:paraId="101A308B" w14:textId="77777777">
      <w:pPr>
        <w:pStyle w:val="NormalHanging12a"/>
      </w:pPr>
      <w:r w:rsidRPr="00EC523D">
        <w:t>7.</w:t>
      </w:r>
      <w:r w:rsidRPr="00EC523D">
        <w:tab/>
        <w:t>pažymi, kad iš 2023 m. į 2024 m. perkelti asignavimai siekė 13 827 713 EUR arba 8,38 proc. Komiteto 2024 m. biudžeto, t. y. ši suma sumažėjo, palyginti su ankstesnių metų lygiu, kai perkelti asignavimai siekė 15 466 316 EUR (t. y. 9,74 proc. Komiteto 2023 m. biudžeto); be to, pažymi, kad iš 2023 m. į 2024 m. perkeltų asignavimų įgyvendinimo lygis buvo 84,74 proc. 2024 m., t. y. mažesnis nei 2023 m. (86,76 proc.);</w:t>
      </w:r>
    </w:p>
    <w:p w:rsidR="00D01991" w:rsidRPr="00EC523D" w:rsidP="00D01991" w14:paraId="57C4F93F" w14:textId="3C940768">
      <w:pPr>
        <w:pStyle w:val="NormalHanging12a"/>
      </w:pPr>
      <w:r w:rsidRPr="00EC523D">
        <w:t>8.</w:t>
      </w:r>
      <w:r w:rsidRPr="00EC523D">
        <w:tab/>
        <w:t xml:space="preserve">pažymi, kad 2024 m. </w:t>
      </w:r>
      <w:r w:rsidR="00E42FBB">
        <w:t>birželio</w:t>
      </w:r>
      <w:r w:rsidRPr="00EC523D" w:rsidR="00E42FBB">
        <w:t xml:space="preserve"> </w:t>
      </w:r>
      <w:r w:rsidRPr="00EC523D">
        <w:t>21 d. Taryba priėmė naują sprendimą dėl dienpinigių Komiteto nariams ir pakaitiniams nariams ir jų kelionių išlaidų kompensavimo, pagal kurį dienpinigių dydis fiziškai posėdžiuose dalyvaujantiems gavėjams yra 367 EUR (padidinta nuo 290 EUR), o dienpinigių dydis posėdžiuose nuotoliniu būdu naudojant elektronines priemones dalyvaujantiems gavėjams yra 149 EUR (padidinta nuo 145 EUR); remdamasis klausimynu, pažymi, kad 2024 m. Komitetas kompensavo 259 669 EUR (2023 m. – 294 930 EUR) už dalyvavimą nuotoliniu būdu, t. y. 1 744 posėdžių dienų ekvivalentas (2 006 posėdžių dienos 2023 m.), o bendra vienodo dydžio išmokų, sumokėtų už fizinį dalyvavimą posėdžiuose, suma 2024 m. buvo 6 579 196 EUR (padidėjo nuo 5 902 963 EUR 2023 m.); ragina Komitetą didinti išmokų už dalyvavimą nuotoliniu būdu sistemos skaidrumą ir gerinti proporcingumą, kad būtų sustiprintas visuomenės pasitikėjimas, ir pabrėžia, kad finansinė kompensacija už dalyvavimą nuotoliniu būdu turi būti griežtai pagrįsta; taip pat pažymi, kad Komitetas turi nustatęs sistemą, kuria patvirtinamas faktinis dalyvavimas posėdžiuose nuotoliniu būdu naudojant elektronines priemones; mano, kad nuotolinis dalyvavimas yra svarbi ir vertinga šiuolaikinių institucijų priemonė (pvz., išmoka už dalyvavimą posėdžiuose nuotoliniu būdu), nes ja mažinamos posėdžių išlaidos ir sudaromos sąlygos platesniam dalyvavimui; palankiai vertina Komiteto metodą, kuriuo vadovaujantis išmokos už dalyvavimą nuotoliniu būdu paskirstomos sąžiningai ir proporcingai, atsižvelgiant į narių pareigas ir pasirengimo reikalavimą; primena, kad Komiteto nariai įgaliojimų vykdymo laikotarpiu negauna darbo užmokesčio;</w:t>
      </w:r>
    </w:p>
    <w:p w:rsidR="00D01991" w:rsidRPr="00EC523D" w:rsidP="00D01991" w14:paraId="3A9ABAEE" w14:textId="77777777">
      <w:pPr>
        <w:pStyle w:val="NormalHanging12a"/>
      </w:pPr>
      <w:r w:rsidRPr="00EC523D">
        <w:t>9.</w:t>
      </w:r>
      <w:r w:rsidRPr="00EC523D">
        <w:tab/>
        <w:t>pažymi, kad Komiteto tarnybos surengė 10 derybų, kurių vertė 15 000–60 000 EUR, ir vieną procedūrą su vienu tokios pat vertės intervalo pasiūlymu, daugiausia tyrimams; pažymi, kad Komitetas kartu su jungtinėmis tarnybomis, kuriomis dalijasi su Europos regionų komitetu (RK), taip pat pradėjo šešias viešųjų pirkimų procedūras (dėl preliminariųjų sutarčių), be kita ko, dėl maitinimo paslaugų, logistikos ir techninės priežiūros;</w:t>
      </w:r>
    </w:p>
    <w:p w:rsidR="00D01991" w:rsidRPr="00EC523D" w:rsidP="00D01991" w14:paraId="5D021C84" w14:textId="77777777">
      <w:pPr>
        <w:pStyle w:val="NormalHanging12a"/>
      </w:pPr>
      <w:r w:rsidRPr="00EC523D">
        <w:t>10.</w:t>
      </w:r>
      <w:r w:rsidRPr="00EC523D">
        <w:tab/>
        <w:t xml:space="preserve">remdamasis klausimynu, pažymi, kad Rusijos agresijos karo poveikis 2024 m. toliau darė spaudimą Komiteto biudžetui dėl infliacijos ir energijos rinkos nepastovumo, todėl patirta daugiau veiklos išlaidų; pažymi, kad apskaičiuota, jog 2021–2024 m. laikotarpiu Komiteto nuomos išlaidos padidėjo 16,53 proc., o techninės priežiūros ir saugumo paslaugų sutarčių išlaidos padidėjo 15 proc.; be to, remdamasis klausimynu, pažymi, kad Komiteto nuomos mokestis 2024 m. padidėjo 4,7 proc., o tai viršija Komisijos nustatytą 2 proc. viršutinę ribą su darbo užmokesčiu nesusijusioms išlaidoms; taip pat pažymi, kad Komiteto energijos išlaidos sumažėjo nuo 1 923 391 EUR 2023 m. iki </w:t>
      </w:r>
      <w:r w:rsidRPr="00EC523D">
        <w:t>711 608 EUR 2024 m.; šiomis aplinkybėmis giria Komitetą už jo pastangas užtikrinti, kad jo veikla būtų ekonomiškai efektyvesnė, be kita ko, dedant daugiau energijos taupymo pastangų; pripažįsta, jog reikia, kad visos Sąjungos institucijos, organai, įstaigos ir agentūros, sudarydami sutartis su paslaugų teikėjais, gerintų savo biudžeto valdymą, atsižvelgdami ir į kainų nepastovumą, ypač energetikos sektoriuje;</w:t>
      </w:r>
    </w:p>
    <w:p w:rsidR="00D01991" w:rsidRPr="00EC523D" w:rsidP="00D01991" w14:paraId="350CEEE9" w14:textId="77777777">
      <w:pPr>
        <w:pStyle w:val="NormalHanging12a"/>
        <w:rPr>
          <w:bCs/>
          <w:iCs/>
        </w:rPr>
      </w:pPr>
      <w:r w:rsidRPr="00EC523D">
        <w:t>11.</w:t>
      </w:r>
      <w:r w:rsidRPr="00EC523D">
        <w:tab/>
        <w:t>ragina Komiteto administraciją aktyviai nustatyti ir įgyvendinti išlaidų mažinimo priemones, be kita ko, dažniau naudojant mišrių posėdžių technologijas, optimizuojant pastatų naudojimą, konsoliduojant parlamentinę veiklą ir mažinant nereikalingas logistikos išlaidas; prašo reguliariai teikti įgyvendintų priemonių ir sutaupytų lėšų pažangos ataskaitas;</w:t>
      </w:r>
    </w:p>
    <w:p w:rsidR="00D01991" w:rsidRPr="00EC523D" w:rsidP="00D01991" w14:paraId="4C363D41" w14:textId="77777777">
      <w:pPr>
        <w:pStyle w:val="NormalHanging12a"/>
      </w:pPr>
      <w:r w:rsidRPr="00EC523D">
        <w:t>12.</w:t>
      </w:r>
      <w:r w:rsidRPr="00EC523D">
        <w:tab/>
        <w:t>remdamasis klausimynu, pažymi, kad Komiteto darbuotojai 2024 m. vyko į 415 komandiruočių (2023 m. – 300), kurių bendra suma siekė 448 655 EUR, t. y. 25 proc. daugiau, palyginti su 2023 m., nes padidėjo komandiruočių skaičius ir faktinės skrydžių bei apgyvendinimo viešbučiuose išlaidos; remdamasis Komiteto vertinimu, pažymi, kad 2024 m. sutaupyta apie 40 000 EUR komandiruočių išlaidų, palyginti su 2019 m. Komiteto išmokėta suma komandiruotėms (t. y. 402 097 EUR), t. y. laikotarpiu iki COVID, taikant 21 proc. sąlyginį infliacijos rodiklį 2020–2023 m. laikotarpiu; palankiai vertina Komiteto politiką, pagal kurią siekiama išlaikyti griežtai minimalų metinių komandiruočių išlaidų dydį; pažymi, kad Komiteto pirmininkas 2024 m. į komandiruotę vyko iš viso 88 dienas (palyginti su 69 dienomis 2023 m.), o jų bendros išlaidos siekė apie 113 000 EUR (padidėjo nuo maždaug 72 000 EUR 2023 m.) – tokios komandiruotės buvo būtinos siekiant pirmininko dalyvavimo tarptautiniuose forumuose, Sąjungos lygmens iniciatyvose ir kituose renginiuose, kuriuose buvo reikalingas aktyvus Komiteto dalyvavimas;</w:t>
      </w:r>
    </w:p>
    <w:p w:rsidR="00D01991" w:rsidRPr="00EC523D" w:rsidP="00D01991" w14:paraId="57D8D3EF" w14:textId="77777777">
      <w:pPr>
        <w:pStyle w:val="NormalHanging12a"/>
      </w:pPr>
      <w:r w:rsidRPr="00EC523D">
        <w:t>13.</w:t>
      </w:r>
      <w:r w:rsidRPr="00EC523D">
        <w:tab/>
        <w:t>remdamasis klausimynu pažymi, kad Komiteto ir RK jungtinis inovacijų ir informacinių technologijų departamentas apie 4 proc. savo IT biudžeto skiria kibernetiniam saugumui (padidėjo nuo 3 proc. 2023 m.), o tai vis dar yra gerokai mažiau nei atitinkamuose teisės aktuose numatytas 10 proc. tikslas; pakartoja savo raginimą teisėkūros institucijoms ir Komisijai į tai atsižvelgti vykdant metinę biudžeto procedūrą; pripažįsta, kad Komitetas turi įdiegti kibernetinio saugumo atnaujinimą abiem komitetams, kurio bendra suma sudaro maždaug 1,2 mln. EUR, dėl to Komiteto bendro IT biudžeto išlaidos kibernetiniam saugumui pasiektų 10 proc.;</w:t>
      </w:r>
    </w:p>
    <w:p w:rsidR="00D01991" w:rsidRPr="00EC523D" w:rsidP="00D01991" w14:paraId="34475230" w14:textId="77777777">
      <w:pPr>
        <w:pStyle w:val="NormalHanging12a"/>
      </w:pPr>
      <w:r w:rsidRPr="00EC523D">
        <w:rPr>
          <w:b/>
          <w:i/>
        </w:rPr>
        <w:t>Vidaus valdymas, veikla ir vidaus kontrolė</w:t>
      </w:r>
    </w:p>
    <w:p w:rsidR="00D01991" w:rsidRPr="00EC523D" w:rsidP="00D01991" w14:paraId="2F28D787" w14:textId="77777777">
      <w:pPr>
        <w:pStyle w:val="NormalHanging12a"/>
      </w:pPr>
      <w:r w:rsidRPr="00EC523D">
        <w:t xml:space="preserve">14. </w:t>
      </w:r>
      <w:r w:rsidRPr="00EC523D">
        <w:tab/>
        <w:t xml:space="preserve">pripažįsta, kad Komitetas atlieka pagrindinį vaidmenį prisidedant prie Sąjungos politikos plėtojimo ir sprendimo priėmimo procesų, nes atstovauja visų sričių Sąjungos organizuotos pilietinės visuomenės balsams, taip priartindamas Sąjungą prie jos piliečių ir padidindamas Sąjungos teisės aktų demokratinį </w:t>
      </w:r>
      <w:r w:rsidRPr="00EC523D">
        <w:t>legitimumą</w:t>
      </w:r>
      <w:r w:rsidRPr="00EC523D">
        <w:t xml:space="preserve">; primena, kad įgyvendindamas savo metinę darbo programą Komitetas naudoja veiklos rezultatų stebėsenos sistemą, kurioje nustatyti įvairių sričių, pvz., IT, žmogiškųjų išteklių, vertimo raštu ir komunikacijos, rodikliai, grindžiami penkiomis pagrindinėmis vertėmis ir penkiais pagrindiniais strateginiais uždaviniais, vadovaujantis 2021–2025 m. generalinio sekretoriato strategija; tačiau mano, kad vis dar iš esmės nepranešama apie jo veiklos pridėtinę vertę Sąjungos piliečiams; remdamasis Komiteto tolesniais veiksmais atsižvelgiant į Parlamento pastabas, pateiktas 2023 m. rezoliucijoje dėl biudžeto įvykdymo patvirtinimo (toliau – ataskaita dėl tolesnių veiksmų), ir klausimynu, su pasitenkinimu pažymi, kad po atlikto audito Komitetas pradėjo </w:t>
      </w:r>
      <w:r w:rsidRPr="00EC523D">
        <w:t>struktūrizuotą procesą, siekdamas pagerinti savo veiklos rezultatų stebėseną, suderindamas savo veiklos rezultatų sistemą su strateginiais uždaviniais pasitelkdamas pagrindinius veiklos rezultatų rodiklius ir poveikio rodiklius, kurie turi būti suderinti su būsimais Komiteto strateginiais tikslais; palankiai vertina Komiteto pastangas į savo sprendimų priėmimo procesą integruoti poveikio vertinimą ir ragina nustatyti aiškius kiekybiškai įvertinamus pagrindinius veiklos rezultatų rodiklius bei reguliariai teikti ataskaitas, kad būtų užtikrinti išmatuojami rezultatai ir atskaitomybė; ragina Komitetą toliau stiprinti savo poveikio vertinimo sistemą geriau parodant, kaip jo nuomonės ir iniciatyvos duoda konkrečių politikos rezultatų ir apčiuopiamos naudos piliečiams, Komiteto vyresniajai vadovybei atliekant pagrindinį vaidmenį naudojant šiuos rodiklius; tikisi būsimose Komiteto ataskaitose biudžeto įvykdymą tvirtinančiai institucijai būti informuotas apie šios naujos sistemos įgyvendinimo rezultatus;</w:t>
      </w:r>
    </w:p>
    <w:p w:rsidR="00D01991" w:rsidRPr="00EC523D" w:rsidP="00D01991" w14:paraId="4CE11296" w14:textId="77777777">
      <w:pPr>
        <w:pStyle w:val="NormalHanging12a"/>
      </w:pPr>
      <w:r w:rsidRPr="00EC523D">
        <w:t>15.</w:t>
      </w:r>
      <w:r w:rsidRPr="00EC523D">
        <w:tab/>
        <w:t>pažymi, kad Komitetas savo misiją vykdo rengdamas nuomones dėl Komisijos pateiktų pasiūlymų dėl teisėkūros procedūra priimamų aktų (prašymai pateikti nuomonę), nuomones savo iniciatyva, kuriose Sąjungos institucijos raginamos imtis veiksmų, ir tiriamąsias nuomones, kuriomis prisidedama prie Komisijos darbo, susijusio su jos planuojamomis iniciatyvomis, ir kad į Komiteto pozicijas gali būti atkreipiamas dėmesys rezoliucijose arba jos gali būti įtraukiamos į vertinimo bei informacinius pranešimus; giria Komitetą už jo veiklą padedant Parlamentui, Tarybai ir Komisijai vykdyti darbą per 2024 m. teisėkūros ciklą; atsižvelgdamas į tai pažymi, kad 2024 m. Komitetas priėmė 142 nuomones ir pranešimus, t. y. mažiau nei 2023 m. (tuomet jų buvo 213), ir surengė 148 klausymus bei 26 konferencijas, palyginti su 146 klausymais ir 24 konferencijomis 2023 m.; pripažįsta, kad 2024 m. prasidėjęs naujas teisėkūros ciklas lėmė sumažėjusį prašymų pateikti nuomonę, taigi ir sumažėjusį Komiteto tais metais priimtų nuomonių skaičių; pažymi, kad 2024 m. Komiteto nariai dalyvavo 518 aukšto lygio posėdžių, aukščiausiojo lygio susitikimų ir konferencijų, palyginti su 429 tokiais renginiais 2023 m.; ragina teikti pirmenybę iniciatyvoms, kuriomis remiamas ekonomikos augimas, konkurencingumas ir Sąjungos strateginis savarankiškumas;</w:t>
      </w:r>
    </w:p>
    <w:p w:rsidR="00D01991" w:rsidRPr="00EC523D" w:rsidP="00D01991" w14:paraId="7192D556" w14:textId="77777777">
      <w:pPr>
        <w:pStyle w:val="NormalHanging12a"/>
        <w:rPr>
          <w:bCs/>
          <w:iCs/>
        </w:rPr>
      </w:pPr>
      <w:r w:rsidRPr="00EC523D">
        <w:t>16.</w:t>
      </w:r>
      <w:r w:rsidRPr="00EC523D">
        <w:tab/>
        <w:t>ragina Komitetą toliau dėti pastangas ir savo darbą sutelkti į sritis, kuriose jis gali suteikti aiškų, išmatuojamą ir politikai aktualų indėlį, taip pat toliau plėtoti veiklos rezultatais ir poveikiu grindžiamus rodiklius, kurie apimtų ne tik veikla grindžiamus rezultatus, bet ir geriau atspindėtų pasiektus rezultatus bei svarbą piliečiams;</w:t>
      </w:r>
    </w:p>
    <w:p w:rsidR="00D01991" w:rsidRPr="00EC523D" w:rsidP="00D01991" w14:paraId="290F4412" w14:textId="77777777">
      <w:pPr>
        <w:pStyle w:val="NormalHanging12a"/>
      </w:pPr>
      <w:r w:rsidRPr="00EC523D">
        <w:t>17.</w:t>
      </w:r>
      <w:r w:rsidRPr="00EC523D">
        <w:tab/>
        <w:t xml:space="preserve">palankiai vertina ataskaitoje dėl tolesnių veiksmų Komiteto prisiimtą įsipareigojimą parengti nuomones dėl darbo teisių, socialinės </w:t>
      </w:r>
      <w:r w:rsidRPr="00EC523D">
        <w:t>įtraukties</w:t>
      </w:r>
      <w:r w:rsidRPr="00EC523D">
        <w:t xml:space="preserve"> ir žmogaus teisių pažeidimų ir išplėsti savo vertinimų aprėptį, kiek tai susiję su Sąjungos teisės aktais ir programomis, jei bus numatyti pakankami ištekliai;</w:t>
      </w:r>
    </w:p>
    <w:p w:rsidR="00D01991" w:rsidRPr="00EC523D" w:rsidP="00D01991" w14:paraId="49B33BE2" w14:textId="77777777">
      <w:pPr>
        <w:pStyle w:val="NormalHanging12a"/>
      </w:pPr>
      <w:r w:rsidRPr="00EC523D">
        <w:t>18.</w:t>
      </w:r>
      <w:r w:rsidRPr="00EC523D">
        <w:tab/>
        <w:t xml:space="preserve">teigiamai vertina Komiteto veiksmus, kurių jis ėmėsi 2024 m. siekdamas pagerinti savo darbo politiniame ir teisėkūros cikle matomumą ir poveikį; palankiai vertina po bandomojo projekto etapo oficialiai pradėtą naudoti naują nuomonių, rengiamų reaguojant į privalomus Parlamento, Tarybos arba Komisijos prašymus pateikti nuomonę, formatą; pažymi, kad naujas formatas yra patogesnis ir tinkamesnis naudoti teisės aktų leidėjui, sykiu padeda geriau nustatyti Komiteto darbo prioritetus; taip pat pažymi, kad dėl intensyvesnių tolesnių veiksmų, susijusių su atrinktomis nuomonėmis, remiantis kontroliniu sąrašu ir gairėmis, Komitetas tikisi, kad nuomonės išliks aktualios ir jas priėmus bei jomis bus remiamasi daugiasluoksniuose teisėkūros procesuose; taip pat palankiai vertina Komiteto nuomonių integravimą į ES teisės aktų stebėjimo platformą (EULT) nuo 2024 m. balandžio mėn., dėl to jos dabar teisėkūros </w:t>
      </w:r>
      <w:r w:rsidRPr="00EC523D">
        <w:t>dokumentuose pateikiamos kaip nuorodos; džiaugdamasis pažymi, kad Komitetas taip pat priėmė vidaus planą siekdamas geriau numatyti Sąjungos prioritetus, pagerinti tarpinstitucinį koordinavimą, stiprinti sklaidą ir tolesnius veiksmus bei sistemingiau įvertinti poveikį;</w:t>
      </w:r>
    </w:p>
    <w:p w:rsidR="00D01991" w:rsidRPr="00EC523D" w:rsidP="00D01991" w14:paraId="7C0D22AB" w14:textId="77777777">
      <w:pPr>
        <w:pStyle w:val="NormalHanging12a"/>
        <w:rPr>
          <w:bCs/>
          <w:iCs/>
        </w:rPr>
      </w:pPr>
      <w:r w:rsidRPr="00EC523D">
        <w:t>19.</w:t>
      </w:r>
      <w:r w:rsidRPr="00EC523D">
        <w:tab/>
        <w:t>teigiamai vertina Komiteto veiksmus, kurių jis ėmėsi 2024 m. siekdamas gerinti savo nuomonių prieinamumą, aiškumą ir tinkamumą naudoti Sąjungos institucijoms; pabrėžia, kad tokiais veiksmais ketinama stiprinti teisės aktų leidėjų gebėjimą priimti informacija pagrįstus sprendimus;</w:t>
      </w:r>
    </w:p>
    <w:p w:rsidR="00D01991" w:rsidRPr="00EC523D" w:rsidP="00D01991" w14:paraId="1EF7E499" w14:textId="77777777">
      <w:pPr>
        <w:pStyle w:val="NormalHanging12a"/>
      </w:pPr>
      <w:r w:rsidRPr="00EC523D">
        <w:t>20.</w:t>
      </w:r>
      <w:r w:rsidRPr="00EC523D">
        <w:tab/>
        <w:t xml:space="preserve">džiaugdamasis pažymi, kad Komitetas paskatino keleto pavyzdinių iniciatyvų, kuriomis buvo sustiprintas dalyvavimas, </w:t>
      </w:r>
      <w:r w:rsidRPr="00EC523D">
        <w:t>įtrauktis</w:t>
      </w:r>
      <w:r w:rsidRPr="00EC523D">
        <w:t xml:space="preserve"> ir politikos poveikis visoje Sąjungoje, įgyvendinimą; pažymi, kad Komitetas nuo 2024 m. rugsėjo mėn. pirmasis ėmėsi taikyti ES jaunimo testą savo nuomonių rengimo procese, įtraukdamas 73 jaunimo organizacijų tinklą ir testuodamas jaunimą dėl maždaug 40 nuomonių; palankiai vertina ir remia Komiteto iniciatyvas, kuriomis siekiama stiprinti jaunimo dalyvavimą politikos formavimo procese; pažymi, kad Komitetas išplėtė savo dalyvavimą įgyvendindamas </w:t>
      </w:r>
      <w:r w:rsidRPr="00EC523D">
        <w:t>įtraukaus</w:t>
      </w:r>
      <w:r w:rsidRPr="00EC523D">
        <w:t xml:space="preserve"> dialogo iniciatyvą su šalimis kandidatėmis rengiantis būsimai plėtrai, pasitelkdamas nario iš šalies kandidatės iniciatyvą, taip sudarydamas sąlygas 146 pilietinės visuomenės atstovams tiesiogiai prisidėti prie Komiteto nuomonių dalyvaujant tyrimo grupėse, skyriaus posėdžiuose ir plenariniame posėdyje (surengtame 2024 m. spalio mėn.); giria Komitetą už pažangą įgyvendinant ES mėlynąjį kursą, padedant įtraukti hidrologinio atsparumo klausimą į Sąjungos darbotvarkę; pažymi, kad 2024 m. Komitetas toliau vadovavo Europos žiedinės ekonomikos suinteresuotųjų subjektų platformai ir kartu organizavo ES ekologinių iniciatyvų apdovanojimus, taip sustiprindamas ryšius su pilietinės visuomenės subjektais, veikiančiais ekologinio ūkininkavimo srityje; ragina Komitetą išplėsti nuomonių aprėptį, kad jos apimtų kitas viešąsias gėrybes, susijusias su Sąjungos teisės aktais, ir išmatuojamus rezultatus;</w:t>
      </w:r>
    </w:p>
    <w:p w:rsidR="00D01991" w:rsidRPr="00EC523D" w:rsidP="00D01991" w14:paraId="27097968" w14:textId="77777777">
      <w:pPr>
        <w:pStyle w:val="NormalHanging12a"/>
      </w:pPr>
      <w:r w:rsidRPr="00EC523D">
        <w:t>21.</w:t>
      </w:r>
      <w:r w:rsidRPr="00EC523D">
        <w:tab/>
        <w:t>ragina Komitetą aktyviau rengti išsamią skaitmeninės pertvarkos strategiją, apimančią dirbtinį intelektą (DI), atsižvelgiant į poreikį užtikrinti žmogaus vykdomą DI naudojimo priežiūrą; strategija turėtų apimti ir automatizavimą, sąveikumą bei duomenų valdymą, kartu taikant tvirtą sistemą, kuria būtų užtikrinamas saugus, etiškas, atsakingas ir skaidrus besiformuojančių technologijų naudojimas;</w:t>
      </w:r>
    </w:p>
    <w:p w:rsidR="00D01991" w:rsidRPr="00EC523D" w:rsidP="00D01991" w14:paraId="31834A9F" w14:textId="77777777">
      <w:pPr>
        <w:pStyle w:val="NormalHanging12a"/>
      </w:pPr>
      <w:r w:rsidRPr="00EC523D">
        <w:t>22.</w:t>
      </w:r>
      <w:r w:rsidRPr="00EC523D">
        <w:tab/>
        <w:t>remdamasis klausimynu, su susidomėjimu atkreipia dėmesį į Komiteto pastangas laikytis labiau strateginio požiūrio teikiant prioritetą savo su poveikiu susijusiam darbui ir nustatyti, kad poveikio valdymas būtų sprendimų priėmimo epicentre; šiame kontekste atkreipia dėmesį į 2024 m. ir 2025 m. surengtus tris aukšto lygio strateginius seminarus, kuriuose dalyvavo politiniai lyderiai ir kuriuose ypač daug dėmesio buvo skiriama prognozavimo veiklai rengiant kriterijus, pagal kuriuos iniciatyvos išdėstomos prioritetine tvarka, ir, be kitų tikslų, užtikrinamas teminis derėjimas su ilgalaikiais pilietinės visuomenės poreikiais; pažymi, kad ši prioritetų išdėstymo veikla bus integruota į pagrindinę Komiteto veiklą, nes ji bus vykdoma kasmet ir kas 2,5 metų bus papildoma atliekant visų Komiteto organų, veiklos ir pagrindinių renginių peržiūrą;</w:t>
      </w:r>
    </w:p>
    <w:p w:rsidR="00D01991" w:rsidRPr="00EC523D" w:rsidP="00D01991" w14:paraId="14D28650" w14:textId="77777777">
      <w:pPr>
        <w:pStyle w:val="NormalHanging12a"/>
      </w:pPr>
      <w:r w:rsidRPr="00EC523D">
        <w:t>23.</w:t>
      </w:r>
      <w:r w:rsidRPr="00EC523D">
        <w:tab/>
        <w:t xml:space="preserve">atsižvelgdamas į 2024 m. atitikties tyrimą, atkreipia dėmesį į aukštą atitikties lygį, kurio vidurkis buvo 85 proc. (87 proc. 2023 m.); apgailestauja, kad vidaus kontrolės sistemos veiksmingumas sumažėjo nuo 78 proc. 2023 m. iki 66 proc. 2024 m.; atsižvelgdamas į tai, atkreipia dėmesį į atotrūkį tarp formalios atitikties ir praktinio kasdienės veiklos veiksmingumo; ragina Komitetą šalinti struktūrines vidaus kontrolės veiksmingumo </w:t>
      </w:r>
      <w:r w:rsidRPr="00EC523D">
        <w:t xml:space="preserve">mažėjimo priežastis, visų pirma, be kita ko, stiprinant informuotumo apie riziką kultūrą, gerinant vidaus komunikacijos kanalus ir spartinant dokumentų bei informacijos valdymo sistemų modernizavimą; taip pat pažymi, kad 2024 m. Komitetas priėmė peržiūrėtą sprendimą, siekdamas supaprastinti 23 rūšių patikrinimus, kuris taikomas nuo 2025 m. sausio mėn.; palankiai vertina tai, kad jau atlikta </w:t>
      </w:r>
      <w:r w:rsidRPr="00EC523D">
        <w:rPr>
          <w:i/>
          <w:iCs/>
        </w:rPr>
        <w:t>ex</w:t>
      </w:r>
      <w:r w:rsidRPr="00EC523D">
        <w:rPr>
          <w:i/>
          <w:iCs/>
        </w:rPr>
        <w:t> </w:t>
      </w:r>
      <w:r w:rsidRPr="00EC523D">
        <w:rPr>
          <w:i/>
          <w:iCs/>
        </w:rPr>
        <w:t>post</w:t>
      </w:r>
      <w:r w:rsidRPr="00EC523D">
        <w:t xml:space="preserve"> kontrolė dėl šių patikrinimų patvirtino, kad dėl supaprastinimo papildoma rizika neatsirado;</w:t>
      </w:r>
    </w:p>
    <w:p w:rsidR="00D01991" w:rsidRPr="00EC523D" w:rsidP="00D01991" w14:paraId="6B7768A7" w14:textId="77777777">
      <w:pPr>
        <w:pStyle w:val="NormalHanging12a"/>
      </w:pPr>
      <w:r w:rsidRPr="00EC523D">
        <w:t>24.</w:t>
      </w:r>
      <w:r w:rsidRPr="00EC523D">
        <w:tab/>
        <w:t>pažymi, kad, remiantis Komiteto 2024 m. metine veiklos ataskaita (toliau – Komiteto ataskaita), 2024 m. buvo atlikti penki auditai dėl išmokų už kelionės trukmę ir atstumą, rizikos valdymo, prašymų pateikti nuomonę, pagrindinių veiklos ir veiklos rezultatų rodiklių ir kelionės išlaidų, kuriuos užbaigus pateikta iš viso 14 rekomendacijų; visų pirma atkreipia dėmesį į vidaus auditoriaus nustatytus faktus, susijusius su išmokomis už kelionės trukmę ir atstumą, pvz., tai, kad nėra aiškios sąvokos „įprastinė gyvenamoji vieta“ apibrėžties ir trūksta reikalavimų patvirtinamiesiems dokumentams; be to, pažymi, kad 2025 m. sausio mėn. pabaigoje 13 rekomendacijų dar nebuvo įgyvendintos; be to, pažymi, kad dar neįgyvendintos septynios ankstesnių auditų rekomendacijos, visų pirma susijusios su etika ir sąžiningumu, mokėjimo terminais, posėdžių leidimais, Pramonės permainų konsultacinės komisijos (CCMI) deleguotaisiais atstovais ir strateginiu ciklu; šiomis aplinkybėmis palankiai vertina tai, kad Komitetas patvirtino naujas taisykles dėl posėdžių leidimų, išmokų ir išlaidų atlyginimo; ragina Komitetą užtikrinti, kad būtų greitai įgyvendintos visos likusios audito rekomendacijos, visų pirma susijusios su išmokomis, etika ir sąžiningumu, ir toliau informuoti biudžeto įvykdymą tvirtinančią instituciją apie pažangą, padarytą visų įgyvendinamų rekomendacijų srityje;</w:t>
      </w:r>
    </w:p>
    <w:p w:rsidR="00D01991" w:rsidRPr="00EC523D" w:rsidP="00D01991" w14:paraId="5EF6B458" w14:textId="77777777">
      <w:pPr>
        <w:pStyle w:val="NormalHanging12a"/>
        <w:rPr>
          <w:b/>
          <w:i/>
        </w:rPr>
      </w:pPr>
      <w:r w:rsidRPr="00EC523D">
        <w:rPr>
          <w:b/>
          <w:i/>
        </w:rPr>
        <w:t>Žmogiškieji ištekliai, lygybė ir darbuotojų gerovė</w:t>
      </w:r>
    </w:p>
    <w:p w:rsidR="00D01991" w:rsidRPr="00EC523D" w:rsidP="00D01991" w14:paraId="3971808A" w14:textId="77777777">
      <w:pPr>
        <w:pStyle w:val="NormalHanging12a"/>
      </w:pPr>
      <w:r w:rsidRPr="00EC523D">
        <w:t>25.</w:t>
      </w:r>
      <w:r w:rsidRPr="00EC523D">
        <w:tab/>
        <w:t xml:space="preserve">pažymi, kad 2024 m. pabaigoje Komitete dirbo 713 darbuotojų, palyginti su 707 darbuotojais 2023 m.; taip pat pažymi, kad 2024 m. Komitete dirbo 48 sutartininkai ir 144 laikinieji darbuotojai (iš kurių 42 įdarbinti 2024 m.) (palyginti su 49 sutartininkais ir 130 laikinųjų darbuotojų 2023 m.); pabrėžia, jog svarbu sudaryti nuolatines sutartis, kad būtų išlaikyti įgūdžiai, tęstinumas ir produktyvi bei stabili darbo aplinka, ir įspėja pernelyg nesikliauti išorės paslaugų teikėjais; be to, pažymi, kad Komitete buvo įdarbinta 10 paslaugų teikėjų ir 14 išorės </w:t>
      </w:r>
      <w:r w:rsidRPr="00EC523D">
        <w:rPr>
          <w:i/>
          <w:iCs/>
        </w:rPr>
        <w:t>intra</w:t>
      </w:r>
      <w:r w:rsidRPr="00EC523D">
        <w:rPr>
          <w:i/>
          <w:iCs/>
        </w:rPr>
        <w:t> </w:t>
      </w:r>
      <w:r w:rsidRPr="00EC523D">
        <w:rPr>
          <w:i/>
          <w:iCs/>
        </w:rPr>
        <w:t>muros</w:t>
      </w:r>
      <w:r w:rsidRPr="00EC523D">
        <w:t xml:space="preserve"> darbuotojų, išskyrus maitinimo paslaugų, techninės priežiūros, apsaugos ir saugumo srityse dirbančius darbuotojus; atkreipia dėmesį į tai, kad užimtumo rodiklis buvo 96 proc. (95,50 proc. 2023 m.), o darbuotojų kaitos rodiklis 2024 m. buvo 5,60 proc. (sumažėjo nuo 7 proc. 2023 m.);</w:t>
      </w:r>
    </w:p>
    <w:p w:rsidR="00D01991" w:rsidRPr="00EC523D" w:rsidP="00D01991" w14:paraId="525D0F8A" w14:textId="77777777">
      <w:pPr>
        <w:pStyle w:val="NormalHanging12a"/>
      </w:pPr>
      <w:r w:rsidRPr="00EC523D">
        <w:t>26.</w:t>
      </w:r>
      <w:r w:rsidRPr="00EC523D">
        <w:tab/>
        <w:t xml:space="preserve">giria Komitetą už tai, kad jis 2024 m. trečius metus iš eilės yra daugiausiai talento iš kitų institucijų pritraukiantis subjektas, o taip yra dėl jo įgyvendinamo įdarbinimo ir darbuotojų išlaikymo plano, kadangi 42 proc. 2024 m. įdarbintų asmenų buvo susiję su tarpinstituciniais perėjimais; be to, remdamasis ataskaita dėl tolesnių veiksmų, atkreipia dėmesį į tai, kad Komiteto gautų paraiškų į nuolatines pareigas skaičius padidėjo 11,60 proc., o į laikinųjų darbuotojų ir sutartininkų pozicijas – 41 proc.; palankiai vertina tai, kad Komitetas pradėjo vidinį konkursą, atvirą laikiniesiems darbuotojams ir sutartininkams, ir rezervo sąrašą tikimasi parengti iki 2025 m. pabaigos; pažymi, kad, siekiant išlaikyti talentą ir kompetenciją bei apskritai stabilizuoti Komiteto žmogiškuosius išteklius, svarbu yra rengti vidaus konkursus; su pasitenkinimu atkreipia dėmesį į Komiteto dalyvavimą karjeros renginiuose ir mugėse (įskaitant virtualius renginius) ir atvirų dienų renginiuose; pažymi, kad 2024 m. Komitetas surengė virtualią karjeros mugę, skirtą konkretiems darbo profiliams ir karjeros galimybėms, pritraukusią </w:t>
      </w:r>
      <w:r w:rsidRPr="00EC523D">
        <w:t>270 dalyvių, o 19 iš jų taip pat pateikė paraiškas atsižvelgdami į renginio metu paskelbtą pirmąjį pranešimą apie laisvą darbo vietą;</w:t>
      </w:r>
    </w:p>
    <w:p w:rsidR="00D01991" w:rsidRPr="00EC523D" w:rsidP="00D01991" w14:paraId="572A0011" w14:textId="77777777">
      <w:pPr>
        <w:pStyle w:val="NormalHanging12a"/>
      </w:pPr>
      <w:r w:rsidRPr="00EC523D">
        <w:t>27.</w:t>
      </w:r>
      <w:r w:rsidRPr="00EC523D">
        <w:tab/>
        <w:t xml:space="preserve">palankiai vertina nuolatines Komiteto pastangas tobulinti savo žmogiškųjų išteklių sistemą siekiant tapti patraukliu darbdaviu ir visiškai įtraukia darbo vieta, kurioje kiekvienas asmuo būtų vertinamas ir galėtų visapusiškai panaudoti savo potencialą; pažymi, kad Komitetas išnagrinėjo 2023 m. darbuotojų įsitraukimo tyrimo rezultatus, nustatė įvairius susirūpinimą keliančius klausimus ir galiausiai inicijavo tolesnius tikslingus veiksmus, kurių buvo imtasi visais 2024 m.; atsižvelgdamas į tokius veiksmus, atkreipia dėmesį į, be kita ko, naujo sprendimo dėl darbo sąlygų (mišrus darbo modelis, viršvalandžiai, specialiosios atostogos) įgyvendinimą, vertinimo ir paaukštinimo taisyklių peržiūrą, priimtą naują judumo ir jautrių pareigybių valdymo politiką, 2023 m. pabaigoje priimtos naujos įvairovės ir </w:t>
      </w:r>
      <w:r w:rsidRPr="00EC523D">
        <w:t>įtraukties</w:t>
      </w:r>
      <w:r w:rsidRPr="00EC523D">
        <w:t xml:space="preserve"> strategijos ir veiksmų plano įgyvendinimą, nebuvimo darbe valdymo politikos, kuri turi būti priimta 2025 m., peržiūrą, taip pat (vykdomą) darbą dėl Komiteto naujos įgūdžių strategijos; palankiai vertina pagerėjusį darbuotojų įsitraukimo balą, kaip matyti iš paskutinio Komiteto tyrimo, kuris padidėjo nuo 70,5 proc. 2023 m. iki 75 proc. 2025 m.;</w:t>
      </w:r>
    </w:p>
    <w:p w:rsidR="00D01991" w:rsidRPr="00EC523D" w:rsidP="00D01991" w14:paraId="01516B57" w14:textId="77777777">
      <w:pPr>
        <w:pStyle w:val="NormalHanging12a"/>
      </w:pPr>
      <w:r w:rsidRPr="00EC523D">
        <w:t>28.</w:t>
      </w:r>
      <w:r w:rsidRPr="00EC523D">
        <w:tab/>
        <w:t xml:space="preserve">pažymi, kad 2024 m. Komitete buvo įdarbinti visų ES valstybių narių piliečiai, o kai kurių valstybių narių atstovų buvo itin daug; su pasitenkinimu pažymi, kad 62,70 proc. darbuotojų buvo moterys, o 37,30 proc. – vyrai; remdamasis ataskaita dėl tolesnių veiksmų, pažymi, kad moterys eina 52 proc. vadovybės pareigų, todėl Komitetas šiuo atžvilgiu yra lyderis; pakartoja, kad teigiamai vertina tai, jog 2024 m. sausio mėn. į generalinio sekretoriaus pareigas paskirta moteris, nes tai yra teigiamas žingsnis lyčių pusiausvyros užtikrinimo link; atkreipia dėmesį į pastarojo meto pažangą įtvirtinant lyčių lygybę ir įvairovę kaip strateginius prioritetus siekiant puoselėti įtraukią ir pagarbią darbo vietos kultūrą; palankiai vertina tai, kad įgyvendinama įvairovės ir </w:t>
      </w:r>
      <w:r w:rsidRPr="00EC523D">
        <w:t>įtraukties</w:t>
      </w:r>
      <w:r w:rsidRPr="00EC523D">
        <w:t xml:space="preserve"> strategija bei veiksmų planas, tikslinės mentorystės ir lyderystės ugdymo programos, skirtos moterims ir nepakankamai atstovaujamoms grupėms; vis dėlto apgailestauja, kad 2024 m. vyresniosios vadovybės pareigas einančių moterų procentinė dalis išliko maža ir šiuo metu tik dvi moterys eina šias pareigas, nors yra septynios vyresniosios vadovybės pareigybės, t. y. tiek pat, kiek ir 2023 m.; pripažįsta, kad maža darbuotojų kaita, kuri yra būdinga atsižvelgiant į Komiteto dydį, yra viena iš priežasčių, dėl kurių šias pareigas eina mažai moterų; palankiai vertina Komiteto įsipareigojimą didinti paskyrimų tarnybų informuotumą šiuo klausimu, siekiant skatinti lyčių pusiausvyrą skiriant į pareigas ir imtis tikslinių veiksmų moterų forume ir valdymo forume, kuriais remiamas </w:t>
      </w:r>
      <w:r w:rsidRPr="00EC523D">
        <w:t>viduriniosios</w:t>
      </w:r>
      <w:r w:rsidRPr="00EC523D">
        <w:t xml:space="preserve"> grandies vadovių lyderystės ugdymas ir karjeros raida;</w:t>
      </w:r>
    </w:p>
    <w:p w:rsidR="00D01991" w:rsidRPr="00EC523D" w:rsidP="00D01991" w14:paraId="2B8F8FF2" w14:textId="77777777">
      <w:pPr>
        <w:pStyle w:val="NormalHanging12a"/>
      </w:pPr>
      <w:r w:rsidRPr="00EC523D">
        <w:t>29.</w:t>
      </w:r>
      <w:r w:rsidRPr="00EC523D">
        <w:tab/>
        <w:t>primena Komiteto iniciatyvą pradėti taikyti naują požiūrį į strateginį darbo jėgos planavimą ir darbuotojų paskirstymą, pasinaudojant duomenų apie darbuotojų įgūdžius rinkimu, atidžiai išklausant visus subjektus organizacijoje ir Komiteto politiniams organams rengiant svarstymus dėl strateginių prioritetų; remdamasis ataskaita dėl tolesnių veiksmų, pažymi, kad šis naujos rūšies planavimas bus pradėtas taikyti įgyvendinant bandomąjį projektą kai kuriose tarnybose, kurios bus atrinktos remiantis strateginiais prioritetais; ragina Komitetą informuoti biudžeto įvykdymą tvirtinančią instituciją apie pasiektą pažangą ir paskesnius pokyčius; pabrėžia strateginio darbo jėgos planavimo svarbą siekiant optimizuoti išteklių paskirstymą ir užtikrinti suderinamumą su aukšto lygio prioritetais;</w:t>
      </w:r>
    </w:p>
    <w:p w:rsidR="00D01991" w:rsidRPr="00EC523D" w:rsidP="00D01991" w14:paraId="3D91F841" w14:textId="77777777">
      <w:pPr>
        <w:pStyle w:val="NormalHanging12a"/>
      </w:pPr>
      <w:r w:rsidRPr="00EC523D">
        <w:t>30.</w:t>
      </w:r>
      <w:r w:rsidRPr="00EC523D">
        <w:tab/>
        <w:t xml:space="preserve">palankiai vertina Komiteto pastangas sukurti sveiką darbo aplinką savo darbuotojams; </w:t>
      </w:r>
      <w:r w:rsidRPr="00EC523D">
        <w:t xml:space="preserve">ypač giria Komitetą už tai, kad jis daug dėmesio skyrė darbuotojų psichinei ir fizinei sveikatai ir dėjo pastangas didinti informuotumą su sveikata susijusiais klausimais; atkreipia dėmesį į Komiteto priemones dėl laikinojo nedarbingumo atostogų valdymo, pvz., darbas ne visą darbo laiką dėl medicininių priežasčių ir išplėsta nuotolinio darbo tvarka, siekiant užtikrinti, kad darbuotojai, nebuvę darbe dėl ilgalaikės ligos, laiku grįžtų į darbą; pažymi, kad bendras registruotų laikinojo nedarbingumo dienų skaičius sumažėjo 7,50 proc. nuo 10 552 dienų 2023 m. iki 9 763 dienų 2024 m., taip pat sumažėjo nebuvimo darbe rodiklis – nuo 4,08 proc. 2023 m. iki 3,75 proc. 2024 m. (mažiausias rodiklis nuo 2021 m.); apgailestauja, kad Komitetas ir vėl negali pateikti duomenų apie perdegimo atvejus; atkreipia dėmesį į tai, kad Komiteto pateikti argumentai, be kita ko, yra šie: darbuotojams netaikoma pareiga iš anksto dalytis medicininiais duomenimis, perdegimas nėra pripažinta medicininė diagnozė, perdegimo priežastys gali būti nesusijusios su darbu ir medicininė paslaptis; pažymi, kad Komitetas renka </w:t>
      </w:r>
      <w:r w:rsidRPr="00EC523D">
        <w:t>anonimizuotus</w:t>
      </w:r>
      <w:r w:rsidRPr="00EC523D">
        <w:t xml:space="preserve"> statistinius duomenis, susijusius su laikinojo nedarbingumo atostogomis dėl psichikos sveikatos, tačiau, remiantis turimais duomenimis, neįmanoma atskirti su darbu susijusio perdegimo nuo kitų su darbu nesusijusių problemų; vis dėlto pažymi, kad perdegimas taip pat gali būti įvertinamas neturint medicininių duomenų tais atvejais, kai esama su darbu susijusio perdegimo vertinimo priemonių, kuriomis galima pasinaudoti, o Europos darbuotojų saugos ir sveikatos agentūra (EU-OSHA) remia anoniminius klausimynus, siekiant įvertinti su darbu susijusį stresą ir perdegimo veiksnius atskirai nuo su darbu nesusijusių psichikos sveikatos problemų; primygtinai ragina Komitetą taip pat konsultuotis su Europos duomenų apsaugos priežiūros pareigūnu (EDAPP) dėl su perdegimu susijusių duomenų rinkimo naudojant medicinines arba nemedicinines priemones, ir nuolat informuoti biudžeto įvykdymą tvirtinančią instituciją apie tolesnius veiksmus;</w:t>
      </w:r>
    </w:p>
    <w:p w:rsidR="00D01991" w:rsidRPr="00EC523D" w:rsidP="00D01991" w14:paraId="23EDA394" w14:textId="77777777">
      <w:pPr>
        <w:pStyle w:val="NormalHanging12a"/>
      </w:pPr>
      <w:r w:rsidRPr="00EC523D">
        <w:t>31.</w:t>
      </w:r>
      <w:r w:rsidRPr="00EC523D">
        <w:tab/>
        <w:t>remdamasis klausimynu, pažymi, kad 2024 m. Komitetas ir RK pradėjo įgyvendinti projektą „</w:t>
      </w:r>
      <w:r w:rsidRPr="00EC523D">
        <w:t>SPaCES</w:t>
      </w:r>
      <w:r w:rsidRPr="00EC523D">
        <w:t>“, siekdami modernizuoti ir optimizuoti savo darbo patalpas taikant visapusišku dalyvavimu ir skaidrumu grindžiamą procesą, kuriame dalyvauja darbuotojų atstovai ir socialiniai partneriai; pažymi, kad projektas apima ilgalaikę transformaciją, kuria siekiama didinti veiksmingumą, bendradarbiavimą ir lankstumą abiejose institucijose, atsižvelgiant į mišraus darbo modelį; pažymi, kad projektas „</w:t>
      </w:r>
      <w:r w:rsidRPr="00EC523D">
        <w:t>SPaCES</w:t>
      </w:r>
      <w:r w:rsidRPr="00EC523D">
        <w:t>“ įgyvendinamas remiantis visapusišku dalyvavimu grindžiamu požiūriu, kuriuo užtikrinamas darbuotojų įsitraukimas ir atstovavimas kiekvienu etapu; atkreipia dėmesį į tai, kad pirmasis etapas, kurį remia išorės rangovas ir kurį planuojama užbaigti 2025 m. vasarą, apima praktinius seminarus, kuriuose dalyvauja abiejų Komitetų vadovybė ir visos tarnybos, taip pat išsamią veikla grindžiamą darbo analizę, siekiant nustatyti darbo patalpų poreikius ateityje; palankiai vertina tai, kad proceso orientavimo, skaidrumo užtikrinimo ir visų susijusių interesų atstovavimo tikslais buvo sukurta speciali valdymo struktūra, projekto grupė ir kontaktinių punktų tinklas;</w:t>
      </w:r>
    </w:p>
    <w:p w:rsidR="00D01991" w:rsidRPr="00EC523D" w:rsidP="00D01991" w14:paraId="6EA92B58" w14:textId="77777777">
      <w:pPr>
        <w:pStyle w:val="NormalHanging12a"/>
      </w:pPr>
      <w:r w:rsidRPr="00EC523D">
        <w:t>32.</w:t>
      </w:r>
      <w:r w:rsidRPr="00EC523D">
        <w:tab/>
        <w:t>pažymi, kad Komitetas pasamdė 52 ilgalaikius stažuotojus (5 mėnesių trukmei) ir du trumpalaikius stažuotojus ir visiems jiems 2024 m. buvo mokama mėnesinė išmoka, laikantis 2023 m. birželio 14 d. Parlamento rezoliucijos dėl kokybiškų stažuočių Sąjungoje (2020/2005(INL)), kurioje raginama užtikrinti, kad visos stažuotės Europoje būtų apmokamos;</w:t>
      </w:r>
    </w:p>
    <w:p w:rsidR="00D01991" w:rsidRPr="00EC523D" w:rsidP="00D01991" w14:paraId="6AF0D337" w14:textId="77777777">
      <w:pPr>
        <w:pStyle w:val="NormalHanging12a"/>
        <w:rPr>
          <w:bCs/>
          <w:iCs/>
        </w:rPr>
      </w:pPr>
      <w:r w:rsidRPr="00EC523D">
        <w:t>33.</w:t>
      </w:r>
      <w:r w:rsidRPr="00EC523D">
        <w:tab/>
        <w:t>palankiai vertina visais 2024 m. vykusį tvirtą ir struktūrinį socialinį dialogą per organizacinių pokyčių procesus; ragina Komitetą išlaikyti ir toliau stiprinti sistemingą darbuotojų atstovų dalyvavimą vykdant reformas, susijusias, be kita ko, su skaitmeninimu, vidaus reorganizacija ir naujais darbo metodais;</w:t>
      </w:r>
    </w:p>
    <w:p w:rsidR="00D01991" w:rsidRPr="00EC523D" w:rsidP="00D01991" w14:paraId="33E3D5C0" w14:textId="77777777">
      <w:pPr>
        <w:pStyle w:val="NormalHanging12a"/>
        <w:rPr>
          <w:b/>
          <w:i/>
        </w:rPr>
      </w:pPr>
      <w:r w:rsidRPr="00EC523D">
        <w:rPr>
          <w:b/>
          <w:i/>
        </w:rPr>
        <w:t>Etikos sistema ir skaidrumas</w:t>
      </w:r>
    </w:p>
    <w:p w:rsidR="00D01991" w:rsidRPr="00EC523D" w:rsidP="00D01991" w14:paraId="468BE876" w14:textId="77777777">
      <w:pPr>
        <w:pStyle w:val="NormalHanging12a"/>
      </w:pPr>
      <w:r w:rsidRPr="00EC523D">
        <w:t>34.</w:t>
      </w:r>
      <w:r w:rsidRPr="00EC523D">
        <w:tab/>
        <w:t>primena, kad, atsižvelgdami į sustiprintą etikos sistemą, Komitetas ir vidaus auditorius susitarė dėl veiksmų plano, susijusio su Komiteto etikos ir sąžiningumo auditu, įskaitant dešimt rekomendacijų, iš kurių aštuonios buvo įgyvendintos iki 2025 m. kovo mėn.; remdamasis ataskaita dėl tolesnių veiksmų, pažymi, kad Komitetas atsižvelgė į dvi likusias neįgyvendintas rekomendacijas peržiūrėdamas ir atnaujindamas gaires dėl Komiteto pareigūnų pareigų, kurių turinys taip pat bus paskelbtas Komiteto intranete;</w:t>
      </w:r>
    </w:p>
    <w:p w:rsidR="00D01991" w:rsidRPr="00EC523D" w:rsidP="00D01991" w14:paraId="0061DC2D" w14:textId="77777777">
      <w:pPr>
        <w:pStyle w:val="NormalHanging12a"/>
      </w:pPr>
      <w:r w:rsidRPr="00EC523D">
        <w:t>35.</w:t>
      </w:r>
      <w:r w:rsidRPr="00EC523D">
        <w:tab/>
        <w:t>pažymi, kad Komitetas 2024 m. toliau mokė darbuotojus ir didino informuotumą su etika susijusiomis temomis; su pasitenkinimu pažymi, kad Komitetas siūlo mokymus etikos ir sąžiningumo klausimais, kurie yra privalomi visiems darbuotojams, o 2024 m. tokiuose mokymuose dalyvavo 54 asmenys; taip pat pažymi, kad 2024 m. 40 iš 47 vadovų dalyvavo mokymuose apie pagarbą darbe ir vadovų vaidmenį ir 25 darbuotojai dalyvavo Komisijos tyrimų ir drausmės tarnybos surengtuose mokymuose apie galimas pagundas, kurios lemia drausminius padarinius; palankiai vertina tai, kad iš apklausų rezultatų matyti didelis Komiteto darbuotojų informuotumas apie jo tvirtas vertybes ir etikos standartus, pranešimo apie pažeidimus procedūras, taip pat apie konfidencialių patarėjų tinklą;</w:t>
      </w:r>
    </w:p>
    <w:p w:rsidR="00D01991" w:rsidRPr="00EC523D" w:rsidP="00D01991" w14:paraId="45484DA4" w14:textId="77777777">
      <w:pPr>
        <w:pStyle w:val="NormalHanging12a"/>
      </w:pPr>
      <w:r w:rsidRPr="00EC523D">
        <w:t>36.</w:t>
      </w:r>
      <w:r w:rsidRPr="00EC523D">
        <w:tab/>
        <w:t>remdamasis klausimynu, pažymi, kad 2024 m. pranešta apie du įtariamo priekabiavimo atvejus, kurie 2025 m. buvo ištirti ir užbaigti – vienu atveju priekabiavimas nebuvo nustatytas, o kitu atveju buvo priimtas oficialus atsiprašymas dėl netinkamo atitinkamo asmens elgesio; be to, pažymi, kad kitoje byloje dėl priekabiavimo, pateiktoje iki 2024 m., buvo priimtas sprendimas, susijęs su drausmine procedūra; taip pat pažymi, kad 2024 m. nepranešta apie jokį seksualinio priekabiavimo atvejį; pakartoja, kad, siekiant užtikrinti darbuotojų gerovės apsaugą, reikia laikytis visiško priekabiavimo netoleravimo politikos, ir primena, kad tai yra bet kurio darbdavio pareiga;</w:t>
      </w:r>
    </w:p>
    <w:p w:rsidR="00D01991" w:rsidRPr="00EC523D" w:rsidP="00D01991" w14:paraId="01D75544" w14:textId="77777777">
      <w:pPr>
        <w:pStyle w:val="NormalHanging12a"/>
      </w:pPr>
      <w:r w:rsidRPr="00EC523D">
        <w:t>37.</w:t>
      </w:r>
      <w:r w:rsidRPr="00EC523D">
        <w:tab/>
        <w:t>remdamasis ataskaita dėl tolesnių veiksmų, atkreipia dėmesį į Belgijos valdžios institucijų pradėto teismo proceso prieš buvusį Komiteto narį, kaltinamą netinkamu elgesiu, dėl kurio Komitete buvo paduotas skundas dėl priekabiavimo (Komitetas jį nagrinėjo ir baigė nagrinėti 2023 m.), raidą; pažymi, kad tas procesas yra sustabdytas, nes atitinkamas Belgijos teismas kreipėsi į Europos Sąjungos Teisingumo Teismą prašydamas patikslinti Protokolo (Nr. 7) dėl Europos Sąjungos privilegijų ir imunitetų 10 straipsnio išaiškinimą; ragina Komitetą informuoti biudžeto įvykdymą tvirtinančią instituciją apie tolesnius įvykius šiuo klausimu;</w:t>
      </w:r>
    </w:p>
    <w:p w:rsidR="00D01991" w:rsidRPr="00EC523D" w:rsidP="00D01991" w14:paraId="3CEEB48C" w14:textId="77777777">
      <w:pPr>
        <w:pStyle w:val="NormalHanging12a"/>
      </w:pPr>
      <w:r w:rsidRPr="00EC523D">
        <w:t>38.</w:t>
      </w:r>
      <w:r w:rsidRPr="00EC523D">
        <w:tab/>
        <w:t>su pasitenkinimu pažymi, kad Komitetas yra lyderis skaidrumo srityje, kaip pirmoji įstaiga (išskyrus pirmines pasirašiusias šalis), prisijungusi prie Sąjungos skaidrumo registro; palankiai vertina Komiteto patvirtintas skaidrumo priemones, įskaitant rekomendaciją Komiteto nariams susitikti tik su registruotais suinteresuotaisiais subjektais, jo narių pareigą skelbti savo posėdžius internete ir galimybę Komiteto pranešėjams, be kita ko, įgyvendinant 2025 m. pradėtą bandomąjį projektą, prie savo nuomonių pridėti informaciją apie poveikį teisės aktui; pažymi, kad dabar Komiteto nuomonės platformoje EULT teisėkūros dokumentuose pateikiamos kaip orientyrai; be to, remdamasis klausimynu, su pasitenkinimu atkreipia dėmesį į Komiteto skaidrumo veiksmus, susijusius su jo pagrindinėmis administracinėmis operacijomis, pvz., finansų, viešųjų pirkimų, žmogiškųjų išteklių ir galimybės susipažinti su dokumentais srityse;</w:t>
      </w:r>
    </w:p>
    <w:p w:rsidR="00D01991" w:rsidRPr="00EC523D" w:rsidP="00D01991" w14:paraId="2C912419" w14:textId="77777777">
      <w:pPr>
        <w:pStyle w:val="NormalHanging12a"/>
      </w:pPr>
      <w:r w:rsidRPr="00EC523D">
        <w:t>39.</w:t>
      </w:r>
      <w:r w:rsidRPr="00EC523D">
        <w:tab/>
        <w:t xml:space="preserve">pažymi, kad Komitetas turi tvirtą sistemą, kad užkirstų kelią interesų konfliktams ir </w:t>
      </w:r>
      <w:r w:rsidRPr="00EC523D">
        <w:t xml:space="preserve">išvengtų „sukamųjų durų“ reiškinio atvejų; atsižvelgdamas į Komiteto darbuotojus, pažymi, kad Komitetas užtikrina, jog su interesų konfliktu susiję aspektai būtų įtraukti į visas įdarbinimo ir atrankos procedūras; pažymi, kad darbuotojai turi pareigą </w:t>
      </w:r>
      <w:r w:rsidRPr="00EC523D">
        <w:t>proaktyviai</w:t>
      </w:r>
      <w:r w:rsidRPr="00EC523D">
        <w:t xml:space="preserve"> deklaruoti bet kokią situaciją, dėl kurios galėtų kilti </w:t>
      </w:r>
      <w:bookmarkStart w:id="8" w:name="_Hlk216797257"/>
      <w:r w:rsidRPr="00EC523D">
        <w:t>interesų konfliktas</w:t>
      </w:r>
      <w:bookmarkEnd w:id="8"/>
      <w:r w:rsidRPr="00EC523D">
        <w:t>; atsižvelgdamas į Komiteto narius, pažymi, kad tuo atveju, kai pasikeičia jų deklaruota informacija, jie turi pateikti naują deklaraciją ne vėliau kaip per du mėnesius nuo atitinkamo pasikeitimo; atsižvelgdamas į Komiteto narius, pažymi, kad Komiteto Etikos komitetas išnagrinėjo vieną prašymą dėl rekomendacijų dėl galimo interesų konflikto; atsižvelgdamas į Komiteto darbuotojus, pažymi, kad 2024 m. nebuvo pranešta apie jokius interesų konflikto arba pranešimo apie pažeidimus atvejus;</w:t>
      </w:r>
    </w:p>
    <w:p w:rsidR="00D01991" w:rsidRPr="00EC523D" w:rsidP="00D01991" w14:paraId="57229744" w14:textId="77777777">
      <w:pPr>
        <w:pStyle w:val="NormalHanging12a"/>
      </w:pPr>
      <w:r w:rsidRPr="00EC523D">
        <w:t>40.</w:t>
      </w:r>
      <w:r w:rsidRPr="00EC523D">
        <w:tab/>
      </w:r>
      <w:bookmarkStart w:id="9" w:name="_Hlk216869267"/>
      <w:r w:rsidRPr="00EC523D">
        <w:t>susirūpinęs atkreipia dėmesį į įtariamą sukčiavimo atvejį, susijusį su išorės paslaugų teikėju, kurio nagrinėjimą Europos kovos su sukčiavimu tarnyba (OLAF) nutraukė ir jis dėl galimos nusikalstamos veikos 2024 m. buvo perduotas Europos prokuratūrai</w:t>
      </w:r>
      <w:bookmarkEnd w:id="9"/>
      <w:r w:rsidRPr="00EC523D">
        <w:t>; remdamasis klausimynu, su pasitenkinimu pažymi, kad Komitetas šioje byloje visapusiškai bendradarbiauja su Europos prokuratūra; be to, pažymi, kad tas paslaugų teikėjas sumokėjo Komitetui sutartus atlygintinus nuostolius; šiame kontekste palankiai vertina priemones, kurių Komitetas ėmėsi siekdamas ateityje geriau užkirsti kelią tokiems atvejams, atlikdamas griežtesnes atitikties patikras viešųjų pirkimų ir sutarčių vykdymo metu ir sustiprindamas gaires bei mokymą šiuo klausimu; pažymi, kad viena 2023 m. OLAF byla buvo grąžinta Komitetui, kad jis atliktų supaprastintą vidaus administracinį tyrimą; tyrimas buvo pradėtas 2024 m. ir jį atlikus 2025 m. liepos mėn. buvo parengta galutinė ataskaita paskyrimų tarnybai; ragina Komitetą informuoti biudžeto įvykdymą tvirtinančią instituciją apie tai, ar šioje byloje buvo priimtas galutinis sprendimas; be to, pažymi, kad 2023 m. pradėtas ombudsmeno tyrimas buvo užbaigtas 2024 m. nenustačius jokio netinkamo administravimo atvejo Komitete;</w:t>
      </w:r>
    </w:p>
    <w:p w:rsidR="00D01991" w:rsidRPr="00EC523D" w:rsidP="00D01991" w14:paraId="6511F0C8" w14:textId="77777777">
      <w:pPr>
        <w:pStyle w:val="NormalHanging12a"/>
      </w:pPr>
      <w:r w:rsidRPr="00EC523D">
        <w:t>41.</w:t>
      </w:r>
      <w:r w:rsidRPr="00EC523D">
        <w:tab/>
        <w:t>remdamasis klausimynu, su pasitenkinimu pažymi, kad Komitetas, atsižvelgdamas į ankstesnius Parlamento raginimus, parengė kovos su sukčiavimu strategiją, į kurią įtrauktas su ja susijęs veiksmų planas ir konkrečios įgyvendintinos priemonės, apimančios mokymo politiką, taip pat informuotumo didinimo kampanijos ir peržiūrėti bendradarbiavimo susitarimai su OLAF ir Europos prokuratūra, – dėl jos vykdomos tarnybų tarpusavio konsultacijos ir priėmimo procesas; prašo Komiteto informuoti biudžeto įvykdymą tvirtinančią instituciją apie tolesnius veiksmus šiuo klausimu; palankiai vertina tai, kad Komitetas suorganizavo dvi mokymo sesijas, kuriose OLAF darbuotojai teikė informuotumo apie sukčiavimą ir sukčiavimo prevencijos viešųjų pirkimų srityje žinias ir kuriose dalyvavo 21 asmuo, ir vieną informuotumo didinimo sesiją, kuri surengta kartu su Europos prokuratūra, siekiant supažindinti Komiteto darbuotojus su Europos prokuratūros įgaliojimais ir pateikti gaires, kaip pranešti Europos prokuratūrai apie galimus sukčiavimo atvejus; ragina Komitetą įgyvendinant kovos su sukčiavimu strategiją stiprinti savo rizikos vertinimo, prevencijos, nustatymo ir tolesnių veiksmų procedūras;</w:t>
      </w:r>
    </w:p>
    <w:p w:rsidR="00D01991" w:rsidRPr="00EC523D" w:rsidP="00D01991" w14:paraId="7C4F03C4" w14:textId="77777777">
      <w:pPr>
        <w:pStyle w:val="NormalHanging12a"/>
        <w:rPr>
          <w:b/>
          <w:i/>
        </w:rPr>
      </w:pPr>
      <w:bookmarkStart w:id="10" w:name="_Hlk216263307"/>
      <w:r w:rsidRPr="00EC523D">
        <w:rPr>
          <w:b/>
          <w:i/>
        </w:rPr>
        <w:t>Skaitmeninimas, kibernetinis saugumas ir duomenų apsauga</w:t>
      </w:r>
    </w:p>
    <w:p w:rsidR="00D01991" w:rsidRPr="00EC523D" w:rsidP="00D01991" w14:paraId="7E50719B" w14:textId="77777777">
      <w:pPr>
        <w:pStyle w:val="NormalHanging12a"/>
      </w:pPr>
      <w:r w:rsidRPr="00EC523D">
        <w:t>42.</w:t>
      </w:r>
      <w:r w:rsidRPr="00EC523D">
        <w:tab/>
        <w:t xml:space="preserve">pažymi, kad bendras Komiteto ir RK IT biudžetas 2024 m. siekė 13 700 000 EUR, palyginti su 12 700 000 EUR 2023 m., t. y. padidėjo 7,87 proc., o iš to biudžeto 760 000 EUR (maždaug 6 proc.) 2024 m. buvo skirta kibernetiniam saugumui finansuoti; remdamasis klausimynu, pažymi, kad IT projektų finansavimas padidėjo 109 000 EUR, palyginti su 2023 m., o tai yra 4 proc. daugiau, visų pirma remiant darbo vietos programą M365 ir kibernetinio saugumo transformacijos programą; taip pat </w:t>
      </w:r>
      <w:r w:rsidRPr="00EC523D">
        <w:t xml:space="preserve">pažymi, kad išlaidos įrangai padidėjo 117 000 EUR (t. y. 20 proc.), daugiausia dėl kainų tikslinimo ir strateginių investicijų į telefonijos infrastruktūrą; </w:t>
      </w:r>
      <w:bookmarkStart w:id="11" w:name="_Hlk224229242"/>
      <w:r w:rsidRPr="00EC523D">
        <w:t>atkreipia dėmesį į Komiteto susirūpinimą dėl to, kad jam struktūriškai skiriama per mažai lėšų skaitmeninimo ir kibernetinio saugumo srityse, ir įspėja, kad dėl nuolatinio nepakankamo investavimo į kibernetinį saugumą kyla struktūrinė rizika Sąjungos institucijų, organų, įstaigų ir agentūrų vientisumui</w:t>
      </w:r>
      <w:bookmarkEnd w:id="11"/>
      <w:r w:rsidRPr="00EC523D">
        <w:t>; ragina Komitetą pritaikyti struktūrizuotas veiksmų gaires, kad būtų palaipsniui pasiektas 10 proc. išlaidų kibernetiniam saugumui kriterijus, įskaitant metines tarpines reikšmes, rizika grindžiamus prioritetus ir reguliarias ataskaitas biudžeto įvykdymą tvirtinančiai institucijai; pabrėžia, kad reikia stiprinti bendradarbiavimą su Sąjungos institucijų, įstaigų, organų ir agentūrų kibernetinio saugumo tarnyba (CERT-EU) ir Sąjungos institucijomis, organais, įstaigomis ir agentūromis, kad būtų užtikrinta nuosekli ir atspari kibernetinio saugumo būklė; šiomis aplinkybėmis apgailestauja, kad biudžeto valdymo institucija į 2026 m. Sąjungos biudžetą neįtraukė 1 176 000 EUR sumos, būtinos, kad Komitetas (ir RK) galėtų iš esmės atnaujinti kibernetinio saugumo priemones, todėl neįmanoma pasiekti Reglamente (ES, Euratomas) 2023/2841</w:t>
      </w:r>
      <w:r>
        <w:rPr>
          <w:rStyle w:val="FootnoteReference"/>
        </w:rPr>
        <w:footnoteReference w:id="8"/>
      </w:r>
      <w:r w:rsidRPr="00EC523D">
        <w:t xml:space="preserve"> nurodyto tikslo skirti apie 10 proc. visų IT išlaidų kibernetiniam saugumui; ragina skirti pakankamai lėšų, kad Komitetas ir RK galėtų iš esmės atnaujinti kibernetinio saugumo priemones;</w:t>
      </w:r>
    </w:p>
    <w:p w:rsidR="00D01991" w:rsidRPr="00EC523D" w:rsidP="00D01991" w14:paraId="6F234DCD" w14:textId="77777777">
      <w:pPr>
        <w:pStyle w:val="NormalHanging12a"/>
      </w:pPr>
      <w:r w:rsidRPr="00EC523D">
        <w:t>43.</w:t>
      </w:r>
      <w:r w:rsidRPr="00EC523D">
        <w:tab/>
        <w:t>atkreipia dėmesį į patobulinimus, susijusius su skaitmeninimu ir IT valdymu 2024 m., pvz., išplėstą belaidžio vietinio tinklo aprėptį, „Microsoft 365“ ir DI bandomųjų projektų diegimą, debesijos migraciją ir informuotumo didinimą, be kita ko, rengiant kibernetinio saugumo dienas; palankiai vertina daugiametę skaitmeninę strategiją (2024–2026 m. skaitmeninė strategija), kurią įgyvendina Inovacijų ir informacinių technologijų departamentas ir kuri grindžiama keturiomis pavyzdinėmis programomis: M365 (skaitmeninės darbo vietos programa), ARES (Komisijos dokumentų valdymo sistema), „</w:t>
      </w:r>
      <w:r w:rsidRPr="00EC523D">
        <w:t>EdiT</w:t>
      </w:r>
      <w:r w:rsidRPr="00EC523D">
        <w:t>“ (bendra Sąjungos institucijų priemonė, skirta teisėkūros dokumentams rengti) ir kibernetinio saugumo programa; remdamasis Komiteto ataskaita ir klausimynu, pažymi, kad Komiteto 2024–2026 m. skaitmeninėje strategijoje nustatytas peržiūrėtas skaitmeninio valdymo modelis, kuriuo siekiama stiprinti institucijų bendradarbiavimą, supaprastinti darbo srautus, automatizuoti procesus, gerinti teisės aktų rengimą ir stiprinti atsparumą;</w:t>
      </w:r>
    </w:p>
    <w:p w:rsidR="00D01991" w:rsidRPr="00EC523D" w:rsidP="00D01991" w14:paraId="386CB379" w14:textId="77777777">
      <w:pPr>
        <w:pStyle w:val="NormalHanging12a"/>
      </w:pPr>
      <w:r w:rsidRPr="00EC523D">
        <w:t>44.</w:t>
      </w:r>
      <w:r w:rsidRPr="00EC523D">
        <w:tab/>
        <w:t>remdamasis klausimynu, atkreipia dėmesį į įgyvendinamą sistemą HAN (HERMES-ARES-NOMCOM), skirtą saugiam dokumentų valdymui ir atitikčiai duomenų apsaugos taisyklėms užtikrinti, ir įdiegtą XML dokumentų redagavimo programą „</w:t>
      </w:r>
      <w:r w:rsidRPr="00EC523D">
        <w:t>EdiT</w:t>
      </w:r>
      <w:r w:rsidRPr="00EC523D">
        <w:t>“, skirtą teisės aktams rengti; palankiai vertina pažangą, padarytą tvarkant įrašus, – tikimasi, kad iki 2026 m. sistema bus visiškai įdiegta; atkreipia dėmesį į 2024 m. atliktus IT infrastruktūros patobulinimus, įskaitant automatizavimą, debesijos migraciją ir įdiegtą žmogiškųjų išteklių valdymo priemonę (HRT, kuri pakeitė „</w:t>
      </w:r>
      <w:r w:rsidRPr="00EC523D">
        <w:t>Sysper</w:t>
      </w:r>
      <w:r w:rsidRPr="00EC523D">
        <w:t>“);</w:t>
      </w:r>
    </w:p>
    <w:p w:rsidR="00D01991" w:rsidRPr="00EC523D" w:rsidP="00D01991" w14:paraId="3D2E087E" w14:textId="77777777">
      <w:pPr>
        <w:pStyle w:val="NormalHanging12a"/>
      </w:pPr>
      <w:r w:rsidRPr="00EC523D">
        <w:t>45.</w:t>
      </w:r>
      <w:r w:rsidRPr="00EC523D">
        <w:tab/>
        <w:t>pažymi, kad Komitetas naudoja priemonę „</w:t>
      </w:r>
      <w:r w:rsidRPr="00EC523D">
        <w:t>eTranslation</w:t>
      </w:r>
      <w:r w:rsidRPr="00EC523D">
        <w:t xml:space="preserve">“, t. y. Komisijos neuroninio mašininio vertimo platformą, kad automatiškai generuotų vertimą, kaip papildomą pagalbinę vertėjų raštu priemonę; pažymi, kad tuo pačiu metu 2024 m. Komitetas sėkmingai įgyvendino bandomąjį projektą, susijusį su DI pagrįstu sakytinės kalbos </w:t>
      </w:r>
      <w:r w:rsidRPr="00EC523D">
        <w:t>pavertimu rašytine naudojant Pasaulinės intelektinės nuosavybės organizacijos (PINO) sukurtą programinę įrangą; be to, pažymi, kad 2024 m. birželio mėn. Vertimo raštu departamentas pradėjo įgyvendinti vienų metų trukmės bandomąjį projektą, kad įvertintų „</w:t>
      </w:r>
      <w:r w:rsidRPr="00EC523D">
        <w:t>DeepL</w:t>
      </w:r>
      <w:r w:rsidRPr="00EC523D">
        <w:t>“ naudojimą kaip alternatyvią vertimo raštu priemonę, kuri, kaip buvo įvertinta, nesuteikė pridėtinės vertės, palyginti su jau įdiegtomis Komiteto dokumentų vertimo raštu sistemomis;</w:t>
      </w:r>
    </w:p>
    <w:p w:rsidR="00D01991" w:rsidRPr="00EC523D" w:rsidP="00D01991" w14:paraId="2A0893F4" w14:textId="77777777">
      <w:pPr>
        <w:pStyle w:val="NormalHanging12a"/>
      </w:pPr>
      <w:r w:rsidRPr="00EC523D">
        <w:t>46.</w:t>
      </w:r>
      <w:r w:rsidRPr="00EC523D">
        <w:tab/>
        <w:t>remdamasis klausimynu, pažymi, kad Komitetas toliau glaudžiai bendradarbiauja su CERT-EU ir naudoja įvairias priemones bei nuolat vykdo stebėseną siekdamas nustatyti ir pašalinti sistemos trūkumus; taip pat pažymi, kad Inovacijų ir informacinių technologijų departamentas pradėjo įgyvendinti „Essentials 8“, kibernetinio saugumo sistemą (KSS) NIST ir OWASP, kaip pamatinius modelius, siekdamas stiprinti rizikos valdymą, gerinti valdymą ir integruoti saugumą į visus tapatybės nustatymo, apsaugos, aptikimo, reagavimo ir atkūrimo procesus; pripažįsta, kad darbas, kuriuo siekiama visapusiško suderinimo su veiklos ir reguliavimo reikalavimais, tęsiamas; remdamasis ataskaita dėl tolesnių veiksmų, pažymi, kad Komitetas performulavo kibernetinio saugumo sampratą, kad jis apimtų bendrą visų darbuotojų atsakomybę, pagrįstą daugiamečiu planu, nuolatiniu mokymu ir informuotumo didinimo kampanijomis;</w:t>
      </w:r>
    </w:p>
    <w:p w:rsidR="00D01991" w:rsidRPr="00EC523D" w:rsidP="00D01991" w14:paraId="2620CABD" w14:textId="77777777">
      <w:pPr>
        <w:pStyle w:val="NormalHanging12a"/>
      </w:pPr>
      <w:r w:rsidRPr="00EC523D">
        <w:t>47.</w:t>
      </w:r>
      <w:r w:rsidRPr="00EC523D">
        <w:tab/>
        <w:t>su pasitenkinimu pažymi, kad Komiteto komunikacijos kanalai taip pat yra prieinami asmenims su negalia; pažymi, kad Komitetas taiko Žiniatinklio turinio prieinamumo gaires ir dauguma jo taikomųjų programų yra visapusiškai prieinamos; atsižvelgdamas į tai, pažymi, kad prieinamumo specialistai reguliariai atlieka Komiteto interneto svetainės auditą ir teikia rekomendacijas, kurios tada yra įgyvendinamos, o kitą auditą numatyta atlikti 2026 m.;</w:t>
      </w:r>
    </w:p>
    <w:p w:rsidR="00D01991" w:rsidRPr="00EC523D" w:rsidP="00D01991" w14:paraId="530E78FE" w14:textId="77777777">
      <w:pPr>
        <w:pStyle w:val="NormalHanging12a"/>
      </w:pPr>
      <w:r w:rsidRPr="00EC523D">
        <w:t>48.</w:t>
      </w:r>
      <w:r w:rsidRPr="00EC523D">
        <w:tab/>
        <w:t>giria Komitetą už jo pastangas 2024 m. užtikrinti, kad darbuotojai įgytų skaitmeninių įgūdžių, kurių reikia vis labiau skaitmenizuotoje darbo aplinkoje ir siekiant įgyvendinti tikslines informavimo kampanijas, suteikiant galimybę naudotis išsamia mokymo ir konsultuojamojo ugdymo programa bei išlaikant naujausių IT žinių bazę su DI grindžiama sąsaja siekiant remti darbuotojų tobulėjimą; ragina rengti mokymus kibernetinio saugumo ir saugaus, etiško bei veiksmingo DI naudojimo temomis;</w:t>
      </w:r>
    </w:p>
    <w:p w:rsidR="00D01991" w:rsidRPr="00EC523D" w:rsidP="00D01991" w14:paraId="6D449B49" w14:textId="77777777">
      <w:pPr>
        <w:pStyle w:val="NormalHanging12a"/>
      </w:pPr>
      <w:r w:rsidRPr="00EC523D">
        <w:t>49.</w:t>
      </w:r>
      <w:r w:rsidRPr="00EC523D">
        <w:tab/>
        <w:t>remdamasis ataskaita dėl tolesnių veiksmų, pažymi, kad 2024 m. EDAPP nepradėjo jokių tyrimų, susijusių su duomenų apsaugos taisyklių taikymu Komitete; tačiau pažymi, kad vis dar nebaigtas 2023 m. pradėtas tyrimas dėl išorės audito valdymo; prašo Komiteto informuoti biudžeto įvykdymą tvirtinančią instituciją apie tolesnius veiksmus šiuo klausimu;</w:t>
      </w:r>
    </w:p>
    <w:bookmarkEnd w:id="10"/>
    <w:p w:rsidR="00D01991" w:rsidRPr="00EC523D" w:rsidP="00D01991" w14:paraId="7C0638C0" w14:textId="77777777">
      <w:pPr>
        <w:pStyle w:val="NormalHanging12a"/>
        <w:rPr>
          <w:b/>
          <w:i/>
        </w:rPr>
      </w:pPr>
      <w:r w:rsidRPr="00EC523D">
        <w:rPr>
          <w:b/>
          <w:i/>
        </w:rPr>
        <w:t>Pastatai</w:t>
      </w:r>
    </w:p>
    <w:p w:rsidR="00D01991" w:rsidRPr="00EC523D" w:rsidP="00D01991" w14:paraId="15BC1A0F" w14:textId="77777777">
      <w:pPr>
        <w:pStyle w:val="NormalHanging12a"/>
      </w:pPr>
      <w:r w:rsidRPr="00EC523D">
        <w:t>50.</w:t>
      </w:r>
      <w:r w:rsidRPr="00EC523D">
        <w:tab/>
        <w:t>remdamasis ataskaita dėl tolesnių veiksmų, pažymi, kad Komitetas rengia ilgalaikę pastatų strategiją, atsižvelgdamas į būsimą SPAAK pastato renovaciją ir tai, kad B-100 pastatas bus atlaisvintas 2026 m. rugpjūčio mėn.; be to, pažymi, kad į tą strategiją bus įtraukti vykdomo Komiteto pastatų techninio ir aplinkosaugos audito rezultatai; ragina Komitetą šiais klausimais nuolat informuoti biudžeto įvykdymą tvirtinančią instituciją;</w:t>
      </w:r>
    </w:p>
    <w:p w:rsidR="00D01991" w:rsidRPr="00EC523D" w:rsidP="00D01991" w14:paraId="6C40721C" w14:textId="77777777">
      <w:pPr>
        <w:pStyle w:val="NormalHanging12a"/>
      </w:pPr>
      <w:r w:rsidRPr="00EC523D">
        <w:t>51.</w:t>
      </w:r>
      <w:r w:rsidRPr="00EC523D">
        <w:tab/>
        <w:t xml:space="preserve">palankiai vertina tai, kad Komitetas 2024 m. užbaigė visų šešių JDE pastato vakarinės dalies liftų modernizavimo ir patekimo į juos gerinimo darbus, įskaitant vieną liftą, specialiai pritaikytą riboto judumo asmenims; palankiai vertina svarbius patobulinimus neįgaliųjų vežimėlio naudotojams, akliems ir regos sutrikimų turintiems asmenims, </w:t>
      </w:r>
      <w:r w:rsidRPr="00EC523D">
        <w:t>kurtiesiems ir riboto judumo arba kitą fizinį sutrikimą turintiems asmenims, įskaitant pagerintą garso ir vaizdo signalizavimą, pritaikytąsias valdymo priemones, ilgesnį durų atidarymo laiką, veidrodėlius ir saugos elementus bei turėklus;</w:t>
      </w:r>
    </w:p>
    <w:p w:rsidR="00D01991" w:rsidRPr="00EC523D" w:rsidP="00D01991" w14:paraId="7F669301" w14:textId="77777777">
      <w:pPr>
        <w:pStyle w:val="NormalHanging12a"/>
      </w:pPr>
      <w:r w:rsidRPr="00EC523D">
        <w:t>52.</w:t>
      </w:r>
      <w:r w:rsidRPr="00EC523D">
        <w:tab/>
        <w:t>remdamasis Komiteto ataskaita, pažymi, kad 2024 m. JDE pastate, bendradarbiaujant su RK, buvo sukurta nauja bendra bendravimo erdvė; atkreipia dėmesį į tai, kad patalpoje, įrengtoje buvusioje bibliotekoje, sumontuota moderniausia įrašų studija, pokalbių stovint patalpa ir speciali patalpa konferencijoms;</w:t>
      </w:r>
    </w:p>
    <w:p w:rsidR="00D01991" w:rsidRPr="00EC523D" w:rsidP="00D01991" w14:paraId="1D2290DD" w14:textId="77777777">
      <w:pPr>
        <w:pStyle w:val="NormalHanging12a"/>
        <w:rPr>
          <w:b/>
          <w:i/>
        </w:rPr>
      </w:pPr>
      <w:r w:rsidRPr="00EC523D">
        <w:rPr>
          <w:b/>
          <w:i/>
        </w:rPr>
        <w:t>Aplinka ir tvarumas</w:t>
      </w:r>
    </w:p>
    <w:p w:rsidR="00D01991" w:rsidRPr="00EC523D" w:rsidP="00D01991" w14:paraId="521C3FBB" w14:textId="77777777">
      <w:pPr>
        <w:pStyle w:val="NormalHanging12a"/>
      </w:pPr>
      <w:r w:rsidRPr="00EC523D">
        <w:t>53.</w:t>
      </w:r>
      <w:r w:rsidRPr="00EC523D">
        <w:tab/>
        <w:t>remdamasis klausimynu, pažymi, kad 2024 m. Komitetas skyrė 198 894 EUR savo veiklos žalinimui, 55 proc. šios sumos buvo skirta konsultavimo ir ekspertų paslaugoms energijos valdymo ir energijos vartojimo efektyvumo srityje, o 45 proc. – infrastruktūros patobulinimams, pvz., LED apšvietimui, dviračių stovėjimo vietoms įrengti ir energijos matavimui; palankiai vertina tai, kad šios investicijos kartu su nuolat įgyvendinamomis iniciatyvomis, susijusiomis su novatoriškais pastatų įrenginiais, 100 proc. žaliąja elektros energija, išmaniosiomis energijos taupymo technologijomis ir skaitmeninimu, padėjo mažinti energijos suvartojimą ir išmetamą teršalų kiekį;</w:t>
      </w:r>
    </w:p>
    <w:p w:rsidR="00D01991" w:rsidRPr="00EC523D" w:rsidP="00D01991" w14:paraId="20C5D3C9" w14:textId="2C4858AC">
      <w:pPr>
        <w:pStyle w:val="NormalHanging12a"/>
      </w:pPr>
      <w:r w:rsidRPr="00EC523D">
        <w:t>54.</w:t>
      </w:r>
      <w:r w:rsidRPr="00EC523D">
        <w:tab/>
        <w:t>remdamasis klausimynu, atkreipia dėmesį į 2024 m., palyginti su 2023 m., sumažėjusį elektros energijos (-19 proc.), dujų (-13 proc.) ir vandens (-12 proc.) suvartojimą</w:t>
      </w:r>
      <w:r w:rsidR="002D4C47">
        <w:t xml:space="preserve">, taip pat </w:t>
      </w:r>
      <w:r w:rsidRPr="00EC523D" w:rsidR="002D4C47">
        <w:t xml:space="preserve">sumažėjusį </w:t>
      </w:r>
      <w:r w:rsidRPr="002D4C47" w:rsidR="002D4C47">
        <w:t>atliekų kiek</w:t>
      </w:r>
      <w:r w:rsidR="002D4C47">
        <w:t>į</w:t>
      </w:r>
      <w:r w:rsidR="006D2A2F">
        <w:t xml:space="preserve"> </w:t>
      </w:r>
      <w:r w:rsidRPr="00EC523D" w:rsidR="006D2A2F">
        <w:t>(-12 proc.)</w:t>
      </w:r>
      <w:r w:rsidRPr="00EC523D">
        <w:t xml:space="preserve"> ir padidėjusį popieriaus naudojimą (+1 proc.); be to, palankiai vertina tuo pačiu laikotarpiu 4,30 proc. sumažėjusį išmetamo anglies dioksido kiekį vienam etato ekvivalentui (su Komiteto narių kelionėmis susijęs išmetamas anglies dioksido kiekis nebuvo įskaičiuotas); remdamasis klausimynu, atkreipia dėmesį į Komiteto veiksmus, kuriais siekiama skatinti tvaresnes jo darbuotojų ir narių kelionių galimybes, ir vykdomą darbuotojų komandiruočių vadovo peržiūrą, per kurią, kaip pagrindinis komponentas, bus įtrauktas aplinkosauginis pėdsakas; be to, palankiai vertina tai, kad Komitetas daug dėmesio skiria atliekų tvarkymui ir grąžinamajam perdirbimui, siekdamas skatinti atliekų mažinimo ir efektyvaus išteklių naudojimo kultūrą;</w:t>
      </w:r>
    </w:p>
    <w:p w:rsidR="00D01991" w:rsidRPr="00EC523D" w:rsidP="00D01991" w14:paraId="605A7A3E" w14:textId="330B063C">
      <w:pPr>
        <w:pStyle w:val="NormalHanging12a"/>
      </w:pPr>
      <w:r w:rsidRPr="00EC523D">
        <w:t>55</w:t>
      </w:r>
      <w:r w:rsidR="00EE1255">
        <w:t>.</w:t>
      </w:r>
      <w:r w:rsidRPr="00EC523D">
        <w:tab/>
        <w:t>su pasitenkinimu pažymi, kad visuose Komiteto paskelbtuose konkursuose, kurių vertė viršija 60 000 EUR, ir kartu su RK valdomuose didesnės nei 25 000 EUR vertės konkursuose, yra numatytos tvarumo sąlygos, laikantis energetikos sąjungos standartų, Europos žaliojo kurso ir žiedinės ekonomikos principų; pažymi, kad naujoje Komiteto preliminariojoje sutartyje dėl maitinimo paslaugų, įsigaliojusioje 2024 m. rugpjūčio mėn., nustatyti reikalavimai dėl ekologiškų ir vietoje pagamintų produktų, maisto dovanojimo ir sezoninių vaisių bei daržovių;</w:t>
      </w:r>
    </w:p>
    <w:p w:rsidR="00D01991" w:rsidRPr="00EC523D" w:rsidP="00D01991" w14:paraId="0A108D85" w14:textId="77777777">
      <w:pPr>
        <w:pStyle w:val="NormalHanging12a"/>
      </w:pPr>
      <w:r w:rsidRPr="00EC523D">
        <w:t>56.</w:t>
      </w:r>
      <w:r w:rsidRPr="00EC523D">
        <w:tab/>
        <w:t>remdamasis klausimynu, džiaugiasi nuolatinėmis Komiteto pastangomis skatinti tvarų darbuotojų judumą; visų pirma pažymi, kad Komitetas siūlo finansinius įnašus už kelionių viešuoju transportu bilietus, taip pat darbuotojams, kurie į darbą atvyksta dviračiu, o nuo 2024 m. – siūlo įnašus už „</w:t>
      </w:r>
      <w:r w:rsidRPr="00EC523D">
        <w:t>Flex</w:t>
      </w:r>
      <w:r w:rsidRPr="00EC523D">
        <w:t xml:space="preserve"> SNBC“ abonementą, siekdamas atsižvelgti į su mišria darbo tvarka susijusius aspektus; atkreipia dėmesį į Komiteto planą kartu su RK dalyvauti Komisijos inicijuotame kvietime teikti pasiūlymus (kuris bus iš naujo paskelbtas 2026 m.) dėl elektroninių dviračių įsigijimo ir techninės priežiūros; palankiai vertina nuolatinį bendradarbiavimą su Briuselio sostinės regionu judumo planavimo klausimais ir Komiteto dalyvavimą tarpinstitucinėse iniciatyvose, kuriomis puoselėjama tvaraus važinėjimo į darbą kultūra;</w:t>
      </w:r>
    </w:p>
    <w:p w:rsidR="00D01991" w:rsidRPr="00EC523D" w:rsidP="00D01991" w14:paraId="3811D77F" w14:textId="77777777">
      <w:pPr>
        <w:pStyle w:val="NormalHanging12a"/>
        <w:rPr>
          <w:b/>
          <w:i/>
        </w:rPr>
      </w:pPr>
      <w:r w:rsidRPr="00EC523D">
        <w:rPr>
          <w:b/>
          <w:i/>
        </w:rPr>
        <w:t>Tarpinstitucinis bendradarbiavimas</w:t>
      </w:r>
    </w:p>
    <w:p w:rsidR="00D01991" w:rsidRPr="00EC523D" w:rsidP="00D01991" w14:paraId="1F84F51C" w14:textId="77777777">
      <w:pPr>
        <w:pStyle w:val="NormalHanging12a"/>
      </w:pPr>
      <w:r w:rsidRPr="00EC523D">
        <w:t>57.</w:t>
      </w:r>
      <w:r w:rsidRPr="00EC523D">
        <w:tab/>
        <w:t>giria Komitetą už nustatytą glaudų bendradarbiavimą administraciniu lygmeniu su RK, kuriuo užtikrinama, kad abu komitetai dalytųsi bendromis patalpomis ir bendromis tarnybomis vertimo raštu, infrastruktūros, logistikos, saugumo, viešųjų pirkimų, finansinio valdymo ir IT srityse, sykiu išlaikytų visapusišką institucinį savarankiškumą; pažymi, kad abu komitetai, siekdami plėsti bendradarbiavimą kitose srityse ir atsižvelgdami į biudžeto apribojimus, 2024 m. kartu pradėjo įgyvendinti du svarbius projektus, t. y. biuro aplinkos pertvarkos projektą „</w:t>
      </w:r>
      <w:r w:rsidRPr="00EC523D">
        <w:t>SPaCES</w:t>
      </w:r>
      <w:r w:rsidRPr="00EC523D">
        <w:t>“ ir strateginę Vertimo raštu departamento reformą jį struktūriškai perorganizuojant, pagerinant kalbos technologijų naudojimą ir laipsniškai sumažinant žmogiškuosius vertimo raštu pajėgumus siekiant didesnio veiksmingumo ir išlaidų efektyvumo;</w:t>
      </w:r>
    </w:p>
    <w:p w:rsidR="00D01991" w:rsidRPr="00EC523D" w:rsidP="00D01991" w14:paraId="4ABC0212" w14:textId="77777777">
      <w:pPr>
        <w:pStyle w:val="NormalHanging12a"/>
      </w:pPr>
      <w:r w:rsidRPr="00EC523D">
        <w:t>58.</w:t>
      </w:r>
      <w:r w:rsidRPr="00EC523D">
        <w:tab/>
        <w:t>palankiai vertina teigiamus rezultatus, kurie pirmaisiais Komiteto ir RK susitarimo įgyvendinimo metais buvo pasiekti audiovizualinėje srityje, pvz., sutaupyta apie 140 000 EUR biudžeto lėšų, palyginti su atskirai įgyvendintu projektu, ir padidėjusį našumą, t. y. iki 2025 m. birželio mėn. buvo sukurti 85 vaizdo įrašai, palyginti su maždaug 90 įrašų per visus 2024 m.;</w:t>
      </w:r>
    </w:p>
    <w:p w:rsidR="00D01991" w:rsidRPr="00EC523D" w:rsidP="00D01991" w14:paraId="29A850A5" w14:textId="77777777">
      <w:pPr>
        <w:pStyle w:val="NormalHanging12a"/>
      </w:pPr>
      <w:r w:rsidRPr="00EC523D">
        <w:t>59.</w:t>
      </w:r>
      <w:r w:rsidRPr="00EC523D">
        <w:tab/>
        <w:t>giria Komitetą už nemažą sutaupytų lėšų sumą įgyvendinant bendradarbiavimo su RK susitarimą, pagal kurį buvo sukurtos jungtinės tarnybos, vykdančios užduotis visų pirma IT, logistikos ir viešųjų pirkimų srityse; remdamasis klausimynu, su pasitenkinimu atkreipia dėmesį į skaičiavimus, kad 2024 m. Komitetas sutaupė lėšų IT srityje (apie 16 mln. EUR), infrastruktūros srityje (apie 8 mln. EUR), spausdinimo paslaugų srityje (apie 125 000 EUR) ir saugumo paslaugų srityje (apie 800 000 EUR); be to, pažymi, kad, jei Komitetas ir RK turėtų atskiras vertimo raštu ir viešųjų pirkimų tarnybas, bendros personalo išlaidos padidėtų bent 30 proc.; pakartoja savo raginimą kuo labiau plėsti šį bendradarbiavimą iki tokio lygio, kad būtų sukurta viena bendra jungtinių tarnybų administracija ir išlaikytos atskiros tarnybos bei skyrius, atsakingi už jų pagrindinius nepriklausomus įgaliojimus;</w:t>
      </w:r>
    </w:p>
    <w:p w:rsidR="00D01991" w:rsidRPr="00EC523D" w:rsidP="00D01991" w14:paraId="392A9731" w14:textId="77777777">
      <w:pPr>
        <w:pStyle w:val="NormalHanging12a"/>
      </w:pPr>
      <w:r w:rsidRPr="00EC523D">
        <w:t>60.</w:t>
      </w:r>
      <w:r w:rsidRPr="00EC523D">
        <w:tab/>
        <w:t>su pasitenkinimu atkreipia dėmesį į tai, kad Komitetas, sudarydamas susitarimus dėl paslaugų lygio, visų pirma su Komisija dėl finansinių ir pagrindinių žmogiškųjų išteklių valdymo IT priemonių naudojimo, sutaupė daug biudžeto lėšų ir administracinių išteklių; be to, palankiai vertina Komiteto dalyvavimą tarpinstitucinėse viešųjų pirkimų procedūrose, kurioms vadovavo kitos institucijos, pvz., Parlamentas ir Komisija, tokiose srityse kaip verslo kelionės, draudimas, kelionės, IT, vertimo raštu ir audiovizualinė įranga; remdamasis klausimynu, pažymi, kad bendros Komiteto patirtos išlaidos, susijusios su konkrečių paslaugų perdavimu Komisijai, padidėjo nuo 793 000 EUR 2023 m. iki 893 000 EUR 2024 m.;</w:t>
      </w:r>
    </w:p>
    <w:p w:rsidR="00D01991" w:rsidRPr="00EC523D" w:rsidP="00D01991" w14:paraId="31F7170E" w14:textId="77777777">
      <w:pPr>
        <w:pStyle w:val="NormalHanging12a"/>
      </w:pPr>
      <w:r w:rsidRPr="00EC523D">
        <w:t>61.</w:t>
      </w:r>
      <w:r w:rsidRPr="00EC523D">
        <w:tab/>
      </w:r>
      <w:bookmarkStart w:id="12" w:name="_Hlk216940933"/>
      <w:r w:rsidRPr="00EC523D">
        <w:t>atkreipia dėmesį į tam tikrus įvykius ir duomenis, susijusius su Komiteto ir Parlamento bendradarbiavimu 2024 m.: patvirtintas naujas bendradarbiavimo susitarimas, pasirašytas susitarimo memorandumas dėl bendradarbiavimo rengiantis Europos Parlamento rinkimams, 55 Parlamento nariai dalyvavo 38 Komiteto renginiuose, Komiteto atstovai dalyvavo 32 Parlamento renginiuose, taip pat buvo dalyvaujama įvairiuose dvišaliuose ir frakcijų susitikimuose</w:t>
      </w:r>
      <w:bookmarkEnd w:id="12"/>
      <w:r w:rsidRPr="00EC523D">
        <w:t>;</w:t>
      </w:r>
    </w:p>
    <w:p w:rsidR="00D01991" w:rsidRPr="00EC523D" w:rsidP="00D01991" w14:paraId="6F3C4F45" w14:textId="77777777">
      <w:pPr>
        <w:pStyle w:val="NormalHanging12a"/>
      </w:pPr>
      <w:r w:rsidRPr="00EC523D">
        <w:t>62.</w:t>
      </w:r>
      <w:r w:rsidRPr="00EC523D">
        <w:tab/>
        <w:t xml:space="preserve">atkreipia dėmesį į tam tikrus įvykius ir duomenis, susijusius su Komiteto ir Komisijos bendradarbiavimu 2024 m.: Komisijos nariai dalyvavo 10 Komiteto plenarinių posėdžių ir kituose Komiteto organizuotuose renginiuose, daugiau nei 30 bendrų komunikacijos </w:t>
      </w:r>
      <w:r w:rsidRPr="00EC523D">
        <w:t>projektų, siekiant įtraukti pilietinę visuomenę, 20 konkrečių jungtinių veiksmų, Komiteto indėlis į 17 Komisijos ekspertų grupių veiklą, šešios tiriamosios nuomonės ir trys vertinimo ataskaitos, kurias Komitetas pateikė Komisijos prašymu;</w:t>
      </w:r>
    </w:p>
    <w:p w:rsidR="00D01991" w:rsidRPr="00EC523D" w:rsidP="00D01991" w14:paraId="77BA0C70" w14:textId="77777777">
      <w:pPr>
        <w:pStyle w:val="NormalHanging12a"/>
      </w:pPr>
      <w:r w:rsidRPr="00EC523D">
        <w:t>63.</w:t>
      </w:r>
      <w:r w:rsidRPr="00EC523D">
        <w:tab/>
        <w:t>atkreipia dėmesį į tam tikrus įvykius ir duomenis, susijusius su Komiteto ir Tarybos / Europos Vadovų Tarybos bendradarbiavimu 2024 m.: surengti trys aukšto lygio posėdžiai su Europos Vadovų Tarybos pirmininkais, be to, Komitetas Tarybai pirmininkaujančios Belgijos ir Tarybai pirmininkaujančios Vengrijos prašymu pateikė 21 tiriamąją nuomonę;</w:t>
      </w:r>
    </w:p>
    <w:p w:rsidR="00D01991" w:rsidRPr="00EC523D" w:rsidP="00D01991" w14:paraId="377C26FD" w14:textId="77777777">
      <w:pPr>
        <w:pStyle w:val="NormalHanging12a"/>
      </w:pPr>
      <w:r w:rsidRPr="00EC523D">
        <w:t>64.</w:t>
      </w:r>
      <w:r w:rsidRPr="00EC523D">
        <w:tab/>
        <w:t>pažymi, kad 2024 m. Komitetui ir kitoms Sąjungos institucijoms aktyviai bendradarbiaujant, be kita ko, organizuojant Komiteto plenarines sesijas Komisijos ir Parlamento patalpose, kuriose patalpos posėdžiams ir susijusios paslaugos teikiamos nemokamai arba mažesnėmis nei išorės rinkos kainomis, toliau buvo taupomos biudžeto lėšos ir padidintas veiksmingumas;</w:t>
      </w:r>
    </w:p>
    <w:p w:rsidR="00D01991" w:rsidRPr="00EC523D" w:rsidP="00D01991" w14:paraId="30F08CF4" w14:textId="77777777">
      <w:pPr>
        <w:pStyle w:val="NormalHanging12a"/>
      </w:pPr>
      <w:r w:rsidRPr="00EC523D">
        <w:t>65.</w:t>
      </w:r>
      <w:r w:rsidRPr="00EC523D">
        <w:tab/>
        <w:t>pažymi, kad Komitetas atlieka esminį vaidmenį stiprinant ryšius su valstybių narių nacionalinėmis ekonomikos ir socialinių reikalų tarybomis ir tarp jų; atsižvelgdamas į tai, atkreipia dėmesį į 2024 m. pradėjusią veikti naują teminę darbo grupę, sudarytą iš 13 nacionalinių ekonomikos ir socialinių reikalų tarybų, paskelbtus 32 naujienų straipsnius ir 26 minėtų tarybų patvirtintų ataskaitų santraukas, nacionalinių ekonomikos ir socialinių reikalų tarybų pirmininkų ir generalinių sekretorių metinio susitikimo Briuselyje organizavimą ir bendrai surengtą seminarą, kuriame dalyvavo 100 dalyvių – Europos socialinių partnerių, pilietinės visuomenės organizacijų, Sąjungos institucijų ir akademinės bendruomenės atstovai; ragina toliau bendradarbiauti bendro intereso klausimais ir keistis geros praktikos pavyzdžiais, akcentuojant nepaprastai svarbų pilietinės visuomenės vaidmenį sprendžiant dabartinius Sąjungos uždavinius;</w:t>
      </w:r>
    </w:p>
    <w:p w:rsidR="00D01991" w:rsidRPr="00EC523D" w:rsidP="00D01991" w14:paraId="175C4CB4" w14:textId="77777777">
      <w:pPr>
        <w:pStyle w:val="NormalHanging12a"/>
        <w:rPr>
          <w:b/>
          <w:i/>
        </w:rPr>
      </w:pPr>
      <w:r w:rsidRPr="00EC523D">
        <w:rPr>
          <w:b/>
          <w:i/>
        </w:rPr>
        <w:t>Komunikacija</w:t>
      </w:r>
    </w:p>
    <w:p w:rsidR="00D01991" w:rsidRPr="00EC523D" w:rsidP="00D01991" w14:paraId="4AF7439F" w14:textId="77777777">
      <w:pPr>
        <w:pStyle w:val="NormalHanging12a"/>
      </w:pPr>
      <w:r w:rsidRPr="00EC523D">
        <w:t>66.</w:t>
      </w:r>
      <w:r w:rsidRPr="00EC523D">
        <w:tab/>
        <w:t xml:space="preserve">remdamasis klausimynu, pažymi, kad bendras Komiteto komunikacijos, leidinių ir dokumentų įsigijimo biudžetas 2024 m. siekė maždaug 2,5 mln. EUR (buvo beveik toks pat kaip ir 2023 m.), o tai yra 1,4 proc. bendro Komiteto biudžeto po 2024 m. atliktų perkėlimų; palankiai vertina tai, kad 2024 m. Komitetas savo išteklius paskirstė ribotam skaičiui komunikacijos prioritetų, susijusių su Sąjungos institucijų teisėkūros prioritetais (pvz., energijos </w:t>
      </w:r>
      <w:r w:rsidRPr="00EC523D">
        <w:t>įperkamumas</w:t>
      </w:r>
      <w:r w:rsidRPr="00EC523D">
        <w:t>, DI, psichikos sveikata, strateginis savarankiškumas, ekonomikos reforma, lyčių lygybė, jaunimas ir plėtra), laikydamasis Komiteto poveikiu grindžiamos komunikacijos;</w:t>
      </w:r>
    </w:p>
    <w:p w:rsidR="00D01991" w:rsidRPr="00EC523D" w:rsidP="00D01991" w14:paraId="0AEA0760" w14:textId="77777777">
      <w:pPr>
        <w:pStyle w:val="NormalHanging12a"/>
      </w:pPr>
      <w:r w:rsidRPr="00EC523D">
        <w:t>67.</w:t>
      </w:r>
      <w:r w:rsidRPr="00EC523D">
        <w:tab/>
        <w:t>remdamasis klausimynu ir Komiteto ataskaita, pažymi, kad 2024 m. Komitetas įgyvendino išsamų komunikacijos planą, susijusį su Europos Parlamento rinkimų kampanija, pasitelkdamas informavimo veiklos renginius, vietos lygmens renginius ir Pilietinės visuomenės savaitę; atsižvelgdamas į tai, teigiamai vertina, kad 104 Komiteto nariai dalyvavo 122 informavimo veiklos renginiuose, kuriuose tiesiogiai dalyvavo apie 350 000 piliečių, neskaitant informavimo veiklos socialiniuose tinkluose; taip pat džiaugiasi, kad Komitetas pranešė apie veiklos rezultatus, susijusius su Pilietinės visuomenės savaitės organizavimu, t. y. 800 dalyvių, daugiau nei 8 000 sąveikos atvejų, daugiau nei 1 mln. pateikčių ir apie 96 000 vaizdo peržiūrų, – visa tai atspindi aktyvią veiklą socialiniuose tinkluose;</w:t>
      </w:r>
    </w:p>
    <w:p w:rsidR="00D01991" w:rsidRPr="00EC523D" w:rsidP="00D01991" w14:paraId="4F29B4D5" w14:textId="77777777">
      <w:pPr>
        <w:pStyle w:val="NormalHanging12a"/>
        <w:rPr>
          <w:bCs/>
          <w:iCs/>
        </w:rPr>
      </w:pPr>
      <w:r w:rsidRPr="00EC523D">
        <w:t>68.</w:t>
      </w:r>
      <w:r w:rsidRPr="00EC523D">
        <w:tab/>
        <w:t xml:space="preserve">palankiai vertina Komiteto pastangas didinti savo darbo matomumą; vis dėlto mano, jog </w:t>
      </w:r>
      <w:r w:rsidRPr="00EC523D">
        <w:t>reikia dėti daugiau pastangų siekiant užtikrinti, kad vykdant komunikacijos veiklą piliečiams suprantamu ir prasmingu būdu būtų aiškiai paaiškintas Komiteto vaidmuo ir konkretus indėlis į Sąjungos veiksmus vietoje; teigiamai vertina 2024 m. gegužės mėn. pradėjusią veikti platformą „</w:t>
      </w:r>
      <w:r w:rsidRPr="00EC523D">
        <w:t>NaviGate</w:t>
      </w:r>
      <w:r w:rsidRPr="00EC523D">
        <w:t>“; pažymi, kad ši platforma, kuri teikia interneto nuorodas platformai EULT, gerokai padidino Komiteto darbo matomumą ir pagerino naudotojų (narių, darbuotojų, lankytojų iš kitų institucijų ir visuomenės) patirtį ir 2024 m. sulaukta 4 600 unikalių lankytojų;</w:t>
      </w:r>
    </w:p>
    <w:p w:rsidR="00E365E1" w:rsidRPr="00EC523D" w:rsidP="006A52C8" w14:paraId="7AFE2973" w14:textId="10BB1E5E">
      <w:pPr>
        <w:pStyle w:val="NormalHanging12a"/>
      </w:pPr>
      <w:r w:rsidRPr="00EC523D">
        <w:t>69.</w:t>
      </w:r>
      <w:r w:rsidRPr="00EC523D">
        <w:tab/>
        <w:t>remdamasis Komiteto ataskaita, pažymi, kad jo veikla socialiniuose tinkluose toliau didėjo, o keturių pagrindinių Komiteto paskyrų sekėjų skaičius iš viso padidėjo daugiau nei 18 proc., palyginti su 2023 m.; akcentuoja, kad dalyvavimas gerokai padidėjo, t. y. 45 proc. ir viršijo 416 000 sąveikos veiksmų įvairiose platformose; taip pat pažymi, kad 2024 m. pabaigoje Komiteto sekėjų skaičius socialiniame tinkle „X“ pasiekė 62 868 sekėjus, socialiniame tinkle „</w:t>
      </w:r>
      <w:r w:rsidRPr="00EC523D">
        <w:t>LinkedIn</w:t>
      </w:r>
      <w:r w:rsidRPr="00EC523D">
        <w:t>“ – 79 647 sekėjus, socialiniame tinkle „Facebook“ – 49 494 sekėjus ir socialiniame tinkle „Instagram“ – 29 987 sekėjus, o tai atspindi tvirtą augimą platformose, palyginti su 2023 m.; pažymi, kad 2024 m. sekėjų skaičius labiausiai išaugo socialiniame tinkle „Instagram“ (+72 proc.); pažymi, kad Komitetas, laikydamasis bendro Sąjungos institucijų požiūrio, 2024 m. sukūrė savo pirmąja paskyrą socialiniame tinkle „</w:t>
      </w:r>
      <w:r w:rsidRPr="00EC523D">
        <w:t>Bluesky</w:t>
      </w:r>
      <w:r w:rsidRPr="00EC523D">
        <w:t>“, kad užtikrintų savo oficialų dalyvavimą, o pirmieji įrašai paskelbti 2025 m. sausio mėn.</w:t>
      </w:r>
    </w:p>
    <w:sectPr w:rsidSect="00EC52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1991" w:rsidRPr="00EC523D" w:rsidP="002A5A9E" w14:paraId="79244F20" w14:textId="77777777">
    <w:pPr>
      <w:pStyle w:val="EPFooter"/>
    </w:pPr>
    <w:r w:rsidRPr="00EC523D">
      <w:t>PE</w:t>
    </w:r>
    <w:r w:rsidRPr="00EC523D">
      <w:rPr>
        <w:rStyle w:val="HideTWBExt"/>
      </w:rPr>
      <w:t>&lt;</w:t>
    </w:r>
    <w:r w:rsidRPr="00EC523D">
      <w:rPr>
        <w:rStyle w:val="HideTWBExt"/>
      </w:rPr>
      <w:t>NoPE</w:t>
    </w:r>
    <w:r w:rsidRPr="00EC523D">
      <w:rPr>
        <w:rStyle w:val="HideTWBExt"/>
      </w:rPr>
      <w:t>&gt;</w:t>
    </w:r>
    <w:r w:rsidRPr="00EC523D">
      <w:t>778.063</w:t>
    </w:r>
    <w:r w:rsidRPr="00EC523D">
      <w:rPr>
        <w:rStyle w:val="HideTWBExt"/>
      </w:rPr>
      <w:t>&lt;/</w:t>
    </w:r>
    <w:r w:rsidRPr="00EC523D">
      <w:rPr>
        <w:rStyle w:val="HideTWBExt"/>
      </w:rPr>
      <w:t>NoPE</w:t>
    </w:r>
    <w:r w:rsidRPr="00EC523D">
      <w:rPr>
        <w:rStyle w:val="HideTWBExt"/>
      </w:rPr>
      <w:t>&gt;&lt;Version&gt;</w:t>
    </w:r>
    <w:r w:rsidRPr="00EC523D">
      <w:t>v02-00</w:t>
    </w:r>
    <w:r w:rsidRPr="00EC523D">
      <w:rPr>
        <w:rStyle w:val="HideTWBExt"/>
      </w:rPr>
      <w:t>&lt;/</w:t>
    </w:r>
    <w:r w:rsidRPr="00EC523D">
      <w:rPr>
        <w:rStyle w:val="HideTWBExt"/>
      </w:rPr>
      <w:t>Version</w:t>
    </w:r>
    <w:r w:rsidRPr="00EC523D">
      <w:rPr>
        <w:rStyle w:val="HideTWBExt"/>
      </w:rPr>
      <w:t>&gt;</w:t>
    </w:r>
    <w:r w:rsidRPr="00EC523D">
      <w:tab/>
    </w:r>
    <w:r w:rsidRPr="00EC523D">
      <w:fldChar w:fldCharType="begin"/>
    </w:r>
    <w:r w:rsidRPr="00EC523D">
      <w:instrText xml:space="preserve"> PAGE  \* MERGEFORMAT </w:instrText>
    </w:r>
    <w:r w:rsidRPr="00EC523D">
      <w:fldChar w:fldCharType="separate"/>
    </w:r>
    <w:r w:rsidRPr="00EC523D">
      <w:rPr>
        <w:noProof/>
      </w:rPr>
      <w:t>1</w:t>
    </w:r>
    <w:r w:rsidRPr="00EC523D">
      <w:fldChar w:fldCharType="end"/>
    </w:r>
    <w:r w:rsidRPr="00EC523D">
      <w:t>/</w:t>
    </w:r>
    <w:r>
      <w:fldChar w:fldCharType="begin"/>
    </w:r>
    <w:r>
      <w:instrText xml:space="preserve"> NUMPAGES  \* MERGEFORMAT </w:instrText>
    </w:r>
    <w:r>
      <w:fldChar w:fldCharType="separate"/>
    </w:r>
    <w:r w:rsidRPr="00EC523D">
      <w:rPr>
        <w:noProof/>
      </w:rPr>
      <w:t>2</w:t>
    </w:r>
    <w:r w:rsidRPr="00EC523D">
      <w:rPr>
        <w:noProof/>
      </w:rPr>
      <w:fldChar w:fldCharType="end"/>
    </w:r>
    <w:r w:rsidRPr="00EC523D">
      <w:tab/>
    </w:r>
    <w:r w:rsidRPr="00EC523D">
      <w:rPr>
        <w:rStyle w:val="HideTWBExt"/>
      </w:rPr>
      <w:t>&lt;PathFdR&gt;</w:t>
    </w:r>
    <w:r w:rsidRPr="00EC523D">
      <w:t>RR\1339613LT.docx</w:t>
    </w:r>
    <w:r w:rsidRPr="00EC523D">
      <w:rPr>
        <w:rStyle w:val="HideTWBExt"/>
      </w:rPr>
      <w:t>&lt;/</w:t>
    </w:r>
    <w:r w:rsidRPr="00EC523D">
      <w:rPr>
        <w:rStyle w:val="HideTWBExt"/>
      </w:rPr>
      <w:t>PathFdR</w:t>
    </w:r>
    <w:r w:rsidRPr="00EC523D">
      <w:rPr>
        <w:rStyle w:val="HideTWBExt"/>
      </w:rPr>
      <w:t>&gt;</w:t>
    </w:r>
  </w:p>
  <w:p w:rsidR="00D01991" w:rsidRPr="00EC523D" w:rsidP="002A5A9E" w14:paraId="00FC85CD" w14:textId="77777777">
    <w:pPr>
      <w:pStyle w:val="EPFooter2"/>
    </w:pPr>
    <w:r w:rsidRPr="00EC523D">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1991" w:rsidRPr="00EC523D" w:rsidP="002A5A9E" w14:paraId="793D6178" w14:textId="77777777">
    <w:pPr>
      <w:pStyle w:val="EPFooter"/>
    </w:pPr>
    <w:r w:rsidRPr="00EC523D">
      <w:rPr>
        <w:rStyle w:val="HideTWBExt"/>
      </w:rPr>
      <w:t>&lt;PathFdR&gt;</w:t>
    </w:r>
    <w:r w:rsidRPr="00EC523D">
      <w:t>RR\1339613LT.docx</w:t>
    </w:r>
    <w:r w:rsidRPr="00EC523D">
      <w:rPr>
        <w:rStyle w:val="HideTWBExt"/>
      </w:rPr>
      <w:t>&lt;/</w:t>
    </w:r>
    <w:r w:rsidRPr="00EC523D">
      <w:rPr>
        <w:rStyle w:val="HideTWBExt"/>
      </w:rPr>
      <w:t>PathFdR</w:t>
    </w:r>
    <w:r w:rsidRPr="00EC523D">
      <w:rPr>
        <w:rStyle w:val="HideTWBExt"/>
      </w:rPr>
      <w:t>&gt;</w:t>
    </w:r>
    <w:r w:rsidRPr="00EC523D">
      <w:tab/>
    </w:r>
    <w:r w:rsidRPr="00EC523D">
      <w:tab/>
      <w:t>PE</w:t>
    </w:r>
    <w:r w:rsidRPr="00EC523D">
      <w:rPr>
        <w:rStyle w:val="HideTWBExt"/>
      </w:rPr>
      <w:t>&lt;</w:t>
    </w:r>
    <w:r w:rsidRPr="00EC523D">
      <w:rPr>
        <w:rStyle w:val="HideTWBExt"/>
      </w:rPr>
      <w:t>NoPE</w:t>
    </w:r>
    <w:r w:rsidRPr="00EC523D">
      <w:rPr>
        <w:rStyle w:val="HideTWBExt"/>
      </w:rPr>
      <w:t>&gt;</w:t>
    </w:r>
    <w:r w:rsidRPr="00EC523D">
      <w:t>778.063</w:t>
    </w:r>
    <w:r w:rsidRPr="00EC523D">
      <w:rPr>
        <w:rStyle w:val="HideTWBExt"/>
      </w:rPr>
      <w:t>&lt;/</w:t>
    </w:r>
    <w:r w:rsidRPr="00EC523D">
      <w:rPr>
        <w:rStyle w:val="HideTWBExt"/>
      </w:rPr>
      <w:t>NoPE</w:t>
    </w:r>
    <w:r w:rsidRPr="00EC523D">
      <w:rPr>
        <w:rStyle w:val="HideTWBExt"/>
      </w:rPr>
      <w:t>&gt;&lt;Version&gt;</w:t>
    </w:r>
    <w:r w:rsidRPr="00EC523D">
      <w:t>v02-00</w:t>
    </w:r>
    <w:r w:rsidRPr="00EC523D">
      <w:rPr>
        <w:rStyle w:val="HideTWBExt"/>
      </w:rPr>
      <w:t>&lt;/</w:t>
    </w:r>
    <w:r w:rsidRPr="00EC523D">
      <w:rPr>
        <w:rStyle w:val="HideTWBExt"/>
      </w:rPr>
      <w:t>Version</w:t>
    </w:r>
    <w:r w:rsidRPr="00EC523D">
      <w:rPr>
        <w:rStyle w:val="HideTWBExt"/>
      </w:rPr>
      <w:t>&gt;</w:t>
    </w:r>
  </w:p>
  <w:p w:rsidR="00D01991" w:rsidRPr="00EC523D" w:rsidP="002A5A9E" w14:paraId="42D1229E" w14:textId="77777777">
    <w:pPr>
      <w:pStyle w:val="EPFooter2"/>
    </w:pPr>
    <w:r w:rsidRPr="00EC523D">
      <w:t>LT</w:t>
    </w:r>
    <w:r w:rsidRPr="00EC523D">
      <w:tab/>
    </w:r>
    <w:r w:rsidRPr="00EC523D">
      <w:rPr>
        <w:b w:val="0"/>
        <w:i/>
        <w:color w:val="C0C0C0"/>
        <w:sz w:val="22"/>
      </w:rPr>
      <w:t>Suvienijusi įvairovę</w:t>
    </w:r>
    <w:r w:rsidRPr="00EC523D">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523D" w14:paraId="06C0B60A"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523D" w14:paraId="6A8F18C9"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523D" w14:paraId="1510388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57086" w:rsidRPr="00EC523D" w14:paraId="1DB615B8" w14:textId="77777777">
      <w:r w:rsidRPr="00EC523D">
        <w:separator/>
      </w:r>
    </w:p>
  </w:footnote>
  <w:footnote w:type="continuationSeparator" w:id="1">
    <w:p w:rsidR="00857086" w:rsidRPr="00EC523D" w14:paraId="5FE682D7" w14:textId="77777777">
      <w:r w:rsidRPr="00EC523D">
        <w:continuationSeparator/>
      </w:r>
    </w:p>
  </w:footnote>
  <w:footnote w:id="2">
    <w:p w:rsidR="00D01991" w:rsidRPr="00EC523D" w:rsidP="00EC523D" w14:paraId="5D4D3A1C" w14:textId="15ECEF89">
      <w:pPr>
        <w:pStyle w:val="FootnoteText"/>
        <w:ind w:left="567" w:hanging="567"/>
        <w:rPr>
          <w:sz w:val="24"/>
          <w:lang w:val="lt-LT"/>
        </w:rPr>
      </w:pPr>
      <w:r w:rsidRPr="00EC523D">
        <w:rPr>
          <w:rStyle w:val="FootnoteReference"/>
          <w:sz w:val="24"/>
          <w:lang w:val="lt-LT"/>
        </w:rPr>
        <w:footnoteRef/>
      </w:r>
      <w:r w:rsidRPr="00EC523D" w:rsidR="00EC523D">
        <w:rPr>
          <w:sz w:val="24"/>
          <w:lang w:val="lt-LT"/>
        </w:rPr>
        <w:t xml:space="preserve"> </w:t>
      </w:r>
      <w:r w:rsidRPr="00EC523D" w:rsidR="00EC523D">
        <w:rPr>
          <w:sz w:val="24"/>
          <w:lang w:val="lt-LT"/>
        </w:rPr>
        <w:tab/>
      </w:r>
      <w:r w:rsidRPr="00EC523D">
        <w:rPr>
          <w:sz w:val="24"/>
          <w:lang w:val="lt-LT"/>
        </w:rPr>
        <w:t>OL L</w:t>
      </w:r>
      <w:r w:rsidR="00E42FBB">
        <w:rPr>
          <w:sz w:val="24"/>
          <w:lang w:val="lt-LT"/>
        </w:rPr>
        <w:t>,</w:t>
      </w:r>
      <w:r w:rsidRPr="00EC523D">
        <w:rPr>
          <w:sz w:val="24"/>
          <w:lang w:val="lt-LT"/>
        </w:rPr>
        <w:t> </w:t>
      </w:r>
      <w:r w:rsidR="00E42FBB">
        <w:rPr>
          <w:sz w:val="24"/>
          <w:lang w:val="lt-LT"/>
        </w:rPr>
        <w:t>2024/</w:t>
      </w:r>
      <w:r w:rsidRPr="00EC523D">
        <w:rPr>
          <w:sz w:val="24"/>
          <w:lang w:val="lt-LT"/>
        </w:rPr>
        <w:t xml:space="preserve">207, 2024 2 22, ELI: </w:t>
      </w:r>
      <w:hyperlink r:id="rId1" w:history="1">
        <w:r w:rsidRPr="00EC523D">
          <w:rPr>
            <w:rStyle w:val="Hyperlink"/>
            <w:sz w:val="24"/>
            <w:lang w:val="lt-LT"/>
          </w:rPr>
          <w:t>http://data.europa.eu/eli/budget/2024/207/oj</w:t>
        </w:r>
      </w:hyperlink>
      <w:r w:rsidRPr="00EC523D">
        <w:rPr>
          <w:sz w:val="24"/>
          <w:lang w:val="lt-LT"/>
        </w:rPr>
        <w:t>.</w:t>
      </w:r>
    </w:p>
  </w:footnote>
  <w:footnote w:id="3">
    <w:p w:rsidR="00D01991" w:rsidRPr="00EC523D" w:rsidP="00EC523D" w14:paraId="76BB2713" w14:textId="3D379471">
      <w:pPr>
        <w:pStyle w:val="FootnoteText"/>
        <w:ind w:left="567" w:hanging="567"/>
        <w:rPr>
          <w:sz w:val="24"/>
          <w:lang w:val="lt-LT"/>
        </w:rPr>
      </w:pPr>
      <w:r w:rsidRPr="00EC523D">
        <w:rPr>
          <w:rStyle w:val="FootnoteReference"/>
          <w:sz w:val="24"/>
          <w:lang w:val="lt-LT"/>
        </w:rPr>
        <w:footnoteRef/>
      </w:r>
      <w:r w:rsidRPr="00EC523D" w:rsidR="00EC523D">
        <w:rPr>
          <w:sz w:val="24"/>
          <w:lang w:val="lt-LT"/>
        </w:rPr>
        <w:t xml:space="preserve"> </w:t>
      </w:r>
      <w:r w:rsidRPr="00EC523D" w:rsidR="00EC523D">
        <w:rPr>
          <w:sz w:val="24"/>
          <w:lang w:val="lt-LT"/>
        </w:rPr>
        <w:tab/>
      </w:r>
      <w:r w:rsidRPr="00EC523D">
        <w:rPr>
          <w:sz w:val="24"/>
          <w:lang w:val="lt-LT"/>
        </w:rPr>
        <w:t>OL C, C/2025/4944, 2025 10 13, ELI: </w:t>
      </w:r>
      <w:hyperlink r:id="rId2" w:tgtFrame="_blank" w:tooltip="Prieiga prie šio dokumento suteikiama per ELI sistemoje jam suteiktą URI." w:history="1">
        <w:r w:rsidRPr="00EC523D">
          <w:rPr>
            <w:rStyle w:val="Hyperlink"/>
            <w:sz w:val="24"/>
            <w:lang w:val="lt-LT"/>
          </w:rPr>
          <w:t>http://data.europa.eu/eli/C/2025/4944/oj</w:t>
        </w:r>
      </w:hyperlink>
      <w:r w:rsidRPr="00EC523D">
        <w:rPr>
          <w:sz w:val="24"/>
          <w:lang w:val="lt-LT"/>
        </w:rPr>
        <w:t>.</w:t>
      </w:r>
    </w:p>
  </w:footnote>
  <w:footnote w:id="4">
    <w:p w:rsidR="00D01991" w:rsidRPr="00EC523D" w:rsidP="00EC523D" w14:paraId="04D6FB1E" w14:textId="130E2C16">
      <w:pPr>
        <w:pStyle w:val="FootnoteText"/>
        <w:ind w:left="567" w:hanging="567"/>
        <w:rPr>
          <w:sz w:val="24"/>
          <w:lang w:val="lt-LT"/>
        </w:rPr>
      </w:pPr>
      <w:r w:rsidRPr="00EC523D">
        <w:rPr>
          <w:rStyle w:val="FootnoteReference"/>
          <w:sz w:val="24"/>
          <w:lang w:val="lt-LT"/>
        </w:rPr>
        <w:footnoteRef/>
      </w:r>
      <w:r w:rsidRPr="00EC523D" w:rsidR="00EC523D">
        <w:rPr>
          <w:sz w:val="24"/>
          <w:lang w:val="lt-LT"/>
        </w:rPr>
        <w:t xml:space="preserve"> </w:t>
      </w:r>
      <w:r w:rsidRPr="00EC523D" w:rsidR="00EC523D">
        <w:rPr>
          <w:sz w:val="24"/>
          <w:lang w:val="lt-LT"/>
        </w:rPr>
        <w:tab/>
      </w:r>
      <w:r w:rsidRPr="00EC523D">
        <w:rPr>
          <w:sz w:val="24"/>
          <w:lang w:val="lt-LT"/>
        </w:rPr>
        <w:t xml:space="preserve">OL C, C/2025/5409, 2025 10 8, ELI: </w:t>
      </w:r>
      <w:hyperlink r:id="rId3" w:history="1">
        <w:r w:rsidRPr="00EC523D">
          <w:rPr>
            <w:rStyle w:val="Hyperlink"/>
            <w:sz w:val="24"/>
            <w:lang w:val="lt-LT"/>
          </w:rPr>
          <w:t>http://data.europa.eu/eli/C/2025/5409/oj</w:t>
        </w:r>
      </w:hyperlink>
      <w:r w:rsidRPr="00EC523D">
        <w:rPr>
          <w:sz w:val="24"/>
          <w:lang w:val="lt-LT"/>
        </w:rPr>
        <w:t>.</w:t>
      </w:r>
    </w:p>
  </w:footnote>
  <w:footnote w:id="5">
    <w:p w:rsidR="00D01991" w:rsidRPr="00EC523D" w:rsidP="00EC523D" w14:paraId="466C6113" w14:textId="58400DFA">
      <w:pPr>
        <w:pStyle w:val="FootnoteText"/>
        <w:ind w:left="567" w:hanging="567"/>
        <w:rPr>
          <w:sz w:val="24"/>
          <w:lang w:val="lt-LT"/>
        </w:rPr>
      </w:pPr>
      <w:r w:rsidRPr="00EC523D">
        <w:rPr>
          <w:rStyle w:val="FootnoteReference"/>
          <w:sz w:val="24"/>
          <w:lang w:val="lt-LT"/>
        </w:rPr>
        <w:footnoteRef/>
      </w:r>
      <w:r w:rsidRPr="00EC523D" w:rsidR="00EC523D">
        <w:rPr>
          <w:sz w:val="24"/>
          <w:lang w:val="lt-LT"/>
        </w:rPr>
        <w:t xml:space="preserve"> </w:t>
      </w:r>
      <w:r w:rsidRPr="00EC523D" w:rsidR="00EC523D">
        <w:rPr>
          <w:sz w:val="24"/>
          <w:lang w:val="lt-LT"/>
        </w:rPr>
        <w:tab/>
      </w:r>
      <w:r w:rsidRPr="00EC523D">
        <w:rPr>
          <w:sz w:val="24"/>
          <w:lang w:val="lt-LT"/>
        </w:rPr>
        <w:t xml:space="preserve">OL C, C/2025/5407, 2025 10 13, ELI: </w:t>
      </w:r>
      <w:hyperlink r:id="rId4" w:history="1">
        <w:r w:rsidRPr="00EC523D">
          <w:rPr>
            <w:rStyle w:val="Hyperlink"/>
            <w:sz w:val="24"/>
            <w:lang w:val="lt-LT"/>
          </w:rPr>
          <w:t>http://data.europa.eu/eli/C/2025/5407/oj</w:t>
        </w:r>
      </w:hyperlink>
      <w:r w:rsidRPr="00EC523D">
        <w:rPr>
          <w:sz w:val="24"/>
          <w:lang w:val="lt-LT"/>
        </w:rPr>
        <w:t>.</w:t>
      </w:r>
    </w:p>
  </w:footnote>
  <w:footnote w:id="6">
    <w:p w:rsidR="00D01991" w:rsidRPr="00EC523D" w:rsidP="00EC523D" w14:paraId="46D4F210" w14:textId="17BEB1FC">
      <w:pPr>
        <w:pStyle w:val="FootnoteText"/>
        <w:ind w:left="567" w:hanging="567"/>
        <w:rPr>
          <w:sz w:val="24"/>
          <w:lang w:val="lt-LT"/>
        </w:rPr>
      </w:pPr>
      <w:r w:rsidRPr="00EC523D">
        <w:rPr>
          <w:rStyle w:val="FootnoteReference"/>
          <w:sz w:val="24"/>
          <w:lang w:val="lt-LT"/>
        </w:rPr>
        <w:footnoteRef/>
      </w:r>
      <w:r w:rsidRPr="00EC523D" w:rsidR="00EC523D">
        <w:rPr>
          <w:sz w:val="24"/>
          <w:lang w:val="lt-LT"/>
        </w:rPr>
        <w:t xml:space="preserve"> </w:t>
      </w:r>
      <w:r w:rsidRPr="00EC523D" w:rsidR="00EC523D">
        <w:rPr>
          <w:sz w:val="24"/>
          <w:lang w:val="lt-LT"/>
        </w:rPr>
        <w:tab/>
      </w:r>
      <w:r w:rsidRPr="00EC523D">
        <w:rPr>
          <w:sz w:val="24"/>
          <w:lang w:val="lt-LT"/>
        </w:rPr>
        <w:t xml:space="preserve">OL L 193, 2018 7 30, p. 1, ELI: </w:t>
      </w:r>
      <w:hyperlink r:id="rId5" w:history="1">
        <w:r w:rsidRPr="00EC523D">
          <w:rPr>
            <w:rStyle w:val="Hyperlink"/>
            <w:sz w:val="24"/>
            <w:lang w:val="lt-LT"/>
          </w:rPr>
          <w:t>http://data.europa.eu/eli/reg/2018/1046/oj</w:t>
        </w:r>
      </w:hyperlink>
      <w:r w:rsidRPr="00EC523D">
        <w:rPr>
          <w:sz w:val="24"/>
          <w:lang w:val="lt-LT"/>
        </w:rPr>
        <w:t>.</w:t>
      </w:r>
    </w:p>
  </w:footnote>
  <w:footnote w:id="7">
    <w:p w:rsidR="00D01991" w:rsidRPr="00EC523D" w:rsidP="00EC523D" w14:paraId="725739AF" w14:textId="51552A91">
      <w:pPr>
        <w:pStyle w:val="FootnoteText"/>
        <w:ind w:left="567" w:hanging="567"/>
        <w:rPr>
          <w:sz w:val="24"/>
          <w:lang w:val="lt-LT"/>
        </w:rPr>
      </w:pPr>
      <w:r w:rsidRPr="00EC523D">
        <w:rPr>
          <w:rStyle w:val="FootnoteReference"/>
          <w:sz w:val="24"/>
          <w:lang w:val="lt-LT"/>
        </w:rPr>
        <w:footnoteRef/>
      </w:r>
      <w:r w:rsidRPr="00EC523D" w:rsidR="00EC523D">
        <w:rPr>
          <w:sz w:val="24"/>
          <w:lang w:val="lt-LT"/>
        </w:rPr>
        <w:t xml:space="preserve"> </w:t>
      </w:r>
      <w:r w:rsidRPr="00EC523D" w:rsidR="00EC523D">
        <w:rPr>
          <w:sz w:val="24"/>
          <w:lang w:val="lt-LT"/>
        </w:rPr>
        <w:tab/>
      </w:r>
      <w:r w:rsidRPr="00EC523D">
        <w:rPr>
          <w:sz w:val="24"/>
          <w:lang w:val="lt-LT"/>
        </w:rPr>
        <w:t xml:space="preserve">OL L, 2024/2509, 2024 9 26, ELI: </w:t>
      </w:r>
      <w:hyperlink r:id="rId6" w:history="1">
        <w:r w:rsidRPr="00EC523D">
          <w:rPr>
            <w:rStyle w:val="Hyperlink"/>
            <w:sz w:val="24"/>
            <w:lang w:val="lt-LT"/>
          </w:rPr>
          <w:t>http://data.europa.eu/eli/reg/2024/2509/oj</w:t>
        </w:r>
      </w:hyperlink>
      <w:r w:rsidRPr="00EC523D">
        <w:rPr>
          <w:sz w:val="24"/>
          <w:lang w:val="lt-LT"/>
        </w:rPr>
        <w:t>.</w:t>
      </w:r>
    </w:p>
  </w:footnote>
  <w:footnote w:id="8">
    <w:p w:rsidR="00D01991" w:rsidRPr="00EC523D" w:rsidP="00EC523D" w14:paraId="7B7A1098" w14:textId="58D87EE5">
      <w:pPr>
        <w:pStyle w:val="FootnoteText"/>
        <w:ind w:left="567" w:hanging="567"/>
        <w:rPr>
          <w:sz w:val="24"/>
          <w:lang w:val="lt-LT"/>
        </w:rPr>
      </w:pPr>
      <w:r w:rsidRPr="00EC523D">
        <w:rPr>
          <w:rStyle w:val="FootnoteReference"/>
          <w:sz w:val="24"/>
          <w:lang w:val="lt-LT"/>
        </w:rPr>
        <w:footnoteRef/>
      </w:r>
      <w:r w:rsidRPr="00EC523D" w:rsidR="00EC523D">
        <w:rPr>
          <w:color w:val="333333"/>
          <w:sz w:val="24"/>
          <w:shd w:val="clear" w:color="auto" w:fill="FFFFFF"/>
          <w:lang w:val="lt-LT"/>
        </w:rPr>
        <w:t xml:space="preserve"> </w:t>
      </w:r>
      <w:r w:rsidRPr="00EC523D" w:rsidR="00EC523D">
        <w:rPr>
          <w:color w:val="333333"/>
          <w:sz w:val="24"/>
          <w:shd w:val="clear" w:color="auto" w:fill="FFFFFF"/>
          <w:lang w:val="lt-LT"/>
        </w:rPr>
        <w:tab/>
      </w:r>
      <w:r w:rsidRPr="00EC523D">
        <w:rPr>
          <w:color w:val="333333"/>
          <w:sz w:val="24"/>
          <w:shd w:val="clear" w:color="auto" w:fill="FFFFFF"/>
          <w:lang w:val="lt-LT"/>
        </w:rPr>
        <w:t>2023 m. gruodžio 13 d. Europos Parlamento ir Tarybos reglamentas (ES, Euratomas) 2023/2841, kuriuo nustatomos priemonės aukštam bendram kibernetinio saugumo lygiui Sąjungos institucijose, įstaigose, organuose ir agentūrose užtikrinti (OL L, 2023/2841, 2023 12 18, ELI: </w:t>
      </w:r>
      <w:hyperlink r:id="rId7" w:tgtFrame="_blank" w:tooltip="Prieiga prie šio dokumento suteikiama per ELI sistemoje jam suteiktą URI." w:history="1">
        <w:r w:rsidRPr="00EC523D">
          <w:rPr>
            <w:rStyle w:val="Hyperlink"/>
            <w:sz w:val="24"/>
            <w:shd w:val="clear" w:color="auto" w:fill="FFFFFF"/>
            <w:lang w:val="lt-LT"/>
          </w:rPr>
          <w:t>http://data.europa.eu/eli/reg/2023/2841/oj</w:t>
        </w:r>
      </w:hyperlink>
      <w:r w:rsidRPr="00EC523D">
        <w:rPr>
          <w:color w:val="333333"/>
          <w:sz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523D" w14:paraId="31AFE4C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523D" w14:paraId="5F56AED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523D" w14:paraId="1776F6D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1800421">
    <w:abstractNumId w:val="9"/>
  </w:num>
  <w:num w:numId="2" w16cid:durableId="622423680">
    <w:abstractNumId w:val="9"/>
  </w:num>
  <w:num w:numId="3" w16cid:durableId="1552813071">
    <w:abstractNumId w:val="7"/>
  </w:num>
  <w:num w:numId="4" w16cid:durableId="1254120995">
    <w:abstractNumId w:val="7"/>
  </w:num>
  <w:num w:numId="5" w16cid:durableId="166481925">
    <w:abstractNumId w:val="6"/>
  </w:num>
  <w:num w:numId="6" w16cid:durableId="617566904">
    <w:abstractNumId w:val="6"/>
  </w:num>
  <w:num w:numId="7" w16cid:durableId="1612398146">
    <w:abstractNumId w:val="5"/>
  </w:num>
  <w:num w:numId="8" w16cid:durableId="2063554199">
    <w:abstractNumId w:val="5"/>
  </w:num>
  <w:num w:numId="9" w16cid:durableId="2003123354">
    <w:abstractNumId w:val="4"/>
  </w:num>
  <w:num w:numId="10" w16cid:durableId="342708194">
    <w:abstractNumId w:val="4"/>
  </w:num>
  <w:num w:numId="11" w16cid:durableId="879317247">
    <w:abstractNumId w:val="8"/>
  </w:num>
  <w:num w:numId="12" w16cid:durableId="1080492956">
    <w:abstractNumId w:val="8"/>
  </w:num>
  <w:num w:numId="13" w16cid:durableId="1647318162">
    <w:abstractNumId w:val="3"/>
  </w:num>
  <w:num w:numId="14" w16cid:durableId="305865955">
    <w:abstractNumId w:val="3"/>
  </w:num>
  <w:num w:numId="15" w16cid:durableId="1929996442">
    <w:abstractNumId w:val="2"/>
  </w:num>
  <w:num w:numId="16" w16cid:durableId="650596169">
    <w:abstractNumId w:val="2"/>
  </w:num>
  <w:num w:numId="17" w16cid:durableId="2015257834">
    <w:abstractNumId w:val="1"/>
  </w:num>
  <w:num w:numId="18" w16cid:durableId="2090030290">
    <w:abstractNumId w:val="1"/>
  </w:num>
  <w:num w:numId="19" w16cid:durableId="155805186">
    <w:abstractNumId w:val="0"/>
  </w:num>
  <w:num w:numId="20" w16cid:durableId="670253103">
    <w:abstractNumId w:val="0"/>
  </w:num>
  <w:num w:numId="21" w16cid:durableId="1647512088">
    <w:abstractNumId w:val="9"/>
  </w:num>
  <w:num w:numId="22" w16cid:durableId="1375274578">
    <w:abstractNumId w:val="7"/>
  </w:num>
  <w:num w:numId="23" w16cid:durableId="1585147559">
    <w:abstractNumId w:val="6"/>
  </w:num>
  <w:num w:numId="24" w16cid:durableId="2128812726">
    <w:abstractNumId w:val="5"/>
  </w:num>
  <w:num w:numId="25" w16cid:durableId="50227165">
    <w:abstractNumId w:val="4"/>
  </w:num>
  <w:num w:numId="26" w16cid:durableId="506409905">
    <w:abstractNumId w:val="8"/>
  </w:num>
  <w:num w:numId="27" w16cid:durableId="1694722864">
    <w:abstractNumId w:val="3"/>
  </w:num>
  <w:num w:numId="28" w16cid:durableId="1009329326">
    <w:abstractNumId w:val="2"/>
  </w:num>
  <w:num w:numId="29" w16cid:durableId="2139183772">
    <w:abstractNumId w:val="1"/>
  </w:num>
  <w:num w:numId="30" w16cid:durableId="1254322616">
    <w:abstractNumId w:val="0"/>
  </w:num>
  <w:num w:numId="31" w16cid:durableId="673144013">
    <w:abstractNumId w:val="9"/>
  </w:num>
  <w:num w:numId="32" w16cid:durableId="1725446531">
    <w:abstractNumId w:val="7"/>
  </w:num>
  <w:num w:numId="33" w16cid:durableId="288365580">
    <w:abstractNumId w:val="6"/>
  </w:num>
  <w:num w:numId="34" w16cid:durableId="1481965841">
    <w:abstractNumId w:val="5"/>
  </w:num>
  <w:num w:numId="35" w16cid:durableId="500241470">
    <w:abstractNumId w:val="4"/>
  </w:num>
  <w:num w:numId="36" w16cid:durableId="104542026">
    <w:abstractNumId w:val="8"/>
  </w:num>
  <w:num w:numId="37" w16cid:durableId="1711951114">
    <w:abstractNumId w:val="3"/>
  </w:num>
  <w:num w:numId="38" w16cid:durableId="1667004902">
    <w:abstractNumId w:val="2"/>
  </w:num>
  <w:num w:numId="39" w16cid:durableId="895969318">
    <w:abstractNumId w:val="1"/>
  </w:num>
  <w:num w:numId="40" w16cid:durableId="942494089">
    <w:abstractNumId w:val="0"/>
  </w:num>
  <w:num w:numId="41" w16cid:durableId="1465544860">
    <w:abstractNumId w:val="10"/>
  </w:num>
  <w:num w:numId="42" w16cid:durableId="1754738087">
    <w:abstractNumId w:val="10"/>
  </w:num>
  <w:num w:numId="43" w16cid:durableId="1361472622">
    <w:abstractNumId w:val="10"/>
  </w:num>
  <w:num w:numId="44" w16cid:durableId="17511226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86"/>
    <w:rsid w:val="00002272"/>
    <w:rsid w:val="00064002"/>
    <w:rsid w:val="000677B9"/>
    <w:rsid w:val="000831BA"/>
    <w:rsid w:val="000A42CC"/>
    <w:rsid w:val="000E7DD9"/>
    <w:rsid w:val="0010095E"/>
    <w:rsid w:val="00125B37"/>
    <w:rsid w:val="00187494"/>
    <w:rsid w:val="001D068B"/>
    <w:rsid w:val="001F32AE"/>
    <w:rsid w:val="002767FF"/>
    <w:rsid w:val="002A5A9E"/>
    <w:rsid w:val="002B18FE"/>
    <w:rsid w:val="002B5493"/>
    <w:rsid w:val="002D4C47"/>
    <w:rsid w:val="00343214"/>
    <w:rsid w:val="00361C00"/>
    <w:rsid w:val="00395FA1"/>
    <w:rsid w:val="003E15D4"/>
    <w:rsid w:val="00411CCE"/>
    <w:rsid w:val="0041666E"/>
    <w:rsid w:val="00421060"/>
    <w:rsid w:val="00446418"/>
    <w:rsid w:val="0045351F"/>
    <w:rsid w:val="00471C19"/>
    <w:rsid w:val="00485D23"/>
    <w:rsid w:val="004867E3"/>
    <w:rsid w:val="00494A28"/>
    <w:rsid w:val="004C0004"/>
    <w:rsid w:val="004C5D52"/>
    <w:rsid w:val="0050519A"/>
    <w:rsid w:val="005072A1"/>
    <w:rsid w:val="00514517"/>
    <w:rsid w:val="0054178A"/>
    <w:rsid w:val="00545827"/>
    <w:rsid w:val="00560270"/>
    <w:rsid w:val="005C2568"/>
    <w:rsid w:val="005F1B17"/>
    <w:rsid w:val="005F3CB4"/>
    <w:rsid w:val="006037C0"/>
    <w:rsid w:val="006111C9"/>
    <w:rsid w:val="006631B6"/>
    <w:rsid w:val="00680577"/>
    <w:rsid w:val="006A52C8"/>
    <w:rsid w:val="006D2A2F"/>
    <w:rsid w:val="006F74FA"/>
    <w:rsid w:val="00731ADD"/>
    <w:rsid w:val="00734777"/>
    <w:rsid w:val="00747932"/>
    <w:rsid w:val="00751A4A"/>
    <w:rsid w:val="00756632"/>
    <w:rsid w:val="00762C74"/>
    <w:rsid w:val="00786EC0"/>
    <w:rsid w:val="007934FB"/>
    <w:rsid w:val="007D1690"/>
    <w:rsid w:val="007D3B7B"/>
    <w:rsid w:val="007E22AD"/>
    <w:rsid w:val="00817416"/>
    <w:rsid w:val="00842779"/>
    <w:rsid w:val="0085708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48D"/>
    <w:rsid w:val="00C61C0C"/>
    <w:rsid w:val="00C941CB"/>
    <w:rsid w:val="00CC2357"/>
    <w:rsid w:val="00CF071A"/>
    <w:rsid w:val="00D01991"/>
    <w:rsid w:val="00D058B8"/>
    <w:rsid w:val="00D30FB9"/>
    <w:rsid w:val="00D56C11"/>
    <w:rsid w:val="00D834A0"/>
    <w:rsid w:val="00D872DF"/>
    <w:rsid w:val="00D91E21"/>
    <w:rsid w:val="00DA7FCD"/>
    <w:rsid w:val="00DE26BF"/>
    <w:rsid w:val="00DF3F25"/>
    <w:rsid w:val="00E365E1"/>
    <w:rsid w:val="00E42FBB"/>
    <w:rsid w:val="00E820A4"/>
    <w:rsid w:val="00EB006A"/>
    <w:rsid w:val="00EB4772"/>
    <w:rsid w:val="00EC523D"/>
    <w:rsid w:val="00ED169E"/>
    <w:rsid w:val="00ED4235"/>
    <w:rsid w:val="00EE1255"/>
    <w:rsid w:val="00F04346"/>
    <w:rsid w:val="00F075DC"/>
    <w:rsid w:val="00F149E9"/>
    <w:rsid w:val="00F5134D"/>
    <w:rsid w:val="00F74202"/>
    <w:rsid w:val="00F87713"/>
    <w:rsid w:val="00FB4360"/>
    <w:rsid w:val="00FD0C70"/>
  </w:rsids>
  <w:docVars>
    <w:docVar w:name="dvdocse" w:val="A10-0059/2026"/>
    <w:docVar w:name="dvlangue" w:val="LT"/>
    <w:docVar w:name="dvnumam" w:val="0"/>
    <w:docVar w:name="dvpe" w:val="778.063"/>
    <w:docVar w:name="dvrapporteur" w:val="Pranešėjas: "/>
    <w:docVar w:name="dvtitre" w:val="2026 m. ... ... d. Europos Parlamento sprendimas dėl 2024 finansinių metų Europos Sąjungos bendrojo biudžeto įvykdymo patvirtinimo, VI skirsnis – Europos ekonomikos ir socialinių reikalų komitetas(2025/2151(DEC))"/>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FE4CE77"/>
  <w15:chartTrackingRefBased/>
  <w15:docId w15:val="{17D162C8-4809-4988-979F-25057F33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0199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01991"/>
    <w:pPr>
      <w:spacing w:before="480" w:after="240"/>
    </w:pPr>
  </w:style>
  <w:style w:type="paragraph" w:customStyle="1" w:styleId="PageHeading">
    <w:name w:val="PageHeading"/>
    <w:basedOn w:val="Normal"/>
    <w:rsid w:val="00D01991"/>
    <w:pPr>
      <w:keepNext/>
      <w:spacing w:after="480"/>
      <w:jc w:val="center"/>
    </w:pPr>
    <w:rPr>
      <w:rFonts w:ascii="Arial" w:hAnsi="Arial" w:cs="Arial"/>
      <w:b/>
    </w:rPr>
  </w:style>
  <w:style w:type="paragraph" w:customStyle="1" w:styleId="NormalBold">
    <w:name w:val="NormalBold"/>
    <w:basedOn w:val="Normal"/>
    <w:rsid w:val="00D01991"/>
    <w:rPr>
      <w:b/>
    </w:rPr>
  </w:style>
  <w:style w:type="paragraph" w:customStyle="1" w:styleId="NormalHanging12a">
    <w:name w:val="NormalHanging12a"/>
    <w:basedOn w:val="Normal"/>
    <w:link w:val="NormalHanging12aChar"/>
    <w:rsid w:val="00D01991"/>
    <w:pPr>
      <w:spacing w:after="240"/>
      <w:ind w:left="567" w:hanging="567"/>
    </w:pPr>
  </w:style>
  <w:style w:type="paragraph" w:styleId="Header">
    <w:name w:val="header"/>
    <w:basedOn w:val="Normal"/>
    <w:link w:val="HeaderChar"/>
    <w:rsid w:val="00D01991"/>
    <w:pPr>
      <w:tabs>
        <w:tab w:val="center" w:pos="4513"/>
        <w:tab w:val="right" w:pos="9026"/>
      </w:tabs>
    </w:pPr>
  </w:style>
  <w:style w:type="character" w:customStyle="1" w:styleId="HeaderChar">
    <w:name w:val="Header Char"/>
    <w:basedOn w:val="DefaultParagraphFont"/>
    <w:link w:val="Header"/>
    <w:rsid w:val="00D01991"/>
    <w:rPr>
      <w:sz w:val="24"/>
      <w:lang w:val="lt-LT"/>
    </w:rPr>
  </w:style>
  <w:style w:type="paragraph" w:customStyle="1" w:styleId="EPFooter">
    <w:name w:val="EPFooter"/>
    <w:basedOn w:val="Normal"/>
    <w:rsid w:val="00D01991"/>
    <w:pPr>
      <w:tabs>
        <w:tab w:val="center" w:pos="4535"/>
        <w:tab w:val="right" w:pos="9071"/>
      </w:tabs>
      <w:spacing w:before="240" w:after="240"/>
    </w:pPr>
    <w:rPr>
      <w:color w:val="010000"/>
      <w:sz w:val="22"/>
    </w:rPr>
  </w:style>
  <w:style w:type="character" w:styleId="Hyperlink">
    <w:name w:val="Hyperlink"/>
    <w:basedOn w:val="DefaultParagraphFont"/>
    <w:rsid w:val="00D01991"/>
    <w:rPr>
      <w:color w:val="0563C1" w:themeColor="hyperlink"/>
      <w:u w:val="single"/>
    </w:rPr>
  </w:style>
  <w:style w:type="character" w:customStyle="1" w:styleId="NormalHanging12aChar">
    <w:name w:val="NormalHanging12a Char"/>
    <w:basedOn w:val="DefaultParagraphFont"/>
    <w:link w:val="NormalHanging12a"/>
    <w:rsid w:val="00D01991"/>
    <w:rPr>
      <w:sz w:val="24"/>
      <w:lang w:val="lt-LT"/>
    </w:rPr>
  </w:style>
  <w:style w:type="paragraph" w:styleId="Footer">
    <w:name w:val="footer"/>
    <w:basedOn w:val="Normal"/>
    <w:link w:val="FooterChar"/>
    <w:rsid w:val="006111C9"/>
    <w:pPr>
      <w:tabs>
        <w:tab w:val="center" w:pos="4513"/>
        <w:tab w:val="right" w:pos="9026"/>
      </w:tabs>
    </w:pPr>
  </w:style>
  <w:style w:type="character" w:customStyle="1" w:styleId="FooterChar">
    <w:name w:val="Footer Char"/>
    <w:basedOn w:val="DefaultParagraphFont"/>
    <w:link w:val="Footer"/>
    <w:rsid w:val="006111C9"/>
    <w:rPr>
      <w:sz w:val="24"/>
      <w:lang w:val="lt-LT"/>
    </w:rPr>
  </w:style>
  <w:style w:type="paragraph" w:styleId="Revision">
    <w:name w:val="Revision"/>
    <w:hidden/>
    <w:uiPriority w:val="99"/>
    <w:semiHidden/>
    <w:rsid w:val="00DE26BF"/>
    <w:rPr>
      <w:sz w:val="24"/>
      <w:lang w:val="lt-LT"/>
    </w:rPr>
  </w:style>
  <w:style w:type="character" w:styleId="FollowedHyperlink">
    <w:name w:val="FollowedHyperlink"/>
    <w:basedOn w:val="DefaultParagraphFont"/>
    <w:rsid w:val="00E42F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budget/2024/207/oj" TargetMode="External" /><Relationship Id="rId2" Type="http://schemas.openxmlformats.org/officeDocument/2006/relationships/hyperlink" Target="http://data.europa.eu/eli/C/2025/4944/oj" TargetMode="External" /><Relationship Id="rId3" Type="http://schemas.openxmlformats.org/officeDocument/2006/relationships/hyperlink" Target="http://data.europa.eu/eli/C/2025/5409/oj" TargetMode="External" /><Relationship Id="rId4" Type="http://schemas.openxmlformats.org/officeDocument/2006/relationships/hyperlink" Target="http://data.europa.eu/eli/C/2025/5407/oj" TargetMode="External" /><Relationship Id="rId5" Type="http://schemas.openxmlformats.org/officeDocument/2006/relationships/hyperlink" Target="http://data.europa.eu/eli/reg/2018/1046/oj" TargetMode="External" /><Relationship Id="rId6" Type="http://schemas.openxmlformats.org/officeDocument/2006/relationships/hyperlink" Target="http://data.europa.eu/eli/reg/2024/2509/oj" TargetMode="External" /><Relationship Id="rId7" Type="http://schemas.openxmlformats.org/officeDocument/2006/relationships/hyperlink" Target="http://data.europa.eu/eli/reg/2023/284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7970</Words>
  <Characters>53765</Characters>
  <Application>Microsoft Office Word</Application>
  <DocSecurity>0</DocSecurity>
  <Lines>448</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2026-08-10T08:44:00Z</dcterms:created>
  <dcterms:modified xsi:type="dcterms:W3CDTF">2026-08-10T08:44:00Z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P10_TA(2026)0131_</vt:lpwstr>
  </property>
  <property fmtid="{D5CDD505-2E9C-101B-9397-08002B2CF9AE}" pid="4" name="&lt;Type&gt;">
    <vt:lpwstr>RR</vt:lpwstr>
  </property>
</Properties>
</file>