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26FA" w14:paraId="17235BDC" w14:textId="77777777" w:rsidTr="0010095E">
        <w:trPr>
          <w:trHeight w:hRule="exact" w:val="1418"/>
        </w:trPr>
        <w:tc>
          <w:tcPr>
            <w:tcW w:w="6804" w:type="dxa"/>
            <w:shd w:val="clear" w:color="auto" w:fill="auto"/>
            <w:vAlign w:val="center"/>
          </w:tcPr>
          <w:p w14:paraId="17BF09A6" w14:textId="77777777" w:rsidR="00751A4A" w:rsidRPr="005526FA" w:rsidRDefault="00F5281A" w:rsidP="0010095E">
            <w:pPr>
              <w:pStyle w:val="EPName"/>
            </w:pPr>
            <w:r w:rsidRPr="005526FA">
              <w:t>Parlamentul European</w:t>
            </w:r>
          </w:p>
          <w:p w14:paraId="16E1F2DC" w14:textId="77777777" w:rsidR="00751A4A" w:rsidRPr="005526FA" w:rsidRDefault="005F1B17" w:rsidP="005F1B17">
            <w:pPr>
              <w:pStyle w:val="EPTerm"/>
              <w:rPr>
                <w:rStyle w:val="HideTWBExt"/>
                <w:noProof w:val="0"/>
                <w:vanish w:val="0"/>
                <w:color w:val="auto"/>
              </w:rPr>
            </w:pPr>
            <w:r w:rsidRPr="005526FA">
              <w:t>2024</w:t>
            </w:r>
            <w:r w:rsidR="00817416" w:rsidRPr="005526FA">
              <w:t>-202</w:t>
            </w:r>
            <w:r w:rsidRPr="005526FA">
              <w:t>9</w:t>
            </w:r>
          </w:p>
        </w:tc>
        <w:tc>
          <w:tcPr>
            <w:tcW w:w="2268" w:type="dxa"/>
            <w:shd w:val="clear" w:color="auto" w:fill="auto"/>
          </w:tcPr>
          <w:p w14:paraId="752E9552" w14:textId="77777777" w:rsidR="00751A4A" w:rsidRPr="005526FA" w:rsidRDefault="00187494" w:rsidP="0010095E">
            <w:pPr>
              <w:pStyle w:val="EPLogo"/>
            </w:pPr>
            <w:r w:rsidRPr="005526FA">
              <w:rPr>
                <w:noProof/>
                <w:lang w:eastAsia="ja-JP"/>
              </w:rPr>
              <w:drawing>
                <wp:inline distT="0" distB="0" distL="0" distR="0" wp14:anchorId="04D5FBD2" wp14:editId="202A59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87BE25" w14:textId="77777777" w:rsidR="00D058B8" w:rsidRPr="005526FA" w:rsidRDefault="00D058B8" w:rsidP="004C5D52">
      <w:pPr>
        <w:pStyle w:val="LineTop"/>
      </w:pPr>
    </w:p>
    <w:p w14:paraId="6C966642" w14:textId="77777777" w:rsidR="00680577" w:rsidRPr="005526FA" w:rsidRDefault="00F5281A" w:rsidP="00680577">
      <w:pPr>
        <w:pStyle w:val="EPBodyTA1"/>
      </w:pPr>
      <w:r w:rsidRPr="005526FA">
        <w:t>TEXTE ADOPTATE</w:t>
      </w:r>
    </w:p>
    <w:p w14:paraId="60DDE37E" w14:textId="77777777" w:rsidR="00D058B8" w:rsidRPr="005526FA" w:rsidRDefault="00D058B8" w:rsidP="00D058B8">
      <w:pPr>
        <w:pStyle w:val="LineBottom"/>
      </w:pPr>
    </w:p>
    <w:p w14:paraId="3B6D39CE" w14:textId="5C03D54C" w:rsidR="00F5281A" w:rsidRPr="005526FA" w:rsidRDefault="00F5281A" w:rsidP="00F5281A">
      <w:pPr>
        <w:pStyle w:val="ATHeading1"/>
      </w:pPr>
      <w:bookmarkStart w:id="0" w:name="TANumber"/>
      <w:r w:rsidRPr="005526FA">
        <w:t>P10_TA(2026)0</w:t>
      </w:r>
      <w:bookmarkEnd w:id="0"/>
      <w:r w:rsidR="005526FA">
        <w:t>131</w:t>
      </w:r>
    </w:p>
    <w:p w14:paraId="684F764A" w14:textId="77777777" w:rsidR="00F5281A" w:rsidRPr="005526FA" w:rsidRDefault="00F5281A" w:rsidP="00F5281A">
      <w:pPr>
        <w:pStyle w:val="ATHeading2"/>
      </w:pPr>
      <w:bookmarkStart w:id="1" w:name="title"/>
      <w:r w:rsidRPr="005526FA">
        <w:t>Descărcarea de gestiune 2024: Bugetul general al UE - Comitetul Economic și Social European</w:t>
      </w:r>
      <w:bookmarkEnd w:id="1"/>
    </w:p>
    <w:p w14:paraId="4B79E8A6" w14:textId="77777777" w:rsidR="00F5281A" w:rsidRPr="005526FA" w:rsidRDefault="00F5281A" w:rsidP="00F5281A">
      <w:pPr>
        <w:rPr>
          <w:i/>
          <w:vanish/>
        </w:rPr>
      </w:pPr>
      <w:r w:rsidRPr="005526FA">
        <w:rPr>
          <w:i/>
        </w:rPr>
        <w:fldChar w:fldCharType="begin"/>
      </w:r>
      <w:r w:rsidRPr="005526FA">
        <w:rPr>
          <w:i/>
        </w:rPr>
        <w:instrText xml:space="preserve"> TC"(</w:instrText>
      </w:r>
      <w:bookmarkStart w:id="2" w:name="DocNumber"/>
      <w:r w:rsidRPr="005526FA">
        <w:rPr>
          <w:i/>
        </w:rPr>
        <w:instrText>A10-0059/2026</w:instrText>
      </w:r>
      <w:bookmarkEnd w:id="2"/>
      <w:r w:rsidRPr="005526FA">
        <w:rPr>
          <w:i/>
        </w:rPr>
        <w:instrText xml:space="preserve"> - Raportor: </w:instrText>
      </w:r>
      <w:proofErr w:type="spellStart"/>
      <w:r w:rsidRPr="005526FA">
        <w:rPr>
          <w:i/>
        </w:rPr>
        <w:instrText>Pasquale</w:instrText>
      </w:r>
      <w:proofErr w:type="spellEnd"/>
      <w:r w:rsidRPr="005526FA">
        <w:rPr>
          <w:i/>
        </w:rPr>
        <w:instrText xml:space="preserve"> </w:instrText>
      </w:r>
      <w:proofErr w:type="spellStart"/>
      <w:r w:rsidRPr="005526FA">
        <w:rPr>
          <w:i/>
        </w:rPr>
        <w:instrText>Tridico</w:instrText>
      </w:r>
      <w:proofErr w:type="spellEnd"/>
      <w:r w:rsidRPr="005526FA">
        <w:rPr>
          <w:i/>
        </w:rPr>
        <w:instrText xml:space="preserve">)"\l3 \n&gt; \* MERGEFORMAT </w:instrText>
      </w:r>
      <w:r w:rsidRPr="005526FA">
        <w:rPr>
          <w:i/>
        </w:rPr>
        <w:fldChar w:fldCharType="end"/>
      </w:r>
    </w:p>
    <w:p w14:paraId="1EDEF422" w14:textId="77777777" w:rsidR="00F5281A" w:rsidRPr="005526FA" w:rsidRDefault="00F5281A" w:rsidP="00F5281A">
      <w:pPr>
        <w:rPr>
          <w:vanish/>
        </w:rPr>
      </w:pPr>
      <w:bookmarkStart w:id="3" w:name="Commission"/>
      <w:r w:rsidRPr="005526FA">
        <w:rPr>
          <w:vanish/>
        </w:rPr>
        <w:t>Comisia pentru control bugetar</w:t>
      </w:r>
      <w:bookmarkEnd w:id="3"/>
    </w:p>
    <w:p w14:paraId="6A488F4C" w14:textId="77777777" w:rsidR="00F5281A" w:rsidRPr="005526FA" w:rsidRDefault="00F5281A" w:rsidP="00F5281A">
      <w:pPr>
        <w:rPr>
          <w:vanish/>
        </w:rPr>
      </w:pPr>
      <w:bookmarkStart w:id="4" w:name="PE"/>
      <w:r w:rsidRPr="005526FA">
        <w:rPr>
          <w:vanish/>
        </w:rPr>
        <w:t>PE778.063</w:t>
      </w:r>
      <w:bookmarkEnd w:id="4"/>
    </w:p>
    <w:p w14:paraId="7CAE335E" w14:textId="12A13639" w:rsidR="00F5281A" w:rsidRPr="005526FA" w:rsidRDefault="00BA378F" w:rsidP="00BA378F">
      <w:pPr>
        <w:pStyle w:val="ATHeading3"/>
      </w:pPr>
      <w:bookmarkStart w:id="5" w:name="Sujet"/>
      <w:r w:rsidRPr="005526FA">
        <w:rPr>
          <w:bCs/>
        </w:rPr>
        <w:t>1.</w:t>
      </w:r>
      <w:r w:rsidRPr="005526FA">
        <w:t xml:space="preserve"> </w:t>
      </w:r>
      <w:r w:rsidR="00F5281A" w:rsidRPr="005526FA">
        <w:t>Decizia Parlamentului European din 2</w:t>
      </w:r>
      <w:r w:rsidR="00E12C92" w:rsidRPr="005526FA">
        <w:t>9</w:t>
      </w:r>
      <w:r w:rsidR="00F5281A" w:rsidRPr="005526FA">
        <w:t xml:space="preserve"> aprilie 2026 privind descărcarea de gestiune pentru execuția bugetului general al Uniunii Europene aferent exercițiului financiar</w:t>
      </w:r>
      <w:r w:rsidR="00E12C92" w:rsidRPr="005526FA">
        <w:t> </w:t>
      </w:r>
      <w:r w:rsidR="00F5281A" w:rsidRPr="005526FA">
        <w:t>2024, secțiunea VI – Comitetul Economic și Social European</w:t>
      </w:r>
      <w:bookmarkEnd w:id="5"/>
      <w:r w:rsidR="00F5281A" w:rsidRPr="005526FA">
        <w:t xml:space="preserve"> </w:t>
      </w:r>
      <w:bookmarkStart w:id="6" w:name="References"/>
      <w:r w:rsidR="00F5281A" w:rsidRPr="005526FA">
        <w:t>(2025/2151(DEC))</w:t>
      </w:r>
      <w:bookmarkEnd w:id="6"/>
    </w:p>
    <w:p w14:paraId="6AD33018" w14:textId="77777777" w:rsidR="007A27F7" w:rsidRPr="005526FA" w:rsidRDefault="007A27F7" w:rsidP="007A27F7">
      <w:pPr>
        <w:pStyle w:val="EPComma"/>
      </w:pPr>
      <w:bookmarkStart w:id="7" w:name="TextBodyBegin"/>
      <w:bookmarkEnd w:id="7"/>
      <w:r w:rsidRPr="005526FA">
        <w:rPr>
          <w:i/>
          <w:iCs/>
        </w:rPr>
        <w:t>Parlamentul European</w:t>
      </w:r>
      <w:r w:rsidRPr="005526FA">
        <w:t>,</w:t>
      </w:r>
    </w:p>
    <w:p w14:paraId="42E8FBBC" w14:textId="77777777" w:rsidR="007A27F7" w:rsidRPr="005526FA" w:rsidRDefault="007A27F7" w:rsidP="007A27F7">
      <w:pPr>
        <w:pStyle w:val="NormalHanging12a"/>
      </w:pPr>
      <w:r w:rsidRPr="005526FA">
        <w:t>–</w:t>
      </w:r>
      <w:r w:rsidRPr="005526FA">
        <w:tab/>
        <w:t>având în vedere bugetul general al Uniunii Europene aferent exercițiului financiar 2024</w:t>
      </w:r>
      <w:r w:rsidRPr="005526FA">
        <w:rPr>
          <w:rStyle w:val="FootnoteReference"/>
        </w:rPr>
        <w:footnoteReference w:id="1"/>
      </w:r>
      <w:r w:rsidRPr="005526FA">
        <w:t>,</w:t>
      </w:r>
    </w:p>
    <w:p w14:paraId="7F0E2E3D" w14:textId="77777777" w:rsidR="007A27F7" w:rsidRPr="005526FA" w:rsidRDefault="007A27F7" w:rsidP="007A27F7">
      <w:pPr>
        <w:pStyle w:val="NormalHanging12a"/>
      </w:pPr>
      <w:r w:rsidRPr="005526FA">
        <w:t>–</w:t>
      </w:r>
      <w:r w:rsidRPr="005526FA">
        <w:tab/>
        <w:t>având în vedere conturile anuale consolidate ale Uniunii Europene pentru exercițiul financiar 2024 (COM(2025)0359 – C10</w:t>
      </w:r>
      <w:r w:rsidRPr="005526FA">
        <w:noBreakHyphen/>
        <w:t>0150/2025)</w:t>
      </w:r>
      <w:r w:rsidRPr="005526FA">
        <w:rPr>
          <w:rStyle w:val="FootnoteReference"/>
        </w:rPr>
        <w:footnoteReference w:id="2"/>
      </w:r>
      <w:r w:rsidRPr="005526FA">
        <w:t>,</w:t>
      </w:r>
    </w:p>
    <w:p w14:paraId="5E10DD48" w14:textId="77777777" w:rsidR="007A27F7" w:rsidRPr="005526FA" w:rsidRDefault="007A27F7" w:rsidP="007A27F7">
      <w:pPr>
        <w:pStyle w:val="NormalHanging12a"/>
      </w:pPr>
      <w:r w:rsidRPr="005526FA">
        <w:t>–</w:t>
      </w:r>
      <w:r w:rsidRPr="005526FA">
        <w:tab/>
        <w:t>având în vedere Raportul anual al Comitetului Economic și Social European către autoritatea care acordă descărcarea de gestiune privind auditurile interne desfășurate în 2024,</w:t>
      </w:r>
    </w:p>
    <w:p w14:paraId="48060E90" w14:textId="77777777" w:rsidR="007A27F7" w:rsidRPr="005526FA" w:rsidRDefault="007A27F7" w:rsidP="007A27F7">
      <w:pPr>
        <w:pStyle w:val="NormalHanging12a"/>
      </w:pPr>
      <w:r w:rsidRPr="005526FA">
        <w:t>–</w:t>
      </w:r>
      <w:r w:rsidRPr="005526FA">
        <w:tab/>
        <w:t>având în vedere Raportul anual al Curții de Conturi referitor la execuția bugetului privind exercițiul financiar 2024, însoțit de răspunsurile instituțiilor</w:t>
      </w:r>
      <w:r w:rsidRPr="005526FA">
        <w:rPr>
          <w:rStyle w:val="FootnoteReference"/>
        </w:rPr>
        <w:footnoteReference w:id="3"/>
      </w:r>
      <w:r w:rsidRPr="005526FA">
        <w:t>,</w:t>
      </w:r>
    </w:p>
    <w:p w14:paraId="2B698A5F" w14:textId="77777777" w:rsidR="007A27F7" w:rsidRPr="005526FA" w:rsidRDefault="007A27F7" w:rsidP="007A27F7">
      <w:pPr>
        <w:pStyle w:val="NormalHanging12a"/>
      </w:pPr>
      <w:r w:rsidRPr="005526FA">
        <w:t>–</w:t>
      </w:r>
      <w:r w:rsidRPr="005526FA">
        <w:tab/>
        <w:t>având în vedere declarația de asigurare</w:t>
      </w:r>
      <w:r w:rsidRPr="005526FA">
        <w:rPr>
          <w:rStyle w:val="FootnoteReference"/>
        </w:rPr>
        <w:footnoteReference w:id="4"/>
      </w:r>
      <w:r w:rsidRPr="005526FA">
        <w:t xml:space="preserve"> privind fiabilitatea conturilor și legalitatea și regularitatea operațiunilor subiacente întocmită de Curtea de Conturi pentru exercițiul 2024 în temeiul articolului 287 din Tratatul privind funcționarea Uniunii Europene,</w:t>
      </w:r>
    </w:p>
    <w:p w14:paraId="0AEE331C" w14:textId="77777777" w:rsidR="007A27F7" w:rsidRPr="005526FA" w:rsidRDefault="007A27F7" w:rsidP="007A27F7">
      <w:pPr>
        <w:pStyle w:val="NormalHanging12a"/>
      </w:pPr>
      <w:r w:rsidRPr="005526FA">
        <w:t>–</w:t>
      </w:r>
      <w:r w:rsidRPr="005526FA">
        <w:tab/>
        <w:t>având în vedere articolul 314 alineatul (10) și articolele 317, 318 și 319 din Tratatul privind funcționarea Uniunii Europene,</w:t>
      </w:r>
    </w:p>
    <w:p w14:paraId="6F2B6F6B" w14:textId="77777777" w:rsidR="007A27F7" w:rsidRPr="005526FA" w:rsidRDefault="007A27F7" w:rsidP="007A27F7">
      <w:pPr>
        <w:pStyle w:val="NormalHanging12a"/>
      </w:pPr>
      <w:r w:rsidRPr="005526FA">
        <w:t>–</w:t>
      </w:r>
      <w:r w:rsidRPr="005526FA">
        <w:tab/>
        <w:t xml:space="preserve">având în vedere Regulamentul (UE, Euratom) 2018/1046 al Parlamentului European și al Consiliului din 18 iulie 2018 privind normele financiare aplicabile bugetului general al Uniunii, de modificare a Regulamentelor (UE) nr. 1296/2013, (UE) nr. 1301/2013, </w:t>
      </w:r>
      <w:r w:rsidRPr="005526FA">
        <w:lastRenderedPageBreak/>
        <w:t>(UE) nr. 1303/2013, (UE) nr. 1304/2013, (UE) nr. 1309/2013, (UE) nr. 1316/2013, (UE) nr. 223/2014, (UE) nr. 283/2014 și a Deciziei nr. 541/2014/UE și de abrogare a Regulamentului (UE, Euratom) nr. 966/2012</w:t>
      </w:r>
      <w:r w:rsidRPr="005526FA">
        <w:rPr>
          <w:rStyle w:val="FootnoteReference"/>
        </w:rPr>
        <w:footnoteReference w:id="5"/>
      </w:r>
      <w:r w:rsidRPr="005526FA">
        <w:t>, în special articolele 59, 118, 260, 261 și 262,</w:t>
      </w:r>
    </w:p>
    <w:p w14:paraId="705E4930" w14:textId="77777777" w:rsidR="007A27F7" w:rsidRPr="005526FA" w:rsidRDefault="007A27F7" w:rsidP="007A27F7">
      <w:pPr>
        <w:pStyle w:val="NormalHanging12a"/>
      </w:pPr>
      <w:r w:rsidRPr="005526FA">
        <w:t>–</w:t>
      </w:r>
      <w:r w:rsidRPr="005526FA">
        <w:tab/>
        <w:t>având în vedere Regulamentul (UE, Euratom) 2024/2509 al Parlamentului European și al Consiliului din 23 septembrie 2024 privind normele financiare aplicabile bugetului general al Uniunii</w:t>
      </w:r>
      <w:r w:rsidRPr="005526FA">
        <w:rPr>
          <w:rStyle w:val="FootnoteReference"/>
        </w:rPr>
        <w:footnoteReference w:id="6"/>
      </w:r>
      <w:r w:rsidRPr="005526FA">
        <w:t>, în special articolele 59, 118, 266, 267 și 268,</w:t>
      </w:r>
    </w:p>
    <w:p w14:paraId="6C2AB73D" w14:textId="77777777" w:rsidR="007A27F7" w:rsidRPr="005526FA" w:rsidRDefault="007A27F7" w:rsidP="007A27F7">
      <w:pPr>
        <w:pStyle w:val="NormalHanging12a"/>
      </w:pPr>
      <w:r w:rsidRPr="005526FA">
        <w:t>–</w:t>
      </w:r>
      <w:r w:rsidRPr="005526FA">
        <w:tab/>
        <w:t>având în vedere articolul 102 și anexa V la Regulamentul său de procedură,</w:t>
      </w:r>
    </w:p>
    <w:p w14:paraId="3DC4824A" w14:textId="77777777" w:rsidR="007A27F7" w:rsidRPr="005526FA" w:rsidRDefault="007A27F7" w:rsidP="007A27F7">
      <w:pPr>
        <w:pStyle w:val="NormalHanging12a"/>
      </w:pPr>
      <w:r w:rsidRPr="005526FA">
        <w:t>–</w:t>
      </w:r>
      <w:r w:rsidRPr="005526FA">
        <w:tab/>
        <w:t>având în vedere raportul Comisiei pentru control bugetar (A10-0059/2026),</w:t>
      </w:r>
    </w:p>
    <w:p w14:paraId="36C736B6" w14:textId="77777777" w:rsidR="007A27F7" w:rsidRPr="005526FA" w:rsidRDefault="007A27F7" w:rsidP="007A27F7">
      <w:pPr>
        <w:pStyle w:val="NormalHanging12a"/>
      </w:pPr>
      <w:r w:rsidRPr="005526FA">
        <w:t>1.</w:t>
      </w:r>
      <w:r w:rsidRPr="005526FA">
        <w:tab/>
        <w:t>acordă secretarei generale a Comitetului Economic și Social European descărcarea de gestiune pentru execuția bugetului Comitetului Economic și Social European aferent exercițiului financiar 2024;</w:t>
      </w:r>
    </w:p>
    <w:p w14:paraId="138AB831" w14:textId="77777777" w:rsidR="007A27F7" w:rsidRPr="005526FA" w:rsidRDefault="007A27F7" w:rsidP="007A27F7">
      <w:pPr>
        <w:pStyle w:val="NormalHanging12a"/>
      </w:pPr>
      <w:r w:rsidRPr="005526FA">
        <w:t>2.</w:t>
      </w:r>
      <w:r w:rsidRPr="005526FA">
        <w:tab/>
        <w:t>își prezintă observațiile în cadrul rezoluției de mai jos;</w:t>
      </w:r>
    </w:p>
    <w:p w14:paraId="4BC8DBA2" w14:textId="77777777" w:rsidR="007A27F7" w:rsidRPr="005526FA" w:rsidRDefault="007A27F7" w:rsidP="007A27F7">
      <w:pPr>
        <w:pStyle w:val="NormalHanging12a"/>
      </w:pPr>
      <w:r w:rsidRPr="005526FA">
        <w:t>3.</w:t>
      </w:r>
      <w:r w:rsidRPr="005526FA">
        <w:tab/>
        <w:t xml:space="preserve">încredințează Președintei sarcina de a transmite prezenta decizie împreună cu rezoluția Parlamentului, ca parte integrantă a acesteia, Comitetului Economic și Social European, Consiliului, Comisiei și Curții de Conturi și de a asigura publicarea acestora în </w:t>
      </w:r>
      <w:r w:rsidRPr="005526FA">
        <w:rPr>
          <w:i/>
          <w:iCs/>
        </w:rPr>
        <w:t>Jurnalul Oficial al Uniunii Europene</w:t>
      </w:r>
      <w:r w:rsidRPr="005526FA">
        <w:t xml:space="preserve"> (seria L).</w:t>
      </w:r>
    </w:p>
    <w:p w14:paraId="739EB9A7" w14:textId="77777777" w:rsidR="007A27F7" w:rsidRPr="005526FA" w:rsidRDefault="007A27F7" w:rsidP="007A27F7">
      <w:pPr>
        <w:pStyle w:val="PageHeading"/>
        <w:sectPr w:rsidR="007A27F7" w:rsidRPr="005526FA" w:rsidSect="009A25F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6AA162" w14:textId="71A786EF" w:rsidR="00E05392" w:rsidRPr="005526FA" w:rsidRDefault="00E05392" w:rsidP="00E05392">
      <w:pPr>
        <w:pStyle w:val="ATHeading3"/>
      </w:pPr>
      <w:r w:rsidRPr="005526FA">
        <w:lastRenderedPageBreak/>
        <w:t>2. Rezoluția Parlamentului European din 2</w:t>
      </w:r>
      <w:r w:rsidR="00E12C92" w:rsidRPr="005526FA">
        <w:t>9</w:t>
      </w:r>
      <w:r w:rsidRPr="005526FA">
        <w:t xml:space="preserve"> aprilie 2026 conținând observațiile care fac parte integrantă din decizia privind descărcarea de gestiune pentru execuția bugetului general al Uniunii Europene aferent exercițiului financiar 2024, secțiunea VI – Comitetul Economic și Social European (2025/2151(DEC))</w:t>
      </w:r>
    </w:p>
    <w:p w14:paraId="2408432C" w14:textId="77777777" w:rsidR="007A27F7" w:rsidRPr="005526FA" w:rsidRDefault="007A27F7" w:rsidP="007A27F7">
      <w:pPr>
        <w:pStyle w:val="EPComma"/>
      </w:pPr>
      <w:r w:rsidRPr="005526FA">
        <w:rPr>
          <w:i/>
          <w:iCs/>
        </w:rPr>
        <w:t>Parlamentul European</w:t>
      </w:r>
      <w:r w:rsidRPr="005526FA">
        <w:t>,</w:t>
      </w:r>
    </w:p>
    <w:p w14:paraId="6C05AAA0" w14:textId="77777777" w:rsidR="007A27F7" w:rsidRPr="005526FA" w:rsidRDefault="007A27F7" w:rsidP="007A27F7">
      <w:pPr>
        <w:pStyle w:val="NormalHanging12a"/>
      </w:pPr>
      <w:r w:rsidRPr="005526FA">
        <w:t>–</w:t>
      </w:r>
      <w:r w:rsidRPr="005526FA">
        <w:tab/>
        <w:t>având în vedere decizia sa privind descărcarea de gestiune pentru execuția bugetului general al Uniunii Europene aferent exercițiului financiar 2024, secțiunea VI – Comitetul Economic și Social European,</w:t>
      </w:r>
    </w:p>
    <w:p w14:paraId="306FAC72" w14:textId="77777777" w:rsidR="007A27F7" w:rsidRPr="005526FA" w:rsidRDefault="007A27F7" w:rsidP="007A27F7">
      <w:pPr>
        <w:pStyle w:val="NormalHanging12a"/>
      </w:pPr>
      <w:r w:rsidRPr="005526FA">
        <w:t>–</w:t>
      </w:r>
      <w:r w:rsidRPr="005526FA">
        <w:tab/>
        <w:t>având în vedere articolul 102 și anexa V la Regulamentul său de procedură,</w:t>
      </w:r>
    </w:p>
    <w:p w14:paraId="47374FAE" w14:textId="77777777" w:rsidR="007A27F7" w:rsidRPr="005526FA" w:rsidRDefault="007A27F7" w:rsidP="007A27F7">
      <w:pPr>
        <w:pStyle w:val="NormalHanging12a"/>
      </w:pPr>
      <w:r w:rsidRPr="005526FA">
        <w:t>–</w:t>
      </w:r>
      <w:r w:rsidRPr="005526FA">
        <w:tab/>
        <w:t>având în vedere raportul Comisiei pentru control bugetar (A10-0059/2026),</w:t>
      </w:r>
    </w:p>
    <w:p w14:paraId="2FF89DE1" w14:textId="77777777" w:rsidR="007A27F7" w:rsidRPr="005526FA" w:rsidRDefault="007A27F7" w:rsidP="007A27F7">
      <w:pPr>
        <w:pStyle w:val="NormalHanging12a"/>
      </w:pPr>
      <w:r w:rsidRPr="005526FA">
        <w:t>A.</w:t>
      </w:r>
      <w:r w:rsidRPr="005526FA">
        <w:tab/>
        <w:t>întrucât, în contextul procedurii de descărcare de gestiune, autoritatea care acordă descărcarea de gestiune dorește să accentueze că este deosebit de important să se întărească și mai mult legitimitatea democratică a instituțiilor Uniunii prin mărirea transparenței și a responsabilității și prin aplicarea principiilor întocmirii bugetului în funcție de performanțe și bunei gestiuni a resurselor umane;</w:t>
      </w:r>
    </w:p>
    <w:p w14:paraId="6FCD8824" w14:textId="77777777" w:rsidR="007A27F7" w:rsidRPr="005526FA" w:rsidRDefault="007A27F7" w:rsidP="007A27F7">
      <w:pPr>
        <w:pStyle w:val="NormalHanging12a"/>
      </w:pPr>
      <w:r w:rsidRPr="005526FA">
        <w:t>B.</w:t>
      </w:r>
      <w:r w:rsidRPr="005526FA">
        <w:tab/>
        <w:t>întrucât Comitetul Economic și Social European (denumit în continuare „Comitetul”) este un organ consultativ al Uniunii care oferă un forum de consultare, dialog și consens între reprezentanții diferitelor componente economice, sociale și civile ale societății civile organizate din statele membre;</w:t>
      </w:r>
    </w:p>
    <w:p w14:paraId="3AECD141" w14:textId="77777777" w:rsidR="007A27F7" w:rsidRPr="005526FA" w:rsidRDefault="007A27F7" w:rsidP="007A27F7">
      <w:pPr>
        <w:pStyle w:val="NormalHanging12a"/>
      </w:pPr>
      <w:r w:rsidRPr="005526FA">
        <w:t>C.</w:t>
      </w:r>
      <w:r w:rsidRPr="005526FA">
        <w:tab/>
        <w:t>întrucât Comitetul contribuie la procesul decizional al Uniunii și, deoarece stabilește legături între politicile Uniunii și circumstanțele economice, sociale și civice, își urmărește misiunile de q îmbunătăți legiferarea și de a promova democrația participativă și valorile europene;</w:t>
      </w:r>
    </w:p>
    <w:p w14:paraId="2A246DFA" w14:textId="77777777" w:rsidR="007A27F7" w:rsidRPr="005526FA" w:rsidRDefault="007A27F7" w:rsidP="007A27F7">
      <w:pPr>
        <w:pStyle w:val="NormalHanging12a"/>
      </w:pPr>
      <w:r w:rsidRPr="005526FA">
        <w:t>D.</w:t>
      </w:r>
      <w:r w:rsidRPr="005526FA">
        <w:tab/>
        <w:t>întrucât consultarea Comitetului de către Comisie sau Consiliu este obligatorie în anumite cazuri, iar Comitetul poate adopta și avize din proprie inițiativă, având astfel o gamă largă de domenii în care poate fi sesizat, așa cum prevăd tratatele, ceea ce îi dă posibilitatea de a fi consultat de Parlament;</w:t>
      </w:r>
    </w:p>
    <w:p w14:paraId="529BCE9C" w14:textId="77777777" w:rsidR="007A27F7" w:rsidRPr="005526FA" w:rsidRDefault="007A27F7" w:rsidP="007A27F7">
      <w:pPr>
        <w:pStyle w:val="NormalHanging12a"/>
      </w:pPr>
      <w:r w:rsidRPr="005526FA">
        <w:t>E.</w:t>
      </w:r>
      <w:r w:rsidRPr="005526FA">
        <w:tab/>
        <w:t>întrucât Comisia pentru afaceri financiare și bugetare (CAF) a Comitetului este organismul său de supraveghere pentru toate procedurile bugetare și în special pentru întocmirea estimărilor bugetare, execuția bugetară, raportul anual de activitate, descărcarea de gestiune și acțiunile întreprinse ca urmare a raportului anual al Curții de Conturi (denumită în continuare „Curtea”);</w:t>
      </w:r>
    </w:p>
    <w:p w14:paraId="3E5218C1" w14:textId="77777777" w:rsidR="007A27F7" w:rsidRPr="005526FA" w:rsidRDefault="007A27F7" w:rsidP="007A27F7">
      <w:pPr>
        <w:pStyle w:val="NormalHanging12a"/>
      </w:pPr>
      <w:r w:rsidRPr="005526FA">
        <w:t>F.</w:t>
      </w:r>
      <w:r w:rsidRPr="005526FA">
        <w:tab/>
        <w:t>întrucât în ultimii ani Comitetul a adoptat constant inițiative pentru a atrage și păstra personal calificat, pentru a-și optimiza structura organizatorică și metodele de lucru și pentru a promova un mediu de lucru respectuos, în contextul unui buget limitat;</w:t>
      </w:r>
    </w:p>
    <w:p w14:paraId="6E8C7509" w14:textId="77777777" w:rsidR="007A27F7" w:rsidRPr="005526FA" w:rsidRDefault="007A27F7" w:rsidP="007A27F7">
      <w:pPr>
        <w:pStyle w:val="NormalHanging12a"/>
      </w:pPr>
      <w:r w:rsidRPr="005526FA">
        <w:t>G.</w:t>
      </w:r>
      <w:r w:rsidRPr="005526FA">
        <w:tab/>
        <w:t>întrucât în 2024 Comitetul a numit un nou secretar general, căruia i s-a încredințat mandatul de a face Comitetul mai eficient și mai relevant, permițându-i să producă un impact mai puternic;</w:t>
      </w:r>
    </w:p>
    <w:p w14:paraId="1D72BAB4" w14:textId="77777777" w:rsidR="007A27F7" w:rsidRPr="005526FA" w:rsidRDefault="007A27F7" w:rsidP="007A27F7">
      <w:pPr>
        <w:pStyle w:val="NormalHanging12a"/>
      </w:pPr>
      <w:r w:rsidRPr="005526FA">
        <w:t>H.</w:t>
      </w:r>
      <w:r w:rsidRPr="005526FA">
        <w:tab/>
        <w:t xml:space="preserve">întrucât Comitetul a început un proces de transformare în 2024, cu obiectivul de a </w:t>
      </w:r>
      <w:r w:rsidRPr="005526FA">
        <w:lastRenderedPageBreak/>
        <w:t>deveni o organizație axată pe impact, care să le permită membrilor săi să amplifice și să protejeze vocea societății civile organizate,</w:t>
      </w:r>
    </w:p>
    <w:p w14:paraId="55715C89" w14:textId="77777777" w:rsidR="007A27F7" w:rsidRPr="005526FA" w:rsidRDefault="007A27F7" w:rsidP="007A27F7">
      <w:pPr>
        <w:pStyle w:val="NormalHanging12a"/>
        <w:rPr>
          <w:bCs/>
          <w:iCs/>
        </w:rPr>
      </w:pPr>
      <w:r w:rsidRPr="005526FA">
        <w:t>I.</w:t>
      </w:r>
      <w:r w:rsidRPr="005526FA">
        <w:tab/>
        <w:t>întrucât, în conformitate cu articolele 300 și 304 din Tratatul privind funcționarea Uniunii Europene, Comitetul Economic și Social European este un organ consultativ al cărui mandat constă în principal în emiterea de avize;</w:t>
      </w:r>
    </w:p>
    <w:p w14:paraId="78F7E91B" w14:textId="77777777" w:rsidR="007A27F7" w:rsidRPr="005526FA" w:rsidRDefault="007A27F7" w:rsidP="007A27F7">
      <w:pPr>
        <w:pStyle w:val="NormalHanging12a"/>
      </w:pPr>
      <w:r w:rsidRPr="005526FA">
        <w:t>1.</w:t>
      </w:r>
      <w:r w:rsidRPr="005526FA">
        <w:tab/>
        <w:t>constată că bugetul Comitetului se încadrează la rubrica 7 din CFM, „Administrația publică europeană”, care a avut un cuantum total de 13,3 miliarde EUR, adică 6,9 % din cheltuielile de la bugetul Uniunii în 2024; observă că în 2024 bugetul Comitetului a reprezentat 1,50 % din creditele de la rubrica 7 din CFM, în creștere față de procentul înregistrat în 2023, de 1,29 %;</w:t>
      </w:r>
    </w:p>
    <w:p w14:paraId="59B69BE1" w14:textId="77777777" w:rsidR="007A27F7" w:rsidRPr="005526FA" w:rsidRDefault="007A27F7" w:rsidP="007A27F7">
      <w:pPr>
        <w:pStyle w:val="NormalHanging12a"/>
      </w:pPr>
      <w:r w:rsidRPr="005526FA">
        <w:t>2.</w:t>
      </w:r>
      <w:r w:rsidRPr="005526FA">
        <w:tab/>
        <w:t>ia act de faptul că, în raportul său anual pentru exercițiul financiar 2024 (denumit în continuare „raportul Curții”), Curtea de Conturi (denumită în continuare „Curtea”) a examinat un eșantion de 70 de operațiuni de la rubrica „Administrație”, același număr ca în 2023; întrucât Curtea precizează în continuare că cheltuielile administrative cuprind cheltuielile cu resursele umane, inclusiv cheltuielile pentru pensii, care în 2024 au reprezentat aproximativ 69 % din totalul cheltuielilor administrative, precum și cheltuielile pentru clădiri, echipamente, energie, comunicații și tehnologia informației (IT), precum și că activitatea sa desfășurată de-a lungul mai multor ani indică faptul că, în general, aceste cheltuieli prezintă un risc scăzut;</w:t>
      </w:r>
    </w:p>
    <w:p w14:paraId="4D86F64E" w14:textId="77777777" w:rsidR="007A27F7" w:rsidRPr="005526FA" w:rsidRDefault="007A27F7" w:rsidP="007A27F7">
      <w:pPr>
        <w:pStyle w:val="NormalHanging12a"/>
      </w:pPr>
      <w:r w:rsidRPr="005526FA">
        <w:t>3.</w:t>
      </w:r>
      <w:r w:rsidRPr="005526FA">
        <w:tab/>
        <w:t>constată că 16 (23 %) din cele 70 de operațiuni au conținut erori, însă Curtea, pe baza celor trei erori care au fost cuantificate, estimează că nivelul de eroare este sub pragul de semnificație; ia act de faptul că raportul Curții nu a identificat nicio problemă specifică referitoare la Comitet;</w:t>
      </w:r>
    </w:p>
    <w:p w14:paraId="4DA3F9EF" w14:textId="77777777" w:rsidR="007A27F7" w:rsidRPr="005526FA" w:rsidRDefault="007A27F7" w:rsidP="007A27F7">
      <w:pPr>
        <w:pStyle w:val="NormalHanging12a"/>
        <w:rPr>
          <w:b/>
          <w:i/>
        </w:rPr>
      </w:pPr>
      <w:r w:rsidRPr="005526FA">
        <w:rPr>
          <w:b/>
          <w:i/>
        </w:rPr>
        <w:t>Gestiunea bugetară și financiară</w:t>
      </w:r>
    </w:p>
    <w:p w14:paraId="26B8195F" w14:textId="77777777" w:rsidR="007A27F7" w:rsidRPr="005526FA" w:rsidRDefault="007A27F7" w:rsidP="007A27F7">
      <w:pPr>
        <w:pStyle w:val="NormalHanging12a"/>
      </w:pPr>
      <w:r w:rsidRPr="005526FA">
        <w:t>4.</w:t>
      </w:r>
      <w:r w:rsidRPr="005526FA">
        <w:tab/>
        <w:t>constată că bugetul final adoptat al Comitetului s-a ridicat la 164 945 524 EUR în 2024, reprezentând în ansamblu o creștere cu 3,90 % față de 2023; constată, pe baza răspunsurilor Comitetului la chestionarul prezentat de Comisia pentru control bugetar pentru descărcarea de gestiune pe 2024 (denumit în continuare „chestionarul”), că două linii bugetare ale Comitetului, și anume 1200 (remunerarea și indemnizațiile personalului) și 1004 (indemnizațiile de călătorie și diurnele membrilor), reprezintă cea mai mare parte a bugetului Comitetului, și anume 65,80 % în 2024, în creștere de la 65,58 % în 2023;</w:t>
      </w:r>
    </w:p>
    <w:p w14:paraId="7FB2194A" w14:textId="77777777" w:rsidR="007A27F7" w:rsidRPr="005526FA" w:rsidRDefault="007A27F7" w:rsidP="007A27F7">
      <w:pPr>
        <w:pStyle w:val="NormalHanging12a"/>
        <w:rPr>
          <w:bCs/>
          <w:iCs/>
        </w:rPr>
      </w:pPr>
      <w:r w:rsidRPr="005526FA">
        <w:t>5.</w:t>
      </w:r>
      <w:r w:rsidRPr="005526FA">
        <w:tab/>
        <w:t>observă că Comitetul a trecut de la o abordare axată pe cheltuieli la una bazată pe gestionarea resurselor și stabilirea priorităților, fapt care se reflectă în pachetul financiar strategic aprobat de Biroul CESE și în introducerea unor exerciții de stabilire a priorităților; observă că măsurile respective vizează îmbunătățirea guvernanței financiare și alinierea deciziilor bugetare la obiectivele strategice; ia act de eforturile de reducere a sarcinii administrative și de raționalizare a proceselor în vederea obținerii unui bun raport cost-eficacitate; invită Comitetul să continue să consolideze această abordare prin integrarea unor indicatori de performanță și a unei planificări prospective în ciclul său financiar anual;</w:t>
      </w:r>
    </w:p>
    <w:p w14:paraId="6E812C88" w14:textId="77777777" w:rsidR="007A27F7" w:rsidRPr="005526FA" w:rsidRDefault="007A27F7" w:rsidP="007A27F7">
      <w:pPr>
        <w:pStyle w:val="NormalHanging12a"/>
      </w:pPr>
      <w:r w:rsidRPr="005526FA">
        <w:t>6.</w:t>
      </w:r>
      <w:r w:rsidRPr="005526FA">
        <w:tab/>
        <w:t xml:space="preserve">felicită Comitetul pentru nivelul ridicat al execuției bugetare a creditelor de angajament din anul curent, care a crescut și mai mult, de la 98,70 % în 2023 la 99,21 % în 2024, </w:t>
      </w:r>
      <w:r w:rsidRPr="005526FA">
        <w:lastRenderedPageBreak/>
        <w:t>datorită monitorizării cu succes a execuției sale bugetare, dar și datorită unei rate ridicate a inflației care afectează salariile personalului și costurile cu clădirile; ia act în acest context de eforturile de realocare ale Comitetului, care a recurs la transferuri bugetare în valoare totală de 2 487 139 EUR (reprezentând 1,51 % din bugetul său pe 2024) la diferite linii bugetare, cele mai semnificative creșteri fiind legate de funcționarea și întreținerea sistemelor software (+ 519 682 EUR) și a clădirilor (+ 421 880 EUR); constată, de asemenea, cu satisfacție că rata de execuție a creditelor de plată pentru anul în curs a crescut de la 88,12 % în 2022 și de la 90,67 % în 2023 la 92,85 % în 2024, iar termenul mediu de plată a scăzut de la 20,14 zile în 2023 la 16,06 zile în 2024, ceea ce reprezintă cea mai bună performanță a Comitetului din 2021; încurajează continuarea monitorizării eficiente, a limitării costurilor și a realocării strategice pentru a asigura transparență și un raport optim calitate-preț;</w:t>
      </w:r>
    </w:p>
    <w:p w14:paraId="6C9658F6" w14:textId="77777777" w:rsidR="007A27F7" w:rsidRPr="005526FA" w:rsidRDefault="007A27F7" w:rsidP="007A27F7">
      <w:pPr>
        <w:pStyle w:val="NormalHanging12a"/>
      </w:pPr>
      <w:r w:rsidRPr="005526FA">
        <w:t>7.</w:t>
      </w:r>
      <w:r w:rsidRPr="005526FA">
        <w:tab/>
        <w:t>constată că creditele reportate din 2023 în 2024 s-au ridicat la 13 827 713 EUR (adică aproximativ 8,38 % din bugetul Comitetului pentru 2024), ceea ce reprezintă o scădere față de nivelul de 15 466 316 EUR din exercițiul precedent (adică aproximativ 9,74 % din bugetul Comitetului pentru 2023); constată totodată că rata de execuție a creditelor reportate din 2023 în 2024 a fost de 84,74 % în 2024, mai scăzută decât 86,76 %, cât a fost în 2023;</w:t>
      </w:r>
    </w:p>
    <w:p w14:paraId="5EDFC36F" w14:textId="30D5282F" w:rsidR="007A27F7" w:rsidRPr="005526FA" w:rsidRDefault="007A27F7" w:rsidP="007A27F7">
      <w:pPr>
        <w:pStyle w:val="NormalHanging12a"/>
      </w:pPr>
      <w:r w:rsidRPr="005526FA">
        <w:t>8.</w:t>
      </w:r>
      <w:r w:rsidRPr="005526FA">
        <w:tab/>
        <w:t xml:space="preserve">ia act de faptul că la 21 </w:t>
      </w:r>
      <w:r w:rsidR="00E12C92" w:rsidRPr="005526FA">
        <w:t xml:space="preserve">iunie </w:t>
      </w:r>
      <w:r w:rsidRPr="005526FA">
        <w:t>2024 Consiliul a adoptat o nouă decizie privind acordarea diurnelor și rambursarea cheltuielilor de deplasare ale membrilor Comitetului și ale supleanților acestora, prin care diurna pentru beneficiarii care participă la reuniuni cu prezență fizică este stabilită la 367 EUR (în creștere de la 290 EUR), iar diurna pentru beneficiarii care participă la reuniuni de la distanță prin mijloace electronice este stabilită la 149 EUR (în creștere de la 145 EUR); constată, pe baza chestionarului, că în 2024 Comitetul a rambursat pentru participarea de la distanță la reuniuni suma de 259 669 EUR (294 930 EUR în 2023), echivalentul a 1 744 de zile de reuniune (2 006 zile de reuniune în 2023), în timp ce valoarea totală a indemnizațiilor forfetare plătite pentru participarea fizică la reuniuni a fost de 6 579 196 EUR în 2024 (în creștere de la 5 902 963 EUR în 2023); invită Comitetul să mărească transparența și proporționalitatea sistemului de indemnizații pentru participare la ședințe de la distanță pentru a consolida încrederea publicului și subliniază că compensația financiară pentru participarea de la distanță trebuie să fie strict justificată; constată, de asemenea, că Comitetul dispune de un sistem pentru a confirma participarea efectivă de la distanță la reuniuni prin mijloace electronice; consideră că participarea de la distanță este un instrument important și valoros pentru instituțiile moderne, reducând costurile reuniunilor și permițând o participare mai largă, așa cum se întâmplă cu ajutorul indemnizației pentru participarea la reuniuni de la distanță; salută abordarea Comitetului de a aloca indemnizații pentru participarea de la distanță în mod just și proporțional, ținând seama de responsabilitățile membrilor și de cerința de pregătire; reamintește că membrii Comitetului nu primesc salariu pentru mandatul lor;</w:t>
      </w:r>
    </w:p>
    <w:p w14:paraId="49597315" w14:textId="77777777" w:rsidR="007A27F7" w:rsidRPr="005526FA" w:rsidRDefault="007A27F7" w:rsidP="007A27F7">
      <w:pPr>
        <w:pStyle w:val="NormalHanging12a"/>
      </w:pPr>
      <w:r w:rsidRPr="005526FA">
        <w:t>9.</w:t>
      </w:r>
      <w:r w:rsidRPr="005526FA">
        <w:tab/>
        <w:t>ia act de faptul că serviciile proprii ale Comitetului au desfășurat 10 proceduri negociate, în cazul cărora valoarea contractului era cuprinsă între 15 000 EUR și 60 000 EUR, și o procedură cu o singură ofertă pentru o valoare situată între aceleași limite, în principal pentru elaborarea de studii; observă că Comitetul a mai lansat șase proceduri de achiziții publice (pentru contracte-cadru) împreună cu serviciile comune partajate cu Comitetul European al Regiunilor („</w:t>
      </w:r>
      <w:proofErr w:type="spellStart"/>
      <w:r w:rsidRPr="005526FA">
        <w:t>CoR</w:t>
      </w:r>
      <w:proofErr w:type="spellEnd"/>
      <w:r w:rsidRPr="005526FA">
        <w:t xml:space="preserve">”), care au vizat domeniul serviciilor de </w:t>
      </w:r>
      <w:proofErr w:type="spellStart"/>
      <w:r w:rsidRPr="005526FA">
        <w:t>catering</w:t>
      </w:r>
      <w:proofErr w:type="spellEnd"/>
      <w:r w:rsidRPr="005526FA">
        <w:t>, al logisticii și al întreținerii, printre altele;</w:t>
      </w:r>
    </w:p>
    <w:p w14:paraId="07A0CCD7" w14:textId="77777777" w:rsidR="007A27F7" w:rsidRPr="005526FA" w:rsidRDefault="007A27F7" w:rsidP="007A27F7">
      <w:pPr>
        <w:pStyle w:val="NormalHanging12a"/>
      </w:pPr>
      <w:r w:rsidRPr="005526FA">
        <w:lastRenderedPageBreak/>
        <w:t>10.</w:t>
      </w:r>
      <w:r w:rsidRPr="005526FA">
        <w:tab/>
        <w:t>constată din chestionar că impactul războiului de agresiune al Rusiei a continuat să pună sub presiune bugetul Comitetului în 2024, din cauza inflației și a volatilității pieței energiei, care au mărit costurile de funcționare; observă o creștere estimată de +16,53 % a costurilor cu chiriile Comitetului și de +15 % a costurilor cu contractele de servicii de întreținere și securitate în perioada 2021-2024; constată, de asemenea, pe baza chestionarului că plățile aferente chiriei Comitetului au crescut cu 4,7 % în 2024, depășind plafonul de 2 % stabilit de Comisie pentru cheltuielile nesalariale; remarcă, în plus, că costurile suportate de Comitet pentru energie au scăzut de la 1 923 391 EUR în 2023 la 711 608 EUR în 2024; felicită în acest context Comitetul pentru eforturile sale de a-și face operațiunile mai eficiente din punctul de vedere al costurilor, inclusiv prin intensificarea eforturilor de economisire a energiei; recunoaște că toate instituțiile, organele, oficiile și agențiile Uniunii trebuie să își îmbunătățească gestionarea bugetară, ținând cont și de volatilitatea prețurilor, în special în sectorul energetic, atunci când încheie contracte cu furnizorii de servicii;</w:t>
      </w:r>
    </w:p>
    <w:p w14:paraId="3EDF1046" w14:textId="77777777" w:rsidR="007A27F7" w:rsidRPr="005526FA" w:rsidRDefault="007A27F7" w:rsidP="007A27F7">
      <w:pPr>
        <w:pStyle w:val="NormalHanging12a"/>
        <w:rPr>
          <w:bCs/>
          <w:iCs/>
        </w:rPr>
      </w:pPr>
      <w:r w:rsidRPr="005526FA">
        <w:t>11.</w:t>
      </w:r>
      <w:r w:rsidRPr="005526FA">
        <w:tab/>
        <w:t>invită administrația Comitetului să identifice și să aplice în mod activ măsuri de reducere a costurilor, inclusiv prin folosirea mai frecventă a tehnologiilor pentru reuniuni hibride, optimizarea utilizării clădirilor, consolidarea activităților parlamentare și reducerea cheltuielilor logistice inutile; cere să se transmită rapoarte periodice privind progresele înregistrate ale măsurilor aplicate și ale economiilor realizate;</w:t>
      </w:r>
    </w:p>
    <w:p w14:paraId="0E8021CD" w14:textId="77777777" w:rsidR="007A27F7" w:rsidRPr="005526FA" w:rsidRDefault="007A27F7" w:rsidP="007A27F7">
      <w:pPr>
        <w:pStyle w:val="NormalHanging12a"/>
      </w:pPr>
      <w:r w:rsidRPr="005526FA">
        <w:t>12.</w:t>
      </w:r>
      <w:r w:rsidRPr="005526FA">
        <w:tab/>
        <w:t>observă din chestionar că în 2024 personalul Comitetului a efectuat 415 misiuni (300 în 2023) în valoare totală de 448 655 EUR, ceea ce reprezintă o creștere de 25 % față de 2023, care se datorează creșterii numărului de misiuni și a costurilor reale ale zborurilor și cazării la hotel; ia act de estimarea Comitetului potrivit căreia acesta a economisit aproximativ 40 000 EUR din costurile de misiune în 2024 atunci când a aplicat o rată noțională a inflației de 21 % în perioada 2020-2023 la suma plătită pentru misiuni de către Comitet în 2019 (și anume 402 097 EUR), înainte de pandemia de COVID-19; apreciază politica Comitetului de a menține cheltuielile anuale aferente misiunilor la strictul minim; ia act de faptul că președintele Comitetului a efectuat misiuni cu o durată totală de 88 de zile în 2024 (față de 69 de zile în 2023), cu un cost total de aproximativ 113 000 EUR (în creștere față de aproximativ 72 000 EUR în 2023), iar aceste misiuni au fost necesare pentru ca președintele să poată participa la forumuri internaționale, la inițiative la nivelul Uniunii și la alte evenimente care au necesitat participarea activă a Comitetului;</w:t>
      </w:r>
    </w:p>
    <w:p w14:paraId="649D7D2D" w14:textId="77777777" w:rsidR="007A27F7" w:rsidRPr="005526FA" w:rsidRDefault="007A27F7" w:rsidP="007A27F7">
      <w:pPr>
        <w:pStyle w:val="NormalHanging12a"/>
      </w:pPr>
      <w:r w:rsidRPr="005526FA">
        <w:t>13.</w:t>
      </w:r>
      <w:r w:rsidRPr="005526FA">
        <w:tab/>
        <w:t xml:space="preserve">remarcă din chestionar că Direcția comună pentru inovare și tehnologia informației (DIIT) a Comitetului și a </w:t>
      </w:r>
      <w:proofErr w:type="spellStart"/>
      <w:r w:rsidRPr="005526FA">
        <w:t>CoR</w:t>
      </w:r>
      <w:proofErr w:type="spellEnd"/>
      <w:r w:rsidRPr="005526FA">
        <w:t xml:space="preserve"> alocă circa 4 % din bugetul său în domeniul IT securității cibernetice (în creștere față de cota alocată în 2023, de 3 %), ceea ce este încă departe de obiectivul de 10 % prevăzut în legislația relevantă; le cere </w:t>
      </w:r>
      <w:proofErr w:type="spellStart"/>
      <w:r w:rsidRPr="005526FA">
        <w:t>colegiutorilor</w:t>
      </w:r>
      <w:proofErr w:type="spellEnd"/>
      <w:r w:rsidRPr="005526FA">
        <w:t xml:space="preserve"> și Comisiei să țină seama de acest lucru în cadrul procedurii bugetare anuale; recunoaște că este nevoie ca Comitetul să efectueze o modernizare a securității cibernetice de care să beneficieze ambele comitete, operațiune în care să se investească o sumă totală de circa 1,2 milioane EUR, ceea ce ar aduce cheltuielile cu securitatea cibernetică la 10 % din bugetul total pentru IT al Comitetului;</w:t>
      </w:r>
    </w:p>
    <w:p w14:paraId="08D82109" w14:textId="77777777" w:rsidR="007A27F7" w:rsidRPr="005526FA" w:rsidRDefault="007A27F7" w:rsidP="007A27F7">
      <w:pPr>
        <w:pStyle w:val="NormalHanging12a"/>
      </w:pPr>
      <w:r w:rsidRPr="005526FA">
        <w:rPr>
          <w:b/>
          <w:i/>
        </w:rPr>
        <w:t>Gestiunea internă, performanța și controlul intern</w:t>
      </w:r>
    </w:p>
    <w:p w14:paraId="66780925" w14:textId="77777777" w:rsidR="007A27F7" w:rsidRPr="005526FA" w:rsidRDefault="007A27F7" w:rsidP="007A27F7">
      <w:pPr>
        <w:pStyle w:val="NormalHanging12a"/>
      </w:pPr>
      <w:r w:rsidRPr="005526FA">
        <w:t xml:space="preserve">14. </w:t>
      </w:r>
      <w:r w:rsidRPr="005526FA">
        <w:tab/>
        <w:t xml:space="preserve">observă că Comitetul are o contribuție fundamentală la elaborarea politicilor și la procesele decizionale ale Uniunii, reprezentând vocile tuturor domeniilor societății civile organizate din Uniune, aducând astfel Europa mai aproape de cetățenii săi și </w:t>
      </w:r>
      <w:r w:rsidRPr="005526FA">
        <w:lastRenderedPageBreak/>
        <w:t xml:space="preserve">mărind legitimitatea democratică a legislației Uniunii; reamintește că programul anual de lucru al Comitetului include un sistem de monitorizare a performanței cu indicatori axați pe diferite domenii, cum ar fi IT, resursele umane, traducerea și comunicarea, structurat în jurul a cinci valori fundamentale și a cinci obiective strategice esențiale, în cadrul strategiei Secretariatului General pentru perioada 2021-2025; consideră însă că valoarea adăugată a activităților sale pentru cetățenii Uniunii rămâne în mare măsură </w:t>
      </w:r>
      <w:proofErr w:type="spellStart"/>
      <w:r w:rsidRPr="005526FA">
        <w:t>subraportată</w:t>
      </w:r>
      <w:proofErr w:type="spellEnd"/>
      <w:r w:rsidRPr="005526FA">
        <w:t>;  constată cu satisfacție, pe baza acțiunilor subsecvente întreprinse de Comitet pentru a da curs observațiilor din rezoluția Parlamentului referitoare la descărcarea de gestiune pentru exercițiul financiar 2023 („raportul de monitorizare”) și a chestionarului că, în urma unui audit, Comitetul a lansat un proces structurat de îmbunătățire a monitorizării performanței sale prin alinierea cadrului său de performanță la obiectivele strategice prin indicatori-cheie de performanță și indicatori de impact care urmează să fie aliniați la viitoarele obiective strategice ale Comitetului; consideră binevenite eforturile Comitetului de a integra măsurarea impactului în procesul său decizional și solicită indicatori-cheie de performanță clari și cuantificabili și o raportare periodică pentru a asigura rezultate măsurabile și asumarea răspunderii; invită Comitetul să continue să își consolideze cadrul de evaluare a impactului, demonstrând mai bine modul în care avizele și inițiativele sale se traduc în rezultate concrete ale politicilor și în beneficii concrete pentru cetățeni, în timp ce personalul de conducere de nivel superior va juca un rol esențial în utilizarea acestor indicatori; se așteaptă să fie informat de rezultatul punerii în aplicare a acestui nou cadru prin intermediul viitoarelor rapoarte ale Comitetului către autoritatea care acordă descărcarea de gestiune;</w:t>
      </w:r>
    </w:p>
    <w:p w14:paraId="2603B718" w14:textId="77777777" w:rsidR="007A27F7" w:rsidRPr="005526FA" w:rsidRDefault="007A27F7" w:rsidP="007A27F7">
      <w:pPr>
        <w:pStyle w:val="NormalHanging12a"/>
      </w:pPr>
      <w:r w:rsidRPr="005526FA">
        <w:t>15.</w:t>
      </w:r>
      <w:r w:rsidRPr="005526FA">
        <w:tab/>
        <w:t xml:space="preserve">constată că Comitetul își realizează misiunea prin avize care se referă la propunerile legislative formulate de Comisie (elaborate în urma unor sesizări), prin avize din proprie inițiativă, care invită instituțiile Uniunii să ia măsuri, precum și prin avize exploratorii, care contribuie la activitatea Comisiei privind inițiativele sale planificate, și că pozițiile Comitetului pot fi evidențiate în rezoluții sau pot fi incluse în rapoarte de evaluare și informare; felicită Comitetul pentru modul eficient în care a sprijinit Parlamentul, Consiliul și Comisia în ciclul legislativ din 2024; observă în acest context că în 2024, Comitetul a adoptat 142 de avize și rapoarte, înregistrând o scădere față de anul 2023, când a adoptat 213 avize și rapoarte, și a organizat 148 de audieri și 26 de conferințe, comparativ cu 146 de audieri și, respectiv, 24 de conferințe în 2023; ia act de faptul că reînnoirea legislaturii în 2024 a determinat reducerea numărului de sesizări și deci a numărului de avize adoptate de Comitet în anul respectiv; reține că membrii Comitetului au participat la 518 reuniuni la nivel înalt, </w:t>
      </w:r>
      <w:proofErr w:type="spellStart"/>
      <w:r w:rsidRPr="005526FA">
        <w:t>summituri</w:t>
      </w:r>
      <w:proofErr w:type="spellEnd"/>
      <w:r w:rsidRPr="005526FA">
        <w:t xml:space="preserve"> și conferințe în 2024, comparativ cu 429 în 2023; încurajează </w:t>
      </w:r>
      <w:proofErr w:type="spellStart"/>
      <w:r w:rsidRPr="005526FA">
        <w:t>prioritizarea</w:t>
      </w:r>
      <w:proofErr w:type="spellEnd"/>
      <w:r w:rsidRPr="005526FA">
        <w:t xml:space="preserve"> inițiativelor care sprijină creșterea economică, competitivitatea și autonomia strategică a UE;</w:t>
      </w:r>
    </w:p>
    <w:p w14:paraId="7793E7B6" w14:textId="77777777" w:rsidR="007A27F7" w:rsidRPr="005526FA" w:rsidRDefault="007A27F7" w:rsidP="007A27F7">
      <w:pPr>
        <w:pStyle w:val="NormalHanging12a"/>
        <w:rPr>
          <w:bCs/>
          <w:iCs/>
        </w:rPr>
      </w:pPr>
      <w:r w:rsidRPr="005526FA">
        <w:t>16.</w:t>
      </w:r>
      <w:r w:rsidRPr="005526FA">
        <w:tab/>
        <w:t>încurajează Comitetul să își continue eforturile de a-și concentra activitatea asupra unor domenii în care poate aduce contribuții clare, măsurabile și relevante pentru elaborarea de politici și să dezvolte în continuare indicatori bazați pe performanță și pe impact care să depășească realizările bazate pe activități și să reflecte mai bine rezultatele și relevanța pentru cetățeni;</w:t>
      </w:r>
    </w:p>
    <w:p w14:paraId="002D22B6" w14:textId="77777777" w:rsidR="007A27F7" w:rsidRPr="005526FA" w:rsidRDefault="007A27F7" w:rsidP="007A27F7">
      <w:pPr>
        <w:pStyle w:val="NormalHanging12a"/>
      </w:pPr>
      <w:r w:rsidRPr="005526FA">
        <w:t>17.</w:t>
      </w:r>
      <w:r w:rsidRPr="005526FA">
        <w:tab/>
        <w:t>salută, pe baza raportului de monitorizare, angajamentul Comitetului de a formula avize referitoare la drepturile lucrătorilor, incluziunea socială și încălcările drepturilor omului și de a extinde sfera evaluărilor sale privind legislația și programele Uniunii, cu condiția să fie disponibile resurse adecvate;</w:t>
      </w:r>
    </w:p>
    <w:p w14:paraId="5E9961AE" w14:textId="77777777" w:rsidR="007A27F7" w:rsidRPr="005526FA" w:rsidRDefault="007A27F7" w:rsidP="007A27F7">
      <w:pPr>
        <w:pStyle w:val="NormalHanging12a"/>
      </w:pPr>
      <w:r w:rsidRPr="005526FA">
        <w:lastRenderedPageBreak/>
        <w:t>18.</w:t>
      </w:r>
      <w:r w:rsidRPr="005526FA">
        <w:tab/>
        <w:t xml:space="preserve">apreciază acțiunile întreprinse de Comitet în 2024 pentru a îmbunătăți vizibilitatea și impactul activității sale în cadrul ciclului politic și legislativ; consideră oportună lansarea oficială, în urma unui proiect-pilot, a unui nou format al avizelor elaborate ca răspuns la sesizările obligatorii din partea Parlamentului, a Consiliului sau a Comisiei; ia act de faptul că noul format mărește ușurința de utilizare și facilitează utilizarea de către legiuitor a acestor avize, </w:t>
      </w:r>
      <w:proofErr w:type="spellStart"/>
      <w:r w:rsidRPr="005526FA">
        <w:t>prioritizând</w:t>
      </w:r>
      <w:proofErr w:type="spellEnd"/>
      <w:r w:rsidRPr="005526FA">
        <w:t xml:space="preserve"> în același timp în mai mare măsură activitatea Comitetului; constată, de asemenea, că datorită monitorizării mai bune a avizelor selectate cu ajutorul unei liste de verificare și al unor orientări, Comitetul se așteaptă ca acestea să rămână relevante și după adoptarea lor și să contribuie la procesele legislative pe mai multe niveluri; salută, în plus, integrarea avizelor Comitetului în instrumentul EU Law </w:t>
      </w:r>
      <w:proofErr w:type="spellStart"/>
      <w:r w:rsidRPr="005526FA">
        <w:t>Tracker</w:t>
      </w:r>
      <w:proofErr w:type="spellEnd"/>
      <w:r w:rsidRPr="005526FA">
        <w:t xml:space="preserve"> (EULT) începând din aprilie 2024, în urma acestei măsuri avizele apărând în prezent ca referințe în dosarele legislative; constată cu satisfacție că Comitetul a adoptat și un plan intern pentru a anticipa mai bine prioritățile Uniunii, a îmbunătăți coordonarea interinstituțională, a consolida difuzarea și monitorizarea și a măsura mai sistematic impactul;</w:t>
      </w:r>
    </w:p>
    <w:p w14:paraId="3D452794" w14:textId="77777777" w:rsidR="007A27F7" w:rsidRPr="005526FA" w:rsidRDefault="007A27F7" w:rsidP="007A27F7">
      <w:pPr>
        <w:pStyle w:val="NormalHanging12a"/>
        <w:rPr>
          <w:bCs/>
          <w:iCs/>
        </w:rPr>
      </w:pPr>
      <w:r w:rsidRPr="005526FA">
        <w:t>19.</w:t>
      </w:r>
      <w:r w:rsidRPr="005526FA">
        <w:tab/>
        <w:t>apreciază acțiunile întreprinse de Comitet în 2024 pentru a îmbunătăți accesibilitatea, claritatea și utilizabilitatea avizelor sale pentru instituțiile Uniunii; subliniază că astfel de acțiuni sunt menite să consolideze capacitatea legiuitorilor de a lua decizii în cunoștință de cauză;</w:t>
      </w:r>
    </w:p>
    <w:p w14:paraId="210C390D" w14:textId="77777777" w:rsidR="007A27F7" w:rsidRPr="005526FA" w:rsidRDefault="007A27F7" w:rsidP="007A27F7">
      <w:pPr>
        <w:pStyle w:val="NormalHanging12a"/>
      </w:pPr>
      <w:r w:rsidRPr="005526FA">
        <w:t>20.</w:t>
      </w:r>
      <w:r w:rsidRPr="005526FA">
        <w:tab/>
        <w:t>constată cu satisfacție că Comitetul a promovat mai multe inițiative emblematice care au consolidat participarea, incluziunea și impactul politicilor în întreaga Uniune; ia act de faptul că, începând din septembrie 2024, Comitetul a preluat inițiativa în ceea ce privește aplicarea testului din perspectiva tinerilor privind politicile UE, implicând o rețea de 73 de organizații de tineret și testând din perspectiva tinerilor aproximativ 40 de avize; salută și susține inițiativele Comitetului de a îmbunătăți participarea tinerilor la procesul de elaborare a politicilor; mai constată că Comitetul și-a extins colaborarea cu țările candidate printr-o inițiativă de dialog incluziv în vederea pregătirii viitoarei extinderi, și anume inițiativa privind membrii din țări candidate la aderare, permițând unui număr de 146 de reprezentanți ai societății civile să contribuie direct la elaborarea avizelor Comitetului, prin participarea la grupuri de studiu, ședințe ale secțiunilor și sesiuni plenare (octombrie 2024); felicită Comitetul pentru promovarea inițiativei sale privind Pactul albastru european, fapt care contribuie la plasarea rezilienței în domeniul apei pe agenda Uniunii; subliniază că Comitetul a continuat să conducă Platforma europeană a părților interesate din economia circulară și a fost unul dintre organizatorii decernării premiilor europene pentru producția ecologică pe 2024, consolidând relațiile cu actorii societății civile din domeniul agriculturii ecologice; încurajează Comitetul să extindă domeniul de aplicare al avizelor pentru a include și alte acte legislative ale Uniunii privind bunurile publice, precum și rezultate măsurabile;</w:t>
      </w:r>
    </w:p>
    <w:p w14:paraId="6CF56ADB" w14:textId="77777777" w:rsidR="007A27F7" w:rsidRPr="005526FA" w:rsidRDefault="007A27F7" w:rsidP="007A27F7">
      <w:pPr>
        <w:pStyle w:val="NormalHanging12a"/>
      </w:pPr>
      <w:r w:rsidRPr="005526FA">
        <w:t>21.</w:t>
      </w:r>
      <w:r w:rsidRPr="005526FA">
        <w:tab/>
        <w:t>invită Comitetul să consolideze dezvoltarea unei strategii cuprinzătoare de transformare digitală, care să înglobeze inteligența artificială (IA), fără a pierde din vedere necesitatea de a asigura supravegherea umană a utilizării IA; strategia ar mai trebui să înglobeze automatizarea, interoperabilitatea și guvernanța datelor și să fie totodată însoțită de un cadru temeinic care să asigure utilizarea sigură, etică, responsabilă și transparentă a tehnologiilor emergente;</w:t>
      </w:r>
    </w:p>
    <w:p w14:paraId="1E114A2C" w14:textId="77777777" w:rsidR="007A27F7" w:rsidRPr="005526FA" w:rsidRDefault="007A27F7" w:rsidP="007A27F7">
      <w:pPr>
        <w:pStyle w:val="NormalHanging12a"/>
      </w:pPr>
      <w:r w:rsidRPr="005526FA">
        <w:t>22.</w:t>
      </w:r>
      <w:r w:rsidRPr="005526FA">
        <w:tab/>
        <w:t xml:space="preserve">ia cunoștință cu interes din chestionar de eforturile Comitetului de a adopta o abordare mai strategică față de </w:t>
      </w:r>
      <w:proofErr w:type="spellStart"/>
      <w:r w:rsidRPr="005526FA">
        <w:t>prioritizarea</w:t>
      </w:r>
      <w:proofErr w:type="spellEnd"/>
      <w:r w:rsidRPr="005526FA">
        <w:t xml:space="preserve"> activității sale legate de impact și de a plasa activitatea de gestionare a impactului în centrul procesului decizional; ia act în acest </w:t>
      </w:r>
      <w:r w:rsidRPr="005526FA">
        <w:lastRenderedPageBreak/>
        <w:t xml:space="preserve">context de organizarea a trei seminare strategice la nivel înalt cu participarea conducerii politice în 2024 și 2025, în cursul cărora exercițiile de analiză prospectivă au reprezentat nucleul elaborării de criterii pentru </w:t>
      </w:r>
      <w:proofErr w:type="spellStart"/>
      <w:r w:rsidRPr="005526FA">
        <w:t>prioritizarea</w:t>
      </w:r>
      <w:proofErr w:type="spellEnd"/>
      <w:r w:rsidRPr="005526FA">
        <w:t xml:space="preserve"> sau </w:t>
      </w:r>
      <w:proofErr w:type="spellStart"/>
      <w:r w:rsidRPr="005526FA">
        <w:t>deprioritizarea</w:t>
      </w:r>
      <w:proofErr w:type="spellEnd"/>
      <w:r w:rsidRPr="005526FA">
        <w:t xml:space="preserve"> inițiativelor și pentru asigurarea alinierii tematice la nevoile pe termen lung ale societății civile, printre alte obiective; constată că acest exercițiu de </w:t>
      </w:r>
      <w:proofErr w:type="spellStart"/>
      <w:r w:rsidRPr="005526FA">
        <w:t>prioritizare</w:t>
      </w:r>
      <w:proofErr w:type="spellEnd"/>
      <w:r w:rsidRPr="005526FA">
        <w:t xml:space="preserve"> va fi integrat în activitățile de bază ale Comitetului, deoarece se va desfășura anual și va fi completat, o dată la doi ani și jumătate, de o revizuire a tuturor organelor, activităților și evenimentelor majore ale Comitetului;</w:t>
      </w:r>
    </w:p>
    <w:p w14:paraId="18574225" w14:textId="77777777" w:rsidR="007A27F7" w:rsidRPr="005526FA" w:rsidRDefault="007A27F7" w:rsidP="007A27F7">
      <w:pPr>
        <w:pStyle w:val="NormalHanging12a"/>
      </w:pPr>
      <w:r w:rsidRPr="005526FA">
        <w:t>23.</w:t>
      </w:r>
      <w:r w:rsidRPr="005526FA">
        <w:tab/>
        <w:t>constată, în ceea ce privește exercițiul de conformitate din 2024, că s-a atins un nivel ridicat de conformitate, cu o rată medie de 85 % (87 % în 2023); regretă că eficacitatea sistemului de control intern a scăzut de la 78 % în 2023 la 66 % în 2024; observă în acest context existența unui decalaj între conformitatea formală și eficacitatea practică în cadrul operațiunilor zilnice; invită Comitetul să combată cauzele structurale ale scăderii eficacității controlului intern, în special prin consolidarea culturii conștientizării riscurilor, prin îmbunătățirea canalelor de comunicare internă și prin accelerarea modernizării sistemelor de gestionare a documentelor și a informațiilor, printre altele; constată și că în 2024 Comitetul a adoptat o decizie revizuită de simplificarea a 23 de tipuri de verificări, aplicabilă începând din ianuarie 2025; consideră oportun faptul că controalele ex post deja efectuate cu privire la aceste verificări au confirmat că simplificarea nu a introdus riscuri suplimentare;</w:t>
      </w:r>
    </w:p>
    <w:p w14:paraId="669135D8" w14:textId="77777777" w:rsidR="007A27F7" w:rsidRPr="005526FA" w:rsidRDefault="007A27F7" w:rsidP="007A27F7">
      <w:pPr>
        <w:pStyle w:val="NormalHanging12a"/>
      </w:pPr>
      <w:r w:rsidRPr="005526FA">
        <w:t>24.</w:t>
      </w:r>
      <w:r w:rsidRPr="005526FA">
        <w:tab/>
        <w:t>constată din raportul anual de activitate al Comitetului pe 2024 (denumit în continuare „raportul Comitetului”) că în 2024 s-au efectuat cinci noi audituri privind indemnizațiile de durată și de distanță, gestionarea riscurilor, sesizările, indicatorii-cheie privind activitatea și performanța și cheltuielile de deplasare, în urma cărora s-au formulat 14 recomandări în total; ia act mai ales de constatările auditorului intern cu privire la indemnizațiile de durată și de distanță, spre exemplu de lipsa unei definiții clare a „reședinței obișnuite” și de lipsa cerințelor privind documentele justificative; constată totodată că 13 dintre recomandări au rămas deschise la sfârșitul lunii ianuarie 2025; constată și că șapte recomandări sunt încă deschise în urma auditurilor anterioare, ele vizând în special etica și integritatea, termenele de plată, autorizarea reuniunilor, delegații Comisiei consultative pentru mutații industriale și ciclul strategic; salută în acest context faptul că Comitetul a adoptat noi norme privind autorizarea reuniunilor și indemnizațiile și rambursările aferente reuniunilor; invită Comitetul să asigure închiderea rapidă a tuturor recomandărilor de audit restante, în special a celor legate de indemnizații, etică și integritate, și să informeze în continuare autoritatea care acordă descărcarea de gestiune cu privire la progresele înregistrate în punerea în aplicare a tuturor recomandărilor cărora nu li s-a dat încă curs;</w:t>
      </w:r>
    </w:p>
    <w:p w14:paraId="6BCB8658" w14:textId="77777777" w:rsidR="007A27F7" w:rsidRPr="005526FA" w:rsidRDefault="007A27F7" w:rsidP="007A27F7">
      <w:pPr>
        <w:pStyle w:val="NormalHanging12a"/>
        <w:rPr>
          <w:b/>
          <w:i/>
        </w:rPr>
      </w:pPr>
      <w:r w:rsidRPr="005526FA">
        <w:rPr>
          <w:b/>
          <w:i/>
        </w:rPr>
        <w:t>Resursele umane, egalitatea și starea de bine a personalului</w:t>
      </w:r>
    </w:p>
    <w:p w14:paraId="79EDC6DD" w14:textId="77777777" w:rsidR="007A27F7" w:rsidRPr="005526FA" w:rsidRDefault="007A27F7" w:rsidP="007A27F7">
      <w:pPr>
        <w:pStyle w:val="NormalHanging12a"/>
      </w:pPr>
      <w:r w:rsidRPr="005526FA">
        <w:t>25.</w:t>
      </w:r>
      <w:r w:rsidRPr="005526FA">
        <w:tab/>
        <w:t xml:space="preserve">constată că la sfârșitul anului 2024 Comitetul avea în total 713 angajați, comparativ cu 707 în 2023; mai constată că în 2024 erau angajați 48 de agenți contractuali și 144 de agenți temporari (din care 42 au fost recrutați în 2024), față de 49 de agenți contractuali și 130 de agenți temporari în 2023; subliniază că este important să se ofere contracte pe durată nedeterminată pentru a menține competențele, continuitatea și un mediu de lucru productiv și stabil și atrage atenția la pericolul reprezentat de dependența excesivă de prestatorii externi de servicii; observă, în plus, că Comitetul avea 10 furnizori de servicii și 14 angajați externi care lucrau în clădirile sale, pe lângă personalul de </w:t>
      </w:r>
      <w:proofErr w:type="spellStart"/>
      <w:r w:rsidRPr="005526FA">
        <w:t>catering</w:t>
      </w:r>
      <w:proofErr w:type="spellEnd"/>
      <w:r w:rsidRPr="005526FA">
        <w:t xml:space="preserve">, întreținere, siguranță și pază; constată că rata de ocupare a fost de 96 % (95,50 % în </w:t>
      </w:r>
      <w:r w:rsidRPr="005526FA">
        <w:lastRenderedPageBreak/>
        <w:t>2023) și că rata de rotație a personalului a fost de 5,60 % în 2024 (în scădere de la 7 % în 2023);</w:t>
      </w:r>
    </w:p>
    <w:p w14:paraId="31F317E1" w14:textId="77777777" w:rsidR="007A27F7" w:rsidRPr="005526FA" w:rsidRDefault="007A27F7" w:rsidP="007A27F7">
      <w:pPr>
        <w:pStyle w:val="NormalHanging12a"/>
      </w:pPr>
      <w:r w:rsidRPr="005526FA">
        <w:t>26.</w:t>
      </w:r>
      <w:r w:rsidRPr="005526FA">
        <w:tab/>
        <w:t>felicită Comitetul pentru că în 2024 a fost un importator net de talente din alte instituții pentru al treilea an consecutiv, ca urmare a punerii în practică a planului său de acțiune privind recrutarea și păstrarea personalului, deoarece 42 % din recrutările pe care le-a făcut în 2024 au ținut de transferuri interinstituționale; observă din raportul de monitorizare și că a crescut cu 11,60 % numărul de candidaturi la posturi permanente și cu 41 % numărul de candidaturi la posturi de agenți temporari și contractuali primite de Comitet; consideră binevenit faptul că Comitetul a lansat un concurs intern, deschis agenților temporari și contractuali, fiind preconizată publicarea unei liste de rezervă înainte de sfârșitul anului 2025; evidențiază că concursurile interne sunt importante pentru păstrarea talentelor și a cunoștințelor de specialitate și pentru stabilizarea resurselor umane ale Comitetului în general; ia act cu satisfacție de participarea Comitetului la evenimente și târguri de locuri de muncă (inclusiv virtuale) și la Zilele porților deschise; observă că în 2024 Comitetul a organizat un târg virtual de locuri de muncă pentru anumite profiluri profesionale și oportunități de carieră, care a atras 270 de participanți, iar 19 dintre ei au candidat și la primul anunț de post vacant deschis în momentul evenimentului;</w:t>
      </w:r>
    </w:p>
    <w:p w14:paraId="55E7D580" w14:textId="77777777" w:rsidR="007A27F7" w:rsidRPr="005526FA" w:rsidRDefault="007A27F7" w:rsidP="007A27F7">
      <w:pPr>
        <w:pStyle w:val="NormalHanging12a"/>
      </w:pPr>
      <w:r w:rsidRPr="005526FA">
        <w:t>27.</w:t>
      </w:r>
      <w:r w:rsidRPr="005526FA">
        <w:tab/>
        <w:t>salută eforturile permanente ale Comitetului de a-și îmbunătăți cadrul de resurse umane pentru a deveni un angajator atractiv și un loc de muncă cu adevărat incluziv, unde fiecare persoană este apreciată și își poate dezvolta întregul potențial; constată că Comitetul a analizat rezultatele sondajului privind implicarea personalului efectuat în 2023, a descoperit diverse preocupări și, într-un final, a inițiat acțiuni subsecvente cu țintă precisă, care au fost întreprinse în cursul anului 2024; constată că printre aceste acțiuni se numără punerea în aplicare a noii decizii privind condițiile de muncă (munca hibridă, orele suplimentare, concediul special), revizuirea normelor de evaluare și promovare, adoptarea unei noi politici de mobilitate și gestionare a posturilor sensibile, punerea în aplicare a noii strategii și a noului plan de acțiune pentru diversitate și incluziune adoptate la sfârșitul anului 2023, reexaminarea politicii de gestionare a absențelor, care va fi adoptată în 2025, și lucrările (în curs) la noua strategie a Comitetului în materie de competențe, printre altele; consideră binevenit faptul că rata de implicare a personalului s-a îmbunătățit și mai mult, care a crescut de la 70,5 % în 2023 la 75 % în 2025, așa cum o arată cel mai recent sondaj al Comitetului;</w:t>
      </w:r>
    </w:p>
    <w:p w14:paraId="39F66345" w14:textId="77777777" w:rsidR="007A27F7" w:rsidRPr="005526FA" w:rsidRDefault="007A27F7" w:rsidP="007A27F7">
      <w:pPr>
        <w:pStyle w:val="NormalHanging12a"/>
      </w:pPr>
      <w:r w:rsidRPr="005526FA">
        <w:t>28.</w:t>
      </w:r>
      <w:r w:rsidRPr="005526FA">
        <w:tab/>
        <w:t xml:space="preserve">observă că în 2024 Comitetul avea angajați reprezentând toate naționalitățile Uniunii, unele dintre acestea fiind suprareprezentate; constată cu satisfacție că 62,70 % din angajați erau femei, iar 37,30 %, bărbați; află din raportul de monitorizare că femeile ocupă 52 % din posturile de conducere, ceea ce face Comitetul un lider în această privință; reiterează că salută numirea unei femei în funcția de secretar general în ianuarie 2024, pentru că este un pas pozitiv către atingerea echilibrului de gen; recunoaște progresele recente înregistrate în integrarea egalității de gen și a diversității printre prioritățile strategice pentru a promova o cultură a incluziunii și a respectului la locul de muncă; salută punerea în aplicare a strategiei și a planului de acțiune privind diversitatea și incluziunea, alături de programe precis direcționate de mentorat și de dezvoltare a aptitudinilor de conducere destinate femeilor și grupurilor subreprezentate; regretă însă că procentul femeilor în posturi de conducere de nivel superior a rămas scăzut în 2024, doar două din șapte posturi de conducere de nivel superior fiind ocupate de femei, la fel ca în 2023; recunoaște că rata scăzută de rotație a angajaților, ce ține de dimensiunea Comitetului, este unul dintre motivele pentru care femeile au o pondere </w:t>
      </w:r>
      <w:r w:rsidRPr="005526FA">
        <w:lastRenderedPageBreak/>
        <w:t>scăzută în aceste posturi; felicită Comitetul pentru că s-a angajat să sensibilizeze la această chestiune autoritățile împuternicite să facă numiri, să încurajeze numirile echilibrate din perspectiva genului și să se implice acțiuni cu țintă precisă prin Forumul femeilor și Forumul de management, care susțin dezvoltarea aptitudinilor de conducere ale femeilor ce ocupă posturi de conducere de nivel mediu și avansarea lor în carieră;</w:t>
      </w:r>
    </w:p>
    <w:p w14:paraId="3C4B2AC1" w14:textId="77777777" w:rsidR="007A27F7" w:rsidRPr="005526FA" w:rsidRDefault="007A27F7" w:rsidP="007A27F7">
      <w:pPr>
        <w:pStyle w:val="NormalHanging12a"/>
      </w:pPr>
      <w:r w:rsidRPr="005526FA">
        <w:t>29.</w:t>
      </w:r>
      <w:r w:rsidRPr="005526FA">
        <w:tab/>
        <w:t>reamintește inițiativa Comitetului de a introduce o nouă abordare a planificării strategice a forței de muncă și a alocării personalului, bazându-se pe colectarea de date despre competențele personalului, ascultarea activă în întreaga organizație și reflecțiile asupra priorităților strategice ale organelor politice ale Comitetului; constată din raportul de monitorizare că acest nou tip de planificare va fi lansat printr-un proiect-pilot într-un număr restrâns de servicii selectate în funcție de prioritățile strategice; invită Comitetul să informeze în permanență autoritatea care acordă descărcarea de gestiune despre progresele înregistrate și despre evoluțiile ulterioare; subliniază importanța planificării strategice a forței de muncă pentru a optimiza alocarea resurselor și a asigura alinierea la prioritățile de la nivel înalt;</w:t>
      </w:r>
    </w:p>
    <w:p w14:paraId="2AB3FC0A" w14:textId="77777777" w:rsidR="007A27F7" w:rsidRPr="005526FA" w:rsidRDefault="007A27F7" w:rsidP="007A27F7">
      <w:pPr>
        <w:pStyle w:val="NormalHanging12a"/>
      </w:pPr>
      <w:r w:rsidRPr="005526FA">
        <w:t>30.</w:t>
      </w:r>
      <w:r w:rsidRPr="005526FA">
        <w:tab/>
        <w:t>salută eforturile Comitetului de a crea un mediu de lucru sănătos pentru personalul său; salută mai cu seamă atenția acordată de Comitet sănătății fizice și psihice a personalului, precum și eforturile de informare despre problemele de sănătate; ia cunoștință de măsurile de gestionare a concediilor medicale luate de Comitet, cum ar fi munca cu fracțiune de normă și munca de la distanță extinsă din motive medicale, pentru ca personalul aflat în concediu medical de lungă durată să revină la locul de muncă în timp util; constată că a scăzut cu 7,50 % numărul total de zile de concediu medical înregistrate, de la 10 552 de zile în 2023 la 9 763 de zile în 2024, precum și că a scăzut rata absențelor de la 4,08 % în 2023 la 3,75 % în 2024 (cea mai scăzută din 2021); regretă că, încă o dată, Comitetul nu poate transmite date privind cazurile de epuizare profesională („</w:t>
      </w:r>
      <w:proofErr w:type="spellStart"/>
      <w:r w:rsidRPr="005526FA">
        <w:t>burnout</w:t>
      </w:r>
      <w:proofErr w:type="spellEnd"/>
      <w:r w:rsidRPr="005526FA">
        <w:t>”); remarcă, printre argumentele Comitetului, acela că angajații nu sunt obligați să își dezvăluie datele medicale în prealabil, că epuizarea profesională nu este un diagnostic medical acceptat și că este posibil ca motivele epuizării să nu fie legate de muncă, precum și acela al secretului medical; constată că Comitetul colectează date statistice anonimizate privind concediile medicale acordate pentru probleme de sănătate psihică, dar datele disponibile nu permit să se facă distincție între epuizarea profesională și alte probleme care nu țin de muncă; reliefează însă că epuizarea poate fi măsurată și în lipsa datelor medicale, fiindcă există instrumente de evaluare a epuizării profesionale, iar Agenția Europeană pentru Securitate și Sănătate în Muncă (EU-OSHA) susține folosirea chestionarelor anonime pentru a măsura factorii de stres profesional și de epuizare profesională separat de problemele de sănătate psihică ce nu țin de muncă; invită insistent Comitetul să se consulte și cu Autoritatea Europeană pentru Protecția Datelor (AEPD) cu privire la colectarea datelor privind epuizarea profesională cu ajutorul unor instrumente medicale sau nemedicale și să țină autoritatea care acordă descărcarea de gestiune la curent cu acțiunile subsecvente;</w:t>
      </w:r>
    </w:p>
    <w:p w14:paraId="55D8E1E0" w14:textId="77777777" w:rsidR="007A27F7" w:rsidRPr="005526FA" w:rsidRDefault="007A27F7" w:rsidP="007A27F7">
      <w:pPr>
        <w:pStyle w:val="NormalHanging12a"/>
      </w:pPr>
      <w:r w:rsidRPr="005526FA">
        <w:t>31.</w:t>
      </w:r>
      <w:r w:rsidRPr="005526FA">
        <w:tab/>
        <w:t xml:space="preserve">află din chestionar că în 2024 Comitetul și </w:t>
      </w:r>
      <w:proofErr w:type="spellStart"/>
      <w:r w:rsidRPr="005526FA">
        <w:t>CoR</w:t>
      </w:r>
      <w:proofErr w:type="spellEnd"/>
      <w:r w:rsidRPr="005526FA">
        <w:t xml:space="preserve"> au lansat proiectul </w:t>
      </w:r>
      <w:proofErr w:type="spellStart"/>
      <w:r w:rsidRPr="005526FA">
        <w:t>SPaCES</w:t>
      </w:r>
      <w:proofErr w:type="spellEnd"/>
      <w:r w:rsidRPr="005526FA">
        <w:t xml:space="preserve">, pentru a-și moderniza și optimiza spațiile de lucru printr-un proces pe deplin participativ și transparent, la care au participat reprezentanți ai personalului și parteneri sociali; evidențiază că proiectul constituie o transformare pe termen lung menită să îmbunătățească eficiența, colaborarea și flexibilitatea în ambele instituții, în concordanță cu munca hibridă; constată că proiectul </w:t>
      </w:r>
      <w:proofErr w:type="spellStart"/>
      <w:r w:rsidRPr="005526FA">
        <w:t>SPaCES</w:t>
      </w:r>
      <w:proofErr w:type="spellEnd"/>
      <w:r w:rsidRPr="005526FA">
        <w:t xml:space="preserve"> este pus în aplicare printr-o abordare pe deplin participativă, prin care personalul participă și este reprezentat în fiecare etapă; </w:t>
      </w:r>
      <w:r w:rsidRPr="005526FA">
        <w:lastRenderedPageBreak/>
        <w:t>observă că prima etapă – susținută de un contractant extern și care trebuie să se încheie în vara anului 2025 – include ateliere desfășurate împreună cu conducerea și cu toate serviciile ambelor comitete, precum și o analiză de lucru detaliată și bazată pe activități menită să depisteze nevoile viitoare în materie de spații de lucru; consideră oportun faptul că s-au creat o structură de guvernanță special prevăzută, o echipă de proiect și o rețea de puncte de contact care să îndrume procesul, să asigure transparența și să reprezinte toate interesele relevante;</w:t>
      </w:r>
    </w:p>
    <w:p w14:paraId="7C5E2AD5" w14:textId="6D2A235D" w:rsidR="007A27F7" w:rsidRPr="005526FA" w:rsidRDefault="007A27F7" w:rsidP="007A27F7">
      <w:pPr>
        <w:pStyle w:val="NormalHanging12a"/>
      </w:pPr>
      <w:r w:rsidRPr="005526FA">
        <w:t>32.</w:t>
      </w:r>
      <w:r w:rsidRPr="005526FA">
        <w:tab/>
        <w:t>reține că Comitetul a angajat 52 de stagiari pe termen lung (5 luni) și doi stagiari pe termen scurt, toți primind indemnizații lunare în 2024, în concordanță cu Rezoluția Parlamentului din 14 iunie 2023 referitoare la stagiile de calitate în Uniune (2020/2005(INL)), care cere ca toate stagiile din Europa să fie plătite;</w:t>
      </w:r>
    </w:p>
    <w:p w14:paraId="439E3320" w14:textId="77777777" w:rsidR="007A27F7" w:rsidRPr="005526FA" w:rsidRDefault="007A27F7" w:rsidP="007A27F7">
      <w:pPr>
        <w:pStyle w:val="NormalHanging12a"/>
        <w:rPr>
          <w:bCs/>
          <w:iCs/>
        </w:rPr>
      </w:pPr>
      <w:r w:rsidRPr="005526FA">
        <w:t>33.</w:t>
      </w:r>
      <w:r w:rsidRPr="005526FA">
        <w:tab/>
        <w:t>salută dialogul social solid și structurat desfășurat în cadrul proceselor de schimbare organizatorică pe întreg parcursul anului 2024; încurajează Comitetul să mențină și să continue să consolideze implicarea sistematică a reprezentanților personalului în reformele legate, printre altele, de digitalizare, de reorganizarea internă și de noile metode de lucru;</w:t>
      </w:r>
    </w:p>
    <w:p w14:paraId="271C354F" w14:textId="77777777" w:rsidR="007A27F7" w:rsidRPr="005526FA" w:rsidRDefault="007A27F7" w:rsidP="007A27F7">
      <w:pPr>
        <w:pStyle w:val="NormalHanging12a"/>
        <w:rPr>
          <w:b/>
          <w:i/>
        </w:rPr>
      </w:pPr>
      <w:r w:rsidRPr="005526FA">
        <w:rPr>
          <w:b/>
          <w:i/>
        </w:rPr>
        <w:t>Cadrul de etică și transparența</w:t>
      </w:r>
    </w:p>
    <w:p w14:paraId="0035D3A5" w14:textId="77777777" w:rsidR="007A27F7" w:rsidRPr="005526FA" w:rsidRDefault="007A27F7" w:rsidP="007A27F7">
      <w:pPr>
        <w:pStyle w:val="NormalHanging12a"/>
      </w:pPr>
      <w:r w:rsidRPr="005526FA">
        <w:t>34.</w:t>
      </w:r>
      <w:r w:rsidRPr="005526FA">
        <w:tab/>
        <w:t>reamintește că în contextul unui cadru de etică consolidat, Comitetul și auditorul intern au căzut de acord asupra unui plan de acțiune referitor la auditul eticii și integrității Comitetului, care conține zece recomandări, dintre care opt au fost închise până în martie 2025; află din raportul de monitorizare că Comitetul a dat curs celor două recomandări încă deschise revizuind și actualizând ghidul privind obligațiile funcționarilor Comitetului, al cărui conținut va fi publicat și pe intranetul Comitetului;</w:t>
      </w:r>
    </w:p>
    <w:p w14:paraId="2C052068" w14:textId="77777777" w:rsidR="007A27F7" w:rsidRPr="005526FA" w:rsidRDefault="007A27F7" w:rsidP="007A27F7">
      <w:pPr>
        <w:pStyle w:val="NormalHanging12a"/>
      </w:pPr>
      <w:r w:rsidRPr="005526FA">
        <w:t>35.</w:t>
      </w:r>
      <w:r w:rsidRPr="005526FA">
        <w:tab/>
        <w:t>constată că în 2024 Comitetul a continuat să formeze personalul și să îl informeze despre subiecte de etică; observă cu satisfacție că Comitetul oferă cursuri de formare privind etica și integritatea, obligatorii pentru întregul personal, și că în 2024 nouă cursuri de formare de acest tip au atras 54 de participanți; observă și că pe tot parcursul anului 2024, 40 de cadre de conducere din 47 au participat la sesiuni privind respectul la locul de muncă și rolul cadrelor de conducere, iar 25 de membri ai personalului au participat la cursuri de formare privind posibile tentații care au consecințe disciplinare, oferite de Oficiul de investigație și de disciplină al Comisiei; consideră binevenit faptul că sondajele arată că personalul Comitetului este conștient în mare măsură de valorile și standardele etice solide ale acestuia, de procedurile de semnalare a neregulilor și de rețeaua de consilieri confidențiali, printre altele;</w:t>
      </w:r>
    </w:p>
    <w:p w14:paraId="5BB909DA" w14:textId="77777777" w:rsidR="007A27F7" w:rsidRPr="005526FA" w:rsidRDefault="007A27F7" w:rsidP="007A27F7">
      <w:pPr>
        <w:pStyle w:val="NormalHanging12a"/>
      </w:pPr>
      <w:r w:rsidRPr="005526FA">
        <w:t>36.</w:t>
      </w:r>
      <w:r w:rsidRPr="005526FA">
        <w:tab/>
        <w:t>află din chestionar că în 2024 s-au raportat două cazuri de presupusă hărțuire și că acestea au fost anchetate și închise în 2025, deoarece într-un caz nu s-a constatat că ar fi avut loc vreo hărțuire, iar în celălalt s-au acceptat scuze oficiale pentru comportamentul necorespunzător al persoanei în cauză; află și că s-a luat o decizie într-un alt caz referitor la hărțuire în contextul unei proceduri disciplinare, prezentat înainte de 2024; află, de asemenea, că în 2024 nu s-a raportat niciun caz de hărțuire sexuală; reiterează necesitatea unei politici de toleranță zero față de hărțuire pentru a asigura protecția stării de bine a personalului și reamintește că aceasta este o obligație care revine oricărui angajator;</w:t>
      </w:r>
    </w:p>
    <w:p w14:paraId="64BBD0C7" w14:textId="77777777" w:rsidR="007A27F7" w:rsidRPr="005526FA" w:rsidRDefault="007A27F7" w:rsidP="007A27F7">
      <w:pPr>
        <w:pStyle w:val="NormalHanging12a"/>
      </w:pPr>
      <w:r w:rsidRPr="005526FA">
        <w:t>37.</w:t>
      </w:r>
      <w:r w:rsidRPr="005526FA">
        <w:tab/>
        <w:t xml:space="preserve">ia cunoștință din raportul de monitorizare de evoluția acțiunii în justiție inițiate de </w:t>
      </w:r>
      <w:r w:rsidRPr="005526FA">
        <w:lastRenderedPageBreak/>
        <w:t>autoritățile belgiene împotriva unui fost membru al Comitetului, acuzat de abuz în contextul unei plângeri de hărțuire în cadrul Comitetului, care a fost deschisă și închisă de Comitet în 2023; reține că această acțiune este suspendată, deoarece instanța belgiană competentă a solicitat Curții de Justiție a Uniunii Europene clarificări cu privire la interpretarea articolului 10 din Protocolul nr. 7 privind privilegiile și imunitățile Uniunii; invită Comitetul să țină autoritatea care acordă descărcarea de gestiune la curent cu orice evoluție ulterioară a acestei chestiuni;</w:t>
      </w:r>
    </w:p>
    <w:p w14:paraId="1445414E" w14:textId="77777777" w:rsidR="007A27F7" w:rsidRPr="005526FA" w:rsidRDefault="007A27F7" w:rsidP="007A27F7">
      <w:pPr>
        <w:pStyle w:val="NormalHanging12a"/>
      </w:pPr>
      <w:r w:rsidRPr="005526FA">
        <w:t>38.</w:t>
      </w:r>
      <w:r w:rsidRPr="005526FA">
        <w:tab/>
        <w:t>observă cu satisfacție că Comitetul este lider în materie de transparență, pentru că este primul organism care a aderat la registrul de transparență al Uniunii în afară de semnatarii inițiali; felicită Comitetul pentru măsurile de transparență adoptate, printre care și recomandarea adresată membrilor săi de a se întâlni numai cu părțile interesate înscrise în registru, obligația membrilor săi de a-și publica reuniunile pe internet și posibilitatea ca raportorii Comitetului să anexeze la avizele lor o „amprentă legislativă”, inclusiv printr-un proiect-pilot inițiat în 2025; reține că până în prezent avizele Comitetului sunt vizibile pentru că reprezintă etape ale dosarelor legislative din EULT; reține cu satisfacție din chestionar și acțiunile Comitetului privind transparența operațiunilor sale administrative de bază în domenii precum finanțele, achizițiile publice, resursele umane și accesul la documente;</w:t>
      </w:r>
    </w:p>
    <w:p w14:paraId="3FE70D1A" w14:textId="77777777" w:rsidR="007A27F7" w:rsidRPr="005526FA" w:rsidRDefault="007A27F7" w:rsidP="007A27F7">
      <w:pPr>
        <w:pStyle w:val="NormalHanging12a"/>
      </w:pPr>
      <w:r w:rsidRPr="005526FA">
        <w:t>39.</w:t>
      </w:r>
      <w:r w:rsidRPr="005526FA">
        <w:tab/>
        <w:t xml:space="preserve">constată că Comitetul dispune de un cadru temeinic de prevenire a conflictelor de interese și de evitare a cazurilor de „uși turnante”; observă, referitor la personalul Comitetului, că acesta se asigură că toate procedurile de recrutare și selecție țin seama de chestiunea conflictelor de interese; reține că personalul este obligat să declare </w:t>
      </w:r>
      <w:proofErr w:type="spellStart"/>
      <w:r w:rsidRPr="005526FA">
        <w:t>proactiv</w:t>
      </w:r>
      <w:proofErr w:type="spellEnd"/>
      <w:r w:rsidRPr="005526FA">
        <w:t xml:space="preserve"> orice situație care ar putea da naștere unui </w:t>
      </w:r>
      <w:bookmarkStart w:id="8" w:name="_Hlk216797257"/>
      <w:r w:rsidRPr="005526FA">
        <w:t>conflict de interese</w:t>
      </w:r>
      <w:bookmarkEnd w:id="8"/>
      <w:r w:rsidRPr="005526FA">
        <w:t>; observă, referitor la membrii Comitetului, că atunci când informațiile pe care ei le declară se modifică, sunt obligați să depună o nouă declarație în cel mult două luni de la modificarea în cauză; observă, referitor la membrii Comitetului, că Comitetul de etică al Comitetului a tratat o cerere de îndrumare privind un posibil conflict de interese; observă, referitor la personalul Comitetului, că în 2024 nu s-au raportat cazuri de conflicte de interese sau de avertizări de integritate;</w:t>
      </w:r>
    </w:p>
    <w:p w14:paraId="1DEE6807" w14:textId="77777777" w:rsidR="007A27F7" w:rsidRPr="005526FA" w:rsidRDefault="007A27F7" w:rsidP="007A27F7">
      <w:pPr>
        <w:pStyle w:val="NormalHanging12a"/>
      </w:pPr>
      <w:r w:rsidRPr="005526FA">
        <w:t>40.</w:t>
      </w:r>
      <w:r w:rsidRPr="005526FA">
        <w:tab/>
      </w:r>
      <w:bookmarkStart w:id="9" w:name="_Hlk216869267"/>
      <w:r w:rsidRPr="005526FA">
        <w:t>ia act cu îngrijorare de un caz de suspiciune de fraudă în care este implicat un prestator de servicii extern, care a fost respins de Oficiul European de Luptă Antifraudă (OLAF) și trimis ulterior Parchetului European (EPPO) în 2024 privind posibile infracțiuni</w:t>
      </w:r>
      <w:bookmarkEnd w:id="9"/>
      <w:r w:rsidRPr="005526FA">
        <w:t>; află cu satisfacție din chestionar că Comitetul cooperează întru totul cu EPPO în acest caz; mai află că prestatorul de servicii respectiv a plătit Comitetului daunele-interese forfetare convenite; consideră binevenite în acest context măsurile luate de Comitet pentru a preveni mai bine astfel de cazuri în viitor, efectuând verificări mai stricte ale conformității la atribuirea contractelor de achiziții publice și la executarea contractelor și îmbunătățind îndrumările și formarea în acest domeniu; observă că un caz al OLAF din 2023 a fost retrimis Comitetului pentru a desfășura o anchetă administrativă internă simplificată, care a fost lansată în 2024 și a determinat elaborarea unui raport final adresat autorității împuternicite să facă numiri în iulie 2025; invită Comitetul să informeze autoritatea care acordă descărcarea de gestiune dacă s-a luat sau nu o decizie finală în acest caz; reține, de asemenea, că o anchetă deschisă de Ombudsman în 2023 a fost închisă în 2024 cu constatarea că nu a existat o administrare defectuoasă din partea Comitetului;</w:t>
      </w:r>
    </w:p>
    <w:p w14:paraId="5E199641" w14:textId="77777777" w:rsidR="007A27F7" w:rsidRPr="005526FA" w:rsidRDefault="007A27F7" w:rsidP="007A27F7">
      <w:pPr>
        <w:pStyle w:val="NormalHanging12a"/>
      </w:pPr>
      <w:r w:rsidRPr="005526FA">
        <w:t>41.</w:t>
      </w:r>
      <w:r w:rsidRPr="005526FA">
        <w:tab/>
        <w:t xml:space="preserve">constată cu satisfacție din chestionar că în urma solicitărilor anterioare ale Parlamentului, Comitetul a elaborat o strategie antifraudă însoțită de un plan de acțiune </w:t>
      </w:r>
      <w:r w:rsidRPr="005526FA">
        <w:lastRenderedPageBreak/>
        <w:t>aferent, care prevede măsuri concrete ce trebuie luate în domeniul politicilor de formare, precum și al campaniilor de sensibilizare și al acordurilor de cooperare revizuite cu OLAF și EPPO, această strategie fiind supusă unui proces de consultare și adoptare între servicii; invită Comitetului să informeze autoritatea care acordă descărcarea de gestiune despre acțiunile subsecvente acestui demers; felicită Comitetul pentru că a organizat două sesiuni de formare susținute de personalul OLAF referitoare la conștientizarea fraudelor în achizițiile publice și prevenirea lor, la care au asistat 21 de participanți, și o sesiune de sensibilizare organizată împreună cu EPPO menită să familiarizeze personalul Comitetului cu mandatul EPPO și să ofere îndrumări privind raportarea cazurilor potențiale către EPPO; invită Comitetul să își îmbunătățească procedurile de evaluare, prevenire, depistare și urmărire a riscurilor atunci când își pune în aplicare strategia antifraudă;</w:t>
      </w:r>
    </w:p>
    <w:p w14:paraId="16A620EB" w14:textId="77777777" w:rsidR="007A27F7" w:rsidRPr="005526FA" w:rsidRDefault="007A27F7" w:rsidP="007A27F7">
      <w:pPr>
        <w:pStyle w:val="NormalHanging12a"/>
        <w:rPr>
          <w:b/>
          <w:i/>
        </w:rPr>
      </w:pPr>
      <w:bookmarkStart w:id="10" w:name="_Hlk216263307"/>
      <w:r w:rsidRPr="005526FA">
        <w:rPr>
          <w:b/>
          <w:i/>
        </w:rPr>
        <w:t>Digitalizarea, securitatea cibernetică și protecția datelor</w:t>
      </w:r>
    </w:p>
    <w:p w14:paraId="7E49A106" w14:textId="77777777" w:rsidR="007A27F7" w:rsidRPr="005526FA" w:rsidRDefault="007A27F7" w:rsidP="007A27F7">
      <w:pPr>
        <w:pStyle w:val="NormalHanging12a"/>
      </w:pPr>
      <w:r w:rsidRPr="005526FA">
        <w:t>42.</w:t>
      </w:r>
      <w:r w:rsidRPr="005526FA">
        <w:tab/>
        <w:t xml:space="preserve">constată că bugetul combinat pentru IT al Comitetului și al </w:t>
      </w:r>
      <w:proofErr w:type="spellStart"/>
      <w:r w:rsidRPr="005526FA">
        <w:t>CoR</w:t>
      </w:r>
      <w:proofErr w:type="spellEnd"/>
      <w:r w:rsidRPr="005526FA">
        <w:t xml:space="preserve"> a fost de 13 700 000 EUR în 2024, față de 12 700 000 EUR în 2023, ceea ce constituie o creștere cu 7,87 %, în timp ce 760 000 EUR din acest buget (circa 6 %) au fost plătiți pentru securitatea cibernetică în 2024; reține din chestionar că finanțarea proiectelor informatice a crescut cu 109 000 EUR față de 2023, ceea ce reprezintă o creștere de 4 %, susținând în principal programul M365 privind locul de muncă și programul de transformare în materie de securitate cibernetică; reține și că cheltuielile cu echipamentele au crescut cu 117 000 EUR (adică o creștere de 20 %), în principal din cauza ajustărilor de preț și a investițiilor strategice în infrastructura de telefonie; </w:t>
      </w:r>
      <w:bookmarkStart w:id="11" w:name="_Hlk224229242"/>
      <w:r w:rsidRPr="005526FA">
        <w:t>ia act de preocuparea Comitetului, care se consideră structural subfinanțat în domeniul digitalizării și în cel al securității cibernetice, și avertizează că persistența investițiilor insuficiente în securitatea cibernetică reprezintă un risc structural pentru integritatea instituțiilor, organelor, oficiilor și agențiilor Uniunii</w:t>
      </w:r>
      <w:bookmarkEnd w:id="11"/>
      <w:r w:rsidRPr="005526FA">
        <w:t xml:space="preserve">; invită Comitetul să adopte o foaie de parcurs structurată pentru a atinge treptat pragul de referință de 10 % pentru cheltuielile în materie de securitate cibernetică, care să prevadă obiective de etapă anuale, stabilirea priorităților în funcție de riscuri și raportarea periodică către autoritatea care acordă descărcarea de gestiune; evidențiază că este nevoie de o cooperare mai strânsă cu Serviciul de securitate cibernetică pentru instituțiile, organele, oficiile și agențiile Uniunii (CERT-UE) și cu instituțiile, organele, oficiile și agențiile Uniunii, pentru a avea o poziție coerentă și </w:t>
      </w:r>
      <w:proofErr w:type="spellStart"/>
      <w:r w:rsidRPr="005526FA">
        <w:t>rezilientă</w:t>
      </w:r>
      <w:proofErr w:type="spellEnd"/>
      <w:r w:rsidRPr="005526FA">
        <w:t xml:space="preserve"> în materie de securitate cibernetică; regretă în acest context că autoritatea bugetară nu a inclus în bugetul Uniunii pe 2026 suma de 1 176 000 EUR, de care Comitetul (și </w:t>
      </w:r>
      <w:proofErr w:type="spellStart"/>
      <w:r w:rsidRPr="005526FA">
        <w:t>CoR</w:t>
      </w:r>
      <w:proofErr w:type="spellEnd"/>
      <w:r w:rsidRPr="005526FA">
        <w:t>) au nevoie pentru a realiza o actualizare majoră a securității cibernetice, ceea ce face imposibil de atins obiectivul menționat în Regulamentul (UE, Euratom) 2023/2841</w:t>
      </w:r>
      <w:r w:rsidRPr="005526FA">
        <w:rPr>
          <w:rStyle w:val="FootnoteReference"/>
        </w:rPr>
        <w:footnoteReference w:id="7"/>
      </w:r>
      <w:r w:rsidRPr="005526FA">
        <w:t xml:space="preserve"> de a aloca securității cibernetice circa 10 % din totalul cheltuielilor sale informatice; solicită alocarea de fonduri adecvate pentru a permite Comitetului și </w:t>
      </w:r>
      <w:proofErr w:type="spellStart"/>
      <w:r w:rsidRPr="005526FA">
        <w:t>CoR</w:t>
      </w:r>
      <w:proofErr w:type="spellEnd"/>
      <w:r w:rsidRPr="005526FA">
        <w:t xml:space="preserve"> să efectueze o actualizare majoră a securității cibernetice;</w:t>
      </w:r>
    </w:p>
    <w:p w14:paraId="69B35239" w14:textId="77777777" w:rsidR="007A27F7" w:rsidRPr="005526FA" w:rsidRDefault="007A27F7" w:rsidP="007A27F7">
      <w:pPr>
        <w:pStyle w:val="NormalHanging12a"/>
      </w:pPr>
      <w:r w:rsidRPr="005526FA">
        <w:t>43.</w:t>
      </w:r>
      <w:r w:rsidRPr="005526FA">
        <w:tab/>
        <w:t xml:space="preserve">reține principalele îmbunătățiri în materie de digitalizare și guvernanță informatică în 2024, cum ar fi lărgirea acoperirii </w:t>
      </w:r>
      <w:proofErr w:type="spellStart"/>
      <w:r w:rsidRPr="005526FA">
        <w:t>Wi</w:t>
      </w:r>
      <w:proofErr w:type="spellEnd"/>
      <w:r w:rsidRPr="005526FA">
        <w:t xml:space="preserve">-Fi, implementarea Microsoft 365 și a unor proiecte-pilot în domeniul IA, migrația către </w:t>
      </w:r>
      <w:proofErr w:type="spellStart"/>
      <w:r w:rsidRPr="005526FA">
        <w:t>cloud</w:t>
      </w:r>
      <w:proofErr w:type="spellEnd"/>
      <w:r w:rsidRPr="005526FA">
        <w:t xml:space="preserve"> și informarea despre securitatea </w:t>
      </w:r>
      <w:r w:rsidRPr="005526FA">
        <w:lastRenderedPageBreak/>
        <w:t xml:space="preserve">cibernetică cu ajutorul Zilelor securității cibernetice, printre altele; consideră oportună strategia digitală multianuală (DS 2024-2026) lansată de Direcția pentru inovare și tehnologia informației (DIIT), care este structurată în jurul a patru programe emblematice: M365 (programul privind locul de muncă digital), ARES (sistemul de gestionare a documentelor al Comisiei), </w:t>
      </w:r>
      <w:proofErr w:type="spellStart"/>
      <w:r w:rsidRPr="005526FA">
        <w:t>EdiT</w:t>
      </w:r>
      <w:proofErr w:type="spellEnd"/>
      <w:r w:rsidRPr="005526FA">
        <w:t xml:space="preserve"> (instrumentul comun al instituțiilor Uniunii pentru elaborarea documentelor legislative) și „Securitatea cibernetică”; află din raportul Comitetului și din chestionar că strategia digitală pentru perioada 2024-2026 a Comitetului introduce un model revizuit de guvernanță digitală menit să îmbunătățească colaborarea instituțională, să simplifice fluxurile de lucru, să automatizeze procesele, să îmbunătățească redactarea legislației și să mărească reziliența;</w:t>
      </w:r>
    </w:p>
    <w:p w14:paraId="1F66360B" w14:textId="77777777" w:rsidR="007A27F7" w:rsidRPr="005526FA" w:rsidRDefault="007A27F7" w:rsidP="007A27F7">
      <w:pPr>
        <w:pStyle w:val="NormalHanging12a"/>
      </w:pPr>
      <w:r w:rsidRPr="005526FA">
        <w:t>44.</w:t>
      </w:r>
      <w:r w:rsidRPr="005526FA">
        <w:tab/>
        <w:t xml:space="preserve">află din chestionar de implementarea sistemului HAN (HERMES-ARES-NOMCOM) pentru gestionarea securizată a documentelor și de conformarea cu normele de protecție a datelor, precum și de adoptarea editorului </w:t>
      </w:r>
      <w:proofErr w:type="spellStart"/>
      <w:r w:rsidRPr="005526FA">
        <w:t>EdiT</w:t>
      </w:r>
      <w:proofErr w:type="spellEnd"/>
      <w:r w:rsidRPr="005526FA">
        <w:t xml:space="preserve"> XML pentru redactarea legislației; salută progresele înregistrate în gestionarea documentelor, preconizându-se o implementare completă până în 2026; ia cunoștință de faptul că în 2024 s-au adus îmbunătățiri infrastructurii informatice, printre care și automatizarea, migrarea către </w:t>
      </w:r>
      <w:proofErr w:type="spellStart"/>
      <w:r w:rsidRPr="005526FA">
        <w:t>cloud</w:t>
      </w:r>
      <w:proofErr w:type="spellEnd"/>
      <w:r w:rsidRPr="005526FA">
        <w:t xml:space="preserve"> și implementarea unui nou instrument de gestionare a resurselor umane (HRT, în loc de </w:t>
      </w:r>
      <w:proofErr w:type="spellStart"/>
      <w:r w:rsidRPr="005526FA">
        <w:t>Sysper</w:t>
      </w:r>
      <w:proofErr w:type="spellEnd"/>
      <w:r w:rsidRPr="005526FA">
        <w:t>);</w:t>
      </w:r>
    </w:p>
    <w:p w14:paraId="2F33F59A" w14:textId="77777777" w:rsidR="007A27F7" w:rsidRPr="005526FA" w:rsidRDefault="007A27F7" w:rsidP="007A27F7">
      <w:pPr>
        <w:pStyle w:val="NormalHanging12a"/>
      </w:pPr>
      <w:r w:rsidRPr="005526FA">
        <w:t>45.</w:t>
      </w:r>
      <w:r w:rsidRPr="005526FA">
        <w:tab/>
        <w:t xml:space="preserve">constată că Comitetul folosește </w:t>
      </w:r>
      <w:proofErr w:type="spellStart"/>
      <w:r w:rsidRPr="005526FA">
        <w:t>eTranslation</w:t>
      </w:r>
      <w:proofErr w:type="spellEnd"/>
      <w:r w:rsidRPr="005526FA">
        <w:t>, platforma de traducere automată neurală a Comisiei, pentru a genera traduceri automate, ca pe un ajutor suplimentar activității traducătorilor; observă că în paralel, în 2024 Comitetul a derulat cu succes un proiect-pilot de redare automată în scris a vorbirii cu ajutorul IA, utilizând software-</w:t>
      </w:r>
      <w:proofErr w:type="spellStart"/>
      <w:r w:rsidRPr="005526FA">
        <w:t>ul</w:t>
      </w:r>
      <w:proofErr w:type="spellEnd"/>
      <w:r w:rsidRPr="005526FA">
        <w:t xml:space="preserve"> dezvoltat de Organizația Mondială a Proprietății Intelectuale (OMPI); mai observă că Direcția Traducere a lansat în iunie 2024 un proiect-pilot cu durata de un an care analizează utilizarea </w:t>
      </w:r>
      <w:proofErr w:type="spellStart"/>
      <w:r w:rsidRPr="005526FA">
        <w:t>DeepL</w:t>
      </w:r>
      <w:proofErr w:type="spellEnd"/>
      <w:r w:rsidRPr="005526FA">
        <w:t xml:space="preserve"> ca instrument alternativ de traducere, despre care s-a considerat că nu oferă valoare adăugată raport cu sistemele deja implementate pentru traducerea documentelor Comitetului;</w:t>
      </w:r>
    </w:p>
    <w:p w14:paraId="7761D1DC" w14:textId="77777777" w:rsidR="007A27F7" w:rsidRPr="005526FA" w:rsidRDefault="007A27F7" w:rsidP="007A27F7">
      <w:pPr>
        <w:pStyle w:val="NormalHanging12a"/>
      </w:pPr>
      <w:r w:rsidRPr="005526FA">
        <w:t>46.</w:t>
      </w:r>
      <w:r w:rsidRPr="005526FA">
        <w:tab/>
        <w:t>află din chestionar că Comitetul cooperează în continuare îndeaproape cu CERT-UE și recurge la diverse instrumente și la o monitorizare continuă pentru a depista și remedia vulnerabilitățile sistemului; mai află că DIIT a început să implementeze „Essentials 8”, cadrul de securitate cibernetică al NIST (CSF), și OWASP ca modele de referință pentru a întări gestionarea riscurilor, a îmbunătăți guvernanța și a integra securitatea în toate procesele de identificare, protecție, depistare, răspuns și recuperare; recunoaște că sunt în curs eforturi de realizare a alinierii depline la cerințele operaționale și de reglementare; descoperă din raportul de monitorizare că Comitetul a redefinit securitatea cibernetică ca fiind responsabilitatea comună a întregului personal, susținută de un plan multianual, de formare continuă și de campanii de sensibilizare;</w:t>
      </w:r>
    </w:p>
    <w:p w14:paraId="7EBCD89C" w14:textId="77777777" w:rsidR="007A27F7" w:rsidRPr="005526FA" w:rsidRDefault="007A27F7" w:rsidP="007A27F7">
      <w:pPr>
        <w:pStyle w:val="NormalHanging12a"/>
      </w:pPr>
      <w:r w:rsidRPr="005526FA">
        <w:t>47.</w:t>
      </w:r>
      <w:r w:rsidRPr="005526FA">
        <w:tab/>
        <w:t>constată cu satisfacție că canalele de comunicare ale Comitetului sunt accesibile și persoanelor cu dizabilități; observă că Comitetul aplică orientările privind accesibilitatea conținutului web și că pentru majoritatea aplicațiilor sale se asigură o accesibilitate amplă; constată în acest context că site-ul internet al Comitetului este auditat periodic de specialiști în accesibilitate care formulează recomandări cărora li se dă apoi curs, iar următorul audit este programat în 2026;</w:t>
      </w:r>
    </w:p>
    <w:p w14:paraId="2DCEC3E5" w14:textId="77777777" w:rsidR="007A27F7" w:rsidRPr="005526FA" w:rsidRDefault="007A27F7" w:rsidP="007A27F7">
      <w:pPr>
        <w:pStyle w:val="NormalHanging12a"/>
      </w:pPr>
      <w:r w:rsidRPr="005526FA">
        <w:t>48.</w:t>
      </w:r>
      <w:r w:rsidRPr="005526FA">
        <w:tab/>
        <w:t xml:space="preserve">elogiază eforturile depuse de Comitet în 2024 pentru a se asigura că personalul dobândește competențele digitale necesare unui mediu de lucru tot mai digitalizat și pentru a realiza campanii de informare cu țintă precisă, oferind un program amplu de </w:t>
      </w:r>
      <w:r w:rsidRPr="005526FA">
        <w:lastRenderedPageBreak/>
        <w:t>formare și îndrumare și ținând la zi o bază de cunoștințe IT, cu o interfață bazată pe IA, pentru a susține perfecționarea profesională a personalului; încurajează organizarea de cursuri de formare privind securitatea cibernetică și utilizarea sigură, etică și eficientă a IA;</w:t>
      </w:r>
    </w:p>
    <w:p w14:paraId="703DFF55" w14:textId="77777777" w:rsidR="007A27F7" w:rsidRPr="005526FA" w:rsidRDefault="007A27F7" w:rsidP="007A27F7">
      <w:pPr>
        <w:pStyle w:val="NormalHanging12a"/>
      </w:pPr>
      <w:r w:rsidRPr="005526FA">
        <w:t>49.</w:t>
      </w:r>
      <w:r w:rsidRPr="005526FA">
        <w:tab/>
        <w:t>află din raportul de monitorizare că în 2024 AEPD nu a cercetat deloc modul în care se aplică normele de protecție a datelor la Comitet; reține că o anchetă privind gestionarea unui audit extern lansată în 2023 nu a fost încă finalizată; solicită Comitetului să informeze autoritatea care acordă descărcarea de gestiune despre acțiunile întreprinse ca urmare a acestei chestiuni;</w:t>
      </w:r>
    </w:p>
    <w:bookmarkEnd w:id="10"/>
    <w:p w14:paraId="1579433D" w14:textId="77777777" w:rsidR="007A27F7" w:rsidRPr="005526FA" w:rsidRDefault="007A27F7" w:rsidP="007A27F7">
      <w:pPr>
        <w:pStyle w:val="NormalHanging12a"/>
        <w:rPr>
          <w:b/>
          <w:i/>
        </w:rPr>
      </w:pPr>
      <w:r w:rsidRPr="005526FA">
        <w:rPr>
          <w:b/>
          <w:i/>
        </w:rPr>
        <w:t>Clădirile</w:t>
      </w:r>
    </w:p>
    <w:p w14:paraId="6815293D" w14:textId="77777777" w:rsidR="007A27F7" w:rsidRPr="005526FA" w:rsidRDefault="007A27F7" w:rsidP="007A27F7">
      <w:pPr>
        <w:pStyle w:val="NormalHanging12a"/>
      </w:pPr>
      <w:r w:rsidRPr="005526FA">
        <w:t>50.</w:t>
      </w:r>
      <w:r w:rsidRPr="005526FA">
        <w:tab/>
        <w:t>află din raportul de monitorizare că Comitetul lucrează la o strategie imobiliară pe termen lung, având în vedere că clădirea SPAAK va fi renovată în curând și că clădirea B-100 va fi eliberată în august 2026; află și că rezultatul auditurilor tehnice și de mediu, aflate în curs, ale clădirilor Comitetului va fi inclus în această strategie; invită Comitetul să țină la curent cu aceste chestiuni autoritatea de descărcare de gestiune;</w:t>
      </w:r>
    </w:p>
    <w:p w14:paraId="0EDBFE34" w14:textId="77777777" w:rsidR="007A27F7" w:rsidRPr="005526FA" w:rsidRDefault="007A27F7" w:rsidP="007A27F7">
      <w:pPr>
        <w:pStyle w:val="NormalHanging12a"/>
      </w:pPr>
      <w:r w:rsidRPr="005526FA">
        <w:t>51.</w:t>
      </w:r>
      <w:r w:rsidRPr="005526FA">
        <w:tab/>
        <w:t>apreciază faptul că Comitetul a încheiat modernizarea și a adus la zi accesibilitatea tuturor celor șase ascensoare din partea de vest a clădirii JDE, inclusiv a unui ascensor proiectat special în 2024 pentru persoanele cu mobilitate redusă; consideră binevenite îmbunătățirile substanțiale introduse pentru persoanele în scaune cu rotile, persoanele nevăzătoare și cu deficiențe de vedere, persoanele surde și persoanele cu mobilitate redusă sau care sunt limitate fizic în alt mod, inclusiv îmbunătățirea semnalizării audio și vizuale, controale adaptate, prelungirea duratei de deschidere a ușilor, oglinzi și elemente de siguranță și mâini curente;</w:t>
      </w:r>
    </w:p>
    <w:p w14:paraId="28B3B9BA" w14:textId="77777777" w:rsidR="007A27F7" w:rsidRPr="005526FA" w:rsidRDefault="007A27F7" w:rsidP="007A27F7">
      <w:pPr>
        <w:pStyle w:val="NormalHanging12a"/>
      </w:pPr>
      <w:r w:rsidRPr="005526FA">
        <w:t>52.</w:t>
      </w:r>
      <w:r w:rsidRPr="005526FA">
        <w:tab/>
        <w:t xml:space="preserve">află din raportul Comitetului că în 2024 s-a creat un nou spațiu de comunicare partajat în clădirea JDE, în colaborare cu </w:t>
      </w:r>
      <w:proofErr w:type="spellStart"/>
      <w:r w:rsidRPr="005526FA">
        <w:t>CoR</w:t>
      </w:r>
      <w:proofErr w:type="spellEnd"/>
      <w:r w:rsidRPr="005526FA">
        <w:t>; evidențiază că acest spațiu, situat în zona fostei biblioteci, este dotat cu un studio de înregistrări de ultimă generație, cu o sală de interviuri „stand-</w:t>
      </w:r>
      <w:proofErr w:type="spellStart"/>
      <w:r w:rsidRPr="005526FA">
        <w:t>up</w:t>
      </w:r>
      <w:proofErr w:type="spellEnd"/>
      <w:r w:rsidRPr="005526FA">
        <w:t>” și cu un spațiu special pentru conferințe;</w:t>
      </w:r>
    </w:p>
    <w:p w14:paraId="11E8EE30" w14:textId="77777777" w:rsidR="007A27F7" w:rsidRPr="005526FA" w:rsidRDefault="007A27F7" w:rsidP="007A27F7">
      <w:pPr>
        <w:pStyle w:val="NormalHanging12a"/>
        <w:rPr>
          <w:b/>
          <w:i/>
        </w:rPr>
      </w:pPr>
      <w:r w:rsidRPr="005526FA">
        <w:rPr>
          <w:b/>
          <w:i/>
        </w:rPr>
        <w:t>Mediul și sustenabilitatea</w:t>
      </w:r>
    </w:p>
    <w:p w14:paraId="30066435" w14:textId="77777777" w:rsidR="007A27F7" w:rsidRPr="005526FA" w:rsidRDefault="007A27F7" w:rsidP="007A27F7">
      <w:pPr>
        <w:pStyle w:val="NormalHanging12a"/>
      </w:pPr>
      <w:r w:rsidRPr="005526FA">
        <w:t>53.</w:t>
      </w:r>
      <w:r w:rsidRPr="005526FA">
        <w:tab/>
        <w:t>descoperă din chestionar că în 2024 Comitetul a alocat 198 894 EUR pentru ecologizarea operațiunilor sale, 55 % din aceștia fiind prevăzuți pentru servicii de consultanță și servicii de gestionare și eficiență energetică de specialitate și 45 %, pentru îmbunătățirea infrastructurii, cum ar fi iluminatul cu leduri, parcările de biciclete și contorizarea energiei; consideră oportun faptul că aceste investiții, împreună cu inițiativele care continuă în instalațiile inovatoare pentru clădiri, energia electrică verde în proporție de 100 %, tehnologiile inteligente de economisire a energiei și digitalizarea, au contribuit la reducerea consumului de energie și a emisiilor;</w:t>
      </w:r>
    </w:p>
    <w:p w14:paraId="003F04A6" w14:textId="77777777" w:rsidR="007A27F7" w:rsidRPr="005526FA" w:rsidRDefault="007A27F7" w:rsidP="007A27F7">
      <w:pPr>
        <w:pStyle w:val="NormalHanging12a"/>
      </w:pPr>
      <w:r w:rsidRPr="005526FA">
        <w:t>54.</w:t>
      </w:r>
      <w:r w:rsidRPr="005526FA">
        <w:tab/>
        <w:t xml:space="preserve">observă din chestionar o scădere a consumului de energie electrică (–19 %), de gaze (–13 %) și de apă (–12 %), precum și o reducere a volumelor de deșeuri (–12 %) și o creștere a consumului de hârtie (+1 %) în 2024 comparativ cu 2023; consideră binevenită și scăderea cu 4,30 % a emisiilor de carbon per echivalent normă întreagă (fără emisiile generate de deplasările membrilor Comitetului) în aceeași perioadă; află din chestionar acțiunile întreprinse de Comitet pentru a promova opțiuni de deplasare mai sustenabile în rândul personalului și al membrilor și că este în curs de revizuire </w:t>
      </w:r>
      <w:r w:rsidRPr="005526FA">
        <w:lastRenderedPageBreak/>
        <w:t>ghidul privind misiunile personalului, printre ale cărui componente-cheie se va număra amprenta de mediu; salută și faptul că Comitetul pune accentul pe gestionarea și reciclarea deșeurilor pentru a promova o cultură a reducerii deșeurilor și a utilizării eficiente a resurselor;</w:t>
      </w:r>
    </w:p>
    <w:p w14:paraId="0CA1FB0C" w14:textId="71B5F94E" w:rsidR="007A27F7" w:rsidRPr="005526FA" w:rsidRDefault="007A27F7" w:rsidP="007A27F7">
      <w:pPr>
        <w:pStyle w:val="NormalHanging12a"/>
      </w:pPr>
      <w:r w:rsidRPr="005526FA">
        <w:t>55</w:t>
      </w:r>
      <w:r w:rsidR="00A833AB">
        <w:t>.</w:t>
      </w:r>
      <w:r w:rsidRPr="005526FA">
        <w:tab/>
        <w:t xml:space="preserve">constată cu satisfacție că toate licitațiile Comitetului cu o valoare de peste 60 000 EUR și cele cu o valoare de peste 25 000 EUR gestionate în comun cu </w:t>
      </w:r>
      <w:proofErr w:type="spellStart"/>
      <w:r w:rsidRPr="005526FA">
        <w:t>CoR</w:t>
      </w:r>
      <w:proofErr w:type="spellEnd"/>
      <w:r w:rsidRPr="005526FA">
        <w:t xml:space="preserve"> prevăd clauze de sustenabilitate în concordanță cu standardele uniunii energetice, cu Pactul verde european și cu principiile economiei circulare; reține că noul contract-cadru pentru servicii de </w:t>
      </w:r>
      <w:proofErr w:type="spellStart"/>
      <w:r w:rsidRPr="005526FA">
        <w:t>catering</w:t>
      </w:r>
      <w:proofErr w:type="spellEnd"/>
      <w:r w:rsidRPr="005526FA">
        <w:t xml:space="preserve"> al Comitetului, care a intrat în vigoare în august 2024, prevede cerințe privind produsele ecologice și cele produse la nivel local, donațiile de alimente și fructele și legumele de sezon;</w:t>
      </w:r>
    </w:p>
    <w:p w14:paraId="3D28AB51" w14:textId="77777777" w:rsidR="007A27F7" w:rsidRPr="005526FA" w:rsidRDefault="007A27F7" w:rsidP="007A27F7">
      <w:pPr>
        <w:pStyle w:val="NormalHanging12a"/>
      </w:pPr>
      <w:r w:rsidRPr="005526FA">
        <w:t>56.</w:t>
      </w:r>
      <w:r w:rsidRPr="005526FA">
        <w:tab/>
        <w:t xml:space="preserve">află cu satisfacție din chestionar despre eforturile depuse neîncetat de Comitet pentru a promova mobilitatea sustenabilă în rândul personalului său; află îndeosebi că Comitetul oferă contribuții financiare la legitimațiile de călătorie cu transportul public, pentru personalul care face naveta cu bicicleta, iar din 2024, la abonamentele </w:t>
      </w:r>
      <w:proofErr w:type="spellStart"/>
      <w:r w:rsidRPr="005526FA">
        <w:t>Flex</w:t>
      </w:r>
      <w:proofErr w:type="spellEnd"/>
      <w:r w:rsidRPr="005526FA">
        <w:t xml:space="preserve"> SNCB, pentru a ține cont de formulele de lucru hibride; ia act de planul Comitetului de a participa împreună cu </w:t>
      </w:r>
      <w:proofErr w:type="spellStart"/>
      <w:r w:rsidRPr="005526FA">
        <w:t>CoR</w:t>
      </w:r>
      <w:proofErr w:type="spellEnd"/>
      <w:r w:rsidRPr="005526FA">
        <w:t xml:space="preserve"> la o licitație (care urmează să fie relansată în 2026) condusă de Comisie pentru achiziționarea și întreținerea unor biciclete electrice; consideră binevenită cooperarea neîntreruptă cu Regiunea Bruxelles-Capitală la planificarea mobilității și participarea Comitetului la inițiativele interinstituționale, lucruri ce contribuie la instaurarea unei culturi a navetei sustenabile;</w:t>
      </w:r>
    </w:p>
    <w:p w14:paraId="5C410DDE" w14:textId="77777777" w:rsidR="007A27F7" w:rsidRPr="005526FA" w:rsidRDefault="007A27F7" w:rsidP="007A27F7">
      <w:pPr>
        <w:pStyle w:val="NormalHanging12a"/>
        <w:rPr>
          <w:b/>
          <w:i/>
        </w:rPr>
      </w:pPr>
      <w:r w:rsidRPr="005526FA">
        <w:rPr>
          <w:b/>
          <w:i/>
        </w:rPr>
        <w:t>Cooperarea interinstituțională</w:t>
      </w:r>
    </w:p>
    <w:p w14:paraId="46BDEB32" w14:textId="77777777" w:rsidR="007A27F7" w:rsidRPr="005526FA" w:rsidRDefault="007A27F7" w:rsidP="007A27F7">
      <w:pPr>
        <w:pStyle w:val="NormalHanging12a"/>
      </w:pPr>
      <w:r w:rsidRPr="005526FA">
        <w:t>57.</w:t>
      </w:r>
      <w:r w:rsidRPr="005526FA">
        <w:tab/>
        <w:t xml:space="preserve">elogiază cooperarea strânsă dintre Comitet și </w:t>
      </w:r>
      <w:proofErr w:type="spellStart"/>
      <w:r w:rsidRPr="005526FA">
        <w:t>CoR</w:t>
      </w:r>
      <w:proofErr w:type="spellEnd"/>
      <w:r w:rsidRPr="005526FA">
        <w:t xml:space="preserve"> la nivel administrativ, deoarece cele două comitete împart sediul și serviciile comune în domeniile traducerii, infrastructurii, logisticii, securității, achizițiilor publice, gestiunii financiare și IT, menținându-și totodată autonomia instituțională deplină; observă că pentru a extinde cooperarea în alte domenii și având în vedere constrângerile bugetare, cele două Comitete au lansat în comun două proiecte-cheie în 2024, și anume proiectul </w:t>
      </w:r>
      <w:proofErr w:type="spellStart"/>
      <w:r w:rsidRPr="005526FA">
        <w:t>SPaCES</w:t>
      </w:r>
      <w:proofErr w:type="spellEnd"/>
      <w:r w:rsidRPr="005526FA">
        <w:t xml:space="preserve"> pentru transformarea mediului de la birou și o reformă strategică a Direcției Traducere prin reorganizare structurală, o mai bună utilizare a tehnologiilor lingvistice și reducerea treptată a capacității de traducere umană pentru o mai bună eficiență și un mai bun raport cost-eficacitate;</w:t>
      </w:r>
    </w:p>
    <w:p w14:paraId="7EF4A611" w14:textId="77777777" w:rsidR="007A27F7" w:rsidRPr="005526FA" w:rsidRDefault="007A27F7" w:rsidP="007A27F7">
      <w:pPr>
        <w:pStyle w:val="NormalHanging12a"/>
      </w:pPr>
      <w:r w:rsidRPr="005526FA">
        <w:t>58.</w:t>
      </w:r>
      <w:r w:rsidRPr="005526FA">
        <w:tab/>
        <w:t xml:space="preserve">se bucură de rezultatele pozitive obținute în primul an de punere în aplicare a acordului din domeniul audiovizualului dintre Comitet și </w:t>
      </w:r>
      <w:proofErr w:type="spellStart"/>
      <w:r w:rsidRPr="005526FA">
        <w:t>CoR</w:t>
      </w:r>
      <w:proofErr w:type="spellEnd"/>
      <w:r w:rsidRPr="005526FA">
        <w:t>, cum ar fi bugetul economisit, în valoare de circa 140 000 EUR, în raport cu un proiect gestionat independent și o capacitate de producție mai mare, existând deja 85 de materiale video produse până în iunie 2025 comparativ cu circa 90 de materiale video pentru tot anul 2024;</w:t>
      </w:r>
    </w:p>
    <w:p w14:paraId="0A93D044" w14:textId="77777777" w:rsidR="007A27F7" w:rsidRPr="005526FA" w:rsidRDefault="007A27F7" w:rsidP="007A27F7">
      <w:pPr>
        <w:pStyle w:val="NormalHanging12a"/>
      </w:pPr>
      <w:r w:rsidRPr="005526FA">
        <w:t>59.</w:t>
      </w:r>
      <w:r w:rsidRPr="005526FA">
        <w:tab/>
        <w:t xml:space="preserve">felicită Comitetul pentru economiile substanțiale realizate datorită punerii în aplicare a acordului său de cooperare cu </w:t>
      </w:r>
      <w:proofErr w:type="spellStart"/>
      <w:r w:rsidRPr="005526FA">
        <w:t>CoR</w:t>
      </w:r>
      <w:proofErr w:type="spellEnd"/>
      <w:r w:rsidRPr="005526FA">
        <w:t xml:space="preserve">, prin care s-au înființat servicii comune ce acoperă unele sarcini mai ales în domeniul informaticii, al logisticii și al achizițiilor publice; află cu satisfacție din chestionar despre economiile estimate ale Comitetului pentru 2024 în domeniul IT (circa 16 milioane EUR), al infrastructurii (circa 8 milioane EUR), al serviciilor de tipărire (circa 125 000 EUR) și al serviciilor de pază (circa 800 000 EUR); mai află că, în cazul în care Comitetul și </w:t>
      </w:r>
      <w:proofErr w:type="spellStart"/>
      <w:r w:rsidRPr="005526FA">
        <w:t>CoR</w:t>
      </w:r>
      <w:proofErr w:type="spellEnd"/>
      <w:r w:rsidRPr="005526FA">
        <w:t xml:space="preserve"> ar dispune de servicii separate de traducere și de achiziții publice, costurile totale cu personalul ar crește cu cel puțin </w:t>
      </w:r>
      <w:r w:rsidRPr="005526FA">
        <w:lastRenderedPageBreak/>
        <w:t>30 %; cere din nou să se extindă pe cât posibil această cooperare la nivelul înființării unei administrații unice pentru serviciile comune și al menținerii separate a serviciilor și a unității responsabile de mandatele lor independente de bază;</w:t>
      </w:r>
    </w:p>
    <w:p w14:paraId="63A97E5E" w14:textId="77777777" w:rsidR="007A27F7" w:rsidRPr="005526FA" w:rsidRDefault="007A27F7" w:rsidP="007A27F7">
      <w:pPr>
        <w:pStyle w:val="NormalHanging12a"/>
      </w:pPr>
      <w:r w:rsidRPr="005526FA">
        <w:t>60.</w:t>
      </w:r>
      <w:r w:rsidRPr="005526FA">
        <w:tab/>
        <w:t>observă cu mulțumire economiile bugetare și administrative substanțiale realizate de Comitet prin acorduri privind nivelul serviciilor, mai ales cu Comisia, pentru utilizarea unor instrumente informatice esențiale în finanțe și în gestionarea resurselor umane; consideră, de asemenea, oportună participarea Comitetului la procedurile interinstituționale de achiziții publice conduse de alte instituții, cum ar fi Parlamentul și Comisia, în domenii precum deplasările în interes de serviciu, asigurările, călătoriile, tehnologiile informației, traducerea și și echipamentele audiovizuale; constată pe baza chestionarului că pentru externalizarea anumitor servicii către Comisie, costul total suportat de Comitet a crescut de la 793 000 EUR în 2023 la 893 000 EUR în 2024;</w:t>
      </w:r>
    </w:p>
    <w:p w14:paraId="7861C8CB" w14:textId="77777777" w:rsidR="007A27F7" w:rsidRPr="005526FA" w:rsidRDefault="007A27F7" w:rsidP="007A27F7">
      <w:pPr>
        <w:pStyle w:val="NormalHanging12a"/>
      </w:pPr>
      <w:r w:rsidRPr="005526FA">
        <w:t>61.</w:t>
      </w:r>
      <w:r w:rsidRPr="005526FA">
        <w:tab/>
      </w:r>
      <w:bookmarkStart w:id="12" w:name="_Hlk216940933"/>
      <w:r w:rsidRPr="005526FA">
        <w:t>ia act de unele evoluții și date privind cooperarea dintre Comitet și Parlament în 2024: adoptarea unui nou acord de cooperare, semnarea unui memorandum de înțelegere privind cooperarea în vederea pregătirii alegerilor europene, participarea a 55 de deputați la 38 de evenimente ale Comitetului, participarea Comitetului la 32 de evenimente ale Parlamentului, precum și participarea la diverse reuniuni bilaterale și reuniuni ale grupurilor politice</w:t>
      </w:r>
      <w:bookmarkEnd w:id="12"/>
      <w:r w:rsidRPr="005526FA">
        <w:t>;</w:t>
      </w:r>
    </w:p>
    <w:p w14:paraId="5A60FC1F" w14:textId="77777777" w:rsidR="007A27F7" w:rsidRPr="005526FA" w:rsidRDefault="007A27F7" w:rsidP="007A27F7">
      <w:pPr>
        <w:pStyle w:val="NormalHanging12a"/>
      </w:pPr>
      <w:r w:rsidRPr="005526FA">
        <w:t>62.</w:t>
      </w:r>
      <w:r w:rsidRPr="005526FA">
        <w:tab/>
        <w:t>ia act de unele evoluții și date referitoare la cooperarea dintre Comitet și Comisie în 2024: participarea unor comisari la 10 sesiuni plenare ale Comitetului și la alte evenimente organizate de acesta, peste 30 de proiecte de comunicare comune menite să atragă participarea societății civile, 20 de activități specifice comune, contribuțiile Comitetului la 17 grupuri de experți ale Comisiei, șase avize exploratorii și trei rapoarte de evaluare elaborate de Comitet la cererea Comisiei;</w:t>
      </w:r>
    </w:p>
    <w:p w14:paraId="55B50C26" w14:textId="77777777" w:rsidR="007A27F7" w:rsidRPr="005526FA" w:rsidRDefault="007A27F7" w:rsidP="007A27F7">
      <w:pPr>
        <w:pStyle w:val="NormalHanging12a"/>
      </w:pPr>
      <w:r w:rsidRPr="005526FA">
        <w:t>63.</w:t>
      </w:r>
      <w:r w:rsidRPr="005526FA">
        <w:tab/>
        <w:t>ia act de unele evoluții și date referitoare la cooperarea dintre Comitet și Consiliu/Consiliul European în 2024: trei reuniuni la nivel înalt cu președinții Consiliului European și 21 de avize exploratorii elaborate de Comitet la solicitarea Președinției belgiene și a Președinției ungare;</w:t>
      </w:r>
    </w:p>
    <w:p w14:paraId="1D9FF44F" w14:textId="77777777" w:rsidR="007A27F7" w:rsidRPr="005526FA" w:rsidRDefault="007A27F7" w:rsidP="007A27F7">
      <w:pPr>
        <w:pStyle w:val="NormalHanging12a"/>
      </w:pPr>
      <w:r w:rsidRPr="005526FA">
        <w:t>64.</w:t>
      </w:r>
      <w:r w:rsidRPr="005526FA">
        <w:tab/>
        <w:t>observă că în 2024 s-a continuat să se realizeze economii bugetare și să se mărească eficiența printr-o cooperare activă între Comitet și alte instituții ale Uniunii, inclusiv prin organizarea sesiunilor plenare ale Comitetului în clădirile Comisiei și ale Parlamentului, unde spațiile și serviciile conexe sunt furnizate fie gratuit, fie la prețuri mai mici decât prețurile pieței;</w:t>
      </w:r>
    </w:p>
    <w:p w14:paraId="1C6C40C2" w14:textId="77777777" w:rsidR="007A27F7" w:rsidRPr="005526FA" w:rsidRDefault="007A27F7" w:rsidP="007A27F7">
      <w:pPr>
        <w:pStyle w:val="NormalHanging12a"/>
      </w:pPr>
      <w:r w:rsidRPr="005526FA">
        <w:t>65.</w:t>
      </w:r>
      <w:r w:rsidRPr="005526FA">
        <w:tab/>
        <w:t>reține rolul fundamental al Comitetului în consolidarea legăturilor cu consiliile economice și sociale naționale (CESN) din statele membre și a legăturilor dintre acestea; ia cunoștință, în acest context, de lansarea unui nou grup de lucru tematic alcătuit din 13 CESN, de publicarea a 32 de articole de știri și a 26 de rezumate ale rapoartelor adoptate de CESN, de organizarea reuniunii anuale a președinților și secretarilor generali ai CESN la Bruxelles și de un seminar organizat în comun cu 100 de participanți reprezentând parteneri sociali europeni, organizații ale societății civile, instituțiile Uniunii și cadrele universitare în 2024; solicită continuarea cooperării pe teme de interes comun și schimbul de bune practici, subliniind rolul vital al societății civile în soluționarea problemelor actuale ale Uniunii;</w:t>
      </w:r>
    </w:p>
    <w:p w14:paraId="7FFD25F1" w14:textId="77777777" w:rsidR="007A27F7" w:rsidRPr="005526FA" w:rsidRDefault="007A27F7" w:rsidP="007A27F7">
      <w:pPr>
        <w:pStyle w:val="NormalHanging12a"/>
        <w:rPr>
          <w:b/>
          <w:i/>
        </w:rPr>
      </w:pPr>
      <w:r w:rsidRPr="005526FA">
        <w:rPr>
          <w:b/>
          <w:i/>
        </w:rPr>
        <w:t>Comunicare</w:t>
      </w:r>
    </w:p>
    <w:p w14:paraId="2DA59C17" w14:textId="77777777" w:rsidR="007A27F7" w:rsidRPr="005526FA" w:rsidRDefault="007A27F7" w:rsidP="007A27F7">
      <w:pPr>
        <w:pStyle w:val="NormalHanging12a"/>
      </w:pPr>
      <w:r w:rsidRPr="005526FA">
        <w:lastRenderedPageBreak/>
        <w:t>66.</w:t>
      </w:r>
      <w:r w:rsidRPr="005526FA">
        <w:tab/>
        <w:t>află din chestionar că bugetul total pentru comunicare, publicații și achiziții de documente al Comitetului a fost de circa 2,5 milioane EUR în 2024 (aproximativ la fel ca în 2023), reprezentând 1,4 % din bugetul total al Comitetului după transferurile pentru 2024; consideră oportun faptul că în 2024 Comitetul și-a concentrat resursele asupra unui număr restrâns de priorități de comunicare legate de prioritățile legislative ale instituțiilor Uniunii, cum ar fi accesibilitatea prețurilor la energie, IA, sănătatea psihică, autonomia strategică, reforma economică, egalitatea de gen, tineretul și extinderea, în concordanță cu comunicarea axată pe impact a Comitetului;</w:t>
      </w:r>
    </w:p>
    <w:p w14:paraId="4561FCD7" w14:textId="77777777" w:rsidR="007A27F7" w:rsidRPr="005526FA" w:rsidRDefault="007A27F7" w:rsidP="007A27F7">
      <w:pPr>
        <w:pStyle w:val="NormalHanging12a"/>
      </w:pPr>
      <w:r w:rsidRPr="005526FA">
        <w:t>67.</w:t>
      </w:r>
      <w:r w:rsidRPr="005526FA">
        <w:tab/>
        <w:t>află din chestionar și din raportul Comitetului că în 2024 Comitetul a pus în aplicare un plan de comunicare cuprinzător în cadrul campaniei pentru alegerile europene, plan concretizat în evenimente de informare la nivel local și în Săptămâna societății civile; apreciază în acest context faptul că 104 membri ai Comitetului au participat la 122 de evenimente de informare la care au participat direct circa 350 000 de cetățeni, pe lângă persoanele care au participat pe platformele sociale; felicită Comitetul și pentru organizarea reușită a Săptămânii societății civile, care a atras peste 800 de participanți, unde au avut loc peste 8 000 de interacțiuni, s-au consemnat peste 1 milion de impresii și circa 96 000 de vizualizări, lucru ce denotă o prezență puternică pe platformele sociale;</w:t>
      </w:r>
    </w:p>
    <w:p w14:paraId="5B2D9FD1" w14:textId="77777777" w:rsidR="007A27F7" w:rsidRPr="005526FA" w:rsidRDefault="007A27F7" w:rsidP="007A27F7">
      <w:pPr>
        <w:pStyle w:val="NormalHanging12a"/>
        <w:rPr>
          <w:bCs/>
          <w:iCs/>
        </w:rPr>
      </w:pPr>
      <w:r w:rsidRPr="005526FA">
        <w:t>68.</w:t>
      </w:r>
      <w:r w:rsidRPr="005526FA">
        <w:tab/>
        <w:t xml:space="preserve">salută eforturile depuse de Comitet pentru a-și face activitatea mai vizibilă; consideră totuși că sunt necesare eforturi suplimentare pentru a se asigura că activitățile de comunicare explică lămurit rolul Comitetului și contribuțiile sale concrete la prezența UE pe teren, în mod accesibil și relevant pentru cetățeni; apreciază lansarea platformei </w:t>
      </w:r>
      <w:proofErr w:type="spellStart"/>
      <w:r w:rsidRPr="005526FA">
        <w:t>NaviGate</w:t>
      </w:r>
      <w:proofErr w:type="spellEnd"/>
      <w:r w:rsidRPr="005526FA">
        <w:t xml:space="preserve"> în mai 2024; reține că această platformă, care alimentează cu linkuri EULT, a făcut activitatea Comitetului mult mai vizibilă și a îmbunătățit experiența de utilizatori a membrilor, a personalului, a vizitatorilor din alte instituții și a publicului, ajungând să atragă 4 600 de vizitatori unici în 2024;</w:t>
      </w:r>
    </w:p>
    <w:p w14:paraId="0058FB5B" w14:textId="6D143FCE" w:rsidR="009A25F6" w:rsidRPr="005526FA" w:rsidRDefault="007A27F7" w:rsidP="009A25F6">
      <w:pPr>
        <w:pStyle w:val="NormalHanging12a"/>
      </w:pPr>
      <w:r w:rsidRPr="005526FA">
        <w:t>69.</w:t>
      </w:r>
      <w:r w:rsidRPr="005526FA">
        <w:tab/>
        <w:t xml:space="preserve">constată din raportul Comitetului că acesta a continuat să fie tot mai prezent pe rețelele de socializare, cele patru conturi principale ale sale înregistrând o creștere globală a numărului de urmăritori de peste 18 % față de 2023; subliniază că implicarea a crescut semnificativ, cu 45 %, și a depășit 416 000 de interacțiuni pe toate platformele; constată și că până la sfârșitul lui 2024 Comitetul a ajuns să aibă 62 868 de urmăritori pe X, 79 647 pe </w:t>
      </w:r>
      <w:proofErr w:type="spellStart"/>
      <w:r w:rsidRPr="005526FA">
        <w:t>LinkedIn</w:t>
      </w:r>
      <w:proofErr w:type="spellEnd"/>
      <w:r w:rsidRPr="005526FA">
        <w:t xml:space="preserve">, 49 494 pe Facebook și 29 987 pe </w:t>
      </w:r>
      <w:proofErr w:type="spellStart"/>
      <w:r w:rsidRPr="005526FA">
        <w:t>Instagram</w:t>
      </w:r>
      <w:proofErr w:type="spellEnd"/>
      <w:r w:rsidRPr="005526FA">
        <w:t xml:space="preserve">, ceea ce denotă o creștere puternică, specifică platformelor, în comparație cu 2023; observă că în 2024 cea mai mare creștere a numărului de urmăritori a fost înregistrată pentru contul de </w:t>
      </w:r>
      <w:proofErr w:type="spellStart"/>
      <w:r w:rsidRPr="005526FA">
        <w:t>Instagram</w:t>
      </w:r>
      <w:proofErr w:type="spellEnd"/>
      <w:r w:rsidRPr="005526FA">
        <w:t xml:space="preserve"> (+ 72 %); reține că, în concordanță cu abordarea comună a instituțiilor Uniunii, Comitetul și-a deschis primul cont de </w:t>
      </w:r>
      <w:proofErr w:type="spellStart"/>
      <w:r w:rsidRPr="005526FA">
        <w:t>Bluesky</w:t>
      </w:r>
      <w:proofErr w:type="spellEnd"/>
      <w:r w:rsidRPr="005526FA">
        <w:t xml:space="preserve"> în 2024, pentru a fi sigur că are o prezență oficială, activitățile începând din ianuarie 2025;</w:t>
      </w:r>
    </w:p>
    <w:p w14:paraId="2EDA1DA0" w14:textId="2CFFF1F5" w:rsidR="00E365E1" w:rsidRPr="005526FA" w:rsidRDefault="00E365E1" w:rsidP="00F5281A"/>
    <w:sectPr w:rsidR="00E365E1" w:rsidRPr="005526FA" w:rsidSect="009A25F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EE273" w14:textId="77777777" w:rsidR="00F5281A" w:rsidRPr="009A25F6" w:rsidRDefault="00F5281A">
      <w:r w:rsidRPr="009A25F6">
        <w:separator/>
      </w:r>
    </w:p>
  </w:endnote>
  <w:endnote w:type="continuationSeparator" w:id="0">
    <w:p w14:paraId="60822B9B" w14:textId="77777777" w:rsidR="00F5281A" w:rsidRPr="009A25F6" w:rsidRDefault="00F5281A">
      <w:r w:rsidRPr="009A25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6937B" w14:textId="77777777" w:rsidR="007A27F7" w:rsidRPr="009A25F6" w:rsidRDefault="007A27F7" w:rsidP="001E28C8">
    <w:pPr>
      <w:pStyle w:val="EPFooter"/>
    </w:pPr>
    <w:r w:rsidRPr="009A25F6">
      <w:t>PE</w:t>
    </w:r>
    <w:r w:rsidRPr="009A25F6">
      <w:rPr>
        <w:rStyle w:val="HideTWBExt"/>
      </w:rPr>
      <w:t>&lt;</w:t>
    </w:r>
    <w:proofErr w:type="spellStart"/>
    <w:r w:rsidRPr="009A25F6">
      <w:rPr>
        <w:rStyle w:val="HideTWBExt"/>
      </w:rPr>
      <w:t>NoPE</w:t>
    </w:r>
    <w:proofErr w:type="spellEnd"/>
    <w:r w:rsidRPr="009A25F6">
      <w:rPr>
        <w:rStyle w:val="HideTWBExt"/>
      </w:rPr>
      <w:t>&gt;</w:t>
    </w:r>
    <w:r w:rsidRPr="009A25F6">
      <w:t>778.063</w:t>
    </w:r>
    <w:r w:rsidRPr="009A25F6">
      <w:rPr>
        <w:rStyle w:val="HideTWBExt"/>
      </w:rPr>
      <w:t>&lt;/</w:t>
    </w:r>
    <w:proofErr w:type="spellStart"/>
    <w:r w:rsidRPr="009A25F6">
      <w:rPr>
        <w:rStyle w:val="HideTWBExt"/>
      </w:rPr>
      <w:t>NoPE</w:t>
    </w:r>
    <w:proofErr w:type="spellEnd"/>
    <w:r w:rsidRPr="009A25F6">
      <w:rPr>
        <w:rStyle w:val="HideTWBExt"/>
      </w:rPr>
      <w:t>&gt;&lt;Version&gt;</w:t>
    </w:r>
    <w:r w:rsidRPr="009A25F6">
      <w:t>v02-00</w:t>
    </w:r>
    <w:r w:rsidRPr="009A25F6">
      <w:rPr>
        <w:rStyle w:val="HideTWBExt"/>
      </w:rPr>
      <w:t>&lt;/</w:t>
    </w:r>
    <w:proofErr w:type="spellStart"/>
    <w:r w:rsidRPr="009A25F6">
      <w:rPr>
        <w:rStyle w:val="HideTWBExt"/>
      </w:rPr>
      <w:t>Version</w:t>
    </w:r>
    <w:proofErr w:type="spellEnd"/>
    <w:r w:rsidRPr="009A25F6">
      <w:rPr>
        <w:rStyle w:val="HideTWBExt"/>
      </w:rPr>
      <w:t>&gt;</w:t>
    </w:r>
    <w:r w:rsidRPr="009A25F6">
      <w:tab/>
    </w:r>
    <w:r w:rsidRPr="009A25F6">
      <w:fldChar w:fldCharType="begin"/>
    </w:r>
    <w:r w:rsidRPr="009A25F6">
      <w:instrText xml:space="preserve"> PAGE  \* MERGEFORMAT </w:instrText>
    </w:r>
    <w:r w:rsidRPr="009A25F6">
      <w:fldChar w:fldCharType="separate"/>
    </w:r>
    <w:r w:rsidRPr="009A25F6">
      <w:rPr>
        <w:noProof/>
      </w:rPr>
      <w:t>27</w:t>
    </w:r>
    <w:r w:rsidRPr="009A25F6">
      <w:fldChar w:fldCharType="end"/>
    </w:r>
    <w:r w:rsidRPr="009A25F6">
      <w:t>/</w:t>
    </w:r>
    <w:fldSimple w:instr=" NUMPAGES  \* MERGEFORMAT ">
      <w:r w:rsidRPr="009A25F6">
        <w:rPr>
          <w:noProof/>
        </w:rPr>
        <w:t>1</w:t>
      </w:r>
    </w:fldSimple>
    <w:r w:rsidRPr="009A25F6">
      <w:tab/>
    </w:r>
    <w:r w:rsidRPr="009A25F6">
      <w:rPr>
        <w:rStyle w:val="HideTWBExt"/>
      </w:rPr>
      <w:t>&lt;PathFdR&gt;</w:t>
    </w:r>
    <w:r w:rsidRPr="009A25F6">
      <w:t>RR\1339613RO.docx</w:t>
    </w:r>
    <w:r w:rsidRPr="009A25F6">
      <w:rPr>
        <w:rStyle w:val="HideTWBExt"/>
      </w:rPr>
      <w:t>&lt;/</w:t>
    </w:r>
    <w:proofErr w:type="spellStart"/>
    <w:r w:rsidRPr="009A25F6">
      <w:rPr>
        <w:rStyle w:val="HideTWBExt"/>
      </w:rPr>
      <w:t>PathFdR</w:t>
    </w:r>
    <w:proofErr w:type="spellEnd"/>
    <w:r w:rsidRPr="009A25F6">
      <w:rPr>
        <w:rStyle w:val="HideTWBExt"/>
      </w:rPr>
      <w:t>&gt;</w:t>
    </w:r>
  </w:p>
  <w:p w14:paraId="14E4D5E4" w14:textId="77777777" w:rsidR="007A27F7" w:rsidRPr="009A25F6" w:rsidRDefault="007A27F7" w:rsidP="001E28C8">
    <w:pPr>
      <w:pStyle w:val="EPFooter2"/>
    </w:pPr>
    <w:r w:rsidRPr="009A25F6">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B862E" w14:textId="77777777" w:rsidR="007A27F7" w:rsidRPr="009A25F6" w:rsidRDefault="007A27F7" w:rsidP="001E28C8">
    <w:pPr>
      <w:pStyle w:val="EPFooter"/>
    </w:pPr>
    <w:r w:rsidRPr="009A25F6">
      <w:rPr>
        <w:rStyle w:val="HideTWBExt"/>
      </w:rPr>
      <w:t>&lt;PathFdR&gt;</w:t>
    </w:r>
    <w:r w:rsidRPr="009A25F6">
      <w:t>RR\1339613RO.docx</w:t>
    </w:r>
    <w:r w:rsidRPr="009A25F6">
      <w:rPr>
        <w:rStyle w:val="HideTWBExt"/>
      </w:rPr>
      <w:t>&lt;/</w:t>
    </w:r>
    <w:proofErr w:type="spellStart"/>
    <w:r w:rsidRPr="009A25F6">
      <w:rPr>
        <w:rStyle w:val="HideTWBExt"/>
      </w:rPr>
      <w:t>PathFdR</w:t>
    </w:r>
    <w:proofErr w:type="spellEnd"/>
    <w:r w:rsidRPr="009A25F6">
      <w:rPr>
        <w:rStyle w:val="HideTWBExt"/>
      </w:rPr>
      <w:t>&gt;</w:t>
    </w:r>
    <w:r w:rsidRPr="009A25F6">
      <w:tab/>
    </w:r>
    <w:r w:rsidRPr="009A25F6">
      <w:tab/>
      <w:t>PE</w:t>
    </w:r>
    <w:r w:rsidRPr="009A25F6">
      <w:rPr>
        <w:rStyle w:val="HideTWBExt"/>
      </w:rPr>
      <w:t>&lt;</w:t>
    </w:r>
    <w:proofErr w:type="spellStart"/>
    <w:r w:rsidRPr="009A25F6">
      <w:rPr>
        <w:rStyle w:val="HideTWBExt"/>
      </w:rPr>
      <w:t>NoPE</w:t>
    </w:r>
    <w:proofErr w:type="spellEnd"/>
    <w:r w:rsidRPr="009A25F6">
      <w:rPr>
        <w:rStyle w:val="HideTWBExt"/>
      </w:rPr>
      <w:t>&gt;</w:t>
    </w:r>
    <w:r w:rsidRPr="009A25F6">
      <w:t>778.063</w:t>
    </w:r>
    <w:r w:rsidRPr="009A25F6">
      <w:rPr>
        <w:rStyle w:val="HideTWBExt"/>
      </w:rPr>
      <w:t>&lt;/</w:t>
    </w:r>
    <w:proofErr w:type="spellStart"/>
    <w:r w:rsidRPr="009A25F6">
      <w:rPr>
        <w:rStyle w:val="HideTWBExt"/>
      </w:rPr>
      <w:t>NoPE</w:t>
    </w:r>
    <w:proofErr w:type="spellEnd"/>
    <w:r w:rsidRPr="009A25F6">
      <w:rPr>
        <w:rStyle w:val="HideTWBExt"/>
      </w:rPr>
      <w:t>&gt;&lt;Version&gt;</w:t>
    </w:r>
    <w:r w:rsidRPr="009A25F6">
      <w:t>v02-00</w:t>
    </w:r>
    <w:r w:rsidRPr="009A25F6">
      <w:rPr>
        <w:rStyle w:val="HideTWBExt"/>
      </w:rPr>
      <w:t>&lt;/</w:t>
    </w:r>
    <w:proofErr w:type="spellStart"/>
    <w:r w:rsidRPr="009A25F6">
      <w:rPr>
        <w:rStyle w:val="HideTWBExt"/>
      </w:rPr>
      <w:t>Version</w:t>
    </w:r>
    <w:proofErr w:type="spellEnd"/>
    <w:r w:rsidRPr="009A25F6">
      <w:rPr>
        <w:rStyle w:val="HideTWBExt"/>
      </w:rPr>
      <w:t>&gt;</w:t>
    </w:r>
  </w:p>
  <w:p w14:paraId="4A677D2F" w14:textId="77777777" w:rsidR="007A27F7" w:rsidRPr="009A25F6" w:rsidRDefault="007A27F7" w:rsidP="001E28C8">
    <w:pPr>
      <w:pStyle w:val="EPFooter2"/>
    </w:pPr>
    <w:r w:rsidRPr="009A25F6">
      <w:t>RO</w:t>
    </w:r>
    <w:r w:rsidRPr="009A25F6">
      <w:tab/>
    </w:r>
    <w:r w:rsidRPr="009A25F6">
      <w:rPr>
        <w:b w:val="0"/>
        <w:i/>
        <w:color w:val="C0C0C0"/>
        <w:sz w:val="22"/>
      </w:rPr>
      <w:t>Unită în diversitate</w:t>
    </w:r>
    <w:r w:rsidRPr="009A25F6">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5F28D" w14:textId="77777777" w:rsidR="00064002" w:rsidRPr="009A25F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7339B" w14:textId="77777777" w:rsidR="00064002" w:rsidRPr="009A25F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4ADD" w14:textId="77777777" w:rsidR="00064002" w:rsidRPr="009A25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AA8D8" w14:textId="77777777" w:rsidR="00F5281A" w:rsidRPr="009A25F6" w:rsidRDefault="00F5281A">
      <w:r w:rsidRPr="009A25F6">
        <w:separator/>
      </w:r>
    </w:p>
  </w:footnote>
  <w:footnote w:type="continuationSeparator" w:id="0">
    <w:p w14:paraId="09FD48B5" w14:textId="77777777" w:rsidR="00F5281A" w:rsidRPr="009A25F6" w:rsidRDefault="00F5281A">
      <w:r w:rsidRPr="009A25F6">
        <w:continuationSeparator/>
      </w:r>
    </w:p>
  </w:footnote>
  <w:footnote w:id="1">
    <w:p w14:paraId="1A603666" w14:textId="1E244D4B" w:rsidR="007A27F7" w:rsidRPr="005526FA" w:rsidRDefault="007A27F7" w:rsidP="009A25F6">
      <w:pPr>
        <w:pStyle w:val="FootnoteText"/>
        <w:ind w:left="567" w:hanging="567"/>
        <w:rPr>
          <w:sz w:val="24"/>
          <w:lang w:val="ro-RO"/>
        </w:rPr>
      </w:pPr>
      <w:r w:rsidRPr="005526FA">
        <w:rPr>
          <w:rStyle w:val="FootnoteReference"/>
          <w:sz w:val="24"/>
          <w:lang w:val="ro-RO"/>
        </w:rPr>
        <w:footnoteRef/>
      </w:r>
      <w:r w:rsidR="009A25F6" w:rsidRPr="005526FA">
        <w:rPr>
          <w:sz w:val="24"/>
          <w:lang w:val="ro-RO"/>
        </w:rPr>
        <w:t xml:space="preserve"> </w:t>
      </w:r>
      <w:r w:rsidR="009A25F6" w:rsidRPr="005526FA">
        <w:rPr>
          <w:sz w:val="24"/>
          <w:lang w:val="ro-RO"/>
        </w:rPr>
        <w:tab/>
      </w:r>
      <w:r w:rsidRPr="005526FA">
        <w:rPr>
          <w:sz w:val="24"/>
          <w:lang w:val="ro-RO"/>
        </w:rPr>
        <w:t>JO L</w:t>
      </w:r>
      <w:r w:rsidR="00A833AB">
        <w:rPr>
          <w:sz w:val="24"/>
          <w:lang w:val="ro-RO"/>
        </w:rPr>
        <w:t>,</w:t>
      </w:r>
      <w:r w:rsidRPr="005526FA">
        <w:rPr>
          <w:sz w:val="24"/>
          <w:lang w:val="ro-RO"/>
        </w:rPr>
        <w:t xml:space="preserve"> </w:t>
      </w:r>
      <w:r w:rsidR="00E12C92" w:rsidRPr="005526FA">
        <w:rPr>
          <w:sz w:val="24"/>
          <w:lang w:val="ro-RO"/>
        </w:rPr>
        <w:t>2024/</w:t>
      </w:r>
      <w:r w:rsidRPr="005526FA">
        <w:rPr>
          <w:sz w:val="24"/>
          <w:lang w:val="ro-RO"/>
        </w:rPr>
        <w:t xml:space="preserve">207, 22.2.2024, ELI: </w:t>
      </w:r>
      <w:hyperlink r:id="rId1" w:history="1">
        <w:r w:rsidRPr="005526FA">
          <w:rPr>
            <w:rStyle w:val="Hyperlink"/>
            <w:sz w:val="24"/>
            <w:lang w:val="ro-RO"/>
          </w:rPr>
          <w:t>http://data.europa.eu/eli/budget/2024/207/oj</w:t>
        </w:r>
      </w:hyperlink>
      <w:r w:rsidRPr="005526FA">
        <w:rPr>
          <w:sz w:val="24"/>
          <w:lang w:val="ro-RO"/>
        </w:rPr>
        <w:t>.</w:t>
      </w:r>
    </w:p>
  </w:footnote>
  <w:footnote w:id="2">
    <w:p w14:paraId="7813B5F3" w14:textId="60F388A4" w:rsidR="007A27F7" w:rsidRPr="005526FA" w:rsidRDefault="007A27F7" w:rsidP="009A25F6">
      <w:pPr>
        <w:pStyle w:val="FootnoteText"/>
        <w:ind w:left="567" w:hanging="567"/>
        <w:rPr>
          <w:sz w:val="24"/>
          <w:lang w:val="ro-RO"/>
        </w:rPr>
      </w:pPr>
      <w:r w:rsidRPr="005526FA">
        <w:rPr>
          <w:rStyle w:val="FootnoteReference"/>
          <w:sz w:val="24"/>
          <w:lang w:val="ro-RO"/>
        </w:rPr>
        <w:footnoteRef/>
      </w:r>
      <w:r w:rsidR="009A25F6" w:rsidRPr="005526FA">
        <w:rPr>
          <w:sz w:val="24"/>
          <w:lang w:val="ro-RO"/>
        </w:rPr>
        <w:t xml:space="preserve"> </w:t>
      </w:r>
      <w:r w:rsidR="009A25F6" w:rsidRPr="005526FA">
        <w:rPr>
          <w:sz w:val="24"/>
          <w:lang w:val="ro-RO"/>
        </w:rPr>
        <w:tab/>
      </w:r>
      <w:r w:rsidRPr="005526FA">
        <w:rPr>
          <w:sz w:val="24"/>
          <w:lang w:val="ro-RO"/>
        </w:rPr>
        <w:t>JO C, C/2025/4944, 13.10.2025, ELI: </w:t>
      </w:r>
      <w:hyperlink r:id="rId2" w:tgtFrame="_blank" w:tooltip="Oferă acces la acest document prin identificatorul său uniform de resurse ELI." w:history="1">
        <w:r w:rsidRPr="005526FA">
          <w:rPr>
            <w:rStyle w:val="Hyperlink"/>
            <w:sz w:val="24"/>
            <w:lang w:val="ro-RO"/>
          </w:rPr>
          <w:t>http://data.europa.eu/eli/C/2025/4944/oj</w:t>
        </w:r>
      </w:hyperlink>
      <w:r w:rsidRPr="005526FA">
        <w:rPr>
          <w:sz w:val="24"/>
          <w:lang w:val="ro-RO"/>
        </w:rPr>
        <w:t>.</w:t>
      </w:r>
    </w:p>
  </w:footnote>
  <w:footnote w:id="3">
    <w:p w14:paraId="273835BF" w14:textId="53FA22B5" w:rsidR="007A27F7" w:rsidRPr="005526FA" w:rsidRDefault="007A27F7" w:rsidP="009A25F6">
      <w:pPr>
        <w:pStyle w:val="FootnoteText"/>
        <w:ind w:left="567" w:hanging="567"/>
        <w:rPr>
          <w:sz w:val="24"/>
          <w:lang w:val="ro-RO"/>
        </w:rPr>
      </w:pPr>
      <w:r w:rsidRPr="005526FA">
        <w:rPr>
          <w:rStyle w:val="FootnoteReference"/>
          <w:sz w:val="24"/>
          <w:lang w:val="ro-RO"/>
        </w:rPr>
        <w:footnoteRef/>
      </w:r>
      <w:r w:rsidR="009A25F6" w:rsidRPr="005526FA">
        <w:rPr>
          <w:sz w:val="24"/>
          <w:lang w:val="ro-RO"/>
        </w:rPr>
        <w:t xml:space="preserve"> </w:t>
      </w:r>
      <w:r w:rsidR="009A25F6" w:rsidRPr="005526FA">
        <w:rPr>
          <w:sz w:val="24"/>
          <w:lang w:val="ro-RO"/>
        </w:rPr>
        <w:tab/>
      </w:r>
      <w:r w:rsidRPr="005526FA">
        <w:rPr>
          <w:sz w:val="24"/>
          <w:lang w:val="ro-RO"/>
        </w:rPr>
        <w:t xml:space="preserve">JO C, C/2025/5409, 8.10.2025, ELI: </w:t>
      </w:r>
      <w:hyperlink r:id="rId3" w:history="1">
        <w:r w:rsidRPr="005526FA">
          <w:rPr>
            <w:rStyle w:val="Hyperlink"/>
            <w:sz w:val="24"/>
            <w:lang w:val="ro-RO"/>
          </w:rPr>
          <w:t>http://data.europa.eu/eli/C/2025/5409/oj</w:t>
        </w:r>
      </w:hyperlink>
      <w:r w:rsidRPr="005526FA">
        <w:rPr>
          <w:sz w:val="24"/>
          <w:lang w:val="ro-RO"/>
        </w:rPr>
        <w:t>.</w:t>
      </w:r>
    </w:p>
  </w:footnote>
  <w:footnote w:id="4">
    <w:p w14:paraId="3272ADA4" w14:textId="62C8F08E" w:rsidR="007A27F7" w:rsidRPr="005526FA" w:rsidRDefault="007A27F7" w:rsidP="009A25F6">
      <w:pPr>
        <w:pStyle w:val="FootnoteText"/>
        <w:ind w:left="567" w:hanging="567"/>
        <w:rPr>
          <w:sz w:val="24"/>
          <w:lang w:val="ro-RO"/>
        </w:rPr>
      </w:pPr>
      <w:r w:rsidRPr="005526FA">
        <w:rPr>
          <w:rStyle w:val="FootnoteReference"/>
          <w:sz w:val="24"/>
          <w:lang w:val="ro-RO"/>
        </w:rPr>
        <w:footnoteRef/>
      </w:r>
      <w:r w:rsidR="009A25F6" w:rsidRPr="005526FA">
        <w:rPr>
          <w:sz w:val="24"/>
          <w:lang w:val="ro-RO"/>
        </w:rPr>
        <w:t xml:space="preserve"> </w:t>
      </w:r>
      <w:r w:rsidR="009A25F6" w:rsidRPr="005526FA">
        <w:rPr>
          <w:sz w:val="24"/>
          <w:lang w:val="ro-RO"/>
        </w:rPr>
        <w:tab/>
      </w:r>
      <w:r w:rsidRPr="005526FA">
        <w:rPr>
          <w:sz w:val="24"/>
          <w:lang w:val="ro-RO"/>
        </w:rPr>
        <w:t xml:space="preserve">JO C, C/2025/5407, 13.10.2025, ELI: </w:t>
      </w:r>
      <w:hyperlink r:id="rId4" w:history="1">
        <w:r w:rsidRPr="005526FA">
          <w:rPr>
            <w:rStyle w:val="Hyperlink"/>
            <w:sz w:val="24"/>
            <w:lang w:val="ro-RO"/>
          </w:rPr>
          <w:t>http://data.europa.eu/eli/C/2025/5407/oj</w:t>
        </w:r>
      </w:hyperlink>
      <w:r w:rsidRPr="005526FA">
        <w:rPr>
          <w:sz w:val="24"/>
          <w:lang w:val="ro-RO"/>
        </w:rPr>
        <w:t>.</w:t>
      </w:r>
    </w:p>
  </w:footnote>
  <w:footnote w:id="5">
    <w:p w14:paraId="747C2A77" w14:textId="324B1624" w:rsidR="007A27F7" w:rsidRPr="005526FA" w:rsidRDefault="007A27F7" w:rsidP="009A25F6">
      <w:pPr>
        <w:pStyle w:val="FootnoteText"/>
        <w:ind w:left="567" w:hanging="567"/>
        <w:rPr>
          <w:sz w:val="24"/>
          <w:lang w:val="ro-RO"/>
        </w:rPr>
      </w:pPr>
      <w:r w:rsidRPr="005526FA">
        <w:rPr>
          <w:rStyle w:val="FootnoteReference"/>
          <w:sz w:val="24"/>
          <w:lang w:val="ro-RO"/>
        </w:rPr>
        <w:footnoteRef/>
      </w:r>
      <w:r w:rsidR="009A25F6" w:rsidRPr="005526FA">
        <w:rPr>
          <w:sz w:val="24"/>
          <w:lang w:val="ro-RO"/>
        </w:rPr>
        <w:t xml:space="preserve"> </w:t>
      </w:r>
      <w:r w:rsidR="009A25F6" w:rsidRPr="005526FA">
        <w:rPr>
          <w:sz w:val="24"/>
          <w:lang w:val="ro-RO"/>
        </w:rPr>
        <w:tab/>
      </w:r>
      <w:r w:rsidRPr="005526FA">
        <w:rPr>
          <w:sz w:val="24"/>
          <w:lang w:val="ro-RO"/>
        </w:rPr>
        <w:t xml:space="preserve">JO L 193, 30.7.2018, p. 1, ELI: </w:t>
      </w:r>
      <w:hyperlink r:id="rId5" w:history="1">
        <w:r w:rsidRPr="005526FA">
          <w:rPr>
            <w:rStyle w:val="Hyperlink"/>
            <w:sz w:val="24"/>
            <w:lang w:val="ro-RO"/>
          </w:rPr>
          <w:t>http://data.europa.eu/eli/reg/2018/1046/oj</w:t>
        </w:r>
      </w:hyperlink>
      <w:r w:rsidRPr="005526FA">
        <w:rPr>
          <w:sz w:val="24"/>
          <w:lang w:val="ro-RO"/>
        </w:rPr>
        <w:t>.</w:t>
      </w:r>
    </w:p>
  </w:footnote>
  <w:footnote w:id="6">
    <w:p w14:paraId="5A7618C8" w14:textId="4D1E8BFB" w:rsidR="007A27F7" w:rsidRPr="005526FA" w:rsidRDefault="007A27F7" w:rsidP="009A25F6">
      <w:pPr>
        <w:pStyle w:val="FootnoteText"/>
        <w:ind w:left="567" w:hanging="567"/>
        <w:rPr>
          <w:sz w:val="24"/>
          <w:szCs w:val="24"/>
          <w:lang w:val="ro-RO"/>
        </w:rPr>
      </w:pPr>
      <w:r w:rsidRPr="005526FA">
        <w:rPr>
          <w:rStyle w:val="FootnoteReference"/>
          <w:sz w:val="24"/>
          <w:lang w:val="ro-RO"/>
        </w:rPr>
        <w:footnoteRef/>
      </w:r>
      <w:r w:rsidR="009A25F6" w:rsidRPr="005526FA">
        <w:rPr>
          <w:sz w:val="24"/>
          <w:lang w:val="ro-RO"/>
        </w:rPr>
        <w:t xml:space="preserve"> </w:t>
      </w:r>
      <w:r w:rsidR="009A25F6" w:rsidRPr="005526FA">
        <w:rPr>
          <w:sz w:val="24"/>
          <w:lang w:val="ro-RO"/>
        </w:rPr>
        <w:tab/>
      </w:r>
      <w:r w:rsidRPr="005526FA">
        <w:rPr>
          <w:sz w:val="24"/>
          <w:lang w:val="ro-RO"/>
        </w:rPr>
        <w:t xml:space="preserve">JO L, 2024/2509, 26.9.2024, ELI: </w:t>
      </w:r>
      <w:hyperlink r:id="rId6" w:history="1">
        <w:r w:rsidRPr="005526FA">
          <w:rPr>
            <w:rStyle w:val="Hyperlink"/>
            <w:sz w:val="24"/>
            <w:lang w:val="ro-RO"/>
          </w:rPr>
          <w:t>http://data.europa.eu/eli/reg/2024/2509/oj</w:t>
        </w:r>
      </w:hyperlink>
      <w:r w:rsidRPr="005526FA">
        <w:rPr>
          <w:sz w:val="24"/>
          <w:lang w:val="ro-RO"/>
        </w:rPr>
        <w:t>.</w:t>
      </w:r>
    </w:p>
  </w:footnote>
  <w:footnote w:id="7">
    <w:p w14:paraId="73A137ED" w14:textId="3A9D6729" w:rsidR="007A27F7" w:rsidRPr="009A25F6" w:rsidRDefault="007A27F7" w:rsidP="009A25F6">
      <w:pPr>
        <w:pStyle w:val="FootnoteText"/>
        <w:ind w:left="567" w:hanging="567"/>
        <w:rPr>
          <w:sz w:val="24"/>
          <w:lang w:val="ro-RO"/>
        </w:rPr>
      </w:pPr>
      <w:r w:rsidRPr="005526FA">
        <w:rPr>
          <w:rStyle w:val="FootnoteReference"/>
          <w:sz w:val="24"/>
          <w:lang w:val="ro-RO"/>
        </w:rPr>
        <w:footnoteRef/>
      </w:r>
      <w:r w:rsidR="009A25F6" w:rsidRPr="005526FA">
        <w:rPr>
          <w:color w:val="333333"/>
          <w:sz w:val="24"/>
          <w:shd w:val="clear" w:color="auto" w:fill="FFFFFF"/>
          <w:lang w:val="ro-RO"/>
        </w:rPr>
        <w:t xml:space="preserve"> </w:t>
      </w:r>
      <w:r w:rsidR="009A25F6" w:rsidRPr="005526FA">
        <w:rPr>
          <w:color w:val="333333"/>
          <w:sz w:val="24"/>
          <w:shd w:val="clear" w:color="auto" w:fill="FFFFFF"/>
          <w:lang w:val="ro-RO"/>
        </w:rPr>
        <w:tab/>
      </w:r>
      <w:r w:rsidRPr="005526FA">
        <w:rPr>
          <w:color w:val="333333"/>
          <w:sz w:val="24"/>
          <w:shd w:val="clear" w:color="auto" w:fill="FFFFFF"/>
          <w:lang w:val="ro-RO"/>
        </w:rPr>
        <w:t>Regulamentul (UE, Euratom) 2023/2841 al Parlamentului European și al Consiliului din 13 decembrie 2023 privind măsuri pentru un nivel comun ridicat de securitate cibernetică în instituțiile, organele, oficiile și agențiile Uniunii (JO L, 2023/2841, 18.12.2023, ELI: </w:t>
      </w:r>
      <w:hyperlink r:id="rId7" w:tgtFrame="_blank" w:tooltip="Oferă acces la acest document prin identificatorul său uniform de resurse ELI." w:history="1">
        <w:r w:rsidRPr="005526FA">
          <w:rPr>
            <w:rStyle w:val="Hyperlink"/>
            <w:sz w:val="24"/>
            <w:shd w:val="clear" w:color="auto" w:fill="FFFFFF"/>
            <w:lang w:val="ro-RO"/>
          </w:rPr>
          <w:t>http://data.europa.eu/eli/reg/2023/2841/oj</w:t>
        </w:r>
      </w:hyperlink>
      <w:r w:rsidRPr="005526FA">
        <w:rPr>
          <w:color w:val="333333"/>
          <w:sz w:val="24"/>
          <w:shd w:val="clear" w:color="auto" w:fill="FFFFFF"/>
          <w:lang w:val="ro-RO"/>
        </w:rPr>
        <w:t>).</w:t>
      </w:r>
      <w:r w:rsidR="009A25F6" w:rsidRPr="009A25F6">
        <w:rPr>
          <w:sz w:val="24"/>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16000" w14:textId="77777777" w:rsidR="00064002" w:rsidRPr="009A25F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BABA4" w14:textId="77777777" w:rsidR="00064002" w:rsidRPr="009A25F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1437A" w14:textId="77777777" w:rsidR="00064002" w:rsidRPr="009A25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5CB0A10"/>
    <w:multiLevelType w:val="hybridMultilevel"/>
    <w:tmpl w:val="CDD04D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87650135">
    <w:abstractNumId w:val="9"/>
  </w:num>
  <w:num w:numId="2" w16cid:durableId="2130588996">
    <w:abstractNumId w:val="9"/>
  </w:num>
  <w:num w:numId="3" w16cid:durableId="681127510">
    <w:abstractNumId w:val="7"/>
  </w:num>
  <w:num w:numId="4" w16cid:durableId="386144962">
    <w:abstractNumId w:val="7"/>
  </w:num>
  <w:num w:numId="5" w16cid:durableId="452751540">
    <w:abstractNumId w:val="6"/>
  </w:num>
  <w:num w:numId="6" w16cid:durableId="1552231213">
    <w:abstractNumId w:val="6"/>
  </w:num>
  <w:num w:numId="7" w16cid:durableId="1963030674">
    <w:abstractNumId w:val="5"/>
  </w:num>
  <w:num w:numId="8" w16cid:durableId="1842545062">
    <w:abstractNumId w:val="5"/>
  </w:num>
  <w:num w:numId="9" w16cid:durableId="721834163">
    <w:abstractNumId w:val="4"/>
  </w:num>
  <w:num w:numId="10" w16cid:durableId="585921171">
    <w:abstractNumId w:val="4"/>
  </w:num>
  <w:num w:numId="11" w16cid:durableId="1809131109">
    <w:abstractNumId w:val="8"/>
  </w:num>
  <w:num w:numId="12" w16cid:durableId="1307008937">
    <w:abstractNumId w:val="8"/>
  </w:num>
  <w:num w:numId="13" w16cid:durableId="1520002113">
    <w:abstractNumId w:val="3"/>
  </w:num>
  <w:num w:numId="14" w16cid:durableId="1234584150">
    <w:abstractNumId w:val="3"/>
  </w:num>
  <w:num w:numId="15" w16cid:durableId="1392117622">
    <w:abstractNumId w:val="2"/>
  </w:num>
  <w:num w:numId="16" w16cid:durableId="1319461253">
    <w:abstractNumId w:val="2"/>
  </w:num>
  <w:num w:numId="17" w16cid:durableId="761419535">
    <w:abstractNumId w:val="1"/>
  </w:num>
  <w:num w:numId="18" w16cid:durableId="1442917531">
    <w:abstractNumId w:val="1"/>
  </w:num>
  <w:num w:numId="19" w16cid:durableId="1526140819">
    <w:abstractNumId w:val="0"/>
  </w:num>
  <w:num w:numId="20" w16cid:durableId="1339693202">
    <w:abstractNumId w:val="0"/>
  </w:num>
  <w:num w:numId="21" w16cid:durableId="1092896280">
    <w:abstractNumId w:val="9"/>
  </w:num>
  <w:num w:numId="22" w16cid:durableId="1992051331">
    <w:abstractNumId w:val="7"/>
  </w:num>
  <w:num w:numId="23" w16cid:durableId="1079986080">
    <w:abstractNumId w:val="6"/>
  </w:num>
  <w:num w:numId="24" w16cid:durableId="756748095">
    <w:abstractNumId w:val="5"/>
  </w:num>
  <w:num w:numId="25" w16cid:durableId="1958439261">
    <w:abstractNumId w:val="4"/>
  </w:num>
  <w:num w:numId="26" w16cid:durableId="521210603">
    <w:abstractNumId w:val="8"/>
  </w:num>
  <w:num w:numId="27" w16cid:durableId="391781797">
    <w:abstractNumId w:val="3"/>
  </w:num>
  <w:num w:numId="28" w16cid:durableId="35205954">
    <w:abstractNumId w:val="2"/>
  </w:num>
  <w:num w:numId="29" w16cid:durableId="1080250508">
    <w:abstractNumId w:val="1"/>
  </w:num>
  <w:num w:numId="30" w16cid:durableId="857277333">
    <w:abstractNumId w:val="0"/>
  </w:num>
  <w:num w:numId="31" w16cid:durableId="490562478">
    <w:abstractNumId w:val="9"/>
  </w:num>
  <w:num w:numId="32" w16cid:durableId="2011786484">
    <w:abstractNumId w:val="7"/>
  </w:num>
  <w:num w:numId="33" w16cid:durableId="1562475702">
    <w:abstractNumId w:val="6"/>
  </w:num>
  <w:num w:numId="34" w16cid:durableId="612632252">
    <w:abstractNumId w:val="5"/>
  </w:num>
  <w:num w:numId="35" w16cid:durableId="638338607">
    <w:abstractNumId w:val="4"/>
  </w:num>
  <w:num w:numId="36" w16cid:durableId="1335305901">
    <w:abstractNumId w:val="8"/>
  </w:num>
  <w:num w:numId="37" w16cid:durableId="812259984">
    <w:abstractNumId w:val="3"/>
  </w:num>
  <w:num w:numId="38" w16cid:durableId="503084274">
    <w:abstractNumId w:val="2"/>
  </w:num>
  <w:num w:numId="39" w16cid:durableId="710111448">
    <w:abstractNumId w:val="1"/>
  </w:num>
  <w:num w:numId="40" w16cid:durableId="25759262">
    <w:abstractNumId w:val="0"/>
  </w:num>
  <w:num w:numId="41" w16cid:durableId="1381326775">
    <w:abstractNumId w:val="10"/>
  </w:num>
  <w:num w:numId="42" w16cid:durableId="302389730">
    <w:abstractNumId w:val="10"/>
  </w:num>
  <w:num w:numId="43" w16cid:durableId="472331416">
    <w:abstractNumId w:val="10"/>
  </w:num>
  <w:num w:numId="44" w16cid:durableId="203250522">
    <w:abstractNumId w:val="11"/>
  </w:num>
  <w:num w:numId="45" w16cid:durableId="1000277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9/2026"/>
    <w:docVar w:name="dvlangue" w:val="RO"/>
    <w:docVar w:name="dvnumam" w:val="0"/>
    <w:docVar w:name="dvpe" w:val="778.063"/>
    <w:docVar w:name="dvrapporteur" w:val="Raportor: "/>
    <w:docVar w:name="dvtitre" w:val="Decizia Parlamentului European din 28 aprilie 2026 privind descărcarea de gestiune pentru execuția bugetului general al Uniunii Europene aferent exercițiului financiar 2024, secțiunea VI – Comitetul Economic și Social European(2025/2151(DEC))"/>
  </w:docVars>
  <w:rsids>
    <w:rsidRoot w:val="00F5281A"/>
    <w:rsid w:val="00002272"/>
    <w:rsid w:val="00064002"/>
    <w:rsid w:val="000677B9"/>
    <w:rsid w:val="000831BA"/>
    <w:rsid w:val="000A42CC"/>
    <w:rsid w:val="000E7DD9"/>
    <w:rsid w:val="0010095E"/>
    <w:rsid w:val="00125B37"/>
    <w:rsid w:val="00187494"/>
    <w:rsid w:val="001F32AE"/>
    <w:rsid w:val="001F5B91"/>
    <w:rsid w:val="002767FF"/>
    <w:rsid w:val="002B18FE"/>
    <w:rsid w:val="002B5493"/>
    <w:rsid w:val="00343214"/>
    <w:rsid w:val="00361C00"/>
    <w:rsid w:val="00395FA1"/>
    <w:rsid w:val="003E15D4"/>
    <w:rsid w:val="00411CCE"/>
    <w:rsid w:val="0041666E"/>
    <w:rsid w:val="00421060"/>
    <w:rsid w:val="0046710F"/>
    <w:rsid w:val="00471C19"/>
    <w:rsid w:val="004867E3"/>
    <w:rsid w:val="00494A28"/>
    <w:rsid w:val="004C0004"/>
    <w:rsid w:val="004C5D52"/>
    <w:rsid w:val="0050519A"/>
    <w:rsid w:val="005072A1"/>
    <w:rsid w:val="00514517"/>
    <w:rsid w:val="00545827"/>
    <w:rsid w:val="005526FA"/>
    <w:rsid w:val="00560270"/>
    <w:rsid w:val="005B7492"/>
    <w:rsid w:val="005C2568"/>
    <w:rsid w:val="005F1B17"/>
    <w:rsid w:val="006037C0"/>
    <w:rsid w:val="006631B6"/>
    <w:rsid w:val="00680577"/>
    <w:rsid w:val="006F74FA"/>
    <w:rsid w:val="00731ADD"/>
    <w:rsid w:val="00734777"/>
    <w:rsid w:val="0074466D"/>
    <w:rsid w:val="00747932"/>
    <w:rsid w:val="00751A4A"/>
    <w:rsid w:val="00756632"/>
    <w:rsid w:val="00762C74"/>
    <w:rsid w:val="00786EC0"/>
    <w:rsid w:val="007A27F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25F6"/>
    <w:rsid w:val="00A1687D"/>
    <w:rsid w:val="00A43E52"/>
    <w:rsid w:val="00A4678D"/>
    <w:rsid w:val="00A778C7"/>
    <w:rsid w:val="00A833AB"/>
    <w:rsid w:val="00AB441E"/>
    <w:rsid w:val="00AB6293"/>
    <w:rsid w:val="00AE0928"/>
    <w:rsid w:val="00AF3B82"/>
    <w:rsid w:val="00B12E95"/>
    <w:rsid w:val="00B13B02"/>
    <w:rsid w:val="00B22876"/>
    <w:rsid w:val="00B558F0"/>
    <w:rsid w:val="00BA378F"/>
    <w:rsid w:val="00BD48FE"/>
    <w:rsid w:val="00BD7BD8"/>
    <w:rsid w:val="00BE6ADC"/>
    <w:rsid w:val="00C05BFE"/>
    <w:rsid w:val="00C23CD4"/>
    <w:rsid w:val="00C61C0C"/>
    <w:rsid w:val="00C941CB"/>
    <w:rsid w:val="00CC2357"/>
    <w:rsid w:val="00CF071A"/>
    <w:rsid w:val="00D058B8"/>
    <w:rsid w:val="00D27A41"/>
    <w:rsid w:val="00D56C11"/>
    <w:rsid w:val="00D834A0"/>
    <w:rsid w:val="00D872DF"/>
    <w:rsid w:val="00D91E21"/>
    <w:rsid w:val="00DA7FCD"/>
    <w:rsid w:val="00E05392"/>
    <w:rsid w:val="00E12C92"/>
    <w:rsid w:val="00E365E1"/>
    <w:rsid w:val="00E820A4"/>
    <w:rsid w:val="00EB006A"/>
    <w:rsid w:val="00EB4772"/>
    <w:rsid w:val="00ED169E"/>
    <w:rsid w:val="00ED4235"/>
    <w:rsid w:val="00F04346"/>
    <w:rsid w:val="00F075DC"/>
    <w:rsid w:val="00F149E9"/>
    <w:rsid w:val="00F5134D"/>
    <w:rsid w:val="00F5281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4587DF"/>
  <w15:chartTrackingRefBased/>
  <w15:docId w15:val="{711A7AA3-C99E-4A4B-8E55-0A61DB3E8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A27F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A27F7"/>
    <w:pPr>
      <w:spacing w:before="480" w:after="240"/>
    </w:pPr>
  </w:style>
  <w:style w:type="paragraph" w:customStyle="1" w:styleId="PageHeading">
    <w:name w:val="PageHeading"/>
    <w:basedOn w:val="Normal"/>
    <w:rsid w:val="007A27F7"/>
    <w:pPr>
      <w:keepNext/>
      <w:spacing w:after="480"/>
      <w:jc w:val="center"/>
    </w:pPr>
    <w:rPr>
      <w:rFonts w:ascii="Arial" w:hAnsi="Arial" w:cs="Arial"/>
      <w:b/>
    </w:rPr>
  </w:style>
  <w:style w:type="paragraph" w:customStyle="1" w:styleId="NormalBold">
    <w:name w:val="NormalBold"/>
    <w:basedOn w:val="Normal"/>
    <w:rsid w:val="007A27F7"/>
    <w:rPr>
      <w:b/>
    </w:rPr>
  </w:style>
  <w:style w:type="paragraph" w:customStyle="1" w:styleId="NormalHanging12a">
    <w:name w:val="NormalHanging12a"/>
    <w:basedOn w:val="Normal"/>
    <w:link w:val="NormalHanging12aChar"/>
    <w:rsid w:val="007A27F7"/>
    <w:pPr>
      <w:spacing w:after="240"/>
      <w:ind w:left="567" w:hanging="567"/>
    </w:pPr>
  </w:style>
  <w:style w:type="paragraph" w:styleId="Header">
    <w:name w:val="header"/>
    <w:basedOn w:val="Normal"/>
    <w:link w:val="HeaderChar"/>
    <w:rsid w:val="007A27F7"/>
    <w:pPr>
      <w:tabs>
        <w:tab w:val="center" w:pos="4513"/>
        <w:tab w:val="right" w:pos="9026"/>
      </w:tabs>
    </w:pPr>
  </w:style>
  <w:style w:type="character" w:customStyle="1" w:styleId="HeaderChar">
    <w:name w:val="Header Char"/>
    <w:basedOn w:val="DefaultParagraphFont"/>
    <w:link w:val="Header"/>
    <w:rsid w:val="007A27F7"/>
    <w:rPr>
      <w:sz w:val="24"/>
      <w:lang w:val="ro-RO"/>
    </w:rPr>
  </w:style>
  <w:style w:type="paragraph" w:customStyle="1" w:styleId="EPFooter">
    <w:name w:val="EPFooter"/>
    <w:basedOn w:val="Normal"/>
    <w:rsid w:val="007A27F7"/>
    <w:pPr>
      <w:tabs>
        <w:tab w:val="center" w:pos="4535"/>
        <w:tab w:val="right" w:pos="9071"/>
      </w:tabs>
      <w:spacing w:before="240" w:after="240"/>
    </w:pPr>
    <w:rPr>
      <w:color w:val="010000"/>
      <w:sz w:val="22"/>
    </w:rPr>
  </w:style>
  <w:style w:type="character" w:styleId="Hyperlink">
    <w:name w:val="Hyperlink"/>
    <w:basedOn w:val="DefaultParagraphFont"/>
    <w:rsid w:val="007A27F7"/>
    <w:rPr>
      <w:color w:val="0563C1" w:themeColor="hyperlink"/>
      <w:u w:val="single"/>
    </w:rPr>
  </w:style>
  <w:style w:type="character" w:customStyle="1" w:styleId="NormalHanging12aChar">
    <w:name w:val="NormalHanging12a Char"/>
    <w:basedOn w:val="DefaultParagraphFont"/>
    <w:link w:val="NormalHanging12a"/>
    <w:rsid w:val="007A27F7"/>
    <w:rPr>
      <w:sz w:val="24"/>
      <w:lang w:val="ro-RO"/>
    </w:rPr>
  </w:style>
  <w:style w:type="paragraph" w:styleId="Footer">
    <w:name w:val="footer"/>
    <w:basedOn w:val="Normal"/>
    <w:link w:val="FooterChar"/>
    <w:rsid w:val="00BA378F"/>
    <w:pPr>
      <w:tabs>
        <w:tab w:val="center" w:pos="4513"/>
        <w:tab w:val="right" w:pos="9026"/>
      </w:tabs>
    </w:pPr>
  </w:style>
  <w:style w:type="character" w:customStyle="1" w:styleId="FooterChar">
    <w:name w:val="Footer Char"/>
    <w:basedOn w:val="DefaultParagraphFont"/>
    <w:link w:val="Footer"/>
    <w:rsid w:val="00BA378F"/>
    <w:rPr>
      <w:sz w:val="24"/>
      <w:lang w:val="ro-RO"/>
    </w:rPr>
  </w:style>
  <w:style w:type="paragraph" w:styleId="Revision">
    <w:name w:val="Revision"/>
    <w:hidden/>
    <w:uiPriority w:val="99"/>
    <w:semiHidden/>
    <w:rsid w:val="00E12C92"/>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9698</Words>
  <Characters>55819</Characters>
  <Application>Microsoft Office Word</Application>
  <DocSecurity>0</DocSecurity>
  <Lines>465</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2026-05-19T14:29:00Z</dcterms:created>
  <dcterms:modified xsi:type="dcterms:W3CDTF">2026-05-19T14:29:00Z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P10_TA(2026)0131_</vt:lpwstr>
  </property>
  <property fmtid="{D5CDD505-2E9C-101B-9397-08002B2CF9AE}" pid="4" name="&lt;Type&gt;">
    <vt:lpwstr>RR</vt:lpwstr>
  </property>
</Properties>
</file>